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AFB" w:rsidRPr="00E1758E" w:rsidRDefault="00412AFB" w:rsidP="00412AFB">
      <w:pPr>
        <w:rPr>
          <w:rFonts w:ascii="Arial" w:hAnsi="Arial" w:cs="Arial"/>
          <w:lang w:val="es-ES"/>
        </w:rPr>
      </w:pPr>
    </w:p>
    <w:p w:rsidR="00412AFB" w:rsidRPr="00E1758E" w:rsidRDefault="00412AFB" w:rsidP="00412AFB">
      <w:pPr>
        <w:rPr>
          <w:rFonts w:ascii="Arial" w:hAnsi="Arial" w:cs="Arial"/>
          <w:lang w:val="es-ES"/>
        </w:rPr>
      </w:pPr>
    </w:p>
    <w:p w:rsidR="00412AFB" w:rsidRPr="00993936" w:rsidRDefault="00412AFB" w:rsidP="00AB6BDE">
      <w:pPr>
        <w:jc w:val="both"/>
        <w:rPr>
          <w:rFonts w:ascii="Arial" w:hAnsi="Arial" w:cs="Arial"/>
          <w:b/>
          <w:lang w:val="es-ES"/>
        </w:rPr>
      </w:pPr>
      <w:r w:rsidRPr="00993936">
        <w:rPr>
          <w:rFonts w:ascii="Arial" w:hAnsi="Arial" w:cs="Arial"/>
          <w:b/>
          <w:lang w:val="es-ES"/>
        </w:rPr>
        <w:t>Proyecto de resolución por el que se aprueban las normas técnicas de producción integrada</w:t>
      </w:r>
      <w:r w:rsidR="00AB6BDE" w:rsidRPr="00993936">
        <w:rPr>
          <w:rFonts w:ascii="Arial" w:hAnsi="Arial" w:cs="Arial"/>
          <w:b/>
          <w:lang w:val="es-ES"/>
        </w:rPr>
        <w:t xml:space="preserve"> en Cataluña</w:t>
      </w:r>
    </w:p>
    <w:p w:rsidR="00412AFB" w:rsidRPr="00993936" w:rsidRDefault="00412AFB" w:rsidP="00412AFB">
      <w:pPr>
        <w:shd w:val="clear" w:color="auto" w:fill="FFFFFF"/>
        <w:spacing w:line="255" w:lineRule="atLeast"/>
        <w:jc w:val="both"/>
        <w:rPr>
          <w:rFonts w:ascii="Arial" w:hAnsi="Arial" w:cs="Arial"/>
          <w:b/>
          <w:bCs/>
          <w:lang w:val="es-ES"/>
        </w:rPr>
      </w:pP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La necesidad cada vez mayor de limitar al máximo el impacto ambiental de las técnicas de cultivo con el objetivo de conseguir el necesario desarrollo sostenible obliga constantemente a actualizar las prácticas y los métodos de cultivo, algo que, en el caso de la producción integrada, supone unas obligaciones y unos compromisos adicionales para los agricultores que se acogen a ella.</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Uno de los aspectos esenciales en la aplicación de las técnicas de producción integrada es la limitación de las sustancias activas que pueden aplicarse en los tratamientos fitosanitarios, y la reducción al mínimo posible del nivel de residuos admisibles, por lo que hay que actualizar la lista de materias activas que pueden aplicarse en los diferentes tratamientos.</w:t>
      </w:r>
    </w:p>
    <w:p w:rsidR="00412AFB" w:rsidRPr="00993936" w:rsidRDefault="00412AFB" w:rsidP="00412AFB">
      <w:pPr>
        <w:spacing w:line="240" w:lineRule="auto"/>
        <w:jc w:val="both"/>
        <w:rPr>
          <w:rFonts w:ascii="Arial" w:hAnsi="Arial" w:cs="Arial"/>
          <w:lang w:val="es-ES"/>
        </w:rPr>
      </w:pPr>
      <w:bookmarkStart w:id="0" w:name="fragment-1568706"/>
      <w:bookmarkEnd w:id="0"/>
      <w:r w:rsidRPr="00993936">
        <w:rPr>
          <w:rFonts w:ascii="Arial" w:hAnsi="Arial" w:cs="Arial"/>
          <w:lang w:val="es-ES"/>
        </w:rPr>
        <w:t>En el artículo 4 del Decreto 241/2002, de 8 de octubre, por el que se regula la producción integrada en Cataluña, se establece que el sistema de producción integrada implica que para la obtención, almacenamiento, conservación, elaboración, transformación, envasado, importación y comercialización de los productos indicados en el artículo 3.1 de este decreto se han respetado los requisitos establecidos en las normas generales de producción integrada fijadas por la autoridad competente y en las normas técnicas específicas que, para cada cultivo, grupos de cultivos, producto o grupos de productos (en adelante normas técnicas), puedan establecerse.</w:t>
      </w:r>
    </w:p>
    <w:p w:rsidR="00412AFB" w:rsidRPr="00993936" w:rsidRDefault="00412AFB" w:rsidP="00412AFB">
      <w:pPr>
        <w:spacing w:line="240" w:lineRule="auto"/>
        <w:jc w:val="both"/>
        <w:rPr>
          <w:rFonts w:ascii="Arial" w:hAnsi="Arial" w:cs="Arial"/>
          <w:lang w:val="es-ES"/>
        </w:rPr>
      </w:pPr>
      <w:r w:rsidRPr="00993936">
        <w:rPr>
          <w:rFonts w:ascii="Arial" w:hAnsi="Arial" w:cs="Arial"/>
          <w:lang w:val="es-ES"/>
        </w:rPr>
        <w:t xml:space="preserve">El mismo precepto establece que las normas técnicas serán aprobadas por resolución de la persona titular de la dirección general competente en materia de agricultura y ganadería, y dispone que la resolución que apruebe o modifique la norma técnica </w:t>
      </w:r>
      <w:proofErr w:type="gramStart"/>
      <w:r w:rsidRPr="00993936">
        <w:rPr>
          <w:rFonts w:ascii="Arial" w:hAnsi="Arial" w:cs="Arial"/>
          <w:lang w:val="es-ES"/>
        </w:rPr>
        <w:t>será</w:t>
      </w:r>
      <w:proofErr w:type="gramEnd"/>
      <w:r w:rsidRPr="00993936">
        <w:rPr>
          <w:rFonts w:ascii="Arial" w:hAnsi="Arial" w:cs="Arial"/>
          <w:lang w:val="es-ES"/>
        </w:rPr>
        <w:t xml:space="preserve"> publicada en el </w:t>
      </w:r>
      <w:r w:rsidRPr="00993936">
        <w:rPr>
          <w:rFonts w:ascii="Arial" w:hAnsi="Arial" w:cs="Arial"/>
          <w:i/>
          <w:lang w:val="es-ES"/>
        </w:rPr>
        <w:t>Diari Oficial de la Generalitat de Catalunya</w:t>
      </w:r>
      <w:r w:rsidRPr="00993936">
        <w:rPr>
          <w:rFonts w:ascii="Arial" w:hAnsi="Arial" w:cs="Arial"/>
          <w:lang w:val="es-ES"/>
        </w:rPr>
        <w:t>.</w:t>
      </w:r>
    </w:p>
    <w:p w:rsidR="00412AFB" w:rsidRPr="00993936" w:rsidRDefault="00412AFB" w:rsidP="00412AFB">
      <w:pPr>
        <w:spacing w:line="240" w:lineRule="auto"/>
        <w:jc w:val="both"/>
        <w:rPr>
          <w:rFonts w:ascii="Arial" w:hAnsi="Arial" w:cs="Arial"/>
          <w:lang w:val="es-ES"/>
        </w:rPr>
      </w:pPr>
      <w:r w:rsidRPr="00993936">
        <w:rPr>
          <w:rFonts w:ascii="Arial" w:hAnsi="Arial" w:cs="Arial"/>
          <w:lang w:val="es-ES"/>
        </w:rPr>
        <w:t>Mediante la Resolución AAM/2109/2011, de 25 de agosto, se aprobaron las normas técnicas específicas de producción integrada, así como los parámetros de los cuadernos de explotación y cuadernos de conservación o poscosecha de producción integrada. Mediante la Resolución AAM/1579/2013, de 6 de junio, se aprobó la norma técnica específica de producción integrada de elaboración de vinos. Mediante la Resolución AAM/790/2013, de 2 de abril, se aprobó la norma técnica específica de producción integrada de forraje. Mediante la Resolución ARP/1376/2016, de 23 de mayo, se modificaron los anexos de la Resolución AAM/2019/2011, de 25 de agosto, y de la Resolución AAM/790/2013, de 2 de abril. Mediante la Resolución ARP/1899/2017, de 28 de julio, se modificaron las normas técnicas y los anexos de la Resolución AAM/2019/2011, de 25 de agosto.</w:t>
      </w:r>
    </w:p>
    <w:p w:rsidR="00412AFB" w:rsidRPr="00993936" w:rsidRDefault="00412AFB" w:rsidP="00412AFB">
      <w:pPr>
        <w:spacing w:line="240" w:lineRule="auto"/>
        <w:jc w:val="both"/>
        <w:rPr>
          <w:rFonts w:ascii="Arial" w:hAnsi="Arial" w:cs="Arial"/>
          <w:lang w:val="es-ES"/>
        </w:rPr>
      </w:pPr>
    </w:p>
    <w:p w:rsidR="00412AFB" w:rsidRPr="00993936" w:rsidRDefault="00412AFB" w:rsidP="00AB6BDE">
      <w:pPr>
        <w:spacing w:line="240" w:lineRule="auto"/>
        <w:jc w:val="both"/>
        <w:rPr>
          <w:rFonts w:ascii="Arial" w:hAnsi="Arial" w:cs="Arial"/>
          <w:lang w:val="es-ES"/>
        </w:rPr>
      </w:pPr>
    </w:p>
    <w:p w:rsidR="00412AFB" w:rsidRPr="00993936" w:rsidRDefault="00412AFB" w:rsidP="00AB6BDE">
      <w:pPr>
        <w:spacing w:line="240" w:lineRule="auto"/>
        <w:jc w:val="both"/>
        <w:rPr>
          <w:rFonts w:ascii="Arial" w:hAnsi="Arial" w:cs="Arial"/>
          <w:lang w:val="es-ES"/>
        </w:rPr>
      </w:pPr>
    </w:p>
    <w:p w:rsidR="00412AFB" w:rsidRPr="00993936" w:rsidRDefault="00412AFB" w:rsidP="00AB6BDE">
      <w:pPr>
        <w:pStyle w:val="NormalWeb"/>
        <w:jc w:val="both"/>
        <w:rPr>
          <w:rFonts w:ascii="Arial" w:eastAsiaTheme="minorHAnsi" w:hAnsi="Arial" w:cs="Arial"/>
          <w:sz w:val="22"/>
          <w:szCs w:val="22"/>
          <w:lang w:val="es-ES" w:eastAsia="en-US"/>
        </w:rPr>
      </w:pPr>
    </w:p>
    <w:p w:rsidR="00412AFB" w:rsidRPr="00993936" w:rsidRDefault="00412AFB" w:rsidP="00AB6BDE">
      <w:pPr>
        <w:pStyle w:val="NormalWeb"/>
        <w:jc w:val="both"/>
        <w:rPr>
          <w:rFonts w:ascii="Arial" w:eastAsiaTheme="minorHAnsi" w:hAnsi="Arial" w:cs="Arial"/>
          <w:sz w:val="22"/>
          <w:szCs w:val="22"/>
          <w:lang w:val="es-ES" w:eastAsia="en-US"/>
        </w:rPr>
      </w:pPr>
    </w:p>
    <w:p w:rsidR="00412AFB" w:rsidRPr="00993936" w:rsidRDefault="00412AFB" w:rsidP="00AB6BDE">
      <w:pPr>
        <w:pStyle w:val="NormalWeb"/>
        <w:spacing w:line="255" w:lineRule="atLeast"/>
        <w:jc w:val="both"/>
        <w:rPr>
          <w:rFonts w:ascii="Arial" w:hAnsi="Arial" w:cs="Arial"/>
          <w:sz w:val="22"/>
          <w:szCs w:val="22"/>
          <w:lang w:val="es-ES"/>
        </w:rPr>
      </w:pP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Con la voluntad de contribuir a una mayor transparencia y simplicidad de las normas y disminuir la dispersión normativa existente, esta resolución deja sin efectos las resoluciones anteriores para unificar en un solo texto el conjunto de las normas técnicas.</w:t>
      </w:r>
    </w:p>
    <w:p w:rsidR="00412AFB" w:rsidRPr="00993936" w:rsidRDefault="00412AFB" w:rsidP="00412AFB">
      <w:pPr>
        <w:jc w:val="both"/>
        <w:rPr>
          <w:rFonts w:ascii="Arial" w:hAnsi="Arial" w:cs="Arial"/>
          <w:iCs/>
          <w:lang w:val="es-ES"/>
        </w:rPr>
      </w:pPr>
      <w:r w:rsidRPr="00993936">
        <w:rPr>
          <w:rFonts w:ascii="Arial" w:hAnsi="Arial" w:cs="Arial"/>
          <w:iCs/>
          <w:lang w:val="es-ES"/>
        </w:rPr>
        <w:t>Esta disposición ha sido sometida al procedimiento de información en materia de reglamentaciones técnicas y de reglamentos relativos a los servicios de la sociedad de la información, previstos en la Directiva (UE) 2015/1535, del Parlamento Europeo y del Consejo, de 9 de septiembre, así como en el Real Decreto 1337/1999, de 31 de julio, que incorpora esta directiva al ordenamiento jurídico español.</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En consecuencia, y en uso de las atribuciones que me han sido conferidas,</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 </w:t>
      </w:r>
    </w:p>
    <w:p w:rsidR="00412AFB" w:rsidRPr="00993936" w:rsidRDefault="00412AFB" w:rsidP="00412AFB">
      <w:pPr>
        <w:pStyle w:val="NormalWeb"/>
        <w:shd w:val="clear" w:color="auto" w:fill="FFFFFF"/>
        <w:spacing w:line="255" w:lineRule="atLeast"/>
        <w:jc w:val="both"/>
        <w:rPr>
          <w:rFonts w:ascii="Arial" w:hAnsi="Arial" w:cs="Arial"/>
          <w:b/>
          <w:sz w:val="22"/>
          <w:szCs w:val="22"/>
          <w:lang w:val="es-ES"/>
        </w:rPr>
      </w:pPr>
      <w:r w:rsidRPr="00993936">
        <w:rPr>
          <w:rFonts w:ascii="Arial" w:hAnsi="Arial" w:cs="Arial"/>
          <w:b/>
          <w:sz w:val="22"/>
          <w:szCs w:val="22"/>
          <w:lang w:val="es-ES"/>
        </w:rPr>
        <w:t>Resuelvo:</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1. Aprobar las normas técnicas de producción integrada que se adjuntan en los siguientes anexos.</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I. Norma técnica de producción integrada de cereales de verano.</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II. Norma técnica de producción integrada de cereales de invierno.</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III. Norma técnica de producción integrada de cítricos.</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IV. Norma técnica de producción integrada de forrajes.</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V. Norma técnica de producción integrada de fruta de pepita.</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VI. Norma técnica de producción integrada de fruta de hueso.</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VII. Norma técnica de producción integrada de frut</w:t>
      </w:r>
      <w:r w:rsidR="009C734A" w:rsidRPr="00993936">
        <w:rPr>
          <w:rFonts w:ascii="Arial" w:hAnsi="Arial" w:cs="Arial"/>
          <w:lang w:val="es-ES"/>
        </w:rPr>
        <w:t>os secos</w:t>
      </w:r>
      <w:r w:rsidRPr="00993936">
        <w:rPr>
          <w:rFonts w:ascii="Arial" w:hAnsi="Arial" w:cs="Arial"/>
          <w:lang w:val="es-ES"/>
        </w:rPr>
        <w:t>.</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VIII. Norma técnica de producción integrada de hortalizas y legumbres.</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IX. Norma técnica de producción integrada de uva de vinificación.</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 xml:space="preserve">Anexo X. Norma técnica de producción integrada de </w:t>
      </w:r>
      <w:r w:rsidR="009C734A" w:rsidRPr="00993936">
        <w:rPr>
          <w:rFonts w:ascii="Arial" w:hAnsi="Arial" w:cs="Arial"/>
          <w:lang w:val="es-ES"/>
        </w:rPr>
        <w:t>olivas</w:t>
      </w:r>
      <w:r w:rsidRPr="00993936">
        <w:rPr>
          <w:rFonts w:ascii="Arial" w:hAnsi="Arial" w:cs="Arial"/>
          <w:lang w:val="es-ES"/>
        </w:rPr>
        <w:t>.</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XI. Norma técnica de producción integrada de frut</w:t>
      </w:r>
      <w:r w:rsidR="009C734A" w:rsidRPr="00993936">
        <w:rPr>
          <w:rFonts w:ascii="Arial" w:hAnsi="Arial" w:cs="Arial"/>
          <w:lang w:val="es-ES"/>
        </w:rPr>
        <w:t>os secos elaborados</w:t>
      </w:r>
      <w:r w:rsidRPr="00993936">
        <w:rPr>
          <w:rFonts w:ascii="Arial" w:hAnsi="Arial" w:cs="Arial"/>
          <w:lang w:val="es-ES"/>
        </w:rPr>
        <w:t>.</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XII. Norma técnica de producción integrada de aceite de oliva.</w:t>
      </w: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t>Anexo XIII. Norma técnica de producción integrada de elaboración de vinos.</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2. Aprobar los parámetros de los cuadernos de explotación y cuadernos de conservación o poscosecha de producción integrada.</w:t>
      </w:r>
    </w:p>
    <w:p w:rsidR="00412AFB" w:rsidRPr="00993936" w:rsidRDefault="00412AFB" w:rsidP="00D74508">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 xml:space="preserve">3. Disponer la publicación de esta Resolución en el </w:t>
      </w:r>
      <w:r w:rsidRPr="00993936">
        <w:rPr>
          <w:rFonts w:ascii="Arial" w:hAnsi="Arial" w:cs="Arial"/>
          <w:i/>
          <w:sz w:val="22"/>
          <w:szCs w:val="22"/>
          <w:lang w:val="es-ES"/>
        </w:rPr>
        <w:t>Diari Oficial de la Generalitat de Catalunya</w:t>
      </w:r>
      <w:r w:rsidRPr="00993936">
        <w:rPr>
          <w:rFonts w:ascii="Arial" w:hAnsi="Arial" w:cs="Arial"/>
          <w:sz w:val="22"/>
          <w:szCs w:val="22"/>
          <w:lang w:val="es-ES"/>
        </w:rPr>
        <w:t>, excepto los anexos y los parámetros de los cuadernos de explotación y cuadernos de conservación o poscosecha,</w:t>
      </w:r>
      <w:r w:rsidR="00E03B3B" w:rsidRPr="00993936">
        <w:rPr>
          <w:rFonts w:ascii="Arial" w:hAnsi="Arial" w:cs="Arial"/>
          <w:sz w:val="22"/>
          <w:szCs w:val="22"/>
          <w:lang w:val="es-ES"/>
        </w:rPr>
        <w:t xml:space="preserve"> </w:t>
      </w:r>
      <w:r w:rsidRPr="00993936">
        <w:rPr>
          <w:rFonts w:ascii="Arial" w:hAnsi="Arial" w:cs="Arial"/>
          <w:sz w:val="22"/>
          <w:szCs w:val="22"/>
          <w:lang w:val="es-ES"/>
        </w:rPr>
        <w:t xml:space="preserve">que pueden consultarse en la web del Departamento de Agricultura, Ganadería, Pesca y Alimentación </w:t>
      </w:r>
      <w:hyperlink r:id="rId9" w:history="1">
        <w:r w:rsidR="00D74508" w:rsidRPr="00993936">
          <w:rPr>
            <w:rStyle w:val="Hipervnculo"/>
            <w:rFonts w:ascii="Arial" w:hAnsi="Arial" w:cs="Arial"/>
            <w:color w:val="auto"/>
            <w:sz w:val="22"/>
            <w:szCs w:val="22"/>
            <w:lang w:val="es-ES"/>
          </w:rPr>
          <w:t>http://agricultura.gencat.cat/ca/ambits/agricultura/produccio-integrada</w:t>
        </w:r>
      </w:hyperlink>
      <w:r w:rsidRPr="00993936">
        <w:rPr>
          <w:rFonts w:ascii="Arial" w:hAnsi="Arial" w:cs="Arial"/>
          <w:sz w:val="22"/>
          <w:szCs w:val="22"/>
          <w:lang w:val="es-ES"/>
        </w:rPr>
        <w:t>.</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4. Dejar sin efecto las siguientes resoluciones:</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 xml:space="preserve">Resolución AAM/2109/2011, de 25 de agosto, por la que se aprueban las normas técnicas específicas de producción integrada, así como los parámetros de los cuadernos de explotación y cuadernos de conservación o poscosecha de producción </w:t>
      </w:r>
      <w:r w:rsidRPr="00993936">
        <w:rPr>
          <w:rFonts w:ascii="Arial" w:hAnsi="Arial" w:cs="Arial"/>
          <w:sz w:val="22"/>
          <w:szCs w:val="22"/>
          <w:lang w:val="es-ES"/>
        </w:rPr>
        <w:lastRenderedPageBreak/>
        <w:t>integrada</w:t>
      </w:r>
      <w:r w:rsidR="009A011E" w:rsidRPr="00993936">
        <w:rPr>
          <w:rFonts w:ascii="Arial" w:hAnsi="Arial" w:cs="Arial"/>
          <w:sz w:val="22"/>
          <w:szCs w:val="22"/>
          <w:lang w:val="es-ES"/>
        </w:rPr>
        <w:t>, salvo los parámetros de los cuadernos de explotación y cuadernos de conservación o postcosecha de producción integrada, que continúan vigentes.</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Resolución AAM/1579/2013, de 6 de junio, por la que se aprueba la norma técnica específica de producción integrada de elaboración de vinos.</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Resolución AAM/790/2013, de 2 de abril, por la que se aprueba la norma técnica específica de producción integrada de forraje.</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Resolución ARP/1376/2016, de 23 de mayo, por la que se modifican los anexos de la Resolución AAM/2019/2011, de 25 de agosto, y de la Resolución AAM/790/2013, de 2 de abril.</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Resolución ARP/1899/2017, de 28 de julio, por la que se modifican las normas técnicas y los anexos de la Resolución AAM/2019/2011, de 25 de agosto.</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p>
    <w:p w:rsidR="00412AFB" w:rsidRPr="00993936" w:rsidRDefault="00412AFB" w:rsidP="00412AFB">
      <w:pPr>
        <w:rPr>
          <w:rFonts w:ascii="Arial" w:hAnsi="Arial" w:cs="Arial"/>
          <w:lang w:val="es-ES"/>
        </w:rPr>
      </w:pPr>
      <w:r w:rsidRPr="00993936">
        <w:rPr>
          <w:rFonts w:ascii="Arial" w:hAnsi="Arial" w:cs="Arial"/>
          <w:lang w:val="es-ES"/>
        </w:rPr>
        <w:t>Carmel Mòdol Bresolí</w:t>
      </w:r>
    </w:p>
    <w:p w:rsidR="00412AFB" w:rsidRPr="00993936" w:rsidRDefault="00412AFB" w:rsidP="00412AFB">
      <w:pPr>
        <w:rPr>
          <w:rFonts w:ascii="Arial" w:hAnsi="Arial" w:cs="Arial"/>
          <w:lang w:val="es-ES"/>
        </w:rPr>
      </w:pPr>
      <w:r w:rsidRPr="00993936">
        <w:rPr>
          <w:rFonts w:ascii="Arial" w:hAnsi="Arial" w:cs="Arial"/>
          <w:lang w:val="es-ES"/>
        </w:rPr>
        <w:t>Director general de Alimentación, Calidad e Industrias Agroalimentarias.</w:t>
      </w:r>
    </w:p>
    <w:p w:rsidR="00412AFB" w:rsidRPr="00993936" w:rsidRDefault="00412AFB" w:rsidP="00412AFB">
      <w:pPr>
        <w:rPr>
          <w:rFonts w:ascii="Arial" w:hAnsi="Arial" w:cs="Arial"/>
          <w:lang w:val="es-ES"/>
        </w:rPr>
      </w:pPr>
      <w:r w:rsidRPr="00993936">
        <w:rPr>
          <w:rFonts w:ascii="Arial" w:hAnsi="Arial" w:cs="Arial"/>
          <w:lang w:val="es-ES"/>
        </w:rPr>
        <w:t>Por suplencia de la persona titular de la Dirección General de Agricultura y Ganadería. (Resolución, de 6 de noviembre de 2017, de la ministra de Agricultura y Pesca, Alimentación y Medio Ambiente.)</w:t>
      </w: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p>
    <w:p w:rsidR="00412AFB" w:rsidRPr="00993936" w:rsidRDefault="00412AFB" w:rsidP="00412AFB">
      <w:pPr>
        <w:pStyle w:val="NormalWeb"/>
        <w:shd w:val="clear" w:color="auto" w:fill="FFFFFF"/>
        <w:spacing w:line="255" w:lineRule="atLeast"/>
        <w:jc w:val="both"/>
        <w:rPr>
          <w:rFonts w:ascii="Arial" w:hAnsi="Arial" w:cs="Arial"/>
          <w:sz w:val="22"/>
          <w:szCs w:val="22"/>
          <w:lang w:val="es-ES"/>
        </w:rPr>
      </w:pPr>
      <w:r w:rsidRPr="00993936">
        <w:rPr>
          <w:rFonts w:ascii="Arial" w:hAnsi="Arial" w:cs="Arial"/>
          <w:sz w:val="22"/>
          <w:szCs w:val="22"/>
          <w:lang w:val="es-ES"/>
        </w:rPr>
        <w:t> </w:t>
      </w:r>
    </w:p>
    <w:p w:rsidR="00412AFB" w:rsidRPr="00993936" w:rsidRDefault="00412AFB" w:rsidP="00412AFB">
      <w:pPr>
        <w:rPr>
          <w:rFonts w:ascii="Arial" w:hAnsi="Arial" w:cs="Arial"/>
          <w:lang w:val="es-ES"/>
        </w:rPr>
        <w:sectPr w:rsidR="00412AFB" w:rsidRPr="00993936">
          <w:headerReference w:type="default" r:id="rId10"/>
          <w:pgSz w:w="11906" w:h="16838"/>
          <w:pgMar w:top="1417" w:right="1701" w:bottom="1417" w:left="1701" w:header="708" w:footer="708" w:gutter="0"/>
          <w:cols w:space="708"/>
          <w:docGrid w:linePitch="360"/>
        </w:sectPr>
      </w:pPr>
    </w:p>
    <w:p w:rsidR="008847B6" w:rsidRPr="00993936" w:rsidRDefault="008847B6" w:rsidP="00412AFB">
      <w:pPr>
        <w:jc w:val="both"/>
        <w:rPr>
          <w:rFonts w:ascii="Arial" w:hAnsi="Arial" w:cs="Arial"/>
          <w:b/>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Anexo I. Norma técnica de producción integrada de cereales de verano.</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DEFINICIONES</w:t>
      </w:r>
    </w:p>
    <w:p w:rsidR="00412AFB" w:rsidRPr="00993936" w:rsidRDefault="00412AFB" w:rsidP="00412AFB">
      <w:pPr>
        <w:jc w:val="both"/>
        <w:rPr>
          <w:rFonts w:ascii="Arial" w:hAnsi="Arial" w:cs="Arial"/>
          <w:lang w:val="es-ES"/>
        </w:rPr>
      </w:pPr>
      <w:r w:rsidRPr="00993936">
        <w:rPr>
          <w:rFonts w:ascii="Arial" w:hAnsi="Arial" w:cs="Arial"/>
          <w:lang w:val="es-ES"/>
        </w:rPr>
        <w:t>A efectos de esta norma, se entenderá por:</w:t>
      </w:r>
    </w:p>
    <w:p w:rsidR="00412AFB" w:rsidRPr="00993936" w:rsidRDefault="00412AFB" w:rsidP="00412AFB">
      <w:pPr>
        <w:jc w:val="both"/>
        <w:rPr>
          <w:rFonts w:ascii="Arial" w:hAnsi="Arial" w:cs="Arial"/>
          <w:lang w:val="es-ES"/>
        </w:rPr>
      </w:pPr>
      <w:r w:rsidRPr="00993936">
        <w:rPr>
          <w:rFonts w:ascii="Arial" w:hAnsi="Arial" w:cs="Arial"/>
          <w:i/>
          <w:lang w:val="es-ES"/>
        </w:rPr>
        <w:t xml:space="preserve">Agrupación de producción integrada: </w:t>
      </w:r>
      <w:r w:rsidRPr="00993936">
        <w:rPr>
          <w:rFonts w:ascii="Arial" w:hAnsi="Arial" w:cs="Arial"/>
          <w:lang w:val="es-ES"/>
        </w:rPr>
        <w:t>aquella agrupación de operadores constituida en virtud de cualquier fórmula jurídica o integrada en otra agrupación previamente constituida y reconocida por la autoridad competente con el objeto de obtener productos vegetales bajo los requisitos de producción integrada para ser comercializados.</w:t>
      </w:r>
    </w:p>
    <w:p w:rsidR="00412AFB" w:rsidRPr="00993936" w:rsidRDefault="00412AFB" w:rsidP="00412AFB">
      <w:pPr>
        <w:jc w:val="both"/>
        <w:rPr>
          <w:rFonts w:ascii="Arial" w:hAnsi="Arial" w:cs="Arial"/>
          <w:lang w:val="es-ES"/>
        </w:rPr>
      </w:pPr>
      <w:r w:rsidRPr="00993936">
        <w:rPr>
          <w:rFonts w:ascii="Arial" w:hAnsi="Arial" w:cs="Arial"/>
          <w:i/>
          <w:lang w:val="es-ES"/>
        </w:rPr>
        <w:t xml:space="preserve">Análisis de peligros y puntos de control críticos (APPCC): </w:t>
      </w:r>
      <w:r w:rsidRPr="00993936">
        <w:rPr>
          <w:rFonts w:ascii="Arial" w:hAnsi="Arial" w:cs="Arial"/>
          <w:lang w:val="es-ES"/>
        </w:rPr>
        <w:t>enfoque sistemático de la base científica que permite identificar riesgos específicos y medidas para el control, con el fin de asegurar la inocuidad de los alimentos. Es un instrumento para evaluar los riesgos y establecer sistemas de control que se orienten hacia la prevención en lugar de fundamentarse en el análisis del producto final.</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 diferentes que vive en un determinado ecosistema.</w:t>
      </w:r>
    </w:p>
    <w:p w:rsidR="00412AFB" w:rsidRPr="00993936" w:rsidRDefault="00412AFB" w:rsidP="00412AFB">
      <w:pPr>
        <w:jc w:val="both"/>
        <w:rPr>
          <w:rFonts w:ascii="Arial" w:hAnsi="Arial" w:cs="Arial"/>
          <w:lang w:val="es-ES"/>
        </w:rPr>
      </w:pPr>
      <w:r w:rsidRPr="00993936">
        <w:rPr>
          <w:rFonts w:ascii="Arial" w:hAnsi="Arial" w:cs="Arial"/>
          <w:i/>
          <w:lang w:val="es-ES"/>
        </w:rPr>
        <w:t xml:space="preserve">Buenas prácticas fitosanitarias: </w:t>
      </w:r>
      <w:r w:rsidRPr="00993936">
        <w:rPr>
          <w:rFonts w:ascii="Arial" w:hAnsi="Arial" w:cs="Arial"/>
          <w:lang w:val="es-ES"/>
        </w:rPr>
        <w:t>utilizar productos fitosanitarios y de otros medios de defensa fitosanitaria bajo las condiciones de uso autorizadas.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Coeficiente de uniformidad: </w:t>
      </w:r>
      <w:r w:rsidRPr="00993936">
        <w:rPr>
          <w:rFonts w:ascii="Arial" w:hAnsi="Arial" w:cs="Arial"/>
          <w:lang w:val="es-ES"/>
        </w:rPr>
        <w:t xml:space="preserve">valor obtenido de aplicar una fórmula que indica la uniformidad en la distribución del agua aplicada por el sistema de riego. </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productos vegetales.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Control o lucha integrada: </w:t>
      </w:r>
      <w:r w:rsidRPr="00993936">
        <w:rPr>
          <w:rFonts w:ascii="Arial" w:hAnsi="Arial" w:cs="Arial"/>
          <w:lang w:val="es-ES"/>
        </w:rPr>
        <w:t>la aplicación racional de una combinación de medidas biológicas, físicas, biotecnológicas, químicas, de cultivo o de selección de vegetales, de modo que la utilización de productos fitosanitarios se limita al mínimo necesario para controlar las plagas.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Criterio de intervención: </w:t>
      </w:r>
      <w:r w:rsidRPr="00993936">
        <w:rPr>
          <w:rFonts w:ascii="Arial" w:hAnsi="Arial" w:cs="Arial"/>
          <w:lang w:val="es-ES"/>
        </w:rPr>
        <w:t>conjunto de condiciones que permiten justificar la realización de un tratamiento contra una plaga o agente patógeno.</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Cultivo: </w:t>
      </w:r>
      <w:r w:rsidRPr="00993936">
        <w:rPr>
          <w:rFonts w:ascii="Arial" w:hAnsi="Arial" w:cs="Arial"/>
          <w:lang w:val="es-ES"/>
        </w:rPr>
        <w:t>para cada especie, la totalidad de la producción que gestiona un agricultor</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i/>
          <w:lang w:val="es-ES"/>
        </w:rPr>
        <w:t xml:space="preserve">Ecosistema: </w:t>
      </w:r>
      <w:r w:rsidRPr="00993936">
        <w:rPr>
          <w:rFonts w:ascii="Arial" w:hAnsi="Arial" w:cs="Arial"/>
          <w:lang w:val="es-ES"/>
        </w:rPr>
        <w:t>sistema formado por el conjunto de seres vivos presentes en un lugar determinado y el medio ambiente que les es propio.</w:t>
      </w:r>
    </w:p>
    <w:p w:rsidR="00412AFB" w:rsidRPr="00993936" w:rsidRDefault="00412AFB" w:rsidP="00412AFB">
      <w:pPr>
        <w:jc w:val="both"/>
        <w:rPr>
          <w:rFonts w:ascii="Arial" w:hAnsi="Arial" w:cs="Arial"/>
          <w:lang w:val="es-ES"/>
        </w:rPr>
      </w:pPr>
      <w:r w:rsidRPr="00993936">
        <w:rPr>
          <w:rFonts w:ascii="Arial" w:hAnsi="Arial" w:cs="Arial"/>
          <w:i/>
          <w:lang w:val="es-ES"/>
        </w:rPr>
        <w:t xml:space="preserve">Enemigo natural: </w:t>
      </w:r>
      <w:r w:rsidRPr="00993936">
        <w:rPr>
          <w:rFonts w:ascii="Arial" w:hAnsi="Arial" w:cs="Arial"/>
          <w:lang w:val="es-ES"/>
        </w:rPr>
        <w:t>insecto o ácaro que actúa como agente de control biológico interaccionando con las plagas del cultivo, depredándolas o parasitándolas.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Entidades de certificación: </w:t>
      </w:r>
      <w:r w:rsidRPr="00993936">
        <w:rPr>
          <w:rFonts w:ascii="Arial" w:hAnsi="Arial" w:cs="Arial"/>
          <w:lang w:val="es-ES"/>
        </w:rPr>
        <w:t xml:space="preserve">son aquellas entidades acreditadas por la Entidad Nacional de Acreditación (ENAC) para realizar las funciones de control y certificación, a las que deberá someterse la producción para los productos obtenidos puedan ser diferenciados con un distintivo de garantía de producción integrada, de acuerdo con el </w:t>
      </w:r>
      <w:r w:rsidRPr="00993936">
        <w:rPr>
          <w:rFonts w:ascii="Arial" w:hAnsi="Arial" w:cs="Arial"/>
          <w:lang w:val="es-ES"/>
        </w:rPr>
        <w:lastRenderedPageBreak/>
        <w:t>Decreto 241/2002 (DOGC núm. 3744, de 21.10.2002) o, en su caso, las acreditadas por cualquier otro organismo acreditación firmante del acuerdo multilateral de reconocimiento de la Cooperación Europea para la Acreditación (EA).</w:t>
      </w:r>
    </w:p>
    <w:p w:rsidR="00412AFB" w:rsidRPr="00993936" w:rsidRDefault="00412AFB" w:rsidP="00412AFB">
      <w:pPr>
        <w:jc w:val="both"/>
        <w:rPr>
          <w:rFonts w:ascii="Arial" w:hAnsi="Arial" w:cs="Arial"/>
          <w:lang w:val="es-ES"/>
        </w:rPr>
      </w:pPr>
      <w:r w:rsidRPr="00993936">
        <w:rPr>
          <w:rFonts w:ascii="Arial" w:hAnsi="Arial" w:cs="Arial"/>
          <w:i/>
          <w:lang w:val="es-ES"/>
        </w:rPr>
        <w:t xml:space="preserve">Especie mejoradora: </w:t>
      </w:r>
      <w:proofErr w:type="gramStart"/>
      <w:r w:rsidRPr="00993936">
        <w:rPr>
          <w:rFonts w:ascii="Arial" w:hAnsi="Arial" w:cs="Arial"/>
          <w:lang w:val="es-ES"/>
        </w:rPr>
        <w:t>especie vegetal, normalmente gramíneas o leguminosas</w:t>
      </w:r>
      <w:proofErr w:type="gramEnd"/>
      <w:r w:rsidRPr="00993936">
        <w:rPr>
          <w:rFonts w:ascii="Arial" w:hAnsi="Arial" w:cs="Arial"/>
          <w:lang w:val="es-ES"/>
        </w:rPr>
        <w:t>, que por sus características biológicas mejoran las propiedades físico-químicas del suelo durante su cultivo.</w:t>
      </w:r>
    </w:p>
    <w:p w:rsidR="00412AFB" w:rsidRPr="00993936" w:rsidRDefault="00412AFB" w:rsidP="00412AFB">
      <w:pPr>
        <w:jc w:val="both"/>
        <w:rPr>
          <w:rFonts w:ascii="Arial" w:hAnsi="Arial" w:cs="Arial"/>
          <w:lang w:val="es-ES"/>
        </w:rPr>
      </w:pPr>
      <w:r w:rsidRPr="00993936">
        <w:rPr>
          <w:rFonts w:ascii="Arial" w:hAnsi="Arial" w:cs="Arial"/>
          <w:i/>
          <w:lang w:val="es-ES"/>
        </w:rPr>
        <w:t xml:space="preserve">Etiquetado: </w:t>
      </w:r>
      <w:r w:rsidRPr="00993936">
        <w:rPr>
          <w:rFonts w:ascii="Arial" w:hAnsi="Arial" w:cs="Arial"/>
          <w:lang w:val="es-ES"/>
        </w:rPr>
        <w:t>todas las menciones, indicaciones, identificaciones de fábrica o de comercio, imágenes o signos que figuren en los envases, documentos, letreros, etiquetas, argollas o collarines que acompañen o se refieran a productos que prevé el Decreto 241/2002.</w:t>
      </w:r>
    </w:p>
    <w:p w:rsidR="00412AFB" w:rsidRPr="00993936" w:rsidRDefault="00412AFB" w:rsidP="00412AFB">
      <w:pPr>
        <w:jc w:val="both"/>
        <w:rPr>
          <w:rFonts w:ascii="Arial" w:hAnsi="Arial" w:cs="Arial"/>
          <w:lang w:val="es-ES"/>
        </w:rPr>
      </w:pPr>
      <w:r w:rsidRPr="00993936">
        <w:rPr>
          <w:rFonts w:ascii="Arial" w:hAnsi="Arial" w:cs="Arial"/>
          <w:i/>
          <w:lang w:val="es-ES"/>
        </w:rPr>
        <w:t xml:space="preserve">Explotación: </w:t>
      </w:r>
      <w:r w:rsidRPr="00993936">
        <w:rPr>
          <w:rFonts w:ascii="Arial" w:hAnsi="Arial" w:cs="Arial"/>
          <w:lang w:val="es-ES"/>
        </w:rPr>
        <w:t>conjunto de bienes productivos que dan origen a una actividad económica.</w:t>
      </w:r>
    </w:p>
    <w:p w:rsidR="00412AFB" w:rsidRPr="00993936" w:rsidRDefault="00412AFB" w:rsidP="00412AFB">
      <w:pPr>
        <w:jc w:val="both"/>
        <w:rPr>
          <w:rFonts w:ascii="Arial" w:hAnsi="Arial" w:cs="Arial"/>
          <w:lang w:val="es-ES"/>
        </w:rPr>
      </w:pPr>
      <w:r w:rsidRPr="00993936">
        <w:rPr>
          <w:rFonts w:ascii="Arial" w:hAnsi="Arial" w:cs="Arial"/>
          <w:i/>
          <w:lang w:val="es-ES"/>
        </w:rPr>
        <w:t xml:space="preserve">Fauna auxiliar: </w:t>
      </w:r>
      <w:r w:rsidRPr="00993936">
        <w:rPr>
          <w:rFonts w:ascii="Arial" w:hAnsi="Arial" w:cs="Arial"/>
          <w:lang w:val="es-ES"/>
        </w:rPr>
        <w:t>véase enemigo natural.</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Hoja: </w:t>
      </w:r>
      <w:r w:rsidRPr="00993936">
        <w:rPr>
          <w:rFonts w:ascii="Arial" w:hAnsi="Arial" w:cs="Arial"/>
          <w:lang w:val="es-ES"/>
        </w:rPr>
        <w:t>término utilizado en la rotación de cultivos para indicar el número de cultivos que la integran.</w:t>
      </w:r>
    </w:p>
    <w:p w:rsidR="00412AFB" w:rsidRPr="00993936" w:rsidRDefault="00412AFB" w:rsidP="00412AFB">
      <w:pPr>
        <w:jc w:val="both"/>
        <w:rPr>
          <w:rFonts w:ascii="Arial" w:hAnsi="Arial" w:cs="Arial"/>
          <w:lang w:val="es-ES"/>
        </w:rPr>
      </w:pPr>
      <w:r w:rsidRPr="00993936">
        <w:rPr>
          <w:rFonts w:ascii="Arial" w:hAnsi="Arial" w:cs="Arial"/>
          <w:i/>
          <w:lang w:val="es-ES"/>
        </w:rPr>
        <w:t xml:space="preserve">Herbigación: </w:t>
      </w:r>
      <w:r w:rsidRPr="00993936">
        <w:rPr>
          <w:rFonts w:ascii="Arial" w:hAnsi="Arial" w:cs="Arial"/>
          <w:lang w:val="es-ES"/>
        </w:rPr>
        <w:t>Aplicación de herbicidas a través de las instalaciones de riego localizado.</w:t>
      </w:r>
    </w:p>
    <w:p w:rsidR="00412AFB" w:rsidRPr="00993936" w:rsidRDefault="00412AFB" w:rsidP="00412AFB">
      <w:pPr>
        <w:jc w:val="both"/>
        <w:rPr>
          <w:rFonts w:ascii="Arial" w:hAnsi="Arial" w:cs="Arial"/>
          <w:lang w:val="es-ES"/>
        </w:rPr>
      </w:pPr>
      <w:r w:rsidRPr="00993936">
        <w:rPr>
          <w:rFonts w:ascii="Arial" w:hAnsi="Arial" w:cs="Arial"/>
          <w:i/>
          <w:lang w:val="es-ES"/>
        </w:rPr>
        <w:t xml:space="preserve">Método de Merrien-Keller: </w:t>
      </w:r>
      <w:r w:rsidRPr="00993936">
        <w:rPr>
          <w:rFonts w:ascii="Arial" w:hAnsi="Arial" w:cs="Arial"/>
          <w:lang w:val="es-ES"/>
        </w:rPr>
        <w:t>método de cálculo del coeficiente de uniformidad de un sistema de riego, expresado por la siguiente fórmula:</w:t>
      </w:r>
      <w:r w:rsidR="00E03B3B" w:rsidRPr="00993936">
        <w:rPr>
          <w:rFonts w:ascii="Arial" w:hAnsi="Arial" w:cs="Arial"/>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412AFB" w:rsidRPr="00993936" w:rsidTr="00C8678E">
        <w:trPr>
          <w:cantSplit/>
        </w:trPr>
        <w:tc>
          <w:tcPr>
            <w:tcW w:w="921" w:type="dxa"/>
            <w:vMerge w:val="restart"/>
            <w:tcBorders>
              <w:top w:val="nil"/>
              <w:left w:val="nil"/>
              <w:bottom w:val="nil"/>
              <w:right w:val="nil"/>
            </w:tcBorders>
            <w:vAlign w:val="center"/>
          </w:tcPr>
          <w:p w:rsidR="00412AFB" w:rsidRPr="00993936" w:rsidRDefault="00412AFB" w:rsidP="00C8678E">
            <w:pPr>
              <w:jc w:val="both"/>
              <w:rPr>
                <w:rFonts w:ascii="Arial" w:hAnsi="Arial" w:cs="Arial"/>
                <w:lang w:val="es-ES"/>
              </w:rPr>
            </w:pPr>
            <w:r w:rsidRPr="00993936">
              <w:rPr>
                <w:rFonts w:ascii="Arial" w:hAnsi="Arial" w:cs="Arial"/>
                <w:lang w:val="es-ES"/>
              </w:rPr>
              <w:t xml:space="preserve">CU = </w:t>
            </w:r>
          </w:p>
        </w:tc>
        <w:tc>
          <w:tcPr>
            <w:tcW w:w="992" w:type="dxa"/>
            <w:tcBorders>
              <w:top w:val="nil"/>
              <w:left w:val="nil"/>
              <w:bottom w:val="single" w:sz="4" w:space="0" w:color="auto"/>
              <w:right w:val="nil"/>
            </w:tcBorders>
          </w:tcPr>
          <w:p w:rsidR="00412AFB" w:rsidRPr="00993936" w:rsidRDefault="00412AFB" w:rsidP="00C8678E">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25 %</w:t>
            </w:r>
          </w:p>
        </w:tc>
        <w:tc>
          <w:tcPr>
            <w:tcW w:w="992" w:type="dxa"/>
            <w:vMerge w:val="restart"/>
            <w:tcBorders>
              <w:top w:val="nil"/>
              <w:left w:val="nil"/>
              <w:bottom w:val="nil"/>
              <w:right w:val="nil"/>
            </w:tcBorders>
            <w:vAlign w:val="center"/>
          </w:tcPr>
          <w:p w:rsidR="00412AFB" w:rsidRPr="00993936" w:rsidRDefault="00412AFB" w:rsidP="00C8678E">
            <w:pPr>
              <w:jc w:val="both"/>
              <w:rPr>
                <w:rFonts w:ascii="Arial" w:hAnsi="Arial" w:cs="Arial"/>
                <w:lang w:val="es-ES"/>
              </w:rPr>
            </w:pPr>
            <w:r w:rsidRPr="00993936">
              <w:rPr>
                <w:rFonts w:ascii="Arial" w:hAnsi="Arial" w:cs="Arial"/>
                <w:lang w:val="es-ES"/>
              </w:rPr>
              <w:t>× 100</w:t>
            </w:r>
          </w:p>
        </w:tc>
      </w:tr>
      <w:tr w:rsidR="00412AFB" w:rsidRPr="00993936" w:rsidTr="00C8678E">
        <w:trPr>
          <w:cantSplit/>
        </w:trPr>
        <w:tc>
          <w:tcPr>
            <w:tcW w:w="921" w:type="dxa"/>
            <w:vMerge/>
            <w:tcBorders>
              <w:top w:val="nil"/>
              <w:left w:val="nil"/>
              <w:bottom w:val="nil"/>
              <w:right w:val="nil"/>
            </w:tcBorders>
          </w:tcPr>
          <w:p w:rsidR="00412AFB" w:rsidRPr="00993936" w:rsidRDefault="00412AFB" w:rsidP="00C8678E">
            <w:pPr>
              <w:jc w:val="both"/>
              <w:rPr>
                <w:rFonts w:ascii="Arial" w:hAnsi="Arial" w:cs="Arial"/>
                <w:lang w:val="es-ES"/>
              </w:rPr>
            </w:pPr>
          </w:p>
        </w:tc>
        <w:tc>
          <w:tcPr>
            <w:tcW w:w="992" w:type="dxa"/>
            <w:tcBorders>
              <w:top w:val="single" w:sz="4" w:space="0" w:color="auto"/>
              <w:left w:val="nil"/>
              <w:bottom w:val="nil"/>
              <w:right w:val="nil"/>
            </w:tcBorders>
          </w:tcPr>
          <w:p w:rsidR="00412AFB" w:rsidRPr="00993936" w:rsidRDefault="00412AFB" w:rsidP="00C8678E">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n</w:t>
            </w:r>
          </w:p>
        </w:tc>
        <w:tc>
          <w:tcPr>
            <w:tcW w:w="992" w:type="dxa"/>
            <w:vMerge/>
            <w:tcBorders>
              <w:top w:val="nil"/>
              <w:left w:val="nil"/>
              <w:bottom w:val="nil"/>
              <w:right w:val="nil"/>
            </w:tcBorders>
          </w:tcPr>
          <w:p w:rsidR="00412AFB" w:rsidRPr="00993936" w:rsidRDefault="00412AFB" w:rsidP="00C8678E">
            <w:pPr>
              <w:jc w:val="both"/>
              <w:rPr>
                <w:rFonts w:ascii="Arial" w:hAnsi="Arial" w:cs="Arial"/>
                <w:lang w:val="es-ES"/>
              </w:rPr>
            </w:pPr>
          </w:p>
        </w:tc>
      </w:tr>
    </w:tbl>
    <w:p w:rsidR="00412AFB" w:rsidRPr="00993936" w:rsidRDefault="00412AFB" w:rsidP="00412AFB">
      <w:pPr>
        <w:jc w:val="both"/>
        <w:rPr>
          <w:rFonts w:ascii="Arial" w:hAnsi="Arial" w:cs="Arial"/>
          <w:lang w:val="es-ES"/>
        </w:rPr>
      </w:pPr>
      <w:proofErr w:type="gramStart"/>
      <w:r w:rsidRPr="00993936">
        <w:rPr>
          <w:rFonts w:ascii="Arial" w:hAnsi="Arial" w:cs="Arial"/>
          <w:lang w:val="es-ES"/>
        </w:rPr>
        <w:t>donde</w:t>
      </w:r>
      <w:proofErr w:type="gramEnd"/>
      <w:r w:rsidRPr="00993936">
        <w:rPr>
          <w:rFonts w:ascii="Arial" w:hAnsi="Arial" w:cs="Arial"/>
          <w:lang w:val="es-ES"/>
        </w:rPr>
        <w:t xml:space="preserve"> Q</w:t>
      </w:r>
      <w:r w:rsidRPr="00993936">
        <w:rPr>
          <w:rFonts w:ascii="Arial" w:hAnsi="Arial" w:cs="Arial"/>
          <w:vertAlign w:val="subscript"/>
          <w:lang w:val="es-ES"/>
        </w:rPr>
        <w:t xml:space="preserve">25 % </w:t>
      </w:r>
      <w:r w:rsidRPr="00993936">
        <w:rPr>
          <w:rFonts w:ascii="Arial" w:hAnsi="Arial" w:cs="Arial"/>
          <w:lang w:val="es-ES"/>
        </w:rPr>
        <w:t>es la media del caudal de la descarga del 25 % de los emisores del caudal más reducido;</w:t>
      </w:r>
      <w:r w:rsidR="00E03B3B" w:rsidRPr="00993936">
        <w:rPr>
          <w:rFonts w:ascii="Arial" w:hAnsi="Arial" w:cs="Arial"/>
          <w:lang w:val="es-ES"/>
        </w:rPr>
        <w:t xml:space="preserve"> </w:t>
      </w:r>
      <w:r w:rsidRPr="00993936">
        <w:rPr>
          <w:rFonts w:ascii="Arial" w:hAnsi="Arial" w:cs="Arial"/>
          <w:lang w:val="es-ES"/>
        </w:rPr>
        <w:t>Q</w:t>
      </w:r>
      <w:r w:rsidRPr="00993936">
        <w:rPr>
          <w:rFonts w:ascii="Arial" w:hAnsi="Arial" w:cs="Arial"/>
          <w:vertAlign w:val="subscript"/>
          <w:lang w:val="es-ES"/>
        </w:rPr>
        <w:t>n</w:t>
      </w:r>
      <w:r w:rsidRPr="00993936">
        <w:rPr>
          <w:rFonts w:ascii="Arial" w:hAnsi="Arial" w:cs="Arial"/>
          <w:lang w:val="es-ES"/>
        </w:rPr>
        <w:t xml:space="preserve"> es el caudal medio de todos los emisores y n, el número de unidades o puntos de control (se recomienda que </w:t>
      </w:r>
      <w:r w:rsidR="001C3311" w:rsidRPr="00993936">
        <w:rPr>
          <w:rFonts w:ascii="Arial" w:hAnsi="Arial" w:cs="Arial"/>
          <w:lang w:val="es-ES"/>
        </w:rPr>
        <w:t>n ≥ 16</w:t>
      </w:r>
      <w:r w:rsidRPr="00993936">
        <w:rPr>
          <w:rFonts w:ascii="Arial" w:hAnsi="Arial" w:cs="Arial"/>
          <w:lang w:val="es-ES"/>
        </w:rPr>
        <w:t>). En caso de que la unidad de control tenga más de un emisor, el caudal total que hay que considerar será la suma del caudal de todos los emisores que constituyen la unidad.</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 operadora: </w:t>
      </w:r>
      <w:r w:rsidRPr="00993936">
        <w:rPr>
          <w:rFonts w:ascii="Arial" w:hAnsi="Arial" w:cs="Arial"/>
          <w:lang w:val="es-ES"/>
        </w:rPr>
        <w:t>toda persona física o jurídica que obtiene, manipula, elabora, envasa, etiqueta, almacena o comercializa productos vegetales en las condiciones que establece esta disposición y que, como tal, figura inscrito en el Registro del Consejo Catalán de la Producción Integrada.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 operadora individual: </w:t>
      </w:r>
      <w:r w:rsidRPr="00993936">
        <w:rPr>
          <w:rFonts w:ascii="Arial" w:hAnsi="Arial" w:cs="Arial"/>
          <w:lang w:val="es-ES"/>
        </w:rPr>
        <w:t xml:space="preserve">aquella persona operadora que no está agrupada bajo ninguna forma de agrupación de producción integrada. </w:t>
      </w:r>
    </w:p>
    <w:p w:rsidR="00412AFB" w:rsidRPr="00993936" w:rsidRDefault="00412AFB" w:rsidP="00412AFB">
      <w:pPr>
        <w:jc w:val="both"/>
        <w:rPr>
          <w:rFonts w:ascii="Arial" w:hAnsi="Arial" w:cs="Arial"/>
          <w:lang w:val="es-ES"/>
        </w:rPr>
      </w:pPr>
      <w:r w:rsidRPr="00993936">
        <w:rPr>
          <w:rFonts w:ascii="Arial" w:hAnsi="Arial" w:cs="Arial"/>
          <w:i/>
          <w:lang w:val="es-ES"/>
        </w:rPr>
        <w:t xml:space="preserve">Parcela: </w:t>
      </w:r>
      <w:r w:rsidRPr="00993936">
        <w:rPr>
          <w:rFonts w:ascii="Arial" w:hAnsi="Arial" w:cs="Arial"/>
          <w:lang w:val="es-ES"/>
        </w:rPr>
        <w:t>superficie continua de terreno geográficamente definida e inscrita en el Registro catastral a nombre de uno o más titulares, donde la persona operadora realiza las prácticas de producción integrada.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Pérdidas técnicas de nutrientes: </w:t>
      </w:r>
      <w:r w:rsidRPr="00993936">
        <w:rPr>
          <w:rFonts w:ascii="Arial" w:hAnsi="Arial" w:cs="Arial"/>
          <w:lang w:val="es-ES"/>
        </w:rPr>
        <w:t>son las que se deben a la falta de incorporación de elementos nutritivos en la planta como consecuencia de errores de homogeneidad en la aportación, extracción de vegetación adventicia, lixiviación, pérdida de asimilabilidad por antagonismos, transformación en compuestos orgánicos, precipitación o insolubilización de elementos minerales o cualquier otro factor biótico.</w:t>
      </w:r>
    </w:p>
    <w:p w:rsidR="00412AFB" w:rsidRPr="00993936" w:rsidRDefault="00412AFB" w:rsidP="00412AFB">
      <w:pPr>
        <w:jc w:val="both"/>
        <w:rPr>
          <w:rFonts w:ascii="Arial" w:hAnsi="Arial" w:cs="Arial"/>
          <w:lang w:val="es-ES"/>
        </w:rPr>
      </w:pPr>
      <w:r w:rsidRPr="00993936">
        <w:rPr>
          <w:rFonts w:ascii="Arial" w:hAnsi="Arial" w:cs="Arial"/>
          <w:i/>
          <w:lang w:val="es-ES"/>
        </w:rPr>
        <w:lastRenderedPageBreak/>
        <w:t xml:space="preserve">Personal técnico competente: </w:t>
      </w:r>
      <w:r w:rsidRPr="00993936">
        <w:rPr>
          <w:rFonts w:ascii="Arial" w:hAnsi="Arial" w:cs="Arial"/>
          <w:lang w:val="es-ES"/>
        </w:rPr>
        <w:t>Conjunto de personas físicas que prestan servicios técnicos de asistencia a la producción integrada y que cuentan con titulación universitaria de grado medio o superior, de acuerdo con lo especificado en el artículo 11.1 del Decreto 241/2002.</w:t>
      </w:r>
    </w:p>
    <w:p w:rsidR="00412AFB" w:rsidRPr="00993936" w:rsidRDefault="00412AFB" w:rsidP="00412AFB">
      <w:pPr>
        <w:jc w:val="both"/>
        <w:rPr>
          <w:rFonts w:ascii="Arial" w:hAnsi="Arial" w:cs="Arial"/>
          <w:lang w:val="es-ES"/>
        </w:rPr>
      </w:pPr>
      <w:r w:rsidRPr="00993936">
        <w:rPr>
          <w:rFonts w:ascii="Arial" w:hAnsi="Arial" w:cs="Arial"/>
          <w:i/>
          <w:lang w:val="es-ES"/>
        </w:rPr>
        <w:t xml:space="preserve">Producción integrada: </w:t>
      </w:r>
      <w:r w:rsidRPr="00993936">
        <w:rPr>
          <w:rFonts w:ascii="Arial" w:hAnsi="Arial" w:cs="Arial"/>
          <w:lang w:val="es-ES"/>
        </w:rPr>
        <w:t>el sistema agrario de producción y obtención de alimentos de calidad, frescos o transformados, y otros productos, que prioriza la utilización de los recursos y mecanismos de regulación naturales, con el objeto de optimizar los métodos de producción, evitar las aportaciones perjudiciales al medio ambiente y asegurar a largo plazo una agricultura y una ganadería sostenibles.</w:t>
      </w:r>
      <w:r w:rsidRPr="00993936" w:rsidDel="007F4AB2">
        <w:rPr>
          <w:rFonts w:ascii="Arial" w:hAnsi="Arial" w:cs="Arial"/>
          <w:lang w:val="es-ES"/>
        </w:rPr>
        <w:t xml:space="preserve"> </w:t>
      </w:r>
    </w:p>
    <w:p w:rsidR="00412AFB" w:rsidRPr="00993936" w:rsidRDefault="00412AFB" w:rsidP="00412AFB">
      <w:pPr>
        <w:jc w:val="both"/>
        <w:rPr>
          <w:rFonts w:ascii="Arial" w:hAnsi="Arial" w:cs="Arial"/>
          <w:lang w:val="es-ES"/>
        </w:rPr>
      </w:pPr>
      <w:r w:rsidRPr="00993936">
        <w:rPr>
          <w:rFonts w:ascii="Arial" w:hAnsi="Arial" w:cs="Arial"/>
          <w:i/>
          <w:lang w:val="es-ES"/>
        </w:rPr>
        <w:t xml:space="preserve">Cuaderno de conservación/poscosecha: </w:t>
      </w:r>
      <w:r w:rsidRPr="00993936">
        <w:rPr>
          <w:rFonts w:ascii="Arial" w:hAnsi="Arial" w:cs="Arial"/>
          <w:lang w:val="es-ES"/>
        </w:rPr>
        <w:t>documento donde se registran los datos relativos a las instalaciones de los productos vegetales, mediante el cual es posible hacer un seguimiento detallado de todas las operaciones de recepción, manipulado, almacenamiento, envasado y expedición de cereales.</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Cuaderno de explotación: </w:t>
      </w:r>
      <w:r w:rsidRPr="00993936">
        <w:rPr>
          <w:rFonts w:ascii="Arial" w:hAnsi="Arial" w:cs="Arial"/>
          <w:lang w:val="es-ES"/>
        </w:rPr>
        <w:t>documento donde se registran los datos relativos a una parcela o agrupación de parcelas de cultivo (véase la definición de la unidad homogénea de cultivo), mediante el que es posible hacer un seguimiento detallado de todas las operaciones culturales realizadas durante el ciclo de cultivo.</w:t>
      </w:r>
    </w:p>
    <w:p w:rsidR="00412AFB" w:rsidRPr="00993936" w:rsidRDefault="00412AFB" w:rsidP="00412AFB">
      <w:pPr>
        <w:jc w:val="both"/>
        <w:rPr>
          <w:rFonts w:ascii="Arial" w:hAnsi="Arial" w:cs="Arial"/>
          <w:lang w:val="es-ES"/>
        </w:rPr>
      </w:pPr>
      <w:r w:rsidRPr="00993936">
        <w:rPr>
          <w:rFonts w:ascii="Arial" w:hAnsi="Arial" w:cs="Arial"/>
          <w:i/>
          <w:lang w:val="es-ES"/>
        </w:rPr>
        <w:t xml:space="preserve">Rotación: </w:t>
      </w:r>
      <w:r w:rsidRPr="00993936">
        <w:rPr>
          <w:rFonts w:ascii="Arial" w:hAnsi="Arial" w:cs="Arial"/>
          <w:lang w:val="es-ES"/>
        </w:rPr>
        <w:t>secuencia de cultivos realizada en una parcela en un periodo de tiempo determinado.</w:t>
      </w:r>
    </w:p>
    <w:p w:rsidR="00412AFB" w:rsidRPr="00993936" w:rsidRDefault="00412AFB" w:rsidP="00412AFB">
      <w:pPr>
        <w:jc w:val="both"/>
        <w:rPr>
          <w:rFonts w:ascii="Arial" w:hAnsi="Arial" w:cs="Arial"/>
          <w:lang w:val="es-ES"/>
        </w:rPr>
      </w:pPr>
      <w:r w:rsidRPr="00993936">
        <w:rPr>
          <w:rFonts w:ascii="Arial" w:hAnsi="Arial" w:cs="Arial"/>
          <w:i/>
          <w:lang w:val="es-ES"/>
        </w:rPr>
        <w:t xml:space="preserve">Sustancias activas: </w:t>
      </w:r>
      <w:r w:rsidRPr="00993936">
        <w:rPr>
          <w:rFonts w:ascii="Arial" w:hAnsi="Arial" w:cs="Arial"/>
          <w:lang w:val="es-ES"/>
        </w:rPr>
        <w:t>las sustancias o microorganismos, incluidos los virus, que ejercen una acción general o específica contra las plagas, incluidas las enfermedades, o en vegetales, partes de vegetales o productos vegetales.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Unidad homogénea de cultivo (UHC): </w:t>
      </w:r>
      <w:r w:rsidRPr="00993936">
        <w:rPr>
          <w:rFonts w:ascii="Arial" w:hAnsi="Arial" w:cs="Arial"/>
          <w:lang w:val="es-ES"/>
        </w:rPr>
        <w:t>para cada cultivo, es la superficie de terreno que presenta unas características similares en cuanto al tipo de suelo, el sistema de riego y el tipo de cultivo, en la que se aplican operaciones culturales y técnicas de cultivo similares, así como los mismos tratamientos fitosanitarios. En caso de agrupaciones de productores, podrán existir UHC que incluyan cultivos o partes de cultivos de varios agricultores. Para cultivos protegidos, la unidad homogénea de cultivo se encontrará dentro de un mismo recinto delimitado por un tipo de protección idéntico.</w:t>
      </w:r>
    </w:p>
    <w:p w:rsidR="00412AFB" w:rsidRPr="00993936" w:rsidRDefault="00412AFB" w:rsidP="00412AFB">
      <w:pPr>
        <w:tabs>
          <w:tab w:val="left" w:pos="1815"/>
        </w:tabs>
        <w:jc w:val="both"/>
        <w:outlineLvl w:val="0"/>
        <w:rPr>
          <w:rFonts w:ascii="Arial" w:hAnsi="Arial" w:cs="Arial"/>
          <w:b/>
          <w:snapToGrid w:val="0"/>
          <w:lang w:val="es-ES"/>
        </w:rPr>
      </w:pPr>
      <w:r w:rsidRPr="00993936">
        <w:rPr>
          <w:rFonts w:ascii="Arial" w:hAnsi="Arial" w:cs="Arial"/>
          <w:b/>
          <w:snapToGrid w:val="0"/>
          <w:lang w:val="es-ES"/>
        </w:rPr>
        <w:t>I. BIODIVERSIDAD Y PRÁCTICAS DE CULTIVO</w:t>
      </w:r>
    </w:p>
    <w:p w:rsidR="00412AFB" w:rsidRPr="00993936" w:rsidRDefault="00412AFB" w:rsidP="00412AFB">
      <w:pPr>
        <w:tabs>
          <w:tab w:val="left" w:pos="1815"/>
        </w:tabs>
        <w:jc w:val="both"/>
        <w:outlineLvl w:val="0"/>
        <w:rPr>
          <w:rFonts w:ascii="Arial" w:hAnsi="Arial" w:cs="Arial"/>
          <w:snapToGrid w:val="0"/>
          <w:lang w:val="es-ES"/>
        </w:rPr>
      </w:pPr>
      <w:r w:rsidRPr="00993936">
        <w:rPr>
          <w:rFonts w:ascii="Arial" w:hAnsi="Arial" w:cs="Arial"/>
          <w:snapToGrid w:val="0"/>
          <w:lang w:val="es-ES"/>
        </w:rPr>
        <w:t>Artículo 1</w:t>
      </w:r>
      <w:r w:rsidRPr="00993936">
        <w:rPr>
          <w:rFonts w:ascii="Arial" w:hAnsi="Arial" w:cs="Arial"/>
          <w:snapToGrid w:val="0"/>
          <w:lang w:val="es-ES"/>
        </w:rPr>
        <w:tab/>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Biodiversidad</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1.1.</w:t>
      </w:r>
      <w:r w:rsidR="00CA0C28" w:rsidRPr="00993936">
        <w:rPr>
          <w:rFonts w:ascii="Arial" w:hAnsi="Arial" w:cs="Arial"/>
          <w:snapToGrid w:val="0"/>
          <w:lang w:val="es-ES"/>
        </w:rPr>
        <w:t xml:space="preserve"> </w:t>
      </w:r>
      <w:r w:rsidRPr="00993936">
        <w:rPr>
          <w:rFonts w:ascii="Arial" w:hAnsi="Arial" w:cs="Arial"/>
          <w:i/>
          <w:snapToGrid w:val="0"/>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t>1.1.1 Fomentar activamente la diversidad biológica de los niveles genéticos, específicos y del ecosistema, ya que constituye un recurso natural importante de la explotación agraria.</w:t>
      </w:r>
    </w:p>
    <w:p w:rsidR="00412AFB" w:rsidRPr="00993936" w:rsidRDefault="00412AFB" w:rsidP="00412AFB">
      <w:pPr>
        <w:pStyle w:val="Textodenotaalfinal"/>
        <w:jc w:val="both"/>
        <w:rPr>
          <w:rFonts w:ascii="Arial" w:hAnsi="Arial" w:cs="Arial"/>
          <w:sz w:val="22"/>
          <w:szCs w:val="22"/>
          <w:lang w:val="es-ES"/>
        </w:rPr>
      </w:pPr>
      <w:r w:rsidRPr="00993936">
        <w:rPr>
          <w:rFonts w:ascii="Arial" w:hAnsi="Arial" w:cs="Arial"/>
          <w:sz w:val="22"/>
          <w:szCs w:val="22"/>
          <w:lang w:val="es-ES"/>
        </w:rPr>
        <w:t xml:space="preserve">1.1.2 Fomentar y conservar un entorno de </w:t>
      </w:r>
      <w:proofErr w:type="gramStart"/>
      <w:r w:rsidRPr="00993936">
        <w:rPr>
          <w:rFonts w:ascii="Arial" w:hAnsi="Arial" w:cs="Arial"/>
          <w:sz w:val="22"/>
          <w:szCs w:val="22"/>
          <w:lang w:val="es-ES"/>
        </w:rPr>
        <w:t>la explotación agraria natural y equilibrado, con un ecosistema de plantas y animales</w:t>
      </w:r>
      <w:proofErr w:type="gramEnd"/>
      <w:r w:rsidRPr="00993936">
        <w:rPr>
          <w:rFonts w:ascii="Arial" w:hAnsi="Arial" w:cs="Arial"/>
          <w:sz w:val="22"/>
          <w:szCs w:val="22"/>
          <w:lang w:val="es-ES"/>
        </w:rPr>
        <w:t xml:space="preserve"> diversificado, identificando para cada cultivo y tipo de explotación agraria los elementos importantes de las infraestructuras ecológicas que contribuyan al mantenimiento y a la mejora de la biodiversidad biológica. Cada persona operadora productora deberá impulsar la realización de, al menos, dos opciones ecológicas que contribuyan a la mejora de la biodiversidad de </w:t>
      </w:r>
      <w:r w:rsidRPr="00993936">
        <w:rPr>
          <w:rFonts w:ascii="Arial" w:hAnsi="Arial" w:cs="Arial"/>
          <w:sz w:val="22"/>
          <w:szCs w:val="22"/>
          <w:lang w:val="es-ES"/>
        </w:rPr>
        <w:lastRenderedPageBreak/>
        <w:t>sus fincas, seleccionándolas, prioritariamente, de la lista que se describe a continuación. Si no fuera posible la realización de las opciones propuestas, la persona operadora podrá establecer una lista de alternativas, que deberán ser aprobadas por el Consejo Catalán de la Producción Integrada (CCPI), de las que, como mínimo, deberá poner en práctica dos:</w:t>
      </w:r>
    </w:p>
    <w:p w:rsidR="00412AFB" w:rsidRPr="00993936" w:rsidRDefault="00412AFB" w:rsidP="00412AFB">
      <w:pPr>
        <w:pStyle w:val="Textodenotaalfinal"/>
        <w:numPr>
          <w:ilvl w:val="0"/>
          <w:numId w:val="19"/>
        </w:numPr>
        <w:jc w:val="both"/>
        <w:rPr>
          <w:rFonts w:ascii="Arial" w:hAnsi="Arial" w:cs="Arial"/>
          <w:sz w:val="22"/>
          <w:szCs w:val="22"/>
          <w:lang w:val="es-ES"/>
        </w:rPr>
      </w:pPr>
      <w:r w:rsidRPr="00993936">
        <w:rPr>
          <w:rFonts w:ascii="Arial" w:hAnsi="Arial" w:cs="Arial"/>
          <w:sz w:val="22"/>
          <w:szCs w:val="22"/>
          <w:lang w:val="es-ES"/>
        </w:rPr>
        <w:t>Establecer un área de compensación ecológica, en la que no se apliquen plaguicidas ni fertilizantes, para aumentar la biodiversidad faunística y botánica, de al menos un 5 % de la superficie total de la explotación (excluidos los bosques). Podrán considerarse dentro de estas áreas, por ejemplo: cortavientos, márgenes de caminos, de canales, de ríos o arroyos, etc.</w:t>
      </w:r>
    </w:p>
    <w:p w:rsidR="00412AFB" w:rsidRPr="00993936" w:rsidRDefault="00412AFB" w:rsidP="00412AFB">
      <w:pPr>
        <w:pStyle w:val="Textodenotaalfinal"/>
        <w:numPr>
          <w:ilvl w:val="0"/>
          <w:numId w:val="19"/>
        </w:numPr>
        <w:jc w:val="both"/>
        <w:rPr>
          <w:rFonts w:ascii="Arial" w:hAnsi="Arial" w:cs="Arial"/>
          <w:sz w:val="22"/>
          <w:szCs w:val="22"/>
          <w:lang w:val="es-ES"/>
        </w:rPr>
      </w:pPr>
      <w:r w:rsidRPr="00993936">
        <w:rPr>
          <w:rFonts w:ascii="Arial" w:hAnsi="Arial" w:cs="Arial"/>
          <w:sz w:val="22"/>
          <w:szCs w:val="22"/>
          <w:lang w:val="es-ES"/>
        </w:rPr>
        <w:t>Se admitirá que las áreas de compensación ecológica se establezcan a nivel de organización de productores o municipal, siempre que vayan asociadas directamente a las zonas de producción.</w:t>
      </w:r>
    </w:p>
    <w:p w:rsidR="00412AFB" w:rsidRPr="00993936" w:rsidRDefault="00412AFB" w:rsidP="00412AFB">
      <w:pPr>
        <w:pStyle w:val="Textodenotaalfinal"/>
        <w:numPr>
          <w:ilvl w:val="0"/>
          <w:numId w:val="19"/>
        </w:numPr>
        <w:jc w:val="both"/>
        <w:rPr>
          <w:rFonts w:ascii="Arial" w:hAnsi="Arial" w:cs="Arial"/>
          <w:sz w:val="22"/>
          <w:szCs w:val="22"/>
          <w:lang w:val="es-ES"/>
        </w:rPr>
      </w:pPr>
      <w:r w:rsidRPr="00993936">
        <w:rPr>
          <w:rFonts w:ascii="Arial" w:hAnsi="Arial" w:cs="Arial"/>
          <w:sz w:val="22"/>
          <w:szCs w:val="22"/>
          <w:lang w:val="es-ES"/>
        </w:rPr>
        <w:t xml:space="preserve">No aplicar productos agroquímicos de síntesis sobre la vegetación espontánea de los márgenes de las parcelas y realizar su control con medios culturales. </w:t>
      </w:r>
    </w:p>
    <w:p w:rsidR="00412AFB" w:rsidRPr="00993936" w:rsidRDefault="00412AFB" w:rsidP="00412AFB">
      <w:pPr>
        <w:pStyle w:val="Textodenotaalfinal"/>
        <w:numPr>
          <w:ilvl w:val="0"/>
          <w:numId w:val="19"/>
        </w:numPr>
        <w:jc w:val="both"/>
        <w:rPr>
          <w:rFonts w:ascii="Arial" w:hAnsi="Arial" w:cs="Arial"/>
          <w:sz w:val="22"/>
          <w:szCs w:val="22"/>
          <w:lang w:val="es-ES"/>
        </w:rPr>
      </w:pPr>
      <w:r w:rsidRPr="00993936">
        <w:rPr>
          <w:rFonts w:ascii="Arial" w:hAnsi="Arial" w:cs="Arial"/>
          <w:sz w:val="22"/>
          <w:szCs w:val="22"/>
          <w:lang w:val="es-ES"/>
        </w:rPr>
        <w:t>Establecer refugios artificiales para los pájaros insectívoros.</w:t>
      </w:r>
    </w:p>
    <w:p w:rsidR="00412AFB" w:rsidRPr="00993936" w:rsidRDefault="00412AFB" w:rsidP="00412AFB">
      <w:pPr>
        <w:pStyle w:val="Textodenotaalfinal"/>
        <w:numPr>
          <w:ilvl w:val="0"/>
          <w:numId w:val="19"/>
        </w:numPr>
        <w:jc w:val="both"/>
        <w:rPr>
          <w:rFonts w:ascii="Arial" w:hAnsi="Arial" w:cs="Arial"/>
          <w:sz w:val="22"/>
          <w:szCs w:val="22"/>
          <w:lang w:val="es-ES"/>
        </w:rPr>
      </w:pPr>
      <w:r w:rsidRPr="00993936">
        <w:rPr>
          <w:rFonts w:ascii="Arial" w:hAnsi="Arial" w:cs="Arial"/>
          <w:sz w:val="22"/>
          <w:szCs w:val="22"/>
          <w:lang w:val="es-ES"/>
        </w:rPr>
        <w:t>Establecer refugios artificiales para las aves rapaces.</w:t>
      </w:r>
    </w:p>
    <w:p w:rsidR="00412AFB" w:rsidRPr="00993936" w:rsidRDefault="00412AFB" w:rsidP="00412AFB">
      <w:pPr>
        <w:pStyle w:val="Textodenotaalfinal"/>
        <w:numPr>
          <w:ilvl w:val="0"/>
          <w:numId w:val="19"/>
        </w:numPr>
        <w:jc w:val="both"/>
        <w:rPr>
          <w:rFonts w:ascii="Arial" w:hAnsi="Arial" w:cs="Arial"/>
          <w:sz w:val="22"/>
          <w:szCs w:val="22"/>
          <w:lang w:val="es-ES"/>
        </w:rPr>
      </w:pPr>
      <w:r w:rsidRPr="00993936">
        <w:rPr>
          <w:rFonts w:ascii="Arial" w:hAnsi="Arial" w:cs="Arial"/>
          <w:sz w:val="22"/>
          <w:szCs w:val="22"/>
          <w:lang w:val="es-ES"/>
        </w:rPr>
        <w:t>Establecer cortavientos en los márgenes de las parcelas, especialmente en zonas ventosas.</w:t>
      </w:r>
    </w:p>
    <w:p w:rsidR="00412AFB" w:rsidRPr="00993936" w:rsidRDefault="00412AFB" w:rsidP="00412AFB">
      <w:pPr>
        <w:pStyle w:val="Estndar"/>
        <w:numPr>
          <w:ilvl w:val="0"/>
          <w:numId w:val="19"/>
        </w:numPr>
        <w:rPr>
          <w:rFonts w:ascii="Arial" w:hAnsi="Arial" w:cs="Arial"/>
          <w:snapToGrid/>
          <w:color w:val="auto"/>
          <w:szCs w:val="22"/>
        </w:rPr>
      </w:pPr>
      <w:r w:rsidRPr="00993936">
        <w:rPr>
          <w:rFonts w:ascii="Arial" w:hAnsi="Arial" w:cs="Arial"/>
          <w:snapToGrid/>
          <w:color w:val="auto"/>
          <w:szCs w:val="22"/>
        </w:rPr>
        <w:t>Incorporar los residuos del cultivo al suelo para favorecer el incremento de la biodiversidad microbiana.</w:t>
      </w:r>
    </w:p>
    <w:p w:rsidR="00412AFB" w:rsidRPr="00993936" w:rsidRDefault="00412AFB" w:rsidP="00412AFB">
      <w:pPr>
        <w:pStyle w:val="Estndar"/>
        <w:numPr>
          <w:ilvl w:val="0"/>
          <w:numId w:val="19"/>
        </w:numPr>
        <w:rPr>
          <w:rFonts w:ascii="Arial" w:hAnsi="Arial" w:cs="Arial"/>
          <w:snapToGrid/>
          <w:color w:val="auto"/>
          <w:szCs w:val="22"/>
        </w:rPr>
      </w:pPr>
      <w:r w:rsidRPr="00993936">
        <w:rPr>
          <w:rFonts w:ascii="Arial" w:hAnsi="Arial" w:cs="Arial"/>
          <w:snapToGrid/>
          <w:color w:val="auto"/>
          <w:szCs w:val="22"/>
        </w:rPr>
        <w:t>En caso de repetición de cultivo, no cultivar el suelo durante un periodo mínimo de dos meses ni utilizar herbicidas en dicho periodo con el objeto de favorecer el desarrollo de la vegetación espontánea.</w:t>
      </w:r>
    </w:p>
    <w:p w:rsidR="00412AFB" w:rsidRPr="00993936" w:rsidRDefault="00412AFB" w:rsidP="00412AFB">
      <w:pPr>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1.2.1 En caso de que se implanten cortavientos, siempre que sea posible se realizarán con especies autóctonas, procurando mantener una diversidad de estructura y composición.</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2</w:t>
      </w:r>
    </w:p>
    <w:p w:rsidR="00412AFB" w:rsidRPr="00993936" w:rsidRDefault="00412AFB" w:rsidP="00412AFB">
      <w:pPr>
        <w:jc w:val="both"/>
        <w:rPr>
          <w:rFonts w:ascii="Arial" w:hAnsi="Arial" w:cs="Arial"/>
          <w:b/>
          <w:lang w:val="es-ES"/>
        </w:rPr>
      </w:pPr>
      <w:r w:rsidRPr="00993936">
        <w:rPr>
          <w:rFonts w:ascii="Arial" w:hAnsi="Arial" w:cs="Arial"/>
          <w:b/>
          <w:lang w:val="es-ES"/>
        </w:rPr>
        <w:t>Aspectos agronómicos generales</w:t>
      </w:r>
    </w:p>
    <w:p w:rsidR="00412AFB" w:rsidRPr="00993936" w:rsidRDefault="00412AFB" w:rsidP="00412AFB">
      <w:pPr>
        <w:jc w:val="both"/>
        <w:rPr>
          <w:rFonts w:ascii="Arial" w:hAnsi="Arial" w:cs="Arial"/>
          <w:i/>
          <w:lang w:val="es-ES"/>
        </w:rPr>
      </w:pPr>
      <w:r w:rsidRPr="00993936">
        <w:rPr>
          <w:rFonts w:ascii="Arial" w:hAnsi="Arial" w:cs="Arial"/>
          <w:i/>
          <w:lang w:val="es-ES"/>
        </w:rPr>
        <w:t>2.1.</w:t>
      </w:r>
      <w:r w:rsidR="00CA0C28" w:rsidRPr="00993936">
        <w:rPr>
          <w:rFonts w:ascii="Arial" w:hAnsi="Arial" w:cs="Arial"/>
          <w:i/>
          <w:lang w:val="es-ES"/>
        </w:rPr>
        <w:t xml:space="preserve">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2.1.1 El momento y la intensidad de las operaciones culturales deben minimizar los posibles impactos ambientales.</w:t>
      </w:r>
    </w:p>
    <w:p w:rsidR="00412AFB" w:rsidRPr="00993936" w:rsidRDefault="00412AFB" w:rsidP="00412AFB">
      <w:pPr>
        <w:pStyle w:val="Ttulo1"/>
        <w:rPr>
          <w:rFonts w:ascii="Arial" w:hAnsi="Arial" w:cs="Arial"/>
          <w:color w:val="auto"/>
          <w:sz w:val="22"/>
          <w:szCs w:val="22"/>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3</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Suelo, preparación del terreno y cultivo</w:t>
      </w:r>
    </w:p>
    <w:p w:rsidR="00412AFB" w:rsidRPr="00993936" w:rsidRDefault="00412AFB" w:rsidP="00412AFB">
      <w:pPr>
        <w:jc w:val="both"/>
        <w:rPr>
          <w:rFonts w:ascii="Arial" w:hAnsi="Arial" w:cs="Arial"/>
          <w:lang w:val="es-ES"/>
        </w:rPr>
      </w:pPr>
      <w:r w:rsidRPr="00993936">
        <w:rPr>
          <w:rFonts w:ascii="Arial" w:hAnsi="Arial" w:cs="Arial"/>
          <w:lang w:val="es-ES"/>
        </w:rPr>
        <w:t>3.1.</w:t>
      </w:r>
      <w:r w:rsidR="00CA0C28" w:rsidRPr="00993936">
        <w:rPr>
          <w:rFonts w:ascii="Arial" w:hAnsi="Arial" w:cs="Arial"/>
          <w:lang w:val="es-ES"/>
        </w:rPr>
        <w:t xml:space="preserve">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3.1.1 Examinar el perfil del suelo para hacer una estimación de la textura y la capacidad de retención de agua.</w:t>
      </w:r>
    </w:p>
    <w:p w:rsidR="00412AFB" w:rsidRPr="00993936" w:rsidRDefault="00412AFB" w:rsidP="00412AFB">
      <w:pPr>
        <w:pStyle w:val="Textoindependiente"/>
        <w:rPr>
          <w:rFonts w:cs="Arial"/>
          <w:szCs w:val="22"/>
          <w:lang w:val="es-ES"/>
        </w:rPr>
      </w:pPr>
      <w:r w:rsidRPr="00993936">
        <w:rPr>
          <w:rFonts w:cs="Arial"/>
          <w:szCs w:val="22"/>
          <w:lang w:val="es-ES"/>
        </w:rPr>
        <w:t>3.1.2 Mantener y mejorar la fertilidad del suelo mediante:</w:t>
      </w:r>
    </w:p>
    <w:p w:rsidR="00412AFB" w:rsidRPr="00993936" w:rsidRDefault="00412AFB" w:rsidP="00412AFB">
      <w:pPr>
        <w:pStyle w:val="Textoindependiente"/>
        <w:numPr>
          <w:ilvl w:val="0"/>
          <w:numId w:val="12"/>
        </w:numPr>
        <w:tabs>
          <w:tab w:val="clear" w:pos="624"/>
          <w:tab w:val="num" w:pos="720"/>
        </w:tabs>
        <w:ind w:left="720" w:hanging="360"/>
        <w:rPr>
          <w:rFonts w:cs="Arial"/>
          <w:szCs w:val="22"/>
          <w:lang w:val="es-ES"/>
        </w:rPr>
      </w:pPr>
      <w:r w:rsidRPr="00993936">
        <w:rPr>
          <w:rFonts w:cs="Arial"/>
          <w:szCs w:val="22"/>
          <w:lang w:val="es-ES"/>
        </w:rPr>
        <w:lastRenderedPageBreak/>
        <w:t xml:space="preserve">El conocimiento de los niveles de materia orgánica del suelo y la velocidad de mineralización, que se estimarán de acuerdo con el tipo de suelo y con las condiciones climáticas de la zona. </w:t>
      </w:r>
    </w:p>
    <w:p w:rsidR="00412AFB" w:rsidRPr="00993936" w:rsidRDefault="00412AFB" w:rsidP="00412AFB">
      <w:pPr>
        <w:numPr>
          <w:ilvl w:val="0"/>
          <w:numId w:val="12"/>
        </w:numPr>
        <w:spacing w:after="0" w:line="240" w:lineRule="auto"/>
        <w:jc w:val="both"/>
        <w:rPr>
          <w:rFonts w:ascii="Arial" w:hAnsi="Arial" w:cs="Arial"/>
          <w:lang w:val="es-ES"/>
        </w:rPr>
      </w:pPr>
      <w:r w:rsidRPr="00993936">
        <w:rPr>
          <w:rFonts w:ascii="Arial" w:hAnsi="Arial" w:cs="Arial"/>
          <w:lang w:val="es-ES"/>
        </w:rPr>
        <w:t>El mantenimiento de un nivel de materia orgánica del horizonte superficial del suelo de al menos un 1 %. Por debajo de este nivel, deberá aportarse al suelo todos los restos del cultivo (paja, rastrojo, etc.) y hacer un manejo de estos de acuerdo con las indicaciones del personal técnico responsable de la producción integrada.</w:t>
      </w:r>
    </w:p>
    <w:p w:rsidR="00412AFB" w:rsidRPr="00993936" w:rsidRDefault="00412AFB" w:rsidP="00412AFB">
      <w:pPr>
        <w:numPr>
          <w:ilvl w:val="0"/>
          <w:numId w:val="12"/>
        </w:numPr>
        <w:spacing w:after="0" w:line="240" w:lineRule="auto"/>
        <w:jc w:val="both"/>
        <w:rPr>
          <w:rFonts w:ascii="Arial" w:hAnsi="Arial" w:cs="Arial"/>
          <w:lang w:val="es-ES"/>
        </w:rPr>
      </w:pPr>
      <w:r w:rsidRPr="00993936">
        <w:rPr>
          <w:rFonts w:ascii="Arial" w:hAnsi="Arial" w:cs="Arial"/>
          <w:lang w:val="es-ES"/>
        </w:rPr>
        <w:t>La optimización de las propiedades biofísicas del suelo para evitar la compactación (p. ej.: dimensión de los agregados y estabilidad estructural, conductividad hidráulica, etc.), por lo que se evitará el paso de la maquinaria en condiciones de excesiva humedad del suelo, y sobre todo con máquinas arrastradas que tengan un nivel de carga muy elevado.</w:t>
      </w:r>
    </w:p>
    <w:p w:rsidR="00412AFB" w:rsidRPr="00993936" w:rsidRDefault="00412AFB" w:rsidP="00412AFB">
      <w:pPr>
        <w:numPr>
          <w:ilvl w:val="0"/>
          <w:numId w:val="12"/>
        </w:numPr>
        <w:spacing w:after="0" w:line="240" w:lineRule="auto"/>
        <w:jc w:val="both"/>
        <w:rPr>
          <w:rFonts w:ascii="Arial" w:hAnsi="Arial" w:cs="Arial"/>
          <w:lang w:val="es-ES"/>
        </w:rPr>
      </w:pPr>
      <w:r w:rsidRPr="00993936">
        <w:rPr>
          <w:rFonts w:ascii="Arial" w:hAnsi="Arial" w:cs="Arial"/>
          <w:lang w:val="es-ES"/>
        </w:rPr>
        <w:t>La protección de la superficie del suelo el máximo de tiempo posible en zonas con peligro de erosión y durante los periodos sin cultivo, mediante el mantenimiento de una cubierta vegetal o los restos de cosecha.</w:t>
      </w:r>
    </w:p>
    <w:p w:rsidR="00412AFB" w:rsidRPr="00993936" w:rsidRDefault="00412AFB" w:rsidP="00412AFB">
      <w:pPr>
        <w:numPr>
          <w:ilvl w:val="0"/>
          <w:numId w:val="12"/>
        </w:numPr>
        <w:spacing w:after="0" w:line="240" w:lineRule="auto"/>
        <w:jc w:val="both"/>
        <w:rPr>
          <w:rFonts w:ascii="Arial" w:hAnsi="Arial" w:cs="Arial"/>
          <w:lang w:val="es-ES"/>
        </w:rPr>
      </w:pPr>
      <w:r w:rsidRPr="00993936">
        <w:rPr>
          <w:rFonts w:ascii="Arial" w:hAnsi="Arial" w:cs="Arial"/>
          <w:lang w:val="es-ES"/>
        </w:rPr>
        <w:t>Las operaciones del cultivo tenderán a la mínima perturbación física o química del suelo.</w:t>
      </w:r>
    </w:p>
    <w:p w:rsidR="00412AFB" w:rsidRPr="00993936" w:rsidRDefault="00412AFB" w:rsidP="00412AFB">
      <w:pPr>
        <w:jc w:val="both"/>
        <w:rPr>
          <w:rFonts w:ascii="Arial" w:hAnsi="Arial" w:cs="Arial"/>
          <w:lang w:val="es-ES"/>
        </w:rPr>
      </w:pPr>
      <w:r w:rsidRPr="00993936">
        <w:rPr>
          <w:rFonts w:ascii="Arial" w:hAnsi="Arial" w:cs="Arial"/>
          <w:lang w:val="es-ES"/>
        </w:rPr>
        <w:t>3.1.3 Los trabajos de campo se realizarán respetando al máximo la estructura del suelo, evitando la escorrentía superficial y el encharcamiento. También se tendrá en cuenta la pendiente del suelo para su adecuada conservación, adaptando las dimensiones y características de las obras de conservación (terrazas, bancales, lomas) con el fin de evitar fenómenos de erosión. Las técnicas de cultivo utilizadas serán las adecuadas para reducir el consumo energético.</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3.2 </w:t>
      </w:r>
      <w:r w:rsidRPr="00993936">
        <w:rPr>
          <w:rFonts w:ascii="Arial" w:hAnsi="Arial" w:cs="Arial"/>
          <w:i/>
          <w:lang w:val="es-ES"/>
        </w:rPr>
        <w:t>Prohibiciones</w:t>
      </w:r>
    </w:p>
    <w:p w:rsidR="00412AFB" w:rsidRPr="00993936" w:rsidRDefault="00412AFB" w:rsidP="00412AFB">
      <w:pPr>
        <w:pStyle w:val="Textoindependiente"/>
        <w:rPr>
          <w:rFonts w:cs="Arial"/>
          <w:szCs w:val="22"/>
          <w:lang w:val="es-ES"/>
        </w:rPr>
      </w:pPr>
      <w:r w:rsidRPr="00993936">
        <w:rPr>
          <w:rFonts w:cs="Arial"/>
          <w:szCs w:val="22"/>
          <w:lang w:val="es-ES"/>
        </w:rPr>
        <w:t xml:space="preserve">3.2.1 Desinfectar químicamente el suelo. </w:t>
      </w:r>
    </w:p>
    <w:p w:rsidR="00412AFB" w:rsidRPr="00993936" w:rsidRDefault="00412AFB" w:rsidP="00412AFB">
      <w:pPr>
        <w:pStyle w:val="Textoindependiente"/>
        <w:rPr>
          <w:rFonts w:cs="Arial"/>
          <w:szCs w:val="22"/>
          <w:lang w:val="es-ES"/>
        </w:rPr>
      </w:pPr>
      <w:r w:rsidRPr="00993936">
        <w:rPr>
          <w:rFonts w:cs="Arial"/>
          <w:szCs w:val="22"/>
          <w:lang w:val="es-ES"/>
        </w:rPr>
        <w:t>3.2.2 Trabajar el suelo en el sentido de la pendiente en parcelas con pendientes superiores al 10 % y también efectuar trabajos preparatorios que alteren los horizontes del suelo.</w:t>
      </w:r>
    </w:p>
    <w:p w:rsidR="00412AFB" w:rsidRPr="00993936" w:rsidRDefault="00412AFB" w:rsidP="00412AFB">
      <w:pPr>
        <w:jc w:val="both"/>
        <w:rPr>
          <w:rFonts w:ascii="Arial" w:hAnsi="Arial" w:cs="Arial"/>
          <w:lang w:val="es-ES"/>
        </w:rPr>
      </w:pPr>
      <w:r w:rsidRPr="00993936">
        <w:rPr>
          <w:rFonts w:ascii="Arial" w:hAnsi="Arial" w:cs="Arial"/>
          <w:lang w:val="es-ES"/>
        </w:rPr>
        <w:t>3.2.3 La utilización sistemática y permanente de herramientas agrícolas (cavadoras, discos, etc.) que destruyan la estructura del suelo y favorezcan la formación de un estrato o zona de compactación.</w:t>
      </w:r>
    </w:p>
    <w:p w:rsidR="00412AFB" w:rsidRPr="00993936" w:rsidRDefault="00412AFB" w:rsidP="00412AFB">
      <w:pPr>
        <w:pStyle w:val="Textoindependiente"/>
        <w:outlineLvl w:val="0"/>
        <w:rPr>
          <w:rFonts w:cs="Arial"/>
          <w:i/>
          <w:szCs w:val="22"/>
          <w:lang w:val="es-ES"/>
        </w:rPr>
      </w:pPr>
      <w:r w:rsidRPr="00993936">
        <w:rPr>
          <w:rFonts w:cs="Arial"/>
          <w:szCs w:val="22"/>
          <w:lang w:val="es-ES"/>
        </w:rPr>
        <w:t xml:space="preserve">3.3 </w:t>
      </w:r>
      <w:r w:rsidRPr="00993936">
        <w:rPr>
          <w:rFonts w:cs="Arial"/>
          <w:i/>
          <w:szCs w:val="22"/>
          <w:lang w:val="es-ES"/>
        </w:rPr>
        <w:t>Recomendaciones</w:t>
      </w:r>
    </w:p>
    <w:p w:rsidR="00412AFB" w:rsidRPr="00993936" w:rsidRDefault="00412AFB" w:rsidP="00412AFB">
      <w:pPr>
        <w:pStyle w:val="Textoindependiente"/>
        <w:rPr>
          <w:rFonts w:cs="Arial"/>
          <w:szCs w:val="22"/>
          <w:lang w:val="es-ES"/>
        </w:rPr>
      </w:pPr>
      <w:r w:rsidRPr="00993936">
        <w:rPr>
          <w:rFonts w:cs="Arial"/>
          <w:szCs w:val="22"/>
          <w:lang w:val="es-ES"/>
        </w:rPr>
        <w:t xml:space="preserve">3.3.1 No realizar el cultivo en zonas con factores limitantes: encharcamientos, salinidad, capa freática alta, poca profundidad. </w:t>
      </w:r>
    </w:p>
    <w:p w:rsidR="00412AFB" w:rsidRPr="00993936" w:rsidRDefault="00412AFB" w:rsidP="00412AFB">
      <w:pPr>
        <w:pStyle w:val="Textoindependiente"/>
        <w:rPr>
          <w:rFonts w:cs="Arial"/>
          <w:szCs w:val="22"/>
          <w:lang w:val="es-ES"/>
        </w:rPr>
      </w:pPr>
      <w:r w:rsidRPr="00993936">
        <w:rPr>
          <w:rFonts w:cs="Arial"/>
          <w:szCs w:val="22"/>
          <w:lang w:val="es-ES"/>
        </w:rPr>
        <w:t>3.3.2 Lograr, mediante las correspondientes aportaciones orgánicas, un nivel de al menos el 1,5 % de materia orgánica.</w:t>
      </w:r>
    </w:p>
    <w:p w:rsidR="00412AFB" w:rsidRPr="00993936" w:rsidRDefault="00412AFB" w:rsidP="00412AFB">
      <w:pPr>
        <w:pStyle w:val="Textoindependiente"/>
        <w:rPr>
          <w:rFonts w:cs="Arial"/>
          <w:szCs w:val="22"/>
          <w:lang w:val="es-ES"/>
        </w:rPr>
      </w:pPr>
      <w:r w:rsidRPr="00993936">
        <w:rPr>
          <w:rFonts w:cs="Arial"/>
          <w:szCs w:val="22"/>
          <w:lang w:val="es-ES"/>
        </w:rPr>
        <w:t>3.3.3 En zonas con elevado riesgo de erosión, cultivar el suelo en curvas de nivel o bien con terrazas, realizar la siembra directa o el cultivo de conservación.</w:t>
      </w:r>
    </w:p>
    <w:p w:rsidR="00412AFB" w:rsidRPr="00993936" w:rsidRDefault="00412AFB" w:rsidP="00412AFB">
      <w:pPr>
        <w:pStyle w:val="Textoindependiente"/>
        <w:rPr>
          <w:rFonts w:cs="Arial"/>
          <w:szCs w:val="22"/>
          <w:lang w:val="es-ES"/>
        </w:rPr>
      </w:pPr>
      <w:r w:rsidRPr="00993936">
        <w:rPr>
          <w:rFonts w:cs="Arial"/>
          <w:szCs w:val="22"/>
          <w:lang w:val="es-ES"/>
        </w:rPr>
        <w:t>3.3.4 En zonas con elevado riesgo de lavado de nitratos, y especialmente en las zonas vulnerables, mantener antes de los cultivos de primavera una cubierta vegetal apropiada con una adecuada capacidad de absorción de nitrógeno.</w:t>
      </w:r>
    </w:p>
    <w:p w:rsidR="00412AFB" w:rsidRPr="00993936" w:rsidRDefault="00412AFB" w:rsidP="00412AFB">
      <w:pPr>
        <w:tabs>
          <w:tab w:val="left" w:pos="6848"/>
        </w:tabs>
        <w:jc w:val="both"/>
        <w:rPr>
          <w:rFonts w:ascii="Arial" w:hAnsi="Arial" w:cs="Arial"/>
          <w:lang w:val="es-ES"/>
        </w:rPr>
      </w:pPr>
      <w:r w:rsidRPr="00993936">
        <w:rPr>
          <w:rFonts w:ascii="Arial" w:hAnsi="Arial" w:cs="Arial"/>
          <w:lang w:val="es-ES"/>
        </w:rPr>
        <w:t>3.3.5 La información sobre el tipo de suelo podrá ser extraída del mapa detallado de suelos de Cataluña, en caso de que exista.</w:t>
      </w:r>
    </w:p>
    <w:p w:rsidR="00412AFB" w:rsidRPr="00993936" w:rsidRDefault="00412AFB" w:rsidP="00412AFB">
      <w:pPr>
        <w:tabs>
          <w:tab w:val="left" w:pos="6848"/>
        </w:tabs>
        <w:jc w:val="both"/>
        <w:rPr>
          <w:rFonts w:ascii="Arial" w:hAnsi="Arial" w:cs="Arial"/>
          <w:lang w:val="es-ES"/>
        </w:rPr>
      </w:pPr>
      <w:r w:rsidRPr="00993936">
        <w:rPr>
          <w:rFonts w:ascii="Arial" w:hAnsi="Arial" w:cs="Arial"/>
          <w:lang w:val="es-ES"/>
        </w:rPr>
        <w:t xml:space="preserve">3.3.6 Para cultivar el suelo, alternar los trabajos de campo que hacen un volteo (gradas de discos, fresa, etc.) con los que únicamente remueven la tierra (cultivador, chisel, subsolador, etc.). </w:t>
      </w:r>
    </w:p>
    <w:p w:rsidR="00412AFB" w:rsidRPr="00993936" w:rsidRDefault="00412AFB" w:rsidP="00412AFB">
      <w:pPr>
        <w:pStyle w:val="Ttulo3"/>
        <w:rPr>
          <w:rFonts w:ascii="Arial" w:hAnsi="Arial" w:cs="Arial"/>
          <w:b/>
          <w:color w:val="auto"/>
          <w:sz w:val="22"/>
          <w:szCs w:val="22"/>
          <w:lang w:val="es-ES"/>
        </w:rPr>
      </w:pPr>
    </w:p>
    <w:p w:rsidR="00412AFB" w:rsidRPr="00993936" w:rsidRDefault="00412AFB" w:rsidP="00412AFB">
      <w:pPr>
        <w:pStyle w:val="Ttulo3"/>
        <w:rPr>
          <w:rFonts w:ascii="Arial" w:hAnsi="Arial" w:cs="Arial"/>
          <w:b/>
          <w:color w:val="auto"/>
          <w:sz w:val="22"/>
          <w:szCs w:val="22"/>
          <w:lang w:val="es-ES"/>
        </w:rPr>
      </w:pPr>
      <w:r w:rsidRPr="00993936">
        <w:rPr>
          <w:rFonts w:ascii="Arial" w:hAnsi="Arial" w:cs="Arial"/>
          <w:color w:val="auto"/>
          <w:sz w:val="22"/>
          <w:szCs w:val="22"/>
          <w:lang w:val="es-ES"/>
        </w:rPr>
        <w:t>Artículo 4</w:t>
      </w:r>
    </w:p>
    <w:p w:rsidR="00412AFB" w:rsidRPr="00993936" w:rsidRDefault="00412AFB" w:rsidP="00412AFB">
      <w:pPr>
        <w:pStyle w:val="Ttulo3"/>
        <w:rPr>
          <w:rFonts w:ascii="Arial" w:hAnsi="Arial" w:cs="Arial"/>
          <w:b/>
          <w:color w:val="auto"/>
          <w:sz w:val="22"/>
          <w:szCs w:val="22"/>
          <w:lang w:val="es-ES"/>
        </w:rPr>
      </w:pPr>
      <w:r w:rsidRPr="00993936">
        <w:rPr>
          <w:rFonts w:ascii="Arial" w:hAnsi="Arial" w:cs="Arial"/>
          <w:b/>
          <w:color w:val="auto"/>
          <w:sz w:val="22"/>
          <w:szCs w:val="22"/>
          <w:lang w:val="es-ES"/>
        </w:rPr>
        <w:t>Material vegetal y siembra</w:t>
      </w:r>
    </w:p>
    <w:p w:rsidR="00412AFB" w:rsidRPr="00993936" w:rsidRDefault="00412AFB" w:rsidP="00412AFB">
      <w:pPr>
        <w:jc w:val="both"/>
        <w:rPr>
          <w:rFonts w:ascii="Arial" w:hAnsi="Arial" w:cs="Arial"/>
          <w:lang w:val="es-ES"/>
        </w:rPr>
      </w:pPr>
      <w:r w:rsidRPr="00993936">
        <w:rPr>
          <w:rFonts w:ascii="Arial" w:hAnsi="Arial" w:cs="Arial"/>
          <w:lang w:val="es-ES"/>
        </w:rPr>
        <w:t>4.1.</w:t>
      </w:r>
      <w:r w:rsidR="00CA0C28" w:rsidRPr="00993936">
        <w:rPr>
          <w:rFonts w:ascii="Arial" w:hAnsi="Arial" w:cs="Arial"/>
          <w:lang w:val="es-ES"/>
        </w:rPr>
        <w:t xml:space="preserve">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4.1.1 Utilizar semillas procedentes de productores oficialmente autorizados y certificadas. Conservar las facturas de compra y una muestra de las etiquetas durante un mínimo de cuatro años.</w:t>
      </w:r>
    </w:p>
    <w:p w:rsidR="00412AFB" w:rsidRPr="00993936" w:rsidRDefault="00412AFB" w:rsidP="00412AFB">
      <w:pPr>
        <w:pStyle w:val="Textoindependiente"/>
        <w:rPr>
          <w:rFonts w:cs="Arial"/>
          <w:szCs w:val="22"/>
          <w:lang w:val="es-ES"/>
        </w:rPr>
      </w:pPr>
      <w:r w:rsidRPr="00993936">
        <w:rPr>
          <w:rFonts w:cs="Arial"/>
          <w:szCs w:val="22"/>
          <w:lang w:val="es-ES"/>
        </w:rPr>
        <w:t>4.1.2 Anotar en el cuaderno de explotación, para cada parcela, la variedad sembrada, la dosis y categoría de la semilla utilizada y el tratamiento químico al que ha sido sometida.</w:t>
      </w:r>
    </w:p>
    <w:p w:rsidR="00412AFB" w:rsidRPr="00993936" w:rsidRDefault="00412AFB" w:rsidP="00412AFB">
      <w:pPr>
        <w:pStyle w:val="Textoindependiente"/>
        <w:rPr>
          <w:rFonts w:cs="Arial"/>
          <w:szCs w:val="22"/>
          <w:lang w:val="es-ES"/>
        </w:rPr>
      </w:pPr>
      <w:r w:rsidRPr="00993936">
        <w:rPr>
          <w:rFonts w:cs="Arial"/>
          <w:szCs w:val="22"/>
          <w:lang w:val="es-ES"/>
        </w:rPr>
        <w:t>4.1.3 Registrar en el cuaderno de explotación las fechas de siembra de cada especie y variedad, y sembrar en las fechas recomendadas para cada variedad.</w:t>
      </w:r>
    </w:p>
    <w:p w:rsidR="00412AFB" w:rsidRPr="00993936" w:rsidRDefault="00412AFB" w:rsidP="00412AFB">
      <w:pPr>
        <w:pStyle w:val="Textoindependiente"/>
        <w:rPr>
          <w:rFonts w:cs="Arial"/>
          <w:szCs w:val="22"/>
          <w:lang w:val="es-ES"/>
        </w:rPr>
      </w:pPr>
      <w:r w:rsidRPr="00993936">
        <w:rPr>
          <w:rFonts w:cs="Arial"/>
          <w:szCs w:val="22"/>
          <w:lang w:val="es-ES"/>
        </w:rPr>
        <w:t xml:space="preserve"> 4.2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4.2.1 Para realizar la producción integrada de cereales de invierno se escogerán preferentemente las variedades más adecuadas a la zona y al periodo de cultivo, en virtud de las recomendaciones oficiales de variedades de los organismos públicos correspondientes antes de cada campaña y para cada una de las zonas productoras. </w:t>
      </w:r>
    </w:p>
    <w:p w:rsidR="00412AFB" w:rsidRPr="00993936" w:rsidRDefault="00412AFB" w:rsidP="00412AFB">
      <w:pPr>
        <w:jc w:val="both"/>
        <w:rPr>
          <w:rFonts w:ascii="Arial" w:hAnsi="Arial" w:cs="Arial"/>
          <w:lang w:val="es-ES"/>
        </w:rPr>
      </w:pPr>
      <w:r w:rsidRPr="00993936">
        <w:rPr>
          <w:rFonts w:ascii="Arial" w:hAnsi="Arial" w:cs="Arial"/>
          <w:lang w:val="es-ES"/>
        </w:rPr>
        <w:t xml:space="preserve">4.2.2 Las dosis de siembra serán las recomendadas para cada variedad y se situarán dentro de los siguientes intervalos: </w:t>
      </w:r>
    </w:p>
    <w:p w:rsidR="00412AFB" w:rsidRPr="00993936" w:rsidRDefault="00412AFB" w:rsidP="00412AFB">
      <w:pPr>
        <w:numPr>
          <w:ilvl w:val="0"/>
          <w:numId w:val="18"/>
        </w:numPr>
        <w:spacing w:after="0" w:line="240" w:lineRule="auto"/>
        <w:rPr>
          <w:rFonts w:ascii="Arial" w:hAnsi="Arial" w:cs="Arial"/>
          <w:lang w:val="es-ES"/>
        </w:rPr>
      </w:pPr>
      <w:r w:rsidRPr="00993936">
        <w:rPr>
          <w:rFonts w:ascii="Arial" w:hAnsi="Arial" w:cs="Arial"/>
          <w:lang w:val="es-ES"/>
        </w:rPr>
        <w:t>Maíz en secano:</w:t>
      </w:r>
      <w:r w:rsidRPr="00993936">
        <w:rPr>
          <w:rFonts w:ascii="Arial" w:hAnsi="Arial" w:cs="Arial"/>
          <w:lang w:val="es-ES"/>
        </w:rPr>
        <w:tab/>
      </w:r>
      <w:r w:rsidR="00D74508" w:rsidRPr="00993936">
        <w:rPr>
          <w:rFonts w:ascii="Arial" w:hAnsi="Arial" w:cs="Arial"/>
          <w:lang w:val="es-ES"/>
        </w:rPr>
        <w:t xml:space="preserve"> </w:t>
      </w:r>
      <w:smartTag w:uri="urn:schemas-microsoft-com:office:smarttags" w:element="metricconverter">
        <w:smartTagPr>
          <w:attr w:name="ProductID" w:val="60.000 a"/>
        </w:smartTagPr>
        <w:r w:rsidRPr="00993936">
          <w:rPr>
            <w:rFonts w:ascii="Arial" w:hAnsi="Arial" w:cs="Arial"/>
            <w:lang w:val="es-ES"/>
          </w:rPr>
          <w:t>60.000 a</w:t>
        </w:r>
      </w:smartTag>
      <w:r w:rsidRPr="00993936">
        <w:rPr>
          <w:rFonts w:ascii="Arial" w:hAnsi="Arial" w:cs="Arial"/>
          <w:lang w:val="es-ES"/>
        </w:rPr>
        <w:t xml:space="preserve"> 80.000 semillas/ha</w:t>
      </w:r>
    </w:p>
    <w:p w:rsidR="00412AFB" w:rsidRPr="00993936" w:rsidRDefault="00412AFB" w:rsidP="00412AFB">
      <w:pPr>
        <w:numPr>
          <w:ilvl w:val="0"/>
          <w:numId w:val="18"/>
        </w:numPr>
        <w:spacing w:after="0" w:line="240" w:lineRule="auto"/>
        <w:rPr>
          <w:rFonts w:ascii="Arial" w:hAnsi="Arial" w:cs="Arial"/>
          <w:lang w:val="es-ES"/>
        </w:rPr>
      </w:pPr>
      <w:r w:rsidRPr="00993936">
        <w:rPr>
          <w:rFonts w:ascii="Arial" w:hAnsi="Arial" w:cs="Arial"/>
          <w:lang w:val="es-ES"/>
        </w:rPr>
        <w:t>Maíz en regadío:</w:t>
      </w:r>
      <w:r w:rsidRPr="00993936">
        <w:rPr>
          <w:rFonts w:ascii="Arial" w:hAnsi="Arial" w:cs="Arial"/>
          <w:lang w:val="es-ES"/>
        </w:rPr>
        <w:tab/>
      </w:r>
      <w:r w:rsidR="00D74508" w:rsidRPr="00993936">
        <w:rPr>
          <w:rFonts w:ascii="Arial" w:hAnsi="Arial" w:cs="Arial"/>
          <w:lang w:val="es-ES"/>
        </w:rPr>
        <w:t xml:space="preserve"> </w:t>
      </w:r>
      <w:smartTag w:uri="urn:schemas-microsoft-com:office:smarttags" w:element="metricconverter">
        <w:smartTagPr>
          <w:attr w:name="ProductID" w:val="75.000 a"/>
        </w:smartTagPr>
        <w:r w:rsidRPr="00993936">
          <w:rPr>
            <w:rFonts w:ascii="Arial" w:hAnsi="Arial" w:cs="Arial"/>
            <w:lang w:val="es-ES"/>
          </w:rPr>
          <w:t>75.000 a</w:t>
        </w:r>
      </w:smartTag>
      <w:r w:rsidRPr="00993936">
        <w:rPr>
          <w:rFonts w:ascii="Arial" w:hAnsi="Arial" w:cs="Arial"/>
          <w:lang w:val="es-ES"/>
        </w:rPr>
        <w:t xml:space="preserve"> 90.000 semillas/ha</w:t>
      </w:r>
    </w:p>
    <w:p w:rsidR="00412AFB" w:rsidRPr="00993936" w:rsidRDefault="00412AFB" w:rsidP="00D74508">
      <w:pPr>
        <w:numPr>
          <w:ilvl w:val="0"/>
          <w:numId w:val="18"/>
        </w:numPr>
        <w:spacing w:after="0" w:line="240" w:lineRule="auto"/>
        <w:rPr>
          <w:rFonts w:ascii="Arial" w:hAnsi="Arial" w:cs="Arial"/>
          <w:lang w:val="es-ES"/>
        </w:rPr>
      </w:pPr>
      <w:r w:rsidRPr="00993936">
        <w:rPr>
          <w:rFonts w:ascii="Arial" w:hAnsi="Arial" w:cs="Arial"/>
          <w:lang w:val="es-ES"/>
        </w:rPr>
        <w:t>Sorgo en secano:</w:t>
      </w:r>
      <w:r w:rsidRPr="00993936">
        <w:rPr>
          <w:rFonts w:ascii="Arial" w:hAnsi="Arial" w:cs="Arial"/>
          <w:lang w:val="es-ES"/>
        </w:rPr>
        <w:tab/>
      </w:r>
      <w:r w:rsidR="00D74508" w:rsidRPr="00993936">
        <w:rPr>
          <w:rFonts w:ascii="Arial" w:hAnsi="Arial" w:cs="Arial"/>
          <w:lang w:val="es-ES"/>
        </w:rPr>
        <w:t xml:space="preserve"> </w:t>
      </w:r>
      <w:smartTag w:uri="urn:schemas-microsoft-com:office:smarttags" w:element="metricconverter">
        <w:smartTagPr>
          <w:attr w:name="ProductID" w:val="225.000 a"/>
        </w:smartTagPr>
        <w:r w:rsidRPr="00993936">
          <w:rPr>
            <w:rFonts w:ascii="Arial" w:hAnsi="Arial" w:cs="Arial"/>
            <w:lang w:val="es-ES"/>
          </w:rPr>
          <w:t>225.000 a</w:t>
        </w:r>
      </w:smartTag>
      <w:r w:rsidRPr="00993936">
        <w:rPr>
          <w:rFonts w:ascii="Arial" w:hAnsi="Arial" w:cs="Arial"/>
          <w:lang w:val="es-ES"/>
        </w:rPr>
        <w:t xml:space="preserve"> 275.000 semillas/ha</w:t>
      </w:r>
    </w:p>
    <w:p w:rsidR="00412AFB" w:rsidRPr="00993936" w:rsidRDefault="00412AFB" w:rsidP="00D74508">
      <w:pPr>
        <w:numPr>
          <w:ilvl w:val="0"/>
          <w:numId w:val="18"/>
        </w:numPr>
        <w:spacing w:after="0" w:line="240" w:lineRule="auto"/>
        <w:jc w:val="both"/>
        <w:rPr>
          <w:rFonts w:ascii="Arial" w:hAnsi="Arial" w:cs="Arial"/>
          <w:lang w:val="es-ES"/>
        </w:rPr>
      </w:pPr>
      <w:r w:rsidRPr="00993936">
        <w:rPr>
          <w:rFonts w:ascii="Arial" w:hAnsi="Arial" w:cs="Arial"/>
          <w:lang w:val="es-ES"/>
        </w:rPr>
        <w:t>Sorgo en regadío:</w:t>
      </w:r>
      <w:r w:rsidRPr="00993936">
        <w:rPr>
          <w:rFonts w:ascii="Arial" w:hAnsi="Arial" w:cs="Arial"/>
          <w:lang w:val="es-ES"/>
        </w:rPr>
        <w:tab/>
      </w:r>
      <w:r w:rsidR="00D74508" w:rsidRPr="00993936">
        <w:rPr>
          <w:rFonts w:ascii="Arial" w:hAnsi="Arial" w:cs="Arial"/>
          <w:lang w:val="es-ES"/>
        </w:rPr>
        <w:t xml:space="preserve"> </w:t>
      </w:r>
      <w:smartTag w:uri="urn:schemas-microsoft-com:office:smarttags" w:element="metricconverter">
        <w:smartTagPr>
          <w:attr w:name="ProductID" w:val="275.000 a"/>
        </w:smartTagPr>
        <w:r w:rsidRPr="00993936">
          <w:rPr>
            <w:rFonts w:ascii="Arial" w:hAnsi="Arial" w:cs="Arial"/>
            <w:lang w:val="es-ES"/>
          </w:rPr>
          <w:t>275.000 a</w:t>
        </w:r>
      </w:smartTag>
      <w:r w:rsidRPr="00993936">
        <w:rPr>
          <w:rFonts w:ascii="Arial" w:hAnsi="Arial" w:cs="Arial"/>
          <w:lang w:val="es-ES"/>
        </w:rPr>
        <w:t xml:space="preserve"> 350.000 semillas/ha</w:t>
      </w:r>
    </w:p>
    <w:p w:rsidR="008847B6" w:rsidRPr="00993936" w:rsidRDefault="008847B6" w:rsidP="008847B6">
      <w:pPr>
        <w:spacing w:after="0" w:line="240" w:lineRule="auto"/>
        <w:ind w:left="340"/>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4.2.3. Para el cálculo de la dosis de siembra de maíz se tendrá en cuenta el número de semillas. En el caso del sorgo (kg/ha), se tendrá en cuenta el peso de 1.000 semillas (PMG) de cada lote utilizado.</w:t>
      </w:r>
    </w:p>
    <w:p w:rsidR="00412AFB" w:rsidRPr="00993936" w:rsidRDefault="00412AFB" w:rsidP="00412AFB">
      <w:pPr>
        <w:jc w:val="both"/>
        <w:rPr>
          <w:rFonts w:ascii="Arial" w:hAnsi="Arial" w:cs="Arial"/>
          <w:lang w:val="es-ES"/>
        </w:rPr>
      </w:pPr>
      <w:r w:rsidRPr="00993936">
        <w:rPr>
          <w:rFonts w:ascii="Arial" w:hAnsi="Arial" w:cs="Arial"/>
          <w:lang w:val="es-ES"/>
        </w:rPr>
        <w:t>4.2.4 Regular la sembradora para cada variedad y lote de semilla antes de iniciar la siembra, así como la profundidad de la siembra para cada parcela en función de las condiciones de humedad y preparación del suelo.</w:t>
      </w:r>
    </w:p>
    <w:p w:rsidR="00412AFB" w:rsidRPr="00993936" w:rsidRDefault="00412AFB" w:rsidP="00412AFB">
      <w:pPr>
        <w:tabs>
          <w:tab w:val="left" w:pos="6848"/>
        </w:tabs>
        <w:jc w:val="both"/>
        <w:rPr>
          <w:rFonts w:ascii="Arial" w:hAnsi="Arial" w:cs="Arial"/>
          <w:lang w:val="es-ES"/>
        </w:rPr>
      </w:pPr>
      <w:r w:rsidRPr="00993936">
        <w:rPr>
          <w:rFonts w:ascii="Arial" w:hAnsi="Arial" w:cs="Arial"/>
          <w:lang w:val="es-ES"/>
        </w:rPr>
        <w:t>Artículo 5</w:t>
      </w:r>
    </w:p>
    <w:p w:rsidR="00412AFB" w:rsidRPr="00993936" w:rsidRDefault="00412AFB" w:rsidP="00412AFB">
      <w:pPr>
        <w:pStyle w:val="Ttulo3"/>
        <w:tabs>
          <w:tab w:val="left" w:pos="6848"/>
        </w:tabs>
        <w:rPr>
          <w:rFonts w:ascii="Arial" w:hAnsi="Arial" w:cs="Arial"/>
          <w:b/>
          <w:color w:val="auto"/>
          <w:sz w:val="22"/>
          <w:szCs w:val="22"/>
          <w:lang w:val="es-ES"/>
        </w:rPr>
      </w:pPr>
      <w:r w:rsidRPr="00993936">
        <w:rPr>
          <w:rFonts w:ascii="Arial" w:hAnsi="Arial" w:cs="Arial"/>
          <w:b/>
          <w:color w:val="auto"/>
          <w:sz w:val="22"/>
          <w:szCs w:val="22"/>
          <w:lang w:val="es-ES"/>
        </w:rPr>
        <w:t>Manejo del cultivo</w:t>
      </w:r>
      <w:r w:rsidR="00E03B3B" w:rsidRPr="00993936">
        <w:rPr>
          <w:rFonts w:ascii="Arial" w:hAnsi="Arial" w:cs="Arial"/>
          <w:b/>
          <w:color w:val="auto"/>
          <w:sz w:val="22"/>
          <w:szCs w:val="22"/>
          <w:lang w:val="es-ES"/>
        </w:rPr>
        <w:t xml:space="preserve"> </w:t>
      </w:r>
    </w:p>
    <w:p w:rsidR="00412AFB" w:rsidRPr="00993936" w:rsidRDefault="00412AFB" w:rsidP="00412AFB">
      <w:pPr>
        <w:tabs>
          <w:tab w:val="left" w:pos="6848"/>
        </w:tabs>
        <w:jc w:val="both"/>
        <w:rPr>
          <w:rFonts w:ascii="Arial" w:hAnsi="Arial" w:cs="Arial"/>
          <w:lang w:val="es-ES"/>
        </w:rPr>
      </w:pPr>
      <w:r w:rsidRPr="00993936">
        <w:rPr>
          <w:rFonts w:ascii="Arial" w:hAnsi="Arial" w:cs="Arial"/>
          <w:lang w:val="es-ES"/>
        </w:rPr>
        <w:t xml:space="preserve">5.1 </w:t>
      </w:r>
      <w:r w:rsidRPr="00993936">
        <w:rPr>
          <w:rFonts w:ascii="Arial" w:hAnsi="Arial" w:cs="Arial"/>
          <w:i/>
          <w:lang w:val="es-ES"/>
        </w:rPr>
        <w:t>Obligaciones</w:t>
      </w:r>
    </w:p>
    <w:p w:rsidR="00412AFB" w:rsidRPr="00993936" w:rsidRDefault="00412AFB" w:rsidP="00412AFB">
      <w:pPr>
        <w:pStyle w:val="Textoindependiente"/>
        <w:tabs>
          <w:tab w:val="left" w:pos="6848"/>
        </w:tabs>
        <w:rPr>
          <w:rFonts w:cs="Arial"/>
          <w:szCs w:val="22"/>
          <w:lang w:val="es-ES"/>
        </w:rPr>
      </w:pPr>
      <w:r w:rsidRPr="00993936">
        <w:rPr>
          <w:rFonts w:cs="Arial"/>
          <w:szCs w:val="22"/>
          <w:lang w:val="es-ES"/>
        </w:rPr>
        <w:t xml:space="preserve">5.1.1 Establecer un sistema de rotación de no menos de tres hojas o cultivo, incluyendo, cuando sea posible, una leguminosa. La ausencia de la leguminosa en la rotación deberá justificarse en el cuaderno de explotación. El barbecho tendrá la misma consideración que una hoja o cultivo. </w:t>
      </w:r>
    </w:p>
    <w:p w:rsidR="00412AFB" w:rsidRPr="00993936" w:rsidRDefault="00412AFB" w:rsidP="00412AFB">
      <w:pPr>
        <w:pStyle w:val="Textoindependiente"/>
        <w:rPr>
          <w:rFonts w:cs="Arial"/>
          <w:szCs w:val="22"/>
          <w:lang w:val="es-ES"/>
        </w:rPr>
      </w:pPr>
      <w:r w:rsidRPr="00993936">
        <w:rPr>
          <w:rFonts w:cs="Arial"/>
          <w:szCs w:val="22"/>
          <w:lang w:val="es-ES"/>
        </w:rPr>
        <w:t>5.1.2 No repetir más de tres años seguidos el mismo cultivo en la misma parcela, salvo un cultivo forrajero plurianual (alfalfa, trébol, pastos naturales o implantados).</w:t>
      </w:r>
    </w:p>
    <w:p w:rsidR="00412AFB" w:rsidRPr="00993936" w:rsidRDefault="00412AFB" w:rsidP="00412AFB">
      <w:pPr>
        <w:jc w:val="both"/>
        <w:rPr>
          <w:rFonts w:ascii="Arial" w:hAnsi="Arial" w:cs="Arial"/>
          <w:lang w:val="es-ES"/>
        </w:rPr>
      </w:pPr>
      <w:r w:rsidRPr="00993936">
        <w:rPr>
          <w:rFonts w:ascii="Arial" w:hAnsi="Arial" w:cs="Arial"/>
          <w:lang w:val="es-ES"/>
        </w:rPr>
        <w:t>5.1.3 Indicar en el cuaderno de explotación el cultivo precedente, el sistema de cultivo previo a la instalación del cereal y la gestión de los restos del cultivo anterior.</w:t>
      </w:r>
    </w:p>
    <w:p w:rsidR="00412AFB" w:rsidRPr="00993936" w:rsidRDefault="00412AFB" w:rsidP="00412AFB">
      <w:pPr>
        <w:jc w:val="both"/>
        <w:rPr>
          <w:rFonts w:ascii="Arial" w:hAnsi="Arial" w:cs="Arial"/>
          <w:lang w:val="es-ES"/>
        </w:rPr>
      </w:pPr>
      <w:r w:rsidRPr="00993936">
        <w:rPr>
          <w:rFonts w:ascii="Arial" w:hAnsi="Arial" w:cs="Arial"/>
          <w:lang w:val="es-ES"/>
        </w:rPr>
        <w:t xml:space="preserve">5.1.4 Los cereales no deben ocupar más del 80 % de la rotación. Cada especie de cereal cuenta como un cultivo diferente a la hora de establecer la rotación. </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 xml:space="preserve">5.2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5.2.1 Efectuar la quema de restos de cultivo, salvo en los casos en que haya una causa justificada y con el permiso de la autoridad competente.</w:t>
      </w:r>
    </w:p>
    <w:p w:rsidR="00412AFB" w:rsidRPr="00993936" w:rsidRDefault="00412AFB" w:rsidP="00412AFB">
      <w:pPr>
        <w:jc w:val="both"/>
        <w:rPr>
          <w:rFonts w:ascii="Arial" w:hAnsi="Arial" w:cs="Arial"/>
          <w:lang w:val="es-ES"/>
        </w:rPr>
      </w:pPr>
      <w:r w:rsidRPr="00993936">
        <w:rPr>
          <w:rFonts w:ascii="Arial" w:hAnsi="Arial" w:cs="Arial"/>
          <w:lang w:val="es-ES"/>
        </w:rPr>
        <w:t xml:space="preserve">5.3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5.3.1 En las rotaciones de cultivos procurar seguir las siguientes:</w:t>
      </w:r>
    </w:p>
    <w:p w:rsidR="00412AFB" w:rsidRPr="00993936" w:rsidRDefault="00412AFB" w:rsidP="00412AFB">
      <w:pPr>
        <w:jc w:val="both"/>
        <w:rPr>
          <w:rFonts w:ascii="Arial" w:hAnsi="Arial" w:cs="Arial"/>
          <w:lang w:val="es-ES"/>
        </w:rPr>
      </w:pPr>
      <w:r w:rsidRPr="00993936">
        <w:rPr>
          <w:rFonts w:ascii="Arial" w:hAnsi="Arial" w:cs="Arial"/>
          <w:lang w:val="es-ES"/>
        </w:rPr>
        <w:t>5.3.2 No cultivar patatas más de un año de cada cuatro.</w:t>
      </w:r>
    </w:p>
    <w:p w:rsidR="00412AFB" w:rsidRPr="00993936" w:rsidRDefault="00412AFB" w:rsidP="00412AFB">
      <w:pPr>
        <w:jc w:val="both"/>
        <w:rPr>
          <w:rFonts w:ascii="Arial" w:hAnsi="Arial" w:cs="Arial"/>
          <w:lang w:val="es-ES"/>
        </w:rPr>
      </w:pPr>
      <w:r w:rsidRPr="00993936">
        <w:rPr>
          <w:rFonts w:ascii="Arial" w:hAnsi="Arial" w:cs="Arial"/>
          <w:lang w:val="es-ES"/>
        </w:rPr>
        <w:t>5.3.3 No cultivar guisantes más de un año de cada siete.</w:t>
      </w:r>
    </w:p>
    <w:p w:rsidR="00412AFB" w:rsidRPr="00993936" w:rsidRDefault="00412AFB" w:rsidP="00412AFB">
      <w:pPr>
        <w:jc w:val="both"/>
        <w:rPr>
          <w:rFonts w:ascii="Arial" w:hAnsi="Arial" w:cs="Arial"/>
          <w:lang w:val="es-ES"/>
        </w:rPr>
      </w:pPr>
      <w:r w:rsidRPr="00993936">
        <w:rPr>
          <w:rFonts w:ascii="Arial" w:hAnsi="Arial" w:cs="Arial"/>
          <w:lang w:val="es-ES"/>
        </w:rPr>
        <w:t>5.3.4 No cultivar crucíferas más de un año de cada cuatro.</w:t>
      </w:r>
    </w:p>
    <w:p w:rsidR="00412AFB" w:rsidRPr="00993936" w:rsidRDefault="00412AFB" w:rsidP="00412AFB">
      <w:pPr>
        <w:jc w:val="both"/>
        <w:rPr>
          <w:rFonts w:ascii="Arial" w:hAnsi="Arial" w:cs="Arial"/>
          <w:lang w:val="es-ES"/>
        </w:rPr>
      </w:pPr>
      <w:r w:rsidRPr="00993936">
        <w:rPr>
          <w:rFonts w:ascii="Arial" w:hAnsi="Arial" w:cs="Arial"/>
          <w:lang w:val="es-ES"/>
        </w:rPr>
        <w:t>5.3.5 No cultivar girasoles más de un año de cada cuatro.</w:t>
      </w:r>
    </w:p>
    <w:p w:rsidR="00412AFB" w:rsidRPr="00993936" w:rsidRDefault="00412AFB" w:rsidP="00412AFB">
      <w:pPr>
        <w:jc w:val="both"/>
        <w:rPr>
          <w:rFonts w:ascii="Arial" w:hAnsi="Arial" w:cs="Arial"/>
          <w:lang w:val="es-ES"/>
        </w:rPr>
      </w:pPr>
      <w:r w:rsidRPr="00993936">
        <w:rPr>
          <w:rFonts w:ascii="Arial" w:hAnsi="Arial" w:cs="Arial"/>
          <w:lang w:val="es-ES"/>
        </w:rPr>
        <w:t>5.3.6 No cultivar habas, habones y soja más de un año de cada cuatro.</w:t>
      </w:r>
    </w:p>
    <w:p w:rsidR="00412AFB" w:rsidRPr="00993936" w:rsidRDefault="00412AFB" w:rsidP="00412AFB">
      <w:pPr>
        <w:jc w:val="both"/>
        <w:rPr>
          <w:rFonts w:ascii="Arial" w:hAnsi="Arial" w:cs="Arial"/>
          <w:lang w:val="es-ES"/>
        </w:rPr>
      </w:pPr>
      <w:r w:rsidRPr="00993936">
        <w:rPr>
          <w:rFonts w:ascii="Arial" w:hAnsi="Arial" w:cs="Arial"/>
          <w:lang w:val="es-ES"/>
        </w:rPr>
        <w:t>5.3.7 Establecer un intervalo mínimo de dos años entre dos leguminosas diferentes.</w:t>
      </w:r>
    </w:p>
    <w:p w:rsidR="00412AFB" w:rsidRPr="00993936" w:rsidRDefault="00412AFB" w:rsidP="00412AFB">
      <w:pPr>
        <w:jc w:val="both"/>
        <w:rPr>
          <w:rFonts w:ascii="Arial" w:hAnsi="Arial" w:cs="Arial"/>
          <w:lang w:val="es-ES"/>
        </w:rPr>
      </w:pPr>
      <w:r w:rsidRPr="00993936">
        <w:rPr>
          <w:rFonts w:ascii="Arial" w:hAnsi="Arial" w:cs="Arial"/>
          <w:lang w:val="es-ES"/>
        </w:rPr>
        <w:t>5.3.8 No cultivar maíz más de un año de cada cuatro. Procurar no practicar el cultivo continuado del maíz.</w:t>
      </w:r>
    </w:p>
    <w:p w:rsidR="00412AFB" w:rsidRPr="00993936" w:rsidRDefault="00412AFB" w:rsidP="00412AFB">
      <w:pPr>
        <w:jc w:val="both"/>
        <w:rPr>
          <w:rFonts w:ascii="Arial" w:hAnsi="Arial" w:cs="Arial"/>
          <w:lang w:val="es-ES"/>
        </w:rPr>
      </w:pPr>
      <w:r w:rsidRPr="00993936">
        <w:rPr>
          <w:rFonts w:ascii="Arial" w:hAnsi="Arial" w:cs="Arial"/>
          <w:lang w:val="es-ES"/>
        </w:rPr>
        <w:t>5.3.9 Procurar no sembrar después de alfalfa una leguminosa; en su lugar, se aconseja establecer un cultivo que tenga necesidades elevadas de nitrógeno.</w:t>
      </w:r>
    </w:p>
    <w:p w:rsidR="00412AFB" w:rsidRPr="00993936" w:rsidRDefault="00412AFB" w:rsidP="00412AFB">
      <w:pPr>
        <w:jc w:val="both"/>
        <w:rPr>
          <w:rFonts w:ascii="Arial" w:hAnsi="Arial" w:cs="Arial"/>
          <w:lang w:val="es-ES"/>
        </w:rPr>
      </w:pPr>
      <w:r w:rsidRPr="00993936">
        <w:rPr>
          <w:rFonts w:ascii="Arial" w:hAnsi="Arial" w:cs="Arial"/>
          <w:lang w:val="es-ES"/>
        </w:rPr>
        <w:t>5.3.10 En el caso de la soja, la colza y los girasoles procurar que un cultivo no siga el otro.</w:t>
      </w:r>
    </w:p>
    <w:p w:rsidR="00412AFB" w:rsidRPr="00993936" w:rsidRDefault="00412AFB" w:rsidP="00412AFB">
      <w:pPr>
        <w:jc w:val="both"/>
        <w:rPr>
          <w:rFonts w:ascii="Arial" w:hAnsi="Arial" w:cs="Arial"/>
          <w:lang w:val="es-ES"/>
        </w:rPr>
      </w:pPr>
      <w:r w:rsidRPr="00993936">
        <w:rPr>
          <w:rFonts w:ascii="Arial" w:hAnsi="Arial" w:cs="Arial"/>
          <w:lang w:val="es-ES"/>
        </w:rPr>
        <w:t>5.3.11 Cada año de cultivo forrajero plurianual (por ejemplo, alfalfa, trébol, pastos naturales o implantadas) cuenta como un cultivo u hoja.</w:t>
      </w:r>
    </w:p>
    <w:p w:rsidR="00412AFB" w:rsidRPr="00993936" w:rsidRDefault="00412AFB" w:rsidP="00412AFB">
      <w:pPr>
        <w:jc w:val="both"/>
        <w:rPr>
          <w:rFonts w:ascii="Arial" w:hAnsi="Arial" w:cs="Arial"/>
          <w:lang w:val="es-ES"/>
        </w:rPr>
      </w:pPr>
      <w:r w:rsidRPr="00993936">
        <w:rPr>
          <w:rFonts w:ascii="Arial" w:hAnsi="Arial" w:cs="Arial"/>
          <w:lang w:val="es-ES"/>
        </w:rPr>
        <w:t>5.3.12 Se recomienda la alternancia de cultivos de primavera y de verano, con el objeto de minimizar el lavado de los nitratos y facilitar el manejo de plagas, enfermedades y malas hierbas.</w:t>
      </w:r>
    </w:p>
    <w:p w:rsidR="00412AFB" w:rsidRPr="00993936" w:rsidRDefault="00412AFB" w:rsidP="00412AFB">
      <w:pPr>
        <w:jc w:val="both"/>
        <w:rPr>
          <w:rFonts w:ascii="Arial" w:hAnsi="Arial" w:cs="Arial"/>
          <w:lang w:val="es-ES"/>
        </w:rPr>
      </w:pPr>
      <w:r w:rsidRPr="00993936">
        <w:rPr>
          <w:rFonts w:ascii="Arial" w:hAnsi="Arial" w:cs="Arial"/>
          <w:lang w:val="es-ES"/>
        </w:rPr>
        <w:t>5.3.13 Cualquier cultivo alternativo de quenopodiáceas no cultivarlo más de un año de cada cuatro. En caso de que el resultado del análisis de presencia de nematodos sea negativo, la frecuencia puede reducirse a un año de cada tres.</w:t>
      </w:r>
    </w:p>
    <w:p w:rsidR="00412AFB" w:rsidRPr="00993936" w:rsidRDefault="00412AFB" w:rsidP="00412AFB">
      <w:pPr>
        <w:jc w:val="both"/>
        <w:rPr>
          <w:rFonts w:ascii="Arial" w:hAnsi="Arial" w:cs="Arial"/>
          <w:lang w:val="es-ES"/>
        </w:rPr>
      </w:pPr>
      <w:r w:rsidRPr="00993936">
        <w:rPr>
          <w:rFonts w:ascii="Arial" w:hAnsi="Arial" w:cs="Arial"/>
          <w:lang w:val="es-ES"/>
        </w:rPr>
        <w:t xml:space="preserve">5.3.14 Alternar las variedades, si es posible, dentro de la misma especie. </w:t>
      </w:r>
    </w:p>
    <w:p w:rsidR="00412AFB" w:rsidRPr="00993936" w:rsidRDefault="00412AFB" w:rsidP="00412AFB">
      <w:pPr>
        <w:pStyle w:val="Textoindependiente"/>
        <w:rPr>
          <w:rFonts w:cs="Arial"/>
          <w:szCs w:val="22"/>
          <w:lang w:val="es-ES"/>
        </w:rPr>
      </w:pPr>
      <w:r w:rsidRPr="00993936">
        <w:rPr>
          <w:rFonts w:cs="Arial"/>
          <w:szCs w:val="22"/>
          <w:lang w:val="es-ES"/>
        </w:rPr>
        <w:t>5.3.15 Se recomienda el uso de técnicas que reduzcan el riesgo de erosión o degradación del suelo.</w:t>
      </w:r>
    </w:p>
    <w:p w:rsidR="00412AFB" w:rsidRPr="00993936" w:rsidRDefault="00412AFB" w:rsidP="00412AFB">
      <w:pPr>
        <w:jc w:val="both"/>
        <w:rPr>
          <w:rFonts w:ascii="Arial" w:hAnsi="Arial" w:cs="Arial"/>
          <w:lang w:val="es-ES"/>
        </w:rPr>
      </w:pPr>
      <w:r w:rsidRPr="00993936">
        <w:rPr>
          <w:rFonts w:ascii="Arial" w:hAnsi="Arial" w:cs="Arial"/>
          <w:lang w:val="es-ES"/>
        </w:rPr>
        <w:t>3.5.16 En caso de cultivo, incorporar, siempre que sea posible, los residuos de las cosechas picados y bien distribuidos por toda la superficie.</w:t>
      </w:r>
    </w:p>
    <w:p w:rsidR="00412AFB" w:rsidRPr="00993936" w:rsidRDefault="00412AFB" w:rsidP="00412AFB">
      <w:pPr>
        <w:jc w:val="both"/>
        <w:rPr>
          <w:rFonts w:ascii="Arial" w:hAnsi="Arial" w:cs="Arial"/>
          <w:lang w:val="es-ES"/>
        </w:rPr>
      </w:pPr>
      <w:r w:rsidRPr="00993936">
        <w:rPr>
          <w:rFonts w:ascii="Arial" w:hAnsi="Arial" w:cs="Arial"/>
          <w:lang w:val="es-ES"/>
        </w:rPr>
        <w:t xml:space="preserve">5.3.17 Mantener el rastrojo el máximo tiempo posible para limitar la erosión del suelo. </w:t>
      </w:r>
    </w:p>
    <w:p w:rsidR="00412AFB" w:rsidRPr="00993936" w:rsidRDefault="00412AFB" w:rsidP="00412AFB">
      <w:pPr>
        <w:jc w:val="both"/>
        <w:rPr>
          <w:rFonts w:ascii="Arial" w:hAnsi="Arial" w:cs="Arial"/>
          <w:lang w:val="es-ES"/>
        </w:rPr>
      </w:pPr>
      <w:r w:rsidRPr="00993936">
        <w:rPr>
          <w:rFonts w:ascii="Arial" w:hAnsi="Arial" w:cs="Arial"/>
          <w:lang w:val="es-ES"/>
        </w:rPr>
        <w:t>5.3.18 Mantener el barbecho con cubierta vegetal el máximo de tiempo posible para limitar la erosión del suelo y el lavado de nitratos.</w:t>
      </w:r>
    </w:p>
    <w:p w:rsidR="00412AFB" w:rsidRPr="00993936" w:rsidRDefault="00412AFB" w:rsidP="00412AFB">
      <w:pPr>
        <w:jc w:val="both"/>
        <w:rPr>
          <w:rFonts w:ascii="Arial" w:hAnsi="Arial" w:cs="Arial"/>
          <w:lang w:val="es-ES"/>
        </w:rPr>
      </w:pPr>
      <w:r w:rsidRPr="00993936">
        <w:rPr>
          <w:rFonts w:ascii="Arial" w:hAnsi="Arial" w:cs="Arial"/>
          <w:lang w:val="es-ES"/>
        </w:rPr>
        <w:t>5.3.19 Se recomienda el uso de técnicas que reduzcan o supriman el cultivo del suelo.</w:t>
      </w:r>
    </w:p>
    <w:p w:rsidR="00412AFB" w:rsidRPr="00993936" w:rsidRDefault="00412AFB" w:rsidP="00412AFB">
      <w:pPr>
        <w:jc w:val="both"/>
        <w:rPr>
          <w:rFonts w:ascii="Arial" w:hAnsi="Arial" w:cs="Arial"/>
          <w:lang w:val="es-ES"/>
        </w:rPr>
      </w:pPr>
      <w:r w:rsidRPr="00993936">
        <w:rPr>
          <w:rFonts w:ascii="Arial" w:hAnsi="Arial" w:cs="Arial"/>
          <w:lang w:val="es-ES"/>
        </w:rPr>
        <w:t>5.3.20 Los cereales de invierno (salvo la avena) deben seguir al menos un cultivo que no sea huésped de los principales patógenos de los cereales.</w:t>
      </w: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6</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Fertilización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6.1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6.1.1 El suministro de nutrientes se efectuará fundamentalmente a través del suelo, a menos que se utilice un sistema de riego a presión, en el que también podrá utilizarse el sistema de riego para realizar la fertilización.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6.1.2 Utilizar los análisis físico y químico del suelo como base para estimar las necesidades de macronutrientes, a excepción del nitrógeno. </w:t>
      </w:r>
    </w:p>
    <w:p w:rsidR="00412AFB" w:rsidRPr="00993936" w:rsidRDefault="00412AFB" w:rsidP="00412AFB">
      <w:pPr>
        <w:pStyle w:val="Textoindependiente"/>
        <w:rPr>
          <w:rFonts w:cs="Arial"/>
          <w:szCs w:val="22"/>
          <w:lang w:val="es-ES"/>
        </w:rPr>
      </w:pPr>
      <w:r w:rsidRPr="00993936">
        <w:rPr>
          <w:rFonts w:cs="Arial"/>
          <w:szCs w:val="22"/>
          <w:lang w:val="es-ES"/>
        </w:rPr>
        <w:t>6.1.3 Cada explotación deberá realizar y disponer, de forma justificada, de análisis de suelos y del agua de riego para planificar la fertilización. Los análisis se realizarán cada cinco años.</w:t>
      </w:r>
    </w:p>
    <w:p w:rsidR="00412AFB" w:rsidRPr="00993936" w:rsidRDefault="00412AFB" w:rsidP="00412AFB">
      <w:pPr>
        <w:pStyle w:val="Textoindependiente"/>
        <w:ind w:left="705"/>
        <w:rPr>
          <w:rFonts w:cs="Arial"/>
          <w:szCs w:val="22"/>
          <w:lang w:val="es-ES"/>
        </w:rPr>
      </w:pPr>
      <w:r w:rsidRPr="00993936">
        <w:rPr>
          <w:rFonts w:cs="Arial"/>
          <w:szCs w:val="22"/>
          <w:lang w:val="es-ES"/>
        </w:rPr>
        <w:t>6.1.3.1 En caso de que el abastecimiento del agua de riego provenga de una comunidad de regantes u otra entidad similar, el cumplimiento del requisito indicado podrá justificarse con la disposición de una analítica de agua, efectuada por alguna de las entidades indicadas, siempre que incluya los parámetros que se indican en el artículo 7.1.</w:t>
      </w:r>
    </w:p>
    <w:p w:rsidR="00412AFB" w:rsidRPr="00993936" w:rsidRDefault="00412AFB" w:rsidP="00412AFB">
      <w:pPr>
        <w:pStyle w:val="Textoindependiente"/>
        <w:ind w:left="705"/>
        <w:rPr>
          <w:rFonts w:cs="Arial"/>
          <w:szCs w:val="22"/>
          <w:lang w:val="es-ES"/>
        </w:rPr>
      </w:pPr>
      <w:r w:rsidRPr="00993936">
        <w:rPr>
          <w:rFonts w:cs="Arial"/>
          <w:szCs w:val="22"/>
          <w:lang w:val="es-ES"/>
        </w:rPr>
        <w:t>6.1.3.2 En caso de que el abastecimiento del agua de riego provenga de un pozo, los análisis se llevarán a cabo como mínimo cada dos años. Cuando los resultados de dos analíticas consecutivas del agua, realizadas en el plazo señalado, sean similares estas podrán realizarse cada cinco años.</w:t>
      </w:r>
    </w:p>
    <w:p w:rsidR="00412AFB" w:rsidRPr="00993936" w:rsidRDefault="00412AFB" w:rsidP="00412AFB">
      <w:pPr>
        <w:pStyle w:val="Textoindependiente"/>
        <w:rPr>
          <w:rFonts w:cs="Arial"/>
          <w:szCs w:val="22"/>
          <w:lang w:val="es-ES"/>
        </w:rPr>
      </w:pPr>
      <w:r w:rsidRPr="00993936">
        <w:rPr>
          <w:rFonts w:cs="Arial"/>
          <w:szCs w:val="22"/>
          <w:lang w:val="es-ES"/>
        </w:rPr>
        <w:t>El número de análisis que se efectuarán será como mínimo un análisis del suelo por unidad homogénea de cultivo. Cuando se integre una UHC al sistema de producción integrada deberá realizarse un análisis físico y químico siempre que no se disponga de uno efectuado en un periodo de tiempo inferior a cinco años.</w:t>
      </w:r>
    </w:p>
    <w:p w:rsidR="00412AFB" w:rsidRPr="00993936" w:rsidRDefault="00412AFB" w:rsidP="00412AFB">
      <w:pPr>
        <w:pStyle w:val="Textoindependiente"/>
        <w:rPr>
          <w:rFonts w:cs="Arial"/>
          <w:szCs w:val="22"/>
          <w:lang w:val="es-ES"/>
        </w:rPr>
      </w:pPr>
      <w:r w:rsidRPr="00993936">
        <w:rPr>
          <w:rFonts w:cs="Arial"/>
          <w:szCs w:val="22"/>
          <w:lang w:val="es-ES"/>
        </w:rPr>
        <w:t xml:space="preserve">6.1.4 Todas las analíticas de suelo incluirán, al menos, la determinación de fósforo, potasio y magnesio asimilables, la materia orgánica, la prueba previa de salinidad y, si procede, el análisis de sales solubles. En la primera analítica se incluirá, además, la determinación de textura y pH. </w:t>
      </w:r>
    </w:p>
    <w:p w:rsidR="00412AFB" w:rsidRPr="00993936" w:rsidRDefault="00412AFB" w:rsidP="00412AFB">
      <w:pPr>
        <w:jc w:val="both"/>
        <w:rPr>
          <w:rFonts w:ascii="Arial" w:hAnsi="Arial" w:cs="Arial"/>
          <w:lang w:val="es-ES"/>
        </w:rPr>
      </w:pPr>
      <w:r w:rsidRPr="00993936">
        <w:rPr>
          <w:rFonts w:ascii="Arial" w:hAnsi="Arial" w:cs="Arial"/>
          <w:lang w:val="es-ES"/>
        </w:rPr>
        <w:t xml:space="preserve">6.1.5 Realizar y aplicar un plan de abono que considere los resultados de los análisis y tenga en cuenta, además de las extracciones del cultivo, el estado nutricional y de crecimiento, el tipo y nivel de fertilidad del suelo, y las aportaciones realizadas por otras vías (agua y materia orgánica). </w:t>
      </w:r>
    </w:p>
    <w:p w:rsidR="00412AFB" w:rsidRPr="00993936" w:rsidRDefault="00412AFB" w:rsidP="00412AFB">
      <w:pPr>
        <w:jc w:val="both"/>
        <w:rPr>
          <w:rFonts w:ascii="Arial" w:hAnsi="Arial" w:cs="Arial"/>
          <w:lang w:val="es-ES"/>
        </w:rPr>
      </w:pPr>
      <w:r w:rsidRPr="00993936">
        <w:rPr>
          <w:rFonts w:ascii="Arial" w:hAnsi="Arial" w:cs="Arial"/>
          <w:lang w:val="es-ES"/>
        </w:rPr>
        <w:t>El plan determinará las épocas y forma de aplicación más adecuadas para minimizar las pérdidas por lixiviación, erosión, etc.</w:t>
      </w:r>
    </w:p>
    <w:p w:rsidR="00412AFB" w:rsidRPr="00993936" w:rsidRDefault="00412AFB" w:rsidP="00412AFB">
      <w:pPr>
        <w:pStyle w:val="Textoindependiente"/>
        <w:rPr>
          <w:rFonts w:cs="Arial"/>
          <w:szCs w:val="22"/>
          <w:lang w:val="es-ES"/>
        </w:rPr>
      </w:pPr>
      <w:r w:rsidRPr="00993936">
        <w:rPr>
          <w:rFonts w:cs="Arial"/>
          <w:szCs w:val="22"/>
          <w:lang w:val="es-ES"/>
        </w:rPr>
        <w:t>6.1.6 Para los macronutrientes, se realizará y aplicará un programa de abonado para cada cultivo y unidad de cultivo, y un programa general de fertilización para toda la explotación potenciando la aportación de fertilizantes naturales y reduciendo los químicos de síntesis.</w:t>
      </w:r>
    </w:p>
    <w:p w:rsidR="00412AFB" w:rsidRPr="00993936" w:rsidRDefault="00412AFB" w:rsidP="00412AFB">
      <w:pPr>
        <w:jc w:val="both"/>
        <w:rPr>
          <w:rFonts w:ascii="Arial" w:hAnsi="Arial" w:cs="Arial"/>
          <w:lang w:val="es-ES"/>
        </w:rPr>
      </w:pPr>
      <w:r w:rsidRPr="00993936">
        <w:rPr>
          <w:rFonts w:ascii="Arial" w:hAnsi="Arial" w:cs="Arial"/>
          <w:lang w:val="es-ES"/>
        </w:rPr>
        <w:t>En el programa del abonado, habrá que tener en cuenta que los fertilizantes que provienen del exterior (aguas, materias orgánicas y fertilización directa) deben compensar las extracciones de las cosechas y las pérdidas técnicas.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 xml:space="preserve">6.1.7 El abonado nitrogenado se fraccionará adecuadamente, en especial en zonas vulnerables. En caso de fertirrigación, se realizará de forma que se minimice el lavado de nutrientes, evitando la salinización del suelo. </w:t>
      </w:r>
    </w:p>
    <w:p w:rsidR="00412AFB" w:rsidRPr="00993936" w:rsidRDefault="00412AFB" w:rsidP="00412AFB">
      <w:pPr>
        <w:jc w:val="both"/>
        <w:rPr>
          <w:rFonts w:ascii="Arial" w:hAnsi="Arial" w:cs="Arial"/>
          <w:lang w:val="es-ES"/>
        </w:rPr>
      </w:pPr>
      <w:r w:rsidRPr="00993936">
        <w:rPr>
          <w:rFonts w:ascii="Arial" w:hAnsi="Arial" w:cs="Arial"/>
          <w:lang w:val="es-ES"/>
        </w:rPr>
        <w:t xml:space="preserve">6.1.8 Las aportaciones de nitrógeno se calcularán previendo como máximo unas extracciones de </w:t>
      </w:r>
      <w:smartTag w:uri="urn:schemas-microsoft-com:office:smarttags" w:element="metricconverter">
        <w:smartTagPr>
          <w:attr w:name="ProductID" w:val="25 kg"/>
        </w:smartTagPr>
        <w:r w:rsidRPr="00993936">
          <w:rPr>
            <w:rFonts w:ascii="Arial" w:hAnsi="Arial" w:cs="Arial"/>
            <w:lang w:val="es-ES"/>
          </w:rPr>
          <w:t>25 kg</w:t>
        </w:r>
      </w:smartTag>
      <w:r w:rsidRPr="00993936">
        <w:rPr>
          <w:rFonts w:ascii="Arial" w:hAnsi="Arial" w:cs="Arial"/>
          <w:lang w:val="es-ES"/>
        </w:rPr>
        <w:t xml:space="preserve"> de nitrógeno por tonelada de grano, teniendo en cuenta todas las aportaciones (abonos orgánicos, minerales y agua de riego). En cualquier caso, se establece el máximo de aportaciones siguientes: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2314"/>
        <w:gridCol w:w="4902"/>
      </w:tblGrid>
      <w:tr w:rsidR="00412AFB" w:rsidRPr="00993936" w:rsidTr="008847B6">
        <w:tc>
          <w:tcPr>
            <w:tcW w:w="0" w:type="auto"/>
            <w:shd w:val="clear" w:color="auto" w:fill="auto"/>
          </w:tcPr>
          <w:p w:rsidR="00412AFB" w:rsidRPr="00993936" w:rsidRDefault="00412AFB" w:rsidP="00C8678E">
            <w:pPr>
              <w:jc w:val="center"/>
              <w:rPr>
                <w:rFonts w:ascii="Arial" w:hAnsi="Arial" w:cs="Arial"/>
                <w:b/>
                <w:lang w:val="es-ES"/>
              </w:rPr>
            </w:pPr>
            <w:r w:rsidRPr="00993936">
              <w:rPr>
                <w:rFonts w:ascii="Arial" w:hAnsi="Arial" w:cs="Arial"/>
                <w:b/>
                <w:lang w:val="es-ES"/>
              </w:rPr>
              <w:t>Elemento</w:t>
            </w:r>
          </w:p>
        </w:tc>
        <w:tc>
          <w:tcPr>
            <w:tcW w:w="0" w:type="auto"/>
            <w:shd w:val="clear" w:color="auto" w:fill="auto"/>
          </w:tcPr>
          <w:p w:rsidR="00412AFB" w:rsidRPr="00993936" w:rsidRDefault="00412AFB" w:rsidP="00C8678E">
            <w:pPr>
              <w:jc w:val="center"/>
              <w:rPr>
                <w:rFonts w:ascii="Arial" w:hAnsi="Arial" w:cs="Arial"/>
                <w:b/>
                <w:lang w:val="es-ES"/>
              </w:rPr>
            </w:pPr>
            <w:r w:rsidRPr="00993936">
              <w:rPr>
                <w:rFonts w:ascii="Arial" w:hAnsi="Arial" w:cs="Arial"/>
                <w:b/>
                <w:lang w:val="es-ES"/>
              </w:rPr>
              <w:t>Máximo aportaciones</w:t>
            </w:r>
          </w:p>
          <w:p w:rsidR="00412AFB" w:rsidRPr="00993936" w:rsidRDefault="00412AFB" w:rsidP="00C8678E">
            <w:pPr>
              <w:jc w:val="center"/>
              <w:rPr>
                <w:rFonts w:ascii="Arial" w:hAnsi="Arial" w:cs="Arial"/>
                <w:b/>
                <w:lang w:val="es-ES"/>
              </w:rPr>
            </w:pPr>
            <w:r w:rsidRPr="00993936">
              <w:rPr>
                <w:rFonts w:ascii="Arial" w:hAnsi="Arial" w:cs="Arial"/>
                <w:b/>
                <w:lang w:val="es-ES"/>
              </w:rPr>
              <w:t>UF/ha y año</w:t>
            </w:r>
          </w:p>
        </w:tc>
        <w:tc>
          <w:tcPr>
            <w:tcW w:w="0" w:type="auto"/>
            <w:shd w:val="clear" w:color="auto" w:fill="auto"/>
          </w:tcPr>
          <w:p w:rsidR="00412AFB" w:rsidRPr="00993936" w:rsidRDefault="00412AFB" w:rsidP="00C8678E">
            <w:pPr>
              <w:jc w:val="center"/>
              <w:rPr>
                <w:rFonts w:ascii="Arial" w:hAnsi="Arial" w:cs="Arial"/>
                <w:b/>
                <w:lang w:val="es-ES"/>
              </w:rPr>
            </w:pPr>
            <w:r w:rsidRPr="00993936">
              <w:rPr>
                <w:rFonts w:ascii="Arial" w:hAnsi="Arial" w:cs="Arial"/>
                <w:b/>
                <w:lang w:val="es-ES"/>
              </w:rPr>
              <w:t>Cultivos y condiciones que considerar</w:t>
            </w:r>
          </w:p>
        </w:tc>
      </w:tr>
      <w:tr w:rsidR="00412AFB" w:rsidRPr="00993936" w:rsidTr="008847B6">
        <w:tc>
          <w:tcPr>
            <w:tcW w:w="0" w:type="auto"/>
            <w:shd w:val="clear" w:color="auto" w:fill="auto"/>
          </w:tcPr>
          <w:p w:rsidR="00412AFB" w:rsidRPr="00993936" w:rsidRDefault="00412AFB" w:rsidP="00C8678E">
            <w:pPr>
              <w:rPr>
                <w:rFonts w:ascii="Arial" w:hAnsi="Arial" w:cs="Arial"/>
                <w:lang w:val="es-ES"/>
              </w:rPr>
            </w:pPr>
            <w:r w:rsidRPr="00993936">
              <w:rPr>
                <w:rFonts w:ascii="Arial" w:hAnsi="Arial" w:cs="Arial"/>
                <w:lang w:val="es-ES"/>
              </w:rPr>
              <w:t>Nitrógeno (N)</w:t>
            </w:r>
          </w:p>
        </w:tc>
        <w:tc>
          <w:tcPr>
            <w:tcW w:w="0" w:type="auto"/>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300</w:t>
            </w:r>
          </w:p>
        </w:tc>
        <w:tc>
          <w:tcPr>
            <w:tcW w:w="0" w:type="auto"/>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w:t>
            </w:r>
          </w:p>
        </w:tc>
      </w:tr>
      <w:tr w:rsidR="00412AFB" w:rsidRPr="00993936" w:rsidTr="008847B6">
        <w:tc>
          <w:tcPr>
            <w:tcW w:w="0" w:type="auto"/>
            <w:shd w:val="clear" w:color="auto" w:fill="auto"/>
          </w:tcPr>
          <w:p w:rsidR="00412AFB" w:rsidRPr="00993936" w:rsidRDefault="00412AFB" w:rsidP="00C8678E">
            <w:pPr>
              <w:rPr>
                <w:rFonts w:ascii="Arial" w:hAnsi="Arial" w:cs="Arial"/>
                <w:lang w:val="es-ES"/>
              </w:rPr>
            </w:pPr>
            <w:r w:rsidRPr="00993936">
              <w:rPr>
                <w:rFonts w:ascii="Arial" w:hAnsi="Arial" w:cs="Arial"/>
                <w:lang w:val="es-ES"/>
              </w:rPr>
              <w:t>Fósforo (P</w:t>
            </w:r>
            <w:r w:rsidRPr="00993936">
              <w:rPr>
                <w:rFonts w:ascii="Arial" w:hAnsi="Arial" w:cs="Arial"/>
                <w:vertAlign w:val="subscript"/>
                <w:lang w:val="es-ES"/>
              </w:rPr>
              <w:t>2</w:t>
            </w:r>
            <w:r w:rsidRPr="00993936">
              <w:rPr>
                <w:rFonts w:ascii="Arial" w:hAnsi="Arial" w:cs="Arial"/>
                <w:lang w:val="es-ES"/>
              </w:rPr>
              <w:t>O)</w:t>
            </w:r>
          </w:p>
        </w:tc>
        <w:tc>
          <w:tcPr>
            <w:tcW w:w="0" w:type="auto"/>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250</w:t>
            </w:r>
          </w:p>
        </w:tc>
        <w:tc>
          <w:tcPr>
            <w:tcW w:w="0" w:type="auto"/>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 xml:space="preserve">Si el nivel de fósforo en el suelo es superior a 25 ppm </w:t>
            </w:r>
          </w:p>
        </w:tc>
      </w:tr>
      <w:tr w:rsidR="00412AFB" w:rsidRPr="00993936" w:rsidTr="008847B6">
        <w:tc>
          <w:tcPr>
            <w:tcW w:w="0" w:type="auto"/>
            <w:shd w:val="clear" w:color="auto" w:fill="auto"/>
          </w:tcPr>
          <w:p w:rsidR="00412AFB" w:rsidRPr="00993936" w:rsidRDefault="00412AFB" w:rsidP="00C8678E">
            <w:pPr>
              <w:rPr>
                <w:rFonts w:ascii="Arial" w:hAnsi="Arial" w:cs="Arial"/>
                <w:lang w:val="es-ES"/>
              </w:rPr>
            </w:pPr>
            <w:r w:rsidRPr="00993936">
              <w:rPr>
                <w:rFonts w:ascii="Arial" w:hAnsi="Arial" w:cs="Arial"/>
                <w:lang w:val="es-ES"/>
              </w:rPr>
              <w:t>Potasio (K</w:t>
            </w:r>
            <w:r w:rsidRPr="00993936">
              <w:rPr>
                <w:rFonts w:ascii="Arial" w:hAnsi="Arial" w:cs="Arial"/>
                <w:vertAlign w:val="subscript"/>
                <w:lang w:val="es-ES"/>
              </w:rPr>
              <w:t>2</w:t>
            </w:r>
            <w:r w:rsidRPr="00993936">
              <w:rPr>
                <w:rFonts w:ascii="Arial" w:hAnsi="Arial" w:cs="Arial"/>
                <w:lang w:val="es-ES"/>
              </w:rPr>
              <w:t>O)</w:t>
            </w:r>
          </w:p>
        </w:tc>
        <w:tc>
          <w:tcPr>
            <w:tcW w:w="0" w:type="auto"/>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300</w:t>
            </w:r>
          </w:p>
        </w:tc>
        <w:tc>
          <w:tcPr>
            <w:tcW w:w="0" w:type="auto"/>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Si el nivel de potasio en el suelo es superior a 125 ppm</w:t>
            </w:r>
          </w:p>
        </w:tc>
      </w:tr>
      <w:tr w:rsidR="00412AFB" w:rsidRPr="00993936" w:rsidTr="008847B6">
        <w:tc>
          <w:tcPr>
            <w:tcW w:w="0" w:type="auto"/>
            <w:gridSpan w:val="3"/>
            <w:shd w:val="clear" w:color="auto" w:fill="auto"/>
          </w:tcPr>
          <w:p w:rsidR="00412AFB" w:rsidRPr="00993936" w:rsidRDefault="00412AFB" w:rsidP="00C8678E">
            <w:pPr>
              <w:outlineLvl w:val="0"/>
              <w:rPr>
                <w:rFonts w:ascii="Arial" w:hAnsi="Arial" w:cs="Arial"/>
                <w:lang w:val="es-ES"/>
              </w:rPr>
            </w:pPr>
            <w:r w:rsidRPr="00993936">
              <w:rPr>
                <w:rFonts w:ascii="Arial" w:hAnsi="Arial" w:cs="Arial"/>
                <w:lang w:val="es-ES"/>
              </w:rPr>
              <w:t>ppm: partes por millón</w:t>
            </w:r>
          </w:p>
        </w:tc>
      </w:tr>
    </w:tbl>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i/>
          <w:lang w:val="es-ES"/>
        </w:rPr>
      </w:pPr>
      <w:r w:rsidRPr="00993936">
        <w:rPr>
          <w:rFonts w:ascii="Arial" w:hAnsi="Arial" w:cs="Arial"/>
          <w:lang w:val="es-ES"/>
        </w:rPr>
        <w:t xml:space="preserve">En el caso del nitrógeno esta cantidad podrá aumentarse hasta llegar a un máximo de </w:t>
      </w:r>
      <w:smartTag w:uri="urn:schemas-microsoft-com:office:smarttags" w:element="metricconverter">
        <w:smartTagPr>
          <w:attr w:name="ProductID" w:val="350 kg"/>
        </w:smartTagPr>
        <w:r w:rsidRPr="00993936">
          <w:rPr>
            <w:rFonts w:ascii="Arial" w:hAnsi="Arial" w:cs="Arial"/>
            <w:lang w:val="es-ES"/>
          </w:rPr>
          <w:t>350 kg</w:t>
        </w:r>
      </w:smartTag>
      <w:r w:rsidRPr="00993936">
        <w:rPr>
          <w:rFonts w:ascii="Arial" w:hAnsi="Arial" w:cs="Arial"/>
          <w:lang w:val="es-ES"/>
        </w:rPr>
        <w:t xml:space="preserve"> N/ha y año cuando toda la fertilización o una gran parte de ella se haga con materiales orgánicos. Los oligoelementos y abonos foliares solo se aplicarán cuando un análisis previo determine su insuficiencia para los requerimientos reales del cultivo</w:t>
      </w:r>
      <w:r w:rsidRPr="00993936">
        <w:rPr>
          <w:rFonts w:ascii="Arial" w:hAnsi="Arial" w:cs="Arial"/>
          <w:i/>
          <w:lang w:val="es-ES"/>
        </w:rPr>
        <w:t>.</w:t>
      </w:r>
    </w:p>
    <w:p w:rsidR="00412AFB" w:rsidRPr="00993936" w:rsidRDefault="00412AFB" w:rsidP="00412AFB">
      <w:pPr>
        <w:pStyle w:val="Textoindependiente"/>
        <w:rPr>
          <w:rFonts w:cs="Arial"/>
          <w:szCs w:val="22"/>
          <w:lang w:val="es-ES"/>
        </w:rPr>
      </w:pPr>
      <w:r w:rsidRPr="00993936">
        <w:rPr>
          <w:rFonts w:cs="Arial"/>
          <w:szCs w:val="22"/>
          <w:lang w:val="es-ES"/>
        </w:rPr>
        <w:t>La aplicación de fertilizantes deberá revisarse a posteriori por el miembro del personal técnico responsable de producción integrada, y su conformidad figurará en el cuaderno de explotación.</w:t>
      </w:r>
    </w:p>
    <w:p w:rsidR="00412AFB" w:rsidRPr="00993936" w:rsidRDefault="00412AFB" w:rsidP="00412AFB">
      <w:pPr>
        <w:jc w:val="both"/>
        <w:rPr>
          <w:rFonts w:ascii="Arial" w:hAnsi="Arial" w:cs="Arial"/>
          <w:lang w:val="es-ES"/>
        </w:rPr>
      </w:pPr>
      <w:r w:rsidRPr="00993936">
        <w:rPr>
          <w:rFonts w:ascii="Arial" w:hAnsi="Arial" w:cs="Arial"/>
          <w:lang w:val="es-ES"/>
        </w:rPr>
        <w:t>6.1.9 Cuando se añada materia orgánica al suelo, deberán conocerse los contenidos medios aportados en 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 xml:space="preserve">5, </w:t>
      </w:r>
      <w:r w:rsidRPr="00993936">
        <w:rPr>
          <w:rFonts w:ascii="Arial" w:hAnsi="Arial" w:cs="Arial"/>
          <w:lang w:val="es-ES"/>
        </w:rPr>
        <w:t>K</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 xml:space="preserve">. </w:t>
      </w:r>
      <w:r w:rsidRPr="00993936">
        <w:rPr>
          <w:rFonts w:ascii="Arial" w:hAnsi="Arial" w:cs="Arial"/>
          <w:lang w:val="es-ES"/>
        </w:rPr>
        <w:t>Para el cálculo de los elementos fertilizantes aportados se usarán preferentemente los resultados del análisis de la materia orgánica o, en su defecto, podrán utilizarse como valores orientativos los que figuran en el Anexo 4.</w:t>
      </w:r>
    </w:p>
    <w:p w:rsidR="00412AFB" w:rsidRPr="00993936" w:rsidRDefault="00412AFB" w:rsidP="00412AFB">
      <w:pPr>
        <w:jc w:val="both"/>
        <w:rPr>
          <w:rFonts w:ascii="Arial" w:hAnsi="Arial" w:cs="Arial"/>
          <w:lang w:val="es-ES"/>
        </w:rPr>
      </w:pPr>
      <w:r w:rsidRPr="00993936">
        <w:rPr>
          <w:rFonts w:ascii="Arial" w:hAnsi="Arial" w:cs="Arial"/>
          <w:lang w:val="es-ES"/>
        </w:rPr>
        <w:t>6.1.10 Cuando se aporten materias con valor fertilizante de origen urbano o industrial, es necesario disponer —o bien realizar— de un análisis de metales pesados para determinar que no excedan los límites legales establecidos, teniendo en cuenta el programa de actuaciones para la gestión de los lodos de depuración de aguas residuales urbanas de Cataluña. En todo caso, esta aportación debe contener la mínima cantidad de metales pesados ​​(cadmio, cromo, cobre, plomo, zinc, níquel y mercurio), patógenos u otros productos tóxicos.</w:t>
      </w:r>
    </w:p>
    <w:p w:rsidR="00412AFB" w:rsidRPr="00993936" w:rsidRDefault="00412AFB" w:rsidP="00412AFB">
      <w:pPr>
        <w:pStyle w:val="Textoindependiente"/>
        <w:rPr>
          <w:rFonts w:cs="Arial"/>
          <w:szCs w:val="22"/>
          <w:lang w:val="es-ES"/>
        </w:rPr>
      </w:pPr>
      <w:r w:rsidRPr="00993936">
        <w:rPr>
          <w:rFonts w:cs="Arial"/>
          <w:szCs w:val="22"/>
          <w:lang w:val="es-ES"/>
        </w:rPr>
        <w:t>6.1.11 Almacenar los abonos orgánicos de manera adecuada, de forma que se reduzca el riesgo de contaminación del medio ambiente.</w:t>
      </w:r>
    </w:p>
    <w:p w:rsidR="00412AFB" w:rsidRPr="00993936" w:rsidRDefault="00412AFB" w:rsidP="00412AFB">
      <w:pPr>
        <w:jc w:val="both"/>
        <w:rPr>
          <w:rFonts w:ascii="Arial" w:hAnsi="Arial" w:cs="Arial"/>
          <w:lang w:val="es-ES"/>
        </w:rPr>
      </w:pPr>
      <w:r w:rsidRPr="00993936">
        <w:rPr>
          <w:rFonts w:ascii="Arial" w:hAnsi="Arial" w:cs="Arial"/>
          <w:lang w:val="es-ES"/>
        </w:rPr>
        <w:t xml:space="preserve">6.1.12 Realizar las enmiendas necesarias siempre que el pH del suelo se aparte sustancialmente de un nivel de pH comprendido entre 6,5 y 8,9, o cuando las </w:t>
      </w:r>
      <w:r w:rsidRPr="00993936">
        <w:rPr>
          <w:rFonts w:ascii="Arial" w:hAnsi="Arial" w:cs="Arial"/>
          <w:lang w:val="es-ES"/>
        </w:rPr>
        <w:lastRenderedPageBreak/>
        <w:t>características físicas o químicas del suelo así lo aconsejen. En todo caso, las enmiendas deberán ser técnicamente justificadas de acuerdo con un análisis del suelo y con las necesidades reales de la variedad y la especie cultivadas.</w:t>
      </w:r>
    </w:p>
    <w:p w:rsidR="00412AFB" w:rsidRPr="00993936" w:rsidRDefault="00412AFB" w:rsidP="00412AFB">
      <w:pPr>
        <w:jc w:val="both"/>
        <w:rPr>
          <w:rFonts w:ascii="Arial" w:hAnsi="Arial" w:cs="Arial"/>
          <w:lang w:val="es-ES"/>
        </w:rPr>
      </w:pPr>
      <w:r w:rsidRPr="00993936">
        <w:rPr>
          <w:rFonts w:ascii="Arial" w:hAnsi="Arial" w:cs="Arial"/>
          <w:lang w:val="es-ES"/>
        </w:rPr>
        <w:t>6.1.13 Optimizar el reparto de los fertilizantes en función de los medios disponibles.</w:t>
      </w:r>
    </w:p>
    <w:p w:rsidR="00412AFB" w:rsidRPr="00993936" w:rsidRDefault="00412AFB" w:rsidP="00412AFB">
      <w:pPr>
        <w:jc w:val="both"/>
        <w:rPr>
          <w:rFonts w:ascii="Arial" w:hAnsi="Arial" w:cs="Arial"/>
          <w:lang w:val="es-ES"/>
        </w:rPr>
      </w:pPr>
      <w:r w:rsidRPr="00993936">
        <w:rPr>
          <w:rFonts w:ascii="Arial" w:hAnsi="Arial" w:cs="Arial"/>
          <w:lang w:val="es-ES"/>
        </w:rPr>
        <w:t>6.1.14 Conseguir, mediante un manejo adecuado, un nivel de pH comprendido entre 6,5 y 8,9.</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6.2 </w:t>
      </w:r>
      <w:r w:rsidRPr="00993936">
        <w:rPr>
          <w:rFonts w:ascii="Arial" w:hAnsi="Arial" w:cs="Arial"/>
          <w:i/>
          <w:lang w:val="es-ES"/>
        </w:rPr>
        <w:t>Prohibiciones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6.2.1 Superar la cantidad máxima tolerable por hectárea y año de nitrógeno total, y exceder los límites nacionales e internacionales aplicables a cada territorio relativos a la contaminación por nitratos o fosfatos del agua subterránea, así como los límites que se fijan de metales pesados en el Anexo 3 de esta norma, de patógenos y otros productos tóxicos.</w:t>
      </w:r>
    </w:p>
    <w:p w:rsidR="00412AFB" w:rsidRPr="00993936" w:rsidRDefault="00412AFB" w:rsidP="00412AFB">
      <w:pPr>
        <w:pStyle w:val="Textoindependiente"/>
        <w:rPr>
          <w:rFonts w:cs="Arial"/>
          <w:szCs w:val="22"/>
          <w:lang w:val="es-ES"/>
        </w:rPr>
      </w:pPr>
      <w:r w:rsidRPr="00993936">
        <w:rPr>
          <w:rFonts w:cs="Arial"/>
          <w:szCs w:val="22"/>
          <w:lang w:val="es-ES"/>
        </w:rPr>
        <w:t>6.2.2 Almacenar los fertilizantes y los fitosanitarios sin estar separados físicamente ni etiquetados correctamente.</w:t>
      </w:r>
    </w:p>
    <w:p w:rsidR="00412AFB" w:rsidRPr="00993936" w:rsidRDefault="00412AFB" w:rsidP="00412AFB">
      <w:pPr>
        <w:pStyle w:val="Textoindependiente"/>
        <w:rPr>
          <w:rFonts w:cs="Arial"/>
          <w:szCs w:val="22"/>
          <w:lang w:val="es-ES"/>
        </w:rPr>
      </w:pPr>
      <w:r w:rsidRPr="00993936">
        <w:rPr>
          <w:rFonts w:cs="Arial"/>
          <w:szCs w:val="22"/>
          <w:lang w:val="es-ES"/>
        </w:rPr>
        <w:t>6.2.3 Hacer una programación de la fertilización sin tener en cuenta los resultados de los análisis de suelo, y/ u hojas y agua.</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6.2.4 Aplicar estiércoles y purines sobre los terrenos encharcados o con nieve y a menos de </w:t>
      </w:r>
      <w:smartTag w:uri="urn:schemas-microsoft-com:office:smarttags" w:element="metricconverter">
        <w:smartTagPr>
          <w:attr w:name="ProductID" w:val="50 m"/>
        </w:smartTagPr>
        <w:r w:rsidRPr="00993936">
          <w:rPr>
            <w:rFonts w:ascii="Arial" w:hAnsi="Arial" w:cs="Arial"/>
            <w:lang w:val="es-ES"/>
          </w:rPr>
          <w:t>50 metros</w:t>
        </w:r>
      </w:smartTag>
      <w:r w:rsidRPr="00993936">
        <w:rPr>
          <w:rFonts w:ascii="Arial" w:hAnsi="Arial" w:cs="Arial"/>
          <w:lang w:val="es-ES"/>
        </w:rPr>
        <w:t xml:space="preserve"> de una captación de agua destinada al consumo humano.</w:t>
      </w:r>
    </w:p>
    <w:p w:rsidR="00412AFB" w:rsidRPr="00993936" w:rsidRDefault="00412AFB" w:rsidP="00412AFB">
      <w:pPr>
        <w:jc w:val="both"/>
        <w:outlineLvl w:val="0"/>
        <w:rPr>
          <w:rFonts w:ascii="Arial" w:hAnsi="Arial" w:cs="Arial"/>
          <w:lang w:val="es-ES"/>
        </w:rPr>
      </w:pPr>
      <w:r w:rsidRPr="00993936">
        <w:rPr>
          <w:rFonts w:ascii="Arial" w:hAnsi="Arial" w:cs="Arial"/>
          <w:lang w:val="es-ES"/>
        </w:rPr>
        <w:t>6.2.5 Utilizar, sin haber realizado tratamiento previo reconocido por la dirección general competente en materia de agricultura, tanto barro que proceda de depuradora como residuos sólidos urbanos.</w:t>
      </w:r>
    </w:p>
    <w:p w:rsidR="00412AFB" w:rsidRPr="00993936" w:rsidRDefault="00412AFB" w:rsidP="00412AFB">
      <w:pPr>
        <w:pStyle w:val="Textoindependiente"/>
        <w:outlineLvl w:val="0"/>
        <w:rPr>
          <w:rFonts w:cs="Arial"/>
          <w:i/>
          <w:szCs w:val="22"/>
          <w:lang w:val="es-ES"/>
        </w:rPr>
      </w:pPr>
      <w:r w:rsidRPr="00993936">
        <w:rPr>
          <w:rFonts w:cs="Arial"/>
          <w:szCs w:val="22"/>
          <w:lang w:val="es-ES"/>
        </w:rPr>
        <w:t xml:space="preserve">6.3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6.3.1 Realizar la fertirrigación de forma que se minimice el lavado de nutrientes, evitando la salinización del suelo.</w:t>
      </w:r>
    </w:p>
    <w:p w:rsidR="00412AFB" w:rsidRPr="00993936" w:rsidRDefault="00412AFB" w:rsidP="00412AFB">
      <w:pPr>
        <w:jc w:val="both"/>
        <w:rPr>
          <w:rFonts w:ascii="Arial" w:hAnsi="Arial" w:cs="Arial"/>
          <w:lang w:val="es-ES"/>
        </w:rPr>
      </w:pPr>
      <w:r w:rsidRPr="00993936">
        <w:rPr>
          <w:rFonts w:ascii="Arial" w:hAnsi="Arial" w:cs="Arial"/>
          <w:lang w:val="es-ES"/>
        </w:rPr>
        <w:t>6.3.2 Utilizar herramientas de apoyo a la decisión de la fertilización, que se hayan contrastado en la zona.</w:t>
      </w: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7</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Riego</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7.1 </w:t>
      </w:r>
      <w:r w:rsidRPr="00993936">
        <w:rPr>
          <w:rFonts w:ascii="Arial" w:hAnsi="Arial" w:cs="Arial"/>
          <w:i/>
          <w:lang w:val="es-ES"/>
        </w:rPr>
        <w:t>Obligaciones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7.1.1 Disponer de las características analíticas de la calidad del agua de riego con el objeto de tomar una decisión sobre su utilización. El análisis químico incluirá al menos las determinaciones de nitratos y de conductividad, sin perjuicio de otros elementos que puedan ser de interés. Los análisis se realizarán en laboratorios autorizados.</w:t>
      </w:r>
    </w:p>
    <w:p w:rsidR="00412AFB" w:rsidRPr="00993936" w:rsidRDefault="00412AFB" w:rsidP="00412AFB">
      <w:pPr>
        <w:jc w:val="both"/>
        <w:rPr>
          <w:rFonts w:ascii="Arial" w:hAnsi="Arial" w:cs="Arial"/>
          <w:lang w:val="es-ES"/>
        </w:rPr>
      </w:pPr>
      <w:r w:rsidRPr="00993936">
        <w:rPr>
          <w:rFonts w:ascii="Arial" w:hAnsi="Arial" w:cs="Arial"/>
          <w:lang w:val="es-ES"/>
        </w:rPr>
        <w:t>Si a causa de su origen la composición del agua es muy variable, deberán efectuarse con más frecuencia análisis del contenido de nitratos y de la conductividad. En caso de utilizar para el riego aguas residuales depuradas, que puedan entrar en contacto directo con los órganos vegetales consumibles, analizar la posible presencia de contaminantes microbianos, químicos o bacteriológicos para tomar una decisión sobre su uso.</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7.1.2 Tomar las medidas necesarias para evitar las pérdidas de agua.</w:t>
      </w:r>
    </w:p>
    <w:p w:rsidR="00412AFB" w:rsidRPr="00993936" w:rsidRDefault="00412AFB" w:rsidP="00412AFB">
      <w:pPr>
        <w:pStyle w:val="Textoindependiente"/>
        <w:rPr>
          <w:rFonts w:cs="Arial"/>
          <w:szCs w:val="22"/>
          <w:lang w:val="es-ES"/>
        </w:rPr>
      </w:pPr>
      <w:r w:rsidRPr="00993936">
        <w:rPr>
          <w:rFonts w:cs="Arial"/>
          <w:szCs w:val="22"/>
          <w:lang w:val="es-ES"/>
        </w:rPr>
        <w:t>7.1.3 En cultivos al aire libre, establecer los volúmenes anuales necesarios mediante el cálculo de las necesidades del cultivo, de acuerdo con los datos locales de la evapotranspiración calculada mediante los datos de la estación meteorológica más representativa.</w:t>
      </w:r>
    </w:p>
    <w:p w:rsidR="00412AFB" w:rsidRPr="00993936" w:rsidRDefault="00412AFB" w:rsidP="00412AFB">
      <w:pPr>
        <w:pStyle w:val="Textoindependiente"/>
        <w:rPr>
          <w:rFonts w:cs="Arial"/>
          <w:szCs w:val="22"/>
          <w:lang w:val="es-ES"/>
        </w:rPr>
      </w:pPr>
      <w:r w:rsidRPr="00993936">
        <w:rPr>
          <w:rFonts w:cs="Arial"/>
          <w:szCs w:val="22"/>
          <w:lang w:val="es-ES"/>
        </w:rPr>
        <w:t>7.1.4 Establecer los volúmenes máximos de cada riego en función del sistema, la profundidad radicular del cultivo, el estado hídrico y las características físicas del suelo. Para valores de conductividad eléctrica del agua superiores a 2,1 dS/m, se utilizará una fracción de lavado complementaria a las dosis normales del riego.</w:t>
      </w:r>
    </w:p>
    <w:p w:rsidR="00412AFB" w:rsidRPr="00993936" w:rsidRDefault="00412AFB" w:rsidP="00412AFB">
      <w:pPr>
        <w:jc w:val="both"/>
        <w:rPr>
          <w:rFonts w:ascii="Arial" w:hAnsi="Arial" w:cs="Arial"/>
          <w:lang w:val="es-ES"/>
        </w:rPr>
      </w:pPr>
      <w:r w:rsidRPr="00993936">
        <w:rPr>
          <w:rFonts w:ascii="Arial" w:hAnsi="Arial" w:cs="Arial"/>
          <w:lang w:val="es-ES"/>
        </w:rPr>
        <w:t xml:space="preserve">7.1.5 Los riegos se programarán para cada parcela y/o UHC siguiendo métodos técnicamente aceptados. </w:t>
      </w:r>
    </w:p>
    <w:p w:rsidR="00412AFB" w:rsidRPr="00993936" w:rsidRDefault="00412AFB" w:rsidP="00412AFB">
      <w:pPr>
        <w:jc w:val="both"/>
        <w:rPr>
          <w:rFonts w:ascii="Arial" w:hAnsi="Arial" w:cs="Arial"/>
          <w:lang w:val="es-ES"/>
        </w:rPr>
      </w:pPr>
      <w:r w:rsidRPr="00993936">
        <w:rPr>
          <w:rFonts w:ascii="Arial" w:hAnsi="Arial" w:cs="Arial"/>
          <w:lang w:val="es-ES"/>
        </w:rPr>
        <w:t>7.1.6 Al regar, se evitará la aplicación de aguas que conduzcan a una degradación del suelo por salinización y/o sodificación.</w:t>
      </w:r>
    </w:p>
    <w:p w:rsidR="00412AFB" w:rsidRPr="00993936" w:rsidRDefault="00412AFB" w:rsidP="00412AFB">
      <w:pPr>
        <w:pStyle w:val="Textoindependiente"/>
        <w:rPr>
          <w:rFonts w:cs="Arial"/>
          <w:szCs w:val="22"/>
          <w:lang w:val="es-ES"/>
        </w:rPr>
      </w:pPr>
      <w:r w:rsidRPr="00993936">
        <w:rPr>
          <w:rFonts w:cs="Arial"/>
          <w:szCs w:val="22"/>
          <w:lang w:val="es-ES"/>
        </w:rPr>
        <w:t>7.1.7 Para la programación de los riegos, se establecerá un programa que determine los volúmenes de agua a aplicar y los tiempos de riego.</w:t>
      </w:r>
    </w:p>
    <w:p w:rsidR="00412AFB" w:rsidRPr="00993936" w:rsidRDefault="00412AFB" w:rsidP="00412AFB">
      <w:pPr>
        <w:jc w:val="both"/>
        <w:rPr>
          <w:rFonts w:ascii="Arial" w:hAnsi="Arial" w:cs="Arial"/>
          <w:lang w:val="es-ES"/>
        </w:rPr>
      </w:pPr>
      <w:r w:rsidRPr="00993936">
        <w:rPr>
          <w:rFonts w:ascii="Arial" w:hAnsi="Arial" w:cs="Arial"/>
          <w:lang w:val="es-ES"/>
        </w:rPr>
        <w:t>7.1.8 Se diseñará un sistema de riego para cada parcela que garantice de forma permanente la conservación del suelo.</w:t>
      </w:r>
    </w:p>
    <w:p w:rsidR="00412AFB" w:rsidRPr="00993936" w:rsidRDefault="00412AFB" w:rsidP="00412AFB">
      <w:pPr>
        <w:pStyle w:val="Textoindependiente"/>
        <w:rPr>
          <w:rFonts w:cs="Arial"/>
          <w:szCs w:val="22"/>
          <w:lang w:val="es-ES"/>
        </w:rPr>
      </w:pPr>
      <w:r w:rsidRPr="00993936">
        <w:rPr>
          <w:rFonts w:cs="Arial"/>
          <w:szCs w:val="22"/>
          <w:lang w:val="es-ES"/>
        </w:rPr>
        <w:t>7.1.9 Se utilizarán técnicas de riego que garanticen la máxima eficiencia en el uso del agua y la optimización de los recursos hídricos, evitando las pérdidas de agua, por lo que se tendrá en cuenta que:</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Las dosis de riego se ajustarán a las necesidades de los cultivos y a la textura y las características de drenaje del suelo.</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En riego por gravedad o inundación, la longitud de las tablas y su pendiente máxima se establecerán en función del volumen de riego necesario y de las condiciones hidráulicas y de permeabilidad del terreno.</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 xml:space="preserve">En el riego a presión se justificará que el valor del coeficiente de uniformidad (CU) esté comprendido entre los valores establecidos de acuerdo con la separación entre los emisores y la pendiente del terreno. La medida del cálculo del coeficiente de uniformidad se realizará mediante el método de Merrien-Keller (Anexo 6). </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Mantener en buen estado de conservación los sistemas de distribución del agua.</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Registrar el agua de riego aplicada en el cuaderno de explotación. Si no fuera posible, se efectuará una estimación.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7.1.10 El agua para el riego se utilizará con criterios de máxima eficiencia. Deberá utilizarse algún método de programación de riegos que permita ajustar las dosis de riego a las necesidades de los cultivos y a la textura y el drenaje del suelo. El agua de riego se distribuirá uniformemente en las parcelas minimizando las pérdidas que se produzcan por percolación y escorrentía. </w:t>
      </w:r>
    </w:p>
    <w:p w:rsidR="00412AFB" w:rsidRPr="00993936" w:rsidRDefault="00412AFB" w:rsidP="00412AFB">
      <w:pPr>
        <w:jc w:val="both"/>
        <w:rPr>
          <w:rFonts w:ascii="Arial" w:hAnsi="Arial" w:cs="Arial"/>
          <w:lang w:val="es-ES"/>
        </w:rPr>
      </w:pPr>
      <w:r w:rsidRPr="00993936">
        <w:rPr>
          <w:rFonts w:ascii="Arial" w:hAnsi="Arial" w:cs="Arial"/>
          <w:lang w:val="es-ES"/>
        </w:rPr>
        <w:t xml:space="preserve">7.1.11 En los sistemas de presión, hay que lograr un coeficiente de uniformidad (CU) superior al 80 %. La comprobación de este coeficiente se llevará a cabo cada tres años, en cada sector de riego, de modo que pueda asegurarse el buen funcionamiento de las instalaciones. </w:t>
      </w:r>
    </w:p>
    <w:p w:rsidR="00412AFB" w:rsidRPr="00993936" w:rsidRDefault="00412AFB" w:rsidP="00412AFB">
      <w:pPr>
        <w:jc w:val="both"/>
        <w:rPr>
          <w:rFonts w:ascii="Arial" w:hAnsi="Arial" w:cs="Arial"/>
          <w:lang w:val="es-ES"/>
        </w:rPr>
      </w:pPr>
      <w:r w:rsidRPr="00993936">
        <w:rPr>
          <w:rFonts w:ascii="Arial" w:hAnsi="Arial" w:cs="Arial"/>
          <w:lang w:val="es-ES"/>
        </w:rPr>
        <w:t xml:space="preserve">7.1.12 En el caso del riego superficial, debe exigirse una nivelación cuidadosa en el momento de realizar una nueva plantación y, a la vez, una adaptación de la sistematización de la superficie que hay que regar a los módulos de riego que se </w:t>
      </w:r>
      <w:r w:rsidRPr="00993936">
        <w:rPr>
          <w:rFonts w:ascii="Arial" w:hAnsi="Arial" w:cs="Arial"/>
          <w:lang w:val="es-ES"/>
        </w:rPr>
        <w:lastRenderedPageBreak/>
        <w:t>utilicen y a las condiciones de infiltración. En el riego superficial, es necesario alcanzar la máxima uniformidad de distribución.</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7.2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7.2.1 Utilizar aguas caracterizadas por parámetros de calidad inadecuados para el cultivo y para el suelo.</w:t>
      </w:r>
    </w:p>
    <w:p w:rsidR="00412AFB" w:rsidRPr="00993936" w:rsidRDefault="00412AFB" w:rsidP="00412AFB">
      <w:pPr>
        <w:jc w:val="both"/>
        <w:rPr>
          <w:rFonts w:ascii="Arial" w:hAnsi="Arial" w:cs="Arial"/>
          <w:lang w:val="es-ES"/>
        </w:rPr>
      </w:pPr>
      <w:r w:rsidRPr="00993936">
        <w:rPr>
          <w:rFonts w:ascii="Arial" w:hAnsi="Arial" w:cs="Arial"/>
          <w:lang w:val="es-ES"/>
        </w:rPr>
        <w:t>7.2.2 Utilizar aguas residuales sin depuración previa o aguas que, a pesar de estar depuradas, superan los parámetros que establece la legislación vigente.</w:t>
      </w:r>
    </w:p>
    <w:p w:rsidR="00412AFB" w:rsidRPr="00993936" w:rsidRDefault="00412AFB" w:rsidP="00412AFB">
      <w:pPr>
        <w:jc w:val="both"/>
        <w:rPr>
          <w:rFonts w:ascii="Arial" w:hAnsi="Arial" w:cs="Arial"/>
          <w:lang w:val="es-ES"/>
        </w:rPr>
      </w:pPr>
      <w:r w:rsidRPr="00993936">
        <w:rPr>
          <w:rFonts w:ascii="Arial" w:hAnsi="Arial" w:cs="Arial"/>
          <w:lang w:val="es-ES"/>
        </w:rPr>
        <w:t>7.2.3 El uso de aguas de riego que superen los siguientes parámetros:</w:t>
      </w:r>
    </w:p>
    <w:p w:rsidR="00412AFB" w:rsidRPr="00993936" w:rsidRDefault="00412AFB" w:rsidP="001D205D">
      <w:pPr>
        <w:spacing w:line="240" w:lineRule="auto"/>
        <w:jc w:val="both"/>
        <w:rPr>
          <w:rFonts w:ascii="Arial" w:hAnsi="Arial" w:cs="Arial"/>
          <w:lang w:val="es-ES"/>
        </w:rPr>
      </w:pPr>
      <w:r w:rsidRPr="00993936">
        <w:rPr>
          <w:rFonts w:ascii="Arial" w:hAnsi="Arial" w:cs="Arial"/>
          <w:lang w:val="es-ES"/>
        </w:rPr>
        <w:t>Conductividad (CEW) ......... 3,0 dS/m</w:t>
      </w:r>
    </w:p>
    <w:p w:rsidR="00412AFB" w:rsidRPr="00993936" w:rsidRDefault="00412AFB" w:rsidP="001D205D">
      <w:pPr>
        <w:spacing w:line="240" w:lineRule="auto"/>
        <w:jc w:val="both"/>
        <w:rPr>
          <w:rFonts w:ascii="Arial" w:hAnsi="Arial" w:cs="Arial"/>
          <w:lang w:val="es-ES"/>
        </w:rPr>
      </w:pPr>
      <w:r w:rsidRPr="00993936">
        <w:rPr>
          <w:rFonts w:ascii="Arial" w:hAnsi="Arial" w:cs="Arial"/>
          <w:lang w:val="es-ES"/>
        </w:rPr>
        <w:t>RAS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4</w:t>
      </w:r>
    </w:p>
    <w:p w:rsidR="00412AFB" w:rsidRPr="00993936" w:rsidRDefault="00412AFB" w:rsidP="001D205D">
      <w:pPr>
        <w:spacing w:line="240" w:lineRule="auto"/>
        <w:jc w:val="both"/>
        <w:rPr>
          <w:rFonts w:ascii="Arial" w:hAnsi="Arial" w:cs="Arial"/>
          <w:lang w:val="es-ES"/>
        </w:rPr>
      </w:pPr>
      <w:r w:rsidRPr="00993936">
        <w:rPr>
          <w:rFonts w:ascii="Arial" w:hAnsi="Arial" w:cs="Arial"/>
          <w:lang w:val="es-ES"/>
        </w:rPr>
        <w:t>Boro .....................</w:t>
      </w:r>
      <w:r w:rsidR="00D74508" w:rsidRPr="00993936">
        <w:rPr>
          <w:rFonts w:ascii="Arial" w:hAnsi="Arial" w:cs="Arial"/>
          <w:lang w:val="es-ES"/>
        </w:rPr>
        <w:t>.........</w:t>
      </w:r>
      <w:r w:rsidRPr="00993936">
        <w:rPr>
          <w:rFonts w:ascii="Arial" w:hAnsi="Arial" w:cs="Arial"/>
          <w:lang w:val="es-ES"/>
        </w:rPr>
        <w:t>...... 2 ppm</w:t>
      </w:r>
    </w:p>
    <w:p w:rsidR="00412AFB" w:rsidRPr="00993936" w:rsidRDefault="00412AFB" w:rsidP="001D205D">
      <w:pPr>
        <w:spacing w:line="240" w:lineRule="auto"/>
        <w:jc w:val="both"/>
        <w:rPr>
          <w:rFonts w:ascii="Arial" w:hAnsi="Arial" w:cs="Arial"/>
          <w:lang w:val="es-ES"/>
        </w:rPr>
      </w:pPr>
      <w:r w:rsidRPr="00993936">
        <w:rPr>
          <w:rFonts w:ascii="Arial" w:hAnsi="Arial" w:cs="Arial"/>
          <w:lang w:val="es-ES"/>
        </w:rPr>
        <w:t>Cloruros…………</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10 mEq/l</w:t>
      </w:r>
    </w:p>
    <w:p w:rsidR="00412AFB" w:rsidRPr="00993936" w:rsidRDefault="00412AFB" w:rsidP="001D205D">
      <w:pPr>
        <w:spacing w:line="240" w:lineRule="auto"/>
        <w:jc w:val="both"/>
        <w:rPr>
          <w:rFonts w:ascii="Arial" w:hAnsi="Arial" w:cs="Arial"/>
          <w:lang w:val="es-ES"/>
        </w:rPr>
      </w:pPr>
      <w:r w:rsidRPr="00993936">
        <w:rPr>
          <w:rFonts w:ascii="Arial" w:hAnsi="Arial" w:cs="Arial"/>
          <w:lang w:val="es-ES"/>
        </w:rPr>
        <w:t>Sodio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9 mEq/l</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7.3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7.3.1 Para utilizar el agua para el riego con criterios de máxima eficiencia, se recomienda en los sistemas de riego a presión la instalación de un caudalímetro o algún otro sistema de medición de consumo de agua, como instalar contadores en los conductos a presión o bien contar las horas de riego superficial, que permitan llevar un control preciso de las dosis de agua y de los momentos de aplicación.</w:t>
      </w:r>
    </w:p>
    <w:p w:rsidR="00412AFB" w:rsidRPr="00993936" w:rsidRDefault="00412AFB" w:rsidP="00412AFB">
      <w:pPr>
        <w:jc w:val="both"/>
        <w:rPr>
          <w:rFonts w:ascii="Arial" w:hAnsi="Arial" w:cs="Arial"/>
          <w:lang w:val="es-ES"/>
        </w:rPr>
      </w:pPr>
      <w:r w:rsidRPr="00993936">
        <w:rPr>
          <w:rFonts w:ascii="Arial" w:hAnsi="Arial" w:cs="Arial"/>
          <w:lang w:val="es-ES"/>
        </w:rPr>
        <w:t>7.3.2 En riego por gravedad, nivelar con refinadora, preferentemente láser, cada cinco años para garantizar una correcta uniformidad de la distribución del agua.</w:t>
      </w:r>
    </w:p>
    <w:p w:rsidR="00412AFB" w:rsidRPr="00993936" w:rsidRDefault="00412AFB" w:rsidP="00412AFB">
      <w:pPr>
        <w:jc w:val="both"/>
        <w:rPr>
          <w:rFonts w:ascii="Arial" w:hAnsi="Arial" w:cs="Arial"/>
          <w:lang w:val="es-ES"/>
        </w:rPr>
      </w:pPr>
      <w:r w:rsidRPr="00993936">
        <w:rPr>
          <w:rFonts w:ascii="Arial" w:hAnsi="Arial" w:cs="Arial"/>
          <w:lang w:val="es-ES"/>
        </w:rPr>
        <w:t xml:space="preserve">7.3.3 Garantizar el suministro de agua fundamentalmente durante todo el periodo de crecimiento del cultivo, especialmente </w:t>
      </w:r>
      <w:r w:rsidR="00241200" w:rsidRPr="00993936">
        <w:rPr>
          <w:rFonts w:ascii="Arial" w:hAnsi="Arial" w:cs="Arial"/>
          <w:lang w:val="es-ES"/>
        </w:rPr>
        <w:t xml:space="preserve">durante la fase de espigado y </w:t>
      </w:r>
      <w:r w:rsidRPr="00993936">
        <w:rPr>
          <w:rFonts w:ascii="Arial" w:hAnsi="Arial" w:cs="Arial"/>
          <w:lang w:val="es-ES"/>
        </w:rPr>
        <w:t>floración, ya que esta época es la que tiene más necesidades.</w:t>
      </w:r>
    </w:p>
    <w:p w:rsidR="00412AFB" w:rsidRPr="00993936" w:rsidRDefault="00412AFB" w:rsidP="00412AFB">
      <w:pPr>
        <w:jc w:val="both"/>
        <w:rPr>
          <w:rFonts w:ascii="Arial" w:hAnsi="Arial" w:cs="Arial"/>
          <w:lang w:val="es-ES"/>
        </w:rPr>
      </w:pPr>
      <w:r w:rsidRPr="00993936">
        <w:rPr>
          <w:rFonts w:ascii="Arial" w:hAnsi="Arial" w:cs="Arial"/>
          <w:lang w:val="es-ES"/>
        </w:rPr>
        <w:t xml:space="preserve">7.3.5 Para evaluar el estado del agua en el suelo, se recomienda disponer de algún tipo de control de la humedad del suelo (tensiómetros, sondas u otros). </w:t>
      </w:r>
    </w:p>
    <w:p w:rsidR="00412AFB" w:rsidRPr="00993936" w:rsidRDefault="00412AFB" w:rsidP="00412AFB">
      <w:pPr>
        <w:jc w:val="both"/>
        <w:rPr>
          <w:rFonts w:ascii="Arial" w:hAnsi="Arial" w:cs="Arial"/>
          <w:lang w:val="es-ES"/>
        </w:rPr>
      </w:pPr>
      <w:r w:rsidRPr="00993936">
        <w:rPr>
          <w:rFonts w:ascii="Arial" w:hAnsi="Arial" w:cs="Arial"/>
          <w:lang w:val="es-ES"/>
        </w:rPr>
        <w:t>7.3.6 Establecer un plan de gestión del agua que permita optimizar su uso y reducir las pérdidas.</w:t>
      </w: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7.3.7 Evitar el riego por gravedad en suelos de textura arenosa.</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8</w:t>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Control de malas hierbas</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8.1 </w:t>
      </w:r>
      <w:r w:rsidRPr="00993936">
        <w:rPr>
          <w:rFonts w:ascii="Arial" w:hAnsi="Arial" w:cs="Arial"/>
          <w:i/>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t>8.1.1 En caso de utilizar herbicidas, no repetir una materia activa más de dos años seguidos.</w:t>
      </w:r>
    </w:p>
    <w:p w:rsidR="00412AFB" w:rsidRPr="00993936" w:rsidRDefault="00412AFB" w:rsidP="00412AFB">
      <w:pPr>
        <w:jc w:val="both"/>
        <w:rPr>
          <w:rFonts w:ascii="Arial" w:hAnsi="Arial" w:cs="Arial"/>
          <w:lang w:val="es-ES"/>
        </w:rPr>
      </w:pPr>
      <w:r w:rsidRPr="00993936">
        <w:rPr>
          <w:rFonts w:ascii="Arial" w:hAnsi="Arial" w:cs="Arial"/>
          <w:lang w:val="es-ES"/>
        </w:rPr>
        <w:t xml:space="preserve">8.1.2 Controlar las malas hierbas, siempre que sea posible, con medios físicos, mecánicos, biológicos o con aquellos que ofrezcan el menor riesgo de emisiones de </w:t>
      </w:r>
      <w:r w:rsidRPr="00993936">
        <w:rPr>
          <w:rFonts w:ascii="Arial" w:hAnsi="Arial" w:cs="Arial"/>
          <w:lang w:val="es-ES"/>
        </w:rPr>
        <w:lastRenderedPageBreak/>
        <w:t>CO</w:t>
      </w:r>
      <w:r w:rsidRPr="00993936">
        <w:rPr>
          <w:rFonts w:ascii="Arial" w:hAnsi="Arial" w:cs="Arial"/>
          <w:vertAlign w:val="subscript"/>
          <w:lang w:val="es-ES"/>
        </w:rPr>
        <w:t>2</w:t>
      </w:r>
      <w:r w:rsidRPr="00993936">
        <w:rPr>
          <w:rFonts w:ascii="Arial" w:hAnsi="Arial" w:cs="Arial"/>
          <w:lang w:val="es-ES"/>
        </w:rPr>
        <w:t>. Cuando los medios señalados anteriormente no permitan un control adecuado de las malas hierbas, podrá justificarse la aplicación de alguno de los herbicidas que figuran en el Anexo 1 de esta norma. Excepcionalmente, cuando en el cultivo se detecten malas hierbas no habituales o cuyo umbral y/o criterio mínimo de intervención no se haya definido, podrá actuarse en contra con cualquier otro herbicida que esté expresamente autorizado en el Registro oficial de productos y material fitosanitario del Ministerio de Agricultura y Pesca, Alimentación y Medio Ambiente (MAPAMA) para este cultivo y para los usos oficialmente autorizados. Esta excepción también será de aplicación para aquellos herbicidas que aparezcan en dicho registro, para combatir determinadas malas hierbas que no estén contempladas por su novedad en el anexo de herbicidas de esta norma.</w:t>
      </w:r>
    </w:p>
    <w:p w:rsidR="00412AFB" w:rsidRPr="00993936" w:rsidRDefault="00412AFB" w:rsidP="00412AFB">
      <w:pPr>
        <w:jc w:val="both"/>
        <w:rPr>
          <w:rFonts w:ascii="Arial" w:hAnsi="Arial" w:cs="Arial"/>
          <w:lang w:val="es-ES"/>
        </w:rPr>
      </w:pPr>
      <w:r w:rsidRPr="00993936">
        <w:rPr>
          <w:rFonts w:ascii="Arial" w:hAnsi="Arial" w:cs="Arial"/>
          <w:lang w:val="es-ES"/>
        </w:rPr>
        <w:t xml:space="preserve">De ser necesaria la aplicación de herbicidas, esta se llevará a cabo mediante las técnicas recomendadas en la etiqueta del producto. </w:t>
      </w:r>
    </w:p>
    <w:p w:rsidR="00412AFB" w:rsidRPr="00993936" w:rsidRDefault="00412AFB" w:rsidP="00412AFB">
      <w:pPr>
        <w:pStyle w:val="Textoindependiente"/>
        <w:rPr>
          <w:rFonts w:cs="Arial"/>
          <w:szCs w:val="22"/>
          <w:lang w:val="es-ES"/>
        </w:rPr>
      </w:pPr>
      <w:r w:rsidRPr="00993936">
        <w:rPr>
          <w:rFonts w:cs="Arial"/>
          <w:szCs w:val="22"/>
          <w:lang w:val="es-ES"/>
        </w:rPr>
        <w:t>8.1.3 Las materias activas que se utilizarán serán seleccionadas de acuerdo con los criterios de menor peligrosidad para los humanos, la fauna silvestre y el medio ambiente, y por proporcionar un control efectivo de las malas hierbas. En cualquier caso, solo podrán utilizarse los herbicidas inscritos en el Registro oficial de productos y de material fitosanitario del Ministerio de Agricultura y Pesca, Alimentación y Medio Ambiente (MAPAMA) y aprobados expresamente para los cultivos autorizados que figuran en el Anexo 1.</w:t>
      </w:r>
    </w:p>
    <w:p w:rsidR="00412AFB" w:rsidRPr="00993936" w:rsidRDefault="00412AFB" w:rsidP="00412AFB">
      <w:pPr>
        <w:pStyle w:val="Textoindependiente"/>
        <w:rPr>
          <w:rFonts w:cs="Arial"/>
          <w:szCs w:val="22"/>
          <w:lang w:val="es-ES"/>
        </w:rPr>
      </w:pPr>
      <w:r w:rsidRPr="00993936">
        <w:rPr>
          <w:rFonts w:cs="Arial"/>
          <w:szCs w:val="22"/>
          <w:lang w:val="es-ES"/>
        </w:rPr>
        <w:t>8.1.4 La maquinaria utilizada para aplicar los productos herbicidas debe mantenerse en un adecuado estado de funcionamiento y someterse periódicamente a los controles que establece el artículo 15 de esta norma.</w:t>
      </w:r>
    </w:p>
    <w:p w:rsidR="00412AFB" w:rsidRPr="00993936" w:rsidRDefault="00412AFB" w:rsidP="00412AFB">
      <w:pPr>
        <w:pStyle w:val="Textoindependiente"/>
        <w:rPr>
          <w:rFonts w:cs="Arial"/>
          <w:szCs w:val="22"/>
          <w:lang w:val="es-ES"/>
        </w:rPr>
      </w:pPr>
      <w:r w:rsidRPr="00993936">
        <w:rPr>
          <w:rFonts w:cs="Arial"/>
          <w:szCs w:val="22"/>
          <w:lang w:val="es-ES"/>
        </w:rPr>
        <w:t>Los volúmenes máximos de caldo en los tratamientos herbicidas se ajustarán a los parámetros precisos, teniendo en cuenta el estado de desarrollo del cultivo para obtener la máxima eficacia con la menor dosis.</w:t>
      </w:r>
    </w:p>
    <w:p w:rsidR="00412AFB" w:rsidRPr="00993936" w:rsidRDefault="00412AFB" w:rsidP="00412AFB">
      <w:pPr>
        <w:jc w:val="both"/>
        <w:rPr>
          <w:rFonts w:ascii="Arial" w:hAnsi="Arial" w:cs="Arial"/>
          <w:lang w:val="es-ES"/>
        </w:rPr>
      </w:pPr>
      <w:r w:rsidRPr="00993936">
        <w:rPr>
          <w:rFonts w:ascii="Arial" w:hAnsi="Arial" w:cs="Arial"/>
          <w:lang w:val="es-ES"/>
        </w:rPr>
        <w:t>8.1.5 Adoptar las medidas precisas para evitar que la deriva de las aplicaciones llegue a parcelas y/o UHC diferentes a las que pretenden tratarse.</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8.2.1 Utilizar los herbicidas no relacionados en el Anexo 1 de esta norma técnica. </w:t>
      </w:r>
    </w:p>
    <w:p w:rsidR="00412AFB" w:rsidRPr="00993936" w:rsidRDefault="00412AFB" w:rsidP="00412AFB">
      <w:pPr>
        <w:rPr>
          <w:rFonts w:ascii="Arial" w:hAnsi="Arial" w:cs="Arial"/>
          <w:lang w:val="es-ES"/>
        </w:rPr>
      </w:pPr>
      <w:r w:rsidRPr="00993936">
        <w:rPr>
          <w:rFonts w:ascii="Arial" w:hAnsi="Arial" w:cs="Arial"/>
          <w:lang w:val="es-ES"/>
        </w:rPr>
        <w:t>8.2.2 Realizar tratamientos de herbicidas con velocidades de viento superiores a 1,5 m/s.</w:t>
      </w:r>
    </w:p>
    <w:p w:rsidR="00412AFB" w:rsidRPr="00993936" w:rsidRDefault="00412AFB" w:rsidP="00412AFB">
      <w:pPr>
        <w:rPr>
          <w:rFonts w:ascii="Arial" w:hAnsi="Arial" w:cs="Arial"/>
          <w:lang w:val="es-ES"/>
        </w:rPr>
      </w:pPr>
      <w:r w:rsidRPr="00993936">
        <w:rPr>
          <w:rFonts w:ascii="Arial" w:hAnsi="Arial" w:cs="Arial"/>
          <w:lang w:val="es-ES"/>
        </w:rPr>
        <w:t>8.2.3. La utilización de herbicidas residuales en los suelos arenosos.</w:t>
      </w:r>
    </w:p>
    <w:p w:rsidR="00412AFB" w:rsidRPr="00993936" w:rsidRDefault="00412AFB" w:rsidP="00412AFB">
      <w:pPr>
        <w:jc w:val="both"/>
        <w:rPr>
          <w:rFonts w:ascii="Arial" w:hAnsi="Arial" w:cs="Arial"/>
          <w:lang w:val="es-ES"/>
        </w:rPr>
      </w:pPr>
      <w:r w:rsidRPr="00993936">
        <w:rPr>
          <w:rFonts w:ascii="Arial" w:hAnsi="Arial" w:cs="Arial"/>
          <w:lang w:val="es-ES"/>
        </w:rPr>
        <w:t xml:space="preserve">8.2.4 Utilizar herbicidas a menos de cinco metros de las aguas superficiales. </w:t>
      </w:r>
    </w:p>
    <w:p w:rsidR="00412AFB" w:rsidRPr="00993936" w:rsidRDefault="00412AFB" w:rsidP="00412AFB">
      <w:pPr>
        <w:jc w:val="both"/>
        <w:rPr>
          <w:rFonts w:ascii="Arial" w:hAnsi="Arial" w:cs="Arial"/>
          <w:lang w:val="es-ES"/>
        </w:rPr>
      </w:pPr>
      <w:r w:rsidRPr="00993936">
        <w:rPr>
          <w:rFonts w:ascii="Arial" w:hAnsi="Arial" w:cs="Arial"/>
          <w:lang w:val="es-ES"/>
        </w:rPr>
        <w:t>8.2.5 Utilizar cualquier herbicida que, a pesar de figurar en el Anexo 1 de esta norma, se haya dado de baja del Registro oficial de productos y de material fitosanitario del Ministerio de Agricultura, Pesca, Alimentación y Medio Ambiente (MAPAMA) con posterioridad a la publicación de la disposición que lo aprueba o que haya perdido la autorización de uso correspondiente.</w:t>
      </w:r>
    </w:p>
    <w:p w:rsidR="00412AFB" w:rsidRPr="00993936" w:rsidRDefault="00412AFB" w:rsidP="00412AFB">
      <w:pPr>
        <w:jc w:val="both"/>
        <w:rPr>
          <w:rFonts w:ascii="Arial" w:hAnsi="Arial" w:cs="Arial"/>
          <w:lang w:val="es-ES"/>
        </w:rPr>
      </w:pPr>
      <w:r w:rsidRPr="00993936">
        <w:rPr>
          <w:rFonts w:ascii="Arial" w:hAnsi="Arial" w:cs="Arial"/>
          <w:lang w:val="es-ES"/>
        </w:rPr>
        <w:t xml:space="preserve">8.2.6 Aplicar productos fitosanitarios de perfil toxicológico (T+) (muy tóxicos) o que en su clasificación y etiquetado presenten advertencias de riesgo con un perfil muy tóxico o mortales para la salud humana. </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8.3.1 El control de malas hierbas se hará preferentemente mediante la adopción de medidas preventivas antes de la implantación del cultivo y la aplicación de métodos mecánicos y físicos mientras dure este.</w:t>
      </w:r>
    </w:p>
    <w:p w:rsidR="00412AFB" w:rsidRPr="00993936" w:rsidRDefault="00412AFB" w:rsidP="00412AFB">
      <w:pPr>
        <w:jc w:val="both"/>
        <w:rPr>
          <w:rFonts w:ascii="Arial" w:hAnsi="Arial" w:cs="Arial"/>
          <w:lang w:val="es-ES"/>
        </w:rPr>
      </w:pPr>
      <w:r w:rsidRPr="00993936">
        <w:rPr>
          <w:rFonts w:ascii="Arial" w:hAnsi="Arial" w:cs="Arial"/>
          <w:lang w:val="es-ES"/>
        </w:rPr>
        <w:t>8.3.2. En campos muy infestados de malezas, retrasar lo máximo posible la fecha de siembra aprovechando el nacimiento de las malas hierbas para controlarlas.</w:t>
      </w:r>
    </w:p>
    <w:p w:rsidR="00412AFB" w:rsidRPr="00993936" w:rsidRDefault="00412AFB" w:rsidP="00412AFB">
      <w:pPr>
        <w:pStyle w:val="Textoindependiente"/>
        <w:rPr>
          <w:rFonts w:cs="Arial"/>
          <w:szCs w:val="22"/>
          <w:lang w:val="es-ES"/>
        </w:rPr>
      </w:pPr>
      <w:r w:rsidRPr="00993936">
        <w:rPr>
          <w:rFonts w:cs="Arial"/>
          <w:szCs w:val="22"/>
          <w:lang w:val="es-ES"/>
        </w:rPr>
        <w:t>8.3.3 Si se utilizan herbicidas, se aplicarán preferentemente en el momento en el que la mala hierba sea más sensible para utilizar el mínimo de producto posible; asimismo, hay que procurar combinarlos con métodos mecánicos de control.</w:t>
      </w:r>
    </w:p>
    <w:p w:rsidR="00412AFB" w:rsidRPr="00993936" w:rsidRDefault="00412AFB" w:rsidP="00412AFB">
      <w:pPr>
        <w:pStyle w:val="Textoindependiente"/>
        <w:rPr>
          <w:rFonts w:cs="Arial"/>
          <w:szCs w:val="22"/>
          <w:lang w:val="es-ES"/>
        </w:rPr>
      </w:pPr>
      <w:r w:rsidRPr="00993936">
        <w:rPr>
          <w:rFonts w:cs="Arial"/>
          <w:szCs w:val="22"/>
          <w:lang w:val="es-ES"/>
        </w:rPr>
        <w:t>8.3.4. Adecuar la dosis de aplicación a la especie de mala hierba que se quiera controlar, al tipo de suelo donde se aplique y a las condiciones climáticas en que se realice el tratamiento.</w:t>
      </w:r>
    </w:p>
    <w:p w:rsidR="00412AFB" w:rsidRPr="00993936" w:rsidRDefault="00412AFB" w:rsidP="00412AFB">
      <w:pPr>
        <w:pStyle w:val="Textoindependiente"/>
        <w:rPr>
          <w:rFonts w:cs="Arial"/>
          <w:szCs w:val="22"/>
          <w:lang w:val="es-ES"/>
        </w:rPr>
      </w:pPr>
      <w:r w:rsidRPr="00993936">
        <w:rPr>
          <w:rFonts w:cs="Arial"/>
          <w:szCs w:val="22"/>
          <w:lang w:val="es-ES"/>
        </w:rPr>
        <w:t>8.3.5. Evitar al máximo las mezclas de materias activas herbicidas con el objeto de no tener disminuciones en la eficacia.</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8.3.6. Alternar el uso de materias activas herbicidas pertenecientes a grupos distintos de la clasificación HRAC (Comité para la Prevención de la Resistencia a Herbicidas) tan a menudo como se pueda.</w:t>
      </w:r>
    </w:p>
    <w:p w:rsidR="00412AFB" w:rsidRPr="00993936" w:rsidRDefault="00412AFB" w:rsidP="00412AFB">
      <w:pPr>
        <w:jc w:val="both"/>
        <w:rPr>
          <w:rFonts w:ascii="Arial" w:hAnsi="Arial" w:cs="Arial"/>
          <w:lang w:val="es-ES"/>
        </w:rPr>
      </w:pPr>
      <w:r w:rsidRPr="00993936">
        <w:rPr>
          <w:rFonts w:ascii="Arial" w:hAnsi="Arial" w:cs="Arial"/>
          <w:lang w:val="es-ES"/>
        </w:rPr>
        <w:t>8.3.7 Controlar las malas hierbas empleando técnicas de control integrado.</w:t>
      </w:r>
    </w:p>
    <w:p w:rsidR="00412AFB" w:rsidRPr="00993936" w:rsidRDefault="00412AFB" w:rsidP="00412AFB">
      <w:pPr>
        <w:jc w:val="both"/>
        <w:outlineLvl w:val="0"/>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9</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 xml:space="preserve">Control integrado de plagas y enfermedades </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9.1 </w:t>
      </w:r>
      <w:r w:rsidRPr="00993936">
        <w:rPr>
          <w:rFonts w:ascii="Arial" w:hAnsi="Arial" w:cs="Arial"/>
          <w:i/>
          <w:lang w:val="es-ES"/>
        </w:rPr>
        <w:t>Obligaciones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 xml:space="preserve">9.1.1 En el control de plagas y enfermedades, tendrán prioridad los siguientes métodos de lucha: </w:t>
      </w:r>
    </w:p>
    <w:p w:rsidR="00412AFB" w:rsidRPr="00993936" w:rsidRDefault="00412AFB" w:rsidP="00412AFB">
      <w:pPr>
        <w:numPr>
          <w:ilvl w:val="0"/>
          <w:numId w:val="2"/>
        </w:numPr>
        <w:tabs>
          <w:tab w:val="left" w:pos="1065"/>
        </w:tabs>
        <w:autoSpaceDE w:val="0"/>
        <w:autoSpaceDN w:val="0"/>
        <w:adjustRightInd w:val="0"/>
        <w:spacing w:after="0" w:line="240" w:lineRule="auto"/>
        <w:jc w:val="both"/>
        <w:rPr>
          <w:rFonts w:ascii="Arial" w:hAnsi="Arial" w:cs="Arial"/>
          <w:lang w:val="es-ES"/>
        </w:rPr>
      </w:pPr>
      <w:r w:rsidRPr="00993936">
        <w:rPr>
          <w:rFonts w:ascii="Arial" w:hAnsi="Arial" w:cs="Arial"/>
          <w:lang w:val="es-ES"/>
        </w:rPr>
        <w:t>Culturales: rotación de cultivos, trabajo del suelo, eliminación de focos de infección, fertilización equilibrada, fecha de siembra y control del riego.</w:t>
      </w:r>
    </w:p>
    <w:p w:rsidR="00412AFB" w:rsidRPr="00993936" w:rsidRDefault="00412AFB" w:rsidP="00412AFB">
      <w:pPr>
        <w:numPr>
          <w:ilvl w:val="0"/>
          <w:numId w:val="2"/>
        </w:numPr>
        <w:tabs>
          <w:tab w:val="left" w:pos="1065"/>
        </w:tabs>
        <w:autoSpaceDE w:val="0"/>
        <w:autoSpaceDN w:val="0"/>
        <w:adjustRightInd w:val="0"/>
        <w:spacing w:after="0" w:line="240" w:lineRule="auto"/>
        <w:jc w:val="both"/>
        <w:rPr>
          <w:rFonts w:ascii="Arial" w:hAnsi="Arial" w:cs="Arial"/>
          <w:lang w:val="es-ES"/>
        </w:rPr>
      </w:pPr>
      <w:r w:rsidRPr="00993936">
        <w:rPr>
          <w:rFonts w:ascii="Arial" w:hAnsi="Arial" w:cs="Arial"/>
          <w:lang w:val="es-ES"/>
        </w:rPr>
        <w:t>Biológicos: uso de biopesticidas.</w:t>
      </w:r>
    </w:p>
    <w:p w:rsidR="00412AFB" w:rsidRPr="00993936" w:rsidRDefault="00412AFB" w:rsidP="00412AFB">
      <w:pPr>
        <w:numPr>
          <w:ilvl w:val="0"/>
          <w:numId w:val="2"/>
        </w:numPr>
        <w:tabs>
          <w:tab w:val="left" w:pos="1065"/>
        </w:tabs>
        <w:autoSpaceDE w:val="0"/>
        <w:autoSpaceDN w:val="0"/>
        <w:adjustRightInd w:val="0"/>
        <w:spacing w:after="0" w:line="240" w:lineRule="auto"/>
        <w:jc w:val="both"/>
        <w:rPr>
          <w:rFonts w:ascii="Arial" w:hAnsi="Arial" w:cs="Arial"/>
          <w:lang w:val="es-ES"/>
        </w:rPr>
      </w:pPr>
      <w:r w:rsidRPr="00993936">
        <w:rPr>
          <w:rFonts w:ascii="Arial" w:hAnsi="Arial" w:cs="Arial"/>
          <w:lang w:val="es-ES"/>
        </w:rPr>
        <w:t>Biotecnológicos: Atrayentes sexuales para combatirlas mediante confusión sexual y capturas masivas de adultos, o bien mediante el uso de otro tipo de atrayentes.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 xml:space="preserve">La utilización de productos fitosanitarios de síntesis </w:t>
      </w:r>
      <w:r w:rsidR="00241200" w:rsidRPr="00993936">
        <w:rPr>
          <w:rFonts w:ascii="Arial" w:hAnsi="Arial" w:cs="Arial"/>
          <w:lang w:val="es-ES"/>
        </w:rPr>
        <w:t>só</w:t>
      </w:r>
      <w:r w:rsidRPr="00993936">
        <w:rPr>
          <w:rFonts w:ascii="Arial" w:hAnsi="Arial" w:cs="Arial"/>
          <w:lang w:val="es-ES"/>
        </w:rPr>
        <w:t>lo se permitirá cuando no sean aplicables los métodos señalados anteriormente y cuando se superen los niveles de tolerancia descritos en el punto 9.1.3.</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 xml:space="preserve">9.1.2 La estimación del riesgo en cada parcela se hará a través de: </w:t>
      </w:r>
      <w:r w:rsidRPr="00993936">
        <w:rPr>
          <w:rFonts w:ascii="Arial" w:hAnsi="Arial" w:cs="Arial"/>
          <w:i/>
          <w:lang w:val="es-ES"/>
        </w:rPr>
        <w:t xml:space="preserve">a) </w:t>
      </w:r>
      <w:r w:rsidRPr="00993936">
        <w:rPr>
          <w:rFonts w:ascii="Arial" w:hAnsi="Arial" w:cs="Arial"/>
          <w:lang w:val="es-ES"/>
        </w:rPr>
        <w:t xml:space="preserve">Plagas: evaluaciones de los niveles de población o intensidad de afectación, estado de desarrollo y fauna útil; </w:t>
      </w:r>
      <w:r w:rsidRPr="00993936">
        <w:rPr>
          <w:rFonts w:ascii="Arial" w:hAnsi="Arial" w:cs="Arial"/>
          <w:i/>
          <w:lang w:val="es-ES"/>
        </w:rPr>
        <w:t xml:space="preserve">b) </w:t>
      </w:r>
      <w:r w:rsidRPr="00993936">
        <w:rPr>
          <w:rFonts w:ascii="Arial" w:hAnsi="Arial" w:cs="Arial"/>
          <w:lang w:val="es-ES"/>
        </w:rPr>
        <w:t xml:space="preserve">Enfermedades: intensidad de afectación mediante la evaluación de la cantidad de enfermedad en la planta o bien el órgano afectado, examinando una muestra por unidad de control; </w:t>
      </w:r>
      <w:r w:rsidRPr="00993936">
        <w:rPr>
          <w:rFonts w:ascii="Arial" w:hAnsi="Arial" w:cs="Arial"/>
          <w:i/>
          <w:lang w:val="es-ES"/>
        </w:rPr>
        <w:t xml:space="preserve">c) </w:t>
      </w:r>
      <w:r w:rsidRPr="00993936">
        <w:rPr>
          <w:rFonts w:ascii="Arial" w:hAnsi="Arial" w:cs="Arial"/>
          <w:lang w:val="es-ES"/>
        </w:rPr>
        <w:t>Antecedentes fitosanitarios del cultivo anterior elaborados a partir de un balance de la intensidad de la enfermedad al final del ciclo de cultivo o bien del nivel poblacional de los insectos o ácaros que pueden constituir plaga.</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En todos los casos se tendrán en cuenta la fenología del cultivo y las condiciones climáticas.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lastRenderedPageBreak/>
        <w:t>9.1.3 La aplicación de medidas directas de control de plagas y enfermedades solo se efectuará cuando se superen los umbrales definidos en el Anexo 2.3. Cuando la plaga o enfermedad existente en el cultivo no esté descrita en el citado anexo, se actuará de acuerdo con lo fijado en el artículo 9.2.9</w:t>
      </w:r>
      <w:r w:rsidR="00D74508" w:rsidRPr="00993936">
        <w:rPr>
          <w:rFonts w:ascii="Arial" w:hAnsi="Arial" w:cs="Arial"/>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9.1.4 En caso de que sea necesaria una intervención química con productos fitosanitarios, las sustancias activas que hay que utilizar serán seleccionadas conforme a los criterios de menor peligrosidad para los humanos, la fauna y el medio ambiente; la efectividad en el control de la plaga o la enfermedad; la selectividad (debe evitarse la toxicidad para los polinizadores y los enemigos naturales); los residuos y el riesgo de aparición de poblaciones resistentes.</w:t>
      </w:r>
      <w:r w:rsidR="00E03B3B" w:rsidRPr="00993936">
        <w:rPr>
          <w:rFonts w:ascii="Arial" w:hAnsi="Arial" w:cs="Arial"/>
          <w:lang w:val="es-ES"/>
        </w:rPr>
        <w:t xml:space="preserve"> </w:t>
      </w:r>
      <w:r w:rsidRPr="00993936">
        <w:rPr>
          <w:rFonts w:ascii="Arial" w:hAnsi="Arial" w:cs="Arial"/>
          <w:lang w:val="es-ES"/>
        </w:rPr>
        <w:t>En cualquier caso, solo podrán utilizarse productos fitosanitarios inscritos en el Registro oficial de productos y material fitosanitario de España y que estén aprobados expresamente para los cultivos y los usos autorizados y de acuerdo con las instrucciones y/o restricciones que figuran en el Anexo 2 de esta norma.</w:t>
      </w:r>
    </w:p>
    <w:p w:rsidR="00412AFB" w:rsidRPr="00993936" w:rsidRDefault="00412AFB" w:rsidP="00412AFB">
      <w:pPr>
        <w:jc w:val="both"/>
        <w:rPr>
          <w:rFonts w:ascii="Arial" w:hAnsi="Arial" w:cs="Arial"/>
          <w:lang w:val="es-ES"/>
        </w:rPr>
      </w:pPr>
      <w:r w:rsidRPr="00993936">
        <w:rPr>
          <w:rFonts w:ascii="Arial" w:hAnsi="Arial" w:cs="Arial"/>
          <w:lang w:val="es-ES"/>
        </w:rPr>
        <w:t>9.1.5 En caso de emplear para el control de plagas y enfermedades formulados comerciales a base de mezclas de sustancias activas, dada la gran cantidad existente, se consideran admitidas en producción integrada de cereales de verano, aunque no estén expresamente definidas el Anexo 2 de esta norma, todas las mezclas de formulados que incorporen dos o más sustancias activas incluidas en el mencionado anexo, siempre que la mezcla comercial esté autorizada en el Registro oficial de productos y material fitosanitario para el cultivo y para los usos oficialmente autorizados.</w:t>
      </w:r>
    </w:p>
    <w:p w:rsidR="00412AFB" w:rsidRPr="00993936" w:rsidRDefault="00412AFB" w:rsidP="00412AFB">
      <w:pPr>
        <w:jc w:val="both"/>
        <w:rPr>
          <w:rFonts w:ascii="Arial" w:hAnsi="Arial" w:cs="Arial"/>
          <w:lang w:val="es-ES"/>
        </w:rPr>
      </w:pPr>
      <w:r w:rsidRPr="00993936">
        <w:rPr>
          <w:rFonts w:ascii="Arial" w:hAnsi="Arial" w:cs="Arial"/>
          <w:lang w:val="es-ES"/>
        </w:rPr>
        <w:t>No podrán utilizarse los formulados a base de mezclas de sustancias activas que tengan alguna sustancia no dirigida contra una determinada plaga y/o enfermedad, salvo en las ocasiones en que se justifique el tratamiento simultáneo contra varios organismos nocivos.</w:t>
      </w:r>
    </w:p>
    <w:p w:rsidR="00412AFB" w:rsidRPr="00993936" w:rsidRDefault="00412AFB" w:rsidP="00412AFB">
      <w:pPr>
        <w:jc w:val="both"/>
        <w:rPr>
          <w:rFonts w:ascii="Arial" w:hAnsi="Arial" w:cs="Arial"/>
          <w:lang w:val="es-ES"/>
        </w:rPr>
      </w:pPr>
      <w:r w:rsidRPr="00993936">
        <w:rPr>
          <w:rFonts w:ascii="Arial" w:hAnsi="Arial" w:cs="Arial"/>
          <w:lang w:val="es-ES"/>
        </w:rPr>
        <w:t>9.1.6 Para evitar riesgos a los operarios, los consumidores y el medio ambiente, el uso y la aplicación de productos fitosanitarios se llevará a cabo respetando siempre las indicaciones reflejadas en las etiquetas correspondientes de los productos y siguiendo las recomendaciones y/o instrucciones dictadas por el responsable técnico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9.1.7 Deberán registrarse en el cuaderno de explotación todas las aplicaciones de productos químicos indicando, como mínimo, la fecha, el producto, la sustancia activa, la cantidad y el volumen utilizado; estas aplicaciones deberán ser revisadas a posteriori por el miembro del personal técnico responsable de producción integrada, cuya conformidad figurará en dicho cuaderno.</w:t>
      </w:r>
    </w:p>
    <w:p w:rsidR="00412AFB" w:rsidRPr="00993936" w:rsidRDefault="00412AFB" w:rsidP="00412AFB">
      <w:pPr>
        <w:jc w:val="both"/>
        <w:rPr>
          <w:rFonts w:ascii="Arial" w:hAnsi="Arial" w:cs="Arial"/>
          <w:lang w:val="es-ES"/>
        </w:rPr>
      </w:pPr>
      <w:r w:rsidRPr="00993936">
        <w:rPr>
          <w:rFonts w:ascii="Arial" w:hAnsi="Arial" w:cs="Arial"/>
          <w:lang w:val="es-ES"/>
        </w:rPr>
        <w:t>9.1.8 Cuando se mezclen fitosanitarios, habrá que seguir los procedimientos adecuados para el manejo y la carga, según se indique en las instrucciones de la etiqueta del producto.</w:t>
      </w:r>
    </w:p>
    <w:p w:rsidR="00412AFB" w:rsidRPr="00993936" w:rsidRDefault="00412AFB" w:rsidP="00412AFB">
      <w:pPr>
        <w:pStyle w:val="Textoindependiente"/>
        <w:rPr>
          <w:rFonts w:cs="Arial"/>
          <w:szCs w:val="22"/>
          <w:lang w:val="es-ES"/>
        </w:rPr>
      </w:pPr>
      <w:r w:rsidRPr="00993936">
        <w:rPr>
          <w:rFonts w:cs="Arial"/>
          <w:szCs w:val="22"/>
          <w:lang w:val="es-ES"/>
        </w:rPr>
        <w:t>9.1.9 Con el fin de disminuir la contaminación que provenga de los restos de fitosanitarios que quedan en los envases, se realizará un triple lavado. El agua de este lavado se añadirá al tanque de aplicación.</w:t>
      </w:r>
    </w:p>
    <w:p w:rsidR="00412AFB" w:rsidRPr="00993936" w:rsidRDefault="00412AFB" w:rsidP="00412AFB">
      <w:pPr>
        <w:pStyle w:val="Textoindependiente"/>
        <w:rPr>
          <w:rFonts w:cs="Arial"/>
          <w:szCs w:val="22"/>
          <w:lang w:val="es-ES"/>
        </w:rPr>
      </w:pPr>
      <w:r w:rsidRPr="00993936">
        <w:rPr>
          <w:rFonts w:cs="Arial"/>
          <w:szCs w:val="22"/>
          <w:lang w:val="es-ES"/>
        </w:rPr>
        <w:t>9.1.10 La presencia de residuos debe minimizarse mediante la máxima ampliación posible de los plazos de seguridad.</w:t>
      </w:r>
    </w:p>
    <w:p w:rsidR="00412AFB" w:rsidRPr="00993936" w:rsidRDefault="00412AFB" w:rsidP="00412AFB">
      <w:pPr>
        <w:pStyle w:val="Estndar"/>
        <w:autoSpaceDE w:val="0"/>
        <w:autoSpaceDN w:val="0"/>
        <w:adjustRightInd w:val="0"/>
        <w:rPr>
          <w:rFonts w:ascii="Arial" w:hAnsi="Arial" w:cs="Arial"/>
          <w:color w:val="auto"/>
          <w:szCs w:val="22"/>
        </w:rPr>
      </w:pPr>
      <w:r w:rsidRPr="00993936">
        <w:rPr>
          <w:rFonts w:ascii="Arial" w:hAnsi="Arial" w:cs="Arial"/>
          <w:color w:val="auto"/>
          <w:szCs w:val="22"/>
        </w:rPr>
        <w:lastRenderedPageBreak/>
        <w:t>9.1.11 Deberá protegerse la fauna auxiliar en general y, en particular, al menos, dos especies cuya protección y aumento de sus poblaciones se consideran prioritarios para los cultivos de cereales de verano.</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Las especies de fauna auxiliar que pueden protegerse para los cultivos de cereales de verano son las siguientes: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i/>
          <w:lang w:val="es-ES"/>
        </w:rPr>
        <w:t>Stethorus punctillum, Lydella thompsoni, Aphidiidae, Coccinella septempunctata.</w:t>
      </w:r>
    </w:p>
    <w:p w:rsidR="00412AFB" w:rsidRPr="00993936" w:rsidRDefault="00412AFB" w:rsidP="00412AFB">
      <w:pPr>
        <w:pStyle w:val="Textoindependiente"/>
        <w:rPr>
          <w:rFonts w:cs="Arial"/>
          <w:szCs w:val="22"/>
          <w:lang w:val="es-ES"/>
        </w:rPr>
      </w:pPr>
    </w:p>
    <w:p w:rsidR="00412AFB" w:rsidRPr="00993936" w:rsidRDefault="00412AFB" w:rsidP="00412AFB">
      <w:pPr>
        <w:pStyle w:val="Textoindependiente"/>
        <w:rPr>
          <w:rFonts w:cs="Arial"/>
          <w:szCs w:val="22"/>
          <w:lang w:val="es-ES"/>
        </w:rPr>
      </w:pPr>
      <w:r w:rsidRPr="00993936">
        <w:rPr>
          <w:rFonts w:cs="Arial"/>
          <w:szCs w:val="22"/>
          <w:lang w:val="es-ES"/>
        </w:rPr>
        <w:t>9.1.12 El aplicador de productos fitosanitarios deberá estar cualificado específicamente, por lo que habrá de justificar que dispone de la acreditación del carné básico de aplicador de productos fitosanitarios o el carné cualificado, en caso de que le sea obligatorio de acuerdo con lo establecido en el Real Decreto 1311/2012.</w:t>
      </w:r>
    </w:p>
    <w:p w:rsidR="00412AFB" w:rsidRPr="00993936" w:rsidRDefault="00412AFB" w:rsidP="00412AFB">
      <w:pPr>
        <w:pStyle w:val="Textoindependiente"/>
        <w:autoSpaceDE w:val="0"/>
        <w:autoSpaceDN w:val="0"/>
        <w:adjustRightInd w:val="0"/>
        <w:rPr>
          <w:rFonts w:cs="Arial"/>
          <w:szCs w:val="22"/>
          <w:lang w:val="es-ES"/>
        </w:rPr>
      </w:pPr>
    </w:p>
    <w:p w:rsidR="00412AFB" w:rsidRPr="00993936" w:rsidRDefault="00412AFB" w:rsidP="00412AFB">
      <w:pPr>
        <w:pStyle w:val="Textoindependiente"/>
        <w:autoSpaceDE w:val="0"/>
        <w:autoSpaceDN w:val="0"/>
        <w:adjustRightInd w:val="0"/>
        <w:rPr>
          <w:rFonts w:cs="Arial"/>
          <w:szCs w:val="22"/>
          <w:lang w:val="es-ES"/>
        </w:rPr>
      </w:pPr>
      <w:r w:rsidRPr="00993936">
        <w:rPr>
          <w:rFonts w:cs="Arial"/>
          <w:szCs w:val="22"/>
          <w:lang w:val="es-ES"/>
        </w:rPr>
        <w:t>9</w:t>
      </w:r>
      <w:r w:rsidR="00D74508" w:rsidRPr="00993936">
        <w:rPr>
          <w:rFonts w:cs="Arial"/>
          <w:szCs w:val="22"/>
          <w:lang w:val="es-ES"/>
        </w:rPr>
        <w:t>.1</w:t>
      </w:r>
      <w:r w:rsidRPr="00993936">
        <w:rPr>
          <w:rFonts w:cs="Arial"/>
          <w:szCs w:val="22"/>
          <w:lang w:val="es-ES"/>
        </w:rPr>
        <w:t xml:space="preserve">.13 La maquinaria utilizada para aplicar los productos fitosanitarios debe mantenerse en un adecuado estado de funcionamiento y someterse periódicamente a los controles e inspecciones que establece el artículo 16 de esta norma.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9.</w:t>
      </w:r>
      <w:r w:rsidR="00D74508" w:rsidRPr="00993936">
        <w:rPr>
          <w:rFonts w:ascii="Arial" w:hAnsi="Arial" w:cs="Arial"/>
          <w:sz w:val="22"/>
          <w:szCs w:val="22"/>
          <w:lang w:val="es-ES"/>
        </w:rPr>
        <w:t>1.</w:t>
      </w:r>
      <w:r w:rsidRPr="00993936">
        <w:rPr>
          <w:rFonts w:ascii="Arial" w:hAnsi="Arial" w:cs="Arial"/>
          <w:sz w:val="22"/>
          <w:szCs w:val="22"/>
          <w:lang w:val="es-ES"/>
        </w:rPr>
        <w:t>14 En caso de tratamientos fitosanitarios y con el objeto de obtener la máxima eficacia con la menor dosis posible, deben ajustarse las concentraciones de los productos, los volúmenes máximos de caldo y el caudal de aire, para evitar las sobredosificaciones y procurar que las aplicaciones no lleguen a una parcela y/o UHC diferente de la que pretende tratarse; asimismo, ha de tenerse en cuenta el estado fenológico del cultivo.</w:t>
      </w:r>
      <w:r w:rsidR="00E03B3B" w:rsidRPr="00993936">
        <w:rPr>
          <w:rFonts w:ascii="Arial" w:hAnsi="Arial" w:cs="Arial"/>
          <w:sz w:val="22"/>
          <w:szCs w:val="22"/>
          <w:lang w:val="es-ES"/>
        </w:rPr>
        <w:t xml:space="preserve">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9.1.15 Reducir el área tratada a focos o rodales con tratamientos químicos siempre que la plaga o enfermedad se encuentre bastante localizada y sea posible.</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9.1.16 Los volúmenes máximos de caldo en los tratamientos fitosanitarios se ajustarán a parámetros precisos, teniendo en cuenta el estado fenológico del cultivo para obtener la máxima eficacia con la menor dosis posible recomendada por el Registro oficial de productos y material fitosanitario.</w:t>
      </w:r>
    </w:p>
    <w:p w:rsidR="00412AFB" w:rsidRPr="00993936" w:rsidRDefault="00412AFB" w:rsidP="00412AFB">
      <w:pPr>
        <w:pStyle w:val="Estndar"/>
        <w:autoSpaceDE w:val="0"/>
        <w:autoSpaceDN w:val="0"/>
        <w:adjustRightInd w:val="0"/>
        <w:rPr>
          <w:rFonts w:ascii="Arial" w:hAnsi="Arial" w:cs="Arial"/>
          <w:snapToGrid/>
          <w:color w:val="auto"/>
          <w:szCs w:val="22"/>
        </w:rPr>
      </w:pPr>
      <w:r w:rsidRPr="00993936">
        <w:rPr>
          <w:rFonts w:ascii="Arial" w:hAnsi="Arial" w:cs="Arial"/>
          <w:snapToGrid/>
          <w:color w:val="auto"/>
          <w:szCs w:val="22"/>
        </w:rPr>
        <w:t>Además de las normas aquí establecidas, en todo caso se tendrán en cuenta para todos los cultivos los «Principios de buenas prácticas fitosanitarias» establecidos por la Organización Europea y Mediterránea para la Protección de las Plantas (OEPP/EPPO) y las directivas de dicha organización sobre la buena práctica fitosanitaria específicas para cada cultivo cuando estas directivas existan.</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9.2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9.2.1 Liberar enemigos naturales no presentes en la fauna española o cuya introducción esté prohibida por la legislación correspondiente, salvo autorización expresa de la dirección general competente en materia de agricultura.</w:t>
      </w:r>
    </w:p>
    <w:p w:rsidR="00412AFB" w:rsidRPr="00993936" w:rsidRDefault="00412AFB" w:rsidP="00412AFB">
      <w:pPr>
        <w:jc w:val="both"/>
        <w:rPr>
          <w:rFonts w:ascii="Arial" w:hAnsi="Arial" w:cs="Arial"/>
          <w:lang w:val="es-ES"/>
        </w:rPr>
      </w:pPr>
      <w:r w:rsidRPr="00993936">
        <w:rPr>
          <w:rFonts w:ascii="Arial" w:hAnsi="Arial" w:cs="Arial"/>
          <w:lang w:val="es-ES"/>
        </w:rPr>
        <w:t>9.2.2 Utilizar calendarios de tratamientos y realizar aplicaciones indiscriminadas sin la prescripción técnica.</w:t>
      </w:r>
    </w:p>
    <w:p w:rsidR="00412AFB" w:rsidRPr="00993936" w:rsidRDefault="00412AFB" w:rsidP="00412AFB">
      <w:pPr>
        <w:jc w:val="both"/>
        <w:rPr>
          <w:rFonts w:ascii="Arial" w:hAnsi="Arial" w:cs="Arial"/>
          <w:lang w:val="es-ES"/>
        </w:rPr>
      </w:pPr>
      <w:r w:rsidRPr="00993936">
        <w:rPr>
          <w:rFonts w:ascii="Arial" w:hAnsi="Arial" w:cs="Arial"/>
          <w:lang w:val="es-ES"/>
        </w:rPr>
        <w:t>9.2.3 Abandonar el control fitosanitario antes de finalizar el periodo vegetativo del cultivo, excepto en casos de fuerza mayor reconocidos por la dirección general competente en materia de agricultura.</w:t>
      </w:r>
    </w:p>
    <w:p w:rsidR="00412AFB" w:rsidRPr="00993936" w:rsidRDefault="00412AFB" w:rsidP="00412AFB">
      <w:pPr>
        <w:pStyle w:val="Textoindependiente"/>
        <w:rPr>
          <w:rFonts w:cs="Arial"/>
          <w:szCs w:val="22"/>
          <w:lang w:val="es-ES"/>
        </w:rPr>
      </w:pPr>
      <w:r w:rsidRPr="00993936">
        <w:rPr>
          <w:rFonts w:cs="Arial"/>
          <w:szCs w:val="22"/>
          <w:lang w:val="es-ES"/>
        </w:rPr>
        <w:t>9.2.4 Emplear de manera sistemática y reiterada productos fitosanitarios no selectivos, de larga persistencia, alta volatilidad, lixiviables o con otras características negativas.</w:t>
      </w:r>
    </w:p>
    <w:p w:rsidR="00C03DD4" w:rsidRPr="00993936" w:rsidRDefault="00412AFB" w:rsidP="00412AFB">
      <w:pPr>
        <w:jc w:val="both"/>
        <w:rPr>
          <w:rFonts w:ascii="Arial" w:hAnsi="Arial" w:cs="Arial"/>
          <w:lang w:val="es-ES"/>
        </w:rPr>
      </w:pPr>
      <w:r w:rsidRPr="00993936">
        <w:rPr>
          <w:rFonts w:ascii="Arial" w:hAnsi="Arial" w:cs="Arial"/>
          <w:lang w:val="es-ES"/>
        </w:rPr>
        <w:t xml:space="preserve">9.2.5 Utilizar productos fitosanitarios a menos de cinco metros de las aguas superficiales. </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9.2.6 Realizar aplicaciones de productos fitosanitarios en condiciones meteorológicamente desfavorables para evitar la deriva de los productos.</w:t>
      </w:r>
    </w:p>
    <w:p w:rsidR="00412AFB" w:rsidRPr="00993936" w:rsidRDefault="00412AFB" w:rsidP="00412AFB">
      <w:pPr>
        <w:pStyle w:val="Textoindependiente"/>
        <w:rPr>
          <w:rFonts w:cs="Arial"/>
          <w:szCs w:val="22"/>
          <w:lang w:val="es-ES"/>
        </w:rPr>
      </w:pPr>
      <w:r w:rsidRPr="00993936">
        <w:rPr>
          <w:rFonts w:cs="Arial"/>
          <w:szCs w:val="22"/>
          <w:lang w:val="es-ES"/>
        </w:rPr>
        <w:t>9.2.7 El vertido, al agua y/o en zonas muy próximas, de productos agroquímicos sobrantes y de los líquidos procedentes de la limpieza de la maquinaria de tratamientos.</w:t>
      </w:r>
    </w:p>
    <w:p w:rsidR="00412AFB" w:rsidRPr="00993936" w:rsidRDefault="00412AFB" w:rsidP="00412AFB">
      <w:pPr>
        <w:jc w:val="both"/>
        <w:rPr>
          <w:rFonts w:ascii="Arial" w:hAnsi="Arial" w:cs="Arial"/>
          <w:lang w:val="es-ES"/>
        </w:rPr>
      </w:pPr>
      <w:r w:rsidRPr="00993936">
        <w:rPr>
          <w:rFonts w:ascii="Arial" w:hAnsi="Arial" w:cs="Arial"/>
          <w:lang w:val="es-ES"/>
        </w:rPr>
        <w:t>9.2.8 Utilizar cualquier producto autorizado por estas normas técnicas que haya sido dado de baja del Registro oficial de productos y material fitosanitario del Ministerio de Agricultura, Pesca, Alimentación y Medio Ambiente (MAPAMA) con posterioridad a la publicación de esta norma o que haya perdido la autorización de uso correspondiente.</w:t>
      </w:r>
    </w:p>
    <w:p w:rsidR="00412AFB" w:rsidRPr="00993936" w:rsidRDefault="00412AFB" w:rsidP="00412AFB">
      <w:pPr>
        <w:jc w:val="both"/>
        <w:rPr>
          <w:rFonts w:ascii="Arial" w:hAnsi="Arial" w:cs="Arial"/>
          <w:lang w:val="es-ES"/>
        </w:rPr>
      </w:pPr>
      <w:r w:rsidRPr="00993936">
        <w:rPr>
          <w:rFonts w:ascii="Arial" w:hAnsi="Arial" w:cs="Arial"/>
          <w:lang w:val="es-ES"/>
        </w:rPr>
        <w:t>9.2.9 Emplear materias activas no incluidas en el Anexo 2 de esta norma técnica. Esta prohibición no es aplicable a las materias activas que tengan una autorización de uso excepcional vigente o a aquellas que aparezcan en el Registro oficial de productos y material fitosanitario, autorizadas para combatir determinadas plagas y/o enfermedades, que no estén contempladas por su novedad en los anexos de fitosanitarios de esta norma.</w:t>
      </w:r>
    </w:p>
    <w:p w:rsidR="00412AFB" w:rsidRPr="00993936" w:rsidRDefault="00412AFB" w:rsidP="00412AFB">
      <w:pPr>
        <w:jc w:val="both"/>
        <w:rPr>
          <w:rFonts w:ascii="Arial" w:hAnsi="Arial" w:cs="Arial"/>
          <w:lang w:val="es-ES"/>
        </w:rPr>
      </w:pPr>
      <w:r w:rsidRPr="00993936">
        <w:rPr>
          <w:rFonts w:ascii="Arial" w:hAnsi="Arial" w:cs="Arial"/>
          <w:lang w:val="es-ES"/>
        </w:rPr>
        <w:t>Excepcionalmente, cuando en el</w:t>
      </w:r>
      <w:r w:rsidR="00E03B3B" w:rsidRPr="00993936">
        <w:rPr>
          <w:rFonts w:ascii="Arial" w:hAnsi="Arial" w:cs="Arial"/>
          <w:lang w:val="es-ES"/>
        </w:rPr>
        <w:t xml:space="preserve"> </w:t>
      </w:r>
      <w:r w:rsidRPr="00993936">
        <w:rPr>
          <w:rFonts w:ascii="Arial" w:hAnsi="Arial" w:cs="Arial"/>
          <w:lang w:val="es-ES"/>
        </w:rPr>
        <w:t xml:space="preserve">cultivo se detecten plagas que no están reflejadas en el Anexo 2 de esta norma por no ser habituales o cuyo umbral y/o criterio mínimo de intervención no se haya definido, podrá actuarse en contra con cualquier otro fitosanitario que esté expresamente autorizado en el Registro oficial de productos y material fitosanitario del Ministerio de Agricultura, Pesca, Alimentación y Medio Ambiente (MAPAMA) para este cultivo y para los usos oficialmente autorizados. 9.2.10 Aplicar productos fitosanitarios de perfil toxicológico (T+) (muy tóxicos) o que en su clasificación y etiquetado presenten advertencias de riesgo con un perfil muy tóxico o mortales para la salud humana.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9.2.11 Aplicar productos fitosanitarios a menos de 50 metros de captaciones de agua de consumo humano. </w:t>
      </w:r>
    </w:p>
    <w:p w:rsidR="00412AFB" w:rsidRPr="00993936" w:rsidRDefault="00412AFB" w:rsidP="00412AFB">
      <w:pPr>
        <w:jc w:val="both"/>
        <w:rPr>
          <w:rFonts w:ascii="Arial" w:hAnsi="Arial" w:cs="Arial"/>
          <w:i/>
          <w:lang w:val="es-ES"/>
        </w:rPr>
      </w:pPr>
      <w:r w:rsidRPr="00993936">
        <w:rPr>
          <w:rFonts w:ascii="Arial" w:hAnsi="Arial" w:cs="Arial"/>
          <w:lang w:val="es-ES"/>
        </w:rPr>
        <w:t xml:space="preserve">9.3.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9.3.1 Realizar los tratamientos fitosanitarios con velocidades de viento inferiores a </w:t>
      </w:r>
      <w:smartTag w:uri="urn:schemas-microsoft-com:office:smarttags" w:element="metricconverter">
        <w:smartTagPr>
          <w:attr w:name="ProductID" w:val="10,8 km"/>
        </w:smartTagPr>
        <w:r w:rsidRPr="00993936">
          <w:rPr>
            <w:rFonts w:ascii="Arial" w:hAnsi="Arial" w:cs="Arial"/>
            <w:lang w:val="es-ES"/>
          </w:rPr>
          <w:t>10,8 km/h</w:t>
        </w:r>
      </w:smartTag>
      <w:r w:rsidRPr="00993936">
        <w:rPr>
          <w:rFonts w:ascii="Arial" w:hAnsi="Arial" w:cs="Arial"/>
          <w:lang w:val="es-ES"/>
        </w:rPr>
        <w:t xml:space="preserve">. </w:t>
      </w:r>
    </w:p>
    <w:p w:rsidR="00412AFB" w:rsidRPr="00993936" w:rsidRDefault="00412AFB" w:rsidP="00412AFB">
      <w:pPr>
        <w:jc w:val="both"/>
        <w:rPr>
          <w:rFonts w:ascii="Arial" w:hAnsi="Arial" w:cs="Arial"/>
          <w:lang w:val="es-ES"/>
        </w:rPr>
      </w:pPr>
      <w:r w:rsidRPr="00993936">
        <w:rPr>
          <w:rFonts w:ascii="Arial" w:hAnsi="Arial" w:cs="Arial"/>
          <w:lang w:val="es-ES"/>
        </w:rPr>
        <w:t>9.3.2 En el caso de tratamientos fitosanitarios, alternar sustancias activas de los diferentes grupos químicos y mecanismos de acción, por lo que no se realizarán más de dos tratamientos consecutivos con la misma sustancia activa.</w:t>
      </w:r>
    </w:p>
    <w:p w:rsidR="00412AFB" w:rsidRPr="00993936" w:rsidRDefault="00412AFB" w:rsidP="00412AFB">
      <w:pPr>
        <w:jc w:val="both"/>
        <w:rPr>
          <w:rFonts w:ascii="Arial" w:hAnsi="Arial" w:cs="Arial"/>
          <w:lang w:val="es-ES"/>
        </w:rPr>
      </w:pPr>
      <w:r w:rsidRPr="00993936">
        <w:rPr>
          <w:rFonts w:ascii="Arial" w:hAnsi="Arial" w:cs="Arial"/>
          <w:lang w:val="es-ES"/>
        </w:rPr>
        <w:t>9.3.3 No utilizar productos fitosanitarios con más de dos años desde la fecha de fabricación, a menos que la etiqueta especifique un plazo inferior.</w:t>
      </w:r>
    </w:p>
    <w:p w:rsidR="00412AFB" w:rsidRPr="00993936" w:rsidRDefault="00412AFB" w:rsidP="00412AFB">
      <w:pPr>
        <w:jc w:val="both"/>
        <w:rPr>
          <w:rFonts w:ascii="Arial" w:hAnsi="Arial" w:cs="Arial"/>
          <w:lang w:val="es-ES"/>
        </w:rPr>
      </w:pPr>
      <w:r w:rsidRPr="00993936">
        <w:rPr>
          <w:rFonts w:ascii="Arial" w:hAnsi="Arial" w:cs="Arial"/>
          <w:lang w:val="es-ES"/>
        </w:rPr>
        <w:t>9.3.4 Disponer en la explotación de zonas preparadas expresamente para llenar los cubos, lavar equipos y depositar los restos de caldos no utilizados, etc.</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9.3.5 Utilizar modelos de predicción de plagas y enfermedades en caso de que existan y que se hayan contrastado en la zona de cultivo.</w:t>
      </w:r>
    </w:p>
    <w:p w:rsidR="00412AFB" w:rsidRPr="00993936" w:rsidRDefault="00412AFB" w:rsidP="00412AFB">
      <w:pPr>
        <w:jc w:val="both"/>
        <w:rPr>
          <w:rFonts w:ascii="Arial" w:hAnsi="Arial" w:cs="Arial"/>
          <w:lang w:val="es-ES"/>
        </w:rPr>
      </w:pPr>
      <w:r w:rsidRPr="00993936">
        <w:rPr>
          <w:rFonts w:ascii="Arial" w:hAnsi="Arial" w:cs="Arial"/>
          <w:lang w:val="es-ES"/>
        </w:rPr>
        <w:t>9.3.6 Hacer uso de las recomendaciones del Servicio de Sanidad Vegetal o de los organismos que por medio de sus técnicas determinen los periodos de intervención más adecuados para los controles y los tratamientos.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lastRenderedPageBreak/>
        <w:t>Artículo 10</w:t>
      </w:r>
    </w:p>
    <w:p w:rsidR="00412AFB" w:rsidRPr="00993936" w:rsidRDefault="00412AFB" w:rsidP="00412AFB">
      <w:pPr>
        <w:pStyle w:val="Ttulo3"/>
        <w:rPr>
          <w:rFonts w:ascii="Arial" w:hAnsi="Arial" w:cs="Arial"/>
          <w:b/>
          <w:color w:val="auto"/>
          <w:sz w:val="22"/>
          <w:szCs w:val="22"/>
          <w:lang w:val="es-ES"/>
        </w:rPr>
      </w:pPr>
      <w:r w:rsidRPr="00993936">
        <w:rPr>
          <w:rFonts w:ascii="Arial" w:hAnsi="Arial" w:cs="Arial"/>
          <w:b/>
          <w:color w:val="auto"/>
          <w:sz w:val="22"/>
          <w:szCs w:val="22"/>
          <w:lang w:val="es-ES"/>
        </w:rPr>
        <w:t>Recolección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t xml:space="preserve">10.1.1 La cosecha se efectuará cuando el grano haya alcanzado su madurez fisiológica y su nivel de humedad no supere el 24 %. </w:t>
      </w:r>
    </w:p>
    <w:p w:rsidR="00412AFB" w:rsidRPr="00993936" w:rsidRDefault="00412AFB" w:rsidP="00412AFB">
      <w:pPr>
        <w:jc w:val="both"/>
        <w:rPr>
          <w:rFonts w:ascii="Arial" w:hAnsi="Arial" w:cs="Arial"/>
          <w:lang w:val="es-ES"/>
        </w:rPr>
      </w:pPr>
      <w:r w:rsidRPr="00993936">
        <w:rPr>
          <w:rFonts w:ascii="Arial" w:hAnsi="Arial" w:cs="Arial"/>
          <w:lang w:val="es-ES"/>
        </w:rPr>
        <w:t>10.1.2 Limpiar y desinfectar la cosechadora antes de iniciar la campaña de recolección.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10.1.3 Todas las personas operadoras que deseen obtener la certificación o comercializar productos con la identificación de garantía de producción integrada deberán acogerse a un programa de autocontrol individual o colectivo, de acuerdo con lo previsto en el artículo 29 de esta norma, durante la recolección y/o elaboración para analizar la posible presencia de residuos de productos fitosanitarios, y en virtud de lo establecido en los artículos 12 (f) y 13 (g) del Decreto 241/2002, con el objetivo de garantizar que se han utilizado exclusivamente las materias activas seleccionadas en la estrategia de producción integrada, y que se cumple con lo establecido en la legislación española en relación con los límites máximos de residuos </w:t>
      </w:r>
      <w:r w:rsidRPr="00993936">
        <w:rPr>
          <w:rFonts w:ascii="Arial" w:hAnsi="Arial" w:cs="Arial"/>
          <w:i/>
          <w:lang w:val="es-ES"/>
        </w:rPr>
        <w:t>(LMR)</w:t>
      </w:r>
      <w:r w:rsidRPr="00993936">
        <w:rPr>
          <w:rFonts w:ascii="Arial" w:hAnsi="Arial" w:cs="Arial"/>
          <w:lang w:val="es-ES"/>
        </w:rPr>
        <w:t xml:space="preserve"> de productos fitosanitarios. </w:t>
      </w:r>
    </w:p>
    <w:p w:rsidR="00412AFB" w:rsidRPr="00993936" w:rsidRDefault="00412AFB" w:rsidP="00412AFB">
      <w:pPr>
        <w:jc w:val="both"/>
        <w:rPr>
          <w:rFonts w:ascii="Arial" w:hAnsi="Arial" w:cs="Arial"/>
          <w:lang w:val="es-ES"/>
        </w:rPr>
      </w:pPr>
      <w:r w:rsidRPr="00993936">
        <w:rPr>
          <w:rFonts w:ascii="Arial" w:hAnsi="Arial" w:cs="Arial"/>
          <w:lang w:val="es-ES"/>
        </w:rPr>
        <w:t>10.1.4 Para producciones dirigidas a otros mercados distintos del nacional, se verificará si cumplen la legislación establecida en el lugar de destino respecto al contenido de residuos.</w:t>
      </w:r>
    </w:p>
    <w:p w:rsidR="00412AFB" w:rsidRPr="00993936" w:rsidRDefault="00412AFB" w:rsidP="00412AFB">
      <w:pPr>
        <w:jc w:val="both"/>
        <w:rPr>
          <w:rFonts w:ascii="Arial" w:hAnsi="Arial" w:cs="Arial"/>
          <w:lang w:val="es-ES"/>
        </w:rPr>
      </w:pPr>
      <w:r w:rsidRPr="00993936">
        <w:rPr>
          <w:rFonts w:ascii="Arial" w:hAnsi="Arial" w:cs="Arial"/>
          <w:lang w:val="es-ES"/>
        </w:rPr>
        <w:t xml:space="preserve">10.2 </w:t>
      </w:r>
      <w:r w:rsidRPr="00993936">
        <w:rPr>
          <w:rFonts w:ascii="Arial" w:hAnsi="Arial" w:cs="Arial"/>
          <w:i/>
          <w:lang w:val="es-ES"/>
        </w:rPr>
        <w:t>Recomendaciones</w:t>
      </w:r>
    </w:p>
    <w:p w:rsidR="00412AFB" w:rsidRPr="00993936" w:rsidRDefault="00412AFB" w:rsidP="00412AFB">
      <w:pPr>
        <w:pStyle w:val="Textoindependiente"/>
        <w:rPr>
          <w:rFonts w:cs="Arial"/>
          <w:szCs w:val="22"/>
          <w:lang w:val="es-ES"/>
        </w:rPr>
      </w:pPr>
      <w:r w:rsidRPr="00993936">
        <w:rPr>
          <w:rFonts w:cs="Arial"/>
          <w:szCs w:val="22"/>
          <w:lang w:val="es-ES"/>
        </w:rPr>
        <w:t>10.2.1 Para la recolección, se utilizará una cosechadora que disponga de triturador- esparcidor de los restos del cultivo.</w:t>
      </w:r>
    </w:p>
    <w:p w:rsidR="00412AFB" w:rsidRPr="00993936" w:rsidRDefault="00412AFB" w:rsidP="00412AFB">
      <w:pPr>
        <w:pStyle w:val="Ttulo4"/>
        <w:rPr>
          <w:rFonts w:ascii="Arial" w:hAnsi="Arial" w:cs="Arial"/>
          <w:i w:val="0"/>
          <w:color w:val="auto"/>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11</w:t>
      </w:r>
    </w:p>
    <w:p w:rsidR="00412AFB" w:rsidRPr="00993936" w:rsidRDefault="00412AFB" w:rsidP="00412AFB">
      <w:pPr>
        <w:jc w:val="both"/>
        <w:rPr>
          <w:rFonts w:ascii="Arial" w:hAnsi="Arial" w:cs="Arial"/>
          <w:b/>
          <w:lang w:val="es-ES"/>
        </w:rPr>
      </w:pPr>
      <w:r w:rsidRPr="00993936">
        <w:rPr>
          <w:rFonts w:ascii="Arial" w:hAnsi="Arial" w:cs="Arial"/>
          <w:b/>
          <w:lang w:val="es-ES"/>
        </w:rPr>
        <w:t>Cuaderno de explotación</w:t>
      </w:r>
    </w:p>
    <w:p w:rsidR="00412AFB" w:rsidRPr="00993936" w:rsidRDefault="00412AFB" w:rsidP="00412AFB">
      <w:pPr>
        <w:jc w:val="both"/>
        <w:rPr>
          <w:rFonts w:ascii="Arial" w:hAnsi="Arial" w:cs="Arial"/>
          <w:i/>
          <w:lang w:val="es-ES"/>
        </w:rPr>
      </w:pPr>
      <w:r w:rsidRPr="00993936">
        <w:rPr>
          <w:rFonts w:ascii="Arial" w:hAnsi="Arial" w:cs="Arial"/>
          <w:i/>
          <w:lang w:val="es-ES"/>
        </w:rPr>
        <w:t>11.1 Obligaciones</w:t>
      </w:r>
    </w:p>
    <w:p w:rsidR="00412AFB" w:rsidRPr="00993936" w:rsidRDefault="00412AFB" w:rsidP="00412AFB">
      <w:pPr>
        <w:jc w:val="both"/>
        <w:rPr>
          <w:rFonts w:ascii="Arial" w:hAnsi="Arial" w:cs="Arial"/>
          <w:lang w:val="es-ES"/>
        </w:rPr>
      </w:pPr>
      <w:r w:rsidRPr="00993936">
        <w:rPr>
          <w:rFonts w:ascii="Arial" w:hAnsi="Arial" w:cs="Arial"/>
          <w:lang w:val="es-ES"/>
        </w:rPr>
        <w:t>11.1.1 El modelo de cuaderno de explotación es único en cuanto al contenido de los datos que deben registrarse, y será aprobado por el Departamento de Agricultura, Ganadería, Pesca y Alimentación.</w:t>
      </w:r>
    </w:p>
    <w:p w:rsidR="00412AFB" w:rsidRPr="00993936" w:rsidRDefault="00412AFB" w:rsidP="00412AFB">
      <w:pPr>
        <w:jc w:val="both"/>
        <w:rPr>
          <w:rFonts w:ascii="Arial" w:hAnsi="Arial" w:cs="Arial"/>
          <w:lang w:val="es-ES"/>
        </w:rPr>
      </w:pPr>
      <w:r w:rsidRPr="00993936">
        <w:rPr>
          <w:rFonts w:ascii="Arial" w:hAnsi="Arial" w:cs="Arial"/>
          <w:lang w:val="es-ES"/>
        </w:rPr>
        <w:t>11.1.2 El productor de producción integrada, mediante su firma, se responsabilizará de la veracidad de las anotaciones realizadas en el cuaderno de explotación.</w:t>
      </w:r>
    </w:p>
    <w:p w:rsidR="00412AFB" w:rsidRPr="00993936" w:rsidRDefault="00412AFB" w:rsidP="00412AFB">
      <w:pPr>
        <w:pStyle w:val="Textoindependiente"/>
        <w:rPr>
          <w:rFonts w:cs="Arial"/>
          <w:szCs w:val="22"/>
          <w:lang w:val="es-ES"/>
        </w:rPr>
      </w:pPr>
      <w:r w:rsidRPr="00993936">
        <w:rPr>
          <w:rFonts w:cs="Arial"/>
          <w:szCs w:val="22"/>
          <w:lang w:val="es-ES"/>
        </w:rPr>
        <w:t>11.1.3 El cuaderno de explotación es obligatorio y estará siempre disponible para su inspección. Para la buena funcionalidad del sistema, las anotaciones de las operaciones habrán de realizarse en el plazo máximo de los siete días siguientes a su ejecución.</w:t>
      </w:r>
    </w:p>
    <w:p w:rsidR="00412AFB" w:rsidRPr="00993936" w:rsidRDefault="00412AFB" w:rsidP="00412AFB">
      <w:pPr>
        <w:jc w:val="both"/>
        <w:rPr>
          <w:rFonts w:ascii="Arial" w:hAnsi="Arial" w:cs="Arial"/>
          <w:lang w:val="es-ES"/>
        </w:rPr>
      </w:pPr>
      <w:r w:rsidRPr="00993936">
        <w:rPr>
          <w:rFonts w:ascii="Arial" w:hAnsi="Arial" w:cs="Arial"/>
          <w:lang w:val="es-ES"/>
        </w:rPr>
        <w:t>11.1.4 El cuaderno de explotación será controlado y supervisado periódicamente por el técnico responsable de producción integrada y, para que quede constancia de ello, se registrará la fecha y la firma en cada revisión.</w:t>
      </w:r>
    </w:p>
    <w:p w:rsidR="00412AFB" w:rsidRPr="00993936" w:rsidRDefault="00412AFB" w:rsidP="00412AFB">
      <w:pPr>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12</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lastRenderedPageBreak/>
        <w:t>Normas de calidad</w:t>
      </w:r>
    </w:p>
    <w:p w:rsidR="00412AFB" w:rsidRPr="00993936" w:rsidRDefault="00412AFB" w:rsidP="00412AFB">
      <w:pPr>
        <w:jc w:val="both"/>
        <w:rPr>
          <w:rFonts w:ascii="Arial" w:hAnsi="Arial" w:cs="Arial"/>
          <w:i/>
          <w:lang w:val="es-ES"/>
        </w:rPr>
      </w:pPr>
      <w:r w:rsidRPr="00993936">
        <w:rPr>
          <w:rFonts w:ascii="Arial" w:hAnsi="Arial" w:cs="Arial"/>
          <w:i/>
          <w:lang w:val="es-ES"/>
        </w:rPr>
        <w:t>12.1 Obligaciones</w:t>
      </w:r>
    </w:p>
    <w:p w:rsidR="00412AFB" w:rsidRPr="00993936" w:rsidRDefault="00412AFB" w:rsidP="00412AFB">
      <w:pPr>
        <w:jc w:val="both"/>
        <w:rPr>
          <w:rFonts w:ascii="Arial" w:hAnsi="Arial" w:cs="Arial"/>
          <w:lang w:val="es-ES"/>
        </w:rPr>
      </w:pPr>
      <w:r w:rsidRPr="00993936">
        <w:rPr>
          <w:rFonts w:ascii="Arial" w:hAnsi="Arial" w:cs="Arial"/>
          <w:lang w:val="es-ES"/>
        </w:rPr>
        <w:t>12.1.1 Todos los cereales de verano amparados por la denominación de producción integrada deberán tener las características mínimas de calidad que establece la legislación vigente para que puedan ser comercializados como producción integrada.</w:t>
      </w: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II. INSTALACIONES, EQUIPOS, PERSONAL, TRANSPORTE Y ALMACENAMIENTO</w:t>
      </w:r>
    </w:p>
    <w:p w:rsidR="00412AFB" w:rsidRPr="00993936" w:rsidRDefault="00412AFB" w:rsidP="00412AFB">
      <w:pPr>
        <w:pStyle w:val="NormalWeb"/>
        <w:spacing w:before="120" w:after="0"/>
        <w:jc w:val="both"/>
        <w:rPr>
          <w:rFonts w:ascii="Arial" w:hAnsi="Arial" w:cs="Arial"/>
          <w:sz w:val="22"/>
          <w:szCs w:val="22"/>
          <w:lang w:val="es-ES"/>
        </w:rPr>
      </w:pP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13</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Instalaciones</w:t>
      </w:r>
    </w:p>
    <w:p w:rsidR="00412AFB" w:rsidRPr="00993936" w:rsidRDefault="00412AFB" w:rsidP="00412AFB">
      <w:pPr>
        <w:jc w:val="both"/>
        <w:rPr>
          <w:rFonts w:ascii="Arial" w:hAnsi="Arial" w:cs="Arial"/>
          <w:i/>
          <w:lang w:val="es-ES"/>
        </w:rPr>
      </w:pPr>
      <w:r w:rsidRPr="00993936">
        <w:rPr>
          <w:rFonts w:ascii="Arial" w:hAnsi="Arial" w:cs="Arial"/>
          <w:i/>
          <w:lang w:val="es-ES"/>
        </w:rPr>
        <w:t>13.1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13.1.1 Las instalaciones, incluidos los baños, los equipos y el entorno productivo, deben estar en un estado de orden y de limpieza adecuado.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13.1.2 Todas las instalaciones han de estar ventiladas, iluminadas y con sistemas de desagües apropiados para las actividades que desarrollen.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13.1.3 Los productos químicos deben estar almacenados en un lugar que pueda cerrarse y esté debidamente señalizado. Solo podrá acceder al lugar de almacenamiento de productos químicos, así como manipularlos, el personal designado por la persona operadora.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13.1.4 Los productos químicos almacenados deben estar etiquetados correctamente y autorizados para ser usados en la industria alimentaria.</w:t>
      </w:r>
    </w:p>
    <w:p w:rsidR="00412AFB" w:rsidRPr="00993936" w:rsidRDefault="00412AFB" w:rsidP="00412AFB">
      <w:pPr>
        <w:rPr>
          <w:rFonts w:ascii="Arial" w:hAnsi="Arial" w:cs="Arial"/>
          <w:lang w:val="es-ES"/>
        </w:rPr>
      </w:pPr>
    </w:p>
    <w:p w:rsidR="00412AFB" w:rsidRPr="00993936" w:rsidRDefault="00412AFB" w:rsidP="00412AFB">
      <w:pPr>
        <w:pStyle w:val="Sangradetextonormal"/>
        <w:ind w:left="0"/>
        <w:rPr>
          <w:rFonts w:cs="Arial"/>
          <w:szCs w:val="22"/>
          <w:lang w:val="es-ES"/>
        </w:rPr>
      </w:pPr>
      <w:r w:rsidRPr="00993936">
        <w:rPr>
          <w:rFonts w:cs="Arial"/>
          <w:szCs w:val="22"/>
          <w:lang w:val="es-ES"/>
        </w:rPr>
        <w:t>Artículo 14</w:t>
      </w:r>
    </w:p>
    <w:p w:rsidR="00412AFB" w:rsidRPr="00993936" w:rsidRDefault="00412AFB" w:rsidP="00412AFB">
      <w:pPr>
        <w:pStyle w:val="Sangradetextonormal"/>
        <w:ind w:left="0"/>
        <w:rPr>
          <w:rFonts w:cs="Arial"/>
          <w:b/>
          <w:szCs w:val="22"/>
          <w:lang w:val="es-ES"/>
        </w:rPr>
      </w:pPr>
      <w:r w:rsidRPr="00993936">
        <w:rPr>
          <w:rFonts w:cs="Arial"/>
          <w:b/>
          <w:szCs w:val="22"/>
          <w:lang w:val="es-ES"/>
        </w:rPr>
        <w:t>Higiene y mantenimiento de las instalaciones y equipos</w:t>
      </w:r>
    </w:p>
    <w:p w:rsidR="00412AFB" w:rsidRPr="00993936" w:rsidRDefault="00412AFB" w:rsidP="00412AFB">
      <w:pPr>
        <w:pStyle w:val="Sangradetextonormal"/>
        <w:ind w:left="0"/>
        <w:rPr>
          <w:rFonts w:cs="Arial"/>
          <w:b/>
          <w:szCs w:val="22"/>
          <w:lang w:val="es-ES"/>
        </w:rPr>
      </w:pPr>
      <w:r w:rsidRPr="00993936">
        <w:rPr>
          <w:rFonts w:cs="Arial"/>
          <w:szCs w:val="22"/>
          <w:lang w:val="es-ES"/>
        </w:rPr>
        <w:t>14.1</w:t>
      </w:r>
      <w:r w:rsidRPr="00993936">
        <w:rPr>
          <w:rFonts w:cs="Arial"/>
          <w:i/>
          <w:szCs w:val="22"/>
          <w:lang w:val="es-ES"/>
        </w:rPr>
        <w:t xml:space="preserve"> Obligaciones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14.1.1 Cada persona operadora ha de disponer de un plan general de limpieza y desinfección detallado de las instalaciones —zonas de almacenamiento y envasado incluidas— y de los equipos con el objeto de que en todo momento estén en buen estado de conservación. El plan deberá contemplar:</w:t>
      </w:r>
    </w:p>
    <w:p w:rsidR="00412AFB" w:rsidRPr="00993936" w:rsidRDefault="00412AFB" w:rsidP="00412AFB">
      <w:pPr>
        <w:pStyle w:val="Sangradetextonormal"/>
        <w:numPr>
          <w:ilvl w:val="0"/>
          <w:numId w:val="15"/>
        </w:numPr>
        <w:tabs>
          <w:tab w:val="clear" w:pos="624"/>
          <w:tab w:val="num" w:pos="596"/>
        </w:tabs>
        <w:ind w:left="680"/>
        <w:jc w:val="both"/>
        <w:rPr>
          <w:rFonts w:cs="Arial"/>
          <w:szCs w:val="22"/>
          <w:lang w:val="es-ES"/>
        </w:rPr>
      </w:pPr>
      <w:r w:rsidRPr="00993936">
        <w:rPr>
          <w:rFonts w:cs="Arial"/>
          <w:szCs w:val="22"/>
          <w:lang w:val="es-ES"/>
        </w:rPr>
        <w:t>Las instalaciones se limpiarán y desinfectarán al inicio de la campaña y al menos una vez al mes en el periodo de funcionamiento.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14.1.2 Cada persona operadora dispondrá de un plan de limpieza, desinfección y desratización llevado a la práctica por un equipo con autorización legal para este fin. El plan contendrá, al menos, la siguiente información: identificación del equipo de trabajo, faenas y su frecuencia, material y productos que se emplearán y método de aplicación. Los cebos deben estar señalizados y numerados debidamente, y ha de haber un plan de señalización. </w:t>
      </w:r>
      <w:r w:rsidRPr="00993936">
        <w:rPr>
          <w:rFonts w:cs="Arial"/>
          <w:szCs w:val="22"/>
          <w:lang w:val="es-ES"/>
        </w:rPr>
        <w:tab/>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14.1.3 Evitar agujeros y ventanas e instalar elementos que impidan la entrada de insectos, pájaros y otros animales en las instalaciones.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14.1.4 Las instalaciones, los equipos y las herramientas estarán en buen estado de conservación mediante un adecuado plan de mantenimiento.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14.1.5 La persona operadora debe tomar las medidas necesarias para evitar el contacto de los productos y de las superficies con sustancias químicas, aguas no potables u objetos extraños.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14.1.6 Los recipientes de evacuación de residuos se destinarán en exclusiva para este fin y se limpiarán periódicamente, de acuerdo con el plan de limpieza establecido.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14.1.7 La persona operadora debe disponer de un plan de mantenimiento de las instalaciones, de los equipos y de las herramientas, para que en todo momento estén en buen estado de conservación.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14.1.8 Proceder a la desinfección total del almacén al menos una vez al año.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14.2 </w:t>
      </w:r>
      <w:r w:rsidRPr="00993936">
        <w:rPr>
          <w:rFonts w:cs="Arial"/>
          <w:i/>
          <w:szCs w:val="22"/>
          <w:lang w:val="es-ES"/>
        </w:rPr>
        <w:t>Prohibiciones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14.2.1 Utilizar carretillas elevadoras de gasoil dentro de los recintos cerrados de las instalaciones.</w:t>
      </w:r>
    </w:p>
    <w:p w:rsidR="00412AFB" w:rsidRPr="00993936" w:rsidRDefault="00412AFB" w:rsidP="00412AFB">
      <w:pPr>
        <w:pStyle w:val="Ttulo2"/>
        <w:rPr>
          <w:rFonts w:ascii="Arial" w:hAnsi="Arial" w:cs="Arial"/>
          <w:color w:val="auto"/>
          <w:sz w:val="22"/>
          <w:szCs w:val="22"/>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Artículo 15</w:t>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 xml:space="preserve">Equipos de tratamientos </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15.1</w:t>
      </w:r>
      <w:r w:rsidRPr="00993936">
        <w:rPr>
          <w:rFonts w:ascii="Arial" w:hAnsi="Arial" w:cs="Arial"/>
          <w:i/>
          <w:snapToGrid w:val="0"/>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15.1.1 La maquinaria utilizada para los tratamientos fitosanitarios, abonos foliares y otros similares debe estar en buen estado de funcionamiento y someterse a revisiones y calibraciones periódicas. La persona operadora debe realizar una revisión y un calibrado cada año validados por el miembro del equipo técnico responsable de producción integrada y, además, una vez cada cuatro años ha de ser inspeccionada por un centro oficial o reconocido, de conformidad con las disposiciones vigentes en la materia. La inspección se efectuará de conformidad con las normas de inspección de pulverizadores EN 13790/1 y 2, de seguridad UNE-EN-907 y de protección medioambiental UNE-EN 12761/1, 2 y 3.</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En caso de contratar servicios externos, la persona productora les exigirá estar al corriente de las inspecciones y las calibraciones estipuladas en la legislación vigente de aplicación.</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15.1.2 Realizar revisiones periódicas de los elementos de protección y seguridad de los equipos de tratamiento, procurando un buen mantenimiento y una calibración cuidadosa de estos.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15.1.3 Cuando los equipos no se utilicen han de mantenerse limpios y no deben contener productos fitosanitarios.</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 xml:space="preserve">15.2 </w:t>
      </w:r>
      <w:r w:rsidRPr="00993936">
        <w:rPr>
          <w:rFonts w:ascii="Arial" w:hAnsi="Arial" w:cs="Arial"/>
          <w:i/>
          <w:snapToGrid w:val="0"/>
          <w:lang w:val="es-ES"/>
        </w:rPr>
        <w:t>Prohibiciones</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15.2.1 La utilización de equipos de tratamiento que tengan carencias graves en elementos de seguridad, protección y funcionamiento.</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 xml:space="preserve">15.3 </w:t>
      </w:r>
      <w:r w:rsidRPr="00993936">
        <w:rPr>
          <w:rFonts w:ascii="Arial" w:hAnsi="Arial" w:cs="Arial"/>
          <w:i/>
          <w:snapToGrid w:val="0"/>
          <w:lang w:val="es-ES"/>
        </w:rPr>
        <w:t>Recomendaciones</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15.3.1 Los pulverizadores nuevos corresponderán a modelos certificados del Programa de control de características de maquinaria de tratamientos del Departamento de Agricultura, Ganadería y Pesca, o por otros programas oficiales de control.</w:t>
      </w:r>
    </w:p>
    <w:p w:rsidR="00412AFB" w:rsidRPr="00993936" w:rsidRDefault="00412AFB" w:rsidP="00412AFB">
      <w:pPr>
        <w:pStyle w:val="Ttulo4"/>
        <w:rPr>
          <w:rFonts w:ascii="Arial" w:hAnsi="Arial" w:cs="Arial"/>
          <w:i w:val="0"/>
          <w:color w:val="auto"/>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16 </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Equipos de protección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16.1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16.1.1 La persona que manipule los productos fitosanitarios debe utilizar un equipo adecuado para la protección personal, de acuerdo con la legislación vigente de aplicación y las indicaciones de las etiquetas de cada producto.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16.1.2 La ropa y el equipo se almacenarán de forma que no entren en contacto con los productos fitosanitarios.</w:t>
      </w:r>
    </w:p>
    <w:p w:rsidR="00412AFB" w:rsidRPr="00993936" w:rsidRDefault="00412AFB" w:rsidP="00412AFB">
      <w:pPr>
        <w:pStyle w:val="Ttulo4"/>
        <w:rPr>
          <w:rFonts w:ascii="Arial" w:hAnsi="Arial" w:cs="Arial"/>
          <w:i w:val="0"/>
          <w:color w:val="auto"/>
          <w:lang w:val="es-ES"/>
        </w:rPr>
      </w:pPr>
    </w:p>
    <w:p w:rsidR="00412AFB" w:rsidRPr="00993936" w:rsidRDefault="00412AFB" w:rsidP="00412AFB">
      <w:pPr>
        <w:pStyle w:val="Sangradetextonormal"/>
        <w:ind w:left="0"/>
        <w:rPr>
          <w:rFonts w:cs="Arial"/>
          <w:szCs w:val="22"/>
          <w:lang w:val="es-ES"/>
        </w:rPr>
      </w:pPr>
      <w:r w:rsidRPr="00993936">
        <w:rPr>
          <w:rFonts w:cs="Arial"/>
          <w:szCs w:val="22"/>
          <w:lang w:val="es-ES"/>
        </w:rPr>
        <w:t>Artículo 17</w:t>
      </w:r>
    </w:p>
    <w:p w:rsidR="00412AFB" w:rsidRPr="00993936" w:rsidRDefault="00412AFB" w:rsidP="00412AFB">
      <w:pPr>
        <w:pStyle w:val="Sangradetextonormal"/>
        <w:ind w:left="0"/>
        <w:rPr>
          <w:rFonts w:cs="Arial"/>
          <w:b/>
          <w:szCs w:val="22"/>
          <w:lang w:val="es-ES"/>
        </w:rPr>
      </w:pPr>
      <w:r w:rsidRPr="00993936">
        <w:rPr>
          <w:rFonts w:cs="Arial"/>
          <w:b/>
          <w:szCs w:val="22"/>
          <w:lang w:val="es-ES"/>
        </w:rPr>
        <w:t xml:space="preserve">Personal </w:t>
      </w:r>
    </w:p>
    <w:p w:rsidR="00412AFB" w:rsidRPr="00993936" w:rsidRDefault="00412AFB" w:rsidP="00412AFB">
      <w:pPr>
        <w:pStyle w:val="Sangradetextonormal"/>
        <w:ind w:left="0"/>
        <w:jc w:val="both"/>
        <w:rPr>
          <w:rFonts w:cs="Arial"/>
          <w:i/>
          <w:szCs w:val="22"/>
          <w:lang w:val="es-ES"/>
        </w:rPr>
      </w:pPr>
      <w:r w:rsidRPr="00993936">
        <w:rPr>
          <w:rFonts w:cs="Arial"/>
          <w:i/>
          <w:szCs w:val="22"/>
          <w:lang w:val="es-ES"/>
        </w:rPr>
        <w:t>17.1 Obligaciones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17.1.1 Dar instrucciones al personal trabajador para que, en caso de sufrir enfermedades de transmisión alimentaria, o padecer, entre otras patologías, heridas infectadas, infecciones cutáneas o diarreas, informen a la dirección.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17.1.2 Documentar los procedimientos de actuación en caso de accidentes o de emergencias de modo que sean comprensibles para las personas afectadas.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17.1.3 Disponer de botiquines de primeros auxilios accesibles para el personal trabajador.</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17.1.4 Fomentar la formación del personal del almacén en materia de buenas prácticas de higiene y seguridad alimentarias, y conservar un registro de las actividades formativas que ha impartido la persona operadora o una entidad externa autorizada.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17.1.5 Elaborar instrucciones para el personal trabajador en las que se consideren los aspectos higiénicos que deben respetarse en cada puesto de trabajo, y de acuerdo con las características de la explotación.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17.1.6 Disponer de un plan de prevención de riesgos laborales y un plan de análisis de peligros y puntos críticos (APPCC) implantados y aprobados, si procede, por la autoridad competente. </w:t>
      </w:r>
    </w:p>
    <w:p w:rsidR="00412AFB" w:rsidRPr="00993936" w:rsidRDefault="00412AFB" w:rsidP="00412AFB">
      <w:pPr>
        <w:rPr>
          <w:rFonts w:ascii="Arial" w:hAnsi="Arial" w:cs="Arial"/>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18 </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Transporte del producto vegetal y contenedores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18.1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18.1.1 Los receptáculos y contenedores de los vehículos utilizados para transportar los cereales deben estar limpios y en condiciones adecuadas de mantenimiento, para protegerlos de la contaminación. Su forma y composición han de permitir una limpieza y desinfección adecuadas.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18.1.2 Cuando se utilizan los receptáculos de vehículos o contenedores para transportar una carga que no sean cereales o productos alimenticios, se procederá a una limpieza eficaz entre las cargas para evitar el riesgo de contaminación.</w:t>
      </w:r>
    </w:p>
    <w:p w:rsidR="00412AFB" w:rsidRPr="00993936" w:rsidRDefault="00412AFB" w:rsidP="00412AFB">
      <w:pPr>
        <w:pStyle w:val="Ttulo4"/>
        <w:rPr>
          <w:rFonts w:ascii="Arial" w:hAnsi="Arial" w:cs="Arial"/>
          <w:i w:val="0"/>
          <w:color w:val="auto"/>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Artículo 19</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Almacenamiento de productos fitosanitarios y fertilizantes</w:t>
      </w:r>
    </w:p>
    <w:p w:rsidR="00412AFB" w:rsidRPr="00993936" w:rsidRDefault="00412AFB" w:rsidP="00412AFB">
      <w:pPr>
        <w:jc w:val="both"/>
        <w:rPr>
          <w:rFonts w:ascii="Arial" w:hAnsi="Arial" w:cs="Arial"/>
          <w:i/>
          <w:lang w:val="es-ES"/>
        </w:rPr>
      </w:pPr>
      <w:r w:rsidRPr="00993936">
        <w:rPr>
          <w:rFonts w:ascii="Arial" w:hAnsi="Arial" w:cs="Arial"/>
          <w:lang w:val="es-ES"/>
        </w:rPr>
        <w:t>19.1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19.1.1 </w:t>
      </w:r>
      <w:r w:rsidRPr="00993936">
        <w:rPr>
          <w:rFonts w:ascii="Arial" w:hAnsi="Arial" w:cs="Arial"/>
          <w:i/>
          <w:u w:val="single"/>
          <w:lang w:val="es-ES"/>
        </w:rPr>
        <w:t>Condiciones de almacenamiento</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 xml:space="preserve">19.1.1.1 Los productos fitosanitarios y fertilizantes deberán almacenarse en un lugar cerrado, separados de los cereales, para evitar cualquier riesgo de contaminación. </w:t>
      </w:r>
    </w:p>
    <w:p w:rsidR="00412AFB" w:rsidRPr="00993936" w:rsidRDefault="00412AFB" w:rsidP="00412AFB">
      <w:pPr>
        <w:jc w:val="both"/>
        <w:rPr>
          <w:rFonts w:ascii="Arial" w:hAnsi="Arial" w:cs="Arial"/>
          <w:lang w:val="es-ES"/>
        </w:rPr>
      </w:pPr>
      <w:r w:rsidRPr="00993936">
        <w:rPr>
          <w:rFonts w:ascii="Arial" w:hAnsi="Arial" w:cs="Arial"/>
          <w:lang w:val="es-ES"/>
        </w:rPr>
        <w:t>19.1.1.2 El almacén dispondrá de llave y ventilación permanente y suficiente.</w:t>
      </w:r>
    </w:p>
    <w:p w:rsidR="00412AFB" w:rsidRPr="00993936" w:rsidRDefault="00412AFB" w:rsidP="00412AFB">
      <w:pPr>
        <w:jc w:val="both"/>
        <w:rPr>
          <w:rFonts w:ascii="Arial" w:hAnsi="Arial" w:cs="Arial"/>
          <w:lang w:val="es-ES"/>
        </w:rPr>
      </w:pPr>
      <w:r w:rsidRPr="00993936">
        <w:rPr>
          <w:rFonts w:ascii="Arial" w:hAnsi="Arial" w:cs="Arial"/>
          <w:lang w:val="es-ES"/>
        </w:rPr>
        <w:t>19.1.1.3 El almacenamiento ha de disponer de medios para retener posibles derrames accidentales.</w:t>
      </w:r>
    </w:p>
    <w:p w:rsidR="00412AFB" w:rsidRPr="00993936" w:rsidRDefault="00412AFB" w:rsidP="00412AFB">
      <w:pPr>
        <w:jc w:val="both"/>
        <w:rPr>
          <w:rFonts w:ascii="Arial" w:hAnsi="Arial" w:cs="Arial"/>
          <w:lang w:val="es-ES"/>
        </w:rPr>
      </w:pPr>
      <w:r w:rsidRPr="00993936">
        <w:rPr>
          <w:rFonts w:ascii="Arial" w:hAnsi="Arial" w:cs="Arial"/>
          <w:lang w:val="es-ES"/>
        </w:rPr>
        <w:t>19.1.1.4 El lugar del almacén tiene que estar debidamente señalado, haciendo un especial hincapié en la prohibición de acceso a personas no autorizadas.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19.1.1.5 En el almacenamiento de productos fitosanitarios se deben tener en cuenta, además, el resto de las obligaciones que establece el artículo 40 del Real Decreto 1311/2012.</w:t>
      </w:r>
    </w:p>
    <w:p w:rsidR="00412AFB" w:rsidRPr="00993936" w:rsidRDefault="00412AFB" w:rsidP="00412AFB">
      <w:pPr>
        <w:jc w:val="both"/>
        <w:rPr>
          <w:rFonts w:ascii="Arial" w:hAnsi="Arial" w:cs="Arial"/>
          <w:lang w:val="es-ES"/>
        </w:rPr>
      </w:pPr>
      <w:r w:rsidRPr="00993936">
        <w:rPr>
          <w:rFonts w:ascii="Arial" w:hAnsi="Arial" w:cs="Arial"/>
          <w:lang w:val="es-ES"/>
        </w:rPr>
        <w:t xml:space="preserve">19.1.2 </w:t>
      </w:r>
      <w:r w:rsidRPr="00993936">
        <w:rPr>
          <w:rFonts w:ascii="Arial" w:hAnsi="Arial" w:cs="Arial"/>
          <w:i/>
          <w:u w:val="single"/>
          <w:lang w:val="es-ES"/>
        </w:rPr>
        <w:t>Almacenamiento de productos</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19.1.2.1 Los fitosanitarios deben mantenerse dentro de su envase original y sus etiquetas han de ser perfectamente legibles.</w:t>
      </w:r>
    </w:p>
    <w:p w:rsidR="00412AFB" w:rsidRPr="00993936" w:rsidRDefault="00412AFB" w:rsidP="00412AFB">
      <w:pPr>
        <w:jc w:val="both"/>
        <w:rPr>
          <w:rFonts w:ascii="Arial" w:hAnsi="Arial" w:cs="Arial"/>
          <w:lang w:val="es-ES"/>
        </w:rPr>
      </w:pPr>
      <w:r w:rsidRPr="00993936">
        <w:rPr>
          <w:rFonts w:ascii="Arial" w:hAnsi="Arial" w:cs="Arial"/>
          <w:lang w:val="es-ES"/>
        </w:rPr>
        <w:t>19.1.2.2 Los productos fitosanitarios y fertilizantes deben estar debidamente etiquetados, ordenados y separados físicamente.</w:t>
      </w:r>
    </w:p>
    <w:p w:rsidR="00412AFB" w:rsidRPr="00993936" w:rsidRDefault="00412AFB" w:rsidP="00412AFB">
      <w:pPr>
        <w:jc w:val="both"/>
        <w:rPr>
          <w:rFonts w:ascii="Arial" w:hAnsi="Arial" w:cs="Arial"/>
          <w:lang w:val="es-ES"/>
        </w:rPr>
      </w:pPr>
      <w:r w:rsidRPr="00993936">
        <w:rPr>
          <w:rFonts w:ascii="Arial" w:hAnsi="Arial" w:cs="Arial"/>
          <w:lang w:val="es-ES"/>
        </w:rPr>
        <w:t>19.1.2.3 Los fitosanitarios en polvo han de almacenarse en estantes situados por encima de los líquidos.</w:t>
      </w:r>
    </w:p>
    <w:p w:rsidR="00412AFB" w:rsidRPr="00993936" w:rsidRDefault="00412AFB" w:rsidP="00412AFB">
      <w:pPr>
        <w:jc w:val="both"/>
        <w:rPr>
          <w:rFonts w:ascii="Arial" w:hAnsi="Arial" w:cs="Arial"/>
          <w:lang w:val="es-ES"/>
        </w:rPr>
      </w:pPr>
      <w:r w:rsidRPr="00993936">
        <w:rPr>
          <w:rFonts w:ascii="Arial" w:hAnsi="Arial" w:cs="Arial"/>
          <w:lang w:val="es-ES"/>
        </w:rPr>
        <w:t>19.1.2.4 La conservación de los justificantes de las compras y gastos de los productos fitosanitarios reflejados en el cuaderno de explotación es obligatoria durante tres años.</w:t>
      </w:r>
    </w:p>
    <w:p w:rsidR="00412AFB" w:rsidRPr="00993936" w:rsidRDefault="00412AFB" w:rsidP="00412AFB">
      <w:pPr>
        <w:jc w:val="both"/>
        <w:rPr>
          <w:rFonts w:ascii="Arial" w:hAnsi="Arial" w:cs="Arial"/>
          <w:lang w:val="es-ES"/>
        </w:rPr>
      </w:pPr>
      <w:r w:rsidRPr="00993936">
        <w:rPr>
          <w:rFonts w:ascii="Arial" w:hAnsi="Arial" w:cs="Arial"/>
          <w:lang w:val="es-ES"/>
        </w:rPr>
        <w:t>19.1.2.5 En caso de existir un almacén de productos fitosanitarios y/o fertilizantes en los lugares de almacenamiento de cereales, se aplicarán las obligaciones de la RTS (Reglamentación técnico-sanitaria) y las del Real Decreto 1311/2012.</w:t>
      </w: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t xml:space="preserve">19.2 </w:t>
      </w:r>
      <w:r w:rsidRPr="00993936">
        <w:rPr>
          <w:rFonts w:ascii="Arial" w:hAnsi="Arial" w:cs="Arial"/>
          <w:i/>
          <w:color w:val="auto"/>
          <w:sz w:val="22"/>
          <w:szCs w:val="22"/>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19.2.1 No almacenar los productos fitosanitarios ni fertilizantes en contacto con el suelo.</w:t>
      </w:r>
    </w:p>
    <w:p w:rsidR="00412AFB" w:rsidRPr="00993936" w:rsidRDefault="00412AFB" w:rsidP="00412AFB">
      <w:pPr>
        <w:jc w:val="both"/>
        <w:rPr>
          <w:rFonts w:ascii="Arial" w:hAnsi="Arial" w:cs="Arial"/>
          <w:lang w:val="es-ES"/>
        </w:rPr>
      </w:pPr>
      <w:r w:rsidRPr="00993936">
        <w:rPr>
          <w:rFonts w:ascii="Arial" w:hAnsi="Arial" w:cs="Arial"/>
          <w:lang w:val="es-ES"/>
        </w:rPr>
        <w:t>19.2.2 Emplear estantes de almacén de materiales no absorbentes.</w:t>
      </w:r>
    </w:p>
    <w:p w:rsidR="00412AFB" w:rsidRPr="00993936" w:rsidRDefault="00412AFB" w:rsidP="00412AFB">
      <w:pPr>
        <w:jc w:val="both"/>
        <w:rPr>
          <w:rFonts w:ascii="Arial" w:hAnsi="Arial" w:cs="Arial"/>
          <w:lang w:val="es-ES"/>
        </w:rPr>
      </w:pPr>
      <w:r w:rsidRPr="00993936">
        <w:rPr>
          <w:rFonts w:ascii="Arial" w:hAnsi="Arial" w:cs="Arial"/>
          <w:lang w:val="es-ES"/>
        </w:rPr>
        <w:t>19.2.3 No almacenar productos innecesariamente.</w:t>
      </w:r>
    </w:p>
    <w:p w:rsidR="00412AFB" w:rsidRPr="00993936" w:rsidRDefault="00412AFB" w:rsidP="00412AFB">
      <w:pPr>
        <w:jc w:val="both"/>
        <w:rPr>
          <w:rFonts w:ascii="Arial" w:hAnsi="Arial" w:cs="Arial"/>
          <w:lang w:val="es-ES"/>
        </w:rPr>
      </w:pP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20</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Señalización de seguridad</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20.1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20.1.1 Utilizar las señalizaciones que prevé la legislación vigente.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20.1.2 En el almacén de productos fitosanitarios deben estar presentes, de manera accesible y legible, las normas generales de actuación en caso de intoxicación y derrame accidental, y es obligatorio disponer de los números de teléfono del Instituto de Toxicología y de otros organismos que puedan ser competentes en esta materia.</w:t>
      </w:r>
    </w:p>
    <w:p w:rsidR="00412AFB" w:rsidRPr="00993936" w:rsidRDefault="00412AFB" w:rsidP="00412AFB">
      <w:pPr>
        <w:jc w:val="both"/>
        <w:rPr>
          <w:rFonts w:ascii="Arial" w:hAnsi="Arial" w:cs="Arial"/>
          <w:lang w:val="es-ES"/>
        </w:rPr>
      </w:pPr>
    </w:p>
    <w:p w:rsidR="00412AFB" w:rsidRPr="00993936" w:rsidRDefault="00412AFB" w:rsidP="00412AFB">
      <w:pPr>
        <w:numPr>
          <w:ilvl w:val="0"/>
          <w:numId w:val="16"/>
        </w:numPr>
        <w:spacing w:after="0" w:line="240" w:lineRule="auto"/>
        <w:jc w:val="both"/>
        <w:rPr>
          <w:rFonts w:ascii="Arial" w:hAnsi="Arial" w:cs="Arial"/>
          <w:b/>
          <w:lang w:val="es-ES"/>
        </w:rPr>
      </w:pPr>
      <w:r w:rsidRPr="00993936">
        <w:rPr>
          <w:rFonts w:ascii="Arial" w:hAnsi="Arial" w:cs="Arial"/>
          <w:b/>
          <w:lang w:val="es-ES"/>
        </w:rPr>
        <w:t xml:space="preserve">ALMACENAMIENTO Y CONSERVACIÓN DE LOS CEREALES </w:t>
      </w:r>
    </w:p>
    <w:p w:rsidR="00412AFB" w:rsidRPr="00993936" w:rsidRDefault="00412AFB" w:rsidP="00412AFB">
      <w:pPr>
        <w:jc w:val="both"/>
        <w:rPr>
          <w:rFonts w:ascii="Arial" w:hAnsi="Arial" w:cs="Arial"/>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 xml:space="preserve">Artículo 21 </w:t>
      </w:r>
    </w:p>
    <w:p w:rsidR="00412AFB" w:rsidRPr="00993936" w:rsidRDefault="00412AFB" w:rsidP="00412AFB">
      <w:pPr>
        <w:jc w:val="both"/>
        <w:rPr>
          <w:rFonts w:ascii="Arial" w:hAnsi="Arial" w:cs="Arial"/>
          <w:b/>
          <w:lang w:val="es-ES"/>
        </w:rPr>
      </w:pPr>
      <w:r w:rsidRPr="00993936">
        <w:rPr>
          <w:rFonts w:ascii="Arial" w:hAnsi="Arial" w:cs="Arial"/>
          <w:b/>
          <w:lang w:val="es-ES"/>
        </w:rPr>
        <w:t>Transporte y recepción en el almacén</w:t>
      </w:r>
    </w:p>
    <w:p w:rsidR="00412AFB" w:rsidRPr="00993936" w:rsidRDefault="00412AFB" w:rsidP="00412AFB">
      <w:pPr>
        <w:jc w:val="both"/>
        <w:rPr>
          <w:rFonts w:ascii="Arial" w:hAnsi="Arial" w:cs="Arial"/>
          <w:lang w:val="es-ES"/>
        </w:rPr>
      </w:pPr>
      <w:r w:rsidRPr="00993936">
        <w:rPr>
          <w:rFonts w:ascii="Arial" w:hAnsi="Arial" w:cs="Arial"/>
          <w:lang w:val="es-ES"/>
        </w:rPr>
        <w:t xml:space="preserve">21.1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21.1.1 Los vehículos que lleguen a las instalaciones deben estar en condiciones de higiene y cargados exclusivamente con cereales.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21.1.2 Habrá una separación física, definida y señalizada, de los productos vegetales que proceden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21.1.3 Realizar una inspección visual de las partidas de cereales cuando lleguen a la recepción, establecer un sistema de verificación de la calidad de los productos que entran. Habrá un registro de incidencias en caso de incumplimiento. Las partidas que no cumplan los requisitos anteriores dejarán de considerarse como de producción integrada.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21.1.4 Antes de cargar todos los elementos de transporte deben estar limpios, en buen estado y exentos de olores y objetos extraños.</w:t>
      </w:r>
    </w:p>
    <w:p w:rsidR="00412AFB" w:rsidRPr="00993936" w:rsidRDefault="00412AFB" w:rsidP="00412AFB">
      <w:pPr>
        <w:jc w:val="both"/>
        <w:rPr>
          <w:rFonts w:ascii="Arial" w:hAnsi="Arial" w:cs="Arial"/>
          <w:i/>
          <w:lang w:val="es-ES"/>
        </w:rPr>
      </w:pPr>
      <w:r w:rsidRPr="00993936">
        <w:rPr>
          <w:rFonts w:ascii="Arial" w:hAnsi="Arial" w:cs="Arial"/>
          <w:lang w:val="es-ES"/>
        </w:rPr>
        <w:t xml:space="preserve">21.2.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21.2.1 Almacenar productos químicos y desechos en la zona de recepción de cereales.</w:t>
      </w:r>
    </w:p>
    <w:p w:rsidR="00412AFB" w:rsidRPr="00993936" w:rsidRDefault="00412AFB" w:rsidP="00412AFB">
      <w:pPr>
        <w:rPr>
          <w:rFonts w:ascii="Arial" w:hAnsi="Arial" w:cs="Arial"/>
          <w:lang w:val="es-ES"/>
        </w:rPr>
      </w:pPr>
    </w:p>
    <w:p w:rsidR="00412AFB" w:rsidRPr="00993936" w:rsidRDefault="00412AFB" w:rsidP="00412AFB">
      <w:pPr>
        <w:pStyle w:val="Ttulo4"/>
        <w:rPr>
          <w:rFonts w:ascii="Arial" w:hAnsi="Arial" w:cs="Arial"/>
          <w:i w:val="0"/>
          <w:color w:val="auto"/>
          <w:lang w:val="es-ES"/>
        </w:rPr>
      </w:pPr>
      <w:r w:rsidRPr="00993936">
        <w:rPr>
          <w:rFonts w:ascii="Arial" w:hAnsi="Arial" w:cs="Arial"/>
          <w:i w:val="0"/>
          <w:color w:val="auto"/>
          <w:lang w:val="es-ES"/>
        </w:rPr>
        <w:t>Artículo 22</w:t>
      </w:r>
    </w:p>
    <w:p w:rsidR="00412AFB" w:rsidRPr="00993936" w:rsidRDefault="00412AFB" w:rsidP="00412AFB">
      <w:pPr>
        <w:pStyle w:val="Ttulo4"/>
        <w:rPr>
          <w:rFonts w:ascii="Arial" w:hAnsi="Arial" w:cs="Arial"/>
          <w:b/>
          <w:i w:val="0"/>
          <w:color w:val="auto"/>
          <w:lang w:val="es-ES"/>
        </w:rPr>
      </w:pPr>
      <w:r w:rsidRPr="00993936">
        <w:rPr>
          <w:rFonts w:ascii="Arial" w:hAnsi="Arial" w:cs="Arial"/>
          <w:b/>
          <w:i w:val="0"/>
          <w:color w:val="auto"/>
          <w:lang w:val="es-ES"/>
        </w:rPr>
        <w:t>Tratamientos de posrecolección</w:t>
      </w:r>
    </w:p>
    <w:p w:rsidR="00412AFB" w:rsidRPr="00993936" w:rsidRDefault="00412AFB" w:rsidP="00412AFB">
      <w:pPr>
        <w:pStyle w:val="Ttulo4"/>
        <w:rPr>
          <w:rFonts w:ascii="Arial" w:hAnsi="Arial" w:cs="Arial"/>
          <w:color w:val="auto"/>
          <w:lang w:val="es-ES"/>
        </w:rPr>
      </w:pPr>
      <w:r w:rsidRPr="00993936">
        <w:rPr>
          <w:rFonts w:ascii="Arial" w:hAnsi="Arial" w:cs="Arial"/>
          <w:color w:val="auto"/>
          <w:lang w:val="es-ES"/>
        </w:rPr>
        <w:t>22.1 Obligaciones</w:t>
      </w:r>
    </w:p>
    <w:p w:rsidR="00412AFB" w:rsidRPr="00993936" w:rsidRDefault="00412AFB" w:rsidP="00412AFB">
      <w:pPr>
        <w:pStyle w:val="Textoindependiente"/>
        <w:rPr>
          <w:rFonts w:cs="Arial"/>
          <w:szCs w:val="22"/>
          <w:lang w:val="es-ES"/>
        </w:rPr>
      </w:pPr>
      <w:r w:rsidRPr="00993936">
        <w:rPr>
          <w:rFonts w:cs="Arial"/>
          <w:szCs w:val="22"/>
          <w:lang w:val="es-ES"/>
        </w:rPr>
        <w:t>22.1.1 Todas las aplicaciones en los tratamientos poscosecha se registrarán en el cuaderno de conservación y/o poscosecha indicando en las anotaciones, como mínimo, los siguientes datos: fecha de aplicación, especie y/o variedad, la justificación del tratamiento, materia activa, producto, cantidad aplicada y la maquinaria o sistema que se ha utilizado para dicha aplicación.</w:t>
      </w:r>
    </w:p>
    <w:p w:rsidR="00412AFB" w:rsidRPr="00993936" w:rsidRDefault="00412AFB" w:rsidP="00412AFB">
      <w:pPr>
        <w:jc w:val="both"/>
        <w:rPr>
          <w:rFonts w:ascii="Arial" w:hAnsi="Arial" w:cs="Arial"/>
          <w:lang w:val="es-ES"/>
        </w:rPr>
      </w:pPr>
      <w:r w:rsidRPr="00993936">
        <w:rPr>
          <w:rFonts w:ascii="Arial" w:hAnsi="Arial" w:cs="Arial"/>
          <w:lang w:val="es-ES"/>
        </w:rPr>
        <w:t>22.1.2 En los tratamientos en posrecolección tendrán preferencia los métodos físicos, biológicos o con productos naturales frente a los productos de síntesis.</w:t>
      </w:r>
    </w:p>
    <w:p w:rsidR="00412AFB" w:rsidRPr="00993936" w:rsidRDefault="00412AFB" w:rsidP="00412AFB">
      <w:pPr>
        <w:jc w:val="both"/>
        <w:rPr>
          <w:rFonts w:ascii="Arial" w:hAnsi="Arial" w:cs="Arial"/>
          <w:lang w:val="es-ES"/>
        </w:rPr>
      </w:pPr>
      <w:r w:rsidRPr="00993936">
        <w:rPr>
          <w:rFonts w:ascii="Arial" w:hAnsi="Arial" w:cs="Arial"/>
          <w:lang w:val="es-ES"/>
        </w:rPr>
        <w:t>22.1.3 En los tratamientos con productos químicos de síntesis se utilizarán, de entre los autorizados, aquellos que tengan un perfil toxicológico más favorable y, de entre estos, aquellos cuyos límites máximos de residuos estén armonizados a nivel comunitario.</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23</w:t>
      </w:r>
    </w:p>
    <w:p w:rsidR="00412AFB" w:rsidRPr="00993936" w:rsidRDefault="00412AFB" w:rsidP="00412AFB">
      <w:pPr>
        <w:jc w:val="both"/>
        <w:rPr>
          <w:rFonts w:ascii="Arial" w:hAnsi="Arial" w:cs="Arial"/>
          <w:b/>
          <w:lang w:val="es-ES"/>
        </w:rPr>
      </w:pPr>
      <w:r w:rsidRPr="00993936">
        <w:rPr>
          <w:rFonts w:ascii="Arial" w:hAnsi="Arial" w:cs="Arial"/>
          <w:b/>
          <w:lang w:val="es-ES"/>
        </w:rPr>
        <w:t>Almacenamiento y conservación</w:t>
      </w:r>
    </w:p>
    <w:p w:rsidR="00412AFB" w:rsidRPr="00993936" w:rsidRDefault="00412AFB" w:rsidP="00412AFB">
      <w:pPr>
        <w:rPr>
          <w:rFonts w:ascii="Arial" w:hAnsi="Arial" w:cs="Arial"/>
          <w:lang w:val="es-ES"/>
        </w:rPr>
      </w:pPr>
      <w:r w:rsidRPr="00993936">
        <w:rPr>
          <w:rFonts w:ascii="Arial" w:hAnsi="Arial" w:cs="Arial"/>
          <w:lang w:val="es-ES"/>
        </w:rPr>
        <w:t>23.1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23.1.1 El almacenamiento ha de realizarse con procedimientos que permitan garantizar la mejor calidad posible de los cereales.</w:t>
      </w:r>
    </w:p>
    <w:p w:rsidR="00412AFB" w:rsidRPr="00993936" w:rsidRDefault="00412AFB" w:rsidP="00412AFB">
      <w:pPr>
        <w:jc w:val="both"/>
        <w:rPr>
          <w:rFonts w:ascii="Arial" w:hAnsi="Arial" w:cs="Arial"/>
          <w:lang w:val="es-ES"/>
        </w:rPr>
      </w:pPr>
      <w:r w:rsidRPr="00993936">
        <w:rPr>
          <w:rFonts w:ascii="Arial" w:hAnsi="Arial" w:cs="Arial"/>
          <w:lang w:val="es-ES"/>
        </w:rPr>
        <w:t>23.1.2 Mantener limpias las instalaciones y limpiar, desinfectar y luchar contra los parásitos de los espacios de almacenamiento de modo que no se produzca ningún tipo de contaminación de los cereales.</w:t>
      </w:r>
    </w:p>
    <w:p w:rsidR="00412AFB" w:rsidRPr="00993936" w:rsidRDefault="00412AFB" w:rsidP="00412AFB">
      <w:pPr>
        <w:jc w:val="both"/>
        <w:rPr>
          <w:rFonts w:ascii="Arial" w:hAnsi="Arial" w:cs="Arial"/>
          <w:lang w:val="es-ES"/>
        </w:rPr>
      </w:pPr>
      <w:r w:rsidRPr="00993936">
        <w:rPr>
          <w:rFonts w:ascii="Arial" w:hAnsi="Arial" w:cs="Arial"/>
          <w:lang w:val="es-ES"/>
        </w:rPr>
        <w:t>23.1.3 Mantener un grado de humedad del grano inferior al 14 %.</w:t>
      </w:r>
    </w:p>
    <w:p w:rsidR="00412AFB" w:rsidRPr="00993936" w:rsidRDefault="00412AFB" w:rsidP="00412AFB">
      <w:pPr>
        <w:jc w:val="both"/>
        <w:rPr>
          <w:rFonts w:ascii="Arial" w:hAnsi="Arial" w:cs="Arial"/>
          <w:lang w:val="es-ES"/>
        </w:rPr>
      </w:pPr>
      <w:r w:rsidRPr="00993936">
        <w:rPr>
          <w:rFonts w:ascii="Arial" w:hAnsi="Arial" w:cs="Arial"/>
          <w:lang w:val="es-ES"/>
        </w:rPr>
        <w:t>23.1.4 Establecer en los almacenes una separación clara y definida entre los productos procedentes de cultivos de producción integrada y los otros productos.</w:t>
      </w:r>
    </w:p>
    <w:p w:rsidR="00412AFB" w:rsidRPr="00993936" w:rsidRDefault="00412AFB" w:rsidP="00412AFB">
      <w:pPr>
        <w:rPr>
          <w:rFonts w:ascii="Arial" w:hAnsi="Arial" w:cs="Arial"/>
          <w:lang w:val="es-ES"/>
        </w:rPr>
      </w:pPr>
      <w:r w:rsidRPr="00993936">
        <w:rPr>
          <w:rFonts w:ascii="Arial" w:hAnsi="Arial" w:cs="Arial"/>
          <w:lang w:val="es-ES"/>
        </w:rPr>
        <w:t xml:space="preserve">23.2 </w:t>
      </w:r>
      <w:r w:rsidRPr="00993936">
        <w:rPr>
          <w:rFonts w:ascii="Arial" w:hAnsi="Arial" w:cs="Arial"/>
          <w:i/>
          <w:lang w:val="es-ES"/>
        </w:rPr>
        <w:t>Prohibiciones</w:t>
      </w:r>
    </w:p>
    <w:p w:rsidR="00412AFB" w:rsidRPr="00993936" w:rsidRDefault="00412AFB" w:rsidP="00412AFB">
      <w:pPr>
        <w:pStyle w:val="Textoindependiente"/>
        <w:rPr>
          <w:rFonts w:cs="Arial"/>
          <w:szCs w:val="22"/>
          <w:lang w:val="es-ES"/>
        </w:rPr>
      </w:pPr>
      <w:r w:rsidRPr="00993936">
        <w:rPr>
          <w:rFonts w:cs="Arial"/>
          <w:szCs w:val="22"/>
          <w:lang w:val="es-ES"/>
        </w:rPr>
        <w:lastRenderedPageBreak/>
        <w:t>23.2.1 La utilización de productos químicos de síntesis para la desinfección del almacén, salvo causa justificada y que sea expresamente autorizada por la autoridad competente, establecida en el Decreto 241/2002.</w:t>
      </w:r>
    </w:p>
    <w:p w:rsidR="00412AFB" w:rsidRPr="00993936" w:rsidRDefault="00412AFB" w:rsidP="00412AFB">
      <w:pPr>
        <w:rPr>
          <w:rFonts w:ascii="Arial" w:hAnsi="Arial" w:cs="Arial"/>
          <w:lang w:val="es-ES"/>
        </w:rPr>
      </w:pPr>
    </w:p>
    <w:p w:rsidR="00412AFB" w:rsidRPr="00993936" w:rsidRDefault="00412AFB" w:rsidP="00412AFB">
      <w:pPr>
        <w:pStyle w:val="Textoindependiente"/>
        <w:outlineLvl w:val="0"/>
        <w:rPr>
          <w:rFonts w:cs="Arial"/>
          <w:szCs w:val="22"/>
          <w:lang w:val="es-ES"/>
        </w:rPr>
      </w:pPr>
      <w:r w:rsidRPr="00993936">
        <w:rPr>
          <w:rFonts w:cs="Arial"/>
          <w:szCs w:val="22"/>
          <w:lang w:val="es-ES"/>
        </w:rPr>
        <w:t>Artículo 24</w:t>
      </w:r>
    </w:p>
    <w:p w:rsidR="00412AFB" w:rsidRPr="00993936" w:rsidRDefault="00412AFB" w:rsidP="00412AFB">
      <w:pPr>
        <w:pStyle w:val="Textoindependiente"/>
        <w:outlineLvl w:val="0"/>
        <w:rPr>
          <w:rFonts w:cs="Arial"/>
          <w:b/>
          <w:szCs w:val="22"/>
          <w:lang w:val="es-ES"/>
        </w:rPr>
      </w:pPr>
      <w:r w:rsidRPr="00993936">
        <w:rPr>
          <w:rFonts w:cs="Arial"/>
          <w:b/>
          <w:szCs w:val="22"/>
          <w:lang w:val="es-ES"/>
        </w:rPr>
        <w:t>Cuaderno de conservación/poscosecha</w:t>
      </w:r>
    </w:p>
    <w:p w:rsidR="00412AFB" w:rsidRPr="00993936" w:rsidRDefault="00412AFB" w:rsidP="00412AFB">
      <w:pPr>
        <w:jc w:val="both"/>
        <w:rPr>
          <w:rFonts w:ascii="Arial" w:hAnsi="Arial" w:cs="Arial"/>
          <w:i/>
          <w:lang w:val="es-ES"/>
        </w:rPr>
      </w:pPr>
      <w:r w:rsidRPr="00993936">
        <w:rPr>
          <w:rFonts w:ascii="Arial" w:hAnsi="Arial" w:cs="Arial"/>
          <w:i/>
          <w:lang w:val="es-ES"/>
        </w:rPr>
        <w:t>24.1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24.1.1 El modelo de cuaderno de explotación es único en cuanto al contenido de los datos que deben registrarse, y será aprobado por el Departamento de Agricultura, Ganadería, Pesca y Alimentación. </w:t>
      </w:r>
    </w:p>
    <w:p w:rsidR="00412AFB" w:rsidRPr="00993936" w:rsidRDefault="00412AFB" w:rsidP="00412AFB">
      <w:pPr>
        <w:jc w:val="both"/>
        <w:rPr>
          <w:rFonts w:ascii="Arial" w:hAnsi="Arial" w:cs="Arial"/>
          <w:lang w:val="es-ES"/>
        </w:rPr>
      </w:pPr>
      <w:r w:rsidRPr="00993936">
        <w:rPr>
          <w:rFonts w:ascii="Arial" w:hAnsi="Arial" w:cs="Arial"/>
          <w:lang w:val="es-ES"/>
        </w:rPr>
        <w:t>24.1.2 El personal técnico responsable de conservación de productos de producción integrada se responsabilizará periódicamente, mediante su firma, de la conformidad de las anotaciones realizadas en el cuaderno de conservación para con el sistema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24.1.3 El cuaderno de conservación es obligatorio y estará siempre disponible para su inspección. Para la buena funcionalidad del sistema, las anotaciones de las operaciones deberán realizarse en el plazo máximo de los siete días siguientes a su ejecución.</w:t>
      </w:r>
    </w:p>
    <w:p w:rsidR="00412AFB" w:rsidRPr="00993936" w:rsidRDefault="00412AFB" w:rsidP="00412AFB">
      <w:pPr>
        <w:jc w:val="both"/>
        <w:rPr>
          <w:rFonts w:ascii="Arial" w:hAnsi="Arial" w:cs="Arial"/>
          <w:lang w:val="es-ES"/>
        </w:rPr>
      </w:pPr>
      <w:r w:rsidRPr="00993936">
        <w:rPr>
          <w:rFonts w:ascii="Arial" w:hAnsi="Arial" w:cs="Arial"/>
          <w:lang w:val="es-ES"/>
        </w:rPr>
        <w:t>Artículo 25</w:t>
      </w:r>
    </w:p>
    <w:p w:rsidR="00412AFB" w:rsidRPr="00993936" w:rsidRDefault="00412AFB" w:rsidP="00412AFB">
      <w:pPr>
        <w:jc w:val="both"/>
        <w:rPr>
          <w:rFonts w:ascii="Arial" w:hAnsi="Arial" w:cs="Arial"/>
          <w:b/>
          <w:lang w:val="es-ES"/>
        </w:rPr>
      </w:pPr>
      <w:r w:rsidRPr="00993936">
        <w:rPr>
          <w:rFonts w:ascii="Arial" w:hAnsi="Arial" w:cs="Arial"/>
          <w:b/>
          <w:lang w:val="es-ES"/>
        </w:rPr>
        <w:t xml:space="preserve">Formación del personal </w:t>
      </w:r>
    </w:p>
    <w:p w:rsidR="00412AFB" w:rsidRPr="00993936" w:rsidRDefault="00412AFB" w:rsidP="00412AFB">
      <w:pPr>
        <w:jc w:val="both"/>
        <w:rPr>
          <w:rFonts w:ascii="Arial" w:hAnsi="Arial" w:cs="Arial"/>
          <w:lang w:val="es-ES"/>
        </w:rPr>
      </w:pPr>
      <w:r w:rsidRPr="00993936">
        <w:rPr>
          <w:rFonts w:ascii="Arial" w:hAnsi="Arial" w:cs="Arial"/>
          <w:lang w:val="es-ES"/>
        </w:rPr>
        <w:t>25.1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La empresa deberá fomentar la formación y proporcionar la que sea necesaria al personal implicado en la aplicación de esta norma y demás partes afectadas por su actividad. Por otro lado, todos los agentes que participen en la producción integrada deben tener una formación específica al respecto.</w:t>
      </w:r>
    </w:p>
    <w:p w:rsidR="00412AFB" w:rsidRPr="00993936" w:rsidRDefault="00412AFB" w:rsidP="00412AFB">
      <w:pPr>
        <w:pStyle w:val="Sangradetextonormal"/>
        <w:ind w:left="0"/>
        <w:rPr>
          <w:rFonts w:cs="Arial"/>
          <w:b/>
          <w:szCs w:val="22"/>
          <w:lang w:val="es-ES"/>
        </w:rPr>
      </w:pPr>
      <w:r w:rsidRPr="00993936">
        <w:rPr>
          <w:rFonts w:cs="Arial"/>
          <w:szCs w:val="22"/>
          <w:lang w:val="es-ES"/>
        </w:rPr>
        <w:t xml:space="preserve">25.1.1 </w:t>
      </w:r>
      <w:r w:rsidRPr="00993936">
        <w:rPr>
          <w:rFonts w:cs="Arial"/>
          <w:szCs w:val="22"/>
          <w:u w:val="single"/>
          <w:lang w:val="es-ES"/>
        </w:rPr>
        <w:t>Personal del almacén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La empresa ha de asegurar la formación del personal del almacén en materia de buenas prácticas de higiene y manipulado, y conservar un registro de los cursos impartidos.</w:t>
      </w:r>
    </w:p>
    <w:p w:rsidR="00412AFB" w:rsidRPr="00993936" w:rsidRDefault="00412AFB" w:rsidP="00412AFB">
      <w:pPr>
        <w:jc w:val="both"/>
        <w:rPr>
          <w:rFonts w:ascii="Arial" w:hAnsi="Arial" w:cs="Arial"/>
          <w:lang w:val="es-ES"/>
        </w:rPr>
      </w:pPr>
      <w:r w:rsidRPr="00993936">
        <w:rPr>
          <w:rFonts w:ascii="Arial" w:hAnsi="Arial" w:cs="Arial"/>
          <w:lang w:val="es-ES"/>
        </w:rPr>
        <w:t xml:space="preserve">25.1.2 </w:t>
      </w:r>
      <w:r w:rsidRPr="00993936">
        <w:rPr>
          <w:rFonts w:ascii="Arial" w:hAnsi="Arial" w:cs="Arial"/>
          <w:u w:val="single"/>
          <w:lang w:val="es-ES"/>
        </w:rPr>
        <w:t>Personal técnico competente</w:t>
      </w:r>
    </w:p>
    <w:p w:rsidR="00412AFB" w:rsidRPr="00993936" w:rsidRDefault="00412AFB" w:rsidP="00412AFB">
      <w:pPr>
        <w:jc w:val="both"/>
        <w:rPr>
          <w:rFonts w:ascii="Arial" w:hAnsi="Arial" w:cs="Arial"/>
          <w:lang w:val="es-ES"/>
        </w:rPr>
      </w:pPr>
      <w:r w:rsidRPr="00993936">
        <w:rPr>
          <w:rFonts w:ascii="Arial" w:hAnsi="Arial" w:cs="Arial"/>
          <w:lang w:val="es-ES"/>
        </w:rPr>
        <w:t>El personal técnico competente que participe en la producción integrada debe tener una formación universitaria de acuerdo con lo establecido en el artículo 11.1 del Decreto 241/2002 y acreditar una formación específica en producción integrada en virtud de lo que se establece en el artículo 24.1 del mencionado Decreto. Esta formación, en Cataluña, se regula por la Orden ARP/69/2003, de 14 de febrero (DOGC núm. 3832, de 27.02.2003), por los que se establecen y regulan los cursos de formación en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25.1.3</w:t>
      </w:r>
      <w:r w:rsidR="00E03B3B" w:rsidRPr="00993936">
        <w:rPr>
          <w:rFonts w:ascii="Arial" w:hAnsi="Arial" w:cs="Arial"/>
          <w:lang w:val="es-ES"/>
        </w:rPr>
        <w:t xml:space="preserve"> </w:t>
      </w:r>
      <w:r w:rsidRPr="00993936">
        <w:rPr>
          <w:rFonts w:ascii="Arial" w:hAnsi="Arial" w:cs="Arial"/>
          <w:u w:val="single"/>
          <w:lang w:val="es-ES"/>
        </w:rPr>
        <w:t>Operadores o personas operadoras</w:t>
      </w:r>
    </w:p>
    <w:p w:rsidR="00412AFB" w:rsidRPr="00993936" w:rsidRDefault="00412AFB" w:rsidP="00412AFB">
      <w:pPr>
        <w:jc w:val="both"/>
        <w:rPr>
          <w:rFonts w:ascii="Arial" w:hAnsi="Arial" w:cs="Arial"/>
          <w:lang w:val="es-ES"/>
        </w:rPr>
      </w:pPr>
      <w:r w:rsidRPr="00993936">
        <w:rPr>
          <w:rFonts w:ascii="Arial" w:hAnsi="Arial" w:cs="Arial"/>
          <w:lang w:val="es-ES"/>
        </w:rPr>
        <w:t xml:space="preserve">Todos los miembros del personal operador de producción integrada (productores y/o elaboradores) deben tener una formación específica en producción integrada, por lo que tienen que acreditar la realización de un curso de producción integrada impartido </w:t>
      </w:r>
      <w:r w:rsidRPr="00993936">
        <w:rPr>
          <w:rFonts w:ascii="Arial" w:hAnsi="Arial" w:cs="Arial"/>
          <w:lang w:val="es-ES"/>
        </w:rPr>
        <w:lastRenderedPageBreak/>
        <w:t>por la Administración pública o por alguna entidad reconocida, de acuerdo con lo establecido en el Decreto 241/2002 y la Orden ARP/69/2003, de 14 de febrero (DOGC núm. 3832, de 27.02.2003), por los que se establecen y regulan los cursos de formación en producción integrada.</w:t>
      </w: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t xml:space="preserve">25.1.4 </w:t>
      </w:r>
      <w:r w:rsidRPr="00993936">
        <w:rPr>
          <w:rFonts w:ascii="Arial" w:hAnsi="Arial" w:cs="Arial"/>
          <w:color w:val="auto"/>
          <w:sz w:val="22"/>
          <w:szCs w:val="22"/>
          <w:u w:val="single"/>
        </w:rPr>
        <w:t>Persona encargada de manipular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La persona encargada de manipular productos fitosanitarios debe estar en posesión del carné de manipulador de nivel básico que la capacita para desarrollar su actividad, salvo las excepciones previstas en la legislación vigente.</w:t>
      </w:r>
    </w:p>
    <w:p w:rsidR="00412AFB" w:rsidRPr="00993936" w:rsidRDefault="00412AFB" w:rsidP="00412AFB">
      <w:pPr>
        <w:jc w:val="both"/>
        <w:rPr>
          <w:rFonts w:ascii="Arial" w:hAnsi="Arial" w:cs="Arial"/>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IV. IDENTIFICACIÓN, TRAZABILIDAD Y COMERCIALIZACIÓN</w:t>
      </w:r>
    </w:p>
    <w:p w:rsidR="00412AFB" w:rsidRPr="00993936" w:rsidRDefault="00412AFB" w:rsidP="00412AFB">
      <w:pPr>
        <w:pStyle w:val="Ttulo6"/>
        <w:jc w:val="both"/>
        <w:rPr>
          <w:rFonts w:ascii="Arial" w:hAnsi="Arial" w:cs="Arial"/>
          <w:color w:val="auto"/>
          <w:lang w:val="es-ES"/>
        </w:rPr>
      </w:pPr>
      <w:r w:rsidRPr="00993936">
        <w:rPr>
          <w:rFonts w:ascii="Arial" w:hAnsi="Arial" w:cs="Arial"/>
          <w:color w:val="auto"/>
          <w:lang w:val="es-ES"/>
        </w:rPr>
        <w:t xml:space="preserve"> </w:t>
      </w:r>
    </w:p>
    <w:p w:rsidR="00412AFB" w:rsidRPr="00993936" w:rsidRDefault="00412AFB" w:rsidP="00412AFB">
      <w:pPr>
        <w:pStyle w:val="Ttulo6"/>
        <w:jc w:val="both"/>
        <w:rPr>
          <w:rFonts w:ascii="Arial" w:hAnsi="Arial" w:cs="Arial"/>
          <w:b/>
          <w:color w:val="auto"/>
          <w:lang w:val="es-ES"/>
        </w:rPr>
      </w:pPr>
      <w:r w:rsidRPr="00993936">
        <w:rPr>
          <w:rFonts w:ascii="Arial" w:hAnsi="Arial" w:cs="Arial"/>
          <w:color w:val="auto"/>
          <w:lang w:val="es-ES"/>
        </w:rPr>
        <w:t>Artículo 26</w:t>
      </w:r>
    </w:p>
    <w:p w:rsidR="00412AFB" w:rsidRPr="00993936" w:rsidRDefault="00412AFB" w:rsidP="00412AFB">
      <w:pPr>
        <w:pStyle w:val="Ttulo6"/>
        <w:jc w:val="both"/>
        <w:rPr>
          <w:rFonts w:ascii="Arial" w:hAnsi="Arial" w:cs="Arial"/>
          <w:b/>
          <w:color w:val="auto"/>
          <w:lang w:val="es-ES"/>
        </w:rPr>
      </w:pPr>
      <w:r w:rsidRPr="00993936">
        <w:rPr>
          <w:rFonts w:ascii="Arial" w:hAnsi="Arial" w:cs="Arial"/>
          <w:b/>
          <w:noProof/>
          <w:color w:val="auto"/>
          <w:lang w:val="es-ES" w:eastAsia="es-ES"/>
        </w:rPr>
        <mc:AlternateContent>
          <mc:Choice Requires="wps">
            <w:drawing>
              <wp:anchor distT="0" distB="0" distL="114300" distR="114300" simplePos="0" relativeHeight="251409408" behindDoc="0" locked="0" layoutInCell="1" allowOverlap="1">
                <wp:simplePos x="0" y="0"/>
                <wp:positionH relativeFrom="column">
                  <wp:posOffset>800100</wp:posOffset>
                </wp:positionH>
                <wp:positionV relativeFrom="paragraph">
                  <wp:posOffset>-2912110</wp:posOffset>
                </wp:positionV>
                <wp:extent cx="0" cy="0"/>
                <wp:effectExtent l="9525" t="12065" r="9525" b="6985"/>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449776F" id="Conector recto 68" o:spid="_x0000_s1026" style="position:absolute;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417600" behindDoc="0" locked="0" layoutInCell="1" allowOverlap="1">
                <wp:simplePos x="0" y="0"/>
                <wp:positionH relativeFrom="column">
                  <wp:posOffset>5715000</wp:posOffset>
                </wp:positionH>
                <wp:positionV relativeFrom="paragraph">
                  <wp:posOffset>-3715385</wp:posOffset>
                </wp:positionV>
                <wp:extent cx="0" cy="0"/>
                <wp:effectExtent l="9525" t="8890" r="9525" b="10160"/>
                <wp:wrapNone/>
                <wp:docPr id="67" name="Conector recto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08A13CF" id="Conector recto 67" o:spid="_x0000_s1026" style="position:absolute;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425792" behindDoc="0" locked="0" layoutInCell="1" allowOverlap="1">
                <wp:simplePos x="0" y="0"/>
                <wp:positionH relativeFrom="column">
                  <wp:posOffset>2286000</wp:posOffset>
                </wp:positionH>
                <wp:positionV relativeFrom="paragraph">
                  <wp:posOffset>-3715385</wp:posOffset>
                </wp:positionV>
                <wp:extent cx="0" cy="0"/>
                <wp:effectExtent l="9525" t="8890" r="9525" b="10160"/>
                <wp:wrapNone/>
                <wp:docPr id="66" name="Conector recto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73C9587" id="Conector recto 66" o:spid="_x0000_s1026" style="position:absolute;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"/>
            </w:pict>
          </mc:Fallback>
        </mc:AlternateContent>
      </w:r>
      <w:r w:rsidRPr="00993936">
        <w:rPr>
          <w:rFonts w:ascii="Arial" w:hAnsi="Arial" w:cs="Arial"/>
          <w:b/>
          <w:color w:val="auto"/>
          <w:lang w:val="es-ES"/>
        </w:rPr>
        <w:t>Identificación y trazabilidad</w:t>
      </w:r>
    </w:p>
    <w:p w:rsidR="00412AFB" w:rsidRPr="00993936" w:rsidRDefault="00412AFB" w:rsidP="00412AFB">
      <w:pPr>
        <w:jc w:val="both"/>
        <w:rPr>
          <w:rFonts w:ascii="Arial" w:hAnsi="Arial" w:cs="Arial"/>
          <w:lang w:val="es-ES"/>
        </w:rPr>
      </w:pPr>
      <w:r w:rsidRPr="00993936">
        <w:rPr>
          <w:rFonts w:ascii="Arial" w:hAnsi="Arial" w:cs="Arial"/>
          <w:lang w:val="es-ES"/>
        </w:rPr>
        <w:t>26.1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26.1.1 Formalizar una declaración de responsabilidad del agricultor que permita la identificación de los productos que proceden de parcelas acogidas a la producción integrada. En un plano o croquis de la parcela y/o UHC se justificará el conocimiento de la ubicación de los diferentes lotes de semilla.</w:t>
      </w:r>
    </w:p>
    <w:p w:rsidR="00412AFB" w:rsidRPr="00993936" w:rsidRDefault="00412AFB" w:rsidP="00412AFB">
      <w:pPr>
        <w:jc w:val="both"/>
        <w:rPr>
          <w:rFonts w:ascii="Arial" w:hAnsi="Arial" w:cs="Arial"/>
          <w:lang w:val="es-ES"/>
        </w:rPr>
      </w:pPr>
      <w:r w:rsidRPr="00993936">
        <w:rPr>
          <w:rFonts w:ascii="Arial" w:hAnsi="Arial" w:cs="Arial"/>
          <w:lang w:val="es-ES"/>
        </w:rPr>
        <w:t>26.1.2 En cada centro de recepción y/o manipulación ha de haber un albarán de control de entrada, donde figure el producto, la cantidad, la parcela de origen, la unidad homogénea de cultivo y la fecha de entrada, firmado por la persona que hace la entrega.</w:t>
      </w:r>
    </w:p>
    <w:p w:rsidR="00412AFB" w:rsidRPr="00993936" w:rsidRDefault="00412AFB" w:rsidP="00412AFB">
      <w:pPr>
        <w:jc w:val="both"/>
        <w:rPr>
          <w:rFonts w:ascii="Arial" w:hAnsi="Arial" w:cs="Arial"/>
          <w:lang w:val="es-ES"/>
        </w:rPr>
      </w:pPr>
      <w:r w:rsidRPr="00993936">
        <w:rPr>
          <w:rFonts w:ascii="Arial" w:hAnsi="Arial" w:cs="Arial"/>
          <w:lang w:val="es-ES"/>
        </w:rPr>
        <w:t>26.1.3 Las personas operadoras que no tengan la totalidad de la producción de cultivo sujeta a normas de producción integrada deberán cumplir los siguientes requisitos:</w:t>
      </w:r>
    </w:p>
    <w:p w:rsidR="00412AFB" w:rsidRPr="00993936" w:rsidRDefault="00412AFB" w:rsidP="00412AFB">
      <w:pPr>
        <w:numPr>
          <w:ilvl w:val="0"/>
          <w:numId w:val="17"/>
        </w:numPr>
        <w:spacing w:after="0" w:line="240" w:lineRule="auto"/>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de otros orígenes. </w:t>
      </w:r>
    </w:p>
    <w:p w:rsidR="00412AFB" w:rsidRPr="00993936" w:rsidRDefault="00412AFB" w:rsidP="00412AFB">
      <w:pPr>
        <w:numPr>
          <w:ilvl w:val="0"/>
          <w:numId w:val="17"/>
        </w:numPr>
        <w:spacing w:after="0" w:line="240" w:lineRule="auto"/>
        <w:jc w:val="both"/>
        <w:rPr>
          <w:rFonts w:ascii="Arial" w:hAnsi="Arial" w:cs="Arial"/>
          <w:lang w:val="es-ES"/>
        </w:rPr>
      </w:pPr>
      <w:r w:rsidRPr="00993936">
        <w:rPr>
          <w:rFonts w:ascii="Arial" w:hAnsi="Arial" w:cs="Arial"/>
          <w:lang w:val="es-ES"/>
        </w:rPr>
        <w:t>En caso de utilizar la misma línea de manipulación o confección para los dos tipos de producto, deberá quedar claramente definido el intervalo de tiempo durante el que se manipula cada tipo de producto, y ha de ser conocido por todo el personal implicado en el proceso.</w:t>
      </w:r>
    </w:p>
    <w:p w:rsidR="00412AFB" w:rsidRPr="00993936" w:rsidRDefault="00412AFB" w:rsidP="00412AFB">
      <w:pPr>
        <w:numPr>
          <w:ilvl w:val="0"/>
          <w:numId w:val="17"/>
        </w:numPr>
        <w:spacing w:after="0" w:line="240" w:lineRule="auto"/>
        <w:jc w:val="both"/>
        <w:rPr>
          <w:rFonts w:ascii="Arial" w:hAnsi="Arial" w:cs="Arial"/>
          <w:lang w:val="es-ES"/>
        </w:rPr>
      </w:pPr>
      <w:r w:rsidRPr="00993936">
        <w:rPr>
          <w:rFonts w:ascii="Arial" w:hAnsi="Arial" w:cs="Arial"/>
          <w:lang w:val="es-ES"/>
        </w:rPr>
        <w:t>Antes de proceder a la manipulación del producto de producción integrada, las líneas de manipulación deben estar completamente limpias de productos de otros orígenes.</w:t>
      </w:r>
    </w:p>
    <w:p w:rsidR="00412AFB" w:rsidRPr="00993936" w:rsidRDefault="00412AFB" w:rsidP="00412AFB">
      <w:pPr>
        <w:jc w:val="both"/>
        <w:rPr>
          <w:rFonts w:ascii="Arial" w:hAnsi="Arial" w:cs="Arial"/>
          <w:lang w:val="es-ES"/>
        </w:rPr>
      </w:pPr>
      <w:r w:rsidRPr="00993936">
        <w:rPr>
          <w:rFonts w:ascii="Arial" w:hAnsi="Arial" w:cs="Arial"/>
          <w:lang w:val="es-ES"/>
        </w:rPr>
        <w:t>26.1.4 Los productos de producción integrada serán identificados y considerados, en cualquier momento del proceso técnico, administrativo y de comercialización, como diferentes en relación con el resto de los productos manipulados por la persona operadora.</w:t>
      </w:r>
    </w:p>
    <w:p w:rsidR="00412AFB" w:rsidRPr="00993936" w:rsidRDefault="00412AFB" w:rsidP="00412AFB">
      <w:pPr>
        <w:jc w:val="both"/>
        <w:rPr>
          <w:rFonts w:ascii="Arial" w:hAnsi="Arial" w:cs="Arial"/>
          <w:lang w:val="es-ES"/>
        </w:rPr>
      </w:pPr>
      <w:r w:rsidRPr="00993936">
        <w:rPr>
          <w:rFonts w:ascii="Arial" w:hAnsi="Arial" w:cs="Arial"/>
          <w:lang w:val="es-ES"/>
        </w:rPr>
        <w:t>26.1.5 Los remolques de campo y otros contenedores utilizados para la recolección o el transporte de productos de producción integrada deben estar claramente diferenciados de los empleados para otros productos.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 xml:space="preserve">26.2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26.2.1 Comercializar, como productos amparados por esta norma, los procedentes de unidades de cultivo que no cumplan las indicaciones de cultivo que establece la normativa de producción integrada en toda su producción. </w:t>
      </w:r>
    </w:p>
    <w:p w:rsidR="00412AFB" w:rsidRPr="00993936" w:rsidRDefault="00412AFB" w:rsidP="00412AFB">
      <w:pPr>
        <w:jc w:val="both"/>
        <w:rPr>
          <w:rFonts w:ascii="Arial" w:hAnsi="Arial" w:cs="Arial"/>
          <w:lang w:val="es-ES"/>
        </w:rPr>
      </w:pPr>
      <w:r w:rsidRPr="00993936">
        <w:rPr>
          <w:rFonts w:ascii="Arial" w:hAnsi="Arial" w:cs="Arial"/>
          <w:lang w:val="es-ES"/>
        </w:rPr>
        <w:t>26.2.2 La presencia de sacos, etiquetas o marcas comerciales, de productos de producción integrada en parcelas y/o UHC que no estén acogidas a producción integrada.</w:t>
      </w:r>
    </w:p>
    <w:p w:rsidR="00412AFB" w:rsidRPr="00993936" w:rsidRDefault="00412AFB" w:rsidP="00412AFB">
      <w:pPr>
        <w:pStyle w:val="Ttulo6"/>
        <w:spacing w:before="120"/>
        <w:jc w:val="both"/>
        <w:rPr>
          <w:rFonts w:ascii="Arial" w:hAnsi="Arial" w:cs="Arial"/>
          <w:b/>
          <w:color w:val="auto"/>
          <w:lang w:val="es-ES"/>
        </w:rPr>
      </w:pPr>
      <w:r w:rsidRPr="00993936">
        <w:rPr>
          <w:rFonts w:ascii="Arial" w:hAnsi="Arial" w:cs="Arial"/>
          <w:color w:val="auto"/>
          <w:lang w:val="es-ES"/>
        </w:rPr>
        <w:t>Artículo 27</w:t>
      </w:r>
    </w:p>
    <w:p w:rsidR="00412AFB" w:rsidRPr="00993936" w:rsidRDefault="00412AFB" w:rsidP="00412AFB">
      <w:pPr>
        <w:pStyle w:val="Ttulo6"/>
        <w:jc w:val="both"/>
        <w:rPr>
          <w:rFonts w:ascii="Arial" w:hAnsi="Arial" w:cs="Arial"/>
          <w:b/>
          <w:color w:val="auto"/>
          <w:lang w:val="es-ES"/>
        </w:rPr>
      </w:pPr>
      <w:r w:rsidRPr="00993936">
        <w:rPr>
          <w:rFonts w:ascii="Arial" w:hAnsi="Arial" w:cs="Arial"/>
          <w:b/>
          <w:color w:val="auto"/>
          <w:lang w:val="es-ES"/>
        </w:rPr>
        <w:t>Control de calidad</w:t>
      </w:r>
    </w:p>
    <w:p w:rsidR="00412AFB" w:rsidRPr="00993936" w:rsidRDefault="00412AFB" w:rsidP="00412AFB">
      <w:pPr>
        <w:pStyle w:val="Encabezado"/>
        <w:tabs>
          <w:tab w:val="clear" w:pos="4252"/>
          <w:tab w:val="clear" w:pos="8504"/>
        </w:tabs>
        <w:jc w:val="both"/>
        <w:rPr>
          <w:rFonts w:ascii="Arial" w:hAnsi="Arial" w:cs="Arial"/>
          <w:i/>
          <w:lang w:val="es-ES"/>
        </w:rPr>
      </w:pPr>
      <w:r w:rsidRPr="00993936">
        <w:rPr>
          <w:rFonts w:ascii="Arial" w:hAnsi="Arial" w:cs="Arial"/>
          <w:i/>
          <w:lang w:val="es-ES"/>
        </w:rPr>
        <w:t>27.1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27.1.1 La persona operadora debe tener definido e implantado un muestreo sistemático de la producción que sirva para comprobar que se cumplen las especificaciones de la legislación vigente referentes a la normalización comercial. </w:t>
      </w:r>
    </w:p>
    <w:p w:rsidR="00412AFB" w:rsidRPr="00993936" w:rsidRDefault="00412AFB" w:rsidP="00412AFB">
      <w:pPr>
        <w:jc w:val="both"/>
        <w:rPr>
          <w:rFonts w:ascii="Arial" w:hAnsi="Arial" w:cs="Arial"/>
          <w:lang w:val="es-ES"/>
        </w:rPr>
      </w:pPr>
      <w:r w:rsidRPr="00993936">
        <w:rPr>
          <w:rFonts w:ascii="Arial" w:hAnsi="Arial" w:cs="Arial"/>
          <w:lang w:val="es-ES"/>
        </w:rPr>
        <w:t>27.1.2 La persona operadora debe conservar los registros de los controles.</w:t>
      </w:r>
    </w:p>
    <w:p w:rsidR="00412AFB" w:rsidRPr="00993936" w:rsidRDefault="00412AFB" w:rsidP="00412AFB">
      <w:pPr>
        <w:pStyle w:val="Textoindependiente"/>
        <w:rPr>
          <w:rFonts w:cs="Arial"/>
          <w:szCs w:val="22"/>
          <w:lang w:val="es-ES"/>
        </w:rPr>
      </w:pPr>
      <w:r w:rsidRPr="00993936">
        <w:rPr>
          <w:rFonts w:cs="Arial"/>
          <w:szCs w:val="22"/>
          <w:lang w:val="es-ES"/>
        </w:rPr>
        <w:t>27.1.3 La persona operadora verificará el correcto funcionamiento del instrumental de medida.</w:t>
      </w:r>
    </w:p>
    <w:p w:rsidR="00412AFB" w:rsidRPr="00993936" w:rsidRDefault="00412AFB" w:rsidP="00412AFB">
      <w:pPr>
        <w:jc w:val="both"/>
        <w:rPr>
          <w:rFonts w:ascii="Arial" w:hAnsi="Arial" w:cs="Arial"/>
          <w:lang w:val="es-ES"/>
        </w:rPr>
      </w:pPr>
      <w:r w:rsidRPr="00993936">
        <w:rPr>
          <w:rFonts w:ascii="Arial" w:hAnsi="Arial" w:cs="Arial"/>
          <w:lang w:val="es-ES"/>
        </w:rPr>
        <w:t>27.1.4 Controlar de forma periódica la calidad y, específicamente, antes de la comercialización, teniendo en cuenta aspectos de muestreo y el tipo de determinación analítica que garantice la seguridad del consumidor.</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V. RESIDUOS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28</w:t>
      </w:r>
    </w:p>
    <w:p w:rsidR="00412AFB" w:rsidRPr="00993936" w:rsidRDefault="00412AFB" w:rsidP="00412AFB">
      <w:pPr>
        <w:jc w:val="both"/>
        <w:rPr>
          <w:rFonts w:ascii="Arial" w:hAnsi="Arial" w:cs="Arial"/>
          <w:b/>
          <w:lang w:val="es-ES"/>
        </w:rPr>
      </w:pPr>
      <w:r w:rsidRPr="00993936">
        <w:rPr>
          <w:rFonts w:ascii="Arial" w:hAnsi="Arial" w:cs="Arial"/>
          <w:b/>
          <w:lang w:val="es-ES"/>
        </w:rPr>
        <w:t>Gestión de los residuos</w:t>
      </w:r>
    </w:p>
    <w:p w:rsidR="00412AFB" w:rsidRPr="00993936" w:rsidRDefault="00412AFB" w:rsidP="00412AFB">
      <w:pPr>
        <w:jc w:val="both"/>
        <w:rPr>
          <w:rFonts w:ascii="Arial" w:hAnsi="Arial" w:cs="Arial"/>
          <w:i/>
          <w:lang w:val="es-ES"/>
        </w:rPr>
      </w:pPr>
      <w:r w:rsidRPr="00993936">
        <w:rPr>
          <w:rFonts w:ascii="Arial" w:hAnsi="Arial" w:cs="Arial"/>
          <w:lang w:val="es-ES"/>
        </w:rPr>
        <w:t>28.1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28.1.1 Retirar para su reciclaje o, si procede, para hacer un vertido controlado, los restos de plásticos, malla o cualquier otro material de las parcelas de cultivo, siempre que haya un sistema de gestión de estos residuos.</w:t>
      </w:r>
    </w:p>
    <w:p w:rsidR="00412AFB" w:rsidRPr="00993936" w:rsidRDefault="00412AFB" w:rsidP="00412AFB">
      <w:pPr>
        <w:jc w:val="both"/>
        <w:rPr>
          <w:rFonts w:ascii="Arial" w:hAnsi="Arial" w:cs="Arial"/>
          <w:lang w:val="es-ES"/>
        </w:rPr>
      </w:pPr>
      <w:r w:rsidRPr="00993936">
        <w:rPr>
          <w:rFonts w:ascii="Arial" w:hAnsi="Arial" w:cs="Arial"/>
          <w:lang w:val="es-ES"/>
        </w:rPr>
        <w:t>28.1.2 Retirar y almacenar los envases de los productos fitosanitarios y fertilizantes, una vez utilizados, hasta entregarlos a un gestor autorizado de acuerdo con el Decreto 1416/2001, de 14 de diciembre, sobre envases de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28.1.3 Gestionar los productos fitosanitarios de rechazo mediante un gestor autorizado de residuos de productos químicos o a través de una compañía proveedora o cualquier otro método seguro para el medio.</w:t>
      </w:r>
    </w:p>
    <w:p w:rsidR="00412AFB" w:rsidRPr="00993936" w:rsidRDefault="00412AFB" w:rsidP="00412AFB">
      <w:pPr>
        <w:jc w:val="both"/>
        <w:rPr>
          <w:rFonts w:ascii="Arial" w:hAnsi="Arial" w:cs="Arial"/>
          <w:lang w:val="es-ES"/>
        </w:rPr>
      </w:pPr>
      <w:r w:rsidRPr="00993936">
        <w:rPr>
          <w:rFonts w:ascii="Arial" w:hAnsi="Arial" w:cs="Arial"/>
          <w:lang w:val="es-ES"/>
        </w:rPr>
        <w:t>28.1.4 Establecer sistemas de recogida de aceites usados o de todo tipo de sustancias tóxicas y peligrosas que haya en la explotación, y asignarles el destino previsto en la legislación vigente.</w:t>
      </w:r>
    </w:p>
    <w:p w:rsidR="00412AFB" w:rsidRPr="00993936" w:rsidRDefault="00412AFB" w:rsidP="00412AFB">
      <w:pPr>
        <w:jc w:val="both"/>
        <w:rPr>
          <w:rFonts w:ascii="Arial" w:hAnsi="Arial" w:cs="Arial"/>
          <w:b/>
          <w:lang w:val="es-ES"/>
        </w:rPr>
      </w:pPr>
      <w:r w:rsidRPr="00993936">
        <w:rPr>
          <w:rFonts w:ascii="Arial" w:hAnsi="Arial" w:cs="Arial"/>
          <w:lang w:val="es-ES"/>
        </w:rPr>
        <w:t xml:space="preserve">28.2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 xml:space="preserve">28.2.1 Abandonar restos de plástico, envases y otros residuos en el interior o en los márgenes de la parcela y/o UHC. </w:t>
      </w:r>
    </w:p>
    <w:p w:rsidR="00412AFB" w:rsidRPr="00993936" w:rsidRDefault="00412AFB" w:rsidP="00412AFB">
      <w:pPr>
        <w:jc w:val="both"/>
        <w:rPr>
          <w:rFonts w:ascii="Arial" w:hAnsi="Arial" w:cs="Arial"/>
          <w:lang w:val="es-ES"/>
        </w:rPr>
      </w:pPr>
      <w:r w:rsidRPr="00993936">
        <w:rPr>
          <w:rFonts w:ascii="Arial" w:hAnsi="Arial" w:cs="Arial"/>
          <w:lang w:val="es-ES"/>
        </w:rPr>
        <w:t>28.2.2 Destruir, mediante fuego u otros procedimientos, triturar o enterrar en la parcela y/o UHC o aledaños, los envases vacíos de los productos fitosanitarios y fertilizantes, los plásticos o las mallas de las estructuras de cultivo, excepto si se hace en lugares autorizados por la autoridad competente.</w:t>
      </w:r>
    </w:p>
    <w:p w:rsidR="00412AFB" w:rsidRPr="00993936" w:rsidRDefault="00412AFB" w:rsidP="00412AFB">
      <w:pPr>
        <w:jc w:val="both"/>
        <w:rPr>
          <w:rFonts w:ascii="Arial" w:hAnsi="Arial" w:cs="Arial"/>
          <w:lang w:val="es-ES"/>
        </w:rPr>
      </w:pPr>
      <w:r w:rsidRPr="00993936">
        <w:rPr>
          <w:rFonts w:ascii="Arial" w:hAnsi="Arial" w:cs="Arial"/>
          <w:lang w:val="es-ES"/>
        </w:rPr>
        <w:t>28.2.3 Depositar en cursos de agua, canales o embalses de agua, o dentro del perímetro de protección de captaciones de agua de consumo humano, los restos de caldo de los equipos de aplicación de productos fitosanitarios y lavarlos en esta zona.</w:t>
      </w:r>
    </w:p>
    <w:p w:rsidR="00412AFB" w:rsidRPr="00993936" w:rsidRDefault="00412AFB" w:rsidP="00412AFB">
      <w:pPr>
        <w:jc w:val="both"/>
        <w:rPr>
          <w:rFonts w:ascii="Arial" w:hAnsi="Arial" w:cs="Arial"/>
          <w:lang w:val="es-ES"/>
        </w:rPr>
      </w:pPr>
      <w:r w:rsidRPr="00993936">
        <w:rPr>
          <w:rFonts w:ascii="Arial" w:hAnsi="Arial" w:cs="Arial"/>
          <w:lang w:val="es-ES"/>
        </w:rPr>
        <w:t xml:space="preserve">28.2.4 Quemar restos vegetales de forma incontrolada, haciendo caso omiso de la normativa vigente que sea de aplicación. </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29</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de residuos de productos fitosanitarios en vegetales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29.1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29.1.1 La persona operadora debe disponer de un programa de autocontrol individual o colectivo para verificar la ausencia de residuos de productos fitosanitarios, mediante la toma de muestras correspondiente, garantizar que han sido utilizadas exclusivamente las sustancias activas autorizadas y comprobar que se cumple la normativa de aplicación y, si procede, la del estado de destino, en relación con los límites máximos de residuos de productos fitosanitarios. La planificación de la recogida de las muestras ha de considerar especialmente la época de recolección y/o de manipulación.</w:t>
      </w:r>
    </w:p>
    <w:p w:rsidR="00412AFB" w:rsidRPr="00993936" w:rsidRDefault="00412AFB" w:rsidP="00412AFB">
      <w:pPr>
        <w:pStyle w:val="NormalWeb"/>
        <w:spacing w:after="0"/>
        <w:jc w:val="both"/>
        <w:rPr>
          <w:rFonts w:ascii="Arial" w:hAnsi="Arial" w:cs="Arial"/>
          <w:b/>
          <w:sz w:val="22"/>
          <w:szCs w:val="22"/>
          <w:lang w:val="es-ES"/>
        </w:rPr>
      </w:pP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 xml:space="preserve">VI. PROTECCIÓN MEDIOAMBIENTAL </w:t>
      </w:r>
    </w:p>
    <w:p w:rsidR="00412AFB" w:rsidRPr="00993936" w:rsidRDefault="00412AFB" w:rsidP="00412AFB">
      <w:pPr>
        <w:jc w:val="both"/>
        <w:rPr>
          <w:rFonts w:ascii="Arial" w:hAnsi="Arial" w:cs="Arial"/>
          <w:lang w:val="es-ES"/>
        </w:rPr>
      </w:pPr>
    </w:p>
    <w:p w:rsidR="00412AFB" w:rsidRPr="00993936" w:rsidRDefault="00412AFB" w:rsidP="004F1878">
      <w:pPr>
        <w:pStyle w:val="Sinespaciado"/>
        <w:rPr>
          <w:rFonts w:ascii="Arial" w:hAnsi="Arial" w:cs="Arial"/>
          <w:lang w:val="es-ES"/>
        </w:rPr>
      </w:pPr>
      <w:r w:rsidRPr="00993936">
        <w:rPr>
          <w:rFonts w:ascii="Arial" w:hAnsi="Arial" w:cs="Arial"/>
          <w:lang w:val="es-ES"/>
        </w:rPr>
        <w:t>Artículo 30</w:t>
      </w:r>
    </w:p>
    <w:p w:rsidR="00412AFB" w:rsidRPr="00993936" w:rsidRDefault="00412AFB" w:rsidP="004F1878">
      <w:pPr>
        <w:pStyle w:val="Sinespaciado"/>
        <w:rPr>
          <w:rFonts w:ascii="Arial" w:hAnsi="Arial" w:cs="Arial"/>
          <w:b/>
          <w:lang w:val="es-ES"/>
        </w:rPr>
      </w:pPr>
      <w:r w:rsidRPr="00993936">
        <w:rPr>
          <w:rFonts w:ascii="Arial" w:hAnsi="Arial" w:cs="Arial"/>
          <w:b/>
          <w:lang w:val="es-ES"/>
        </w:rPr>
        <w:t>Protección medioambiental</w:t>
      </w:r>
    </w:p>
    <w:p w:rsidR="00412AFB" w:rsidRPr="00993936" w:rsidRDefault="00412AFB" w:rsidP="004F1878">
      <w:pPr>
        <w:pStyle w:val="Sinespaciado"/>
        <w:rPr>
          <w:rFonts w:ascii="Arial" w:hAnsi="Arial" w:cs="Arial"/>
          <w:i/>
          <w:lang w:val="es-ES"/>
        </w:rPr>
      </w:pPr>
      <w:r w:rsidRPr="00993936">
        <w:rPr>
          <w:rFonts w:ascii="Arial" w:hAnsi="Arial" w:cs="Arial"/>
          <w:i/>
          <w:lang w:val="es-ES"/>
        </w:rPr>
        <w:t>30.1 Obligaciones</w:t>
      </w:r>
    </w:p>
    <w:p w:rsidR="00412AFB" w:rsidRPr="00993936" w:rsidRDefault="00412AFB" w:rsidP="00412AFB">
      <w:pPr>
        <w:pStyle w:val="Textoindependiente"/>
        <w:rPr>
          <w:rFonts w:cs="Arial"/>
          <w:szCs w:val="22"/>
          <w:lang w:val="es-ES"/>
        </w:rPr>
      </w:pPr>
      <w:r w:rsidRPr="00993936">
        <w:rPr>
          <w:rFonts w:cs="Arial"/>
          <w:szCs w:val="22"/>
          <w:lang w:val="es-ES"/>
        </w:rPr>
        <w:t>30.1.1 La empresa debe cumplir con la política de conservación del entorno natural según la legislación medioambiental vigente.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30.1.2 Disponer de medidas de prevención de vertido accidental de aceites, hidrocarburos u otros productos químicos peligrosos para el medio ambiente.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30.1.3 Implantar, de no existir, medidas de ahorro en el consumo de agua y de energía en las instalaciones y los procesos.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 xml:space="preserve">VII. CONTROL Y CERTIFICACIÓN </w:t>
      </w:r>
    </w:p>
    <w:p w:rsidR="00412AFB" w:rsidRPr="00993936" w:rsidRDefault="00412AFB" w:rsidP="00412AFB">
      <w:pPr>
        <w:jc w:val="both"/>
        <w:rPr>
          <w:rFonts w:ascii="Arial" w:hAnsi="Arial" w:cs="Arial"/>
          <w:lang w:val="es-ES"/>
        </w:rPr>
      </w:pPr>
    </w:p>
    <w:p w:rsidR="00412AFB" w:rsidRPr="00993936" w:rsidRDefault="00412AFB" w:rsidP="004F1878">
      <w:pPr>
        <w:pStyle w:val="Sinespaciado"/>
        <w:rPr>
          <w:rFonts w:ascii="Arial" w:hAnsi="Arial" w:cs="Arial"/>
          <w:lang w:val="es-ES"/>
        </w:rPr>
      </w:pPr>
      <w:r w:rsidRPr="00993936">
        <w:rPr>
          <w:rFonts w:ascii="Arial" w:hAnsi="Arial" w:cs="Arial"/>
          <w:lang w:val="es-ES"/>
        </w:rPr>
        <w:t>Artículo 31</w:t>
      </w:r>
    </w:p>
    <w:p w:rsidR="00412AFB" w:rsidRPr="00993936" w:rsidRDefault="00412AFB" w:rsidP="004F1878">
      <w:pPr>
        <w:pStyle w:val="Sinespaciado"/>
        <w:rPr>
          <w:rFonts w:ascii="Arial" w:hAnsi="Arial" w:cs="Arial"/>
          <w:b/>
          <w:lang w:val="es-ES"/>
        </w:rPr>
      </w:pPr>
      <w:r w:rsidRPr="00993936">
        <w:rPr>
          <w:rFonts w:ascii="Arial" w:hAnsi="Arial" w:cs="Arial"/>
          <w:b/>
          <w:lang w:val="es-ES"/>
        </w:rPr>
        <w:t>Tratamiento de no conformidades</w:t>
      </w:r>
    </w:p>
    <w:p w:rsidR="00412AFB" w:rsidRPr="00993936" w:rsidRDefault="00412AFB" w:rsidP="004F1878">
      <w:pPr>
        <w:pStyle w:val="Sinespaciado"/>
        <w:rPr>
          <w:rFonts w:ascii="Arial" w:hAnsi="Arial" w:cs="Arial"/>
          <w:i/>
          <w:lang w:val="es-ES"/>
        </w:rPr>
      </w:pPr>
      <w:r w:rsidRPr="00993936">
        <w:rPr>
          <w:rFonts w:ascii="Arial" w:hAnsi="Arial" w:cs="Arial"/>
          <w:i/>
          <w:lang w:val="es-ES"/>
        </w:rPr>
        <w:t>31.1 Obligaciones</w:t>
      </w:r>
    </w:p>
    <w:p w:rsidR="00412AFB" w:rsidRPr="00993936" w:rsidRDefault="00412AFB" w:rsidP="00412AFB">
      <w:pPr>
        <w:jc w:val="both"/>
        <w:rPr>
          <w:rFonts w:ascii="Arial" w:hAnsi="Arial" w:cs="Arial"/>
          <w:lang w:val="es-ES"/>
        </w:rPr>
      </w:pPr>
      <w:r w:rsidRPr="00993936">
        <w:rPr>
          <w:rFonts w:ascii="Arial" w:hAnsi="Arial" w:cs="Arial"/>
          <w:lang w:val="es-ES"/>
        </w:rPr>
        <w:t>31.1.1 Cuando durante la realización de los controles internos o externos se detecte el incumplimiento total o parcial de alguna de las prácticas establecidas en esta norma como «obligatorias» o «prohibidas», las desviaciones detectadas deberán dejarse registradas con el epígrafe «no conformidad».</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31.1.2 Establecer y documentar las acciones correctivas que procedan para dar el tratamiento adecuado a estas no conformidades, de forma que se eliminen sus efectos y las causas que las motivan y que se impida una repetición futura.</w:t>
      </w:r>
    </w:p>
    <w:p w:rsidR="00412AFB" w:rsidRPr="00993936" w:rsidRDefault="00412AFB" w:rsidP="00412AFB">
      <w:pPr>
        <w:jc w:val="both"/>
        <w:rPr>
          <w:rFonts w:ascii="Arial" w:hAnsi="Arial" w:cs="Arial"/>
          <w:lang w:val="es-ES"/>
        </w:rPr>
      </w:pPr>
      <w:r w:rsidRPr="00993936">
        <w:rPr>
          <w:rFonts w:ascii="Arial" w:hAnsi="Arial" w:cs="Arial"/>
          <w:lang w:val="es-ES"/>
        </w:rPr>
        <w:t>31.1.3 El operador debe realizar el seguimiento de la implantación de las acciones correctivas y comprobar su efectividad antes de proceder al cierre de las no conformidades detectadas.</w:t>
      </w:r>
    </w:p>
    <w:p w:rsidR="00412AFB" w:rsidRPr="00993936" w:rsidRDefault="00412AFB" w:rsidP="00412AFB">
      <w:pPr>
        <w:pStyle w:val="Textoindependiente"/>
        <w:rPr>
          <w:rFonts w:cs="Arial"/>
          <w:szCs w:val="22"/>
          <w:lang w:val="es-ES"/>
        </w:rPr>
      </w:pPr>
      <w:r w:rsidRPr="00993936">
        <w:rPr>
          <w:rFonts w:cs="Arial"/>
          <w:szCs w:val="22"/>
          <w:lang w:val="es-ES"/>
        </w:rPr>
        <w:t>31.1.4 Siempre que se detecten no conformidades sobre las materias primas, productos en proceso y los productos finales obtenidos de los productos vegetales de producción integrada, deberán adoptarse las medidas adecuadas de identificación, trazabilidad y segregación de estos, de modo que se manifieste claramente su estado «no conforme» y se prevenga su utilización o comercialización de forma no intencionada como productos de producción integrada.</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32</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32.1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32.1.1 El control y la certificación del sistema de la producción integrada se regirá por lo que determina la Ley 14/2003, de 13 de junio, de calidad agroalimentaria; el Decreto 285/2006, de 4 de julio, por el que se desarrolla la Ley 14/2003; el Decreto 241/2002, de 8 de octubre, por el que se regula la producción integra</w:t>
      </w:r>
      <w:r w:rsidR="00D74508" w:rsidRPr="00993936">
        <w:rPr>
          <w:rFonts w:ascii="Arial" w:hAnsi="Arial" w:cs="Arial"/>
          <w:sz w:val="22"/>
          <w:szCs w:val="22"/>
          <w:lang w:val="es-ES"/>
        </w:rPr>
        <w:t>da en Cataluña, y la Orden ARP/</w:t>
      </w:r>
      <w:r w:rsidRPr="00993936">
        <w:rPr>
          <w:rFonts w:ascii="Arial" w:hAnsi="Arial" w:cs="Arial"/>
          <w:sz w:val="22"/>
          <w:szCs w:val="22"/>
          <w:lang w:val="es-ES"/>
        </w:rPr>
        <w:t>208/2003, de 7 de mayo, por la que se aprueba el Reglamento de régimen interior del Consejo Catalán de la Producción Integrada.</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F1878">
      <w:pPr>
        <w:pStyle w:val="Sinespaciado"/>
        <w:rPr>
          <w:rFonts w:ascii="Arial" w:hAnsi="Arial" w:cs="Arial"/>
          <w:lang w:val="es-ES"/>
        </w:rPr>
      </w:pPr>
      <w:r w:rsidRPr="00993936">
        <w:rPr>
          <w:rFonts w:ascii="Arial" w:hAnsi="Arial" w:cs="Arial"/>
          <w:lang w:val="es-ES"/>
        </w:rPr>
        <w:t>Artículo 33</w:t>
      </w:r>
    </w:p>
    <w:p w:rsidR="00412AFB" w:rsidRPr="00993936" w:rsidRDefault="00412AFB" w:rsidP="004F1878">
      <w:pPr>
        <w:pStyle w:val="Sinespaciado"/>
        <w:rPr>
          <w:rFonts w:ascii="Arial" w:hAnsi="Arial" w:cs="Arial"/>
          <w:b/>
          <w:lang w:val="es-ES"/>
        </w:rPr>
      </w:pPr>
      <w:r w:rsidRPr="00993936">
        <w:rPr>
          <w:rFonts w:ascii="Arial" w:hAnsi="Arial" w:cs="Arial"/>
          <w:b/>
          <w:lang w:val="es-ES"/>
        </w:rPr>
        <w:t>Distintivo de garantía de producción integrada</w:t>
      </w:r>
    </w:p>
    <w:p w:rsidR="00412AFB" w:rsidRPr="00993936" w:rsidRDefault="00412AFB" w:rsidP="004F1878">
      <w:pPr>
        <w:pStyle w:val="Sinespaciado"/>
        <w:rPr>
          <w:rFonts w:ascii="Arial" w:hAnsi="Arial" w:cs="Arial"/>
          <w:i/>
          <w:lang w:val="es-ES"/>
        </w:rPr>
      </w:pPr>
      <w:r w:rsidRPr="00993936">
        <w:rPr>
          <w:rFonts w:ascii="Arial" w:hAnsi="Arial" w:cs="Arial"/>
          <w:lang w:val="es-ES"/>
        </w:rPr>
        <w:t>33.1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33.1.1 Solo podrán utilizar el distintivo de garantía de producción integrada de Cataluña los productos que previamente hayan cumplido los requisitos establecidos en la normativa vigente de producción integrada y que, asimismo, hayan obtenido la certificación a través de una entidad de control y certificación.</w:t>
      </w:r>
    </w:p>
    <w:p w:rsidR="00412AFB" w:rsidRPr="00993936" w:rsidRDefault="00412AFB" w:rsidP="00412AFB">
      <w:pPr>
        <w:jc w:val="both"/>
        <w:rPr>
          <w:rFonts w:ascii="Arial" w:hAnsi="Arial" w:cs="Arial"/>
          <w:lang w:val="es-ES"/>
        </w:rPr>
      </w:pPr>
      <w:r w:rsidRPr="00993936">
        <w:rPr>
          <w:rFonts w:ascii="Arial" w:hAnsi="Arial" w:cs="Arial"/>
          <w:lang w:val="es-ES"/>
        </w:rPr>
        <w:t>33.1.2 La utilización del distintivo de garantía de producción integrada en las etiquetas de los contenedores, sacos y otros lugares se ajustará al sistema establecido por el libro de estilo del Consejo Catalán de la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33.1.3 La concesión del distintivo de garantía de producción integrada será concedido por el Consejo.</w:t>
      </w:r>
    </w:p>
    <w:p w:rsidR="00412AFB" w:rsidRPr="00993936" w:rsidRDefault="00412AFB" w:rsidP="00412AFB">
      <w:pPr>
        <w:jc w:val="both"/>
        <w:rPr>
          <w:rFonts w:ascii="Arial" w:hAnsi="Arial" w:cs="Arial"/>
          <w:i/>
          <w:lang w:val="es-ES"/>
        </w:rPr>
      </w:pPr>
      <w:r w:rsidRPr="00993936">
        <w:rPr>
          <w:rFonts w:ascii="Arial" w:hAnsi="Arial" w:cs="Arial"/>
          <w:lang w:val="es-ES"/>
        </w:rPr>
        <w:t xml:space="preserve">33.2 </w:t>
      </w:r>
      <w:r w:rsidRPr="00993936">
        <w:rPr>
          <w:rFonts w:ascii="Arial" w:hAnsi="Arial" w:cs="Arial"/>
          <w:i/>
          <w:lang w:val="es-ES"/>
        </w:rPr>
        <w:t>Prohibiciones</w:t>
      </w:r>
    </w:p>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33.2.1 Utilizar el distintivo de garantía sin disponer de la preceptiva certificación.</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Ttulo5"/>
        <w:jc w:val="center"/>
        <w:rPr>
          <w:rFonts w:ascii="Arial" w:hAnsi="Arial" w:cs="Arial"/>
          <w:color w:val="auto"/>
          <w:lang w:val="es-ES"/>
        </w:rPr>
      </w:pPr>
      <w:r w:rsidRPr="00993936">
        <w:rPr>
          <w:rFonts w:ascii="Arial" w:hAnsi="Arial" w:cs="Arial"/>
          <w:color w:val="auto"/>
          <w:lang w:val="es-ES"/>
        </w:rPr>
        <w:lastRenderedPageBreak/>
        <w:t>.-.-.-.-.-.-.-.-.-.-.-.-.-.-.-.-.-.-.-.-.-.-.-.-.-.-.-.-.-.-.-.</w:t>
      </w:r>
    </w:p>
    <w:p w:rsidR="00412AFB" w:rsidRPr="00993936" w:rsidRDefault="00412AFB" w:rsidP="00412AFB">
      <w:pPr>
        <w:pStyle w:val="Ttulo5"/>
        <w:jc w:val="center"/>
        <w:rPr>
          <w:rFonts w:ascii="Arial" w:hAnsi="Arial" w:cs="Arial"/>
          <w:color w:val="auto"/>
          <w:lang w:val="es-ES"/>
        </w:rPr>
      </w:pPr>
    </w:p>
    <w:p w:rsidR="00412AFB" w:rsidRPr="00993936" w:rsidRDefault="00412AFB" w:rsidP="00412AFB">
      <w:pPr>
        <w:pStyle w:val="Ttulo5"/>
        <w:jc w:val="center"/>
        <w:rPr>
          <w:rFonts w:ascii="Arial" w:hAnsi="Arial" w:cs="Arial"/>
          <w:color w:val="auto"/>
          <w:lang w:val="es-ES"/>
        </w:rPr>
      </w:pPr>
    </w:p>
    <w:p w:rsidR="00412AFB" w:rsidRPr="00993936" w:rsidRDefault="00412AFB" w:rsidP="00412AFB">
      <w:pPr>
        <w:pStyle w:val="Ttulo5"/>
        <w:jc w:val="center"/>
        <w:rPr>
          <w:rFonts w:ascii="Arial" w:hAnsi="Arial" w:cs="Arial"/>
          <w:color w:val="auto"/>
          <w:lang w:val="es-ES"/>
        </w:rPr>
      </w:pPr>
    </w:p>
    <w:p w:rsidR="00412AFB" w:rsidRPr="00993936" w:rsidRDefault="00412AFB" w:rsidP="00412AFB">
      <w:pPr>
        <w:pStyle w:val="Ttulo5"/>
        <w:jc w:val="center"/>
        <w:rPr>
          <w:rFonts w:ascii="Arial" w:hAnsi="Arial" w:cs="Arial"/>
          <w:color w:val="auto"/>
          <w:lang w:val="es-ES"/>
        </w:rPr>
      </w:pPr>
    </w:p>
    <w:p w:rsidR="00412AFB" w:rsidRPr="00993936" w:rsidRDefault="00412AFB" w:rsidP="00412AFB">
      <w:pPr>
        <w:pStyle w:val="Ttulo5"/>
        <w:jc w:val="center"/>
        <w:rPr>
          <w:rFonts w:ascii="Arial" w:hAnsi="Arial" w:cs="Arial"/>
          <w:color w:val="auto"/>
          <w:lang w:val="es-ES"/>
        </w:rPr>
      </w:pPr>
    </w:p>
    <w:p w:rsidR="001B2927" w:rsidRPr="00993936" w:rsidRDefault="001B2927" w:rsidP="00412AFB">
      <w:pPr>
        <w:pStyle w:val="Ttulo5"/>
        <w:jc w:val="center"/>
        <w:rPr>
          <w:rFonts w:ascii="Arial" w:hAnsi="Arial" w:cs="Arial"/>
          <w:snapToGrid w:val="0"/>
          <w:color w:val="auto"/>
          <w:sz w:val="24"/>
          <w:u w:val="single"/>
          <w:lang w:val="es-ES"/>
        </w:rPr>
      </w:pPr>
    </w:p>
    <w:p w:rsidR="001B2927" w:rsidRPr="00993936" w:rsidRDefault="001B2927" w:rsidP="00412AFB">
      <w:pPr>
        <w:pStyle w:val="Ttulo5"/>
        <w:jc w:val="center"/>
        <w:rPr>
          <w:rFonts w:ascii="Arial" w:hAnsi="Arial" w:cs="Arial"/>
          <w:snapToGrid w:val="0"/>
          <w:color w:val="auto"/>
          <w:sz w:val="24"/>
          <w:u w:val="single"/>
          <w:lang w:val="es-ES"/>
        </w:rPr>
      </w:pPr>
    </w:p>
    <w:p w:rsidR="00412AFB" w:rsidRPr="00993936" w:rsidRDefault="00412AFB" w:rsidP="00412AFB">
      <w:pPr>
        <w:rPr>
          <w:rFonts w:ascii="Arial" w:hAnsi="Arial" w:cs="Arial"/>
          <w:snapToGrid w:val="0"/>
          <w:lang w:val="es-ES"/>
        </w:rPr>
      </w:pPr>
      <w:r w:rsidRPr="00993936">
        <w:rPr>
          <w:rFonts w:ascii="Arial" w:hAnsi="Arial" w:cs="Arial"/>
          <w:snapToGrid w:val="0"/>
          <w:lang w:val="es-ES"/>
        </w:rPr>
        <w:br w:type="page"/>
      </w:r>
    </w:p>
    <w:p w:rsidR="00412AFB" w:rsidRPr="00993936" w:rsidRDefault="00412AFB" w:rsidP="00412AFB">
      <w:pPr>
        <w:pStyle w:val="Ttulo3"/>
        <w:rPr>
          <w:rFonts w:ascii="Arial" w:hAnsi="Arial" w:cs="Arial"/>
          <w:b/>
          <w:snapToGrid w:val="0"/>
          <w:color w:val="auto"/>
          <w:lang w:val="es-ES"/>
        </w:rPr>
      </w:pPr>
      <w:r w:rsidRPr="00993936">
        <w:rPr>
          <w:rFonts w:ascii="Arial" w:hAnsi="Arial" w:cs="Arial"/>
          <w:b/>
          <w:snapToGrid w:val="0"/>
          <w:color w:val="auto"/>
          <w:lang w:val="es-ES"/>
        </w:rPr>
        <w:lastRenderedPageBreak/>
        <w:t>ANEXO 1</w:t>
      </w:r>
    </w:p>
    <w:p w:rsidR="00412AFB" w:rsidRPr="00993936" w:rsidRDefault="00412AFB" w:rsidP="00412AFB">
      <w:pPr>
        <w:jc w:val="both"/>
        <w:rPr>
          <w:rFonts w:ascii="Arial" w:hAnsi="Arial" w:cs="Arial"/>
          <w:b/>
          <w:snapToGrid w:val="0"/>
          <w:sz w:val="20"/>
          <w:lang w:val="es-ES"/>
        </w:rPr>
      </w:pPr>
    </w:p>
    <w:p w:rsidR="00412AFB" w:rsidRPr="00993936" w:rsidRDefault="00412AFB" w:rsidP="00412AFB">
      <w:pPr>
        <w:pStyle w:val="Textoindependiente3"/>
        <w:numPr>
          <w:ilvl w:val="1"/>
          <w:numId w:val="3"/>
        </w:numPr>
        <w:rPr>
          <w:rFonts w:cs="Arial"/>
          <w:sz w:val="20"/>
          <w:lang w:val="es-ES"/>
        </w:rPr>
      </w:pPr>
      <w:r w:rsidRPr="00993936">
        <w:rPr>
          <w:rFonts w:cs="Arial"/>
          <w:sz w:val="20"/>
          <w:lang w:val="es-ES"/>
        </w:rPr>
        <w:t xml:space="preserve">Materias activas de herbicidas para la producción integrada de cereales de verano (maíz y sorgo) </w:t>
      </w:r>
    </w:p>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72"/>
        <w:gridCol w:w="4372"/>
      </w:tblGrid>
      <w:tr w:rsidR="00412AFB" w:rsidRPr="00993936" w:rsidTr="00373FAC">
        <w:trPr>
          <w:trHeight w:val="439"/>
          <w:jc w:val="center"/>
        </w:trPr>
        <w:tc>
          <w:tcPr>
            <w:tcW w:w="5000" w:type="pct"/>
            <w:gridSpan w:val="2"/>
            <w:tcBorders>
              <w:bottom w:val="nil"/>
            </w:tcBorders>
            <w:shd w:val="pct12" w:color="auto" w:fill="FFFFFF"/>
            <w:vAlign w:val="center"/>
          </w:tcPr>
          <w:p w:rsidR="00412AFB" w:rsidRPr="00993936" w:rsidRDefault="00412AFB" w:rsidP="004F1878">
            <w:pPr>
              <w:pStyle w:val="Sinespaciado"/>
              <w:jc w:val="center"/>
              <w:rPr>
                <w:rFonts w:ascii="Arial" w:hAnsi="Arial" w:cs="Arial"/>
                <w:b/>
                <w:snapToGrid w:val="0"/>
                <w:lang w:val="es-ES" w:eastAsia="ca-ES"/>
              </w:rPr>
            </w:pPr>
            <w:r w:rsidRPr="00993936">
              <w:rPr>
                <w:rFonts w:ascii="Arial" w:hAnsi="Arial" w:cs="Arial"/>
                <w:b/>
                <w:snapToGrid w:val="0"/>
                <w:lang w:val="es-ES" w:eastAsia="ca-ES"/>
              </w:rPr>
              <w:t>TIPO DE HERBICIDAS (*)</w:t>
            </w:r>
          </w:p>
        </w:tc>
      </w:tr>
      <w:tr w:rsidR="00412AFB" w:rsidRPr="00993936" w:rsidTr="00373FAC">
        <w:trPr>
          <w:trHeight w:val="439"/>
          <w:jc w:val="center"/>
        </w:trPr>
        <w:tc>
          <w:tcPr>
            <w:tcW w:w="2471" w:type="pct"/>
            <w:tcBorders>
              <w:bottom w:val="nil"/>
            </w:tcBorders>
            <w:shd w:val="pct12" w:color="auto" w:fill="FFFFFF"/>
            <w:vAlign w:val="center"/>
          </w:tcPr>
          <w:p w:rsidR="00412AFB" w:rsidRPr="00993936" w:rsidRDefault="00412AFB" w:rsidP="004F1878">
            <w:pPr>
              <w:pStyle w:val="Sinespaciado"/>
              <w:jc w:val="center"/>
              <w:rPr>
                <w:rFonts w:ascii="Arial" w:hAnsi="Arial" w:cs="Arial"/>
                <w:b/>
                <w:snapToGrid w:val="0"/>
                <w:lang w:val="es-ES"/>
              </w:rPr>
            </w:pPr>
            <w:r w:rsidRPr="00993936">
              <w:rPr>
                <w:rFonts w:ascii="Arial" w:hAnsi="Arial" w:cs="Arial"/>
                <w:b/>
                <w:snapToGrid w:val="0"/>
                <w:lang w:val="es-ES"/>
              </w:rPr>
              <w:t>Materias activas</w:t>
            </w:r>
          </w:p>
        </w:tc>
        <w:tc>
          <w:tcPr>
            <w:tcW w:w="2529" w:type="pct"/>
            <w:shd w:val="pct12" w:color="auto" w:fill="FFFFFF"/>
            <w:vAlign w:val="center"/>
          </w:tcPr>
          <w:p w:rsidR="00412AFB" w:rsidRPr="00993936" w:rsidRDefault="00412AFB" w:rsidP="004F1878">
            <w:pPr>
              <w:pStyle w:val="Sinespaciado"/>
              <w:jc w:val="center"/>
              <w:rPr>
                <w:rFonts w:ascii="Arial" w:hAnsi="Arial" w:cs="Arial"/>
                <w:b/>
                <w:snapToGrid w:val="0"/>
                <w:lang w:val="es-ES"/>
              </w:rPr>
            </w:pPr>
            <w:r w:rsidRPr="00993936">
              <w:rPr>
                <w:rFonts w:ascii="Arial" w:hAnsi="Arial" w:cs="Arial"/>
                <w:b/>
                <w:snapToGrid w:val="0"/>
                <w:lang w:val="es-ES"/>
              </w:rPr>
              <w:t>Obligaciones</w:t>
            </w:r>
          </w:p>
        </w:tc>
      </w:tr>
      <w:tr w:rsidR="00412AFB" w:rsidRPr="00993936" w:rsidTr="00373FAC">
        <w:trPr>
          <w:cantSplit/>
          <w:trHeight w:val="2198"/>
          <w:jc w:val="center"/>
        </w:trPr>
        <w:tc>
          <w:tcPr>
            <w:tcW w:w="2471" w:type="pct"/>
            <w:vMerge w:val="restart"/>
            <w:shd w:val="clear" w:color="auto" w:fill="FFFFFF"/>
            <w:vAlign w:val="center"/>
          </w:tcPr>
          <w:p w:rsidR="00412AFB" w:rsidRPr="00993936" w:rsidRDefault="00412AFB" w:rsidP="004F1878">
            <w:pPr>
              <w:pStyle w:val="Sinespaciado"/>
              <w:rPr>
                <w:rFonts w:ascii="Arial" w:hAnsi="Arial" w:cs="Arial"/>
                <w:lang w:val="es-ES"/>
              </w:rPr>
            </w:pPr>
            <w:r w:rsidRPr="00993936">
              <w:rPr>
                <w:rFonts w:ascii="Arial" w:hAnsi="Arial" w:cs="Arial"/>
                <w:lang w:val="es-ES"/>
              </w:rPr>
              <w:t>2,4-D (2)</w:t>
            </w:r>
            <w:r w:rsidRPr="00993936">
              <w:rPr>
                <w:rFonts w:ascii="Arial" w:hAnsi="Arial" w:cs="Arial"/>
                <w:lang w:val="es-ES"/>
              </w:rPr>
              <w:br/>
              <w:t>2,4-D + Bromoxinil</w:t>
            </w:r>
          </w:p>
          <w:p w:rsidR="00412AFB" w:rsidRPr="00993936" w:rsidRDefault="00412AFB" w:rsidP="004F1878">
            <w:pPr>
              <w:pStyle w:val="Sinespaciado"/>
              <w:rPr>
                <w:rFonts w:ascii="Arial" w:hAnsi="Arial" w:cs="Arial"/>
                <w:lang w:val="es-ES"/>
              </w:rPr>
            </w:pPr>
            <w:r w:rsidRPr="00993936">
              <w:rPr>
                <w:rFonts w:ascii="Arial" w:hAnsi="Arial" w:cs="Arial"/>
                <w:lang w:val="es-ES"/>
              </w:rPr>
              <w:t>2,4-D + Florasulam (1) (2)</w:t>
            </w:r>
          </w:p>
          <w:p w:rsidR="00412AFB" w:rsidRPr="00993936" w:rsidRDefault="00412AFB" w:rsidP="004F1878">
            <w:pPr>
              <w:pStyle w:val="Sinespaciado"/>
              <w:rPr>
                <w:rFonts w:ascii="Arial" w:hAnsi="Arial" w:cs="Arial"/>
                <w:lang w:val="es-ES"/>
              </w:rPr>
            </w:pPr>
            <w:r w:rsidRPr="00993936">
              <w:rPr>
                <w:rFonts w:ascii="Arial" w:hAnsi="Arial" w:cs="Arial"/>
                <w:lang w:val="es-ES"/>
              </w:rPr>
              <w:t>Aclonifen + Isoxaflutol (1) (2)</w:t>
            </w:r>
          </w:p>
          <w:p w:rsidR="00412AFB" w:rsidRPr="00993936" w:rsidRDefault="00412AFB" w:rsidP="004F1878">
            <w:pPr>
              <w:pStyle w:val="Sinespaciado"/>
              <w:rPr>
                <w:rFonts w:ascii="Arial" w:hAnsi="Arial" w:cs="Arial"/>
                <w:lang w:val="es-ES"/>
              </w:rPr>
            </w:pPr>
            <w:r w:rsidRPr="00993936">
              <w:rPr>
                <w:rFonts w:ascii="Arial" w:hAnsi="Arial" w:cs="Arial"/>
                <w:lang w:val="es-ES"/>
              </w:rPr>
              <w:t xml:space="preserve">Bentazona </w:t>
            </w:r>
          </w:p>
          <w:p w:rsidR="00412AFB" w:rsidRPr="00993936" w:rsidRDefault="00412AFB" w:rsidP="004F1878">
            <w:pPr>
              <w:pStyle w:val="Sinespaciado"/>
              <w:rPr>
                <w:rFonts w:ascii="Arial" w:hAnsi="Arial" w:cs="Arial"/>
                <w:lang w:val="es-ES"/>
              </w:rPr>
            </w:pPr>
            <w:r w:rsidRPr="00993936">
              <w:rPr>
                <w:rFonts w:ascii="Arial" w:hAnsi="Arial" w:cs="Arial"/>
                <w:lang w:val="es-ES"/>
              </w:rPr>
              <w:t>Bromoxinil (2)</w:t>
            </w:r>
          </w:p>
          <w:p w:rsidR="00412AFB" w:rsidRPr="00993936" w:rsidRDefault="00412AFB" w:rsidP="004F1878">
            <w:pPr>
              <w:pStyle w:val="Sinespaciado"/>
              <w:rPr>
                <w:rFonts w:ascii="Arial" w:hAnsi="Arial" w:cs="Arial"/>
                <w:lang w:val="es-ES"/>
              </w:rPr>
            </w:pPr>
            <w:r w:rsidRPr="00993936">
              <w:rPr>
                <w:rFonts w:ascii="Arial" w:hAnsi="Arial" w:cs="Arial"/>
                <w:lang w:val="es-ES"/>
              </w:rPr>
              <w:t>Bromoxinil + Prosulfuron (1) (2) (3)</w:t>
            </w:r>
          </w:p>
          <w:p w:rsidR="00412AFB" w:rsidRPr="00993936" w:rsidRDefault="00412AFB" w:rsidP="004F1878">
            <w:pPr>
              <w:pStyle w:val="Sinespaciado"/>
              <w:rPr>
                <w:rFonts w:ascii="Arial" w:hAnsi="Arial" w:cs="Arial"/>
                <w:lang w:val="es-ES"/>
              </w:rPr>
            </w:pPr>
            <w:r w:rsidRPr="00993936">
              <w:rPr>
                <w:rFonts w:ascii="Arial" w:hAnsi="Arial" w:cs="Arial"/>
                <w:lang w:val="es-ES"/>
              </w:rPr>
              <w:t>Clopiralida (2)</w:t>
            </w:r>
          </w:p>
          <w:p w:rsidR="00412AFB" w:rsidRPr="00993936" w:rsidRDefault="00412AFB" w:rsidP="004F1878">
            <w:pPr>
              <w:pStyle w:val="Sinespaciado"/>
              <w:rPr>
                <w:rFonts w:ascii="Arial" w:hAnsi="Arial" w:cs="Arial"/>
                <w:lang w:val="es-ES"/>
              </w:rPr>
            </w:pPr>
            <w:r w:rsidRPr="00993936">
              <w:rPr>
                <w:rFonts w:ascii="Arial" w:hAnsi="Arial" w:cs="Arial"/>
                <w:lang w:val="es-ES"/>
              </w:rPr>
              <w:t>Clopiralida + Fluroxipir + MCPA</w:t>
            </w:r>
          </w:p>
          <w:p w:rsidR="00412AFB" w:rsidRPr="00993936" w:rsidRDefault="00412AFB" w:rsidP="004F1878">
            <w:pPr>
              <w:pStyle w:val="Sinespaciado"/>
              <w:rPr>
                <w:rFonts w:ascii="Arial" w:hAnsi="Arial" w:cs="Arial"/>
                <w:lang w:val="es-ES"/>
              </w:rPr>
            </w:pPr>
            <w:r w:rsidRPr="00993936">
              <w:rPr>
                <w:rFonts w:ascii="Arial" w:hAnsi="Arial" w:cs="Arial"/>
                <w:lang w:val="es-ES"/>
              </w:rPr>
              <w:t>Dicamba</w:t>
            </w:r>
            <w:r w:rsidR="00E03B3B" w:rsidRPr="00993936">
              <w:rPr>
                <w:rFonts w:ascii="Arial" w:hAnsi="Arial" w:cs="Arial"/>
                <w:lang w:val="es-ES"/>
              </w:rPr>
              <w:t xml:space="preserve"> </w:t>
            </w:r>
            <w:r w:rsidRPr="00993936">
              <w:rPr>
                <w:rFonts w:ascii="Arial" w:hAnsi="Arial" w:cs="Arial"/>
                <w:lang w:val="es-ES"/>
              </w:rPr>
              <w:t>(2)</w:t>
            </w:r>
          </w:p>
          <w:p w:rsidR="00412AFB" w:rsidRPr="00993936" w:rsidRDefault="00412AFB" w:rsidP="004F1878">
            <w:pPr>
              <w:pStyle w:val="Sinespaciado"/>
              <w:rPr>
                <w:rFonts w:ascii="Arial" w:hAnsi="Arial" w:cs="Arial"/>
                <w:lang w:val="es-ES"/>
              </w:rPr>
            </w:pPr>
            <w:r w:rsidRPr="00993936">
              <w:rPr>
                <w:rFonts w:ascii="Arial" w:hAnsi="Arial" w:cs="Arial"/>
                <w:lang w:val="es-ES"/>
              </w:rPr>
              <w:t>Dicamba + Nicosulfuron + Rimsulfuron (1) (2)</w:t>
            </w:r>
          </w:p>
          <w:p w:rsidR="00412AFB" w:rsidRPr="00993936" w:rsidRDefault="00412AFB" w:rsidP="004F1878">
            <w:pPr>
              <w:pStyle w:val="Sinespaciado"/>
              <w:rPr>
                <w:rFonts w:ascii="Arial" w:hAnsi="Arial" w:cs="Arial"/>
                <w:lang w:val="es-ES"/>
              </w:rPr>
            </w:pPr>
            <w:r w:rsidRPr="00993936">
              <w:rPr>
                <w:rFonts w:ascii="Arial" w:hAnsi="Arial" w:cs="Arial"/>
                <w:lang w:val="es-ES"/>
              </w:rPr>
              <w:t>Dicamba + Prosulfuron</w:t>
            </w:r>
          </w:p>
          <w:p w:rsidR="00412AFB" w:rsidRPr="00993936" w:rsidRDefault="00412AFB" w:rsidP="004F1878">
            <w:pPr>
              <w:pStyle w:val="Sinespaciado"/>
              <w:rPr>
                <w:rFonts w:ascii="Arial" w:hAnsi="Arial" w:cs="Arial"/>
                <w:lang w:val="es-ES"/>
              </w:rPr>
            </w:pPr>
            <w:r w:rsidRPr="00993936">
              <w:rPr>
                <w:rFonts w:ascii="Arial" w:hAnsi="Arial" w:cs="Arial"/>
                <w:lang w:val="es-ES"/>
              </w:rPr>
              <w:t xml:space="preserve">Dimetenadida-p (2) </w:t>
            </w:r>
          </w:p>
          <w:p w:rsidR="00412AFB" w:rsidRPr="00993936" w:rsidRDefault="00412AFB" w:rsidP="004F1878">
            <w:pPr>
              <w:pStyle w:val="Sinespaciado"/>
              <w:rPr>
                <w:rFonts w:ascii="Arial" w:hAnsi="Arial" w:cs="Arial"/>
                <w:lang w:val="es-ES"/>
              </w:rPr>
            </w:pPr>
            <w:r w:rsidRPr="00993936">
              <w:rPr>
                <w:rFonts w:ascii="Arial" w:hAnsi="Arial" w:cs="Arial"/>
                <w:lang w:val="es-ES"/>
              </w:rPr>
              <w:t>Dimetenadida-p + Pendimetalina (1)</w:t>
            </w:r>
          </w:p>
          <w:p w:rsidR="00412AFB" w:rsidRPr="00993936" w:rsidRDefault="00412AFB" w:rsidP="004F1878">
            <w:pPr>
              <w:pStyle w:val="Sinespaciado"/>
              <w:rPr>
                <w:rFonts w:ascii="Arial" w:hAnsi="Arial" w:cs="Arial"/>
                <w:lang w:val="es-ES"/>
              </w:rPr>
            </w:pPr>
            <w:r w:rsidRPr="00993936">
              <w:rPr>
                <w:rFonts w:ascii="Arial" w:hAnsi="Arial" w:cs="Arial"/>
                <w:lang w:val="es-ES"/>
              </w:rPr>
              <w:t>Fluroxipir (2)</w:t>
            </w:r>
          </w:p>
          <w:p w:rsidR="00412AFB" w:rsidRPr="00993936" w:rsidRDefault="00412AFB" w:rsidP="004F1878">
            <w:pPr>
              <w:pStyle w:val="Sinespaciado"/>
              <w:rPr>
                <w:rFonts w:ascii="Arial" w:hAnsi="Arial" w:cs="Arial"/>
                <w:lang w:val="es-ES"/>
              </w:rPr>
            </w:pPr>
            <w:r w:rsidRPr="00993936">
              <w:rPr>
                <w:rFonts w:ascii="Arial" w:hAnsi="Arial" w:cs="Arial"/>
                <w:lang w:val="es-ES"/>
              </w:rPr>
              <w:t xml:space="preserve">Foramsulfuron (2) </w:t>
            </w:r>
          </w:p>
          <w:p w:rsidR="00412AFB" w:rsidRPr="00993936" w:rsidRDefault="00412AFB" w:rsidP="004F1878">
            <w:pPr>
              <w:pStyle w:val="Sinespaciado"/>
              <w:rPr>
                <w:rFonts w:ascii="Arial" w:hAnsi="Arial" w:cs="Arial"/>
                <w:lang w:val="es-ES"/>
              </w:rPr>
            </w:pPr>
            <w:r w:rsidRPr="00993936">
              <w:rPr>
                <w:rFonts w:ascii="Arial" w:hAnsi="Arial" w:cs="Arial"/>
                <w:lang w:val="es-ES"/>
              </w:rPr>
              <w:t>Foramsulfuron + Tiencarbazona (1) (2)</w:t>
            </w:r>
          </w:p>
          <w:p w:rsidR="00412AFB" w:rsidRPr="00993936" w:rsidRDefault="00412AFB" w:rsidP="004F1878">
            <w:pPr>
              <w:pStyle w:val="Sinespaciado"/>
              <w:rPr>
                <w:rFonts w:ascii="Arial" w:hAnsi="Arial" w:cs="Arial"/>
                <w:snapToGrid w:val="0"/>
                <w:lang w:val="es-ES"/>
              </w:rPr>
            </w:pPr>
            <w:r w:rsidRPr="00993936">
              <w:rPr>
                <w:rFonts w:ascii="Arial" w:hAnsi="Arial" w:cs="Arial"/>
                <w:snapToGrid w:val="0"/>
                <w:lang w:val="es-ES"/>
              </w:rPr>
              <w:t xml:space="preserve">Glifosato </w:t>
            </w:r>
          </w:p>
          <w:p w:rsidR="00412AFB" w:rsidRPr="00993936" w:rsidRDefault="00412AFB" w:rsidP="004F1878">
            <w:pPr>
              <w:pStyle w:val="Sinespaciado"/>
              <w:rPr>
                <w:rFonts w:ascii="Arial" w:hAnsi="Arial" w:cs="Arial"/>
                <w:snapToGrid w:val="0"/>
                <w:lang w:val="es-ES"/>
              </w:rPr>
            </w:pPr>
            <w:r w:rsidRPr="00993936">
              <w:rPr>
                <w:rFonts w:ascii="Arial" w:hAnsi="Arial" w:cs="Arial"/>
                <w:snapToGrid w:val="0"/>
                <w:lang w:val="es-ES"/>
              </w:rPr>
              <w:t>Glifosato + MCPA (1)</w:t>
            </w:r>
          </w:p>
          <w:p w:rsidR="00412AFB" w:rsidRPr="00993936" w:rsidRDefault="00412AFB" w:rsidP="004F1878">
            <w:pPr>
              <w:pStyle w:val="Sinespaciado"/>
              <w:rPr>
                <w:rFonts w:ascii="Arial" w:hAnsi="Arial" w:cs="Arial"/>
                <w:lang w:val="es-ES"/>
              </w:rPr>
            </w:pPr>
            <w:r w:rsidRPr="00993936">
              <w:rPr>
                <w:rFonts w:ascii="Arial" w:hAnsi="Arial" w:cs="Arial"/>
                <w:lang w:val="es-ES"/>
              </w:rPr>
              <w:t>Glifosato + Piraflufen (1)</w:t>
            </w:r>
          </w:p>
          <w:p w:rsidR="00412AFB" w:rsidRPr="00993936" w:rsidRDefault="00412AFB" w:rsidP="004F1878">
            <w:pPr>
              <w:pStyle w:val="Sinespaciado"/>
              <w:rPr>
                <w:rFonts w:ascii="Arial" w:hAnsi="Arial" w:cs="Arial"/>
                <w:lang w:val="es-ES"/>
              </w:rPr>
            </w:pPr>
            <w:r w:rsidRPr="00993936">
              <w:rPr>
                <w:rFonts w:ascii="Arial" w:hAnsi="Arial" w:cs="Arial"/>
                <w:lang w:val="es-ES"/>
              </w:rPr>
              <w:t>Isoxaflutol (2)</w:t>
            </w:r>
          </w:p>
          <w:p w:rsidR="00412AFB" w:rsidRPr="00993936" w:rsidRDefault="00412AFB" w:rsidP="004F1878">
            <w:pPr>
              <w:pStyle w:val="Sinespaciado"/>
              <w:rPr>
                <w:rFonts w:ascii="Arial" w:hAnsi="Arial" w:cs="Arial"/>
                <w:lang w:val="es-ES"/>
              </w:rPr>
            </w:pPr>
            <w:r w:rsidRPr="00993936">
              <w:rPr>
                <w:rFonts w:ascii="Arial" w:hAnsi="Arial" w:cs="Arial"/>
                <w:lang w:val="es-ES"/>
              </w:rPr>
              <w:t>Linuron (2) (3)</w:t>
            </w:r>
          </w:p>
          <w:p w:rsidR="00412AFB" w:rsidRPr="00993936" w:rsidRDefault="00412AFB" w:rsidP="004F1878">
            <w:pPr>
              <w:pStyle w:val="Sinespaciado"/>
              <w:rPr>
                <w:rFonts w:ascii="Arial" w:hAnsi="Arial" w:cs="Arial"/>
                <w:lang w:val="es-ES"/>
              </w:rPr>
            </w:pPr>
            <w:r w:rsidRPr="00993936">
              <w:rPr>
                <w:rFonts w:ascii="Arial" w:hAnsi="Arial" w:cs="Arial"/>
                <w:lang w:val="es-ES"/>
              </w:rPr>
              <w:t>MCPA sal amina (1) (2)</w:t>
            </w:r>
          </w:p>
          <w:p w:rsidR="00412AFB" w:rsidRPr="00993936" w:rsidRDefault="00412AFB" w:rsidP="004F1878">
            <w:pPr>
              <w:pStyle w:val="Sinespaciado"/>
              <w:rPr>
                <w:rFonts w:ascii="Arial" w:hAnsi="Arial" w:cs="Arial"/>
                <w:lang w:val="es-ES"/>
              </w:rPr>
            </w:pPr>
            <w:r w:rsidRPr="00993936">
              <w:rPr>
                <w:rFonts w:ascii="Arial" w:hAnsi="Arial" w:cs="Arial"/>
                <w:lang w:val="es-ES"/>
              </w:rPr>
              <w:t>MCPA sal potásica (1) (2)</w:t>
            </w:r>
          </w:p>
          <w:p w:rsidR="00412AFB" w:rsidRPr="00993936" w:rsidRDefault="00412AFB" w:rsidP="004F1878">
            <w:pPr>
              <w:pStyle w:val="Sinespaciado"/>
              <w:rPr>
                <w:rFonts w:ascii="Arial" w:hAnsi="Arial" w:cs="Arial"/>
                <w:lang w:val="es-ES"/>
              </w:rPr>
            </w:pPr>
            <w:r w:rsidRPr="00993936">
              <w:rPr>
                <w:rFonts w:ascii="Arial" w:hAnsi="Arial" w:cs="Arial"/>
                <w:lang w:val="es-ES"/>
              </w:rPr>
              <w:t>Mecropop-p (2)</w:t>
            </w:r>
          </w:p>
          <w:p w:rsidR="00412AFB" w:rsidRPr="00993936" w:rsidRDefault="00412AFB" w:rsidP="004F1878">
            <w:pPr>
              <w:pStyle w:val="Sinespaciado"/>
              <w:rPr>
                <w:rFonts w:ascii="Arial" w:hAnsi="Arial" w:cs="Arial"/>
                <w:lang w:val="es-ES"/>
              </w:rPr>
            </w:pPr>
            <w:r w:rsidRPr="00993936">
              <w:rPr>
                <w:rFonts w:ascii="Arial" w:hAnsi="Arial" w:cs="Arial"/>
                <w:lang w:val="es-ES"/>
              </w:rPr>
              <w:t>Mesotriona (2)</w:t>
            </w:r>
          </w:p>
          <w:p w:rsidR="00412AFB" w:rsidRPr="00993936" w:rsidRDefault="00412AFB" w:rsidP="004F1878">
            <w:pPr>
              <w:pStyle w:val="Sinespaciado"/>
              <w:rPr>
                <w:rFonts w:ascii="Arial" w:hAnsi="Arial" w:cs="Arial"/>
                <w:lang w:val="es-ES"/>
              </w:rPr>
            </w:pPr>
            <w:r w:rsidRPr="00993936">
              <w:rPr>
                <w:rFonts w:ascii="Arial" w:hAnsi="Arial" w:cs="Arial"/>
                <w:lang w:val="es-ES"/>
              </w:rPr>
              <w:t>Mesotriona + S-metolacloro (1) (2)</w:t>
            </w:r>
          </w:p>
          <w:p w:rsidR="00412AFB" w:rsidRPr="00993936" w:rsidRDefault="00412AFB" w:rsidP="004F1878">
            <w:pPr>
              <w:pStyle w:val="Sinespaciado"/>
              <w:rPr>
                <w:rFonts w:ascii="Arial" w:hAnsi="Arial" w:cs="Arial"/>
                <w:lang w:val="es-ES"/>
              </w:rPr>
            </w:pPr>
            <w:r w:rsidRPr="00993936">
              <w:rPr>
                <w:rFonts w:ascii="Arial" w:hAnsi="Arial" w:cs="Arial"/>
                <w:lang w:val="es-ES"/>
              </w:rPr>
              <w:t>Nicosulfuron + Mesotriona (1) (2)</w:t>
            </w:r>
          </w:p>
          <w:p w:rsidR="00412AFB" w:rsidRPr="00993936" w:rsidRDefault="00412AFB" w:rsidP="004F1878">
            <w:pPr>
              <w:pStyle w:val="Sinespaciado"/>
              <w:rPr>
                <w:rFonts w:ascii="Arial" w:hAnsi="Arial" w:cs="Arial"/>
                <w:lang w:val="es-ES"/>
              </w:rPr>
            </w:pPr>
            <w:r w:rsidRPr="00993936">
              <w:rPr>
                <w:rFonts w:ascii="Arial" w:hAnsi="Arial" w:cs="Arial"/>
                <w:lang w:val="es-ES"/>
              </w:rPr>
              <w:t>Nicosulfuron (2)</w:t>
            </w:r>
          </w:p>
          <w:p w:rsidR="00412AFB" w:rsidRPr="00993936" w:rsidRDefault="00412AFB" w:rsidP="004F1878">
            <w:pPr>
              <w:pStyle w:val="Sinespaciado"/>
              <w:rPr>
                <w:rFonts w:ascii="Arial" w:hAnsi="Arial" w:cs="Arial"/>
                <w:lang w:val="es-ES"/>
              </w:rPr>
            </w:pPr>
            <w:r w:rsidRPr="00993936">
              <w:rPr>
                <w:rFonts w:ascii="Arial" w:hAnsi="Arial" w:cs="Arial"/>
                <w:lang w:val="es-ES"/>
              </w:rPr>
              <w:t>Pendimetalina</w:t>
            </w:r>
            <w:r w:rsidR="00E03B3B" w:rsidRPr="00993936">
              <w:rPr>
                <w:rFonts w:ascii="Arial" w:hAnsi="Arial" w:cs="Arial"/>
                <w:lang w:val="es-ES"/>
              </w:rPr>
              <w:t xml:space="preserve"> </w:t>
            </w:r>
          </w:p>
          <w:p w:rsidR="00412AFB" w:rsidRPr="00993936" w:rsidRDefault="00412AFB" w:rsidP="004F1878">
            <w:pPr>
              <w:pStyle w:val="Sinespaciado"/>
              <w:rPr>
                <w:rFonts w:ascii="Arial" w:hAnsi="Arial" w:cs="Arial"/>
                <w:lang w:val="es-ES"/>
              </w:rPr>
            </w:pPr>
            <w:r w:rsidRPr="00993936">
              <w:rPr>
                <w:rFonts w:ascii="Arial" w:hAnsi="Arial" w:cs="Arial"/>
                <w:lang w:val="es-ES"/>
              </w:rPr>
              <w:t>Pendimetalina + Clomozona (1) (2)</w:t>
            </w:r>
          </w:p>
          <w:p w:rsidR="00412AFB" w:rsidRPr="00993936" w:rsidRDefault="00412AFB" w:rsidP="004F1878">
            <w:pPr>
              <w:pStyle w:val="Sinespaciado"/>
              <w:rPr>
                <w:rFonts w:ascii="Arial" w:hAnsi="Arial" w:cs="Arial"/>
                <w:snapToGrid w:val="0"/>
                <w:lang w:val="es-ES"/>
              </w:rPr>
            </w:pPr>
            <w:r w:rsidRPr="00993936">
              <w:rPr>
                <w:rFonts w:ascii="Arial" w:hAnsi="Arial" w:cs="Arial"/>
                <w:snapToGrid w:val="0"/>
                <w:lang w:val="es-ES"/>
              </w:rPr>
              <w:t>Petoxamida (1) (2)</w:t>
            </w:r>
          </w:p>
          <w:p w:rsidR="00412AFB" w:rsidRPr="00993936" w:rsidRDefault="00412AFB" w:rsidP="004F1878">
            <w:pPr>
              <w:pStyle w:val="Sinespaciado"/>
              <w:rPr>
                <w:rFonts w:ascii="Arial" w:hAnsi="Arial" w:cs="Arial"/>
                <w:lang w:val="es-ES"/>
              </w:rPr>
            </w:pPr>
            <w:r w:rsidRPr="00993936">
              <w:rPr>
                <w:rFonts w:ascii="Arial" w:hAnsi="Arial" w:cs="Arial"/>
                <w:lang w:val="es-ES"/>
              </w:rPr>
              <w:t>Rimsulfuron (2)</w:t>
            </w:r>
          </w:p>
          <w:p w:rsidR="00412AFB" w:rsidRPr="00993936" w:rsidRDefault="00412AFB" w:rsidP="004F1878">
            <w:pPr>
              <w:pStyle w:val="Sinespaciado"/>
              <w:rPr>
                <w:rFonts w:ascii="Arial" w:hAnsi="Arial" w:cs="Arial"/>
                <w:lang w:val="es-ES"/>
              </w:rPr>
            </w:pPr>
            <w:r w:rsidRPr="00993936">
              <w:rPr>
                <w:rFonts w:ascii="Arial" w:hAnsi="Arial" w:cs="Arial"/>
                <w:lang w:val="es-ES"/>
              </w:rPr>
              <w:t>S-metolacloro (2)</w:t>
            </w:r>
          </w:p>
          <w:p w:rsidR="00412AFB" w:rsidRPr="00993936" w:rsidRDefault="00412AFB" w:rsidP="004F1878">
            <w:pPr>
              <w:pStyle w:val="Sinespaciado"/>
              <w:rPr>
                <w:rFonts w:ascii="Arial" w:hAnsi="Arial" w:cs="Arial"/>
                <w:lang w:val="es-ES"/>
              </w:rPr>
            </w:pPr>
            <w:r w:rsidRPr="00993936">
              <w:rPr>
                <w:rFonts w:ascii="Arial" w:hAnsi="Arial" w:cs="Arial"/>
                <w:lang w:val="es-ES"/>
              </w:rPr>
              <w:t>Sulcotriona (2)</w:t>
            </w:r>
          </w:p>
          <w:p w:rsidR="00412AFB" w:rsidRPr="00993936" w:rsidRDefault="00412AFB" w:rsidP="004F1878">
            <w:pPr>
              <w:pStyle w:val="Sinespaciado"/>
              <w:rPr>
                <w:rFonts w:ascii="Arial" w:hAnsi="Arial" w:cs="Arial"/>
                <w:lang w:val="es-ES"/>
              </w:rPr>
            </w:pPr>
            <w:r w:rsidRPr="00993936">
              <w:rPr>
                <w:rFonts w:ascii="Arial" w:hAnsi="Arial" w:cs="Arial"/>
                <w:lang w:val="es-ES"/>
              </w:rPr>
              <w:t>Tembotriona (2)</w:t>
            </w:r>
          </w:p>
          <w:p w:rsidR="00412AFB" w:rsidRPr="00993936" w:rsidRDefault="00412AFB" w:rsidP="004F1878">
            <w:pPr>
              <w:pStyle w:val="Sinespaciado"/>
              <w:rPr>
                <w:rFonts w:ascii="Arial" w:hAnsi="Arial" w:cs="Arial"/>
                <w:lang w:val="es-ES"/>
              </w:rPr>
            </w:pPr>
            <w:r w:rsidRPr="00993936">
              <w:rPr>
                <w:rFonts w:ascii="Arial" w:hAnsi="Arial" w:cs="Arial"/>
                <w:lang w:val="es-ES"/>
              </w:rPr>
              <w:t>Tifensulfuron (2)</w:t>
            </w:r>
          </w:p>
        </w:tc>
        <w:tc>
          <w:tcPr>
            <w:tcW w:w="2529" w:type="pct"/>
            <w:vAlign w:val="center"/>
          </w:tcPr>
          <w:p w:rsidR="00412AFB" w:rsidRPr="00993936" w:rsidRDefault="00412AFB" w:rsidP="004F1878">
            <w:pPr>
              <w:pStyle w:val="Sinespaciado"/>
              <w:rPr>
                <w:rFonts w:ascii="Arial" w:hAnsi="Arial" w:cs="Arial"/>
                <w:snapToGrid w:val="0"/>
                <w:lang w:val="es-ES"/>
              </w:rPr>
            </w:pPr>
            <w:r w:rsidRPr="00993936">
              <w:rPr>
                <w:rFonts w:ascii="Arial" w:hAnsi="Arial" w:cs="Arial"/>
                <w:snapToGrid w:val="0"/>
                <w:lang w:val="es-ES"/>
              </w:rPr>
              <w:t>Controlar las malas hierbas, siempre que sea posible, con medios físicos, mecánicos, biológicos o con aquellos que ofrezcan el menor riesgo de emisiones de CO</w:t>
            </w:r>
            <w:r w:rsidRPr="00993936">
              <w:rPr>
                <w:rFonts w:ascii="Arial" w:hAnsi="Arial" w:cs="Arial"/>
                <w:snapToGrid w:val="0"/>
                <w:vertAlign w:val="subscript"/>
                <w:lang w:val="es-ES"/>
              </w:rPr>
              <w:t>2</w:t>
            </w:r>
            <w:r w:rsidRPr="00993936">
              <w:rPr>
                <w:rFonts w:ascii="Arial" w:hAnsi="Arial" w:cs="Arial"/>
                <w:snapToGrid w:val="0"/>
                <w:lang w:val="es-ES"/>
              </w:rPr>
              <w:t>. Cuando los medios señalados anteriormente no permitan un control adecuado de las malas hierbas, podrá justificarse la aplicación de alguno de los herbicidas que figuran en esta tabla.</w:t>
            </w:r>
          </w:p>
          <w:p w:rsidR="00412AFB" w:rsidRPr="00993936" w:rsidRDefault="00412AFB" w:rsidP="004F1878">
            <w:pPr>
              <w:pStyle w:val="Sinespaciado"/>
              <w:rPr>
                <w:rFonts w:ascii="Arial" w:hAnsi="Arial" w:cs="Arial"/>
                <w:snapToGrid w:val="0"/>
                <w:lang w:val="es-ES"/>
              </w:rPr>
            </w:pPr>
          </w:p>
          <w:p w:rsidR="00412AFB" w:rsidRPr="00993936" w:rsidRDefault="00412AFB" w:rsidP="004F1878">
            <w:pPr>
              <w:pStyle w:val="Sinespaciado"/>
              <w:rPr>
                <w:rFonts w:ascii="Arial" w:hAnsi="Arial" w:cs="Arial"/>
                <w:snapToGrid w:val="0"/>
                <w:lang w:val="es-ES"/>
              </w:rPr>
            </w:pPr>
            <w:r w:rsidRPr="00993936">
              <w:rPr>
                <w:rFonts w:ascii="Arial" w:hAnsi="Arial" w:cs="Arial"/>
                <w:snapToGrid w:val="0"/>
                <w:lang w:val="es-ES"/>
              </w:rPr>
              <w:t>Las materias activas que se utilizarán serán seleccionadas de acuerdo con los criterios de menor peligrosidad para los humanos, la fauna silvestre y el medio ambiente, y por proporcionar un control efectivo de las mala hierbas.</w:t>
            </w:r>
          </w:p>
          <w:p w:rsidR="00412AFB" w:rsidRPr="00993936" w:rsidRDefault="00412AFB" w:rsidP="004F1878">
            <w:pPr>
              <w:pStyle w:val="Sinespaciado"/>
              <w:rPr>
                <w:rFonts w:ascii="Arial" w:hAnsi="Arial" w:cs="Arial"/>
                <w:snapToGrid w:val="0"/>
                <w:lang w:val="es-ES"/>
              </w:rPr>
            </w:pPr>
          </w:p>
        </w:tc>
      </w:tr>
      <w:tr w:rsidR="00412AFB" w:rsidRPr="00993936" w:rsidTr="00373FAC">
        <w:trPr>
          <w:cantSplit/>
          <w:trHeight w:val="439"/>
          <w:jc w:val="center"/>
        </w:trPr>
        <w:tc>
          <w:tcPr>
            <w:tcW w:w="2471" w:type="pct"/>
            <w:vMerge/>
            <w:vAlign w:val="center"/>
          </w:tcPr>
          <w:p w:rsidR="00412AFB" w:rsidRPr="00993936" w:rsidDel="00C07A4C" w:rsidRDefault="00412AFB" w:rsidP="004F1878">
            <w:pPr>
              <w:pStyle w:val="Sinespaciado"/>
              <w:rPr>
                <w:rFonts w:ascii="Arial" w:hAnsi="Arial" w:cs="Arial"/>
                <w:lang w:val="es-ES"/>
              </w:rPr>
            </w:pPr>
          </w:p>
        </w:tc>
        <w:tc>
          <w:tcPr>
            <w:tcW w:w="2529" w:type="pct"/>
            <w:shd w:val="clear" w:color="auto" w:fill="D9D9D9"/>
            <w:vAlign w:val="center"/>
          </w:tcPr>
          <w:p w:rsidR="00412AFB" w:rsidRPr="00993936" w:rsidRDefault="00412AFB" w:rsidP="004F1878">
            <w:pPr>
              <w:pStyle w:val="Sinespaciado"/>
              <w:rPr>
                <w:rFonts w:ascii="Arial" w:hAnsi="Arial" w:cs="Arial"/>
                <w:snapToGrid w:val="0"/>
                <w:lang w:val="es-ES"/>
              </w:rPr>
            </w:pPr>
            <w:r w:rsidRPr="00993936">
              <w:rPr>
                <w:rFonts w:ascii="Arial" w:hAnsi="Arial" w:cs="Arial"/>
                <w:snapToGrid w:val="0"/>
                <w:lang w:val="es-ES"/>
              </w:rPr>
              <w:t>Restricciones</w:t>
            </w:r>
          </w:p>
        </w:tc>
      </w:tr>
      <w:tr w:rsidR="00E1758E" w:rsidRPr="00993936" w:rsidTr="00373FAC">
        <w:trPr>
          <w:cantSplit/>
          <w:trHeight w:val="3803"/>
          <w:jc w:val="center"/>
        </w:trPr>
        <w:tc>
          <w:tcPr>
            <w:tcW w:w="2471" w:type="pct"/>
            <w:vMerge/>
            <w:shd w:val="clear" w:color="auto" w:fill="FFFFFF"/>
            <w:vAlign w:val="center"/>
          </w:tcPr>
          <w:p w:rsidR="00412AFB" w:rsidRPr="00993936" w:rsidDel="00C07A4C" w:rsidRDefault="00412AFB" w:rsidP="004F1878">
            <w:pPr>
              <w:pStyle w:val="Sinespaciado"/>
              <w:rPr>
                <w:rFonts w:ascii="Arial" w:hAnsi="Arial" w:cs="Arial"/>
                <w:lang w:val="es-ES"/>
              </w:rPr>
            </w:pPr>
          </w:p>
        </w:tc>
        <w:tc>
          <w:tcPr>
            <w:tcW w:w="2529" w:type="pct"/>
            <w:vAlign w:val="center"/>
          </w:tcPr>
          <w:p w:rsidR="00412AFB" w:rsidRPr="00993936" w:rsidRDefault="00412AFB" w:rsidP="009D1A2D">
            <w:pPr>
              <w:pStyle w:val="Sinespaciado"/>
              <w:numPr>
                <w:ilvl w:val="0"/>
                <w:numId w:val="189"/>
              </w:numPr>
              <w:rPr>
                <w:rFonts w:ascii="Arial" w:hAnsi="Arial" w:cs="Arial"/>
                <w:snapToGrid w:val="0"/>
                <w:lang w:val="es-ES"/>
              </w:rPr>
            </w:pPr>
            <w:r w:rsidRPr="00993936">
              <w:rPr>
                <w:rFonts w:ascii="Arial" w:hAnsi="Arial" w:cs="Arial"/>
                <w:snapToGrid w:val="0"/>
                <w:lang w:val="es-ES"/>
              </w:rPr>
              <w:t>Solo formulaciones comerciales registradas</w:t>
            </w:r>
          </w:p>
          <w:p w:rsidR="00412AFB" w:rsidRPr="00993936" w:rsidRDefault="00412AFB" w:rsidP="009D1A2D">
            <w:pPr>
              <w:pStyle w:val="Sinespaciado"/>
              <w:numPr>
                <w:ilvl w:val="0"/>
                <w:numId w:val="189"/>
              </w:numPr>
              <w:rPr>
                <w:rFonts w:ascii="Arial" w:hAnsi="Arial" w:cs="Arial"/>
                <w:snapToGrid w:val="0"/>
                <w:lang w:val="es-ES"/>
              </w:rPr>
            </w:pPr>
            <w:r w:rsidRPr="00993936">
              <w:rPr>
                <w:rFonts w:ascii="Arial" w:hAnsi="Arial" w:cs="Arial"/>
                <w:snapToGrid w:val="0"/>
                <w:lang w:val="es-ES"/>
              </w:rPr>
              <w:t>Solo en maíz</w:t>
            </w:r>
          </w:p>
          <w:p w:rsidR="00412AFB" w:rsidRPr="00993936" w:rsidRDefault="00412AFB" w:rsidP="009D1A2D">
            <w:pPr>
              <w:pStyle w:val="Sinespaciado"/>
              <w:numPr>
                <w:ilvl w:val="0"/>
                <w:numId w:val="189"/>
              </w:numPr>
              <w:rPr>
                <w:rFonts w:ascii="Arial" w:hAnsi="Arial" w:cs="Arial"/>
                <w:snapToGrid w:val="0"/>
                <w:lang w:val="es-ES"/>
              </w:rPr>
            </w:pPr>
            <w:r w:rsidRPr="00993936">
              <w:rPr>
                <w:rFonts w:ascii="Arial" w:hAnsi="Arial" w:cs="Arial"/>
                <w:snapToGrid w:val="0"/>
                <w:lang w:val="es-ES"/>
              </w:rPr>
              <w:t>Máximo un tratamiento al año</w:t>
            </w:r>
          </w:p>
        </w:tc>
      </w:tr>
    </w:tbl>
    <w:p w:rsidR="004F1878" w:rsidRPr="00993936" w:rsidRDefault="004F1878">
      <w:pPr>
        <w:rPr>
          <w:rFonts w:ascii="Arial" w:eastAsia="Times New Roman" w:hAnsi="Arial" w:cs="Arial"/>
          <w:b/>
          <w:snapToGrid w:val="0"/>
          <w:sz w:val="20"/>
          <w:szCs w:val="20"/>
          <w:lang w:val="es-ES" w:eastAsia="es-ES"/>
        </w:rPr>
      </w:pPr>
      <w:r w:rsidRPr="00993936">
        <w:rPr>
          <w:rFonts w:cs="Arial"/>
          <w:sz w:val="20"/>
          <w:lang w:val="es-ES"/>
        </w:rPr>
        <w:br w:type="page"/>
      </w:r>
    </w:p>
    <w:p w:rsidR="00412AFB" w:rsidRPr="00993936" w:rsidRDefault="00412AFB" w:rsidP="00412AFB">
      <w:pPr>
        <w:pStyle w:val="Textoindependiente3"/>
        <w:numPr>
          <w:ilvl w:val="1"/>
          <w:numId w:val="3"/>
        </w:numPr>
        <w:rPr>
          <w:rFonts w:cs="Arial"/>
          <w:sz w:val="20"/>
          <w:lang w:val="es-ES"/>
        </w:rPr>
      </w:pPr>
      <w:r w:rsidRPr="00993936">
        <w:rPr>
          <w:rFonts w:cs="Arial"/>
          <w:sz w:val="20"/>
          <w:lang w:val="es-ES"/>
        </w:rPr>
        <w:lastRenderedPageBreak/>
        <w:t>Materias activas de herbicidas para la producción integrada de cereales de verano con indicación del código de resistencia HRAC</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Cs w:val="18"/>
          <w:lang w:val="es-ES"/>
        </w:rPr>
      </w:pPr>
      <w:r w:rsidRPr="00993936">
        <w:rPr>
          <w:rFonts w:ascii="Arial" w:hAnsi="Arial" w:cs="Arial"/>
          <w:snapToGrid w:val="0"/>
          <w:szCs w:val="18"/>
          <w:lang w:val="es-ES"/>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3980"/>
        <w:gridCol w:w="4608"/>
      </w:tblGrid>
      <w:tr w:rsidR="00412AFB" w:rsidRPr="00993936" w:rsidTr="00C8678E">
        <w:trPr>
          <w:trHeight w:val="400"/>
          <w:tblHeader/>
          <w:jc w:val="center"/>
        </w:trPr>
        <w:tc>
          <w:tcPr>
            <w:tcW w:w="5000" w:type="pct"/>
            <w:gridSpan w:val="2"/>
            <w:shd w:val="pct5" w:color="auto" w:fill="FFFFFF"/>
            <w:vAlign w:val="center"/>
          </w:tcPr>
          <w:p w:rsidR="00412AFB" w:rsidRPr="00993936" w:rsidRDefault="00412AFB" w:rsidP="004F1878">
            <w:pPr>
              <w:pStyle w:val="Sinespaciado"/>
              <w:jc w:val="center"/>
              <w:rPr>
                <w:rFonts w:ascii="Arial" w:hAnsi="Arial" w:cs="Arial"/>
                <w:b/>
                <w:snapToGrid w:val="0"/>
                <w:lang w:val="es-ES"/>
              </w:rPr>
            </w:pPr>
            <w:r w:rsidRPr="00993936">
              <w:rPr>
                <w:rFonts w:ascii="Arial" w:hAnsi="Arial" w:cs="Arial"/>
                <w:b/>
                <w:snapToGrid w:val="0"/>
                <w:lang w:val="es-ES"/>
              </w:rPr>
              <w:t>TIPO DE HERBICIDAS</w:t>
            </w:r>
          </w:p>
        </w:tc>
      </w:tr>
      <w:tr w:rsidR="00412AFB" w:rsidRPr="00993936" w:rsidTr="00C8678E">
        <w:trPr>
          <w:cantSplit/>
          <w:trHeight w:val="170"/>
          <w:jc w:val="center"/>
        </w:trPr>
        <w:tc>
          <w:tcPr>
            <w:tcW w:w="2317" w:type="pct"/>
            <w:vMerge w:val="restart"/>
            <w:tcBorders>
              <w:top w:val="nil"/>
            </w:tcBorders>
            <w:shd w:val="pct12" w:color="auto" w:fill="FFFFFF"/>
            <w:vAlign w:val="center"/>
          </w:tcPr>
          <w:p w:rsidR="00412AFB" w:rsidRPr="00993936" w:rsidRDefault="00412AFB" w:rsidP="004F1878">
            <w:pPr>
              <w:pStyle w:val="Sinespaciado"/>
              <w:jc w:val="center"/>
              <w:rPr>
                <w:rFonts w:ascii="Arial" w:hAnsi="Arial" w:cs="Arial"/>
                <w:b/>
                <w:sz w:val="18"/>
                <w:lang w:val="es-ES"/>
              </w:rPr>
            </w:pPr>
            <w:r w:rsidRPr="00993936">
              <w:rPr>
                <w:rFonts w:ascii="Arial" w:hAnsi="Arial" w:cs="Arial"/>
                <w:b/>
                <w:sz w:val="18"/>
                <w:lang w:val="es-ES"/>
              </w:rPr>
              <w:t>Materia activa</w:t>
            </w:r>
          </w:p>
          <w:p w:rsidR="00412AFB" w:rsidRPr="00993936" w:rsidRDefault="00412AFB" w:rsidP="004F1878">
            <w:pPr>
              <w:pStyle w:val="Sinespaciado"/>
              <w:jc w:val="center"/>
              <w:rPr>
                <w:rFonts w:ascii="Arial" w:hAnsi="Arial" w:cs="Arial"/>
                <w:b/>
                <w:sz w:val="18"/>
                <w:lang w:val="es-ES"/>
              </w:rPr>
            </w:pPr>
          </w:p>
        </w:tc>
        <w:tc>
          <w:tcPr>
            <w:tcW w:w="2683" w:type="pct"/>
            <w:tcBorders>
              <w:top w:val="nil"/>
            </w:tcBorders>
            <w:shd w:val="pct12" w:color="auto" w:fill="FFFFFF"/>
            <w:vAlign w:val="center"/>
          </w:tcPr>
          <w:p w:rsidR="00412AFB" w:rsidRPr="00993936" w:rsidRDefault="00412AFB" w:rsidP="004F1878">
            <w:pPr>
              <w:pStyle w:val="Sinespaciado"/>
              <w:jc w:val="center"/>
              <w:rPr>
                <w:rFonts w:ascii="Arial" w:hAnsi="Arial" w:cs="Arial"/>
                <w:b/>
                <w:sz w:val="18"/>
                <w:lang w:val="es-ES"/>
              </w:rPr>
            </w:pPr>
            <w:r w:rsidRPr="00993936">
              <w:rPr>
                <w:rFonts w:ascii="Arial" w:hAnsi="Arial" w:cs="Arial"/>
                <w:b/>
                <w:sz w:val="18"/>
                <w:lang w:val="es-ES"/>
              </w:rPr>
              <w:t>Indicación del código de resistencia</w:t>
            </w:r>
          </w:p>
        </w:tc>
      </w:tr>
      <w:tr w:rsidR="00412AFB" w:rsidRPr="00993936" w:rsidTr="00C8678E">
        <w:trPr>
          <w:cantSplit/>
          <w:trHeight w:val="267"/>
          <w:jc w:val="center"/>
        </w:trPr>
        <w:tc>
          <w:tcPr>
            <w:tcW w:w="2317" w:type="pct"/>
            <w:vMerge/>
            <w:shd w:val="clear" w:color="auto" w:fill="FFFFFF"/>
            <w:vAlign w:val="center"/>
          </w:tcPr>
          <w:p w:rsidR="00412AFB" w:rsidRPr="00993936" w:rsidRDefault="00412AFB" w:rsidP="004F1878">
            <w:pPr>
              <w:pStyle w:val="Sinespaciado"/>
              <w:rPr>
                <w:rFonts w:ascii="Arial" w:hAnsi="Arial" w:cs="Arial"/>
                <w:sz w:val="18"/>
                <w:lang w:val="es-ES"/>
              </w:rPr>
            </w:pPr>
          </w:p>
        </w:tc>
        <w:tc>
          <w:tcPr>
            <w:tcW w:w="2683" w:type="pct"/>
            <w:shd w:val="pct12" w:color="auto" w:fill="auto"/>
            <w:vAlign w:val="center"/>
          </w:tcPr>
          <w:p w:rsidR="00412AFB" w:rsidRPr="00993936" w:rsidRDefault="00412AFB" w:rsidP="004F1878">
            <w:pPr>
              <w:pStyle w:val="Sinespaciado"/>
              <w:jc w:val="center"/>
              <w:rPr>
                <w:rFonts w:ascii="Arial" w:hAnsi="Arial" w:cs="Arial"/>
                <w:lang w:val="es-ES"/>
              </w:rPr>
            </w:pPr>
            <w:r w:rsidRPr="00993936">
              <w:rPr>
                <w:rFonts w:ascii="Arial" w:hAnsi="Arial" w:cs="Arial"/>
                <w:lang w:val="es-ES"/>
              </w:rPr>
              <w:t>HRAC (*)</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2,4-D</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2,4-D + Bromoxinil</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O+C3</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2,4-D + Florasulam</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O+B</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Aclonifen + Isoxaflutol</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F3+F2</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Bentazona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C3</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Bromoxinil</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C3</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Bromoxinil + Prosulfuron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C3+B</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Clopiralida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O4</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Clopiralida + Fluroxipir</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O4+O</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Dicamba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Dicamba + Prosulfuron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O+B</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Dicamba + Nicosulfuron + Rimsulfuron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O+B+B</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Dimetenamida-p</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F1</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Dimetenamida-p + Pendimetalina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F+K1</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Fluroxipir</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Foramsulfuron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Fosamsulfuron + Tiencarbazona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Glifosato</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G</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Glifosato + MCPA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G+O</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Glifosato + Piraflufen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G+E</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Isoxaflutol</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F2</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Linuron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C2</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MCPA sal amina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MCPA sal potásica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Mecroprop-p</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O</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Mesotriona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F2</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Mesotriona + S-metalaclor</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F2+K3</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Nicosulfuron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B</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Nicosulfuró + Mesotriona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B+F2</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Pendimetalina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K1</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Pendimetalina + Clomazona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K1+F4</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Petoxamida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K3</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Rimsulfuron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K3</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S-metolacloro</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K3</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Sulcotriona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F2</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Tembotriona</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w:t>
            </w:r>
          </w:p>
        </w:tc>
      </w:tr>
      <w:tr w:rsidR="00412AFB" w:rsidRPr="00993936" w:rsidTr="00C8678E">
        <w:trPr>
          <w:cantSplit/>
          <w:trHeight w:val="252"/>
          <w:jc w:val="center"/>
        </w:trPr>
        <w:tc>
          <w:tcPr>
            <w:tcW w:w="2317" w:type="pct"/>
            <w:shd w:val="clear" w:color="auto" w:fill="FFFFFF"/>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Tifensulfuron</w:t>
            </w:r>
          </w:p>
        </w:tc>
        <w:tc>
          <w:tcPr>
            <w:tcW w:w="2683" w:type="pct"/>
            <w:shd w:val="clear" w:color="auto" w:fill="FFFFFF"/>
            <w:vAlign w:val="center"/>
          </w:tcPr>
          <w:p w:rsidR="00412AFB" w:rsidRPr="00993936" w:rsidRDefault="00412AFB" w:rsidP="004F1878">
            <w:pPr>
              <w:pStyle w:val="Sinespaciado"/>
              <w:jc w:val="center"/>
              <w:rPr>
                <w:rFonts w:ascii="Arial" w:hAnsi="Arial" w:cs="Arial"/>
                <w:sz w:val="18"/>
                <w:lang w:val="es-ES"/>
              </w:rPr>
            </w:pPr>
            <w:r w:rsidRPr="00993936">
              <w:rPr>
                <w:rFonts w:ascii="Arial" w:hAnsi="Arial" w:cs="Arial"/>
                <w:sz w:val="18"/>
                <w:lang w:val="es-ES"/>
              </w:rPr>
              <w:t>B</w:t>
            </w:r>
          </w:p>
        </w:tc>
      </w:tr>
      <w:tr w:rsidR="00412AFB" w:rsidRPr="00993936" w:rsidTr="00C8678E">
        <w:trPr>
          <w:cantSplit/>
          <w:jc w:val="center"/>
        </w:trPr>
        <w:tc>
          <w:tcPr>
            <w:tcW w:w="5000" w:type="pct"/>
            <w:gridSpan w:val="2"/>
            <w:shd w:val="clear" w:color="auto" w:fill="FFFFFF"/>
            <w:vAlign w:val="center"/>
          </w:tcPr>
          <w:p w:rsidR="00412AFB" w:rsidRPr="00993936" w:rsidRDefault="00412AFB" w:rsidP="004F1878">
            <w:pPr>
              <w:pStyle w:val="Sinespaciado"/>
              <w:rPr>
                <w:rFonts w:ascii="Arial" w:hAnsi="Arial" w:cs="Arial"/>
                <w:sz w:val="18"/>
                <w:lang w:val="es-ES"/>
              </w:rPr>
            </w:pPr>
          </w:p>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Para evitar la aparición de resistencias a herbicidas, alternar el uso de materias activas que presenten códigos de resistencia (HRAC) diferentes.</w:t>
            </w:r>
          </w:p>
        </w:tc>
      </w:tr>
      <w:tr w:rsidR="00412AFB" w:rsidRPr="00993936" w:rsidTr="00C8678E">
        <w:trPr>
          <w:cantSplit/>
          <w:trHeight w:val="127"/>
          <w:jc w:val="center"/>
        </w:trPr>
        <w:tc>
          <w:tcPr>
            <w:tcW w:w="5000" w:type="pct"/>
            <w:gridSpan w:val="2"/>
            <w:shd w:val="clear" w:color="auto" w:fill="FFFFFF"/>
            <w:vAlign w:val="center"/>
          </w:tcPr>
          <w:p w:rsidR="00412AFB" w:rsidRPr="00993936" w:rsidRDefault="00412AFB" w:rsidP="004F1878">
            <w:pPr>
              <w:pStyle w:val="Sinespaciado"/>
              <w:rPr>
                <w:rFonts w:ascii="Arial" w:hAnsi="Arial" w:cs="Arial"/>
                <w:sz w:val="18"/>
                <w:lang w:val="es-ES"/>
              </w:rPr>
            </w:pPr>
          </w:p>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 Fuente: Comité de Acción de Resistencia a Herbicidas</w:t>
            </w:r>
          </w:p>
          <w:p w:rsidR="00412AFB" w:rsidRPr="00993936" w:rsidRDefault="00412AFB" w:rsidP="004F1878">
            <w:pPr>
              <w:pStyle w:val="Sinespaciado"/>
              <w:rPr>
                <w:rFonts w:ascii="Arial" w:hAnsi="Arial" w:cs="Arial"/>
                <w:sz w:val="18"/>
                <w:lang w:val="es-ES"/>
              </w:rPr>
            </w:pPr>
          </w:p>
        </w:tc>
      </w:tr>
    </w:tbl>
    <w:p w:rsidR="00412AFB" w:rsidRPr="00993936" w:rsidRDefault="00412AFB" w:rsidP="00412AFB">
      <w:pPr>
        <w:rPr>
          <w:rFonts w:ascii="Arial" w:hAnsi="Arial" w:cs="Arial"/>
          <w:szCs w:val="18"/>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lastRenderedPageBreak/>
        <w:br w:type="page"/>
      </w:r>
      <w:r w:rsidRPr="00993936">
        <w:rPr>
          <w:rFonts w:ascii="Arial" w:hAnsi="Arial" w:cs="Arial"/>
          <w:b/>
          <w:lang w:val="es-ES"/>
        </w:rPr>
        <w:lastRenderedPageBreak/>
        <w:t>ANEXO 2</w:t>
      </w:r>
    </w:p>
    <w:p w:rsidR="00412AFB" w:rsidRPr="00993936" w:rsidRDefault="00412AFB" w:rsidP="00412AFB">
      <w:pPr>
        <w:autoSpaceDE w:val="0"/>
        <w:autoSpaceDN w:val="0"/>
        <w:adjustRightInd w:val="0"/>
        <w:jc w:val="both"/>
        <w:rPr>
          <w:rFonts w:ascii="Arial" w:hAnsi="Arial" w:cs="Arial"/>
          <w:b/>
          <w:lang w:val="es-ES"/>
        </w:rPr>
      </w:pPr>
      <w:r w:rsidRPr="00993936">
        <w:rPr>
          <w:rFonts w:ascii="Arial" w:hAnsi="Arial" w:cs="Arial"/>
          <w:b/>
          <w:sz w:val="20"/>
          <w:lang w:val="es-ES"/>
        </w:rPr>
        <w:t xml:space="preserve">2.1 </w:t>
      </w:r>
      <w:r w:rsidRPr="00993936">
        <w:rPr>
          <w:rFonts w:ascii="Arial" w:hAnsi="Arial" w:cs="Arial"/>
          <w:b/>
          <w:lang w:val="es-ES"/>
        </w:rPr>
        <w:t>Materias activas insecticidas de productos fitosanitarios para la producción integrada de maíz y sorgo, según plaga o enfermedad y cultivo</w:t>
      </w:r>
    </w:p>
    <w:p w:rsidR="00412AFB" w:rsidRPr="00993936" w:rsidRDefault="00412AFB" w:rsidP="00412AFB">
      <w:pPr>
        <w:autoSpaceDE w:val="0"/>
        <w:autoSpaceDN w:val="0"/>
        <w:adjustRightInd w:val="0"/>
        <w:jc w:val="both"/>
        <w:rPr>
          <w:rFonts w:ascii="Arial" w:hAnsi="Arial" w:cs="Arial"/>
          <w:b/>
          <w:lang w:val="es-ES"/>
        </w:rPr>
      </w:pPr>
      <w:r w:rsidRPr="00993936">
        <w:rPr>
          <w:rFonts w:ascii="Arial" w:hAnsi="Arial" w:cs="Arial"/>
          <w:b/>
          <w:lang w:val="es-ES"/>
        </w:rPr>
        <w:t>2.1.1 Materias activas insecticidas</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3"/>
        <w:gridCol w:w="2281"/>
        <w:gridCol w:w="885"/>
        <w:gridCol w:w="886"/>
        <w:gridCol w:w="3111"/>
      </w:tblGrid>
      <w:tr w:rsidR="00E1758E" w:rsidRPr="00993936" w:rsidTr="00C8678E">
        <w:trPr>
          <w:cantSplit/>
          <w:trHeight w:val="328"/>
          <w:tblHeader/>
        </w:trPr>
        <w:tc>
          <w:tcPr>
            <w:tcW w:w="4474" w:type="dxa"/>
            <w:gridSpan w:val="2"/>
            <w:shd w:val="pct12" w:color="auto" w:fill="FFFFFF"/>
            <w:vAlign w:val="center"/>
          </w:tcPr>
          <w:p w:rsidR="00412AFB" w:rsidRPr="00993936" w:rsidRDefault="00412AFB" w:rsidP="00223C09">
            <w:pPr>
              <w:pStyle w:val="Sinespaciado"/>
              <w:jc w:val="center"/>
              <w:rPr>
                <w:rFonts w:ascii="Arial" w:hAnsi="Arial" w:cs="Arial"/>
                <w:b/>
                <w:sz w:val="18"/>
                <w:lang w:val="es-ES"/>
              </w:rPr>
            </w:pPr>
            <w:r w:rsidRPr="00993936">
              <w:rPr>
                <w:rFonts w:ascii="Arial" w:hAnsi="Arial" w:cs="Arial"/>
                <w:b/>
                <w:sz w:val="18"/>
                <w:lang w:val="es-ES"/>
              </w:rPr>
              <w:t>Autorizaciones</w:t>
            </w:r>
          </w:p>
        </w:tc>
        <w:tc>
          <w:tcPr>
            <w:tcW w:w="1771" w:type="dxa"/>
            <w:gridSpan w:val="2"/>
            <w:shd w:val="pct12" w:color="auto" w:fill="FFFFFF"/>
            <w:vAlign w:val="center"/>
          </w:tcPr>
          <w:p w:rsidR="00412AFB" w:rsidRPr="00993936" w:rsidRDefault="00412AFB" w:rsidP="00223C09">
            <w:pPr>
              <w:pStyle w:val="Sinespaciado"/>
              <w:jc w:val="center"/>
              <w:rPr>
                <w:rFonts w:ascii="Arial" w:hAnsi="Arial" w:cs="Arial"/>
                <w:b/>
                <w:sz w:val="18"/>
                <w:lang w:val="es-ES"/>
              </w:rPr>
            </w:pPr>
            <w:r w:rsidRPr="00993936">
              <w:rPr>
                <w:rFonts w:ascii="Arial" w:hAnsi="Arial" w:cs="Arial"/>
                <w:b/>
                <w:sz w:val="18"/>
                <w:lang w:val="es-ES"/>
              </w:rPr>
              <w:t>Cultivo</w:t>
            </w:r>
          </w:p>
        </w:tc>
        <w:tc>
          <w:tcPr>
            <w:tcW w:w="3111" w:type="dxa"/>
            <w:vMerge w:val="restart"/>
            <w:shd w:val="pct12" w:color="auto" w:fill="FFFFFF"/>
            <w:vAlign w:val="center"/>
          </w:tcPr>
          <w:p w:rsidR="00412AFB" w:rsidRPr="00993936" w:rsidRDefault="00412AFB" w:rsidP="00223C09">
            <w:pPr>
              <w:pStyle w:val="Sinespaciado"/>
              <w:jc w:val="center"/>
              <w:rPr>
                <w:rFonts w:ascii="Arial" w:hAnsi="Arial" w:cs="Arial"/>
                <w:b/>
                <w:sz w:val="18"/>
                <w:lang w:val="es-ES"/>
              </w:rPr>
            </w:pPr>
            <w:r w:rsidRPr="00993936">
              <w:rPr>
                <w:rFonts w:ascii="Arial" w:hAnsi="Arial" w:cs="Arial"/>
                <w:b/>
                <w:sz w:val="18"/>
                <w:lang w:val="es-ES"/>
              </w:rPr>
              <w:t>Restricciones</w:t>
            </w:r>
          </w:p>
        </w:tc>
      </w:tr>
      <w:tr w:rsidR="00E1758E" w:rsidRPr="00993936" w:rsidTr="008061C6">
        <w:trPr>
          <w:cantSplit/>
          <w:trHeight w:val="405"/>
          <w:tblHeader/>
        </w:trPr>
        <w:tc>
          <w:tcPr>
            <w:tcW w:w="2193" w:type="dxa"/>
            <w:tcBorders>
              <w:bottom w:val="nil"/>
            </w:tcBorders>
            <w:shd w:val="pct12" w:color="auto" w:fill="FFFFFF"/>
            <w:vAlign w:val="center"/>
          </w:tcPr>
          <w:p w:rsidR="00412AFB" w:rsidRPr="00993936" w:rsidRDefault="00412AFB" w:rsidP="00223C09">
            <w:pPr>
              <w:pStyle w:val="Sinespaciado"/>
              <w:jc w:val="center"/>
              <w:rPr>
                <w:rFonts w:ascii="Arial" w:hAnsi="Arial" w:cs="Arial"/>
                <w:b/>
                <w:sz w:val="18"/>
                <w:lang w:val="es-ES"/>
              </w:rPr>
            </w:pPr>
            <w:r w:rsidRPr="00993936">
              <w:rPr>
                <w:rFonts w:ascii="Arial" w:hAnsi="Arial" w:cs="Arial"/>
                <w:b/>
                <w:sz w:val="18"/>
                <w:lang w:val="es-ES"/>
              </w:rPr>
              <w:t>P</w:t>
            </w:r>
            <w:r w:rsidR="00223C09" w:rsidRPr="00993936">
              <w:rPr>
                <w:rFonts w:ascii="Arial" w:hAnsi="Arial" w:cs="Arial"/>
                <w:b/>
                <w:sz w:val="18"/>
                <w:lang w:val="es-ES"/>
              </w:rPr>
              <w:t>laga</w:t>
            </w:r>
          </w:p>
        </w:tc>
        <w:tc>
          <w:tcPr>
            <w:tcW w:w="2281" w:type="dxa"/>
            <w:tcBorders>
              <w:bottom w:val="nil"/>
            </w:tcBorders>
            <w:shd w:val="pct12" w:color="auto" w:fill="FFFFFF"/>
            <w:vAlign w:val="center"/>
          </w:tcPr>
          <w:p w:rsidR="00412AFB" w:rsidRPr="00993936" w:rsidRDefault="00223C09" w:rsidP="00223C09">
            <w:pPr>
              <w:pStyle w:val="Sinespaciado"/>
              <w:jc w:val="center"/>
              <w:rPr>
                <w:rFonts w:ascii="Arial" w:hAnsi="Arial" w:cs="Arial"/>
                <w:b/>
                <w:sz w:val="18"/>
                <w:lang w:val="es-ES"/>
              </w:rPr>
            </w:pPr>
            <w:r w:rsidRPr="00993936">
              <w:rPr>
                <w:rFonts w:ascii="Arial" w:hAnsi="Arial" w:cs="Arial"/>
                <w:b/>
                <w:sz w:val="18"/>
                <w:lang w:val="es-ES"/>
              </w:rPr>
              <w:t>Materia</w:t>
            </w:r>
            <w:r w:rsidR="00412AFB" w:rsidRPr="00993936">
              <w:rPr>
                <w:rFonts w:ascii="Arial" w:hAnsi="Arial" w:cs="Arial"/>
                <w:b/>
                <w:sz w:val="18"/>
                <w:lang w:val="es-ES"/>
              </w:rPr>
              <w:t xml:space="preserve"> activ</w:t>
            </w:r>
            <w:r w:rsidRPr="00993936">
              <w:rPr>
                <w:rFonts w:ascii="Arial" w:hAnsi="Arial" w:cs="Arial"/>
                <w:b/>
                <w:sz w:val="18"/>
                <w:lang w:val="es-ES"/>
              </w:rPr>
              <w:t>a</w:t>
            </w:r>
          </w:p>
        </w:tc>
        <w:tc>
          <w:tcPr>
            <w:tcW w:w="885" w:type="dxa"/>
            <w:tcBorders>
              <w:bottom w:val="nil"/>
            </w:tcBorders>
            <w:shd w:val="pct12" w:color="auto" w:fill="FFFFFF"/>
            <w:vAlign w:val="center"/>
          </w:tcPr>
          <w:p w:rsidR="00412AFB" w:rsidRPr="00993936" w:rsidRDefault="00412AFB" w:rsidP="00223C09">
            <w:pPr>
              <w:pStyle w:val="Sinespaciado"/>
              <w:jc w:val="center"/>
              <w:rPr>
                <w:rFonts w:ascii="Arial" w:hAnsi="Arial" w:cs="Arial"/>
                <w:b/>
                <w:sz w:val="18"/>
                <w:lang w:val="es-ES"/>
              </w:rPr>
            </w:pPr>
            <w:r w:rsidRPr="00993936">
              <w:rPr>
                <w:rFonts w:ascii="Arial" w:hAnsi="Arial" w:cs="Arial"/>
                <w:b/>
                <w:sz w:val="18"/>
                <w:lang w:val="es-ES"/>
              </w:rPr>
              <w:t>Maíz</w:t>
            </w:r>
          </w:p>
        </w:tc>
        <w:tc>
          <w:tcPr>
            <w:tcW w:w="886" w:type="dxa"/>
            <w:tcBorders>
              <w:bottom w:val="nil"/>
            </w:tcBorders>
            <w:shd w:val="pct12" w:color="auto" w:fill="FFFFFF"/>
            <w:vAlign w:val="center"/>
          </w:tcPr>
          <w:p w:rsidR="00412AFB" w:rsidRPr="00993936" w:rsidRDefault="00412AFB" w:rsidP="00223C09">
            <w:pPr>
              <w:pStyle w:val="Sinespaciado"/>
              <w:jc w:val="center"/>
              <w:rPr>
                <w:rFonts w:ascii="Arial" w:hAnsi="Arial" w:cs="Arial"/>
                <w:b/>
                <w:sz w:val="18"/>
                <w:lang w:val="es-ES"/>
              </w:rPr>
            </w:pPr>
            <w:r w:rsidRPr="00993936">
              <w:rPr>
                <w:rFonts w:ascii="Arial" w:hAnsi="Arial" w:cs="Arial"/>
                <w:b/>
                <w:sz w:val="18"/>
                <w:lang w:val="es-ES"/>
              </w:rPr>
              <w:t>Sorgo</w:t>
            </w:r>
          </w:p>
        </w:tc>
        <w:tc>
          <w:tcPr>
            <w:tcW w:w="3111" w:type="dxa"/>
            <w:vMerge/>
            <w:tcBorders>
              <w:bottom w:val="nil"/>
            </w:tcBorders>
            <w:shd w:val="pct12" w:color="auto" w:fill="FFFFFF"/>
            <w:vAlign w:val="center"/>
          </w:tcPr>
          <w:p w:rsidR="00412AFB" w:rsidRPr="00993936" w:rsidRDefault="00412AFB" w:rsidP="00223C09">
            <w:pPr>
              <w:pStyle w:val="Sinespaciado"/>
              <w:jc w:val="center"/>
              <w:rPr>
                <w:rFonts w:ascii="Arial" w:hAnsi="Arial" w:cs="Arial"/>
                <w:b/>
                <w:sz w:val="18"/>
                <w:lang w:val="es-ES"/>
              </w:rPr>
            </w:pPr>
          </w:p>
        </w:tc>
      </w:tr>
      <w:tr w:rsidR="00E1758E" w:rsidRPr="00993936" w:rsidTr="00C8678E">
        <w:trPr>
          <w:cantSplit/>
          <w:trHeight w:val="425"/>
        </w:trPr>
        <w:tc>
          <w:tcPr>
            <w:tcW w:w="9356" w:type="dxa"/>
            <w:gridSpan w:val="5"/>
            <w:shd w:val="pct12" w:color="auto" w:fill="FFFFFF"/>
            <w:vAlign w:val="center"/>
          </w:tcPr>
          <w:p w:rsidR="00412AFB" w:rsidRPr="00993936" w:rsidRDefault="00412AFB" w:rsidP="00223C09">
            <w:pPr>
              <w:pStyle w:val="Sinespaciado"/>
              <w:jc w:val="center"/>
              <w:rPr>
                <w:rFonts w:ascii="Arial" w:hAnsi="Arial" w:cs="Arial"/>
                <w:b/>
                <w:sz w:val="18"/>
                <w:lang w:val="es-ES"/>
              </w:rPr>
            </w:pPr>
            <w:r w:rsidRPr="00993936">
              <w:rPr>
                <w:rFonts w:ascii="Arial" w:hAnsi="Arial" w:cs="Arial"/>
                <w:b/>
                <w:sz w:val="18"/>
                <w:lang w:val="es-ES"/>
              </w:rPr>
              <w:t>PLAGAS</w:t>
            </w:r>
          </w:p>
        </w:tc>
      </w:tr>
      <w:tr w:rsidR="00E1758E" w:rsidRPr="00993936" w:rsidTr="008061C6">
        <w:trPr>
          <w:cantSplit/>
          <w:trHeight w:val="255"/>
        </w:trPr>
        <w:tc>
          <w:tcPr>
            <w:tcW w:w="2193"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Ácaros tetraníquidos</w:t>
            </w: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Hexitiazox</w:t>
            </w:r>
            <w:r w:rsidR="00E03B3B" w:rsidRPr="00993936">
              <w:rPr>
                <w:rFonts w:ascii="Arial" w:hAnsi="Arial" w:cs="Arial"/>
                <w:sz w:val="18"/>
                <w:lang w:val="es-ES"/>
              </w:rPr>
              <w:t xml:space="preserve"> </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restart"/>
            <w:tcBorders>
              <w:bottom w:val="nil"/>
            </w:tcBorders>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restart"/>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Alacrán cebollero</w:t>
            </w:r>
          </w:p>
          <w:p w:rsidR="00412AFB" w:rsidRPr="00993936" w:rsidRDefault="00412AFB" w:rsidP="004F1878">
            <w:pPr>
              <w:pStyle w:val="Sinespaciado"/>
              <w:rPr>
                <w:rFonts w:ascii="Arial" w:hAnsi="Arial" w:cs="Arial"/>
                <w:i/>
                <w:sz w:val="18"/>
                <w:lang w:val="es-ES"/>
              </w:rPr>
            </w:pPr>
            <w:r w:rsidRPr="00993936">
              <w:rPr>
                <w:rFonts w:ascii="Arial" w:hAnsi="Arial" w:cs="Arial"/>
                <w:i/>
                <w:sz w:val="18"/>
                <w:lang w:val="es-ES"/>
              </w:rPr>
              <w:t>Gryllotalpa grillotalpa</w:t>
            </w: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tcBorders>
              <w:bottom w:val="nil"/>
            </w:tcBorders>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Lamba-cihalotrina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tcBorders>
              <w:bottom w:val="nil"/>
            </w:tcBorders>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97"/>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Teflutrin</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tcBorders>
              <w:bottom w:val="nil"/>
            </w:tcBorders>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338"/>
        </w:trPr>
        <w:tc>
          <w:tcPr>
            <w:tcW w:w="2193"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 xml:space="preserve">Araña roja </w:t>
            </w:r>
            <w:r w:rsidRPr="00993936">
              <w:rPr>
                <w:rFonts w:ascii="Arial" w:hAnsi="Arial" w:cs="Arial"/>
                <w:i/>
                <w:sz w:val="18"/>
                <w:lang w:val="es-ES"/>
              </w:rPr>
              <w:t>Tetranychus spp.</w:t>
            </w: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Abamectina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tcBorders>
              <w:bottom w:val="nil"/>
            </w:tcBorders>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Barrenador</w:t>
            </w:r>
          </w:p>
        </w:tc>
        <w:tc>
          <w:tcPr>
            <w:tcW w:w="2281" w:type="dxa"/>
            <w:vAlign w:val="center"/>
          </w:tcPr>
          <w:p w:rsidR="00412AFB" w:rsidRPr="00993936" w:rsidRDefault="00412AFB" w:rsidP="004F1878">
            <w:pPr>
              <w:pStyle w:val="Sinespaciado"/>
              <w:rPr>
                <w:rFonts w:ascii="Arial" w:hAnsi="Arial" w:cs="Arial"/>
                <w:strike/>
                <w:dstrike/>
                <w:sz w:val="18"/>
                <w:lang w:val="es-ES"/>
              </w:rPr>
            </w:pPr>
          </w:p>
        </w:tc>
        <w:tc>
          <w:tcPr>
            <w:tcW w:w="885" w:type="dxa"/>
            <w:vAlign w:val="center"/>
          </w:tcPr>
          <w:p w:rsidR="00412AFB" w:rsidRPr="00993936" w:rsidRDefault="00412AFB" w:rsidP="004F1878">
            <w:pPr>
              <w:pStyle w:val="Sinespaciado"/>
              <w:rPr>
                <w:rFonts w:ascii="Arial" w:hAnsi="Arial" w:cs="Arial"/>
                <w:dstrike/>
                <w:sz w:val="18"/>
                <w:lang w:val="es-ES"/>
              </w:rPr>
            </w:pPr>
          </w:p>
        </w:tc>
        <w:tc>
          <w:tcPr>
            <w:tcW w:w="886" w:type="dxa"/>
            <w:vAlign w:val="center"/>
          </w:tcPr>
          <w:p w:rsidR="00412AFB" w:rsidRPr="00993936" w:rsidRDefault="00412AFB" w:rsidP="004F1878">
            <w:pPr>
              <w:pStyle w:val="Sinespaciado"/>
              <w:rPr>
                <w:rFonts w:ascii="Arial" w:hAnsi="Arial" w:cs="Arial"/>
                <w:dstrike/>
                <w:sz w:val="18"/>
                <w:lang w:val="es-ES"/>
              </w:rPr>
            </w:pPr>
          </w:p>
        </w:tc>
        <w:tc>
          <w:tcPr>
            <w:tcW w:w="3111" w:type="dxa"/>
            <w:vMerge/>
            <w:tcBorders>
              <w:bottom w:val="nil"/>
            </w:tcBorders>
            <w:vAlign w:val="center"/>
          </w:tcPr>
          <w:p w:rsidR="00412AFB" w:rsidRPr="00993936" w:rsidRDefault="00412AFB" w:rsidP="004F1878">
            <w:pPr>
              <w:pStyle w:val="Sinespaciado"/>
              <w:rPr>
                <w:rFonts w:ascii="Arial" w:hAnsi="Arial" w:cs="Arial"/>
                <w:dstrike/>
                <w:sz w:val="18"/>
                <w:lang w:val="es-ES"/>
              </w:rPr>
            </w:pPr>
          </w:p>
        </w:tc>
      </w:tr>
      <w:tr w:rsidR="00E1758E" w:rsidRPr="00993936" w:rsidTr="008061C6">
        <w:trPr>
          <w:cantSplit/>
        </w:trPr>
        <w:tc>
          <w:tcPr>
            <w:tcW w:w="2193" w:type="dxa"/>
            <w:vMerge w:val="restart"/>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Gusanos blancos</w:t>
            </w:r>
          </w:p>
        </w:tc>
        <w:tc>
          <w:tcPr>
            <w:tcW w:w="2281" w:type="dxa"/>
            <w:vAlign w:val="center"/>
          </w:tcPr>
          <w:p w:rsidR="00412AFB" w:rsidRPr="00993936" w:rsidRDefault="00CA0C28" w:rsidP="004F1878">
            <w:pPr>
              <w:pStyle w:val="Sinespaciado"/>
              <w:rPr>
                <w:rFonts w:ascii="Arial" w:hAnsi="Arial" w:cs="Arial"/>
                <w:sz w:val="18"/>
                <w:lang w:val="es-ES"/>
              </w:rPr>
            </w:pPr>
            <w:r w:rsidRPr="00993936">
              <w:rPr>
                <w:rFonts w:ascii="Arial" w:hAnsi="Arial" w:cs="Arial"/>
                <w:sz w:val="18"/>
                <w:lang w:val="es-ES"/>
              </w:rPr>
              <w:t>Clorpirifos</w:t>
            </w:r>
            <w:r w:rsidR="00412AFB" w:rsidRPr="00993936">
              <w:rPr>
                <w:rFonts w:ascii="Arial" w:hAnsi="Arial" w:cs="Arial"/>
                <w:sz w:val="18"/>
                <w:lang w:val="es-ES"/>
              </w:rPr>
              <w:t xml:space="preserve"> (1)</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tcBorders>
              <w:bottom w:val="nil"/>
            </w:tcBorders>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tcBorders>
              <w:bottom w:val="nil"/>
            </w:tcBorders>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Lamba-cihalotrina (2)</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tcBorders>
              <w:bottom w:val="nil"/>
            </w:tcBorders>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restart"/>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Gusanos de alambre</w:t>
            </w:r>
          </w:p>
        </w:tc>
        <w:tc>
          <w:tcPr>
            <w:tcW w:w="2281" w:type="dxa"/>
            <w:vAlign w:val="center"/>
          </w:tcPr>
          <w:p w:rsidR="00412AFB" w:rsidRPr="00993936" w:rsidRDefault="00CA0C28" w:rsidP="004F1878">
            <w:pPr>
              <w:pStyle w:val="Sinespaciado"/>
              <w:rPr>
                <w:rFonts w:ascii="Arial" w:hAnsi="Arial" w:cs="Arial"/>
                <w:sz w:val="18"/>
                <w:lang w:val="es-ES"/>
              </w:rPr>
            </w:pPr>
            <w:r w:rsidRPr="00993936">
              <w:rPr>
                <w:rFonts w:ascii="Arial" w:hAnsi="Arial" w:cs="Arial"/>
                <w:sz w:val="18"/>
                <w:lang w:val="es-ES"/>
              </w:rPr>
              <w:t>Clorpirifos</w:t>
            </w:r>
            <w:r w:rsidR="00412AFB" w:rsidRPr="00993936">
              <w:rPr>
                <w:rFonts w:ascii="Arial" w:hAnsi="Arial" w:cs="Arial"/>
                <w:sz w:val="18"/>
                <w:lang w:val="es-ES"/>
              </w:rPr>
              <w:t xml:space="preserve"> </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restart"/>
            <w:tcBorders>
              <w:top w:val="nil"/>
            </w:tcBorders>
          </w:tcPr>
          <w:p w:rsidR="00412AFB" w:rsidRPr="00993936" w:rsidRDefault="00412AFB" w:rsidP="009D1A2D">
            <w:pPr>
              <w:pStyle w:val="Sinespaciado"/>
              <w:numPr>
                <w:ilvl w:val="0"/>
                <w:numId w:val="190"/>
              </w:numPr>
              <w:ind w:left="135" w:firstLine="0"/>
              <w:rPr>
                <w:rFonts w:ascii="Arial" w:hAnsi="Arial" w:cs="Arial"/>
                <w:sz w:val="18"/>
                <w:lang w:val="es-ES"/>
              </w:rPr>
            </w:pPr>
            <w:r w:rsidRPr="00993936">
              <w:rPr>
                <w:rFonts w:ascii="Arial" w:hAnsi="Arial" w:cs="Arial"/>
                <w:sz w:val="18"/>
                <w:lang w:val="es-ES"/>
              </w:rPr>
              <w:t>Máximo un tratamiento al año.</w:t>
            </w:r>
          </w:p>
          <w:p w:rsidR="00412AFB" w:rsidRPr="00993936" w:rsidRDefault="00412AFB" w:rsidP="00223C09">
            <w:pPr>
              <w:pStyle w:val="Sinespaciado"/>
              <w:ind w:left="135"/>
              <w:rPr>
                <w:rFonts w:ascii="Arial" w:hAnsi="Arial" w:cs="Arial"/>
                <w:sz w:val="18"/>
                <w:lang w:val="es-ES"/>
              </w:rPr>
            </w:pPr>
          </w:p>
          <w:p w:rsidR="00412AFB" w:rsidRPr="00993936" w:rsidRDefault="00412AFB" w:rsidP="009D1A2D">
            <w:pPr>
              <w:pStyle w:val="Sinespaciado"/>
              <w:numPr>
                <w:ilvl w:val="0"/>
                <w:numId w:val="190"/>
              </w:numPr>
              <w:ind w:left="135" w:firstLine="0"/>
              <w:rPr>
                <w:rFonts w:ascii="Arial" w:hAnsi="Arial" w:cs="Arial"/>
                <w:sz w:val="18"/>
                <w:lang w:val="es-ES"/>
              </w:rPr>
            </w:pPr>
            <w:r w:rsidRPr="00993936">
              <w:rPr>
                <w:rFonts w:ascii="Arial" w:hAnsi="Arial" w:cs="Arial"/>
                <w:sz w:val="18"/>
                <w:lang w:val="es-ES"/>
              </w:rPr>
              <w:t>Solo formulaciones que no sean de clasificación toxicológica (T).</w:t>
            </w:r>
          </w:p>
          <w:p w:rsidR="00412AFB" w:rsidRPr="00993936" w:rsidRDefault="00412AFB" w:rsidP="00223C09">
            <w:pPr>
              <w:pStyle w:val="Sinespaciado"/>
              <w:ind w:left="135"/>
              <w:rPr>
                <w:rFonts w:ascii="Arial" w:hAnsi="Arial" w:cs="Arial"/>
                <w:sz w:val="18"/>
                <w:lang w:val="es-ES"/>
              </w:rPr>
            </w:pPr>
          </w:p>
          <w:p w:rsidR="00412AFB" w:rsidRPr="00993936" w:rsidRDefault="00412AFB" w:rsidP="009D1A2D">
            <w:pPr>
              <w:pStyle w:val="Sinespaciado"/>
              <w:numPr>
                <w:ilvl w:val="0"/>
                <w:numId w:val="190"/>
              </w:numPr>
              <w:ind w:left="135" w:firstLine="0"/>
              <w:rPr>
                <w:rFonts w:ascii="Arial" w:hAnsi="Arial" w:cs="Arial"/>
                <w:sz w:val="18"/>
                <w:lang w:val="es-ES"/>
              </w:rPr>
            </w:pPr>
            <w:r w:rsidRPr="00993936">
              <w:rPr>
                <w:rFonts w:ascii="Arial" w:hAnsi="Arial" w:cs="Arial"/>
                <w:sz w:val="18"/>
                <w:lang w:val="es-ES"/>
              </w:rPr>
              <w:t>(*) Materia activa con fecha límite de utilización.</w:t>
            </w:r>
          </w:p>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Lamba-cihalotrina (2)</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Etoprofos (1)</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restart"/>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Gusanos grises</w:t>
            </w:r>
          </w:p>
        </w:tc>
        <w:tc>
          <w:tcPr>
            <w:tcW w:w="2281" w:type="dxa"/>
            <w:vAlign w:val="center"/>
          </w:tcPr>
          <w:p w:rsidR="00412AFB" w:rsidRPr="00993936" w:rsidRDefault="00CA0C28" w:rsidP="004F1878">
            <w:pPr>
              <w:pStyle w:val="Sinespaciado"/>
              <w:rPr>
                <w:rFonts w:ascii="Arial" w:hAnsi="Arial" w:cs="Arial"/>
                <w:sz w:val="18"/>
                <w:lang w:val="es-ES"/>
              </w:rPr>
            </w:pPr>
            <w:r w:rsidRPr="00993936">
              <w:rPr>
                <w:rFonts w:ascii="Arial" w:hAnsi="Arial" w:cs="Arial"/>
                <w:sz w:val="18"/>
                <w:lang w:val="es-ES"/>
              </w:rPr>
              <w:t>Clorpirifos</w:t>
            </w:r>
            <w:r w:rsidR="00412AFB" w:rsidRPr="00993936">
              <w:rPr>
                <w:rFonts w:ascii="Arial" w:hAnsi="Arial" w:cs="Arial"/>
                <w:sz w:val="18"/>
                <w:lang w:val="es-ES"/>
              </w:rPr>
              <w:t xml:space="preserve"> </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Lamba-cihalotrina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Etoprofos (1)</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Metil-clorpirifos</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27"/>
        </w:trPr>
        <w:tc>
          <w:tcPr>
            <w:tcW w:w="2193" w:type="dxa"/>
            <w:vMerge w:val="restart"/>
            <w:shd w:val="clear" w:color="auto" w:fill="auto"/>
            <w:vAlign w:val="center"/>
          </w:tcPr>
          <w:p w:rsidR="00412AFB" w:rsidRPr="00993936" w:rsidRDefault="00412AFB" w:rsidP="004F1878">
            <w:pPr>
              <w:pStyle w:val="Sinespaciado"/>
              <w:rPr>
                <w:rFonts w:ascii="Arial" w:hAnsi="Arial" w:cs="Arial"/>
                <w:sz w:val="18"/>
              </w:rPr>
            </w:pPr>
            <w:r w:rsidRPr="00993936">
              <w:rPr>
                <w:rFonts w:ascii="Arial" w:hAnsi="Arial" w:cs="Arial"/>
                <w:sz w:val="18"/>
              </w:rPr>
              <w:t>Orugas</w:t>
            </w: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Beta-ciflutrina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27"/>
        </w:trPr>
        <w:tc>
          <w:tcPr>
            <w:tcW w:w="2193" w:type="dxa"/>
            <w:vMerge/>
            <w:shd w:val="clear" w:color="auto" w:fill="auto"/>
            <w:vAlign w:val="center"/>
          </w:tcPr>
          <w:p w:rsidR="00412AFB" w:rsidRPr="00993936" w:rsidRDefault="00412AFB" w:rsidP="004F1878">
            <w:pPr>
              <w:pStyle w:val="Sinespaciado"/>
              <w:rPr>
                <w:rFonts w:ascii="Arial" w:hAnsi="Arial" w:cs="Arial"/>
                <w:sz w:val="18"/>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Clorantraniliprol</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27"/>
        </w:trPr>
        <w:tc>
          <w:tcPr>
            <w:tcW w:w="2193" w:type="dxa"/>
            <w:vMerge/>
            <w:shd w:val="clear" w:color="auto" w:fill="auto"/>
            <w:vAlign w:val="center"/>
          </w:tcPr>
          <w:p w:rsidR="00412AFB" w:rsidRPr="00993936" w:rsidRDefault="00412AFB" w:rsidP="004F1878">
            <w:pPr>
              <w:pStyle w:val="Sinespaciado"/>
              <w:rPr>
                <w:rFonts w:ascii="Arial" w:hAnsi="Arial" w:cs="Arial"/>
                <w:sz w:val="18"/>
              </w:rPr>
            </w:pPr>
          </w:p>
        </w:tc>
        <w:tc>
          <w:tcPr>
            <w:tcW w:w="2281" w:type="dxa"/>
            <w:vAlign w:val="center"/>
          </w:tcPr>
          <w:p w:rsidR="00412AFB" w:rsidRPr="00993936" w:rsidRDefault="00CA0C28" w:rsidP="004F1878">
            <w:pPr>
              <w:pStyle w:val="Sinespaciado"/>
              <w:rPr>
                <w:rFonts w:ascii="Arial" w:hAnsi="Arial" w:cs="Arial"/>
                <w:sz w:val="18"/>
                <w:lang w:val="es-ES"/>
              </w:rPr>
            </w:pPr>
            <w:r w:rsidRPr="00993936">
              <w:rPr>
                <w:rFonts w:ascii="Arial" w:hAnsi="Arial" w:cs="Arial"/>
                <w:sz w:val="18"/>
                <w:lang w:val="es-ES"/>
              </w:rPr>
              <w:t>Clorpirifos</w:t>
            </w:r>
            <w:r w:rsidR="00412AFB" w:rsidRPr="00993936">
              <w:rPr>
                <w:rFonts w:ascii="Arial" w:hAnsi="Arial" w:cs="Arial"/>
                <w:sz w:val="18"/>
                <w:lang w:val="es-ES"/>
              </w:rPr>
              <w:t xml:space="preserve"> (1)</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27"/>
        </w:trPr>
        <w:tc>
          <w:tcPr>
            <w:tcW w:w="2193" w:type="dxa"/>
            <w:vMerge/>
            <w:shd w:val="clear" w:color="auto" w:fill="auto"/>
            <w:vAlign w:val="center"/>
          </w:tcPr>
          <w:p w:rsidR="00412AFB" w:rsidRPr="00993936" w:rsidRDefault="00412AFB" w:rsidP="004F1878">
            <w:pPr>
              <w:pStyle w:val="Sinespaciado"/>
              <w:rPr>
                <w:rFonts w:ascii="Arial" w:hAnsi="Arial" w:cs="Arial"/>
                <w:sz w:val="18"/>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Cipermetrina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27"/>
        </w:trPr>
        <w:tc>
          <w:tcPr>
            <w:tcW w:w="2193" w:type="dxa"/>
            <w:vMerge/>
            <w:shd w:val="clear" w:color="auto" w:fill="auto"/>
            <w:vAlign w:val="center"/>
          </w:tcPr>
          <w:p w:rsidR="00412AFB" w:rsidRPr="00993936" w:rsidRDefault="00412AFB" w:rsidP="004F1878">
            <w:pPr>
              <w:pStyle w:val="Sinespaciado"/>
              <w:rPr>
                <w:rFonts w:ascii="Arial" w:hAnsi="Arial" w:cs="Arial"/>
                <w:sz w:val="18"/>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27"/>
        </w:trPr>
        <w:tc>
          <w:tcPr>
            <w:tcW w:w="2193" w:type="dxa"/>
            <w:vMerge/>
            <w:shd w:val="clear" w:color="auto" w:fill="auto"/>
            <w:vAlign w:val="center"/>
          </w:tcPr>
          <w:p w:rsidR="00412AFB" w:rsidRPr="00993936" w:rsidRDefault="00412AFB" w:rsidP="004F1878">
            <w:pPr>
              <w:pStyle w:val="Sinespaciado"/>
              <w:rPr>
                <w:rFonts w:ascii="Arial" w:hAnsi="Arial" w:cs="Arial"/>
                <w:sz w:val="18"/>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Lamba-cihalotrina (2)</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424"/>
        </w:trPr>
        <w:tc>
          <w:tcPr>
            <w:tcW w:w="2193" w:type="dxa"/>
            <w:vMerge/>
            <w:shd w:val="clear" w:color="auto" w:fill="auto"/>
            <w:vAlign w:val="center"/>
          </w:tcPr>
          <w:p w:rsidR="00412AFB" w:rsidRPr="00993936" w:rsidRDefault="00412AFB" w:rsidP="004F1878">
            <w:pPr>
              <w:pStyle w:val="Sinespaciado"/>
              <w:rPr>
                <w:rFonts w:ascii="Arial" w:hAnsi="Arial" w:cs="Arial"/>
                <w:sz w:val="18"/>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Lambda-cihalotrina + Clorantraniliprol</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265"/>
        </w:trPr>
        <w:tc>
          <w:tcPr>
            <w:tcW w:w="2193" w:type="dxa"/>
            <w:vMerge w:val="restart"/>
            <w:shd w:val="clear" w:color="auto" w:fill="auto"/>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Garrapatillo</w:t>
            </w:r>
          </w:p>
          <w:p w:rsidR="00412AFB" w:rsidRPr="00993936" w:rsidRDefault="00412AFB" w:rsidP="004F1878">
            <w:pPr>
              <w:pStyle w:val="Sinespaciado"/>
              <w:rPr>
                <w:rFonts w:ascii="Arial" w:hAnsi="Arial" w:cs="Arial"/>
                <w:i/>
                <w:sz w:val="18"/>
                <w:lang w:val="es-ES"/>
              </w:rPr>
            </w:pPr>
            <w:r w:rsidRPr="00993936">
              <w:rPr>
                <w:rFonts w:ascii="Arial" w:hAnsi="Arial" w:cs="Arial"/>
                <w:i/>
                <w:sz w:val="18"/>
                <w:lang w:val="es-ES"/>
              </w:rPr>
              <w:t>Aelia sp, Eurigaster sp.</w:t>
            </w: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224"/>
        </w:trPr>
        <w:tc>
          <w:tcPr>
            <w:tcW w:w="2193" w:type="dxa"/>
            <w:vMerge/>
            <w:shd w:val="clear" w:color="auto" w:fill="auto"/>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Lambda cihalotrina (2)</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restart"/>
            <w:shd w:val="clear" w:color="auto" w:fill="auto"/>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Heliotis</w:t>
            </w: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Beta-ciflutrina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shd w:val="clear" w:color="auto" w:fill="auto"/>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Clorantraniliprol</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shd w:val="clear" w:color="auto" w:fill="auto"/>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Cipermetrina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shd w:val="clear" w:color="auto" w:fill="auto"/>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CA0C28" w:rsidP="004F1878">
            <w:pPr>
              <w:pStyle w:val="Sinespaciado"/>
              <w:rPr>
                <w:rFonts w:ascii="Arial" w:hAnsi="Arial" w:cs="Arial"/>
                <w:sz w:val="18"/>
                <w:lang w:val="es-ES"/>
              </w:rPr>
            </w:pPr>
            <w:r w:rsidRPr="00993936">
              <w:rPr>
                <w:rFonts w:ascii="Arial" w:hAnsi="Arial" w:cs="Arial"/>
                <w:sz w:val="18"/>
                <w:lang w:val="es-ES"/>
              </w:rPr>
              <w:t>Clorpirifos</w:t>
            </w:r>
            <w:r w:rsidR="00412AFB" w:rsidRPr="00993936">
              <w:rPr>
                <w:rFonts w:ascii="Arial" w:hAnsi="Arial" w:cs="Arial"/>
                <w:sz w:val="18"/>
                <w:lang w:val="es-ES"/>
              </w:rPr>
              <w:t xml:space="preserve"> </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shd w:val="clear" w:color="auto" w:fill="auto"/>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shd w:val="clear" w:color="auto" w:fill="auto"/>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Lambda-cihalotrina (1)</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shd w:val="clear" w:color="auto" w:fill="auto"/>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Lambda-cihalotrina + Clorantraniliprol</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shd w:val="clear" w:color="auto" w:fill="auto"/>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Metil-clorpirifos</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33"/>
        </w:trPr>
        <w:tc>
          <w:tcPr>
            <w:tcW w:w="2193" w:type="dxa"/>
            <w:vMerge w:val="restart"/>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Insectos del suelo</w:t>
            </w: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47"/>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Lamba-cihalotrina (2)</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147"/>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Teflutrin</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dstrike/>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Larvas de dípteros</w:t>
            </w:r>
          </w:p>
        </w:tc>
        <w:tc>
          <w:tcPr>
            <w:tcW w:w="2281" w:type="dxa"/>
            <w:vAlign w:val="center"/>
          </w:tcPr>
          <w:p w:rsidR="00412AFB" w:rsidRPr="00993936" w:rsidRDefault="00CA0C28" w:rsidP="004F1878">
            <w:pPr>
              <w:pStyle w:val="Sinespaciado"/>
              <w:rPr>
                <w:rFonts w:ascii="Arial" w:hAnsi="Arial" w:cs="Arial"/>
                <w:sz w:val="18"/>
                <w:lang w:val="es-ES"/>
              </w:rPr>
            </w:pPr>
            <w:r w:rsidRPr="00993936">
              <w:rPr>
                <w:rFonts w:ascii="Arial" w:hAnsi="Arial" w:cs="Arial"/>
                <w:sz w:val="18"/>
                <w:lang w:val="es-ES"/>
              </w:rPr>
              <w:t>Clorpirifos</w:t>
            </w:r>
            <w:r w:rsidR="00412AFB" w:rsidRPr="00993936">
              <w:rPr>
                <w:rFonts w:ascii="Arial" w:hAnsi="Arial" w:cs="Arial"/>
                <w:sz w:val="18"/>
                <w:lang w:val="es-ES"/>
              </w:rPr>
              <w:t xml:space="preserve"> </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restart"/>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Pulgones</w:t>
            </w:r>
          </w:p>
          <w:p w:rsidR="00412AFB" w:rsidRPr="00993936" w:rsidRDefault="00412AFB" w:rsidP="004F1878">
            <w:pPr>
              <w:pStyle w:val="Sinespaciado"/>
              <w:rPr>
                <w:rFonts w:ascii="Arial" w:hAnsi="Arial" w:cs="Arial"/>
                <w:i/>
                <w:sz w:val="18"/>
                <w:lang w:val="es-ES"/>
              </w:rPr>
            </w:pPr>
            <w:r w:rsidRPr="00993936">
              <w:rPr>
                <w:rFonts w:ascii="Arial" w:hAnsi="Arial" w:cs="Arial"/>
                <w:i/>
                <w:sz w:val="18"/>
                <w:lang w:val="es-ES"/>
              </w:rPr>
              <w:t>Sitobium avenae,</w:t>
            </w:r>
          </w:p>
          <w:p w:rsidR="00412AFB" w:rsidRPr="00993936" w:rsidRDefault="00412AFB" w:rsidP="004F1878">
            <w:pPr>
              <w:pStyle w:val="Sinespaciado"/>
              <w:rPr>
                <w:rFonts w:ascii="Arial" w:hAnsi="Arial" w:cs="Arial"/>
                <w:i/>
                <w:sz w:val="18"/>
                <w:lang w:val="es-ES"/>
              </w:rPr>
            </w:pPr>
            <w:r w:rsidRPr="00993936">
              <w:rPr>
                <w:rFonts w:ascii="Arial" w:hAnsi="Arial" w:cs="Arial"/>
                <w:i/>
                <w:sz w:val="18"/>
                <w:lang w:val="es-ES"/>
              </w:rPr>
              <w:t>Rhopalosiphum padi</w:t>
            </w: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Acetamiprid</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i/>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Alfacipermetrina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Deltametrina</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r w:rsidR="00E1758E" w:rsidRPr="00993936" w:rsidTr="008061C6">
        <w:trPr>
          <w:cantSplit/>
          <w:trHeight w:val="327"/>
        </w:trPr>
        <w:tc>
          <w:tcPr>
            <w:tcW w:w="2193" w:type="dxa"/>
            <w:vMerge/>
            <w:vAlign w:val="center"/>
          </w:tcPr>
          <w:p w:rsidR="00412AFB" w:rsidRPr="00993936" w:rsidRDefault="00412AFB" w:rsidP="004F1878">
            <w:pPr>
              <w:pStyle w:val="Sinespaciado"/>
              <w:rPr>
                <w:rFonts w:ascii="Arial" w:hAnsi="Arial" w:cs="Arial"/>
                <w:sz w:val="18"/>
                <w:lang w:val="es-ES"/>
              </w:rPr>
            </w:pPr>
          </w:p>
        </w:tc>
        <w:tc>
          <w:tcPr>
            <w:tcW w:w="2281"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Lambda cihalotrina (2)</w:t>
            </w:r>
          </w:p>
        </w:tc>
        <w:tc>
          <w:tcPr>
            <w:tcW w:w="885"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886" w:type="dxa"/>
            <w:vAlign w:val="center"/>
          </w:tcPr>
          <w:p w:rsidR="00412AFB" w:rsidRPr="00993936" w:rsidRDefault="00412AFB" w:rsidP="004F1878">
            <w:pPr>
              <w:pStyle w:val="Sinespaciado"/>
              <w:rPr>
                <w:rFonts w:ascii="Arial" w:hAnsi="Arial" w:cs="Arial"/>
                <w:sz w:val="18"/>
                <w:lang w:val="es-ES"/>
              </w:rPr>
            </w:pPr>
            <w:r w:rsidRPr="00993936">
              <w:rPr>
                <w:rFonts w:ascii="Arial" w:hAnsi="Arial" w:cs="Arial"/>
                <w:sz w:val="18"/>
                <w:lang w:val="es-ES"/>
              </w:rPr>
              <w:t>X</w:t>
            </w:r>
          </w:p>
        </w:tc>
        <w:tc>
          <w:tcPr>
            <w:tcW w:w="3111" w:type="dxa"/>
            <w:vMerge/>
            <w:vAlign w:val="center"/>
          </w:tcPr>
          <w:p w:rsidR="00412AFB" w:rsidRPr="00993936" w:rsidRDefault="00412AFB" w:rsidP="004F1878">
            <w:pPr>
              <w:pStyle w:val="Sinespaciado"/>
              <w:rPr>
                <w:rFonts w:ascii="Arial" w:hAnsi="Arial" w:cs="Arial"/>
                <w:sz w:val="18"/>
                <w:lang w:val="es-ES"/>
              </w:rPr>
            </w:pPr>
          </w:p>
        </w:tc>
      </w:tr>
    </w:tbl>
    <w:p w:rsidR="00412AFB" w:rsidRPr="00993936" w:rsidRDefault="00412AFB" w:rsidP="00412AFB">
      <w:pPr>
        <w:rPr>
          <w:rFonts w:ascii="Arial" w:hAnsi="Arial" w:cs="Arial"/>
          <w:lang w:val="es-ES"/>
        </w:rPr>
      </w:pPr>
    </w:p>
    <w:p w:rsidR="00412AFB" w:rsidRPr="00993936" w:rsidRDefault="00412AFB" w:rsidP="00412AFB">
      <w:pPr>
        <w:autoSpaceDE w:val="0"/>
        <w:autoSpaceDN w:val="0"/>
        <w:adjustRightInd w:val="0"/>
        <w:jc w:val="both"/>
        <w:rPr>
          <w:rFonts w:ascii="Arial" w:hAnsi="Arial" w:cs="Arial"/>
          <w:b/>
          <w:lang w:val="es-ES"/>
        </w:rPr>
      </w:pPr>
      <w:r w:rsidRPr="00993936">
        <w:rPr>
          <w:rFonts w:ascii="Arial" w:hAnsi="Arial" w:cs="Arial"/>
          <w:b/>
          <w:lang w:val="es-ES"/>
        </w:rPr>
        <w:t>2.1.1 (Continuación) Materias activas insecticidas</w:t>
      </w:r>
    </w:p>
    <w:p w:rsidR="00412AFB" w:rsidRPr="00993936" w:rsidRDefault="00412AFB" w:rsidP="00412AFB">
      <w:pPr>
        <w:rPr>
          <w:rFonts w:ascii="Arial" w:hAnsi="Arial" w:cs="Arial"/>
          <w:lang w:val="es-ES"/>
        </w:rPr>
      </w:pPr>
    </w:p>
    <w:tbl>
      <w:tblPr>
        <w:tblW w:w="84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5"/>
        <w:gridCol w:w="2559"/>
        <w:gridCol w:w="885"/>
        <w:gridCol w:w="886"/>
        <w:gridCol w:w="2185"/>
      </w:tblGrid>
      <w:tr w:rsidR="00E1758E" w:rsidRPr="00993936" w:rsidTr="008061C6">
        <w:trPr>
          <w:cantSplit/>
          <w:trHeight w:val="328"/>
          <w:tblHeader/>
        </w:trPr>
        <w:tc>
          <w:tcPr>
            <w:tcW w:w="4474" w:type="dxa"/>
            <w:gridSpan w:val="2"/>
            <w:shd w:val="pct12"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Autorizaciones</w:t>
            </w:r>
          </w:p>
        </w:tc>
        <w:tc>
          <w:tcPr>
            <w:tcW w:w="1771" w:type="dxa"/>
            <w:gridSpan w:val="2"/>
            <w:shd w:val="pct12"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Cultivo</w:t>
            </w:r>
          </w:p>
        </w:tc>
        <w:tc>
          <w:tcPr>
            <w:tcW w:w="2185" w:type="dxa"/>
            <w:vMerge w:val="restart"/>
            <w:shd w:val="pct12"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Restricciones</w:t>
            </w:r>
          </w:p>
        </w:tc>
      </w:tr>
      <w:tr w:rsidR="00E1758E" w:rsidRPr="00993936" w:rsidTr="008061C6">
        <w:trPr>
          <w:cantSplit/>
          <w:trHeight w:val="405"/>
          <w:tblHeader/>
        </w:trPr>
        <w:tc>
          <w:tcPr>
            <w:tcW w:w="1915" w:type="dxa"/>
            <w:tcBorders>
              <w:bottom w:val="nil"/>
            </w:tcBorders>
            <w:shd w:val="pct12"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Parásito</w:t>
            </w:r>
          </w:p>
        </w:tc>
        <w:tc>
          <w:tcPr>
            <w:tcW w:w="2559" w:type="dxa"/>
            <w:tcBorders>
              <w:bottom w:val="nil"/>
            </w:tcBorders>
            <w:shd w:val="pct12"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Ingrediente activo</w:t>
            </w:r>
          </w:p>
        </w:tc>
        <w:tc>
          <w:tcPr>
            <w:tcW w:w="885" w:type="dxa"/>
            <w:tcBorders>
              <w:bottom w:val="nil"/>
            </w:tcBorders>
            <w:shd w:val="pct12"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Maíz</w:t>
            </w:r>
          </w:p>
        </w:tc>
        <w:tc>
          <w:tcPr>
            <w:tcW w:w="886" w:type="dxa"/>
            <w:tcBorders>
              <w:bottom w:val="nil"/>
            </w:tcBorders>
            <w:shd w:val="pct12"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Sorgo</w:t>
            </w:r>
          </w:p>
        </w:tc>
        <w:tc>
          <w:tcPr>
            <w:tcW w:w="2185" w:type="dxa"/>
            <w:vMerge/>
            <w:tcBorders>
              <w:bottom w:val="nil"/>
            </w:tcBorders>
            <w:shd w:val="pct12" w:color="auto" w:fill="FFFFFF"/>
            <w:vAlign w:val="center"/>
          </w:tcPr>
          <w:p w:rsidR="00412AFB" w:rsidRPr="00993936" w:rsidRDefault="00412AFB" w:rsidP="008061C6">
            <w:pPr>
              <w:pStyle w:val="Sinespaciado"/>
              <w:rPr>
                <w:rFonts w:ascii="Arial" w:hAnsi="Arial" w:cs="Arial"/>
                <w:lang w:val="es-ES"/>
              </w:rPr>
            </w:pPr>
          </w:p>
        </w:tc>
      </w:tr>
      <w:tr w:rsidR="00E1758E" w:rsidRPr="00993936" w:rsidTr="008061C6">
        <w:trPr>
          <w:cantSplit/>
          <w:trHeight w:val="425"/>
        </w:trPr>
        <w:tc>
          <w:tcPr>
            <w:tcW w:w="8430" w:type="dxa"/>
            <w:gridSpan w:val="5"/>
            <w:shd w:val="pct12" w:color="auto" w:fill="FFFFFF"/>
            <w:vAlign w:val="center"/>
          </w:tcPr>
          <w:p w:rsidR="00412AFB" w:rsidRPr="00993936" w:rsidRDefault="00412AFB" w:rsidP="008061C6">
            <w:pPr>
              <w:pStyle w:val="Sinespaciado"/>
              <w:rPr>
                <w:rFonts w:ascii="Arial" w:hAnsi="Arial" w:cs="Arial"/>
                <w:i/>
                <w:lang w:val="es-ES"/>
              </w:rPr>
            </w:pPr>
            <w:r w:rsidRPr="00993936">
              <w:rPr>
                <w:rFonts w:ascii="Arial" w:hAnsi="Arial" w:cs="Arial"/>
                <w:i/>
                <w:lang w:val="es-ES"/>
              </w:rPr>
              <w:t>PLAGAS</w:t>
            </w:r>
          </w:p>
        </w:tc>
      </w:tr>
      <w:tr w:rsidR="00E1758E" w:rsidRPr="00993936" w:rsidTr="008061C6">
        <w:trPr>
          <w:cantSplit/>
        </w:trPr>
        <w:tc>
          <w:tcPr>
            <w:tcW w:w="1915" w:type="dxa"/>
            <w:vAlign w:val="center"/>
          </w:tcPr>
          <w:p w:rsidR="00412AFB" w:rsidRPr="00993936" w:rsidRDefault="00412AFB" w:rsidP="008061C6">
            <w:pPr>
              <w:pStyle w:val="Sinespaciado"/>
              <w:rPr>
                <w:rFonts w:ascii="Arial" w:hAnsi="Arial" w:cs="Arial"/>
                <w:sz w:val="18"/>
              </w:rPr>
            </w:pPr>
            <w:r w:rsidRPr="00993936">
              <w:rPr>
                <w:rFonts w:ascii="Arial" w:hAnsi="Arial" w:cs="Arial"/>
                <w:sz w:val="18"/>
              </w:rPr>
              <w:t>Miriápodos</w:t>
            </w:r>
          </w:p>
        </w:tc>
        <w:tc>
          <w:tcPr>
            <w:tcW w:w="2559" w:type="dxa"/>
            <w:vAlign w:val="center"/>
          </w:tcPr>
          <w:p w:rsidR="00412AFB" w:rsidRPr="00993936" w:rsidRDefault="00412AFB" w:rsidP="008061C6">
            <w:pPr>
              <w:pStyle w:val="Sinespaciado"/>
              <w:rPr>
                <w:rFonts w:ascii="Arial" w:hAnsi="Arial" w:cs="Arial"/>
                <w:dstrike/>
                <w:lang w:val="es-ES"/>
              </w:rPr>
            </w:pPr>
          </w:p>
        </w:tc>
        <w:tc>
          <w:tcPr>
            <w:tcW w:w="885" w:type="dxa"/>
            <w:vAlign w:val="center"/>
          </w:tcPr>
          <w:p w:rsidR="00412AFB" w:rsidRPr="00993936" w:rsidRDefault="00412AFB" w:rsidP="008061C6">
            <w:pPr>
              <w:pStyle w:val="Sinespaciado"/>
              <w:rPr>
                <w:rFonts w:ascii="Arial" w:hAnsi="Arial" w:cs="Arial"/>
                <w:dstrike/>
                <w:lang w:val="es-ES"/>
              </w:rPr>
            </w:pPr>
          </w:p>
        </w:tc>
        <w:tc>
          <w:tcPr>
            <w:tcW w:w="886" w:type="dxa"/>
            <w:vAlign w:val="center"/>
          </w:tcPr>
          <w:p w:rsidR="00412AFB" w:rsidRPr="00993936" w:rsidRDefault="00412AFB" w:rsidP="008061C6">
            <w:pPr>
              <w:pStyle w:val="Sinespaciado"/>
              <w:rPr>
                <w:rFonts w:ascii="Arial" w:hAnsi="Arial" w:cs="Arial"/>
                <w:dstrike/>
                <w:lang w:val="es-ES"/>
              </w:rPr>
            </w:pPr>
          </w:p>
        </w:tc>
        <w:tc>
          <w:tcPr>
            <w:tcW w:w="2185" w:type="dxa"/>
            <w:vAlign w:val="center"/>
          </w:tcPr>
          <w:p w:rsidR="00412AFB" w:rsidRPr="00993936" w:rsidRDefault="00412AFB" w:rsidP="008061C6">
            <w:pPr>
              <w:pStyle w:val="Sinespaciado"/>
              <w:rPr>
                <w:rFonts w:ascii="Arial" w:hAnsi="Arial" w:cs="Arial"/>
                <w:lang w:val="es-ES"/>
              </w:rPr>
            </w:pPr>
          </w:p>
        </w:tc>
      </w:tr>
      <w:tr w:rsidR="00E1758E" w:rsidRPr="00993936" w:rsidTr="008061C6">
        <w:trPr>
          <w:cantSplit/>
        </w:trPr>
        <w:tc>
          <w:tcPr>
            <w:tcW w:w="191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Rosquilla negra</w:t>
            </w:r>
          </w:p>
        </w:tc>
        <w:tc>
          <w:tcPr>
            <w:tcW w:w="2559" w:type="dxa"/>
            <w:vAlign w:val="center"/>
          </w:tcPr>
          <w:p w:rsidR="00412AFB" w:rsidRPr="00993936" w:rsidRDefault="00CA0C28" w:rsidP="008061C6">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p>
        </w:tc>
        <w:tc>
          <w:tcPr>
            <w:tcW w:w="2185" w:type="dxa"/>
            <w:vMerge w:val="restart"/>
            <w:vAlign w:val="center"/>
          </w:tcPr>
          <w:p w:rsidR="00412AFB" w:rsidRPr="00993936" w:rsidRDefault="00412AFB" w:rsidP="008061C6">
            <w:pPr>
              <w:pStyle w:val="Sinespaciado"/>
              <w:rPr>
                <w:rFonts w:ascii="Arial" w:hAnsi="Arial" w:cs="Arial"/>
                <w:lang w:val="es-ES"/>
              </w:rPr>
            </w:pPr>
          </w:p>
        </w:tc>
      </w:tr>
      <w:tr w:rsidR="00E1758E" w:rsidRPr="00993936" w:rsidTr="008061C6">
        <w:trPr>
          <w:cantSplit/>
        </w:trPr>
        <w:tc>
          <w:tcPr>
            <w:tcW w:w="1915" w:type="dxa"/>
            <w:vMerge w:val="restart"/>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Taladro</w:t>
            </w:r>
          </w:p>
          <w:p w:rsidR="00412AFB" w:rsidRPr="00993936" w:rsidRDefault="00412AFB" w:rsidP="008061C6">
            <w:pPr>
              <w:pStyle w:val="Sinespaciado"/>
              <w:rPr>
                <w:rFonts w:ascii="Arial" w:hAnsi="Arial" w:cs="Arial"/>
                <w:i/>
                <w:sz w:val="16"/>
              </w:rPr>
            </w:pPr>
            <w:r w:rsidRPr="00993936">
              <w:rPr>
                <w:rFonts w:ascii="Arial" w:hAnsi="Arial" w:cs="Arial"/>
                <w:i/>
                <w:sz w:val="16"/>
              </w:rPr>
              <w:t>Ostrinia nubilalis,</w:t>
            </w:r>
          </w:p>
          <w:p w:rsidR="00412AFB" w:rsidRPr="00993936" w:rsidRDefault="00412AFB" w:rsidP="008061C6">
            <w:pPr>
              <w:pStyle w:val="Sinespaciado"/>
              <w:rPr>
                <w:rFonts w:ascii="Arial" w:hAnsi="Arial" w:cs="Arial"/>
                <w:i/>
                <w:sz w:val="16"/>
                <w:lang w:val="es-ES"/>
              </w:rPr>
            </w:pPr>
            <w:r w:rsidRPr="00993936">
              <w:rPr>
                <w:rFonts w:ascii="Arial" w:hAnsi="Arial" w:cs="Arial"/>
                <w:i/>
                <w:sz w:val="16"/>
                <w:lang w:val="es-ES"/>
              </w:rPr>
              <w:t>Sesamia nonagrioides</w:t>
            </w: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Acetamiprid</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p>
        </w:tc>
        <w:tc>
          <w:tcPr>
            <w:tcW w:w="2185" w:type="dxa"/>
            <w:vMerge/>
            <w:vAlign w:val="center"/>
          </w:tcPr>
          <w:p w:rsidR="00412AFB" w:rsidRPr="00993936" w:rsidRDefault="00412AFB" w:rsidP="008061C6">
            <w:pPr>
              <w:pStyle w:val="Sinespaciado"/>
              <w:rPr>
                <w:rFonts w:ascii="Arial" w:hAnsi="Arial" w:cs="Arial"/>
                <w:lang w:val="es-ES"/>
              </w:rPr>
            </w:pPr>
          </w:p>
        </w:tc>
      </w:tr>
      <w:tr w:rsidR="00E1758E" w:rsidRPr="00993936" w:rsidTr="008061C6">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Cipermetrina</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2185" w:type="dxa"/>
            <w:vMerge/>
            <w:vAlign w:val="center"/>
          </w:tcPr>
          <w:p w:rsidR="00412AFB" w:rsidRPr="00993936" w:rsidRDefault="00412AFB" w:rsidP="008061C6">
            <w:pPr>
              <w:pStyle w:val="Sinespaciado"/>
              <w:rPr>
                <w:rFonts w:ascii="Arial" w:hAnsi="Arial" w:cs="Arial"/>
                <w:lang w:val="es-ES"/>
              </w:rPr>
            </w:pPr>
          </w:p>
        </w:tc>
      </w:tr>
      <w:tr w:rsidR="00E1758E" w:rsidRPr="00993936" w:rsidTr="008061C6">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CA0C28" w:rsidP="008061C6">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p>
        </w:tc>
        <w:tc>
          <w:tcPr>
            <w:tcW w:w="2185" w:type="dxa"/>
            <w:vMerge/>
            <w:vAlign w:val="center"/>
          </w:tcPr>
          <w:p w:rsidR="00412AFB" w:rsidRPr="00993936" w:rsidRDefault="00412AFB" w:rsidP="008061C6">
            <w:pPr>
              <w:pStyle w:val="Sinespaciado"/>
              <w:rPr>
                <w:rFonts w:ascii="Arial" w:hAnsi="Arial" w:cs="Arial"/>
                <w:lang w:val="es-ES"/>
              </w:rPr>
            </w:pPr>
          </w:p>
        </w:tc>
      </w:tr>
      <w:tr w:rsidR="00E1758E" w:rsidRPr="00993936" w:rsidTr="008061C6">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Deltametrina</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2185" w:type="dxa"/>
            <w:vMerge/>
            <w:vAlign w:val="center"/>
          </w:tcPr>
          <w:p w:rsidR="00412AFB" w:rsidRPr="00993936" w:rsidRDefault="00412AFB" w:rsidP="008061C6">
            <w:pPr>
              <w:pStyle w:val="Sinespaciado"/>
              <w:rPr>
                <w:rFonts w:ascii="Arial" w:hAnsi="Arial" w:cs="Arial"/>
                <w:lang w:val="es-ES"/>
              </w:rPr>
            </w:pPr>
          </w:p>
        </w:tc>
      </w:tr>
      <w:tr w:rsidR="00E1758E" w:rsidRPr="00993936" w:rsidTr="008061C6">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Aceite parafínico</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p>
        </w:tc>
        <w:tc>
          <w:tcPr>
            <w:tcW w:w="2185" w:type="dxa"/>
            <w:vMerge/>
            <w:vAlign w:val="center"/>
          </w:tcPr>
          <w:p w:rsidR="00412AFB" w:rsidRPr="00993936" w:rsidRDefault="00412AFB" w:rsidP="008061C6">
            <w:pPr>
              <w:pStyle w:val="Sinespaciado"/>
              <w:rPr>
                <w:rFonts w:ascii="Arial" w:hAnsi="Arial" w:cs="Arial"/>
                <w:lang w:val="es-ES"/>
              </w:rPr>
            </w:pPr>
          </w:p>
        </w:tc>
      </w:tr>
      <w:tr w:rsidR="00E1758E" w:rsidRPr="00993936" w:rsidTr="008061C6">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Metil-clorpirifos</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p>
        </w:tc>
        <w:tc>
          <w:tcPr>
            <w:tcW w:w="2185" w:type="dxa"/>
            <w:vMerge/>
            <w:vAlign w:val="center"/>
          </w:tcPr>
          <w:p w:rsidR="00412AFB" w:rsidRPr="00993936" w:rsidRDefault="00412AFB" w:rsidP="008061C6">
            <w:pPr>
              <w:pStyle w:val="Sinespaciado"/>
              <w:rPr>
                <w:rFonts w:ascii="Arial" w:hAnsi="Arial" w:cs="Arial"/>
                <w:lang w:val="es-ES"/>
              </w:rPr>
            </w:pPr>
          </w:p>
        </w:tc>
      </w:tr>
    </w:tbl>
    <w:p w:rsidR="00412AFB" w:rsidRPr="00993936" w:rsidRDefault="00412AFB" w:rsidP="00412AFB">
      <w:pPr>
        <w:rPr>
          <w:rFonts w:ascii="Arial" w:hAnsi="Arial" w:cs="Arial"/>
          <w:lang w:val="es-ES"/>
        </w:rPr>
      </w:pPr>
    </w:p>
    <w:p w:rsidR="00412AFB" w:rsidRPr="00993936" w:rsidRDefault="00412AFB" w:rsidP="00412AFB">
      <w:pPr>
        <w:autoSpaceDE w:val="0"/>
        <w:autoSpaceDN w:val="0"/>
        <w:adjustRightInd w:val="0"/>
        <w:jc w:val="both"/>
        <w:rPr>
          <w:rFonts w:ascii="Arial" w:hAnsi="Arial" w:cs="Arial"/>
          <w:b/>
          <w:lang w:val="es-ES"/>
        </w:rPr>
      </w:pPr>
      <w:r w:rsidRPr="00993936">
        <w:rPr>
          <w:rFonts w:ascii="Arial" w:hAnsi="Arial" w:cs="Arial"/>
          <w:b/>
          <w:lang w:val="es-ES"/>
        </w:rPr>
        <w:t>2.1.2 Materias activas de insecticidas para la producción integrada de cereales de verano con indicación del código de resistencia IRAC</w:t>
      </w:r>
    </w:p>
    <w:p w:rsidR="00412AFB" w:rsidRPr="00993936" w:rsidRDefault="00412AFB" w:rsidP="00412AFB">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E1758E" w:rsidRPr="00993936" w:rsidTr="008061C6">
        <w:trPr>
          <w:trHeight w:val="393"/>
        </w:trPr>
        <w:tc>
          <w:tcPr>
            <w:tcW w:w="5000" w:type="pct"/>
            <w:gridSpan w:val="2"/>
            <w:shd w:val="solid" w:color="C0C0C0" w:fill="auto"/>
            <w:vAlign w:val="center"/>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TIPO DE INSECTICIDAS</w:t>
            </w:r>
          </w:p>
        </w:tc>
      </w:tr>
      <w:tr w:rsidR="00E1758E" w:rsidRPr="00993936" w:rsidTr="008061C6">
        <w:trPr>
          <w:trHeight w:val="270"/>
        </w:trPr>
        <w:tc>
          <w:tcPr>
            <w:tcW w:w="2500" w:type="pct"/>
            <w:vMerge w:val="restart"/>
            <w:shd w:val="solid" w:color="C0C0C0" w:fill="auto"/>
            <w:vAlign w:val="center"/>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 xml:space="preserve">Materia activa </w:t>
            </w:r>
          </w:p>
        </w:tc>
        <w:tc>
          <w:tcPr>
            <w:tcW w:w="2500" w:type="pct"/>
            <w:shd w:val="solid" w:color="C0C0C0"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Indicación del código de resistencia</w:t>
            </w:r>
          </w:p>
        </w:tc>
      </w:tr>
      <w:tr w:rsidR="00E1758E" w:rsidRPr="00993936" w:rsidTr="008061C6">
        <w:trPr>
          <w:trHeight w:val="270"/>
        </w:trPr>
        <w:tc>
          <w:tcPr>
            <w:tcW w:w="2500" w:type="pct"/>
            <w:vMerge/>
            <w:shd w:val="solid" w:color="C0C0C0" w:fill="auto"/>
          </w:tcPr>
          <w:p w:rsidR="00412AFB" w:rsidRPr="00993936" w:rsidRDefault="00412AFB" w:rsidP="008061C6">
            <w:pPr>
              <w:pStyle w:val="Sinespaciado"/>
              <w:rPr>
                <w:rFonts w:ascii="Arial" w:hAnsi="Arial" w:cs="Arial"/>
                <w:lang w:val="es-ES" w:eastAsia="ca-ES"/>
              </w:rPr>
            </w:pPr>
          </w:p>
        </w:tc>
        <w:tc>
          <w:tcPr>
            <w:tcW w:w="2500" w:type="pct"/>
            <w:shd w:val="solid" w:color="C0C0C0"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IRAC (*)</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6</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Acetamiprid</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4A</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Alfacipermetrina</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3A</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Beta-ciflutrina</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3A</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Cipermetrina</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3A</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Clorantraniliprol</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28</w:t>
            </w:r>
          </w:p>
        </w:tc>
      </w:tr>
      <w:tr w:rsidR="00E1758E" w:rsidRPr="00993936" w:rsidTr="008061C6">
        <w:trPr>
          <w:trHeight w:val="260"/>
        </w:trPr>
        <w:tc>
          <w:tcPr>
            <w:tcW w:w="2500" w:type="pct"/>
            <w:shd w:val="solid" w:color="FFFFFF" w:fill="auto"/>
          </w:tcPr>
          <w:p w:rsidR="00412AFB" w:rsidRPr="00993936" w:rsidRDefault="00CA0C28" w:rsidP="008061C6">
            <w:pPr>
              <w:pStyle w:val="Sinespaciado"/>
              <w:rPr>
                <w:rFonts w:ascii="Arial" w:hAnsi="Arial" w:cs="Arial"/>
                <w:lang w:val="es-ES" w:eastAsia="ca-ES"/>
              </w:rPr>
            </w:pPr>
            <w:r w:rsidRPr="00993936">
              <w:rPr>
                <w:rFonts w:ascii="Arial" w:hAnsi="Arial" w:cs="Arial"/>
                <w:lang w:val="es-ES" w:eastAsia="ca-ES"/>
              </w:rPr>
              <w:t>Clorpirifos</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1B</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Deltametrina</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3A</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Etoprofos</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1B</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10A</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Lambda-cihalotrina</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3A</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Lambda-cihalotrina + Clorantraniliprol</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3A+28</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Metil-clorpirifos</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1B</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NC</w:t>
            </w:r>
          </w:p>
        </w:tc>
      </w:tr>
      <w:tr w:rsidR="00E1758E" w:rsidRPr="00993936" w:rsidTr="008061C6">
        <w:trPr>
          <w:trHeight w:val="260"/>
        </w:trPr>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Teflutrin</w:t>
            </w:r>
          </w:p>
        </w:tc>
        <w:tc>
          <w:tcPr>
            <w:tcW w:w="2500" w:type="pct"/>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3A</w:t>
            </w:r>
          </w:p>
        </w:tc>
      </w:tr>
      <w:tr w:rsidR="00E1758E" w:rsidRPr="00993936" w:rsidTr="008061C6">
        <w:trPr>
          <w:trHeight w:val="270"/>
        </w:trPr>
        <w:tc>
          <w:tcPr>
            <w:tcW w:w="5000" w:type="pct"/>
            <w:gridSpan w:val="2"/>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E1758E" w:rsidRPr="00993936" w:rsidTr="008061C6">
        <w:trPr>
          <w:trHeight w:val="270"/>
        </w:trPr>
        <w:tc>
          <w:tcPr>
            <w:tcW w:w="5000" w:type="pct"/>
            <w:gridSpan w:val="2"/>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 Fuente: Comité de Acción de Resistencia a Insecticidas</w:t>
            </w:r>
          </w:p>
        </w:tc>
      </w:tr>
    </w:tbl>
    <w:p w:rsidR="00412AFB" w:rsidRPr="00993936" w:rsidRDefault="00412AFB" w:rsidP="00412AFB">
      <w:pPr>
        <w:pStyle w:val="Textoindependiente2"/>
        <w:rPr>
          <w:rFonts w:cs="Arial"/>
          <w:lang w:val="es-ES"/>
        </w:rPr>
      </w:pPr>
    </w:p>
    <w:p w:rsidR="00412AFB" w:rsidRPr="00993936" w:rsidRDefault="00412AFB" w:rsidP="00412AFB">
      <w:pPr>
        <w:spacing w:after="200" w:line="276" w:lineRule="auto"/>
        <w:rPr>
          <w:rFonts w:ascii="Arial" w:hAnsi="Arial" w:cs="Arial"/>
          <w:lang w:val="es-ES"/>
        </w:rPr>
      </w:pPr>
      <w:r w:rsidRPr="00993936">
        <w:rPr>
          <w:rFonts w:ascii="Arial" w:hAnsi="Arial" w:cs="Arial"/>
          <w:lang w:val="es-ES"/>
        </w:rPr>
        <w:br w:type="page"/>
      </w:r>
    </w:p>
    <w:p w:rsidR="00412AFB" w:rsidRPr="00993936" w:rsidRDefault="00412AFB" w:rsidP="00412AFB">
      <w:pPr>
        <w:autoSpaceDE w:val="0"/>
        <w:autoSpaceDN w:val="0"/>
        <w:adjustRightInd w:val="0"/>
        <w:jc w:val="both"/>
        <w:rPr>
          <w:rFonts w:ascii="Arial" w:hAnsi="Arial" w:cs="Arial"/>
          <w:b/>
          <w:sz w:val="20"/>
          <w:lang w:val="es-ES"/>
        </w:rPr>
      </w:pPr>
    </w:p>
    <w:p w:rsidR="00412AFB" w:rsidRPr="00993936" w:rsidRDefault="00412AFB" w:rsidP="00412AFB">
      <w:pPr>
        <w:autoSpaceDE w:val="0"/>
        <w:autoSpaceDN w:val="0"/>
        <w:adjustRightInd w:val="0"/>
        <w:jc w:val="both"/>
        <w:rPr>
          <w:rFonts w:ascii="Arial" w:hAnsi="Arial" w:cs="Arial"/>
          <w:b/>
          <w:sz w:val="20"/>
          <w:lang w:val="es-ES"/>
        </w:rPr>
      </w:pPr>
    </w:p>
    <w:p w:rsidR="00412AFB" w:rsidRPr="00993936" w:rsidRDefault="00412AFB" w:rsidP="00412AFB">
      <w:pPr>
        <w:autoSpaceDE w:val="0"/>
        <w:autoSpaceDN w:val="0"/>
        <w:adjustRightInd w:val="0"/>
        <w:jc w:val="both"/>
        <w:rPr>
          <w:rFonts w:ascii="Arial" w:hAnsi="Arial" w:cs="Arial"/>
          <w:b/>
          <w:lang w:val="es-ES"/>
        </w:rPr>
      </w:pPr>
      <w:r w:rsidRPr="00993936">
        <w:rPr>
          <w:rFonts w:ascii="Arial" w:hAnsi="Arial" w:cs="Arial"/>
          <w:b/>
          <w:sz w:val="20"/>
          <w:lang w:val="es-ES"/>
        </w:rPr>
        <w:t xml:space="preserve">2.2 </w:t>
      </w:r>
      <w:r w:rsidRPr="00993936">
        <w:rPr>
          <w:rFonts w:ascii="Arial" w:hAnsi="Arial" w:cs="Arial"/>
          <w:b/>
          <w:lang w:val="es-ES"/>
        </w:rPr>
        <w:t xml:space="preserve">Materias activas fungicidas y nematicidas: productos fitosanitarios para la producción integrada de maíz y sorgo, según plaga o enfermedad y cultivo. </w:t>
      </w:r>
    </w:p>
    <w:p w:rsidR="00412AFB" w:rsidRPr="00993936" w:rsidRDefault="00412AFB" w:rsidP="00412AFB">
      <w:pPr>
        <w:autoSpaceDE w:val="0"/>
        <w:autoSpaceDN w:val="0"/>
        <w:adjustRightInd w:val="0"/>
        <w:jc w:val="both"/>
        <w:rPr>
          <w:rFonts w:ascii="Arial" w:hAnsi="Arial" w:cs="Arial"/>
          <w:b/>
          <w:lang w:val="es-ES"/>
        </w:rPr>
      </w:pPr>
      <w:r w:rsidRPr="00993936">
        <w:rPr>
          <w:rFonts w:ascii="Arial" w:hAnsi="Arial" w:cs="Arial"/>
          <w:b/>
          <w:lang w:val="es-ES"/>
        </w:rPr>
        <w:t>2.2.1 Materias activas fungicidas y nematicidas</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5"/>
        <w:gridCol w:w="2559"/>
        <w:gridCol w:w="885"/>
        <w:gridCol w:w="886"/>
        <w:gridCol w:w="3111"/>
      </w:tblGrid>
      <w:tr w:rsidR="00E1758E" w:rsidRPr="00993936" w:rsidTr="00C8678E">
        <w:trPr>
          <w:cantSplit/>
          <w:trHeight w:val="359"/>
        </w:trPr>
        <w:tc>
          <w:tcPr>
            <w:tcW w:w="9356" w:type="dxa"/>
            <w:gridSpan w:val="5"/>
            <w:shd w:val="clear" w:color="auto" w:fill="C0C0C0"/>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ENFERMEDADES</w:t>
            </w:r>
          </w:p>
        </w:tc>
      </w:tr>
      <w:tr w:rsidR="00E1758E" w:rsidRPr="00993936" w:rsidTr="00C8678E">
        <w:trPr>
          <w:cantSplit/>
        </w:trPr>
        <w:tc>
          <w:tcPr>
            <w:tcW w:w="191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Fusariosis</w:t>
            </w:r>
          </w:p>
          <w:p w:rsidR="00412AFB" w:rsidRPr="00993936" w:rsidRDefault="00412AFB" w:rsidP="008061C6">
            <w:pPr>
              <w:pStyle w:val="Sinespaciado"/>
              <w:rPr>
                <w:rFonts w:ascii="Arial" w:hAnsi="Arial" w:cs="Arial"/>
                <w:sz w:val="16"/>
                <w:lang w:val="es-ES"/>
              </w:rPr>
            </w:pPr>
            <w:r w:rsidRPr="00993936">
              <w:rPr>
                <w:rFonts w:ascii="Arial" w:hAnsi="Arial" w:cs="Arial"/>
                <w:sz w:val="16"/>
                <w:lang w:val="es-ES"/>
              </w:rPr>
              <w:t>Fusarium spp.</w:t>
            </w: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Metil-tiofanato</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3111" w:type="dxa"/>
            <w:vMerge w:val="restart"/>
            <w:vAlign w:val="center"/>
          </w:tcPr>
          <w:p w:rsidR="00412AFB" w:rsidRPr="00993936" w:rsidRDefault="00412AFB" w:rsidP="009D1A2D">
            <w:pPr>
              <w:pStyle w:val="Sinespaciado"/>
              <w:numPr>
                <w:ilvl w:val="0"/>
                <w:numId w:val="191"/>
              </w:numPr>
              <w:rPr>
                <w:rFonts w:ascii="Arial" w:hAnsi="Arial" w:cs="Arial"/>
                <w:lang w:val="es-ES"/>
              </w:rPr>
            </w:pPr>
            <w:r w:rsidRPr="00993936">
              <w:rPr>
                <w:rFonts w:ascii="Arial" w:hAnsi="Arial" w:cs="Arial"/>
                <w:lang w:val="es-ES"/>
              </w:rPr>
              <w:t>Máximo un tratamiento al año.</w:t>
            </w:r>
          </w:p>
          <w:p w:rsidR="00412AFB" w:rsidRPr="00993936" w:rsidRDefault="00412AFB" w:rsidP="009D1A2D">
            <w:pPr>
              <w:pStyle w:val="Sinespaciado"/>
              <w:numPr>
                <w:ilvl w:val="0"/>
                <w:numId w:val="191"/>
              </w:numPr>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8061C6">
            <w:pPr>
              <w:pStyle w:val="Sinespaciado"/>
              <w:rPr>
                <w:rFonts w:ascii="Arial" w:hAnsi="Arial" w:cs="Arial"/>
                <w:lang w:val="es-ES"/>
              </w:rPr>
            </w:pPr>
            <w:r w:rsidRPr="00993936">
              <w:rPr>
                <w:rFonts w:ascii="Arial" w:hAnsi="Arial" w:cs="Arial"/>
                <w:lang w:val="es-ES"/>
              </w:rPr>
              <w:t>(*) Materia activa con fecha límite de utilización.</w:t>
            </w:r>
          </w:p>
        </w:tc>
      </w:tr>
      <w:tr w:rsidR="00E1758E" w:rsidRPr="00993936" w:rsidTr="00C8678E">
        <w:trPr>
          <w:cantSplit/>
        </w:trPr>
        <w:tc>
          <w:tcPr>
            <w:tcW w:w="191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Nem</w:t>
            </w:r>
            <w:r w:rsidR="008061C6" w:rsidRPr="00993936">
              <w:rPr>
                <w:rFonts w:ascii="Arial" w:hAnsi="Arial" w:cs="Arial"/>
                <w:lang w:val="es-ES"/>
              </w:rPr>
              <w:t>á</w:t>
            </w:r>
            <w:r w:rsidRPr="00993936">
              <w:rPr>
                <w:rFonts w:ascii="Arial" w:hAnsi="Arial" w:cs="Arial"/>
                <w:lang w:val="es-ES"/>
              </w:rPr>
              <w:t>todos</w:t>
            </w:r>
          </w:p>
          <w:p w:rsidR="00412AFB" w:rsidRPr="00993936" w:rsidRDefault="00412AFB" w:rsidP="008061C6">
            <w:pPr>
              <w:pStyle w:val="Sinespaciado"/>
              <w:rPr>
                <w:rFonts w:ascii="Arial" w:hAnsi="Arial" w:cs="Arial"/>
                <w:sz w:val="16"/>
                <w:lang w:val="es-ES"/>
              </w:rPr>
            </w:pPr>
            <w:r w:rsidRPr="00993936">
              <w:rPr>
                <w:rFonts w:ascii="Arial" w:hAnsi="Arial" w:cs="Arial"/>
                <w:sz w:val="16"/>
                <w:lang w:val="es-ES"/>
              </w:rPr>
              <w:t xml:space="preserve">Varias especies </w:t>
            </w:r>
          </w:p>
        </w:tc>
        <w:tc>
          <w:tcPr>
            <w:tcW w:w="2559" w:type="dxa"/>
            <w:vAlign w:val="center"/>
          </w:tcPr>
          <w:p w:rsidR="00412AFB" w:rsidRPr="00993936" w:rsidRDefault="00412AFB" w:rsidP="008061C6">
            <w:pPr>
              <w:pStyle w:val="Sinespaciado"/>
              <w:rPr>
                <w:rFonts w:ascii="Arial" w:hAnsi="Arial" w:cs="Arial"/>
                <w:lang w:val="es-ES"/>
              </w:rPr>
            </w:pPr>
          </w:p>
        </w:tc>
        <w:tc>
          <w:tcPr>
            <w:tcW w:w="885" w:type="dxa"/>
            <w:vAlign w:val="center"/>
          </w:tcPr>
          <w:p w:rsidR="00412AFB" w:rsidRPr="00993936" w:rsidRDefault="00412AFB" w:rsidP="008061C6">
            <w:pPr>
              <w:pStyle w:val="Sinespaciado"/>
              <w:rPr>
                <w:rFonts w:ascii="Arial" w:hAnsi="Arial" w:cs="Arial"/>
                <w:lang w:val="es-ES"/>
              </w:rPr>
            </w:pPr>
          </w:p>
        </w:tc>
        <w:tc>
          <w:tcPr>
            <w:tcW w:w="886" w:type="dxa"/>
            <w:vAlign w:val="center"/>
          </w:tcPr>
          <w:p w:rsidR="00412AFB" w:rsidRPr="00993936" w:rsidRDefault="00412AFB" w:rsidP="008061C6">
            <w:pPr>
              <w:pStyle w:val="Sinespaciado"/>
              <w:rPr>
                <w:rFonts w:ascii="Arial" w:hAnsi="Arial" w:cs="Arial"/>
                <w:lang w:val="es-ES"/>
              </w:rPr>
            </w:pPr>
          </w:p>
        </w:tc>
        <w:tc>
          <w:tcPr>
            <w:tcW w:w="3111" w:type="dxa"/>
            <w:vMerge/>
            <w:vAlign w:val="center"/>
          </w:tcPr>
          <w:p w:rsidR="00412AFB" w:rsidRPr="00993936" w:rsidRDefault="00412AFB" w:rsidP="008061C6">
            <w:pPr>
              <w:pStyle w:val="Sinespaciado"/>
              <w:rPr>
                <w:rFonts w:ascii="Arial" w:hAnsi="Arial" w:cs="Arial"/>
                <w:lang w:val="es-ES"/>
              </w:rPr>
            </w:pPr>
          </w:p>
        </w:tc>
      </w:tr>
      <w:tr w:rsidR="00E1758E" w:rsidRPr="00993936" w:rsidTr="00C8678E">
        <w:trPr>
          <w:cantSplit/>
        </w:trPr>
        <w:tc>
          <w:tcPr>
            <w:tcW w:w="191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Mal del pie</w:t>
            </w:r>
          </w:p>
          <w:p w:rsidR="00412AFB" w:rsidRPr="00993936" w:rsidRDefault="00412AFB" w:rsidP="008061C6">
            <w:pPr>
              <w:pStyle w:val="Sinespaciado"/>
              <w:rPr>
                <w:rFonts w:ascii="Arial" w:hAnsi="Arial" w:cs="Arial"/>
                <w:sz w:val="16"/>
                <w:lang w:val="es-ES"/>
              </w:rPr>
            </w:pPr>
            <w:r w:rsidRPr="00993936">
              <w:rPr>
                <w:rFonts w:ascii="Arial" w:hAnsi="Arial" w:cs="Arial"/>
                <w:sz w:val="16"/>
                <w:lang w:val="es-ES"/>
              </w:rPr>
              <w:t>Varias especies</w:t>
            </w:r>
          </w:p>
        </w:tc>
        <w:tc>
          <w:tcPr>
            <w:tcW w:w="2559" w:type="dxa"/>
            <w:vAlign w:val="center"/>
          </w:tcPr>
          <w:p w:rsidR="00412AFB" w:rsidRPr="00993936" w:rsidRDefault="00412AFB" w:rsidP="008061C6">
            <w:pPr>
              <w:pStyle w:val="Sinespaciado"/>
              <w:rPr>
                <w:rFonts w:ascii="Arial" w:hAnsi="Arial" w:cs="Arial"/>
                <w:dstrike/>
                <w:lang w:val="es-ES"/>
              </w:rPr>
            </w:pPr>
          </w:p>
        </w:tc>
        <w:tc>
          <w:tcPr>
            <w:tcW w:w="885" w:type="dxa"/>
            <w:vAlign w:val="center"/>
          </w:tcPr>
          <w:p w:rsidR="00412AFB" w:rsidRPr="00993936" w:rsidRDefault="00412AFB" w:rsidP="008061C6">
            <w:pPr>
              <w:pStyle w:val="Sinespaciado"/>
              <w:rPr>
                <w:rFonts w:ascii="Arial" w:hAnsi="Arial" w:cs="Arial"/>
                <w:dstrike/>
                <w:lang w:val="es-ES"/>
              </w:rPr>
            </w:pPr>
          </w:p>
        </w:tc>
        <w:tc>
          <w:tcPr>
            <w:tcW w:w="886" w:type="dxa"/>
            <w:vAlign w:val="center"/>
          </w:tcPr>
          <w:p w:rsidR="00412AFB" w:rsidRPr="00993936" w:rsidRDefault="00412AFB" w:rsidP="008061C6">
            <w:pPr>
              <w:pStyle w:val="Sinespaciado"/>
              <w:rPr>
                <w:rFonts w:ascii="Arial" w:hAnsi="Arial" w:cs="Arial"/>
                <w:dstrike/>
                <w:lang w:val="es-ES"/>
              </w:rPr>
            </w:pPr>
          </w:p>
        </w:tc>
        <w:tc>
          <w:tcPr>
            <w:tcW w:w="3111" w:type="dxa"/>
            <w:vMerge/>
            <w:vAlign w:val="center"/>
          </w:tcPr>
          <w:p w:rsidR="00412AFB" w:rsidRPr="00993936" w:rsidRDefault="00412AFB" w:rsidP="008061C6">
            <w:pPr>
              <w:pStyle w:val="Sinespaciado"/>
              <w:rPr>
                <w:rFonts w:ascii="Arial" w:hAnsi="Arial" w:cs="Arial"/>
                <w:lang w:val="es-ES"/>
              </w:rPr>
            </w:pPr>
          </w:p>
        </w:tc>
      </w:tr>
      <w:tr w:rsidR="00E1758E" w:rsidRPr="00993936" w:rsidTr="00C8678E">
        <w:trPr>
          <w:cantSplit/>
        </w:trPr>
        <w:tc>
          <w:tcPr>
            <w:tcW w:w="1915" w:type="dxa"/>
            <w:vMerge w:val="restart"/>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Royas</w:t>
            </w:r>
          </w:p>
          <w:p w:rsidR="00412AFB" w:rsidRPr="00993936" w:rsidRDefault="00412AFB" w:rsidP="008061C6">
            <w:pPr>
              <w:pStyle w:val="Sinespaciado"/>
              <w:rPr>
                <w:rFonts w:ascii="Arial" w:hAnsi="Arial" w:cs="Arial"/>
                <w:sz w:val="16"/>
                <w:lang w:val="es-ES"/>
              </w:rPr>
            </w:pPr>
            <w:r w:rsidRPr="00993936">
              <w:rPr>
                <w:rFonts w:ascii="Arial" w:hAnsi="Arial" w:cs="Arial"/>
                <w:sz w:val="16"/>
                <w:lang w:val="es-ES"/>
              </w:rPr>
              <w:t>Puccinia sorghi</w:t>
            </w: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Ciproconazole</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3111" w:type="dxa"/>
            <w:vMerge/>
            <w:vAlign w:val="center"/>
          </w:tcPr>
          <w:p w:rsidR="00412AFB" w:rsidRPr="00993936" w:rsidRDefault="00412AFB" w:rsidP="008061C6">
            <w:pPr>
              <w:pStyle w:val="Sinespaciado"/>
              <w:rPr>
                <w:rFonts w:ascii="Arial" w:hAnsi="Arial" w:cs="Arial"/>
                <w:lang w:val="es-ES"/>
              </w:rPr>
            </w:pPr>
          </w:p>
        </w:tc>
      </w:tr>
      <w:tr w:rsidR="00E1758E" w:rsidRPr="00993936" w:rsidTr="00C8678E">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Epoxiconazole + Piraclostrobina</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p>
        </w:tc>
        <w:tc>
          <w:tcPr>
            <w:tcW w:w="3111" w:type="dxa"/>
            <w:vMerge/>
            <w:vAlign w:val="center"/>
          </w:tcPr>
          <w:p w:rsidR="00412AFB" w:rsidRPr="00993936" w:rsidRDefault="00412AFB" w:rsidP="008061C6">
            <w:pPr>
              <w:pStyle w:val="Sinespaciado"/>
              <w:rPr>
                <w:rFonts w:ascii="Arial" w:hAnsi="Arial" w:cs="Arial"/>
                <w:lang w:val="es-ES"/>
              </w:rPr>
            </w:pPr>
          </w:p>
        </w:tc>
      </w:tr>
      <w:tr w:rsidR="00E1758E" w:rsidRPr="00993936" w:rsidTr="00C8678E">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Mancozeb</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3111" w:type="dxa"/>
            <w:vMerge/>
            <w:vAlign w:val="center"/>
          </w:tcPr>
          <w:p w:rsidR="00412AFB" w:rsidRPr="00993936" w:rsidRDefault="00412AFB" w:rsidP="008061C6">
            <w:pPr>
              <w:pStyle w:val="Sinespaciado"/>
              <w:rPr>
                <w:rFonts w:ascii="Arial" w:hAnsi="Arial" w:cs="Arial"/>
                <w:lang w:val="es-ES"/>
              </w:rPr>
            </w:pPr>
          </w:p>
        </w:tc>
      </w:tr>
      <w:tr w:rsidR="00E1758E" w:rsidRPr="00993936" w:rsidTr="00C8678E">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Piraclostrobina</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p>
        </w:tc>
        <w:tc>
          <w:tcPr>
            <w:tcW w:w="3111" w:type="dxa"/>
            <w:vMerge/>
            <w:vAlign w:val="center"/>
          </w:tcPr>
          <w:p w:rsidR="00412AFB" w:rsidRPr="00993936" w:rsidRDefault="00412AFB" w:rsidP="008061C6">
            <w:pPr>
              <w:pStyle w:val="Sinespaciado"/>
              <w:rPr>
                <w:rFonts w:ascii="Arial" w:hAnsi="Arial" w:cs="Arial"/>
                <w:lang w:val="es-ES"/>
              </w:rPr>
            </w:pPr>
          </w:p>
        </w:tc>
      </w:tr>
      <w:tr w:rsidR="00E1758E" w:rsidRPr="00993936" w:rsidTr="00C8678E">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Propiconazole</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3111" w:type="dxa"/>
            <w:vMerge/>
            <w:vAlign w:val="center"/>
          </w:tcPr>
          <w:p w:rsidR="00412AFB" w:rsidRPr="00993936" w:rsidRDefault="00412AFB" w:rsidP="008061C6">
            <w:pPr>
              <w:pStyle w:val="Sinespaciado"/>
              <w:rPr>
                <w:rFonts w:ascii="Arial" w:hAnsi="Arial" w:cs="Arial"/>
                <w:lang w:val="es-ES"/>
              </w:rPr>
            </w:pPr>
          </w:p>
        </w:tc>
      </w:tr>
      <w:tr w:rsidR="00E1758E" w:rsidRPr="00993936" w:rsidTr="00C8678E">
        <w:trPr>
          <w:cantSplit/>
        </w:trPr>
        <w:tc>
          <w:tcPr>
            <w:tcW w:w="1915" w:type="dxa"/>
            <w:vMerge w:val="restart"/>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Septoria</w:t>
            </w:r>
          </w:p>
          <w:p w:rsidR="00412AFB" w:rsidRPr="00993936" w:rsidRDefault="00412AFB" w:rsidP="008061C6">
            <w:pPr>
              <w:pStyle w:val="Sinespaciado"/>
              <w:rPr>
                <w:rFonts w:ascii="Arial" w:hAnsi="Arial" w:cs="Arial"/>
                <w:sz w:val="16"/>
                <w:lang w:val="es-ES"/>
              </w:rPr>
            </w:pPr>
            <w:r w:rsidRPr="00993936">
              <w:rPr>
                <w:rFonts w:ascii="Arial" w:hAnsi="Arial" w:cs="Arial"/>
                <w:sz w:val="16"/>
                <w:lang w:val="es-ES"/>
              </w:rPr>
              <w:t>Septoria spp.</w:t>
            </w: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Mancozeb</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3111" w:type="dxa"/>
            <w:vMerge/>
            <w:vAlign w:val="center"/>
          </w:tcPr>
          <w:p w:rsidR="00412AFB" w:rsidRPr="00993936" w:rsidRDefault="00412AFB" w:rsidP="008061C6">
            <w:pPr>
              <w:pStyle w:val="Sinespaciado"/>
              <w:rPr>
                <w:rFonts w:ascii="Arial" w:hAnsi="Arial" w:cs="Arial"/>
                <w:lang w:val="es-ES"/>
              </w:rPr>
            </w:pPr>
          </w:p>
        </w:tc>
      </w:tr>
      <w:tr w:rsidR="00E1758E" w:rsidRPr="00993936" w:rsidTr="00C8678E">
        <w:trPr>
          <w:cantSplit/>
        </w:trPr>
        <w:tc>
          <w:tcPr>
            <w:tcW w:w="1915" w:type="dxa"/>
            <w:vMerge/>
            <w:vAlign w:val="center"/>
          </w:tcPr>
          <w:p w:rsidR="00412AFB" w:rsidRPr="00993936" w:rsidRDefault="00412AFB" w:rsidP="008061C6">
            <w:pPr>
              <w:pStyle w:val="Sinespaciado"/>
              <w:rPr>
                <w:rFonts w:ascii="Arial" w:hAnsi="Arial" w:cs="Arial"/>
                <w:lang w:val="es-ES"/>
              </w:rPr>
            </w:pPr>
          </w:p>
        </w:tc>
        <w:tc>
          <w:tcPr>
            <w:tcW w:w="2559"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Propiconazole</w:t>
            </w:r>
          </w:p>
        </w:tc>
        <w:tc>
          <w:tcPr>
            <w:tcW w:w="885"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886" w:type="dxa"/>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X</w:t>
            </w:r>
          </w:p>
        </w:tc>
        <w:tc>
          <w:tcPr>
            <w:tcW w:w="3111" w:type="dxa"/>
            <w:vMerge/>
            <w:vAlign w:val="center"/>
          </w:tcPr>
          <w:p w:rsidR="00412AFB" w:rsidRPr="00993936" w:rsidRDefault="00412AFB" w:rsidP="008061C6">
            <w:pPr>
              <w:pStyle w:val="Sinespaciado"/>
              <w:rPr>
                <w:rFonts w:ascii="Arial" w:hAnsi="Arial" w:cs="Arial"/>
                <w:lang w:val="es-ES"/>
              </w:rPr>
            </w:pPr>
          </w:p>
        </w:tc>
      </w:tr>
    </w:tbl>
    <w:p w:rsidR="00412AFB" w:rsidRPr="00993936" w:rsidRDefault="00412AFB" w:rsidP="00412AFB">
      <w:pPr>
        <w:autoSpaceDE w:val="0"/>
        <w:autoSpaceDN w:val="0"/>
        <w:adjustRightInd w:val="0"/>
        <w:rPr>
          <w:rFonts w:ascii="Arial" w:hAnsi="Arial" w:cs="Arial"/>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2.2.2 Materias activas de fungicidas para la producción integrada de cereales de verano con indicación del código de resistencia FRAC</w:t>
      </w:r>
    </w:p>
    <w:p w:rsidR="00412AFB" w:rsidRPr="00993936" w:rsidRDefault="00412AFB" w:rsidP="00412AFB">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E1758E" w:rsidRPr="00993936" w:rsidTr="00C8678E">
        <w:trPr>
          <w:trHeight w:val="393"/>
        </w:trPr>
        <w:tc>
          <w:tcPr>
            <w:tcW w:w="5000" w:type="pct"/>
            <w:gridSpan w:val="2"/>
            <w:shd w:val="solid" w:color="C0C0C0" w:fill="auto"/>
            <w:vAlign w:val="center"/>
          </w:tcPr>
          <w:p w:rsidR="00412AFB" w:rsidRPr="00993936" w:rsidRDefault="00412AFB" w:rsidP="008061C6">
            <w:pPr>
              <w:pStyle w:val="Sinespaciado"/>
              <w:jc w:val="center"/>
              <w:rPr>
                <w:rFonts w:ascii="Arial" w:hAnsi="Arial" w:cs="Arial"/>
                <w:b/>
                <w:lang w:val="es-ES" w:eastAsia="ca-ES"/>
              </w:rPr>
            </w:pPr>
            <w:r w:rsidRPr="00993936">
              <w:rPr>
                <w:rFonts w:ascii="Arial" w:hAnsi="Arial" w:cs="Arial"/>
                <w:b/>
                <w:lang w:val="es-ES" w:eastAsia="ca-ES"/>
              </w:rPr>
              <w:t>TIPO DE FUNGICIDAS</w:t>
            </w:r>
          </w:p>
        </w:tc>
      </w:tr>
      <w:tr w:rsidR="00E1758E" w:rsidRPr="00993936" w:rsidTr="00C8678E">
        <w:trPr>
          <w:trHeight w:val="270"/>
        </w:trPr>
        <w:tc>
          <w:tcPr>
            <w:tcW w:w="2500" w:type="pct"/>
            <w:vMerge w:val="restart"/>
            <w:shd w:val="solid" w:color="C0C0C0" w:fill="auto"/>
            <w:vAlign w:val="center"/>
          </w:tcPr>
          <w:p w:rsidR="00412AFB" w:rsidRPr="00993936" w:rsidRDefault="00412AFB" w:rsidP="008061C6">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00" w:type="pct"/>
            <w:shd w:val="solid" w:color="C0C0C0" w:fill="auto"/>
          </w:tcPr>
          <w:p w:rsidR="00412AFB" w:rsidRPr="00993936" w:rsidRDefault="00412AFB" w:rsidP="008061C6">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8061C6">
            <w:pPr>
              <w:pStyle w:val="Sinespaciado"/>
              <w:jc w:val="center"/>
              <w:rPr>
                <w:rFonts w:ascii="Arial" w:hAnsi="Arial" w:cs="Arial"/>
                <w:b/>
                <w:lang w:val="es-ES" w:eastAsia="ca-ES"/>
              </w:rPr>
            </w:pPr>
          </w:p>
        </w:tc>
        <w:tc>
          <w:tcPr>
            <w:tcW w:w="2500" w:type="pct"/>
            <w:shd w:val="solid" w:color="C0C0C0" w:fill="auto"/>
          </w:tcPr>
          <w:p w:rsidR="00412AFB" w:rsidRPr="00993936" w:rsidRDefault="00412AFB" w:rsidP="008061C6">
            <w:pPr>
              <w:pStyle w:val="Sinespaciado"/>
              <w:jc w:val="center"/>
              <w:rPr>
                <w:rFonts w:ascii="Arial" w:hAnsi="Arial" w:cs="Arial"/>
                <w:b/>
                <w:lang w:val="es-ES" w:eastAsia="ca-ES"/>
              </w:rPr>
            </w:pPr>
            <w:r w:rsidRPr="00993936">
              <w:rPr>
                <w:rFonts w:ascii="Arial" w:hAnsi="Arial" w:cs="Arial"/>
                <w:b/>
                <w:lang w:val="es-ES" w:eastAsia="ca-ES"/>
              </w:rPr>
              <w:t>FRAC (*)</w:t>
            </w:r>
          </w:p>
        </w:tc>
      </w:tr>
      <w:tr w:rsidR="00412AFB" w:rsidRPr="00993936" w:rsidTr="00C8678E">
        <w:trPr>
          <w:trHeight w:val="270"/>
        </w:trPr>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Ciproconazole</w:t>
            </w:r>
          </w:p>
        </w:tc>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3</w:t>
            </w:r>
          </w:p>
        </w:tc>
      </w:tr>
      <w:tr w:rsidR="00412AFB" w:rsidRPr="00993936" w:rsidTr="00C8678E">
        <w:trPr>
          <w:trHeight w:val="270"/>
        </w:trPr>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Epoxiconazole + Piraclostrobina</w:t>
            </w:r>
          </w:p>
        </w:tc>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3+11</w:t>
            </w:r>
          </w:p>
        </w:tc>
      </w:tr>
      <w:tr w:rsidR="00412AFB" w:rsidRPr="00993936" w:rsidTr="00C8678E">
        <w:trPr>
          <w:trHeight w:val="270"/>
        </w:trPr>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Mancozeb</w:t>
            </w:r>
          </w:p>
        </w:tc>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M3+B1</w:t>
            </w:r>
          </w:p>
        </w:tc>
      </w:tr>
      <w:tr w:rsidR="00412AFB" w:rsidRPr="00993936" w:rsidTr="00C8678E">
        <w:trPr>
          <w:trHeight w:val="270"/>
        </w:trPr>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Metil-tiofanato</w:t>
            </w:r>
          </w:p>
        </w:tc>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1</w:t>
            </w:r>
          </w:p>
        </w:tc>
      </w:tr>
      <w:tr w:rsidR="00412AFB" w:rsidRPr="00993936" w:rsidTr="00C8678E">
        <w:trPr>
          <w:trHeight w:val="270"/>
        </w:trPr>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Piraclostrobina</w:t>
            </w:r>
          </w:p>
        </w:tc>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11</w:t>
            </w:r>
          </w:p>
        </w:tc>
      </w:tr>
      <w:tr w:rsidR="00412AFB" w:rsidRPr="00993936" w:rsidTr="00C8678E">
        <w:trPr>
          <w:trHeight w:val="270"/>
        </w:trPr>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Propiconazole</w:t>
            </w:r>
          </w:p>
        </w:tc>
        <w:tc>
          <w:tcPr>
            <w:tcW w:w="2500" w:type="pct"/>
            <w:shd w:val="solid" w:color="FFFFFF" w:fill="auto"/>
          </w:tcPr>
          <w:p w:rsidR="00412AFB" w:rsidRPr="00993936" w:rsidRDefault="00412AFB" w:rsidP="008061C6">
            <w:pPr>
              <w:pStyle w:val="Sinespaciado"/>
              <w:rPr>
                <w:rFonts w:ascii="Arial" w:hAnsi="Arial" w:cs="Arial"/>
                <w:sz w:val="20"/>
                <w:lang w:val="es-ES" w:eastAsia="ca-ES"/>
              </w:rPr>
            </w:pPr>
            <w:r w:rsidRPr="00993936">
              <w:rPr>
                <w:rFonts w:ascii="Arial" w:hAnsi="Arial" w:cs="Arial"/>
                <w:sz w:val="20"/>
                <w:lang w:val="es-ES" w:eastAsia="ca-ES"/>
              </w:rPr>
              <w:t>3</w:t>
            </w:r>
          </w:p>
        </w:tc>
      </w:tr>
      <w:tr w:rsidR="00412AFB" w:rsidRPr="00993936" w:rsidTr="00C8678E">
        <w:trPr>
          <w:trHeight w:val="270"/>
        </w:trPr>
        <w:tc>
          <w:tcPr>
            <w:tcW w:w="5000" w:type="pct"/>
            <w:gridSpan w:val="2"/>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412AFB" w:rsidRPr="00993936" w:rsidTr="00C8678E">
        <w:trPr>
          <w:trHeight w:val="270"/>
        </w:trPr>
        <w:tc>
          <w:tcPr>
            <w:tcW w:w="5000" w:type="pct"/>
            <w:gridSpan w:val="2"/>
            <w:shd w:val="solid" w:color="FFFFFF" w:fill="auto"/>
          </w:tcPr>
          <w:p w:rsidR="00412AFB" w:rsidRPr="00993936" w:rsidRDefault="00412AFB" w:rsidP="008061C6">
            <w:pPr>
              <w:pStyle w:val="Sinespaciado"/>
              <w:rPr>
                <w:rFonts w:ascii="Arial" w:hAnsi="Arial" w:cs="Arial"/>
                <w:lang w:val="es-ES" w:eastAsia="ca-ES"/>
              </w:rPr>
            </w:pPr>
            <w:r w:rsidRPr="00993936">
              <w:rPr>
                <w:rFonts w:ascii="Arial" w:hAnsi="Arial" w:cs="Arial"/>
                <w:lang w:val="es-ES" w:eastAsia="ca-ES"/>
              </w:rPr>
              <w:t>(*) Fuente: Comité de Acción de Resistencia a Fungicidas</w:t>
            </w:r>
          </w:p>
        </w:tc>
      </w:tr>
    </w:tbl>
    <w:p w:rsidR="00412AFB" w:rsidRPr="00993936" w:rsidRDefault="00412AFB" w:rsidP="00412AFB">
      <w:pPr>
        <w:rPr>
          <w:rFonts w:ascii="Arial" w:hAnsi="Arial" w:cs="Arial"/>
          <w:lang w:val="es-ES"/>
        </w:rPr>
      </w:pPr>
    </w:p>
    <w:p w:rsidR="00412AFB" w:rsidRPr="00993936" w:rsidRDefault="00412AFB" w:rsidP="00412AFB">
      <w:pPr>
        <w:spacing w:after="120"/>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2.3 Criterios o umbrales de intervención para plagas y enfermedades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1"/>
        <w:gridCol w:w="5133"/>
      </w:tblGrid>
      <w:tr w:rsidR="00412AFB" w:rsidRPr="00993936" w:rsidTr="00C8678E">
        <w:trPr>
          <w:cantSplit/>
          <w:trHeight w:val="464"/>
          <w:tblHeader/>
        </w:trPr>
        <w:tc>
          <w:tcPr>
            <w:tcW w:w="2031" w:type="pct"/>
            <w:tcBorders>
              <w:bottom w:val="nil"/>
            </w:tcBorders>
            <w:shd w:val="pct12" w:color="auto" w:fill="FFFFFF"/>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Parásito</w:t>
            </w:r>
          </w:p>
        </w:tc>
        <w:tc>
          <w:tcPr>
            <w:tcW w:w="2969" w:type="pct"/>
            <w:tcBorders>
              <w:bottom w:val="nil"/>
            </w:tcBorders>
            <w:shd w:val="pct12" w:color="auto" w:fill="FFFFFF"/>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Criterio o umbral de intervención</w:t>
            </w:r>
          </w:p>
        </w:tc>
      </w:tr>
      <w:tr w:rsidR="00412AFB" w:rsidRPr="00993936" w:rsidTr="00C8678E">
        <w:trPr>
          <w:cantSplit/>
          <w:trHeight w:val="348"/>
        </w:trPr>
        <w:tc>
          <w:tcPr>
            <w:tcW w:w="5000" w:type="pct"/>
            <w:gridSpan w:val="2"/>
            <w:shd w:val="pct12" w:color="auto" w:fill="FFFFFF"/>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PLAGAS</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Ácaros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Ácaros tetraníquidos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Alacrán cebollero</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Araña roja</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Barrenador</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Gusanos blancos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Gusanos de alambre</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Gusanos grises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Orugas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Garrapatillo, chinches de los cereales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Heliotis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Insectos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Insectos chupadores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Insectos del suelo</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Insectos masticadores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Larvas de dípteros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Miriápodos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Pulgones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Rosquilla negra</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Taladro</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Chinches de los cereales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tcBorders>
              <w:bottom w:val="nil"/>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Zabrus</w:t>
            </w:r>
          </w:p>
        </w:tc>
        <w:tc>
          <w:tcPr>
            <w:tcW w:w="2969" w:type="pct"/>
            <w:tcBorders>
              <w:bottom w:val="nil"/>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357"/>
        </w:trPr>
        <w:tc>
          <w:tcPr>
            <w:tcW w:w="5000" w:type="pct"/>
            <w:gridSpan w:val="2"/>
            <w:shd w:val="pct12" w:color="auto" w:fill="FFFFFF"/>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ENFERMEDADES</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Fusariosis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Nematodos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Mal del pie</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Rincosporiosis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Royas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Septoriosis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Otras plagas o enfermedades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bl>
    <w:p w:rsidR="00412AFB" w:rsidRPr="00993936" w:rsidRDefault="00412AFB" w:rsidP="00412AFB">
      <w:pPr>
        <w:autoSpaceDE w:val="0"/>
        <w:autoSpaceDN w:val="0"/>
        <w:adjustRightInd w:val="0"/>
        <w:rPr>
          <w:rFonts w:ascii="Arial" w:hAnsi="Arial" w:cs="Arial"/>
          <w:lang w:val="es-ES"/>
        </w:rPr>
      </w:pPr>
    </w:p>
    <w:p w:rsidR="00412AFB" w:rsidRPr="00993936" w:rsidRDefault="00412AFB" w:rsidP="00412AFB">
      <w:pPr>
        <w:jc w:val="both"/>
        <w:rPr>
          <w:rFonts w:ascii="Arial" w:hAnsi="Arial" w:cs="Arial"/>
          <w:lang w:val="es-ES"/>
        </w:rPr>
      </w:pPr>
    </w:p>
    <w:p w:rsidR="008061C6" w:rsidRPr="00993936" w:rsidRDefault="008061C6">
      <w:pPr>
        <w:rPr>
          <w:rFonts w:ascii="Arial" w:hAnsi="Arial" w:cs="Arial"/>
          <w:b/>
          <w:lang w:val="es-ES"/>
        </w:rPr>
      </w:pPr>
      <w:r w:rsidRPr="00993936">
        <w:rPr>
          <w:rFonts w:ascii="Arial" w:hAnsi="Arial" w:cs="Arial"/>
          <w:b/>
          <w:lang w:val="es-ES"/>
        </w:rPr>
        <w:br w:type="page"/>
      </w:r>
    </w:p>
    <w:p w:rsidR="00412AFB" w:rsidRPr="00993936" w:rsidRDefault="00412AFB" w:rsidP="00412AFB">
      <w:pPr>
        <w:autoSpaceDE w:val="0"/>
        <w:autoSpaceDN w:val="0"/>
        <w:adjustRightInd w:val="0"/>
        <w:jc w:val="both"/>
        <w:rPr>
          <w:rFonts w:ascii="Arial" w:hAnsi="Arial" w:cs="Arial"/>
          <w:b/>
          <w:lang w:val="es-ES"/>
        </w:rPr>
      </w:pPr>
      <w:r w:rsidRPr="00993936">
        <w:rPr>
          <w:rFonts w:ascii="Arial" w:hAnsi="Arial" w:cs="Arial"/>
          <w:b/>
          <w:lang w:val="es-ES"/>
        </w:rPr>
        <w:lastRenderedPageBreak/>
        <w:t>2.3 Criterios o umbrales de intervención para plagas y enfermedades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11"/>
        <w:gridCol w:w="5133"/>
      </w:tblGrid>
      <w:tr w:rsidR="00412AFB" w:rsidRPr="00993936" w:rsidTr="00C8678E">
        <w:trPr>
          <w:cantSplit/>
          <w:trHeight w:val="464"/>
          <w:tblHeader/>
        </w:trPr>
        <w:tc>
          <w:tcPr>
            <w:tcW w:w="2031" w:type="pct"/>
            <w:tcBorders>
              <w:bottom w:val="nil"/>
            </w:tcBorders>
            <w:shd w:val="pct12" w:color="auto" w:fill="FFFFFF"/>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Parásito</w:t>
            </w:r>
          </w:p>
        </w:tc>
        <w:tc>
          <w:tcPr>
            <w:tcW w:w="2969" w:type="pct"/>
            <w:tcBorders>
              <w:bottom w:val="nil"/>
            </w:tcBorders>
            <w:shd w:val="pct12" w:color="auto" w:fill="FFFFFF"/>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Criterio o umbral de intervención</w:t>
            </w:r>
          </w:p>
        </w:tc>
      </w:tr>
      <w:tr w:rsidR="00412AFB" w:rsidRPr="00993936" w:rsidTr="00C8678E">
        <w:trPr>
          <w:cantSplit/>
          <w:trHeight w:val="348"/>
        </w:trPr>
        <w:tc>
          <w:tcPr>
            <w:tcW w:w="5000" w:type="pct"/>
            <w:gridSpan w:val="2"/>
            <w:shd w:val="pct12" w:color="auto" w:fill="FFFFFF"/>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PLAGAS</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Ácaros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Ácaros tetraníquidos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Alacrán cebollero</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Araña roja</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Barrenador</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Gusanos blancos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Gusanos de alambre</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Gusanos grises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Orugas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Garrapatillo, chinches de los cereales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Heliotis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insectos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Insectos chupadores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Insectos del suelo</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insectos masticadores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Larvas de dípteros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Miriápodos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Pulgones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Rosquilla negra</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Taladro</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rPr>
            </w:pPr>
            <w:r w:rsidRPr="00993936">
              <w:rPr>
                <w:rFonts w:ascii="Arial" w:hAnsi="Arial" w:cs="Arial"/>
                <w:sz w:val="20"/>
              </w:rPr>
              <w:t>Chinches de los cereales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tcBorders>
              <w:bottom w:val="nil"/>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Zabrus</w:t>
            </w:r>
          </w:p>
        </w:tc>
        <w:tc>
          <w:tcPr>
            <w:tcW w:w="2969" w:type="pct"/>
            <w:tcBorders>
              <w:bottom w:val="nil"/>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357"/>
        </w:trPr>
        <w:tc>
          <w:tcPr>
            <w:tcW w:w="5000" w:type="pct"/>
            <w:gridSpan w:val="2"/>
            <w:shd w:val="pct12" w:color="auto" w:fill="FFFFFF"/>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ENFERMEDADES</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Fusariosis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Nematodos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Mal del pie</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Rincosporiosis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Royas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Septoriosis</w:t>
            </w:r>
          </w:p>
        </w:tc>
        <w:tc>
          <w:tcPr>
            <w:tcW w:w="2969"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r w:rsidR="00412AFB" w:rsidRPr="00993936" w:rsidTr="00C8678E">
        <w:trPr>
          <w:cantSplit/>
          <w:trHeight w:val="284"/>
        </w:trPr>
        <w:tc>
          <w:tcPr>
            <w:tcW w:w="2031" w:type="pct"/>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Otras plagas o enfermedades</w:t>
            </w:r>
          </w:p>
        </w:tc>
        <w:tc>
          <w:tcPr>
            <w:tcW w:w="2969" w:type="pct"/>
            <w:tcBorders>
              <w:bottom w:val="single" w:sz="4" w:space="0" w:color="auto"/>
            </w:tcBorders>
            <w:vAlign w:val="center"/>
          </w:tcPr>
          <w:p w:rsidR="00412AFB" w:rsidRPr="00993936" w:rsidRDefault="00412AFB" w:rsidP="008061C6">
            <w:pPr>
              <w:pStyle w:val="Sinespaciado"/>
              <w:rPr>
                <w:rFonts w:ascii="Arial" w:hAnsi="Arial" w:cs="Arial"/>
                <w:sz w:val="20"/>
                <w:lang w:val="es-ES"/>
              </w:rPr>
            </w:pPr>
            <w:r w:rsidRPr="00993936">
              <w:rPr>
                <w:rFonts w:ascii="Arial" w:hAnsi="Arial" w:cs="Arial"/>
                <w:sz w:val="20"/>
                <w:lang w:val="es-ES"/>
              </w:rPr>
              <w:t>Según prescripción técnica</w:t>
            </w:r>
          </w:p>
        </w:tc>
      </w:tr>
    </w:tbl>
    <w:p w:rsidR="00412AFB" w:rsidRPr="00993936" w:rsidRDefault="00412AFB" w:rsidP="00412AFB">
      <w:pPr>
        <w:autoSpaceDE w:val="0"/>
        <w:autoSpaceDN w:val="0"/>
        <w:adjustRightInd w:val="0"/>
        <w:rPr>
          <w:rFonts w:ascii="Arial" w:hAnsi="Arial" w:cs="Arial"/>
          <w:lang w:val="es-ES"/>
        </w:rPr>
      </w:pPr>
    </w:p>
    <w:p w:rsidR="00412AFB" w:rsidRPr="00993936" w:rsidRDefault="00412AFB" w:rsidP="00412AFB">
      <w:pPr>
        <w:pStyle w:val="Ttulo2"/>
        <w:rPr>
          <w:rFonts w:ascii="Arial" w:hAnsi="Arial" w:cs="Arial"/>
          <w:color w:val="auto"/>
          <w:sz w:val="22"/>
          <w:lang w:val="es-ES"/>
        </w:rPr>
      </w:pPr>
      <w:r w:rsidRPr="00993936">
        <w:rPr>
          <w:rFonts w:ascii="Arial" w:hAnsi="Arial" w:cs="Arial"/>
          <w:color w:val="auto"/>
          <w:sz w:val="22"/>
          <w:lang w:val="es-ES"/>
        </w:rPr>
        <w:br w:type="page"/>
      </w:r>
      <w:r w:rsidRPr="00993936">
        <w:rPr>
          <w:rFonts w:ascii="Arial" w:hAnsi="Arial" w:cs="Arial"/>
          <w:color w:val="auto"/>
          <w:sz w:val="22"/>
          <w:lang w:val="es-ES"/>
        </w:rPr>
        <w:lastRenderedPageBreak/>
        <w:t>ANEXO 3</w:t>
      </w:r>
    </w:p>
    <w:p w:rsidR="00412AFB" w:rsidRPr="00993936" w:rsidRDefault="00412AFB" w:rsidP="00412AFB">
      <w:pPr>
        <w:pStyle w:val="Textoindependiente"/>
        <w:rPr>
          <w:rFonts w:cs="Arial"/>
          <w:b/>
          <w:lang w:val="es-ES"/>
        </w:rPr>
      </w:pPr>
    </w:p>
    <w:p w:rsidR="00412AFB" w:rsidRPr="00993936" w:rsidRDefault="00412AFB" w:rsidP="00412AFB">
      <w:pPr>
        <w:pStyle w:val="Textoindependiente"/>
        <w:rPr>
          <w:rFonts w:cs="Arial"/>
          <w:b/>
          <w:lang w:val="es-ES"/>
        </w:rPr>
      </w:pPr>
      <w:r w:rsidRPr="00993936">
        <w:rPr>
          <w:rFonts w:cs="Arial"/>
          <w:b/>
          <w:lang w:val="es-ES"/>
        </w:rPr>
        <w:t>3.1 Lista de metales pesados y valores máximos que aplicar al suelo</w:t>
      </w:r>
    </w:p>
    <w:p w:rsidR="00412AFB" w:rsidRPr="00993936" w:rsidRDefault="00412AFB" w:rsidP="00412AFB">
      <w:pPr>
        <w:pStyle w:val="Textoindependiente"/>
        <w:rPr>
          <w:rFonts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Los materiales con valor fertilizante aportados al suelo no deben contener metales pesados ​​en valores superiores a los siguientes:</w:t>
      </w:r>
    </w:p>
    <w:p w:rsidR="00412AFB" w:rsidRPr="00993936" w:rsidRDefault="00412AFB" w:rsidP="00412AFB">
      <w:pPr>
        <w:jc w:val="both"/>
        <w:rPr>
          <w:rFonts w:ascii="Arial" w:hAnsi="Arial" w:cs="Arial"/>
          <w:snapToGrid w:val="0"/>
          <w:sz w:val="10"/>
          <w:lang w:val="es-ES"/>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E1758E" w:rsidRPr="00993936" w:rsidTr="008061C6">
        <w:trPr>
          <w:trHeight w:val="284"/>
          <w:jc w:val="center"/>
        </w:trPr>
        <w:tc>
          <w:tcPr>
            <w:tcW w:w="4548" w:type="dxa"/>
            <w:shd w:val="clear" w:color="auto" w:fill="D9D9D9" w:themeFill="background1" w:themeFillShade="D9"/>
            <w:vAlign w:val="center"/>
          </w:tcPr>
          <w:p w:rsidR="008061C6" w:rsidRPr="00993936" w:rsidRDefault="008061C6" w:rsidP="008061C6">
            <w:pPr>
              <w:widowControl w:val="0"/>
              <w:jc w:val="center"/>
              <w:rPr>
                <w:rFonts w:ascii="Arial" w:hAnsi="Arial" w:cs="Arial"/>
                <w:b/>
                <w:snapToGrid w:val="0"/>
                <w:lang w:val="es-ES"/>
              </w:rPr>
            </w:pPr>
            <w:r w:rsidRPr="00993936">
              <w:rPr>
                <w:rFonts w:ascii="Arial" w:hAnsi="Arial" w:cs="Arial"/>
                <w:b/>
                <w:snapToGrid w:val="0"/>
                <w:lang w:val="es-ES"/>
              </w:rPr>
              <w:t>Metales pesados</w:t>
            </w:r>
          </w:p>
        </w:tc>
        <w:tc>
          <w:tcPr>
            <w:tcW w:w="4464" w:type="dxa"/>
            <w:shd w:val="clear" w:color="auto" w:fill="D9D9D9" w:themeFill="background1" w:themeFillShade="D9"/>
            <w:vAlign w:val="center"/>
          </w:tcPr>
          <w:p w:rsidR="008061C6" w:rsidRPr="00993936" w:rsidRDefault="008061C6" w:rsidP="008061C6">
            <w:pPr>
              <w:widowControl w:val="0"/>
              <w:jc w:val="center"/>
              <w:rPr>
                <w:rFonts w:ascii="Arial" w:hAnsi="Arial" w:cs="Arial"/>
                <w:b/>
                <w:snapToGrid w:val="0"/>
                <w:lang w:val="es-ES"/>
              </w:rPr>
            </w:pPr>
            <w:r w:rsidRPr="00993936">
              <w:rPr>
                <w:rFonts w:ascii="Arial" w:hAnsi="Arial" w:cs="Arial"/>
                <w:b/>
                <w:snapToGrid w:val="0"/>
                <w:lang w:val="es-ES"/>
              </w:rPr>
              <w:t xml:space="preserve">Valores </w:t>
            </w:r>
          </w:p>
        </w:tc>
      </w:tr>
      <w:tr w:rsidR="00E1758E" w:rsidRPr="00993936" w:rsidTr="008061C6">
        <w:trPr>
          <w:trHeight w:val="284"/>
          <w:jc w:val="center"/>
        </w:trPr>
        <w:tc>
          <w:tcPr>
            <w:tcW w:w="4548" w:type="dxa"/>
            <w:vAlign w:val="center"/>
          </w:tcPr>
          <w:p w:rsidR="008061C6" w:rsidRPr="00993936" w:rsidRDefault="008061C6" w:rsidP="008061C6">
            <w:pPr>
              <w:pStyle w:val="Encabezado"/>
              <w:widowControl w:val="0"/>
              <w:tabs>
                <w:tab w:val="clear" w:pos="4252"/>
                <w:tab w:val="clear" w:pos="8504"/>
              </w:tabs>
              <w:jc w:val="center"/>
              <w:rPr>
                <w:rFonts w:ascii="Arial" w:hAnsi="Arial" w:cs="Arial"/>
                <w:snapToGrid w:val="0"/>
                <w:sz w:val="20"/>
                <w:lang w:val="es-ES"/>
              </w:rPr>
            </w:pPr>
            <w:r w:rsidRPr="00993936">
              <w:rPr>
                <w:rFonts w:ascii="Arial" w:hAnsi="Arial" w:cs="Arial"/>
                <w:snapToGrid w:val="0"/>
                <w:sz w:val="20"/>
                <w:lang w:val="es-ES"/>
              </w:rPr>
              <w:t>Cadmio</w:t>
            </w:r>
          </w:p>
        </w:tc>
        <w:tc>
          <w:tcPr>
            <w:tcW w:w="4464"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3 mg/kg de materia seca</w:t>
            </w:r>
          </w:p>
        </w:tc>
      </w:tr>
      <w:tr w:rsidR="00E1758E" w:rsidRPr="00993936" w:rsidTr="008061C6">
        <w:trPr>
          <w:trHeight w:val="284"/>
          <w:jc w:val="center"/>
        </w:trPr>
        <w:tc>
          <w:tcPr>
            <w:tcW w:w="4548"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Cobre</w:t>
            </w:r>
          </w:p>
        </w:tc>
        <w:tc>
          <w:tcPr>
            <w:tcW w:w="4464"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400 mg/kg de materia seca</w:t>
            </w:r>
          </w:p>
        </w:tc>
      </w:tr>
      <w:tr w:rsidR="00E1758E" w:rsidRPr="00993936" w:rsidTr="008061C6">
        <w:trPr>
          <w:trHeight w:val="284"/>
          <w:jc w:val="center"/>
        </w:trPr>
        <w:tc>
          <w:tcPr>
            <w:tcW w:w="4548"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Níquel</w:t>
            </w:r>
          </w:p>
        </w:tc>
        <w:tc>
          <w:tcPr>
            <w:tcW w:w="4464"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100 mg/kg de materia seca</w:t>
            </w:r>
          </w:p>
        </w:tc>
      </w:tr>
      <w:tr w:rsidR="00E1758E" w:rsidRPr="00993936" w:rsidTr="008061C6">
        <w:trPr>
          <w:trHeight w:val="284"/>
          <w:jc w:val="center"/>
        </w:trPr>
        <w:tc>
          <w:tcPr>
            <w:tcW w:w="4548"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Plomo</w:t>
            </w:r>
          </w:p>
        </w:tc>
        <w:tc>
          <w:tcPr>
            <w:tcW w:w="4464"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200 mg/kg de materia seca</w:t>
            </w:r>
          </w:p>
        </w:tc>
      </w:tr>
      <w:tr w:rsidR="00E1758E" w:rsidRPr="00993936" w:rsidTr="008061C6">
        <w:trPr>
          <w:trHeight w:val="284"/>
          <w:jc w:val="center"/>
        </w:trPr>
        <w:tc>
          <w:tcPr>
            <w:tcW w:w="4548"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Zinc</w:t>
            </w:r>
          </w:p>
        </w:tc>
        <w:tc>
          <w:tcPr>
            <w:tcW w:w="4464"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1.000 mg/kg de materia seca</w:t>
            </w:r>
          </w:p>
        </w:tc>
      </w:tr>
      <w:tr w:rsidR="00E1758E" w:rsidRPr="00993936" w:rsidTr="008061C6">
        <w:trPr>
          <w:trHeight w:val="284"/>
          <w:jc w:val="center"/>
        </w:trPr>
        <w:tc>
          <w:tcPr>
            <w:tcW w:w="4548"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Mercurio</w:t>
            </w:r>
          </w:p>
        </w:tc>
        <w:tc>
          <w:tcPr>
            <w:tcW w:w="4464"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2,5 mg/kg de materia seca</w:t>
            </w:r>
          </w:p>
        </w:tc>
      </w:tr>
      <w:tr w:rsidR="00E1758E" w:rsidRPr="00993936" w:rsidTr="008061C6">
        <w:trPr>
          <w:trHeight w:val="284"/>
          <w:jc w:val="center"/>
        </w:trPr>
        <w:tc>
          <w:tcPr>
            <w:tcW w:w="4548"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Cromo</w:t>
            </w:r>
          </w:p>
        </w:tc>
        <w:tc>
          <w:tcPr>
            <w:tcW w:w="4464" w:type="dxa"/>
            <w:vAlign w:val="center"/>
          </w:tcPr>
          <w:p w:rsidR="008061C6" w:rsidRPr="00993936" w:rsidRDefault="008061C6" w:rsidP="008061C6">
            <w:pPr>
              <w:widowControl w:val="0"/>
              <w:jc w:val="center"/>
              <w:rPr>
                <w:rFonts w:ascii="Arial" w:hAnsi="Arial" w:cs="Arial"/>
                <w:snapToGrid w:val="0"/>
                <w:sz w:val="20"/>
                <w:lang w:val="es-ES"/>
              </w:rPr>
            </w:pPr>
            <w:r w:rsidRPr="00993936">
              <w:rPr>
                <w:rFonts w:ascii="Arial" w:hAnsi="Arial" w:cs="Arial"/>
                <w:snapToGrid w:val="0"/>
                <w:sz w:val="20"/>
                <w:lang w:val="es-ES"/>
              </w:rPr>
              <w:t>300 mg/kg de materia seca</w:t>
            </w:r>
          </w:p>
        </w:tc>
      </w:tr>
    </w:tbl>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mg/kg: miligramo por kilo</w:t>
      </w:r>
    </w:p>
    <w:p w:rsidR="00412AFB" w:rsidRPr="00993936" w:rsidRDefault="00412AFB" w:rsidP="00412AFB">
      <w:pPr>
        <w:pStyle w:val="Ttulo3"/>
        <w:rPr>
          <w:rFonts w:ascii="Arial" w:hAnsi="Arial" w:cs="Arial"/>
          <w:color w:val="auto"/>
          <w:lang w:val="es-ES"/>
        </w:rPr>
      </w:pPr>
    </w:p>
    <w:p w:rsidR="00412AFB" w:rsidRPr="00993936" w:rsidRDefault="00412AFB" w:rsidP="00412AFB">
      <w:pPr>
        <w:pStyle w:val="Ttulo3"/>
        <w:rPr>
          <w:rFonts w:ascii="Arial" w:hAnsi="Arial" w:cs="Arial"/>
          <w:color w:val="auto"/>
          <w:lang w:val="es-ES"/>
        </w:rPr>
      </w:pPr>
      <w:r w:rsidRPr="00993936">
        <w:rPr>
          <w:rFonts w:ascii="Arial" w:hAnsi="Arial" w:cs="Arial"/>
          <w:color w:val="auto"/>
          <w:lang w:val="es-ES"/>
        </w:rPr>
        <w:br w:type="page"/>
      </w:r>
      <w:r w:rsidRPr="00993936">
        <w:rPr>
          <w:rFonts w:ascii="Arial" w:hAnsi="Arial" w:cs="Arial"/>
          <w:color w:val="auto"/>
          <w:lang w:val="es-ES"/>
        </w:rPr>
        <w:lastRenderedPageBreak/>
        <w:t>ANEXO 4</w:t>
      </w:r>
    </w:p>
    <w:p w:rsidR="00412AFB" w:rsidRPr="00993936" w:rsidRDefault="00412AFB" w:rsidP="00412AFB">
      <w:pPr>
        <w:pStyle w:val="Ttulo3"/>
        <w:rPr>
          <w:rFonts w:ascii="Arial" w:hAnsi="Arial" w:cs="Arial"/>
          <w:color w:val="auto"/>
          <w:lang w:val="es-ES"/>
        </w:rPr>
      </w:pPr>
    </w:p>
    <w:p w:rsidR="00412AFB" w:rsidRPr="00993936" w:rsidRDefault="00412AFB" w:rsidP="00412AFB">
      <w:pPr>
        <w:pStyle w:val="Ttulo3"/>
        <w:rPr>
          <w:rFonts w:ascii="Arial" w:hAnsi="Arial" w:cs="Arial"/>
          <w:color w:val="auto"/>
          <w:lang w:val="es-ES"/>
        </w:rPr>
      </w:pPr>
      <w:r w:rsidRPr="00993936">
        <w:rPr>
          <w:rFonts w:ascii="Arial" w:hAnsi="Arial" w:cs="Arial"/>
          <w:color w:val="auto"/>
          <w:lang w:val="es-ES"/>
        </w:rPr>
        <w:t xml:space="preserve">4.1 Tabla orientativa del contenido de nutrientes de algunos abonos orgánicos </w:t>
      </w:r>
    </w:p>
    <w:p w:rsidR="00412AFB" w:rsidRPr="00993936" w:rsidRDefault="00412AFB" w:rsidP="00412AFB">
      <w:pPr>
        <w:pStyle w:val="Ttulo3"/>
        <w:rPr>
          <w:rFonts w:ascii="Arial" w:hAnsi="Arial" w:cs="Arial"/>
          <w:color w:val="auto"/>
          <w:lang w:val="es-ES"/>
        </w:rPr>
      </w:pPr>
    </w:p>
    <w:tbl>
      <w:tblPr>
        <w:tblW w:w="5000" w:type="pct"/>
        <w:tblLayout w:type="fixed"/>
        <w:tblCellMar>
          <w:left w:w="70" w:type="dxa"/>
          <w:right w:w="70" w:type="dxa"/>
        </w:tblCellMar>
        <w:tblLook w:val="0000" w:firstRow="0" w:lastRow="0" w:firstColumn="0" w:lastColumn="0" w:noHBand="0" w:noVBand="0"/>
      </w:tblPr>
      <w:tblGrid>
        <w:gridCol w:w="1144"/>
        <w:gridCol w:w="1157"/>
        <w:gridCol w:w="2744"/>
        <w:gridCol w:w="1300"/>
        <w:gridCol w:w="1279"/>
        <w:gridCol w:w="1020"/>
      </w:tblGrid>
      <w:tr w:rsidR="00E1758E" w:rsidRPr="00993936" w:rsidTr="008061C6">
        <w:trPr>
          <w:trHeight w:val="555"/>
        </w:trPr>
        <w:tc>
          <w:tcPr>
            <w:tcW w:w="662" w:type="pct"/>
            <w:tcBorders>
              <w:top w:val="single" w:sz="8" w:space="0" w:color="auto"/>
              <w:left w:val="single" w:sz="8" w:space="0" w:color="auto"/>
              <w:bottom w:val="single" w:sz="8" w:space="0" w:color="auto"/>
              <w:right w:val="single" w:sz="8" w:space="0" w:color="auto"/>
            </w:tcBorders>
            <w:shd w:val="clear" w:color="auto" w:fill="D9D9D9"/>
            <w:vAlign w:val="center"/>
          </w:tcPr>
          <w:p w:rsidR="00412AFB" w:rsidRPr="00993936" w:rsidRDefault="00412AFB" w:rsidP="008061C6">
            <w:pPr>
              <w:pStyle w:val="Sinespaciado"/>
              <w:jc w:val="center"/>
              <w:rPr>
                <w:rFonts w:ascii="Arial" w:hAnsi="Arial" w:cs="Arial"/>
                <w:b/>
                <w:lang w:val="es-ES"/>
              </w:rPr>
            </w:pPr>
            <w:bookmarkStart w:id="1" w:name="RANGE!B2:G25"/>
            <w:r w:rsidRPr="00993936">
              <w:rPr>
                <w:rFonts w:ascii="Arial" w:hAnsi="Arial" w:cs="Arial"/>
                <w:b/>
                <w:lang w:val="es-ES"/>
              </w:rPr>
              <w:t>Ganado</w:t>
            </w:r>
            <w:bookmarkEnd w:id="1"/>
          </w:p>
        </w:tc>
        <w:tc>
          <w:tcPr>
            <w:tcW w:w="669" w:type="pct"/>
            <w:tcBorders>
              <w:top w:val="single" w:sz="8" w:space="0" w:color="auto"/>
              <w:left w:val="nil"/>
              <w:bottom w:val="single" w:sz="8" w:space="0" w:color="auto"/>
              <w:right w:val="single" w:sz="8" w:space="0" w:color="auto"/>
            </w:tcBorders>
            <w:shd w:val="clear" w:color="auto" w:fill="D9D9D9"/>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Tipo</w:t>
            </w:r>
          </w:p>
        </w:tc>
        <w:tc>
          <w:tcPr>
            <w:tcW w:w="1587" w:type="pct"/>
            <w:tcBorders>
              <w:top w:val="single" w:sz="8" w:space="0" w:color="auto"/>
              <w:left w:val="nil"/>
              <w:bottom w:val="single" w:sz="8" w:space="0" w:color="auto"/>
              <w:right w:val="nil"/>
            </w:tcBorders>
            <w:shd w:val="clear" w:color="auto" w:fill="D9D9D9"/>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Fase / Sistema productivo</w:t>
            </w:r>
          </w:p>
        </w:tc>
        <w:tc>
          <w:tcPr>
            <w:tcW w:w="752" w:type="pct"/>
            <w:tcBorders>
              <w:top w:val="single" w:sz="8" w:space="0" w:color="auto"/>
              <w:left w:val="single" w:sz="8" w:space="0" w:color="auto"/>
              <w:bottom w:val="single" w:sz="8" w:space="0" w:color="auto"/>
              <w:right w:val="single" w:sz="8" w:space="0" w:color="auto"/>
            </w:tcBorders>
            <w:shd w:val="clear" w:color="auto" w:fill="D9D9D9"/>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Kg N/m</w:t>
            </w:r>
            <w:r w:rsidRPr="00993936">
              <w:rPr>
                <w:rFonts w:ascii="Arial" w:hAnsi="Arial" w:cs="Arial"/>
                <w:b/>
                <w:vertAlign w:val="superscript"/>
                <w:lang w:val="es-ES"/>
              </w:rPr>
              <w:t>3</w:t>
            </w:r>
          </w:p>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o ton</w:t>
            </w:r>
            <w:r w:rsidR="008061C6" w:rsidRPr="00993936">
              <w:rPr>
                <w:rFonts w:ascii="Arial" w:hAnsi="Arial" w:cs="Arial"/>
                <w:b/>
                <w:lang w:val="es-ES"/>
              </w:rPr>
              <w:t>.</w:t>
            </w:r>
          </w:p>
        </w:tc>
        <w:tc>
          <w:tcPr>
            <w:tcW w:w="740" w:type="pct"/>
            <w:tcBorders>
              <w:top w:val="single" w:sz="8" w:space="0" w:color="auto"/>
              <w:left w:val="nil"/>
              <w:bottom w:val="single" w:sz="8" w:space="0" w:color="auto"/>
              <w:right w:val="single" w:sz="8" w:space="0" w:color="auto"/>
            </w:tcBorders>
            <w:shd w:val="clear" w:color="auto" w:fill="D9D9D9"/>
            <w:vAlign w:val="center"/>
          </w:tcPr>
          <w:p w:rsidR="008061C6" w:rsidRPr="00993936" w:rsidRDefault="00412AFB" w:rsidP="008061C6">
            <w:pPr>
              <w:pStyle w:val="Sinespaciado"/>
              <w:jc w:val="center"/>
              <w:rPr>
                <w:rFonts w:ascii="Arial" w:hAnsi="Arial" w:cs="Arial"/>
                <w:b/>
                <w:vertAlign w:val="superscript"/>
                <w:lang w:val="es-ES"/>
              </w:rPr>
            </w:pPr>
            <w:r w:rsidRPr="00993936">
              <w:rPr>
                <w:rFonts w:ascii="Arial" w:hAnsi="Arial" w:cs="Arial"/>
                <w:b/>
                <w:lang w:val="es-ES"/>
              </w:rPr>
              <w:t>Kg P2O5/m</w:t>
            </w:r>
            <w:r w:rsidRPr="00993936">
              <w:rPr>
                <w:rFonts w:ascii="Arial" w:hAnsi="Arial" w:cs="Arial"/>
                <w:b/>
                <w:vertAlign w:val="superscript"/>
                <w:lang w:val="es-ES"/>
              </w:rPr>
              <w:t>3</w:t>
            </w:r>
          </w:p>
          <w:p w:rsidR="00412AFB" w:rsidRPr="00993936" w:rsidRDefault="008061C6" w:rsidP="008061C6">
            <w:pPr>
              <w:pStyle w:val="Sinespaciado"/>
              <w:jc w:val="center"/>
              <w:rPr>
                <w:rFonts w:ascii="Arial" w:hAnsi="Arial" w:cs="Arial"/>
                <w:b/>
                <w:lang w:val="es-ES"/>
              </w:rPr>
            </w:pPr>
            <w:r w:rsidRPr="00993936">
              <w:rPr>
                <w:rFonts w:ascii="Arial" w:hAnsi="Arial" w:cs="Arial"/>
                <w:b/>
                <w:lang w:val="es-ES"/>
              </w:rPr>
              <w:t>o ton.</w:t>
            </w:r>
          </w:p>
        </w:tc>
        <w:tc>
          <w:tcPr>
            <w:tcW w:w="590" w:type="pct"/>
            <w:tcBorders>
              <w:top w:val="single" w:sz="8" w:space="0" w:color="auto"/>
              <w:left w:val="nil"/>
              <w:bottom w:val="single" w:sz="8" w:space="0" w:color="auto"/>
              <w:right w:val="single" w:sz="8" w:space="0" w:color="auto"/>
            </w:tcBorders>
            <w:shd w:val="clear" w:color="auto" w:fill="D9D9D9"/>
            <w:vAlign w:val="center"/>
          </w:tcPr>
          <w:p w:rsidR="00412AFB" w:rsidRPr="00993936" w:rsidRDefault="00412AFB" w:rsidP="008061C6">
            <w:pPr>
              <w:pStyle w:val="Sinespaciado"/>
              <w:jc w:val="center"/>
              <w:rPr>
                <w:rFonts w:ascii="Arial" w:hAnsi="Arial" w:cs="Arial"/>
                <w:b/>
                <w:lang w:val="es-ES"/>
              </w:rPr>
            </w:pPr>
            <w:r w:rsidRPr="00993936">
              <w:rPr>
                <w:rFonts w:ascii="Arial" w:hAnsi="Arial" w:cs="Arial"/>
                <w:b/>
                <w:lang w:val="es-ES"/>
              </w:rPr>
              <w:t>Kg K</w:t>
            </w:r>
            <w:r w:rsidRPr="00993936">
              <w:rPr>
                <w:rFonts w:ascii="Arial" w:hAnsi="Arial" w:cs="Arial"/>
                <w:b/>
                <w:vertAlign w:val="subscript"/>
                <w:lang w:val="es-ES"/>
              </w:rPr>
              <w:t>2</w:t>
            </w:r>
            <w:r w:rsidRPr="00993936">
              <w:rPr>
                <w:rFonts w:ascii="Arial" w:hAnsi="Arial" w:cs="Arial"/>
                <w:b/>
                <w:lang w:val="es-ES"/>
              </w:rPr>
              <w:t>O/m</w:t>
            </w:r>
            <w:r w:rsidRPr="00993936">
              <w:rPr>
                <w:rFonts w:ascii="Arial" w:hAnsi="Arial" w:cs="Arial"/>
                <w:b/>
                <w:vertAlign w:val="superscript"/>
                <w:lang w:val="es-ES"/>
              </w:rPr>
              <w:t>3</w:t>
            </w:r>
            <w:r w:rsidRPr="00993936">
              <w:rPr>
                <w:rFonts w:ascii="Arial" w:hAnsi="Arial" w:cs="Arial"/>
                <w:b/>
                <w:lang w:val="es-ES"/>
              </w:rPr>
              <w:t xml:space="preserve"> o ton</w:t>
            </w:r>
            <w:r w:rsidR="008061C6" w:rsidRPr="00993936">
              <w:rPr>
                <w:rFonts w:ascii="Arial" w:hAnsi="Arial" w:cs="Arial"/>
                <w:b/>
                <w:lang w:val="es-ES"/>
              </w:rPr>
              <w:t>.</w:t>
            </w:r>
          </w:p>
        </w:tc>
      </w:tr>
      <w:tr w:rsidR="00E1758E" w:rsidRPr="00993936" w:rsidTr="008061C6">
        <w:trPr>
          <w:trHeight w:val="300"/>
        </w:trPr>
        <w:tc>
          <w:tcPr>
            <w:tcW w:w="662" w:type="pct"/>
            <w:vMerge w:val="restart"/>
            <w:tcBorders>
              <w:top w:val="nil"/>
              <w:left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Porcino</w:t>
            </w:r>
          </w:p>
        </w:tc>
        <w:tc>
          <w:tcPr>
            <w:tcW w:w="669" w:type="pct"/>
            <w:vMerge w:val="restart"/>
            <w:tcBorders>
              <w:top w:val="nil"/>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Purín</w:t>
            </w: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Engorde</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5,7</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3,6</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4,2</w:t>
            </w:r>
          </w:p>
        </w:tc>
      </w:tr>
      <w:tr w:rsidR="00E1758E" w:rsidRPr="00993936" w:rsidTr="008061C6">
        <w:trPr>
          <w:trHeight w:val="300"/>
        </w:trPr>
        <w:tc>
          <w:tcPr>
            <w:tcW w:w="662" w:type="pct"/>
            <w:vMerge/>
            <w:tcBorders>
              <w:left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Reproductora</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2,9</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2,1</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1,8</w:t>
            </w:r>
          </w:p>
        </w:tc>
      </w:tr>
      <w:tr w:rsidR="00E1758E" w:rsidRPr="00993936" w:rsidTr="008061C6">
        <w:trPr>
          <w:trHeight w:val="300"/>
        </w:trPr>
        <w:tc>
          <w:tcPr>
            <w:tcW w:w="662" w:type="pct"/>
            <w:vMerge/>
            <w:tcBorders>
              <w:left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Lechones (6-20 kg)</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3,4</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2,6</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1,7</w:t>
            </w:r>
          </w:p>
        </w:tc>
      </w:tr>
      <w:tr w:rsidR="00E1758E" w:rsidRPr="00993936" w:rsidTr="008061C6">
        <w:trPr>
          <w:trHeight w:val="300"/>
        </w:trPr>
        <w:tc>
          <w:tcPr>
            <w:tcW w:w="662" w:type="pct"/>
            <w:vMerge/>
            <w:tcBorders>
              <w:left w:val="single" w:sz="8" w:space="0" w:color="auto"/>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single" w:sz="8" w:space="0" w:color="auto"/>
              <w:bottom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Ciclo cerrado</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3,4</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2,4</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2,5</w:t>
            </w:r>
          </w:p>
        </w:tc>
      </w:tr>
      <w:tr w:rsidR="00E1758E" w:rsidRPr="00993936" w:rsidTr="008061C6">
        <w:trPr>
          <w:trHeight w:val="300"/>
        </w:trPr>
        <w:tc>
          <w:tcPr>
            <w:tcW w:w="662"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Vacuno</w:t>
            </w:r>
          </w:p>
        </w:tc>
        <w:tc>
          <w:tcPr>
            <w:tcW w:w="669" w:type="pct"/>
            <w:vMerge w:val="restart"/>
            <w:tcBorders>
              <w:top w:val="single" w:sz="8" w:space="0" w:color="auto"/>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Purín</w:t>
            </w:r>
          </w:p>
        </w:tc>
        <w:tc>
          <w:tcPr>
            <w:tcW w:w="1587" w:type="pct"/>
            <w:tcBorders>
              <w:top w:val="single" w:sz="8" w:space="0" w:color="auto"/>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Vaca de leche</w:t>
            </w:r>
          </w:p>
        </w:tc>
        <w:tc>
          <w:tcPr>
            <w:tcW w:w="752" w:type="pct"/>
            <w:tcBorders>
              <w:top w:val="single" w:sz="8" w:space="0" w:color="auto"/>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3,3</w:t>
            </w:r>
          </w:p>
        </w:tc>
        <w:tc>
          <w:tcPr>
            <w:tcW w:w="740" w:type="pct"/>
            <w:tcBorders>
              <w:top w:val="single" w:sz="8" w:space="0" w:color="auto"/>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1,5</w:t>
            </w:r>
          </w:p>
        </w:tc>
        <w:tc>
          <w:tcPr>
            <w:tcW w:w="590" w:type="pct"/>
            <w:tcBorders>
              <w:top w:val="single" w:sz="8" w:space="0" w:color="auto"/>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3,4</w:t>
            </w:r>
          </w:p>
        </w:tc>
      </w:tr>
      <w:tr w:rsidR="00E1758E" w:rsidRPr="00993936" w:rsidTr="008061C6">
        <w:trPr>
          <w:trHeight w:val="300"/>
        </w:trPr>
        <w:tc>
          <w:tcPr>
            <w:tcW w:w="662"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bottom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Engorde de terneros</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5,2</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1,7</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3,6</w:t>
            </w:r>
          </w:p>
        </w:tc>
      </w:tr>
      <w:tr w:rsidR="00E1758E" w:rsidRPr="00993936" w:rsidTr="008061C6">
        <w:trPr>
          <w:trHeight w:val="300"/>
        </w:trPr>
        <w:tc>
          <w:tcPr>
            <w:tcW w:w="662"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val="restart"/>
            <w:tcBorders>
              <w:top w:val="single" w:sz="8" w:space="0" w:color="auto"/>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Estiércol</w:t>
            </w:r>
          </w:p>
          <w:p w:rsidR="00412AFB" w:rsidRPr="00993936" w:rsidRDefault="00412AFB" w:rsidP="008061C6">
            <w:pPr>
              <w:pStyle w:val="Sinespaciado"/>
              <w:rPr>
                <w:rFonts w:ascii="Arial" w:hAnsi="Arial" w:cs="Arial"/>
                <w:lang w:val="es-ES"/>
              </w:rPr>
            </w:pPr>
          </w:p>
        </w:tc>
        <w:tc>
          <w:tcPr>
            <w:tcW w:w="1587" w:type="pct"/>
            <w:tcBorders>
              <w:top w:val="single" w:sz="8" w:space="0" w:color="auto"/>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Vaca de leche</w:t>
            </w:r>
          </w:p>
        </w:tc>
        <w:tc>
          <w:tcPr>
            <w:tcW w:w="752" w:type="pct"/>
            <w:tcBorders>
              <w:top w:val="single" w:sz="8" w:space="0" w:color="auto"/>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5,5</w:t>
            </w:r>
          </w:p>
        </w:tc>
        <w:tc>
          <w:tcPr>
            <w:tcW w:w="740" w:type="pct"/>
            <w:tcBorders>
              <w:top w:val="single" w:sz="8" w:space="0" w:color="auto"/>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2,0</w:t>
            </w:r>
          </w:p>
        </w:tc>
        <w:tc>
          <w:tcPr>
            <w:tcW w:w="590" w:type="pct"/>
            <w:tcBorders>
              <w:top w:val="single" w:sz="8" w:space="0" w:color="auto"/>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7,9</w:t>
            </w:r>
          </w:p>
        </w:tc>
      </w:tr>
      <w:tr w:rsidR="00E1758E" w:rsidRPr="00993936" w:rsidTr="008061C6">
        <w:trPr>
          <w:trHeight w:val="300"/>
        </w:trPr>
        <w:tc>
          <w:tcPr>
            <w:tcW w:w="662"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Vaca de carne</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3,0</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2,0</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5,0</w:t>
            </w:r>
          </w:p>
        </w:tc>
      </w:tr>
      <w:tr w:rsidR="00E1758E" w:rsidRPr="00993936" w:rsidTr="008061C6">
        <w:trPr>
          <w:trHeight w:val="300"/>
        </w:trPr>
        <w:tc>
          <w:tcPr>
            <w:tcW w:w="662" w:type="pct"/>
            <w:vMerge/>
            <w:tcBorders>
              <w:left w:val="single" w:sz="8" w:space="0" w:color="auto"/>
              <w:bottom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bottom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Ternero de engorde</w:t>
            </w:r>
          </w:p>
        </w:tc>
        <w:tc>
          <w:tcPr>
            <w:tcW w:w="752" w:type="pct"/>
            <w:tcBorders>
              <w:top w:val="nil"/>
              <w:left w:val="nil"/>
              <w:bottom w:val="single" w:sz="8" w:space="0" w:color="auto"/>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6,0</w:t>
            </w:r>
          </w:p>
        </w:tc>
        <w:tc>
          <w:tcPr>
            <w:tcW w:w="740" w:type="pct"/>
            <w:tcBorders>
              <w:top w:val="nil"/>
              <w:left w:val="nil"/>
              <w:bottom w:val="single" w:sz="8" w:space="0" w:color="auto"/>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5,0</w:t>
            </w:r>
          </w:p>
        </w:tc>
        <w:tc>
          <w:tcPr>
            <w:tcW w:w="590" w:type="pct"/>
            <w:tcBorders>
              <w:top w:val="nil"/>
              <w:left w:val="nil"/>
              <w:bottom w:val="single" w:sz="8" w:space="0" w:color="auto"/>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6,0</w:t>
            </w:r>
          </w:p>
        </w:tc>
      </w:tr>
      <w:tr w:rsidR="00E1758E" w:rsidRPr="00993936" w:rsidTr="008061C6">
        <w:trPr>
          <w:trHeight w:val="300"/>
        </w:trPr>
        <w:tc>
          <w:tcPr>
            <w:tcW w:w="662"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Aves</w:t>
            </w:r>
          </w:p>
        </w:tc>
        <w:tc>
          <w:tcPr>
            <w:tcW w:w="669" w:type="pct"/>
            <w:vMerge w:val="restart"/>
            <w:tcBorders>
              <w:top w:val="nil"/>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Gallinaza</w:t>
            </w: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Pavo</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24,9</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25,8</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20,0</w:t>
            </w:r>
          </w:p>
        </w:tc>
      </w:tr>
      <w:tr w:rsidR="00E1758E" w:rsidRPr="00993936" w:rsidTr="008061C6">
        <w:trPr>
          <w:trHeight w:val="300"/>
        </w:trPr>
        <w:tc>
          <w:tcPr>
            <w:tcW w:w="662"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Pollo de engorde</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22,8</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21,1</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17,7</w:t>
            </w:r>
          </w:p>
        </w:tc>
      </w:tr>
      <w:tr w:rsidR="00E1758E" w:rsidRPr="00993936" w:rsidTr="008061C6">
        <w:trPr>
          <w:trHeight w:val="300"/>
        </w:trPr>
        <w:tc>
          <w:tcPr>
            <w:tcW w:w="662"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Gallina ponedora</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12,5</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10,4</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8,0</w:t>
            </w:r>
          </w:p>
        </w:tc>
      </w:tr>
      <w:tr w:rsidR="00E1758E" w:rsidRPr="00993936" w:rsidTr="008061C6">
        <w:trPr>
          <w:trHeight w:val="300"/>
        </w:trPr>
        <w:tc>
          <w:tcPr>
            <w:tcW w:w="662"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Gallina reproductora</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17,4</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33,9</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23,6</w:t>
            </w:r>
          </w:p>
        </w:tc>
      </w:tr>
      <w:tr w:rsidR="00E1758E" w:rsidRPr="00993936" w:rsidTr="008061C6">
        <w:trPr>
          <w:trHeight w:val="300"/>
        </w:trPr>
        <w:tc>
          <w:tcPr>
            <w:tcW w:w="662" w:type="pct"/>
            <w:vMerge/>
            <w:tcBorders>
              <w:left w:val="single" w:sz="8" w:space="0" w:color="auto"/>
              <w:bottom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bottom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Gallina de reposición</w:t>
            </w:r>
          </w:p>
        </w:tc>
        <w:tc>
          <w:tcPr>
            <w:tcW w:w="752" w:type="pct"/>
            <w:tcBorders>
              <w:top w:val="nil"/>
              <w:left w:val="nil"/>
              <w:bottom w:val="single" w:sz="8" w:space="0" w:color="auto"/>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19,5</w:t>
            </w:r>
          </w:p>
        </w:tc>
        <w:tc>
          <w:tcPr>
            <w:tcW w:w="740" w:type="pct"/>
            <w:tcBorders>
              <w:top w:val="nil"/>
              <w:left w:val="nil"/>
              <w:bottom w:val="single" w:sz="8" w:space="0" w:color="auto"/>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45,8</w:t>
            </w:r>
          </w:p>
        </w:tc>
        <w:tc>
          <w:tcPr>
            <w:tcW w:w="590" w:type="pct"/>
            <w:tcBorders>
              <w:top w:val="nil"/>
              <w:left w:val="nil"/>
              <w:bottom w:val="single" w:sz="8" w:space="0" w:color="auto"/>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25,5</w:t>
            </w:r>
          </w:p>
        </w:tc>
      </w:tr>
      <w:tr w:rsidR="00E1758E" w:rsidRPr="00993936" w:rsidTr="008061C6">
        <w:trPr>
          <w:trHeight w:val="300"/>
        </w:trPr>
        <w:tc>
          <w:tcPr>
            <w:tcW w:w="662"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Ovino-caprino</w:t>
            </w:r>
          </w:p>
        </w:tc>
        <w:tc>
          <w:tcPr>
            <w:tcW w:w="669" w:type="pct"/>
            <w:vMerge w:val="restart"/>
            <w:tcBorders>
              <w:top w:val="nil"/>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Estiércol</w:t>
            </w: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Oveja de carne</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9,4</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5,0</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10,0</w:t>
            </w:r>
          </w:p>
        </w:tc>
      </w:tr>
      <w:tr w:rsidR="00E1758E" w:rsidRPr="00993936" w:rsidTr="008061C6">
        <w:trPr>
          <w:trHeight w:val="300"/>
        </w:trPr>
        <w:tc>
          <w:tcPr>
            <w:tcW w:w="662"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Oveja de leche</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8,1</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3,2</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8,6</w:t>
            </w:r>
          </w:p>
        </w:tc>
      </w:tr>
      <w:tr w:rsidR="00E1758E" w:rsidRPr="00993936" w:rsidTr="008061C6">
        <w:trPr>
          <w:trHeight w:val="300"/>
        </w:trPr>
        <w:tc>
          <w:tcPr>
            <w:tcW w:w="662" w:type="pct"/>
            <w:vMerge/>
            <w:tcBorders>
              <w:left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vMerge/>
            <w:tcBorders>
              <w:left w:val="nil"/>
              <w:bottom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1587" w:type="pct"/>
            <w:tcBorders>
              <w:top w:val="nil"/>
              <w:left w:val="nil"/>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Cabra</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9,4</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5,0</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9,0</w:t>
            </w:r>
          </w:p>
        </w:tc>
      </w:tr>
      <w:tr w:rsidR="00E1758E" w:rsidRPr="00993936" w:rsidTr="008061C6">
        <w:trPr>
          <w:trHeight w:val="300"/>
        </w:trPr>
        <w:tc>
          <w:tcPr>
            <w:tcW w:w="662" w:type="pct"/>
            <w:vMerge/>
            <w:tcBorders>
              <w:left w:val="single" w:sz="8" w:space="0" w:color="auto"/>
              <w:bottom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p>
        </w:tc>
        <w:tc>
          <w:tcPr>
            <w:tcW w:w="669" w:type="pct"/>
            <w:tcBorders>
              <w:top w:val="nil"/>
              <w:left w:val="nil"/>
              <w:bottom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Purín</w:t>
            </w:r>
          </w:p>
        </w:tc>
        <w:tc>
          <w:tcPr>
            <w:tcW w:w="1587" w:type="pct"/>
            <w:tcBorders>
              <w:top w:val="single" w:sz="8" w:space="0" w:color="auto"/>
              <w:left w:val="nil"/>
              <w:bottom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Oveja de leche</w:t>
            </w:r>
          </w:p>
        </w:tc>
        <w:tc>
          <w:tcPr>
            <w:tcW w:w="752" w:type="pct"/>
            <w:tcBorders>
              <w:top w:val="single" w:sz="8" w:space="0" w:color="auto"/>
              <w:left w:val="nil"/>
              <w:bottom w:val="single" w:sz="8" w:space="0" w:color="auto"/>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7,3</w:t>
            </w:r>
          </w:p>
        </w:tc>
        <w:tc>
          <w:tcPr>
            <w:tcW w:w="740" w:type="pct"/>
            <w:tcBorders>
              <w:top w:val="single" w:sz="8" w:space="0" w:color="auto"/>
              <w:left w:val="nil"/>
              <w:bottom w:val="single" w:sz="8" w:space="0" w:color="auto"/>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3,4</w:t>
            </w:r>
          </w:p>
        </w:tc>
        <w:tc>
          <w:tcPr>
            <w:tcW w:w="590" w:type="pct"/>
            <w:tcBorders>
              <w:top w:val="single" w:sz="8" w:space="0" w:color="auto"/>
              <w:left w:val="nil"/>
              <w:bottom w:val="single" w:sz="8" w:space="0" w:color="auto"/>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7,1</w:t>
            </w:r>
          </w:p>
        </w:tc>
      </w:tr>
      <w:tr w:rsidR="00E1758E" w:rsidRPr="00993936" w:rsidTr="008061C6">
        <w:trPr>
          <w:trHeight w:val="300"/>
        </w:trPr>
        <w:tc>
          <w:tcPr>
            <w:tcW w:w="662" w:type="pct"/>
            <w:tcBorders>
              <w:top w:val="nil"/>
              <w:left w:val="single" w:sz="8" w:space="0" w:color="auto"/>
              <w:bottom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Equino</w:t>
            </w:r>
          </w:p>
        </w:tc>
        <w:tc>
          <w:tcPr>
            <w:tcW w:w="669"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Estiércol</w:t>
            </w:r>
          </w:p>
        </w:tc>
        <w:tc>
          <w:tcPr>
            <w:tcW w:w="1587" w:type="pct"/>
            <w:tcBorders>
              <w:top w:val="nil"/>
              <w:left w:val="single" w:sz="8" w:space="0" w:color="auto"/>
              <w:bottom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Caballo</w:t>
            </w:r>
          </w:p>
        </w:tc>
        <w:tc>
          <w:tcPr>
            <w:tcW w:w="752" w:type="pct"/>
            <w:tcBorders>
              <w:top w:val="nil"/>
              <w:left w:val="nil"/>
              <w:bottom w:val="single" w:sz="8" w:space="0" w:color="auto"/>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5,7</w:t>
            </w:r>
          </w:p>
        </w:tc>
        <w:tc>
          <w:tcPr>
            <w:tcW w:w="740" w:type="pct"/>
            <w:tcBorders>
              <w:top w:val="nil"/>
              <w:left w:val="nil"/>
              <w:bottom w:val="single" w:sz="8" w:space="0" w:color="auto"/>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2,1</w:t>
            </w:r>
          </w:p>
        </w:tc>
        <w:tc>
          <w:tcPr>
            <w:tcW w:w="590" w:type="pct"/>
            <w:tcBorders>
              <w:top w:val="nil"/>
              <w:left w:val="nil"/>
              <w:bottom w:val="single" w:sz="8" w:space="0" w:color="auto"/>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8,2</w:t>
            </w:r>
          </w:p>
        </w:tc>
      </w:tr>
      <w:tr w:rsidR="00E1758E" w:rsidRPr="00993936" w:rsidTr="008061C6">
        <w:trPr>
          <w:trHeight w:val="300"/>
        </w:trPr>
        <w:tc>
          <w:tcPr>
            <w:tcW w:w="662" w:type="pct"/>
            <w:tcBorders>
              <w:top w:val="single" w:sz="8" w:space="0" w:color="auto"/>
              <w:left w:val="single" w:sz="8" w:space="0" w:color="auto"/>
              <w:bottom w:val="nil"/>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Cunícola</w:t>
            </w:r>
          </w:p>
        </w:tc>
        <w:tc>
          <w:tcPr>
            <w:tcW w:w="669" w:type="pct"/>
            <w:tcBorders>
              <w:top w:val="single" w:sz="8" w:space="0" w:color="auto"/>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Estiércol</w:t>
            </w:r>
          </w:p>
        </w:tc>
        <w:tc>
          <w:tcPr>
            <w:tcW w:w="1587" w:type="pct"/>
            <w:tcBorders>
              <w:top w:val="nil"/>
              <w:left w:val="single" w:sz="8" w:space="0" w:color="auto"/>
              <w:bottom w:val="nil"/>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Conejo</w:t>
            </w:r>
          </w:p>
        </w:tc>
        <w:tc>
          <w:tcPr>
            <w:tcW w:w="752"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8,4</w:t>
            </w:r>
          </w:p>
        </w:tc>
        <w:tc>
          <w:tcPr>
            <w:tcW w:w="740" w:type="pct"/>
            <w:tcBorders>
              <w:top w:val="nil"/>
              <w:left w:val="nil"/>
              <w:bottom w:val="nil"/>
              <w:right w:val="nil"/>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10,3</w:t>
            </w:r>
          </w:p>
        </w:tc>
        <w:tc>
          <w:tcPr>
            <w:tcW w:w="590" w:type="pct"/>
            <w:tcBorders>
              <w:top w:val="nil"/>
              <w:left w:val="nil"/>
              <w:bottom w:val="nil"/>
              <w:right w:val="single" w:sz="8" w:space="0" w:color="auto"/>
            </w:tcBorders>
            <w:shd w:val="clear" w:color="auto" w:fill="FFFFFF"/>
          </w:tcPr>
          <w:p w:rsidR="00412AFB" w:rsidRPr="00993936" w:rsidRDefault="00412AFB" w:rsidP="008061C6">
            <w:pPr>
              <w:pStyle w:val="Sinespaciado"/>
              <w:rPr>
                <w:rFonts w:ascii="Arial" w:hAnsi="Arial" w:cs="Arial"/>
                <w:lang w:val="es-ES"/>
              </w:rPr>
            </w:pPr>
            <w:r w:rsidRPr="00993936">
              <w:rPr>
                <w:rFonts w:ascii="Arial" w:hAnsi="Arial" w:cs="Arial"/>
                <w:lang w:val="es-ES"/>
              </w:rPr>
              <w:t>9,5</w:t>
            </w:r>
          </w:p>
        </w:tc>
      </w:tr>
      <w:tr w:rsidR="00E1758E" w:rsidRPr="00993936" w:rsidTr="008061C6">
        <w:trPr>
          <w:trHeight w:val="300"/>
        </w:trPr>
        <w:tc>
          <w:tcPr>
            <w:tcW w:w="1331" w:type="pct"/>
            <w:gridSpan w:val="2"/>
            <w:vMerge w:val="restart"/>
            <w:tcBorders>
              <w:top w:val="single" w:sz="8" w:space="0" w:color="auto"/>
              <w:left w:val="single" w:sz="8" w:space="0" w:color="auto"/>
              <w:right w:val="nil"/>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Otros*</w:t>
            </w:r>
          </w:p>
          <w:p w:rsidR="00412AFB" w:rsidRPr="00993936" w:rsidRDefault="00412AFB" w:rsidP="008061C6">
            <w:pPr>
              <w:pStyle w:val="Sinespaciado"/>
              <w:rPr>
                <w:rFonts w:ascii="Arial" w:hAnsi="Arial" w:cs="Arial"/>
                <w:lang w:val="es-ES"/>
              </w:rPr>
            </w:pPr>
            <w:r w:rsidRPr="00993936">
              <w:rPr>
                <w:rFonts w:ascii="Arial" w:hAnsi="Arial" w:cs="Arial"/>
                <w:lang w:val="es-ES"/>
              </w:rPr>
              <w:t> </w:t>
            </w:r>
          </w:p>
        </w:tc>
        <w:tc>
          <w:tcPr>
            <w:tcW w:w="1587" w:type="pct"/>
            <w:tcBorders>
              <w:top w:val="single" w:sz="8" w:space="0" w:color="auto"/>
              <w:left w:val="single" w:sz="8" w:space="0" w:color="auto"/>
              <w:bottom w:val="nil"/>
              <w:right w:val="nil"/>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Compuesto de estiércol</w:t>
            </w:r>
          </w:p>
        </w:tc>
        <w:tc>
          <w:tcPr>
            <w:tcW w:w="752" w:type="pct"/>
            <w:tcBorders>
              <w:top w:val="single" w:sz="8" w:space="0" w:color="auto"/>
              <w:left w:val="nil"/>
              <w:bottom w:val="nil"/>
              <w:right w:val="nil"/>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12,0</w:t>
            </w:r>
          </w:p>
        </w:tc>
        <w:tc>
          <w:tcPr>
            <w:tcW w:w="740" w:type="pct"/>
            <w:tcBorders>
              <w:top w:val="single" w:sz="8" w:space="0" w:color="auto"/>
              <w:left w:val="nil"/>
              <w:bottom w:val="nil"/>
              <w:right w:val="nil"/>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15,6</w:t>
            </w:r>
          </w:p>
        </w:tc>
        <w:tc>
          <w:tcPr>
            <w:tcW w:w="590" w:type="pct"/>
            <w:tcBorders>
              <w:top w:val="single" w:sz="8" w:space="0" w:color="auto"/>
              <w:left w:val="nil"/>
              <w:bottom w:val="nil"/>
              <w:right w:val="single" w:sz="8" w:space="0" w:color="auto"/>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12,5</w:t>
            </w:r>
          </w:p>
        </w:tc>
      </w:tr>
      <w:tr w:rsidR="00E1758E" w:rsidRPr="00993936" w:rsidTr="008061C6">
        <w:trPr>
          <w:trHeight w:val="300"/>
        </w:trPr>
        <w:tc>
          <w:tcPr>
            <w:tcW w:w="1331" w:type="pct"/>
            <w:gridSpan w:val="2"/>
            <w:vMerge/>
            <w:tcBorders>
              <w:left w:val="single" w:sz="8" w:space="0" w:color="auto"/>
              <w:right w:val="nil"/>
            </w:tcBorders>
            <w:shd w:val="clear" w:color="auto" w:fill="FFFFFF"/>
            <w:noWrap/>
            <w:vAlign w:val="bottom"/>
          </w:tcPr>
          <w:p w:rsidR="00412AFB" w:rsidRPr="00993936" w:rsidRDefault="00412AFB" w:rsidP="008061C6">
            <w:pPr>
              <w:pStyle w:val="Sinespaciado"/>
              <w:rPr>
                <w:rFonts w:ascii="Arial" w:hAnsi="Arial" w:cs="Arial"/>
                <w:lang w:val="es-ES"/>
              </w:rPr>
            </w:pPr>
          </w:p>
        </w:tc>
        <w:tc>
          <w:tcPr>
            <w:tcW w:w="1587" w:type="pct"/>
            <w:tcBorders>
              <w:top w:val="nil"/>
              <w:left w:val="single" w:sz="8" w:space="0" w:color="auto"/>
              <w:bottom w:val="nil"/>
              <w:right w:val="nil"/>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Compuesto de lodos de depuradora</w:t>
            </w:r>
          </w:p>
        </w:tc>
        <w:tc>
          <w:tcPr>
            <w:tcW w:w="752" w:type="pct"/>
            <w:tcBorders>
              <w:top w:val="nil"/>
              <w:left w:val="nil"/>
              <w:bottom w:val="nil"/>
              <w:right w:val="nil"/>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18,8</w:t>
            </w:r>
          </w:p>
        </w:tc>
        <w:tc>
          <w:tcPr>
            <w:tcW w:w="740" w:type="pct"/>
            <w:tcBorders>
              <w:top w:val="nil"/>
              <w:left w:val="nil"/>
              <w:bottom w:val="nil"/>
              <w:right w:val="nil"/>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23,3</w:t>
            </w:r>
          </w:p>
        </w:tc>
        <w:tc>
          <w:tcPr>
            <w:tcW w:w="590" w:type="pct"/>
            <w:tcBorders>
              <w:top w:val="nil"/>
              <w:left w:val="nil"/>
              <w:bottom w:val="nil"/>
              <w:right w:val="single" w:sz="8" w:space="0" w:color="auto"/>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6,2</w:t>
            </w:r>
          </w:p>
        </w:tc>
      </w:tr>
      <w:tr w:rsidR="00E1758E" w:rsidRPr="00993936" w:rsidTr="008061C6">
        <w:trPr>
          <w:trHeight w:val="300"/>
        </w:trPr>
        <w:tc>
          <w:tcPr>
            <w:tcW w:w="1331" w:type="pct"/>
            <w:gridSpan w:val="2"/>
            <w:vMerge/>
            <w:tcBorders>
              <w:left w:val="single" w:sz="8" w:space="0" w:color="auto"/>
              <w:bottom w:val="single" w:sz="8" w:space="0" w:color="auto"/>
              <w:right w:val="nil"/>
            </w:tcBorders>
            <w:shd w:val="clear" w:color="auto" w:fill="FFFFFF"/>
            <w:noWrap/>
            <w:vAlign w:val="bottom"/>
          </w:tcPr>
          <w:p w:rsidR="00412AFB" w:rsidRPr="00993936" w:rsidRDefault="00412AFB" w:rsidP="008061C6">
            <w:pPr>
              <w:pStyle w:val="Sinespaciado"/>
              <w:rPr>
                <w:rFonts w:ascii="Arial" w:hAnsi="Arial" w:cs="Arial"/>
                <w:lang w:val="es-ES"/>
              </w:rPr>
            </w:pPr>
          </w:p>
        </w:tc>
        <w:tc>
          <w:tcPr>
            <w:tcW w:w="1587" w:type="pct"/>
            <w:tcBorders>
              <w:top w:val="nil"/>
              <w:left w:val="single" w:sz="8" w:space="0" w:color="auto"/>
              <w:bottom w:val="single" w:sz="8" w:space="0" w:color="auto"/>
              <w:right w:val="nil"/>
            </w:tcBorders>
            <w:shd w:val="clear" w:color="auto" w:fill="FFFFFF"/>
            <w:noWrap/>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Lodos de depuradora**</w:t>
            </w:r>
          </w:p>
        </w:tc>
        <w:tc>
          <w:tcPr>
            <w:tcW w:w="752" w:type="pct"/>
            <w:tcBorders>
              <w:top w:val="nil"/>
              <w:left w:val="nil"/>
              <w:bottom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10,5</w:t>
            </w:r>
          </w:p>
        </w:tc>
        <w:tc>
          <w:tcPr>
            <w:tcW w:w="740" w:type="pct"/>
            <w:tcBorders>
              <w:top w:val="nil"/>
              <w:left w:val="nil"/>
              <w:bottom w:val="single" w:sz="8" w:space="0" w:color="auto"/>
              <w:right w:val="nil"/>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13,0</w:t>
            </w:r>
          </w:p>
        </w:tc>
        <w:tc>
          <w:tcPr>
            <w:tcW w:w="590" w:type="pct"/>
            <w:tcBorders>
              <w:top w:val="nil"/>
              <w:left w:val="nil"/>
              <w:bottom w:val="single" w:sz="8" w:space="0" w:color="auto"/>
              <w:right w:val="single" w:sz="8" w:space="0" w:color="auto"/>
            </w:tcBorders>
            <w:shd w:val="clear" w:color="auto" w:fill="FFFFFF"/>
            <w:vAlign w:val="center"/>
          </w:tcPr>
          <w:p w:rsidR="00412AFB" w:rsidRPr="00993936" w:rsidRDefault="00412AFB" w:rsidP="008061C6">
            <w:pPr>
              <w:pStyle w:val="Sinespaciado"/>
              <w:rPr>
                <w:rFonts w:ascii="Arial" w:hAnsi="Arial" w:cs="Arial"/>
                <w:lang w:val="es-ES"/>
              </w:rPr>
            </w:pPr>
            <w:r w:rsidRPr="00993936">
              <w:rPr>
                <w:rFonts w:ascii="Arial" w:hAnsi="Arial" w:cs="Arial"/>
                <w:lang w:val="es-ES"/>
              </w:rPr>
              <w:t>1,2</w:t>
            </w:r>
          </w:p>
        </w:tc>
      </w:tr>
    </w:tbl>
    <w:p w:rsidR="00412AFB" w:rsidRPr="00993936" w:rsidRDefault="00412AFB" w:rsidP="00412AFB">
      <w:pPr>
        <w:rPr>
          <w:rFonts w:ascii="Arial" w:hAnsi="Arial" w:cs="Arial"/>
          <w:sz w:val="16"/>
          <w:szCs w:val="16"/>
          <w:lang w:val="es-ES"/>
        </w:rPr>
      </w:pPr>
      <w:r w:rsidRPr="00993936">
        <w:rPr>
          <w:rFonts w:ascii="Arial" w:hAnsi="Arial" w:cs="Arial"/>
          <w:sz w:val="16"/>
          <w:szCs w:val="16"/>
          <w:lang w:val="es-ES"/>
        </w:rPr>
        <w:t>* Estos materiales están sujetos a una variabilidad asociada a las materias primas utilizadas en cada planta.</w:t>
      </w:r>
    </w:p>
    <w:p w:rsidR="00412AFB" w:rsidRPr="00993936" w:rsidRDefault="00412AFB" w:rsidP="00412AFB">
      <w:pPr>
        <w:rPr>
          <w:rFonts w:ascii="Arial" w:hAnsi="Arial" w:cs="Arial"/>
          <w:sz w:val="16"/>
          <w:szCs w:val="16"/>
          <w:lang w:val="es-ES"/>
        </w:rPr>
      </w:pPr>
      <w:r w:rsidRPr="00993936">
        <w:rPr>
          <w:rFonts w:ascii="Arial" w:hAnsi="Arial" w:cs="Arial"/>
          <w:sz w:val="16"/>
          <w:szCs w:val="16"/>
          <w:lang w:val="es-ES"/>
        </w:rPr>
        <w:t>** Solo pueden utilizarse lodos de depuradora que hayan sido previamente tratados.</w:t>
      </w:r>
    </w:p>
    <w:p w:rsidR="00412AFB" w:rsidRPr="00993936" w:rsidRDefault="00412AFB" w:rsidP="00412AFB">
      <w:pPr>
        <w:rPr>
          <w:rFonts w:ascii="Arial" w:hAnsi="Arial" w:cs="Arial"/>
          <w:lang w:val="es-ES"/>
        </w:rPr>
      </w:pPr>
    </w:p>
    <w:p w:rsidR="00412AFB" w:rsidRPr="00993936" w:rsidRDefault="00412AFB" w:rsidP="00412AFB">
      <w:pPr>
        <w:pStyle w:val="Ttulo3"/>
        <w:rPr>
          <w:rFonts w:ascii="Arial" w:hAnsi="Arial" w:cs="Arial"/>
          <w:color w:val="auto"/>
          <w:lang w:val="es-ES"/>
        </w:rPr>
      </w:pPr>
    </w:p>
    <w:p w:rsidR="00412AFB" w:rsidRPr="00993936" w:rsidRDefault="00412AFB" w:rsidP="00412AFB">
      <w:pPr>
        <w:pStyle w:val="Ttulo3"/>
        <w:rPr>
          <w:rFonts w:ascii="Arial" w:hAnsi="Arial" w:cs="Arial"/>
          <w:color w:val="auto"/>
          <w:lang w:val="es-ES"/>
        </w:rPr>
      </w:pPr>
      <w:r w:rsidRPr="00993936">
        <w:rPr>
          <w:rFonts w:ascii="Arial" w:hAnsi="Arial" w:cs="Arial"/>
          <w:color w:val="auto"/>
          <w:lang w:val="es-ES"/>
        </w:rPr>
        <w:br w:type="page"/>
      </w:r>
      <w:r w:rsidRPr="00993936">
        <w:rPr>
          <w:rFonts w:ascii="Arial" w:hAnsi="Arial" w:cs="Arial"/>
          <w:color w:val="auto"/>
          <w:lang w:val="es-ES"/>
        </w:rPr>
        <w:lastRenderedPageBreak/>
        <w:t>ANEXO 5</w:t>
      </w:r>
    </w:p>
    <w:p w:rsidR="00412AFB" w:rsidRPr="00993936" w:rsidRDefault="00412AFB" w:rsidP="00412AFB">
      <w:pPr>
        <w:jc w:val="both"/>
        <w:rPr>
          <w:rFonts w:ascii="Arial" w:hAnsi="Arial" w:cs="Arial"/>
          <w:b/>
          <w:lang w:val="es-ES"/>
        </w:rPr>
      </w:pPr>
      <w:r w:rsidRPr="00993936">
        <w:rPr>
          <w:rFonts w:ascii="Arial" w:hAnsi="Arial" w:cs="Arial"/>
          <w:b/>
          <w:lang w:val="es-ES"/>
        </w:rPr>
        <w:t xml:space="preserve">5.1 Niveles orientativos de nutrientes en maíz (*) </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0"/>
        <w:gridCol w:w="1985"/>
        <w:gridCol w:w="2693"/>
        <w:gridCol w:w="2693"/>
      </w:tblGrid>
      <w:tr w:rsidR="00412AFB" w:rsidRPr="00993936" w:rsidTr="00202B3A">
        <w:trPr>
          <w:tblHeader/>
        </w:trPr>
        <w:tc>
          <w:tcPr>
            <w:tcW w:w="1701" w:type="dxa"/>
            <w:gridSpan w:val="2"/>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 xml:space="preserve"> Elemento</w:t>
            </w:r>
          </w:p>
        </w:tc>
        <w:tc>
          <w:tcPr>
            <w:tcW w:w="1985" w:type="dxa"/>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Bajo</w:t>
            </w:r>
          </w:p>
        </w:tc>
        <w:tc>
          <w:tcPr>
            <w:tcW w:w="2693" w:type="dxa"/>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Normal</w:t>
            </w:r>
          </w:p>
        </w:tc>
        <w:tc>
          <w:tcPr>
            <w:tcW w:w="2693" w:type="dxa"/>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Alto</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N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2,0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2,06– 3,5</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4,5</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P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0,1</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0,20-0,50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0,7</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K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1,0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1,7-2,2</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3,0</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Ca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0,2</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0,4 – 0,8</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1,5</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Mg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0,1</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0,2 – 0,4</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0,6</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S</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0,1</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0,15 – 0,40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0,7</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Fe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ppm</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20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40 – 250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350</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Mn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ppm</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10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20 – 250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350</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Cu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ppm</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2</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4 – 20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35</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Zn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ppm</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10</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20 – 65</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90</w:t>
            </w:r>
          </w:p>
        </w:tc>
      </w:tr>
      <w:tr w:rsidR="00412AFB" w:rsidRPr="00993936" w:rsidTr="00202B3A">
        <w:tc>
          <w:tcPr>
            <w:tcW w:w="851"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B </w:t>
            </w:r>
          </w:p>
        </w:tc>
        <w:tc>
          <w:tcPr>
            <w:tcW w:w="850"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ppm</w:t>
            </w:r>
          </w:p>
        </w:tc>
        <w:tc>
          <w:tcPr>
            <w:tcW w:w="1985"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&lt; 2</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 xml:space="preserve">4-25 </w:t>
            </w:r>
          </w:p>
        </w:tc>
        <w:tc>
          <w:tcPr>
            <w:tcW w:w="2693" w:type="dxa"/>
          </w:tcPr>
          <w:p w:rsidR="00412AFB" w:rsidRPr="00993936" w:rsidRDefault="00412AFB" w:rsidP="00C8678E">
            <w:pPr>
              <w:jc w:val="center"/>
              <w:rPr>
                <w:rFonts w:ascii="Arial" w:hAnsi="Arial" w:cs="Arial"/>
                <w:sz w:val="20"/>
                <w:lang w:val="es-ES"/>
              </w:rPr>
            </w:pPr>
            <w:r w:rsidRPr="00993936">
              <w:rPr>
                <w:rFonts w:ascii="Arial" w:hAnsi="Arial" w:cs="Arial"/>
                <w:sz w:val="20"/>
                <w:lang w:val="es-ES"/>
              </w:rPr>
              <w:t>&gt; 40</w:t>
            </w:r>
          </w:p>
        </w:tc>
      </w:tr>
    </w:tbl>
    <w:p w:rsidR="00412AFB" w:rsidRPr="00993936" w:rsidRDefault="00412AFB" w:rsidP="00412AFB">
      <w:pPr>
        <w:pStyle w:val="Textoindependiente"/>
        <w:rPr>
          <w:rFonts w:cs="Arial"/>
          <w:lang w:val="es-ES"/>
        </w:rPr>
      </w:pPr>
      <w:r w:rsidRPr="00993936">
        <w:rPr>
          <w:rFonts w:cs="Arial"/>
          <w:lang w:val="es-ES"/>
        </w:rPr>
        <w:t>(*) Niveles determinados en la hoja de la espiga (sin el pecíolo), después de la polinización.</w:t>
      </w:r>
    </w:p>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ANEXO 6</w:t>
      </w:r>
    </w:p>
    <w:p w:rsidR="00412AFB" w:rsidRPr="00993936" w:rsidRDefault="00412AFB" w:rsidP="00412AFB">
      <w:pPr>
        <w:jc w:val="both"/>
        <w:rPr>
          <w:rFonts w:ascii="Arial" w:hAnsi="Arial" w:cs="Arial"/>
          <w:b/>
          <w:lang w:val="es-ES"/>
        </w:rPr>
      </w:pPr>
      <w:r w:rsidRPr="00993936">
        <w:rPr>
          <w:rFonts w:ascii="Arial" w:hAnsi="Arial" w:cs="Arial"/>
          <w:b/>
          <w:lang w:val="es-ES"/>
        </w:rPr>
        <w:t>6.1 Método Merrien-Keller para el cálculo del coeficiente de uniformidad de un sistema de riego</w:t>
      </w:r>
    </w:p>
    <w:p w:rsidR="00412AFB" w:rsidRPr="00993936" w:rsidRDefault="00412AFB" w:rsidP="00412AFB">
      <w:pPr>
        <w:jc w:val="both"/>
        <w:rPr>
          <w:rFonts w:ascii="Arial" w:hAnsi="Arial" w:cs="Arial"/>
          <w:lang w:val="es-ES"/>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412AFB" w:rsidRPr="00993936" w:rsidTr="00C8678E">
        <w:tc>
          <w:tcPr>
            <w:tcW w:w="496" w:type="dxa"/>
          </w:tcPr>
          <w:p w:rsidR="00412AFB" w:rsidRPr="00993936" w:rsidRDefault="00412AFB" w:rsidP="00C8678E">
            <w:pPr>
              <w:jc w:val="both"/>
              <w:rPr>
                <w:rFonts w:ascii="Arial" w:hAnsi="Arial" w:cs="Arial"/>
                <w:lang w:val="es-ES"/>
              </w:rPr>
            </w:pPr>
          </w:p>
        </w:tc>
        <w:tc>
          <w:tcPr>
            <w:tcW w:w="283" w:type="dxa"/>
          </w:tcPr>
          <w:p w:rsidR="00412AFB" w:rsidRPr="00993936" w:rsidRDefault="00412AFB" w:rsidP="00C8678E">
            <w:pPr>
              <w:jc w:val="both"/>
              <w:rPr>
                <w:rFonts w:ascii="Arial" w:hAnsi="Arial" w:cs="Arial"/>
                <w:lang w:val="es-ES"/>
              </w:rPr>
            </w:pPr>
          </w:p>
        </w:tc>
        <w:tc>
          <w:tcPr>
            <w:tcW w:w="709" w:type="dxa"/>
          </w:tcPr>
          <w:p w:rsidR="00412AFB" w:rsidRPr="00993936" w:rsidRDefault="00412AFB" w:rsidP="00C8678E">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25 %</w:t>
            </w:r>
          </w:p>
        </w:tc>
        <w:tc>
          <w:tcPr>
            <w:tcW w:w="283" w:type="dxa"/>
          </w:tcPr>
          <w:p w:rsidR="00412AFB" w:rsidRPr="00993936" w:rsidRDefault="00412AFB" w:rsidP="00C8678E">
            <w:pPr>
              <w:jc w:val="both"/>
              <w:rPr>
                <w:rFonts w:ascii="Arial" w:hAnsi="Arial" w:cs="Arial"/>
                <w:lang w:val="es-ES"/>
              </w:rPr>
            </w:pPr>
          </w:p>
        </w:tc>
        <w:tc>
          <w:tcPr>
            <w:tcW w:w="4804"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r w:rsidR="00412AFB" w:rsidRPr="00993936" w:rsidTr="00C8678E">
        <w:tc>
          <w:tcPr>
            <w:tcW w:w="496" w:type="dxa"/>
          </w:tcPr>
          <w:p w:rsidR="00412AFB" w:rsidRPr="00993936" w:rsidRDefault="00412AFB" w:rsidP="00C8678E">
            <w:pPr>
              <w:jc w:val="both"/>
              <w:rPr>
                <w:rFonts w:ascii="Arial" w:hAnsi="Arial" w:cs="Arial"/>
                <w:lang w:val="es-ES"/>
              </w:rPr>
            </w:pPr>
            <w:r w:rsidRPr="00993936">
              <w:rPr>
                <w:rFonts w:ascii="Arial" w:hAnsi="Arial" w:cs="Arial"/>
                <w:noProof/>
                <w:lang w:val="es-ES" w:eastAsia="es-ES"/>
              </w:rPr>
              <mc:AlternateContent>
                <mc:Choice Requires="wps">
                  <w:drawing>
                    <wp:anchor distT="0" distB="0" distL="114300" distR="114300" simplePos="0" relativeHeight="251459584" behindDoc="0" locked="0" layoutInCell="0" allowOverlap="1">
                      <wp:simplePos x="0" y="0"/>
                      <wp:positionH relativeFrom="column">
                        <wp:posOffset>471170</wp:posOffset>
                      </wp:positionH>
                      <wp:positionV relativeFrom="paragraph">
                        <wp:posOffset>100965</wp:posOffset>
                      </wp:positionV>
                      <wp:extent cx="365760" cy="0"/>
                      <wp:effectExtent l="13970" t="5715" r="10795" b="13335"/>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09117C" id="Conector recto 62" o:spid="_x0000_s1026" style="position:absolute;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EKGgIAADM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" o:allowincell="f"/>
                  </w:pict>
                </mc:Fallback>
              </mc:AlternateContent>
            </w:r>
            <w:r w:rsidRPr="00993936">
              <w:rPr>
                <w:rFonts w:ascii="Arial" w:hAnsi="Arial" w:cs="Arial"/>
                <w:lang w:val="es-ES"/>
              </w:rPr>
              <w:t>CU</w:t>
            </w:r>
          </w:p>
        </w:tc>
        <w:tc>
          <w:tcPr>
            <w:tcW w:w="283"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709" w:type="dxa"/>
          </w:tcPr>
          <w:p w:rsidR="00412AFB" w:rsidRPr="00993936" w:rsidRDefault="00412AFB" w:rsidP="00C8678E">
            <w:pPr>
              <w:jc w:val="center"/>
              <w:rPr>
                <w:rFonts w:ascii="Arial" w:hAnsi="Arial" w:cs="Arial"/>
                <w:lang w:val="es-ES"/>
              </w:rPr>
            </w:pPr>
          </w:p>
        </w:tc>
        <w:tc>
          <w:tcPr>
            <w:tcW w:w="283" w:type="dxa"/>
          </w:tcPr>
          <w:p w:rsidR="00412AFB" w:rsidRPr="00993936" w:rsidRDefault="00412AFB" w:rsidP="00C8678E">
            <w:pPr>
              <w:jc w:val="both"/>
              <w:rPr>
                <w:rFonts w:ascii="Arial" w:hAnsi="Arial" w:cs="Arial"/>
                <w:lang w:val="es-ES"/>
              </w:rPr>
            </w:pPr>
            <w:r w:rsidRPr="00993936">
              <w:rPr>
                <w:rFonts w:ascii="Arial" w:hAnsi="Arial" w:cs="Arial"/>
                <w:lang w:val="es-ES"/>
              </w:rPr>
              <w:t>x</w:t>
            </w:r>
          </w:p>
        </w:tc>
        <w:tc>
          <w:tcPr>
            <w:tcW w:w="4804" w:type="dxa"/>
          </w:tcPr>
          <w:p w:rsidR="00412AFB" w:rsidRPr="00993936" w:rsidRDefault="00412AFB" w:rsidP="00C8678E">
            <w:pPr>
              <w:jc w:val="both"/>
              <w:rPr>
                <w:rFonts w:ascii="Arial" w:hAnsi="Arial" w:cs="Arial"/>
                <w:lang w:val="es-ES"/>
              </w:rPr>
            </w:pPr>
            <w:r w:rsidRPr="00993936">
              <w:rPr>
                <w:rFonts w:ascii="Arial" w:hAnsi="Arial" w:cs="Arial"/>
                <w:lang w:val="es-ES"/>
              </w:rPr>
              <w:t>100</w:t>
            </w: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r w:rsidR="00412AFB" w:rsidRPr="00993936" w:rsidTr="00C8678E">
        <w:tc>
          <w:tcPr>
            <w:tcW w:w="496" w:type="dxa"/>
          </w:tcPr>
          <w:p w:rsidR="00412AFB" w:rsidRPr="00993936" w:rsidRDefault="00412AFB" w:rsidP="00C8678E">
            <w:pPr>
              <w:jc w:val="both"/>
              <w:rPr>
                <w:rFonts w:ascii="Arial" w:hAnsi="Arial" w:cs="Arial"/>
                <w:lang w:val="es-ES"/>
              </w:rPr>
            </w:pPr>
          </w:p>
        </w:tc>
        <w:tc>
          <w:tcPr>
            <w:tcW w:w="283" w:type="dxa"/>
          </w:tcPr>
          <w:p w:rsidR="00412AFB" w:rsidRPr="00993936" w:rsidRDefault="00412AFB" w:rsidP="00C8678E">
            <w:pPr>
              <w:jc w:val="both"/>
              <w:rPr>
                <w:rFonts w:ascii="Arial" w:hAnsi="Arial" w:cs="Arial"/>
                <w:lang w:val="es-ES"/>
              </w:rPr>
            </w:pPr>
          </w:p>
        </w:tc>
        <w:tc>
          <w:tcPr>
            <w:tcW w:w="709" w:type="dxa"/>
          </w:tcPr>
          <w:p w:rsidR="00412AFB" w:rsidRPr="00993936" w:rsidRDefault="00412AFB" w:rsidP="00C8678E">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3" w:type="dxa"/>
          </w:tcPr>
          <w:p w:rsidR="00412AFB" w:rsidRPr="00993936" w:rsidRDefault="00412AFB" w:rsidP="00C8678E">
            <w:pPr>
              <w:jc w:val="both"/>
              <w:rPr>
                <w:rFonts w:ascii="Arial" w:hAnsi="Arial" w:cs="Arial"/>
                <w:lang w:val="es-ES"/>
              </w:rPr>
            </w:pPr>
          </w:p>
        </w:tc>
        <w:tc>
          <w:tcPr>
            <w:tcW w:w="4804"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bl>
    <w:p w:rsidR="00412AFB" w:rsidRPr="00993936" w:rsidRDefault="00412AFB" w:rsidP="00412AFB">
      <w:pPr>
        <w:jc w:val="both"/>
        <w:rPr>
          <w:rFonts w:ascii="Arial" w:hAnsi="Arial" w:cs="Arial"/>
          <w:b/>
          <w:snapToGrid w:val="0"/>
          <w:lang w:val="es-E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412AFB" w:rsidRPr="00993936" w:rsidTr="00C8678E">
        <w:tc>
          <w:tcPr>
            <w:tcW w:w="779" w:type="dxa"/>
          </w:tcPr>
          <w:p w:rsidR="00412AFB" w:rsidRPr="00993936" w:rsidRDefault="00412AFB" w:rsidP="00C8678E">
            <w:pPr>
              <w:jc w:val="both"/>
              <w:rPr>
                <w:rFonts w:ascii="Arial" w:hAnsi="Arial" w:cs="Arial"/>
                <w:lang w:val="es-ES"/>
              </w:rPr>
            </w:pPr>
            <w:r w:rsidRPr="00993936">
              <w:rPr>
                <w:rFonts w:ascii="Arial" w:hAnsi="Arial" w:cs="Arial"/>
                <w:lang w:val="es-ES"/>
              </w:rPr>
              <w:t>CU</w:t>
            </w:r>
          </w:p>
        </w:tc>
        <w:tc>
          <w:tcPr>
            <w:tcW w:w="284"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8147"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Coeficiente de uniformidad.</w:t>
            </w:r>
          </w:p>
        </w:tc>
      </w:tr>
      <w:tr w:rsidR="00412AFB" w:rsidRPr="00993936" w:rsidTr="00C8678E">
        <w:tc>
          <w:tcPr>
            <w:tcW w:w="779" w:type="dxa"/>
          </w:tcPr>
          <w:p w:rsidR="00412AFB" w:rsidRPr="00993936" w:rsidRDefault="00412AFB" w:rsidP="00C8678E">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25 %</w:t>
            </w:r>
          </w:p>
        </w:tc>
        <w:tc>
          <w:tcPr>
            <w:tcW w:w="284"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8147" w:type="dxa"/>
          </w:tcPr>
          <w:p w:rsidR="00412AFB" w:rsidRPr="00993936" w:rsidRDefault="00412AFB" w:rsidP="00C8678E">
            <w:pPr>
              <w:jc w:val="both"/>
              <w:outlineLvl w:val="0"/>
              <w:rPr>
                <w:rFonts w:ascii="Arial" w:hAnsi="Arial" w:cs="Arial"/>
                <w:sz w:val="20"/>
                <w:lang w:val="es-ES"/>
              </w:rPr>
            </w:pPr>
            <w:r w:rsidRPr="00993936">
              <w:rPr>
                <w:rFonts w:ascii="Arial" w:hAnsi="Arial" w:cs="Arial"/>
                <w:sz w:val="20"/>
                <w:lang w:val="es-ES"/>
              </w:rPr>
              <w:t>Media aritmética del caudal de descarga del 25 % de los emisores con caudal más reducido.</w:t>
            </w:r>
          </w:p>
        </w:tc>
      </w:tr>
      <w:tr w:rsidR="00412AFB" w:rsidRPr="00993936" w:rsidTr="00C8678E">
        <w:tc>
          <w:tcPr>
            <w:tcW w:w="779" w:type="dxa"/>
          </w:tcPr>
          <w:p w:rsidR="00412AFB" w:rsidRPr="00993936" w:rsidRDefault="00412AFB" w:rsidP="00C8678E">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4"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8147" w:type="dxa"/>
          </w:tcPr>
          <w:p w:rsidR="00412AFB" w:rsidRPr="00993936" w:rsidRDefault="00412AFB" w:rsidP="00C8678E">
            <w:pPr>
              <w:jc w:val="both"/>
              <w:rPr>
                <w:rFonts w:ascii="Arial" w:hAnsi="Arial" w:cs="Arial"/>
                <w:lang w:val="es-ES"/>
              </w:rPr>
            </w:pPr>
            <w:r w:rsidRPr="00993936">
              <w:rPr>
                <w:rFonts w:ascii="Arial" w:hAnsi="Arial" w:cs="Arial"/>
                <w:sz w:val="20"/>
                <w:lang w:val="es-ES"/>
              </w:rPr>
              <w:t>Caudal medio de todos los emisores</w:t>
            </w:r>
            <w:r w:rsidRPr="00993936">
              <w:rPr>
                <w:rFonts w:ascii="Arial" w:hAnsi="Arial" w:cs="Arial"/>
                <w:lang w:val="es-ES"/>
              </w:rPr>
              <w:t>.</w:t>
            </w:r>
          </w:p>
        </w:tc>
      </w:tr>
      <w:tr w:rsidR="00412AFB" w:rsidRPr="00993936" w:rsidTr="00C8678E">
        <w:trPr>
          <w:trHeight w:val="476"/>
        </w:trPr>
        <w:tc>
          <w:tcPr>
            <w:tcW w:w="779" w:type="dxa"/>
          </w:tcPr>
          <w:p w:rsidR="00412AFB" w:rsidRPr="00993936" w:rsidRDefault="00412AFB" w:rsidP="00C8678E">
            <w:pPr>
              <w:jc w:val="both"/>
              <w:rPr>
                <w:rFonts w:ascii="Arial" w:hAnsi="Arial" w:cs="Arial"/>
                <w:lang w:val="es-ES"/>
              </w:rPr>
            </w:pPr>
            <w:r w:rsidRPr="00993936">
              <w:rPr>
                <w:rFonts w:ascii="Arial" w:hAnsi="Arial" w:cs="Arial"/>
                <w:lang w:val="es-ES"/>
              </w:rPr>
              <w:t>n</w:t>
            </w:r>
          </w:p>
        </w:tc>
        <w:tc>
          <w:tcPr>
            <w:tcW w:w="284"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8147" w:type="dxa"/>
          </w:tcPr>
          <w:p w:rsidR="00412AFB" w:rsidRPr="00993936" w:rsidRDefault="00412AFB" w:rsidP="00C8678E">
            <w:pPr>
              <w:jc w:val="both"/>
              <w:rPr>
                <w:rFonts w:ascii="Arial" w:hAnsi="Arial" w:cs="Arial"/>
                <w:sz w:val="20"/>
                <w:lang w:val="es-ES"/>
              </w:rPr>
            </w:pPr>
            <w:r w:rsidRPr="00993936">
              <w:rPr>
                <w:rFonts w:ascii="Arial" w:hAnsi="Arial" w:cs="Arial"/>
                <w:sz w:val="20"/>
                <w:lang w:val="es-ES"/>
              </w:rPr>
              <w:t xml:space="preserve">Número de unidades o puntos de control (Se recomienda que </w:t>
            </w:r>
            <w:r w:rsidR="001C3311" w:rsidRPr="00993936">
              <w:rPr>
                <w:rFonts w:ascii="Arial" w:hAnsi="Arial" w:cs="Arial"/>
                <w:sz w:val="20"/>
                <w:lang w:val="es-ES"/>
              </w:rPr>
              <w:t>n ≥ 16</w:t>
            </w:r>
            <w:r w:rsidRPr="00993936">
              <w:rPr>
                <w:rFonts w:ascii="Arial" w:hAnsi="Arial" w:cs="Arial"/>
                <w:sz w:val="20"/>
                <w:lang w:val="es-ES"/>
              </w:rPr>
              <w:t>). En caso de que la unidad de control tenga más de un emisor, el caudal total que hay que considerar será la suma del caudal de todos los emisores que constituyen la unidad.</w:t>
            </w:r>
            <w:r w:rsidR="008061C6" w:rsidRPr="00993936">
              <w:rPr>
                <w:rFonts w:ascii="Arial" w:hAnsi="Arial" w:cs="Arial"/>
                <w:sz w:val="20"/>
                <w:lang w:val="es-ES"/>
              </w:rPr>
              <w:t xml:space="preserve"> </w:t>
            </w:r>
          </w:p>
          <w:p w:rsidR="00412AFB" w:rsidRPr="00993936" w:rsidRDefault="00412AFB" w:rsidP="00C8678E">
            <w:pPr>
              <w:jc w:val="both"/>
              <w:rPr>
                <w:rFonts w:ascii="Arial" w:hAnsi="Arial" w:cs="Arial"/>
                <w:lang w:val="es-ES"/>
              </w:rPr>
            </w:pPr>
          </w:p>
        </w:tc>
      </w:tr>
    </w:tbl>
    <w:p w:rsidR="00202B3A" w:rsidRPr="00993936" w:rsidRDefault="00202B3A" w:rsidP="00412AFB">
      <w:pPr>
        <w:jc w:val="both"/>
        <w:rPr>
          <w:rFonts w:ascii="Arial" w:hAnsi="Arial" w:cs="Arial"/>
          <w:b/>
          <w:sz w:val="24"/>
          <w:szCs w:val="24"/>
          <w:lang w:val="es-ES"/>
        </w:rPr>
      </w:pPr>
    </w:p>
    <w:p w:rsidR="00202B3A" w:rsidRPr="00993936" w:rsidRDefault="00202B3A" w:rsidP="00412AFB">
      <w:pPr>
        <w:jc w:val="both"/>
        <w:rPr>
          <w:rFonts w:ascii="Arial" w:hAnsi="Arial" w:cs="Arial"/>
          <w:b/>
          <w:sz w:val="24"/>
          <w:szCs w:val="24"/>
          <w:lang w:val="es-ES"/>
        </w:rPr>
      </w:pPr>
    </w:p>
    <w:p w:rsidR="00202B3A" w:rsidRPr="00993936" w:rsidRDefault="00202B3A" w:rsidP="008061C6">
      <w:pPr>
        <w:pStyle w:val="Ttulo2"/>
        <w:jc w:val="both"/>
        <w:rPr>
          <w:rFonts w:ascii="Arial" w:hAnsi="Arial" w:cs="Arial"/>
          <w:b/>
          <w:noProof/>
          <w:color w:val="auto"/>
          <w:sz w:val="20"/>
          <w:szCs w:val="22"/>
          <w:lang w:val="es-ES"/>
        </w:rPr>
      </w:pPr>
      <w:r w:rsidRPr="00993936">
        <w:rPr>
          <w:rFonts w:ascii="Arial" w:hAnsi="Arial" w:cs="Arial"/>
          <w:b/>
          <w:noProof/>
          <w:color w:val="auto"/>
          <w:sz w:val="20"/>
          <w:szCs w:val="22"/>
          <w:lang w:val="es-ES"/>
        </w:rPr>
        <w:t>Anexo II</w:t>
      </w:r>
      <w:r w:rsidR="008061C6" w:rsidRPr="00993936">
        <w:rPr>
          <w:rFonts w:ascii="Arial" w:hAnsi="Arial" w:cs="Arial"/>
          <w:b/>
          <w:noProof/>
          <w:color w:val="auto"/>
          <w:sz w:val="20"/>
          <w:szCs w:val="22"/>
          <w:lang w:val="es-ES"/>
        </w:rPr>
        <w:t xml:space="preserve">: </w:t>
      </w:r>
      <w:r w:rsidRPr="00993936">
        <w:rPr>
          <w:rFonts w:ascii="Arial" w:hAnsi="Arial" w:cs="Arial"/>
          <w:b/>
          <w:noProof/>
          <w:color w:val="auto"/>
          <w:sz w:val="20"/>
          <w:szCs w:val="22"/>
          <w:lang w:val="es-ES"/>
        </w:rPr>
        <w:t>NORMA TÉCNICA PARA LA PRODUCCIÓN INTEGRADA DE CEREALES DE INVIERNO</w:t>
      </w:r>
    </w:p>
    <w:p w:rsidR="00202B3A" w:rsidRPr="00993936" w:rsidRDefault="00202B3A" w:rsidP="001D205D">
      <w:pPr>
        <w:pStyle w:val="Encabezado"/>
        <w:tabs>
          <w:tab w:val="clear" w:pos="4252"/>
          <w:tab w:val="clear" w:pos="8504"/>
        </w:tabs>
        <w:rPr>
          <w:rFonts w:ascii="Arial" w:hAnsi="Arial" w:cs="Arial"/>
          <w:noProof/>
          <w:lang w:val="es-ES"/>
        </w:rPr>
      </w:pPr>
    </w:p>
    <w:p w:rsidR="00202B3A" w:rsidRPr="00993936" w:rsidRDefault="00202B3A" w:rsidP="001D205D">
      <w:pPr>
        <w:jc w:val="both"/>
        <w:rPr>
          <w:rFonts w:ascii="Arial" w:hAnsi="Arial" w:cs="Arial"/>
          <w:b/>
          <w:noProof/>
          <w:lang w:val="es-ES"/>
        </w:rPr>
      </w:pPr>
      <w:r w:rsidRPr="00993936">
        <w:rPr>
          <w:rFonts w:ascii="Arial" w:hAnsi="Arial" w:cs="Arial"/>
          <w:b/>
          <w:noProof/>
          <w:lang w:val="es-ES"/>
        </w:rPr>
        <w:t>DEFINICIONES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A los efectos de esta norma se entenderá por</w:t>
      </w:r>
      <w:r w:rsidRPr="00993936">
        <w:rPr>
          <w:rFonts w:ascii="Arial" w:hAnsi="Arial" w:cs="Arial"/>
          <w:noProof/>
          <w:vanish/>
          <w:lang w:val="es-ES"/>
        </w:rPr>
        <w:t>&lt;A[por|para]&gt;</w:t>
      </w:r>
      <w:r w:rsidRPr="00993936">
        <w:rPr>
          <w:rFonts w:ascii="Arial" w:hAnsi="Arial" w:cs="Arial"/>
          <w:noProof/>
          <w:lang w:val="es-ES"/>
        </w:rPr>
        <w:t>:</w:t>
      </w:r>
    </w:p>
    <w:p w:rsidR="00202B3A" w:rsidRPr="00993936" w:rsidRDefault="00202B3A" w:rsidP="001D205D">
      <w:pPr>
        <w:jc w:val="both"/>
        <w:rPr>
          <w:rFonts w:ascii="Arial" w:hAnsi="Arial" w:cs="Arial"/>
          <w:noProof/>
          <w:lang w:val="es-ES"/>
        </w:rPr>
      </w:pPr>
      <w:r w:rsidRPr="00993936">
        <w:rPr>
          <w:rFonts w:ascii="Arial" w:hAnsi="Arial" w:cs="Arial"/>
          <w:i/>
          <w:noProof/>
          <w:lang w:val="es-ES"/>
        </w:rPr>
        <w:t>Agrupación de Producción Integrada:</w:t>
      </w:r>
      <w:r w:rsidRPr="00993936">
        <w:rPr>
          <w:rFonts w:ascii="Arial" w:hAnsi="Arial" w:cs="Arial"/>
          <w:noProof/>
          <w:lang w:val="es-ES"/>
        </w:rPr>
        <w:t xml:space="preserve"> aquella agrupación de operadores constituida bajo cualquier fórmula jurídica o integrada en otra agrupación previamente constituida y reconocida por la autoridad competente con el objetivo de obtener productos vegetales bajo los requisitos de producción integrada para ser comercializados.</w:t>
      </w:r>
    </w:p>
    <w:p w:rsidR="00202B3A" w:rsidRPr="00993936" w:rsidRDefault="00202B3A" w:rsidP="001D205D">
      <w:pPr>
        <w:jc w:val="both"/>
        <w:rPr>
          <w:rFonts w:ascii="Arial" w:hAnsi="Arial" w:cs="Arial"/>
          <w:noProof/>
          <w:lang w:val="es-ES"/>
        </w:rPr>
      </w:pPr>
      <w:r w:rsidRPr="00993936">
        <w:rPr>
          <w:rFonts w:ascii="Arial" w:hAnsi="Arial" w:cs="Arial"/>
          <w:i/>
          <w:noProof/>
          <w:lang w:val="es-ES"/>
        </w:rPr>
        <w:t>Análisis de Peligros y Puestos de Control Críticos (APPCC):</w:t>
      </w:r>
      <w:r w:rsidRPr="00993936">
        <w:rPr>
          <w:rFonts w:ascii="Arial" w:hAnsi="Arial" w:cs="Arial"/>
          <w:noProof/>
          <w:lang w:val="es-ES"/>
        </w:rPr>
        <w:t xml:space="preserve"> enfoque sistemático de base científica que permite identificar riesgos específicos y medidas para el control, con la finalidad de asegurar la inocuidad de los alimentos. Es un instrumento para evaluar los riesgos y establecer sistemas de control que se orientan hacia la prevención en lugar de fundamentarse en el análisis del producto final.</w:t>
      </w:r>
    </w:p>
    <w:p w:rsidR="00202B3A" w:rsidRPr="00993936" w:rsidRDefault="00202B3A" w:rsidP="001D205D">
      <w:pPr>
        <w:jc w:val="both"/>
        <w:rPr>
          <w:rFonts w:ascii="Arial" w:hAnsi="Arial" w:cs="Arial"/>
          <w:i/>
          <w:noProof/>
          <w:lang w:val="es-ES"/>
        </w:rPr>
      </w:pPr>
      <w:r w:rsidRPr="00993936">
        <w:rPr>
          <w:rFonts w:ascii="Arial" w:hAnsi="Arial" w:cs="Arial"/>
          <w:i/>
          <w:noProof/>
          <w:lang w:val="es-ES"/>
        </w:rPr>
        <w:t xml:space="preserve">Biodiversidad: </w:t>
      </w:r>
      <w:r w:rsidRPr="00993936">
        <w:rPr>
          <w:rFonts w:ascii="Arial" w:hAnsi="Arial" w:cs="Arial"/>
          <w:noProof/>
          <w:lang w:val="es-ES"/>
        </w:rPr>
        <w:t>conjunto de especies</w:t>
      </w:r>
      <w:r w:rsidRPr="00993936">
        <w:rPr>
          <w:rFonts w:ascii="Arial" w:hAnsi="Arial" w:cs="Arial"/>
          <w:noProof/>
          <w:vanish/>
          <w:lang w:val="es-ES"/>
        </w:rPr>
        <w:t>&lt;A[especies|especias]&gt;</w:t>
      </w:r>
      <w:r w:rsidRPr="00993936">
        <w:rPr>
          <w:rFonts w:ascii="Arial" w:hAnsi="Arial" w:cs="Arial"/>
          <w:noProof/>
          <w:lang w:val="es-ES"/>
        </w:rPr>
        <w:t xml:space="preserve"> diferentes que vive en un ecosistema determinado.</w:t>
      </w:r>
    </w:p>
    <w:p w:rsidR="00202B3A" w:rsidRPr="00993936" w:rsidRDefault="00202B3A" w:rsidP="001D205D">
      <w:pPr>
        <w:jc w:val="both"/>
        <w:rPr>
          <w:rFonts w:ascii="Arial" w:hAnsi="Arial" w:cs="Arial"/>
          <w:noProof/>
          <w:lang w:val="es-ES"/>
        </w:rPr>
      </w:pPr>
      <w:r w:rsidRPr="00993936">
        <w:rPr>
          <w:rFonts w:ascii="Arial" w:hAnsi="Arial" w:cs="Arial"/>
          <w:i/>
          <w:noProof/>
          <w:lang w:val="es-ES"/>
        </w:rPr>
        <w:t>Buenas prácticas fitosanitarias:</w:t>
      </w:r>
      <w:r w:rsidRPr="00993936">
        <w:rPr>
          <w:rFonts w:ascii="Arial" w:hAnsi="Arial" w:cs="Arial"/>
          <w:noProof/>
          <w:lang w:val="es-ES"/>
        </w:rPr>
        <w:t xml:space="preserve"> utilizar productos fitosanitarios y otros medios de defensa fitosanitaria bajo las condiciones de uso autorizadas.</w:t>
      </w:r>
    </w:p>
    <w:p w:rsidR="00202B3A" w:rsidRPr="00993936" w:rsidRDefault="00202B3A" w:rsidP="001D205D">
      <w:pPr>
        <w:jc w:val="both"/>
        <w:rPr>
          <w:rFonts w:ascii="Arial" w:hAnsi="Arial" w:cs="Arial"/>
          <w:noProof/>
          <w:lang w:val="es-ES"/>
        </w:rPr>
      </w:pPr>
      <w:r w:rsidRPr="00993936">
        <w:rPr>
          <w:rFonts w:ascii="Arial" w:hAnsi="Arial" w:cs="Arial"/>
          <w:i/>
          <w:noProof/>
          <w:lang w:val="es-ES"/>
        </w:rPr>
        <w:t>Coeficiente de uniformidad:</w:t>
      </w:r>
      <w:r w:rsidRPr="00993936">
        <w:rPr>
          <w:rFonts w:ascii="Arial" w:hAnsi="Arial" w:cs="Arial"/>
          <w:noProof/>
          <w:lang w:val="es-ES"/>
        </w:rPr>
        <w:t xml:space="preserve"> valor obtenido de aplicar una fórmula que indica la uniformidad en la distribución del agua aplicada por el sistema de riego. </w:t>
      </w:r>
    </w:p>
    <w:p w:rsidR="00202B3A" w:rsidRPr="00993936" w:rsidRDefault="00202B3A" w:rsidP="001D205D">
      <w:pPr>
        <w:jc w:val="both"/>
        <w:rPr>
          <w:rFonts w:ascii="Arial" w:hAnsi="Arial" w:cs="Arial"/>
          <w:noProof/>
          <w:lang w:val="es-ES"/>
        </w:rPr>
      </w:pPr>
      <w:r w:rsidRPr="00993936">
        <w:rPr>
          <w:rFonts w:ascii="Arial" w:hAnsi="Arial" w:cs="Arial"/>
          <w:i/>
          <w:noProof/>
          <w:lang w:val="es-ES"/>
        </w:rPr>
        <w:t xml:space="preserve">Comercialización: </w:t>
      </w:r>
      <w:r w:rsidRPr="00993936">
        <w:rPr>
          <w:rFonts w:ascii="Arial" w:hAnsi="Arial" w:cs="Arial"/>
          <w:noProof/>
          <w:lang w:val="es-ES"/>
        </w:rPr>
        <w:t>la venta o el suministro de una persona operadora a uno otra persona operadora o consumidora, incluida la disposición, el almacenamiento, la exposición para la venta o el ofrecimiento para vender productos vegetales.</w:t>
      </w:r>
    </w:p>
    <w:p w:rsidR="00202B3A" w:rsidRPr="00993936" w:rsidRDefault="00202B3A" w:rsidP="001D205D">
      <w:pPr>
        <w:jc w:val="both"/>
        <w:rPr>
          <w:rFonts w:ascii="Arial" w:hAnsi="Arial" w:cs="Arial"/>
          <w:noProof/>
          <w:lang w:val="es-ES"/>
        </w:rPr>
      </w:pPr>
      <w:r w:rsidRPr="00993936">
        <w:rPr>
          <w:rFonts w:ascii="Arial" w:hAnsi="Arial" w:cs="Arial"/>
          <w:i/>
          <w:lang w:val="es-ES"/>
        </w:rPr>
        <w:t>Control o lucha integrada:</w:t>
      </w:r>
      <w:r w:rsidRPr="00993936">
        <w:rPr>
          <w:rFonts w:ascii="Arial" w:hAnsi="Arial" w:cs="Arial"/>
          <w:b/>
          <w:lang w:val="es-ES"/>
        </w:rPr>
        <w:t xml:space="preserve"> </w:t>
      </w:r>
      <w:r w:rsidRPr="00993936">
        <w:rPr>
          <w:rFonts w:ascii="Arial" w:hAnsi="Arial" w:cs="Arial"/>
          <w:lang w:val="es-ES"/>
        </w:rPr>
        <w:t>la aplicación racional de una combinación de medidas biológicas, físicas, biotecnológicas, químicas, de cultivo o de selección de vegetales, de manera que la utilización de productos fitosanitarios se limite al mínimo necesario para controlar las plagas.</w:t>
      </w:r>
    </w:p>
    <w:p w:rsidR="00202B3A" w:rsidRPr="00993936" w:rsidRDefault="00202B3A" w:rsidP="001D205D">
      <w:pPr>
        <w:jc w:val="both"/>
        <w:rPr>
          <w:rFonts w:ascii="Arial" w:hAnsi="Arial" w:cs="Arial"/>
          <w:noProof/>
          <w:lang w:val="es-ES"/>
        </w:rPr>
      </w:pPr>
      <w:r w:rsidRPr="00993936">
        <w:rPr>
          <w:rFonts w:ascii="Arial" w:hAnsi="Arial" w:cs="Arial"/>
          <w:i/>
          <w:noProof/>
          <w:lang w:val="es-ES"/>
        </w:rPr>
        <w:t>Criterio de intervención:</w:t>
      </w:r>
      <w:r w:rsidRPr="00993936">
        <w:rPr>
          <w:rFonts w:ascii="Arial" w:hAnsi="Arial" w:cs="Arial"/>
          <w:noProof/>
          <w:lang w:val="es-ES"/>
        </w:rPr>
        <w:t xml:space="preserve"> conjunto de condiciones que permiten justificar la realización de un tratamiento contra una plaga o agente patógeno.</w:t>
      </w:r>
    </w:p>
    <w:p w:rsidR="00202B3A" w:rsidRPr="00993936" w:rsidRDefault="00202B3A" w:rsidP="001D205D">
      <w:pPr>
        <w:jc w:val="both"/>
        <w:rPr>
          <w:rFonts w:ascii="Arial" w:hAnsi="Arial" w:cs="Arial"/>
          <w:i/>
          <w:noProof/>
          <w:lang w:val="es-ES"/>
        </w:rPr>
      </w:pPr>
      <w:r w:rsidRPr="00993936">
        <w:rPr>
          <w:rFonts w:ascii="Arial" w:hAnsi="Arial" w:cs="Arial"/>
          <w:i/>
          <w:noProof/>
          <w:lang w:val="es-ES"/>
        </w:rPr>
        <w:t>Cultivo:</w:t>
      </w:r>
      <w:r w:rsidRPr="00993936">
        <w:rPr>
          <w:rFonts w:ascii="Arial" w:hAnsi="Arial" w:cs="Arial"/>
          <w:noProof/>
          <w:lang w:val="es-ES"/>
        </w:rPr>
        <w:t xml:space="preserve"> para cada especie la totalidad de la producción que gestiona un agricultor</w:t>
      </w:r>
      <w:r w:rsidRPr="00993936">
        <w:rPr>
          <w:rFonts w:ascii="Arial" w:hAnsi="Arial" w:cs="Arial"/>
          <w:i/>
          <w:noProof/>
          <w:lang w:val="es-ES"/>
        </w:rPr>
        <w:t>.</w:t>
      </w:r>
    </w:p>
    <w:p w:rsidR="00202B3A" w:rsidRPr="00993936" w:rsidRDefault="00202B3A" w:rsidP="001D205D">
      <w:pPr>
        <w:jc w:val="both"/>
        <w:rPr>
          <w:rFonts w:ascii="Arial" w:hAnsi="Arial" w:cs="Arial"/>
          <w:noProof/>
          <w:lang w:val="es-ES"/>
        </w:rPr>
      </w:pPr>
      <w:r w:rsidRPr="00993936">
        <w:rPr>
          <w:rFonts w:ascii="Arial" w:hAnsi="Arial" w:cs="Arial"/>
          <w:i/>
          <w:noProof/>
          <w:lang w:val="es-ES"/>
        </w:rPr>
        <w:t>Ecosistema:</w:t>
      </w:r>
      <w:r w:rsidRPr="00993936">
        <w:rPr>
          <w:rFonts w:ascii="Arial" w:hAnsi="Arial" w:cs="Arial"/>
          <w:noProof/>
          <w:lang w:val="es-ES"/>
        </w:rPr>
        <w:t xml:space="preserve"> sistema formado por el conjunto de seres vivos presentes en un lugar</w:t>
      </w:r>
      <w:r w:rsidRPr="00993936">
        <w:rPr>
          <w:rFonts w:ascii="Arial" w:hAnsi="Arial" w:cs="Arial"/>
          <w:noProof/>
          <w:vanish/>
          <w:lang w:val="es-ES"/>
        </w:rPr>
        <w:t>&lt;A[lugar|sitio]&gt;</w:t>
      </w:r>
      <w:r w:rsidRPr="00993936">
        <w:rPr>
          <w:rFonts w:ascii="Arial" w:hAnsi="Arial" w:cs="Arial"/>
          <w:noProof/>
          <w:lang w:val="es-ES"/>
        </w:rPr>
        <w:t xml:space="preserve"> determinado y el medio ambiente que le es propio.</w:t>
      </w:r>
    </w:p>
    <w:p w:rsidR="00202B3A" w:rsidRPr="00993936" w:rsidRDefault="00202B3A" w:rsidP="001D205D">
      <w:pPr>
        <w:jc w:val="both"/>
        <w:rPr>
          <w:rFonts w:ascii="Arial" w:hAnsi="Arial" w:cs="Arial"/>
          <w:noProof/>
          <w:lang w:val="es-ES"/>
        </w:rPr>
      </w:pPr>
      <w:r w:rsidRPr="00993936">
        <w:rPr>
          <w:rFonts w:ascii="Arial" w:hAnsi="Arial" w:cs="Arial"/>
          <w:i/>
          <w:noProof/>
          <w:lang w:val="es-ES"/>
        </w:rPr>
        <w:t>Enemigo natural:</w:t>
      </w:r>
      <w:r w:rsidRPr="00993936">
        <w:rPr>
          <w:rFonts w:ascii="Arial" w:hAnsi="Arial" w:cs="Arial"/>
          <w:noProof/>
          <w:lang w:val="es-ES"/>
        </w:rPr>
        <w:t xml:space="preserve"> insecto o ácaro que actúa como agente de control biológico interaccionando con las plagas del cultivo, depredándolas o parasitándolas.</w:t>
      </w:r>
    </w:p>
    <w:p w:rsidR="00202B3A" w:rsidRPr="00993936" w:rsidRDefault="00202B3A" w:rsidP="001D205D">
      <w:pPr>
        <w:jc w:val="both"/>
        <w:rPr>
          <w:rFonts w:ascii="Arial" w:hAnsi="Arial" w:cs="Arial"/>
          <w:noProof/>
          <w:lang w:val="es-ES"/>
        </w:rPr>
      </w:pPr>
      <w:r w:rsidRPr="00993936">
        <w:rPr>
          <w:rFonts w:ascii="Arial" w:hAnsi="Arial" w:cs="Arial"/>
          <w:i/>
          <w:noProof/>
          <w:lang w:val="es-ES"/>
        </w:rPr>
        <w:t>Entidades de Certificación:</w:t>
      </w:r>
      <w:r w:rsidRPr="00993936">
        <w:rPr>
          <w:rFonts w:ascii="Arial" w:hAnsi="Arial" w:cs="Arial"/>
          <w:noProof/>
          <w:lang w:val="es-ES"/>
        </w:rPr>
        <w:t xml:space="preserve"> son aquellas entidades acreditadas por la Entidad Nacional de Acreditación (ENAC) para realizar las funciones de control y certificación, donde deberá estar sometida la producción para que los productos obtenidos puedan ser </w:t>
      </w:r>
      <w:r w:rsidRPr="00993936">
        <w:rPr>
          <w:rFonts w:ascii="Arial" w:hAnsi="Arial" w:cs="Arial"/>
          <w:noProof/>
          <w:lang w:val="es-ES"/>
        </w:rPr>
        <w:lastRenderedPageBreak/>
        <w:t>diferenciados con un distintivo de garantía de producción integrada, de acuerdo con el Decreto 241/2002 (DOGC nº. 3744, de 21.10.2002) o, si ocurre, las acreditadas por cualquier otro organismo acreditativo firmando del Acuerdo Multilateral de Reconocimiento del European Cooperation for Acreditation (EA).</w:t>
      </w:r>
    </w:p>
    <w:p w:rsidR="00202B3A" w:rsidRPr="00993936" w:rsidRDefault="00202B3A" w:rsidP="001D205D">
      <w:pPr>
        <w:jc w:val="both"/>
        <w:rPr>
          <w:rFonts w:ascii="Arial" w:hAnsi="Arial" w:cs="Arial"/>
          <w:noProof/>
          <w:lang w:val="es-ES"/>
        </w:rPr>
      </w:pPr>
      <w:r w:rsidRPr="00993936">
        <w:rPr>
          <w:rFonts w:ascii="Arial" w:hAnsi="Arial" w:cs="Arial"/>
          <w:i/>
          <w:noProof/>
          <w:lang w:val="es-ES"/>
        </w:rPr>
        <w:t>Especie mejorando:</w:t>
      </w:r>
      <w:r w:rsidRPr="00993936">
        <w:rPr>
          <w:rFonts w:ascii="Arial" w:hAnsi="Arial" w:cs="Arial"/>
          <w:noProof/>
          <w:lang w:val="es-ES"/>
        </w:rPr>
        <w:t xml:space="preserve"> especie vegetal, normalmente gramíneas o leguminosas, que por</w:t>
      </w:r>
      <w:r w:rsidRPr="00993936">
        <w:rPr>
          <w:rFonts w:ascii="Arial" w:hAnsi="Arial" w:cs="Arial"/>
          <w:noProof/>
          <w:vanish/>
          <w:lang w:val="es-ES"/>
        </w:rPr>
        <w:t>&lt;A[por|para]&gt;</w:t>
      </w:r>
      <w:r w:rsidRPr="00993936">
        <w:rPr>
          <w:rFonts w:ascii="Arial" w:hAnsi="Arial" w:cs="Arial"/>
          <w:noProof/>
          <w:lang w:val="es-ES"/>
        </w:rPr>
        <w:t xml:space="preserve"> sus características biológicas mejoran las propiedades fisicoquímicas del suelo durante su cultivo.</w:t>
      </w:r>
    </w:p>
    <w:p w:rsidR="00202B3A" w:rsidRPr="00993936" w:rsidRDefault="00202B3A" w:rsidP="001D205D">
      <w:pPr>
        <w:jc w:val="both"/>
        <w:rPr>
          <w:rFonts w:ascii="Arial" w:hAnsi="Arial" w:cs="Arial"/>
          <w:lang w:val="es-ES"/>
        </w:rPr>
      </w:pPr>
      <w:r w:rsidRPr="00993936">
        <w:rPr>
          <w:rFonts w:ascii="Arial" w:hAnsi="Arial" w:cs="Arial"/>
          <w:i/>
          <w:lang w:val="es-ES"/>
        </w:rPr>
        <w:t>Etiquetado:</w:t>
      </w:r>
      <w:r w:rsidRPr="00993936">
        <w:rPr>
          <w:rFonts w:ascii="Arial" w:hAnsi="Arial" w:cs="Arial"/>
          <w:lang w:val="es-ES"/>
        </w:rPr>
        <w:t xml:space="preserve"> todas las menciones, las indicaciones, las identificaciones de fábrica o de comercio, las imágenes o los signos que figuran en los envases, documentos, letreros, etiquetas, argollas</w:t>
      </w:r>
      <w:r w:rsidRPr="00993936">
        <w:rPr>
          <w:rFonts w:ascii="Arial" w:hAnsi="Arial" w:cs="Arial"/>
          <w:vanish/>
          <w:lang w:val="es-ES"/>
        </w:rPr>
        <w:t>&lt;A[argollas|servilleteros]&gt;</w:t>
      </w:r>
      <w:r w:rsidRPr="00993936">
        <w:rPr>
          <w:rFonts w:ascii="Arial" w:hAnsi="Arial" w:cs="Arial"/>
          <w:lang w:val="es-ES"/>
        </w:rPr>
        <w:t xml:space="preserve"> o collares que acompañan o se refieran a productos que prevé el Decreto 241/2002.</w:t>
      </w:r>
    </w:p>
    <w:p w:rsidR="00202B3A" w:rsidRPr="00993936" w:rsidRDefault="00202B3A" w:rsidP="001D205D">
      <w:pPr>
        <w:jc w:val="both"/>
        <w:rPr>
          <w:rFonts w:ascii="Arial" w:hAnsi="Arial" w:cs="Arial"/>
          <w:lang w:val="es-ES"/>
        </w:rPr>
      </w:pPr>
      <w:r w:rsidRPr="00993936">
        <w:rPr>
          <w:rFonts w:ascii="Arial" w:hAnsi="Arial" w:cs="Arial"/>
          <w:i/>
          <w:lang w:val="es-ES"/>
        </w:rPr>
        <w:t>Explotación:</w:t>
      </w:r>
      <w:r w:rsidRPr="00993936">
        <w:rPr>
          <w:rFonts w:ascii="Arial" w:hAnsi="Arial" w:cs="Arial"/>
          <w:b/>
          <w:lang w:val="es-ES"/>
        </w:rPr>
        <w:t xml:space="preserve"> </w:t>
      </w:r>
      <w:r w:rsidRPr="00993936">
        <w:rPr>
          <w:rFonts w:ascii="Arial" w:hAnsi="Arial" w:cs="Arial"/>
          <w:lang w:val="es-ES"/>
        </w:rPr>
        <w:t>conjunto de bienes productivos que dan origen a una actividad económica.</w:t>
      </w:r>
    </w:p>
    <w:p w:rsidR="00202B3A" w:rsidRPr="00993936" w:rsidRDefault="00202B3A" w:rsidP="001D205D">
      <w:pPr>
        <w:jc w:val="both"/>
        <w:rPr>
          <w:rFonts w:ascii="Arial" w:hAnsi="Arial" w:cs="Arial"/>
          <w:noProof/>
          <w:lang w:val="es-ES"/>
        </w:rPr>
      </w:pPr>
      <w:r w:rsidRPr="00993936">
        <w:rPr>
          <w:rFonts w:ascii="Arial" w:hAnsi="Arial" w:cs="Arial"/>
          <w:i/>
          <w:noProof/>
          <w:lang w:val="es-ES"/>
        </w:rPr>
        <w:t>Fauna auxiliar:</w:t>
      </w:r>
      <w:r w:rsidRPr="00993936">
        <w:rPr>
          <w:rFonts w:ascii="Arial" w:hAnsi="Arial" w:cs="Arial"/>
          <w:noProof/>
          <w:lang w:val="es-ES"/>
        </w:rPr>
        <w:t xml:space="preserve"> ved enemigo natural.</w:t>
      </w:r>
    </w:p>
    <w:p w:rsidR="00202B3A" w:rsidRPr="00993936" w:rsidRDefault="00202B3A" w:rsidP="001D205D">
      <w:pPr>
        <w:jc w:val="both"/>
        <w:rPr>
          <w:rFonts w:ascii="Arial" w:hAnsi="Arial" w:cs="Arial"/>
          <w:i/>
          <w:noProof/>
          <w:lang w:val="es-ES"/>
        </w:rPr>
      </w:pPr>
      <w:r w:rsidRPr="00993936">
        <w:rPr>
          <w:rFonts w:ascii="Arial" w:hAnsi="Arial" w:cs="Arial"/>
          <w:i/>
          <w:noProof/>
          <w:lang w:val="es-ES"/>
        </w:rPr>
        <w:t xml:space="preserve">Hoja: </w:t>
      </w:r>
      <w:r w:rsidRPr="00993936">
        <w:rPr>
          <w:rFonts w:ascii="Arial" w:hAnsi="Arial" w:cs="Arial"/>
          <w:noProof/>
          <w:lang w:val="es-ES"/>
        </w:rPr>
        <w:t>término utilizado en la rotación de cultivos para indicar el número de cultivos que la integran.</w:t>
      </w:r>
    </w:p>
    <w:p w:rsidR="00202B3A" w:rsidRPr="00993936" w:rsidRDefault="00202B3A" w:rsidP="001D205D">
      <w:pPr>
        <w:jc w:val="both"/>
        <w:rPr>
          <w:rFonts w:ascii="Arial" w:hAnsi="Arial" w:cs="Arial"/>
          <w:noProof/>
          <w:lang w:val="es-ES"/>
        </w:rPr>
      </w:pPr>
      <w:r w:rsidRPr="00993936">
        <w:rPr>
          <w:rFonts w:ascii="Arial" w:hAnsi="Arial" w:cs="Arial"/>
          <w:i/>
          <w:noProof/>
          <w:lang w:val="es-ES"/>
        </w:rPr>
        <w:t>Herbigación:</w:t>
      </w:r>
      <w:r w:rsidRPr="00993936">
        <w:rPr>
          <w:rFonts w:ascii="Arial" w:hAnsi="Arial" w:cs="Arial"/>
          <w:noProof/>
          <w:lang w:val="es-ES"/>
        </w:rPr>
        <w:t xml:space="preserve"> Aplicación de herbicidas a través de las instalaciones de riego localizado.</w:t>
      </w:r>
    </w:p>
    <w:p w:rsidR="00202B3A" w:rsidRPr="00993936" w:rsidRDefault="00202B3A" w:rsidP="001D205D">
      <w:pPr>
        <w:jc w:val="both"/>
        <w:rPr>
          <w:rFonts w:ascii="Arial" w:hAnsi="Arial" w:cs="Arial"/>
          <w:noProof/>
          <w:lang w:val="es-ES"/>
        </w:rPr>
      </w:pPr>
      <w:r w:rsidRPr="00993936">
        <w:rPr>
          <w:rFonts w:ascii="Arial" w:hAnsi="Arial" w:cs="Arial"/>
          <w:i/>
          <w:noProof/>
          <w:lang w:val="es-ES"/>
        </w:rPr>
        <w:t>Método de Merrien-Keller:</w:t>
      </w:r>
      <w:r w:rsidRPr="00993936">
        <w:rPr>
          <w:rFonts w:ascii="Arial" w:hAnsi="Arial" w:cs="Arial"/>
          <w:noProof/>
          <w:lang w:val="es-ES"/>
        </w:rPr>
        <w:t xml:space="preserve"> método de cálculo del coeficiente de uniformidad de un sistema de riego, expresado por la fórmula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202B3A" w:rsidRPr="00993936">
        <w:trPr>
          <w:cantSplit/>
        </w:trPr>
        <w:tc>
          <w:tcPr>
            <w:tcW w:w="921" w:type="dxa"/>
            <w:vMerge w:val="restart"/>
            <w:tcBorders>
              <w:top w:val="nil"/>
              <w:left w:val="nil"/>
              <w:bottom w:val="nil"/>
              <w:right w:val="nil"/>
            </w:tcBorders>
            <w:vAlign w:val="center"/>
          </w:tcPr>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CU = </w:t>
            </w:r>
          </w:p>
        </w:tc>
        <w:tc>
          <w:tcPr>
            <w:tcW w:w="992" w:type="dxa"/>
            <w:tcBorders>
              <w:top w:val="nil"/>
              <w:left w:val="nil"/>
              <w:bottom w:val="single" w:sz="4" w:space="0" w:color="auto"/>
              <w:right w:val="nil"/>
            </w:tcBorders>
          </w:tcPr>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Q </w:t>
            </w:r>
            <w:r w:rsidRPr="00993936">
              <w:rPr>
                <w:rFonts w:ascii="Arial" w:hAnsi="Arial" w:cs="Arial"/>
                <w:noProof/>
                <w:vertAlign w:val="subscript"/>
                <w:lang w:val="es-ES"/>
              </w:rPr>
              <w:t>25%</w:t>
            </w:r>
          </w:p>
        </w:tc>
        <w:tc>
          <w:tcPr>
            <w:tcW w:w="992" w:type="dxa"/>
            <w:vMerge w:val="restart"/>
            <w:tcBorders>
              <w:top w:val="nil"/>
              <w:left w:val="nil"/>
              <w:bottom w:val="nil"/>
              <w:right w:val="nil"/>
            </w:tcBorders>
            <w:vAlign w:val="center"/>
          </w:tcPr>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 X 100</w:t>
            </w:r>
          </w:p>
        </w:tc>
      </w:tr>
      <w:tr w:rsidR="00202B3A" w:rsidRPr="00993936">
        <w:trPr>
          <w:cantSplit/>
        </w:trPr>
        <w:tc>
          <w:tcPr>
            <w:tcW w:w="921" w:type="dxa"/>
            <w:vMerge/>
            <w:tcBorders>
              <w:top w:val="nil"/>
              <w:left w:val="nil"/>
              <w:bottom w:val="nil"/>
              <w:right w:val="nil"/>
            </w:tcBorders>
          </w:tcPr>
          <w:p w:rsidR="00202B3A" w:rsidRPr="00993936" w:rsidRDefault="00202B3A" w:rsidP="001D205D">
            <w:pPr>
              <w:jc w:val="both"/>
              <w:rPr>
                <w:rFonts w:ascii="Arial" w:hAnsi="Arial" w:cs="Arial"/>
                <w:noProof/>
                <w:lang w:val="es-ES"/>
              </w:rPr>
            </w:pPr>
          </w:p>
        </w:tc>
        <w:tc>
          <w:tcPr>
            <w:tcW w:w="992" w:type="dxa"/>
            <w:tcBorders>
              <w:top w:val="single" w:sz="4" w:space="0" w:color="auto"/>
              <w:left w:val="nil"/>
              <w:bottom w:val="nil"/>
              <w:right w:val="nil"/>
            </w:tcBorders>
          </w:tcPr>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Q </w:t>
            </w:r>
            <w:r w:rsidRPr="00993936">
              <w:rPr>
                <w:rFonts w:ascii="Arial" w:hAnsi="Arial" w:cs="Arial"/>
                <w:noProof/>
                <w:vertAlign w:val="subscript"/>
                <w:lang w:val="es-ES"/>
              </w:rPr>
              <w:t>n</w:t>
            </w:r>
          </w:p>
        </w:tc>
        <w:tc>
          <w:tcPr>
            <w:tcW w:w="992" w:type="dxa"/>
            <w:vMerge/>
            <w:tcBorders>
              <w:top w:val="nil"/>
              <w:left w:val="nil"/>
              <w:bottom w:val="nil"/>
              <w:right w:val="nil"/>
            </w:tcBorders>
          </w:tcPr>
          <w:p w:rsidR="00202B3A" w:rsidRPr="00993936" w:rsidRDefault="00202B3A" w:rsidP="001D205D">
            <w:pPr>
              <w:jc w:val="both"/>
              <w:rPr>
                <w:rFonts w:ascii="Arial" w:hAnsi="Arial" w:cs="Arial"/>
                <w:noProof/>
                <w:lang w:val="es-ES"/>
              </w:rPr>
            </w:pPr>
          </w:p>
        </w:tc>
      </w:tr>
    </w:tbl>
    <w:p w:rsidR="00202B3A" w:rsidRPr="00993936" w:rsidRDefault="00202B3A" w:rsidP="001D205D">
      <w:pPr>
        <w:jc w:val="both"/>
        <w:rPr>
          <w:rFonts w:ascii="Arial" w:hAnsi="Arial" w:cs="Arial"/>
          <w:noProof/>
          <w:lang w:val="es-ES"/>
        </w:rPr>
      </w:pPr>
      <w:r w:rsidRPr="00993936">
        <w:rPr>
          <w:rFonts w:ascii="Arial" w:hAnsi="Arial" w:cs="Arial"/>
          <w:noProof/>
          <w:lang w:val="es-ES"/>
        </w:rPr>
        <w:t>Donde Q</w:t>
      </w:r>
      <w:r w:rsidRPr="00993936">
        <w:rPr>
          <w:rFonts w:ascii="Arial" w:hAnsi="Arial" w:cs="Arial"/>
          <w:noProof/>
          <w:vertAlign w:val="subscript"/>
          <w:lang w:val="es-ES"/>
        </w:rPr>
        <w:t>25%</w:t>
      </w:r>
      <w:r w:rsidRPr="00993936">
        <w:rPr>
          <w:rFonts w:ascii="Arial" w:hAnsi="Arial" w:cs="Arial"/>
          <w:noProof/>
          <w:lang w:val="es-ES"/>
        </w:rPr>
        <w:t xml:space="preserve"> es la media del caudal de la descarga del 25% de los emisores del caudal más reducido;  Qn es el caudal medio de todos los emisores, y n el número de unidades o puestos de control (se recomienda que n ≥ 16). Cuando la unidad de control tenga más de un emisor, el caudal total a considerar será la suma del caudal de todos los emisores que constituyen la unidad.</w:t>
      </w:r>
    </w:p>
    <w:p w:rsidR="00202B3A" w:rsidRPr="00993936" w:rsidRDefault="00202B3A" w:rsidP="001D205D">
      <w:pPr>
        <w:jc w:val="both"/>
        <w:rPr>
          <w:rFonts w:ascii="Arial" w:hAnsi="Arial" w:cs="Arial"/>
          <w:lang w:val="es-ES"/>
        </w:rPr>
      </w:pPr>
      <w:r w:rsidRPr="00993936">
        <w:rPr>
          <w:rFonts w:ascii="Arial" w:hAnsi="Arial" w:cs="Arial"/>
          <w:i/>
          <w:lang w:val="es-ES"/>
        </w:rPr>
        <w:t>Operador o persona operadora:</w:t>
      </w:r>
      <w:r w:rsidRPr="00993936">
        <w:rPr>
          <w:rFonts w:ascii="Arial" w:hAnsi="Arial" w:cs="Arial"/>
          <w:lang w:val="es-ES"/>
        </w:rPr>
        <w:t xml:space="preserve"> toda persona física o jurídica que obtiene, manipula, elabora, envasa, etiqueta, almacena o comercializa productos vegetales en las condiciones que establece esta disposición y que como a tal figura inscrito en el Registro del Consejo Catalán de la Producción Integrada.</w:t>
      </w:r>
    </w:p>
    <w:p w:rsidR="00202B3A" w:rsidRPr="00993936" w:rsidRDefault="00202B3A" w:rsidP="001D205D">
      <w:pPr>
        <w:jc w:val="both"/>
        <w:rPr>
          <w:rFonts w:ascii="Arial" w:hAnsi="Arial" w:cs="Arial"/>
          <w:noProof/>
          <w:lang w:val="es-ES"/>
        </w:rPr>
      </w:pPr>
      <w:r w:rsidRPr="00993936">
        <w:rPr>
          <w:rFonts w:ascii="Arial" w:hAnsi="Arial" w:cs="Arial"/>
          <w:i/>
          <w:noProof/>
          <w:lang w:val="es-ES"/>
        </w:rPr>
        <w:t>Operador individual:</w:t>
      </w:r>
      <w:r w:rsidRPr="00993936">
        <w:rPr>
          <w:rFonts w:ascii="Arial" w:hAnsi="Arial" w:cs="Arial"/>
          <w:noProof/>
          <w:lang w:val="es-ES"/>
        </w:rPr>
        <w:t xml:space="preserve"> aquel operador que no está agrupado bajo ninguna forma de Agrupación de Producción Integrada. </w:t>
      </w:r>
    </w:p>
    <w:p w:rsidR="00202B3A" w:rsidRPr="00993936" w:rsidRDefault="00202B3A" w:rsidP="001D205D">
      <w:pPr>
        <w:jc w:val="both"/>
        <w:rPr>
          <w:rFonts w:ascii="Arial" w:hAnsi="Arial" w:cs="Arial"/>
          <w:noProof/>
          <w:lang w:val="es-ES"/>
        </w:rPr>
      </w:pPr>
      <w:r w:rsidRPr="00993936">
        <w:rPr>
          <w:rFonts w:ascii="Arial" w:hAnsi="Arial" w:cs="Arial"/>
          <w:i/>
          <w:noProof/>
          <w:lang w:val="es-ES"/>
        </w:rPr>
        <w:t>Parcela:</w:t>
      </w:r>
      <w:r w:rsidRPr="00993936">
        <w:rPr>
          <w:rFonts w:ascii="Arial" w:hAnsi="Arial" w:cs="Arial"/>
          <w:noProof/>
          <w:lang w:val="es-ES"/>
        </w:rPr>
        <w:t xml:space="preserve"> superficie continua de terreno geográficamente definida e inscrita en el registro catastral a nombre de unos o más titulares, donde el operador realiza las prácticas de producción integrada.</w:t>
      </w:r>
    </w:p>
    <w:p w:rsidR="00202B3A" w:rsidRPr="00993936" w:rsidRDefault="00202B3A" w:rsidP="001D205D">
      <w:pPr>
        <w:jc w:val="both"/>
        <w:rPr>
          <w:rFonts w:ascii="Arial" w:hAnsi="Arial" w:cs="Arial"/>
          <w:noProof/>
          <w:lang w:val="es-ES"/>
        </w:rPr>
      </w:pPr>
      <w:r w:rsidRPr="00993936">
        <w:rPr>
          <w:rFonts w:ascii="Arial" w:hAnsi="Arial" w:cs="Arial"/>
          <w:i/>
          <w:noProof/>
          <w:lang w:val="es-ES"/>
        </w:rPr>
        <w:t>Pérdidas técnicas de nutrientes:</w:t>
      </w:r>
      <w:r w:rsidRPr="00993936">
        <w:rPr>
          <w:rFonts w:ascii="Arial" w:hAnsi="Arial" w:cs="Arial"/>
          <w:noProof/>
          <w:lang w:val="es-ES"/>
        </w:rPr>
        <w:t xml:space="preserve"> son las que se deben a la falta de incorporación de elementos nutritivos en la planta como consecuencia de errores de homogeneidad en la aportación, extracción de vegetación adventicia, lixiviación, pérdida de asimilabilidad por</w:t>
      </w:r>
      <w:r w:rsidRPr="00993936">
        <w:rPr>
          <w:rFonts w:ascii="Arial" w:hAnsi="Arial" w:cs="Arial"/>
          <w:noProof/>
          <w:vanish/>
          <w:lang w:val="es-ES"/>
        </w:rPr>
        <w:t>&lt;A[por|para]&gt;</w:t>
      </w:r>
      <w:r w:rsidRPr="00993936">
        <w:rPr>
          <w:rFonts w:ascii="Arial" w:hAnsi="Arial" w:cs="Arial"/>
          <w:noProof/>
          <w:lang w:val="es-ES"/>
        </w:rPr>
        <w:t xml:space="preserve"> antagonismos, transformación en compuestos orgánicos, precipitación o insolubilitzación de elementos minerales o cualquier otro factor biótico.</w:t>
      </w:r>
    </w:p>
    <w:p w:rsidR="00202B3A" w:rsidRPr="00993936" w:rsidRDefault="00202B3A" w:rsidP="001D205D">
      <w:pPr>
        <w:jc w:val="both"/>
        <w:rPr>
          <w:rFonts w:ascii="Arial" w:hAnsi="Arial" w:cs="Arial"/>
          <w:noProof/>
          <w:lang w:val="es-ES"/>
        </w:rPr>
      </w:pPr>
      <w:r w:rsidRPr="00993936">
        <w:rPr>
          <w:rFonts w:ascii="Arial" w:hAnsi="Arial" w:cs="Arial"/>
          <w:i/>
          <w:noProof/>
          <w:lang w:val="es-ES"/>
        </w:rPr>
        <w:lastRenderedPageBreak/>
        <w:t>Personal técnico competente:</w:t>
      </w:r>
      <w:r w:rsidRPr="00993936">
        <w:rPr>
          <w:rFonts w:ascii="Arial" w:hAnsi="Arial" w:cs="Arial"/>
          <w:noProof/>
          <w:lang w:val="es-ES"/>
        </w:rPr>
        <w:t xml:space="preserve"> persona/s física/s que presta/n servicio/s técnico/s de asistencia en producción integrada y que cuenta/n con titulación universitaria de grado medio o superior, de acuerdo con lo que especifica el artículo 11.1 del Decreto 241/2002.</w:t>
      </w:r>
    </w:p>
    <w:p w:rsidR="00202B3A" w:rsidRPr="00993936" w:rsidRDefault="00202B3A" w:rsidP="001D205D">
      <w:pPr>
        <w:jc w:val="both"/>
        <w:rPr>
          <w:rFonts w:ascii="Arial" w:hAnsi="Arial" w:cs="Arial"/>
          <w:lang w:val="es-ES"/>
        </w:rPr>
      </w:pPr>
      <w:r w:rsidRPr="00993936">
        <w:rPr>
          <w:rFonts w:ascii="Arial" w:hAnsi="Arial" w:cs="Arial"/>
          <w:i/>
          <w:lang w:val="es-ES"/>
        </w:rPr>
        <w:t>Producción integrada:</w:t>
      </w:r>
      <w:r w:rsidRPr="00993936">
        <w:rPr>
          <w:rFonts w:ascii="Arial" w:hAnsi="Arial" w:cs="Arial"/>
          <w:lang w:val="es-ES"/>
        </w:rPr>
        <w:t xml:space="preserve"> el sistema agrario de producción y obtención de alimentos de calidad, frescos o transformados, y otros productos, que prioriza la utilización de los recursos y mecanismos de regulación naturales, con el objetivo de optimizar los métodos de producción, evitar las aportaciones perjudiciales al medio ambiente y asegurar a largo plazo una agricultura y una ganadería sostenibles. </w:t>
      </w:r>
    </w:p>
    <w:p w:rsidR="00202B3A" w:rsidRPr="00993936" w:rsidRDefault="00202B3A" w:rsidP="001D205D">
      <w:pPr>
        <w:jc w:val="both"/>
        <w:rPr>
          <w:rFonts w:ascii="Arial" w:hAnsi="Arial" w:cs="Arial"/>
          <w:noProof/>
          <w:lang w:val="es-ES"/>
        </w:rPr>
      </w:pPr>
      <w:r w:rsidRPr="00993936">
        <w:rPr>
          <w:rFonts w:ascii="Arial" w:hAnsi="Arial" w:cs="Arial"/>
          <w:i/>
          <w:noProof/>
          <w:lang w:val="es-ES"/>
        </w:rPr>
        <w:t>Cuaderno de conservación/postcosecha:</w:t>
      </w:r>
      <w:r w:rsidRPr="00993936">
        <w:rPr>
          <w:rFonts w:ascii="Arial" w:hAnsi="Arial" w:cs="Arial"/>
          <w:noProof/>
          <w:lang w:val="es-ES"/>
        </w:rPr>
        <w:t xml:space="preserve"> documento donde se registran los datos relativos a las instalaciones de los productos vegetales, mediante el cual es posible hacer un seguimiento detallado de todas las operaciones de recepción, manipulado, almacenamiento, envasado y expedición de cereales</w:t>
      </w:r>
    </w:p>
    <w:p w:rsidR="00202B3A" w:rsidRPr="00993936" w:rsidRDefault="00202B3A" w:rsidP="001D205D">
      <w:pPr>
        <w:jc w:val="both"/>
        <w:rPr>
          <w:rFonts w:ascii="Arial" w:hAnsi="Arial" w:cs="Arial"/>
          <w:i/>
          <w:noProof/>
          <w:lang w:val="es-ES"/>
        </w:rPr>
      </w:pPr>
      <w:r w:rsidRPr="00993936">
        <w:rPr>
          <w:rFonts w:ascii="Arial" w:hAnsi="Arial" w:cs="Arial"/>
          <w:i/>
          <w:noProof/>
          <w:lang w:val="es-ES"/>
        </w:rPr>
        <w:t>Cuaderno de explotación:</w:t>
      </w:r>
      <w:r w:rsidRPr="00993936">
        <w:rPr>
          <w:rFonts w:ascii="Arial" w:hAnsi="Arial" w:cs="Arial"/>
          <w:noProof/>
          <w:lang w:val="es-ES"/>
        </w:rPr>
        <w:t xml:space="preserve"> documento donde se registran los datos relativos a una parcela o agrupación de parcelas de cultivo (ved definición de la Unidad Homogénea de Cultivo), mediante el cual se posible hacer un seguimiento detallado de todas las operaciones culturales realizadas durante el ciclo de cultivo.</w:t>
      </w:r>
    </w:p>
    <w:p w:rsidR="00202B3A" w:rsidRPr="00993936" w:rsidRDefault="00202B3A" w:rsidP="001D205D">
      <w:pPr>
        <w:jc w:val="both"/>
        <w:rPr>
          <w:rFonts w:ascii="Arial" w:hAnsi="Arial" w:cs="Arial"/>
          <w:noProof/>
          <w:lang w:val="es-ES"/>
        </w:rPr>
      </w:pPr>
      <w:r w:rsidRPr="00993936">
        <w:rPr>
          <w:rFonts w:ascii="Arial" w:hAnsi="Arial" w:cs="Arial"/>
          <w:i/>
          <w:noProof/>
          <w:lang w:val="es-ES"/>
        </w:rPr>
        <w:t xml:space="preserve">Rotación: </w:t>
      </w:r>
      <w:r w:rsidRPr="00993936">
        <w:rPr>
          <w:rFonts w:ascii="Arial" w:hAnsi="Arial" w:cs="Arial"/>
          <w:noProof/>
          <w:lang w:val="es-ES"/>
        </w:rPr>
        <w:t>secuencia de cultivos realizada en una parcela en un periodo de tiempo determinado.</w:t>
      </w:r>
    </w:p>
    <w:p w:rsidR="00202B3A" w:rsidRPr="00993936" w:rsidRDefault="00202B3A" w:rsidP="001D205D">
      <w:pPr>
        <w:jc w:val="both"/>
        <w:rPr>
          <w:rFonts w:ascii="Arial" w:hAnsi="Arial" w:cs="Arial"/>
          <w:noProof/>
          <w:lang w:val="es-ES"/>
        </w:rPr>
      </w:pPr>
      <w:r w:rsidRPr="00993936">
        <w:rPr>
          <w:rFonts w:ascii="Arial" w:hAnsi="Arial" w:cs="Arial"/>
          <w:i/>
          <w:noProof/>
          <w:lang w:val="es-ES"/>
        </w:rPr>
        <w:t>Sustancia activa:</w:t>
      </w:r>
      <w:r w:rsidRPr="00993936">
        <w:rPr>
          <w:rFonts w:ascii="Arial" w:hAnsi="Arial" w:cs="Arial"/>
          <w:noProof/>
          <w:lang w:val="es-ES"/>
        </w:rPr>
        <w:t xml:space="preserve"> las sustancias o microorganismos, incluidos los virus, que ejercen una acción general o específica contra las plagas, incluidas las enfermedades, o en vegetales, partes de vegetales o productos vegetales.</w:t>
      </w:r>
    </w:p>
    <w:p w:rsidR="00202B3A" w:rsidRPr="00993936" w:rsidRDefault="00202B3A" w:rsidP="001D205D">
      <w:pPr>
        <w:jc w:val="both"/>
        <w:rPr>
          <w:rFonts w:ascii="Arial" w:hAnsi="Arial" w:cs="Arial"/>
          <w:noProof/>
          <w:lang w:val="es-ES"/>
        </w:rPr>
      </w:pPr>
      <w:r w:rsidRPr="00993936">
        <w:rPr>
          <w:rFonts w:ascii="Arial" w:hAnsi="Arial" w:cs="Arial"/>
          <w:i/>
          <w:noProof/>
          <w:lang w:val="es-ES"/>
        </w:rPr>
        <w:t>Unidad Homogénea de Cultivo (UHC):</w:t>
      </w:r>
      <w:r w:rsidRPr="00993936">
        <w:rPr>
          <w:rFonts w:ascii="Arial" w:hAnsi="Arial" w:cs="Arial"/>
          <w:noProof/>
          <w:lang w:val="es-ES"/>
        </w:rPr>
        <w:t xml:space="preserve"> para cada cultivo, es la superficie de terreno que presenta unas características similares con respecto al tipo de suelo, al sistema de riego y al tipo de cultivo, en la cual se aplican operaciones culturales y técnicas de cultivo similares, así como los mismos tratamientos fitosanitarios. En el caso de agrupaciones de productores, podrá haber UHC que incluyan cultivos o partes de cultivos de varios agricultors. Para cultivos protegidos, la unidad homogénea de cultivo se encontrará dentro de un mismo recinto delimitado bajo un mismo tipo de protección.</w:t>
      </w:r>
    </w:p>
    <w:p w:rsidR="00202B3A" w:rsidRPr="00993936" w:rsidRDefault="00202B3A" w:rsidP="001D205D">
      <w:pPr>
        <w:pStyle w:val="Encabezado"/>
        <w:tabs>
          <w:tab w:val="clear" w:pos="4252"/>
          <w:tab w:val="clear" w:pos="8504"/>
        </w:tabs>
        <w:rPr>
          <w:rFonts w:ascii="Arial" w:hAnsi="Arial" w:cs="Arial"/>
          <w:noProof/>
          <w:lang w:val="es-ES"/>
        </w:rPr>
      </w:pPr>
    </w:p>
    <w:p w:rsidR="00202B3A" w:rsidRPr="00993936" w:rsidRDefault="00202B3A" w:rsidP="001D205D">
      <w:pPr>
        <w:tabs>
          <w:tab w:val="left" w:pos="1815"/>
        </w:tabs>
        <w:jc w:val="both"/>
        <w:outlineLvl w:val="0"/>
        <w:rPr>
          <w:rFonts w:ascii="Arial" w:hAnsi="Arial" w:cs="Arial"/>
          <w:b/>
          <w:snapToGrid w:val="0"/>
          <w:lang w:val="es-ES"/>
        </w:rPr>
      </w:pPr>
      <w:r w:rsidRPr="00993936">
        <w:rPr>
          <w:rFonts w:ascii="Arial" w:hAnsi="Arial" w:cs="Arial"/>
          <w:b/>
          <w:snapToGrid w:val="0"/>
          <w:lang w:val="es-ES"/>
        </w:rPr>
        <w:t>I.  BIODIVERSIDAD Y PRÁCTICAS DE CULTIVO</w:t>
      </w:r>
    </w:p>
    <w:p w:rsidR="00202B3A" w:rsidRPr="00993936" w:rsidRDefault="00202B3A" w:rsidP="001D205D">
      <w:pPr>
        <w:tabs>
          <w:tab w:val="left" w:pos="1815"/>
        </w:tabs>
        <w:jc w:val="both"/>
        <w:outlineLvl w:val="0"/>
        <w:rPr>
          <w:rFonts w:ascii="Arial" w:hAnsi="Arial" w:cs="Arial"/>
          <w:snapToGrid w:val="0"/>
          <w:lang w:val="es-ES"/>
        </w:rPr>
      </w:pPr>
      <w:r w:rsidRPr="00993936">
        <w:rPr>
          <w:rFonts w:ascii="Arial" w:hAnsi="Arial" w:cs="Arial"/>
          <w:snapToGrid w:val="0"/>
          <w:lang w:val="es-ES"/>
        </w:rPr>
        <w:t>Artículo 1</w:t>
      </w:r>
      <w:r w:rsidRPr="00993936">
        <w:rPr>
          <w:rFonts w:ascii="Arial" w:hAnsi="Arial" w:cs="Arial"/>
          <w:snapToGrid w:val="0"/>
          <w:lang w:val="es-ES"/>
        </w:rPr>
        <w:tab/>
      </w:r>
    </w:p>
    <w:p w:rsidR="00202B3A" w:rsidRPr="00993936" w:rsidRDefault="00202B3A" w:rsidP="001D205D">
      <w:pPr>
        <w:jc w:val="both"/>
        <w:outlineLvl w:val="0"/>
        <w:rPr>
          <w:rFonts w:ascii="Arial" w:hAnsi="Arial" w:cs="Arial"/>
          <w:snapToGrid w:val="0"/>
          <w:lang w:val="es-ES"/>
        </w:rPr>
      </w:pPr>
      <w:r w:rsidRPr="00993936">
        <w:rPr>
          <w:rFonts w:ascii="Arial" w:hAnsi="Arial" w:cs="Arial"/>
          <w:b/>
          <w:snapToGrid w:val="0"/>
          <w:lang w:val="es-ES"/>
        </w:rPr>
        <w:t>Biodiversidad</w:t>
      </w:r>
    </w:p>
    <w:p w:rsidR="00202B3A" w:rsidRPr="00993936" w:rsidRDefault="00202B3A" w:rsidP="001D205D">
      <w:pPr>
        <w:jc w:val="both"/>
        <w:rPr>
          <w:rFonts w:ascii="Arial" w:hAnsi="Arial" w:cs="Arial"/>
          <w:snapToGrid w:val="0"/>
          <w:lang w:val="es-ES"/>
        </w:rPr>
      </w:pPr>
      <w:r w:rsidRPr="00993936">
        <w:rPr>
          <w:rFonts w:ascii="Arial" w:hAnsi="Arial" w:cs="Arial"/>
          <w:snapToGrid w:val="0"/>
          <w:lang w:val="es-ES"/>
        </w:rPr>
        <w:t xml:space="preserve">1.1. </w:t>
      </w:r>
      <w:r w:rsidRPr="00993936">
        <w:rPr>
          <w:rFonts w:ascii="Arial" w:hAnsi="Arial" w:cs="Arial"/>
          <w:i/>
          <w:snapToGrid w:val="0"/>
          <w:lang w:val="es-ES"/>
        </w:rPr>
        <w:t>Obligaciones</w:t>
      </w:r>
    </w:p>
    <w:p w:rsidR="00202B3A" w:rsidRPr="00993936" w:rsidRDefault="00202B3A" w:rsidP="001D205D">
      <w:pPr>
        <w:pStyle w:val="Textoindependiente"/>
        <w:rPr>
          <w:rFonts w:cs="Arial"/>
          <w:szCs w:val="22"/>
          <w:lang w:val="es-ES"/>
        </w:rPr>
      </w:pPr>
      <w:r w:rsidRPr="00993936">
        <w:rPr>
          <w:rFonts w:cs="Arial"/>
          <w:szCs w:val="22"/>
          <w:lang w:val="es-ES"/>
        </w:rPr>
        <w:t>1.1.1  Fomentar de manera activa la diversidad biológica de los niveles genéticos, específicos y del ecosistema, ya que constituye un recurso natural importante de la explotación agraria.</w:t>
      </w:r>
    </w:p>
    <w:p w:rsidR="00202B3A" w:rsidRPr="00993936" w:rsidRDefault="00202B3A" w:rsidP="001D205D">
      <w:pPr>
        <w:pStyle w:val="Textodenotaalfinal"/>
        <w:jc w:val="both"/>
        <w:rPr>
          <w:rFonts w:ascii="Arial" w:hAnsi="Arial" w:cs="Arial"/>
          <w:sz w:val="22"/>
          <w:szCs w:val="22"/>
          <w:u w:val="single"/>
          <w:lang w:val="es-ES"/>
        </w:rPr>
      </w:pPr>
      <w:r w:rsidRPr="00993936">
        <w:rPr>
          <w:rFonts w:ascii="Arial" w:hAnsi="Arial" w:cs="Arial"/>
          <w:sz w:val="22"/>
          <w:szCs w:val="22"/>
          <w:lang w:val="es-ES"/>
        </w:rPr>
        <w:t xml:space="preserve">1.1.2 Fomentar y conservar un entorno de la explotación agraria natural y equilibrado, con un ecosistema de plantas y animales diversificado, identificando para cada cultivo y tipo de explotación agraria los elementos importantes de las infraestructuras ecológicas que contribuyan al mantenimiento y a la mejora de la biodiversidad biológica. Cada operador productor deberá impulsar la realización de al menos dos </w:t>
      </w:r>
      <w:r w:rsidRPr="00993936">
        <w:rPr>
          <w:rFonts w:ascii="Arial" w:hAnsi="Arial" w:cs="Arial"/>
          <w:sz w:val="22"/>
          <w:szCs w:val="22"/>
          <w:lang w:val="es-ES"/>
        </w:rPr>
        <w:lastRenderedPageBreak/>
        <w:t>opciones ecológicas que contribuyan a la mejora de la biodiversidad de sus fincas, seleccionándolas, prioritariamente, de la lista que se describe a continuación. Si no fuera posible la realización de las opciones propuestas, el operador podrá establecer una lista de alternativas, que deberán ser aprobadas por el CCPI, de la cual como mínimo deberá practicar dos:</w:t>
      </w:r>
    </w:p>
    <w:p w:rsidR="00202B3A" w:rsidRPr="00993936" w:rsidRDefault="00202B3A" w:rsidP="00202B3A">
      <w:pPr>
        <w:pStyle w:val="Textodenotaalfinal"/>
        <w:numPr>
          <w:ilvl w:val="0"/>
          <w:numId w:val="11"/>
        </w:numPr>
        <w:jc w:val="both"/>
        <w:rPr>
          <w:rFonts w:ascii="Arial" w:hAnsi="Arial" w:cs="Arial"/>
          <w:sz w:val="22"/>
          <w:szCs w:val="22"/>
          <w:lang w:val="es-ES"/>
        </w:rPr>
      </w:pPr>
      <w:r w:rsidRPr="00993936">
        <w:rPr>
          <w:rFonts w:ascii="Arial" w:hAnsi="Arial" w:cs="Arial"/>
          <w:sz w:val="22"/>
          <w:szCs w:val="22"/>
          <w:lang w:val="es-ES"/>
        </w:rPr>
        <w:t>Establecer un área de compensación ecológica, en la cual no se apliquen plaguicidas ni fertilizantes, para aumentar la biodiversidad faunística y botánica, de al menos un 5% de la superficie total de la explotación (excluidos los bosques). Se podrán considerar dentro de estas áreas, por ejemplo: cortavientos, márgenes de caminos, de canales, de ríos o rieras, etc.</w:t>
      </w:r>
    </w:p>
    <w:p w:rsidR="00202B3A" w:rsidRPr="00993936" w:rsidRDefault="00202B3A" w:rsidP="001D205D">
      <w:pPr>
        <w:pStyle w:val="Textodenotaalfinal"/>
        <w:ind w:left="624"/>
        <w:jc w:val="both"/>
        <w:rPr>
          <w:rFonts w:ascii="Arial" w:hAnsi="Arial" w:cs="Arial"/>
          <w:sz w:val="22"/>
          <w:szCs w:val="22"/>
          <w:lang w:val="es-ES"/>
        </w:rPr>
      </w:pPr>
      <w:r w:rsidRPr="00993936">
        <w:rPr>
          <w:rFonts w:ascii="Arial" w:hAnsi="Arial" w:cs="Arial"/>
          <w:sz w:val="22"/>
          <w:szCs w:val="22"/>
          <w:lang w:val="es-ES"/>
        </w:rPr>
        <w:t>Se admitirá que las áreas de compensación ecológica se establezcan a nivel de organización de productores o municipal, siempre que vayan asociadas directamente a las zonas de producción.</w:t>
      </w:r>
    </w:p>
    <w:p w:rsidR="00202B3A" w:rsidRPr="00993936" w:rsidRDefault="00202B3A" w:rsidP="00202B3A">
      <w:pPr>
        <w:pStyle w:val="Textodenotaalfinal"/>
        <w:numPr>
          <w:ilvl w:val="0"/>
          <w:numId w:val="11"/>
        </w:numPr>
        <w:jc w:val="both"/>
        <w:rPr>
          <w:rFonts w:ascii="Arial" w:hAnsi="Arial" w:cs="Arial"/>
          <w:noProof/>
          <w:sz w:val="22"/>
          <w:szCs w:val="22"/>
          <w:lang w:val="es-ES"/>
        </w:rPr>
      </w:pPr>
      <w:r w:rsidRPr="00993936">
        <w:rPr>
          <w:rFonts w:ascii="Arial" w:hAnsi="Arial" w:cs="Arial"/>
          <w:noProof/>
          <w:sz w:val="22"/>
          <w:szCs w:val="22"/>
          <w:lang w:val="es-ES"/>
        </w:rPr>
        <w:t xml:space="preserve">No aplicar productos agroquímicos de síntesis sobre la vegetación espontánea de los márgenes de las parcelas y realizar su control con medios culturales. </w:t>
      </w:r>
    </w:p>
    <w:p w:rsidR="00202B3A" w:rsidRPr="00993936" w:rsidRDefault="00202B3A" w:rsidP="00202B3A">
      <w:pPr>
        <w:pStyle w:val="Textodenotaalfinal"/>
        <w:numPr>
          <w:ilvl w:val="0"/>
          <w:numId w:val="11"/>
        </w:numPr>
        <w:jc w:val="both"/>
        <w:rPr>
          <w:rFonts w:ascii="Arial" w:hAnsi="Arial" w:cs="Arial"/>
          <w:sz w:val="22"/>
          <w:szCs w:val="22"/>
          <w:lang w:val="es-ES"/>
        </w:rPr>
      </w:pPr>
      <w:r w:rsidRPr="00993936">
        <w:rPr>
          <w:rFonts w:ascii="Arial" w:hAnsi="Arial" w:cs="Arial"/>
          <w:sz w:val="22"/>
          <w:szCs w:val="22"/>
          <w:lang w:val="es-ES"/>
        </w:rPr>
        <w:t>Establecer refugios artificiales para los pájaros insectívoros.</w:t>
      </w:r>
    </w:p>
    <w:p w:rsidR="00202B3A" w:rsidRPr="00993936" w:rsidRDefault="00202B3A" w:rsidP="00202B3A">
      <w:pPr>
        <w:pStyle w:val="Textodenotaalfinal"/>
        <w:numPr>
          <w:ilvl w:val="0"/>
          <w:numId w:val="11"/>
        </w:numPr>
        <w:jc w:val="both"/>
        <w:rPr>
          <w:rFonts w:ascii="Arial" w:hAnsi="Arial" w:cs="Arial"/>
          <w:sz w:val="22"/>
          <w:szCs w:val="22"/>
          <w:lang w:val="es-ES"/>
        </w:rPr>
      </w:pPr>
      <w:r w:rsidRPr="00993936">
        <w:rPr>
          <w:rFonts w:ascii="Arial" w:hAnsi="Arial" w:cs="Arial"/>
          <w:sz w:val="22"/>
          <w:szCs w:val="22"/>
          <w:lang w:val="es-ES"/>
        </w:rPr>
        <w:t>Establecer refugios artificiales para las aves de rapiña.</w:t>
      </w:r>
    </w:p>
    <w:p w:rsidR="00202B3A" w:rsidRPr="00993936" w:rsidRDefault="00202B3A" w:rsidP="00202B3A">
      <w:pPr>
        <w:pStyle w:val="Textodenotaalfinal"/>
        <w:numPr>
          <w:ilvl w:val="0"/>
          <w:numId w:val="11"/>
        </w:numPr>
        <w:jc w:val="both"/>
        <w:rPr>
          <w:rFonts w:ascii="Arial" w:hAnsi="Arial" w:cs="Arial"/>
          <w:sz w:val="22"/>
          <w:szCs w:val="22"/>
          <w:lang w:val="es-ES"/>
        </w:rPr>
      </w:pPr>
      <w:r w:rsidRPr="00993936">
        <w:rPr>
          <w:rFonts w:ascii="Arial" w:hAnsi="Arial" w:cs="Arial"/>
          <w:sz w:val="22"/>
          <w:szCs w:val="22"/>
          <w:lang w:val="es-ES"/>
        </w:rPr>
        <w:t>Establecer cortavientos en los márgenes de las parcelas, especialmente en zonas ventosas.</w:t>
      </w:r>
    </w:p>
    <w:p w:rsidR="00202B3A" w:rsidRPr="00993936" w:rsidRDefault="00202B3A" w:rsidP="001D205D">
      <w:pPr>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202B3A" w:rsidRPr="00993936" w:rsidRDefault="00202B3A" w:rsidP="001D205D">
      <w:pPr>
        <w:jc w:val="both"/>
        <w:rPr>
          <w:rFonts w:ascii="Arial" w:hAnsi="Arial" w:cs="Arial"/>
          <w:lang w:val="es-ES"/>
        </w:rPr>
      </w:pPr>
      <w:r w:rsidRPr="00993936">
        <w:rPr>
          <w:rFonts w:ascii="Arial" w:hAnsi="Arial" w:cs="Arial"/>
          <w:lang w:val="es-ES"/>
        </w:rPr>
        <w:t>1.2.1 Cuando se implanten cortavientos, siempre que sea posible se realizarán con especies</w:t>
      </w:r>
      <w:r w:rsidRPr="00993936">
        <w:rPr>
          <w:rFonts w:ascii="Arial" w:hAnsi="Arial" w:cs="Arial"/>
          <w:vanish/>
          <w:lang w:val="es-ES"/>
        </w:rPr>
        <w:t>&lt;A[especies|especias]&gt;</w:t>
      </w:r>
      <w:r w:rsidRPr="00993936">
        <w:rPr>
          <w:rFonts w:ascii="Arial" w:hAnsi="Arial" w:cs="Arial"/>
          <w:lang w:val="es-ES"/>
        </w:rPr>
        <w:t xml:space="preserve"> autóctonas, procurando mantener una diversidad de estructura y composición.</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Artículo 2</w:t>
      </w:r>
    </w:p>
    <w:p w:rsidR="00202B3A" w:rsidRPr="00993936" w:rsidRDefault="00202B3A" w:rsidP="001D205D">
      <w:pPr>
        <w:jc w:val="both"/>
        <w:rPr>
          <w:rFonts w:ascii="Arial" w:hAnsi="Arial" w:cs="Arial"/>
          <w:b/>
          <w:noProof/>
          <w:lang w:val="es-ES"/>
        </w:rPr>
      </w:pPr>
      <w:r w:rsidRPr="00993936">
        <w:rPr>
          <w:rFonts w:ascii="Arial" w:hAnsi="Arial" w:cs="Arial"/>
          <w:b/>
          <w:noProof/>
          <w:lang w:val="es-ES"/>
        </w:rPr>
        <w:t>Aspectos agronómicos generales</w:t>
      </w:r>
    </w:p>
    <w:p w:rsidR="00202B3A" w:rsidRPr="00993936" w:rsidRDefault="00202B3A" w:rsidP="001D205D">
      <w:pPr>
        <w:jc w:val="both"/>
        <w:rPr>
          <w:rFonts w:ascii="Arial" w:hAnsi="Arial" w:cs="Arial"/>
          <w:noProof/>
          <w:lang w:val="es-ES"/>
        </w:rPr>
      </w:pPr>
      <w:r w:rsidRPr="00993936">
        <w:rPr>
          <w:rFonts w:ascii="Arial" w:hAnsi="Arial" w:cs="Arial"/>
          <w:i/>
          <w:noProof/>
          <w:lang w:val="es-ES"/>
        </w:rPr>
        <w:t>2.1 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2.1.1 El momento y la intensidad de las operaciones culturales tienen que minimizar los posibles impactos ambientales.</w:t>
      </w:r>
    </w:p>
    <w:p w:rsidR="00202B3A" w:rsidRPr="00993936" w:rsidRDefault="00202B3A" w:rsidP="001D205D">
      <w:pPr>
        <w:pStyle w:val="Ttulo1"/>
        <w:rPr>
          <w:rFonts w:ascii="Arial" w:hAnsi="Arial" w:cs="Arial"/>
          <w:noProof/>
          <w:color w:val="auto"/>
          <w:sz w:val="22"/>
          <w:szCs w:val="22"/>
        </w:rPr>
      </w:pPr>
    </w:p>
    <w:p w:rsidR="00202B3A" w:rsidRPr="00993936" w:rsidRDefault="00202B3A" w:rsidP="001D205D">
      <w:pPr>
        <w:jc w:val="both"/>
        <w:outlineLvl w:val="0"/>
        <w:rPr>
          <w:rFonts w:ascii="Arial" w:hAnsi="Arial" w:cs="Arial"/>
          <w:lang w:val="es-ES"/>
        </w:rPr>
      </w:pPr>
      <w:r w:rsidRPr="00993936">
        <w:rPr>
          <w:rFonts w:ascii="Arial" w:hAnsi="Arial" w:cs="Arial"/>
          <w:lang w:val="es-ES"/>
        </w:rPr>
        <w:t>Artículo 3</w:t>
      </w:r>
    </w:p>
    <w:p w:rsidR="00202B3A" w:rsidRPr="00993936" w:rsidRDefault="00202B3A" w:rsidP="001D205D">
      <w:pPr>
        <w:jc w:val="both"/>
        <w:outlineLvl w:val="0"/>
        <w:rPr>
          <w:rFonts w:ascii="Arial" w:hAnsi="Arial" w:cs="Arial"/>
          <w:b/>
          <w:lang w:val="es-ES"/>
        </w:rPr>
      </w:pPr>
      <w:r w:rsidRPr="00993936">
        <w:rPr>
          <w:rFonts w:ascii="Arial" w:hAnsi="Arial" w:cs="Arial"/>
          <w:b/>
          <w:lang w:val="es-ES"/>
        </w:rPr>
        <w:t>Suelo, preparación del terreno y cultivo</w:t>
      </w:r>
    </w:p>
    <w:p w:rsidR="00202B3A" w:rsidRPr="00993936" w:rsidRDefault="00202B3A" w:rsidP="001D205D">
      <w:pPr>
        <w:jc w:val="both"/>
        <w:rPr>
          <w:rFonts w:ascii="Arial" w:hAnsi="Arial" w:cs="Arial"/>
          <w:lang w:val="es-ES"/>
        </w:rPr>
      </w:pPr>
      <w:r w:rsidRPr="00993936">
        <w:rPr>
          <w:rFonts w:ascii="Arial" w:hAnsi="Arial" w:cs="Arial"/>
          <w:lang w:val="es-ES"/>
        </w:rPr>
        <w:t xml:space="preserve">3.1 </w:t>
      </w:r>
      <w:r w:rsidRPr="00993936">
        <w:rPr>
          <w:rFonts w:ascii="Arial" w:hAnsi="Arial" w:cs="Arial"/>
          <w:i/>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3.1.1 Examinar el perfil del suelo para estimar la textura y la capacidad de retención de agua.</w:t>
      </w:r>
    </w:p>
    <w:p w:rsidR="00202B3A" w:rsidRPr="00993936" w:rsidRDefault="00202B3A" w:rsidP="001D205D">
      <w:pPr>
        <w:pStyle w:val="Textoindependiente"/>
        <w:rPr>
          <w:rFonts w:cs="Arial"/>
          <w:szCs w:val="22"/>
          <w:lang w:val="es-ES"/>
        </w:rPr>
      </w:pPr>
      <w:r w:rsidRPr="00993936">
        <w:rPr>
          <w:rFonts w:cs="Arial"/>
          <w:szCs w:val="22"/>
          <w:lang w:val="es-ES"/>
        </w:rPr>
        <w:t>3.1.2 Mantener y mejorar la fertilidad del suelo mediante:</w:t>
      </w:r>
    </w:p>
    <w:p w:rsidR="00202B3A" w:rsidRPr="00993936" w:rsidRDefault="00202B3A" w:rsidP="00202B3A">
      <w:pPr>
        <w:pStyle w:val="Textoindependiente"/>
        <w:numPr>
          <w:ilvl w:val="0"/>
          <w:numId w:val="12"/>
        </w:numPr>
        <w:tabs>
          <w:tab w:val="clear" w:pos="624"/>
          <w:tab w:val="num" w:pos="720"/>
        </w:tabs>
        <w:ind w:left="720" w:hanging="360"/>
        <w:rPr>
          <w:rFonts w:cs="Arial"/>
          <w:lang w:val="es-ES"/>
        </w:rPr>
      </w:pPr>
      <w:r w:rsidRPr="00993936">
        <w:rPr>
          <w:rFonts w:cs="Arial"/>
          <w:lang w:val="es-ES"/>
        </w:rPr>
        <w:t xml:space="preserve">El conocimiento de los niveles de materia orgánica del suelo y la velocidad de mineralización, el cual estimarán de acuerdo con el tipo de suelo y con las condiciones climáticas de la zona. </w:t>
      </w:r>
    </w:p>
    <w:p w:rsidR="00202B3A" w:rsidRPr="00993936" w:rsidRDefault="00202B3A" w:rsidP="00202B3A">
      <w:pPr>
        <w:numPr>
          <w:ilvl w:val="0"/>
          <w:numId w:val="12"/>
        </w:numPr>
        <w:spacing w:after="0" w:line="240" w:lineRule="auto"/>
        <w:jc w:val="both"/>
        <w:rPr>
          <w:rFonts w:ascii="Arial" w:hAnsi="Arial" w:cs="Arial"/>
          <w:noProof/>
          <w:lang w:val="es-ES"/>
        </w:rPr>
      </w:pPr>
      <w:r w:rsidRPr="00993936">
        <w:rPr>
          <w:rFonts w:ascii="Arial" w:hAnsi="Arial" w:cs="Arial"/>
          <w:noProof/>
          <w:lang w:val="es-ES"/>
        </w:rPr>
        <w:t>El mantenimiento de un nivel de materia orgánica del horizonte superficial del suelo de como mínimo un 1%. Por debajo de este nivel, se deberá aportar en el suelo todos los restos del cultivo (paja, rastrojo, etc.) y hacer un manejo de acuerdo con las indicaciones del técnico responsable de producción integrada.</w:t>
      </w:r>
    </w:p>
    <w:p w:rsidR="00202B3A" w:rsidRPr="00993936" w:rsidRDefault="00202B3A" w:rsidP="00202B3A">
      <w:pPr>
        <w:numPr>
          <w:ilvl w:val="0"/>
          <w:numId w:val="12"/>
        </w:numPr>
        <w:spacing w:after="0" w:line="240" w:lineRule="auto"/>
        <w:jc w:val="both"/>
        <w:rPr>
          <w:rFonts w:ascii="Arial" w:hAnsi="Arial" w:cs="Arial"/>
          <w:noProof/>
          <w:lang w:val="es-ES"/>
        </w:rPr>
      </w:pPr>
      <w:r w:rsidRPr="00993936">
        <w:rPr>
          <w:rFonts w:ascii="Arial" w:hAnsi="Arial" w:cs="Arial"/>
          <w:noProof/>
          <w:lang w:val="es-ES"/>
        </w:rPr>
        <w:lastRenderedPageBreak/>
        <w:t>La optimización de las propiedades biofísicas del suelo para evitar la compactación (p.e.: dimensión de los agregados y estabilidad estructural, conductividad hidráulica, etc.), por</w:t>
      </w:r>
      <w:r w:rsidRPr="00993936">
        <w:rPr>
          <w:rFonts w:ascii="Arial" w:hAnsi="Arial" w:cs="Arial"/>
          <w:noProof/>
          <w:vanish/>
          <w:lang w:val="es-ES"/>
        </w:rPr>
        <w:t>&lt;A[por|para]&gt;</w:t>
      </w:r>
      <w:r w:rsidRPr="00993936">
        <w:rPr>
          <w:rFonts w:ascii="Arial" w:hAnsi="Arial" w:cs="Arial"/>
          <w:noProof/>
          <w:lang w:val="es-ES"/>
        </w:rPr>
        <w:t xml:space="preserve"> lo cual se evitará el paso de la maquinaria en condiciones de excesiva humedad del suelo, y sobre todo con máquinas arrastradas que tengan un nivel de carga muy elevada.</w:t>
      </w:r>
    </w:p>
    <w:p w:rsidR="00202B3A" w:rsidRPr="00993936" w:rsidRDefault="00202B3A" w:rsidP="00202B3A">
      <w:pPr>
        <w:numPr>
          <w:ilvl w:val="0"/>
          <w:numId w:val="12"/>
        </w:numPr>
        <w:spacing w:after="0" w:line="240" w:lineRule="auto"/>
        <w:jc w:val="both"/>
        <w:rPr>
          <w:rFonts w:ascii="Arial" w:hAnsi="Arial" w:cs="Arial"/>
          <w:noProof/>
          <w:lang w:val="es-ES"/>
        </w:rPr>
      </w:pPr>
      <w:r w:rsidRPr="00993936">
        <w:rPr>
          <w:rFonts w:ascii="Arial" w:hAnsi="Arial" w:cs="Arial"/>
          <w:noProof/>
          <w:lang w:val="es-ES"/>
        </w:rPr>
        <w:t>La protección de la superficie del suelo al máximo de tiempo posible en zonas con peligro de erosión y durante los periodos sin cultivo, mediante el mantenimiento de una cubierta vegetal o los restos de cosecha.</w:t>
      </w:r>
    </w:p>
    <w:p w:rsidR="00202B3A" w:rsidRPr="00993936" w:rsidRDefault="00202B3A" w:rsidP="00202B3A">
      <w:pPr>
        <w:numPr>
          <w:ilvl w:val="0"/>
          <w:numId w:val="12"/>
        </w:numPr>
        <w:spacing w:after="0" w:line="240" w:lineRule="auto"/>
        <w:jc w:val="both"/>
        <w:rPr>
          <w:rFonts w:ascii="Arial" w:hAnsi="Arial" w:cs="Arial"/>
          <w:noProof/>
          <w:lang w:val="es-ES"/>
        </w:rPr>
      </w:pPr>
      <w:r w:rsidRPr="00993936">
        <w:rPr>
          <w:rFonts w:ascii="Arial" w:hAnsi="Arial" w:cs="Arial"/>
          <w:noProof/>
          <w:lang w:val="es-ES"/>
        </w:rPr>
        <w:t>Las operaciones del cultivo tenderán a la mínima perturbación física o química del suelo.</w:t>
      </w:r>
    </w:p>
    <w:p w:rsidR="00202B3A" w:rsidRPr="00993936" w:rsidRDefault="00202B3A" w:rsidP="001D205D">
      <w:pPr>
        <w:jc w:val="both"/>
        <w:rPr>
          <w:rFonts w:ascii="Arial" w:hAnsi="Arial" w:cs="Arial"/>
          <w:noProof/>
          <w:lang w:val="es-ES"/>
        </w:rPr>
      </w:pPr>
      <w:r w:rsidRPr="00993936">
        <w:rPr>
          <w:rFonts w:ascii="Arial" w:hAnsi="Arial" w:cs="Arial"/>
          <w:noProof/>
          <w:lang w:val="es-ES"/>
        </w:rPr>
        <w:t>3.1.3  Eliminar las malas hierbas y el resto de los vegetales de cultivos anteriores de una forma adecuada y con la suficiente antelación con respecto al cultivo posterior, pudiendo quedar los restos sobre el suelo siempre que no representen un peligro de transmisión de plagas o enfermedades de los vegetales, o cuando se practique la agricultura de conservación.</w:t>
      </w:r>
    </w:p>
    <w:p w:rsidR="00202B3A" w:rsidRPr="00993936" w:rsidRDefault="00202B3A" w:rsidP="001D205D">
      <w:pPr>
        <w:jc w:val="both"/>
        <w:rPr>
          <w:rFonts w:ascii="Arial" w:hAnsi="Arial" w:cs="Arial"/>
          <w:lang w:val="es-ES"/>
        </w:rPr>
      </w:pPr>
      <w:r w:rsidRPr="00993936">
        <w:rPr>
          <w:rFonts w:ascii="Arial" w:hAnsi="Arial" w:cs="Arial"/>
          <w:lang w:val="es-ES"/>
        </w:rPr>
        <w:t xml:space="preserve">3.1.4 Los trabajos de campo se realizarán respetando al máximo la estructura del suelo, evitando la escorrentía superficial y el encharcamiento. También se tendrá en cuenta la pendiente del suelo para la adecuada conservación del suelo, adaptando las dimensiones y características de las obras de conservación (terrazas, bancales, cerros) con la finalidad de evitar fenómenos de erosión. </w:t>
      </w:r>
      <w:r w:rsidRPr="00993936">
        <w:rPr>
          <w:rFonts w:ascii="Arial" w:hAnsi="Arial" w:cs="Arial"/>
          <w:noProof/>
          <w:lang w:val="es-ES"/>
        </w:rPr>
        <w:t>Las técnicas de cultivo utilizadas serán las adecuadas para reducir el consumo energético.</w:t>
      </w:r>
    </w:p>
    <w:p w:rsidR="00202B3A" w:rsidRPr="00993936" w:rsidRDefault="00202B3A" w:rsidP="001D205D">
      <w:pPr>
        <w:jc w:val="both"/>
        <w:outlineLvl w:val="0"/>
        <w:rPr>
          <w:rFonts w:ascii="Arial" w:hAnsi="Arial" w:cs="Arial"/>
          <w:i/>
          <w:lang w:val="es-ES"/>
        </w:rPr>
      </w:pPr>
      <w:r w:rsidRPr="00993936">
        <w:rPr>
          <w:rFonts w:ascii="Arial" w:hAnsi="Arial" w:cs="Arial"/>
          <w:lang w:val="es-ES"/>
        </w:rPr>
        <w:t xml:space="preserve">3.2 </w:t>
      </w:r>
      <w:r w:rsidRPr="00993936">
        <w:rPr>
          <w:rFonts w:ascii="Arial" w:hAnsi="Arial" w:cs="Arial"/>
          <w:i/>
          <w:lang w:val="es-ES"/>
        </w:rPr>
        <w:t>Prohibiciones</w:t>
      </w:r>
    </w:p>
    <w:p w:rsidR="00202B3A" w:rsidRPr="00993936" w:rsidRDefault="00202B3A" w:rsidP="001D205D">
      <w:pPr>
        <w:pStyle w:val="Textoindependiente"/>
        <w:rPr>
          <w:rFonts w:cs="Arial"/>
          <w:noProof/>
          <w:szCs w:val="22"/>
          <w:lang w:val="es-ES"/>
        </w:rPr>
      </w:pPr>
      <w:r w:rsidRPr="00993936">
        <w:rPr>
          <w:rFonts w:cs="Arial"/>
          <w:noProof/>
          <w:szCs w:val="22"/>
          <w:lang w:val="es-ES"/>
        </w:rPr>
        <w:t xml:space="preserve">3.2.1 Realizar la desinfección química del suelo. </w:t>
      </w:r>
    </w:p>
    <w:p w:rsidR="00202B3A" w:rsidRPr="00993936" w:rsidRDefault="00202B3A" w:rsidP="001D205D">
      <w:pPr>
        <w:pStyle w:val="Textoindependiente"/>
        <w:rPr>
          <w:rFonts w:cs="Arial"/>
          <w:szCs w:val="22"/>
          <w:lang w:val="es-ES"/>
        </w:rPr>
      </w:pPr>
      <w:r w:rsidRPr="00993936">
        <w:rPr>
          <w:rFonts w:cs="Arial"/>
          <w:szCs w:val="22"/>
          <w:lang w:val="es-ES"/>
        </w:rPr>
        <w:t>3.2.2 Realizar los trabajos del suelo en el sentido de la pendiente en parcelas con pendientes superiores al 10%, así como también efectuar trabajos preparatorios que alteren los horizontes del suelo.</w:t>
      </w:r>
    </w:p>
    <w:p w:rsidR="00202B3A" w:rsidRPr="00993936" w:rsidRDefault="00202B3A" w:rsidP="001D205D">
      <w:pPr>
        <w:jc w:val="both"/>
        <w:rPr>
          <w:rFonts w:ascii="Arial" w:hAnsi="Arial" w:cs="Arial"/>
          <w:u w:val="single"/>
          <w:lang w:val="es-ES"/>
        </w:rPr>
      </w:pPr>
      <w:r w:rsidRPr="00993936">
        <w:rPr>
          <w:rFonts w:ascii="Arial" w:hAnsi="Arial" w:cs="Arial"/>
          <w:lang w:val="es-ES"/>
        </w:rPr>
        <w:t>3.2.3 La utilización sistemática</w:t>
      </w:r>
      <w:r w:rsidRPr="00993936">
        <w:rPr>
          <w:rFonts w:ascii="Arial" w:hAnsi="Arial" w:cs="Arial"/>
          <w:i/>
          <w:lang w:val="es-ES"/>
        </w:rPr>
        <w:t xml:space="preserve"> </w:t>
      </w:r>
      <w:r w:rsidRPr="00993936">
        <w:rPr>
          <w:rFonts w:ascii="Arial" w:hAnsi="Arial" w:cs="Arial"/>
          <w:lang w:val="es-ES"/>
        </w:rPr>
        <w:t>y permanente</w:t>
      </w:r>
      <w:r w:rsidRPr="00993936">
        <w:rPr>
          <w:rFonts w:ascii="Arial" w:hAnsi="Arial" w:cs="Arial"/>
          <w:i/>
          <w:lang w:val="es-ES"/>
        </w:rPr>
        <w:t xml:space="preserve"> </w:t>
      </w:r>
      <w:r w:rsidRPr="00993936">
        <w:rPr>
          <w:rFonts w:ascii="Arial" w:hAnsi="Arial" w:cs="Arial"/>
          <w:lang w:val="es-ES"/>
        </w:rPr>
        <w:t>de herramientas agrícolas (cavadoras, discos, etc.) que destruyan la estructura del suelo y favorezcan la formación de un estrato o zona de compactación.</w:t>
      </w:r>
    </w:p>
    <w:p w:rsidR="00202B3A" w:rsidRPr="00993936" w:rsidRDefault="00202B3A" w:rsidP="001D205D">
      <w:pPr>
        <w:pStyle w:val="Textoindependiente"/>
        <w:outlineLvl w:val="0"/>
        <w:rPr>
          <w:rFonts w:cs="Arial"/>
          <w:szCs w:val="22"/>
          <w:lang w:val="es-ES"/>
        </w:rPr>
      </w:pPr>
      <w:r w:rsidRPr="00993936">
        <w:rPr>
          <w:rFonts w:cs="Arial"/>
          <w:szCs w:val="22"/>
          <w:lang w:val="es-ES"/>
        </w:rPr>
        <w:t xml:space="preserve">3.3 </w:t>
      </w:r>
      <w:r w:rsidRPr="00993936">
        <w:rPr>
          <w:rFonts w:cs="Arial"/>
          <w:i/>
          <w:szCs w:val="22"/>
          <w:lang w:val="es-ES"/>
        </w:rPr>
        <w:t>Recomendaciones</w:t>
      </w:r>
    </w:p>
    <w:p w:rsidR="00202B3A" w:rsidRPr="00993936" w:rsidRDefault="00202B3A" w:rsidP="001D205D">
      <w:pPr>
        <w:jc w:val="both"/>
        <w:rPr>
          <w:rFonts w:ascii="Arial" w:hAnsi="Arial" w:cs="Arial"/>
          <w:lang w:val="es-ES"/>
        </w:rPr>
      </w:pPr>
      <w:r w:rsidRPr="00993936">
        <w:rPr>
          <w:rFonts w:ascii="Arial" w:hAnsi="Arial" w:cs="Arial"/>
          <w:lang w:val="es-ES"/>
        </w:rPr>
        <w:t xml:space="preserve">3.3.1 Se preferirán los tipos de suelos que tengan una profundidad adecuada para el desarrollo de las raíces, a que estén bien drenados y de textura media. La conductividad eléctrica (CE) tiene que ser menor de 1,5 dS/m en </w:t>
      </w:r>
      <w:smartTag w:uri="urn:schemas-microsoft-com:office:smarttags" w:element="metricconverter">
        <w:smartTagPr>
          <w:attr w:name="ProductID" w:val="25ﾺC"/>
        </w:smartTagPr>
        <w:r w:rsidRPr="00993936">
          <w:rPr>
            <w:rFonts w:ascii="Arial" w:hAnsi="Arial" w:cs="Arial"/>
            <w:lang w:val="es-ES"/>
          </w:rPr>
          <w:t>25ºC</w:t>
        </w:r>
      </w:smartTag>
      <w:r w:rsidRPr="00993936">
        <w:rPr>
          <w:rFonts w:ascii="Arial" w:hAnsi="Arial" w:cs="Arial"/>
          <w:lang w:val="es-ES"/>
        </w:rPr>
        <w:t>.</w:t>
      </w:r>
    </w:p>
    <w:p w:rsidR="00202B3A" w:rsidRPr="00993936" w:rsidRDefault="00202B3A" w:rsidP="001D205D">
      <w:pPr>
        <w:pStyle w:val="Textoindependiente"/>
        <w:rPr>
          <w:rFonts w:cs="Arial"/>
          <w:szCs w:val="22"/>
          <w:lang w:val="es-ES"/>
        </w:rPr>
      </w:pPr>
      <w:r w:rsidRPr="00993936">
        <w:rPr>
          <w:rFonts w:cs="Arial"/>
          <w:szCs w:val="22"/>
          <w:lang w:val="es-ES"/>
        </w:rPr>
        <w:t xml:space="preserve">3.3.2 No realizar el cultivo en zonas con factores limitantes: encharcamientos, salinidad, capa freática alta, poca profundidad. </w:t>
      </w:r>
    </w:p>
    <w:p w:rsidR="00202B3A" w:rsidRPr="00993936" w:rsidRDefault="00202B3A" w:rsidP="001D205D">
      <w:pPr>
        <w:pStyle w:val="Textoindependiente"/>
        <w:rPr>
          <w:rFonts w:cs="Arial"/>
          <w:noProof/>
          <w:szCs w:val="22"/>
          <w:lang w:val="es-ES"/>
        </w:rPr>
      </w:pPr>
      <w:r w:rsidRPr="00993936">
        <w:rPr>
          <w:rFonts w:cs="Arial"/>
          <w:noProof/>
          <w:szCs w:val="22"/>
          <w:lang w:val="es-ES"/>
        </w:rPr>
        <w:t>3.3.3 Conseguir, mediante las correspondientes aportaciones orgánicas, un nivel de al menos el 1,5% de materia orgánica.</w:t>
      </w:r>
    </w:p>
    <w:p w:rsidR="00202B3A" w:rsidRPr="00993936" w:rsidRDefault="00202B3A" w:rsidP="001D205D">
      <w:pPr>
        <w:pStyle w:val="Textoindependiente"/>
        <w:rPr>
          <w:rFonts w:cs="Arial"/>
          <w:noProof/>
          <w:szCs w:val="22"/>
          <w:lang w:val="es-ES"/>
        </w:rPr>
      </w:pPr>
      <w:r w:rsidRPr="00993936">
        <w:rPr>
          <w:rFonts w:cs="Arial"/>
          <w:noProof/>
          <w:szCs w:val="22"/>
          <w:lang w:val="es-ES"/>
        </w:rPr>
        <w:t>3.3.4  En zonas con elevado riesgo de erosión, realizar el cultivo del suelo en curvas de nivel o bien con terrazas, realizar la siembra directa o bien el cultivo de conservación.</w:t>
      </w:r>
    </w:p>
    <w:p w:rsidR="00202B3A" w:rsidRPr="00993936" w:rsidRDefault="00202B3A" w:rsidP="001D205D">
      <w:pPr>
        <w:pStyle w:val="Textoindependiente"/>
        <w:rPr>
          <w:rFonts w:cs="Arial"/>
          <w:noProof/>
          <w:szCs w:val="22"/>
          <w:lang w:val="es-ES"/>
        </w:rPr>
      </w:pPr>
      <w:r w:rsidRPr="00993936">
        <w:rPr>
          <w:rFonts w:cs="Arial"/>
          <w:noProof/>
          <w:szCs w:val="22"/>
          <w:lang w:val="es-ES"/>
        </w:rPr>
        <w:t>3.3.5 En zonas con elevado riesgo de lavado de nitratos, y especialmente a las zonas vulnerables, mantener antes de los cultivos de primavera una cubierta vegetal apropiada con una adecuada capacidad de absorción de nitrógeno.</w:t>
      </w:r>
    </w:p>
    <w:p w:rsidR="00202B3A" w:rsidRPr="00993936" w:rsidRDefault="00202B3A" w:rsidP="001D205D">
      <w:pPr>
        <w:tabs>
          <w:tab w:val="left" w:pos="6848"/>
        </w:tabs>
        <w:jc w:val="both"/>
        <w:rPr>
          <w:rFonts w:ascii="Arial" w:hAnsi="Arial" w:cs="Arial"/>
          <w:noProof/>
          <w:lang w:val="es-ES"/>
        </w:rPr>
      </w:pPr>
      <w:r w:rsidRPr="00993936">
        <w:rPr>
          <w:rFonts w:ascii="Arial" w:hAnsi="Arial" w:cs="Arial"/>
          <w:noProof/>
          <w:lang w:val="es-ES"/>
        </w:rPr>
        <w:t>3.3.6 La información sobre el tipo de suelo podrá ser extraída del mapa detallado de suelos de Cataluña, en caso de que haya.</w:t>
      </w:r>
    </w:p>
    <w:p w:rsidR="00202B3A" w:rsidRPr="00993936" w:rsidRDefault="00202B3A" w:rsidP="001D205D">
      <w:pPr>
        <w:tabs>
          <w:tab w:val="left" w:pos="6848"/>
        </w:tabs>
        <w:jc w:val="both"/>
        <w:rPr>
          <w:rFonts w:ascii="Arial" w:hAnsi="Arial" w:cs="Arial"/>
          <w:noProof/>
          <w:lang w:val="es-ES"/>
        </w:rPr>
      </w:pPr>
      <w:r w:rsidRPr="00993936">
        <w:rPr>
          <w:rFonts w:ascii="Arial" w:hAnsi="Arial" w:cs="Arial"/>
          <w:noProof/>
          <w:lang w:val="es-ES"/>
        </w:rPr>
        <w:lastRenderedPageBreak/>
        <w:t xml:space="preserve">3.3.7 Para el cultivo del suelo, alternar los trabajos de campo que hacen un volteo (gradas de discos, rotovator...) con las que únicamente remueven la tierra (cultivador, “chisel”, subsolador, etc). </w:t>
      </w:r>
    </w:p>
    <w:p w:rsidR="00202B3A" w:rsidRPr="00993936" w:rsidRDefault="00202B3A" w:rsidP="001D205D">
      <w:pPr>
        <w:pStyle w:val="Ttulo3"/>
        <w:rPr>
          <w:rFonts w:ascii="Arial" w:hAnsi="Arial" w:cs="Arial"/>
          <w:b/>
          <w:noProof/>
          <w:color w:val="auto"/>
          <w:szCs w:val="22"/>
          <w:lang w:val="es-ES"/>
        </w:rPr>
      </w:pPr>
    </w:p>
    <w:p w:rsidR="00202B3A" w:rsidRPr="00993936" w:rsidRDefault="00202B3A" w:rsidP="001D205D">
      <w:pPr>
        <w:pStyle w:val="Ttulo3"/>
        <w:rPr>
          <w:rFonts w:ascii="Arial" w:hAnsi="Arial" w:cs="Arial"/>
          <w:b/>
          <w:noProof/>
          <w:color w:val="auto"/>
          <w:szCs w:val="22"/>
          <w:lang w:val="es-ES"/>
        </w:rPr>
      </w:pPr>
      <w:r w:rsidRPr="00993936">
        <w:rPr>
          <w:rFonts w:ascii="Arial" w:hAnsi="Arial" w:cs="Arial"/>
          <w:noProof/>
          <w:color w:val="auto"/>
          <w:szCs w:val="22"/>
          <w:lang w:val="es-ES"/>
        </w:rPr>
        <w:t>Artículo 4</w:t>
      </w:r>
    </w:p>
    <w:p w:rsidR="00202B3A" w:rsidRPr="00993936" w:rsidRDefault="00202B3A" w:rsidP="001D205D">
      <w:pPr>
        <w:pStyle w:val="Ttulo3"/>
        <w:rPr>
          <w:rFonts w:ascii="Arial" w:hAnsi="Arial" w:cs="Arial"/>
          <w:b/>
          <w:noProof/>
          <w:color w:val="auto"/>
          <w:szCs w:val="22"/>
          <w:lang w:val="es-ES"/>
        </w:rPr>
      </w:pPr>
      <w:r w:rsidRPr="00993936">
        <w:rPr>
          <w:rFonts w:ascii="Arial" w:hAnsi="Arial" w:cs="Arial"/>
          <w:b/>
          <w:noProof/>
          <w:color w:val="auto"/>
          <w:szCs w:val="22"/>
          <w:lang w:val="es-ES"/>
        </w:rPr>
        <w:t>Material vegetal y siembra</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4.1 </w:t>
      </w:r>
      <w:r w:rsidRPr="00993936">
        <w:rPr>
          <w:rFonts w:ascii="Arial" w:hAnsi="Arial" w:cs="Arial"/>
          <w:i/>
          <w:noProof/>
          <w:lang w:val="es-ES"/>
        </w:rPr>
        <w:t>Obligaciones</w:t>
      </w:r>
    </w:p>
    <w:p w:rsidR="00202B3A" w:rsidRPr="00993936" w:rsidRDefault="00202B3A" w:rsidP="001D205D">
      <w:pPr>
        <w:jc w:val="both"/>
        <w:rPr>
          <w:rFonts w:ascii="Arial" w:hAnsi="Arial" w:cs="Arial"/>
          <w:b/>
          <w:noProof/>
          <w:lang w:val="es-ES"/>
        </w:rPr>
      </w:pPr>
      <w:r w:rsidRPr="00993936">
        <w:rPr>
          <w:rFonts w:ascii="Arial" w:hAnsi="Arial" w:cs="Arial"/>
          <w:noProof/>
          <w:lang w:val="es-ES"/>
        </w:rPr>
        <w:t>4.1.1 Utilizar semillas procedentes de productores oficialmente autorizados, certificadas y como mínimo de categoría R2. Conservar las facturas de compra y una muestra de las etiquetas durante un mínimo de cuatro años.</w:t>
      </w:r>
    </w:p>
    <w:p w:rsidR="00202B3A" w:rsidRPr="00993936" w:rsidRDefault="00202B3A" w:rsidP="001D205D">
      <w:pPr>
        <w:pStyle w:val="Textoindependiente"/>
        <w:rPr>
          <w:rFonts w:cs="Arial"/>
          <w:noProof/>
          <w:szCs w:val="22"/>
          <w:lang w:val="es-ES"/>
        </w:rPr>
      </w:pPr>
      <w:r w:rsidRPr="00993936">
        <w:rPr>
          <w:rFonts w:cs="Arial"/>
          <w:noProof/>
          <w:szCs w:val="22"/>
          <w:lang w:val="es-ES"/>
        </w:rPr>
        <w:t>4.1.2 Anotar en el Cuaderno de explotación, para cada parcela, la variedad sembrada, la dosis y categoría de la semilla utilizada y el tratamiento químico al cual ha sido sometida.</w:t>
      </w:r>
    </w:p>
    <w:p w:rsidR="00202B3A" w:rsidRPr="00993936" w:rsidRDefault="00202B3A" w:rsidP="001D205D">
      <w:pPr>
        <w:pStyle w:val="Textoindependiente"/>
        <w:rPr>
          <w:rFonts w:cs="Arial"/>
          <w:noProof/>
          <w:szCs w:val="22"/>
          <w:lang w:val="es-ES"/>
        </w:rPr>
      </w:pPr>
      <w:r w:rsidRPr="00993936">
        <w:rPr>
          <w:rFonts w:cs="Arial"/>
          <w:noProof/>
          <w:szCs w:val="22"/>
          <w:lang w:val="es-ES"/>
        </w:rPr>
        <w:t>4.1.3 Registrar en el Cuaderno de explotación las fechas de siembra de cada especie y variedad, y hacer la siembra dentro de</w:t>
      </w:r>
      <w:r w:rsidRPr="00993936">
        <w:rPr>
          <w:rFonts w:cs="Arial"/>
          <w:b/>
          <w:noProof/>
          <w:szCs w:val="22"/>
          <w:lang w:val="es-ES"/>
        </w:rPr>
        <w:t xml:space="preserve"> </w:t>
      </w:r>
      <w:r w:rsidRPr="00993936">
        <w:rPr>
          <w:rFonts w:cs="Arial"/>
          <w:noProof/>
          <w:szCs w:val="22"/>
          <w:lang w:val="es-ES"/>
        </w:rPr>
        <w:t>las fechas de recomendadas para cada variedad. Las siembras tempranas corresponderán a las variedades de invierno, dejando la siembra de las variedades alternativas para la segunda mitad del otoño o bien del invierno.</w:t>
      </w:r>
    </w:p>
    <w:p w:rsidR="00202B3A" w:rsidRPr="00993936" w:rsidRDefault="00202B3A" w:rsidP="001D205D">
      <w:pPr>
        <w:pStyle w:val="Textoindependiente"/>
        <w:rPr>
          <w:rFonts w:cs="Arial"/>
          <w:noProof/>
          <w:szCs w:val="22"/>
          <w:lang w:val="es-ES"/>
        </w:rPr>
      </w:pPr>
      <w:r w:rsidRPr="00993936">
        <w:rPr>
          <w:rFonts w:cs="Arial"/>
          <w:noProof/>
          <w:szCs w:val="22"/>
          <w:lang w:val="es-ES"/>
        </w:rPr>
        <w:t xml:space="preserve">4.2 </w:t>
      </w:r>
      <w:r w:rsidRPr="00993936">
        <w:rPr>
          <w:rFonts w:cs="Arial"/>
          <w:i/>
          <w:noProof/>
          <w:szCs w:val="22"/>
          <w:lang w:val="es-ES"/>
        </w:rPr>
        <w:t>Recomendaciones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4.2.1 Para realizar la producción integrada de cereales de invierno se escogerán preferentemente las variedades más adecuadas a la zona y al periodo de cultivo, en base a las recomendaciones oficiales de variedades que se realicen desde los Organismos públicos correspondientes antes de cada campaña y para cada una de las zonas productoras. </w:t>
      </w:r>
    </w:p>
    <w:p w:rsidR="00202B3A" w:rsidRPr="00993936" w:rsidRDefault="00202B3A" w:rsidP="001D205D">
      <w:pPr>
        <w:jc w:val="both"/>
        <w:rPr>
          <w:rFonts w:ascii="Arial" w:hAnsi="Arial" w:cs="Arial"/>
          <w:noProof/>
          <w:lang w:val="es-ES"/>
        </w:rPr>
      </w:pPr>
      <w:r w:rsidRPr="00993936">
        <w:rPr>
          <w:rFonts w:ascii="Arial" w:hAnsi="Arial" w:cs="Arial"/>
          <w:noProof/>
          <w:lang w:val="es-ES"/>
        </w:rPr>
        <w:t>4.2.2 Las dosis de siembra serán las recomendadas para cada variedad, situándose dentro de los siguientes intervalos:</w:t>
      </w:r>
    </w:p>
    <w:tbl>
      <w:tblPr>
        <w:tblW w:w="0" w:type="auto"/>
        <w:tblInd w:w="637" w:type="dxa"/>
        <w:tblLayout w:type="fixed"/>
        <w:tblCellMar>
          <w:left w:w="70" w:type="dxa"/>
          <w:right w:w="70" w:type="dxa"/>
        </w:tblCellMar>
        <w:tblLook w:val="0000" w:firstRow="0" w:lastRow="0" w:firstColumn="0" w:lastColumn="0" w:noHBand="0" w:noVBand="0"/>
      </w:tblPr>
      <w:tblGrid>
        <w:gridCol w:w="2977"/>
        <w:gridCol w:w="2126"/>
      </w:tblGrid>
      <w:tr w:rsidR="00202B3A" w:rsidRPr="00993936">
        <w:tc>
          <w:tcPr>
            <w:tcW w:w="2977" w:type="dxa"/>
          </w:tcPr>
          <w:p w:rsidR="00202B3A" w:rsidRPr="00993936" w:rsidRDefault="00202B3A" w:rsidP="00202B3A">
            <w:pPr>
              <w:numPr>
                <w:ilvl w:val="0"/>
                <w:numId w:val="9"/>
              </w:numPr>
              <w:spacing w:after="0" w:line="240" w:lineRule="auto"/>
              <w:jc w:val="both"/>
              <w:rPr>
                <w:rFonts w:ascii="Arial" w:hAnsi="Arial" w:cs="Arial"/>
                <w:noProof/>
                <w:lang w:val="es-ES"/>
              </w:rPr>
            </w:pPr>
            <w:r w:rsidRPr="00993936">
              <w:rPr>
                <w:rFonts w:ascii="Arial" w:hAnsi="Arial" w:cs="Arial"/>
                <w:noProof/>
                <w:lang w:val="es-ES"/>
              </w:rPr>
              <w:t xml:space="preserve">Trigo y cebada en secano </w:t>
            </w:r>
          </w:p>
        </w:tc>
        <w:tc>
          <w:tcPr>
            <w:tcW w:w="2126" w:type="dxa"/>
          </w:tcPr>
          <w:p w:rsidR="00202B3A" w:rsidRPr="00993936" w:rsidRDefault="00202B3A" w:rsidP="001D205D">
            <w:pPr>
              <w:jc w:val="both"/>
              <w:rPr>
                <w:rFonts w:ascii="Arial" w:hAnsi="Arial" w:cs="Arial"/>
                <w:noProof/>
                <w:lang w:val="es-ES"/>
              </w:rPr>
            </w:pPr>
            <w:smartTag w:uri="urn:schemas-microsoft-com:office:smarttags" w:element="metricconverter">
              <w:smartTagPr>
                <w:attr w:name="ProductID" w:val="140 a"/>
              </w:smartTagPr>
              <w:r w:rsidRPr="00993936">
                <w:rPr>
                  <w:rFonts w:ascii="Arial" w:hAnsi="Arial" w:cs="Arial"/>
                  <w:noProof/>
                  <w:lang w:val="es-ES"/>
                </w:rPr>
                <w:t>140 a</w:t>
              </w:r>
            </w:smartTag>
            <w:r w:rsidRPr="00993936">
              <w:rPr>
                <w:rFonts w:ascii="Arial" w:hAnsi="Arial" w:cs="Arial"/>
                <w:noProof/>
                <w:lang w:val="es-ES"/>
              </w:rPr>
              <w:t xml:space="preserve"> 190 kg/ha</w:t>
            </w:r>
          </w:p>
        </w:tc>
      </w:tr>
      <w:tr w:rsidR="00202B3A" w:rsidRPr="00993936">
        <w:tc>
          <w:tcPr>
            <w:tcW w:w="2977" w:type="dxa"/>
          </w:tcPr>
          <w:p w:rsidR="00202B3A" w:rsidRPr="00993936" w:rsidRDefault="00202B3A" w:rsidP="00202B3A">
            <w:pPr>
              <w:numPr>
                <w:ilvl w:val="0"/>
                <w:numId w:val="9"/>
              </w:numPr>
              <w:spacing w:after="0" w:line="240" w:lineRule="auto"/>
              <w:jc w:val="both"/>
              <w:rPr>
                <w:rFonts w:ascii="Arial" w:hAnsi="Arial" w:cs="Arial"/>
                <w:noProof/>
                <w:lang w:val="es-ES"/>
              </w:rPr>
            </w:pPr>
            <w:r w:rsidRPr="00993936">
              <w:rPr>
                <w:rFonts w:ascii="Arial" w:hAnsi="Arial" w:cs="Arial"/>
                <w:noProof/>
                <w:lang w:val="es-ES"/>
              </w:rPr>
              <w:t>Triticale en secano:</w:t>
            </w:r>
          </w:p>
        </w:tc>
        <w:tc>
          <w:tcPr>
            <w:tcW w:w="2126" w:type="dxa"/>
          </w:tcPr>
          <w:p w:rsidR="00202B3A" w:rsidRPr="00993936" w:rsidRDefault="00202B3A" w:rsidP="001D205D">
            <w:pPr>
              <w:jc w:val="both"/>
              <w:rPr>
                <w:rFonts w:ascii="Arial" w:hAnsi="Arial" w:cs="Arial"/>
                <w:noProof/>
                <w:lang w:val="es-ES"/>
              </w:rPr>
            </w:pPr>
            <w:smartTag w:uri="urn:schemas-microsoft-com:office:smarttags" w:element="metricconverter">
              <w:smartTagPr>
                <w:attr w:name="ProductID" w:val="160 a"/>
              </w:smartTagPr>
              <w:r w:rsidRPr="00993936">
                <w:rPr>
                  <w:rFonts w:ascii="Arial" w:hAnsi="Arial" w:cs="Arial"/>
                  <w:noProof/>
                  <w:lang w:val="es-ES"/>
                </w:rPr>
                <w:t>160 a</w:t>
              </w:r>
            </w:smartTag>
            <w:r w:rsidRPr="00993936">
              <w:rPr>
                <w:rFonts w:ascii="Arial" w:hAnsi="Arial" w:cs="Arial"/>
                <w:noProof/>
                <w:lang w:val="es-ES"/>
              </w:rPr>
              <w:t xml:space="preserve"> 200 kg/ha</w:t>
            </w:r>
          </w:p>
        </w:tc>
      </w:tr>
      <w:tr w:rsidR="00202B3A" w:rsidRPr="00993936">
        <w:tc>
          <w:tcPr>
            <w:tcW w:w="2977" w:type="dxa"/>
          </w:tcPr>
          <w:p w:rsidR="00202B3A" w:rsidRPr="00993936" w:rsidRDefault="00202B3A" w:rsidP="00202B3A">
            <w:pPr>
              <w:numPr>
                <w:ilvl w:val="0"/>
                <w:numId w:val="9"/>
              </w:numPr>
              <w:spacing w:after="0" w:line="240" w:lineRule="auto"/>
              <w:jc w:val="both"/>
              <w:rPr>
                <w:rFonts w:ascii="Arial" w:hAnsi="Arial" w:cs="Arial"/>
                <w:noProof/>
                <w:lang w:val="es-ES"/>
              </w:rPr>
            </w:pPr>
            <w:r w:rsidRPr="00993936">
              <w:rPr>
                <w:rFonts w:ascii="Arial" w:hAnsi="Arial" w:cs="Arial"/>
                <w:noProof/>
                <w:lang w:val="es-ES"/>
              </w:rPr>
              <w:t>Cebada en regadío:</w:t>
            </w:r>
          </w:p>
        </w:tc>
        <w:tc>
          <w:tcPr>
            <w:tcW w:w="2126" w:type="dxa"/>
          </w:tcPr>
          <w:p w:rsidR="00202B3A" w:rsidRPr="00993936" w:rsidRDefault="00202B3A" w:rsidP="001D205D">
            <w:pPr>
              <w:jc w:val="both"/>
              <w:rPr>
                <w:rFonts w:ascii="Arial" w:hAnsi="Arial" w:cs="Arial"/>
                <w:noProof/>
                <w:lang w:val="es-ES"/>
              </w:rPr>
            </w:pPr>
            <w:smartTag w:uri="urn:schemas-microsoft-com:office:smarttags" w:element="metricconverter">
              <w:smartTagPr>
                <w:attr w:name="ProductID" w:val="160 a"/>
              </w:smartTagPr>
              <w:r w:rsidRPr="00993936">
                <w:rPr>
                  <w:rFonts w:ascii="Arial" w:hAnsi="Arial" w:cs="Arial"/>
                  <w:noProof/>
                  <w:lang w:val="es-ES"/>
                </w:rPr>
                <w:t>160 a</w:t>
              </w:r>
            </w:smartTag>
            <w:r w:rsidRPr="00993936">
              <w:rPr>
                <w:rFonts w:ascii="Arial" w:hAnsi="Arial" w:cs="Arial"/>
                <w:noProof/>
                <w:lang w:val="es-ES"/>
              </w:rPr>
              <w:t xml:space="preserve"> 200 kg/ha</w:t>
            </w:r>
          </w:p>
        </w:tc>
      </w:tr>
      <w:tr w:rsidR="00202B3A" w:rsidRPr="00993936">
        <w:tc>
          <w:tcPr>
            <w:tcW w:w="2977" w:type="dxa"/>
          </w:tcPr>
          <w:p w:rsidR="00202B3A" w:rsidRPr="00993936" w:rsidRDefault="00202B3A" w:rsidP="00202B3A">
            <w:pPr>
              <w:numPr>
                <w:ilvl w:val="0"/>
                <w:numId w:val="9"/>
              </w:numPr>
              <w:spacing w:after="0" w:line="240" w:lineRule="auto"/>
              <w:jc w:val="both"/>
              <w:rPr>
                <w:rFonts w:ascii="Arial" w:hAnsi="Arial" w:cs="Arial"/>
                <w:noProof/>
                <w:lang w:val="es-ES"/>
              </w:rPr>
            </w:pPr>
            <w:r w:rsidRPr="00993936">
              <w:rPr>
                <w:rFonts w:ascii="Arial" w:hAnsi="Arial" w:cs="Arial"/>
                <w:noProof/>
                <w:lang w:val="es-ES"/>
              </w:rPr>
              <w:t>Trigo en regadío:</w:t>
            </w:r>
          </w:p>
        </w:tc>
        <w:tc>
          <w:tcPr>
            <w:tcW w:w="2126" w:type="dxa"/>
          </w:tcPr>
          <w:p w:rsidR="00202B3A" w:rsidRPr="00993936" w:rsidRDefault="00202B3A" w:rsidP="001D205D">
            <w:pPr>
              <w:jc w:val="both"/>
              <w:rPr>
                <w:rFonts w:ascii="Arial" w:hAnsi="Arial" w:cs="Arial"/>
                <w:noProof/>
                <w:lang w:val="es-ES"/>
              </w:rPr>
            </w:pPr>
            <w:smartTag w:uri="urn:schemas-microsoft-com:office:smarttags" w:element="metricconverter">
              <w:smartTagPr>
                <w:attr w:name="ProductID" w:val="180 a"/>
              </w:smartTagPr>
              <w:r w:rsidRPr="00993936">
                <w:rPr>
                  <w:rFonts w:ascii="Arial" w:hAnsi="Arial" w:cs="Arial"/>
                  <w:noProof/>
                  <w:lang w:val="es-ES"/>
                </w:rPr>
                <w:t>180 a</w:t>
              </w:r>
            </w:smartTag>
            <w:r w:rsidRPr="00993936">
              <w:rPr>
                <w:rFonts w:ascii="Arial" w:hAnsi="Arial" w:cs="Arial"/>
                <w:noProof/>
                <w:lang w:val="es-ES"/>
              </w:rPr>
              <w:t xml:space="preserve"> 225 kg/ha</w:t>
            </w:r>
          </w:p>
        </w:tc>
      </w:tr>
      <w:tr w:rsidR="00202B3A" w:rsidRPr="00993936">
        <w:tc>
          <w:tcPr>
            <w:tcW w:w="2977" w:type="dxa"/>
          </w:tcPr>
          <w:p w:rsidR="00202B3A" w:rsidRPr="00993936" w:rsidRDefault="00202B3A" w:rsidP="00202B3A">
            <w:pPr>
              <w:numPr>
                <w:ilvl w:val="0"/>
                <w:numId w:val="9"/>
              </w:numPr>
              <w:spacing w:after="0" w:line="240" w:lineRule="auto"/>
              <w:jc w:val="both"/>
              <w:rPr>
                <w:rFonts w:ascii="Arial" w:hAnsi="Arial" w:cs="Arial"/>
                <w:noProof/>
                <w:lang w:val="es-ES"/>
              </w:rPr>
            </w:pPr>
            <w:r w:rsidRPr="00993936">
              <w:rPr>
                <w:rFonts w:ascii="Arial" w:hAnsi="Arial" w:cs="Arial"/>
                <w:noProof/>
                <w:lang w:val="es-ES"/>
              </w:rPr>
              <w:t>Triticale en regadío:</w:t>
            </w:r>
          </w:p>
        </w:tc>
        <w:tc>
          <w:tcPr>
            <w:tcW w:w="2126" w:type="dxa"/>
          </w:tcPr>
          <w:p w:rsidR="00202B3A" w:rsidRPr="00993936" w:rsidRDefault="00202B3A" w:rsidP="001D205D">
            <w:pPr>
              <w:jc w:val="both"/>
              <w:rPr>
                <w:rFonts w:ascii="Arial" w:hAnsi="Arial" w:cs="Arial"/>
                <w:noProof/>
                <w:lang w:val="es-ES"/>
              </w:rPr>
            </w:pPr>
            <w:smartTag w:uri="urn:schemas-microsoft-com:office:smarttags" w:element="metricconverter">
              <w:smartTagPr>
                <w:attr w:name="ProductID" w:val="180 a"/>
              </w:smartTagPr>
              <w:r w:rsidRPr="00993936">
                <w:rPr>
                  <w:rFonts w:ascii="Arial" w:hAnsi="Arial" w:cs="Arial"/>
                  <w:noProof/>
                  <w:lang w:val="es-ES"/>
                </w:rPr>
                <w:t>180 a</w:t>
              </w:r>
            </w:smartTag>
            <w:r w:rsidRPr="00993936">
              <w:rPr>
                <w:rFonts w:ascii="Arial" w:hAnsi="Arial" w:cs="Arial"/>
                <w:noProof/>
                <w:lang w:val="es-ES"/>
              </w:rPr>
              <w:t xml:space="preserve"> 230 kg/ha</w:t>
            </w:r>
          </w:p>
        </w:tc>
      </w:tr>
      <w:tr w:rsidR="00202B3A" w:rsidRPr="00993936">
        <w:tc>
          <w:tcPr>
            <w:tcW w:w="2977" w:type="dxa"/>
          </w:tcPr>
          <w:p w:rsidR="00202B3A" w:rsidRPr="00993936" w:rsidRDefault="00202B3A" w:rsidP="00202B3A">
            <w:pPr>
              <w:numPr>
                <w:ilvl w:val="0"/>
                <w:numId w:val="9"/>
              </w:numPr>
              <w:spacing w:after="0" w:line="240" w:lineRule="auto"/>
              <w:jc w:val="both"/>
              <w:rPr>
                <w:rFonts w:ascii="Arial" w:hAnsi="Arial" w:cs="Arial"/>
                <w:noProof/>
                <w:lang w:val="es-ES"/>
              </w:rPr>
            </w:pPr>
            <w:r w:rsidRPr="00993936">
              <w:rPr>
                <w:rFonts w:ascii="Arial" w:hAnsi="Arial" w:cs="Arial"/>
                <w:noProof/>
                <w:lang w:val="es-ES"/>
              </w:rPr>
              <w:t>Avena en secano:</w:t>
            </w:r>
          </w:p>
        </w:tc>
        <w:tc>
          <w:tcPr>
            <w:tcW w:w="2126" w:type="dxa"/>
          </w:tcPr>
          <w:p w:rsidR="00202B3A" w:rsidRPr="00993936" w:rsidRDefault="00202B3A" w:rsidP="001D205D">
            <w:pPr>
              <w:jc w:val="both"/>
              <w:rPr>
                <w:rFonts w:ascii="Arial" w:hAnsi="Arial" w:cs="Arial"/>
                <w:noProof/>
                <w:lang w:val="es-ES"/>
              </w:rPr>
            </w:pPr>
            <w:smartTag w:uri="urn:schemas-microsoft-com:office:smarttags" w:element="metricconverter">
              <w:smartTagPr>
                <w:attr w:name="ProductID" w:val="120 a"/>
              </w:smartTagPr>
              <w:r w:rsidRPr="00993936">
                <w:rPr>
                  <w:rFonts w:ascii="Arial" w:hAnsi="Arial" w:cs="Arial"/>
                  <w:noProof/>
                  <w:lang w:val="es-ES"/>
                </w:rPr>
                <w:t>120 a</w:t>
              </w:r>
            </w:smartTag>
            <w:r w:rsidRPr="00993936">
              <w:rPr>
                <w:rFonts w:ascii="Arial" w:hAnsi="Arial" w:cs="Arial"/>
                <w:noProof/>
                <w:lang w:val="es-ES"/>
              </w:rPr>
              <w:t xml:space="preserve"> 160 kg/ha</w:t>
            </w:r>
          </w:p>
        </w:tc>
      </w:tr>
      <w:tr w:rsidR="00202B3A" w:rsidRPr="00993936">
        <w:tc>
          <w:tcPr>
            <w:tcW w:w="2977" w:type="dxa"/>
          </w:tcPr>
          <w:p w:rsidR="00202B3A" w:rsidRPr="00993936" w:rsidRDefault="00202B3A" w:rsidP="00202B3A">
            <w:pPr>
              <w:numPr>
                <w:ilvl w:val="0"/>
                <w:numId w:val="9"/>
              </w:numPr>
              <w:spacing w:after="0" w:line="240" w:lineRule="auto"/>
              <w:jc w:val="both"/>
              <w:rPr>
                <w:rFonts w:ascii="Arial" w:hAnsi="Arial" w:cs="Arial"/>
                <w:noProof/>
                <w:lang w:val="es-ES"/>
              </w:rPr>
            </w:pPr>
            <w:r w:rsidRPr="00993936">
              <w:rPr>
                <w:rFonts w:ascii="Arial" w:hAnsi="Arial" w:cs="Arial"/>
                <w:noProof/>
                <w:lang w:val="es-ES"/>
              </w:rPr>
              <w:t>Avena en regadío:</w:t>
            </w:r>
          </w:p>
        </w:tc>
        <w:tc>
          <w:tcPr>
            <w:tcW w:w="2126" w:type="dxa"/>
          </w:tcPr>
          <w:p w:rsidR="00202B3A" w:rsidRPr="00993936" w:rsidRDefault="00202B3A" w:rsidP="001D205D">
            <w:pPr>
              <w:jc w:val="both"/>
              <w:rPr>
                <w:rFonts w:ascii="Arial" w:hAnsi="Arial" w:cs="Arial"/>
                <w:noProof/>
                <w:lang w:val="es-ES"/>
              </w:rPr>
            </w:pPr>
            <w:smartTag w:uri="urn:schemas-microsoft-com:office:smarttags" w:element="metricconverter">
              <w:smartTagPr>
                <w:attr w:name="ProductID" w:val="150 a"/>
              </w:smartTagPr>
              <w:r w:rsidRPr="00993936">
                <w:rPr>
                  <w:rFonts w:ascii="Arial" w:hAnsi="Arial" w:cs="Arial"/>
                  <w:noProof/>
                  <w:lang w:val="es-ES"/>
                </w:rPr>
                <w:t>150 a</w:t>
              </w:r>
            </w:smartTag>
            <w:r w:rsidRPr="00993936">
              <w:rPr>
                <w:rFonts w:ascii="Arial" w:hAnsi="Arial" w:cs="Arial"/>
                <w:noProof/>
                <w:lang w:val="es-ES"/>
              </w:rPr>
              <w:t xml:space="preserve"> 180 kg/ha</w:t>
            </w:r>
          </w:p>
        </w:tc>
      </w:tr>
    </w:tbl>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4.2.3. Para el cálculo de la dosis de siembra (kg/ha) de cada variedad se tendrá en cuenta el peso de 1.000 semillas (PMG) de cada lote utilizado.</w:t>
      </w:r>
    </w:p>
    <w:p w:rsidR="00202B3A" w:rsidRPr="00993936" w:rsidRDefault="00202B3A" w:rsidP="001D205D">
      <w:pPr>
        <w:jc w:val="both"/>
        <w:rPr>
          <w:rFonts w:ascii="Arial" w:hAnsi="Arial" w:cs="Arial"/>
          <w:noProof/>
          <w:lang w:val="es-ES"/>
        </w:rPr>
      </w:pPr>
      <w:r w:rsidRPr="00993936">
        <w:rPr>
          <w:rFonts w:ascii="Arial" w:hAnsi="Arial" w:cs="Arial"/>
          <w:noProof/>
          <w:lang w:val="es-ES"/>
        </w:rPr>
        <w:t>4.2.4 Regular la sembradora para cada variedad y lote de semilla antes de iniciar la siembra así como la profundidad de la siembra para cada parcela en función de las condiciones de humedad y preparación del suelo.</w:t>
      </w:r>
    </w:p>
    <w:p w:rsidR="00202B3A" w:rsidRPr="00993936" w:rsidRDefault="00202B3A" w:rsidP="001D205D">
      <w:pPr>
        <w:tabs>
          <w:tab w:val="left" w:pos="6848"/>
        </w:tabs>
        <w:jc w:val="both"/>
        <w:rPr>
          <w:rFonts w:ascii="Arial" w:hAnsi="Arial" w:cs="Arial"/>
          <w:noProof/>
          <w:lang w:val="es-ES"/>
        </w:rPr>
      </w:pPr>
      <w:r w:rsidRPr="00993936">
        <w:rPr>
          <w:rFonts w:ascii="Arial" w:hAnsi="Arial" w:cs="Arial"/>
          <w:noProof/>
          <w:lang w:val="es-ES"/>
        </w:rPr>
        <w:lastRenderedPageBreak/>
        <w:t>Artículo 5</w:t>
      </w:r>
    </w:p>
    <w:p w:rsidR="00202B3A" w:rsidRPr="00993936" w:rsidRDefault="00202B3A" w:rsidP="001D205D">
      <w:pPr>
        <w:pStyle w:val="Ttulo3"/>
        <w:tabs>
          <w:tab w:val="left" w:pos="6848"/>
        </w:tabs>
        <w:rPr>
          <w:rFonts w:ascii="Arial" w:hAnsi="Arial" w:cs="Arial"/>
          <w:b/>
          <w:noProof/>
          <w:color w:val="auto"/>
          <w:szCs w:val="22"/>
          <w:lang w:val="es-ES"/>
        </w:rPr>
      </w:pPr>
      <w:r w:rsidRPr="00993936">
        <w:rPr>
          <w:rFonts w:ascii="Arial" w:hAnsi="Arial" w:cs="Arial"/>
          <w:b/>
          <w:noProof/>
          <w:color w:val="auto"/>
          <w:szCs w:val="22"/>
          <w:lang w:val="es-ES"/>
        </w:rPr>
        <w:t xml:space="preserve">Manejo del cultivo  </w:t>
      </w:r>
    </w:p>
    <w:p w:rsidR="00202B3A" w:rsidRPr="00993936" w:rsidRDefault="00202B3A" w:rsidP="001D205D">
      <w:pPr>
        <w:tabs>
          <w:tab w:val="left" w:pos="6848"/>
        </w:tabs>
        <w:jc w:val="both"/>
        <w:rPr>
          <w:rFonts w:ascii="Arial" w:hAnsi="Arial" w:cs="Arial"/>
          <w:noProof/>
          <w:lang w:val="es-ES"/>
        </w:rPr>
      </w:pPr>
      <w:r w:rsidRPr="00993936">
        <w:rPr>
          <w:rFonts w:ascii="Arial" w:hAnsi="Arial" w:cs="Arial"/>
          <w:noProof/>
          <w:lang w:val="es-ES"/>
        </w:rPr>
        <w:t xml:space="preserve">5.1 </w:t>
      </w:r>
      <w:r w:rsidRPr="00993936">
        <w:rPr>
          <w:rFonts w:ascii="Arial" w:hAnsi="Arial" w:cs="Arial"/>
          <w:i/>
          <w:noProof/>
          <w:lang w:val="es-ES"/>
        </w:rPr>
        <w:t>Obligaciones</w:t>
      </w:r>
    </w:p>
    <w:p w:rsidR="00202B3A" w:rsidRPr="00993936" w:rsidRDefault="00202B3A" w:rsidP="001D205D">
      <w:pPr>
        <w:pStyle w:val="Textoindependiente"/>
        <w:tabs>
          <w:tab w:val="left" w:pos="6848"/>
        </w:tabs>
        <w:rPr>
          <w:rFonts w:cs="Arial"/>
          <w:noProof/>
          <w:szCs w:val="22"/>
          <w:lang w:val="es-ES"/>
        </w:rPr>
      </w:pPr>
      <w:r w:rsidRPr="00993936">
        <w:rPr>
          <w:rFonts w:cs="Arial"/>
          <w:noProof/>
          <w:szCs w:val="22"/>
          <w:lang w:val="es-ES"/>
        </w:rPr>
        <w:t xml:space="preserve">5.1.1 Establecer un sistema de rotación de no menos de 3 hojas o cultivo, incluyendo cuando sea posible una leguminosa. La ausencia de la leguminosa en la rotación se deberá justificar en el Cuaderno de explotación. El barbecho tendrá la misma consideración que una hoja o cultivo. En secanos áridos o semiáridos, cuando no sea posible la rotación de 3 hojas, previa justificación e informe del técnico responsable de producción integrada, se podrá aplicar uno rotación de 2 hojas en la cual no será obligatoria la inclusión de una leguminosa. </w:t>
      </w:r>
    </w:p>
    <w:p w:rsidR="00202B3A" w:rsidRPr="00993936" w:rsidRDefault="00202B3A" w:rsidP="001D205D">
      <w:pPr>
        <w:pStyle w:val="Textoindependiente"/>
        <w:rPr>
          <w:rFonts w:cs="Arial"/>
          <w:noProof/>
          <w:szCs w:val="22"/>
          <w:lang w:val="es-ES"/>
        </w:rPr>
      </w:pPr>
      <w:r w:rsidRPr="00993936">
        <w:rPr>
          <w:rFonts w:cs="Arial"/>
          <w:noProof/>
          <w:szCs w:val="22"/>
          <w:lang w:val="es-ES"/>
        </w:rPr>
        <w:t>5.1.2 No repetir más de 3 años seguidos el mismo cultivo en la misma parcela, salvo un cultivo forrajero plurianual (alfalfa, trébol, pastos naturales o implantados).</w:t>
      </w:r>
    </w:p>
    <w:p w:rsidR="00202B3A" w:rsidRPr="00993936" w:rsidRDefault="00202B3A" w:rsidP="001D205D">
      <w:pPr>
        <w:jc w:val="both"/>
        <w:rPr>
          <w:rFonts w:ascii="Arial" w:hAnsi="Arial" w:cs="Arial"/>
          <w:noProof/>
          <w:lang w:val="es-ES"/>
        </w:rPr>
      </w:pPr>
      <w:r w:rsidRPr="00993936">
        <w:rPr>
          <w:rFonts w:ascii="Arial" w:hAnsi="Arial" w:cs="Arial"/>
          <w:noProof/>
          <w:lang w:val="es-ES"/>
        </w:rPr>
        <w:t>5.1.3 Indicar en el Cuaderno de explotación el cultivo precedente, el sistema de cultivo previo a la instalación del cereal y la gestión de los restos del cultivo anterior.</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5.1.4 Los cereales no tienen que ocupar más del 80% de la rotación. Cada especie de cereal cuenta como un cultivo diferente a la hora de establecer la rotación. </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5.2 </w:t>
      </w:r>
      <w:r w:rsidRPr="00993936">
        <w:rPr>
          <w:rFonts w:ascii="Arial" w:hAnsi="Arial" w:cs="Arial"/>
          <w:i/>
          <w:noProof/>
          <w:lang w:val="es-ES"/>
        </w:rPr>
        <w:t>Prohibiciones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5.2.1 Efectuar la quema de restos de cultivo, salvo los casos en que haya una causa justificada y con el permiso de la autoridad competente.</w:t>
      </w:r>
    </w:p>
    <w:p w:rsidR="00202B3A" w:rsidRPr="00993936" w:rsidRDefault="00202B3A" w:rsidP="001D205D">
      <w:pPr>
        <w:jc w:val="both"/>
        <w:rPr>
          <w:rFonts w:ascii="Arial" w:hAnsi="Arial" w:cs="Arial"/>
          <w:noProof/>
          <w:lang w:val="es-ES"/>
        </w:rPr>
      </w:pPr>
      <w:r w:rsidRPr="00993936">
        <w:rPr>
          <w:rFonts w:ascii="Arial" w:hAnsi="Arial" w:cs="Arial"/>
          <w:noProof/>
          <w:lang w:val="es-ES"/>
        </w:rPr>
        <w:t>5.2.2 Utilizar reguladores de crecimiento.</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5.3 </w:t>
      </w:r>
      <w:r w:rsidRPr="00993936">
        <w:rPr>
          <w:rFonts w:ascii="Arial" w:hAnsi="Arial" w:cs="Arial"/>
          <w:i/>
          <w:noProof/>
          <w:lang w:val="es-ES"/>
        </w:rPr>
        <w:t>Recomendaciones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5.3.1 En las rotaciones de cultivos procurar seguir las siguientes:</w:t>
      </w:r>
    </w:p>
    <w:p w:rsidR="00202B3A" w:rsidRPr="00993936" w:rsidRDefault="00202B3A" w:rsidP="001D205D">
      <w:pPr>
        <w:jc w:val="both"/>
        <w:rPr>
          <w:rFonts w:ascii="Arial" w:hAnsi="Arial" w:cs="Arial"/>
          <w:noProof/>
          <w:lang w:val="es-ES"/>
        </w:rPr>
      </w:pPr>
      <w:r w:rsidRPr="00993936">
        <w:rPr>
          <w:rFonts w:ascii="Arial" w:hAnsi="Arial" w:cs="Arial"/>
          <w:noProof/>
          <w:lang w:val="es-ES"/>
        </w:rPr>
        <w:t>5.3.2 No cultivar patata más de 1 año de cada 4.</w:t>
      </w:r>
    </w:p>
    <w:p w:rsidR="00202B3A" w:rsidRPr="00993936" w:rsidRDefault="00202B3A" w:rsidP="001D205D">
      <w:pPr>
        <w:jc w:val="both"/>
        <w:rPr>
          <w:rFonts w:ascii="Arial" w:hAnsi="Arial" w:cs="Arial"/>
          <w:noProof/>
          <w:lang w:val="es-ES"/>
        </w:rPr>
      </w:pPr>
      <w:r w:rsidRPr="00993936">
        <w:rPr>
          <w:rFonts w:ascii="Arial" w:hAnsi="Arial" w:cs="Arial"/>
          <w:noProof/>
          <w:lang w:val="es-ES"/>
        </w:rPr>
        <w:t>5.3.3 No cultiva guisante más de 1 año de cada 7.</w:t>
      </w:r>
    </w:p>
    <w:p w:rsidR="00202B3A" w:rsidRPr="00993936" w:rsidRDefault="00202B3A" w:rsidP="001D205D">
      <w:pPr>
        <w:jc w:val="both"/>
        <w:rPr>
          <w:rFonts w:ascii="Arial" w:hAnsi="Arial" w:cs="Arial"/>
          <w:noProof/>
          <w:lang w:val="es-ES"/>
        </w:rPr>
      </w:pPr>
      <w:r w:rsidRPr="00993936">
        <w:rPr>
          <w:rFonts w:ascii="Arial" w:hAnsi="Arial" w:cs="Arial"/>
          <w:noProof/>
          <w:lang w:val="es-ES"/>
        </w:rPr>
        <w:t>5.3.4 No cultivar crucíferas más de 1 año de cada 4.</w:t>
      </w:r>
    </w:p>
    <w:p w:rsidR="00202B3A" w:rsidRPr="00993936" w:rsidRDefault="00202B3A" w:rsidP="001D205D">
      <w:pPr>
        <w:jc w:val="both"/>
        <w:rPr>
          <w:rFonts w:ascii="Arial" w:hAnsi="Arial" w:cs="Arial"/>
          <w:noProof/>
          <w:lang w:val="es-ES"/>
        </w:rPr>
      </w:pPr>
      <w:r w:rsidRPr="00993936">
        <w:rPr>
          <w:rFonts w:ascii="Arial" w:hAnsi="Arial" w:cs="Arial"/>
          <w:noProof/>
          <w:lang w:val="es-ES"/>
        </w:rPr>
        <w:t>5.3.5 No cultivar girasol más de 1 año de cada 4.</w:t>
      </w:r>
    </w:p>
    <w:p w:rsidR="00202B3A" w:rsidRPr="00993936" w:rsidRDefault="00202B3A" w:rsidP="001D205D">
      <w:pPr>
        <w:jc w:val="both"/>
        <w:rPr>
          <w:rFonts w:ascii="Arial" w:hAnsi="Arial" w:cs="Arial"/>
          <w:noProof/>
          <w:lang w:val="es-ES"/>
        </w:rPr>
      </w:pPr>
      <w:r w:rsidRPr="00993936">
        <w:rPr>
          <w:rFonts w:ascii="Arial" w:hAnsi="Arial" w:cs="Arial"/>
          <w:noProof/>
          <w:lang w:val="es-ES"/>
        </w:rPr>
        <w:t>5.3.6 No cultivar haba, haboncillos y soja más de 1 año de cada 4.</w:t>
      </w:r>
    </w:p>
    <w:p w:rsidR="00202B3A" w:rsidRPr="00993936" w:rsidRDefault="00202B3A" w:rsidP="001D205D">
      <w:pPr>
        <w:jc w:val="both"/>
        <w:rPr>
          <w:rFonts w:ascii="Arial" w:hAnsi="Arial" w:cs="Arial"/>
          <w:noProof/>
          <w:lang w:val="es-ES"/>
        </w:rPr>
      </w:pPr>
      <w:r w:rsidRPr="00993936">
        <w:rPr>
          <w:rFonts w:ascii="Arial" w:hAnsi="Arial" w:cs="Arial"/>
          <w:noProof/>
          <w:lang w:val="es-ES"/>
        </w:rPr>
        <w:t>5.3.7 Establecer un intervalo mínimo de 2 años entre dos leguminosas diferentes.</w:t>
      </w:r>
    </w:p>
    <w:p w:rsidR="00202B3A" w:rsidRPr="00993936" w:rsidRDefault="00202B3A" w:rsidP="001D205D">
      <w:pPr>
        <w:jc w:val="both"/>
        <w:rPr>
          <w:rFonts w:ascii="Arial" w:hAnsi="Arial" w:cs="Arial"/>
          <w:noProof/>
          <w:lang w:val="es-ES"/>
        </w:rPr>
      </w:pPr>
      <w:r w:rsidRPr="00993936">
        <w:rPr>
          <w:rFonts w:ascii="Arial" w:hAnsi="Arial" w:cs="Arial"/>
          <w:noProof/>
          <w:lang w:val="es-ES"/>
        </w:rPr>
        <w:t>5.3.8 No cultivar maíz más de 1 año de cada 4. Procurar no hacer el cultivo continuado del maíz.</w:t>
      </w:r>
    </w:p>
    <w:p w:rsidR="00202B3A" w:rsidRPr="00993936" w:rsidRDefault="00202B3A" w:rsidP="001D205D">
      <w:pPr>
        <w:jc w:val="both"/>
        <w:rPr>
          <w:rFonts w:ascii="Arial" w:hAnsi="Arial" w:cs="Arial"/>
          <w:noProof/>
          <w:lang w:val="es-ES"/>
        </w:rPr>
      </w:pPr>
      <w:r w:rsidRPr="00993936">
        <w:rPr>
          <w:rFonts w:ascii="Arial" w:hAnsi="Arial" w:cs="Arial"/>
          <w:noProof/>
          <w:lang w:val="es-ES"/>
        </w:rPr>
        <w:t>5.3.9 Procurar no sembrar después de alfalfa una leguminosa, en su lugar</w:t>
      </w:r>
      <w:r w:rsidRPr="00993936">
        <w:rPr>
          <w:rFonts w:ascii="Arial" w:hAnsi="Arial" w:cs="Arial"/>
          <w:noProof/>
          <w:vanish/>
          <w:lang w:val="es-ES"/>
        </w:rPr>
        <w:t>&lt;A[lugar|sitio]&gt;</w:t>
      </w:r>
      <w:r w:rsidRPr="00993936">
        <w:rPr>
          <w:rFonts w:ascii="Arial" w:hAnsi="Arial" w:cs="Arial"/>
          <w:noProof/>
          <w:lang w:val="es-ES"/>
        </w:rPr>
        <w:t xml:space="preserve"> se aconseja establecer un cultivo que tenga necesidades elevadas de nitrógeno.</w:t>
      </w:r>
    </w:p>
    <w:p w:rsidR="00202B3A" w:rsidRPr="00993936" w:rsidRDefault="00202B3A" w:rsidP="001D205D">
      <w:pPr>
        <w:jc w:val="both"/>
        <w:rPr>
          <w:rFonts w:ascii="Arial" w:hAnsi="Arial" w:cs="Arial"/>
          <w:noProof/>
          <w:lang w:val="es-ES"/>
        </w:rPr>
      </w:pPr>
      <w:r w:rsidRPr="00993936">
        <w:rPr>
          <w:rFonts w:ascii="Arial" w:hAnsi="Arial" w:cs="Arial"/>
          <w:noProof/>
          <w:lang w:val="es-ES"/>
        </w:rPr>
        <w:t>5.3.10 En soja, colza y girasol procurar que un cultivo no siga el otro.</w:t>
      </w:r>
    </w:p>
    <w:p w:rsidR="00202B3A" w:rsidRPr="00993936" w:rsidRDefault="00202B3A" w:rsidP="001D205D">
      <w:pPr>
        <w:jc w:val="both"/>
        <w:rPr>
          <w:rFonts w:ascii="Arial" w:hAnsi="Arial" w:cs="Arial"/>
          <w:noProof/>
          <w:lang w:val="es-ES"/>
        </w:rPr>
      </w:pPr>
      <w:r w:rsidRPr="00993936">
        <w:rPr>
          <w:rFonts w:ascii="Arial" w:hAnsi="Arial" w:cs="Arial"/>
          <w:noProof/>
          <w:lang w:val="es-ES"/>
        </w:rPr>
        <w:t>5.3.11 Cada año de cultivo forrajero plurianual (por ejemplo, alfalfa, trébol, pastos naturales o implantados) cuenta como un cultivo u hoja.</w:t>
      </w:r>
    </w:p>
    <w:p w:rsidR="00202B3A" w:rsidRPr="00993936" w:rsidRDefault="00202B3A" w:rsidP="001D205D">
      <w:pPr>
        <w:jc w:val="both"/>
        <w:rPr>
          <w:rFonts w:ascii="Arial" w:hAnsi="Arial" w:cs="Arial"/>
          <w:noProof/>
          <w:lang w:val="es-ES"/>
        </w:rPr>
      </w:pPr>
      <w:r w:rsidRPr="00993936">
        <w:rPr>
          <w:rFonts w:ascii="Arial" w:hAnsi="Arial" w:cs="Arial"/>
          <w:noProof/>
          <w:lang w:val="es-ES"/>
        </w:rPr>
        <w:lastRenderedPageBreak/>
        <w:t>5.3.12 En zonas húmedas, se recomienda la alternancia de cultivos de primavera y de verano, con la finalidad de minimizar el lavado de los nitratos y de facilitar el manejo de plagas, enfermedades y malas hierbas.</w:t>
      </w:r>
    </w:p>
    <w:p w:rsidR="00202B3A" w:rsidRPr="00993936" w:rsidRDefault="00202B3A" w:rsidP="001D205D">
      <w:pPr>
        <w:jc w:val="both"/>
        <w:rPr>
          <w:rFonts w:ascii="Arial" w:hAnsi="Arial" w:cs="Arial"/>
          <w:noProof/>
          <w:lang w:val="es-ES"/>
        </w:rPr>
      </w:pPr>
      <w:r w:rsidRPr="00993936">
        <w:rPr>
          <w:rFonts w:ascii="Arial" w:hAnsi="Arial" w:cs="Arial"/>
          <w:noProof/>
          <w:lang w:val="es-ES"/>
        </w:rPr>
        <w:t>5.3.13 Cualquier cultivo alternativo de Quenopodiaceas no cultivarlo más de 1 año de cada 4. 5.3.14 Cuando el resultado del análisis de presencia de nemátodos sea negativo, la frecuencia se puede reducir a 1 año de cada 3.</w:t>
      </w:r>
    </w:p>
    <w:p w:rsidR="00202B3A" w:rsidRPr="00993936" w:rsidRDefault="00202B3A" w:rsidP="001D205D">
      <w:pPr>
        <w:jc w:val="both"/>
        <w:rPr>
          <w:rFonts w:ascii="Arial" w:hAnsi="Arial" w:cs="Arial"/>
          <w:noProof/>
          <w:lang w:val="es-ES"/>
        </w:rPr>
      </w:pPr>
      <w:r w:rsidRPr="00993936">
        <w:rPr>
          <w:rFonts w:ascii="Arial" w:hAnsi="Arial" w:cs="Arial"/>
          <w:noProof/>
          <w:lang w:val="es-ES"/>
        </w:rPr>
        <w:t>5.3.15 Alternar las variedades, si es posible, dentro de la misma especie.</w:t>
      </w:r>
      <w:r w:rsidRPr="00993936">
        <w:rPr>
          <w:rFonts w:ascii="Arial" w:hAnsi="Arial" w:cs="Arial"/>
          <w:b/>
          <w:noProof/>
          <w:lang w:val="es-ES"/>
        </w:rPr>
        <w:t xml:space="preserve"> </w:t>
      </w:r>
    </w:p>
    <w:p w:rsidR="00202B3A" w:rsidRPr="00993936" w:rsidRDefault="00202B3A" w:rsidP="001D205D">
      <w:pPr>
        <w:pStyle w:val="Textoindependiente"/>
        <w:rPr>
          <w:rFonts w:cs="Arial"/>
          <w:noProof/>
          <w:szCs w:val="22"/>
          <w:lang w:val="es-ES"/>
        </w:rPr>
      </w:pPr>
      <w:r w:rsidRPr="00993936">
        <w:rPr>
          <w:rFonts w:cs="Arial"/>
          <w:noProof/>
          <w:szCs w:val="22"/>
          <w:lang w:val="es-ES"/>
        </w:rPr>
        <w:t>5.3.16 Se recomiendan el uso de técnicas que reduzcan el riesgo de erosión o degradación del suelo.</w:t>
      </w:r>
    </w:p>
    <w:p w:rsidR="00202B3A" w:rsidRPr="00993936" w:rsidRDefault="00202B3A" w:rsidP="001D205D">
      <w:pPr>
        <w:jc w:val="both"/>
        <w:rPr>
          <w:rFonts w:ascii="Arial" w:hAnsi="Arial" w:cs="Arial"/>
          <w:noProof/>
          <w:lang w:val="es-ES"/>
        </w:rPr>
      </w:pPr>
      <w:r w:rsidRPr="00993936">
        <w:rPr>
          <w:rFonts w:ascii="Arial" w:hAnsi="Arial" w:cs="Arial"/>
          <w:noProof/>
          <w:lang w:val="es-ES"/>
        </w:rPr>
        <w:t>5.3.17 En caso de cultivo, incorporar, siempre que sea posible, los residuos de las cosechas picados y bien distribuidos por toda la superficie.</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5.3.18 Mantener el rastrojo el máximo tiempo posible para limitar la erosión. </w:t>
      </w:r>
    </w:p>
    <w:p w:rsidR="00202B3A" w:rsidRPr="00993936" w:rsidRDefault="00202B3A" w:rsidP="001D205D">
      <w:pPr>
        <w:jc w:val="both"/>
        <w:rPr>
          <w:rFonts w:ascii="Arial" w:hAnsi="Arial" w:cs="Arial"/>
          <w:noProof/>
          <w:lang w:val="es-ES"/>
        </w:rPr>
      </w:pPr>
      <w:r w:rsidRPr="00993936">
        <w:rPr>
          <w:rFonts w:ascii="Arial" w:hAnsi="Arial" w:cs="Arial"/>
          <w:noProof/>
          <w:lang w:val="es-ES"/>
        </w:rPr>
        <w:t>5.3.19 Mantener el barbecho con cubierta vegetal el máximo tiempo posible para limitar la erosión y el lavado de nitratos.</w:t>
      </w:r>
    </w:p>
    <w:p w:rsidR="00202B3A" w:rsidRPr="00993936" w:rsidRDefault="00202B3A" w:rsidP="001D205D">
      <w:pPr>
        <w:jc w:val="both"/>
        <w:rPr>
          <w:rFonts w:ascii="Arial" w:hAnsi="Arial" w:cs="Arial"/>
          <w:noProof/>
          <w:lang w:val="es-ES"/>
        </w:rPr>
      </w:pPr>
      <w:r w:rsidRPr="00993936">
        <w:rPr>
          <w:rFonts w:ascii="Arial" w:hAnsi="Arial" w:cs="Arial"/>
          <w:noProof/>
          <w:lang w:val="es-ES"/>
        </w:rPr>
        <w:t>5.3.20 Se recomienda el uso de técnicas que reduzcan o eliminen el cultivo del suelo.</w:t>
      </w:r>
    </w:p>
    <w:p w:rsidR="00202B3A" w:rsidRPr="00993936" w:rsidRDefault="00202B3A" w:rsidP="001D205D">
      <w:pPr>
        <w:jc w:val="both"/>
        <w:rPr>
          <w:rFonts w:ascii="Arial" w:hAnsi="Arial" w:cs="Arial"/>
          <w:noProof/>
          <w:lang w:val="es-ES"/>
        </w:rPr>
      </w:pPr>
      <w:r w:rsidRPr="00993936">
        <w:rPr>
          <w:rFonts w:ascii="Arial" w:hAnsi="Arial" w:cs="Arial"/>
          <w:noProof/>
          <w:lang w:val="es-ES"/>
        </w:rPr>
        <w:t>5.3.21 Los cereales de invierno (salvo la avena) tienen que preceder al menos a un cultivo que no sea huésped de los principales patógenos de los cereales.</w:t>
      </w:r>
    </w:p>
    <w:p w:rsidR="00202B3A" w:rsidRPr="00993936" w:rsidRDefault="00202B3A" w:rsidP="001D205D">
      <w:pPr>
        <w:jc w:val="both"/>
        <w:rPr>
          <w:rFonts w:ascii="Arial" w:hAnsi="Arial" w:cs="Arial"/>
          <w:noProof/>
          <w:lang w:val="es-ES"/>
        </w:rPr>
      </w:pPr>
    </w:p>
    <w:p w:rsidR="00202B3A" w:rsidRPr="00993936" w:rsidRDefault="00202B3A" w:rsidP="001D205D">
      <w:pPr>
        <w:jc w:val="both"/>
        <w:outlineLvl w:val="0"/>
        <w:rPr>
          <w:rFonts w:ascii="Arial" w:hAnsi="Arial" w:cs="Arial"/>
          <w:lang w:val="es-ES"/>
        </w:rPr>
      </w:pPr>
      <w:r w:rsidRPr="00993936">
        <w:rPr>
          <w:rFonts w:ascii="Arial" w:hAnsi="Arial" w:cs="Arial"/>
          <w:lang w:val="es-ES"/>
        </w:rPr>
        <w:t>Artículo 6</w:t>
      </w:r>
    </w:p>
    <w:p w:rsidR="00202B3A" w:rsidRPr="00993936" w:rsidRDefault="00202B3A" w:rsidP="001D205D">
      <w:pPr>
        <w:jc w:val="both"/>
        <w:outlineLvl w:val="0"/>
        <w:rPr>
          <w:rFonts w:ascii="Arial" w:hAnsi="Arial" w:cs="Arial"/>
          <w:lang w:val="es-ES"/>
        </w:rPr>
      </w:pPr>
      <w:r w:rsidRPr="00993936">
        <w:rPr>
          <w:rFonts w:ascii="Arial" w:hAnsi="Arial" w:cs="Arial"/>
          <w:b/>
          <w:lang w:val="es-ES"/>
        </w:rPr>
        <w:t>Fertilización</w:t>
      </w:r>
    </w:p>
    <w:p w:rsidR="00202B3A" w:rsidRPr="00993936" w:rsidRDefault="00202B3A" w:rsidP="001D205D">
      <w:pPr>
        <w:jc w:val="both"/>
        <w:rPr>
          <w:rFonts w:ascii="Arial" w:hAnsi="Arial" w:cs="Arial"/>
          <w:lang w:val="es-ES"/>
        </w:rPr>
      </w:pPr>
      <w:r w:rsidRPr="00993936">
        <w:rPr>
          <w:rFonts w:ascii="Arial" w:hAnsi="Arial" w:cs="Arial"/>
          <w:lang w:val="es-ES"/>
        </w:rPr>
        <w:t xml:space="preserve">6.1 </w:t>
      </w:r>
      <w:r w:rsidRPr="00993936">
        <w:rPr>
          <w:rFonts w:ascii="Arial" w:hAnsi="Arial" w:cs="Arial"/>
          <w:i/>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6.1.1 El suministro de nutrientes se efectuará fundamentalmente a través del suelo, a menos que se utilice un sistema de riego a presión, en la que también se podrá utilizar el sistema de riego para realizar la fertilización.</w:t>
      </w:r>
    </w:p>
    <w:p w:rsidR="00202B3A" w:rsidRPr="00993936" w:rsidRDefault="00202B3A" w:rsidP="001D205D">
      <w:pPr>
        <w:jc w:val="both"/>
        <w:rPr>
          <w:rFonts w:ascii="Arial" w:hAnsi="Arial" w:cs="Arial"/>
          <w:lang w:val="es-ES"/>
        </w:rPr>
      </w:pPr>
      <w:r w:rsidRPr="00993936">
        <w:rPr>
          <w:rFonts w:ascii="Arial" w:hAnsi="Arial" w:cs="Arial"/>
          <w:noProof/>
          <w:lang w:val="es-ES"/>
        </w:rPr>
        <w:t xml:space="preserve">6.1.2 </w:t>
      </w:r>
      <w:r w:rsidRPr="00993936">
        <w:rPr>
          <w:rFonts w:ascii="Arial" w:hAnsi="Arial" w:cs="Arial"/>
          <w:lang w:val="es-ES"/>
        </w:rPr>
        <w:t>Utilizar los análisis físico y químico del suelo como base para estimar</w:t>
      </w:r>
      <w:r w:rsidRPr="00993936">
        <w:rPr>
          <w:rFonts w:ascii="Arial" w:hAnsi="Arial" w:cs="Arial"/>
          <w:vanish/>
          <w:lang w:val="es-ES"/>
        </w:rPr>
        <w:t>&lt;A[amar|estimar]&gt;</w:t>
      </w:r>
      <w:r w:rsidRPr="00993936">
        <w:rPr>
          <w:rFonts w:ascii="Arial" w:hAnsi="Arial" w:cs="Arial"/>
          <w:lang w:val="es-ES"/>
        </w:rPr>
        <w:t xml:space="preserve"> las necesidades de macronutrientes, con excepción del nitrógeno.</w:t>
      </w:r>
    </w:p>
    <w:p w:rsidR="00202B3A" w:rsidRPr="00993936" w:rsidRDefault="00202B3A" w:rsidP="001D205D">
      <w:pPr>
        <w:pStyle w:val="Textoindependiente"/>
        <w:rPr>
          <w:rFonts w:cs="Arial"/>
          <w:szCs w:val="22"/>
          <w:lang w:val="es-ES"/>
        </w:rPr>
      </w:pPr>
      <w:r w:rsidRPr="00993936">
        <w:rPr>
          <w:rFonts w:cs="Arial"/>
          <w:szCs w:val="22"/>
          <w:lang w:val="es-ES"/>
        </w:rPr>
        <w:t>6.1.3 Cada explotación deberá realizar y disponer, de forma justificada, de análisis de suelos y del agua de riego para planificar la fertilización. Los análisis se realizarán cada 5 años.</w:t>
      </w:r>
    </w:p>
    <w:p w:rsidR="00202B3A" w:rsidRPr="00993936" w:rsidRDefault="00202B3A" w:rsidP="001D205D">
      <w:pPr>
        <w:pStyle w:val="Textoindependiente"/>
        <w:ind w:left="705"/>
        <w:rPr>
          <w:rFonts w:cs="Arial"/>
          <w:szCs w:val="22"/>
          <w:lang w:val="es-ES"/>
        </w:rPr>
      </w:pPr>
      <w:r w:rsidRPr="00993936">
        <w:rPr>
          <w:rFonts w:cs="Arial"/>
          <w:szCs w:val="22"/>
          <w:lang w:val="es-ES"/>
        </w:rPr>
        <w:t>6.1.3.1 Cuando el abastecimiento del agua de riego se haga a través de una comunidad de regantes o bien por</w:t>
      </w:r>
      <w:r w:rsidRPr="00993936">
        <w:rPr>
          <w:rFonts w:cs="Arial"/>
          <w:vanish/>
          <w:szCs w:val="22"/>
          <w:lang w:val="es-ES"/>
        </w:rPr>
        <w:t>&lt;A[para|por]&gt;</w:t>
      </w:r>
      <w:r w:rsidRPr="00993936">
        <w:rPr>
          <w:rFonts w:cs="Arial"/>
          <w:szCs w:val="22"/>
          <w:lang w:val="es-ES"/>
        </w:rPr>
        <w:t xml:space="preserve"> una entidad similar, el cumplimiento</w:t>
      </w:r>
      <w:r w:rsidRPr="00993936">
        <w:rPr>
          <w:rFonts w:cs="Arial"/>
          <w:vanish/>
          <w:szCs w:val="22"/>
          <w:lang w:val="es-ES"/>
        </w:rPr>
        <w:t>&lt;A[cumplimiento|cumplido]&gt;</w:t>
      </w:r>
      <w:r w:rsidRPr="00993936">
        <w:rPr>
          <w:rFonts w:cs="Arial"/>
          <w:szCs w:val="22"/>
          <w:lang w:val="es-ES"/>
        </w:rPr>
        <w:t xml:space="preserve"> del requisito indicado se podrá justificar con la disposición de una analítica de agua, realizada por alguna de las entidades indicadas, siempre que incluya los parámetros que se indican en el artículo 7.1.</w:t>
      </w:r>
    </w:p>
    <w:p w:rsidR="00202B3A" w:rsidRPr="00993936" w:rsidRDefault="00202B3A" w:rsidP="001D205D">
      <w:pPr>
        <w:pStyle w:val="Textoindependiente"/>
        <w:ind w:left="705"/>
        <w:rPr>
          <w:rFonts w:cs="Arial"/>
          <w:szCs w:val="22"/>
          <w:lang w:val="es-ES"/>
        </w:rPr>
      </w:pPr>
      <w:r w:rsidRPr="00993936">
        <w:rPr>
          <w:rFonts w:cs="Arial"/>
          <w:szCs w:val="22"/>
          <w:lang w:val="es-ES"/>
        </w:rPr>
        <w:t>6.1.3.2 Cuando el abastecimiento del agua de riego sea de pozo, los análisis se harán como mínimo cada dos años. Cuando los resultados de dos analíticas consecutivas del agua, realizadas en el plazo señalado, sean similares los análisis se podrán efectuar cada 5 años.</w:t>
      </w:r>
    </w:p>
    <w:p w:rsidR="00202B3A" w:rsidRPr="00993936" w:rsidRDefault="00202B3A" w:rsidP="001D205D">
      <w:pPr>
        <w:pStyle w:val="Textoindependiente"/>
        <w:rPr>
          <w:rFonts w:cs="Arial"/>
          <w:szCs w:val="22"/>
          <w:lang w:val="es-ES"/>
        </w:rPr>
      </w:pPr>
      <w:r w:rsidRPr="00993936">
        <w:rPr>
          <w:rFonts w:cs="Arial"/>
          <w:szCs w:val="22"/>
          <w:lang w:val="es-ES"/>
        </w:rPr>
        <w:lastRenderedPageBreak/>
        <w:t>El número de análisis a efectuar será como mínimo un análisis del suelo por unidad homogénea de cultivo. Cuando se integre una UHC en el sistema de producción integrada habrá que realizar un análisis físico y químico siempre que no tse enga una realizada en un periodo de tiempo inferior a cinco años.</w:t>
      </w:r>
    </w:p>
    <w:p w:rsidR="00202B3A" w:rsidRPr="00993936" w:rsidRDefault="00202B3A" w:rsidP="001D205D">
      <w:pPr>
        <w:pStyle w:val="Textoindependiente"/>
        <w:rPr>
          <w:rFonts w:cs="Arial"/>
          <w:szCs w:val="22"/>
          <w:lang w:val="es-ES"/>
        </w:rPr>
      </w:pPr>
      <w:r w:rsidRPr="00993936">
        <w:rPr>
          <w:rFonts w:cs="Arial"/>
          <w:szCs w:val="22"/>
          <w:lang w:val="es-ES"/>
        </w:rPr>
        <w:t>6.1.4 Todas las analíticas de suelo incluirán, al menos, la determinación de fósforo, potasio y magnesio asimilables, la materia orgánica, la prueba previa de salinidad y, si procede</w:t>
      </w:r>
      <w:r w:rsidRPr="00993936">
        <w:rPr>
          <w:rFonts w:cs="Arial"/>
          <w:vanish/>
          <w:szCs w:val="22"/>
          <w:lang w:val="es-ES"/>
        </w:rPr>
        <w:t>&lt;A[pega|ocurre]&gt;</w:t>
      </w:r>
      <w:r w:rsidRPr="00993936">
        <w:rPr>
          <w:rFonts w:cs="Arial"/>
          <w:szCs w:val="22"/>
          <w:lang w:val="es-ES"/>
        </w:rPr>
        <w:t xml:space="preserve">, el análisis de sales solubles. En la primera analítica se incluirá, además, la determinación de textura y pH. </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6.1.5 Realizar y aplicar un programa de fertilización que considere los resultados de los análisis y tenga en cuenta, además de las extracciones del cultivo, el estado nutricional y de crecimiento, el tipo y nivel de fertilidad del suelo, y las aportaciones efectuadas por otras vías (agua y materia orgánica). </w:t>
      </w:r>
    </w:p>
    <w:p w:rsidR="00202B3A" w:rsidRPr="00993936" w:rsidRDefault="00202B3A" w:rsidP="001D205D">
      <w:pPr>
        <w:jc w:val="both"/>
        <w:rPr>
          <w:rFonts w:ascii="Arial" w:hAnsi="Arial" w:cs="Arial"/>
          <w:noProof/>
          <w:lang w:val="es-ES"/>
        </w:rPr>
      </w:pPr>
      <w:r w:rsidRPr="00993936">
        <w:rPr>
          <w:rFonts w:ascii="Arial" w:hAnsi="Arial" w:cs="Arial"/>
          <w:noProof/>
          <w:lang w:val="es-ES"/>
        </w:rPr>
        <w:t>El programa determinará las épocas y forma de aplicación más adecuadas para minimizar las pérdidas por</w:t>
      </w:r>
      <w:r w:rsidRPr="00993936">
        <w:rPr>
          <w:rFonts w:ascii="Arial" w:hAnsi="Arial" w:cs="Arial"/>
          <w:noProof/>
          <w:vanish/>
          <w:lang w:val="es-ES"/>
        </w:rPr>
        <w:t>&lt;A[por|para]&gt;</w:t>
      </w:r>
      <w:r w:rsidRPr="00993936">
        <w:rPr>
          <w:rFonts w:ascii="Arial" w:hAnsi="Arial" w:cs="Arial"/>
          <w:noProof/>
          <w:lang w:val="es-ES"/>
        </w:rPr>
        <w:t xml:space="preserve"> lixiviación, erosión, etc.</w:t>
      </w:r>
    </w:p>
    <w:p w:rsidR="00202B3A" w:rsidRPr="00993936" w:rsidRDefault="00202B3A" w:rsidP="001D205D">
      <w:pPr>
        <w:pStyle w:val="Textoindependiente"/>
        <w:rPr>
          <w:rFonts w:cs="Arial"/>
          <w:noProof/>
          <w:szCs w:val="22"/>
          <w:lang w:val="es-ES"/>
        </w:rPr>
      </w:pPr>
      <w:r w:rsidRPr="00993936">
        <w:rPr>
          <w:rFonts w:cs="Arial"/>
          <w:noProof/>
          <w:szCs w:val="22"/>
          <w:lang w:val="es-ES"/>
        </w:rPr>
        <w:t>6.1.6 Para los macronutrientes, se realizará y se aplicará un programa de abonado</w:t>
      </w:r>
      <w:r w:rsidRPr="00993936">
        <w:rPr>
          <w:rFonts w:cs="Arial"/>
          <w:noProof/>
          <w:vanish/>
          <w:szCs w:val="22"/>
          <w:lang w:val="es-ES"/>
        </w:rPr>
        <w:t>&lt;A[adobado|arreglado]&gt;</w:t>
      </w:r>
      <w:r w:rsidRPr="00993936">
        <w:rPr>
          <w:rFonts w:cs="Arial"/>
          <w:noProof/>
          <w:szCs w:val="22"/>
          <w:lang w:val="es-ES"/>
        </w:rPr>
        <w:t xml:space="preserve"> para cada cultivo y unidad de cultivo, y un programa general de fertilización para toda la explotación potenciando la aportación de fertilizantes naturales y reduciendo a los químicos de síntesis.</w:t>
      </w:r>
    </w:p>
    <w:p w:rsidR="00202B3A" w:rsidRPr="00993936" w:rsidRDefault="00202B3A" w:rsidP="001D205D">
      <w:pPr>
        <w:jc w:val="both"/>
        <w:rPr>
          <w:rFonts w:ascii="Arial" w:hAnsi="Arial" w:cs="Arial"/>
          <w:noProof/>
          <w:lang w:val="es-ES"/>
        </w:rPr>
      </w:pPr>
      <w:r w:rsidRPr="00993936">
        <w:rPr>
          <w:rFonts w:ascii="Arial" w:hAnsi="Arial" w:cs="Arial"/>
          <w:noProof/>
          <w:lang w:val="es-ES"/>
        </w:rPr>
        <w:t>En el programa de la fertilización, habrá que tener en cuenta que los fertilizantes que provienen del exterior (aguas, materias orgánicas y fertilización directa) tienen que compensar las extracciones de las cosechas y las pérdidas técnicas.</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6.1.7 La fertilización nitrogenada se fraccionará adecuadamente, salvo las zonas </w:t>
      </w:r>
      <w:r w:rsidR="008061C6" w:rsidRPr="00993936">
        <w:rPr>
          <w:rFonts w:ascii="Arial" w:hAnsi="Arial" w:cs="Arial"/>
          <w:noProof/>
          <w:lang w:val="es-ES"/>
        </w:rPr>
        <w:t>frescales</w:t>
      </w:r>
      <w:r w:rsidRPr="00993936">
        <w:rPr>
          <w:rFonts w:ascii="Arial" w:hAnsi="Arial" w:cs="Arial"/>
          <w:noProof/>
          <w:lang w:val="es-ES"/>
        </w:rPr>
        <w:t xml:space="preserve"> donde se hagan siembras tardías. En el caso de fertirrigación, se realizará de manera que se minimice el lavado de nutrientes, evitando la salinización del suelo. </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6.1.8 Las aportaciones de nitrógeno se calcularán previendo como máximo unas extracciones de </w:t>
      </w:r>
      <w:smartTag w:uri="urn:schemas-microsoft-com:office:smarttags" w:element="metricconverter">
        <w:smartTagPr>
          <w:attr w:name="ProductID" w:val="25 kg"/>
        </w:smartTagPr>
        <w:r w:rsidRPr="00993936">
          <w:rPr>
            <w:rFonts w:ascii="Arial" w:hAnsi="Arial" w:cs="Arial"/>
            <w:noProof/>
            <w:lang w:val="es-ES"/>
          </w:rPr>
          <w:t>25 kg</w:t>
        </w:r>
      </w:smartTag>
      <w:r w:rsidRPr="00993936">
        <w:rPr>
          <w:rFonts w:ascii="Arial" w:hAnsi="Arial" w:cs="Arial"/>
          <w:noProof/>
          <w:lang w:val="es-ES"/>
        </w:rPr>
        <w:t xml:space="preserve"> de nitrógeno por tonelada de grano, teniendo en cuenta todas las aportaciones (abonos</w:t>
      </w:r>
      <w:r w:rsidRPr="00993936">
        <w:rPr>
          <w:rFonts w:ascii="Arial" w:hAnsi="Arial" w:cs="Arial"/>
          <w:noProof/>
          <w:vanish/>
          <w:lang w:val="es-ES"/>
        </w:rPr>
        <w:t>&lt;A[abonos|adobos]&gt;</w:t>
      </w:r>
      <w:r w:rsidRPr="00993936">
        <w:rPr>
          <w:rFonts w:ascii="Arial" w:hAnsi="Arial" w:cs="Arial"/>
          <w:noProof/>
          <w:lang w:val="es-ES"/>
        </w:rPr>
        <w:t xml:space="preserve"> orgánicos, minerales y agua de riego). En cualquier caso, se establece el máximo de aportaciones siguientes: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077"/>
        <w:gridCol w:w="4599"/>
      </w:tblGrid>
      <w:tr w:rsidR="00E1758E" w:rsidRPr="00993936" w:rsidTr="008061C6">
        <w:tc>
          <w:tcPr>
            <w:tcW w:w="1172" w:type="pct"/>
            <w:shd w:val="clear" w:color="auto" w:fill="D9D9D9" w:themeFill="background1" w:themeFillShade="D9"/>
          </w:tcPr>
          <w:p w:rsidR="00202B3A" w:rsidRPr="00993936" w:rsidRDefault="00202B3A" w:rsidP="001D205D">
            <w:pPr>
              <w:jc w:val="center"/>
              <w:rPr>
                <w:rFonts w:ascii="Arial" w:hAnsi="Arial" w:cs="Arial"/>
                <w:b/>
                <w:sz w:val="20"/>
                <w:lang w:val="es-ES"/>
              </w:rPr>
            </w:pPr>
            <w:r w:rsidRPr="00993936">
              <w:rPr>
                <w:rFonts w:ascii="Arial" w:hAnsi="Arial" w:cs="Arial"/>
                <w:b/>
                <w:sz w:val="20"/>
                <w:lang w:val="es-ES"/>
              </w:rPr>
              <w:t>Elemento</w:t>
            </w:r>
          </w:p>
        </w:tc>
        <w:tc>
          <w:tcPr>
            <w:tcW w:w="1191" w:type="pct"/>
            <w:shd w:val="clear" w:color="auto" w:fill="D9D9D9" w:themeFill="background1" w:themeFillShade="D9"/>
          </w:tcPr>
          <w:p w:rsidR="00202B3A" w:rsidRPr="00993936" w:rsidRDefault="00202B3A" w:rsidP="001D205D">
            <w:pPr>
              <w:jc w:val="center"/>
              <w:rPr>
                <w:rFonts w:ascii="Arial" w:hAnsi="Arial" w:cs="Arial"/>
                <w:b/>
                <w:sz w:val="20"/>
                <w:lang w:val="es-ES"/>
              </w:rPr>
            </w:pPr>
            <w:r w:rsidRPr="00993936">
              <w:rPr>
                <w:rFonts w:ascii="Arial" w:hAnsi="Arial" w:cs="Arial"/>
                <w:b/>
                <w:sz w:val="20"/>
                <w:lang w:val="es-ES"/>
              </w:rPr>
              <w:t>Máximo aportaciones</w:t>
            </w:r>
          </w:p>
          <w:p w:rsidR="00202B3A" w:rsidRPr="00993936" w:rsidRDefault="00202B3A" w:rsidP="001D205D">
            <w:pPr>
              <w:jc w:val="center"/>
              <w:rPr>
                <w:rFonts w:ascii="Arial" w:hAnsi="Arial" w:cs="Arial"/>
                <w:b/>
                <w:sz w:val="20"/>
                <w:lang w:val="es-ES"/>
              </w:rPr>
            </w:pPr>
            <w:r w:rsidRPr="00993936">
              <w:rPr>
                <w:rFonts w:ascii="Arial" w:hAnsi="Arial" w:cs="Arial"/>
                <w:b/>
                <w:sz w:val="20"/>
                <w:lang w:val="es-ES"/>
              </w:rPr>
              <w:t>UF/ha y año</w:t>
            </w:r>
          </w:p>
        </w:tc>
        <w:tc>
          <w:tcPr>
            <w:tcW w:w="2637" w:type="pct"/>
            <w:shd w:val="clear" w:color="auto" w:fill="D9D9D9" w:themeFill="background1" w:themeFillShade="D9"/>
          </w:tcPr>
          <w:p w:rsidR="00202B3A" w:rsidRPr="00993936" w:rsidRDefault="00202B3A" w:rsidP="001D205D">
            <w:pPr>
              <w:jc w:val="center"/>
              <w:rPr>
                <w:rFonts w:ascii="Arial" w:hAnsi="Arial" w:cs="Arial"/>
                <w:b/>
                <w:sz w:val="20"/>
                <w:lang w:val="es-ES"/>
              </w:rPr>
            </w:pPr>
            <w:r w:rsidRPr="00993936">
              <w:rPr>
                <w:rFonts w:ascii="Arial" w:hAnsi="Arial" w:cs="Arial"/>
                <w:b/>
                <w:sz w:val="20"/>
                <w:lang w:val="es-ES"/>
              </w:rPr>
              <w:t>Cultivos y condiciones a considerar</w:t>
            </w:r>
          </w:p>
        </w:tc>
      </w:tr>
      <w:tr w:rsidR="00202B3A" w:rsidRPr="00993936" w:rsidTr="001D205D">
        <w:tc>
          <w:tcPr>
            <w:tcW w:w="1172" w:type="pct"/>
            <w:shd w:val="clear" w:color="auto" w:fill="auto"/>
          </w:tcPr>
          <w:p w:rsidR="00202B3A" w:rsidRPr="00993936" w:rsidRDefault="00202B3A" w:rsidP="001D205D">
            <w:pPr>
              <w:rPr>
                <w:rFonts w:ascii="Arial" w:hAnsi="Arial" w:cs="Arial"/>
                <w:sz w:val="20"/>
                <w:lang w:val="es-ES"/>
              </w:rPr>
            </w:pPr>
            <w:r w:rsidRPr="00993936">
              <w:rPr>
                <w:rFonts w:ascii="Arial" w:hAnsi="Arial" w:cs="Arial"/>
                <w:sz w:val="20"/>
                <w:lang w:val="es-ES"/>
              </w:rPr>
              <w:t xml:space="preserve">  Nitrógeno (N)</w:t>
            </w:r>
          </w:p>
        </w:tc>
        <w:tc>
          <w:tcPr>
            <w:tcW w:w="1191" w:type="pct"/>
            <w:shd w:val="clear" w:color="auto" w:fill="auto"/>
          </w:tcPr>
          <w:p w:rsidR="00202B3A" w:rsidRPr="00993936" w:rsidRDefault="00202B3A" w:rsidP="001D205D">
            <w:pPr>
              <w:jc w:val="center"/>
              <w:rPr>
                <w:rFonts w:ascii="Arial" w:hAnsi="Arial" w:cs="Arial"/>
                <w:sz w:val="20"/>
                <w:lang w:val="es-ES"/>
              </w:rPr>
            </w:pPr>
            <w:r w:rsidRPr="00993936">
              <w:rPr>
                <w:rFonts w:ascii="Arial" w:hAnsi="Arial" w:cs="Arial"/>
                <w:sz w:val="20"/>
                <w:lang w:val="es-ES"/>
              </w:rPr>
              <w:t>210</w:t>
            </w:r>
          </w:p>
        </w:tc>
        <w:tc>
          <w:tcPr>
            <w:tcW w:w="2637" w:type="pct"/>
            <w:shd w:val="clear" w:color="auto" w:fill="auto"/>
          </w:tcPr>
          <w:p w:rsidR="00202B3A" w:rsidRPr="00993936" w:rsidRDefault="00202B3A" w:rsidP="001D205D">
            <w:pPr>
              <w:jc w:val="both"/>
              <w:outlineLvl w:val="0"/>
              <w:rPr>
                <w:rFonts w:ascii="Arial" w:hAnsi="Arial" w:cs="Arial"/>
                <w:sz w:val="20"/>
                <w:lang w:val="es-ES"/>
              </w:rPr>
            </w:pPr>
            <w:r w:rsidRPr="00993936">
              <w:rPr>
                <w:rFonts w:ascii="Arial" w:hAnsi="Arial" w:cs="Arial"/>
                <w:sz w:val="20"/>
                <w:lang w:val="es-ES"/>
              </w:rPr>
              <w:t>N/ha y año</w:t>
            </w:r>
          </w:p>
        </w:tc>
      </w:tr>
      <w:tr w:rsidR="00202B3A" w:rsidRPr="00993936" w:rsidTr="001D205D">
        <w:tc>
          <w:tcPr>
            <w:tcW w:w="1172" w:type="pct"/>
            <w:shd w:val="clear" w:color="auto" w:fill="auto"/>
          </w:tcPr>
          <w:p w:rsidR="00202B3A" w:rsidRPr="00993936" w:rsidRDefault="00202B3A" w:rsidP="001D205D">
            <w:pPr>
              <w:rPr>
                <w:rFonts w:ascii="Arial" w:hAnsi="Arial" w:cs="Arial"/>
                <w:sz w:val="20"/>
                <w:lang w:val="es-ES"/>
              </w:rPr>
            </w:pPr>
            <w:r w:rsidRPr="00993936">
              <w:rPr>
                <w:rFonts w:ascii="Arial" w:hAnsi="Arial" w:cs="Arial"/>
                <w:sz w:val="20"/>
                <w:lang w:val="es-ES"/>
              </w:rPr>
              <w:t xml:space="preserve">  Fósforo (P</w:t>
            </w:r>
            <w:r w:rsidRPr="00993936">
              <w:rPr>
                <w:rFonts w:ascii="Arial" w:hAnsi="Arial" w:cs="Arial"/>
                <w:sz w:val="20"/>
                <w:vertAlign w:val="subscript"/>
                <w:lang w:val="es-ES"/>
              </w:rPr>
              <w:t>2</w:t>
            </w:r>
            <w:r w:rsidRPr="00993936">
              <w:rPr>
                <w:rFonts w:ascii="Arial" w:hAnsi="Arial" w:cs="Arial"/>
                <w:sz w:val="20"/>
                <w:lang w:val="es-ES"/>
              </w:rPr>
              <w:t>O)</w:t>
            </w:r>
          </w:p>
        </w:tc>
        <w:tc>
          <w:tcPr>
            <w:tcW w:w="1191" w:type="pct"/>
            <w:shd w:val="clear" w:color="auto" w:fill="auto"/>
          </w:tcPr>
          <w:p w:rsidR="00202B3A" w:rsidRPr="00993936" w:rsidRDefault="00202B3A" w:rsidP="001D205D">
            <w:pPr>
              <w:jc w:val="center"/>
              <w:rPr>
                <w:rFonts w:ascii="Arial" w:hAnsi="Arial" w:cs="Arial"/>
                <w:sz w:val="20"/>
                <w:lang w:val="es-ES"/>
              </w:rPr>
            </w:pPr>
            <w:r w:rsidRPr="00993936">
              <w:rPr>
                <w:rFonts w:ascii="Arial" w:hAnsi="Arial" w:cs="Arial"/>
                <w:sz w:val="20"/>
                <w:lang w:val="es-ES"/>
              </w:rPr>
              <w:t>250</w:t>
            </w:r>
          </w:p>
        </w:tc>
        <w:tc>
          <w:tcPr>
            <w:tcW w:w="2637" w:type="pct"/>
            <w:shd w:val="clear" w:color="auto" w:fill="auto"/>
          </w:tcPr>
          <w:p w:rsidR="00202B3A" w:rsidRPr="00993936" w:rsidRDefault="00202B3A" w:rsidP="001D205D">
            <w:pPr>
              <w:jc w:val="both"/>
              <w:outlineLvl w:val="0"/>
              <w:rPr>
                <w:rFonts w:ascii="Arial" w:hAnsi="Arial" w:cs="Arial"/>
                <w:sz w:val="20"/>
                <w:lang w:val="es-ES"/>
              </w:rPr>
            </w:pPr>
            <w:r w:rsidRPr="00993936">
              <w:rPr>
                <w:rFonts w:ascii="Arial" w:hAnsi="Arial" w:cs="Arial"/>
                <w:sz w:val="20"/>
                <w:lang w:val="es-ES"/>
              </w:rPr>
              <w:t xml:space="preserve">Si el nivel de fósforo en el suelo es superior a 25 ppm </w:t>
            </w:r>
          </w:p>
        </w:tc>
      </w:tr>
      <w:tr w:rsidR="00202B3A" w:rsidRPr="00993936" w:rsidTr="001D205D">
        <w:tc>
          <w:tcPr>
            <w:tcW w:w="1172" w:type="pct"/>
            <w:shd w:val="clear" w:color="auto" w:fill="auto"/>
          </w:tcPr>
          <w:p w:rsidR="00202B3A" w:rsidRPr="00993936" w:rsidRDefault="00202B3A" w:rsidP="001D205D">
            <w:pPr>
              <w:rPr>
                <w:rFonts w:ascii="Arial" w:hAnsi="Arial" w:cs="Arial"/>
                <w:sz w:val="20"/>
                <w:lang w:val="es-ES"/>
              </w:rPr>
            </w:pPr>
            <w:r w:rsidRPr="00993936">
              <w:rPr>
                <w:rFonts w:ascii="Arial" w:hAnsi="Arial" w:cs="Arial"/>
                <w:sz w:val="20"/>
                <w:lang w:val="es-ES"/>
              </w:rPr>
              <w:t xml:space="preserve">  Potasio (K</w:t>
            </w:r>
            <w:r w:rsidRPr="00993936">
              <w:rPr>
                <w:rFonts w:ascii="Arial" w:hAnsi="Arial" w:cs="Arial"/>
                <w:sz w:val="20"/>
                <w:vertAlign w:val="subscript"/>
                <w:lang w:val="es-ES"/>
              </w:rPr>
              <w:t>2</w:t>
            </w:r>
            <w:r w:rsidRPr="00993936">
              <w:rPr>
                <w:rFonts w:ascii="Arial" w:hAnsi="Arial" w:cs="Arial"/>
                <w:sz w:val="20"/>
                <w:lang w:val="es-ES"/>
              </w:rPr>
              <w:t>O)</w:t>
            </w:r>
          </w:p>
        </w:tc>
        <w:tc>
          <w:tcPr>
            <w:tcW w:w="1191" w:type="pct"/>
            <w:shd w:val="clear" w:color="auto" w:fill="auto"/>
          </w:tcPr>
          <w:p w:rsidR="00202B3A" w:rsidRPr="00993936" w:rsidRDefault="00202B3A" w:rsidP="001D205D">
            <w:pPr>
              <w:jc w:val="center"/>
              <w:rPr>
                <w:rFonts w:ascii="Arial" w:hAnsi="Arial" w:cs="Arial"/>
                <w:sz w:val="20"/>
                <w:lang w:val="es-ES"/>
              </w:rPr>
            </w:pPr>
            <w:r w:rsidRPr="00993936">
              <w:rPr>
                <w:rFonts w:ascii="Arial" w:hAnsi="Arial" w:cs="Arial"/>
                <w:sz w:val="20"/>
                <w:lang w:val="es-ES"/>
              </w:rPr>
              <w:t>300</w:t>
            </w:r>
          </w:p>
        </w:tc>
        <w:tc>
          <w:tcPr>
            <w:tcW w:w="2637" w:type="pct"/>
            <w:shd w:val="clear" w:color="auto" w:fill="auto"/>
          </w:tcPr>
          <w:p w:rsidR="00202B3A" w:rsidRPr="00993936" w:rsidRDefault="00202B3A" w:rsidP="001D205D">
            <w:pPr>
              <w:jc w:val="both"/>
              <w:outlineLvl w:val="0"/>
              <w:rPr>
                <w:rFonts w:ascii="Arial" w:hAnsi="Arial" w:cs="Arial"/>
                <w:i/>
                <w:noProof/>
                <w:sz w:val="20"/>
                <w:lang w:val="es-ES"/>
              </w:rPr>
            </w:pPr>
            <w:r w:rsidRPr="00993936">
              <w:rPr>
                <w:rFonts w:ascii="Arial" w:hAnsi="Arial" w:cs="Arial"/>
                <w:sz w:val="20"/>
                <w:lang w:val="es-ES"/>
              </w:rPr>
              <w:t>Si el nivel de potasio en el suelo es superior a 125 ppm</w:t>
            </w:r>
          </w:p>
        </w:tc>
      </w:tr>
      <w:tr w:rsidR="00202B3A" w:rsidRPr="00993936" w:rsidTr="001D205D">
        <w:tc>
          <w:tcPr>
            <w:tcW w:w="5000" w:type="pct"/>
            <w:gridSpan w:val="3"/>
            <w:shd w:val="clear" w:color="auto" w:fill="auto"/>
          </w:tcPr>
          <w:p w:rsidR="00202B3A" w:rsidRPr="00993936" w:rsidRDefault="00202B3A" w:rsidP="001D205D">
            <w:pPr>
              <w:outlineLvl w:val="0"/>
              <w:rPr>
                <w:rFonts w:ascii="Arial" w:hAnsi="Arial" w:cs="Arial"/>
                <w:sz w:val="20"/>
                <w:lang w:val="es-ES"/>
              </w:rPr>
            </w:pPr>
            <w:r w:rsidRPr="00993936">
              <w:rPr>
                <w:rFonts w:ascii="Arial" w:hAnsi="Arial" w:cs="Arial"/>
                <w:sz w:val="20"/>
                <w:lang w:val="es-ES"/>
              </w:rPr>
              <w:t xml:space="preserve">  ppm: partes por millón</w:t>
            </w:r>
          </w:p>
        </w:tc>
      </w:tr>
    </w:tbl>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i/>
          <w:noProof/>
          <w:lang w:val="es-ES"/>
        </w:rPr>
      </w:pPr>
      <w:r w:rsidRPr="00993936">
        <w:rPr>
          <w:rFonts w:ascii="Arial" w:hAnsi="Arial" w:cs="Arial"/>
          <w:noProof/>
          <w:lang w:val="es-ES"/>
        </w:rPr>
        <w:t xml:space="preserve">Para el nitrógeno esta cantidad se podrá aumentar hasta llegar a un máximo de </w:t>
      </w:r>
      <w:smartTag w:uri="urn:schemas-microsoft-com:office:smarttags" w:element="metricconverter">
        <w:smartTagPr>
          <w:attr w:name="ProductID" w:val="250 kg"/>
        </w:smartTagPr>
        <w:r w:rsidRPr="00993936">
          <w:rPr>
            <w:rFonts w:ascii="Arial" w:hAnsi="Arial" w:cs="Arial"/>
            <w:noProof/>
            <w:lang w:val="es-ES"/>
          </w:rPr>
          <w:t>250 kg</w:t>
        </w:r>
      </w:smartTag>
      <w:r w:rsidRPr="00993936">
        <w:rPr>
          <w:rFonts w:ascii="Arial" w:hAnsi="Arial" w:cs="Arial"/>
          <w:noProof/>
          <w:lang w:val="es-ES"/>
        </w:rPr>
        <w:t xml:space="preserve"> N/ha y año Cuando toda la fertilización o una gran parte de la misma se haga con materiales orgánicos. Los oligoelementos y abonos</w:t>
      </w:r>
      <w:r w:rsidRPr="00993936">
        <w:rPr>
          <w:rFonts w:ascii="Arial" w:hAnsi="Arial" w:cs="Arial"/>
          <w:noProof/>
          <w:vanish/>
          <w:lang w:val="es-ES"/>
        </w:rPr>
        <w:t>&lt;A[abonos|adobos]&gt;</w:t>
      </w:r>
      <w:r w:rsidRPr="00993936">
        <w:rPr>
          <w:rFonts w:ascii="Arial" w:hAnsi="Arial" w:cs="Arial"/>
          <w:noProof/>
          <w:lang w:val="es-ES"/>
        </w:rPr>
        <w:t xml:space="preserve"> foliares sólo </w:t>
      </w:r>
      <w:r w:rsidRPr="00993936">
        <w:rPr>
          <w:rFonts w:ascii="Arial" w:hAnsi="Arial" w:cs="Arial"/>
          <w:noProof/>
          <w:lang w:val="es-ES"/>
        </w:rPr>
        <w:lastRenderedPageBreak/>
        <w:t>se aplicarán cuando un análisis previo determine insuficiencia para los requerimientos reales del cultivo</w:t>
      </w:r>
      <w:r w:rsidRPr="00993936">
        <w:rPr>
          <w:rFonts w:ascii="Arial" w:hAnsi="Arial" w:cs="Arial"/>
          <w:i/>
          <w:noProof/>
          <w:lang w:val="es-ES"/>
        </w:rPr>
        <w:t>.</w:t>
      </w:r>
    </w:p>
    <w:p w:rsidR="00202B3A" w:rsidRPr="00993936" w:rsidRDefault="00202B3A" w:rsidP="001D205D">
      <w:pPr>
        <w:pStyle w:val="Textoindependiente"/>
        <w:rPr>
          <w:rFonts w:cs="Arial"/>
          <w:i/>
          <w:lang w:val="es-ES"/>
        </w:rPr>
      </w:pPr>
      <w:r w:rsidRPr="00993936">
        <w:rPr>
          <w:rFonts w:cs="Arial"/>
          <w:lang w:val="es-ES"/>
        </w:rPr>
        <w:t>La aplicación de fertilizantes se deberá revisar a posteriori por el técnico responsable de producción integrada, y su conformidad figurará en el Cuaderno de explotación.</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6.1.9 Cuando se aporte materia orgánica al suelo, se tendrán que conocer los contenidos medios aportados en </w:t>
      </w:r>
      <w:r w:rsidRPr="00993936">
        <w:rPr>
          <w:rFonts w:ascii="Arial" w:hAnsi="Arial" w:cs="Arial"/>
          <w:lang w:val="es-ES"/>
        </w:rPr>
        <w:t>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5,</w:t>
      </w:r>
      <w:r w:rsidRPr="00993936">
        <w:rPr>
          <w:rFonts w:ascii="Arial" w:hAnsi="Arial" w:cs="Arial"/>
          <w:lang w:val="es-ES"/>
        </w:rPr>
        <w:t xml:space="preserve"> K</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w:t>
      </w:r>
      <w:r w:rsidRPr="00993936">
        <w:rPr>
          <w:rFonts w:ascii="Arial" w:hAnsi="Arial" w:cs="Arial"/>
          <w:lang w:val="es-ES"/>
        </w:rPr>
        <w:t xml:space="preserve"> </w:t>
      </w:r>
      <w:r w:rsidRPr="00993936">
        <w:rPr>
          <w:rFonts w:ascii="Arial" w:hAnsi="Arial" w:cs="Arial"/>
          <w:noProof/>
          <w:lang w:val="es-ES"/>
        </w:rPr>
        <w:t>Para el cálculo de los elementos fertilizantes aportados se utiltizaran preferentemente los resultados del análisis de la materia orgánica, o, si no hay, se podrán utilizar como valores orientativos los que figuran en el anexo 4.</w:t>
      </w:r>
    </w:p>
    <w:p w:rsidR="00202B3A" w:rsidRPr="00993936" w:rsidRDefault="00202B3A" w:rsidP="001D205D">
      <w:pPr>
        <w:jc w:val="both"/>
        <w:rPr>
          <w:rFonts w:ascii="Arial" w:hAnsi="Arial" w:cs="Arial"/>
          <w:lang w:val="es-ES"/>
        </w:rPr>
      </w:pPr>
      <w:r w:rsidRPr="00993936">
        <w:rPr>
          <w:rFonts w:ascii="Arial" w:hAnsi="Arial" w:cs="Arial"/>
          <w:lang w:val="es-ES"/>
        </w:rPr>
        <w:t>6.1.10 Cuando se aporten materias con valor fertilizan</w:t>
      </w:r>
      <w:r w:rsidR="008061C6" w:rsidRPr="00993936">
        <w:rPr>
          <w:rFonts w:ascii="Arial" w:hAnsi="Arial" w:cs="Arial"/>
          <w:lang w:val="es-ES"/>
        </w:rPr>
        <w:t>te</w:t>
      </w:r>
      <w:r w:rsidRPr="00993936">
        <w:rPr>
          <w:rFonts w:ascii="Arial" w:hAnsi="Arial" w:cs="Arial"/>
          <w:lang w:val="es-ES"/>
        </w:rPr>
        <w:t xml:space="preserve"> de origen urbano o industrial, hace falta disponer o bien realizar</w:t>
      </w:r>
      <w:r w:rsidRPr="00993936">
        <w:rPr>
          <w:rFonts w:ascii="Arial" w:hAnsi="Arial" w:cs="Arial"/>
          <w:i/>
          <w:lang w:val="es-ES"/>
        </w:rPr>
        <w:t xml:space="preserve"> </w:t>
      </w:r>
      <w:r w:rsidRPr="00993936">
        <w:rPr>
          <w:rFonts w:ascii="Arial" w:hAnsi="Arial" w:cs="Arial"/>
          <w:lang w:val="es-ES"/>
        </w:rPr>
        <w:t>un análisis de metales pesados con el fin de conocer que no excedan los límites legales establecidos y teniendo en cuenta el programa de actuaciones para la gestión de los lodos de depuración de aguas residuales urbanas de Cataluña. En todo caso, esta aportación tiene que contener la mínima cantidad de metales pesados (cadmio, cromo, cobre, plomo, cinc, níquel y mercurio), patógenos u otros productos tóxicos.</w:t>
      </w:r>
    </w:p>
    <w:p w:rsidR="00202B3A" w:rsidRPr="00993936" w:rsidRDefault="00202B3A" w:rsidP="001D205D">
      <w:pPr>
        <w:pStyle w:val="Textoindependiente"/>
        <w:rPr>
          <w:rFonts w:cs="Arial"/>
          <w:szCs w:val="22"/>
          <w:lang w:val="es-ES"/>
        </w:rPr>
      </w:pPr>
      <w:r w:rsidRPr="00993936">
        <w:rPr>
          <w:rFonts w:cs="Arial"/>
          <w:szCs w:val="22"/>
          <w:lang w:val="es-ES"/>
        </w:rPr>
        <w:t>6.1.11 Almacenar los abonos</w:t>
      </w:r>
      <w:r w:rsidRPr="00993936">
        <w:rPr>
          <w:rFonts w:cs="Arial"/>
          <w:vanish/>
          <w:szCs w:val="22"/>
          <w:lang w:val="es-ES"/>
        </w:rPr>
        <w:t>&lt;A[abonos|adobos]&gt;</w:t>
      </w:r>
      <w:r w:rsidRPr="00993936">
        <w:rPr>
          <w:rFonts w:cs="Arial"/>
          <w:szCs w:val="22"/>
          <w:lang w:val="es-ES"/>
        </w:rPr>
        <w:t xml:space="preserve"> orgánicos de manera adecuada, de forma que se reduzca el riesgo de contaminación del medio ambiente.</w:t>
      </w:r>
    </w:p>
    <w:p w:rsidR="00202B3A" w:rsidRPr="00993936" w:rsidRDefault="00202B3A" w:rsidP="001D205D">
      <w:pPr>
        <w:jc w:val="both"/>
        <w:rPr>
          <w:rFonts w:ascii="Arial" w:hAnsi="Arial" w:cs="Arial"/>
          <w:lang w:val="es-ES"/>
        </w:rPr>
      </w:pPr>
      <w:r w:rsidRPr="00993936">
        <w:rPr>
          <w:rFonts w:ascii="Arial" w:hAnsi="Arial" w:cs="Arial"/>
          <w:lang w:val="es-ES"/>
        </w:rPr>
        <w:t>6.1.12 Realizar las enmiendas necesarias siempre que el pH del suelo se aparte sustancialmente de un nivel de pH comprendido entre 6,5 y 8,9, o cuando las características físicas o químicas del suelo así lo aconsejen. En todo caso, las enmiendas tendrán que ser técnicamente justificadas de acuerdo con un análisis del suelo y con las necesidades reales de la variedad y la especie cultivadas.</w:t>
      </w:r>
    </w:p>
    <w:p w:rsidR="00202B3A" w:rsidRPr="00993936" w:rsidRDefault="00202B3A" w:rsidP="001D205D">
      <w:pPr>
        <w:jc w:val="both"/>
        <w:rPr>
          <w:rFonts w:ascii="Arial" w:hAnsi="Arial" w:cs="Arial"/>
          <w:noProof/>
          <w:lang w:val="es-ES"/>
        </w:rPr>
      </w:pPr>
      <w:r w:rsidRPr="00993936">
        <w:rPr>
          <w:rFonts w:ascii="Arial" w:hAnsi="Arial" w:cs="Arial"/>
          <w:lang w:val="es-ES"/>
        </w:rPr>
        <w:t>6.1.13 Optimizar el reparto de los fertilizantes en función de los medios disponibles.</w:t>
      </w:r>
    </w:p>
    <w:p w:rsidR="00202B3A" w:rsidRPr="00993936" w:rsidRDefault="00202B3A" w:rsidP="001D205D">
      <w:pPr>
        <w:jc w:val="both"/>
        <w:rPr>
          <w:rFonts w:ascii="Arial" w:hAnsi="Arial" w:cs="Arial"/>
          <w:lang w:val="es-ES"/>
        </w:rPr>
      </w:pPr>
      <w:r w:rsidRPr="00993936">
        <w:rPr>
          <w:rFonts w:ascii="Arial" w:hAnsi="Arial" w:cs="Arial"/>
          <w:lang w:val="es-ES"/>
        </w:rPr>
        <w:t>6.1.14 Conseguir, mediante un manejo adecuado, un nivel de pH comprendido entre 6,5 y 8,9.</w:t>
      </w:r>
    </w:p>
    <w:p w:rsidR="00202B3A" w:rsidRPr="00993936" w:rsidRDefault="00202B3A" w:rsidP="001D205D">
      <w:pPr>
        <w:jc w:val="both"/>
        <w:outlineLvl w:val="0"/>
        <w:rPr>
          <w:rFonts w:ascii="Arial" w:hAnsi="Arial" w:cs="Arial"/>
          <w:lang w:val="es-ES"/>
        </w:rPr>
      </w:pPr>
      <w:r w:rsidRPr="00993936">
        <w:rPr>
          <w:rFonts w:ascii="Arial" w:hAnsi="Arial" w:cs="Arial"/>
          <w:lang w:val="es-ES"/>
        </w:rPr>
        <w:t xml:space="preserve">6.2 </w:t>
      </w:r>
      <w:r w:rsidRPr="00993936">
        <w:rPr>
          <w:rFonts w:ascii="Arial" w:hAnsi="Arial" w:cs="Arial"/>
          <w:i/>
          <w:lang w:val="es-ES"/>
        </w:rPr>
        <w:t>Prohibiciones</w:t>
      </w:r>
    </w:p>
    <w:p w:rsidR="00202B3A" w:rsidRPr="00993936" w:rsidRDefault="00202B3A" w:rsidP="001D205D">
      <w:pPr>
        <w:jc w:val="both"/>
        <w:outlineLvl w:val="0"/>
        <w:rPr>
          <w:rFonts w:ascii="Arial" w:hAnsi="Arial" w:cs="Arial"/>
          <w:lang w:val="es-ES"/>
        </w:rPr>
      </w:pPr>
      <w:r w:rsidRPr="00993936">
        <w:rPr>
          <w:rFonts w:ascii="Arial" w:hAnsi="Arial" w:cs="Arial"/>
          <w:lang w:val="es-ES"/>
        </w:rPr>
        <w:t>6.2.1 Superar la cantidad máxima tolerable por</w:t>
      </w:r>
      <w:r w:rsidRPr="00993936">
        <w:rPr>
          <w:rFonts w:ascii="Arial" w:hAnsi="Arial" w:cs="Arial"/>
          <w:vanish/>
          <w:lang w:val="es-ES"/>
        </w:rPr>
        <w:t>&lt;A[por|para]&gt;</w:t>
      </w:r>
      <w:r w:rsidRPr="00993936">
        <w:rPr>
          <w:rFonts w:ascii="Arial" w:hAnsi="Arial" w:cs="Arial"/>
          <w:lang w:val="es-ES"/>
        </w:rPr>
        <w:t xml:space="preserve"> hectárea y año de nitrógeno total, y exceder los límites nacionales e internacionales aplicables a cada territorio relativos a la contaminación por</w:t>
      </w:r>
      <w:r w:rsidRPr="00993936">
        <w:rPr>
          <w:rFonts w:ascii="Arial" w:hAnsi="Arial" w:cs="Arial"/>
          <w:vanish/>
          <w:lang w:val="es-ES"/>
        </w:rPr>
        <w:t>&lt;A[por|para]&gt;</w:t>
      </w:r>
      <w:r w:rsidRPr="00993936">
        <w:rPr>
          <w:rFonts w:ascii="Arial" w:hAnsi="Arial" w:cs="Arial"/>
          <w:lang w:val="es-ES"/>
        </w:rPr>
        <w:t xml:space="preserve"> nitratos o fosfatos del agua subterránea, así como los límites que se fijan de metales pesados en el anexo 3 de esta norma, de patógenos y de otros productos tóxicos.</w:t>
      </w:r>
    </w:p>
    <w:p w:rsidR="00202B3A" w:rsidRPr="00993936" w:rsidRDefault="00202B3A" w:rsidP="001D205D">
      <w:pPr>
        <w:pStyle w:val="Textoindependiente"/>
        <w:rPr>
          <w:rFonts w:cs="Arial"/>
          <w:szCs w:val="22"/>
          <w:lang w:val="es-ES"/>
        </w:rPr>
      </w:pPr>
      <w:r w:rsidRPr="00993936">
        <w:rPr>
          <w:rFonts w:cs="Arial"/>
          <w:szCs w:val="22"/>
          <w:lang w:val="es-ES"/>
        </w:rPr>
        <w:t>6.2.2 Almacenar los fertilizantes y los fitosanitarios sin estar separados físicamente ni etiquetados correctamente.</w:t>
      </w:r>
    </w:p>
    <w:p w:rsidR="00202B3A" w:rsidRPr="00993936" w:rsidRDefault="00202B3A" w:rsidP="001D205D">
      <w:pPr>
        <w:pStyle w:val="Textoindependiente"/>
        <w:rPr>
          <w:rFonts w:cs="Arial"/>
          <w:szCs w:val="22"/>
          <w:lang w:val="es-ES"/>
        </w:rPr>
      </w:pPr>
      <w:r w:rsidRPr="00993936">
        <w:rPr>
          <w:rFonts w:cs="Arial"/>
          <w:szCs w:val="22"/>
          <w:lang w:val="es-ES"/>
        </w:rPr>
        <w:t>6.2.3 Hacer una programación de la fertilización sin tener en cuenta los resultados de los análisis de suelo, y/o hojas y agua.</w:t>
      </w:r>
    </w:p>
    <w:p w:rsidR="00202B3A" w:rsidRPr="00993936" w:rsidRDefault="00202B3A" w:rsidP="001D205D">
      <w:pPr>
        <w:jc w:val="both"/>
        <w:outlineLvl w:val="0"/>
        <w:rPr>
          <w:rFonts w:ascii="Arial" w:hAnsi="Arial" w:cs="Arial"/>
          <w:lang w:val="es-ES"/>
        </w:rPr>
      </w:pPr>
      <w:r w:rsidRPr="00993936">
        <w:rPr>
          <w:rFonts w:ascii="Arial" w:hAnsi="Arial" w:cs="Arial"/>
          <w:lang w:val="es-ES"/>
        </w:rPr>
        <w:t xml:space="preserve">6.2.4 Aplicar estiércol y purines sobre los terrenos encharcados o en nieve y a menos de </w:t>
      </w:r>
      <w:smartTag w:uri="urn:schemas-microsoft-com:office:smarttags" w:element="metricconverter">
        <w:smartTagPr>
          <w:attr w:name="ProductID" w:val="50 m"/>
        </w:smartTagPr>
        <w:r w:rsidRPr="00993936">
          <w:rPr>
            <w:rFonts w:ascii="Arial" w:hAnsi="Arial" w:cs="Arial"/>
            <w:lang w:val="es-ES"/>
          </w:rPr>
          <w:t>50 m</w:t>
        </w:r>
      </w:smartTag>
      <w:r w:rsidRPr="00993936">
        <w:rPr>
          <w:rFonts w:ascii="Arial" w:hAnsi="Arial" w:cs="Arial"/>
          <w:lang w:val="es-ES"/>
        </w:rPr>
        <w:t xml:space="preserve"> de una captación de agua destinada al consumo humano.</w:t>
      </w:r>
    </w:p>
    <w:p w:rsidR="00202B3A" w:rsidRPr="00993936" w:rsidRDefault="00202B3A" w:rsidP="001D205D">
      <w:pPr>
        <w:jc w:val="both"/>
        <w:outlineLvl w:val="0"/>
        <w:rPr>
          <w:rFonts w:ascii="Arial" w:hAnsi="Arial" w:cs="Arial"/>
          <w:lang w:val="es-ES"/>
        </w:rPr>
      </w:pPr>
      <w:r w:rsidRPr="00993936">
        <w:rPr>
          <w:rFonts w:ascii="Arial" w:hAnsi="Arial" w:cs="Arial"/>
          <w:lang w:val="es-ES"/>
        </w:rPr>
        <w:t>6.2.5 Utilizar, sin haber realizado tratamiento previo reconocido por la dirección general competente en materia de agricultura, tanto barro que proceda de depuradora como</w:t>
      </w:r>
      <w:r w:rsidRPr="00993936">
        <w:rPr>
          <w:rFonts w:ascii="Arial" w:hAnsi="Arial" w:cs="Arial"/>
          <w:vanish/>
          <w:lang w:val="es-ES"/>
        </w:rPr>
        <w:t>&lt;A[como|cómo]&gt;</w:t>
      </w:r>
      <w:r w:rsidRPr="00993936">
        <w:rPr>
          <w:rFonts w:ascii="Arial" w:hAnsi="Arial" w:cs="Arial"/>
          <w:lang w:val="es-ES"/>
        </w:rPr>
        <w:t xml:space="preserve"> residuos sólidos urbanos.</w:t>
      </w:r>
    </w:p>
    <w:p w:rsidR="00202B3A" w:rsidRPr="00993936" w:rsidRDefault="00202B3A" w:rsidP="001D205D">
      <w:pPr>
        <w:pStyle w:val="Textoindependiente"/>
        <w:outlineLvl w:val="0"/>
        <w:rPr>
          <w:rFonts w:cs="Arial"/>
          <w:i/>
          <w:szCs w:val="22"/>
          <w:lang w:val="es-ES"/>
        </w:rPr>
      </w:pPr>
      <w:r w:rsidRPr="00993936">
        <w:rPr>
          <w:rFonts w:cs="Arial"/>
          <w:szCs w:val="22"/>
          <w:lang w:val="es-ES"/>
        </w:rPr>
        <w:lastRenderedPageBreak/>
        <w:t xml:space="preserve">6.3 </w:t>
      </w:r>
      <w:r w:rsidRPr="00993936">
        <w:rPr>
          <w:rFonts w:cs="Arial"/>
          <w:i/>
          <w:szCs w:val="22"/>
          <w:lang w:val="es-ES"/>
        </w:rPr>
        <w:t>Recomendaciones</w:t>
      </w:r>
    </w:p>
    <w:p w:rsidR="00202B3A" w:rsidRPr="00993936" w:rsidRDefault="00202B3A" w:rsidP="001D205D">
      <w:pPr>
        <w:jc w:val="both"/>
        <w:rPr>
          <w:rFonts w:ascii="Arial" w:hAnsi="Arial" w:cs="Arial"/>
          <w:lang w:val="es-ES"/>
        </w:rPr>
      </w:pPr>
      <w:r w:rsidRPr="00993936">
        <w:rPr>
          <w:rFonts w:ascii="Arial" w:hAnsi="Arial" w:cs="Arial"/>
          <w:lang w:val="es-ES"/>
        </w:rPr>
        <w:t>6.3.1 Realizar la fertirrigación de manera que se minimice el lavado de nutrientes, evitando la salinización del suelo.</w:t>
      </w:r>
    </w:p>
    <w:p w:rsidR="00202B3A" w:rsidRPr="00993936" w:rsidRDefault="00202B3A" w:rsidP="001D205D">
      <w:pPr>
        <w:jc w:val="both"/>
        <w:rPr>
          <w:rFonts w:ascii="Arial" w:hAnsi="Arial" w:cs="Arial"/>
          <w:noProof/>
          <w:u w:val="single"/>
          <w:lang w:val="es-ES"/>
        </w:rPr>
      </w:pPr>
      <w:r w:rsidRPr="00993936">
        <w:rPr>
          <w:rFonts w:ascii="Arial" w:hAnsi="Arial" w:cs="Arial"/>
          <w:noProof/>
          <w:lang w:val="es-ES"/>
        </w:rPr>
        <w:t>6.3.2 Utilizar herramientas de soporte a la decisión de la fertilización, que se hayan contrastado en la zona.</w:t>
      </w:r>
    </w:p>
    <w:p w:rsidR="00202B3A" w:rsidRPr="00993936" w:rsidRDefault="00202B3A" w:rsidP="001D205D">
      <w:pPr>
        <w:jc w:val="both"/>
        <w:rPr>
          <w:rFonts w:ascii="Arial" w:hAnsi="Arial" w:cs="Arial"/>
          <w:noProof/>
          <w:lang w:val="es-ES"/>
        </w:rPr>
      </w:pPr>
    </w:p>
    <w:p w:rsidR="00202B3A" w:rsidRPr="00993936" w:rsidRDefault="00202B3A" w:rsidP="001D205D">
      <w:pPr>
        <w:jc w:val="both"/>
        <w:outlineLvl w:val="0"/>
        <w:rPr>
          <w:rFonts w:ascii="Arial" w:hAnsi="Arial" w:cs="Arial"/>
          <w:lang w:val="es-ES"/>
        </w:rPr>
      </w:pPr>
      <w:r w:rsidRPr="00993936">
        <w:rPr>
          <w:rFonts w:ascii="Arial" w:hAnsi="Arial" w:cs="Arial"/>
          <w:lang w:val="es-ES"/>
        </w:rPr>
        <w:t>Artículo 7</w:t>
      </w:r>
    </w:p>
    <w:p w:rsidR="00202B3A" w:rsidRPr="00993936" w:rsidRDefault="00202B3A" w:rsidP="001D205D">
      <w:pPr>
        <w:pStyle w:val="Ttulo2"/>
        <w:rPr>
          <w:rFonts w:ascii="Arial" w:hAnsi="Arial" w:cs="Arial"/>
          <w:b/>
          <w:color w:val="auto"/>
          <w:sz w:val="22"/>
          <w:szCs w:val="22"/>
          <w:lang w:val="es-ES"/>
        </w:rPr>
      </w:pPr>
      <w:r w:rsidRPr="00993936">
        <w:rPr>
          <w:rFonts w:ascii="Arial" w:hAnsi="Arial" w:cs="Arial"/>
          <w:b/>
          <w:color w:val="auto"/>
          <w:sz w:val="22"/>
          <w:szCs w:val="22"/>
          <w:lang w:val="es-ES"/>
        </w:rPr>
        <w:t>Riego</w:t>
      </w:r>
    </w:p>
    <w:p w:rsidR="00202B3A" w:rsidRPr="00993936" w:rsidRDefault="00202B3A" w:rsidP="001D205D">
      <w:pPr>
        <w:jc w:val="both"/>
        <w:outlineLvl w:val="0"/>
        <w:rPr>
          <w:rFonts w:ascii="Arial" w:hAnsi="Arial" w:cs="Arial"/>
          <w:i/>
          <w:lang w:val="es-ES"/>
        </w:rPr>
      </w:pPr>
      <w:r w:rsidRPr="00993936">
        <w:rPr>
          <w:rFonts w:ascii="Arial" w:hAnsi="Arial" w:cs="Arial"/>
          <w:lang w:val="es-ES"/>
        </w:rPr>
        <w:t xml:space="preserve">7.1 </w:t>
      </w:r>
      <w:r w:rsidRPr="00993936">
        <w:rPr>
          <w:rFonts w:ascii="Arial" w:hAnsi="Arial" w:cs="Arial"/>
          <w:i/>
          <w:lang w:val="es-ES"/>
        </w:rPr>
        <w:t>Obligaciones</w:t>
      </w:r>
    </w:p>
    <w:p w:rsidR="00202B3A" w:rsidRPr="00993936" w:rsidRDefault="00202B3A" w:rsidP="001D205D">
      <w:pPr>
        <w:jc w:val="both"/>
        <w:outlineLvl w:val="0"/>
        <w:rPr>
          <w:rFonts w:ascii="Arial" w:hAnsi="Arial" w:cs="Arial"/>
          <w:lang w:val="es-ES"/>
        </w:rPr>
      </w:pPr>
      <w:r w:rsidRPr="00993936">
        <w:rPr>
          <w:rFonts w:ascii="Arial" w:hAnsi="Arial" w:cs="Arial"/>
          <w:lang w:val="es-ES"/>
        </w:rPr>
        <w:t xml:space="preserve">7.1.1 Disponer de las características analíticas de la calidad del agua de riego con la finalidad de tomar una decisión sobre su utilización. El análisis químico incluirá al menos las determinaciones de nitratos y de conductividad, sin perjuicio de otros elementos que puedan ser de interés. Los análisis se harán en laboratorios autorizados. </w:t>
      </w:r>
      <w:r w:rsidRPr="00993936">
        <w:rPr>
          <w:rFonts w:ascii="Arial" w:hAnsi="Arial" w:cs="Arial"/>
          <w:noProof/>
          <w:lang w:val="es-ES"/>
        </w:rPr>
        <w:t>Si en razón de su origen la composición del agua es muy variable, se tendrán que hacer análisis con más frecuencia del contenido de nitratos y de la conductividad. En el caso de utilizar, para el riego aguas residuales depuradas, que puedan entrar en contacto directo con los órganos vegetales consumibles, analizar la posible presencia de contaminantes microbianos, químicos o bacteriológicos con el fin de tomar una decisión sobre su utilización.</w:t>
      </w:r>
    </w:p>
    <w:p w:rsidR="00202B3A" w:rsidRPr="00993936" w:rsidRDefault="00202B3A" w:rsidP="001D205D">
      <w:pPr>
        <w:jc w:val="both"/>
        <w:rPr>
          <w:rFonts w:ascii="Arial" w:hAnsi="Arial" w:cs="Arial"/>
          <w:lang w:val="es-ES"/>
        </w:rPr>
      </w:pPr>
      <w:r w:rsidRPr="00993936">
        <w:rPr>
          <w:rFonts w:ascii="Arial" w:hAnsi="Arial" w:cs="Arial"/>
          <w:lang w:val="es-ES"/>
        </w:rPr>
        <w:t>7.1.2 Tomar las medidas necesarias para evitar las pérdidas de agua.</w:t>
      </w:r>
    </w:p>
    <w:p w:rsidR="00202B3A" w:rsidRPr="00993936" w:rsidRDefault="00202B3A" w:rsidP="001D205D">
      <w:pPr>
        <w:pStyle w:val="Textoindependiente"/>
        <w:rPr>
          <w:rFonts w:cs="Arial"/>
          <w:noProof/>
          <w:szCs w:val="22"/>
          <w:lang w:val="es-ES"/>
        </w:rPr>
      </w:pPr>
      <w:r w:rsidRPr="00993936">
        <w:rPr>
          <w:rFonts w:cs="Arial"/>
          <w:noProof/>
          <w:szCs w:val="22"/>
          <w:lang w:val="es-ES"/>
        </w:rPr>
        <w:t>7.1.3 En cultivos al aire libre, establecer los volúmenes anuales necesarios mediante el cálculo de las necesidades del cultivo, de acuerdo con los datos locales de la evapotranspiración calculada por medio de los datos de la estación meteorológica más representativa.</w:t>
      </w:r>
    </w:p>
    <w:p w:rsidR="00202B3A" w:rsidRPr="00993936" w:rsidRDefault="00202B3A" w:rsidP="001D205D">
      <w:pPr>
        <w:pStyle w:val="Textoindependiente"/>
        <w:rPr>
          <w:rFonts w:cs="Arial"/>
          <w:noProof/>
          <w:szCs w:val="22"/>
          <w:lang w:val="es-ES"/>
        </w:rPr>
      </w:pPr>
      <w:r w:rsidRPr="00993936">
        <w:rPr>
          <w:rFonts w:cs="Arial"/>
          <w:noProof/>
          <w:szCs w:val="22"/>
          <w:lang w:val="es-ES"/>
        </w:rPr>
        <w:t>7.1.4 Establecer los volúmenes máximos de cada riego en función del sistema, la profundidad radicular del cultivo, el estado hídrico y las características físicas del suelo. Para valores de conductividad eléctrica del agua superiores a de 2,1 dS/m, se utilizará una fracción de lavado complementaria a las dosis normales del riego.</w:t>
      </w:r>
    </w:p>
    <w:p w:rsidR="00202B3A" w:rsidRPr="00993936" w:rsidRDefault="00202B3A" w:rsidP="001D205D">
      <w:pPr>
        <w:jc w:val="both"/>
        <w:rPr>
          <w:rFonts w:ascii="Arial" w:hAnsi="Arial" w:cs="Arial"/>
          <w:lang w:val="es-ES"/>
        </w:rPr>
      </w:pPr>
      <w:r w:rsidRPr="00993936">
        <w:rPr>
          <w:rFonts w:ascii="Arial" w:hAnsi="Arial" w:cs="Arial"/>
          <w:lang w:val="es-ES"/>
        </w:rPr>
        <w:t xml:space="preserve">7.1.5 Los riegos se programarán para cada parcela y/o UHC siguiendo métodos técnicamente aceptados. </w:t>
      </w:r>
    </w:p>
    <w:p w:rsidR="00202B3A" w:rsidRPr="00993936" w:rsidRDefault="00202B3A" w:rsidP="001D205D">
      <w:pPr>
        <w:jc w:val="both"/>
        <w:rPr>
          <w:rFonts w:ascii="Arial" w:hAnsi="Arial" w:cs="Arial"/>
          <w:noProof/>
          <w:lang w:val="es-ES"/>
        </w:rPr>
      </w:pPr>
      <w:r w:rsidRPr="00993936">
        <w:rPr>
          <w:rFonts w:ascii="Arial" w:hAnsi="Arial" w:cs="Arial"/>
          <w:noProof/>
          <w:lang w:val="es-ES"/>
        </w:rPr>
        <w:t>7.1.6 Al regar, se evitará la aplicación de aguas que conduzcan a la degradación del suelo por salinización y/o sodificación.</w:t>
      </w:r>
    </w:p>
    <w:p w:rsidR="00202B3A" w:rsidRPr="00993936" w:rsidRDefault="00202B3A" w:rsidP="001D205D">
      <w:pPr>
        <w:pStyle w:val="Textoindependiente"/>
        <w:rPr>
          <w:rFonts w:cs="Arial"/>
          <w:szCs w:val="22"/>
          <w:lang w:val="es-ES"/>
        </w:rPr>
      </w:pPr>
      <w:r w:rsidRPr="00993936">
        <w:rPr>
          <w:rFonts w:cs="Arial"/>
          <w:szCs w:val="22"/>
          <w:lang w:val="es-ES"/>
        </w:rPr>
        <w:t>7.1.7 Para la programación de los riegos, se establecerá un programa que determine los volúmenes de agua a aplicar y los tiempos de riego.</w:t>
      </w:r>
    </w:p>
    <w:p w:rsidR="00202B3A" w:rsidRPr="00993936" w:rsidRDefault="00202B3A" w:rsidP="001D205D">
      <w:pPr>
        <w:jc w:val="both"/>
        <w:rPr>
          <w:rFonts w:ascii="Arial" w:hAnsi="Arial" w:cs="Arial"/>
          <w:lang w:val="es-ES"/>
        </w:rPr>
      </w:pPr>
      <w:r w:rsidRPr="00993936">
        <w:rPr>
          <w:rFonts w:ascii="Arial" w:hAnsi="Arial" w:cs="Arial"/>
          <w:lang w:val="es-ES"/>
        </w:rPr>
        <w:t>7.1.8 Se diseñará un sistema de riego para cada parcela que garantice de manera permanente la conservación del suelo.</w:t>
      </w:r>
    </w:p>
    <w:p w:rsidR="00202B3A" w:rsidRPr="00993936" w:rsidRDefault="00202B3A" w:rsidP="001D205D">
      <w:pPr>
        <w:pStyle w:val="Textoindependiente"/>
        <w:rPr>
          <w:rFonts w:cs="Arial"/>
          <w:szCs w:val="22"/>
          <w:lang w:val="es-ES"/>
        </w:rPr>
      </w:pPr>
      <w:r w:rsidRPr="00993936">
        <w:rPr>
          <w:rFonts w:cs="Arial"/>
          <w:szCs w:val="22"/>
          <w:lang w:val="es-ES"/>
        </w:rPr>
        <w:t>7.1.9 Se utilizarán técnicas de riego que garanticen la máxima eficiencia en el uso del agua y la optimización de los recursos hídricos, evitando las pérdidas de agua, por lo cual se tendrá en cuenta que:</w:t>
      </w:r>
    </w:p>
    <w:p w:rsidR="00202B3A" w:rsidRPr="00993936" w:rsidRDefault="00202B3A" w:rsidP="00202B3A">
      <w:pPr>
        <w:numPr>
          <w:ilvl w:val="0"/>
          <w:numId w:val="13"/>
        </w:numPr>
        <w:spacing w:after="0" w:line="240" w:lineRule="auto"/>
        <w:jc w:val="both"/>
        <w:rPr>
          <w:rFonts w:ascii="Arial" w:hAnsi="Arial" w:cs="Arial"/>
          <w:lang w:val="es-ES"/>
        </w:rPr>
      </w:pPr>
      <w:r w:rsidRPr="00993936">
        <w:rPr>
          <w:rFonts w:ascii="Arial" w:hAnsi="Arial" w:cs="Arial"/>
          <w:lang w:val="es-ES"/>
        </w:rPr>
        <w:t>Las dosis de riego se ajustarán a las necesidades de los cultivos y a la textura y a las características de drenaje del suelo.</w:t>
      </w:r>
    </w:p>
    <w:p w:rsidR="00202B3A" w:rsidRPr="00993936" w:rsidRDefault="00202B3A" w:rsidP="00202B3A">
      <w:pPr>
        <w:numPr>
          <w:ilvl w:val="0"/>
          <w:numId w:val="13"/>
        </w:numPr>
        <w:spacing w:after="0" w:line="240" w:lineRule="auto"/>
        <w:jc w:val="both"/>
        <w:rPr>
          <w:rFonts w:ascii="Arial" w:hAnsi="Arial" w:cs="Arial"/>
          <w:lang w:val="es-ES"/>
        </w:rPr>
      </w:pPr>
      <w:r w:rsidRPr="00993936">
        <w:rPr>
          <w:rFonts w:ascii="Arial" w:hAnsi="Arial" w:cs="Arial"/>
          <w:lang w:val="es-ES"/>
        </w:rPr>
        <w:lastRenderedPageBreak/>
        <w:t>En riego por gravedad o inundación, la longitud de las tablas y su pendiente máxima se establecerán en función del volumen de riego necesario y de las condiciones hidráulicas y de permeabilidad del terreno.</w:t>
      </w:r>
    </w:p>
    <w:p w:rsidR="00202B3A" w:rsidRPr="00993936" w:rsidRDefault="00202B3A" w:rsidP="00202B3A">
      <w:pPr>
        <w:numPr>
          <w:ilvl w:val="0"/>
          <w:numId w:val="13"/>
        </w:numPr>
        <w:spacing w:after="0" w:line="240" w:lineRule="auto"/>
        <w:jc w:val="both"/>
        <w:rPr>
          <w:rFonts w:ascii="Arial" w:hAnsi="Arial" w:cs="Arial"/>
          <w:lang w:val="es-ES"/>
        </w:rPr>
      </w:pPr>
      <w:r w:rsidRPr="00993936">
        <w:rPr>
          <w:rFonts w:ascii="Arial" w:hAnsi="Arial" w:cs="Arial"/>
          <w:lang w:val="es-ES"/>
        </w:rPr>
        <w:t xml:space="preserve">En el riego a presión se justificará que el valor del coeficiente de uniformidad (CU) estará comprendido entre los valores establecidos en función de la separación entre los emisores y la pendiente del terreno. La medida del cálculo del coeficiente de uniformidad se realizará mediante el método de Merrien-Keller (anexo 6). </w:t>
      </w:r>
    </w:p>
    <w:p w:rsidR="00202B3A" w:rsidRPr="00993936" w:rsidRDefault="00202B3A" w:rsidP="00202B3A">
      <w:pPr>
        <w:numPr>
          <w:ilvl w:val="0"/>
          <w:numId w:val="13"/>
        </w:numPr>
        <w:spacing w:after="0" w:line="240" w:lineRule="auto"/>
        <w:jc w:val="both"/>
        <w:rPr>
          <w:rFonts w:ascii="Arial" w:hAnsi="Arial" w:cs="Arial"/>
          <w:noProof/>
          <w:lang w:val="es-ES"/>
        </w:rPr>
      </w:pPr>
      <w:r w:rsidRPr="00993936">
        <w:rPr>
          <w:rFonts w:ascii="Arial" w:hAnsi="Arial" w:cs="Arial"/>
          <w:noProof/>
          <w:lang w:val="es-ES"/>
        </w:rPr>
        <w:t>Mantener en buen estado de conservación los sistemas de distribución del agua.</w:t>
      </w:r>
    </w:p>
    <w:p w:rsidR="00202B3A" w:rsidRPr="00993936" w:rsidRDefault="00202B3A" w:rsidP="00202B3A">
      <w:pPr>
        <w:numPr>
          <w:ilvl w:val="0"/>
          <w:numId w:val="13"/>
        </w:numPr>
        <w:spacing w:after="0" w:line="240" w:lineRule="auto"/>
        <w:jc w:val="both"/>
        <w:rPr>
          <w:rFonts w:ascii="Arial" w:hAnsi="Arial" w:cs="Arial"/>
          <w:noProof/>
          <w:lang w:val="es-ES"/>
        </w:rPr>
      </w:pPr>
      <w:r w:rsidRPr="00993936">
        <w:rPr>
          <w:rFonts w:ascii="Arial" w:hAnsi="Arial" w:cs="Arial"/>
          <w:noProof/>
          <w:lang w:val="es-ES"/>
        </w:rPr>
        <w:t>Registrar el agua de riego aplicada al Cuaderno de explotación. Si no fuera posible, se efectuará una estimación</w:t>
      </w:r>
      <w:r w:rsidRPr="00993936">
        <w:rPr>
          <w:rFonts w:ascii="Arial" w:hAnsi="Arial" w:cs="Arial"/>
          <w:noProof/>
          <w:vanish/>
          <w:lang w:val="es-ES"/>
        </w:rPr>
        <w:t>&lt;A[estimación|estima]&gt;</w:t>
      </w:r>
      <w:r w:rsidRPr="00993936">
        <w:rPr>
          <w:rFonts w:ascii="Arial" w:hAnsi="Arial" w:cs="Arial"/>
          <w:noProof/>
          <w:lang w:val="es-ES"/>
        </w:rPr>
        <w:t>.</w:t>
      </w:r>
    </w:p>
    <w:p w:rsidR="00202B3A" w:rsidRPr="00993936" w:rsidRDefault="00202B3A" w:rsidP="001D205D">
      <w:pPr>
        <w:jc w:val="both"/>
        <w:rPr>
          <w:rFonts w:ascii="Arial" w:hAnsi="Arial" w:cs="Arial"/>
          <w:lang w:val="es-ES"/>
        </w:rPr>
      </w:pPr>
      <w:r w:rsidRPr="00993936">
        <w:rPr>
          <w:rFonts w:ascii="Arial" w:hAnsi="Arial" w:cs="Arial"/>
          <w:lang w:val="es-ES"/>
        </w:rPr>
        <w:t>7.1.10 El agua para el riego se utilizará con criterios de máxima eficiencia. Se deberá utilizar algún método de programación de riegos que permita ajustar las dosis de riego a las necesidades de los cultivos y a la textura y el drenaje del suelo. El agua de riego se distribuirá uniformemente en las parcelas minimizando las pérdidas que se produzcan por percolación y escorrentía</w:t>
      </w:r>
      <w:r w:rsidRPr="00993936">
        <w:rPr>
          <w:rFonts w:ascii="Arial" w:hAnsi="Arial" w:cs="Arial"/>
          <w:vanish/>
          <w:lang w:val="es-ES"/>
        </w:rPr>
        <w:t>&lt;A[vaciado|corriente]&gt;</w:t>
      </w:r>
      <w:r w:rsidRPr="00993936">
        <w:rPr>
          <w:rFonts w:ascii="Arial" w:hAnsi="Arial" w:cs="Arial"/>
          <w:lang w:val="es-ES"/>
        </w:rPr>
        <w:t xml:space="preserve">. </w:t>
      </w:r>
    </w:p>
    <w:p w:rsidR="00202B3A" w:rsidRPr="00993936" w:rsidRDefault="00202B3A" w:rsidP="001D205D">
      <w:pPr>
        <w:jc w:val="both"/>
        <w:rPr>
          <w:rFonts w:ascii="Arial" w:hAnsi="Arial" w:cs="Arial"/>
          <w:lang w:val="es-ES"/>
        </w:rPr>
      </w:pPr>
      <w:r w:rsidRPr="00993936">
        <w:rPr>
          <w:rFonts w:ascii="Arial" w:hAnsi="Arial" w:cs="Arial"/>
          <w:lang w:val="es-ES"/>
        </w:rPr>
        <w:t xml:space="preserve">7.1.11 En los sistemas a presión, hay que alcanzar un coeficiente de uniformidad (CU) superior al 80%. La comprobación de este coeficiente se realizará cada 3 años, en cada sector de riego, de forma que se pueda asegurar el buen funcionamiento de las instalaciones. </w:t>
      </w:r>
    </w:p>
    <w:p w:rsidR="00202B3A" w:rsidRPr="00993936" w:rsidRDefault="00202B3A" w:rsidP="001D205D">
      <w:pPr>
        <w:jc w:val="both"/>
        <w:rPr>
          <w:rFonts w:ascii="Arial" w:hAnsi="Arial" w:cs="Arial"/>
          <w:lang w:val="es-ES"/>
        </w:rPr>
      </w:pPr>
      <w:r w:rsidRPr="00993936">
        <w:rPr>
          <w:rFonts w:ascii="Arial" w:hAnsi="Arial" w:cs="Arial"/>
          <w:lang w:val="es-ES"/>
        </w:rPr>
        <w:t>7.1.12 En el caso del riego superficial, se tiene que exigir una nivelación precisa en el momento de realizar una nueva plantación, a la vez que una adaptación de la sistematización de la superficie a regar a los módulos de riego que se utilicen y a las condiciones de infiltración. En el riego superficial, habrá que conseguir la máxima uniformidad de distribución.</w:t>
      </w:r>
    </w:p>
    <w:p w:rsidR="00202B3A" w:rsidRPr="00993936" w:rsidRDefault="00202B3A" w:rsidP="001D205D">
      <w:pPr>
        <w:jc w:val="both"/>
        <w:outlineLvl w:val="0"/>
        <w:rPr>
          <w:rFonts w:ascii="Arial" w:hAnsi="Arial" w:cs="Arial"/>
          <w:lang w:val="es-ES"/>
        </w:rPr>
      </w:pPr>
      <w:r w:rsidRPr="00993936">
        <w:rPr>
          <w:rFonts w:ascii="Arial" w:hAnsi="Arial" w:cs="Arial"/>
          <w:lang w:val="es-ES"/>
        </w:rPr>
        <w:t xml:space="preserve">7.2 </w:t>
      </w:r>
      <w:r w:rsidRPr="00993936">
        <w:rPr>
          <w:rFonts w:ascii="Arial" w:hAnsi="Arial" w:cs="Arial"/>
          <w:i/>
          <w:lang w:val="es-ES"/>
        </w:rPr>
        <w:t>Prohibiciones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7.2.1 Utilizar aguas caracterizadas por parámetros de calidad inadecuados para el cultivo y para el suelo.</w:t>
      </w:r>
    </w:p>
    <w:p w:rsidR="00202B3A" w:rsidRPr="00993936" w:rsidRDefault="00202B3A" w:rsidP="001D205D">
      <w:pPr>
        <w:jc w:val="both"/>
        <w:rPr>
          <w:rFonts w:ascii="Arial" w:hAnsi="Arial" w:cs="Arial"/>
          <w:noProof/>
          <w:lang w:val="es-ES"/>
        </w:rPr>
      </w:pPr>
      <w:r w:rsidRPr="00993936">
        <w:rPr>
          <w:rFonts w:ascii="Arial" w:hAnsi="Arial" w:cs="Arial"/>
          <w:noProof/>
          <w:lang w:val="es-ES"/>
        </w:rPr>
        <w:t>7.2.2 Utilizar aguas residuales sin depuración previa o aguas que están depuradas, pero superan los parámetros que establece la legislación vigente.</w:t>
      </w:r>
    </w:p>
    <w:p w:rsidR="00202B3A" w:rsidRPr="00993936" w:rsidRDefault="00202B3A" w:rsidP="001D205D">
      <w:pPr>
        <w:jc w:val="both"/>
        <w:rPr>
          <w:rFonts w:ascii="Arial" w:hAnsi="Arial" w:cs="Arial"/>
          <w:lang w:val="es-ES"/>
        </w:rPr>
      </w:pPr>
      <w:r w:rsidRPr="00993936">
        <w:rPr>
          <w:rFonts w:ascii="Arial" w:hAnsi="Arial" w:cs="Arial"/>
          <w:lang w:val="es-ES"/>
        </w:rPr>
        <w:t>7.2.3 El uso de aguas de riego que superen los parámetros siguientes:</w:t>
      </w:r>
    </w:p>
    <w:p w:rsidR="00202B3A" w:rsidRPr="00993936" w:rsidRDefault="00202B3A" w:rsidP="001D205D">
      <w:pPr>
        <w:ind w:left="708"/>
        <w:jc w:val="both"/>
        <w:rPr>
          <w:rFonts w:ascii="Arial" w:hAnsi="Arial" w:cs="Arial"/>
          <w:b/>
          <w:lang w:val="es-ES"/>
        </w:rPr>
      </w:pPr>
      <w:r w:rsidRPr="00993936">
        <w:rPr>
          <w:rFonts w:ascii="Arial" w:hAnsi="Arial" w:cs="Arial"/>
          <w:b/>
          <w:lang w:val="es-ES"/>
        </w:rPr>
        <w:t>Conductividad (CEW)………     3,0 dS/m</w:t>
      </w:r>
    </w:p>
    <w:p w:rsidR="00202B3A" w:rsidRPr="00993936" w:rsidRDefault="00202B3A" w:rsidP="001D205D">
      <w:pPr>
        <w:ind w:left="708"/>
        <w:jc w:val="both"/>
        <w:rPr>
          <w:rFonts w:ascii="Arial" w:hAnsi="Arial" w:cs="Arial"/>
          <w:b/>
          <w:lang w:val="es-ES"/>
        </w:rPr>
      </w:pPr>
      <w:r w:rsidRPr="00993936">
        <w:rPr>
          <w:rFonts w:ascii="Arial" w:hAnsi="Arial" w:cs="Arial"/>
          <w:b/>
          <w:lang w:val="es-ES"/>
        </w:rPr>
        <w:t>RAS...............................     4</w:t>
      </w:r>
    </w:p>
    <w:p w:rsidR="00202B3A" w:rsidRPr="00993936" w:rsidRDefault="00202B3A" w:rsidP="001D205D">
      <w:pPr>
        <w:ind w:left="708"/>
        <w:jc w:val="both"/>
        <w:rPr>
          <w:rFonts w:ascii="Arial" w:hAnsi="Arial" w:cs="Arial"/>
          <w:b/>
          <w:lang w:val="es-ES"/>
        </w:rPr>
      </w:pPr>
      <w:r w:rsidRPr="00993936">
        <w:rPr>
          <w:rFonts w:ascii="Arial" w:hAnsi="Arial" w:cs="Arial"/>
          <w:b/>
          <w:lang w:val="es-ES"/>
        </w:rPr>
        <w:t>Boro................................     2 ppm</w:t>
      </w:r>
    </w:p>
    <w:p w:rsidR="00202B3A" w:rsidRPr="00993936" w:rsidRDefault="00202B3A" w:rsidP="001D205D">
      <w:pPr>
        <w:ind w:left="708"/>
        <w:jc w:val="both"/>
        <w:rPr>
          <w:rFonts w:ascii="Arial" w:hAnsi="Arial" w:cs="Arial"/>
          <w:b/>
          <w:lang w:val="es-ES"/>
        </w:rPr>
      </w:pPr>
      <w:r w:rsidRPr="00993936">
        <w:rPr>
          <w:rFonts w:ascii="Arial" w:hAnsi="Arial" w:cs="Arial"/>
          <w:b/>
          <w:lang w:val="es-ES"/>
        </w:rPr>
        <w:t>Cloruros............................  10 meq/l</w:t>
      </w:r>
    </w:p>
    <w:p w:rsidR="00202B3A" w:rsidRPr="00993936" w:rsidRDefault="00202B3A" w:rsidP="001D205D">
      <w:pPr>
        <w:ind w:left="708"/>
        <w:jc w:val="both"/>
        <w:rPr>
          <w:rFonts w:ascii="Arial" w:hAnsi="Arial" w:cs="Arial"/>
          <w:b/>
          <w:lang w:val="es-ES"/>
        </w:rPr>
      </w:pPr>
      <w:r w:rsidRPr="00993936">
        <w:rPr>
          <w:rFonts w:ascii="Arial" w:hAnsi="Arial" w:cs="Arial"/>
          <w:b/>
          <w:lang w:val="es-ES"/>
        </w:rPr>
        <w:t>Sodio................................    9 meq/l</w:t>
      </w:r>
    </w:p>
    <w:p w:rsidR="00202B3A" w:rsidRPr="00993936" w:rsidRDefault="00202B3A" w:rsidP="001D205D">
      <w:pPr>
        <w:jc w:val="both"/>
        <w:outlineLvl w:val="0"/>
        <w:rPr>
          <w:rFonts w:ascii="Arial" w:hAnsi="Arial" w:cs="Arial"/>
          <w:lang w:val="es-ES"/>
        </w:rPr>
      </w:pPr>
      <w:r w:rsidRPr="00993936">
        <w:rPr>
          <w:rFonts w:ascii="Arial" w:hAnsi="Arial" w:cs="Arial"/>
          <w:lang w:val="es-ES"/>
        </w:rPr>
        <w:t xml:space="preserve">7.3 </w:t>
      </w:r>
      <w:r w:rsidRPr="00993936">
        <w:rPr>
          <w:rFonts w:ascii="Arial" w:hAnsi="Arial" w:cs="Arial"/>
          <w:i/>
          <w:lang w:val="es-ES"/>
        </w:rPr>
        <w:t>Recomendaciones</w:t>
      </w:r>
    </w:p>
    <w:p w:rsidR="00202B3A" w:rsidRPr="00993936" w:rsidRDefault="00202B3A" w:rsidP="001D205D">
      <w:pPr>
        <w:jc w:val="both"/>
        <w:rPr>
          <w:rFonts w:ascii="Arial" w:hAnsi="Arial" w:cs="Arial"/>
          <w:lang w:val="es-ES"/>
        </w:rPr>
      </w:pPr>
      <w:r w:rsidRPr="00993936">
        <w:rPr>
          <w:rFonts w:ascii="Arial" w:hAnsi="Arial" w:cs="Arial"/>
          <w:lang w:val="es-ES"/>
        </w:rPr>
        <w:t xml:space="preserve">7.3.1 Para utilizar el agua para el riego con criterios de máxima eficiencia, se recomienda en los sistemas de riego a presión la instalación de un caudalímetro o algún otro sistema de medida del consumo de agua, como instalar contadores en los </w:t>
      </w:r>
      <w:r w:rsidRPr="00993936">
        <w:rPr>
          <w:rFonts w:ascii="Arial" w:hAnsi="Arial" w:cs="Arial"/>
          <w:lang w:val="es-ES"/>
        </w:rPr>
        <w:lastRenderedPageBreak/>
        <w:t>circuitos a presión o bien contar las horas de riego superficial, que permitan llevar</w:t>
      </w:r>
      <w:r w:rsidRPr="00993936">
        <w:rPr>
          <w:rFonts w:ascii="Arial" w:hAnsi="Arial" w:cs="Arial"/>
          <w:vanish/>
          <w:lang w:val="es-ES"/>
        </w:rPr>
        <w:t>&lt;A[llevar|traer]&gt;</w:t>
      </w:r>
      <w:r w:rsidRPr="00993936">
        <w:rPr>
          <w:rFonts w:ascii="Arial" w:hAnsi="Arial" w:cs="Arial"/>
          <w:lang w:val="es-ES"/>
        </w:rPr>
        <w:t xml:space="preserve"> un control preciso de las dosis de agua y de los momentos de aplicación.</w:t>
      </w:r>
    </w:p>
    <w:p w:rsidR="00202B3A" w:rsidRPr="00993936" w:rsidRDefault="00202B3A" w:rsidP="001D205D">
      <w:pPr>
        <w:jc w:val="both"/>
        <w:rPr>
          <w:rFonts w:ascii="Arial" w:hAnsi="Arial" w:cs="Arial"/>
          <w:noProof/>
          <w:lang w:val="es-ES"/>
        </w:rPr>
      </w:pPr>
      <w:r w:rsidRPr="00993936">
        <w:rPr>
          <w:rFonts w:ascii="Arial" w:hAnsi="Arial" w:cs="Arial"/>
          <w:noProof/>
          <w:lang w:val="es-ES"/>
        </w:rPr>
        <w:t>7.3.2 En riego por gravedad, nivelar con refinadora, preferentemente láser, cada cinco años para garantizar una correcta uniformidad de la distribución del agua.</w:t>
      </w:r>
    </w:p>
    <w:p w:rsidR="00202B3A" w:rsidRPr="00993936" w:rsidRDefault="00202B3A" w:rsidP="001D205D">
      <w:pPr>
        <w:jc w:val="both"/>
        <w:rPr>
          <w:rFonts w:ascii="Arial" w:hAnsi="Arial" w:cs="Arial"/>
          <w:noProof/>
          <w:lang w:val="es-ES"/>
        </w:rPr>
      </w:pPr>
      <w:r w:rsidRPr="00993936">
        <w:rPr>
          <w:rFonts w:ascii="Arial" w:hAnsi="Arial" w:cs="Arial"/>
          <w:noProof/>
          <w:lang w:val="es-ES"/>
        </w:rPr>
        <w:t>7.3.3 Garantizar el suministro de agua fundamentalmente durante el espigado del cereal, dado que en esta época es la que tiene más necesidades.</w:t>
      </w:r>
    </w:p>
    <w:p w:rsidR="00202B3A" w:rsidRPr="00993936" w:rsidRDefault="00202B3A" w:rsidP="001D205D">
      <w:pPr>
        <w:jc w:val="both"/>
        <w:rPr>
          <w:rFonts w:ascii="Arial" w:hAnsi="Arial" w:cs="Arial"/>
          <w:noProof/>
          <w:lang w:val="es-ES"/>
        </w:rPr>
      </w:pPr>
      <w:r w:rsidRPr="00993936">
        <w:rPr>
          <w:rFonts w:ascii="Arial" w:hAnsi="Arial" w:cs="Arial"/>
          <w:noProof/>
          <w:lang w:val="es-ES"/>
        </w:rPr>
        <w:t>7.3.4  Procurar no regar más tarde del estado fenológico de grano lechoso.</w:t>
      </w:r>
    </w:p>
    <w:p w:rsidR="00202B3A" w:rsidRPr="00993936" w:rsidRDefault="00202B3A" w:rsidP="001D205D">
      <w:pPr>
        <w:jc w:val="both"/>
        <w:rPr>
          <w:rFonts w:ascii="Arial" w:hAnsi="Arial" w:cs="Arial"/>
          <w:lang w:val="es-ES"/>
        </w:rPr>
      </w:pPr>
      <w:r w:rsidRPr="00993936">
        <w:rPr>
          <w:rFonts w:ascii="Arial" w:hAnsi="Arial" w:cs="Arial"/>
          <w:lang w:val="es-ES"/>
        </w:rPr>
        <w:t xml:space="preserve">7.3.5 Para evaluar el estado del agua del suelo, se recomienda disponer de algún tipo de control de la humedad del suelo (tensiómetros, sondas u otros). </w:t>
      </w:r>
    </w:p>
    <w:p w:rsidR="00202B3A" w:rsidRPr="00993936" w:rsidRDefault="00202B3A" w:rsidP="001D205D">
      <w:pPr>
        <w:jc w:val="both"/>
        <w:rPr>
          <w:rFonts w:ascii="Arial" w:hAnsi="Arial" w:cs="Arial"/>
          <w:lang w:val="es-ES"/>
        </w:rPr>
      </w:pPr>
      <w:r w:rsidRPr="00993936">
        <w:rPr>
          <w:rFonts w:ascii="Arial" w:hAnsi="Arial" w:cs="Arial"/>
          <w:lang w:val="es-ES"/>
        </w:rPr>
        <w:t>7.3.6 Establecer un plan</w:t>
      </w:r>
      <w:r w:rsidRPr="00993936">
        <w:rPr>
          <w:rFonts w:ascii="Arial" w:hAnsi="Arial" w:cs="Arial"/>
          <w:vanish/>
          <w:lang w:val="es-ES"/>
        </w:rPr>
        <w:t>&lt;A[plan|plano]&gt;</w:t>
      </w:r>
      <w:r w:rsidRPr="00993936">
        <w:rPr>
          <w:rFonts w:ascii="Arial" w:hAnsi="Arial" w:cs="Arial"/>
          <w:lang w:val="es-ES"/>
        </w:rPr>
        <w:t xml:space="preserve"> de gestión del agua que permita optimizar el uso y reducir las pérdidas.</w:t>
      </w:r>
    </w:p>
    <w:p w:rsidR="00202B3A" w:rsidRPr="00993936" w:rsidRDefault="00202B3A" w:rsidP="001D205D">
      <w:pPr>
        <w:pStyle w:val="Ttulo2"/>
        <w:rPr>
          <w:rFonts w:ascii="Arial" w:hAnsi="Arial" w:cs="Arial"/>
          <w:b/>
          <w:color w:val="auto"/>
          <w:sz w:val="22"/>
          <w:szCs w:val="22"/>
          <w:lang w:val="es-ES"/>
        </w:rPr>
      </w:pPr>
      <w:r w:rsidRPr="00993936">
        <w:rPr>
          <w:rFonts w:ascii="Arial" w:hAnsi="Arial" w:cs="Arial"/>
          <w:color w:val="auto"/>
          <w:sz w:val="22"/>
          <w:szCs w:val="22"/>
          <w:lang w:val="es-ES"/>
        </w:rPr>
        <w:t>7.3.7 Evitar el riego por gravedad en suelos de textura arenosa.</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Artículo 8</w:t>
      </w:r>
    </w:p>
    <w:p w:rsidR="00202B3A" w:rsidRPr="00993936" w:rsidRDefault="00202B3A" w:rsidP="001D205D">
      <w:pPr>
        <w:jc w:val="both"/>
        <w:outlineLvl w:val="0"/>
        <w:rPr>
          <w:rFonts w:ascii="Arial" w:hAnsi="Arial" w:cs="Arial"/>
          <w:b/>
          <w:noProof/>
          <w:snapToGrid w:val="0"/>
          <w:lang w:val="es-ES"/>
        </w:rPr>
      </w:pPr>
      <w:r w:rsidRPr="00993936">
        <w:rPr>
          <w:rFonts w:ascii="Arial" w:hAnsi="Arial" w:cs="Arial"/>
          <w:b/>
          <w:noProof/>
          <w:snapToGrid w:val="0"/>
          <w:lang w:val="es-ES"/>
        </w:rPr>
        <w:t>Control de malas hierbas</w:t>
      </w:r>
    </w:p>
    <w:p w:rsidR="00202B3A" w:rsidRPr="00993936" w:rsidRDefault="00202B3A" w:rsidP="001D205D">
      <w:pPr>
        <w:jc w:val="both"/>
        <w:outlineLvl w:val="0"/>
        <w:rPr>
          <w:rFonts w:ascii="Arial" w:hAnsi="Arial" w:cs="Arial"/>
          <w:i/>
          <w:lang w:val="es-ES"/>
        </w:rPr>
      </w:pPr>
      <w:r w:rsidRPr="00993936">
        <w:rPr>
          <w:rFonts w:ascii="Arial" w:hAnsi="Arial" w:cs="Arial"/>
          <w:lang w:val="es-ES"/>
        </w:rPr>
        <w:t xml:space="preserve">8.1 </w:t>
      </w:r>
      <w:r w:rsidRPr="00993936">
        <w:rPr>
          <w:rFonts w:ascii="Arial" w:hAnsi="Arial" w:cs="Arial"/>
          <w:i/>
          <w:lang w:val="es-ES"/>
        </w:rPr>
        <w:t>Obligaciones</w:t>
      </w:r>
    </w:p>
    <w:p w:rsidR="00202B3A" w:rsidRPr="00993936" w:rsidRDefault="00202B3A" w:rsidP="001D205D">
      <w:pPr>
        <w:pStyle w:val="Textoindependiente"/>
        <w:rPr>
          <w:rFonts w:cs="Arial"/>
          <w:noProof/>
          <w:szCs w:val="22"/>
          <w:lang w:val="es-ES"/>
        </w:rPr>
      </w:pPr>
      <w:r w:rsidRPr="00993936">
        <w:rPr>
          <w:rFonts w:cs="Arial"/>
          <w:noProof/>
          <w:szCs w:val="22"/>
          <w:lang w:val="es-ES"/>
        </w:rPr>
        <w:t>8.1.1 En el caso de utilizar herbicidas, no repetir una materia activa más de dos años seguidos.</w:t>
      </w:r>
    </w:p>
    <w:p w:rsidR="00202B3A" w:rsidRPr="00993936" w:rsidRDefault="00202B3A" w:rsidP="001D205D">
      <w:pPr>
        <w:jc w:val="both"/>
        <w:rPr>
          <w:rFonts w:ascii="Arial" w:hAnsi="Arial" w:cs="Arial"/>
          <w:noProof/>
          <w:lang w:val="es-ES"/>
        </w:rPr>
      </w:pPr>
      <w:r w:rsidRPr="00993936">
        <w:rPr>
          <w:rFonts w:ascii="Arial" w:hAnsi="Arial" w:cs="Arial"/>
          <w:noProof/>
          <w:lang w:val="es-ES"/>
        </w:rPr>
        <w:t>8.1.2. Utilizar las materias activas herbicidas de impacto ambiental más favorable.</w:t>
      </w:r>
    </w:p>
    <w:p w:rsidR="00202B3A" w:rsidRPr="00993936" w:rsidRDefault="00202B3A" w:rsidP="001D205D">
      <w:pPr>
        <w:jc w:val="both"/>
        <w:rPr>
          <w:rFonts w:ascii="Arial" w:hAnsi="Arial" w:cs="Arial"/>
          <w:noProof/>
          <w:lang w:val="es-ES"/>
        </w:rPr>
      </w:pPr>
      <w:r w:rsidRPr="00993936">
        <w:rPr>
          <w:rFonts w:ascii="Arial" w:hAnsi="Arial" w:cs="Arial"/>
          <w:lang w:val="es-ES"/>
        </w:rPr>
        <w:t>8.1.3 Controlar las malas hierbas, siempre que sea posible, con medios físicos, mecánicos, biológicos o aquellos que ofrezcan el menor riesgo de emisiones de CO</w:t>
      </w:r>
      <w:r w:rsidRPr="00993936">
        <w:rPr>
          <w:rFonts w:ascii="Arial" w:hAnsi="Arial" w:cs="Arial"/>
          <w:vertAlign w:val="subscript"/>
          <w:lang w:val="es-ES"/>
        </w:rPr>
        <w:t>2</w:t>
      </w:r>
      <w:r w:rsidRPr="00993936">
        <w:rPr>
          <w:rFonts w:ascii="Arial" w:hAnsi="Arial" w:cs="Arial"/>
          <w:lang w:val="es-ES"/>
        </w:rPr>
        <w:t xml:space="preserve">. </w:t>
      </w:r>
      <w:r w:rsidRPr="00993936">
        <w:rPr>
          <w:rFonts w:ascii="Arial" w:hAnsi="Arial" w:cs="Arial"/>
          <w:noProof/>
          <w:lang w:val="es-ES"/>
        </w:rPr>
        <w:t xml:space="preserve">Cuando los medios señalados anteriormente no permitan un control adecuado de las malas hierbas, se podrá justificar la aplicación de alguno de los herbicidas que figuran en el anexo 1 de esta norma. </w:t>
      </w:r>
    </w:p>
    <w:p w:rsidR="00202B3A" w:rsidRPr="00993936" w:rsidRDefault="00202B3A" w:rsidP="001D205D">
      <w:pPr>
        <w:jc w:val="both"/>
        <w:rPr>
          <w:rFonts w:ascii="Arial" w:hAnsi="Arial" w:cs="Arial"/>
          <w:noProof/>
          <w:lang w:val="es-ES"/>
        </w:rPr>
      </w:pPr>
      <w:r w:rsidRPr="00993936">
        <w:rPr>
          <w:rFonts w:ascii="Arial" w:hAnsi="Arial" w:cs="Arial"/>
          <w:noProof/>
          <w:lang w:val="es-ES"/>
        </w:rPr>
        <w:t>Excepcionalmente, cuando</w:t>
      </w:r>
      <w:r w:rsidRPr="00993936">
        <w:rPr>
          <w:rFonts w:ascii="Arial" w:hAnsi="Arial" w:cs="Arial"/>
          <w:noProof/>
          <w:vanish/>
          <w:lang w:val="es-ES"/>
        </w:rPr>
        <w:t>&lt;A[cuando|cuándo]&gt;</w:t>
      </w:r>
      <w:r w:rsidRPr="00993936">
        <w:rPr>
          <w:rFonts w:ascii="Arial" w:hAnsi="Arial" w:cs="Arial"/>
          <w:noProof/>
          <w:lang w:val="es-ES"/>
        </w:rPr>
        <w:t xml:space="preserve"> en el cultivo se detecten malas hierbas que, por no ser habituales, o no haberse definido el umbral y/o criterio mínimo de intervención, se podrá actuar en contra con cualquier otro herbicida que esté expresamente autorizado en el Registro Oficial de Productos y Material Fitosanitario del Ministerio de Agricultura, Pesca, Alimentación y Medio Ambiente (MAPAMA) para</w:t>
      </w:r>
      <w:r w:rsidRPr="00993936">
        <w:rPr>
          <w:rFonts w:ascii="Arial" w:hAnsi="Arial" w:cs="Arial"/>
          <w:noProof/>
          <w:vanish/>
          <w:lang w:val="es-ES"/>
        </w:rPr>
        <w:t>&lt;A[para|por]&gt;</w:t>
      </w:r>
      <w:r w:rsidRPr="00993936">
        <w:rPr>
          <w:rFonts w:ascii="Arial" w:hAnsi="Arial" w:cs="Arial"/>
          <w:noProof/>
          <w:lang w:val="es-ES"/>
        </w:rPr>
        <w:t xml:space="preserve"> este cultivo y para</w:t>
      </w:r>
      <w:r w:rsidRPr="00993936">
        <w:rPr>
          <w:rFonts w:ascii="Arial" w:hAnsi="Arial" w:cs="Arial"/>
          <w:noProof/>
          <w:vanish/>
          <w:lang w:val="es-ES"/>
        </w:rPr>
        <w:t>&lt;A[por|para]&gt;</w:t>
      </w:r>
      <w:r w:rsidRPr="00993936">
        <w:rPr>
          <w:rFonts w:ascii="Arial" w:hAnsi="Arial" w:cs="Arial"/>
          <w:noProof/>
          <w:lang w:val="es-ES"/>
        </w:rPr>
        <w:t xml:space="preserve"> los usos oficialmente autorizados. Esta excepción también será de aplicación para</w:t>
      </w:r>
      <w:r w:rsidRPr="00993936">
        <w:rPr>
          <w:rFonts w:ascii="Arial" w:hAnsi="Arial" w:cs="Arial"/>
          <w:noProof/>
          <w:vanish/>
          <w:lang w:val="es-ES"/>
        </w:rPr>
        <w:t>&lt;A[por|para]&gt;</w:t>
      </w:r>
      <w:r w:rsidRPr="00993936">
        <w:rPr>
          <w:rFonts w:ascii="Arial" w:hAnsi="Arial" w:cs="Arial"/>
          <w:noProof/>
          <w:lang w:val="es-ES"/>
        </w:rPr>
        <w:t xml:space="preserve"> aquellos herbicidas que aparezcan en el Registro, para combatir determinadas malas hierbas y que no estén contempladas por</w:t>
      </w:r>
      <w:r w:rsidRPr="00993936">
        <w:rPr>
          <w:rFonts w:ascii="Arial" w:hAnsi="Arial" w:cs="Arial"/>
          <w:noProof/>
          <w:vanish/>
          <w:lang w:val="es-ES"/>
        </w:rPr>
        <w:t>&lt;A[por|para]&gt;</w:t>
      </w:r>
      <w:r w:rsidRPr="00993936">
        <w:rPr>
          <w:rFonts w:ascii="Arial" w:hAnsi="Arial" w:cs="Arial"/>
          <w:noProof/>
          <w:lang w:val="es-ES"/>
        </w:rPr>
        <w:t xml:space="preserve"> su novedad en el anexo de herbicidas de esta norma.</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Cuando sea necesaria la aplicación de herbicidas, se efectuará mediante las técnicas recomendadas en la etiqueta del producto. </w:t>
      </w:r>
    </w:p>
    <w:p w:rsidR="00202B3A" w:rsidRPr="00993936" w:rsidRDefault="00202B3A" w:rsidP="001D205D">
      <w:pPr>
        <w:pStyle w:val="Textoindependiente"/>
        <w:rPr>
          <w:rFonts w:cs="Arial"/>
          <w:noProof/>
          <w:szCs w:val="22"/>
          <w:lang w:val="es-ES"/>
        </w:rPr>
      </w:pPr>
      <w:r w:rsidRPr="00993936">
        <w:rPr>
          <w:rFonts w:cs="Arial"/>
          <w:noProof/>
          <w:szCs w:val="22"/>
          <w:lang w:val="es-ES"/>
        </w:rPr>
        <w:t xml:space="preserve">8.1.4 Las materias activas a utilizar serán seleccionadas de acuerdo con los criterios de menor peligrosidad para los humanos, la fauna silvestre y el medio ambiente, y que proporcionen un control efectivo de la mala hierba. En cualquier caso, sólo se podrán utilizar los herbicidas inscritos en el Registro Oficial de Productos y de Material </w:t>
      </w:r>
      <w:r w:rsidRPr="00993936">
        <w:rPr>
          <w:rFonts w:cs="Arial"/>
          <w:noProof/>
          <w:szCs w:val="22"/>
          <w:lang w:val="es-ES"/>
        </w:rPr>
        <w:lastRenderedPageBreak/>
        <w:t xml:space="preserve">Fitosanitario del Ministerio </w:t>
      </w:r>
      <w:r w:rsidRPr="00993936">
        <w:rPr>
          <w:rFonts w:cs="Arial"/>
          <w:noProof/>
          <w:lang w:val="es-ES"/>
        </w:rPr>
        <w:t>de Agricultura, Pesca, Alimentación y Medio Ambiente (MAPAMA)</w:t>
      </w:r>
      <w:r w:rsidRPr="00993936">
        <w:rPr>
          <w:rFonts w:cs="Arial"/>
          <w:noProof/>
          <w:szCs w:val="22"/>
          <w:lang w:val="es-ES"/>
        </w:rPr>
        <w:t xml:space="preserve"> y aprobados expresamente para los cultivos autorizados que figuran en el anexo 1.</w:t>
      </w:r>
    </w:p>
    <w:p w:rsidR="00202B3A" w:rsidRPr="00993936" w:rsidRDefault="00202B3A" w:rsidP="001D205D">
      <w:pPr>
        <w:pStyle w:val="Textoindependiente"/>
        <w:rPr>
          <w:rFonts w:cs="Arial"/>
          <w:noProof/>
          <w:szCs w:val="22"/>
          <w:lang w:val="es-ES"/>
        </w:rPr>
      </w:pPr>
      <w:r w:rsidRPr="00993936">
        <w:rPr>
          <w:rFonts w:cs="Arial"/>
          <w:noProof/>
          <w:szCs w:val="22"/>
          <w:lang w:val="es-ES"/>
        </w:rPr>
        <w:t>8.1.5 La maquinaria utilizada para aplicar los productos herbicidas se tiene que mantener en un adecuado estado de funcionamiento y someterse, periódicamente, a los controles que establece el artículo 15 de esta norma.</w:t>
      </w:r>
    </w:p>
    <w:p w:rsidR="00202B3A" w:rsidRPr="00993936" w:rsidRDefault="00202B3A" w:rsidP="001D205D">
      <w:pPr>
        <w:pStyle w:val="Textoindependiente"/>
        <w:rPr>
          <w:rFonts w:cs="Arial"/>
          <w:noProof/>
          <w:szCs w:val="22"/>
          <w:lang w:val="es-ES"/>
        </w:rPr>
      </w:pPr>
      <w:r w:rsidRPr="00993936">
        <w:rPr>
          <w:rFonts w:cs="Arial"/>
          <w:noProof/>
          <w:szCs w:val="22"/>
          <w:lang w:val="es-ES"/>
        </w:rPr>
        <w:t>Los volúmenes máximos de caldo en los tratamientos herbicidas se ajustarán a los parámetros precisos, teniendo en cuenta el estado de desarrollo del cultivo para obtener la máxima eficacia con la menor dosifique.</w:t>
      </w:r>
    </w:p>
    <w:p w:rsidR="00202B3A" w:rsidRPr="00993936" w:rsidRDefault="00202B3A" w:rsidP="001D205D">
      <w:pPr>
        <w:jc w:val="both"/>
        <w:rPr>
          <w:rFonts w:ascii="Arial" w:hAnsi="Arial" w:cs="Arial"/>
          <w:noProof/>
          <w:lang w:val="es-ES"/>
        </w:rPr>
      </w:pPr>
      <w:r w:rsidRPr="00993936">
        <w:rPr>
          <w:rFonts w:ascii="Arial" w:hAnsi="Arial" w:cs="Arial"/>
          <w:noProof/>
          <w:lang w:val="es-ES"/>
        </w:rPr>
        <w:t>8.1.6 Adoptar las medidas precisas para evitar que la deriva de las aplicaciones llegue a parcelas y/o UHC diferentes a las que se pretenden tratar.</w:t>
      </w:r>
    </w:p>
    <w:p w:rsidR="00202B3A" w:rsidRPr="00993936" w:rsidRDefault="00202B3A" w:rsidP="001D205D">
      <w:pPr>
        <w:jc w:val="both"/>
        <w:outlineLvl w:val="0"/>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202B3A" w:rsidRPr="00993936" w:rsidRDefault="00202B3A" w:rsidP="001D205D">
      <w:pPr>
        <w:jc w:val="both"/>
        <w:rPr>
          <w:rFonts w:ascii="Arial" w:hAnsi="Arial" w:cs="Arial"/>
          <w:b/>
          <w:noProof/>
          <w:lang w:val="es-ES"/>
        </w:rPr>
      </w:pPr>
      <w:r w:rsidRPr="00993936">
        <w:rPr>
          <w:rFonts w:ascii="Arial" w:hAnsi="Arial" w:cs="Arial"/>
          <w:noProof/>
          <w:lang w:val="es-ES"/>
        </w:rPr>
        <w:t>8.2.1 Utilizar los herbicidas no relacionados en el anexo 1 de esta norma técnica.</w:t>
      </w:r>
      <w:r w:rsidRPr="00993936">
        <w:rPr>
          <w:rFonts w:ascii="Arial" w:hAnsi="Arial" w:cs="Arial"/>
          <w:b/>
          <w:noProof/>
          <w:lang w:val="es-ES"/>
        </w:rPr>
        <w:t xml:space="preserve"> </w:t>
      </w:r>
    </w:p>
    <w:p w:rsidR="00202B3A" w:rsidRPr="00993936" w:rsidRDefault="00202B3A" w:rsidP="001D205D">
      <w:pPr>
        <w:rPr>
          <w:rFonts w:ascii="Arial" w:hAnsi="Arial" w:cs="Arial"/>
          <w:noProof/>
          <w:lang w:val="es-ES"/>
        </w:rPr>
      </w:pPr>
      <w:r w:rsidRPr="00993936">
        <w:rPr>
          <w:rFonts w:ascii="Arial" w:hAnsi="Arial" w:cs="Arial"/>
          <w:noProof/>
          <w:lang w:val="es-ES"/>
        </w:rPr>
        <w:t>8.2.2 Realizar tratamientos de herbicidas con velocidades de viento superiores al 1,5 m/s.</w:t>
      </w:r>
    </w:p>
    <w:p w:rsidR="00202B3A" w:rsidRPr="00993936" w:rsidRDefault="00202B3A" w:rsidP="001D205D">
      <w:pPr>
        <w:rPr>
          <w:rFonts w:ascii="Arial" w:hAnsi="Arial" w:cs="Arial"/>
          <w:noProof/>
          <w:lang w:val="es-ES"/>
        </w:rPr>
      </w:pPr>
      <w:r w:rsidRPr="00993936">
        <w:rPr>
          <w:rFonts w:ascii="Arial" w:hAnsi="Arial" w:cs="Arial"/>
          <w:noProof/>
          <w:snapToGrid w:val="0"/>
          <w:lang w:val="es-ES"/>
        </w:rPr>
        <w:t xml:space="preserve">8.2.3. </w:t>
      </w:r>
      <w:r w:rsidRPr="00993936">
        <w:rPr>
          <w:rFonts w:ascii="Arial" w:hAnsi="Arial" w:cs="Arial"/>
          <w:noProof/>
          <w:lang w:val="es-ES"/>
        </w:rPr>
        <w:t>La utilización de herbicidas residuales en los suelos arenosos.</w:t>
      </w:r>
    </w:p>
    <w:p w:rsidR="00202B3A" w:rsidRPr="00993936" w:rsidRDefault="00202B3A" w:rsidP="001D205D">
      <w:pPr>
        <w:jc w:val="both"/>
        <w:rPr>
          <w:rFonts w:ascii="Arial" w:hAnsi="Arial" w:cs="Arial"/>
          <w:noProof/>
          <w:lang w:val="es-ES"/>
        </w:rPr>
      </w:pPr>
      <w:r w:rsidRPr="00993936">
        <w:rPr>
          <w:rFonts w:ascii="Arial" w:hAnsi="Arial" w:cs="Arial"/>
          <w:lang w:val="es-ES"/>
        </w:rPr>
        <w:t xml:space="preserve">8.2.4 Utilizar herbicidas a menos de 5 metros de las aguas superficiales. </w:t>
      </w:r>
    </w:p>
    <w:p w:rsidR="00202B3A" w:rsidRPr="00993936" w:rsidRDefault="00202B3A" w:rsidP="001D205D">
      <w:pPr>
        <w:jc w:val="both"/>
        <w:rPr>
          <w:rFonts w:ascii="Arial" w:hAnsi="Arial" w:cs="Arial"/>
          <w:noProof/>
          <w:lang w:val="es-ES"/>
        </w:rPr>
      </w:pPr>
      <w:r w:rsidRPr="00993936">
        <w:rPr>
          <w:rFonts w:ascii="Arial" w:hAnsi="Arial" w:cs="Arial"/>
          <w:noProof/>
          <w:lang w:val="es-ES"/>
        </w:rPr>
        <w:t>8.2.5 Utilizar cualquier herbicida que, a pesar de figurar en el anexo 1 de esta norma, que se haya dado de baja del Registro Oficial de Productos y Material Fitosanitario del Ministerio de Agricultura, Pesca, Alimentación y Medio Ambiente (MAPAMA) con posterioridad a la publicación de la disposición que lo aprueba o que haya perdido la autorización de uso correspondiente.</w:t>
      </w:r>
    </w:p>
    <w:p w:rsidR="00202B3A" w:rsidRPr="00993936" w:rsidRDefault="00202B3A" w:rsidP="001D205D">
      <w:pPr>
        <w:jc w:val="both"/>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8.3.1 El control de malas hierbas se hará preferentemente mediante la adopción de medidas preventivas antes de la implantación del cultivo y la aplicación de métodos mecánicos y físicos mientras dure el cultivo.</w:t>
      </w:r>
    </w:p>
    <w:p w:rsidR="00202B3A" w:rsidRPr="00993936" w:rsidRDefault="00202B3A" w:rsidP="001D205D">
      <w:pPr>
        <w:jc w:val="both"/>
        <w:rPr>
          <w:rFonts w:ascii="Arial" w:hAnsi="Arial" w:cs="Arial"/>
          <w:noProof/>
          <w:lang w:val="es-ES"/>
        </w:rPr>
      </w:pPr>
      <w:r w:rsidRPr="00993936">
        <w:rPr>
          <w:rFonts w:ascii="Arial" w:hAnsi="Arial" w:cs="Arial"/>
          <w:noProof/>
          <w:lang w:val="es-ES"/>
        </w:rPr>
        <w:t>8.3.2. En campos muy infestados de malas hierbas, retrasar al máximo posible la fecha de siembra aprovechando el nacimiento de las malas hierbas para controlarlas.</w:t>
      </w:r>
    </w:p>
    <w:p w:rsidR="00202B3A" w:rsidRPr="00993936" w:rsidRDefault="00202B3A" w:rsidP="001D205D">
      <w:pPr>
        <w:pStyle w:val="Textoindependiente"/>
        <w:rPr>
          <w:rFonts w:cs="Arial"/>
          <w:noProof/>
          <w:szCs w:val="22"/>
          <w:lang w:val="es-ES"/>
        </w:rPr>
      </w:pPr>
      <w:r w:rsidRPr="00993936">
        <w:rPr>
          <w:rFonts w:cs="Arial"/>
          <w:noProof/>
          <w:szCs w:val="22"/>
          <w:lang w:val="es-ES"/>
        </w:rPr>
        <w:t>8.3.3 Si se utilizan herbicidas, la aplicación se hará preferentemente en el momento en que la mala hierba sea más sensible con el fin de utilizar el mínimo de producto posible, y se procurará de combinarlos con métodos mecánicos de control.</w:t>
      </w:r>
    </w:p>
    <w:p w:rsidR="00202B3A" w:rsidRPr="00993936" w:rsidRDefault="00202B3A" w:rsidP="001D205D">
      <w:pPr>
        <w:pStyle w:val="Textoindependiente"/>
        <w:rPr>
          <w:rFonts w:cs="Arial"/>
          <w:noProof/>
          <w:szCs w:val="22"/>
          <w:lang w:val="es-ES"/>
        </w:rPr>
      </w:pPr>
      <w:r w:rsidRPr="00993936">
        <w:rPr>
          <w:rFonts w:cs="Arial"/>
          <w:noProof/>
          <w:szCs w:val="22"/>
          <w:lang w:val="es-ES"/>
        </w:rPr>
        <w:t>8.3.4. Adecuar la dosis de aplicación a la especie de mala hierba que se quiera controlar, al tipo de suelo en que se haga la aplicación y a las condiciones climáticas en que se realice el tratamiento.</w:t>
      </w:r>
    </w:p>
    <w:p w:rsidR="00202B3A" w:rsidRPr="00993936" w:rsidRDefault="00202B3A" w:rsidP="001D205D">
      <w:pPr>
        <w:pStyle w:val="Textoindependiente"/>
        <w:rPr>
          <w:rFonts w:cs="Arial"/>
          <w:noProof/>
          <w:szCs w:val="22"/>
          <w:lang w:val="es-ES"/>
        </w:rPr>
      </w:pPr>
      <w:r w:rsidRPr="00993936">
        <w:rPr>
          <w:rFonts w:cs="Arial"/>
          <w:noProof/>
          <w:szCs w:val="22"/>
          <w:lang w:val="es-ES"/>
        </w:rPr>
        <w:t>8.3.5. Evitar al máximo las mezclas de materias activas herbicidas a fin de no tener disminuciones en la eficacia.</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8.3.6. Alternar el uso de materias activas herbicidas pertenecientes a grupos diferentes de la clasificación HRAC (Comité de Prevención de Resistencias en Herbicidas) tant a menudo como</w:t>
      </w:r>
      <w:r w:rsidRPr="00993936">
        <w:rPr>
          <w:rFonts w:ascii="Arial" w:hAnsi="Arial" w:cs="Arial"/>
          <w:noProof/>
          <w:vanish/>
          <w:lang w:val="es-ES"/>
        </w:rPr>
        <w:t>&lt;A[como|cómo]&gt;</w:t>
      </w:r>
      <w:r w:rsidRPr="00993936">
        <w:rPr>
          <w:rFonts w:ascii="Arial" w:hAnsi="Arial" w:cs="Arial"/>
          <w:noProof/>
          <w:lang w:val="es-ES"/>
        </w:rPr>
        <w:t xml:space="preserve"> se pueda.</w:t>
      </w:r>
    </w:p>
    <w:p w:rsidR="00202B3A" w:rsidRPr="00993936" w:rsidRDefault="00202B3A" w:rsidP="001D205D">
      <w:pPr>
        <w:jc w:val="both"/>
        <w:rPr>
          <w:rFonts w:ascii="Arial" w:hAnsi="Arial" w:cs="Arial"/>
          <w:lang w:val="es-ES"/>
        </w:rPr>
      </w:pPr>
      <w:r w:rsidRPr="00993936">
        <w:rPr>
          <w:rFonts w:ascii="Arial" w:hAnsi="Arial" w:cs="Arial"/>
          <w:noProof/>
          <w:lang w:val="es-ES"/>
        </w:rPr>
        <w:t>8.3.7 Controlar las malas hierbas utilizando técnicas de control integrado.</w:t>
      </w:r>
    </w:p>
    <w:p w:rsidR="00202B3A" w:rsidRPr="00993936" w:rsidRDefault="00202B3A" w:rsidP="001D205D">
      <w:pPr>
        <w:jc w:val="both"/>
        <w:outlineLvl w:val="0"/>
        <w:rPr>
          <w:rFonts w:ascii="Arial" w:hAnsi="Arial" w:cs="Arial"/>
          <w:lang w:val="es-ES"/>
        </w:rPr>
      </w:pPr>
    </w:p>
    <w:p w:rsidR="00202B3A" w:rsidRPr="00993936" w:rsidRDefault="00202B3A" w:rsidP="001D205D">
      <w:pPr>
        <w:jc w:val="both"/>
        <w:outlineLvl w:val="0"/>
        <w:rPr>
          <w:rFonts w:ascii="Arial" w:hAnsi="Arial" w:cs="Arial"/>
          <w:lang w:val="es-ES"/>
        </w:rPr>
      </w:pPr>
      <w:r w:rsidRPr="00993936">
        <w:rPr>
          <w:rFonts w:ascii="Arial" w:hAnsi="Arial" w:cs="Arial"/>
          <w:lang w:val="es-ES"/>
        </w:rPr>
        <w:lastRenderedPageBreak/>
        <w:t>Artículo 9</w:t>
      </w:r>
    </w:p>
    <w:p w:rsidR="00202B3A" w:rsidRPr="00993936" w:rsidRDefault="00202B3A" w:rsidP="001D205D">
      <w:pPr>
        <w:jc w:val="both"/>
        <w:outlineLvl w:val="0"/>
        <w:rPr>
          <w:rFonts w:ascii="Arial" w:hAnsi="Arial" w:cs="Arial"/>
          <w:lang w:val="es-ES"/>
        </w:rPr>
      </w:pPr>
      <w:r w:rsidRPr="00993936">
        <w:rPr>
          <w:rFonts w:ascii="Arial" w:hAnsi="Arial" w:cs="Arial"/>
          <w:b/>
          <w:lang w:val="es-ES"/>
        </w:rPr>
        <w:t xml:space="preserve">Control integrado de plagas y enfermedades </w:t>
      </w:r>
    </w:p>
    <w:p w:rsidR="00202B3A" w:rsidRPr="00993936" w:rsidRDefault="00202B3A" w:rsidP="001D205D">
      <w:pPr>
        <w:jc w:val="both"/>
        <w:outlineLvl w:val="0"/>
        <w:rPr>
          <w:rFonts w:ascii="Arial" w:hAnsi="Arial" w:cs="Arial"/>
          <w:lang w:val="es-ES"/>
        </w:rPr>
      </w:pPr>
      <w:r w:rsidRPr="00993936">
        <w:rPr>
          <w:rFonts w:ascii="Arial" w:hAnsi="Arial" w:cs="Arial"/>
          <w:lang w:val="es-ES"/>
        </w:rPr>
        <w:t xml:space="preserve">9.1 </w:t>
      </w:r>
      <w:r w:rsidRPr="00993936">
        <w:rPr>
          <w:rFonts w:ascii="Arial" w:hAnsi="Arial" w:cs="Arial"/>
          <w:i/>
          <w:lang w:val="es-ES"/>
        </w:rPr>
        <w:t>Obligaciones</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 xml:space="preserve">9.1.1 En el control de plagas y enfermedades, tendrán prioridad los métodos de lucha siguientes: </w:t>
      </w:r>
    </w:p>
    <w:p w:rsidR="00202B3A" w:rsidRPr="00993936" w:rsidRDefault="00202B3A" w:rsidP="00202B3A">
      <w:pPr>
        <w:numPr>
          <w:ilvl w:val="0"/>
          <w:numId w:val="2"/>
        </w:numPr>
        <w:tabs>
          <w:tab w:val="left" w:pos="1065"/>
        </w:tabs>
        <w:autoSpaceDE w:val="0"/>
        <w:autoSpaceDN w:val="0"/>
        <w:adjustRightInd w:val="0"/>
        <w:spacing w:after="0" w:line="240" w:lineRule="auto"/>
        <w:jc w:val="both"/>
        <w:rPr>
          <w:rFonts w:ascii="Arial" w:hAnsi="Arial" w:cs="Arial"/>
          <w:noProof/>
          <w:lang w:val="es-ES"/>
        </w:rPr>
      </w:pPr>
      <w:r w:rsidRPr="00993936">
        <w:rPr>
          <w:rFonts w:ascii="Arial" w:hAnsi="Arial" w:cs="Arial"/>
          <w:noProof/>
          <w:lang w:val="es-ES"/>
        </w:rPr>
        <w:t>Culturales: rotación de cultivos, trabajo del suelo, eliminación de foco de infección, fertilización equilibrada, fecha de siembra y control del riego.</w:t>
      </w:r>
    </w:p>
    <w:p w:rsidR="00202B3A" w:rsidRPr="00993936" w:rsidRDefault="00202B3A" w:rsidP="00202B3A">
      <w:pPr>
        <w:numPr>
          <w:ilvl w:val="0"/>
          <w:numId w:val="2"/>
        </w:numPr>
        <w:tabs>
          <w:tab w:val="left" w:pos="1065"/>
        </w:tabs>
        <w:autoSpaceDE w:val="0"/>
        <w:autoSpaceDN w:val="0"/>
        <w:adjustRightInd w:val="0"/>
        <w:spacing w:after="0" w:line="240" w:lineRule="auto"/>
        <w:jc w:val="both"/>
        <w:rPr>
          <w:rFonts w:ascii="Arial" w:hAnsi="Arial" w:cs="Arial"/>
          <w:noProof/>
          <w:lang w:val="es-ES"/>
        </w:rPr>
      </w:pPr>
      <w:r w:rsidRPr="00993936">
        <w:rPr>
          <w:rFonts w:ascii="Arial" w:hAnsi="Arial" w:cs="Arial"/>
          <w:noProof/>
          <w:lang w:val="es-ES"/>
        </w:rPr>
        <w:t>Biológicos: uso de biopesticidas.</w:t>
      </w:r>
    </w:p>
    <w:p w:rsidR="00202B3A" w:rsidRPr="00993936" w:rsidRDefault="00202B3A" w:rsidP="00202B3A">
      <w:pPr>
        <w:numPr>
          <w:ilvl w:val="0"/>
          <w:numId w:val="2"/>
        </w:numPr>
        <w:tabs>
          <w:tab w:val="left" w:pos="1065"/>
        </w:tabs>
        <w:autoSpaceDE w:val="0"/>
        <w:autoSpaceDN w:val="0"/>
        <w:adjustRightInd w:val="0"/>
        <w:spacing w:after="0" w:line="240" w:lineRule="auto"/>
        <w:jc w:val="both"/>
        <w:rPr>
          <w:rFonts w:ascii="Arial" w:hAnsi="Arial" w:cs="Arial"/>
          <w:noProof/>
          <w:lang w:val="es-ES"/>
        </w:rPr>
      </w:pPr>
      <w:r w:rsidRPr="00993936">
        <w:rPr>
          <w:rFonts w:ascii="Arial" w:hAnsi="Arial" w:cs="Arial"/>
          <w:noProof/>
          <w:lang w:val="es-ES"/>
        </w:rPr>
        <w:t>Biotecnológicos: Atrayentes sexuales para la lucha por</w:t>
      </w:r>
      <w:r w:rsidRPr="00993936">
        <w:rPr>
          <w:rFonts w:ascii="Arial" w:hAnsi="Arial" w:cs="Arial"/>
          <w:noProof/>
          <w:vanish/>
          <w:lang w:val="es-ES"/>
        </w:rPr>
        <w:t>&lt;A[por|para]&gt;</w:t>
      </w:r>
      <w:r w:rsidRPr="00993936">
        <w:rPr>
          <w:rFonts w:ascii="Arial" w:hAnsi="Arial" w:cs="Arial"/>
          <w:noProof/>
          <w:lang w:val="es-ES"/>
        </w:rPr>
        <w:t xml:space="preserve"> confusión sexual y capturas masivas de adultos, o bien el uso de otro tipo de atrayentes.</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La utilización de productos fitosanitarios de síntesis sólo se permitirá cuando no sean aplicables los métodos señalados anteriormente y cuando se superen los niveles de tolerancia que se describen en el punto 9.1.3.</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9.1.2 La estimación</w:t>
      </w:r>
      <w:r w:rsidRPr="00993936">
        <w:rPr>
          <w:rFonts w:ascii="Arial" w:hAnsi="Arial" w:cs="Arial"/>
          <w:noProof/>
          <w:vanish/>
          <w:lang w:val="es-ES"/>
        </w:rPr>
        <w:t>&lt;A[estimación|estima]&gt;</w:t>
      </w:r>
      <w:r w:rsidRPr="00993936">
        <w:rPr>
          <w:rFonts w:ascii="Arial" w:hAnsi="Arial" w:cs="Arial"/>
          <w:noProof/>
          <w:lang w:val="es-ES"/>
        </w:rPr>
        <w:t xml:space="preserve"> del riesgo en cada parcela se hará mediante: </w:t>
      </w:r>
      <w:r w:rsidRPr="00993936">
        <w:rPr>
          <w:rFonts w:ascii="Arial" w:hAnsi="Arial" w:cs="Arial"/>
          <w:i/>
          <w:noProof/>
          <w:lang w:val="es-ES"/>
        </w:rPr>
        <w:t>a)</w:t>
      </w:r>
      <w:r w:rsidRPr="00993936">
        <w:rPr>
          <w:rFonts w:ascii="Arial" w:hAnsi="Arial" w:cs="Arial"/>
          <w:noProof/>
          <w:lang w:val="es-ES"/>
        </w:rPr>
        <w:t xml:space="preserve"> Plagas: evaluaciones de los niveles de población o intensidad de afectación, estado de desarrollo y fauna útil; </w:t>
      </w:r>
      <w:r w:rsidRPr="00993936">
        <w:rPr>
          <w:rFonts w:ascii="Arial" w:hAnsi="Arial" w:cs="Arial"/>
          <w:i/>
          <w:noProof/>
          <w:lang w:val="es-ES"/>
        </w:rPr>
        <w:t>b)</w:t>
      </w:r>
      <w:r w:rsidRPr="00993936">
        <w:rPr>
          <w:rFonts w:ascii="Arial" w:hAnsi="Arial" w:cs="Arial"/>
          <w:noProof/>
          <w:lang w:val="es-ES"/>
        </w:rPr>
        <w:t xml:space="preserve"> Enfermedades: intensidad de afectación mediante evaluación de la cantidad de enfermedad en planta o bien órgano afectado, examinando una muestra por unidad de control; </w:t>
      </w:r>
      <w:r w:rsidRPr="00993936">
        <w:rPr>
          <w:rFonts w:ascii="Arial" w:hAnsi="Arial" w:cs="Arial"/>
          <w:i/>
          <w:noProof/>
          <w:lang w:val="es-ES"/>
        </w:rPr>
        <w:t>c)</w:t>
      </w:r>
      <w:r w:rsidRPr="00993936">
        <w:rPr>
          <w:rFonts w:ascii="Arial" w:hAnsi="Arial" w:cs="Arial"/>
          <w:noProof/>
          <w:lang w:val="es-ES"/>
        </w:rPr>
        <w:t xml:space="preserve"> Antecedentes fitosanitarios del cultivo anterior hechos a partir de un balance de la intensidad de enfermedad al final del ciclo de cultivo o bien del nivel poblacional de los insectos o ácaros que pueden constituir plaga.</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En todos los casos se tendrán en cuenta la fenología del cultivo y las condiciones climáticas.</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9.1.3  La aplicación de medidas directas de control de plagas y enfermedades sólo se efectuará cuando se superen los umbrales definidos en el Anexo 2.3. Cuando la plaga o enfermedad existente en el cultivo no esté descrita en el anexo mencionado, se actuará de acuerdo a lo que se fija el artículo 9.2.9.</w:t>
      </w:r>
    </w:p>
    <w:p w:rsidR="00202B3A" w:rsidRPr="00993936" w:rsidRDefault="00202B3A" w:rsidP="001D205D">
      <w:pPr>
        <w:jc w:val="both"/>
        <w:rPr>
          <w:rFonts w:ascii="Arial" w:hAnsi="Arial" w:cs="Arial"/>
          <w:noProof/>
          <w:lang w:val="es-ES"/>
        </w:rPr>
      </w:pPr>
      <w:r w:rsidRPr="00993936">
        <w:rPr>
          <w:rFonts w:ascii="Arial" w:hAnsi="Arial" w:cs="Arial"/>
          <w:noProof/>
          <w:lang w:val="es-ES"/>
        </w:rPr>
        <w:t>9.1.4 Cuando</w:t>
      </w:r>
      <w:r w:rsidRPr="00993936">
        <w:rPr>
          <w:rFonts w:ascii="Arial" w:hAnsi="Arial" w:cs="Arial"/>
          <w:lang w:val="es-ES"/>
        </w:rPr>
        <w:t xml:space="preserve"> se requiera una intervención química con productos fitosanitarios, las sustancias activas a utilizar serán seleccionadas de acuerdo con los criterios de menor peligrosidad para los humanos, la fauna y el medio ambiente; la efectividad en el control de la plaga, el patógeno o la enfermedad; la selectividad (se tiene que evitar la toxicidad para los polinizadores y los enemigos naturales); los residuos y el riesgo de aparición de poblaciones resistentes. </w:t>
      </w:r>
      <w:r w:rsidRPr="00993936">
        <w:rPr>
          <w:rFonts w:ascii="Arial" w:hAnsi="Arial" w:cs="Arial"/>
          <w:noProof/>
          <w:lang w:val="es-ES"/>
        </w:rPr>
        <w:t>En cualquier caso, sólo se podrán utilizar productos fitosanitarios inscritos en el Registro Oficial de Productos y de Material Fitosanitario del Estado Español y aprobados expresamente para los cultivos y los usos autorizados y de acuerdo con las instrucciones y/o restricciones que figuran en el anexo 2 de esta norma.</w:t>
      </w:r>
    </w:p>
    <w:p w:rsidR="00202B3A" w:rsidRPr="00993936" w:rsidRDefault="00202B3A" w:rsidP="001D205D">
      <w:pPr>
        <w:jc w:val="both"/>
        <w:rPr>
          <w:rFonts w:ascii="Arial" w:hAnsi="Arial" w:cs="Arial"/>
          <w:noProof/>
          <w:lang w:val="es-ES"/>
        </w:rPr>
      </w:pPr>
      <w:r w:rsidRPr="00993936">
        <w:rPr>
          <w:rFonts w:ascii="Arial" w:hAnsi="Arial" w:cs="Arial"/>
          <w:lang w:val="es-ES"/>
        </w:rPr>
        <w:t xml:space="preserve">9.1.5 En el caso de utilizar para el control de plagas y enfermedades formulados comerciales a base de mezclas de sustancias activas, vista la gran cantidad existente, se consideran admitidas en producción integrada de cereales, aunque no estén expresamente definidas en el anexo 2 de esta norma, todas las mezclas de formulados, que incluyan 2 ó más sustancias activas incluidas en el mencionado </w:t>
      </w:r>
      <w:r w:rsidRPr="00993936">
        <w:rPr>
          <w:rFonts w:ascii="Arial" w:hAnsi="Arial" w:cs="Arial"/>
          <w:lang w:val="es-ES"/>
        </w:rPr>
        <w:lastRenderedPageBreak/>
        <w:t xml:space="preserve">anexo, siempre que la mezcla comercial esté autorizada en el </w:t>
      </w:r>
      <w:r w:rsidRPr="00993936">
        <w:rPr>
          <w:rFonts w:ascii="Arial" w:hAnsi="Arial" w:cs="Arial"/>
          <w:noProof/>
          <w:lang w:val="es-ES"/>
        </w:rPr>
        <w:t>Registro Oficial de Productos y Material Fitosanitario por el cultivo y por los usos oficialmente autorizados.</w:t>
      </w:r>
    </w:p>
    <w:p w:rsidR="00202B3A" w:rsidRPr="00993936" w:rsidRDefault="00202B3A" w:rsidP="001D205D">
      <w:pPr>
        <w:jc w:val="both"/>
        <w:rPr>
          <w:rFonts w:ascii="Arial" w:hAnsi="Arial" w:cs="Arial"/>
          <w:noProof/>
          <w:lang w:val="es-ES"/>
        </w:rPr>
      </w:pPr>
      <w:r w:rsidRPr="00993936">
        <w:rPr>
          <w:rFonts w:ascii="Arial" w:hAnsi="Arial" w:cs="Arial"/>
          <w:lang w:val="es-ES"/>
        </w:rPr>
        <w:t>No se podrán utilizar los formulados a base de mezclas de sustancias activas que tengan alguna sustancia no dirigida contra una determinada plaga y/o enfermedad, salvo las ocasiones en que se justifique el tratamiento simultáneo contra varios organismos nocivos.</w:t>
      </w:r>
    </w:p>
    <w:p w:rsidR="00202B3A" w:rsidRPr="00993936" w:rsidRDefault="00202B3A" w:rsidP="001D205D">
      <w:pPr>
        <w:jc w:val="both"/>
        <w:rPr>
          <w:rFonts w:ascii="Arial" w:hAnsi="Arial" w:cs="Arial"/>
          <w:noProof/>
          <w:lang w:val="es-ES"/>
        </w:rPr>
      </w:pPr>
      <w:r w:rsidRPr="00993936">
        <w:rPr>
          <w:rFonts w:ascii="Arial" w:hAnsi="Arial" w:cs="Arial"/>
          <w:noProof/>
          <w:lang w:val="es-ES"/>
        </w:rPr>
        <w:t>9.1.6 Para evitar riesgos a los operarios, a los consumidores y al medio ambiente, el uso y la aplicación de productos fitosanitarios se realizará respetando siempre las indicaciones reflejadas en las etiquetas correspondientes de los productos y siguiendo las recomendaciones y/o instrucciones dictadas por el responsable técnico de producción integrada.</w:t>
      </w:r>
    </w:p>
    <w:p w:rsidR="00202B3A" w:rsidRPr="00993936" w:rsidRDefault="00202B3A" w:rsidP="001D205D">
      <w:pPr>
        <w:jc w:val="both"/>
        <w:rPr>
          <w:rFonts w:ascii="Arial" w:hAnsi="Arial" w:cs="Arial"/>
          <w:lang w:val="es-ES"/>
        </w:rPr>
      </w:pPr>
      <w:r w:rsidRPr="00993936">
        <w:rPr>
          <w:rFonts w:ascii="Arial" w:hAnsi="Arial" w:cs="Arial"/>
          <w:lang w:val="es-ES"/>
        </w:rPr>
        <w:t>9.1.7 Se tendrán que registrar en el Cuaderno de explotación todas las aplicaciones de productos químicos indicando como mínimo la fecha, el producto, sustancia activa, la cantidad y el volumen utilizado, las cuales tendrán que revisarse a posteriori por el técnico responsable de producción integrada y su conformidad figurará en el mencionado Cuaderno.</w:t>
      </w:r>
    </w:p>
    <w:p w:rsidR="00202B3A" w:rsidRPr="00993936" w:rsidRDefault="00202B3A" w:rsidP="001D205D">
      <w:pPr>
        <w:jc w:val="both"/>
        <w:rPr>
          <w:rFonts w:ascii="Arial" w:hAnsi="Arial" w:cs="Arial"/>
          <w:lang w:val="es-ES"/>
        </w:rPr>
      </w:pPr>
      <w:r w:rsidRPr="00993936">
        <w:rPr>
          <w:rFonts w:ascii="Arial" w:hAnsi="Arial" w:cs="Arial"/>
          <w:lang w:val="es-ES"/>
        </w:rPr>
        <w:t>9.1.8 Cuando se mezclen fitosanitarios, habrá que seguir los procedimientos adecuados para el manejo y la carga, según se indique en las instrucciones de la etiqueta del producto.</w:t>
      </w:r>
    </w:p>
    <w:p w:rsidR="00202B3A" w:rsidRPr="00993936" w:rsidRDefault="00202B3A" w:rsidP="001D205D">
      <w:pPr>
        <w:pStyle w:val="Textoindependiente"/>
        <w:rPr>
          <w:rFonts w:cs="Arial"/>
          <w:i/>
          <w:szCs w:val="22"/>
          <w:lang w:val="es-ES"/>
        </w:rPr>
      </w:pPr>
      <w:r w:rsidRPr="00993936">
        <w:rPr>
          <w:rFonts w:cs="Arial"/>
          <w:szCs w:val="22"/>
          <w:lang w:val="es-ES"/>
        </w:rPr>
        <w:t>9.1.9 Con la finalidad de disminuir la contaminación que provenga de los restos de fitosanitarios que quedan en los envases, se realizará un triple lavado. El agua de este lavado se añadirá al tanque de aplicación.</w:t>
      </w:r>
    </w:p>
    <w:p w:rsidR="00202B3A" w:rsidRPr="00993936" w:rsidRDefault="00202B3A" w:rsidP="001D205D">
      <w:pPr>
        <w:pStyle w:val="Textoindependiente"/>
        <w:rPr>
          <w:rFonts w:cs="Arial"/>
          <w:szCs w:val="22"/>
          <w:lang w:val="es-ES"/>
        </w:rPr>
      </w:pPr>
      <w:r w:rsidRPr="00993936">
        <w:rPr>
          <w:rFonts w:cs="Arial"/>
          <w:szCs w:val="22"/>
          <w:lang w:val="es-ES"/>
        </w:rPr>
        <w:t>9.1.10 La presencia de residuos se tiene que minimizar mediante la máxima ampliación posible de los plazos de seguridad.</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9.1.11 Se deberá proteger la fauna auxiliar en general y, en particular, al menos, dos especies</w:t>
      </w:r>
      <w:r w:rsidRPr="00993936">
        <w:rPr>
          <w:rFonts w:ascii="Arial" w:hAnsi="Arial" w:cs="Arial"/>
          <w:noProof/>
          <w:vanish/>
          <w:lang w:val="es-ES"/>
        </w:rPr>
        <w:t>&lt;A[especies|especias]&gt;</w:t>
      </w:r>
      <w:r w:rsidRPr="00993936">
        <w:rPr>
          <w:rFonts w:ascii="Arial" w:hAnsi="Arial" w:cs="Arial"/>
          <w:noProof/>
          <w:lang w:val="es-ES"/>
        </w:rPr>
        <w:t xml:space="preserve"> de las cuales su protección y el aumento de sus poblaciones se considera prioritaria para los cultivos de cereales de invierno.</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Las especies</w:t>
      </w:r>
      <w:r w:rsidRPr="00993936">
        <w:rPr>
          <w:rFonts w:ascii="Arial" w:hAnsi="Arial" w:cs="Arial"/>
          <w:noProof/>
          <w:vanish/>
          <w:lang w:val="es-ES"/>
        </w:rPr>
        <w:t>&lt;A[especies|especias]&gt;</w:t>
      </w:r>
      <w:r w:rsidRPr="00993936">
        <w:rPr>
          <w:rFonts w:ascii="Arial" w:hAnsi="Arial" w:cs="Arial"/>
          <w:noProof/>
          <w:lang w:val="es-ES"/>
        </w:rPr>
        <w:t xml:space="preserve"> de fauna auxiliar que se pueden proteger para los cultivos de cereales de invierno son las siguientes:</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i/>
          <w:noProof/>
          <w:lang w:val="es-ES"/>
        </w:rPr>
        <w:t>Coccinela septempunctata, Scymus sp., Adonia variegata, Orius majusculus, Aphidoletes aphidimyza</w:t>
      </w:r>
      <w:r w:rsidRPr="00993936">
        <w:rPr>
          <w:rFonts w:ascii="Arial" w:hAnsi="Arial" w:cs="Arial"/>
          <w:noProof/>
          <w:lang w:val="es-ES"/>
        </w:rPr>
        <w:t xml:space="preserve"> y</w:t>
      </w:r>
      <w:r w:rsidRPr="00993936">
        <w:rPr>
          <w:rFonts w:ascii="Arial" w:hAnsi="Arial" w:cs="Arial"/>
          <w:i/>
          <w:noProof/>
          <w:lang w:val="es-ES"/>
        </w:rPr>
        <w:t xml:space="preserve"> Aphidiidae.</w:t>
      </w:r>
    </w:p>
    <w:p w:rsidR="00202B3A" w:rsidRPr="00993936" w:rsidRDefault="00202B3A" w:rsidP="001D205D">
      <w:pPr>
        <w:pStyle w:val="Textoindependiente"/>
        <w:autoSpaceDE w:val="0"/>
        <w:autoSpaceDN w:val="0"/>
        <w:adjustRightInd w:val="0"/>
        <w:rPr>
          <w:rFonts w:cs="Arial"/>
          <w:noProof/>
          <w:szCs w:val="22"/>
          <w:lang w:val="es-ES"/>
        </w:rPr>
      </w:pPr>
      <w:r w:rsidRPr="00993936">
        <w:rPr>
          <w:rFonts w:cs="Arial"/>
          <w:noProof/>
          <w:szCs w:val="22"/>
          <w:lang w:val="es-ES"/>
        </w:rPr>
        <w:t>9.1.12 El aplicador de productos fitosanitarios deberá estar cualificado</w:t>
      </w:r>
      <w:r w:rsidRPr="00993936">
        <w:rPr>
          <w:rFonts w:cs="Arial"/>
          <w:noProof/>
          <w:vanish/>
          <w:szCs w:val="22"/>
          <w:lang w:val="es-ES"/>
        </w:rPr>
        <w:t>&lt;A[cualificado|calificado]&gt;</w:t>
      </w:r>
      <w:r w:rsidRPr="00993936">
        <w:rPr>
          <w:rFonts w:cs="Arial"/>
          <w:noProof/>
          <w:szCs w:val="22"/>
          <w:lang w:val="es-ES"/>
        </w:rPr>
        <w:t xml:space="preserve"> específicamente, por</w:t>
      </w:r>
      <w:r w:rsidRPr="00993936">
        <w:rPr>
          <w:rFonts w:cs="Arial"/>
          <w:noProof/>
          <w:vanish/>
          <w:szCs w:val="22"/>
          <w:lang w:val="es-ES"/>
        </w:rPr>
        <w:t>&lt;A[por|para]&gt;</w:t>
      </w:r>
      <w:r w:rsidRPr="00993936">
        <w:rPr>
          <w:rFonts w:cs="Arial"/>
          <w:noProof/>
          <w:szCs w:val="22"/>
          <w:lang w:val="es-ES"/>
        </w:rPr>
        <w:t xml:space="preserve"> lo cual deberá justificar que dispone de la acreditación del carné básico de aplicador de productos fitosanitarios o el carné cualificado</w:t>
      </w:r>
      <w:r w:rsidRPr="00993936">
        <w:rPr>
          <w:rFonts w:cs="Arial"/>
          <w:noProof/>
          <w:vanish/>
          <w:szCs w:val="22"/>
          <w:lang w:val="es-ES"/>
        </w:rPr>
        <w:t>&lt;A[calificado|cualificado]&gt;</w:t>
      </w:r>
      <w:r w:rsidRPr="00993936">
        <w:rPr>
          <w:rFonts w:cs="Arial"/>
          <w:noProof/>
          <w:szCs w:val="22"/>
          <w:lang w:val="es-ES"/>
        </w:rPr>
        <w:t xml:space="preserve"> en caso de ser obligatorio de acuerdo con lo que establece el RD 1311/2012.</w:t>
      </w:r>
    </w:p>
    <w:p w:rsidR="00202B3A" w:rsidRPr="00993936" w:rsidRDefault="00202B3A" w:rsidP="001D205D">
      <w:pPr>
        <w:pStyle w:val="Textoindependiente"/>
        <w:autoSpaceDE w:val="0"/>
        <w:autoSpaceDN w:val="0"/>
        <w:adjustRightInd w:val="0"/>
        <w:rPr>
          <w:rFonts w:cs="Arial"/>
          <w:noProof/>
          <w:szCs w:val="22"/>
          <w:lang w:val="es-ES"/>
        </w:rPr>
      </w:pPr>
      <w:r w:rsidRPr="00993936">
        <w:rPr>
          <w:rFonts w:cs="Arial"/>
          <w:noProof/>
          <w:szCs w:val="22"/>
          <w:lang w:val="es-ES"/>
        </w:rPr>
        <w:t xml:space="preserve">9.1.13 La maquinaria utilizada para aplicar los productos fitosanitarios se tiene que mantener en un adecuado estado de funcionamiento y someterse, periódicamente, a los controles e inspecciones que establece el artículo 16 de esta norma. </w:t>
      </w:r>
    </w:p>
    <w:p w:rsidR="00202B3A" w:rsidRPr="00993936" w:rsidRDefault="00202B3A" w:rsidP="001D205D">
      <w:pPr>
        <w:pStyle w:val="NormalWeb"/>
        <w:spacing w:after="0"/>
        <w:jc w:val="both"/>
        <w:rPr>
          <w:rFonts w:ascii="Arial" w:hAnsi="Arial" w:cs="Arial"/>
          <w:noProof/>
          <w:sz w:val="22"/>
          <w:szCs w:val="22"/>
          <w:lang w:val="es-ES"/>
        </w:rPr>
      </w:pPr>
      <w:r w:rsidRPr="00993936">
        <w:rPr>
          <w:rFonts w:ascii="Arial" w:hAnsi="Arial" w:cs="Arial"/>
          <w:sz w:val="22"/>
          <w:szCs w:val="22"/>
          <w:lang w:val="es-ES"/>
        </w:rPr>
        <w:t xml:space="preserve">9.1.14 En caso de tratamientos fitosanitarios y con la finalidad de obtener la máxima eficacia con la menor dosis, se tienen que ajustar las concentraciones de los productos, los volúmenes máximos de caldo y el caudal de aire, con el objetivo de evitar las sobredosificaciones y procurar que las aplicaciones no lleguen a una parcela </w:t>
      </w:r>
      <w:r w:rsidRPr="00993936">
        <w:rPr>
          <w:rFonts w:ascii="Arial" w:hAnsi="Arial" w:cs="Arial"/>
          <w:sz w:val="22"/>
          <w:szCs w:val="22"/>
          <w:lang w:val="es-ES"/>
        </w:rPr>
        <w:lastRenderedPageBreak/>
        <w:t>y/o UHC diferente de la que se pretende tratar, y tener en cuenta el estado fenológico del cultivo.</w:t>
      </w:r>
      <w:r w:rsidRPr="00993936">
        <w:rPr>
          <w:rFonts w:ascii="Arial" w:hAnsi="Arial" w:cs="Arial"/>
          <w:noProof/>
          <w:sz w:val="22"/>
          <w:szCs w:val="22"/>
          <w:lang w:val="es-ES"/>
        </w:rPr>
        <w:t xml:space="preserve">   </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9.1.15 Reducir el área tratada a foco o rodales con tratamientos químicos siempre que la plaga o enfermedad se encuentre lo bastante localizada y sea posible.</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9.1.16 Los volúmenes máximos de caldo en los tratamientos fitosanitarios se ajustarán a parámetros precisos, teniendo en cuenta el estado fenológico del cultivo con el fin de obtener la máxima eficacia con la menor dosifique recomendada por el Registro Oficial de Productos y Material Fitosanitario.</w:t>
      </w:r>
    </w:p>
    <w:p w:rsidR="00202B3A" w:rsidRPr="00993936" w:rsidRDefault="00202B3A" w:rsidP="001D205D">
      <w:pPr>
        <w:pStyle w:val="Estndar"/>
        <w:autoSpaceDE w:val="0"/>
        <w:autoSpaceDN w:val="0"/>
        <w:adjustRightInd w:val="0"/>
        <w:rPr>
          <w:rFonts w:ascii="Arial" w:hAnsi="Arial" w:cs="Arial"/>
          <w:noProof/>
          <w:snapToGrid/>
          <w:color w:val="auto"/>
          <w:szCs w:val="22"/>
        </w:rPr>
      </w:pPr>
      <w:r w:rsidRPr="00993936">
        <w:rPr>
          <w:rFonts w:ascii="Arial" w:hAnsi="Arial" w:cs="Arial"/>
          <w:noProof/>
          <w:snapToGrid/>
          <w:color w:val="auto"/>
          <w:szCs w:val="22"/>
        </w:rPr>
        <w:t>Además de las normas aquí establecidas, en todo caso se tendrán en cuenta para todos los cultivos los "Principios de buenas prácticas fitosanitarias" establecidas por la Organización Europea y Mediterráneo para la Protección de las Plantas (OEPP/EPPO) y las Directivas de esta organización referentes a la buena práctica fitosanitaria específicas para cada cultivo cuando</w:t>
      </w:r>
      <w:r w:rsidRPr="00993936">
        <w:rPr>
          <w:rFonts w:ascii="Arial" w:hAnsi="Arial" w:cs="Arial"/>
          <w:noProof/>
          <w:snapToGrid/>
          <w:vanish/>
          <w:color w:val="auto"/>
          <w:szCs w:val="22"/>
        </w:rPr>
        <w:t>&lt;A[cuando|cuándo]&gt;</w:t>
      </w:r>
      <w:r w:rsidRPr="00993936">
        <w:rPr>
          <w:rFonts w:ascii="Arial" w:hAnsi="Arial" w:cs="Arial"/>
          <w:noProof/>
          <w:snapToGrid/>
          <w:color w:val="auto"/>
          <w:szCs w:val="22"/>
        </w:rPr>
        <w:t xml:space="preserve"> estas Directivas lo exijan.</w:t>
      </w:r>
    </w:p>
    <w:p w:rsidR="00202B3A" w:rsidRPr="00993936" w:rsidRDefault="00202B3A" w:rsidP="001D205D">
      <w:pPr>
        <w:jc w:val="both"/>
        <w:outlineLvl w:val="0"/>
        <w:rPr>
          <w:rFonts w:ascii="Arial" w:hAnsi="Arial" w:cs="Arial"/>
          <w:lang w:val="es-ES"/>
        </w:rPr>
      </w:pPr>
      <w:r w:rsidRPr="00993936">
        <w:rPr>
          <w:rFonts w:ascii="Arial" w:hAnsi="Arial" w:cs="Arial"/>
          <w:lang w:val="es-ES"/>
        </w:rPr>
        <w:t xml:space="preserve">9.2 </w:t>
      </w:r>
      <w:r w:rsidRPr="00993936">
        <w:rPr>
          <w:rFonts w:ascii="Arial" w:hAnsi="Arial" w:cs="Arial"/>
          <w:i/>
          <w:lang w:val="es-ES"/>
        </w:rPr>
        <w:t>Prohibiciones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9.2.1 Realizar liberaciones de enemigos naturales no presentes en la fauna española, o cuya introducción esté prohibida por</w:t>
      </w:r>
      <w:r w:rsidRPr="00993936">
        <w:rPr>
          <w:rFonts w:ascii="Arial" w:hAnsi="Arial" w:cs="Arial"/>
          <w:noProof/>
          <w:vanish/>
          <w:lang w:val="es-ES"/>
        </w:rPr>
        <w:t>&lt;A[por|para]&gt;</w:t>
      </w:r>
      <w:r w:rsidRPr="00993936">
        <w:rPr>
          <w:rFonts w:ascii="Arial" w:hAnsi="Arial" w:cs="Arial"/>
          <w:noProof/>
          <w:lang w:val="es-ES"/>
        </w:rPr>
        <w:t xml:space="preserve"> la legislación correspondiente, salvo autorización expresa de la dirección general competente en materia de agricultura.</w:t>
      </w:r>
    </w:p>
    <w:p w:rsidR="00202B3A" w:rsidRPr="00993936" w:rsidRDefault="00202B3A" w:rsidP="001D205D">
      <w:pPr>
        <w:jc w:val="both"/>
        <w:rPr>
          <w:rFonts w:ascii="Arial" w:hAnsi="Arial" w:cs="Arial"/>
          <w:noProof/>
          <w:lang w:val="es-ES"/>
        </w:rPr>
      </w:pPr>
      <w:r w:rsidRPr="00993936">
        <w:rPr>
          <w:rFonts w:ascii="Arial" w:hAnsi="Arial" w:cs="Arial"/>
          <w:noProof/>
          <w:lang w:val="es-ES"/>
        </w:rPr>
        <w:t>9.2.2 Utilizar calendarios de tratamientos y realizar aplicaciones indiscriminadas sin la prescripción técnica.</w:t>
      </w:r>
    </w:p>
    <w:p w:rsidR="00202B3A" w:rsidRPr="00993936" w:rsidRDefault="00202B3A" w:rsidP="001D205D">
      <w:pPr>
        <w:jc w:val="both"/>
        <w:rPr>
          <w:rFonts w:ascii="Arial" w:hAnsi="Arial" w:cs="Arial"/>
          <w:noProof/>
          <w:lang w:val="es-ES"/>
        </w:rPr>
      </w:pPr>
      <w:r w:rsidRPr="00993936">
        <w:rPr>
          <w:rFonts w:ascii="Arial" w:hAnsi="Arial" w:cs="Arial"/>
          <w:noProof/>
          <w:lang w:val="es-ES"/>
        </w:rPr>
        <w:t>9.2.3 Abandonar el control fitosanitario antes de finalizar el periodo vegetativo del cultivo, excepto en casos de bastante mayor reconocidos por la dirección general competente en materia de agricultura.</w:t>
      </w:r>
    </w:p>
    <w:p w:rsidR="00202B3A" w:rsidRPr="00993936" w:rsidRDefault="00202B3A" w:rsidP="001D205D">
      <w:pPr>
        <w:pStyle w:val="Textoindependiente"/>
        <w:rPr>
          <w:rFonts w:cs="Arial"/>
          <w:szCs w:val="22"/>
          <w:lang w:val="es-ES"/>
        </w:rPr>
      </w:pPr>
      <w:r w:rsidRPr="00993936">
        <w:rPr>
          <w:rFonts w:cs="Arial"/>
          <w:szCs w:val="22"/>
          <w:lang w:val="es-ES"/>
        </w:rPr>
        <w:t>9.2.4 Utilizar de manera sistemática y reiterada, productos fitosanitarios no selectivos, de larga persistencia, alta volatilidad, lixiviables o con otras características negativas.</w:t>
      </w:r>
    </w:p>
    <w:p w:rsidR="00202B3A" w:rsidRPr="00993936" w:rsidRDefault="00202B3A" w:rsidP="001D205D">
      <w:pPr>
        <w:jc w:val="both"/>
        <w:rPr>
          <w:rFonts w:ascii="Arial" w:hAnsi="Arial" w:cs="Arial"/>
          <w:noProof/>
          <w:lang w:val="es-ES"/>
        </w:rPr>
      </w:pPr>
      <w:r w:rsidRPr="00993936">
        <w:rPr>
          <w:rFonts w:ascii="Arial" w:hAnsi="Arial" w:cs="Arial"/>
          <w:lang w:val="es-ES"/>
        </w:rPr>
        <w:t xml:space="preserve">9.2.5 Utilizar productos fitosanitarios a menos de 5 metros de las aguas superficiales. </w:t>
      </w:r>
      <w:r w:rsidRPr="00993936">
        <w:rPr>
          <w:rFonts w:ascii="Arial" w:hAnsi="Arial" w:cs="Arial"/>
          <w:noProof/>
          <w:lang w:val="es-ES"/>
        </w:rPr>
        <w:t>9.2.6 Realizar aplicaciones de productos fitosanitarios en condiciones meteorológicamente desfavorables para evitar la deriva de los productos.</w:t>
      </w:r>
    </w:p>
    <w:p w:rsidR="00202B3A" w:rsidRPr="00993936" w:rsidRDefault="00202B3A" w:rsidP="001D205D">
      <w:pPr>
        <w:pStyle w:val="Textoindependiente"/>
        <w:rPr>
          <w:rFonts w:cs="Arial"/>
          <w:szCs w:val="22"/>
          <w:lang w:val="es-ES"/>
        </w:rPr>
      </w:pPr>
      <w:r w:rsidRPr="00993936">
        <w:rPr>
          <w:rFonts w:cs="Arial"/>
          <w:szCs w:val="22"/>
          <w:lang w:val="es-ES"/>
        </w:rPr>
        <w:t>9.2.7 El vertido</w:t>
      </w:r>
      <w:r w:rsidRPr="00993936">
        <w:rPr>
          <w:rFonts w:cs="Arial"/>
          <w:vanish/>
          <w:szCs w:val="22"/>
          <w:lang w:val="es-ES"/>
        </w:rPr>
        <w:t>&lt;A[derrame|vertido]&gt;</w:t>
      </w:r>
      <w:r w:rsidRPr="00993936">
        <w:rPr>
          <w:rFonts w:cs="Arial"/>
          <w:szCs w:val="22"/>
          <w:lang w:val="es-ES"/>
        </w:rPr>
        <w:t>, al agua y/o en zonas muy próximas, de productos agroquímicos sobrantes y de los líquidos procedentes de la limpieza de la maquinaria de tratamientos.</w:t>
      </w:r>
    </w:p>
    <w:p w:rsidR="00202B3A" w:rsidRPr="00993936" w:rsidRDefault="00202B3A" w:rsidP="001D205D">
      <w:pPr>
        <w:jc w:val="both"/>
        <w:rPr>
          <w:rFonts w:ascii="Arial" w:hAnsi="Arial" w:cs="Arial"/>
          <w:noProof/>
          <w:lang w:val="es-ES"/>
        </w:rPr>
      </w:pPr>
      <w:r w:rsidRPr="00993936">
        <w:rPr>
          <w:rFonts w:ascii="Arial" w:hAnsi="Arial" w:cs="Arial"/>
          <w:noProof/>
          <w:lang w:val="es-ES"/>
        </w:rPr>
        <w:t>9.2.8 Utilizar cualquier producto autorizado por estas normas técnicas que sea dado de baja del Registro Oficial de Productos y Material Fitosanitario del Ministerio de Agricultura, Pesca, Alimentación y Medio Ambiente (MAPAMA) con posterioridad en la publicación de la disposición que lo aprueba o que haya perdido la autorización de uso correspondiente..</w:t>
      </w:r>
    </w:p>
    <w:p w:rsidR="00202B3A" w:rsidRPr="00993936" w:rsidRDefault="00202B3A" w:rsidP="001D205D">
      <w:pPr>
        <w:jc w:val="both"/>
        <w:rPr>
          <w:rFonts w:ascii="Arial" w:hAnsi="Arial" w:cs="Arial"/>
          <w:noProof/>
          <w:lang w:val="es-ES"/>
        </w:rPr>
      </w:pPr>
      <w:r w:rsidRPr="00993936">
        <w:rPr>
          <w:rFonts w:ascii="Arial" w:hAnsi="Arial" w:cs="Arial"/>
          <w:lang w:val="es-ES"/>
        </w:rPr>
        <w:t xml:space="preserve">9.2.9 Utilizar materias activas no incluidas en el anexo 2 de esta norma técnica. </w:t>
      </w:r>
      <w:r w:rsidRPr="00993936">
        <w:rPr>
          <w:rFonts w:ascii="Arial" w:hAnsi="Arial" w:cs="Arial"/>
          <w:noProof/>
          <w:lang w:val="es-ES"/>
        </w:rPr>
        <w:t>Esta prohibición no es de aplicación en las materias activas que tengan una autorización de uso excepcional vigente o a las que aparezcan al Registro Oficial de Productos y Material Fitosanitario, autorizadas para combatir determinadas plagas y/o enfermedades, que no estén contempladas por su novedad en los anexos de fitosanitarios de esta norma.</w:t>
      </w:r>
    </w:p>
    <w:p w:rsidR="00202B3A" w:rsidRPr="00993936" w:rsidRDefault="00202B3A" w:rsidP="001D205D">
      <w:pPr>
        <w:jc w:val="both"/>
        <w:rPr>
          <w:rFonts w:ascii="Arial" w:hAnsi="Arial" w:cs="Arial"/>
          <w:noProof/>
          <w:lang w:val="es-ES"/>
        </w:rPr>
      </w:pPr>
      <w:r w:rsidRPr="00993936">
        <w:rPr>
          <w:rFonts w:ascii="Arial" w:hAnsi="Arial" w:cs="Arial"/>
          <w:noProof/>
          <w:lang w:val="es-ES"/>
        </w:rPr>
        <w:t>Excepcionalmente, cuando</w:t>
      </w:r>
      <w:r w:rsidRPr="00993936">
        <w:rPr>
          <w:rFonts w:ascii="Arial" w:hAnsi="Arial" w:cs="Arial"/>
          <w:noProof/>
          <w:vanish/>
          <w:lang w:val="es-ES"/>
        </w:rPr>
        <w:t>&lt;A[cuando|cuándo]&gt;</w:t>
      </w:r>
      <w:r w:rsidRPr="00993936">
        <w:rPr>
          <w:rFonts w:ascii="Arial" w:hAnsi="Arial" w:cs="Arial"/>
          <w:noProof/>
          <w:lang w:val="es-ES"/>
        </w:rPr>
        <w:t xml:space="preserve"> en el cultivo se detecten plagas, que, por no ser habituales, no están reflejadas en el anexo 2 de esta norma, o no se haya </w:t>
      </w:r>
      <w:r w:rsidRPr="00993936">
        <w:rPr>
          <w:rFonts w:ascii="Arial" w:hAnsi="Arial" w:cs="Arial"/>
          <w:noProof/>
          <w:lang w:val="es-ES"/>
        </w:rPr>
        <w:lastRenderedPageBreak/>
        <w:t>definido el umbral y/o criterio mínimo de intervención, se podrá actuar en contra con cualquier otro fitosanitario que esté expresamente autorizado en el Registro Oficial de Productos y Material Fitosanitario del Ministerio de Agricultura, Pesca, Alimentación y Medio Ambiente (MAPAMA) para</w:t>
      </w:r>
      <w:r w:rsidRPr="00993936">
        <w:rPr>
          <w:rFonts w:ascii="Arial" w:hAnsi="Arial" w:cs="Arial"/>
          <w:noProof/>
          <w:vanish/>
          <w:lang w:val="es-ES"/>
        </w:rPr>
        <w:t>&lt;A[para|por]&gt;</w:t>
      </w:r>
      <w:r w:rsidRPr="00993936">
        <w:rPr>
          <w:rFonts w:ascii="Arial" w:hAnsi="Arial" w:cs="Arial"/>
          <w:noProof/>
          <w:lang w:val="es-ES"/>
        </w:rPr>
        <w:t xml:space="preserve"> este cultivo y para</w:t>
      </w:r>
      <w:r w:rsidRPr="00993936">
        <w:rPr>
          <w:rFonts w:ascii="Arial" w:hAnsi="Arial" w:cs="Arial"/>
          <w:noProof/>
          <w:vanish/>
          <w:lang w:val="es-ES"/>
        </w:rPr>
        <w:t>&lt;A[por|para]&gt;</w:t>
      </w:r>
      <w:r w:rsidRPr="00993936">
        <w:rPr>
          <w:rFonts w:ascii="Arial" w:hAnsi="Arial" w:cs="Arial"/>
          <w:noProof/>
          <w:lang w:val="es-ES"/>
        </w:rPr>
        <w:t xml:space="preserve"> los usos oficialmente autorizados. </w:t>
      </w:r>
    </w:p>
    <w:p w:rsidR="00202B3A" w:rsidRPr="00993936" w:rsidRDefault="00202B3A" w:rsidP="001D205D">
      <w:pPr>
        <w:jc w:val="both"/>
        <w:rPr>
          <w:rFonts w:ascii="Arial" w:hAnsi="Arial" w:cs="Arial"/>
          <w:lang w:val="es-ES"/>
        </w:rPr>
      </w:pPr>
      <w:r w:rsidRPr="00993936">
        <w:rPr>
          <w:rFonts w:ascii="Arial" w:hAnsi="Arial" w:cs="Arial"/>
          <w:lang w:val="es-ES"/>
        </w:rPr>
        <w:t xml:space="preserve">9.2.10 Aplicar productos fitosanitarios de perfil toxicológico T+ (muy tóxico) o que en su clasificación y etiquetado presenten frases de riesgo con un perfil muy tóxico o mortales para la salud humana. </w:t>
      </w:r>
    </w:p>
    <w:p w:rsidR="00202B3A" w:rsidRPr="00993936" w:rsidRDefault="00202B3A" w:rsidP="001D205D">
      <w:pPr>
        <w:jc w:val="both"/>
        <w:rPr>
          <w:rFonts w:ascii="Arial" w:hAnsi="Arial" w:cs="Arial"/>
          <w:lang w:val="es-ES"/>
        </w:rPr>
      </w:pPr>
      <w:r w:rsidRPr="00993936">
        <w:rPr>
          <w:rFonts w:ascii="Arial" w:hAnsi="Arial" w:cs="Arial"/>
          <w:lang w:val="es-ES"/>
        </w:rPr>
        <w:t>9.2.11 Aplicar productos fitosanitarios a menos de 50 metros de captaciones de agua de consumo humano.</w:t>
      </w:r>
    </w:p>
    <w:p w:rsidR="00202B3A" w:rsidRPr="00993936" w:rsidRDefault="00202B3A" w:rsidP="001D205D">
      <w:pPr>
        <w:pStyle w:val="Textoindependiente"/>
        <w:rPr>
          <w:rFonts w:cs="Arial"/>
          <w:noProof/>
          <w:szCs w:val="22"/>
          <w:lang w:val="es-ES"/>
        </w:rPr>
      </w:pPr>
      <w:r w:rsidRPr="00993936">
        <w:rPr>
          <w:rFonts w:cs="Arial"/>
          <w:noProof/>
          <w:szCs w:val="22"/>
          <w:lang w:val="es-ES"/>
        </w:rPr>
        <w:t>9.2.12 Hacer tratamientos insecticidas o fungicidas después del estado fenológico del cereal de grano lechoso.</w:t>
      </w:r>
    </w:p>
    <w:p w:rsidR="00202B3A" w:rsidRPr="00993936" w:rsidRDefault="00202B3A" w:rsidP="001D205D">
      <w:pPr>
        <w:jc w:val="both"/>
        <w:rPr>
          <w:rFonts w:ascii="Arial" w:hAnsi="Arial" w:cs="Arial"/>
          <w:lang w:val="es-ES"/>
        </w:rPr>
      </w:pPr>
      <w:r w:rsidRPr="00993936">
        <w:rPr>
          <w:rFonts w:ascii="Arial" w:hAnsi="Arial" w:cs="Arial"/>
          <w:lang w:val="es-ES"/>
        </w:rPr>
        <w:t xml:space="preserve">9.3. </w:t>
      </w:r>
      <w:r w:rsidRPr="00993936">
        <w:rPr>
          <w:rFonts w:ascii="Arial" w:hAnsi="Arial" w:cs="Arial"/>
          <w:i/>
          <w:lang w:val="es-ES"/>
        </w:rPr>
        <w:t>Recomendaciones</w:t>
      </w:r>
    </w:p>
    <w:p w:rsidR="00202B3A" w:rsidRPr="00993936" w:rsidRDefault="00202B3A" w:rsidP="001D205D">
      <w:pPr>
        <w:jc w:val="both"/>
        <w:rPr>
          <w:rFonts w:ascii="Arial" w:hAnsi="Arial" w:cs="Arial"/>
          <w:lang w:val="es-ES"/>
        </w:rPr>
      </w:pPr>
      <w:r w:rsidRPr="00993936">
        <w:rPr>
          <w:rFonts w:ascii="Arial" w:hAnsi="Arial" w:cs="Arial"/>
          <w:lang w:val="es-ES"/>
        </w:rPr>
        <w:t xml:space="preserve">9.3.1 Realizar los tratamientos fitosanitarios con velocidades de viento inferiores a los </w:t>
      </w:r>
      <w:smartTag w:uri="urn:schemas-microsoft-com:office:smarttags" w:element="metricconverter">
        <w:smartTagPr>
          <w:attr w:name="ProductID" w:val="10,8 km"/>
        </w:smartTagPr>
        <w:r w:rsidRPr="00993936">
          <w:rPr>
            <w:rFonts w:ascii="Arial" w:hAnsi="Arial" w:cs="Arial"/>
            <w:lang w:val="es-ES"/>
          </w:rPr>
          <w:t>10,8 kilómetros</w:t>
        </w:r>
      </w:smartTag>
      <w:r w:rsidRPr="00993936">
        <w:rPr>
          <w:rFonts w:ascii="Arial" w:hAnsi="Arial" w:cs="Arial"/>
          <w:lang w:val="es-ES"/>
        </w:rPr>
        <w:t xml:space="preserve"> por hora.</w:t>
      </w:r>
    </w:p>
    <w:p w:rsidR="00202B3A" w:rsidRPr="00993936" w:rsidRDefault="00202B3A" w:rsidP="001D205D">
      <w:pPr>
        <w:jc w:val="both"/>
        <w:rPr>
          <w:rFonts w:ascii="Arial" w:hAnsi="Arial" w:cs="Arial"/>
          <w:lang w:val="es-ES"/>
        </w:rPr>
      </w:pPr>
      <w:r w:rsidRPr="00993936">
        <w:rPr>
          <w:rFonts w:ascii="Arial" w:hAnsi="Arial" w:cs="Arial"/>
          <w:noProof/>
          <w:lang w:val="es-ES"/>
        </w:rPr>
        <w:t>9.3.2 En el caso de tratamientos fitosanitarios, alternar sustancias activas de los diferentes grupos químicos y mecanismos de acción, no realizando más de dos tratamientos consecutivos con la misma sustancia activa.</w:t>
      </w:r>
    </w:p>
    <w:p w:rsidR="00202B3A" w:rsidRPr="00993936" w:rsidRDefault="00202B3A" w:rsidP="001D205D">
      <w:pPr>
        <w:jc w:val="both"/>
        <w:rPr>
          <w:rFonts w:ascii="Arial" w:hAnsi="Arial" w:cs="Arial"/>
          <w:noProof/>
          <w:lang w:val="es-ES"/>
        </w:rPr>
      </w:pPr>
      <w:r w:rsidRPr="00993936">
        <w:rPr>
          <w:rFonts w:ascii="Arial" w:hAnsi="Arial" w:cs="Arial"/>
          <w:noProof/>
          <w:lang w:val="es-ES"/>
        </w:rPr>
        <w:t>9.3.3 No utilizar productos fitosanitarios con más de dos años desde la fecha de fabricación, a menos que la etiqueta especifique un plazo inferior.</w:t>
      </w:r>
    </w:p>
    <w:p w:rsidR="00202B3A" w:rsidRPr="00993936" w:rsidRDefault="00202B3A" w:rsidP="001D205D">
      <w:pPr>
        <w:jc w:val="both"/>
        <w:rPr>
          <w:rFonts w:ascii="Arial" w:hAnsi="Arial" w:cs="Arial"/>
          <w:noProof/>
          <w:lang w:val="es-ES"/>
        </w:rPr>
      </w:pPr>
      <w:r w:rsidRPr="00993936">
        <w:rPr>
          <w:rFonts w:ascii="Arial" w:hAnsi="Arial" w:cs="Arial"/>
          <w:noProof/>
          <w:lang w:val="es-ES"/>
        </w:rPr>
        <w:t>9.3.4 Disponer en la explotación de zonas preparadas expresamente para llenar los cubos, lavar equipos y depositar los restos de caldos no utilizados, etc.</w:t>
      </w:r>
    </w:p>
    <w:p w:rsidR="00202B3A" w:rsidRPr="00993936" w:rsidRDefault="00202B3A" w:rsidP="001D205D">
      <w:pPr>
        <w:autoSpaceDE w:val="0"/>
        <w:autoSpaceDN w:val="0"/>
        <w:adjustRightInd w:val="0"/>
        <w:jc w:val="both"/>
        <w:rPr>
          <w:rFonts w:ascii="Arial" w:hAnsi="Arial" w:cs="Arial"/>
          <w:noProof/>
          <w:lang w:val="es-ES"/>
        </w:rPr>
      </w:pPr>
      <w:r w:rsidRPr="00993936">
        <w:rPr>
          <w:rFonts w:ascii="Arial" w:hAnsi="Arial" w:cs="Arial"/>
          <w:noProof/>
          <w:lang w:val="es-ES"/>
        </w:rPr>
        <w:t>9.3.5 Utilizar modelos de predicción de plagas y enfermedades en el caso que existan y que se hayan contrastado en la zona de cultivo.</w:t>
      </w:r>
    </w:p>
    <w:p w:rsidR="00202B3A" w:rsidRPr="00993936" w:rsidRDefault="00202B3A" w:rsidP="001D205D">
      <w:pPr>
        <w:jc w:val="both"/>
        <w:rPr>
          <w:rFonts w:ascii="Arial" w:hAnsi="Arial" w:cs="Arial"/>
          <w:b/>
          <w:noProof/>
          <w:u w:val="single"/>
          <w:lang w:val="es-ES"/>
        </w:rPr>
      </w:pPr>
      <w:r w:rsidRPr="00993936">
        <w:rPr>
          <w:rFonts w:ascii="Arial" w:hAnsi="Arial" w:cs="Arial"/>
          <w:noProof/>
          <w:lang w:val="es-ES"/>
        </w:rPr>
        <w:t>9.3.6 Hacer uso de las recomendaciones del Servicio de Sanidad Vegetal o de los organismos que por medio de sus técnicas determinen los periodos de intervención más adecuados para los controles y los tratamientos.</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Artículo 10</w:t>
      </w:r>
    </w:p>
    <w:p w:rsidR="00202B3A" w:rsidRPr="00993936" w:rsidRDefault="00202B3A" w:rsidP="001D205D">
      <w:pPr>
        <w:pStyle w:val="Ttulo3"/>
        <w:rPr>
          <w:rFonts w:ascii="Arial" w:hAnsi="Arial" w:cs="Arial"/>
          <w:b/>
          <w:noProof/>
          <w:color w:val="auto"/>
          <w:szCs w:val="22"/>
          <w:lang w:val="es-ES"/>
        </w:rPr>
      </w:pPr>
      <w:r w:rsidRPr="00993936">
        <w:rPr>
          <w:rFonts w:ascii="Arial" w:hAnsi="Arial" w:cs="Arial"/>
          <w:b/>
          <w:noProof/>
          <w:color w:val="auto"/>
          <w:szCs w:val="22"/>
          <w:lang w:val="es-ES"/>
        </w:rPr>
        <w:t>Recolección</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10.1 </w:t>
      </w:r>
      <w:r w:rsidRPr="00993936">
        <w:rPr>
          <w:rFonts w:ascii="Arial" w:hAnsi="Arial" w:cs="Arial"/>
          <w:i/>
          <w:noProof/>
          <w:lang w:val="es-ES"/>
        </w:rPr>
        <w:t>Obligaciones</w:t>
      </w:r>
    </w:p>
    <w:p w:rsidR="00202B3A" w:rsidRPr="00993936" w:rsidRDefault="00202B3A" w:rsidP="001D205D">
      <w:pPr>
        <w:pStyle w:val="Textoindependiente"/>
        <w:rPr>
          <w:rFonts w:cs="Arial"/>
          <w:noProof/>
          <w:szCs w:val="22"/>
          <w:lang w:val="es-ES"/>
        </w:rPr>
      </w:pPr>
      <w:r w:rsidRPr="00993936">
        <w:rPr>
          <w:rFonts w:cs="Arial"/>
          <w:noProof/>
          <w:szCs w:val="22"/>
          <w:lang w:val="es-ES"/>
        </w:rPr>
        <w:t xml:space="preserve">10.1.1 La cosecha se efectuará cuando el grano haya llegado a su madurez fisiológica y su nivel de humedad no supere el 13%. </w:t>
      </w:r>
    </w:p>
    <w:p w:rsidR="00202B3A" w:rsidRPr="00993936" w:rsidRDefault="00202B3A" w:rsidP="001D205D">
      <w:pPr>
        <w:jc w:val="both"/>
        <w:rPr>
          <w:rFonts w:ascii="Arial" w:hAnsi="Arial" w:cs="Arial"/>
          <w:noProof/>
          <w:lang w:val="es-ES"/>
        </w:rPr>
      </w:pPr>
      <w:r w:rsidRPr="00993936">
        <w:rPr>
          <w:rFonts w:ascii="Arial" w:hAnsi="Arial" w:cs="Arial"/>
          <w:noProof/>
          <w:lang w:val="es-ES"/>
        </w:rPr>
        <w:t>10.1.2 Realizar la limpieza y desinsectación de la cosechadora antes de iniciar la campaña de recolección.</w:t>
      </w:r>
    </w:p>
    <w:p w:rsidR="00202B3A" w:rsidRPr="00993936" w:rsidRDefault="00202B3A" w:rsidP="001D205D">
      <w:pPr>
        <w:jc w:val="both"/>
        <w:rPr>
          <w:rFonts w:ascii="Arial" w:hAnsi="Arial" w:cs="Arial"/>
          <w:lang w:val="es-ES"/>
        </w:rPr>
      </w:pPr>
      <w:r w:rsidRPr="00993936">
        <w:rPr>
          <w:rFonts w:ascii="Arial" w:hAnsi="Arial" w:cs="Arial"/>
          <w:lang w:val="es-ES"/>
        </w:rPr>
        <w:t xml:space="preserve">10.1.3 </w:t>
      </w:r>
      <w:r w:rsidRPr="00993936">
        <w:rPr>
          <w:rFonts w:ascii="Arial" w:hAnsi="Arial" w:cs="Arial"/>
          <w:noProof/>
          <w:lang w:val="es-ES"/>
        </w:rPr>
        <w:t>Todos los operadores que quieran obtener la certificación o bien comercializar productos con la identificación de garantía de producción integrada se tendrán que acoger a un programa de autocontrol individual o colectivo, de acuerdo con lo que prevé el artículo 29 de esta norma, durante la recolección y/o elaboración para analizar la posible presencia de residuos de productos fitosanitarios</w:t>
      </w:r>
      <w:r w:rsidRPr="00993936">
        <w:rPr>
          <w:rFonts w:ascii="Arial" w:hAnsi="Arial" w:cs="Arial"/>
          <w:lang w:val="es-ES"/>
        </w:rPr>
        <w:t>, y</w:t>
      </w:r>
      <w:r w:rsidRPr="00993936">
        <w:rPr>
          <w:rFonts w:ascii="Arial" w:hAnsi="Arial" w:cs="Arial"/>
          <w:i/>
          <w:lang w:val="es-ES"/>
        </w:rPr>
        <w:t xml:space="preserve"> </w:t>
      </w:r>
      <w:r w:rsidRPr="00993936">
        <w:rPr>
          <w:rFonts w:ascii="Arial" w:hAnsi="Arial" w:cs="Arial"/>
          <w:lang w:val="es-ES"/>
        </w:rPr>
        <w:t xml:space="preserve">en base a lo que </w:t>
      </w:r>
      <w:r w:rsidRPr="00993936">
        <w:rPr>
          <w:rFonts w:ascii="Arial" w:hAnsi="Arial" w:cs="Arial"/>
          <w:lang w:val="es-ES"/>
        </w:rPr>
        <w:lastRenderedPageBreak/>
        <w:t xml:space="preserve">establezcan los artículos 12 (f) y 13 (g) del Decreto 241/2002, con el objetivo de garantizar que se han utilizado exclusivamente las materias activas seleccionadas en la estrategia de producción integrada, y que se cumple con lo que establece la legislación española en relación con los límites máximos de residuos </w:t>
      </w:r>
      <w:r w:rsidRPr="00993936">
        <w:rPr>
          <w:rFonts w:ascii="Arial" w:hAnsi="Arial" w:cs="Arial"/>
          <w:i/>
          <w:lang w:val="es-ES"/>
        </w:rPr>
        <w:t xml:space="preserve">(LMR) </w:t>
      </w:r>
      <w:r w:rsidRPr="00993936">
        <w:rPr>
          <w:rFonts w:ascii="Arial" w:hAnsi="Arial" w:cs="Arial"/>
          <w:lang w:val="es-ES"/>
        </w:rPr>
        <w:t>de productos fitosanitarios.</w:t>
      </w:r>
    </w:p>
    <w:p w:rsidR="00202B3A" w:rsidRPr="00993936" w:rsidRDefault="00202B3A" w:rsidP="001D205D">
      <w:pPr>
        <w:jc w:val="both"/>
        <w:rPr>
          <w:rFonts w:ascii="Arial" w:hAnsi="Arial" w:cs="Arial"/>
          <w:noProof/>
          <w:lang w:val="es-ES"/>
        </w:rPr>
      </w:pPr>
      <w:r w:rsidRPr="00993936">
        <w:rPr>
          <w:rFonts w:ascii="Arial" w:hAnsi="Arial" w:cs="Arial"/>
          <w:noProof/>
          <w:lang w:val="es-ES"/>
        </w:rPr>
        <w:t>10.1.4 Para producciones dirigidas a otros mercados diferentes al nacional, se verificará si cumplan la legislación establecida en el lugar</w:t>
      </w:r>
      <w:r w:rsidRPr="00993936">
        <w:rPr>
          <w:rFonts w:ascii="Arial" w:hAnsi="Arial" w:cs="Arial"/>
          <w:noProof/>
          <w:vanish/>
          <w:lang w:val="es-ES"/>
        </w:rPr>
        <w:t>&lt;A[lugar|sitio]&gt;</w:t>
      </w:r>
      <w:r w:rsidRPr="00993936">
        <w:rPr>
          <w:rFonts w:ascii="Arial" w:hAnsi="Arial" w:cs="Arial"/>
          <w:noProof/>
          <w:lang w:val="es-ES"/>
        </w:rPr>
        <w:t xml:space="preserve"> de destino con respecto al contenido de residuos.</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10.2 </w:t>
      </w:r>
      <w:r w:rsidRPr="00993936">
        <w:rPr>
          <w:rFonts w:ascii="Arial" w:hAnsi="Arial" w:cs="Arial"/>
          <w:i/>
          <w:noProof/>
          <w:lang w:val="es-ES"/>
        </w:rPr>
        <w:t>Recomendaciones</w:t>
      </w:r>
    </w:p>
    <w:p w:rsidR="00202B3A" w:rsidRPr="00993936" w:rsidRDefault="00202B3A" w:rsidP="001D205D">
      <w:pPr>
        <w:pStyle w:val="Textoindependiente"/>
        <w:rPr>
          <w:rFonts w:cs="Arial"/>
          <w:b/>
          <w:noProof/>
          <w:szCs w:val="22"/>
          <w:lang w:val="es-ES"/>
        </w:rPr>
      </w:pPr>
      <w:r w:rsidRPr="00993936">
        <w:rPr>
          <w:rFonts w:cs="Arial"/>
          <w:noProof/>
          <w:szCs w:val="22"/>
          <w:lang w:val="es-ES"/>
        </w:rPr>
        <w:t>10.2.1 Para la recolección, se utilizará una cosechadora que disponga de trituradora- distribuidora de paja y cascabillo.</w:t>
      </w:r>
    </w:p>
    <w:p w:rsidR="00202B3A" w:rsidRPr="00993936" w:rsidRDefault="00202B3A" w:rsidP="001D205D">
      <w:pPr>
        <w:pStyle w:val="Ttulo4"/>
        <w:rPr>
          <w:rFonts w:ascii="Arial" w:hAnsi="Arial" w:cs="Arial"/>
          <w:i w:val="0"/>
          <w:noProof/>
          <w:color w:val="auto"/>
          <w:lang w:val="es-ES"/>
        </w:rPr>
      </w:pPr>
    </w:p>
    <w:p w:rsidR="00202B3A" w:rsidRPr="00993936" w:rsidRDefault="00202B3A" w:rsidP="001D205D">
      <w:pPr>
        <w:jc w:val="both"/>
        <w:outlineLvl w:val="0"/>
        <w:rPr>
          <w:rFonts w:ascii="Arial" w:hAnsi="Arial" w:cs="Arial"/>
          <w:lang w:val="es-ES"/>
        </w:rPr>
      </w:pPr>
      <w:r w:rsidRPr="00993936">
        <w:rPr>
          <w:rFonts w:ascii="Arial" w:hAnsi="Arial" w:cs="Arial"/>
          <w:lang w:val="es-ES"/>
        </w:rPr>
        <w:t>Artículo 11</w:t>
      </w:r>
    </w:p>
    <w:p w:rsidR="00202B3A" w:rsidRPr="00993936" w:rsidRDefault="00202B3A" w:rsidP="001D205D">
      <w:pPr>
        <w:jc w:val="both"/>
        <w:rPr>
          <w:rFonts w:ascii="Arial" w:hAnsi="Arial" w:cs="Arial"/>
          <w:b/>
          <w:lang w:val="es-ES"/>
        </w:rPr>
      </w:pPr>
      <w:r w:rsidRPr="00993936">
        <w:rPr>
          <w:rFonts w:ascii="Arial" w:hAnsi="Arial" w:cs="Arial"/>
          <w:b/>
          <w:lang w:val="es-ES"/>
        </w:rPr>
        <w:t>Cuaderno de explotación</w:t>
      </w:r>
    </w:p>
    <w:p w:rsidR="00202B3A" w:rsidRPr="00993936" w:rsidRDefault="00202B3A" w:rsidP="001D205D">
      <w:pPr>
        <w:jc w:val="both"/>
        <w:rPr>
          <w:rFonts w:ascii="Arial" w:hAnsi="Arial" w:cs="Arial"/>
          <w:i/>
          <w:noProof/>
          <w:lang w:val="es-ES"/>
        </w:rPr>
      </w:pPr>
      <w:r w:rsidRPr="00993936">
        <w:rPr>
          <w:rFonts w:ascii="Arial" w:hAnsi="Arial" w:cs="Arial"/>
          <w:i/>
          <w:noProof/>
          <w:lang w:val="es-ES"/>
        </w:rPr>
        <w:t>11.1 Obligaciones</w:t>
      </w:r>
    </w:p>
    <w:p w:rsidR="00202B3A" w:rsidRPr="00993936" w:rsidRDefault="00202B3A" w:rsidP="001D205D">
      <w:pPr>
        <w:jc w:val="both"/>
        <w:rPr>
          <w:rFonts w:ascii="Arial" w:hAnsi="Arial" w:cs="Arial"/>
          <w:lang w:val="es-ES"/>
        </w:rPr>
      </w:pPr>
      <w:r w:rsidRPr="00993936">
        <w:rPr>
          <w:rFonts w:ascii="Arial" w:hAnsi="Arial" w:cs="Arial"/>
          <w:lang w:val="es-ES"/>
        </w:rPr>
        <w:t xml:space="preserve">11.1.1 El modelo de Cuaderno de explotación es único con respecto al contenido de los datos a registrar, y será aprobado por el </w:t>
      </w:r>
      <w:r w:rsidRPr="00993936">
        <w:rPr>
          <w:rFonts w:ascii="Arial" w:hAnsi="Arial" w:cs="Arial"/>
          <w:snapToGrid w:val="0"/>
          <w:lang w:val="es-ES"/>
        </w:rPr>
        <w:t>Departamento de Agricultura, Ganadería, Pesca y Alimentación.</w:t>
      </w:r>
    </w:p>
    <w:p w:rsidR="00202B3A" w:rsidRPr="00993936" w:rsidRDefault="00202B3A" w:rsidP="001D205D">
      <w:pPr>
        <w:jc w:val="both"/>
        <w:rPr>
          <w:rFonts w:ascii="Arial" w:hAnsi="Arial" w:cs="Arial"/>
          <w:lang w:val="es-ES"/>
        </w:rPr>
      </w:pPr>
      <w:r w:rsidRPr="00993936">
        <w:rPr>
          <w:rFonts w:ascii="Arial" w:hAnsi="Arial" w:cs="Arial"/>
          <w:lang w:val="es-ES"/>
        </w:rPr>
        <w:t>11.1.2 El productor de producción integrada, mediante su firma, se responsabilizará de la veracidad de las anotaciones realizadas en el Cuaderno de explotación.</w:t>
      </w:r>
    </w:p>
    <w:p w:rsidR="00202B3A" w:rsidRPr="00993936" w:rsidRDefault="00202B3A" w:rsidP="001D205D">
      <w:pPr>
        <w:pStyle w:val="Textoindependiente"/>
        <w:rPr>
          <w:rFonts w:cs="Arial"/>
          <w:szCs w:val="22"/>
          <w:lang w:val="es-ES"/>
        </w:rPr>
      </w:pPr>
      <w:r w:rsidRPr="00993936">
        <w:rPr>
          <w:rFonts w:cs="Arial"/>
          <w:szCs w:val="22"/>
          <w:lang w:val="es-ES"/>
        </w:rPr>
        <w:t>11.1.3 El Cuaderno de explotación es obligatorio y estará siempre disponible para su inspección. Para la buena funcionalidad del sistema, las anotaciones de las operaciones se tendrán que realizar en el plazo máximo de los 7 días siguientes a su ejecución.</w:t>
      </w:r>
    </w:p>
    <w:p w:rsidR="00202B3A" w:rsidRPr="00993936" w:rsidRDefault="00202B3A" w:rsidP="001D205D">
      <w:pPr>
        <w:jc w:val="both"/>
        <w:rPr>
          <w:rFonts w:ascii="Arial" w:hAnsi="Arial" w:cs="Arial"/>
          <w:noProof/>
          <w:lang w:val="es-ES"/>
        </w:rPr>
      </w:pPr>
      <w:r w:rsidRPr="00993936">
        <w:rPr>
          <w:rFonts w:ascii="Arial" w:hAnsi="Arial" w:cs="Arial"/>
          <w:noProof/>
          <w:lang w:val="es-ES"/>
        </w:rPr>
        <w:t>11.1.4 El Cuaderno de explotación estará controlado y supervisado periódicamente por el técnico responsable de producción integrada y, a fin de que quede constancia, se registrará la fecha y la firma en cada revisión.</w:t>
      </w:r>
    </w:p>
    <w:p w:rsidR="00202B3A" w:rsidRPr="00993936" w:rsidRDefault="00202B3A" w:rsidP="001D205D">
      <w:pPr>
        <w:rPr>
          <w:rFonts w:ascii="Arial" w:hAnsi="Arial" w:cs="Arial"/>
          <w:lang w:val="es-ES"/>
        </w:rPr>
      </w:pPr>
    </w:p>
    <w:p w:rsidR="00202B3A" w:rsidRPr="00993936" w:rsidRDefault="00202B3A" w:rsidP="001D205D">
      <w:pPr>
        <w:jc w:val="both"/>
        <w:outlineLvl w:val="0"/>
        <w:rPr>
          <w:rFonts w:ascii="Arial" w:hAnsi="Arial" w:cs="Arial"/>
          <w:lang w:val="es-ES"/>
        </w:rPr>
      </w:pPr>
      <w:r w:rsidRPr="00993936">
        <w:rPr>
          <w:rFonts w:ascii="Arial" w:hAnsi="Arial" w:cs="Arial"/>
          <w:lang w:val="es-ES"/>
        </w:rPr>
        <w:t>Artículo 12</w:t>
      </w:r>
    </w:p>
    <w:p w:rsidR="00202B3A" w:rsidRPr="00993936" w:rsidRDefault="00202B3A" w:rsidP="001D205D">
      <w:pPr>
        <w:jc w:val="both"/>
        <w:outlineLvl w:val="0"/>
        <w:rPr>
          <w:rFonts w:ascii="Arial" w:hAnsi="Arial" w:cs="Arial"/>
          <w:lang w:val="es-ES"/>
        </w:rPr>
      </w:pPr>
      <w:r w:rsidRPr="00993936">
        <w:rPr>
          <w:rFonts w:ascii="Arial" w:hAnsi="Arial" w:cs="Arial"/>
          <w:b/>
          <w:lang w:val="es-ES"/>
        </w:rPr>
        <w:t>Normas de calidad</w:t>
      </w:r>
    </w:p>
    <w:p w:rsidR="00202B3A" w:rsidRPr="00993936" w:rsidRDefault="00202B3A" w:rsidP="001D205D">
      <w:pPr>
        <w:jc w:val="both"/>
        <w:rPr>
          <w:rFonts w:ascii="Arial" w:hAnsi="Arial" w:cs="Arial"/>
          <w:lang w:val="es-ES"/>
        </w:rPr>
      </w:pPr>
      <w:r w:rsidRPr="00993936">
        <w:rPr>
          <w:rFonts w:ascii="Arial" w:hAnsi="Arial" w:cs="Arial"/>
          <w:i/>
          <w:lang w:val="es-ES"/>
        </w:rPr>
        <w:t>12.1 Obligaciones</w:t>
      </w:r>
    </w:p>
    <w:p w:rsidR="00202B3A" w:rsidRPr="00993936" w:rsidRDefault="00202B3A" w:rsidP="001D205D">
      <w:pPr>
        <w:jc w:val="both"/>
        <w:rPr>
          <w:rFonts w:ascii="Arial" w:hAnsi="Arial" w:cs="Arial"/>
          <w:lang w:val="es-ES"/>
        </w:rPr>
      </w:pPr>
      <w:r w:rsidRPr="00993936">
        <w:rPr>
          <w:rFonts w:ascii="Arial" w:hAnsi="Arial" w:cs="Arial"/>
          <w:lang w:val="es-ES"/>
        </w:rPr>
        <w:t xml:space="preserve">12.1.1 </w:t>
      </w:r>
      <w:r w:rsidRPr="00993936">
        <w:rPr>
          <w:rFonts w:ascii="Arial" w:hAnsi="Arial" w:cs="Arial"/>
          <w:noProof/>
          <w:lang w:val="es-ES"/>
        </w:rPr>
        <w:t>Todos los cereales de invierno</w:t>
      </w:r>
      <w:r w:rsidRPr="00993936">
        <w:rPr>
          <w:rFonts w:ascii="Arial" w:hAnsi="Arial" w:cs="Arial"/>
          <w:lang w:val="es-ES"/>
        </w:rPr>
        <w:t xml:space="preserve"> amparados por la denominación Producción Integrada </w:t>
      </w:r>
      <w:r w:rsidRPr="00993936">
        <w:rPr>
          <w:rFonts w:ascii="Arial" w:hAnsi="Arial" w:cs="Arial"/>
          <w:noProof/>
          <w:lang w:val="es-ES"/>
        </w:rPr>
        <w:t>tendrán que tener las características mínimas de calidad que establece la legislación vigente para que puedan ser comercializados como producción integrada.</w:t>
      </w:r>
    </w:p>
    <w:p w:rsidR="00202B3A" w:rsidRPr="00993936" w:rsidRDefault="00202B3A" w:rsidP="001D205D">
      <w:pPr>
        <w:rPr>
          <w:rFonts w:ascii="Arial" w:hAnsi="Arial" w:cs="Arial"/>
          <w:lang w:val="es-ES"/>
        </w:rPr>
      </w:pPr>
    </w:p>
    <w:p w:rsidR="00202B3A" w:rsidRPr="00993936" w:rsidRDefault="00202B3A" w:rsidP="001D205D">
      <w:pPr>
        <w:spacing w:before="120"/>
        <w:jc w:val="both"/>
        <w:rPr>
          <w:rFonts w:ascii="Arial" w:hAnsi="Arial" w:cs="Arial"/>
          <w:b/>
          <w:noProof/>
          <w:lang w:val="es-ES"/>
        </w:rPr>
      </w:pPr>
      <w:r w:rsidRPr="00993936">
        <w:rPr>
          <w:rFonts w:ascii="Arial" w:hAnsi="Arial" w:cs="Arial"/>
          <w:b/>
          <w:noProof/>
          <w:lang w:val="es-ES"/>
        </w:rPr>
        <w:t>II.  INSTALACIONES, EQUIPOS, PERSONAL, TRANSPORTE Y ALMACENAMIENTO</w:t>
      </w:r>
    </w:p>
    <w:p w:rsidR="00202B3A" w:rsidRPr="00993936" w:rsidRDefault="00202B3A" w:rsidP="001D205D">
      <w:pPr>
        <w:pStyle w:val="NormalWeb"/>
        <w:spacing w:before="120" w:after="0"/>
        <w:jc w:val="both"/>
        <w:rPr>
          <w:rFonts w:ascii="Arial" w:hAnsi="Arial" w:cs="Arial"/>
          <w:sz w:val="22"/>
          <w:szCs w:val="22"/>
          <w:lang w:val="es-ES"/>
        </w:rPr>
      </w:pPr>
    </w:p>
    <w:p w:rsidR="00202B3A" w:rsidRPr="00993936" w:rsidRDefault="00202B3A" w:rsidP="001D205D">
      <w:pPr>
        <w:pStyle w:val="NormalWeb"/>
        <w:spacing w:before="120" w:after="0"/>
        <w:jc w:val="both"/>
        <w:rPr>
          <w:rFonts w:ascii="Arial" w:hAnsi="Arial" w:cs="Arial"/>
          <w:sz w:val="22"/>
          <w:szCs w:val="22"/>
          <w:lang w:val="es-ES"/>
        </w:rPr>
      </w:pPr>
      <w:r w:rsidRPr="00993936">
        <w:rPr>
          <w:rFonts w:ascii="Arial" w:hAnsi="Arial" w:cs="Arial"/>
          <w:sz w:val="22"/>
          <w:szCs w:val="22"/>
          <w:lang w:val="es-ES"/>
        </w:rPr>
        <w:lastRenderedPageBreak/>
        <w:t>Artículo 13</w:t>
      </w:r>
    </w:p>
    <w:p w:rsidR="00202B3A" w:rsidRPr="00993936" w:rsidRDefault="00202B3A" w:rsidP="001D205D">
      <w:pPr>
        <w:pStyle w:val="NormalWeb"/>
        <w:spacing w:after="0"/>
        <w:jc w:val="both"/>
        <w:rPr>
          <w:rFonts w:ascii="Arial" w:hAnsi="Arial" w:cs="Arial"/>
          <w:b/>
          <w:sz w:val="22"/>
          <w:szCs w:val="22"/>
          <w:lang w:val="es-ES"/>
        </w:rPr>
      </w:pPr>
      <w:r w:rsidRPr="00993936">
        <w:rPr>
          <w:rFonts w:ascii="Arial" w:hAnsi="Arial" w:cs="Arial"/>
          <w:b/>
          <w:sz w:val="22"/>
          <w:szCs w:val="22"/>
          <w:lang w:val="es-ES"/>
        </w:rPr>
        <w:t>Instalaciones</w:t>
      </w:r>
    </w:p>
    <w:p w:rsidR="00202B3A" w:rsidRPr="00993936" w:rsidRDefault="00202B3A" w:rsidP="001D205D">
      <w:pPr>
        <w:pStyle w:val="NormalWeb"/>
        <w:spacing w:after="0"/>
        <w:jc w:val="both"/>
        <w:rPr>
          <w:rFonts w:ascii="Arial" w:hAnsi="Arial" w:cs="Arial"/>
          <w:i/>
          <w:sz w:val="22"/>
          <w:szCs w:val="22"/>
          <w:lang w:val="es-ES"/>
        </w:rPr>
      </w:pPr>
      <w:r w:rsidRPr="00993936">
        <w:rPr>
          <w:rFonts w:ascii="Arial" w:hAnsi="Arial" w:cs="Arial"/>
          <w:i/>
          <w:sz w:val="22"/>
          <w:szCs w:val="22"/>
          <w:lang w:val="es-ES"/>
        </w:rPr>
        <w:t>13.1 Obligaciones</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13.1.1 Las instalaciones, incluidos los baños, los equipos y el entorno productivo tienen que estar en un estado de orden y de limpieza adecuado.</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13.1.2 Todas las instalaciones tienen que estar ventiladas, iluminadas y con sistemas de desagües adecuados para las actividades que desarrollen.</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13.1.3  Los productos químicos tienen que estar almacenados en un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que se pueda cerrar y debidamente señalizado. El acceso al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de almacenamiento de productos químicos, así como su manipulación, sólo lo podrá realizar el personal designado por la persona operadora.</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13.1.4 Los productos químicos almacenados tienen que estar etiquetados correctamente y autorizados para su uso en la industria alimentaria.</w:t>
      </w:r>
    </w:p>
    <w:p w:rsidR="00202B3A" w:rsidRPr="00993936" w:rsidRDefault="00202B3A" w:rsidP="001D205D">
      <w:pPr>
        <w:rPr>
          <w:rFonts w:ascii="Arial" w:hAnsi="Arial" w:cs="Arial"/>
          <w:lang w:val="es-ES"/>
        </w:rPr>
      </w:pPr>
    </w:p>
    <w:p w:rsidR="00202B3A" w:rsidRPr="00993936" w:rsidRDefault="00202B3A" w:rsidP="001D205D">
      <w:pPr>
        <w:pStyle w:val="Sangradetextonormal"/>
        <w:ind w:left="0"/>
        <w:rPr>
          <w:rFonts w:cs="Arial"/>
          <w:noProof/>
          <w:szCs w:val="22"/>
          <w:lang w:val="es-ES"/>
        </w:rPr>
      </w:pPr>
      <w:r w:rsidRPr="00993936">
        <w:rPr>
          <w:rFonts w:cs="Arial"/>
          <w:noProof/>
          <w:szCs w:val="22"/>
          <w:lang w:val="es-ES"/>
        </w:rPr>
        <w:t>Artículo 14</w:t>
      </w:r>
    </w:p>
    <w:p w:rsidR="00202B3A" w:rsidRPr="00993936" w:rsidRDefault="00202B3A" w:rsidP="001D205D">
      <w:pPr>
        <w:pStyle w:val="Sangradetextonormal"/>
        <w:ind w:left="0"/>
        <w:rPr>
          <w:rFonts w:cs="Arial"/>
          <w:b/>
          <w:noProof/>
          <w:szCs w:val="22"/>
          <w:lang w:val="es-ES"/>
        </w:rPr>
      </w:pPr>
      <w:r w:rsidRPr="00993936">
        <w:rPr>
          <w:rFonts w:cs="Arial"/>
          <w:b/>
          <w:noProof/>
          <w:szCs w:val="22"/>
          <w:lang w:val="es-ES"/>
        </w:rPr>
        <w:t>Higiene y mantenimiento de las instalaciones y equipos</w:t>
      </w:r>
    </w:p>
    <w:p w:rsidR="00202B3A" w:rsidRPr="00993936" w:rsidRDefault="00202B3A" w:rsidP="001D205D">
      <w:pPr>
        <w:pStyle w:val="Sangradetextonormal"/>
        <w:ind w:left="0"/>
        <w:rPr>
          <w:rFonts w:cs="Arial"/>
          <w:b/>
          <w:noProof/>
          <w:szCs w:val="22"/>
          <w:lang w:val="es-ES"/>
        </w:rPr>
      </w:pPr>
      <w:r w:rsidRPr="00993936">
        <w:rPr>
          <w:rFonts w:cs="Arial"/>
          <w:noProof/>
          <w:szCs w:val="22"/>
          <w:lang w:val="es-ES"/>
        </w:rPr>
        <w:t xml:space="preserve">14.1 </w:t>
      </w:r>
      <w:r w:rsidRPr="00993936">
        <w:rPr>
          <w:rFonts w:cs="Arial"/>
          <w:i/>
          <w:noProof/>
          <w:szCs w:val="22"/>
          <w:lang w:val="es-ES"/>
        </w:rPr>
        <w:t>Obligaciones</w:t>
      </w:r>
      <w:r w:rsidRPr="00993936">
        <w:rPr>
          <w:rFonts w:cs="Arial"/>
          <w:noProof/>
          <w:szCs w:val="22"/>
          <w:lang w:val="es-ES"/>
        </w:rPr>
        <w:t xml:space="preserve"> </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14.1.1 Cada persona operadora tiene que disponer de un plan</w:t>
      </w:r>
      <w:r w:rsidRPr="00993936">
        <w:rPr>
          <w:rFonts w:cs="Arial"/>
          <w:noProof/>
          <w:vanish/>
          <w:szCs w:val="22"/>
          <w:lang w:val="es-ES"/>
        </w:rPr>
        <w:t>&lt;A[plan|plano]&gt;</w:t>
      </w:r>
      <w:r w:rsidRPr="00993936">
        <w:rPr>
          <w:rFonts w:cs="Arial"/>
          <w:noProof/>
          <w:szCs w:val="22"/>
          <w:lang w:val="es-ES"/>
        </w:rPr>
        <w:t xml:space="preserve"> general de limpieza y de desinfección detallado de las instalaciones, los equipos y el almacenamiento, el envasado, con la finalidad que en todo momento estén en buen estado de conservación. El plan</w:t>
      </w:r>
      <w:r w:rsidRPr="00993936">
        <w:rPr>
          <w:rFonts w:cs="Arial"/>
          <w:noProof/>
          <w:vanish/>
          <w:szCs w:val="22"/>
          <w:lang w:val="es-ES"/>
        </w:rPr>
        <w:t>&lt;A[plan|plano]&gt;</w:t>
      </w:r>
      <w:r w:rsidRPr="00993936">
        <w:rPr>
          <w:rFonts w:cs="Arial"/>
          <w:noProof/>
          <w:szCs w:val="22"/>
          <w:lang w:val="es-ES"/>
        </w:rPr>
        <w:t xml:space="preserve"> deberá prever:</w:t>
      </w:r>
    </w:p>
    <w:p w:rsidR="00202B3A" w:rsidRPr="00993936" w:rsidRDefault="00202B3A" w:rsidP="00202B3A">
      <w:pPr>
        <w:pStyle w:val="Sangradetextonormal"/>
        <w:numPr>
          <w:ilvl w:val="0"/>
          <w:numId w:val="15"/>
        </w:numPr>
        <w:tabs>
          <w:tab w:val="clear" w:pos="624"/>
          <w:tab w:val="num" w:pos="596"/>
        </w:tabs>
        <w:ind w:left="680"/>
        <w:jc w:val="both"/>
        <w:rPr>
          <w:rFonts w:cs="Arial"/>
          <w:noProof/>
          <w:szCs w:val="22"/>
          <w:lang w:val="es-ES"/>
        </w:rPr>
      </w:pPr>
      <w:r w:rsidRPr="00993936">
        <w:rPr>
          <w:rFonts w:cs="Arial"/>
          <w:noProof/>
          <w:szCs w:val="22"/>
          <w:lang w:val="es-ES"/>
        </w:rPr>
        <w:t>Las instalaciones se limpiarán y se desinfectarán al inicio de la campaña y al menos una vez al mes en el periodo de funcionamiento.</w:t>
      </w:r>
    </w:p>
    <w:p w:rsidR="00202B3A" w:rsidRPr="00993936" w:rsidRDefault="00202B3A" w:rsidP="001D205D">
      <w:pPr>
        <w:pStyle w:val="Sangradetextonormal"/>
        <w:ind w:left="0"/>
        <w:jc w:val="both"/>
        <w:rPr>
          <w:rFonts w:cs="Arial"/>
          <w:noProof/>
          <w:szCs w:val="22"/>
          <w:lang w:val="es-ES"/>
        </w:rPr>
      </w:pPr>
      <w:r w:rsidRPr="00993936">
        <w:rPr>
          <w:rFonts w:cs="Arial"/>
          <w:szCs w:val="22"/>
          <w:lang w:val="es-ES"/>
        </w:rPr>
        <w:t>14.1.2 Cada persona operadora dispondrá de un plan</w:t>
      </w:r>
      <w:r w:rsidRPr="00993936">
        <w:rPr>
          <w:rFonts w:cs="Arial"/>
          <w:vanish/>
          <w:szCs w:val="22"/>
          <w:lang w:val="es-ES"/>
        </w:rPr>
        <w:t>&lt;A[plan|plano]&gt;</w:t>
      </w:r>
      <w:r w:rsidRPr="00993936">
        <w:rPr>
          <w:rFonts w:cs="Arial"/>
          <w:szCs w:val="22"/>
          <w:lang w:val="es-ES"/>
        </w:rPr>
        <w:t xml:space="preserve"> de limpieza, desinfección y desratización, practicado por un equipo con autorización legal para esta finalidad. El plan</w:t>
      </w:r>
      <w:r w:rsidRPr="00993936">
        <w:rPr>
          <w:rFonts w:cs="Arial"/>
          <w:vanish/>
          <w:szCs w:val="22"/>
          <w:lang w:val="es-ES"/>
        </w:rPr>
        <w:t>&lt;A[plan|plano]&gt;</w:t>
      </w:r>
      <w:r w:rsidRPr="00993936">
        <w:rPr>
          <w:rFonts w:cs="Arial"/>
          <w:szCs w:val="22"/>
          <w:lang w:val="es-ES"/>
        </w:rPr>
        <w:t xml:space="preserve"> contendrá, al menos, la información siguiente: identificación del equipo de trabajo, trabajos y su frecuencia, material y productos que se utilizarán y método de aplicación. Los cebos tienen que estar señalizados y numerados debidamente, y tiene que existir un plano de señalización.</w:t>
      </w:r>
      <w:r w:rsidRPr="00993936">
        <w:rPr>
          <w:rFonts w:cs="Arial"/>
          <w:noProof/>
          <w:szCs w:val="22"/>
          <w:lang w:val="es-ES"/>
        </w:rPr>
        <w:t xml:space="preserve"> </w:t>
      </w:r>
      <w:r w:rsidRPr="00993936">
        <w:rPr>
          <w:rFonts w:cs="Arial"/>
          <w:noProof/>
          <w:szCs w:val="22"/>
          <w:lang w:val="es-ES"/>
        </w:rPr>
        <w:tab/>
      </w:r>
    </w:p>
    <w:p w:rsidR="00202B3A" w:rsidRPr="00993936" w:rsidRDefault="00202B3A" w:rsidP="001D205D">
      <w:pPr>
        <w:pStyle w:val="Sangradetextonormal"/>
        <w:ind w:left="0"/>
        <w:jc w:val="both"/>
        <w:rPr>
          <w:rFonts w:cs="Arial"/>
          <w:noProof/>
          <w:szCs w:val="22"/>
          <w:lang w:val="es-ES"/>
        </w:rPr>
      </w:pPr>
      <w:r w:rsidRPr="00993936">
        <w:rPr>
          <w:rFonts w:cs="Arial"/>
          <w:szCs w:val="22"/>
          <w:lang w:val="es-ES"/>
        </w:rPr>
        <w:t>14.1.3 Evitar agujeros y ventanas e instalar elementos que impidan la entrada de insectos, pájaros y otros animales en las instalaciones.</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14.1.4 Las instalaciones, los equipos y las herramientas estarán en buen estado de conservación mediante un adecuado plan</w:t>
      </w:r>
      <w:r w:rsidRPr="00993936">
        <w:rPr>
          <w:rFonts w:cs="Arial"/>
          <w:noProof/>
          <w:vanish/>
          <w:szCs w:val="22"/>
          <w:lang w:val="es-ES"/>
        </w:rPr>
        <w:t>&lt;A[plan|plano]&gt;</w:t>
      </w:r>
      <w:r w:rsidRPr="00993936">
        <w:rPr>
          <w:rFonts w:cs="Arial"/>
          <w:noProof/>
          <w:szCs w:val="22"/>
          <w:lang w:val="es-ES"/>
        </w:rPr>
        <w:t xml:space="preserve"> de mantenimiento. </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14.1.5 La persona operadora tiene que tomar las medidas necesarias para evitar el contacto de los productos y de las superficies con sustancias químicas, aguas no potables u objetos extraños.</w:t>
      </w:r>
    </w:p>
    <w:p w:rsidR="00202B3A" w:rsidRPr="00993936" w:rsidRDefault="00202B3A" w:rsidP="001D205D">
      <w:pPr>
        <w:pStyle w:val="Sangradetextonormal"/>
        <w:ind w:left="0"/>
        <w:jc w:val="both"/>
        <w:rPr>
          <w:rFonts w:cs="Arial"/>
          <w:noProof/>
          <w:szCs w:val="22"/>
          <w:lang w:val="es-ES"/>
        </w:rPr>
      </w:pPr>
      <w:r w:rsidRPr="00993936">
        <w:rPr>
          <w:rFonts w:cs="Arial"/>
          <w:szCs w:val="22"/>
          <w:lang w:val="es-ES"/>
        </w:rPr>
        <w:t>14.1.6  Los recipientes de evacuación de residuos serán exclusivos para esta finalidad y se limpiarán periódicamente, de acuerdo con el plan</w:t>
      </w:r>
      <w:r w:rsidRPr="00993936">
        <w:rPr>
          <w:rFonts w:cs="Arial"/>
          <w:vanish/>
          <w:szCs w:val="22"/>
          <w:lang w:val="es-ES"/>
        </w:rPr>
        <w:t>&lt;A[plan|plano]&gt;</w:t>
      </w:r>
      <w:r w:rsidRPr="00993936">
        <w:rPr>
          <w:rFonts w:cs="Arial"/>
          <w:szCs w:val="22"/>
          <w:lang w:val="es-ES"/>
        </w:rPr>
        <w:t xml:space="preserve"> de limpieza establecido.</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14.1.7 La persona operadora tiene que disponer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mantenimiento de las instalaciones, de los equipos y de las herramientas, a fin de que en todo momento estén en buen estado de conservación.</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14.1.8 Proceder a la desinfección total del almacén como mínimo una vez al año.</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 xml:space="preserve">14.2 </w:t>
      </w:r>
      <w:r w:rsidRPr="00993936">
        <w:rPr>
          <w:rFonts w:cs="Arial"/>
          <w:i/>
          <w:noProof/>
          <w:szCs w:val="22"/>
          <w:lang w:val="es-ES"/>
        </w:rPr>
        <w:t>Prohibiciones</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14.2.1</w:t>
      </w:r>
      <w:r w:rsidRPr="00993936">
        <w:rPr>
          <w:rFonts w:cs="Arial"/>
          <w:b/>
          <w:noProof/>
          <w:szCs w:val="22"/>
          <w:lang w:val="es-ES"/>
        </w:rPr>
        <w:t xml:space="preserve"> </w:t>
      </w:r>
      <w:r w:rsidRPr="00993936">
        <w:rPr>
          <w:rFonts w:cs="Arial"/>
          <w:noProof/>
          <w:szCs w:val="22"/>
          <w:lang w:val="es-ES"/>
        </w:rPr>
        <w:t>Utilizar carretillas</w:t>
      </w:r>
      <w:r w:rsidRPr="00993936">
        <w:rPr>
          <w:rFonts w:cs="Arial"/>
          <w:noProof/>
          <w:vanish/>
          <w:szCs w:val="22"/>
          <w:lang w:val="es-ES"/>
        </w:rPr>
        <w:t>&lt;A[carretillas|carretones]&gt;</w:t>
      </w:r>
      <w:r w:rsidRPr="00993936">
        <w:rPr>
          <w:rFonts w:cs="Arial"/>
          <w:noProof/>
          <w:szCs w:val="22"/>
          <w:lang w:val="es-ES"/>
        </w:rPr>
        <w:t xml:space="preserve"> elevadoras de gasóleo dentro de los recintos cerrados de las instalaciones.</w:t>
      </w:r>
    </w:p>
    <w:p w:rsidR="00202B3A" w:rsidRPr="00993936" w:rsidRDefault="00202B3A" w:rsidP="001D205D">
      <w:pPr>
        <w:pStyle w:val="Ttulo2"/>
        <w:rPr>
          <w:rFonts w:ascii="Arial" w:hAnsi="Arial" w:cs="Arial"/>
          <w:b/>
          <w:noProof/>
          <w:color w:val="auto"/>
          <w:sz w:val="22"/>
          <w:szCs w:val="22"/>
          <w:lang w:val="es-ES"/>
        </w:rPr>
      </w:pPr>
    </w:p>
    <w:p w:rsidR="00202B3A" w:rsidRPr="00993936" w:rsidRDefault="00202B3A" w:rsidP="001D205D">
      <w:pPr>
        <w:pStyle w:val="Ttulo2"/>
        <w:rPr>
          <w:rFonts w:ascii="Arial" w:hAnsi="Arial" w:cs="Arial"/>
          <w:b/>
          <w:noProof/>
          <w:color w:val="auto"/>
          <w:sz w:val="22"/>
          <w:szCs w:val="22"/>
          <w:lang w:val="es-ES"/>
        </w:rPr>
      </w:pPr>
      <w:r w:rsidRPr="00993936">
        <w:rPr>
          <w:rFonts w:ascii="Arial" w:hAnsi="Arial" w:cs="Arial"/>
          <w:noProof/>
          <w:color w:val="auto"/>
          <w:sz w:val="22"/>
          <w:szCs w:val="22"/>
          <w:lang w:val="es-ES"/>
        </w:rPr>
        <w:t>Artículo 15</w:t>
      </w:r>
    </w:p>
    <w:p w:rsidR="00202B3A" w:rsidRPr="00993936" w:rsidRDefault="00202B3A" w:rsidP="001D205D">
      <w:pPr>
        <w:jc w:val="both"/>
        <w:outlineLvl w:val="0"/>
        <w:rPr>
          <w:rFonts w:ascii="Arial" w:hAnsi="Arial" w:cs="Arial"/>
          <w:b/>
          <w:noProof/>
          <w:snapToGrid w:val="0"/>
          <w:lang w:val="es-ES"/>
        </w:rPr>
      </w:pPr>
      <w:r w:rsidRPr="00993936">
        <w:rPr>
          <w:rFonts w:ascii="Arial" w:hAnsi="Arial" w:cs="Arial"/>
          <w:b/>
          <w:noProof/>
          <w:snapToGrid w:val="0"/>
          <w:lang w:val="es-ES"/>
        </w:rPr>
        <w:t xml:space="preserve">Equipos de tratamientos </w:t>
      </w:r>
    </w:p>
    <w:p w:rsidR="00202B3A" w:rsidRPr="00993936" w:rsidRDefault="00202B3A" w:rsidP="001D205D">
      <w:pPr>
        <w:jc w:val="both"/>
        <w:rPr>
          <w:rFonts w:ascii="Arial" w:hAnsi="Arial" w:cs="Arial"/>
          <w:noProof/>
          <w:snapToGrid w:val="0"/>
          <w:lang w:val="es-ES"/>
        </w:rPr>
      </w:pPr>
      <w:r w:rsidRPr="00993936">
        <w:rPr>
          <w:rFonts w:ascii="Arial" w:hAnsi="Arial" w:cs="Arial"/>
          <w:noProof/>
          <w:snapToGrid w:val="0"/>
          <w:lang w:val="es-ES"/>
        </w:rPr>
        <w:t xml:space="preserve">15.1 </w:t>
      </w:r>
      <w:r w:rsidRPr="00993936">
        <w:rPr>
          <w:rFonts w:ascii="Arial" w:hAnsi="Arial" w:cs="Arial"/>
          <w:i/>
          <w:noProof/>
          <w:snapToGrid w:val="0"/>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lastRenderedPageBreak/>
        <w:t>15.1.1 La maquinaria utilizada para los tratamientos fitosanitarios, abonos</w:t>
      </w:r>
      <w:r w:rsidRPr="00993936">
        <w:rPr>
          <w:rFonts w:ascii="Arial" w:hAnsi="Arial" w:cs="Arial"/>
          <w:noProof/>
          <w:vanish/>
          <w:lang w:val="es-ES"/>
        </w:rPr>
        <w:t>&lt;A[abonos|adobos]&gt;</w:t>
      </w:r>
      <w:r w:rsidRPr="00993936">
        <w:rPr>
          <w:rFonts w:ascii="Arial" w:hAnsi="Arial" w:cs="Arial"/>
          <w:noProof/>
          <w:lang w:val="es-ES"/>
        </w:rPr>
        <w:t xml:space="preserve"> foliares y otros de similares tiene que estar en buen estado de funcionamiento y someterse a una revisión y calibrado periódico. La persona operadora tiene que realizar una revisión y uno calibrado cada año validado por el/la técnico/a responsable de producción integrada, y además una vez cada cuatro años tiene que ser inspeccionada por un centro oficial o reconocido, de conformidad con las disposiciones vigentes en la materia. La inspección se efectuará de conformidad </w:t>
      </w:r>
      <w:r w:rsidRPr="00993936">
        <w:rPr>
          <w:rFonts w:ascii="Arial" w:hAnsi="Arial" w:cs="Arial"/>
          <w:noProof/>
          <w:snapToGrid w:val="0"/>
          <w:lang w:val="es-ES"/>
        </w:rPr>
        <w:t>con las normas de inspección de pulverizadores EN 13790/1 y 2, de seguridad UNE-EN-907 y de protección medioambiental UNO-EN 12761/1,2 y 3</w:t>
      </w:r>
      <w:r w:rsidRPr="00993936">
        <w:rPr>
          <w:rFonts w:ascii="Arial" w:hAnsi="Arial" w:cs="Arial"/>
          <w:noProof/>
          <w:lang w:val="es-ES"/>
        </w:rPr>
        <w:t>.</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En caso de contratar servicios externos, la persona productora les exigirá estar al corriente de las inspecciones y los calibrados estipulados a la legislación vigente de aplicación.</w:t>
      </w:r>
    </w:p>
    <w:p w:rsidR="00202B3A" w:rsidRPr="00993936" w:rsidRDefault="00202B3A" w:rsidP="001D205D">
      <w:pPr>
        <w:jc w:val="both"/>
        <w:rPr>
          <w:rFonts w:ascii="Arial" w:hAnsi="Arial" w:cs="Arial"/>
          <w:noProof/>
          <w:snapToGrid w:val="0"/>
          <w:lang w:val="es-ES"/>
        </w:rPr>
      </w:pPr>
      <w:r w:rsidRPr="00993936">
        <w:rPr>
          <w:rFonts w:ascii="Arial" w:hAnsi="Arial" w:cs="Arial"/>
          <w:noProof/>
          <w:snapToGrid w:val="0"/>
          <w:lang w:val="es-ES"/>
        </w:rPr>
        <w:t>15.1.2 Realizar revisiones periódicas de los elementos de protección y seguridad de los equipos de tratamiento, procurando un buen mantenimiento y uno calibrado esmerado.</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15.1.3  Cuando los equipos no se utilicen se tienen que mantener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no tienen que contener productos fitosanitarios.</w:t>
      </w:r>
    </w:p>
    <w:p w:rsidR="00202B3A" w:rsidRPr="00993936" w:rsidRDefault="00202B3A" w:rsidP="001D205D">
      <w:pPr>
        <w:jc w:val="both"/>
        <w:outlineLvl w:val="0"/>
        <w:rPr>
          <w:rFonts w:ascii="Arial" w:hAnsi="Arial" w:cs="Arial"/>
          <w:noProof/>
          <w:snapToGrid w:val="0"/>
          <w:lang w:val="es-ES"/>
        </w:rPr>
      </w:pPr>
      <w:r w:rsidRPr="00993936">
        <w:rPr>
          <w:rFonts w:ascii="Arial" w:hAnsi="Arial" w:cs="Arial"/>
          <w:noProof/>
          <w:snapToGrid w:val="0"/>
          <w:lang w:val="es-ES"/>
        </w:rPr>
        <w:t xml:space="preserve">15.2 </w:t>
      </w:r>
      <w:r w:rsidRPr="00993936">
        <w:rPr>
          <w:rFonts w:ascii="Arial" w:hAnsi="Arial" w:cs="Arial"/>
          <w:i/>
          <w:noProof/>
          <w:snapToGrid w:val="0"/>
          <w:lang w:val="es-ES"/>
        </w:rPr>
        <w:t>Prohibiciones</w:t>
      </w:r>
    </w:p>
    <w:p w:rsidR="00202B3A" w:rsidRPr="00993936" w:rsidRDefault="00202B3A" w:rsidP="001D205D">
      <w:pPr>
        <w:jc w:val="both"/>
        <w:outlineLvl w:val="0"/>
        <w:rPr>
          <w:rFonts w:ascii="Arial" w:hAnsi="Arial" w:cs="Arial"/>
          <w:noProof/>
          <w:snapToGrid w:val="0"/>
          <w:lang w:val="es-ES"/>
        </w:rPr>
      </w:pPr>
      <w:r w:rsidRPr="00993936">
        <w:rPr>
          <w:rFonts w:ascii="Arial" w:hAnsi="Arial" w:cs="Arial"/>
          <w:noProof/>
          <w:snapToGrid w:val="0"/>
          <w:lang w:val="es-ES"/>
        </w:rPr>
        <w:t>15.2.1 La utilización de equipos de tratamiento que tengan carencias graves en elementos de seguridad, de protección y de funcionamiento.</w:t>
      </w:r>
    </w:p>
    <w:p w:rsidR="00202B3A" w:rsidRPr="00993936" w:rsidRDefault="00202B3A" w:rsidP="001D205D">
      <w:pPr>
        <w:jc w:val="both"/>
        <w:outlineLvl w:val="0"/>
        <w:rPr>
          <w:rFonts w:ascii="Arial" w:hAnsi="Arial" w:cs="Arial"/>
          <w:noProof/>
          <w:snapToGrid w:val="0"/>
          <w:lang w:val="es-ES"/>
        </w:rPr>
      </w:pPr>
      <w:r w:rsidRPr="00993936">
        <w:rPr>
          <w:rFonts w:ascii="Arial" w:hAnsi="Arial" w:cs="Arial"/>
          <w:noProof/>
          <w:snapToGrid w:val="0"/>
          <w:lang w:val="es-ES"/>
        </w:rPr>
        <w:t xml:space="preserve">15.3 </w:t>
      </w:r>
      <w:r w:rsidRPr="00993936">
        <w:rPr>
          <w:rFonts w:ascii="Arial" w:hAnsi="Arial" w:cs="Arial"/>
          <w:i/>
          <w:noProof/>
          <w:snapToGrid w:val="0"/>
          <w:lang w:val="es-ES"/>
        </w:rPr>
        <w:t>Recomendaciones</w:t>
      </w:r>
    </w:p>
    <w:p w:rsidR="00202B3A" w:rsidRPr="00993936" w:rsidRDefault="00202B3A" w:rsidP="001D205D">
      <w:pPr>
        <w:jc w:val="both"/>
        <w:rPr>
          <w:rFonts w:ascii="Arial" w:hAnsi="Arial" w:cs="Arial"/>
          <w:noProof/>
          <w:snapToGrid w:val="0"/>
          <w:lang w:val="es-ES"/>
        </w:rPr>
      </w:pPr>
      <w:r w:rsidRPr="00993936">
        <w:rPr>
          <w:rFonts w:ascii="Arial" w:hAnsi="Arial" w:cs="Arial"/>
          <w:noProof/>
          <w:snapToGrid w:val="0"/>
          <w:lang w:val="es-ES"/>
        </w:rPr>
        <w:t>15.3.1 Los pulverizadores nuevos corresponderán a modelos certificados del Programa de Control de Características de Maquinaria de Tratamientos del Departamento de Agricultura, Ganadería y Pesca y Alimentación, o por otros programas oficiales de control.</w:t>
      </w:r>
    </w:p>
    <w:p w:rsidR="00202B3A" w:rsidRPr="00993936" w:rsidRDefault="00202B3A" w:rsidP="001D205D">
      <w:pPr>
        <w:pStyle w:val="Ttulo4"/>
        <w:rPr>
          <w:rFonts w:ascii="Arial" w:hAnsi="Arial" w:cs="Arial"/>
          <w:i w:val="0"/>
          <w:noProof/>
          <w:color w:val="auto"/>
          <w:lang w:val="es-ES"/>
        </w:rPr>
      </w:pP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16 </w:t>
      </w:r>
    </w:p>
    <w:p w:rsidR="00202B3A" w:rsidRPr="00993936" w:rsidRDefault="00202B3A" w:rsidP="001D205D">
      <w:pPr>
        <w:pStyle w:val="NormalWeb"/>
        <w:spacing w:after="0"/>
        <w:jc w:val="both"/>
        <w:rPr>
          <w:rFonts w:ascii="Arial" w:hAnsi="Arial" w:cs="Arial"/>
          <w:b/>
          <w:sz w:val="22"/>
          <w:szCs w:val="22"/>
          <w:lang w:val="es-ES"/>
        </w:rPr>
      </w:pPr>
      <w:r w:rsidRPr="00993936">
        <w:rPr>
          <w:rFonts w:ascii="Arial" w:hAnsi="Arial" w:cs="Arial"/>
          <w:b/>
          <w:sz w:val="22"/>
          <w:szCs w:val="22"/>
          <w:lang w:val="es-ES"/>
        </w:rPr>
        <w:t>Equipos de protección</w:t>
      </w:r>
    </w:p>
    <w:p w:rsidR="00202B3A" w:rsidRPr="00993936" w:rsidRDefault="00202B3A" w:rsidP="001D205D">
      <w:pPr>
        <w:pStyle w:val="NormalWeb"/>
        <w:spacing w:after="0"/>
        <w:jc w:val="both"/>
        <w:rPr>
          <w:rFonts w:ascii="Arial" w:hAnsi="Arial" w:cs="Arial"/>
          <w:b/>
          <w:i/>
          <w:sz w:val="22"/>
          <w:szCs w:val="22"/>
          <w:lang w:val="es-ES"/>
        </w:rPr>
      </w:pPr>
      <w:r w:rsidRPr="00993936">
        <w:rPr>
          <w:rFonts w:ascii="Arial" w:hAnsi="Arial" w:cs="Arial"/>
          <w:i/>
          <w:sz w:val="22"/>
          <w:szCs w:val="22"/>
          <w:lang w:val="es-ES"/>
        </w:rPr>
        <w:t>16.1 Obligaciones</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16.1.1 La persona que manipule los productos fitosanitarios tiene que utilizar un equipo adecuado para la protección personal, de acuerdo con la legislación vigente de aplicación y las indicaciones de las etiquetas de cada producto.</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16.1.2 La ropa y el equipo se almacenarán de manera que no entren en contacto con los productos fitosanitarios.</w:t>
      </w:r>
    </w:p>
    <w:p w:rsidR="00202B3A" w:rsidRPr="00993936" w:rsidRDefault="00202B3A" w:rsidP="001D205D">
      <w:pPr>
        <w:pStyle w:val="Ttulo4"/>
        <w:rPr>
          <w:rFonts w:ascii="Arial" w:hAnsi="Arial" w:cs="Arial"/>
          <w:i w:val="0"/>
          <w:noProof/>
          <w:color w:val="auto"/>
          <w:lang w:val="es-ES"/>
        </w:rPr>
      </w:pPr>
    </w:p>
    <w:p w:rsidR="00202B3A" w:rsidRPr="00993936" w:rsidRDefault="00202B3A" w:rsidP="001D205D">
      <w:pPr>
        <w:pStyle w:val="Sangradetextonormal"/>
        <w:ind w:left="0"/>
        <w:rPr>
          <w:rFonts w:cs="Arial"/>
          <w:noProof/>
          <w:szCs w:val="22"/>
          <w:lang w:val="es-ES"/>
        </w:rPr>
      </w:pPr>
      <w:r w:rsidRPr="00993936">
        <w:rPr>
          <w:rFonts w:cs="Arial"/>
          <w:noProof/>
          <w:szCs w:val="22"/>
          <w:lang w:val="es-ES"/>
        </w:rPr>
        <w:t>Artículo 17</w:t>
      </w:r>
    </w:p>
    <w:p w:rsidR="00202B3A" w:rsidRPr="00993936" w:rsidRDefault="00202B3A" w:rsidP="001D205D">
      <w:pPr>
        <w:pStyle w:val="Sangradetextonormal"/>
        <w:ind w:left="0"/>
        <w:rPr>
          <w:rFonts w:cs="Arial"/>
          <w:b/>
          <w:noProof/>
          <w:szCs w:val="22"/>
          <w:lang w:val="es-ES"/>
        </w:rPr>
      </w:pPr>
      <w:r w:rsidRPr="00993936">
        <w:rPr>
          <w:rFonts w:cs="Arial"/>
          <w:b/>
          <w:noProof/>
          <w:szCs w:val="22"/>
          <w:lang w:val="es-ES"/>
        </w:rPr>
        <w:t xml:space="preserve">Personal </w:t>
      </w:r>
    </w:p>
    <w:p w:rsidR="00202B3A" w:rsidRPr="00993936" w:rsidRDefault="00202B3A" w:rsidP="001D205D">
      <w:pPr>
        <w:pStyle w:val="Sangradetextonormal"/>
        <w:ind w:left="0"/>
        <w:jc w:val="both"/>
        <w:rPr>
          <w:rFonts w:cs="Arial"/>
          <w:i/>
          <w:noProof/>
          <w:szCs w:val="22"/>
          <w:lang w:val="es-ES"/>
        </w:rPr>
      </w:pPr>
      <w:r w:rsidRPr="00993936">
        <w:rPr>
          <w:rFonts w:cs="Arial"/>
          <w:i/>
          <w:noProof/>
          <w:szCs w:val="22"/>
          <w:lang w:val="es-ES"/>
        </w:rPr>
        <w:t>17.1 Obligaciones</w:t>
      </w:r>
    </w:p>
    <w:p w:rsidR="00202B3A" w:rsidRPr="00993936" w:rsidRDefault="00202B3A" w:rsidP="001D205D">
      <w:pPr>
        <w:pStyle w:val="Sangradetextonormal"/>
        <w:ind w:left="0"/>
        <w:jc w:val="both"/>
        <w:rPr>
          <w:rFonts w:cs="Arial"/>
          <w:noProof/>
          <w:szCs w:val="22"/>
          <w:lang w:val="es-ES"/>
        </w:rPr>
      </w:pPr>
      <w:r w:rsidRPr="00993936">
        <w:rPr>
          <w:rFonts w:cs="Arial"/>
          <w:szCs w:val="22"/>
          <w:lang w:val="es-ES"/>
        </w:rPr>
        <w:t>17.1.1 Dar instrucciones a los trabajadores y las trabajadoras que, en caso de sufrir enfermedades de transmisión alimentaria, o estar afectados, entre otras patologías, de heridas infectadas, infecciones cutáneas o diarreas, tienen que informar a la dirección.</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17.1.2 Documentar los procedimientos de actuación en el caso de accidentes o de emergencias de forma que sean comprensibles para las personas afectadas.</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17.1.3  Disponer de botiquines de primeros auxilios accesibles para los trabajadores.</w:t>
      </w:r>
    </w:p>
    <w:p w:rsidR="00202B3A" w:rsidRPr="00993936" w:rsidRDefault="00202B3A" w:rsidP="001D205D">
      <w:pPr>
        <w:pStyle w:val="Sangradetextonormal"/>
        <w:ind w:left="0"/>
        <w:jc w:val="both"/>
        <w:rPr>
          <w:rFonts w:cs="Arial"/>
          <w:szCs w:val="22"/>
          <w:lang w:val="es-ES"/>
        </w:rPr>
      </w:pPr>
      <w:r w:rsidRPr="00993936">
        <w:rPr>
          <w:rFonts w:cs="Arial"/>
          <w:szCs w:val="22"/>
          <w:lang w:val="es-ES"/>
        </w:rPr>
        <w:t xml:space="preserve">17.1.4 Fomentar la formación del personal del almacén en materia de buenas prácticas de higiene y seguridad alimentarias, y conservar un registro de las </w:t>
      </w:r>
      <w:r w:rsidRPr="00993936">
        <w:rPr>
          <w:rFonts w:cs="Arial"/>
          <w:szCs w:val="22"/>
          <w:lang w:val="es-ES"/>
        </w:rPr>
        <w:lastRenderedPageBreak/>
        <w:t>actividades formativas que ha impartido la persona operadora o una entidad externa autorizada.</w:t>
      </w:r>
    </w:p>
    <w:p w:rsidR="00202B3A" w:rsidRPr="00993936" w:rsidRDefault="00202B3A" w:rsidP="001D205D">
      <w:pPr>
        <w:pStyle w:val="Sangradetextonormal"/>
        <w:ind w:left="0"/>
        <w:jc w:val="both"/>
        <w:rPr>
          <w:rFonts w:cs="Arial"/>
          <w:noProof/>
          <w:szCs w:val="22"/>
          <w:lang w:val="es-ES"/>
        </w:rPr>
      </w:pPr>
      <w:r w:rsidRPr="00993936">
        <w:rPr>
          <w:rFonts w:cs="Arial"/>
          <w:szCs w:val="22"/>
          <w:lang w:val="es-ES"/>
        </w:rPr>
        <w:t>17.1.5 Elaborar instrucciones para sus trabajadores en las cuales se consideren los aspectos higiénicos que se tienen que respetar en cada puesto de trabajo, y de acuerdo con las características de la explotación.</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17.1.6 Disponer de un Plan</w:t>
      </w:r>
      <w:r w:rsidRPr="00993936">
        <w:rPr>
          <w:rFonts w:cs="Arial"/>
          <w:noProof/>
          <w:vanish/>
          <w:szCs w:val="22"/>
          <w:lang w:val="es-ES"/>
        </w:rPr>
        <w:t>&lt;A[Plan|Plano]&gt;</w:t>
      </w:r>
      <w:r w:rsidRPr="00993936">
        <w:rPr>
          <w:rFonts w:cs="Arial"/>
          <w:noProof/>
          <w:szCs w:val="22"/>
          <w:lang w:val="es-ES"/>
        </w:rPr>
        <w:t xml:space="preserve"> de prevención de riesgos laborales y un Plan</w:t>
      </w:r>
      <w:r w:rsidRPr="00993936">
        <w:rPr>
          <w:rFonts w:cs="Arial"/>
          <w:noProof/>
          <w:vanish/>
          <w:szCs w:val="22"/>
          <w:lang w:val="es-ES"/>
        </w:rPr>
        <w:t>&lt;A[Plan|Plano]&gt;</w:t>
      </w:r>
      <w:r w:rsidRPr="00993936">
        <w:rPr>
          <w:rFonts w:cs="Arial"/>
          <w:noProof/>
          <w:szCs w:val="22"/>
          <w:lang w:val="es-ES"/>
        </w:rPr>
        <w:t xml:space="preserve"> de APPCC (Análisis de Peligros y Puntos Críticos) implantado y aprobado, si procede</w:t>
      </w:r>
      <w:r w:rsidRPr="00993936">
        <w:rPr>
          <w:rFonts w:cs="Arial"/>
          <w:noProof/>
          <w:vanish/>
          <w:szCs w:val="22"/>
          <w:lang w:val="es-ES"/>
        </w:rPr>
        <w:t>&lt;A[pega|ocurre]&gt;</w:t>
      </w:r>
      <w:r w:rsidRPr="00993936">
        <w:rPr>
          <w:rFonts w:cs="Arial"/>
          <w:noProof/>
          <w:szCs w:val="22"/>
          <w:lang w:val="es-ES"/>
        </w:rPr>
        <w:t>, por</w:t>
      </w:r>
      <w:r w:rsidRPr="00993936">
        <w:rPr>
          <w:rFonts w:cs="Arial"/>
          <w:noProof/>
          <w:vanish/>
          <w:szCs w:val="22"/>
          <w:lang w:val="es-ES"/>
        </w:rPr>
        <w:t>&lt;A[para|por]&gt;</w:t>
      </w:r>
      <w:r w:rsidRPr="00993936">
        <w:rPr>
          <w:rFonts w:cs="Arial"/>
          <w:noProof/>
          <w:szCs w:val="22"/>
          <w:lang w:val="es-ES"/>
        </w:rPr>
        <w:t xml:space="preserve"> la autoridad competente. </w:t>
      </w:r>
    </w:p>
    <w:p w:rsidR="00202B3A" w:rsidRPr="00993936" w:rsidRDefault="00202B3A" w:rsidP="001D205D">
      <w:pPr>
        <w:rPr>
          <w:rFonts w:ascii="Arial" w:hAnsi="Arial" w:cs="Arial"/>
          <w:lang w:val="es-ES"/>
        </w:rPr>
      </w:pP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18 </w:t>
      </w:r>
    </w:p>
    <w:p w:rsidR="00202B3A" w:rsidRPr="00993936" w:rsidRDefault="00202B3A" w:rsidP="001D205D">
      <w:pPr>
        <w:pStyle w:val="NormalWeb"/>
        <w:spacing w:after="0"/>
        <w:jc w:val="both"/>
        <w:rPr>
          <w:rFonts w:ascii="Arial" w:hAnsi="Arial" w:cs="Arial"/>
          <w:b/>
          <w:sz w:val="22"/>
          <w:szCs w:val="22"/>
          <w:lang w:val="es-ES"/>
        </w:rPr>
      </w:pPr>
      <w:r w:rsidRPr="00993936">
        <w:rPr>
          <w:rFonts w:ascii="Arial" w:hAnsi="Arial" w:cs="Arial"/>
          <w:b/>
          <w:sz w:val="22"/>
          <w:szCs w:val="22"/>
          <w:lang w:val="es-ES"/>
        </w:rPr>
        <w:t>Transporte del producto vegetal y contenedores</w:t>
      </w:r>
    </w:p>
    <w:p w:rsidR="00202B3A" w:rsidRPr="00993936" w:rsidRDefault="00202B3A" w:rsidP="001D205D">
      <w:pPr>
        <w:pStyle w:val="NormalWeb"/>
        <w:spacing w:after="0"/>
        <w:jc w:val="both"/>
        <w:rPr>
          <w:rFonts w:ascii="Arial" w:hAnsi="Arial" w:cs="Arial"/>
          <w:i/>
          <w:sz w:val="22"/>
          <w:szCs w:val="22"/>
          <w:lang w:val="es-ES"/>
        </w:rPr>
      </w:pPr>
      <w:r w:rsidRPr="00993936">
        <w:rPr>
          <w:rFonts w:ascii="Arial" w:hAnsi="Arial" w:cs="Arial"/>
          <w:i/>
          <w:sz w:val="22"/>
          <w:szCs w:val="22"/>
          <w:lang w:val="es-ES"/>
        </w:rPr>
        <w:t>18.1 Obligaciones</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18.1.1  Los receptáculos y contenedores de los vehículos utilizados para transportar los cereales tienen que estar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en condiciones adecuadas de mantenimiento, para protegerlos de la contaminación. Su forma y composición tiene que permitir una limpieza y desinfección adecuadas.</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18.1.2 Cuando se utilicen los receptáculos de vehículos o contenedores para transportar una carga diferente de cereales o de productos alimentarios, se tiene que proceder a una limpieza eficaz entre las cargas para evitar el riesgo de contaminación.</w:t>
      </w:r>
    </w:p>
    <w:p w:rsidR="00202B3A" w:rsidRPr="00993936" w:rsidRDefault="00202B3A" w:rsidP="001D205D">
      <w:pPr>
        <w:pStyle w:val="Ttulo4"/>
        <w:rPr>
          <w:rFonts w:ascii="Arial" w:hAnsi="Arial" w:cs="Arial"/>
          <w:i w:val="0"/>
          <w:noProof/>
          <w:color w:val="auto"/>
          <w:lang w:val="es-ES"/>
        </w:rPr>
      </w:pPr>
    </w:p>
    <w:p w:rsidR="00202B3A" w:rsidRPr="00993936" w:rsidRDefault="00202B3A" w:rsidP="001D205D">
      <w:pPr>
        <w:pStyle w:val="Ttulo2"/>
        <w:rPr>
          <w:rFonts w:ascii="Arial" w:hAnsi="Arial" w:cs="Arial"/>
          <w:b/>
          <w:noProof/>
          <w:color w:val="auto"/>
          <w:sz w:val="22"/>
          <w:szCs w:val="22"/>
          <w:lang w:val="es-ES"/>
        </w:rPr>
      </w:pPr>
      <w:r w:rsidRPr="00993936">
        <w:rPr>
          <w:rFonts w:ascii="Arial" w:hAnsi="Arial" w:cs="Arial"/>
          <w:noProof/>
          <w:color w:val="auto"/>
          <w:sz w:val="22"/>
          <w:szCs w:val="22"/>
          <w:lang w:val="es-ES"/>
        </w:rPr>
        <w:t>Artículo 19</w:t>
      </w:r>
    </w:p>
    <w:p w:rsidR="00202B3A" w:rsidRPr="00993936" w:rsidRDefault="00202B3A" w:rsidP="001D205D">
      <w:pPr>
        <w:pStyle w:val="Ttulo2"/>
        <w:rPr>
          <w:rFonts w:ascii="Arial" w:hAnsi="Arial" w:cs="Arial"/>
          <w:b/>
          <w:noProof/>
          <w:color w:val="auto"/>
          <w:sz w:val="22"/>
          <w:szCs w:val="22"/>
          <w:lang w:val="es-ES"/>
        </w:rPr>
      </w:pPr>
      <w:r w:rsidRPr="00993936">
        <w:rPr>
          <w:rFonts w:ascii="Arial" w:hAnsi="Arial" w:cs="Arial"/>
          <w:b/>
          <w:noProof/>
          <w:color w:val="auto"/>
          <w:sz w:val="22"/>
          <w:szCs w:val="22"/>
          <w:lang w:val="es-ES"/>
        </w:rPr>
        <w:t>Almacenamiento de productos fitosanitarios y fertilizantes</w:t>
      </w:r>
    </w:p>
    <w:p w:rsidR="00202B3A" w:rsidRPr="00993936" w:rsidRDefault="00202B3A" w:rsidP="001D205D">
      <w:pPr>
        <w:jc w:val="both"/>
        <w:rPr>
          <w:rFonts w:ascii="Arial" w:hAnsi="Arial" w:cs="Arial"/>
          <w:i/>
          <w:noProof/>
          <w:lang w:val="es-ES"/>
        </w:rPr>
      </w:pPr>
      <w:r w:rsidRPr="00993936">
        <w:rPr>
          <w:rFonts w:ascii="Arial" w:hAnsi="Arial" w:cs="Arial"/>
          <w:noProof/>
          <w:lang w:val="es-ES"/>
        </w:rPr>
        <w:t xml:space="preserve">19.1 </w:t>
      </w:r>
      <w:r w:rsidRPr="00993936">
        <w:rPr>
          <w:rFonts w:ascii="Arial" w:hAnsi="Arial" w:cs="Arial"/>
          <w:i/>
          <w:noProof/>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19.1.1 </w:t>
      </w:r>
      <w:r w:rsidRPr="00993936">
        <w:rPr>
          <w:rFonts w:ascii="Arial" w:hAnsi="Arial" w:cs="Arial"/>
          <w:i/>
          <w:noProof/>
          <w:u w:val="single"/>
          <w:lang w:val="es-ES"/>
        </w:rPr>
        <w:t>Condiciones de almacenamiento</w:t>
      </w:r>
      <w:r w:rsidRPr="00993936">
        <w:rPr>
          <w:rFonts w:ascii="Arial" w:hAnsi="Arial" w:cs="Arial"/>
          <w:i/>
          <w:noProof/>
          <w:lang w:val="es-ES"/>
        </w:rPr>
        <w:t>:</w:t>
      </w:r>
    </w:p>
    <w:p w:rsidR="00202B3A" w:rsidRPr="00993936" w:rsidRDefault="00202B3A" w:rsidP="001D205D">
      <w:pPr>
        <w:jc w:val="both"/>
        <w:rPr>
          <w:rFonts w:ascii="Arial" w:hAnsi="Arial" w:cs="Arial"/>
          <w:noProof/>
          <w:lang w:val="es-ES"/>
        </w:rPr>
      </w:pPr>
      <w:r w:rsidRPr="00993936">
        <w:rPr>
          <w:rFonts w:ascii="Arial" w:hAnsi="Arial" w:cs="Arial"/>
          <w:noProof/>
          <w:lang w:val="es-ES"/>
        </w:rPr>
        <w:t>19.1.1.1 Los productos fitosanitarios y fertilizantes tendrán que almacenarse en un lugar</w:t>
      </w:r>
      <w:r w:rsidRPr="00993936">
        <w:rPr>
          <w:rFonts w:ascii="Arial" w:hAnsi="Arial" w:cs="Arial"/>
          <w:noProof/>
          <w:vanish/>
          <w:lang w:val="es-ES"/>
        </w:rPr>
        <w:t>&lt;A[lugar|sitio]&gt;</w:t>
      </w:r>
      <w:r w:rsidRPr="00993936">
        <w:rPr>
          <w:rFonts w:ascii="Arial" w:hAnsi="Arial" w:cs="Arial"/>
          <w:noProof/>
          <w:lang w:val="es-ES"/>
        </w:rPr>
        <w:t xml:space="preserve"> cerrado, separados de los cereales, para evitar cualquier riesgo de contaminación. </w:t>
      </w:r>
    </w:p>
    <w:p w:rsidR="00202B3A" w:rsidRPr="00993936" w:rsidRDefault="00202B3A" w:rsidP="001D205D">
      <w:pPr>
        <w:jc w:val="both"/>
        <w:rPr>
          <w:rFonts w:ascii="Arial" w:hAnsi="Arial" w:cs="Arial"/>
          <w:noProof/>
          <w:lang w:val="es-ES"/>
        </w:rPr>
      </w:pPr>
      <w:r w:rsidRPr="00993936">
        <w:rPr>
          <w:rFonts w:ascii="Arial" w:hAnsi="Arial" w:cs="Arial"/>
          <w:noProof/>
          <w:lang w:val="es-ES"/>
        </w:rPr>
        <w:t>19.1.1.2 El almacén dispondrá de llave y ventilación permanente y suficiente.</w:t>
      </w:r>
    </w:p>
    <w:p w:rsidR="00202B3A" w:rsidRPr="00993936" w:rsidRDefault="00202B3A" w:rsidP="001D205D">
      <w:pPr>
        <w:jc w:val="both"/>
        <w:rPr>
          <w:rFonts w:ascii="Arial" w:hAnsi="Arial" w:cs="Arial"/>
          <w:noProof/>
          <w:lang w:val="es-ES"/>
        </w:rPr>
      </w:pPr>
      <w:r w:rsidRPr="00993936">
        <w:rPr>
          <w:rFonts w:ascii="Arial" w:hAnsi="Arial" w:cs="Arial"/>
          <w:lang w:val="es-ES"/>
        </w:rPr>
        <w:t>19.1.1.3  El almacenamiento tiene que disponer de medios para retener posibles derrames</w:t>
      </w:r>
      <w:r w:rsidRPr="00993936">
        <w:rPr>
          <w:rFonts w:ascii="Arial" w:hAnsi="Arial" w:cs="Arial"/>
          <w:vanish/>
          <w:lang w:val="es-ES"/>
        </w:rPr>
        <w:t>&lt;A[derrames|vertidos]&gt;</w:t>
      </w:r>
      <w:r w:rsidRPr="00993936">
        <w:rPr>
          <w:rFonts w:ascii="Arial" w:hAnsi="Arial" w:cs="Arial"/>
          <w:lang w:val="es-ES"/>
        </w:rPr>
        <w:t xml:space="preserve"> accidentales.</w:t>
      </w:r>
    </w:p>
    <w:p w:rsidR="00202B3A" w:rsidRPr="00993936" w:rsidRDefault="00202B3A" w:rsidP="001D205D">
      <w:pPr>
        <w:jc w:val="both"/>
        <w:rPr>
          <w:rFonts w:ascii="Arial" w:hAnsi="Arial" w:cs="Arial"/>
          <w:noProof/>
          <w:lang w:val="es-ES"/>
        </w:rPr>
      </w:pPr>
      <w:r w:rsidRPr="00993936">
        <w:rPr>
          <w:rFonts w:ascii="Arial" w:hAnsi="Arial" w:cs="Arial"/>
          <w:noProof/>
          <w:lang w:val="es-ES"/>
        </w:rPr>
        <w:t>19.1.1.4 La zona del almacén tiene que estar debidamente señalizada haciendo una especial insistencia en la prohibición de acceso a personas no autorizadas.</w:t>
      </w:r>
    </w:p>
    <w:p w:rsidR="00202B3A" w:rsidRPr="00993936" w:rsidRDefault="00202B3A" w:rsidP="001D205D">
      <w:pPr>
        <w:jc w:val="both"/>
        <w:rPr>
          <w:rFonts w:ascii="Arial" w:hAnsi="Arial" w:cs="Arial"/>
          <w:b/>
          <w:noProof/>
          <w:lang w:val="es-ES"/>
        </w:rPr>
      </w:pPr>
      <w:r w:rsidRPr="00993936">
        <w:rPr>
          <w:rFonts w:ascii="Arial" w:hAnsi="Arial" w:cs="Arial"/>
          <w:noProof/>
          <w:lang w:val="es-ES"/>
        </w:rPr>
        <w:t>19.1.1.5 En el almacenamiento de productos fitosanitarios se tienen que tener en cuenta además el resto de obligaciones que establece el artículo 40 del RD 1311/2012.</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19.1.2 </w:t>
      </w:r>
      <w:r w:rsidRPr="00993936">
        <w:rPr>
          <w:rFonts w:ascii="Arial" w:hAnsi="Arial" w:cs="Arial"/>
          <w:i/>
          <w:noProof/>
          <w:u w:val="single"/>
          <w:lang w:val="es-ES"/>
        </w:rPr>
        <w:t>Almacenamiento de productos</w:t>
      </w:r>
      <w:r w:rsidRPr="00993936">
        <w:rPr>
          <w:rFonts w:ascii="Arial" w:hAnsi="Arial" w:cs="Arial"/>
          <w:i/>
          <w:noProof/>
          <w:lang w:val="es-ES"/>
        </w:rPr>
        <w:t>:</w:t>
      </w:r>
    </w:p>
    <w:p w:rsidR="00202B3A" w:rsidRPr="00993936" w:rsidRDefault="00202B3A" w:rsidP="001D205D">
      <w:pPr>
        <w:jc w:val="both"/>
        <w:rPr>
          <w:rFonts w:ascii="Arial" w:hAnsi="Arial" w:cs="Arial"/>
          <w:noProof/>
          <w:lang w:val="es-ES"/>
        </w:rPr>
      </w:pPr>
      <w:r w:rsidRPr="00993936">
        <w:rPr>
          <w:rFonts w:ascii="Arial" w:hAnsi="Arial" w:cs="Arial"/>
          <w:noProof/>
          <w:lang w:val="es-ES"/>
        </w:rPr>
        <w:t>19.1.2.1 Los fitosanitarios tienen que mantenerse dentro de su envase original y las etiquetas tienen que ser perfectamente legibles.</w:t>
      </w:r>
    </w:p>
    <w:p w:rsidR="00202B3A" w:rsidRPr="00993936" w:rsidRDefault="00202B3A" w:rsidP="001D205D">
      <w:pPr>
        <w:jc w:val="both"/>
        <w:rPr>
          <w:rFonts w:ascii="Arial" w:hAnsi="Arial" w:cs="Arial"/>
          <w:noProof/>
          <w:lang w:val="es-ES"/>
        </w:rPr>
      </w:pPr>
      <w:r w:rsidRPr="00993936">
        <w:rPr>
          <w:rFonts w:ascii="Arial" w:hAnsi="Arial" w:cs="Arial"/>
          <w:noProof/>
          <w:lang w:val="es-ES"/>
        </w:rPr>
        <w:t>19.1.2.2 Los productos fitosanitarios y fertilizantes tienen que estar debidamente etiquetados, ordenados y separados físicamente.</w:t>
      </w:r>
    </w:p>
    <w:p w:rsidR="00202B3A" w:rsidRPr="00993936" w:rsidRDefault="00202B3A" w:rsidP="001D205D">
      <w:pPr>
        <w:jc w:val="both"/>
        <w:rPr>
          <w:rFonts w:ascii="Arial" w:hAnsi="Arial" w:cs="Arial"/>
          <w:noProof/>
          <w:lang w:val="es-ES"/>
        </w:rPr>
      </w:pPr>
      <w:r w:rsidRPr="00993936">
        <w:rPr>
          <w:rFonts w:ascii="Arial" w:hAnsi="Arial" w:cs="Arial"/>
          <w:noProof/>
          <w:lang w:val="es-ES"/>
        </w:rPr>
        <w:t>19.1.2.3 Los fitosanitarios en polvo tienen que almacenarse en estantes situados por encima de los líquidos.</w:t>
      </w:r>
    </w:p>
    <w:p w:rsidR="00202B3A" w:rsidRPr="00993936" w:rsidRDefault="00202B3A" w:rsidP="001D205D">
      <w:pPr>
        <w:jc w:val="both"/>
        <w:rPr>
          <w:rFonts w:ascii="Arial" w:hAnsi="Arial" w:cs="Arial"/>
          <w:noProof/>
          <w:lang w:val="es-ES"/>
        </w:rPr>
      </w:pPr>
      <w:r w:rsidRPr="00993936">
        <w:rPr>
          <w:rFonts w:ascii="Arial" w:hAnsi="Arial" w:cs="Arial"/>
          <w:noProof/>
          <w:lang w:val="es-ES"/>
        </w:rPr>
        <w:lastRenderedPageBreak/>
        <w:t xml:space="preserve">19.1.2.4 </w:t>
      </w:r>
      <w:r w:rsidRPr="00993936">
        <w:rPr>
          <w:rFonts w:ascii="Arial" w:hAnsi="Arial" w:cs="Arial"/>
          <w:lang w:val="es-ES"/>
        </w:rPr>
        <w:t>La conservación de los justificantes de las compras y gastos de los productos fitosanitarios reflejados en el cuaderno de explotación es obligatoria durante tres años.</w:t>
      </w:r>
    </w:p>
    <w:p w:rsidR="00202B3A" w:rsidRPr="00993936" w:rsidRDefault="00202B3A" w:rsidP="001D205D">
      <w:pPr>
        <w:jc w:val="both"/>
        <w:rPr>
          <w:rFonts w:ascii="Arial" w:hAnsi="Arial" w:cs="Arial"/>
          <w:noProof/>
          <w:lang w:val="es-ES"/>
        </w:rPr>
      </w:pPr>
      <w:r w:rsidRPr="00993936">
        <w:rPr>
          <w:rFonts w:ascii="Arial" w:hAnsi="Arial" w:cs="Arial"/>
          <w:noProof/>
          <w:lang w:val="es-ES"/>
        </w:rPr>
        <w:t>19.1.2.5 En el caso de existir almacén de productos fitosanitarios y/o fertilizantes en los lugares</w:t>
      </w:r>
      <w:r w:rsidRPr="00993936">
        <w:rPr>
          <w:rFonts w:ascii="Arial" w:hAnsi="Arial" w:cs="Arial"/>
          <w:noProof/>
          <w:vanish/>
          <w:lang w:val="es-ES"/>
        </w:rPr>
        <w:t>&lt;A[lugares|sitios]&gt;</w:t>
      </w:r>
      <w:r w:rsidRPr="00993936">
        <w:rPr>
          <w:rFonts w:ascii="Arial" w:hAnsi="Arial" w:cs="Arial"/>
          <w:noProof/>
          <w:lang w:val="es-ES"/>
        </w:rPr>
        <w:t xml:space="preserve"> de almacenamiento de los cereales, se aplicarán las obligaciones de la RTS (Reglamentación técnica sanitaria) y las del RD 1311/2012.</w:t>
      </w:r>
    </w:p>
    <w:p w:rsidR="00202B3A" w:rsidRPr="00993936" w:rsidRDefault="00202B3A" w:rsidP="001D205D">
      <w:pPr>
        <w:pStyle w:val="Ttulo1"/>
        <w:rPr>
          <w:rFonts w:ascii="Arial" w:eastAsiaTheme="minorHAnsi" w:hAnsi="Arial" w:cs="Arial"/>
          <w:i/>
          <w:noProof/>
          <w:color w:val="auto"/>
          <w:sz w:val="22"/>
          <w:szCs w:val="22"/>
          <w:lang w:val="es-ES"/>
        </w:rPr>
      </w:pPr>
      <w:r w:rsidRPr="00993936">
        <w:rPr>
          <w:rFonts w:ascii="Arial" w:eastAsiaTheme="minorHAnsi" w:hAnsi="Arial" w:cs="Arial"/>
          <w:i/>
          <w:noProof/>
          <w:color w:val="auto"/>
          <w:sz w:val="22"/>
          <w:szCs w:val="22"/>
          <w:lang w:val="es-ES"/>
        </w:rPr>
        <w:t>19.2 Recomendaciones</w:t>
      </w:r>
    </w:p>
    <w:p w:rsidR="00202B3A" w:rsidRPr="00993936" w:rsidRDefault="00202B3A" w:rsidP="001D205D">
      <w:pPr>
        <w:pStyle w:val="Ttulo1"/>
        <w:rPr>
          <w:rFonts w:ascii="Arial" w:eastAsiaTheme="minorHAnsi" w:hAnsi="Arial" w:cs="Arial"/>
          <w:noProof/>
          <w:color w:val="auto"/>
          <w:sz w:val="22"/>
          <w:szCs w:val="22"/>
          <w:lang w:val="es-ES"/>
        </w:rPr>
      </w:pPr>
      <w:r w:rsidRPr="00993936">
        <w:rPr>
          <w:rFonts w:ascii="Arial" w:eastAsiaTheme="minorHAnsi" w:hAnsi="Arial" w:cs="Arial"/>
          <w:noProof/>
          <w:color w:val="auto"/>
          <w:sz w:val="22"/>
          <w:szCs w:val="22"/>
          <w:lang w:val="es-ES"/>
        </w:rPr>
        <w:t>19.2.1 No almacenar los productos fitosanitarios ni fertilizantes en contacto con el suelo.</w:t>
      </w:r>
    </w:p>
    <w:p w:rsidR="00202B3A" w:rsidRPr="00993936" w:rsidRDefault="00202B3A" w:rsidP="001D205D">
      <w:pPr>
        <w:jc w:val="both"/>
        <w:rPr>
          <w:rFonts w:ascii="Arial" w:hAnsi="Arial" w:cs="Arial"/>
          <w:noProof/>
          <w:lang w:val="es-ES"/>
        </w:rPr>
      </w:pPr>
      <w:r w:rsidRPr="00993936">
        <w:rPr>
          <w:rFonts w:ascii="Arial" w:hAnsi="Arial" w:cs="Arial"/>
          <w:noProof/>
          <w:lang w:val="es-ES"/>
        </w:rPr>
        <w:t>19.2.2 Utilizar estantes de almacén de materiales no absorbentes.</w:t>
      </w:r>
    </w:p>
    <w:p w:rsidR="00202B3A" w:rsidRPr="00993936" w:rsidRDefault="00202B3A" w:rsidP="001D205D">
      <w:pPr>
        <w:jc w:val="both"/>
        <w:rPr>
          <w:rFonts w:ascii="Arial" w:hAnsi="Arial" w:cs="Arial"/>
          <w:noProof/>
          <w:lang w:val="es-ES"/>
        </w:rPr>
      </w:pPr>
      <w:r w:rsidRPr="00993936">
        <w:rPr>
          <w:rFonts w:ascii="Arial" w:hAnsi="Arial" w:cs="Arial"/>
          <w:noProof/>
          <w:lang w:val="es-ES"/>
        </w:rPr>
        <w:t>19.2.3 No almacenar productos innecesariamente.</w:t>
      </w:r>
    </w:p>
    <w:p w:rsidR="00202B3A" w:rsidRPr="00993936" w:rsidRDefault="00202B3A" w:rsidP="001D205D">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20</w:t>
      </w:r>
    </w:p>
    <w:p w:rsidR="00202B3A" w:rsidRPr="00993936" w:rsidRDefault="00202B3A" w:rsidP="001D205D">
      <w:pPr>
        <w:pStyle w:val="NormalWeb"/>
        <w:spacing w:after="0"/>
        <w:jc w:val="both"/>
        <w:rPr>
          <w:rFonts w:ascii="Arial" w:hAnsi="Arial" w:cs="Arial"/>
          <w:b/>
          <w:sz w:val="22"/>
          <w:szCs w:val="22"/>
          <w:lang w:val="es-ES"/>
        </w:rPr>
      </w:pPr>
      <w:r w:rsidRPr="00993936">
        <w:rPr>
          <w:rFonts w:ascii="Arial" w:hAnsi="Arial" w:cs="Arial"/>
          <w:b/>
          <w:sz w:val="22"/>
          <w:szCs w:val="22"/>
          <w:lang w:val="es-ES"/>
        </w:rPr>
        <w:t>Señalización de seguridad</w:t>
      </w:r>
    </w:p>
    <w:p w:rsidR="00202B3A" w:rsidRPr="00993936" w:rsidRDefault="00202B3A" w:rsidP="001D205D">
      <w:pPr>
        <w:pStyle w:val="NormalWeb"/>
        <w:spacing w:after="0"/>
        <w:jc w:val="both"/>
        <w:rPr>
          <w:rFonts w:ascii="Arial" w:hAnsi="Arial" w:cs="Arial"/>
          <w:i/>
          <w:sz w:val="22"/>
          <w:szCs w:val="22"/>
          <w:lang w:val="es-ES"/>
        </w:rPr>
      </w:pPr>
      <w:r w:rsidRPr="00993936">
        <w:rPr>
          <w:rFonts w:ascii="Arial" w:hAnsi="Arial" w:cs="Arial"/>
          <w:i/>
          <w:sz w:val="22"/>
          <w:szCs w:val="22"/>
          <w:lang w:val="es-ES"/>
        </w:rPr>
        <w:t>20.1 Obligaciones</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20.1.1 Utilizar las señalizaciones que prevé la legislación vigente.</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20.1.2 En el almacén de productos fitosanitarios tienen que estar presentes, de manera accesible y legible, las normas generales de actuación en caso de intoxicación y vertido accidental, y es obligatorio disponer de los números de teléfono del Instituto de Toxicología y de otros organismos que puedan ser competentes en esta materia.</w:t>
      </w:r>
    </w:p>
    <w:p w:rsidR="00202B3A" w:rsidRPr="00993936" w:rsidRDefault="00202B3A" w:rsidP="001D205D">
      <w:pPr>
        <w:jc w:val="both"/>
        <w:rPr>
          <w:rFonts w:ascii="Arial" w:hAnsi="Arial" w:cs="Arial"/>
          <w:lang w:val="es-ES"/>
        </w:rPr>
      </w:pPr>
    </w:p>
    <w:p w:rsidR="00202B3A" w:rsidRPr="00993936" w:rsidRDefault="00202B3A" w:rsidP="00202B3A">
      <w:pPr>
        <w:numPr>
          <w:ilvl w:val="0"/>
          <w:numId w:val="16"/>
        </w:numPr>
        <w:spacing w:after="0" w:line="240" w:lineRule="auto"/>
        <w:jc w:val="both"/>
        <w:rPr>
          <w:rFonts w:ascii="Arial" w:hAnsi="Arial" w:cs="Arial"/>
          <w:b/>
          <w:noProof/>
          <w:lang w:val="es-ES"/>
        </w:rPr>
      </w:pPr>
      <w:r w:rsidRPr="00993936">
        <w:rPr>
          <w:rFonts w:ascii="Arial" w:hAnsi="Arial" w:cs="Arial"/>
          <w:b/>
          <w:noProof/>
          <w:lang w:val="es-ES"/>
        </w:rPr>
        <w:t xml:space="preserve">ALMACENAMIENTO Y CONSERVACIÓN DE LOS CEREALES </w:t>
      </w:r>
    </w:p>
    <w:p w:rsidR="00202B3A" w:rsidRPr="00993936" w:rsidRDefault="00202B3A" w:rsidP="001D205D">
      <w:pPr>
        <w:jc w:val="both"/>
        <w:rPr>
          <w:rFonts w:ascii="Arial" w:hAnsi="Arial" w:cs="Arial"/>
          <w:noProof/>
          <w:lang w:val="es-ES"/>
        </w:rPr>
      </w:pPr>
      <w:r w:rsidRPr="00993936">
        <w:rPr>
          <w:rFonts w:ascii="Arial" w:hAnsi="Arial" w:cs="Arial"/>
          <w:noProof/>
          <w:lang w:val="es-ES" w:eastAsia="es-ES"/>
        </w:rPr>
        <mc:AlternateContent>
          <mc:Choice Requires="wps">
            <w:drawing>
              <wp:anchor distT="0" distB="0" distL="114300" distR="114300" simplePos="0" relativeHeight="251882496" behindDoc="0" locked="0" layoutInCell="1" allowOverlap="1">
                <wp:simplePos x="0" y="0"/>
                <wp:positionH relativeFrom="column">
                  <wp:posOffset>0</wp:posOffset>
                </wp:positionH>
                <wp:positionV relativeFrom="paragraph">
                  <wp:posOffset>-2383790</wp:posOffset>
                </wp:positionV>
                <wp:extent cx="0" cy="114300"/>
                <wp:effectExtent l="0" t="0" r="0" b="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66A35E" id="Line 19"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7pt" to="0,-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"/>
            </w:pict>
          </mc:Fallback>
        </mc:AlternateContent>
      </w:r>
    </w:p>
    <w:p w:rsidR="00202B3A" w:rsidRPr="00993936" w:rsidRDefault="00202B3A" w:rsidP="001D205D">
      <w:pPr>
        <w:pStyle w:val="Ttulo2"/>
        <w:rPr>
          <w:rFonts w:ascii="Arial" w:hAnsi="Arial" w:cs="Arial"/>
          <w:b/>
          <w:noProof/>
          <w:color w:val="auto"/>
          <w:sz w:val="22"/>
          <w:szCs w:val="22"/>
          <w:lang w:val="es-ES"/>
        </w:rPr>
      </w:pPr>
      <w:r w:rsidRPr="00993936">
        <w:rPr>
          <w:rFonts w:ascii="Arial" w:hAnsi="Arial" w:cs="Arial"/>
          <w:noProof/>
          <w:color w:val="auto"/>
          <w:sz w:val="22"/>
          <w:szCs w:val="22"/>
          <w:lang w:val="es-ES"/>
        </w:rPr>
        <w:t xml:space="preserve">Artículo 21 </w:t>
      </w:r>
    </w:p>
    <w:p w:rsidR="00202B3A" w:rsidRPr="00993936" w:rsidRDefault="00202B3A" w:rsidP="001D205D">
      <w:pPr>
        <w:jc w:val="both"/>
        <w:rPr>
          <w:rFonts w:ascii="Arial" w:hAnsi="Arial" w:cs="Arial"/>
          <w:b/>
          <w:noProof/>
          <w:lang w:val="es-ES"/>
        </w:rPr>
      </w:pPr>
      <w:r w:rsidRPr="00993936">
        <w:rPr>
          <w:rFonts w:ascii="Arial" w:hAnsi="Arial" w:cs="Arial"/>
          <w:b/>
          <w:noProof/>
          <w:lang w:val="es-ES"/>
        </w:rPr>
        <w:t>Transporte y recepción en el almacén</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21.1 </w:t>
      </w:r>
      <w:r w:rsidRPr="00993936">
        <w:rPr>
          <w:rFonts w:ascii="Arial" w:hAnsi="Arial" w:cs="Arial"/>
          <w:i/>
          <w:noProof/>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21.1.1 Los vehículos que lleguen a las instalaciones tienen que estar en condiciones de higiene adecuadas y cargados exclusivamente con cereales.</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21.1.2 Habrá una separación física, definida y señalizada, de los cereales que proceden de producción integrada.</w:t>
      </w:r>
    </w:p>
    <w:p w:rsidR="00202B3A" w:rsidRPr="00993936" w:rsidRDefault="00202B3A" w:rsidP="001D205D">
      <w:pPr>
        <w:jc w:val="both"/>
        <w:rPr>
          <w:rFonts w:ascii="Arial" w:hAnsi="Arial" w:cs="Arial"/>
          <w:noProof/>
          <w:lang w:val="es-ES"/>
        </w:rPr>
      </w:pPr>
      <w:r w:rsidRPr="00993936">
        <w:rPr>
          <w:rFonts w:ascii="Arial" w:hAnsi="Arial" w:cs="Arial"/>
          <w:noProof/>
          <w:lang w:val="es-ES"/>
        </w:rPr>
        <w:t>21.1.3 Realizar una inspección visual de las partidas de cereales cuando lleguen a la recepción, establecer un sistema de verificación de la calidad de los productos que entran. Habrá un registro de incidencias en el caso de incumplimiento. Las partidas que no cumplan los requisitos anteriores se dejarán de considerar como de producción integrada.</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21.1.4  Antes de cargar todos los elementos de transporte tienen que estar limpios</w:t>
      </w:r>
      <w:r w:rsidRPr="00993936">
        <w:rPr>
          <w:rFonts w:ascii="Arial" w:hAnsi="Arial" w:cs="Arial"/>
          <w:vanish/>
          <w:sz w:val="22"/>
          <w:szCs w:val="22"/>
          <w:lang w:val="es-ES"/>
        </w:rPr>
        <w:t>&lt;A[limpios|netos]&gt;</w:t>
      </w:r>
      <w:r w:rsidRPr="00993936">
        <w:rPr>
          <w:rFonts w:ascii="Arial" w:hAnsi="Arial" w:cs="Arial"/>
          <w:sz w:val="22"/>
          <w:szCs w:val="22"/>
          <w:lang w:val="es-ES"/>
        </w:rPr>
        <w:t>, en buen estado y exentos de plagas y objetos extraños.</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21.2. </w:t>
      </w:r>
      <w:r w:rsidRPr="00993936">
        <w:rPr>
          <w:rFonts w:ascii="Arial" w:hAnsi="Arial" w:cs="Arial"/>
          <w:i/>
          <w:noProof/>
          <w:lang w:val="es-ES"/>
        </w:rPr>
        <w:t>Prohibiciones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21.2.1 Almacenar productos químicos y desperdicios en la zona de recepción de cereales.</w:t>
      </w:r>
    </w:p>
    <w:p w:rsidR="00202B3A" w:rsidRPr="00993936" w:rsidRDefault="00202B3A" w:rsidP="001D205D">
      <w:pPr>
        <w:rPr>
          <w:rFonts w:ascii="Arial" w:hAnsi="Arial" w:cs="Arial"/>
          <w:lang w:val="es-ES"/>
        </w:rPr>
      </w:pPr>
    </w:p>
    <w:p w:rsidR="00202B3A" w:rsidRPr="00993936" w:rsidRDefault="00202B3A" w:rsidP="001D205D">
      <w:pPr>
        <w:pStyle w:val="Ttulo4"/>
        <w:rPr>
          <w:rFonts w:ascii="Arial" w:hAnsi="Arial" w:cs="Arial"/>
          <w:i w:val="0"/>
          <w:color w:val="auto"/>
          <w:lang w:val="es-ES"/>
        </w:rPr>
      </w:pPr>
      <w:r w:rsidRPr="00993936">
        <w:rPr>
          <w:rFonts w:ascii="Arial" w:hAnsi="Arial" w:cs="Arial"/>
          <w:i w:val="0"/>
          <w:color w:val="auto"/>
          <w:lang w:val="es-ES"/>
        </w:rPr>
        <w:lastRenderedPageBreak/>
        <w:t>Artículo 22</w:t>
      </w:r>
    </w:p>
    <w:p w:rsidR="00202B3A" w:rsidRPr="00993936" w:rsidRDefault="00202B3A" w:rsidP="001D205D">
      <w:pPr>
        <w:pStyle w:val="Ttulo4"/>
        <w:rPr>
          <w:rFonts w:ascii="Arial" w:hAnsi="Arial" w:cs="Arial"/>
          <w:b/>
          <w:i w:val="0"/>
          <w:color w:val="auto"/>
          <w:lang w:val="es-ES"/>
        </w:rPr>
      </w:pPr>
      <w:r w:rsidRPr="00993936">
        <w:rPr>
          <w:rFonts w:ascii="Arial" w:hAnsi="Arial" w:cs="Arial"/>
          <w:b/>
          <w:i w:val="0"/>
          <w:color w:val="auto"/>
          <w:lang w:val="es-ES"/>
        </w:rPr>
        <w:t>Tratamientos de posrecolección</w:t>
      </w:r>
    </w:p>
    <w:p w:rsidR="00202B3A" w:rsidRPr="00993936" w:rsidRDefault="00202B3A" w:rsidP="001D205D">
      <w:pPr>
        <w:pStyle w:val="Ttulo4"/>
        <w:rPr>
          <w:rFonts w:ascii="Arial" w:hAnsi="Arial" w:cs="Arial"/>
          <w:b/>
          <w:i w:val="0"/>
          <w:color w:val="auto"/>
          <w:lang w:val="es-ES"/>
        </w:rPr>
      </w:pPr>
      <w:r w:rsidRPr="00993936">
        <w:rPr>
          <w:rFonts w:ascii="Arial" w:hAnsi="Arial" w:cs="Arial"/>
          <w:noProof/>
          <w:color w:val="auto"/>
          <w:lang w:val="es-ES"/>
        </w:rPr>
        <w:t>22.1 Obligaciones</w:t>
      </w:r>
    </w:p>
    <w:p w:rsidR="00202B3A" w:rsidRPr="00993936" w:rsidRDefault="00202B3A" w:rsidP="001D205D">
      <w:pPr>
        <w:pStyle w:val="Textoindependiente"/>
        <w:rPr>
          <w:rFonts w:cs="Arial"/>
          <w:noProof/>
          <w:szCs w:val="22"/>
          <w:lang w:val="es-ES"/>
        </w:rPr>
      </w:pPr>
      <w:r w:rsidRPr="00993936">
        <w:rPr>
          <w:rFonts w:cs="Arial"/>
          <w:noProof/>
          <w:szCs w:val="22"/>
          <w:lang w:val="es-ES"/>
        </w:rPr>
        <w:t>22.1.1 Todas las aplicaciones en los tratamientos postcosecha se tienen que registrar en el Cuaderno de conservación y/o postcosecha indicando, como mínimo, en las anotaciones los datos siguientes: fecha de aplicación, especie y/o variedad, la justificación del tratamiento, materia activa, producto, cantidad aplicada y la maquinaria o sistema que se ha utilizado para la aplicación.</w:t>
      </w:r>
    </w:p>
    <w:p w:rsidR="00202B3A" w:rsidRPr="00993936" w:rsidRDefault="00202B3A" w:rsidP="001D205D">
      <w:pPr>
        <w:jc w:val="both"/>
        <w:rPr>
          <w:rFonts w:ascii="Arial" w:hAnsi="Arial" w:cs="Arial"/>
          <w:noProof/>
          <w:lang w:val="es-ES"/>
        </w:rPr>
      </w:pPr>
      <w:r w:rsidRPr="00993936">
        <w:rPr>
          <w:rFonts w:ascii="Arial" w:hAnsi="Arial" w:cs="Arial"/>
          <w:noProof/>
          <w:lang w:val="es-ES"/>
        </w:rPr>
        <w:t>22.1.2 Los tratamientos en postrecolección tendrán preferencia los métodos físicos, biológicos o con productos naturales, en lugar de productos de síntesis.</w:t>
      </w:r>
    </w:p>
    <w:p w:rsidR="00202B3A" w:rsidRPr="00993936" w:rsidRDefault="00202B3A" w:rsidP="001D205D">
      <w:pPr>
        <w:jc w:val="both"/>
        <w:rPr>
          <w:rFonts w:ascii="Arial" w:hAnsi="Arial" w:cs="Arial"/>
          <w:noProof/>
          <w:lang w:val="es-ES"/>
        </w:rPr>
      </w:pPr>
      <w:r w:rsidRPr="00993936">
        <w:rPr>
          <w:rFonts w:ascii="Arial" w:hAnsi="Arial" w:cs="Arial"/>
          <w:noProof/>
          <w:lang w:val="es-ES"/>
        </w:rPr>
        <w:t>22.1.3 En los tratamientos con productos químicos de síntesis se utilizarán, de entre los autorizados aquellos que tengan un perfil toxicológico más favorable y de entre estos los que sus límites máximos de residuos estén armonizados a nivel comunitario.</w:t>
      </w:r>
    </w:p>
    <w:p w:rsidR="00202B3A" w:rsidRPr="00993936" w:rsidRDefault="00202B3A" w:rsidP="001D205D">
      <w:pPr>
        <w:jc w:val="both"/>
        <w:rPr>
          <w:rFonts w:ascii="Arial" w:hAnsi="Arial" w:cs="Arial"/>
          <w:noProof/>
          <w:lang w:val="es-ES"/>
        </w:rPr>
      </w:pPr>
      <w:r w:rsidRPr="00993936">
        <w:rPr>
          <w:rFonts w:ascii="Arial" w:hAnsi="Arial" w:cs="Arial"/>
          <w:noProof/>
          <w:lang w:val="es-ES"/>
        </w:rPr>
        <w:t>22.1.4 En los tratamientos de poscosecha con productos químicos sólo se podrán utilizar las materias activas especificadas al anexo 7 de esta norma.</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Artículo 23</w:t>
      </w:r>
    </w:p>
    <w:p w:rsidR="00202B3A" w:rsidRPr="00993936" w:rsidRDefault="00202B3A" w:rsidP="001D205D">
      <w:pPr>
        <w:jc w:val="both"/>
        <w:rPr>
          <w:rFonts w:ascii="Arial" w:hAnsi="Arial" w:cs="Arial"/>
          <w:b/>
          <w:noProof/>
          <w:lang w:val="es-ES"/>
        </w:rPr>
      </w:pPr>
      <w:r w:rsidRPr="00993936">
        <w:rPr>
          <w:rFonts w:ascii="Arial" w:hAnsi="Arial" w:cs="Arial"/>
          <w:b/>
          <w:noProof/>
          <w:lang w:val="es-ES"/>
        </w:rPr>
        <w:t>Almacenamiento y conservación</w:t>
      </w:r>
    </w:p>
    <w:p w:rsidR="00202B3A" w:rsidRPr="00993936" w:rsidRDefault="00202B3A" w:rsidP="001D205D">
      <w:pPr>
        <w:rPr>
          <w:rFonts w:ascii="Arial" w:hAnsi="Arial" w:cs="Arial"/>
          <w:noProof/>
          <w:lang w:val="es-ES"/>
        </w:rPr>
      </w:pPr>
      <w:r w:rsidRPr="00993936">
        <w:rPr>
          <w:rFonts w:ascii="Arial" w:hAnsi="Arial" w:cs="Arial"/>
          <w:noProof/>
          <w:lang w:val="es-ES"/>
        </w:rPr>
        <w:t xml:space="preserve">23.1 </w:t>
      </w:r>
      <w:r w:rsidRPr="00993936">
        <w:rPr>
          <w:rFonts w:ascii="Arial" w:hAnsi="Arial" w:cs="Arial"/>
          <w:i/>
          <w:noProof/>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23.1.1 El almacenamiento se tiene que realizar con procedimientos que permitan garantizar la mejor calidad posible de los cereales.</w:t>
      </w:r>
    </w:p>
    <w:p w:rsidR="00202B3A" w:rsidRPr="00993936" w:rsidRDefault="00202B3A" w:rsidP="001D205D">
      <w:pPr>
        <w:jc w:val="both"/>
        <w:rPr>
          <w:rFonts w:ascii="Arial" w:hAnsi="Arial" w:cs="Arial"/>
          <w:noProof/>
          <w:lang w:val="es-ES"/>
        </w:rPr>
      </w:pPr>
      <w:r w:rsidRPr="00993936">
        <w:rPr>
          <w:rFonts w:ascii="Arial" w:hAnsi="Arial" w:cs="Arial"/>
          <w:noProof/>
          <w:lang w:val="es-ES"/>
        </w:rPr>
        <w:t>23.1.2 Mantener limpias</w:t>
      </w:r>
      <w:r w:rsidRPr="00993936">
        <w:rPr>
          <w:rFonts w:ascii="Arial" w:hAnsi="Arial" w:cs="Arial"/>
          <w:noProof/>
          <w:vanish/>
          <w:lang w:val="es-ES"/>
        </w:rPr>
        <w:t>&lt;A[limpias|netas]&gt;</w:t>
      </w:r>
      <w:r w:rsidRPr="00993936">
        <w:rPr>
          <w:rFonts w:ascii="Arial" w:hAnsi="Arial" w:cs="Arial"/>
          <w:noProof/>
          <w:lang w:val="es-ES"/>
        </w:rPr>
        <w:t xml:space="preserve"> las instalaciones y realizar la limpieza, la desinfección y la lucha contra las plagas de los zonas</w:t>
      </w:r>
      <w:r w:rsidRPr="00993936">
        <w:rPr>
          <w:rFonts w:ascii="Arial" w:hAnsi="Arial" w:cs="Arial"/>
          <w:noProof/>
          <w:vanish/>
          <w:lang w:val="es-ES"/>
        </w:rPr>
        <w:t>&lt;A[lugares|sitios]&gt;</w:t>
      </w:r>
      <w:r w:rsidRPr="00993936">
        <w:rPr>
          <w:rFonts w:ascii="Arial" w:hAnsi="Arial" w:cs="Arial"/>
          <w:noProof/>
          <w:lang w:val="es-ES"/>
        </w:rPr>
        <w:t xml:space="preserve"> del almacenamiento de manera que no se produzca ningún tipo de contaminación de los cereales.</w:t>
      </w:r>
    </w:p>
    <w:p w:rsidR="00202B3A" w:rsidRPr="00993936" w:rsidRDefault="00202B3A" w:rsidP="001D205D">
      <w:pPr>
        <w:jc w:val="both"/>
        <w:rPr>
          <w:rFonts w:ascii="Arial" w:hAnsi="Arial" w:cs="Arial"/>
          <w:noProof/>
          <w:lang w:val="es-ES"/>
        </w:rPr>
      </w:pPr>
      <w:r w:rsidRPr="00993936">
        <w:rPr>
          <w:rFonts w:ascii="Arial" w:hAnsi="Arial" w:cs="Arial"/>
          <w:noProof/>
          <w:lang w:val="es-ES"/>
        </w:rPr>
        <w:t>23.1.3 Mantener un grado de humedad del grano inferior al 13%.</w:t>
      </w:r>
    </w:p>
    <w:p w:rsidR="00202B3A" w:rsidRPr="00993936" w:rsidRDefault="00202B3A" w:rsidP="001D205D">
      <w:pPr>
        <w:jc w:val="both"/>
        <w:rPr>
          <w:rFonts w:ascii="Arial" w:hAnsi="Arial" w:cs="Arial"/>
          <w:noProof/>
          <w:lang w:val="es-ES"/>
        </w:rPr>
      </w:pPr>
      <w:r w:rsidRPr="00993936">
        <w:rPr>
          <w:rFonts w:ascii="Arial" w:hAnsi="Arial" w:cs="Arial"/>
          <w:noProof/>
          <w:lang w:val="es-ES"/>
        </w:rPr>
        <w:t>23.1.4 Establecer en los almacenes una separación clara y definida de los productos procedentes de cultivos de producción integrada de otros productos.</w:t>
      </w:r>
    </w:p>
    <w:p w:rsidR="00202B3A" w:rsidRPr="00993936" w:rsidRDefault="00202B3A" w:rsidP="001D205D">
      <w:pPr>
        <w:rPr>
          <w:rFonts w:ascii="Arial" w:hAnsi="Arial" w:cs="Arial"/>
          <w:noProof/>
          <w:lang w:val="es-ES"/>
        </w:rPr>
      </w:pPr>
      <w:r w:rsidRPr="00993936">
        <w:rPr>
          <w:rFonts w:ascii="Arial" w:hAnsi="Arial" w:cs="Arial"/>
          <w:noProof/>
          <w:lang w:val="es-ES"/>
        </w:rPr>
        <w:t xml:space="preserve">23.2 </w:t>
      </w:r>
      <w:r w:rsidRPr="00993936">
        <w:rPr>
          <w:rFonts w:ascii="Arial" w:hAnsi="Arial" w:cs="Arial"/>
          <w:i/>
          <w:noProof/>
          <w:lang w:val="es-ES"/>
        </w:rPr>
        <w:t>Prohibiciones</w:t>
      </w:r>
    </w:p>
    <w:p w:rsidR="00202B3A" w:rsidRPr="00993936" w:rsidRDefault="00202B3A" w:rsidP="001D205D">
      <w:pPr>
        <w:pStyle w:val="Textoindependiente"/>
        <w:rPr>
          <w:rFonts w:cs="Arial"/>
          <w:noProof/>
          <w:szCs w:val="22"/>
          <w:lang w:val="es-ES"/>
        </w:rPr>
      </w:pPr>
      <w:r w:rsidRPr="00993936">
        <w:rPr>
          <w:rFonts w:cs="Arial"/>
          <w:noProof/>
          <w:szCs w:val="22"/>
          <w:lang w:val="es-ES"/>
        </w:rPr>
        <w:t>23.2.1 La utilización de productos químicos de síntesis para la desinfestación del almacén, salvo causa justificada y que sea expresamente autorizada por la autoridad competente, establecida en el Decreto 241/2002.</w:t>
      </w:r>
    </w:p>
    <w:p w:rsidR="00202B3A" w:rsidRPr="00993936" w:rsidRDefault="00202B3A" w:rsidP="001D205D">
      <w:pPr>
        <w:pStyle w:val="Encabezado"/>
        <w:tabs>
          <w:tab w:val="clear" w:pos="4252"/>
          <w:tab w:val="clear" w:pos="8504"/>
        </w:tabs>
        <w:rPr>
          <w:rFonts w:ascii="Arial" w:hAnsi="Arial" w:cs="Arial"/>
          <w:noProof/>
          <w:lang w:val="es-ES"/>
        </w:rPr>
      </w:pPr>
      <w:r w:rsidRPr="00993936">
        <w:rPr>
          <w:rFonts w:ascii="Arial" w:hAnsi="Arial" w:cs="Arial"/>
          <w:noProof/>
          <w:lang w:val="es-ES"/>
        </w:rPr>
        <w:t xml:space="preserve">23.3 </w:t>
      </w:r>
      <w:r w:rsidRPr="00993936">
        <w:rPr>
          <w:rFonts w:ascii="Arial" w:hAnsi="Arial" w:cs="Arial"/>
          <w:i/>
          <w:noProof/>
          <w:lang w:val="es-ES"/>
        </w:rPr>
        <w:t>Recomendaciones</w:t>
      </w:r>
    </w:p>
    <w:p w:rsidR="00202B3A" w:rsidRPr="00993936" w:rsidRDefault="00202B3A" w:rsidP="001D205D">
      <w:pPr>
        <w:pStyle w:val="Textoindependiente"/>
        <w:rPr>
          <w:rFonts w:cs="Arial"/>
          <w:noProof/>
          <w:szCs w:val="22"/>
          <w:lang w:val="es-ES"/>
        </w:rPr>
      </w:pPr>
      <w:r w:rsidRPr="00993936">
        <w:rPr>
          <w:rFonts w:cs="Arial"/>
          <w:noProof/>
          <w:szCs w:val="22"/>
          <w:lang w:val="es-ES"/>
        </w:rPr>
        <w:t xml:space="preserve">23.3.1 Mantener un grado de humedad del grano inferior al 12% y una temperatura menor de </w:t>
      </w:r>
      <w:smartTag w:uri="urn:schemas-microsoft-com:office:smarttags" w:element="metricconverter">
        <w:smartTagPr>
          <w:attr w:name="ProductID" w:val="25ﾺC"/>
        </w:smartTagPr>
        <w:r w:rsidRPr="00993936">
          <w:rPr>
            <w:rFonts w:cs="Arial"/>
            <w:noProof/>
            <w:szCs w:val="22"/>
            <w:lang w:val="es-ES"/>
          </w:rPr>
          <w:t>25ºC</w:t>
        </w:r>
      </w:smartTag>
      <w:r w:rsidRPr="00993936">
        <w:rPr>
          <w:rFonts w:cs="Arial"/>
          <w:noProof/>
          <w:szCs w:val="22"/>
          <w:lang w:val="es-ES"/>
        </w:rPr>
        <w:t>, mediante un adecuado sistema de ventilación y enfriamiento.</w:t>
      </w:r>
    </w:p>
    <w:p w:rsidR="00202B3A" w:rsidRPr="00993936" w:rsidRDefault="00202B3A" w:rsidP="001D205D">
      <w:pPr>
        <w:rPr>
          <w:rFonts w:ascii="Arial" w:hAnsi="Arial" w:cs="Arial"/>
          <w:noProof/>
          <w:lang w:val="es-ES"/>
        </w:rPr>
      </w:pPr>
    </w:p>
    <w:p w:rsidR="00202B3A" w:rsidRPr="00993936" w:rsidRDefault="00202B3A" w:rsidP="001D205D">
      <w:pPr>
        <w:pStyle w:val="Textoindependiente"/>
        <w:outlineLvl w:val="0"/>
        <w:rPr>
          <w:rFonts w:cs="Arial"/>
          <w:noProof/>
          <w:szCs w:val="22"/>
          <w:lang w:val="es-ES"/>
        </w:rPr>
      </w:pPr>
      <w:r w:rsidRPr="00993936">
        <w:rPr>
          <w:rFonts w:cs="Arial"/>
          <w:noProof/>
          <w:szCs w:val="22"/>
          <w:lang w:val="es-ES"/>
        </w:rPr>
        <w:t>Artículo 24</w:t>
      </w:r>
    </w:p>
    <w:p w:rsidR="00202B3A" w:rsidRPr="00993936" w:rsidRDefault="00202B3A" w:rsidP="001D205D">
      <w:pPr>
        <w:pStyle w:val="Textoindependiente"/>
        <w:outlineLvl w:val="0"/>
        <w:rPr>
          <w:rFonts w:cs="Arial"/>
          <w:b/>
          <w:noProof/>
          <w:szCs w:val="22"/>
          <w:lang w:val="es-ES"/>
        </w:rPr>
      </w:pPr>
      <w:r w:rsidRPr="00993936">
        <w:rPr>
          <w:rFonts w:cs="Arial"/>
          <w:b/>
          <w:noProof/>
          <w:szCs w:val="22"/>
          <w:lang w:val="es-ES"/>
        </w:rPr>
        <w:t>Cuaderno de conservación/postcosecha</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24.1 </w:t>
      </w:r>
      <w:r w:rsidRPr="00993936">
        <w:rPr>
          <w:rFonts w:ascii="Arial" w:hAnsi="Arial" w:cs="Arial"/>
          <w:i/>
          <w:noProof/>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lastRenderedPageBreak/>
        <w:t xml:space="preserve">24.1.1 El modelo de Cuaderno de conservación es único con respecto al contenido de los datos a registrar, y será aprobado por el </w:t>
      </w:r>
      <w:r w:rsidRPr="00993936">
        <w:rPr>
          <w:rFonts w:ascii="Arial" w:hAnsi="Arial" w:cs="Arial"/>
          <w:noProof/>
          <w:snapToGrid w:val="0"/>
          <w:lang w:val="es-ES"/>
        </w:rPr>
        <w:t>Departamento de Agricultura, Ganadería, Pesca y Alimentación.</w:t>
      </w:r>
      <w:r w:rsidRPr="00993936">
        <w:rPr>
          <w:rFonts w:ascii="Arial" w:hAnsi="Arial" w:cs="Arial"/>
          <w:noProof/>
          <w:lang w:val="es-ES"/>
        </w:rPr>
        <w:t xml:space="preserve"> </w:t>
      </w:r>
    </w:p>
    <w:p w:rsidR="00202B3A" w:rsidRPr="00993936" w:rsidRDefault="00202B3A" w:rsidP="001D205D">
      <w:pPr>
        <w:jc w:val="both"/>
        <w:rPr>
          <w:rFonts w:ascii="Arial" w:hAnsi="Arial" w:cs="Arial"/>
          <w:noProof/>
          <w:lang w:val="es-ES"/>
        </w:rPr>
      </w:pPr>
      <w:r w:rsidRPr="00993936">
        <w:rPr>
          <w:rFonts w:ascii="Arial" w:hAnsi="Arial" w:cs="Arial"/>
          <w:noProof/>
          <w:lang w:val="es-ES"/>
        </w:rPr>
        <w:t>24.1.2 El técnico responsable de conservación de productos de producción integrada se responsabilizará periódicamente, mediante su firma, de la conformidad de las anotaciones realizadas en el Cuaderno de conservación con respecto al sistema de producción integrada.</w:t>
      </w:r>
    </w:p>
    <w:p w:rsidR="00202B3A" w:rsidRPr="00993936" w:rsidRDefault="00202B3A" w:rsidP="001D205D">
      <w:pPr>
        <w:jc w:val="both"/>
        <w:rPr>
          <w:rFonts w:ascii="Arial" w:hAnsi="Arial" w:cs="Arial"/>
          <w:lang w:val="es-ES"/>
        </w:rPr>
      </w:pPr>
      <w:r w:rsidRPr="00993936">
        <w:rPr>
          <w:rFonts w:ascii="Arial" w:hAnsi="Arial" w:cs="Arial"/>
          <w:noProof/>
          <w:lang w:val="es-ES"/>
        </w:rPr>
        <w:t>24.1.3 El Cuaderno de conservación es obligatorio y estará siempre disponible para su inspección. Para la buena funcionalidad del sistema, las anotaciones de las operaciones se tendrán que realizar en el plazo máximo de los 7 días siguientes a su ejecución.</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Artículo 25</w:t>
      </w:r>
    </w:p>
    <w:p w:rsidR="00202B3A" w:rsidRPr="00993936" w:rsidRDefault="00202B3A" w:rsidP="001D205D">
      <w:pPr>
        <w:jc w:val="both"/>
        <w:rPr>
          <w:rFonts w:ascii="Arial" w:hAnsi="Arial" w:cs="Arial"/>
          <w:b/>
          <w:noProof/>
          <w:lang w:val="es-ES"/>
        </w:rPr>
      </w:pPr>
      <w:r w:rsidRPr="00993936">
        <w:rPr>
          <w:rFonts w:ascii="Arial" w:hAnsi="Arial" w:cs="Arial"/>
          <w:b/>
          <w:noProof/>
          <w:lang w:val="es-ES"/>
        </w:rPr>
        <w:t xml:space="preserve">Formación del personal </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25.1 </w:t>
      </w:r>
      <w:r w:rsidRPr="00993936">
        <w:rPr>
          <w:rFonts w:ascii="Arial" w:hAnsi="Arial" w:cs="Arial"/>
          <w:i/>
          <w:noProof/>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25.1.1 La empresa deberá fomentar la formación y proporcionar la que sea necesaria al personal implicado en la aplicación de esta norma y el resto de partes afectadas por su actividad. Por otra parte, todos los agentes que participen en producción integrada tienen que tener una formación específica al respecto.</w:t>
      </w:r>
    </w:p>
    <w:p w:rsidR="00202B3A" w:rsidRPr="00993936" w:rsidRDefault="00202B3A" w:rsidP="001D205D">
      <w:pPr>
        <w:pStyle w:val="Sangradetextonormal"/>
        <w:ind w:left="0"/>
        <w:jc w:val="both"/>
        <w:rPr>
          <w:rFonts w:cs="Arial"/>
          <w:b/>
          <w:noProof/>
          <w:szCs w:val="22"/>
          <w:lang w:val="es-ES"/>
        </w:rPr>
      </w:pPr>
      <w:r w:rsidRPr="00993936">
        <w:rPr>
          <w:rFonts w:cs="Arial"/>
          <w:noProof/>
          <w:szCs w:val="22"/>
          <w:lang w:val="es-ES"/>
        </w:rPr>
        <w:t xml:space="preserve">25.1.1.1 </w:t>
      </w:r>
      <w:r w:rsidRPr="00993936">
        <w:rPr>
          <w:rFonts w:cs="Arial"/>
          <w:noProof/>
          <w:szCs w:val="22"/>
          <w:u w:val="single"/>
          <w:lang w:val="es-ES"/>
        </w:rPr>
        <w:t>Personal del almacén</w:t>
      </w:r>
    </w:p>
    <w:p w:rsidR="00202B3A" w:rsidRPr="00993936" w:rsidRDefault="00202B3A" w:rsidP="001D205D">
      <w:pPr>
        <w:pStyle w:val="Sangradetextonormal"/>
        <w:ind w:left="0"/>
        <w:jc w:val="both"/>
        <w:rPr>
          <w:rFonts w:cs="Arial"/>
          <w:noProof/>
          <w:szCs w:val="22"/>
          <w:lang w:val="es-ES"/>
        </w:rPr>
      </w:pPr>
      <w:r w:rsidRPr="00993936">
        <w:rPr>
          <w:rFonts w:cs="Arial"/>
          <w:noProof/>
          <w:szCs w:val="22"/>
          <w:lang w:val="es-ES"/>
        </w:rPr>
        <w:t>La empresa tiene que asegurar la formación del personal del almacén en materia de buenas prácticas de higiene y manipulado, conservando un registro de los cursos impartidos.</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25.1.1.2 </w:t>
      </w:r>
      <w:r w:rsidRPr="00993936">
        <w:rPr>
          <w:rFonts w:ascii="Arial" w:hAnsi="Arial" w:cs="Arial"/>
          <w:noProof/>
          <w:u w:val="single"/>
          <w:lang w:val="es-ES"/>
        </w:rPr>
        <w:t>Personal técnico competente</w:t>
      </w:r>
    </w:p>
    <w:p w:rsidR="00202B3A" w:rsidRPr="00993936" w:rsidRDefault="00202B3A" w:rsidP="001D205D">
      <w:pPr>
        <w:jc w:val="both"/>
        <w:rPr>
          <w:rFonts w:ascii="Arial" w:hAnsi="Arial" w:cs="Arial"/>
          <w:noProof/>
          <w:lang w:val="es-ES"/>
        </w:rPr>
      </w:pPr>
      <w:r w:rsidRPr="00993936">
        <w:rPr>
          <w:rFonts w:ascii="Arial" w:hAnsi="Arial" w:cs="Arial"/>
          <w:noProof/>
          <w:lang w:val="es-ES"/>
        </w:rPr>
        <w:t>El personal técnico competente que participe en producción integrada tiene que tener una formación universitaria de acuerdo con lo que establece el artículo 11.1 del Decreto 241/2002 y acreditar una formación específica en producción integrada de acuerdo con lo que establece el artículo 24.1 del mencionado Decreto. Esta formación, en Cataluña, se regula por</w:t>
      </w:r>
      <w:r w:rsidRPr="00993936">
        <w:rPr>
          <w:rFonts w:ascii="Arial" w:hAnsi="Arial" w:cs="Arial"/>
          <w:noProof/>
          <w:vanish/>
          <w:lang w:val="es-ES"/>
        </w:rPr>
        <w:t>&lt;A[por|para]&gt;</w:t>
      </w:r>
      <w:r w:rsidRPr="00993936">
        <w:rPr>
          <w:rFonts w:ascii="Arial" w:hAnsi="Arial" w:cs="Arial"/>
          <w:noProof/>
          <w:lang w:val="es-ES"/>
        </w:rPr>
        <w:t xml:space="preserve"> la Orden ARP/69/2003, de 14 de febrero (DOGC nº. 3832, de 27.02.2003), por</w:t>
      </w:r>
      <w:r w:rsidRPr="00993936">
        <w:rPr>
          <w:rFonts w:ascii="Arial" w:hAnsi="Arial" w:cs="Arial"/>
          <w:noProof/>
          <w:vanish/>
          <w:lang w:val="es-ES"/>
        </w:rPr>
        <w:t>&lt;A[por|para]&gt;</w:t>
      </w:r>
      <w:r w:rsidRPr="00993936">
        <w:rPr>
          <w:rFonts w:ascii="Arial" w:hAnsi="Arial" w:cs="Arial"/>
          <w:noProof/>
          <w:lang w:val="es-ES"/>
        </w:rPr>
        <w:t xml:space="preserve"> la cual se establecen y se regulan los cursos de formación en producción integrada.</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25.1.1.3 </w:t>
      </w:r>
      <w:r w:rsidRPr="00993936">
        <w:rPr>
          <w:rFonts w:ascii="Arial" w:hAnsi="Arial" w:cs="Arial"/>
          <w:noProof/>
          <w:u w:val="single"/>
          <w:lang w:val="es-ES"/>
        </w:rPr>
        <w:t>Operadores o personas operadoras</w:t>
      </w:r>
    </w:p>
    <w:p w:rsidR="00202B3A" w:rsidRPr="00993936" w:rsidRDefault="00202B3A" w:rsidP="001D205D">
      <w:pPr>
        <w:jc w:val="both"/>
        <w:rPr>
          <w:rFonts w:ascii="Arial" w:hAnsi="Arial" w:cs="Arial"/>
          <w:noProof/>
          <w:lang w:val="es-ES"/>
        </w:rPr>
      </w:pPr>
      <w:r w:rsidRPr="00993936">
        <w:rPr>
          <w:rFonts w:ascii="Arial" w:hAnsi="Arial" w:cs="Arial"/>
          <w:noProof/>
          <w:lang w:val="es-ES"/>
        </w:rPr>
        <w:t>Todos los operadores de producción integrada (productores y/o elaboradores) tienen que tener una formación específica en producción integrada, por</w:t>
      </w:r>
      <w:r w:rsidRPr="00993936">
        <w:rPr>
          <w:rFonts w:ascii="Arial" w:hAnsi="Arial" w:cs="Arial"/>
          <w:noProof/>
          <w:vanish/>
          <w:lang w:val="es-ES"/>
        </w:rPr>
        <w:t>&lt;A[por|para]&gt;</w:t>
      </w:r>
      <w:r w:rsidRPr="00993936">
        <w:rPr>
          <w:rFonts w:ascii="Arial" w:hAnsi="Arial" w:cs="Arial"/>
          <w:noProof/>
          <w:lang w:val="es-ES"/>
        </w:rPr>
        <w:t xml:space="preserve"> lo cual tienen que acreditar la realización de un curso de producción integrada impartido por la Administración Pública o por alguna entidad reconocida, de acuerdo con lo que establecen el Decreto 241/2002 y la Orden ARP/69/2003, de 14 de febrero (DOGC nº. 3832, de 27.02.2003), por</w:t>
      </w:r>
      <w:r w:rsidRPr="00993936">
        <w:rPr>
          <w:rFonts w:ascii="Arial" w:hAnsi="Arial" w:cs="Arial"/>
          <w:noProof/>
          <w:vanish/>
          <w:lang w:val="es-ES"/>
        </w:rPr>
        <w:t>&lt;A[por|para]&gt;</w:t>
      </w:r>
      <w:r w:rsidRPr="00993936">
        <w:rPr>
          <w:rFonts w:ascii="Arial" w:hAnsi="Arial" w:cs="Arial"/>
          <w:noProof/>
          <w:lang w:val="es-ES"/>
        </w:rPr>
        <w:t xml:space="preserve"> los cuales se establecen y se regulan los cursos de formación en producción integrada.</w:t>
      </w:r>
    </w:p>
    <w:p w:rsidR="00202B3A" w:rsidRPr="00993936" w:rsidRDefault="00202B3A" w:rsidP="001D205D">
      <w:pPr>
        <w:pStyle w:val="Ttulo1"/>
        <w:rPr>
          <w:rFonts w:ascii="Arial" w:hAnsi="Arial" w:cs="Arial"/>
          <w:noProof/>
          <w:color w:val="auto"/>
          <w:sz w:val="22"/>
          <w:szCs w:val="22"/>
        </w:rPr>
      </w:pPr>
      <w:r w:rsidRPr="00993936">
        <w:rPr>
          <w:rFonts w:ascii="Arial" w:hAnsi="Arial" w:cs="Arial"/>
          <w:noProof/>
          <w:color w:val="auto"/>
          <w:sz w:val="22"/>
          <w:szCs w:val="22"/>
        </w:rPr>
        <w:lastRenderedPageBreak/>
        <w:t xml:space="preserve">25.1.1.4 </w:t>
      </w:r>
      <w:r w:rsidRPr="00993936">
        <w:rPr>
          <w:rFonts w:ascii="Arial" w:hAnsi="Arial" w:cs="Arial"/>
          <w:noProof/>
          <w:color w:val="auto"/>
          <w:sz w:val="22"/>
          <w:szCs w:val="22"/>
          <w:u w:val="single"/>
        </w:rPr>
        <w:t>Manipulador de productos fitosanitarios</w:t>
      </w:r>
    </w:p>
    <w:p w:rsidR="00202B3A" w:rsidRPr="00993936" w:rsidRDefault="00202B3A" w:rsidP="001D205D">
      <w:pPr>
        <w:jc w:val="both"/>
        <w:rPr>
          <w:rFonts w:ascii="Arial" w:hAnsi="Arial" w:cs="Arial"/>
          <w:noProof/>
          <w:lang w:val="es-ES"/>
        </w:rPr>
      </w:pPr>
      <w:r w:rsidRPr="00993936">
        <w:rPr>
          <w:rFonts w:ascii="Arial" w:hAnsi="Arial" w:cs="Arial"/>
          <w:noProof/>
          <w:lang w:val="es-ES"/>
        </w:rPr>
        <w:t>El manipulador de productos fitosanitarios tiene que disponer del carné de manipulador de nivel básico que lo capacita para desarrollar su actividad, salvo las excepciones que prevé la legislación vigente.</w:t>
      </w:r>
    </w:p>
    <w:p w:rsidR="00202B3A" w:rsidRPr="00993936" w:rsidRDefault="00202B3A" w:rsidP="001D205D">
      <w:pPr>
        <w:jc w:val="both"/>
        <w:rPr>
          <w:rFonts w:ascii="Arial" w:hAnsi="Arial" w:cs="Arial"/>
          <w:noProof/>
          <w:lang w:val="es-ES"/>
        </w:rPr>
      </w:pPr>
    </w:p>
    <w:p w:rsidR="00202B3A" w:rsidRPr="00993936" w:rsidRDefault="00202B3A" w:rsidP="001D205D">
      <w:pPr>
        <w:spacing w:before="120"/>
        <w:jc w:val="both"/>
        <w:rPr>
          <w:rFonts w:ascii="Arial" w:hAnsi="Arial" w:cs="Arial"/>
          <w:b/>
          <w:noProof/>
          <w:lang w:val="es-ES"/>
        </w:rPr>
      </w:pPr>
      <w:r w:rsidRPr="00993936">
        <w:rPr>
          <w:rFonts w:ascii="Arial" w:hAnsi="Arial" w:cs="Arial"/>
          <w:b/>
          <w:noProof/>
          <w:lang w:val="es-ES"/>
        </w:rPr>
        <w:t>IV. IDENTIFICACIÓN, TRAZABILIDAD Y COMERCIALIZACIÓN</w:t>
      </w:r>
    </w:p>
    <w:p w:rsidR="00202B3A" w:rsidRPr="00993936" w:rsidRDefault="00202B3A" w:rsidP="001D205D">
      <w:pPr>
        <w:pStyle w:val="Ttulo6"/>
        <w:jc w:val="both"/>
        <w:rPr>
          <w:rFonts w:ascii="Arial" w:hAnsi="Arial" w:cs="Arial"/>
          <w:noProof/>
          <w:color w:val="auto"/>
          <w:lang w:val="es-ES"/>
        </w:rPr>
      </w:pPr>
      <w:r w:rsidRPr="00993936">
        <w:rPr>
          <w:rFonts w:ascii="Arial" w:hAnsi="Arial" w:cs="Arial"/>
          <w:noProof/>
          <w:color w:val="auto"/>
          <w:lang w:val="es-ES"/>
        </w:rPr>
        <w:t xml:space="preserve"> </w:t>
      </w:r>
    </w:p>
    <w:p w:rsidR="00202B3A" w:rsidRPr="00993936" w:rsidRDefault="00202B3A" w:rsidP="001D205D">
      <w:pPr>
        <w:pStyle w:val="Ttulo6"/>
        <w:jc w:val="both"/>
        <w:rPr>
          <w:rFonts w:ascii="Arial" w:hAnsi="Arial" w:cs="Arial"/>
          <w:b/>
          <w:noProof/>
          <w:color w:val="auto"/>
          <w:lang w:val="es-ES"/>
        </w:rPr>
      </w:pPr>
      <w:r w:rsidRPr="00993936">
        <w:rPr>
          <w:rFonts w:ascii="Arial" w:hAnsi="Arial" w:cs="Arial"/>
          <w:noProof/>
          <w:color w:val="auto"/>
          <w:lang w:val="es-ES"/>
        </w:rPr>
        <w:t>Artículo 26</w:t>
      </w:r>
    </w:p>
    <w:p w:rsidR="00202B3A" w:rsidRPr="00993936" w:rsidRDefault="00202B3A" w:rsidP="001D205D">
      <w:pPr>
        <w:pStyle w:val="Ttulo6"/>
        <w:jc w:val="both"/>
        <w:rPr>
          <w:rFonts w:ascii="Arial" w:hAnsi="Arial" w:cs="Arial"/>
          <w:b/>
          <w:noProof/>
          <w:color w:val="auto"/>
          <w:lang w:val="es-ES"/>
        </w:rPr>
      </w:pPr>
      <w:r w:rsidRPr="00993936">
        <w:rPr>
          <w:rFonts w:ascii="Arial" w:hAnsi="Arial" w:cs="Arial"/>
          <w:b/>
          <w:noProof/>
          <w:color w:val="auto"/>
          <w:lang w:val="es-ES" w:eastAsia="es-ES"/>
        </w:rPr>
        <mc:AlternateContent>
          <mc:Choice Requires="wps">
            <w:drawing>
              <wp:anchor distT="0" distB="0" distL="114300" distR="114300" simplePos="0" relativeHeight="251885568" behindDoc="0" locked="0" layoutInCell="1" allowOverlap="1">
                <wp:simplePos x="0" y="0"/>
                <wp:positionH relativeFrom="column">
                  <wp:posOffset>800100</wp:posOffset>
                </wp:positionH>
                <wp:positionV relativeFrom="paragraph">
                  <wp:posOffset>-2912110</wp:posOffset>
                </wp:positionV>
                <wp:extent cx="0" cy="0"/>
                <wp:effectExtent l="0" t="0" r="0" b="0"/>
                <wp:wrapNone/>
                <wp:docPr id="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2158072" id="Line 2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DDDQ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884544" behindDoc="0" locked="0" layoutInCell="1" allowOverlap="1">
                <wp:simplePos x="0" y="0"/>
                <wp:positionH relativeFrom="column">
                  <wp:posOffset>5715000</wp:posOffset>
                </wp:positionH>
                <wp:positionV relativeFrom="paragraph">
                  <wp:posOffset>-3715385</wp:posOffset>
                </wp:positionV>
                <wp:extent cx="0" cy="0"/>
                <wp:effectExtent l="0" t="0" r="0" b="0"/>
                <wp:wrapNone/>
                <wp:docPr id="1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6D6E02E" id="Line 22"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y8DQIAACQ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883520" behindDoc="0" locked="0" layoutInCell="1" allowOverlap="1">
                <wp:simplePos x="0" y="0"/>
                <wp:positionH relativeFrom="column">
                  <wp:posOffset>2286000</wp:posOffset>
                </wp:positionH>
                <wp:positionV relativeFrom="paragraph">
                  <wp:posOffset>-3715385</wp:posOffset>
                </wp:positionV>
                <wp:extent cx="0" cy="0"/>
                <wp:effectExtent l="0" t="0" r="0" b="0"/>
                <wp:wrapNone/>
                <wp:docPr id="1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9C36803" id="Line 2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FpDgIAACQ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"/>
            </w:pict>
          </mc:Fallback>
        </mc:AlternateContent>
      </w:r>
      <w:r w:rsidRPr="00993936">
        <w:rPr>
          <w:rFonts w:ascii="Arial" w:hAnsi="Arial" w:cs="Arial"/>
          <w:b/>
          <w:noProof/>
          <w:color w:val="auto"/>
          <w:lang w:val="es-ES"/>
        </w:rPr>
        <w:t>Identificación y trazabilidad</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26.1 </w:t>
      </w:r>
      <w:r w:rsidRPr="00993936">
        <w:rPr>
          <w:rFonts w:ascii="Arial" w:hAnsi="Arial" w:cs="Arial"/>
          <w:i/>
          <w:noProof/>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lang w:val="es-ES"/>
        </w:rPr>
        <w:t>26.1.1 Formalizar una declaración de responsabilidad del agricultor que permita la identificación de los productos que proceden de parcelas acogidas en la producción integrada.</w:t>
      </w:r>
      <w:r w:rsidRPr="00993936">
        <w:rPr>
          <w:rFonts w:ascii="Arial" w:hAnsi="Arial" w:cs="Arial"/>
          <w:noProof/>
          <w:lang w:val="es-ES"/>
        </w:rPr>
        <w:t xml:space="preserve"> En un plano o croquis de la parcela y/o UHC se justificará el conocimiento de la ubicación de los diferentes lotes de semilla utilizada.</w:t>
      </w:r>
    </w:p>
    <w:p w:rsidR="00202B3A" w:rsidRPr="00993936" w:rsidRDefault="00202B3A" w:rsidP="001D205D">
      <w:pPr>
        <w:jc w:val="both"/>
        <w:rPr>
          <w:rFonts w:ascii="Arial" w:hAnsi="Arial" w:cs="Arial"/>
          <w:noProof/>
          <w:lang w:val="es-ES"/>
        </w:rPr>
      </w:pPr>
      <w:r w:rsidRPr="00993936">
        <w:rPr>
          <w:rFonts w:ascii="Arial" w:hAnsi="Arial" w:cs="Arial"/>
          <w:noProof/>
          <w:lang w:val="es-ES"/>
        </w:rPr>
        <w:t>26.1.2 A cada centro de recepción y/o manipulación tiene que haber un albarán de control de entrada, donde figure el producto, la cantidad, la parcela de origen, la unidad homogénea de cultivo y la fecha de entrada, firmado por la persona que hace la entrega.</w:t>
      </w:r>
    </w:p>
    <w:p w:rsidR="00202B3A" w:rsidRPr="00993936" w:rsidRDefault="00202B3A" w:rsidP="001D205D">
      <w:pPr>
        <w:jc w:val="both"/>
        <w:rPr>
          <w:rFonts w:ascii="Arial" w:hAnsi="Arial" w:cs="Arial"/>
          <w:noProof/>
          <w:lang w:val="es-ES"/>
        </w:rPr>
      </w:pPr>
      <w:r w:rsidRPr="00993936">
        <w:rPr>
          <w:rFonts w:ascii="Arial" w:hAnsi="Arial" w:cs="Arial"/>
          <w:noProof/>
          <w:lang w:val="es-ES"/>
        </w:rPr>
        <w:t>26.1.3 Los operadores que no tengan la totalidad de la producción de cultivo bajo normas de producción integrada tendrán que cumplir los requisitos siguientes:</w:t>
      </w:r>
    </w:p>
    <w:p w:rsidR="00202B3A" w:rsidRPr="00993936" w:rsidRDefault="00202B3A" w:rsidP="009D1A2D">
      <w:pPr>
        <w:numPr>
          <w:ilvl w:val="0"/>
          <w:numId w:val="192"/>
        </w:numPr>
        <w:spacing w:after="0" w:line="240" w:lineRule="auto"/>
        <w:jc w:val="both"/>
        <w:rPr>
          <w:rFonts w:ascii="Arial" w:hAnsi="Arial" w:cs="Arial"/>
          <w:noProof/>
          <w:lang w:val="es-ES"/>
        </w:rPr>
      </w:pPr>
      <w:r w:rsidRPr="00993936">
        <w:rPr>
          <w:rFonts w:ascii="Arial" w:hAnsi="Arial" w:cs="Arial"/>
          <w:noProof/>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otros orígenes. </w:t>
      </w:r>
    </w:p>
    <w:p w:rsidR="00202B3A" w:rsidRPr="00993936" w:rsidRDefault="00202B3A" w:rsidP="009D1A2D">
      <w:pPr>
        <w:numPr>
          <w:ilvl w:val="0"/>
          <w:numId w:val="192"/>
        </w:numPr>
        <w:spacing w:after="0" w:line="240" w:lineRule="auto"/>
        <w:ind w:left="624" w:hanging="340"/>
        <w:jc w:val="both"/>
        <w:rPr>
          <w:rFonts w:ascii="Arial" w:hAnsi="Arial" w:cs="Arial"/>
          <w:noProof/>
          <w:lang w:val="es-ES"/>
        </w:rPr>
      </w:pPr>
      <w:r w:rsidRPr="00993936">
        <w:rPr>
          <w:rFonts w:ascii="Arial" w:hAnsi="Arial" w:cs="Arial"/>
          <w:noProof/>
          <w:lang w:val="es-ES"/>
        </w:rPr>
        <w:t>En el caso de utilizar la misma línea de manipulación o confección para los dos tipos de producto, deberá quedar claramente definido el intervalo de tiempo durante el cual se manipula cada tipo de producto, y tiene que ser conocido por todo el personal implicado en el proceso.</w:t>
      </w:r>
    </w:p>
    <w:p w:rsidR="00202B3A" w:rsidRPr="00993936" w:rsidRDefault="00202B3A" w:rsidP="009D1A2D">
      <w:pPr>
        <w:numPr>
          <w:ilvl w:val="0"/>
          <w:numId w:val="192"/>
        </w:numPr>
        <w:spacing w:after="0" w:line="240" w:lineRule="auto"/>
        <w:ind w:left="624" w:hanging="340"/>
        <w:jc w:val="both"/>
        <w:rPr>
          <w:rFonts w:ascii="Arial" w:hAnsi="Arial" w:cs="Arial"/>
          <w:noProof/>
          <w:lang w:val="es-ES"/>
        </w:rPr>
      </w:pPr>
      <w:r w:rsidRPr="00993936">
        <w:rPr>
          <w:rFonts w:ascii="Arial" w:hAnsi="Arial" w:cs="Arial"/>
          <w:lang w:val="es-ES"/>
        </w:rPr>
        <w:t>Antes de proceder a la manipulación del producto de producción integrada, 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productos de otros orígenes.</w:t>
      </w:r>
    </w:p>
    <w:p w:rsidR="00202B3A" w:rsidRPr="00993936" w:rsidRDefault="00202B3A" w:rsidP="001D205D">
      <w:pPr>
        <w:jc w:val="both"/>
        <w:rPr>
          <w:rFonts w:ascii="Arial" w:hAnsi="Arial" w:cs="Arial"/>
          <w:noProof/>
          <w:lang w:val="es-ES"/>
        </w:rPr>
      </w:pPr>
      <w:r w:rsidRPr="00993936">
        <w:rPr>
          <w:rFonts w:ascii="Arial" w:hAnsi="Arial" w:cs="Arial"/>
          <w:lang w:val="es-ES"/>
        </w:rPr>
        <w:t>26.1.4 Los productos de producción integrada serán identificados y considerados, en cualquier momento del proceso técnico, administrativo y de comercialización como un producto diferente del resto de los productos manipulados por la persona operadora.</w:t>
      </w:r>
    </w:p>
    <w:p w:rsidR="00202B3A" w:rsidRPr="00993936" w:rsidRDefault="00202B3A" w:rsidP="001D205D">
      <w:pPr>
        <w:jc w:val="both"/>
        <w:rPr>
          <w:rFonts w:ascii="Arial" w:hAnsi="Arial" w:cs="Arial"/>
          <w:noProof/>
          <w:lang w:val="es-ES"/>
        </w:rPr>
      </w:pPr>
      <w:r w:rsidRPr="00993936">
        <w:rPr>
          <w:rFonts w:ascii="Arial" w:hAnsi="Arial" w:cs="Arial"/>
          <w:lang w:val="es-ES"/>
        </w:rPr>
        <w:t>26.1.5 Los remolques de campo y otros contenedores utilizados para la recolección o el transporte de productos de producción integrada tienen que estar claramente diferenciados de los utilizados para otros productos.</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26.2 </w:t>
      </w:r>
      <w:r w:rsidRPr="00993936">
        <w:rPr>
          <w:rFonts w:ascii="Arial" w:hAnsi="Arial" w:cs="Arial"/>
          <w:i/>
          <w:noProof/>
          <w:lang w:val="es-ES"/>
        </w:rPr>
        <w:t>Prohibiciones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26.2.1</w:t>
      </w:r>
      <w:r w:rsidRPr="00993936">
        <w:rPr>
          <w:rFonts w:ascii="Arial" w:hAnsi="Arial" w:cs="Arial"/>
          <w:b/>
          <w:noProof/>
          <w:lang w:val="es-ES"/>
        </w:rPr>
        <w:t xml:space="preserve"> </w:t>
      </w:r>
      <w:r w:rsidRPr="00993936">
        <w:rPr>
          <w:rFonts w:ascii="Arial" w:hAnsi="Arial" w:cs="Arial"/>
          <w:noProof/>
          <w:lang w:val="es-ES"/>
        </w:rPr>
        <w:t>Comercializar, como productos amparados por esta norma, los procedentes de unidades de cultivo que no cumplan las indicaciones de cultivo que establece la normativa de producción integrada en toda su producción.</w:t>
      </w:r>
    </w:p>
    <w:p w:rsidR="00202B3A" w:rsidRPr="00993936" w:rsidRDefault="00202B3A" w:rsidP="001D205D">
      <w:pPr>
        <w:jc w:val="both"/>
        <w:rPr>
          <w:rFonts w:ascii="Arial" w:hAnsi="Arial" w:cs="Arial"/>
          <w:noProof/>
          <w:lang w:val="es-ES"/>
        </w:rPr>
      </w:pPr>
      <w:r w:rsidRPr="00993936">
        <w:rPr>
          <w:rFonts w:ascii="Arial" w:hAnsi="Arial" w:cs="Arial"/>
          <w:noProof/>
          <w:lang w:val="es-ES"/>
        </w:rPr>
        <w:lastRenderedPageBreak/>
        <w:t>26.2.2 La presencia de sacos, etiquetas o marcas comerciales, de productos de producción integrada en parcelas y/o UHC que no estén acogidas en Producción Integrada.</w:t>
      </w:r>
    </w:p>
    <w:p w:rsidR="00202B3A" w:rsidRPr="00993936" w:rsidRDefault="00202B3A" w:rsidP="001D205D">
      <w:pPr>
        <w:pStyle w:val="Ttulo6"/>
        <w:spacing w:before="120"/>
        <w:jc w:val="both"/>
        <w:rPr>
          <w:rFonts w:ascii="Arial" w:hAnsi="Arial" w:cs="Arial"/>
          <w:b/>
          <w:noProof/>
          <w:color w:val="auto"/>
          <w:lang w:val="es-ES"/>
        </w:rPr>
      </w:pPr>
      <w:r w:rsidRPr="00993936">
        <w:rPr>
          <w:rFonts w:ascii="Arial" w:hAnsi="Arial" w:cs="Arial"/>
          <w:noProof/>
          <w:color w:val="auto"/>
          <w:lang w:val="es-ES"/>
        </w:rPr>
        <w:t>Artículo 27</w:t>
      </w:r>
    </w:p>
    <w:p w:rsidR="00202B3A" w:rsidRPr="00993936" w:rsidRDefault="00202B3A" w:rsidP="001D205D">
      <w:pPr>
        <w:pStyle w:val="Ttulo6"/>
        <w:jc w:val="both"/>
        <w:rPr>
          <w:rFonts w:ascii="Arial" w:hAnsi="Arial" w:cs="Arial"/>
          <w:b/>
          <w:noProof/>
          <w:color w:val="auto"/>
          <w:lang w:val="es-ES"/>
        </w:rPr>
      </w:pPr>
      <w:r w:rsidRPr="00993936">
        <w:rPr>
          <w:rFonts w:ascii="Arial" w:hAnsi="Arial" w:cs="Arial"/>
          <w:b/>
          <w:noProof/>
          <w:color w:val="auto"/>
          <w:lang w:val="es-ES"/>
        </w:rPr>
        <w:t>Control de calidad</w:t>
      </w:r>
    </w:p>
    <w:p w:rsidR="00202B3A" w:rsidRPr="00993936" w:rsidRDefault="00202B3A" w:rsidP="001D205D">
      <w:pPr>
        <w:pStyle w:val="Encabezado"/>
        <w:tabs>
          <w:tab w:val="clear" w:pos="4252"/>
          <w:tab w:val="clear" w:pos="8504"/>
        </w:tabs>
        <w:jc w:val="both"/>
        <w:rPr>
          <w:rFonts w:ascii="Arial" w:hAnsi="Arial" w:cs="Arial"/>
          <w:noProof/>
          <w:lang w:val="es-ES"/>
        </w:rPr>
      </w:pPr>
      <w:r w:rsidRPr="00993936">
        <w:rPr>
          <w:rFonts w:ascii="Arial" w:hAnsi="Arial" w:cs="Arial"/>
          <w:i/>
          <w:noProof/>
          <w:lang w:val="es-ES"/>
        </w:rPr>
        <w:t>27.1 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27.1.1 La persona operadora tiene que tener definido e implantado un muestreo sistemático de la producción que sirva para comprobar que se cumplen las especificaciones de la legislación vigente referentes a la normalización comercial.</w:t>
      </w:r>
    </w:p>
    <w:p w:rsidR="00202B3A" w:rsidRPr="00993936" w:rsidRDefault="00202B3A" w:rsidP="001D205D">
      <w:pPr>
        <w:jc w:val="both"/>
        <w:rPr>
          <w:rFonts w:ascii="Arial" w:hAnsi="Arial" w:cs="Arial"/>
          <w:noProof/>
          <w:lang w:val="es-ES"/>
        </w:rPr>
      </w:pPr>
      <w:r w:rsidRPr="00993936">
        <w:rPr>
          <w:rFonts w:ascii="Arial" w:hAnsi="Arial" w:cs="Arial"/>
          <w:noProof/>
          <w:lang w:val="es-ES"/>
        </w:rPr>
        <w:t>27.1.2 La persona operadora tiene que conservar los registros de los controles.</w:t>
      </w:r>
    </w:p>
    <w:p w:rsidR="00202B3A" w:rsidRPr="00993936" w:rsidRDefault="00202B3A" w:rsidP="001D205D">
      <w:pPr>
        <w:pStyle w:val="Textoindependiente"/>
        <w:rPr>
          <w:rFonts w:cs="Arial"/>
          <w:noProof/>
          <w:szCs w:val="22"/>
          <w:lang w:val="es-ES"/>
        </w:rPr>
      </w:pPr>
      <w:r w:rsidRPr="00993936">
        <w:rPr>
          <w:rFonts w:cs="Arial"/>
          <w:noProof/>
          <w:szCs w:val="22"/>
          <w:lang w:val="es-ES"/>
        </w:rPr>
        <w:t>27.1.3 La persona operadora verificará el funcionamiento correcto del instrumental de medida.</w:t>
      </w:r>
    </w:p>
    <w:p w:rsidR="00202B3A" w:rsidRPr="00993936" w:rsidRDefault="00202B3A" w:rsidP="001D205D">
      <w:pPr>
        <w:jc w:val="both"/>
        <w:rPr>
          <w:rFonts w:ascii="Arial" w:hAnsi="Arial" w:cs="Arial"/>
          <w:noProof/>
          <w:lang w:val="es-ES"/>
        </w:rPr>
      </w:pPr>
      <w:r w:rsidRPr="00993936">
        <w:rPr>
          <w:rFonts w:ascii="Arial" w:hAnsi="Arial" w:cs="Arial"/>
          <w:noProof/>
          <w:lang w:val="es-ES"/>
        </w:rPr>
        <w:t>27.1.4 Controlar periódicamente la calidad y, específicamente, antes de la comercialización, teniendo en cuenta aspectos de muestreo, tipo de determinación analítica que garantice la seguridad del consumidor.</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b/>
          <w:noProof/>
          <w:lang w:val="es-ES"/>
        </w:rPr>
      </w:pPr>
      <w:r w:rsidRPr="00993936">
        <w:rPr>
          <w:rFonts w:ascii="Arial" w:hAnsi="Arial" w:cs="Arial"/>
          <w:b/>
          <w:noProof/>
          <w:lang w:val="es-ES"/>
        </w:rPr>
        <w:t>V. RESIDUOS</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Artículo 28</w:t>
      </w:r>
    </w:p>
    <w:p w:rsidR="00202B3A" w:rsidRPr="00993936" w:rsidRDefault="00202B3A" w:rsidP="001D205D">
      <w:pPr>
        <w:jc w:val="both"/>
        <w:rPr>
          <w:rFonts w:ascii="Arial" w:hAnsi="Arial" w:cs="Arial"/>
          <w:b/>
          <w:noProof/>
          <w:lang w:val="es-ES"/>
        </w:rPr>
      </w:pPr>
      <w:r w:rsidRPr="00993936">
        <w:rPr>
          <w:rFonts w:ascii="Arial" w:hAnsi="Arial" w:cs="Arial"/>
          <w:b/>
          <w:noProof/>
          <w:lang w:val="es-ES"/>
        </w:rPr>
        <w:t>Gestión de Residuos</w:t>
      </w:r>
    </w:p>
    <w:p w:rsidR="00202B3A" w:rsidRPr="00993936" w:rsidRDefault="00202B3A" w:rsidP="001D205D">
      <w:pPr>
        <w:jc w:val="both"/>
        <w:rPr>
          <w:rFonts w:ascii="Arial" w:hAnsi="Arial" w:cs="Arial"/>
          <w:i/>
          <w:noProof/>
          <w:lang w:val="es-ES"/>
        </w:rPr>
      </w:pPr>
      <w:r w:rsidRPr="00993936">
        <w:rPr>
          <w:rFonts w:ascii="Arial" w:hAnsi="Arial" w:cs="Arial"/>
          <w:noProof/>
          <w:lang w:val="es-ES"/>
        </w:rPr>
        <w:t xml:space="preserve">28.1 </w:t>
      </w:r>
      <w:r w:rsidRPr="00993936">
        <w:rPr>
          <w:rFonts w:ascii="Arial" w:hAnsi="Arial" w:cs="Arial"/>
          <w:i/>
          <w:noProof/>
          <w:lang w:val="es-ES"/>
        </w:rPr>
        <w:t>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28.1.1 Retirar para su reciclaje o, si procede</w:t>
      </w:r>
      <w:r w:rsidRPr="00993936">
        <w:rPr>
          <w:rFonts w:ascii="Arial" w:hAnsi="Arial" w:cs="Arial"/>
          <w:noProof/>
          <w:vanish/>
          <w:lang w:val="es-ES"/>
        </w:rPr>
        <w:t>&lt;A[pega|ocurre]&gt;</w:t>
      </w:r>
      <w:r w:rsidRPr="00993936">
        <w:rPr>
          <w:rFonts w:ascii="Arial" w:hAnsi="Arial" w:cs="Arial"/>
          <w:noProof/>
          <w:lang w:val="es-ES"/>
        </w:rPr>
        <w:t>, para hacer un vertido controlado, los restos de plásticos, malla o cualquier otro material utilizado en las estructuras de otros cultivos, siempre que haya un sistema de gestión de estos residuos.</w:t>
      </w:r>
    </w:p>
    <w:p w:rsidR="00202B3A" w:rsidRPr="00993936" w:rsidRDefault="00202B3A" w:rsidP="001D205D">
      <w:pPr>
        <w:jc w:val="both"/>
        <w:rPr>
          <w:rFonts w:ascii="Arial" w:hAnsi="Arial" w:cs="Arial"/>
          <w:noProof/>
          <w:lang w:val="es-ES"/>
        </w:rPr>
      </w:pPr>
      <w:r w:rsidRPr="00993936">
        <w:rPr>
          <w:rFonts w:ascii="Arial" w:hAnsi="Arial" w:cs="Arial"/>
          <w:lang w:val="es-ES"/>
        </w:rPr>
        <w:t>28.1.2 Retirar y almacenar los envases de los productos fitosanitarios y fertilizantes, una vez utilizados, hasta entregarlos a un gestor autorizado de acuerdo con el Decreto 1416/2001, de 14 de diciembre, sobre envases de productos fitosanitarios.</w:t>
      </w:r>
    </w:p>
    <w:p w:rsidR="00202B3A" w:rsidRPr="00993936" w:rsidRDefault="00202B3A" w:rsidP="001D205D">
      <w:pPr>
        <w:jc w:val="both"/>
        <w:rPr>
          <w:rFonts w:ascii="Arial" w:hAnsi="Arial" w:cs="Arial"/>
          <w:noProof/>
          <w:lang w:val="es-ES"/>
        </w:rPr>
      </w:pPr>
      <w:r w:rsidRPr="00993936">
        <w:rPr>
          <w:rFonts w:ascii="Arial" w:hAnsi="Arial" w:cs="Arial"/>
          <w:lang w:val="es-ES"/>
        </w:rPr>
        <w:t>28.1.3 Gestionar los productos fitosanitarios de rechazo mediante un gestor autorizado de residuos de productos químicos o a través de una compañía proveedora o cualquier otro método seguro para el medio.</w:t>
      </w:r>
    </w:p>
    <w:p w:rsidR="00202B3A" w:rsidRPr="00993936" w:rsidRDefault="00202B3A" w:rsidP="001D205D">
      <w:pPr>
        <w:jc w:val="both"/>
        <w:rPr>
          <w:rFonts w:ascii="Arial" w:hAnsi="Arial" w:cs="Arial"/>
          <w:noProof/>
          <w:lang w:val="es-ES"/>
        </w:rPr>
      </w:pPr>
      <w:r w:rsidRPr="00993936">
        <w:rPr>
          <w:rFonts w:ascii="Arial" w:hAnsi="Arial" w:cs="Arial"/>
          <w:noProof/>
          <w:lang w:val="es-ES"/>
        </w:rPr>
        <w:t>28.1.4 Establecer sistemas de recogida de aceites usados o de todo tipo de sustancias tóxicas y peligrosas que haya a la explotación, dándolos los destino previsto en la legislación vigente.</w:t>
      </w:r>
    </w:p>
    <w:p w:rsidR="00202B3A" w:rsidRPr="00993936" w:rsidRDefault="00202B3A" w:rsidP="001D205D">
      <w:pPr>
        <w:jc w:val="both"/>
        <w:rPr>
          <w:rFonts w:ascii="Arial" w:hAnsi="Arial" w:cs="Arial"/>
          <w:b/>
          <w:noProof/>
          <w:lang w:val="es-ES"/>
        </w:rPr>
      </w:pPr>
      <w:r w:rsidRPr="00993936">
        <w:rPr>
          <w:rFonts w:ascii="Arial" w:hAnsi="Arial" w:cs="Arial"/>
          <w:noProof/>
          <w:lang w:val="es-ES"/>
        </w:rPr>
        <w:t xml:space="preserve">28.2 </w:t>
      </w:r>
      <w:r w:rsidRPr="00993936">
        <w:rPr>
          <w:rFonts w:ascii="Arial" w:hAnsi="Arial" w:cs="Arial"/>
          <w:i/>
          <w:noProof/>
          <w:lang w:val="es-ES"/>
        </w:rPr>
        <w:t>Prohibiciones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 xml:space="preserve">28.2.1 Abandonar restos de plástico, envases y otros residuos en el interior o en los márgenes de la parcela y/o UHC. </w:t>
      </w:r>
    </w:p>
    <w:p w:rsidR="00202B3A" w:rsidRPr="00993936" w:rsidRDefault="00202B3A" w:rsidP="001D205D">
      <w:pPr>
        <w:jc w:val="both"/>
        <w:rPr>
          <w:rFonts w:ascii="Arial" w:hAnsi="Arial" w:cs="Arial"/>
          <w:lang w:val="es-ES"/>
        </w:rPr>
      </w:pPr>
      <w:r w:rsidRPr="00993936">
        <w:rPr>
          <w:rFonts w:ascii="Arial" w:hAnsi="Arial" w:cs="Arial"/>
          <w:lang w:val="es-ES"/>
        </w:rPr>
        <w:t xml:space="preserve">28.2.2  Destruir, mediante el fuego u otros procedimientos, triturar o enterrar en la parcela y/o UHC o limítrofes, los envases vacíos de los productos fitosanitarios y </w:t>
      </w:r>
      <w:r w:rsidRPr="00993936">
        <w:rPr>
          <w:rFonts w:ascii="Arial" w:hAnsi="Arial" w:cs="Arial"/>
          <w:lang w:val="es-ES"/>
        </w:rPr>
        <w:lastRenderedPageBreak/>
        <w:t>fertilizantes, los plásticos o las mallas de las estructuras de cultivo, con excepción que se haga en lugares</w:t>
      </w:r>
      <w:r w:rsidRPr="00993936">
        <w:rPr>
          <w:rFonts w:ascii="Arial" w:hAnsi="Arial" w:cs="Arial"/>
          <w:vanish/>
          <w:lang w:val="es-ES"/>
        </w:rPr>
        <w:t>&lt;A[lugares|sitios]&gt;</w:t>
      </w:r>
      <w:r w:rsidRPr="00993936">
        <w:rPr>
          <w:rFonts w:ascii="Arial" w:hAnsi="Arial" w:cs="Arial"/>
          <w:lang w:val="es-ES"/>
        </w:rPr>
        <w:t xml:space="preserve"> autorizados por la autoridad competente.</w:t>
      </w:r>
    </w:p>
    <w:p w:rsidR="00202B3A" w:rsidRPr="00993936" w:rsidRDefault="00202B3A" w:rsidP="001D205D">
      <w:pPr>
        <w:jc w:val="both"/>
        <w:rPr>
          <w:rFonts w:ascii="Arial" w:hAnsi="Arial" w:cs="Arial"/>
          <w:lang w:val="es-ES"/>
        </w:rPr>
      </w:pPr>
      <w:r w:rsidRPr="00993936">
        <w:rPr>
          <w:rFonts w:ascii="Arial" w:hAnsi="Arial" w:cs="Arial"/>
          <w:lang w:val="es-ES"/>
        </w:rPr>
        <w:t>28.2.3 Depositar en cursos de agua, canales o embalses de agua, o dentro del perímetro de protección de captaciones de agua de consumo humano, los restos de caldo de los equipos de aplicación de productos fitosanitarios y lavarlos en esta zona.</w:t>
      </w:r>
    </w:p>
    <w:p w:rsidR="00202B3A" w:rsidRPr="00993936" w:rsidRDefault="00202B3A" w:rsidP="001D205D">
      <w:pPr>
        <w:jc w:val="both"/>
        <w:rPr>
          <w:rFonts w:ascii="Arial" w:hAnsi="Arial" w:cs="Arial"/>
          <w:lang w:val="es-ES"/>
        </w:rPr>
      </w:pPr>
      <w:r w:rsidRPr="00993936">
        <w:rPr>
          <w:rFonts w:ascii="Arial" w:hAnsi="Arial" w:cs="Arial"/>
          <w:lang w:val="es-ES"/>
        </w:rPr>
        <w:t>28.2.4 Quemar</w:t>
      </w:r>
      <w:r w:rsidRPr="00993936">
        <w:rPr>
          <w:rFonts w:ascii="Arial" w:hAnsi="Arial" w:cs="Arial"/>
          <w:noProof/>
          <w:lang w:val="es-ES"/>
        </w:rPr>
        <w:t xml:space="preserve"> restos vegetales de manera incontrolada, </w:t>
      </w:r>
      <w:r w:rsidRPr="00993936">
        <w:rPr>
          <w:rFonts w:ascii="Arial" w:hAnsi="Arial" w:cs="Arial"/>
          <w:lang w:val="es-ES"/>
        </w:rPr>
        <w:t xml:space="preserve">sin considerar la normativa vigente que sea de aplicación. </w:t>
      </w:r>
    </w:p>
    <w:p w:rsidR="00202B3A" w:rsidRPr="00993936" w:rsidRDefault="00202B3A" w:rsidP="001D205D">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29</w:t>
      </w:r>
    </w:p>
    <w:p w:rsidR="00202B3A" w:rsidRPr="00993936" w:rsidRDefault="00202B3A" w:rsidP="001D205D">
      <w:pPr>
        <w:pStyle w:val="NormalWeb"/>
        <w:spacing w:after="0"/>
        <w:jc w:val="both"/>
        <w:rPr>
          <w:rFonts w:ascii="Arial" w:hAnsi="Arial" w:cs="Arial"/>
          <w:b/>
          <w:sz w:val="22"/>
          <w:szCs w:val="22"/>
          <w:lang w:val="es-ES"/>
        </w:rPr>
      </w:pPr>
      <w:r w:rsidRPr="00993936">
        <w:rPr>
          <w:rFonts w:ascii="Arial" w:hAnsi="Arial" w:cs="Arial"/>
          <w:b/>
          <w:sz w:val="22"/>
          <w:szCs w:val="22"/>
          <w:lang w:val="es-ES"/>
        </w:rPr>
        <w:t>Control de residuos de productos fitosanitarios en vegetales</w:t>
      </w:r>
    </w:p>
    <w:p w:rsidR="00202B3A" w:rsidRPr="00993936" w:rsidRDefault="00202B3A" w:rsidP="001D205D">
      <w:pPr>
        <w:pStyle w:val="NormalWeb"/>
        <w:spacing w:after="0"/>
        <w:jc w:val="both"/>
        <w:rPr>
          <w:rFonts w:ascii="Arial" w:hAnsi="Arial" w:cs="Arial"/>
          <w:i/>
          <w:sz w:val="22"/>
          <w:szCs w:val="22"/>
          <w:lang w:val="es-ES"/>
        </w:rPr>
      </w:pPr>
      <w:r w:rsidRPr="00993936">
        <w:rPr>
          <w:rFonts w:ascii="Arial" w:hAnsi="Arial" w:cs="Arial"/>
          <w:i/>
          <w:sz w:val="22"/>
          <w:szCs w:val="22"/>
          <w:lang w:val="es-ES"/>
        </w:rPr>
        <w:t>29.1 Obligaciones</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29.1.1 La persona operadora tiene que disponer de un programa de autocontrol individual o colectivo para verificar la ausencia de residuos de productos fitosanitarios, por medio de la toma de muestras correspondiente, garantizar que han sido utilizadas exclusivamente las sustancias activas autorizadas y comprobar que se cumple la normativa de aplicación y, si ocurre, la del estado de destinación</w:t>
      </w:r>
      <w:r w:rsidRPr="00993936">
        <w:rPr>
          <w:rFonts w:ascii="Arial" w:hAnsi="Arial" w:cs="Arial"/>
          <w:vanish/>
          <w:sz w:val="22"/>
          <w:szCs w:val="22"/>
          <w:lang w:val="es-ES"/>
        </w:rPr>
        <w:t>&lt;A[destinación|destino]&gt;</w:t>
      </w:r>
      <w:r w:rsidRPr="00993936">
        <w:rPr>
          <w:rFonts w:ascii="Arial" w:hAnsi="Arial" w:cs="Arial"/>
          <w:sz w:val="22"/>
          <w:szCs w:val="22"/>
          <w:lang w:val="es-ES"/>
        </w:rPr>
        <w:t>, en relación con los límites máximos de residuos de productos fitosanitarios. La planificación de la recogida de las muestras tiene que considerar especialmente la época de recolección y/o de manipulación.</w:t>
      </w:r>
    </w:p>
    <w:p w:rsidR="00202B3A" w:rsidRPr="00993936" w:rsidRDefault="00202B3A" w:rsidP="001D205D">
      <w:pPr>
        <w:pStyle w:val="NormalWeb"/>
        <w:spacing w:after="0"/>
        <w:jc w:val="both"/>
        <w:rPr>
          <w:rFonts w:ascii="Arial" w:hAnsi="Arial" w:cs="Arial"/>
          <w:b/>
          <w:sz w:val="22"/>
          <w:szCs w:val="22"/>
          <w:lang w:val="es-ES"/>
        </w:rPr>
      </w:pPr>
    </w:p>
    <w:p w:rsidR="00202B3A" w:rsidRPr="00993936" w:rsidRDefault="00E1758E" w:rsidP="001D205D">
      <w:pPr>
        <w:pStyle w:val="NormalWeb"/>
        <w:spacing w:after="0"/>
        <w:jc w:val="both"/>
        <w:rPr>
          <w:rFonts w:ascii="Arial" w:hAnsi="Arial" w:cs="Arial"/>
          <w:b/>
          <w:sz w:val="22"/>
          <w:szCs w:val="22"/>
          <w:lang w:val="es-ES"/>
        </w:rPr>
      </w:pPr>
      <w:r w:rsidRPr="00993936">
        <w:rPr>
          <w:rFonts w:ascii="Arial" w:hAnsi="Arial" w:cs="Arial"/>
          <w:b/>
          <w:sz w:val="22"/>
          <w:szCs w:val="22"/>
          <w:lang w:val="es-ES"/>
        </w:rPr>
        <w:t>VI</w:t>
      </w:r>
      <w:r w:rsidR="00202B3A" w:rsidRPr="00993936">
        <w:rPr>
          <w:rFonts w:ascii="Arial" w:hAnsi="Arial" w:cs="Arial"/>
          <w:b/>
          <w:sz w:val="22"/>
          <w:szCs w:val="22"/>
          <w:lang w:val="es-ES"/>
        </w:rPr>
        <w:t xml:space="preserve">. PROTECCIÓN MEDIOAMBIENTAL </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Artículo 30</w:t>
      </w:r>
    </w:p>
    <w:p w:rsidR="00202B3A" w:rsidRPr="00993936" w:rsidRDefault="00202B3A" w:rsidP="001D205D">
      <w:pPr>
        <w:jc w:val="both"/>
        <w:rPr>
          <w:rFonts w:ascii="Arial" w:hAnsi="Arial" w:cs="Arial"/>
          <w:b/>
          <w:noProof/>
          <w:lang w:val="es-ES"/>
        </w:rPr>
      </w:pPr>
      <w:r w:rsidRPr="00993936">
        <w:rPr>
          <w:rFonts w:ascii="Arial" w:hAnsi="Arial" w:cs="Arial"/>
          <w:b/>
          <w:noProof/>
          <w:lang w:val="es-ES"/>
        </w:rPr>
        <w:t>Protección medio ambiental</w:t>
      </w:r>
    </w:p>
    <w:p w:rsidR="00202B3A" w:rsidRPr="00993936" w:rsidRDefault="00202B3A" w:rsidP="001D205D">
      <w:pPr>
        <w:jc w:val="both"/>
        <w:rPr>
          <w:rFonts w:ascii="Arial" w:hAnsi="Arial" w:cs="Arial"/>
          <w:noProof/>
          <w:lang w:val="es-ES"/>
        </w:rPr>
      </w:pPr>
      <w:r w:rsidRPr="00993936">
        <w:rPr>
          <w:rFonts w:ascii="Arial" w:hAnsi="Arial" w:cs="Arial"/>
          <w:i/>
          <w:noProof/>
          <w:lang w:val="es-ES"/>
        </w:rPr>
        <w:t>30.1 Obligaciones</w:t>
      </w:r>
    </w:p>
    <w:p w:rsidR="00202B3A" w:rsidRPr="00993936" w:rsidRDefault="00202B3A" w:rsidP="001D205D">
      <w:pPr>
        <w:pStyle w:val="Textoindependiente"/>
        <w:rPr>
          <w:rFonts w:cs="Arial"/>
          <w:noProof/>
          <w:szCs w:val="22"/>
          <w:lang w:val="es-ES"/>
        </w:rPr>
      </w:pPr>
      <w:r w:rsidRPr="00993936">
        <w:rPr>
          <w:rFonts w:cs="Arial"/>
          <w:noProof/>
          <w:szCs w:val="22"/>
          <w:lang w:val="es-ES"/>
        </w:rPr>
        <w:t>30.1.1 La empresa tiene que cumplir con la política de conservación del entorno natural según la legislación medio ambiental vigente.</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30.1.2  Disponer de medidas de prevención de vertido accidental de aceites, hidrocarburos u otros productos químicos peligrosos para el medio ambiente.</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30.1.3 Implantar, si no están, medidas de ahorro en el consumo de agua y de energía en las instalaciones y a los procesos.</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b/>
          <w:noProof/>
          <w:lang w:val="es-ES"/>
        </w:rPr>
      </w:pPr>
      <w:r w:rsidRPr="00993936">
        <w:rPr>
          <w:rFonts w:ascii="Arial" w:hAnsi="Arial" w:cs="Arial"/>
          <w:b/>
          <w:noProof/>
          <w:lang w:val="es-ES"/>
        </w:rPr>
        <w:t xml:space="preserve">VII. CONTROL Y CERTIFICACIÓN </w:t>
      </w:r>
    </w:p>
    <w:p w:rsidR="00202B3A" w:rsidRPr="00993936" w:rsidRDefault="00202B3A" w:rsidP="001D205D">
      <w:pPr>
        <w:jc w:val="both"/>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Artículo 31</w:t>
      </w:r>
    </w:p>
    <w:p w:rsidR="00202B3A" w:rsidRPr="00993936" w:rsidRDefault="00202B3A" w:rsidP="001D205D">
      <w:pPr>
        <w:jc w:val="both"/>
        <w:rPr>
          <w:rFonts w:ascii="Arial" w:hAnsi="Arial" w:cs="Arial"/>
          <w:b/>
          <w:noProof/>
          <w:lang w:val="es-ES"/>
        </w:rPr>
      </w:pPr>
      <w:r w:rsidRPr="00993936">
        <w:rPr>
          <w:rFonts w:ascii="Arial" w:hAnsi="Arial" w:cs="Arial"/>
          <w:b/>
          <w:noProof/>
          <w:lang w:val="es-ES"/>
        </w:rPr>
        <w:t>Tratamiento de No conformidades</w:t>
      </w:r>
    </w:p>
    <w:p w:rsidR="00202B3A" w:rsidRPr="00993936" w:rsidRDefault="00202B3A" w:rsidP="001D205D">
      <w:pPr>
        <w:jc w:val="both"/>
        <w:rPr>
          <w:rFonts w:ascii="Arial" w:hAnsi="Arial" w:cs="Arial"/>
          <w:b/>
          <w:noProof/>
          <w:lang w:val="es-ES"/>
        </w:rPr>
      </w:pPr>
      <w:r w:rsidRPr="00993936">
        <w:rPr>
          <w:rFonts w:ascii="Arial" w:hAnsi="Arial" w:cs="Arial"/>
          <w:i/>
          <w:noProof/>
          <w:lang w:val="es-ES"/>
        </w:rPr>
        <w:t>31.1 Obligaciones</w:t>
      </w:r>
    </w:p>
    <w:p w:rsidR="00202B3A" w:rsidRPr="00993936" w:rsidRDefault="00202B3A" w:rsidP="001D205D">
      <w:pPr>
        <w:jc w:val="both"/>
        <w:rPr>
          <w:rFonts w:ascii="Arial" w:hAnsi="Arial" w:cs="Arial"/>
          <w:noProof/>
          <w:lang w:val="es-ES"/>
        </w:rPr>
      </w:pPr>
      <w:r w:rsidRPr="00993936">
        <w:rPr>
          <w:rFonts w:ascii="Arial" w:hAnsi="Arial" w:cs="Arial"/>
          <w:noProof/>
          <w:lang w:val="es-ES"/>
        </w:rPr>
        <w:t>31.1.1 Cuando durante la realización de los controles internos o externos se detecte el incumplimiento total o parcial de alguna de las prácticas establecidas en esta norma como “obligatorias” o “prohibidas”, se deberá dejar registro como “no conformidad” de las desviaciones detectadas.</w:t>
      </w:r>
    </w:p>
    <w:p w:rsidR="00202B3A" w:rsidRPr="00993936" w:rsidRDefault="00202B3A" w:rsidP="001D205D">
      <w:pPr>
        <w:jc w:val="both"/>
        <w:rPr>
          <w:rFonts w:ascii="Arial" w:hAnsi="Arial" w:cs="Arial"/>
          <w:noProof/>
          <w:lang w:val="es-ES"/>
        </w:rPr>
      </w:pPr>
      <w:r w:rsidRPr="00993936">
        <w:rPr>
          <w:rFonts w:ascii="Arial" w:hAnsi="Arial" w:cs="Arial"/>
          <w:noProof/>
          <w:lang w:val="es-ES"/>
        </w:rPr>
        <w:lastRenderedPageBreak/>
        <w:t>31.1.2 Establecer y documentar las acciones correctivas que procedan para dar el tratamiento adecuado a estas no conformidades, de manera que se eliminen los efectos y las causas que las motivaron y que se impida una repetición futura.</w:t>
      </w:r>
    </w:p>
    <w:p w:rsidR="00202B3A" w:rsidRPr="00993936" w:rsidRDefault="00202B3A" w:rsidP="001D205D">
      <w:pPr>
        <w:jc w:val="both"/>
        <w:rPr>
          <w:rFonts w:ascii="Arial" w:hAnsi="Arial" w:cs="Arial"/>
          <w:noProof/>
          <w:lang w:val="es-ES"/>
        </w:rPr>
      </w:pPr>
      <w:r w:rsidRPr="00993936">
        <w:rPr>
          <w:rFonts w:ascii="Arial" w:hAnsi="Arial" w:cs="Arial"/>
          <w:noProof/>
          <w:lang w:val="es-ES"/>
        </w:rPr>
        <w:t>31.1.3 El operador tiene que realizar el seguimiento de la implantación de las acciones correctivas y comprobar que sean efectivas antes de proceder al cierre de las no conformidades detectadas.</w:t>
      </w:r>
    </w:p>
    <w:p w:rsidR="00202B3A" w:rsidRPr="00993936" w:rsidRDefault="00202B3A" w:rsidP="001D205D">
      <w:pPr>
        <w:pStyle w:val="Textoindependiente"/>
        <w:rPr>
          <w:rFonts w:cs="Arial"/>
          <w:noProof/>
          <w:szCs w:val="22"/>
          <w:lang w:val="es-ES"/>
        </w:rPr>
      </w:pPr>
      <w:r w:rsidRPr="00993936">
        <w:rPr>
          <w:rFonts w:cs="Arial"/>
          <w:noProof/>
          <w:szCs w:val="22"/>
          <w:lang w:val="es-ES"/>
        </w:rPr>
        <w:t>31.1.4 Siempre que se detecten no conformidades sobre las materias primas, productos en proceso y los productos finales obtenidos de los productos vegetales de producción integrada, se tendrán que adoptar las medidas adecuadas de identificación, trazabilidad y segregación, de estos, de manera que se manifieste claramente su estado “no conforme” y se prevenga la utilización o comercialización de manera no intencionada como productos de producción integrada.</w:t>
      </w:r>
    </w:p>
    <w:p w:rsidR="00202B3A" w:rsidRPr="00993936" w:rsidRDefault="00202B3A" w:rsidP="001D205D">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32</w:t>
      </w:r>
    </w:p>
    <w:p w:rsidR="00202B3A" w:rsidRPr="00993936" w:rsidRDefault="00202B3A" w:rsidP="001D205D">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202B3A" w:rsidRPr="00993936" w:rsidRDefault="00202B3A" w:rsidP="001D205D">
      <w:pPr>
        <w:pStyle w:val="NormalWeb"/>
        <w:spacing w:after="0"/>
        <w:jc w:val="both"/>
        <w:rPr>
          <w:rFonts w:ascii="Arial" w:hAnsi="Arial" w:cs="Arial"/>
          <w:i/>
          <w:sz w:val="22"/>
          <w:szCs w:val="22"/>
          <w:lang w:val="es-ES"/>
        </w:rPr>
      </w:pPr>
      <w:r w:rsidRPr="00993936">
        <w:rPr>
          <w:rFonts w:ascii="Arial" w:hAnsi="Arial" w:cs="Arial"/>
          <w:i/>
          <w:sz w:val="22"/>
          <w:szCs w:val="22"/>
          <w:lang w:val="es-ES"/>
        </w:rPr>
        <w:t>32.1 Obligaciones</w:t>
      </w:r>
    </w:p>
    <w:p w:rsidR="00202B3A" w:rsidRPr="00993936" w:rsidRDefault="00202B3A" w:rsidP="001D205D">
      <w:pPr>
        <w:pStyle w:val="NormalWeb"/>
        <w:spacing w:after="0"/>
        <w:jc w:val="both"/>
        <w:rPr>
          <w:rFonts w:ascii="Arial" w:hAnsi="Arial" w:cs="Arial"/>
          <w:sz w:val="22"/>
          <w:szCs w:val="22"/>
          <w:lang w:val="es-ES"/>
        </w:rPr>
      </w:pPr>
      <w:r w:rsidRPr="00993936">
        <w:rPr>
          <w:rFonts w:ascii="Arial" w:hAnsi="Arial" w:cs="Arial"/>
          <w:sz w:val="22"/>
          <w:szCs w:val="22"/>
          <w:lang w:val="es-ES"/>
        </w:rPr>
        <w:t>32.1.1 El control y la certificación del sistema de la producción integrada se regirá por</w:t>
      </w:r>
      <w:r w:rsidRPr="00993936">
        <w:rPr>
          <w:rFonts w:ascii="Arial" w:hAnsi="Arial" w:cs="Arial"/>
          <w:vanish/>
          <w:sz w:val="22"/>
          <w:szCs w:val="22"/>
          <w:lang w:val="es-ES"/>
        </w:rPr>
        <w:t>&lt;A[por|para]&gt;</w:t>
      </w:r>
      <w:r w:rsidRPr="00993936">
        <w:rPr>
          <w:rFonts w:ascii="Arial" w:hAnsi="Arial" w:cs="Arial"/>
          <w:sz w:val="22"/>
          <w:szCs w:val="22"/>
          <w:lang w:val="es-ES"/>
        </w:rPr>
        <w:t xml:space="preserve"> lo que determina la Ley 14/2003, de 13 de junio, de calidad agroalimentaria; el Decreto 285/2006, de 4 de julio, por el cual se desarrolla la Ley 14/2003; el Decreto 241/2002, de 8 de octubre, por</w:t>
      </w:r>
      <w:r w:rsidRPr="00993936">
        <w:rPr>
          <w:rFonts w:ascii="Arial" w:hAnsi="Arial" w:cs="Arial"/>
          <w:vanish/>
          <w:sz w:val="22"/>
          <w:szCs w:val="22"/>
          <w:lang w:val="es-ES"/>
        </w:rPr>
        <w:t>&lt;A[por|para]&gt;</w:t>
      </w:r>
      <w:r w:rsidRPr="00993936">
        <w:rPr>
          <w:rFonts w:ascii="Arial" w:hAnsi="Arial" w:cs="Arial"/>
          <w:sz w:val="22"/>
          <w:szCs w:val="22"/>
          <w:lang w:val="es-ES"/>
        </w:rPr>
        <w:t xml:space="preserve"> el cual se regula la producción integrada en Cataluña, y la Orden ARP/208/2003, de 7 de mayo, por</w:t>
      </w:r>
      <w:r w:rsidRPr="00993936">
        <w:rPr>
          <w:rFonts w:ascii="Arial" w:hAnsi="Arial" w:cs="Arial"/>
          <w:vanish/>
          <w:sz w:val="22"/>
          <w:szCs w:val="22"/>
          <w:lang w:val="es-ES"/>
        </w:rPr>
        <w:t>&lt;A[por|para]&gt;</w:t>
      </w:r>
      <w:r w:rsidRPr="00993936">
        <w:rPr>
          <w:rFonts w:ascii="Arial" w:hAnsi="Arial" w:cs="Arial"/>
          <w:sz w:val="22"/>
          <w:szCs w:val="22"/>
          <w:lang w:val="es-ES"/>
        </w:rPr>
        <w:t xml:space="preserve"> la cual se aprueba el Reglamento de régimen interior del Consejo Catalán de la Producción Integrada.</w:t>
      </w:r>
    </w:p>
    <w:p w:rsidR="00202B3A" w:rsidRPr="00993936" w:rsidRDefault="00202B3A" w:rsidP="001D205D">
      <w:pPr>
        <w:pStyle w:val="Encabezado"/>
        <w:tabs>
          <w:tab w:val="clear" w:pos="4252"/>
          <w:tab w:val="clear" w:pos="8504"/>
        </w:tabs>
        <w:rPr>
          <w:rFonts w:ascii="Arial" w:hAnsi="Arial" w:cs="Arial"/>
          <w:lang w:val="es-ES"/>
        </w:rPr>
      </w:pPr>
    </w:p>
    <w:p w:rsidR="00202B3A" w:rsidRPr="00993936" w:rsidRDefault="00202B3A" w:rsidP="003C0F94">
      <w:pPr>
        <w:pStyle w:val="Sinespaciado"/>
        <w:jc w:val="both"/>
        <w:rPr>
          <w:rFonts w:ascii="Arial" w:hAnsi="Arial" w:cs="Arial"/>
          <w:noProof/>
          <w:lang w:val="es-ES"/>
        </w:rPr>
      </w:pPr>
      <w:r w:rsidRPr="00993936">
        <w:rPr>
          <w:rFonts w:ascii="Arial" w:hAnsi="Arial" w:cs="Arial"/>
          <w:noProof/>
          <w:lang w:val="es-ES"/>
        </w:rPr>
        <w:t>Artículo 33</w:t>
      </w:r>
    </w:p>
    <w:p w:rsidR="00202B3A" w:rsidRPr="00993936" w:rsidRDefault="00202B3A" w:rsidP="003C0F94">
      <w:pPr>
        <w:pStyle w:val="Sinespaciado"/>
        <w:jc w:val="both"/>
        <w:rPr>
          <w:rFonts w:ascii="Arial" w:hAnsi="Arial" w:cs="Arial"/>
          <w:b/>
          <w:noProof/>
          <w:lang w:val="es-ES"/>
        </w:rPr>
      </w:pPr>
      <w:r w:rsidRPr="00993936">
        <w:rPr>
          <w:rFonts w:ascii="Arial" w:hAnsi="Arial" w:cs="Arial"/>
          <w:b/>
          <w:noProof/>
          <w:lang w:val="es-ES"/>
        </w:rPr>
        <w:t>Distintivo de garantía de producción integrada</w:t>
      </w:r>
    </w:p>
    <w:p w:rsidR="00202B3A" w:rsidRPr="00993936" w:rsidRDefault="00202B3A" w:rsidP="003C0F94">
      <w:pPr>
        <w:pStyle w:val="Sinespaciado"/>
        <w:jc w:val="both"/>
        <w:rPr>
          <w:rFonts w:ascii="Arial" w:hAnsi="Arial" w:cs="Arial"/>
          <w:i/>
          <w:noProof/>
          <w:lang w:val="es-ES"/>
        </w:rPr>
      </w:pPr>
      <w:r w:rsidRPr="00993936">
        <w:rPr>
          <w:rFonts w:ascii="Arial" w:hAnsi="Arial" w:cs="Arial"/>
          <w:noProof/>
          <w:lang w:val="es-ES"/>
        </w:rPr>
        <w:t xml:space="preserve">33.1 </w:t>
      </w:r>
      <w:r w:rsidRPr="00993936">
        <w:rPr>
          <w:rFonts w:ascii="Arial" w:hAnsi="Arial" w:cs="Arial"/>
          <w:i/>
          <w:noProof/>
          <w:lang w:val="es-ES"/>
        </w:rPr>
        <w:t>Obligaciones</w:t>
      </w:r>
    </w:p>
    <w:p w:rsidR="00202B3A" w:rsidRPr="00993936" w:rsidRDefault="00202B3A" w:rsidP="003C0F94">
      <w:pPr>
        <w:pStyle w:val="Sinespaciado"/>
        <w:jc w:val="both"/>
        <w:rPr>
          <w:rFonts w:ascii="Arial" w:hAnsi="Arial" w:cs="Arial"/>
          <w:noProof/>
          <w:lang w:val="es-ES"/>
        </w:rPr>
      </w:pPr>
      <w:r w:rsidRPr="00993936">
        <w:rPr>
          <w:rFonts w:ascii="Arial" w:hAnsi="Arial" w:cs="Arial"/>
          <w:noProof/>
          <w:lang w:val="es-ES"/>
        </w:rPr>
        <w:t>33.1.1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202B3A" w:rsidRPr="00993936" w:rsidRDefault="00202B3A" w:rsidP="001D205D">
      <w:pPr>
        <w:jc w:val="both"/>
        <w:rPr>
          <w:rFonts w:ascii="Arial" w:hAnsi="Arial" w:cs="Arial"/>
          <w:noProof/>
          <w:lang w:val="es-ES"/>
        </w:rPr>
      </w:pPr>
      <w:r w:rsidRPr="00993936">
        <w:rPr>
          <w:rFonts w:ascii="Arial" w:hAnsi="Arial" w:cs="Arial"/>
          <w:noProof/>
          <w:lang w:val="es-ES"/>
        </w:rPr>
        <w:t>33.1.2 La utilización del distintivo de garantía de producción integrada, en las etiquetas de los contenedores, sacos y otros lugares</w:t>
      </w:r>
      <w:r w:rsidRPr="00993936">
        <w:rPr>
          <w:rFonts w:ascii="Arial" w:hAnsi="Arial" w:cs="Arial"/>
          <w:noProof/>
          <w:vanish/>
          <w:lang w:val="es-ES"/>
        </w:rPr>
        <w:t>&lt;A[lugares|sitios]&gt;</w:t>
      </w:r>
      <w:r w:rsidRPr="00993936">
        <w:rPr>
          <w:rFonts w:ascii="Arial" w:hAnsi="Arial" w:cs="Arial"/>
          <w:noProof/>
          <w:lang w:val="es-ES"/>
        </w:rPr>
        <w:t>, se ajustará al sistema establecido por el libro de estilo del Consejo Catalán de la Producción Integrada.</w:t>
      </w:r>
    </w:p>
    <w:p w:rsidR="00202B3A" w:rsidRPr="00993936" w:rsidRDefault="00202B3A" w:rsidP="001D205D">
      <w:pPr>
        <w:jc w:val="both"/>
        <w:rPr>
          <w:rFonts w:ascii="Arial" w:hAnsi="Arial" w:cs="Arial"/>
          <w:noProof/>
          <w:lang w:val="es-ES"/>
        </w:rPr>
      </w:pPr>
      <w:r w:rsidRPr="00993936">
        <w:rPr>
          <w:rFonts w:ascii="Arial" w:hAnsi="Arial" w:cs="Arial"/>
          <w:noProof/>
          <w:lang w:val="es-ES"/>
        </w:rPr>
        <w:t>33.1.3 La concesión del distintivo de garantía de producción integrada será concedido por el Consejo.</w:t>
      </w:r>
    </w:p>
    <w:p w:rsidR="00202B3A" w:rsidRPr="00993936" w:rsidRDefault="00202B3A" w:rsidP="001D205D">
      <w:pPr>
        <w:jc w:val="both"/>
        <w:rPr>
          <w:rFonts w:ascii="Arial" w:hAnsi="Arial" w:cs="Arial"/>
          <w:i/>
          <w:noProof/>
          <w:lang w:val="es-ES"/>
        </w:rPr>
      </w:pPr>
      <w:r w:rsidRPr="00993936">
        <w:rPr>
          <w:rFonts w:ascii="Arial" w:hAnsi="Arial" w:cs="Arial"/>
          <w:noProof/>
          <w:lang w:val="es-ES"/>
        </w:rPr>
        <w:t xml:space="preserve">33.2 </w:t>
      </w:r>
      <w:r w:rsidRPr="00993936">
        <w:rPr>
          <w:rFonts w:ascii="Arial" w:hAnsi="Arial" w:cs="Arial"/>
          <w:i/>
          <w:noProof/>
          <w:lang w:val="es-ES"/>
        </w:rPr>
        <w:t>Prohibiciones</w:t>
      </w:r>
    </w:p>
    <w:p w:rsidR="00202B3A" w:rsidRPr="00993936" w:rsidRDefault="00202B3A" w:rsidP="001D205D">
      <w:pPr>
        <w:pStyle w:val="Encabezado"/>
        <w:tabs>
          <w:tab w:val="clear" w:pos="4252"/>
          <w:tab w:val="clear" w:pos="8504"/>
        </w:tabs>
        <w:rPr>
          <w:rFonts w:ascii="Arial" w:hAnsi="Arial" w:cs="Arial"/>
          <w:lang w:val="es-ES"/>
        </w:rPr>
      </w:pPr>
      <w:r w:rsidRPr="00993936">
        <w:rPr>
          <w:rFonts w:ascii="Arial" w:hAnsi="Arial" w:cs="Arial"/>
          <w:noProof/>
          <w:lang w:val="es-ES"/>
        </w:rPr>
        <w:t>33.2.1 Utilizar del distintivo de garantía, sin disponer de la preceptiva certificación.</w:t>
      </w:r>
    </w:p>
    <w:p w:rsidR="00202B3A" w:rsidRPr="00993936" w:rsidRDefault="00202B3A" w:rsidP="001D205D">
      <w:pPr>
        <w:pStyle w:val="Encabezado"/>
        <w:tabs>
          <w:tab w:val="clear" w:pos="4252"/>
          <w:tab w:val="clear" w:pos="8504"/>
        </w:tabs>
        <w:rPr>
          <w:rFonts w:ascii="Arial" w:hAnsi="Arial" w:cs="Arial"/>
          <w:lang w:val="es-ES"/>
        </w:rPr>
      </w:pPr>
    </w:p>
    <w:p w:rsidR="00202B3A" w:rsidRPr="00993936" w:rsidRDefault="00202B3A" w:rsidP="001D205D">
      <w:pPr>
        <w:rPr>
          <w:rFonts w:ascii="Arial" w:hAnsi="Arial" w:cs="Arial"/>
          <w:lang w:val="es-ES"/>
        </w:rPr>
      </w:pPr>
    </w:p>
    <w:p w:rsidR="00202B3A" w:rsidRPr="00993936" w:rsidRDefault="00202B3A" w:rsidP="001D205D">
      <w:pPr>
        <w:jc w:val="center"/>
        <w:rPr>
          <w:rFonts w:ascii="Arial" w:hAnsi="Arial" w:cs="Arial"/>
          <w:lang w:val="es-ES"/>
        </w:rPr>
      </w:pPr>
      <w:r w:rsidRPr="00993936">
        <w:rPr>
          <w:rFonts w:ascii="Arial" w:hAnsi="Arial" w:cs="Arial"/>
          <w:lang w:val="es-ES"/>
        </w:rPr>
        <w:t>.-.-.-.-.-.-.-.-.-.-.-.-.-.-.-.-.-.-.-.-.-.-.-.-.-.-.-.-.-.-.-.</w:t>
      </w:r>
    </w:p>
    <w:p w:rsidR="00202B3A" w:rsidRPr="00993936" w:rsidRDefault="00202B3A" w:rsidP="001D205D">
      <w:pPr>
        <w:rPr>
          <w:rFonts w:ascii="Arial" w:hAnsi="Arial" w:cs="Arial"/>
          <w:lang w:val="es-ES"/>
        </w:rPr>
      </w:pPr>
    </w:p>
    <w:p w:rsidR="00202B3A" w:rsidRPr="00993936" w:rsidRDefault="00202B3A" w:rsidP="001D205D">
      <w:pPr>
        <w:jc w:val="both"/>
        <w:rPr>
          <w:rFonts w:ascii="Arial" w:hAnsi="Arial" w:cs="Arial"/>
          <w:lang w:val="es-ES"/>
        </w:rPr>
      </w:pPr>
    </w:p>
    <w:p w:rsidR="00202B3A" w:rsidRPr="00993936" w:rsidRDefault="00202B3A" w:rsidP="001D205D">
      <w:pPr>
        <w:jc w:val="both"/>
        <w:rPr>
          <w:rFonts w:ascii="Arial" w:hAnsi="Arial" w:cs="Arial"/>
          <w:lang w:val="es-ES"/>
        </w:rPr>
      </w:pPr>
    </w:p>
    <w:p w:rsidR="00202B3A" w:rsidRPr="00993936" w:rsidRDefault="00202B3A" w:rsidP="001D205D">
      <w:pPr>
        <w:pStyle w:val="Ttulo5"/>
        <w:jc w:val="center"/>
        <w:rPr>
          <w:rFonts w:ascii="Arial" w:hAnsi="Arial" w:cs="Arial"/>
          <w:b/>
          <w:color w:val="auto"/>
          <w:sz w:val="24"/>
          <w:szCs w:val="24"/>
          <w:u w:val="single"/>
          <w:lang w:val="es-ES"/>
        </w:rPr>
      </w:pPr>
      <w:r w:rsidRPr="00993936">
        <w:rPr>
          <w:rFonts w:ascii="Arial" w:hAnsi="Arial" w:cs="Arial"/>
          <w:color w:val="auto"/>
          <w:lang w:val="es-ES"/>
        </w:rPr>
        <w:br w:type="page"/>
      </w:r>
      <w:r w:rsidRPr="00993936">
        <w:rPr>
          <w:rFonts w:ascii="Arial" w:hAnsi="Arial" w:cs="Arial"/>
          <w:b/>
          <w:color w:val="auto"/>
          <w:sz w:val="24"/>
          <w:szCs w:val="24"/>
          <w:u w:val="single"/>
          <w:lang w:val="es-ES"/>
        </w:rPr>
        <w:lastRenderedPageBreak/>
        <w:t>ANEXOS</w:t>
      </w:r>
    </w:p>
    <w:p w:rsidR="00202B3A" w:rsidRPr="00993936" w:rsidRDefault="00202B3A" w:rsidP="001D205D">
      <w:pPr>
        <w:jc w:val="both"/>
        <w:rPr>
          <w:rFonts w:ascii="Arial" w:hAnsi="Arial" w:cs="Arial"/>
          <w:b/>
          <w:lang w:val="es-ES"/>
        </w:rPr>
      </w:pPr>
    </w:p>
    <w:p w:rsidR="00202B3A" w:rsidRPr="00993936" w:rsidRDefault="00202B3A" w:rsidP="001D205D">
      <w:pPr>
        <w:pStyle w:val="Ttulo3"/>
        <w:rPr>
          <w:rFonts w:ascii="Arial" w:hAnsi="Arial" w:cs="Arial"/>
          <w:b/>
          <w:noProof/>
          <w:snapToGrid w:val="0"/>
          <w:color w:val="auto"/>
          <w:szCs w:val="22"/>
          <w:lang w:val="es-ES"/>
        </w:rPr>
      </w:pPr>
      <w:r w:rsidRPr="00993936">
        <w:rPr>
          <w:rFonts w:ascii="Arial" w:hAnsi="Arial" w:cs="Arial"/>
          <w:b/>
          <w:noProof/>
          <w:snapToGrid w:val="0"/>
          <w:color w:val="auto"/>
          <w:szCs w:val="22"/>
          <w:lang w:val="es-ES"/>
        </w:rPr>
        <w:t>ANEXO 1</w:t>
      </w:r>
    </w:p>
    <w:p w:rsidR="00202B3A" w:rsidRPr="00993936" w:rsidRDefault="00202B3A" w:rsidP="001D205D">
      <w:pPr>
        <w:rPr>
          <w:rFonts w:ascii="Arial" w:hAnsi="Arial" w:cs="Arial"/>
          <w:b/>
          <w:lang w:val="es-ES"/>
        </w:rPr>
      </w:pPr>
    </w:p>
    <w:p w:rsidR="00202B3A" w:rsidRPr="00993936" w:rsidRDefault="00202B3A" w:rsidP="009D1A2D">
      <w:pPr>
        <w:pStyle w:val="Textoindependiente3"/>
        <w:numPr>
          <w:ilvl w:val="1"/>
          <w:numId w:val="193"/>
        </w:numPr>
        <w:rPr>
          <w:rFonts w:cs="Arial"/>
          <w:noProof/>
          <w:szCs w:val="22"/>
          <w:lang w:val="es-ES"/>
        </w:rPr>
      </w:pPr>
      <w:r w:rsidRPr="00993936">
        <w:rPr>
          <w:rFonts w:cs="Arial"/>
          <w:noProof/>
          <w:szCs w:val="22"/>
          <w:lang w:val="es-ES"/>
        </w:rPr>
        <w:t>Materias activas de herbicidas para la producción integrada de cereales de invierno</w:t>
      </w:r>
    </w:p>
    <w:p w:rsidR="00202B3A" w:rsidRPr="00993936" w:rsidRDefault="00202B3A" w:rsidP="001D205D">
      <w:pPr>
        <w:pStyle w:val="Textoindependiente3"/>
        <w:rPr>
          <w:rFonts w:cs="Arial"/>
          <w:noProof/>
          <w:szCs w:val="22"/>
          <w:lang w:val="es-ES"/>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62"/>
        <w:gridCol w:w="4476"/>
      </w:tblGrid>
      <w:tr w:rsidR="00202B3A" w:rsidRPr="00993936" w:rsidTr="001D205D">
        <w:trPr>
          <w:trHeight w:val="70"/>
          <w:tblHeader/>
          <w:jc w:val="center"/>
        </w:trPr>
        <w:tc>
          <w:tcPr>
            <w:tcW w:w="4762" w:type="dxa"/>
            <w:shd w:val="pct12" w:color="auto" w:fill="FFFFFF"/>
            <w:vAlign w:val="center"/>
          </w:tcPr>
          <w:p w:rsidR="00202B3A" w:rsidRPr="00993936" w:rsidRDefault="00202B3A" w:rsidP="003C0F94">
            <w:pPr>
              <w:pStyle w:val="Ttulo9"/>
              <w:jc w:val="center"/>
              <w:rPr>
                <w:rFonts w:ascii="Arial" w:hAnsi="Arial" w:cs="Arial"/>
                <w:b/>
                <w:i w:val="0"/>
                <w:noProof/>
                <w:color w:val="auto"/>
                <w:szCs w:val="22"/>
                <w:lang w:val="es-ES"/>
              </w:rPr>
            </w:pPr>
            <w:r w:rsidRPr="00993936">
              <w:rPr>
                <w:rFonts w:ascii="Arial" w:hAnsi="Arial" w:cs="Arial"/>
                <w:b/>
                <w:i w:val="0"/>
                <w:noProof/>
                <w:color w:val="auto"/>
                <w:szCs w:val="22"/>
                <w:lang w:val="es-ES"/>
              </w:rPr>
              <w:t>MATERIA ACTIVA (*)</w:t>
            </w:r>
          </w:p>
        </w:tc>
        <w:tc>
          <w:tcPr>
            <w:tcW w:w="4476" w:type="dxa"/>
            <w:shd w:val="pct12" w:color="auto" w:fill="FFFFFF"/>
            <w:vAlign w:val="center"/>
          </w:tcPr>
          <w:p w:rsidR="00202B3A" w:rsidRPr="00993936" w:rsidRDefault="00202B3A" w:rsidP="003C0F94">
            <w:pPr>
              <w:pStyle w:val="Ttulo8"/>
              <w:jc w:val="center"/>
              <w:rPr>
                <w:rFonts w:ascii="Arial" w:hAnsi="Arial" w:cs="Arial"/>
                <w:b/>
                <w:noProof/>
                <w:color w:val="auto"/>
                <w:sz w:val="22"/>
                <w:szCs w:val="22"/>
                <w:lang w:val="es-ES"/>
              </w:rPr>
            </w:pPr>
            <w:r w:rsidRPr="00993936">
              <w:rPr>
                <w:rFonts w:ascii="Arial" w:hAnsi="Arial" w:cs="Arial"/>
                <w:b/>
                <w:noProof/>
                <w:color w:val="auto"/>
                <w:sz w:val="22"/>
                <w:szCs w:val="22"/>
                <w:lang w:val="es-ES"/>
              </w:rPr>
              <w:t>CULTIVO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2,4-D </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triticale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2,4-D + Bromoxinil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triticale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2,4-D + Dicamba + MPCA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triticale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2,4-D + Florasulam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2,4 D + Fluroxipir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trigo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2,4-D + MPCA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trigo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Amidosulfuró + Iodosulfurón</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sz w:val="18"/>
                <w:lang w:val="es-ES"/>
              </w:rPr>
              <w:t>Amidosulfurón + Iodosulfurón + Propoxicarbazona</w:t>
            </w:r>
            <w:r w:rsidRPr="00993936">
              <w:rPr>
                <w:rFonts w:ascii="Arial" w:hAnsi="Arial" w:cs="Arial"/>
                <w:noProof/>
                <w:sz w:val="20"/>
                <w:lang w:val="es-ES"/>
              </w:rPr>
              <w:t xml:space="preserve"> </w:t>
            </w:r>
            <w:r w:rsidRPr="00993936">
              <w:rPr>
                <w:rFonts w:ascii="Arial" w:hAnsi="Arial" w:cs="Arial"/>
                <w:noProof/>
                <w:snapToGrid w:val="0"/>
                <w:sz w:val="16"/>
                <w:szCs w:val="18"/>
                <w:lang w:val="es-ES"/>
              </w:rPr>
              <w:t>(1)</w:t>
            </w:r>
          </w:p>
        </w:tc>
        <w:tc>
          <w:tcPr>
            <w:tcW w:w="4476" w:type="dxa"/>
          </w:tcPr>
          <w:p w:rsidR="00202B3A" w:rsidRPr="00993936" w:rsidDel="00A912F1" w:rsidRDefault="00202B3A" w:rsidP="001D205D">
            <w:pPr>
              <w:rPr>
                <w:rFonts w:ascii="Arial" w:hAnsi="Arial" w:cs="Arial"/>
                <w:noProof/>
                <w:lang w:val="es-ES"/>
              </w:rPr>
            </w:pPr>
            <w:r w:rsidRPr="00993936">
              <w:rPr>
                <w:rFonts w:ascii="Arial" w:hAnsi="Arial" w:cs="Arial"/>
                <w:noProof/>
                <w:lang w:val="es-ES"/>
              </w:rPr>
              <w:t>Trigo,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Aminopiralid + Florasulam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Bentazona</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centeno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Beflubutamida</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centeno, trigo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Beflubutamida + Isoproturón</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Bifenox</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Bifenox + Clortalurón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Trigo, cebada, avena, centeno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Bifenox + Piraflufen-etil</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Bromoxinil</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triticale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Bromoxinil + MCPA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Bromoxinil + MCPP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Trigo, Avena, triticale y Centeno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Carfentazona-etil</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Trigo, cebada, avena, centeno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Carfentazona + MCPP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Centeno, trigo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Clodinafop + Pinoxadén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Trigo, triticale y centeno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Clodinafop-propargil</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Blat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Clopiralid</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trigo, avena, centeno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lastRenderedPageBreak/>
              <w:t xml:space="preserve">Clopiralid + Fluroxipir + MCPA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Centeno, Trigo, triticale y Avena</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Clorprofam</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Centeno, Trigo, triticale y Avena</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Clorsulfurón</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Clortolurón</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Cebada, triticale y trigo </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Clortolurón + Diflufenicán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de ciclo largo y trigos blandos</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Clortolurón + Diflufenicán + Pendimetalina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trigo, centeno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Dicamba </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Trigo y Avena</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Diclofop  </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Diflufenicán</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,Blat, avena y centeno</w:t>
            </w:r>
          </w:p>
        </w:tc>
      </w:tr>
      <w:tr w:rsidR="00202B3A" w:rsidRPr="00993936" w:rsidTr="001D205D">
        <w:trPr>
          <w:jc w:val="center"/>
        </w:trPr>
        <w:tc>
          <w:tcPr>
            <w:tcW w:w="4762" w:type="dxa"/>
          </w:tcPr>
          <w:p w:rsidR="00202B3A" w:rsidRPr="00993936" w:rsidRDefault="00202B3A" w:rsidP="001D205D">
            <w:pPr>
              <w:rPr>
                <w:rFonts w:ascii="Arial" w:hAnsi="Arial" w:cs="Arial"/>
                <w:lang w:val="es-ES"/>
              </w:rPr>
            </w:pPr>
            <w:r w:rsidRPr="00993936">
              <w:rPr>
                <w:rFonts w:ascii="Arial" w:hAnsi="Arial" w:cs="Arial"/>
                <w:noProof/>
                <w:lang w:val="es-ES"/>
              </w:rPr>
              <w:t xml:space="preserve">Diflufenicán + Clodinafop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triticale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Diflufenicán + Glifosatoo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trigo y triticale</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Diflufenicán + Flufenacet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Diflufenicán + Flurtamona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triticale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Diflufenicán + Isoproturón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Cebada y trigo</w:t>
            </w:r>
          </w:p>
        </w:tc>
      </w:tr>
      <w:tr w:rsidR="00202B3A" w:rsidRPr="00993936" w:rsidTr="001D205D">
        <w:trPr>
          <w:jc w:val="center"/>
        </w:trPr>
        <w:tc>
          <w:tcPr>
            <w:tcW w:w="4762" w:type="dxa"/>
          </w:tcPr>
          <w:p w:rsidR="00202B3A" w:rsidRPr="00993936" w:rsidRDefault="00202B3A" w:rsidP="001D205D">
            <w:pPr>
              <w:rPr>
                <w:rFonts w:ascii="Arial" w:hAnsi="Arial" w:cs="Arial"/>
                <w:noProof/>
                <w:lang w:val="es-ES"/>
              </w:rPr>
            </w:pPr>
            <w:r w:rsidRPr="00993936">
              <w:rPr>
                <w:rFonts w:ascii="Arial" w:hAnsi="Arial" w:cs="Arial"/>
                <w:noProof/>
                <w:lang w:val="es-ES"/>
              </w:rPr>
              <w:t xml:space="preserve">Diflufenicán + Metsulfuró </w:t>
            </w:r>
            <w:r w:rsidRPr="00993936">
              <w:rPr>
                <w:rFonts w:ascii="Arial" w:hAnsi="Arial" w:cs="Arial"/>
                <w:noProof/>
                <w:snapToGrid w:val="0"/>
                <w:sz w:val="18"/>
                <w:szCs w:val="18"/>
                <w:lang w:val="es-ES"/>
              </w:rPr>
              <w:t>(1)</w:t>
            </w:r>
          </w:p>
        </w:tc>
        <w:tc>
          <w:tcPr>
            <w:tcW w:w="4476" w:type="dxa"/>
          </w:tcPr>
          <w:p w:rsidR="00202B3A" w:rsidRPr="00993936" w:rsidRDefault="00202B3A" w:rsidP="001D205D">
            <w:pPr>
              <w:rPr>
                <w:rFonts w:ascii="Arial" w:hAnsi="Arial" w:cs="Arial"/>
                <w:noProof/>
                <w:lang w:val="es-ES"/>
              </w:rPr>
            </w:pPr>
            <w:r w:rsidRPr="00993936">
              <w:rPr>
                <w:rFonts w:ascii="Arial" w:hAnsi="Arial" w:cs="Arial"/>
                <w:noProof/>
                <w:lang w:val="es-ES"/>
              </w:rPr>
              <w:t>Avena, cebada, centeno, trigo y triticale</w:t>
            </w:r>
          </w:p>
        </w:tc>
      </w:tr>
    </w:tbl>
    <w:p w:rsidR="00202B3A" w:rsidRPr="00993936" w:rsidRDefault="00202B3A" w:rsidP="001D205D">
      <w:pPr>
        <w:pStyle w:val="Textoindependiente3"/>
        <w:rPr>
          <w:rFonts w:cs="Arial"/>
          <w:noProof/>
          <w:szCs w:val="22"/>
          <w:lang w:val="es-ES"/>
        </w:rPr>
      </w:pPr>
      <w:r w:rsidRPr="00993936">
        <w:rPr>
          <w:rFonts w:cs="Arial"/>
          <w:lang w:val="es-ES"/>
        </w:rPr>
        <w:br w:type="page"/>
      </w:r>
      <w:r w:rsidRPr="00993936">
        <w:rPr>
          <w:rFonts w:cs="Arial"/>
          <w:noProof/>
          <w:szCs w:val="22"/>
          <w:lang w:val="es-ES"/>
        </w:rPr>
        <w:lastRenderedPageBreak/>
        <w:t>Apartado 1.1. (Continuación) Materias activas de herbicidas para la producción integrada de cereales de invierno</w:t>
      </w:r>
    </w:p>
    <w:p w:rsidR="00202B3A" w:rsidRPr="00993936" w:rsidRDefault="00202B3A" w:rsidP="001D205D">
      <w:pPr>
        <w:rPr>
          <w:rFonts w:ascii="Arial" w:hAnsi="Arial" w:cs="Arial"/>
          <w:lang w:val="es-ES"/>
        </w:rPr>
      </w:pPr>
    </w:p>
    <w:tbl>
      <w:tblPr>
        <w:tblW w:w="9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6"/>
        <w:gridCol w:w="5132"/>
      </w:tblGrid>
      <w:tr w:rsidR="00202B3A" w:rsidRPr="00993936" w:rsidTr="001D205D">
        <w:trPr>
          <w:trHeight w:val="70"/>
          <w:tblHeader/>
          <w:jc w:val="center"/>
        </w:trPr>
        <w:tc>
          <w:tcPr>
            <w:tcW w:w="4106" w:type="dxa"/>
            <w:shd w:val="pct12" w:color="auto" w:fill="FFFFFF"/>
            <w:vAlign w:val="center"/>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MATERIA ACTIVA</w:t>
            </w:r>
          </w:p>
        </w:tc>
        <w:tc>
          <w:tcPr>
            <w:tcW w:w="5132" w:type="dxa"/>
            <w:shd w:val="pct12" w:color="auto" w:fill="FFFFFF"/>
            <w:vAlign w:val="center"/>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CULTIVO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Fenaxoprop-p-etil + Iodosulfurón</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 triticale y centeno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Fenoxaprop-p-etil</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trigo, segol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Florasulam</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Florasulam + Fluroxipir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 cebada, avena, centeno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Florasulam + Piroxsulam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Florasulam + Tritosulfurón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Trigo, Avena, Segol</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Fluroxipir</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centeno, avena, triticale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Glifosato</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trigo y triticale en presiembra, avena y centeno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Glifosato + MCPA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Avena, cebada, centeno, trigo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Glifosato + Piraflufen-etil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avena, triticale, centeno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Glufosinato</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trigo y triticale en presiembra, avena y centeno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Iodosulfurón</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 avena, triticale, centeno y cebada</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Iodosulfurón+Mesosulfurón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Iodosulfurón+ Propoxicarbazona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Isoproturón</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Isoxabén</w:t>
            </w:r>
            <w:r w:rsidRPr="00993936">
              <w:rPr>
                <w:rFonts w:ascii="Arial" w:hAnsi="Arial" w:cs="Arial"/>
                <w:noProof/>
                <w:sz w:val="20"/>
                <w:lang w:val="es-ES"/>
              </w:rPr>
              <w:tab/>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MCPA</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centeno, avena, triticale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MCPA + Clopiralid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MCPA + MCPP +Diclorprop-p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MCPP</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Avena, cebada, triticale, centeno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MCPP + Piraflufen-etil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 y cebada</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MCPP + Tribenurón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 y cebada</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Metsulfurón</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trigo, triticale, avena y centeno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Metsulfurón + Tribenurón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Metsulfurón + Tifensulfurón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cebada, centeno, trigo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Metribuzina</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Algunas variedad de cebada y de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Pendimetalina</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trigo, centeno, avena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Pendimetalina + Picolinafén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centeno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Piraflufen-etil</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Avena, cebada, centeno, trigo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Pinoxadén</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centeno, triticale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Prosulfocarb</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de invierno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Sulfosulfuró</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Tifensulfurón</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centeno, avena, triticale y trigo</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 xml:space="preserve">Tifensulfurón + Tribenurón </w:t>
            </w:r>
            <w:r w:rsidRPr="00993936">
              <w:rPr>
                <w:rFonts w:ascii="Arial" w:hAnsi="Arial" w:cs="Arial"/>
                <w:noProof/>
                <w:snapToGrid w:val="0"/>
                <w:sz w:val="20"/>
                <w:szCs w:val="18"/>
                <w:lang w:val="es-ES"/>
              </w:rPr>
              <w:t>(1)</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Avena, cebada, centeno, trigo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Tralkoxidim</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Cebada, trigo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Tribenurón</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Avena, cebada, centeno, trigo y triticale</w:t>
            </w:r>
          </w:p>
        </w:tc>
      </w:tr>
      <w:tr w:rsidR="00202B3A" w:rsidRPr="00993936" w:rsidTr="001D205D">
        <w:trPr>
          <w:jc w:val="center"/>
        </w:trPr>
        <w:tc>
          <w:tcPr>
            <w:tcW w:w="4106"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Triasulfurón</w:t>
            </w:r>
          </w:p>
        </w:tc>
        <w:tc>
          <w:tcPr>
            <w:tcW w:w="5132" w:type="dxa"/>
          </w:tcPr>
          <w:p w:rsidR="00202B3A" w:rsidRPr="00993936" w:rsidRDefault="00202B3A" w:rsidP="001D205D">
            <w:pPr>
              <w:pStyle w:val="Sinespaciado"/>
              <w:rPr>
                <w:rFonts w:ascii="Arial" w:hAnsi="Arial" w:cs="Arial"/>
                <w:noProof/>
                <w:sz w:val="20"/>
                <w:lang w:val="es-ES"/>
              </w:rPr>
            </w:pPr>
            <w:r w:rsidRPr="00993936">
              <w:rPr>
                <w:rFonts w:ascii="Arial" w:hAnsi="Arial" w:cs="Arial"/>
                <w:noProof/>
                <w:sz w:val="20"/>
                <w:lang w:val="es-ES"/>
              </w:rPr>
              <w:t>Trigo y cebada</w:t>
            </w:r>
          </w:p>
        </w:tc>
      </w:tr>
    </w:tbl>
    <w:p w:rsidR="00202B3A" w:rsidRPr="00993936" w:rsidRDefault="00202B3A" w:rsidP="001D205D">
      <w:pPr>
        <w:pStyle w:val="Prrafodelista"/>
        <w:widowControl w:val="0"/>
        <w:ind w:left="0"/>
        <w:jc w:val="both"/>
        <w:rPr>
          <w:rFonts w:ascii="Arial" w:hAnsi="Arial" w:cs="Arial"/>
          <w:snapToGrid w:val="0"/>
          <w:sz w:val="18"/>
          <w:lang w:val="es-ES"/>
        </w:rPr>
      </w:pPr>
      <w:r w:rsidRPr="00993936" w:rsidDel="00B67BCB">
        <w:rPr>
          <w:rFonts w:ascii="Arial" w:hAnsi="Arial" w:cs="Arial"/>
          <w:lang w:val="es-ES"/>
        </w:rPr>
        <w:t xml:space="preserve"> </w:t>
      </w:r>
      <w:r w:rsidRPr="00993936">
        <w:rPr>
          <w:rFonts w:ascii="Arial" w:hAnsi="Arial" w:cs="Arial"/>
          <w:snapToGrid w:val="0"/>
          <w:sz w:val="18"/>
          <w:lang w:val="es-ES"/>
        </w:rPr>
        <w:t>(*) Controlar las malas hierbas, siempre que sea posible, con medios físicos, mecánicos, biológicos o aquellos que ofrezcan el menor riesgo de emisiones de CO</w:t>
      </w:r>
      <w:r w:rsidRPr="00993936">
        <w:rPr>
          <w:rFonts w:ascii="Arial" w:hAnsi="Arial" w:cs="Arial"/>
          <w:snapToGrid w:val="0"/>
          <w:sz w:val="18"/>
          <w:vertAlign w:val="subscript"/>
          <w:lang w:val="es-ES"/>
        </w:rPr>
        <w:t>2</w:t>
      </w:r>
      <w:r w:rsidRPr="00993936">
        <w:rPr>
          <w:rFonts w:ascii="Arial" w:hAnsi="Arial" w:cs="Arial"/>
          <w:snapToGrid w:val="0"/>
          <w:sz w:val="18"/>
          <w:lang w:val="es-ES"/>
        </w:rPr>
        <w:t>. Cuando los medios señalados anteriormente no permitan un control adecuado de las malas hierbas, se podrá justificar la aplicación de alguno de los herbicidas que figuran en esta tabla</w:t>
      </w:r>
      <w:r w:rsidRPr="00993936">
        <w:rPr>
          <w:rFonts w:ascii="Arial" w:hAnsi="Arial" w:cs="Arial"/>
          <w:snapToGrid w:val="0"/>
          <w:vanish/>
          <w:sz w:val="18"/>
          <w:lang w:val="es-ES"/>
        </w:rPr>
        <w:t>&lt;A[mesa|tabla]&gt;</w:t>
      </w:r>
      <w:r w:rsidRPr="00993936">
        <w:rPr>
          <w:rFonts w:ascii="Arial" w:hAnsi="Arial" w:cs="Arial"/>
          <w:snapToGrid w:val="0"/>
          <w:sz w:val="18"/>
          <w:lang w:val="es-ES"/>
        </w:rPr>
        <w:t>.</w:t>
      </w:r>
    </w:p>
    <w:p w:rsidR="00202B3A" w:rsidRPr="00993936" w:rsidRDefault="00202B3A" w:rsidP="001D205D">
      <w:pPr>
        <w:pStyle w:val="Prrafodelista"/>
        <w:widowControl w:val="0"/>
        <w:jc w:val="both"/>
        <w:rPr>
          <w:rFonts w:ascii="Arial" w:hAnsi="Arial" w:cs="Arial"/>
          <w:snapToGrid w:val="0"/>
          <w:sz w:val="10"/>
          <w:lang w:val="es-ES"/>
        </w:rPr>
      </w:pPr>
    </w:p>
    <w:p w:rsidR="00202B3A" w:rsidRPr="00993936" w:rsidRDefault="00202B3A" w:rsidP="001D205D">
      <w:pPr>
        <w:pStyle w:val="Prrafodelista"/>
        <w:widowControl w:val="0"/>
        <w:ind w:left="0"/>
        <w:jc w:val="both"/>
        <w:rPr>
          <w:rFonts w:ascii="Arial" w:hAnsi="Arial" w:cs="Arial"/>
          <w:snapToGrid w:val="0"/>
          <w:sz w:val="18"/>
          <w:lang w:val="es-ES"/>
        </w:rPr>
      </w:pPr>
      <w:r w:rsidRPr="00993936">
        <w:rPr>
          <w:rFonts w:ascii="Arial" w:hAnsi="Arial" w:cs="Arial"/>
          <w:snapToGrid w:val="0"/>
          <w:sz w:val="18"/>
          <w:lang w:val="es-ES"/>
        </w:rPr>
        <w:t>(*) Las materias activas a utilizar serán seleccionadas de acuerdo con los criterios de menor peligrosidad para los humanos, la fauna silvestre y el medio ambiente, y que proporcionen un control efectivo de la mala hierba.</w:t>
      </w:r>
    </w:p>
    <w:p w:rsidR="00202B3A" w:rsidRPr="00993936" w:rsidRDefault="00202B3A" w:rsidP="001D205D">
      <w:pPr>
        <w:pStyle w:val="Prrafodelista"/>
        <w:widowControl w:val="0"/>
        <w:ind w:left="0"/>
        <w:jc w:val="both"/>
        <w:rPr>
          <w:rFonts w:ascii="Arial" w:hAnsi="Arial" w:cs="Arial"/>
          <w:snapToGrid w:val="0"/>
          <w:sz w:val="10"/>
          <w:lang w:val="es-ES"/>
        </w:rPr>
      </w:pPr>
    </w:p>
    <w:p w:rsidR="00202B3A" w:rsidRPr="00993936" w:rsidRDefault="00202B3A" w:rsidP="001D205D">
      <w:pPr>
        <w:pStyle w:val="Prrafodelista"/>
        <w:widowControl w:val="0"/>
        <w:ind w:left="0"/>
        <w:rPr>
          <w:rFonts w:ascii="Arial" w:hAnsi="Arial" w:cs="Arial"/>
          <w:snapToGrid w:val="0"/>
          <w:sz w:val="18"/>
          <w:lang w:val="es-ES"/>
        </w:rPr>
      </w:pPr>
      <w:r w:rsidRPr="00993936">
        <w:rPr>
          <w:rFonts w:ascii="Arial" w:hAnsi="Arial" w:cs="Arial"/>
          <w:snapToGrid w:val="0"/>
          <w:sz w:val="18"/>
          <w:lang w:val="es-ES"/>
        </w:rPr>
        <w:t>(1) Sólo formulaciones comerciales registradas</w:t>
      </w:r>
    </w:p>
    <w:p w:rsidR="00202B3A" w:rsidRPr="00993936" w:rsidRDefault="00202B3A" w:rsidP="001D205D">
      <w:pPr>
        <w:pStyle w:val="Textoindependiente2"/>
        <w:jc w:val="both"/>
        <w:rPr>
          <w:rFonts w:cs="Arial"/>
          <w:b/>
          <w:noProof/>
          <w:sz w:val="22"/>
          <w:szCs w:val="22"/>
          <w:lang w:val="es-ES"/>
        </w:rPr>
      </w:pPr>
      <w:r w:rsidRPr="00993936">
        <w:rPr>
          <w:rFonts w:cs="Arial"/>
          <w:noProof/>
          <w:szCs w:val="22"/>
          <w:lang w:val="es-ES"/>
        </w:rPr>
        <w:br w:type="page"/>
      </w:r>
      <w:r w:rsidRPr="00993936">
        <w:rPr>
          <w:rFonts w:cs="Arial"/>
          <w:b/>
          <w:noProof/>
          <w:sz w:val="22"/>
          <w:szCs w:val="22"/>
          <w:lang w:val="es-ES"/>
        </w:rPr>
        <w:lastRenderedPageBreak/>
        <w:t>1.2 Materias activas de herbicidas para la producción integrada de Cereales de invierno con indicación del código de resistencia HRAC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92"/>
        <w:gridCol w:w="4292"/>
      </w:tblGrid>
      <w:tr w:rsidR="003C0F94" w:rsidRPr="00993936" w:rsidTr="001D205D">
        <w:trPr>
          <w:trHeight w:val="393"/>
        </w:trPr>
        <w:tc>
          <w:tcPr>
            <w:tcW w:w="5000" w:type="pct"/>
            <w:gridSpan w:val="2"/>
            <w:shd w:val="solid" w:color="C0C0C0" w:fill="auto"/>
            <w:vAlign w:val="center"/>
          </w:tcPr>
          <w:p w:rsidR="00202B3A" w:rsidRPr="00993936" w:rsidRDefault="00202B3A" w:rsidP="003C0F94">
            <w:pPr>
              <w:pStyle w:val="Sinespaciado"/>
              <w:jc w:val="center"/>
              <w:rPr>
                <w:rFonts w:ascii="Arial" w:hAnsi="Arial" w:cs="Arial"/>
                <w:b/>
                <w:sz w:val="20"/>
                <w:lang w:val="es-ES" w:eastAsia="ca-ES"/>
              </w:rPr>
            </w:pPr>
            <w:r w:rsidRPr="00993936">
              <w:rPr>
                <w:rFonts w:ascii="Arial" w:hAnsi="Arial" w:cs="Arial"/>
                <w:b/>
                <w:sz w:val="20"/>
                <w:lang w:val="es-ES" w:eastAsia="ca-ES"/>
              </w:rPr>
              <w:t>TIPO DE HERBICIDAS</w:t>
            </w:r>
          </w:p>
        </w:tc>
      </w:tr>
      <w:tr w:rsidR="003C0F94" w:rsidRPr="00993936" w:rsidTr="001D205D">
        <w:trPr>
          <w:trHeight w:val="270"/>
        </w:trPr>
        <w:tc>
          <w:tcPr>
            <w:tcW w:w="2500" w:type="pct"/>
            <w:vMerge w:val="restart"/>
            <w:shd w:val="solid" w:color="C0C0C0" w:fill="auto"/>
            <w:vAlign w:val="center"/>
          </w:tcPr>
          <w:p w:rsidR="00202B3A" w:rsidRPr="00993936" w:rsidRDefault="00202B3A" w:rsidP="003C0F94">
            <w:pPr>
              <w:pStyle w:val="Sinespaciado"/>
              <w:jc w:val="center"/>
              <w:rPr>
                <w:rFonts w:ascii="Arial" w:hAnsi="Arial" w:cs="Arial"/>
                <w:b/>
                <w:sz w:val="20"/>
                <w:lang w:val="es-ES" w:eastAsia="ca-ES"/>
              </w:rPr>
            </w:pPr>
            <w:r w:rsidRPr="00993936">
              <w:rPr>
                <w:rFonts w:ascii="Arial" w:hAnsi="Arial" w:cs="Arial"/>
                <w:b/>
                <w:sz w:val="20"/>
                <w:lang w:val="es-ES" w:eastAsia="ca-ES"/>
              </w:rPr>
              <w:t>Materia activa</w:t>
            </w:r>
          </w:p>
        </w:tc>
        <w:tc>
          <w:tcPr>
            <w:tcW w:w="2500" w:type="pct"/>
            <w:shd w:val="solid" w:color="C0C0C0" w:fill="auto"/>
          </w:tcPr>
          <w:p w:rsidR="00202B3A" w:rsidRPr="00993936" w:rsidRDefault="00202B3A" w:rsidP="003C0F94">
            <w:pPr>
              <w:pStyle w:val="Sinespaciado"/>
              <w:jc w:val="center"/>
              <w:rPr>
                <w:rFonts w:ascii="Arial" w:hAnsi="Arial" w:cs="Arial"/>
                <w:b/>
                <w:sz w:val="20"/>
                <w:lang w:val="es-ES" w:eastAsia="ca-ES"/>
              </w:rPr>
            </w:pPr>
            <w:r w:rsidRPr="00993936">
              <w:rPr>
                <w:rFonts w:ascii="Arial" w:hAnsi="Arial" w:cs="Arial"/>
                <w:b/>
                <w:sz w:val="20"/>
                <w:lang w:val="es-ES" w:eastAsia="ca-ES"/>
              </w:rPr>
              <w:t>Indicación del código de resistencia</w:t>
            </w:r>
          </w:p>
        </w:tc>
      </w:tr>
      <w:tr w:rsidR="003C0F94" w:rsidRPr="00993936" w:rsidTr="001D205D">
        <w:trPr>
          <w:trHeight w:val="270"/>
        </w:trPr>
        <w:tc>
          <w:tcPr>
            <w:tcW w:w="2500" w:type="pct"/>
            <w:vMerge/>
            <w:shd w:val="solid" w:color="C0C0C0" w:fill="auto"/>
          </w:tcPr>
          <w:p w:rsidR="00202B3A" w:rsidRPr="00993936" w:rsidRDefault="00202B3A" w:rsidP="003C0F94">
            <w:pPr>
              <w:pStyle w:val="Sinespaciado"/>
              <w:jc w:val="center"/>
              <w:rPr>
                <w:rFonts w:ascii="Arial" w:hAnsi="Arial" w:cs="Arial"/>
                <w:b/>
                <w:sz w:val="20"/>
                <w:lang w:val="es-ES" w:eastAsia="ca-ES"/>
              </w:rPr>
            </w:pPr>
          </w:p>
        </w:tc>
        <w:tc>
          <w:tcPr>
            <w:tcW w:w="2500" w:type="pct"/>
            <w:shd w:val="solid" w:color="C0C0C0" w:fill="auto"/>
          </w:tcPr>
          <w:p w:rsidR="00202B3A" w:rsidRPr="00993936" w:rsidRDefault="00202B3A" w:rsidP="003C0F94">
            <w:pPr>
              <w:pStyle w:val="Sinespaciado"/>
              <w:jc w:val="center"/>
              <w:rPr>
                <w:rFonts w:ascii="Arial" w:hAnsi="Arial" w:cs="Arial"/>
                <w:b/>
                <w:sz w:val="20"/>
                <w:lang w:val="es-ES" w:eastAsia="ca-ES"/>
              </w:rPr>
            </w:pPr>
            <w:r w:rsidRPr="00993936">
              <w:rPr>
                <w:rFonts w:ascii="Arial" w:hAnsi="Arial" w:cs="Arial"/>
                <w:b/>
                <w:sz w:val="20"/>
                <w:lang w:val="es-ES" w:eastAsia="ca-ES"/>
              </w:rPr>
              <w:t>HRAC (*)</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2,4-D</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2,4-D + Bromoxinil</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O+C3</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2,4-D + Dicamba + MCPA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O+O+O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2,4-D + Florasulam</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O+B</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2,4-D + Fluroxipir</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2,4-D + MCPA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Amidosulfurón + Iodosulfurón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B+B</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Amidosulfurón + Iodosulfurón + Propoxicarbazona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B+B+B</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Aminopiralid + Florasulam</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B+B</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Beflubutamida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Beflubutamida + Isoproturón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F1+C2</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Bentazona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C3</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Bifenox</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E</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Bifenox + Clortolurón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E+C2</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Bifenox + Piraflufen-etil</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E+E</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Bromoxinil</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C3</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Bromoxinil + MCPA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C3+O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Bromoxinil + MCPP</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C3+O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Carfentrazona-etil</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E</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Carfentrazona-etil + MCPP</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E+O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Clodinafop + Pinoxadén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A+A</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Clodinafop-propargil</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A</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Clopiralid</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O4</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Clopiralid + Fluroxipir + MCPA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O4+O+O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Clorprofam</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K2</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Clorsulfurón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B</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Clortolurón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C2</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Clortolurón + Diflufenicán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C2+F1</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Clortolurón + Diflufenicán + Pendimetalina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C2+F1+K1</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Dicamba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O</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Diclofop</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A</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Diflufenicán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Diflufenicán + Clodinafop</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F1+A</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Diflufenicán + Flufenacet</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F1+K3</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Diflufenicán + Flurtamona</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F1+F1</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Diflufenicán + Glifosato</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F1+G</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Diflufenicán + Isoproturón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F1+C2</w:t>
            </w:r>
          </w:p>
        </w:tc>
      </w:tr>
      <w:tr w:rsidR="003C0F94" w:rsidRPr="00993936" w:rsidTr="001D205D">
        <w:trPr>
          <w:trHeight w:val="270"/>
        </w:trPr>
        <w:tc>
          <w:tcPr>
            <w:tcW w:w="2500" w:type="pct"/>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Diflufenicán + Metsulfurón</w:t>
            </w:r>
          </w:p>
        </w:tc>
        <w:tc>
          <w:tcPr>
            <w:tcW w:w="2500" w:type="pct"/>
            <w:shd w:val="solid" w:color="FFFFFF" w:fill="auto"/>
          </w:tcPr>
          <w:p w:rsidR="00202B3A" w:rsidRPr="00993936" w:rsidRDefault="00202B3A" w:rsidP="003C0F94">
            <w:pPr>
              <w:pStyle w:val="Sinespaciado"/>
              <w:jc w:val="center"/>
              <w:rPr>
                <w:rFonts w:ascii="Arial" w:hAnsi="Arial" w:cs="Arial"/>
                <w:sz w:val="20"/>
                <w:lang w:val="es-ES" w:eastAsia="ca-ES"/>
              </w:rPr>
            </w:pPr>
            <w:r w:rsidRPr="00993936">
              <w:rPr>
                <w:rFonts w:ascii="Arial" w:hAnsi="Arial" w:cs="Arial"/>
                <w:sz w:val="20"/>
                <w:lang w:val="es-ES" w:eastAsia="ca-ES"/>
              </w:rPr>
              <w:t>F1+B</w:t>
            </w:r>
          </w:p>
        </w:tc>
      </w:tr>
      <w:tr w:rsidR="003C0F94" w:rsidRPr="00993936" w:rsidTr="001D205D">
        <w:trPr>
          <w:trHeight w:val="270"/>
        </w:trPr>
        <w:tc>
          <w:tcPr>
            <w:tcW w:w="5000" w:type="pct"/>
            <w:gridSpan w:val="2"/>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Para evitar la aparición de resistencias alternar el uso de materias activas que presenten códigos de resistencia (HRAC) diferentes</w:t>
            </w:r>
          </w:p>
        </w:tc>
      </w:tr>
      <w:tr w:rsidR="003C0F94" w:rsidRPr="00993936" w:rsidTr="001D205D">
        <w:trPr>
          <w:trHeight w:val="270"/>
        </w:trPr>
        <w:tc>
          <w:tcPr>
            <w:tcW w:w="5000" w:type="pct"/>
            <w:gridSpan w:val="2"/>
            <w:shd w:val="solid" w:color="FFFFFF" w:fill="auto"/>
          </w:tcPr>
          <w:p w:rsidR="00202B3A" w:rsidRPr="00993936" w:rsidRDefault="00202B3A" w:rsidP="003C0F94">
            <w:pPr>
              <w:pStyle w:val="Sinespaciado"/>
              <w:rPr>
                <w:rFonts w:ascii="Arial" w:hAnsi="Arial" w:cs="Arial"/>
                <w:sz w:val="20"/>
                <w:lang w:val="es-ES" w:eastAsia="ca-ES"/>
              </w:rPr>
            </w:pPr>
            <w:r w:rsidRPr="00993936">
              <w:rPr>
                <w:rFonts w:ascii="Arial" w:hAnsi="Arial" w:cs="Arial"/>
                <w:sz w:val="20"/>
                <w:lang w:val="es-ES" w:eastAsia="ca-ES"/>
              </w:rPr>
              <w:t>(*) Fuente: Comité de Acción de Resistencia en Herbicidas</w:t>
            </w:r>
          </w:p>
        </w:tc>
      </w:tr>
    </w:tbl>
    <w:p w:rsidR="00202B3A" w:rsidRPr="00993936" w:rsidRDefault="00202B3A" w:rsidP="001D205D">
      <w:pPr>
        <w:pStyle w:val="Textoindependiente2"/>
        <w:jc w:val="both"/>
        <w:rPr>
          <w:rFonts w:cs="Arial"/>
          <w:b/>
          <w:noProof/>
          <w:sz w:val="22"/>
          <w:szCs w:val="22"/>
          <w:lang w:val="es-ES"/>
        </w:rPr>
      </w:pPr>
      <w:r w:rsidRPr="00993936">
        <w:rPr>
          <w:rFonts w:cs="Arial"/>
          <w:b/>
          <w:noProof/>
          <w:sz w:val="22"/>
          <w:szCs w:val="22"/>
          <w:lang w:val="es-ES"/>
        </w:rPr>
        <w:lastRenderedPageBreak/>
        <w:t>1.3 (Continuación) Materias activas de herbicidas para la producción integrada de Cereales de invierno con indicación del código de resistencia HRAC</w:t>
      </w:r>
    </w:p>
    <w:p w:rsidR="00202B3A" w:rsidRPr="00993936" w:rsidRDefault="00202B3A" w:rsidP="001D205D">
      <w:pPr>
        <w:rPr>
          <w:rFonts w:ascii="Arial"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60"/>
        <w:gridCol w:w="4424"/>
      </w:tblGrid>
      <w:tr w:rsidR="003C0F94" w:rsidRPr="00993936" w:rsidTr="001D205D">
        <w:trPr>
          <w:trHeight w:val="393"/>
        </w:trPr>
        <w:tc>
          <w:tcPr>
            <w:tcW w:w="5000" w:type="pct"/>
            <w:gridSpan w:val="2"/>
            <w:shd w:val="solid" w:color="C0C0C0" w:fill="auto"/>
            <w:vAlign w:val="center"/>
          </w:tcPr>
          <w:p w:rsidR="00202B3A" w:rsidRPr="00993936" w:rsidRDefault="00202B3A" w:rsidP="003C0F94">
            <w:pPr>
              <w:pStyle w:val="Sinespaciado"/>
              <w:jc w:val="center"/>
              <w:rPr>
                <w:rFonts w:ascii="Arial" w:hAnsi="Arial" w:cs="Arial"/>
                <w:b/>
                <w:lang w:val="es-ES" w:eastAsia="ca-ES"/>
              </w:rPr>
            </w:pPr>
            <w:r w:rsidRPr="00993936">
              <w:rPr>
                <w:rFonts w:ascii="Arial" w:hAnsi="Arial" w:cs="Arial"/>
                <w:b/>
                <w:lang w:val="es-ES" w:eastAsia="ca-ES"/>
              </w:rPr>
              <w:t>TIPO DE HERBICIDAS</w:t>
            </w:r>
          </w:p>
        </w:tc>
      </w:tr>
      <w:tr w:rsidR="003C0F94" w:rsidRPr="00993936" w:rsidTr="001D205D">
        <w:trPr>
          <w:trHeight w:val="270"/>
        </w:trPr>
        <w:tc>
          <w:tcPr>
            <w:tcW w:w="2423" w:type="pct"/>
            <w:vMerge w:val="restart"/>
            <w:shd w:val="solid" w:color="C0C0C0" w:fill="auto"/>
            <w:vAlign w:val="center"/>
          </w:tcPr>
          <w:p w:rsidR="00202B3A" w:rsidRPr="00993936" w:rsidRDefault="00202B3A" w:rsidP="003C0F94">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77" w:type="pct"/>
            <w:shd w:val="solid" w:color="C0C0C0" w:fill="auto"/>
          </w:tcPr>
          <w:p w:rsidR="00202B3A" w:rsidRPr="00993936" w:rsidRDefault="00202B3A" w:rsidP="003C0F94">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3C0F94" w:rsidRPr="00993936" w:rsidTr="001D205D">
        <w:trPr>
          <w:trHeight w:val="270"/>
        </w:trPr>
        <w:tc>
          <w:tcPr>
            <w:tcW w:w="2423" w:type="pct"/>
            <w:vMerge/>
            <w:shd w:val="solid" w:color="C0C0C0" w:fill="auto"/>
          </w:tcPr>
          <w:p w:rsidR="00202B3A" w:rsidRPr="00993936" w:rsidRDefault="00202B3A" w:rsidP="003C0F94">
            <w:pPr>
              <w:pStyle w:val="Sinespaciado"/>
              <w:jc w:val="center"/>
              <w:rPr>
                <w:rFonts w:ascii="Arial" w:hAnsi="Arial" w:cs="Arial"/>
                <w:b/>
                <w:lang w:val="es-ES" w:eastAsia="ca-ES"/>
              </w:rPr>
            </w:pPr>
          </w:p>
        </w:tc>
        <w:tc>
          <w:tcPr>
            <w:tcW w:w="2577" w:type="pct"/>
            <w:shd w:val="solid" w:color="C0C0C0" w:fill="auto"/>
          </w:tcPr>
          <w:p w:rsidR="00202B3A" w:rsidRPr="00993936" w:rsidRDefault="00202B3A" w:rsidP="003C0F94">
            <w:pPr>
              <w:pStyle w:val="Sinespaciado"/>
              <w:jc w:val="center"/>
              <w:rPr>
                <w:rFonts w:ascii="Arial" w:hAnsi="Arial" w:cs="Arial"/>
                <w:b/>
                <w:lang w:val="es-ES" w:eastAsia="ca-ES"/>
              </w:rPr>
            </w:pPr>
            <w:r w:rsidRPr="00993936">
              <w:rPr>
                <w:rFonts w:ascii="Arial" w:hAnsi="Arial" w:cs="Arial"/>
                <w:b/>
                <w:lang w:val="es-ES" w:eastAsia="ca-ES"/>
              </w:rPr>
              <w:t>HRAC (*)</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Fenoxaprop-p-etil</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A</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Fenoxaprop-p-etil + Iodosulfurón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A+B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Florasulam</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 xml:space="preserve">Florasulam + Fluroxipir </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B+O</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Florasulam + Piroxsulam</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Florasulam + Tritosulfurón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 xml:space="preserve">Fluroxipir </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O</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Glifosato</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G</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Glifosato + MCPA</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G+O</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Glifosato + Piraflufen-etil</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G+E</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Glufosinato</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H</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Iodosulfurón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Iodosulfurón + Mesosulfuró</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Iodosulfurón + Propoxicarbazona</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Isoproturón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C2</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Isoxabén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L</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MCPA</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O</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MCPA + Clopiralid</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O+O</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MCPA + MCPP + Diclorprop-p</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O+O+O</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MCPP</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O</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MCPP + Piraflufen-etil</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O+E</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MCPP + Tribenurón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O+B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Metribuzina</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C1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Metsulfurón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Metsulfurón + Tifensulfurón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Metsulfurón + Tribenurón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Pendimetalina</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K1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Pendimetalina + Picolinafén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K1+F1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Piraflufen-etil</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E</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Prosulfocarb</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N</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Sulfosulfurón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Tifensulfurón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Tralkoxidim</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A</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Triasulfurón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Tribenurón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Tifensulfurón + Tribenurón</w:t>
            </w:r>
          </w:p>
        </w:tc>
        <w:tc>
          <w:tcPr>
            <w:tcW w:w="2577" w:type="pct"/>
            <w:shd w:val="solid" w:color="FFFFFF" w:fill="auto"/>
          </w:tcPr>
          <w:p w:rsidR="00202B3A" w:rsidRPr="00993936" w:rsidRDefault="00202B3A" w:rsidP="003C0F94">
            <w:pPr>
              <w:pStyle w:val="Sinespaciado"/>
              <w:jc w:val="center"/>
              <w:rPr>
                <w:rFonts w:ascii="Arial" w:hAnsi="Arial" w:cs="Arial"/>
                <w:lang w:val="es-ES" w:eastAsia="ca-ES"/>
              </w:rPr>
            </w:pPr>
            <w:r w:rsidRPr="00993936">
              <w:rPr>
                <w:rFonts w:ascii="Arial" w:hAnsi="Arial" w:cs="Arial"/>
                <w:lang w:val="es-ES" w:eastAsia="ca-ES"/>
              </w:rPr>
              <w:t>B+B</w:t>
            </w:r>
          </w:p>
        </w:tc>
      </w:tr>
      <w:tr w:rsidR="003C0F94" w:rsidRPr="00993936" w:rsidTr="001D205D">
        <w:trPr>
          <w:trHeight w:val="270"/>
        </w:trPr>
        <w:tc>
          <w:tcPr>
            <w:tcW w:w="5000" w:type="pct"/>
            <w:gridSpan w:val="2"/>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(HRAC) diferentes</w:t>
            </w:r>
          </w:p>
        </w:tc>
      </w:tr>
      <w:tr w:rsidR="003C0F94" w:rsidRPr="00993936" w:rsidTr="001D205D">
        <w:trPr>
          <w:trHeight w:val="270"/>
        </w:trPr>
        <w:tc>
          <w:tcPr>
            <w:tcW w:w="5000" w:type="pct"/>
            <w:gridSpan w:val="2"/>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 Fuente: Comité de Acción de Resistencia en Herbicidas</w:t>
            </w:r>
          </w:p>
        </w:tc>
      </w:tr>
    </w:tbl>
    <w:p w:rsidR="00202B3A" w:rsidRPr="00993936" w:rsidRDefault="00202B3A" w:rsidP="001D205D">
      <w:pPr>
        <w:pStyle w:val="Textoindependiente2"/>
        <w:rPr>
          <w:rFonts w:cs="Arial"/>
          <w:lang w:val="es-ES"/>
        </w:rPr>
      </w:pPr>
    </w:p>
    <w:p w:rsidR="00202B3A" w:rsidRPr="00993936" w:rsidRDefault="00202B3A" w:rsidP="003C0F94">
      <w:pPr>
        <w:rPr>
          <w:rFonts w:ascii="Arial" w:hAnsi="Arial" w:cs="Arial"/>
          <w:noProof/>
          <w:lang w:val="es-ES"/>
        </w:rPr>
      </w:pPr>
      <w:r w:rsidRPr="00993936">
        <w:rPr>
          <w:rFonts w:ascii="Arial" w:hAnsi="Arial" w:cs="Arial"/>
          <w:b/>
          <w:noProof/>
          <w:lang w:val="es-ES"/>
        </w:rPr>
        <w:br w:type="page"/>
      </w:r>
      <w:r w:rsidRPr="00993936">
        <w:rPr>
          <w:rFonts w:ascii="Arial" w:hAnsi="Arial" w:cs="Arial"/>
          <w:b/>
          <w:noProof/>
          <w:lang w:val="es-ES"/>
        </w:rPr>
        <w:lastRenderedPageBreak/>
        <w:t>ANEXO 2</w:t>
      </w:r>
    </w:p>
    <w:p w:rsidR="00202B3A" w:rsidRPr="00993936" w:rsidRDefault="00202B3A" w:rsidP="001D205D">
      <w:pPr>
        <w:autoSpaceDE w:val="0"/>
        <w:autoSpaceDN w:val="0"/>
        <w:adjustRightInd w:val="0"/>
        <w:jc w:val="both"/>
        <w:rPr>
          <w:rFonts w:ascii="Arial" w:hAnsi="Arial" w:cs="Arial"/>
          <w:b/>
          <w:noProof/>
          <w:lang w:val="es-ES"/>
        </w:rPr>
      </w:pPr>
    </w:p>
    <w:p w:rsidR="00202B3A" w:rsidRPr="00993936" w:rsidRDefault="00202B3A" w:rsidP="001D205D">
      <w:pPr>
        <w:pStyle w:val="Textodebloque"/>
        <w:ind w:left="0"/>
        <w:jc w:val="both"/>
        <w:rPr>
          <w:rFonts w:cs="Arial"/>
          <w:b/>
          <w:noProof/>
          <w:sz w:val="22"/>
          <w:szCs w:val="22"/>
          <w:lang w:val="es-ES"/>
        </w:rPr>
      </w:pPr>
      <w:r w:rsidRPr="00993936">
        <w:rPr>
          <w:rFonts w:cs="Arial"/>
          <w:b/>
          <w:noProof/>
          <w:sz w:val="22"/>
          <w:szCs w:val="22"/>
          <w:lang w:val="es-ES"/>
        </w:rPr>
        <w:t xml:space="preserve">2.1 Materias activas para la producción integrada según plaga o enfermedad y cultivo. </w:t>
      </w:r>
    </w:p>
    <w:p w:rsidR="00202B3A" w:rsidRPr="00993936" w:rsidRDefault="00202B3A" w:rsidP="001D205D">
      <w:pPr>
        <w:pStyle w:val="Encabezado"/>
        <w:tabs>
          <w:tab w:val="clear" w:pos="4252"/>
          <w:tab w:val="clear" w:pos="8504"/>
        </w:tabs>
        <w:rPr>
          <w:rFonts w:ascii="Arial" w:hAnsi="Arial" w:cs="Arial"/>
          <w:noProof/>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2"/>
        <w:gridCol w:w="2086"/>
        <w:gridCol w:w="540"/>
        <w:gridCol w:w="621"/>
        <w:gridCol w:w="718"/>
        <w:gridCol w:w="780"/>
        <w:gridCol w:w="754"/>
        <w:gridCol w:w="1583"/>
      </w:tblGrid>
      <w:tr w:rsidR="003C0F94" w:rsidRPr="00993936" w:rsidTr="001D205D">
        <w:trPr>
          <w:cantSplit/>
          <w:trHeight w:val="328"/>
          <w:tblHeader/>
          <w:jc w:val="center"/>
        </w:trPr>
        <w:tc>
          <w:tcPr>
            <w:tcW w:w="2423" w:type="pct"/>
            <w:gridSpan w:val="2"/>
            <w:shd w:val="pct12" w:color="auto" w:fill="FFFFFF"/>
            <w:vAlign w:val="center"/>
          </w:tcPr>
          <w:p w:rsidR="00202B3A" w:rsidRPr="00993936" w:rsidRDefault="00202B3A" w:rsidP="003C0F94">
            <w:pPr>
              <w:pStyle w:val="Sinespaciado"/>
              <w:jc w:val="center"/>
              <w:rPr>
                <w:rFonts w:ascii="Arial" w:hAnsi="Arial" w:cs="Arial"/>
                <w:b/>
                <w:noProof/>
                <w:lang w:val="es-ES"/>
              </w:rPr>
            </w:pPr>
            <w:r w:rsidRPr="00993936">
              <w:rPr>
                <w:rFonts w:ascii="Arial" w:hAnsi="Arial" w:cs="Arial"/>
                <w:b/>
                <w:noProof/>
                <w:lang w:val="es-ES"/>
              </w:rPr>
              <w:t>Autorizaciones</w:t>
            </w:r>
          </w:p>
        </w:tc>
        <w:tc>
          <w:tcPr>
            <w:tcW w:w="1595" w:type="pct"/>
            <w:gridSpan w:val="5"/>
            <w:shd w:val="pct12" w:color="auto" w:fill="FFFFFF"/>
            <w:vAlign w:val="center"/>
          </w:tcPr>
          <w:p w:rsidR="00202B3A" w:rsidRPr="00993936" w:rsidRDefault="00202B3A" w:rsidP="003C0F94">
            <w:pPr>
              <w:pStyle w:val="Sinespaciado"/>
              <w:jc w:val="center"/>
              <w:rPr>
                <w:rFonts w:ascii="Arial" w:hAnsi="Arial" w:cs="Arial"/>
                <w:b/>
                <w:noProof/>
                <w:lang w:val="es-ES"/>
              </w:rPr>
            </w:pPr>
            <w:r w:rsidRPr="00993936">
              <w:rPr>
                <w:rFonts w:ascii="Arial" w:hAnsi="Arial" w:cs="Arial"/>
                <w:b/>
                <w:noProof/>
                <w:lang w:val="es-ES"/>
              </w:rPr>
              <w:t>Cultivo</w:t>
            </w:r>
          </w:p>
        </w:tc>
        <w:tc>
          <w:tcPr>
            <w:tcW w:w="982" w:type="pct"/>
            <w:vMerge w:val="restart"/>
            <w:shd w:val="pct12" w:color="auto" w:fill="FFFFFF"/>
            <w:vAlign w:val="center"/>
          </w:tcPr>
          <w:p w:rsidR="00202B3A" w:rsidRPr="00993936" w:rsidRDefault="00202B3A" w:rsidP="003C0F94">
            <w:pPr>
              <w:pStyle w:val="Sinespaciado"/>
              <w:jc w:val="center"/>
              <w:rPr>
                <w:rFonts w:ascii="Arial" w:hAnsi="Arial" w:cs="Arial"/>
                <w:b/>
                <w:noProof/>
                <w:lang w:val="es-ES"/>
              </w:rPr>
            </w:pPr>
            <w:r w:rsidRPr="00993936">
              <w:rPr>
                <w:rFonts w:ascii="Arial" w:hAnsi="Arial" w:cs="Arial"/>
                <w:b/>
                <w:noProof/>
                <w:lang w:val="es-ES"/>
              </w:rPr>
              <w:t>Restricciones</w:t>
            </w:r>
          </w:p>
        </w:tc>
      </w:tr>
      <w:tr w:rsidR="003C0F94" w:rsidRPr="00993936" w:rsidTr="001D205D">
        <w:trPr>
          <w:cantSplit/>
          <w:trHeight w:val="405"/>
          <w:tblHeader/>
          <w:jc w:val="center"/>
        </w:trPr>
        <w:tc>
          <w:tcPr>
            <w:tcW w:w="1060" w:type="pct"/>
            <w:tcBorders>
              <w:bottom w:val="nil"/>
            </w:tcBorders>
            <w:shd w:val="pct12" w:color="auto" w:fill="FFFFFF"/>
            <w:vAlign w:val="center"/>
          </w:tcPr>
          <w:p w:rsidR="00202B3A" w:rsidRPr="00993936" w:rsidRDefault="00202B3A" w:rsidP="003C0F94">
            <w:pPr>
              <w:pStyle w:val="Sinespaciado"/>
              <w:jc w:val="center"/>
              <w:rPr>
                <w:rFonts w:ascii="Arial" w:hAnsi="Arial" w:cs="Arial"/>
                <w:b/>
                <w:noProof/>
                <w:lang w:val="es-ES"/>
              </w:rPr>
            </w:pPr>
            <w:r w:rsidRPr="00993936">
              <w:rPr>
                <w:rFonts w:ascii="Arial" w:hAnsi="Arial" w:cs="Arial"/>
                <w:b/>
                <w:noProof/>
                <w:lang w:val="es-ES"/>
              </w:rPr>
              <w:t>Parásito</w:t>
            </w:r>
          </w:p>
        </w:tc>
        <w:tc>
          <w:tcPr>
            <w:tcW w:w="1363" w:type="pct"/>
            <w:tcBorders>
              <w:bottom w:val="nil"/>
            </w:tcBorders>
            <w:shd w:val="pct12" w:color="auto" w:fill="FFFFFF"/>
            <w:vAlign w:val="center"/>
          </w:tcPr>
          <w:p w:rsidR="00202B3A" w:rsidRPr="00993936" w:rsidRDefault="00202B3A" w:rsidP="003C0F94">
            <w:pPr>
              <w:pStyle w:val="Sinespaciado"/>
              <w:jc w:val="center"/>
              <w:rPr>
                <w:rFonts w:ascii="Arial" w:hAnsi="Arial" w:cs="Arial"/>
                <w:b/>
                <w:noProof/>
                <w:lang w:val="es-ES"/>
              </w:rPr>
            </w:pPr>
            <w:r w:rsidRPr="00993936">
              <w:rPr>
                <w:rFonts w:ascii="Arial" w:hAnsi="Arial" w:cs="Arial"/>
                <w:b/>
                <w:noProof/>
                <w:lang w:val="es-ES"/>
              </w:rPr>
              <w:t>Ingrediente activo</w:t>
            </w:r>
          </w:p>
        </w:tc>
        <w:tc>
          <w:tcPr>
            <w:tcW w:w="236" w:type="pct"/>
            <w:tcBorders>
              <w:bottom w:val="nil"/>
            </w:tcBorders>
            <w:shd w:val="pct12" w:color="auto" w:fill="FFFFFF"/>
            <w:vAlign w:val="center"/>
          </w:tcPr>
          <w:p w:rsidR="00202B3A" w:rsidRPr="00993936" w:rsidRDefault="00202B3A" w:rsidP="003C0F94">
            <w:pPr>
              <w:pStyle w:val="Sinespaciado"/>
              <w:jc w:val="center"/>
              <w:rPr>
                <w:rFonts w:ascii="Arial" w:hAnsi="Arial" w:cs="Arial"/>
                <w:b/>
                <w:noProof/>
                <w:sz w:val="16"/>
                <w:szCs w:val="16"/>
                <w:lang w:val="es-ES"/>
              </w:rPr>
            </w:pPr>
            <w:r w:rsidRPr="00993936">
              <w:rPr>
                <w:rFonts w:ascii="Arial" w:hAnsi="Arial" w:cs="Arial"/>
                <w:b/>
                <w:noProof/>
                <w:sz w:val="16"/>
                <w:szCs w:val="16"/>
                <w:lang w:val="es-ES"/>
              </w:rPr>
              <w:t>Trigo</w:t>
            </w:r>
          </w:p>
        </w:tc>
        <w:tc>
          <w:tcPr>
            <w:tcW w:w="377" w:type="pct"/>
            <w:tcBorders>
              <w:bottom w:val="nil"/>
            </w:tcBorders>
            <w:shd w:val="pct12" w:color="auto" w:fill="FFFFFF"/>
            <w:vAlign w:val="center"/>
          </w:tcPr>
          <w:p w:rsidR="00202B3A" w:rsidRPr="00993936" w:rsidRDefault="00202B3A" w:rsidP="003C0F94">
            <w:pPr>
              <w:pStyle w:val="Sinespaciado"/>
              <w:jc w:val="center"/>
              <w:rPr>
                <w:rFonts w:ascii="Arial" w:hAnsi="Arial" w:cs="Arial"/>
                <w:b/>
                <w:noProof/>
                <w:sz w:val="16"/>
                <w:szCs w:val="16"/>
                <w:lang w:val="es-ES"/>
              </w:rPr>
            </w:pPr>
            <w:r w:rsidRPr="00993936">
              <w:rPr>
                <w:rFonts w:ascii="Arial" w:hAnsi="Arial" w:cs="Arial"/>
                <w:b/>
                <w:noProof/>
                <w:sz w:val="16"/>
                <w:szCs w:val="16"/>
                <w:lang w:val="es-ES"/>
              </w:rPr>
              <w:t>Avena</w:t>
            </w:r>
          </w:p>
        </w:tc>
        <w:tc>
          <w:tcPr>
            <w:tcW w:w="302" w:type="pct"/>
            <w:tcBorders>
              <w:bottom w:val="nil"/>
            </w:tcBorders>
            <w:shd w:val="pct12" w:color="auto" w:fill="FFFFFF"/>
            <w:vAlign w:val="center"/>
          </w:tcPr>
          <w:p w:rsidR="00202B3A" w:rsidRPr="00993936" w:rsidRDefault="00202B3A" w:rsidP="003C0F94">
            <w:pPr>
              <w:pStyle w:val="Sinespaciado"/>
              <w:jc w:val="center"/>
              <w:rPr>
                <w:rFonts w:ascii="Arial" w:hAnsi="Arial" w:cs="Arial"/>
                <w:b/>
                <w:noProof/>
                <w:sz w:val="16"/>
                <w:szCs w:val="16"/>
                <w:lang w:val="es-ES"/>
              </w:rPr>
            </w:pPr>
            <w:r w:rsidRPr="00993936">
              <w:rPr>
                <w:rFonts w:ascii="Arial" w:hAnsi="Arial" w:cs="Arial"/>
                <w:b/>
                <w:noProof/>
                <w:sz w:val="16"/>
                <w:szCs w:val="16"/>
                <w:lang w:val="es-ES"/>
              </w:rPr>
              <w:t>Cebada</w:t>
            </w:r>
          </w:p>
        </w:tc>
        <w:tc>
          <w:tcPr>
            <w:tcW w:w="302" w:type="pct"/>
            <w:tcBorders>
              <w:bottom w:val="nil"/>
            </w:tcBorders>
            <w:shd w:val="pct12" w:color="auto" w:fill="FFFFFF"/>
            <w:vAlign w:val="center"/>
          </w:tcPr>
          <w:p w:rsidR="00202B3A" w:rsidRPr="00993936" w:rsidRDefault="00202B3A" w:rsidP="003C0F94">
            <w:pPr>
              <w:pStyle w:val="Sinespaciado"/>
              <w:jc w:val="center"/>
              <w:rPr>
                <w:rFonts w:ascii="Arial" w:hAnsi="Arial" w:cs="Arial"/>
                <w:b/>
                <w:noProof/>
                <w:sz w:val="16"/>
                <w:szCs w:val="16"/>
                <w:lang w:val="es-ES"/>
              </w:rPr>
            </w:pPr>
            <w:r w:rsidRPr="00993936">
              <w:rPr>
                <w:rFonts w:ascii="Arial" w:hAnsi="Arial" w:cs="Arial"/>
                <w:b/>
                <w:noProof/>
                <w:sz w:val="16"/>
                <w:szCs w:val="16"/>
                <w:lang w:val="es-ES"/>
              </w:rPr>
              <w:t>Centeno</w:t>
            </w:r>
          </w:p>
        </w:tc>
        <w:tc>
          <w:tcPr>
            <w:tcW w:w="378" w:type="pct"/>
            <w:tcBorders>
              <w:bottom w:val="nil"/>
            </w:tcBorders>
            <w:shd w:val="pct12" w:color="auto" w:fill="FFFFFF"/>
            <w:vAlign w:val="center"/>
          </w:tcPr>
          <w:p w:rsidR="00202B3A" w:rsidRPr="00993936" w:rsidRDefault="00202B3A" w:rsidP="003C0F94">
            <w:pPr>
              <w:pStyle w:val="Sinespaciado"/>
              <w:jc w:val="center"/>
              <w:rPr>
                <w:rFonts w:ascii="Arial" w:hAnsi="Arial" w:cs="Arial"/>
                <w:b/>
                <w:noProof/>
                <w:sz w:val="16"/>
                <w:szCs w:val="16"/>
                <w:lang w:val="es-ES"/>
              </w:rPr>
            </w:pPr>
            <w:r w:rsidRPr="00993936">
              <w:rPr>
                <w:rFonts w:ascii="Arial" w:hAnsi="Arial" w:cs="Arial"/>
                <w:b/>
                <w:noProof/>
                <w:sz w:val="16"/>
                <w:szCs w:val="16"/>
                <w:lang w:val="es-ES"/>
              </w:rPr>
              <w:t>Triticale</w:t>
            </w:r>
          </w:p>
        </w:tc>
        <w:tc>
          <w:tcPr>
            <w:tcW w:w="982" w:type="pct"/>
            <w:vMerge/>
            <w:tcBorders>
              <w:bottom w:val="nil"/>
            </w:tcBorders>
            <w:shd w:val="pct12" w:color="auto" w:fill="FFFFFF"/>
            <w:vAlign w:val="center"/>
          </w:tcPr>
          <w:p w:rsidR="00202B3A" w:rsidRPr="00993936" w:rsidRDefault="00202B3A" w:rsidP="003C0F94">
            <w:pPr>
              <w:pStyle w:val="Sinespaciado"/>
              <w:jc w:val="center"/>
              <w:rPr>
                <w:rFonts w:ascii="Arial" w:hAnsi="Arial" w:cs="Arial"/>
                <w:b/>
                <w:noProof/>
                <w:lang w:val="es-ES"/>
              </w:rPr>
            </w:pPr>
          </w:p>
        </w:tc>
      </w:tr>
      <w:tr w:rsidR="003C0F94" w:rsidRPr="00993936" w:rsidTr="001D205D">
        <w:trPr>
          <w:cantSplit/>
          <w:trHeight w:val="425"/>
          <w:jc w:val="center"/>
        </w:trPr>
        <w:tc>
          <w:tcPr>
            <w:tcW w:w="5000" w:type="pct"/>
            <w:gridSpan w:val="8"/>
            <w:shd w:val="pct12" w:color="auto" w:fill="FFFFFF"/>
            <w:vAlign w:val="center"/>
          </w:tcPr>
          <w:p w:rsidR="00202B3A" w:rsidRPr="00993936" w:rsidRDefault="00202B3A" w:rsidP="003C0F94">
            <w:pPr>
              <w:pStyle w:val="Sinespaciado"/>
              <w:jc w:val="center"/>
              <w:rPr>
                <w:rFonts w:ascii="Arial" w:hAnsi="Arial" w:cs="Arial"/>
                <w:b/>
                <w:i/>
                <w:noProof/>
                <w:lang w:val="es-ES"/>
              </w:rPr>
            </w:pPr>
            <w:r w:rsidRPr="00993936">
              <w:rPr>
                <w:rFonts w:ascii="Arial" w:hAnsi="Arial" w:cs="Arial"/>
                <w:b/>
                <w:i/>
                <w:noProof/>
                <w:lang w:val="es-ES"/>
              </w:rPr>
              <w:t>PLAGAS</w:t>
            </w:r>
          </w:p>
        </w:tc>
      </w:tr>
      <w:tr w:rsidR="003C0F94" w:rsidRPr="00993936" w:rsidTr="001D205D">
        <w:trPr>
          <w:cantSplit/>
          <w:jc w:val="center"/>
        </w:trPr>
        <w:tc>
          <w:tcPr>
            <w:tcW w:w="1060"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“Aguijonero”, Garrapatillo</w:t>
            </w:r>
          </w:p>
          <w:p w:rsidR="00202B3A" w:rsidRPr="00993936" w:rsidRDefault="00202B3A" w:rsidP="003C0F94">
            <w:pPr>
              <w:pStyle w:val="Sinespaciado"/>
              <w:rPr>
                <w:rFonts w:ascii="Arial" w:hAnsi="Arial" w:cs="Arial"/>
                <w:noProof/>
                <w:lang w:val="es-ES"/>
              </w:rPr>
            </w:pPr>
            <w:r w:rsidRPr="00993936">
              <w:rPr>
                <w:rFonts w:ascii="Arial" w:hAnsi="Arial" w:cs="Arial"/>
                <w:i/>
                <w:noProof/>
                <w:sz w:val="16"/>
                <w:szCs w:val="16"/>
                <w:lang w:val="es-ES"/>
              </w:rPr>
              <w:t>Aelia sp, Eurigaster sp.</w:t>
            </w: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Alfacipermetrina</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982" w:type="pct"/>
            <w:vMerge w:val="restart"/>
            <w:vAlign w:val="center"/>
          </w:tcPr>
          <w:p w:rsidR="00202B3A" w:rsidRPr="00993936" w:rsidRDefault="00202B3A" w:rsidP="003C0F94">
            <w:pPr>
              <w:pStyle w:val="Sinespaciado"/>
              <w:rPr>
                <w:rFonts w:ascii="Arial" w:hAnsi="Arial" w:cs="Arial"/>
                <w:noProof/>
                <w:sz w:val="20"/>
                <w:lang w:val="es-ES"/>
              </w:rPr>
            </w:pPr>
            <w:r w:rsidRPr="00993936">
              <w:rPr>
                <w:rFonts w:ascii="Arial" w:hAnsi="Arial" w:cs="Arial"/>
                <w:noProof/>
                <w:sz w:val="20"/>
                <w:lang w:val="es-ES"/>
              </w:rPr>
              <w:t>(1) Máximo 1 tratamiento al año</w:t>
            </w:r>
          </w:p>
          <w:p w:rsidR="00202B3A" w:rsidRPr="00993936" w:rsidRDefault="00202B3A" w:rsidP="003C0F94">
            <w:pPr>
              <w:pStyle w:val="Sinespaciado"/>
              <w:rPr>
                <w:rFonts w:ascii="Arial" w:hAnsi="Arial" w:cs="Arial"/>
                <w:noProof/>
                <w:sz w:val="20"/>
                <w:lang w:val="es-ES"/>
              </w:rPr>
            </w:pPr>
          </w:p>
          <w:p w:rsidR="00202B3A" w:rsidRPr="00993936" w:rsidRDefault="00202B3A" w:rsidP="003C0F94">
            <w:pPr>
              <w:pStyle w:val="Sinespaciado"/>
              <w:rPr>
                <w:rFonts w:ascii="Arial" w:hAnsi="Arial" w:cs="Arial"/>
                <w:noProof/>
                <w:sz w:val="20"/>
                <w:lang w:val="es-ES"/>
              </w:rPr>
            </w:pPr>
            <w:r w:rsidRPr="00993936">
              <w:rPr>
                <w:rFonts w:ascii="Arial" w:hAnsi="Arial" w:cs="Arial"/>
                <w:noProof/>
                <w:sz w:val="20"/>
                <w:lang w:val="es-ES"/>
              </w:rPr>
              <w:t>(2) Sólo formulaciones que no sean de clasificación toxicológica T</w:t>
            </w: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r w:rsidRPr="00993936">
              <w:rPr>
                <w:rFonts w:ascii="Arial" w:hAnsi="Arial" w:cs="Arial"/>
                <w:noProof/>
                <w:sz w:val="20"/>
                <w:lang w:val="es-ES"/>
              </w:rPr>
              <w:t>(*) Materia activa con fecha de límite de utilización</w:t>
            </w: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Deltametrina</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Esfenvalerat</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Lambda-cihalotrina</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Araña roja</w:t>
            </w:r>
          </w:p>
          <w:p w:rsidR="00202B3A" w:rsidRPr="00993936" w:rsidRDefault="00202B3A" w:rsidP="003C0F94">
            <w:pPr>
              <w:pStyle w:val="Sinespaciado"/>
              <w:rPr>
                <w:rFonts w:ascii="Arial" w:hAnsi="Arial" w:cs="Arial"/>
                <w:i/>
                <w:noProof/>
              </w:rPr>
            </w:pPr>
            <w:r w:rsidRPr="00993936">
              <w:rPr>
                <w:rFonts w:ascii="Arial" w:hAnsi="Arial" w:cs="Arial"/>
                <w:i/>
                <w:noProof/>
                <w:sz w:val="18"/>
              </w:rPr>
              <w:t>Panonychus ulmi</w:t>
            </w:r>
          </w:p>
        </w:tc>
        <w:tc>
          <w:tcPr>
            <w:tcW w:w="1363" w:type="pct"/>
            <w:vAlign w:val="center"/>
          </w:tcPr>
          <w:p w:rsidR="00202B3A" w:rsidRPr="00993936" w:rsidRDefault="00202B3A" w:rsidP="003C0F94">
            <w:pPr>
              <w:pStyle w:val="Sinespaciado"/>
              <w:rPr>
                <w:rFonts w:ascii="Arial" w:hAnsi="Arial" w:cs="Arial"/>
                <w:noProof/>
                <w:sz w:val="18"/>
                <w:szCs w:val="18"/>
                <w:lang w:val="es-ES"/>
              </w:rPr>
            </w:pPr>
          </w:p>
        </w:tc>
        <w:tc>
          <w:tcPr>
            <w:tcW w:w="236" w:type="pct"/>
            <w:vAlign w:val="center"/>
          </w:tcPr>
          <w:p w:rsidR="00202B3A" w:rsidRPr="00993936" w:rsidRDefault="00202B3A" w:rsidP="003C0F94">
            <w:pPr>
              <w:pStyle w:val="Sinespaciado"/>
              <w:rPr>
                <w:rFonts w:ascii="Arial" w:hAnsi="Arial" w:cs="Arial"/>
                <w:noProof/>
                <w:lang w:val="es-ES"/>
              </w:rPr>
            </w:pPr>
          </w:p>
        </w:tc>
        <w:tc>
          <w:tcPr>
            <w:tcW w:w="377"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trHeight w:val="136"/>
          <w:jc w:val="center"/>
        </w:trPr>
        <w:tc>
          <w:tcPr>
            <w:tcW w:w="106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Cefus</w:t>
            </w:r>
          </w:p>
          <w:p w:rsidR="00202B3A" w:rsidRPr="00993936" w:rsidRDefault="00202B3A" w:rsidP="003C0F94">
            <w:pPr>
              <w:pStyle w:val="Sinespaciado"/>
              <w:rPr>
                <w:rFonts w:ascii="Arial" w:hAnsi="Arial" w:cs="Arial"/>
                <w:i/>
                <w:noProof/>
              </w:rPr>
            </w:pPr>
            <w:r w:rsidRPr="00993936">
              <w:rPr>
                <w:rFonts w:ascii="Arial" w:hAnsi="Arial" w:cs="Arial"/>
                <w:i/>
                <w:noProof/>
                <w:sz w:val="18"/>
              </w:rPr>
              <w:t>Cephus pigmaeus</w:t>
            </w:r>
          </w:p>
        </w:tc>
        <w:tc>
          <w:tcPr>
            <w:tcW w:w="1363" w:type="pct"/>
            <w:vAlign w:val="center"/>
          </w:tcPr>
          <w:p w:rsidR="00202B3A" w:rsidRPr="00993936" w:rsidRDefault="00202B3A" w:rsidP="003C0F94">
            <w:pPr>
              <w:pStyle w:val="Sinespaciado"/>
              <w:rPr>
                <w:rFonts w:ascii="Arial" w:hAnsi="Arial" w:cs="Arial"/>
                <w:dstrike/>
                <w:noProof/>
                <w:sz w:val="18"/>
                <w:szCs w:val="18"/>
                <w:lang w:val="es-ES"/>
              </w:rPr>
            </w:pPr>
            <w:r w:rsidRPr="00993936">
              <w:rPr>
                <w:rFonts w:ascii="Arial" w:hAnsi="Arial" w:cs="Arial"/>
                <w:noProof/>
                <w:sz w:val="18"/>
                <w:szCs w:val="18"/>
                <w:lang w:val="es-ES"/>
              </w:rPr>
              <w:t>Alfacipermetrina</w:t>
            </w:r>
          </w:p>
        </w:tc>
        <w:tc>
          <w:tcPr>
            <w:tcW w:w="236"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trHeight w:val="760"/>
          <w:jc w:val="center"/>
        </w:trPr>
        <w:tc>
          <w:tcPr>
            <w:tcW w:w="106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 xml:space="preserve">Chinches, </w:t>
            </w:r>
          </w:p>
          <w:p w:rsidR="00202B3A" w:rsidRPr="00993936" w:rsidRDefault="00202B3A" w:rsidP="003C0F94">
            <w:pPr>
              <w:pStyle w:val="Sinespaciado"/>
              <w:rPr>
                <w:rFonts w:ascii="Arial" w:hAnsi="Arial" w:cs="Arial"/>
                <w:i/>
                <w:noProof/>
                <w:lang w:val="es-ES"/>
              </w:rPr>
            </w:pPr>
            <w:r w:rsidRPr="00993936">
              <w:rPr>
                <w:rFonts w:ascii="Arial" w:hAnsi="Arial" w:cs="Arial"/>
                <w:i/>
                <w:noProof/>
                <w:sz w:val="16"/>
                <w:lang w:val="es-ES"/>
              </w:rPr>
              <w:t>Aelia sp, Eurigaster sp</w:t>
            </w:r>
            <w:r w:rsidRPr="00993936">
              <w:rPr>
                <w:rFonts w:ascii="Arial" w:hAnsi="Arial" w:cs="Arial"/>
                <w:i/>
                <w:noProof/>
                <w:lang w:val="es-ES"/>
              </w:rPr>
              <w:t>.</w:t>
            </w: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Deltametrina</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 xml:space="preserve">“Garrapatillo”, </w:t>
            </w:r>
          </w:p>
          <w:p w:rsidR="00202B3A" w:rsidRPr="00993936" w:rsidRDefault="00202B3A" w:rsidP="003C0F94">
            <w:pPr>
              <w:pStyle w:val="Sinespaciado"/>
              <w:rPr>
                <w:rFonts w:ascii="Arial" w:hAnsi="Arial" w:cs="Arial"/>
                <w:i/>
                <w:noProof/>
                <w:sz w:val="16"/>
                <w:szCs w:val="16"/>
                <w:lang w:val="es-ES"/>
              </w:rPr>
            </w:pPr>
            <w:r w:rsidRPr="00993936">
              <w:rPr>
                <w:rFonts w:ascii="Arial" w:hAnsi="Arial" w:cs="Arial"/>
                <w:i/>
                <w:noProof/>
                <w:sz w:val="16"/>
                <w:szCs w:val="16"/>
                <w:lang w:val="es-ES"/>
              </w:rPr>
              <w:t>Aelia sp, Eurigaster sp.</w:t>
            </w: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Alfacipermetrina</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Deltametrina</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Esfenvalerato</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Lambda-cihalotrín (2)</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Tau-fluvalinato (2)</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dstrike/>
                <w:noProof/>
                <w:lang w:val="es-ES"/>
              </w:rPr>
            </w:pPr>
          </w:p>
        </w:tc>
        <w:tc>
          <w:tcPr>
            <w:tcW w:w="302" w:type="pct"/>
            <w:vAlign w:val="center"/>
          </w:tcPr>
          <w:p w:rsidR="00202B3A" w:rsidRPr="00993936" w:rsidRDefault="00202B3A" w:rsidP="003C0F94">
            <w:pPr>
              <w:pStyle w:val="Sinespaciado"/>
              <w:rPr>
                <w:rFonts w:ascii="Arial" w:hAnsi="Arial" w:cs="Arial"/>
                <w:dstrike/>
                <w:noProof/>
                <w:lang w:val="es-ES"/>
              </w:rPr>
            </w:pPr>
          </w:p>
        </w:tc>
        <w:tc>
          <w:tcPr>
            <w:tcW w:w="378" w:type="pct"/>
            <w:vAlign w:val="center"/>
          </w:tcPr>
          <w:p w:rsidR="00202B3A" w:rsidRPr="00993936" w:rsidRDefault="00202B3A" w:rsidP="003C0F94">
            <w:pPr>
              <w:pStyle w:val="Sinespaciado"/>
              <w:rPr>
                <w:rFonts w:ascii="Arial" w:hAnsi="Arial" w:cs="Arial"/>
                <w:dstrike/>
                <w:noProof/>
                <w:lang w:val="es-ES"/>
              </w:rPr>
            </w:pP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trHeight w:val="347"/>
          <w:jc w:val="center"/>
        </w:trPr>
        <w:tc>
          <w:tcPr>
            <w:tcW w:w="106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Mosquito</w:t>
            </w:r>
          </w:p>
          <w:p w:rsidR="00202B3A" w:rsidRPr="00993936" w:rsidRDefault="00202B3A" w:rsidP="003C0F94">
            <w:pPr>
              <w:pStyle w:val="Sinespaciado"/>
              <w:rPr>
                <w:rFonts w:ascii="Arial" w:hAnsi="Arial" w:cs="Arial"/>
                <w:i/>
                <w:noProof/>
                <w:sz w:val="16"/>
                <w:szCs w:val="16"/>
              </w:rPr>
            </w:pPr>
            <w:r w:rsidRPr="00993936">
              <w:rPr>
                <w:rFonts w:ascii="Arial" w:hAnsi="Arial" w:cs="Arial"/>
                <w:i/>
                <w:noProof/>
                <w:sz w:val="16"/>
                <w:szCs w:val="16"/>
              </w:rPr>
              <w:t>Mayetiola destructor</w:t>
            </w:r>
          </w:p>
        </w:tc>
        <w:tc>
          <w:tcPr>
            <w:tcW w:w="1363" w:type="pct"/>
            <w:vAlign w:val="center"/>
          </w:tcPr>
          <w:p w:rsidR="00202B3A" w:rsidRPr="00993936" w:rsidRDefault="00202B3A" w:rsidP="003C0F94">
            <w:pPr>
              <w:pStyle w:val="Sinespaciado"/>
              <w:rPr>
                <w:rFonts w:ascii="Arial" w:hAnsi="Arial" w:cs="Arial"/>
                <w:dstrike/>
                <w:noProof/>
                <w:sz w:val="18"/>
                <w:szCs w:val="18"/>
                <w:lang w:val="es-ES"/>
              </w:rPr>
            </w:pPr>
          </w:p>
        </w:tc>
        <w:tc>
          <w:tcPr>
            <w:tcW w:w="236" w:type="pct"/>
            <w:vAlign w:val="center"/>
          </w:tcPr>
          <w:p w:rsidR="00202B3A" w:rsidRPr="00993936" w:rsidRDefault="00202B3A" w:rsidP="003C0F94">
            <w:pPr>
              <w:pStyle w:val="Sinespaciado"/>
              <w:rPr>
                <w:rFonts w:ascii="Arial" w:hAnsi="Arial" w:cs="Arial"/>
                <w:dstrike/>
                <w:noProof/>
                <w:lang w:val="es-ES"/>
              </w:rPr>
            </w:pPr>
          </w:p>
        </w:tc>
        <w:tc>
          <w:tcPr>
            <w:tcW w:w="377" w:type="pct"/>
            <w:vAlign w:val="center"/>
          </w:tcPr>
          <w:p w:rsidR="00202B3A" w:rsidRPr="00993936" w:rsidRDefault="00202B3A" w:rsidP="003C0F94">
            <w:pPr>
              <w:pStyle w:val="Sinespaciado"/>
              <w:rPr>
                <w:rFonts w:ascii="Arial" w:hAnsi="Arial" w:cs="Arial"/>
                <w:dstrike/>
                <w:noProof/>
                <w:lang w:val="es-ES"/>
              </w:rPr>
            </w:pPr>
          </w:p>
        </w:tc>
        <w:tc>
          <w:tcPr>
            <w:tcW w:w="302" w:type="pct"/>
            <w:vAlign w:val="center"/>
          </w:tcPr>
          <w:p w:rsidR="00202B3A" w:rsidRPr="00993936" w:rsidRDefault="00202B3A" w:rsidP="003C0F94">
            <w:pPr>
              <w:pStyle w:val="Sinespaciado"/>
              <w:rPr>
                <w:rFonts w:ascii="Arial" w:hAnsi="Arial" w:cs="Arial"/>
                <w:dstrike/>
                <w:noProof/>
                <w:lang w:val="es-ES"/>
              </w:rPr>
            </w:pPr>
          </w:p>
        </w:tc>
        <w:tc>
          <w:tcPr>
            <w:tcW w:w="302" w:type="pct"/>
            <w:vAlign w:val="center"/>
          </w:tcPr>
          <w:p w:rsidR="00202B3A" w:rsidRPr="00993936" w:rsidRDefault="00202B3A" w:rsidP="003C0F94">
            <w:pPr>
              <w:pStyle w:val="Sinespaciado"/>
              <w:rPr>
                <w:rFonts w:ascii="Arial" w:hAnsi="Arial" w:cs="Arial"/>
                <w:dstrike/>
                <w:noProof/>
                <w:lang w:val="es-ES"/>
              </w:rPr>
            </w:pPr>
          </w:p>
        </w:tc>
        <w:tc>
          <w:tcPr>
            <w:tcW w:w="378" w:type="pct"/>
            <w:vAlign w:val="center"/>
          </w:tcPr>
          <w:p w:rsidR="00202B3A" w:rsidRPr="00993936" w:rsidRDefault="00202B3A" w:rsidP="003C0F94">
            <w:pPr>
              <w:pStyle w:val="Sinespaciado"/>
              <w:rPr>
                <w:rFonts w:ascii="Arial" w:hAnsi="Arial" w:cs="Arial"/>
                <w:dstrike/>
                <w:noProof/>
                <w:lang w:val="es-ES"/>
              </w:rPr>
            </w:pP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Nefasia</w:t>
            </w:r>
          </w:p>
          <w:p w:rsidR="00202B3A" w:rsidRPr="00993936" w:rsidRDefault="00202B3A" w:rsidP="003C0F94">
            <w:pPr>
              <w:pStyle w:val="Sinespaciado"/>
              <w:rPr>
                <w:rFonts w:ascii="Arial" w:hAnsi="Arial" w:cs="Arial"/>
                <w:i/>
                <w:noProof/>
                <w:sz w:val="16"/>
                <w:szCs w:val="16"/>
              </w:rPr>
            </w:pPr>
            <w:r w:rsidRPr="00993936">
              <w:rPr>
                <w:rFonts w:ascii="Arial" w:hAnsi="Arial" w:cs="Arial"/>
                <w:i/>
                <w:noProof/>
                <w:sz w:val="16"/>
                <w:szCs w:val="16"/>
              </w:rPr>
              <w:t>Cnephasia pumicana</w:t>
            </w:r>
          </w:p>
        </w:tc>
        <w:tc>
          <w:tcPr>
            <w:tcW w:w="1363" w:type="pct"/>
            <w:vAlign w:val="center"/>
          </w:tcPr>
          <w:p w:rsidR="00202B3A" w:rsidRPr="00993936" w:rsidRDefault="00202B3A" w:rsidP="003C0F94">
            <w:pPr>
              <w:pStyle w:val="Sinespaciado"/>
              <w:rPr>
                <w:rFonts w:ascii="Arial" w:hAnsi="Arial" w:cs="Arial"/>
                <w:dstrike/>
                <w:noProof/>
                <w:sz w:val="18"/>
                <w:szCs w:val="18"/>
                <w:lang w:val="es-ES"/>
              </w:rPr>
            </w:pPr>
            <w:r w:rsidRPr="00993936">
              <w:rPr>
                <w:rFonts w:ascii="Arial" w:hAnsi="Arial" w:cs="Arial"/>
                <w:noProof/>
                <w:sz w:val="18"/>
                <w:szCs w:val="18"/>
                <w:lang w:val="es-ES"/>
              </w:rPr>
              <w:t>Alfacipermetrina</w:t>
            </w:r>
          </w:p>
        </w:tc>
        <w:tc>
          <w:tcPr>
            <w:tcW w:w="236"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Pulgones</w:t>
            </w:r>
          </w:p>
          <w:p w:rsidR="00202B3A" w:rsidRPr="00993936" w:rsidRDefault="00202B3A" w:rsidP="003C0F94">
            <w:pPr>
              <w:pStyle w:val="Sinespaciado"/>
              <w:rPr>
                <w:rFonts w:ascii="Arial" w:hAnsi="Arial" w:cs="Arial"/>
                <w:i/>
                <w:noProof/>
                <w:sz w:val="18"/>
                <w:lang w:val="es-ES"/>
              </w:rPr>
            </w:pPr>
            <w:r w:rsidRPr="00993936">
              <w:rPr>
                <w:rFonts w:ascii="Arial" w:hAnsi="Arial" w:cs="Arial"/>
                <w:i/>
                <w:noProof/>
                <w:sz w:val="18"/>
                <w:lang w:val="es-ES"/>
              </w:rPr>
              <w:t>Sitobium avenae,</w:t>
            </w:r>
          </w:p>
          <w:p w:rsidR="00202B3A" w:rsidRPr="00993936" w:rsidRDefault="00202B3A" w:rsidP="003C0F94">
            <w:pPr>
              <w:pStyle w:val="Sinespaciado"/>
              <w:rPr>
                <w:rFonts w:ascii="Arial" w:hAnsi="Arial" w:cs="Arial"/>
                <w:i/>
                <w:noProof/>
                <w:lang w:val="es-ES"/>
              </w:rPr>
            </w:pPr>
            <w:r w:rsidRPr="00993936">
              <w:rPr>
                <w:rFonts w:ascii="Arial" w:hAnsi="Arial" w:cs="Arial"/>
                <w:i/>
                <w:noProof/>
                <w:sz w:val="18"/>
                <w:lang w:val="es-ES"/>
              </w:rPr>
              <w:t>Rhopalosiphum padi</w:t>
            </w: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Alfacipermetrina</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Cipermetrina </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Cipermetrina + Clorpirifòs</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Deltametrina</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Esfenvalerato</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Pirimicarb (1)</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trHeight w:val="181"/>
          <w:jc w:val="center"/>
        </w:trPr>
        <w:tc>
          <w:tcPr>
            <w:tcW w:w="1060" w:type="pct"/>
            <w:vMerge/>
            <w:vAlign w:val="center"/>
          </w:tcPr>
          <w:p w:rsidR="00202B3A" w:rsidRPr="00993936" w:rsidRDefault="00202B3A" w:rsidP="003C0F94">
            <w:pPr>
              <w:pStyle w:val="Sinespaciado"/>
              <w:rPr>
                <w:rFonts w:ascii="Arial" w:hAnsi="Arial" w:cs="Arial"/>
                <w:noProof/>
                <w:lang w:val="es-ES"/>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Lambda-cihalotrina (2)</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trHeight w:val="1000"/>
          <w:jc w:val="center"/>
        </w:trPr>
        <w:tc>
          <w:tcPr>
            <w:tcW w:w="106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 xml:space="preserve">“Sanpedrito”, </w:t>
            </w:r>
          </w:p>
          <w:p w:rsidR="00202B3A" w:rsidRPr="00993936" w:rsidRDefault="00202B3A" w:rsidP="003C0F94">
            <w:pPr>
              <w:pStyle w:val="Sinespaciado"/>
              <w:rPr>
                <w:rFonts w:ascii="Arial" w:hAnsi="Arial" w:cs="Arial"/>
                <w:i/>
                <w:noProof/>
                <w:sz w:val="16"/>
                <w:szCs w:val="16"/>
                <w:lang w:val="es-ES"/>
              </w:rPr>
            </w:pPr>
            <w:r w:rsidRPr="00993936">
              <w:rPr>
                <w:rFonts w:ascii="Arial" w:hAnsi="Arial" w:cs="Arial"/>
                <w:i/>
                <w:noProof/>
                <w:sz w:val="16"/>
                <w:szCs w:val="16"/>
                <w:lang w:val="es-ES"/>
              </w:rPr>
              <w:t>Aelia sp, Eurigaster sp.</w:t>
            </w: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Lambda-cihalotrín (2)</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Trachelus</w:t>
            </w:r>
          </w:p>
          <w:p w:rsidR="00202B3A" w:rsidRPr="00993936" w:rsidRDefault="00202B3A" w:rsidP="003C0F94">
            <w:pPr>
              <w:pStyle w:val="Sinespaciado"/>
              <w:rPr>
                <w:rFonts w:ascii="Arial" w:hAnsi="Arial" w:cs="Arial"/>
                <w:i/>
                <w:noProof/>
                <w:sz w:val="16"/>
                <w:szCs w:val="16"/>
              </w:rPr>
            </w:pPr>
            <w:r w:rsidRPr="00993936">
              <w:rPr>
                <w:rFonts w:ascii="Arial" w:hAnsi="Arial" w:cs="Arial"/>
                <w:i/>
                <w:noProof/>
                <w:sz w:val="16"/>
                <w:szCs w:val="16"/>
              </w:rPr>
              <w:t>Trachelus tabidus</w:t>
            </w:r>
          </w:p>
        </w:tc>
        <w:tc>
          <w:tcPr>
            <w:tcW w:w="1363" w:type="pct"/>
            <w:vAlign w:val="center"/>
          </w:tcPr>
          <w:p w:rsidR="00202B3A" w:rsidRPr="00993936" w:rsidRDefault="00202B3A" w:rsidP="003C0F94">
            <w:pPr>
              <w:pStyle w:val="Sinespaciado"/>
              <w:rPr>
                <w:rFonts w:ascii="Arial" w:hAnsi="Arial" w:cs="Arial"/>
                <w:dstrike/>
                <w:noProof/>
                <w:sz w:val="18"/>
                <w:szCs w:val="18"/>
                <w:lang w:val="es-ES"/>
              </w:rPr>
            </w:pPr>
          </w:p>
        </w:tc>
        <w:tc>
          <w:tcPr>
            <w:tcW w:w="236" w:type="pct"/>
            <w:vAlign w:val="center"/>
          </w:tcPr>
          <w:p w:rsidR="00202B3A" w:rsidRPr="00993936" w:rsidRDefault="00202B3A" w:rsidP="003C0F94">
            <w:pPr>
              <w:pStyle w:val="Sinespaciado"/>
              <w:rPr>
                <w:rFonts w:ascii="Arial" w:hAnsi="Arial" w:cs="Arial"/>
                <w:dstrike/>
                <w:noProof/>
                <w:lang w:val="es-ES"/>
              </w:rPr>
            </w:pPr>
          </w:p>
        </w:tc>
        <w:tc>
          <w:tcPr>
            <w:tcW w:w="377" w:type="pct"/>
            <w:vAlign w:val="center"/>
          </w:tcPr>
          <w:p w:rsidR="00202B3A" w:rsidRPr="00993936" w:rsidRDefault="00202B3A" w:rsidP="003C0F94">
            <w:pPr>
              <w:pStyle w:val="Sinespaciado"/>
              <w:rPr>
                <w:rFonts w:ascii="Arial" w:hAnsi="Arial" w:cs="Arial"/>
                <w:dstrike/>
                <w:noProof/>
                <w:lang w:val="es-ES"/>
              </w:rPr>
            </w:pPr>
          </w:p>
        </w:tc>
        <w:tc>
          <w:tcPr>
            <w:tcW w:w="302" w:type="pct"/>
            <w:vAlign w:val="center"/>
          </w:tcPr>
          <w:p w:rsidR="00202B3A" w:rsidRPr="00993936" w:rsidRDefault="00202B3A" w:rsidP="003C0F94">
            <w:pPr>
              <w:pStyle w:val="Sinespaciado"/>
              <w:rPr>
                <w:rFonts w:ascii="Arial" w:hAnsi="Arial" w:cs="Arial"/>
                <w:dstrike/>
                <w:noProof/>
                <w:lang w:val="es-ES"/>
              </w:rPr>
            </w:pPr>
          </w:p>
        </w:tc>
        <w:tc>
          <w:tcPr>
            <w:tcW w:w="302" w:type="pct"/>
            <w:vAlign w:val="center"/>
          </w:tcPr>
          <w:p w:rsidR="00202B3A" w:rsidRPr="00993936" w:rsidRDefault="00202B3A" w:rsidP="003C0F94">
            <w:pPr>
              <w:pStyle w:val="Sinespaciado"/>
              <w:rPr>
                <w:rFonts w:ascii="Arial" w:hAnsi="Arial" w:cs="Arial"/>
                <w:dstrike/>
                <w:noProof/>
                <w:lang w:val="es-ES"/>
              </w:rPr>
            </w:pPr>
          </w:p>
        </w:tc>
        <w:tc>
          <w:tcPr>
            <w:tcW w:w="378" w:type="pct"/>
            <w:vAlign w:val="center"/>
          </w:tcPr>
          <w:p w:rsidR="00202B3A" w:rsidRPr="00993936" w:rsidRDefault="00202B3A" w:rsidP="003C0F94">
            <w:pPr>
              <w:pStyle w:val="Sinespaciado"/>
              <w:rPr>
                <w:rFonts w:ascii="Arial" w:hAnsi="Arial" w:cs="Arial"/>
                <w:dstrike/>
                <w:noProof/>
                <w:lang w:val="es-ES"/>
              </w:rPr>
            </w:pP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Zabrus</w:t>
            </w:r>
          </w:p>
          <w:p w:rsidR="00202B3A" w:rsidRPr="00993936" w:rsidRDefault="00202B3A" w:rsidP="003C0F94">
            <w:pPr>
              <w:pStyle w:val="Sinespaciado"/>
              <w:rPr>
                <w:rFonts w:ascii="Arial" w:hAnsi="Arial" w:cs="Arial"/>
                <w:noProof/>
              </w:rPr>
            </w:pPr>
            <w:r w:rsidRPr="00993936">
              <w:rPr>
                <w:rFonts w:ascii="Arial" w:hAnsi="Arial" w:cs="Arial"/>
                <w:i/>
                <w:noProof/>
                <w:sz w:val="18"/>
              </w:rPr>
              <w:t>Zabrus tenebrioides</w:t>
            </w:r>
          </w:p>
        </w:tc>
        <w:tc>
          <w:tcPr>
            <w:tcW w:w="1363" w:type="pct"/>
            <w:vAlign w:val="center"/>
          </w:tcPr>
          <w:p w:rsidR="00202B3A" w:rsidRPr="00993936" w:rsidRDefault="00202B3A" w:rsidP="003C0F94">
            <w:pPr>
              <w:pStyle w:val="Sinespaciado"/>
              <w:rPr>
                <w:rFonts w:ascii="Arial" w:hAnsi="Arial" w:cs="Arial"/>
                <w:dstrike/>
                <w:noProof/>
                <w:sz w:val="18"/>
                <w:szCs w:val="18"/>
                <w:lang w:val="es-ES"/>
              </w:rPr>
            </w:pPr>
            <w:r w:rsidRPr="00993936">
              <w:rPr>
                <w:rFonts w:ascii="Arial" w:hAnsi="Arial" w:cs="Arial"/>
                <w:noProof/>
                <w:sz w:val="18"/>
                <w:szCs w:val="18"/>
                <w:lang w:val="es-ES"/>
              </w:rPr>
              <w:t>Clorpirifos (1)</w:t>
            </w:r>
          </w:p>
        </w:tc>
        <w:tc>
          <w:tcPr>
            <w:tcW w:w="236"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dstrike/>
                <w:noProof/>
                <w:lang w:val="es-ES"/>
              </w:rPr>
            </w:pPr>
            <w:r w:rsidRPr="00993936">
              <w:rPr>
                <w:rFonts w:ascii="Arial" w:hAnsi="Arial" w:cs="Arial"/>
                <w:noProof/>
                <w:lang w:val="es-ES"/>
              </w:rPr>
              <w:t>X</w:t>
            </w:r>
          </w:p>
        </w:tc>
        <w:tc>
          <w:tcPr>
            <w:tcW w:w="982"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1D205D">
        <w:trPr>
          <w:cantSplit/>
          <w:jc w:val="center"/>
        </w:trPr>
        <w:tc>
          <w:tcPr>
            <w:tcW w:w="1060" w:type="pct"/>
            <w:vMerge/>
            <w:vAlign w:val="center"/>
          </w:tcPr>
          <w:p w:rsidR="00202B3A" w:rsidRPr="00993936" w:rsidRDefault="00202B3A" w:rsidP="003C0F94">
            <w:pPr>
              <w:pStyle w:val="Sinespaciado"/>
              <w:rPr>
                <w:rFonts w:ascii="Arial" w:hAnsi="Arial" w:cs="Arial"/>
                <w:i/>
                <w:noProof/>
              </w:rPr>
            </w:pPr>
          </w:p>
        </w:tc>
        <w:tc>
          <w:tcPr>
            <w:tcW w:w="1363"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Lambda-cihalotrín</w:t>
            </w:r>
          </w:p>
        </w:tc>
        <w:tc>
          <w:tcPr>
            <w:tcW w:w="23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7"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982" w:type="pct"/>
            <w:vMerge/>
            <w:vAlign w:val="center"/>
          </w:tcPr>
          <w:p w:rsidR="00202B3A" w:rsidRPr="00993936" w:rsidRDefault="00202B3A" w:rsidP="003C0F94">
            <w:pPr>
              <w:pStyle w:val="Sinespaciado"/>
              <w:rPr>
                <w:rFonts w:ascii="Arial" w:hAnsi="Arial" w:cs="Arial"/>
                <w:noProof/>
                <w:lang w:val="es-ES"/>
              </w:rPr>
            </w:pPr>
          </w:p>
        </w:tc>
      </w:tr>
    </w:tbl>
    <w:p w:rsidR="00202B3A" w:rsidRPr="00993936" w:rsidRDefault="00202B3A" w:rsidP="001D205D">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2"/>
        <w:gridCol w:w="2343"/>
        <w:gridCol w:w="394"/>
        <w:gridCol w:w="638"/>
        <w:gridCol w:w="510"/>
        <w:gridCol w:w="510"/>
        <w:gridCol w:w="641"/>
        <w:gridCol w:w="1686"/>
      </w:tblGrid>
      <w:tr w:rsidR="003C0F94" w:rsidRPr="00993936" w:rsidTr="001D205D">
        <w:trPr>
          <w:cantSplit/>
          <w:trHeight w:val="430"/>
          <w:jc w:val="center"/>
        </w:trPr>
        <w:tc>
          <w:tcPr>
            <w:tcW w:w="5000" w:type="pct"/>
            <w:gridSpan w:val="8"/>
            <w:shd w:val="pct12" w:color="auto" w:fill="FFFFFF"/>
            <w:vAlign w:val="center"/>
          </w:tcPr>
          <w:p w:rsidR="00202B3A" w:rsidRPr="00993936" w:rsidRDefault="00202B3A" w:rsidP="003C0F94">
            <w:pPr>
              <w:pStyle w:val="Sinespaciado"/>
              <w:jc w:val="center"/>
              <w:rPr>
                <w:rFonts w:ascii="Arial" w:hAnsi="Arial" w:cs="Arial"/>
                <w:b/>
                <w:noProof/>
                <w:lang w:val="es-ES"/>
              </w:rPr>
            </w:pPr>
            <w:r w:rsidRPr="00993936">
              <w:rPr>
                <w:rFonts w:ascii="Arial" w:hAnsi="Arial" w:cs="Arial"/>
                <w:lang w:val="es-ES"/>
              </w:rPr>
              <w:lastRenderedPageBreak/>
              <w:br w:type="page"/>
            </w:r>
            <w:r w:rsidRPr="00993936">
              <w:rPr>
                <w:rFonts w:ascii="Arial" w:hAnsi="Arial" w:cs="Arial"/>
                <w:b/>
                <w:noProof/>
                <w:lang w:val="es-ES"/>
              </w:rPr>
              <w:t>ENFERMEDADES</w:t>
            </w:r>
          </w:p>
        </w:tc>
      </w:tr>
      <w:tr w:rsidR="003C0F94" w:rsidRPr="00993936" w:rsidTr="003C0F94">
        <w:trPr>
          <w:cantSplit/>
          <w:jc w:val="center"/>
        </w:trPr>
        <w:tc>
          <w:tcPr>
            <w:tcW w:w="1112"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Carbón vestido</w:t>
            </w:r>
          </w:p>
          <w:p w:rsidR="00202B3A" w:rsidRPr="00993936" w:rsidRDefault="00202B3A" w:rsidP="003C0F94">
            <w:pPr>
              <w:pStyle w:val="Sinespaciado"/>
              <w:rPr>
                <w:rFonts w:ascii="Arial" w:hAnsi="Arial" w:cs="Arial"/>
                <w:i/>
                <w:noProof/>
                <w:lang w:val="es-ES"/>
              </w:rPr>
            </w:pPr>
            <w:r w:rsidRPr="00993936">
              <w:rPr>
                <w:rFonts w:ascii="Arial" w:hAnsi="Arial" w:cs="Arial"/>
                <w:i/>
                <w:noProof/>
                <w:sz w:val="18"/>
                <w:lang w:val="es-ES"/>
              </w:rPr>
              <w:t>Ustilago sp.</w:t>
            </w: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Difenoconazol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restart"/>
            <w:vAlign w:val="center"/>
          </w:tcPr>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sz w:val="20"/>
                <w:lang w:val="es-ES"/>
              </w:rPr>
            </w:pPr>
            <w:r w:rsidRPr="00993936">
              <w:rPr>
                <w:rFonts w:ascii="Arial" w:hAnsi="Arial" w:cs="Arial"/>
                <w:noProof/>
                <w:sz w:val="20"/>
                <w:lang w:val="es-ES"/>
              </w:rPr>
              <w:t>(1) Máximo 1 tratamiento al año</w:t>
            </w:r>
          </w:p>
          <w:p w:rsidR="00202B3A" w:rsidRPr="00993936" w:rsidRDefault="00202B3A" w:rsidP="003C0F94">
            <w:pPr>
              <w:pStyle w:val="Sinespaciado"/>
              <w:rPr>
                <w:rFonts w:ascii="Arial" w:hAnsi="Arial" w:cs="Arial"/>
                <w:noProof/>
                <w:sz w:val="20"/>
                <w:lang w:val="es-ES"/>
              </w:rPr>
            </w:pPr>
          </w:p>
          <w:p w:rsidR="00202B3A" w:rsidRPr="00993936" w:rsidRDefault="00202B3A" w:rsidP="003C0F94">
            <w:pPr>
              <w:pStyle w:val="Sinespaciado"/>
              <w:rPr>
                <w:rFonts w:ascii="Arial" w:hAnsi="Arial" w:cs="Arial"/>
                <w:noProof/>
                <w:sz w:val="20"/>
                <w:lang w:val="es-ES"/>
              </w:rPr>
            </w:pPr>
            <w:r w:rsidRPr="00993936">
              <w:rPr>
                <w:rFonts w:ascii="Arial" w:hAnsi="Arial" w:cs="Arial"/>
                <w:noProof/>
                <w:sz w:val="20"/>
                <w:lang w:val="es-ES"/>
              </w:rPr>
              <w:t>(2) Sólo formulaciones que no sean de clasificación toxicológica T</w:t>
            </w: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r w:rsidRPr="00993936">
              <w:rPr>
                <w:rFonts w:ascii="Arial" w:hAnsi="Arial" w:cs="Arial"/>
                <w:noProof/>
                <w:sz w:val="20"/>
                <w:lang w:val="es-ES"/>
              </w:rPr>
              <w:t>(*) Materia activa con fecha de límite de utilización</w:t>
            </w: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Tebuconazol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Carbón desnudo</w:t>
            </w:r>
          </w:p>
          <w:p w:rsidR="00202B3A" w:rsidRPr="00993936" w:rsidRDefault="00202B3A" w:rsidP="003C0F94">
            <w:pPr>
              <w:pStyle w:val="Sinespaciado"/>
              <w:rPr>
                <w:rFonts w:ascii="Arial" w:hAnsi="Arial" w:cs="Arial"/>
                <w:i/>
                <w:noProof/>
              </w:rPr>
            </w:pPr>
            <w:r w:rsidRPr="00993936">
              <w:rPr>
                <w:rFonts w:ascii="Arial" w:hAnsi="Arial" w:cs="Arial"/>
                <w:i/>
                <w:noProof/>
                <w:sz w:val="18"/>
              </w:rPr>
              <w:t>Ustilago nuda</w:t>
            </w: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Triticonazol</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dstrike/>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Tebuconazol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dstrike/>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Caries</w:t>
            </w:r>
          </w:p>
          <w:p w:rsidR="00202B3A" w:rsidRPr="00993936" w:rsidRDefault="00202B3A" w:rsidP="003C0F94">
            <w:pPr>
              <w:pStyle w:val="Sinespaciado"/>
              <w:rPr>
                <w:rFonts w:ascii="Arial" w:hAnsi="Arial" w:cs="Arial"/>
                <w:i/>
                <w:noProof/>
              </w:rPr>
            </w:pPr>
            <w:r w:rsidRPr="00993936">
              <w:rPr>
                <w:rFonts w:ascii="Arial" w:hAnsi="Arial" w:cs="Arial"/>
                <w:i/>
                <w:noProof/>
                <w:sz w:val="18"/>
              </w:rPr>
              <w:t>Tilletia caries</w:t>
            </w: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Difenoconazol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Triticonazol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Tebuconazol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trHeight w:val="516"/>
          <w:jc w:val="center"/>
        </w:trPr>
        <w:tc>
          <w:tcPr>
            <w:tcW w:w="111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Cercosporiosi</w:t>
            </w:r>
          </w:p>
          <w:p w:rsidR="00202B3A" w:rsidRPr="00993936" w:rsidRDefault="00202B3A" w:rsidP="003C0F94">
            <w:pPr>
              <w:pStyle w:val="Sinespaciado"/>
              <w:rPr>
                <w:rFonts w:ascii="Arial" w:hAnsi="Arial" w:cs="Arial"/>
                <w:i/>
                <w:noProof/>
              </w:rPr>
            </w:pPr>
            <w:r w:rsidRPr="00993936">
              <w:rPr>
                <w:rFonts w:ascii="Arial" w:hAnsi="Arial" w:cs="Arial"/>
                <w:i/>
                <w:noProof/>
                <w:sz w:val="18"/>
              </w:rPr>
              <w:t>Cercospora apii</w:t>
            </w: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 Tebuconzolè </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Fusariosis</w:t>
            </w:r>
          </w:p>
          <w:p w:rsidR="00202B3A" w:rsidRPr="00993936" w:rsidRDefault="00202B3A" w:rsidP="003C0F94">
            <w:pPr>
              <w:pStyle w:val="Sinespaciado"/>
              <w:rPr>
                <w:rFonts w:ascii="Arial" w:hAnsi="Arial" w:cs="Arial"/>
                <w:i/>
                <w:noProof/>
                <w:lang w:val="es-ES"/>
              </w:rPr>
            </w:pPr>
            <w:r w:rsidRPr="00993936">
              <w:rPr>
                <w:rFonts w:ascii="Arial" w:hAnsi="Arial" w:cs="Arial"/>
                <w:i/>
                <w:noProof/>
                <w:sz w:val="18"/>
                <w:lang w:val="es-ES"/>
              </w:rPr>
              <w:t>Fusarium spp.</w:t>
            </w: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Bixafén + Protioconazolè</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Bromuconazolè + Tebuconazolè</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Ciproconazol + Picoxistrobina</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Metil-tiofanato</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Metconazolè</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Procloraz</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dstrike/>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Triticonazol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sz w:val="18"/>
                <w:szCs w:val="18"/>
                <w:lang w:val="es-ES"/>
              </w:rPr>
            </w:pPr>
            <w:r w:rsidRPr="00993936">
              <w:rPr>
                <w:rFonts w:ascii="Arial" w:hAnsi="Arial" w:cs="Arial"/>
                <w:noProof/>
                <w:sz w:val="18"/>
                <w:szCs w:val="18"/>
                <w:lang w:val="es-ES"/>
              </w:rPr>
              <w:t xml:space="preserve">Procloraz + Tebuconzole </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Helminthosporiosi</w:t>
            </w:r>
          </w:p>
          <w:p w:rsidR="00202B3A" w:rsidRPr="00993936" w:rsidRDefault="00202B3A" w:rsidP="003C0F94">
            <w:pPr>
              <w:pStyle w:val="Sinespaciado"/>
              <w:rPr>
                <w:rFonts w:ascii="Arial" w:hAnsi="Arial" w:cs="Arial"/>
                <w:i/>
                <w:noProof/>
                <w:sz w:val="18"/>
                <w:lang w:val="es-ES"/>
              </w:rPr>
            </w:pPr>
            <w:r w:rsidRPr="00993936">
              <w:rPr>
                <w:rFonts w:ascii="Arial" w:hAnsi="Arial" w:cs="Arial"/>
                <w:i/>
                <w:noProof/>
                <w:sz w:val="18"/>
                <w:lang w:val="es-ES"/>
              </w:rPr>
              <w:t>Drechslera teres,</w:t>
            </w:r>
          </w:p>
          <w:p w:rsidR="00202B3A" w:rsidRPr="00993936" w:rsidRDefault="00202B3A" w:rsidP="003C0F94">
            <w:pPr>
              <w:pStyle w:val="Sinespaciado"/>
              <w:rPr>
                <w:rFonts w:ascii="Arial" w:hAnsi="Arial" w:cs="Arial"/>
                <w:noProof/>
              </w:rPr>
            </w:pPr>
            <w:r w:rsidRPr="00993936">
              <w:rPr>
                <w:rFonts w:ascii="Arial" w:hAnsi="Arial" w:cs="Arial"/>
                <w:i/>
                <w:noProof/>
                <w:sz w:val="18"/>
              </w:rPr>
              <w:t>Bipolaris sorokiniana</w:t>
            </w: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Azoxistrobina + Ciproconazol </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Procloraz + Tebuconazol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Azoxistrobina</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i/>
                <w:noProof/>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Ciproconazol + Picoxistrobina</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Biaplastan + Protioconazolè</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Clorotalonil (1) (2)</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Difenoconazol</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 + Piraclostrobina</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Flutriazol </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Fluxapiroxat</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Piraclostrobina</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Protioconazol + Tebuconazol</w:t>
            </w:r>
          </w:p>
        </w:tc>
        <w:tc>
          <w:tcPr>
            <w:tcW w:w="228" w:type="pct"/>
            <w:vAlign w:val="center"/>
          </w:tcPr>
          <w:p w:rsidR="00202B3A" w:rsidRPr="00993936" w:rsidRDefault="00202B3A" w:rsidP="003C0F94">
            <w:pPr>
              <w:pStyle w:val="Sinespaciado"/>
              <w:rPr>
                <w:rFonts w:ascii="Arial" w:hAnsi="Arial" w:cs="Arial"/>
                <w:noProof/>
                <w:lang w:val="es-ES"/>
              </w:rPr>
            </w:pP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trHeight w:val="215"/>
          <w:jc w:val="center"/>
        </w:trPr>
        <w:tc>
          <w:tcPr>
            <w:tcW w:w="1112" w:type="pct"/>
            <w:vMerge/>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Tebuconazol</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dstrike/>
                <w:noProof/>
                <w:lang w:val="es-ES"/>
              </w:rPr>
            </w:pPr>
          </w:p>
        </w:tc>
        <w:tc>
          <w:tcPr>
            <w:tcW w:w="975" w:type="pct"/>
            <w:vMerge/>
            <w:tcBorders>
              <w:bottom w:val="nil"/>
            </w:tcBorders>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trHeight w:val="289"/>
          <w:jc w:val="center"/>
        </w:trPr>
        <w:tc>
          <w:tcPr>
            <w:tcW w:w="1112" w:type="pct"/>
            <w:vMerge w:val="restart"/>
            <w:shd w:val="clear" w:color="auto" w:fill="auto"/>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Mal de pie</w:t>
            </w:r>
          </w:p>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Varias especies</w:t>
            </w:r>
            <w:r w:rsidRPr="00993936">
              <w:rPr>
                <w:rFonts w:ascii="Arial" w:hAnsi="Arial" w:cs="Arial"/>
                <w:noProof/>
                <w:vanish/>
                <w:lang w:val="es-ES"/>
              </w:rPr>
              <w:t>&lt;A[especies|especias]&gt;</w:t>
            </w: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Fluxapiroxat</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shd w:val="clear" w:color="auto" w:fill="auto"/>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Mancozeb + Metil-tiofanato</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p>
        </w:tc>
        <w:tc>
          <w:tcPr>
            <w:tcW w:w="975"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112" w:type="pct"/>
            <w:vMerge/>
            <w:shd w:val="clear" w:color="auto" w:fill="auto"/>
            <w:vAlign w:val="center"/>
          </w:tcPr>
          <w:p w:rsidR="00202B3A" w:rsidRPr="00993936" w:rsidRDefault="00202B3A" w:rsidP="003C0F94">
            <w:pPr>
              <w:pStyle w:val="Sinespaciado"/>
              <w:rPr>
                <w:rFonts w:ascii="Arial" w:hAnsi="Arial" w:cs="Arial"/>
                <w:noProof/>
                <w:lang w:val="es-ES"/>
              </w:rPr>
            </w:pPr>
          </w:p>
        </w:tc>
        <w:tc>
          <w:tcPr>
            <w:tcW w:w="1355"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w:t>
            </w:r>
          </w:p>
        </w:tc>
        <w:tc>
          <w:tcPr>
            <w:tcW w:w="22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6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5" w:type="pct"/>
            <w:vAlign w:val="center"/>
          </w:tcPr>
          <w:p w:rsidR="00202B3A" w:rsidRPr="00993936" w:rsidRDefault="00202B3A" w:rsidP="003C0F94">
            <w:pPr>
              <w:pStyle w:val="Sinespaciado"/>
              <w:rPr>
                <w:rFonts w:ascii="Arial" w:hAnsi="Arial" w:cs="Arial"/>
                <w:noProof/>
                <w:lang w:val="es-ES"/>
              </w:rPr>
            </w:pPr>
          </w:p>
        </w:tc>
        <w:tc>
          <w:tcPr>
            <w:tcW w:w="37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75" w:type="pct"/>
            <w:vMerge/>
            <w:vAlign w:val="center"/>
          </w:tcPr>
          <w:p w:rsidR="00202B3A" w:rsidRPr="00993936" w:rsidRDefault="00202B3A" w:rsidP="003C0F94">
            <w:pPr>
              <w:pStyle w:val="Sinespaciado"/>
              <w:rPr>
                <w:rFonts w:ascii="Arial" w:hAnsi="Arial" w:cs="Arial"/>
                <w:noProof/>
                <w:lang w:val="es-ES"/>
              </w:rPr>
            </w:pPr>
          </w:p>
        </w:tc>
      </w:tr>
    </w:tbl>
    <w:p w:rsidR="00202B3A" w:rsidRPr="00993936" w:rsidRDefault="00202B3A" w:rsidP="001D205D">
      <w:pPr>
        <w:rPr>
          <w:rFonts w:ascii="Arial" w:hAnsi="Arial" w:cs="Arial"/>
          <w:lang w:val="es-ES"/>
        </w:rPr>
      </w:pPr>
    </w:p>
    <w:p w:rsidR="00202B3A" w:rsidRPr="00993936" w:rsidRDefault="00202B3A" w:rsidP="001D205D">
      <w:pPr>
        <w:rPr>
          <w:rFonts w:ascii="Arial" w:hAnsi="Arial" w:cs="Arial"/>
          <w:lang w:val="es-ES"/>
        </w:rPr>
      </w:pPr>
      <w:r w:rsidRPr="00993936">
        <w:rPr>
          <w:rFonts w:ascii="Arial" w:hAnsi="Arial" w:cs="Arial"/>
          <w:lang w:val="es-ES"/>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10"/>
        <w:gridCol w:w="2377"/>
        <w:gridCol w:w="406"/>
        <w:gridCol w:w="649"/>
        <w:gridCol w:w="518"/>
        <w:gridCol w:w="18"/>
        <w:gridCol w:w="504"/>
        <w:gridCol w:w="706"/>
        <w:gridCol w:w="1626"/>
      </w:tblGrid>
      <w:tr w:rsidR="00202B3A" w:rsidRPr="00993936" w:rsidTr="001D205D">
        <w:trPr>
          <w:cantSplit/>
          <w:trHeight w:val="430"/>
          <w:jc w:val="center"/>
        </w:trPr>
        <w:tc>
          <w:tcPr>
            <w:tcW w:w="5000" w:type="pct"/>
            <w:gridSpan w:val="10"/>
            <w:shd w:val="pct12" w:color="auto" w:fill="FFFFFF"/>
            <w:vAlign w:val="center"/>
          </w:tcPr>
          <w:p w:rsidR="00202B3A" w:rsidRPr="00993936" w:rsidRDefault="00202B3A" w:rsidP="003C0F94">
            <w:pPr>
              <w:pStyle w:val="Sinespaciado"/>
              <w:jc w:val="center"/>
              <w:rPr>
                <w:rFonts w:ascii="Arial" w:hAnsi="Arial" w:cs="Arial"/>
                <w:noProof/>
                <w:lang w:val="es-ES"/>
              </w:rPr>
            </w:pPr>
            <w:r w:rsidRPr="00993936">
              <w:rPr>
                <w:rFonts w:ascii="Arial" w:hAnsi="Arial" w:cs="Arial"/>
                <w:noProof/>
                <w:lang w:val="es-ES"/>
              </w:rPr>
              <w:lastRenderedPageBreak/>
              <w:t>ENFERMEDADES</w:t>
            </w:r>
          </w:p>
        </w:tc>
      </w:tr>
      <w:tr w:rsidR="00E1758E" w:rsidRPr="00993936" w:rsidTr="003C0F94">
        <w:trPr>
          <w:cantSplit/>
          <w:jc w:val="center"/>
        </w:trPr>
        <w:tc>
          <w:tcPr>
            <w:tcW w:w="1061" w:type="pct"/>
            <w:vMerge w:val="restart"/>
            <w:tcBorders>
              <w:bottom w:val="nil"/>
            </w:tcBorders>
            <w:shd w:val="clear" w:color="auto" w:fill="auto"/>
            <w:vAlign w:val="center"/>
          </w:tcPr>
          <w:p w:rsidR="00202B3A" w:rsidRPr="00993936" w:rsidRDefault="003C0F94" w:rsidP="003C0F94">
            <w:pPr>
              <w:pStyle w:val="Sinespaciado"/>
              <w:rPr>
                <w:rFonts w:ascii="Arial" w:hAnsi="Arial" w:cs="Arial"/>
                <w:noProof/>
              </w:rPr>
            </w:pPr>
            <w:r w:rsidRPr="00993936">
              <w:rPr>
                <w:rFonts w:ascii="Arial" w:hAnsi="Arial" w:cs="Arial"/>
                <w:noProof/>
              </w:rPr>
              <w:t>Oidio</w:t>
            </w:r>
          </w:p>
          <w:p w:rsidR="00202B3A" w:rsidRPr="00993936" w:rsidRDefault="00202B3A" w:rsidP="003C0F94">
            <w:pPr>
              <w:pStyle w:val="Sinespaciado"/>
              <w:rPr>
                <w:rFonts w:ascii="Arial" w:hAnsi="Arial" w:cs="Arial"/>
                <w:noProof/>
                <w:lang w:val="es-ES"/>
              </w:rPr>
            </w:pPr>
            <w:r w:rsidRPr="00993936">
              <w:rPr>
                <w:rFonts w:ascii="Arial" w:hAnsi="Arial" w:cs="Arial"/>
                <w:i/>
                <w:lang w:val="es-ES"/>
              </w:rPr>
              <w:t>Blumeria gramines</w:t>
            </w: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Azoxistrobina</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restart"/>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 xml:space="preserve">Azoxistrobina + Ciproconazol </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6"/>
                <w:szCs w:val="18"/>
                <w:lang w:val="es-ES"/>
              </w:rPr>
            </w:pPr>
            <w:r w:rsidRPr="00993936">
              <w:rPr>
                <w:rFonts w:ascii="Arial" w:hAnsi="Arial" w:cs="Arial"/>
                <w:noProof/>
                <w:sz w:val="16"/>
                <w:szCs w:val="18"/>
                <w:lang w:val="es-ES"/>
              </w:rPr>
              <w:t>Biaplastan + Protioxiconazol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 Tebuconazol </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Tetraconazol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Azufre </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Azufre + Oxiclorur de cobre</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Ciflufenamida</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trHeight w:val="179"/>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Ciproconazol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trHeight w:val="179"/>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Ciproconazol + Piraclotrobina</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Ciproconazol + Trifloxistrobina</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 + Piraclostrobina</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strike/>
                <w:noProof/>
                <w:sz w:val="18"/>
                <w:szCs w:val="18"/>
                <w:lang w:val="es-ES"/>
              </w:rPr>
            </w:pPr>
            <w:r w:rsidRPr="00993936">
              <w:rPr>
                <w:rFonts w:ascii="Arial" w:hAnsi="Arial" w:cs="Arial"/>
                <w:noProof/>
                <w:sz w:val="18"/>
                <w:szCs w:val="18"/>
                <w:lang w:val="es-ES"/>
              </w:rPr>
              <w:t>Fenpropimorf</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Flutriazol </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shd w:val="clear" w:color="auto" w:fill="auto"/>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Fluxapiroxat</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Mancozeb + Metil-tiofanato</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Metconazol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Metil-tiofanato</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Piraclostrobina</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p>
        </w:tc>
        <w:tc>
          <w:tcPr>
            <w:tcW w:w="302" w:type="pct"/>
            <w:gridSpan w:val="2"/>
            <w:vAlign w:val="center"/>
          </w:tcPr>
          <w:p w:rsidR="00202B3A" w:rsidRPr="00993936" w:rsidRDefault="00202B3A" w:rsidP="003C0F94">
            <w:pPr>
              <w:pStyle w:val="Sinespaciado"/>
              <w:rPr>
                <w:rFonts w:ascii="Arial" w:hAnsi="Arial" w:cs="Arial"/>
                <w:dstrike/>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dstrike/>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tcBorders>
              <w:bottom w:val="nil"/>
            </w:tcBorders>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 Propiconazol </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02"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2" w:type="pct"/>
            <w:gridSpan w:val="2"/>
            <w:vAlign w:val="center"/>
          </w:tcPr>
          <w:p w:rsidR="00202B3A" w:rsidRPr="00993936" w:rsidRDefault="00202B3A" w:rsidP="003C0F94">
            <w:pPr>
              <w:pStyle w:val="Sinespaciado"/>
              <w:rPr>
                <w:rFonts w:ascii="Arial" w:hAnsi="Arial" w:cs="Arial"/>
                <w:noProof/>
                <w:lang w:val="es-ES"/>
              </w:rPr>
            </w:pPr>
          </w:p>
        </w:tc>
        <w:tc>
          <w:tcPr>
            <w:tcW w:w="410" w:type="pct"/>
            <w:vAlign w:val="center"/>
          </w:tcPr>
          <w:p w:rsidR="00202B3A" w:rsidRPr="00993936" w:rsidRDefault="00202B3A" w:rsidP="003C0F94">
            <w:pPr>
              <w:pStyle w:val="Sinespaciado"/>
              <w:rPr>
                <w:rFonts w:ascii="Arial" w:hAnsi="Arial" w:cs="Arial"/>
                <w:noProof/>
                <w:lang w:val="es-ES"/>
              </w:rPr>
            </w:pPr>
          </w:p>
        </w:tc>
        <w:tc>
          <w:tcPr>
            <w:tcW w:w="947" w:type="pct"/>
            <w:vMerge/>
            <w:tcBorders>
              <w:bottom w:val="single" w:sz="4" w:space="0" w:color="auto"/>
            </w:tcBorders>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val="restart"/>
            <w:tcBorders>
              <w:top w:val="nil"/>
            </w:tcBorders>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Propiconazol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restart"/>
            <w:tcBorders>
              <w:bottom w:val="nil"/>
            </w:tcBorders>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Protioconazol + Tebuconazol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tcBorders>
              <w:bottom w:val="nil"/>
            </w:tcBorders>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Azufre</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0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tcBorders>
              <w:bottom w:val="nil"/>
            </w:tcBorders>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Merge/>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Tebuconazol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tcBorders>
              <w:bottom w:val="nil"/>
            </w:tcBorders>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1" w:type="pct"/>
            <w:vMerge/>
            <w:vAlign w:val="center"/>
          </w:tcPr>
          <w:p w:rsidR="00202B3A" w:rsidRPr="00993936" w:rsidRDefault="00202B3A" w:rsidP="003C0F94">
            <w:pPr>
              <w:pStyle w:val="Sinespaciado"/>
              <w:rPr>
                <w:rFonts w:ascii="Arial" w:hAnsi="Arial" w:cs="Arial"/>
                <w:noProof/>
                <w:lang w:val="es-ES"/>
              </w:rPr>
            </w:pP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Triadimenol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tcBorders>
              <w:bottom w:val="nil"/>
            </w:tcBorders>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Podredumbres</w:t>
            </w:r>
          </w:p>
        </w:tc>
        <w:tc>
          <w:tcPr>
            <w:tcW w:w="1363" w:type="pct"/>
            <w:gridSpan w:val="2"/>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Difenoconazol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tcBorders>
              <w:bottom w:val="nil"/>
            </w:tcBorders>
            <w:vAlign w:val="center"/>
          </w:tcPr>
          <w:p w:rsidR="00202B3A" w:rsidRPr="00993936" w:rsidRDefault="00202B3A" w:rsidP="003C0F94">
            <w:pPr>
              <w:pStyle w:val="Sinespaciado"/>
              <w:rPr>
                <w:rFonts w:ascii="Arial" w:hAnsi="Arial" w:cs="Arial"/>
                <w:noProof/>
                <w:lang w:val="es-ES"/>
              </w:rPr>
            </w:pPr>
          </w:p>
        </w:tc>
      </w:tr>
      <w:tr w:rsidR="00E1758E" w:rsidRPr="00993936" w:rsidTr="003C0F94">
        <w:trPr>
          <w:cantSplit/>
          <w:jc w:val="center"/>
        </w:trPr>
        <w:tc>
          <w:tcPr>
            <w:tcW w:w="1067" w:type="pct"/>
            <w:gridSpan w:val="2"/>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Rincosporiosi</w:t>
            </w:r>
          </w:p>
          <w:p w:rsidR="00202B3A" w:rsidRPr="00993936" w:rsidRDefault="00202B3A" w:rsidP="003C0F94">
            <w:pPr>
              <w:pStyle w:val="Sinespaciado"/>
              <w:rPr>
                <w:rFonts w:ascii="Arial" w:hAnsi="Arial" w:cs="Arial"/>
                <w:noProof/>
              </w:rPr>
            </w:pPr>
            <w:r w:rsidRPr="00993936">
              <w:rPr>
                <w:rFonts w:ascii="Arial" w:hAnsi="Arial" w:cs="Arial"/>
                <w:i/>
                <w:noProof/>
              </w:rPr>
              <w:t>Rhynchosporium secalis</w:t>
            </w: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Azoxistrobina+Ciproconazol </w:t>
            </w:r>
          </w:p>
        </w:tc>
        <w:tc>
          <w:tcPr>
            <w:tcW w:w="237" w:type="pct"/>
            <w:vAlign w:val="center"/>
          </w:tcPr>
          <w:p w:rsidR="00202B3A" w:rsidRPr="0099393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restart"/>
            <w:tcBorders>
              <w:top w:val="nil"/>
            </w:tcBorders>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Máximo 1 tratamiento al año</w:t>
            </w:r>
          </w:p>
          <w:p w:rsidR="00202B3A" w:rsidRPr="00993936" w:rsidRDefault="00202B3A" w:rsidP="003C0F94">
            <w:pPr>
              <w:pStyle w:val="Sinespaciado"/>
              <w:rPr>
                <w:rFonts w:ascii="Arial" w:hAnsi="Arial" w:cs="Arial"/>
                <w:noProof/>
                <w:lang w:val="es-ES"/>
              </w:rPr>
            </w:pPr>
            <w:r w:rsidRPr="00993936">
              <w:rPr>
                <w:rFonts w:ascii="Arial" w:hAnsi="Arial" w:cs="Arial"/>
                <w:noProof/>
                <w:sz w:val="18"/>
                <w:szCs w:val="18"/>
                <w:lang w:val="es-ES"/>
              </w:rPr>
              <w:t>Sólo formulaciones que no sean de clasificación toxicológica T</w:t>
            </w: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lang w:val="es-ES"/>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Biaplastan + Protioxiconazol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sz w:val="18"/>
                <w:szCs w:val="18"/>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lang w:val="es-ES"/>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Ciproconazol + Picoxistrobina</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0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947" w:type="pct"/>
            <w:vMerge/>
            <w:vAlign w:val="center"/>
          </w:tcPr>
          <w:p w:rsidR="00202B3A" w:rsidRPr="00993936" w:rsidRDefault="00202B3A" w:rsidP="003C0F94">
            <w:pPr>
              <w:pStyle w:val="Sinespaciado"/>
              <w:rPr>
                <w:rFonts w:ascii="Arial" w:hAnsi="Arial" w:cs="Arial"/>
                <w:noProof/>
                <w:sz w:val="18"/>
                <w:szCs w:val="18"/>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w:t>
            </w:r>
          </w:p>
        </w:tc>
        <w:tc>
          <w:tcPr>
            <w:tcW w:w="237" w:type="pct"/>
            <w:vAlign w:val="center"/>
          </w:tcPr>
          <w:p w:rsidR="00202B3A" w:rsidRPr="00993936" w:rsidDel="00B52D9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Fenpropimorf</w:t>
            </w:r>
          </w:p>
        </w:tc>
        <w:tc>
          <w:tcPr>
            <w:tcW w:w="237" w:type="pct"/>
            <w:vAlign w:val="center"/>
          </w:tcPr>
          <w:p w:rsidR="00202B3A" w:rsidRPr="00993936" w:rsidDel="00B52D9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20"/>
                <w:lang w:val="es-ES"/>
              </w:rPr>
              <w:t>Fluxapiroxato</w:t>
            </w:r>
          </w:p>
        </w:tc>
        <w:tc>
          <w:tcPr>
            <w:tcW w:w="237" w:type="pct"/>
            <w:vAlign w:val="center"/>
          </w:tcPr>
          <w:p w:rsidR="00202B3A" w:rsidRPr="00993936" w:rsidDel="00B52D9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rPr>
            </w:pPr>
          </w:p>
        </w:tc>
        <w:tc>
          <w:tcPr>
            <w:tcW w:w="1357" w:type="pct"/>
            <w:vAlign w:val="center"/>
          </w:tcPr>
          <w:p w:rsidR="00202B3A" w:rsidRPr="00993936" w:rsidRDefault="00202B3A" w:rsidP="003C0F94">
            <w:pPr>
              <w:pStyle w:val="Sinespaciado"/>
              <w:rPr>
                <w:rFonts w:ascii="Arial" w:hAnsi="Arial" w:cs="Arial"/>
                <w:noProof/>
                <w:sz w:val="20"/>
                <w:lang w:val="es-ES"/>
              </w:rPr>
            </w:pPr>
            <w:r w:rsidRPr="00993936">
              <w:rPr>
                <w:rFonts w:ascii="Arial" w:hAnsi="Arial" w:cs="Arial"/>
                <w:noProof/>
                <w:sz w:val="20"/>
                <w:lang w:val="es-ES"/>
              </w:rPr>
              <w:t>Fluxapiroxato + Metioconazol</w:t>
            </w:r>
          </w:p>
        </w:tc>
        <w:tc>
          <w:tcPr>
            <w:tcW w:w="237" w:type="pct"/>
            <w:vAlign w:val="center"/>
          </w:tcPr>
          <w:p w:rsidR="00202B3A" w:rsidRPr="00993936" w:rsidDel="00B52D9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 + Piraclostrobina</w:t>
            </w:r>
          </w:p>
        </w:tc>
        <w:tc>
          <w:tcPr>
            <w:tcW w:w="237" w:type="pct"/>
            <w:vAlign w:val="center"/>
          </w:tcPr>
          <w:p w:rsidR="00202B3A" w:rsidRPr="00993936" w:rsidDel="00B52D9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Metconazol</w:t>
            </w:r>
          </w:p>
        </w:tc>
        <w:tc>
          <w:tcPr>
            <w:tcW w:w="237" w:type="pct"/>
            <w:vAlign w:val="center"/>
          </w:tcPr>
          <w:p w:rsidR="00202B3A" w:rsidRPr="0099393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Piraclostrobín</w:t>
            </w:r>
          </w:p>
        </w:tc>
        <w:tc>
          <w:tcPr>
            <w:tcW w:w="237" w:type="pct"/>
            <w:vAlign w:val="center"/>
          </w:tcPr>
          <w:p w:rsidR="00202B3A" w:rsidRPr="0099393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w:t>
            </w:r>
          </w:p>
        </w:tc>
        <w:tc>
          <w:tcPr>
            <w:tcW w:w="237" w:type="pct"/>
            <w:vAlign w:val="center"/>
          </w:tcPr>
          <w:p w:rsidR="00202B3A" w:rsidRPr="0099393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lang w:val="es-ES"/>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 Tebuconazol </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lang w:val="es-ES"/>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Propiconazol</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lang w:val="es-ES"/>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Protioconazol + Tebuconazol</w:t>
            </w:r>
          </w:p>
        </w:tc>
        <w:tc>
          <w:tcPr>
            <w:tcW w:w="237" w:type="pct"/>
            <w:vAlign w:val="center"/>
          </w:tcPr>
          <w:p w:rsidR="00202B3A" w:rsidRPr="0099393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jc w:val="center"/>
        </w:trPr>
        <w:tc>
          <w:tcPr>
            <w:tcW w:w="1067" w:type="pct"/>
            <w:gridSpan w:val="2"/>
            <w:vMerge/>
            <w:vAlign w:val="center"/>
          </w:tcPr>
          <w:p w:rsidR="00202B3A" w:rsidRPr="00993936" w:rsidRDefault="00202B3A" w:rsidP="003C0F94">
            <w:pPr>
              <w:pStyle w:val="Sinespaciado"/>
              <w:rPr>
                <w:rFonts w:ascii="Arial" w:hAnsi="Arial" w:cs="Arial"/>
                <w:noProof/>
                <w:lang w:val="es-ES"/>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Triadimenol</w:t>
            </w:r>
          </w:p>
        </w:tc>
        <w:tc>
          <w:tcPr>
            <w:tcW w:w="237" w:type="pct"/>
            <w:vAlign w:val="center"/>
          </w:tcPr>
          <w:p w:rsidR="00202B3A" w:rsidRPr="00993936" w:rsidRDefault="00202B3A" w:rsidP="003C0F94">
            <w:pPr>
              <w:pStyle w:val="Sinespaciado"/>
              <w:rPr>
                <w:rFonts w:ascii="Arial" w:hAnsi="Arial" w:cs="Arial"/>
                <w:noProof/>
                <w:lang w:val="es-ES"/>
              </w:rPr>
            </w:pP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vAlign w:val="center"/>
          </w:tcPr>
          <w:p w:rsidR="00202B3A" w:rsidRPr="00993936" w:rsidRDefault="00202B3A" w:rsidP="003C0F94">
            <w:pPr>
              <w:pStyle w:val="Sinespaciado"/>
              <w:rPr>
                <w:rFonts w:ascii="Arial" w:hAnsi="Arial" w:cs="Arial"/>
                <w:noProof/>
                <w:lang w:val="es-ES"/>
              </w:rPr>
            </w:pPr>
          </w:p>
        </w:tc>
      </w:tr>
      <w:tr w:rsidR="00E1758E" w:rsidRPr="00993936" w:rsidTr="001D205D">
        <w:trPr>
          <w:cantSplit/>
          <w:trHeight w:val="139"/>
          <w:jc w:val="center"/>
        </w:trPr>
        <w:tc>
          <w:tcPr>
            <w:tcW w:w="1067" w:type="pct"/>
            <w:gridSpan w:val="2"/>
            <w:vMerge/>
            <w:vAlign w:val="center"/>
          </w:tcPr>
          <w:p w:rsidR="00202B3A" w:rsidRPr="00993936" w:rsidRDefault="00202B3A" w:rsidP="003C0F94">
            <w:pPr>
              <w:pStyle w:val="Sinespaciado"/>
              <w:rPr>
                <w:rFonts w:ascii="Arial" w:hAnsi="Arial" w:cs="Arial"/>
                <w:noProof/>
                <w:lang w:val="es-ES"/>
              </w:rPr>
            </w:pPr>
          </w:p>
        </w:tc>
        <w:tc>
          <w:tcPr>
            <w:tcW w:w="135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Mancozeb + Metiltiofanato</w:t>
            </w:r>
          </w:p>
        </w:tc>
        <w:tc>
          <w:tcPr>
            <w:tcW w:w="237"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8" w:type="pct"/>
            <w:vAlign w:val="center"/>
          </w:tcPr>
          <w:p w:rsidR="00202B3A" w:rsidRPr="00993936" w:rsidRDefault="00202B3A" w:rsidP="003C0F94">
            <w:pPr>
              <w:pStyle w:val="Sinespaciado"/>
              <w:rPr>
                <w:rFonts w:ascii="Arial" w:hAnsi="Arial" w:cs="Arial"/>
                <w:noProof/>
                <w:lang w:val="es-ES"/>
              </w:rPr>
            </w:pPr>
          </w:p>
        </w:tc>
        <w:tc>
          <w:tcPr>
            <w:tcW w:w="315" w:type="pct"/>
            <w:gridSpan w:val="2"/>
            <w:vAlign w:val="center"/>
          </w:tcPr>
          <w:p w:rsidR="00202B3A" w:rsidRPr="00993936" w:rsidRDefault="00202B3A" w:rsidP="003C0F94">
            <w:pPr>
              <w:pStyle w:val="Sinespaciado"/>
              <w:rPr>
                <w:rFonts w:ascii="Arial" w:hAnsi="Arial" w:cs="Arial"/>
                <w:noProof/>
                <w:lang w:val="es-ES"/>
              </w:rPr>
            </w:pPr>
          </w:p>
        </w:tc>
        <w:tc>
          <w:tcPr>
            <w:tcW w:w="294" w:type="pct"/>
            <w:vAlign w:val="center"/>
          </w:tcPr>
          <w:p w:rsidR="00202B3A" w:rsidRPr="00993936" w:rsidRDefault="00202B3A" w:rsidP="003C0F94">
            <w:pPr>
              <w:pStyle w:val="Sinespaciado"/>
              <w:rPr>
                <w:rFonts w:ascii="Arial" w:hAnsi="Arial" w:cs="Arial"/>
                <w:noProof/>
                <w:lang w:val="es-ES"/>
              </w:rPr>
            </w:pPr>
          </w:p>
        </w:tc>
        <w:tc>
          <w:tcPr>
            <w:tcW w:w="405" w:type="pct"/>
            <w:vAlign w:val="center"/>
          </w:tcPr>
          <w:p w:rsidR="00202B3A" w:rsidRPr="00993936" w:rsidRDefault="00202B3A" w:rsidP="003C0F94">
            <w:pPr>
              <w:pStyle w:val="Sinespaciado"/>
              <w:rPr>
                <w:rFonts w:ascii="Arial" w:hAnsi="Arial" w:cs="Arial"/>
                <w:noProof/>
                <w:lang w:val="es-ES"/>
              </w:rPr>
            </w:pPr>
          </w:p>
        </w:tc>
        <w:tc>
          <w:tcPr>
            <w:tcW w:w="947" w:type="pct"/>
            <w:vMerge/>
            <w:tcBorders>
              <w:bottom w:val="single" w:sz="4" w:space="0" w:color="auto"/>
            </w:tcBorders>
            <w:vAlign w:val="center"/>
          </w:tcPr>
          <w:p w:rsidR="00202B3A" w:rsidRPr="00993936" w:rsidRDefault="00202B3A" w:rsidP="003C0F94">
            <w:pPr>
              <w:pStyle w:val="Sinespaciado"/>
              <w:rPr>
                <w:rFonts w:ascii="Arial" w:hAnsi="Arial" w:cs="Arial"/>
                <w:noProof/>
                <w:lang w:val="es-ES"/>
              </w:rPr>
            </w:pPr>
          </w:p>
        </w:tc>
      </w:tr>
    </w:tbl>
    <w:p w:rsidR="00202B3A" w:rsidRPr="00993936" w:rsidRDefault="00202B3A" w:rsidP="001D205D">
      <w:pPr>
        <w:rPr>
          <w:rFonts w:ascii="Arial" w:hAnsi="Arial" w:cs="Arial"/>
          <w:lang w:val="es-ES"/>
        </w:rPr>
      </w:pPr>
    </w:p>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5"/>
        <w:gridCol w:w="2511"/>
        <w:gridCol w:w="337"/>
        <w:gridCol w:w="651"/>
        <w:gridCol w:w="517"/>
        <w:gridCol w:w="535"/>
        <w:gridCol w:w="766"/>
        <w:gridCol w:w="1519"/>
      </w:tblGrid>
      <w:tr w:rsidR="003C0F94" w:rsidRPr="00993936" w:rsidTr="001D205D">
        <w:trPr>
          <w:cantSplit/>
          <w:trHeight w:val="430"/>
          <w:jc w:val="center"/>
        </w:trPr>
        <w:tc>
          <w:tcPr>
            <w:tcW w:w="5000" w:type="pct"/>
            <w:gridSpan w:val="8"/>
            <w:shd w:val="pct12" w:color="auto" w:fill="FFFFFF"/>
            <w:vAlign w:val="center"/>
          </w:tcPr>
          <w:p w:rsidR="00202B3A" w:rsidRPr="00993936" w:rsidRDefault="00202B3A" w:rsidP="003C0F94">
            <w:pPr>
              <w:pStyle w:val="Sinespaciado"/>
              <w:rPr>
                <w:rFonts w:ascii="Arial" w:hAnsi="Arial" w:cs="Arial"/>
                <w:noProof/>
                <w:lang w:val="es-ES"/>
              </w:rPr>
            </w:pPr>
            <w:r w:rsidRPr="00993936">
              <w:rPr>
                <w:rFonts w:ascii="Arial" w:hAnsi="Arial" w:cs="Arial"/>
                <w:lang w:val="es-ES"/>
              </w:rPr>
              <w:lastRenderedPageBreak/>
              <w:br w:type="page"/>
            </w:r>
            <w:r w:rsidRPr="00993936">
              <w:rPr>
                <w:rFonts w:ascii="Arial" w:hAnsi="Arial" w:cs="Arial"/>
                <w:noProof/>
                <w:lang w:val="es-ES"/>
              </w:rPr>
              <w:t>ENFERMEDADES</w:t>
            </w:r>
          </w:p>
        </w:tc>
      </w:tr>
      <w:tr w:rsidR="003C0F94" w:rsidRPr="00993936" w:rsidTr="003C0F94">
        <w:trPr>
          <w:cantSplit/>
          <w:jc w:val="center"/>
        </w:trPr>
        <w:tc>
          <w:tcPr>
            <w:tcW w:w="1049"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Roya</w:t>
            </w:r>
            <w:r w:rsidRPr="00993936">
              <w:rPr>
                <w:rFonts w:ascii="Arial" w:hAnsi="Arial" w:cs="Arial"/>
                <w:noProof/>
                <w:vanish/>
                <w:lang w:val="es-ES"/>
              </w:rPr>
              <w:t>&lt;A[Óxidos|Yemas]&gt;</w:t>
            </w:r>
          </w:p>
          <w:p w:rsidR="00202B3A" w:rsidRPr="00993936" w:rsidRDefault="00202B3A" w:rsidP="003C0F94">
            <w:pPr>
              <w:pStyle w:val="Sinespaciado"/>
              <w:rPr>
                <w:rFonts w:ascii="Arial" w:hAnsi="Arial" w:cs="Arial"/>
                <w:noProof/>
                <w:lang w:val="es-ES"/>
              </w:rPr>
            </w:pPr>
            <w:r w:rsidRPr="00993936">
              <w:rPr>
                <w:rFonts w:ascii="Arial" w:hAnsi="Arial" w:cs="Arial"/>
                <w:i/>
                <w:noProof/>
                <w:lang w:val="es-ES"/>
              </w:rPr>
              <w:t>Puccinia spp.</w:t>
            </w: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Azoxistrobina </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restart"/>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Azoxistrobina+Ciproconazol </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Biaplastan + Protioxiconazol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Bromuconazole + Tebuconazol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Ciproconazol + Picoxistrobina</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Ciproconazol+Trifloxistrobina</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trHeight w:val="205"/>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trHeight w:val="205"/>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 + Piraclostrobina</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sz w:val="18"/>
                <w:szCs w:val="18"/>
                <w:lang w:val="es-ES"/>
              </w:rPr>
            </w:pPr>
            <w:r w:rsidRPr="00993936">
              <w:rPr>
                <w:rFonts w:ascii="Arial" w:hAnsi="Arial" w:cs="Arial"/>
                <w:noProof/>
                <w:sz w:val="18"/>
                <w:szCs w:val="18"/>
                <w:lang w:val="es-ES"/>
              </w:rPr>
              <w:t>Ciproconazol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Fenpropimorf</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Flutriafol </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Fluxapiroxad</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Mancozeb</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Mancozeb + Metil-tiofanato</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Metconazol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Piraclostrobina</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 Tebuconazol </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 Propiconazol </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Propiconazol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Protioconazol + Tebuconazol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Tebuconazol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p>
        </w:tc>
        <w:tc>
          <w:tcPr>
            <w:tcW w:w="877"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49" w:type="pct"/>
            <w:vMerge/>
            <w:vAlign w:val="center"/>
          </w:tcPr>
          <w:p w:rsidR="00202B3A" w:rsidRPr="00993936" w:rsidRDefault="00202B3A" w:rsidP="003C0F94">
            <w:pPr>
              <w:pStyle w:val="Sinespaciado"/>
              <w:rPr>
                <w:rFonts w:ascii="Arial" w:hAnsi="Arial" w:cs="Arial"/>
                <w:noProof/>
                <w:lang w:val="es-ES"/>
              </w:rPr>
            </w:pPr>
          </w:p>
        </w:tc>
        <w:tc>
          <w:tcPr>
            <w:tcW w:w="1451"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Triadimenol</w:t>
            </w:r>
          </w:p>
        </w:tc>
        <w:tc>
          <w:tcPr>
            <w:tcW w:w="19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76" w:type="pct"/>
            <w:vAlign w:val="center"/>
          </w:tcPr>
          <w:p w:rsidR="00202B3A" w:rsidRPr="00993936" w:rsidRDefault="00202B3A" w:rsidP="003C0F94">
            <w:pPr>
              <w:pStyle w:val="Sinespaciado"/>
              <w:rPr>
                <w:rFonts w:ascii="Arial" w:hAnsi="Arial" w:cs="Arial"/>
                <w:noProof/>
                <w:lang w:val="es-ES"/>
              </w:rPr>
            </w:pPr>
          </w:p>
        </w:tc>
        <w:tc>
          <w:tcPr>
            <w:tcW w:w="299"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9" w:type="pct"/>
            <w:vAlign w:val="center"/>
          </w:tcPr>
          <w:p w:rsidR="00202B3A" w:rsidRPr="00993936" w:rsidRDefault="00202B3A" w:rsidP="003C0F94">
            <w:pPr>
              <w:pStyle w:val="Sinespaciado"/>
              <w:rPr>
                <w:rFonts w:ascii="Arial" w:hAnsi="Arial" w:cs="Arial"/>
                <w:noProof/>
                <w:lang w:val="es-ES"/>
              </w:rPr>
            </w:pPr>
          </w:p>
        </w:tc>
        <w:tc>
          <w:tcPr>
            <w:tcW w:w="443"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77" w:type="pct"/>
            <w:vMerge/>
            <w:vAlign w:val="center"/>
          </w:tcPr>
          <w:p w:rsidR="00202B3A" w:rsidRPr="00993936" w:rsidRDefault="00202B3A" w:rsidP="003C0F94">
            <w:pPr>
              <w:pStyle w:val="Sinespaciado"/>
              <w:rPr>
                <w:rFonts w:ascii="Arial" w:hAnsi="Arial" w:cs="Arial"/>
                <w:noProof/>
                <w:lang w:val="es-ES"/>
              </w:rPr>
            </w:pPr>
          </w:p>
        </w:tc>
      </w:tr>
    </w:tbl>
    <w:p w:rsidR="00202B3A" w:rsidRPr="00993936" w:rsidRDefault="00202B3A" w:rsidP="001D205D">
      <w:pPr>
        <w:rPr>
          <w:rFonts w:ascii="Arial" w:hAnsi="Arial" w:cs="Arial"/>
          <w:sz w:val="2"/>
          <w:szCs w:val="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5"/>
        <w:gridCol w:w="2377"/>
        <w:gridCol w:w="392"/>
        <w:gridCol w:w="659"/>
        <w:gridCol w:w="525"/>
        <w:gridCol w:w="525"/>
        <w:gridCol w:w="790"/>
        <w:gridCol w:w="1521"/>
      </w:tblGrid>
      <w:tr w:rsidR="003C0F94" w:rsidRPr="00993936" w:rsidTr="003C0F94">
        <w:trPr>
          <w:cantSplit/>
          <w:jc w:val="center"/>
        </w:trPr>
        <w:tc>
          <w:tcPr>
            <w:tcW w:w="1077" w:type="pct"/>
            <w:vMerge w:val="restar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Septoriosi</w:t>
            </w:r>
          </w:p>
          <w:p w:rsidR="00202B3A" w:rsidRPr="00993936" w:rsidRDefault="00202B3A" w:rsidP="003C0F94">
            <w:pPr>
              <w:pStyle w:val="Sinespaciado"/>
              <w:rPr>
                <w:rFonts w:ascii="Arial" w:hAnsi="Arial" w:cs="Arial"/>
                <w:i/>
                <w:noProof/>
                <w:lang w:val="es-ES"/>
              </w:rPr>
            </w:pPr>
            <w:r w:rsidRPr="00993936">
              <w:rPr>
                <w:rFonts w:ascii="Arial" w:hAnsi="Arial" w:cs="Arial"/>
                <w:i/>
                <w:noProof/>
                <w:lang w:val="es-ES"/>
              </w:rPr>
              <w:t>Septoria tritíceo</w:t>
            </w:r>
          </w:p>
          <w:p w:rsidR="00202B3A" w:rsidRPr="00993936" w:rsidRDefault="00202B3A" w:rsidP="003C0F94">
            <w:pPr>
              <w:pStyle w:val="Sinespaciado"/>
              <w:rPr>
                <w:rFonts w:ascii="Arial" w:hAnsi="Arial" w:cs="Arial"/>
                <w:noProof/>
              </w:rPr>
            </w:pPr>
            <w:r w:rsidRPr="00993936">
              <w:rPr>
                <w:rFonts w:ascii="Arial" w:hAnsi="Arial" w:cs="Arial"/>
                <w:i/>
                <w:noProof/>
              </w:rPr>
              <w:t>Septoria nodorum</w:t>
            </w: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Azoxistrobina </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 xml:space="preserve">X    </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restart"/>
            <w:vAlign w:val="center"/>
          </w:tcPr>
          <w:p w:rsidR="00202B3A" w:rsidRPr="00993936" w:rsidRDefault="00202B3A" w:rsidP="003C0F94">
            <w:pPr>
              <w:pStyle w:val="Sinespaciado"/>
              <w:rPr>
                <w:rFonts w:ascii="Arial" w:hAnsi="Arial" w:cs="Arial"/>
                <w:noProof/>
                <w:sz w:val="20"/>
                <w:lang w:val="es-ES"/>
              </w:rPr>
            </w:pPr>
            <w:r w:rsidRPr="00993936">
              <w:rPr>
                <w:rFonts w:ascii="Arial" w:hAnsi="Arial" w:cs="Arial"/>
                <w:noProof/>
                <w:sz w:val="20"/>
                <w:lang w:val="es-ES"/>
              </w:rPr>
              <w:t>(1) Máximo 1 tratamiento al año</w:t>
            </w:r>
          </w:p>
          <w:p w:rsidR="00202B3A" w:rsidRPr="00993936" w:rsidRDefault="00202B3A" w:rsidP="003C0F94">
            <w:pPr>
              <w:pStyle w:val="Sinespaciado"/>
              <w:rPr>
                <w:rFonts w:ascii="Arial" w:hAnsi="Arial" w:cs="Arial"/>
                <w:noProof/>
                <w:sz w:val="20"/>
                <w:lang w:val="es-ES"/>
              </w:rPr>
            </w:pPr>
          </w:p>
          <w:p w:rsidR="00202B3A" w:rsidRPr="00993936" w:rsidRDefault="00202B3A" w:rsidP="003C0F94">
            <w:pPr>
              <w:pStyle w:val="Sinespaciado"/>
              <w:rPr>
                <w:rFonts w:ascii="Arial" w:hAnsi="Arial" w:cs="Arial"/>
                <w:noProof/>
                <w:sz w:val="20"/>
                <w:lang w:val="es-ES"/>
              </w:rPr>
            </w:pPr>
            <w:r w:rsidRPr="00993936">
              <w:rPr>
                <w:rFonts w:ascii="Arial" w:hAnsi="Arial" w:cs="Arial"/>
                <w:noProof/>
                <w:sz w:val="20"/>
                <w:lang w:val="es-ES"/>
              </w:rPr>
              <w:t>(2) Sólo formulaciones que no sean de clasificación toxicológica T</w:t>
            </w:r>
          </w:p>
          <w:p w:rsidR="00202B3A" w:rsidRPr="00993936" w:rsidRDefault="00202B3A" w:rsidP="003C0F94">
            <w:pPr>
              <w:pStyle w:val="Sinespaciado"/>
              <w:rPr>
                <w:rFonts w:ascii="Arial" w:hAnsi="Arial" w:cs="Arial"/>
                <w:noProof/>
                <w:lang w:val="es-ES"/>
              </w:rPr>
            </w:pPr>
          </w:p>
          <w:p w:rsidR="00202B3A" w:rsidRPr="00993936" w:rsidRDefault="00202B3A" w:rsidP="003C0F94">
            <w:pPr>
              <w:pStyle w:val="Sinespaciado"/>
              <w:rPr>
                <w:rFonts w:ascii="Arial" w:hAnsi="Arial" w:cs="Arial"/>
                <w:noProof/>
                <w:lang w:val="es-ES"/>
              </w:rPr>
            </w:pPr>
            <w:r w:rsidRPr="00993936">
              <w:rPr>
                <w:rFonts w:ascii="Arial" w:hAnsi="Arial" w:cs="Arial"/>
                <w:noProof/>
                <w:sz w:val="20"/>
                <w:lang w:val="es-ES"/>
              </w:rPr>
              <w:t>(*) Materia activa con fecha de límite de utilización</w:t>
            </w: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rPr>
            </w:pPr>
          </w:p>
        </w:tc>
        <w:tc>
          <w:tcPr>
            <w:tcW w:w="1347" w:type="pct"/>
            <w:vAlign w:val="center"/>
          </w:tcPr>
          <w:p w:rsidR="00202B3A" w:rsidRPr="00993936" w:rsidRDefault="00202B3A" w:rsidP="003C0F94">
            <w:pPr>
              <w:pStyle w:val="Sinespaciado"/>
              <w:rPr>
                <w:rFonts w:ascii="Arial" w:hAnsi="Arial" w:cs="Arial"/>
                <w:sz w:val="18"/>
                <w:szCs w:val="18"/>
                <w:lang w:val="es-ES"/>
              </w:rPr>
            </w:pPr>
            <w:r w:rsidRPr="00993936">
              <w:rPr>
                <w:rFonts w:ascii="Arial" w:hAnsi="Arial" w:cs="Arial"/>
                <w:noProof/>
                <w:sz w:val="18"/>
                <w:szCs w:val="18"/>
                <w:lang w:val="es-ES"/>
              </w:rPr>
              <w:t>Azoxistrobina+Ciproconazol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rPr>
            </w:pPr>
          </w:p>
        </w:tc>
        <w:tc>
          <w:tcPr>
            <w:tcW w:w="1347" w:type="pct"/>
            <w:vAlign w:val="center"/>
          </w:tcPr>
          <w:p w:rsidR="00202B3A" w:rsidRPr="00993936" w:rsidRDefault="00202B3A" w:rsidP="003C0F94">
            <w:pPr>
              <w:pStyle w:val="Sinespaciado"/>
              <w:rPr>
                <w:rFonts w:ascii="Arial" w:hAnsi="Arial" w:cs="Arial"/>
                <w:noProof/>
                <w:sz w:val="16"/>
                <w:szCs w:val="18"/>
                <w:lang w:val="es-ES"/>
              </w:rPr>
            </w:pPr>
            <w:r w:rsidRPr="00993936">
              <w:rPr>
                <w:rFonts w:ascii="Arial" w:hAnsi="Arial" w:cs="Arial"/>
                <w:noProof/>
                <w:sz w:val="16"/>
                <w:szCs w:val="18"/>
                <w:lang w:val="es-ES"/>
              </w:rPr>
              <w:t>Biaplastan + Protioconazol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Bromuconazol + Tebuconazol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trHeight w:val="310"/>
          <w:jc w:val="center"/>
        </w:trPr>
        <w:tc>
          <w:tcPr>
            <w:tcW w:w="1077" w:type="pct"/>
            <w:vMerge/>
            <w:vAlign w:val="center"/>
          </w:tcPr>
          <w:p w:rsidR="00202B3A" w:rsidRPr="00993936" w:rsidRDefault="00202B3A" w:rsidP="003C0F94">
            <w:pPr>
              <w:pStyle w:val="Sinespaciado"/>
              <w:rPr>
                <w:rFonts w:ascii="Arial" w:hAnsi="Arial" w:cs="Arial"/>
                <w:noProof/>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Ciproconazol + Picoxistrobina</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 xml:space="preserve">Ciproconazol+Trifloxistrobina </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Epoxiconazol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6"/>
                <w:szCs w:val="18"/>
                <w:lang w:val="es-ES"/>
              </w:rPr>
              <w:t>Epoxiconazol + Piraclostrobina</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Clorotalonil (2)</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Flutriafol </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Fluxapiroxat</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Fluxapiroxat + Metconazol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Mancozeb</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Mancozeb + Metil-tiofanato</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Metconazol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Piraclostrobina</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 Propiconazol </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 xml:space="preserve">Procloraz+ Tebuconazol </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Propiconazol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Protioconazol + Tebuconazol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r w:rsidRPr="00993936">
              <w:rPr>
                <w:rFonts w:ascii="Arial" w:hAnsi="Arial" w:cs="Arial"/>
                <w:noProof/>
                <w:sz w:val="18"/>
                <w:szCs w:val="18"/>
                <w:lang w:val="es-ES"/>
              </w:rPr>
              <w:t>Tetraconazol</w:t>
            </w:r>
          </w:p>
        </w:tc>
        <w:tc>
          <w:tcPr>
            <w:tcW w:w="23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308"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461" w:type="pct"/>
            <w:vAlign w:val="center"/>
          </w:tcPr>
          <w:p w:rsidR="00202B3A" w:rsidRPr="00993936" w:rsidRDefault="00202B3A" w:rsidP="003C0F94">
            <w:pPr>
              <w:pStyle w:val="Sinespaciado"/>
              <w:rPr>
                <w:rFonts w:ascii="Arial" w:hAnsi="Arial" w:cs="Arial"/>
                <w:noProof/>
                <w:lang w:val="es-ES"/>
              </w:rPr>
            </w:pPr>
            <w:r w:rsidRPr="00993936">
              <w:rPr>
                <w:rFonts w:ascii="Arial" w:hAnsi="Arial" w:cs="Arial"/>
                <w:noProof/>
                <w:lang w:val="es-ES"/>
              </w:rPr>
              <w:t>X</w:t>
            </w:r>
          </w:p>
        </w:tc>
        <w:tc>
          <w:tcPr>
            <w:tcW w:w="884" w:type="pct"/>
            <w:vMerge/>
            <w:vAlign w:val="center"/>
          </w:tcPr>
          <w:p w:rsidR="00202B3A" w:rsidRPr="00993936" w:rsidRDefault="00202B3A" w:rsidP="003C0F94">
            <w:pPr>
              <w:pStyle w:val="Sinespaciado"/>
              <w:rPr>
                <w:rFonts w:ascii="Arial" w:hAnsi="Arial" w:cs="Arial"/>
                <w:noProof/>
                <w:lang w:val="es-ES"/>
              </w:rPr>
            </w:pPr>
          </w:p>
        </w:tc>
      </w:tr>
      <w:tr w:rsidR="003C0F94" w:rsidRPr="00993936" w:rsidTr="003C0F94">
        <w:trPr>
          <w:cantSplit/>
          <w:jc w:val="center"/>
        </w:trPr>
        <w:tc>
          <w:tcPr>
            <w:tcW w:w="1077" w:type="pct"/>
            <w:vMerge/>
            <w:vAlign w:val="center"/>
          </w:tcPr>
          <w:p w:rsidR="00202B3A" w:rsidRPr="00993936" w:rsidRDefault="00202B3A" w:rsidP="003C0F94">
            <w:pPr>
              <w:pStyle w:val="Sinespaciado"/>
              <w:rPr>
                <w:rFonts w:ascii="Arial" w:hAnsi="Arial" w:cs="Arial"/>
                <w:noProof/>
                <w:lang w:val="es-ES"/>
              </w:rPr>
            </w:pPr>
          </w:p>
        </w:tc>
        <w:tc>
          <w:tcPr>
            <w:tcW w:w="1347" w:type="pct"/>
            <w:vAlign w:val="center"/>
          </w:tcPr>
          <w:p w:rsidR="00202B3A" w:rsidRPr="00993936" w:rsidRDefault="00202B3A" w:rsidP="003C0F94">
            <w:pPr>
              <w:pStyle w:val="Sinespaciado"/>
              <w:rPr>
                <w:rFonts w:ascii="Arial" w:hAnsi="Arial" w:cs="Arial"/>
                <w:noProof/>
                <w:sz w:val="18"/>
                <w:szCs w:val="18"/>
                <w:lang w:val="es-ES"/>
              </w:rPr>
            </w:pPr>
          </w:p>
        </w:tc>
        <w:tc>
          <w:tcPr>
            <w:tcW w:w="231" w:type="pct"/>
            <w:vAlign w:val="center"/>
          </w:tcPr>
          <w:p w:rsidR="00202B3A" w:rsidRPr="00993936" w:rsidRDefault="00202B3A" w:rsidP="003C0F94">
            <w:pPr>
              <w:pStyle w:val="Sinespaciado"/>
              <w:rPr>
                <w:rFonts w:ascii="Arial" w:hAnsi="Arial" w:cs="Arial"/>
                <w:noProof/>
                <w:lang w:val="es-ES"/>
              </w:rPr>
            </w:pPr>
          </w:p>
        </w:tc>
        <w:tc>
          <w:tcPr>
            <w:tcW w:w="385"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308" w:type="pct"/>
            <w:vAlign w:val="center"/>
          </w:tcPr>
          <w:p w:rsidR="00202B3A" w:rsidRPr="00993936" w:rsidRDefault="00202B3A" w:rsidP="003C0F94">
            <w:pPr>
              <w:pStyle w:val="Sinespaciado"/>
              <w:rPr>
                <w:rFonts w:ascii="Arial" w:hAnsi="Arial" w:cs="Arial"/>
                <w:noProof/>
                <w:lang w:val="es-ES"/>
              </w:rPr>
            </w:pPr>
          </w:p>
        </w:tc>
        <w:tc>
          <w:tcPr>
            <w:tcW w:w="461" w:type="pct"/>
            <w:vAlign w:val="center"/>
          </w:tcPr>
          <w:p w:rsidR="00202B3A" w:rsidRPr="00993936" w:rsidRDefault="00202B3A" w:rsidP="003C0F94">
            <w:pPr>
              <w:pStyle w:val="Sinespaciado"/>
              <w:rPr>
                <w:rFonts w:ascii="Arial" w:hAnsi="Arial" w:cs="Arial"/>
                <w:noProof/>
                <w:lang w:val="es-ES"/>
              </w:rPr>
            </w:pPr>
          </w:p>
        </w:tc>
        <w:tc>
          <w:tcPr>
            <w:tcW w:w="884" w:type="pct"/>
            <w:vMerge/>
            <w:vAlign w:val="center"/>
          </w:tcPr>
          <w:p w:rsidR="00202B3A" w:rsidRPr="00993936" w:rsidRDefault="00202B3A" w:rsidP="003C0F94">
            <w:pPr>
              <w:pStyle w:val="Sinespaciado"/>
              <w:rPr>
                <w:rFonts w:ascii="Arial" w:hAnsi="Arial" w:cs="Arial"/>
                <w:noProof/>
                <w:lang w:val="es-ES"/>
              </w:rPr>
            </w:pPr>
          </w:p>
        </w:tc>
      </w:tr>
    </w:tbl>
    <w:p w:rsidR="00202B3A" w:rsidRPr="00993936" w:rsidRDefault="00202B3A" w:rsidP="001D205D">
      <w:pPr>
        <w:spacing w:after="120"/>
        <w:rPr>
          <w:rFonts w:ascii="Arial" w:hAnsi="Arial" w:cs="Arial"/>
          <w:b/>
          <w:noProof/>
          <w:lang w:val="es-ES"/>
        </w:rPr>
      </w:pPr>
      <w:r w:rsidRPr="00993936">
        <w:rPr>
          <w:rFonts w:ascii="Arial" w:hAnsi="Arial" w:cs="Arial"/>
          <w:b/>
          <w:noProof/>
          <w:lang w:val="es-ES"/>
        </w:rPr>
        <w:br w:type="page"/>
      </w:r>
      <w:r w:rsidRPr="00993936">
        <w:rPr>
          <w:rFonts w:ascii="Arial" w:hAnsi="Arial" w:cs="Arial"/>
          <w:b/>
          <w:noProof/>
          <w:lang w:val="es-ES"/>
        </w:rPr>
        <w:lastRenderedPageBreak/>
        <w:t>2.2 Materias activas de insecticidas y fungicidas para la producción integrada de Cereales de invierno con indicación del código de resistencia IRAC y FRAC</w:t>
      </w:r>
    </w:p>
    <w:p w:rsidR="00202B3A" w:rsidRPr="00993936" w:rsidRDefault="00202B3A" w:rsidP="001D205D">
      <w:pPr>
        <w:spacing w:after="120"/>
        <w:rPr>
          <w:rFonts w:ascii="Arial" w:hAnsi="Arial" w:cs="Arial"/>
          <w:b/>
          <w:noProof/>
          <w:lang w:val="es-ES"/>
        </w:rPr>
      </w:pPr>
    </w:p>
    <w:p w:rsidR="00202B3A" w:rsidRPr="00993936" w:rsidRDefault="00202B3A" w:rsidP="001D205D">
      <w:pPr>
        <w:spacing w:after="120"/>
        <w:rPr>
          <w:rFonts w:ascii="Arial" w:hAnsi="Arial" w:cs="Arial"/>
          <w:b/>
          <w:noProof/>
          <w:lang w:val="es-ES"/>
        </w:rPr>
      </w:pPr>
      <w:r w:rsidRPr="00993936">
        <w:rPr>
          <w:rFonts w:ascii="Arial" w:hAnsi="Arial" w:cs="Arial"/>
          <w:b/>
          <w:noProof/>
          <w:lang w:val="es-ES"/>
        </w:rPr>
        <w:t xml:space="preserve">2.2.1 Materias activas de insecticidas  </w:t>
      </w:r>
    </w:p>
    <w:p w:rsidR="00202B3A" w:rsidRPr="00993936" w:rsidRDefault="00202B3A" w:rsidP="001D205D">
      <w:pPr>
        <w:spacing w:after="120"/>
        <w:rPr>
          <w:rFonts w:ascii="Arial" w:hAnsi="Arial" w:cs="Arial"/>
          <w:b/>
          <w:noProof/>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60"/>
        <w:gridCol w:w="4424"/>
      </w:tblGrid>
      <w:tr w:rsidR="00202B3A" w:rsidRPr="00993936" w:rsidTr="001D205D">
        <w:trPr>
          <w:trHeight w:val="393"/>
        </w:trPr>
        <w:tc>
          <w:tcPr>
            <w:tcW w:w="5000" w:type="pct"/>
            <w:gridSpan w:val="2"/>
            <w:shd w:val="solid" w:color="C0C0C0" w:fill="auto"/>
            <w:vAlign w:val="center"/>
          </w:tcPr>
          <w:p w:rsidR="00202B3A" w:rsidRPr="00993936" w:rsidRDefault="00202B3A" w:rsidP="001D205D">
            <w:pPr>
              <w:autoSpaceDE w:val="0"/>
              <w:autoSpaceDN w:val="0"/>
              <w:adjustRightInd w:val="0"/>
              <w:jc w:val="center"/>
              <w:rPr>
                <w:rFonts w:ascii="Arial" w:hAnsi="Arial" w:cs="Arial"/>
                <w:b/>
                <w:bCs/>
                <w:sz w:val="20"/>
                <w:lang w:val="es-ES" w:eastAsia="ca-ES"/>
              </w:rPr>
            </w:pPr>
            <w:r w:rsidRPr="00993936">
              <w:rPr>
                <w:rFonts w:ascii="Arial" w:hAnsi="Arial" w:cs="Arial"/>
                <w:b/>
                <w:bCs/>
                <w:sz w:val="20"/>
                <w:lang w:val="es-ES" w:eastAsia="ca-ES"/>
              </w:rPr>
              <w:t>TIPO DE INSECTICIDAS</w:t>
            </w:r>
          </w:p>
        </w:tc>
      </w:tr>
      <w:tr w:rsidR="00202B3A" w:rsidRPr="00993936" w:rsidTr="001D205D">
        <w:trPr>
          <w:trHeight w:val="270"/>
        </w:trPr>
        <w:tc>
          <w:tcPr>
            <w:tcW w:w="2423" w:type="pct"/>
            <w:vMerge w:val="restart"/>
            <w:shd w:val="solid" w:color="C0C0C0" w:fill="auto"/>
            <w:vAlign w:val="center"/>
          </w:tcPr>
          <w:p w:rsidR="00202B3A" w:rsidRPr="00993936" w:rsidRDefault="00202B3A" w:rsidP="001D205D">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77" w:type="pct"/>
            <w:shd w:val="solid" w:color="C0C0C0" w:fill="auto"/>
          </w:tcPr>
          <w:p w:rsidR="00202B3A" w:rsidRPr="00993936" w:rsidRDefault="00202B3A" w:rsidP="001D205D">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202B3A" w:rsidRPr="00993936" w:rsidTr="001D205D">
        <w:trPr>
          <w:trHeight w:val="270"/>
        </w:trPr>
        <w:tc>
          <w:tcPr>
            <w:tcW w:w="2423" w:type="pct"/>
            <w:vMerge/>
            <w:shd w:val="solid" w:color="C0C0C0" w:fill="auto"/>
          </w:tcPr>
          <w:p w:rsidR="00202B3A" w:rsidRPr="00993936" w:rsidRDefault="00202B3A" w:rsidP="001D205D">
            <w:pPr>
              <w:autoSpaceDE w:val="0"/>
              <w:autoSpaceDN w:val="0"/>
              <w:adjustRightInd w:val="0"/>
              <w:jc w:val="center"/>
              <w:rPr>
                <w:rFonts w:ascii="Arial" w:hAnsi="Arial" w:cs="Arial"/>
                <w:b/>
                <w:bCs/>
                <w:lang w:val="es-ES" w:eastAsia="ca-ES"/>
              </w:rPr>
            </w:pPr>
          </w:p>
        </w:tc>
        <w:tc>
          <w:tcPr>
            <w:tcW w:w="2577" w:type="pct"/>
            <w:shd w:val="solid" w:color="C0C0C0" w:fill="auto"/>
          </w:tcPr>
          <w:p w:rsidR="00202B3A" w:rsidRPr="00993936" w:rsidRDefault="00202B3A" w:rsidP="001D205D">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IRAC (*)</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Alfacipermetrina</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Cipermetrina</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Cipermetrina + Clorpirifòs</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3A+1B</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Clorpirifos</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1B</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Deltametrina</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Esfenvalerato</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Lambda-cihalotrín</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Pirimicarb</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1A</w:t>
            </w:r>
          </w:p>
        </w:tc>
      </w:tr>
      <w:tr w:rsidR="00202B3A" w:rsidRPr="00993936" w:rsidTr="001D205D">
        <w:trPr>
          <w:trHeight w:val="270"/>
        </w:trPr>
        <w:tc>
          <w:tcPr>
            <w:tcW w:w="2423" w:type="pct"/>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Tau-fluvalinato</w:t>
            </w:r>
          </w:p>
        </w:tc>
        <w:tc>
          <w:tcPr>
            <w:tcW w:w="2577" w:type="pct"/>
            <w:shd w:val="solid" w:color="FFFFFF" w:fill="auto"/>
          </w:tcPr>
          <w:p w:rsidR="00202B3A" w:rsidRPr="00993936" w:rsidRDefault="00202B3A" w:rsidP="001D205D">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202B3A" w:rsidRPr="00993936" w:rsidTr="001D205D">
        <w:trPr>
          <w:trHeight w:val="270"/>
        </w:trPr>
        <w:tc>
          <w:tcPr>
            <w:tcW w:w="5000" w:type="pct"/>
            <w:gridSpan w:val="2"/>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202B3A" w:rsidRPr="00993936" w:rsidTr="001D205D">
        <w:trPr>
          <w:trHeight w:val="270"/>
        </w:trPr>
        <w:tc>
          <w:tcPr>
            <w:tcW w:w="5000" w:type="pct"/>
            <w:gridSpan w:val="2"/>
            <w:shd w:val="solid" w:color="FFFFFF" w:fill="auto"/>
          </w:tcPr>
          <w:p w:rsidR="00202B3A" w:rsidRPr="00993936" w:rsidRDefault="00202B3A" w:rsidP="001D205D">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en Insecticidas</w:t>
            </w:r>
          </w:p>
        </w:tc>
      </w:tr>
    </w:tbl>
    <w:p w:rsidR="00202B3A" w:rsidRPr="00993936" w:rsidRDefault="00202B3A" w:rsidP="001D205D">
      <w:pPr>
        <w:spacing w:after="120"/>
        <w:rPr>
          <w:rFonts w:ascii="Arial" w:hAnsi="Arial" w:cs="Arial"/>
          <w:b/>
          <w:noProof/>
          <w:lang w:val="es-ES"/>
        </w:rPr>
      </w:pPr>
    </w:p>
    <w:p w:rsidR="00202B3A" w:rsidRPr="00993936" w:rsidRDefault="00202B3A" w:rsidP="001D205D">
      <w:pPr>
        <w:spacing w:after="120"/>
        <w:rPr>
          <w:rFonts w:ascii="Arial" w:hAnsi="Arial" w:cs="Arial"/>
          <w:b/>
          <w:noProof/>
          <w:lang w:val="es-ES"/>
        </w:rPr>
      </w:pPr>
      <w:r w:rsidRPr="00993936">
        <w:rPr>
          <w:rFonts w:ascii="Arial" w:hAnsi="Arial" w:cs="Arial"/>
          <w:b/>
          <w:noProof/>
          <w:lang w:val="es-ES"/>
        </w:rPr>
        <w:br w:type="page"/>
      </w:r>
      <w:r w:rsidRPr="00993936">
        <w:rPr>
          <w:rFonts w:ascii="Arial" w:hAnsi="Arial" w:cs="Arial"/>
          <w:b/>
          <w:noProof/>
          <w:lang w:val="es-ES"/>
        </w:rPr>
        <w:lastRenderedPageBreak/>
        <w:t xml:space="preserve">2.2.2 Materias activas fungicidas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60"/>
        <w:gridCol w:w="4424"/>
      </w:tblGrid>
      <w:tr w:rsidR="003C0F94" w:rsidRPr="00993936" w:rsidTr="001D205D">
        <w:trPr>
          <w:trHeight w:val="393"/>
        </w:trPr>
        <w:tc>
          <w:tcPr>
            <w:tcW w:w="5000" w:type="pct"/>
            <w:gridSpan w:val="2"/>
            <w:shd w:val="solid" w:color="C0C0C0" w:fill="auto"/>
            <w:vAlign w:val="center"/>
          </w:tcPr>
          <w:p w:rsidR="00202B3A" w:rsidRPr="00993936" w:rsidRDefault="00202B3A" w:rsidP="003C0F94">
            <w:pPr>
              <w:pStyle w:val="Sinespaciado"/>
              <w:jc w:val="center"/>
              <w:rPr>
                <w:rFonts w:ascii="Arial" w:hAnsi="Arial" w:cs="Arial"/>
                <w:b/>
                <w:lang w:val="es-ES" w:eastAsia="ca-ES"/>
              </w:rPr>
            </w:pPr>
            <w:r w:rsidRPr="00993936">
              <w:rPr>
                <w:rFonts w:ascii="Arial" w:hAnsi="Arial" w:cs="Arial"/>
                <w:b/>
                <w:lang w:val="es-ES" w:eastAsia="ca-ES"/>
              </w:rPr>
              <w:t>TIPO DE FUNGICIDAS</w:t>
            </w:r>
          </w:p>
        </w:tc>
      </w:tr>
      <w:tr w:rsidR="003C0F94" w:rsidRPr="00993936" w:rsidTr="001D205D">
        <w:trPr>
          <w:trHeight w:val="270"/>
        </w:trPr>
        <w:tc>
          <w:tcPr>
            <w:tcW w:w="2423" w:type="pct"/>
            <w:vMerge w:val="restart"/>
            <w:shd w:val="solid" w:color="C0C0C0" w:fill="auto"/>
            <w:vAlign w:val="center"/>
          </w:tcPr>
          <w:p w:rsidR="00202B3A" w:rsidRPr="00993936" w:rsidRDefault="00202B3A" w:rsidP="003C0F94">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77" w:type="pct"/>
            <w:shd w:val="solid" w:color="C0C0C0" w:fill="auto"/>
          </w:tcPr>
          <w:p w:rsidR="00202B3A" w:rsidRPr="00993936" w:rsidRDefault="00202B3A" w:rsidP="003C0F94">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3C0F94" w:rsidRPr="00993936" w:rsidTr="001D205D">
        <w:trPr>
          <w:trHeight w:val="270"/>
        </w:trPr>
        <w:tc>
          <w:tcPr>
            <w:tcW w:w="2423" w:type="pct"/>
            <w:vMerge/>
            <w:shd w:val="solid" w:color="C0C0C0" w:fill="auto"/>
          </w:tcPr>
          <w:p w:rsidR="00202B3A" w:rsidRPr="00993936" w:rsidRDefault="00202B3A" w:rsidP="003C0F94">
            <w:pPr>
              <w:pStyle w:val="Sinespaciado"/>
              <w:jc w:val="center"/>
              <w:rPr>
                <w:rFonts w:ascii="Arial" w:hAnsi="Arial" w:cs="Arial"/>
                <w:b/>
                <w:lang w:val="es-ES" w:eastAsia="ca-ES"/>
              </w:rPr>
            </w:pPr>
          </w:p>
        </w:tc>
        <w:tc>
          <w:tcPr>
            <w:tcW w:w="2577" w:type="pct"/>
            <w:shd w:val="solid" w:color="C0C0C0" w:fill="auto"/>
          </w:tcPr>
          <w:p w:rsidR="00202B3A" w:rsidRPr="00993936" w:rsidRDefault="00202B3A" w:rsidP="003C0F94">
            <w:pPr>
              <w:pStyle w:val="Sinespaciado"/>
              <w:jc w:val="center"/>
              <w:rPr>
                <w:rFonts w:ascii="Arial" w:hAnsi="Arial" w:cs="Arial"/>
                <w:b/>
                <w:lang w:val="es-ES" w:eastAsia="ca-ES"/>
              </w:rPr>
            </w:pPr>
            <w:r w:rsidRPr="00993936">
              <w:rPr>
                <w:rFonts w:ascii="Arial" w:hAnsi="Arial" w:cs="Arial"/>
                <w:b/>
                <w:lang w:val="es-ES" w:eastAsia="ca-ES"/>
              </w:rPr>
              <w:t>FRAC (*)</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Azoxistrobina</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C3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Azoxistrobina + Ciproconazol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C3+3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Bromuconazol + Tebuconazol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Biaplastan + Protioconazol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7+3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Ciproconazol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Ciproconazol + Picoxistrobina</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3+11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Ciproconazol + Trifloxistrobina</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3+11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Clorotalonil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M5</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Difenoconazol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Epoxiconazol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Epoxiconazol + Piraclostrobina</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3+11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Fenpropimorf</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5</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Flutriafol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G1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Fluxapiroxad</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Fluxapiroxad + Metconazol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Mancozeb</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M3+B1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Mancozeb + Metil-tiofanato</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M3+M1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Metconazol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Metil-tiofanato</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Piraclostrobina</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11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Procloraz</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Procloraz + Tebuconazol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Propiconazol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Procloraz + Propiconazol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Propiconazol + Tebuconazol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Azufre</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M2</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Azufre + Oxicloruro de cobre</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M2+M1</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Tebuconazol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Tetraconazol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Triadimenol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2423"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Triticonazol</w:t>
            </w:r>
          </w:p>
        </w:tc>
        <w:tc>
          <w:tcPr>
            <w:tcW w:w="2577" w:type="pct"/>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3</w:t>
            </w:r>
          </w:p>
        </w:tc>
      </w:tr>
      <w:tr w:rsidR="003C0F94" w:rsidRPr="00993936" w:rsidTr="001D205D">
        <w:trPr>
          <w:trHeight w:val="270"/>
        </w:trPr>
        <w:tc>
          <w:tcPr>
            <w:tcW w:w="5000" w:type="pct"/>
            <w:gridSpan w:val="2"/>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3C0F94" w:rsidRPr="00993936" w:rsidTr="001D205D">
        <w:trPr>
          <w:trHeight w:val="270"/>
        </w:trPr>
        <w:tc>
          <w:tcPr>
            <w:tcW w:w="5000" w:type="pct"/>
            <w:gridSpan w:val="2"/>
            <w:shd w:val="solid" w:color="FFFFFF" w:fill="auto"/>
          </w:tcPr>
          <w:p w:rsidR="00202B3A" w:rsidRPr="00993936" w:rsidRDefault="00202B3A" w:rsidP="003C0F94">
            <w:pPr>
              <w:pStyle w:val="Sinespaciado"/>
              <w:rPr>
                <w:rFonts w:ascii="Arial" w:hAnsi="Arial" w:cs="Arial"/>
                <w:lang w:val="es-ES" w:eastAsia="ca-ES"/>
              </w:rPr>
            </w:pPr>
            <w:r w:rsidRPr="00993936">
              <w:rPr>
                <w:rFonts w:ascii="Arial" w:hAnsi="Arial" w:cs="Arial"/>
                <w:lang w:val="es-ES" w:eastAsia="ca-ES"/>
              </w:rPr>
              <w:t>(*) Fuente: Comité de Acción de Resistencia en Fungicidas</w:t>
            </w:r>
          </w:p>
        </w:tc>
      </w:tr>
    </w:tbl>
    <w:p w:rsidR="00202B3A" w:rsidRPr="00993936" w:rsidRDefault="00202B3A" w:rsidP="001D205D">
      <w:pPr>
        <w:spacing w:after="120"/>
        <w:rPr>
          <w:rFonts w:ascii="Arial" w:hAnsi="Arial" w:cs="Arial"/>
          <w:b/>
          <w:noProof/>
          <w:lang w:val="es-ES"/>
        </w:rPr>
      </w:pPr>
    </w:p>
    <w:p w:rsidR="00202B3A" w:rsidRPr="00993936" w:rsidRDefault="00202B3A" w:rsidP="001D205D">
      <w:pPr>
        <w:spacing w:after="120"/>
        <w:rPr>
          <w:rFonts w:ascii="Arial" w:hAnsi="Arial" w:cs="Arial"/>
          <w:b/>
          <w:noProof/>
          <w:lang w:val="es-ES"/>
        </w:rPr>
      </w:pPr>
    </w:p>
    <w:p w:rsidR="00202B3A" w:rsidRPr="00993936" w:rsidRDefault="00202B3A" w:rsidP="001D205D">
      <w:pPr>
        <w:spacing w:after="120"/>
        <w:rPr>
          <w:rFonts w:ascii="Arial" w:hAnsi="Arial" w:cs="Arial"/>
          <w:b/>
          <w:noProof/>
          <w:lang w:val="es-ES"/>
        </w:rPr>
      </w:pPr>
      <w:r w:rsidRPr="00993936">
        <w:rPr>
          <w:rFonts w:ascii="Arial" w:hAnsi="Arial" w:cs="Arial"/>
          <w:b/>
          <w:noProof/>
          <w:lang w:val="es-ES"/>
        </w:rPr>
        <w:br w:type="page"/>
      </w:r>
      <w:r w:rsidRPr="00993936">
        <w:rPr>
          <w:rFonts w:ascii="Arial" w:hAnsi="Arial" w:cs="Arial"/>
          <w:b/>
          <w:noProof/>
          <w:lang w:val="es-ES"/>
        </w:rPr>
        <w:lastRenderedPageBreak/>
        <w:t>2.3. Criterios o umbrales de intervención para plagas y enfermedades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8"/>
        <w:gridCol w:w="5244"/>
      </w:tblGrid>
      <w:tr w:rsidR="00202B3A" w:rsidRPr="00993936" w:rsidTr="001D205D">
        <w:trPr>
          <w:cantSplit/>
          <w:trHeight w:val="464"/>
          <w:tblHeader/>
        </w:trPr>
        <w:tc>
          <w:tcPr>
            <w:tcW w:w="3828" w:type="dxa"/>
            <w:tcBorders>
              <w:bottom w:val="nil"/>
            </w:tcBorders>
            <w:shd w:val="pct12" w:color="auto" w:fill="FFFFFF"/>
            <w:vAlign w:val="center"/>
          </w:tcPr>
          <w:p w:rsidR="00202B3A" w:rsidRPr="00993936" w:rsidRDefault="00202B3A" w:rsidP="003C0F94">
            <w:pPr>
              <w:pStyle w:val="Sinespaciado"/>
              <w:jc w:val="center"/>
              <w:rPr>
                <w:rFonts w:ascii="Arial" w:hAnsi="Arial" w:cs="Arial"/>
                <w:b/>
                <w:noProof/>
                <w:sz w:val="20"/>
                <w:szCs w:val="20"/>
                <w:lang w:val="es-ES"/>
              </w:rPr>
            </w:pPr>
            <w:r w:rsidRPr="00993936">
              <w:rPr>
                <w:rFonts w:ascii="Arial" w:hAnsi="Arial" w:cs="Arial"/>
                <w:b/>
                <w:noProof/>
                <w:sz w:val="20"/>
                <w:szCs w:val="20"/>
                <w:lang w:val="es-ES"/>
              </w:rPr>
              <w:t>Parásito</w:t>
            </w:r>
          </w:p>
        </w:tc>
        <w:tc>
          <w:tcPr>
            <w:tcW w:w="5244" w:type="dxa"/>
            <w:tcBorders>
              <w:bottom w:val="nil"/>
            </w:tcBorders>
            <w:shd w:val="pct12" w:color="auto" w:fill="FFFFFF"/>
            <w:vAlign w:val="center"/>
          </w:tcPr>
          <w:p w:rsidR="00202B3A" w:rsidRPr="00993936" w:rsidRDefault="00202B3A" w:rsidP="003C0F94">
            <w:pPr>
              <w:pStyle w:val="Sinespaciado"/>
              <w:jc w:val="center"/>
              <w:rPr>
                <w:rFonts w:ascii="Arial" w:hAnsi="Arial" w:cs="Arial"/>
                <w:b/>
                <w:noProof/>
                <w:sz w:val="20"/>
                <w:szCs w:val="20"/>
                <w:lang w:val="es-ES"/>
              </w:rPr>
            </w:pPr>
            <w:r w:rsidRPr="00993936">
              <w:rPr>
                <w:rFonts w:ascii="Arial" w:hAnsi="Arial" w:cs="Arial"/>
                <w:b/>
                <w:noProof/>
                <w:sz w:val="20"/>
                <w:szCs w:val="20"/>
                <w:lang w:val="es-ES"/>
              </w:rPr>
              <w:t>Criterio o umbral de intervención</w:t>
            </w:r>
          </w:p>
        </w:tc>
      </w:tr>
      <w:tr w:rsidR="00202B3A" w:rsidRPr="00993936" w:rsidTr="001D205D">
        <w:trPr>
          <w:cantSplit/>
          <w:trHeight w:val="348"/>
        </w:trPr>
        <w:tc>
          <w:tcPr>
            <w:tcW w:w="9072" w:type="dxa"/>
            <w:gridSpan w:val="2"/>
            <w:shd w:val="pct12" w:color="auto" w:fill="FFFFFF"/>
            <w:vAlign w:val="center"/>
          </w:tcPr>
          <w:p w:rsidR="00202B3A" w:rsidRPr="00993936" w:rsidRDefault="00202B3A" w:rsidP="003C0F94">
            <w:pPr>
              <w:pStyle w:val="Sinespaciado"/>
              <w:jc w:val="center"/>
              <w:rPr>
                <w:rFonts w:ascii="Arial" w:hAnsi="Arial" w:cs="Arial"/>
                <w:b/>
                <w:noProof/>
                <w:sz w:val="20"/>
                <w:szCs w:val="20"/>
                <w:lang w:val="es-ES"/>
              </w:rPr>
            </w:pPr>
            <w:r w:rsidRPr="00993936">
              <w:rPr>
                <w:rFonts w:ascii="Arial" w:hAnsi="Arial" w:cs="Arial"/>
                <w:b/>
                <w:noProof/>
                <w:sz w:val="20"/>
                <w:szCs w:val="20"/>
                <w:lang w:val="es-ES"/>
              </w:rPr>
              <w:t>PLAGAS</w:t>
            </w:r>
          </w:p>
        </w:tc>
      </w:tr>
      <w:tr w:rsidR="00202B3A" w:rsidRPr="00993936" w:rsidTr="001D205D">
        <w:trPr>
          <w:cantSplit/>
          <w:trHeight w:val="479"/>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“Aguijonero”, “Garrapatillo”, “Sanpedrito”, Chinches, Barrotes</w:t>
            </w:r>
          </w:p>
          <w:p w:rsidR="00202B3A" w:rsidRPr="00993936" w:rsidRDefault="00202B3A" w:rsidP="003C0F94">
            <w:pPr>
              <w:pStyle w:val="Sinespaciado"/>
              <w:rPr>
                <w:rFonts w:ascii="Arial" w:hAnsi="Arial" w:cs="Arial"/>
                <w:i/>
                <w:noProof/>
                <w:sz w:val="20"/>
                <w:szCs w:val="20"/>
                <w:lang w:val="es-ES"/>
              </w:rPr>
            </w:pPr>
            <w:r w:rsidRPr="00993936">
              <w:rPr>
                <w:rFonts w:ascii="Arial" w:hAnsi="Arial" w:cs="Arial"/>
                <w:i/>
                <w:noProof/>
                <w:sz w:val="20"/>
                <w:szCs w:val="20"/>
                <w:lang w:val="es-ES"/>
              </w:rPr>
              <w:t>Aelia sp, Eurigaster sp.</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Según prescripción técnica</w:t>
            </w:r>
          </w:p>
        </w:tc>
      </w:tr>
      <w:tr w:rsidR="00202B3A" w:rsidRPr="00993936" w:rsidTr="001D205D">
        <w:trPr>
          <w:cantSplit/>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Araña roja</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Panonychus ulmi</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Según prescripción técnica</w:t>
            </w:r>
          </w:p>
        </w:tc>
      </w:tr>
      <w:tr w:rsidR="00202B3A" w:rsidRPr="00993936" w:rsidTr="001D205D">
        <w:trPr>
          <w:cantSplit/>
          <w:trHeight w:val="136"/>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Cefus</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Cephus pigmaeus</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Según prescripción técnica</w:t>
            </w:r>
          </w:p>
        </w:tc>
      </w:tr>
      <w:tr w:rsidR="00202B3A" w:rsidRPr="00993936" w:rsidTr="001D205D">
        <w:trPr>
          <w:cantSplit/>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Mosquito</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Mayetiola destructor</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10% de plantas de la muestra con presencia</w:t>
            </w:r>
          </w:p>
        </w:tc>
      </w:tr>
      <w:tr w:rsidR="00202B3A" w:rsidRPr="00993936" w:rsidTr="001D205D">
        <w:trPr>
          <w:cantSplit/>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Nefàsia</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Cnephasia pumicana</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30 larvas/m</w:t>
            </w:r>
            <w:r w:rsidRPr="00993936">
              <w:rPr>
                <w:rFonts w:ascii="Arial" w:hAnsi="Arial" w:cs="Arial"/>
                <w:noProof/>
                <w:sz w:val="20"/>
                <w:szCs w:val="20"/>
                <w:vertAlign w:val="superscript"/>
                <w:lang w:val="es-ES"/>
              </w:rPr>
              <w:t>2</w:t>
            </w:r>
            <w:r w:rsidRPr="00993936">
              <w:rPr>
                <w:rFonts w:ascii="Arial" w:hAnsi="Arial" w:cs="Arial"/>
                <w:noProof/>
                <w:sz w:val="20"/>
                <w:szCs w:val="20"/>
                <w:lang w:val="es-ES"/>
              </w:rPr>
              <w:t xml:space="preserve"> en parcela de cultivo</w:t>
            </w:r>
          </w:p>
        </w:tc>
      </w:tr>
      <w:tr w:rsidR="00202B3A" w:rsidRPr="00993936" w:rsidTr="001D205D">
        <w:trPr>
          <w:cantSplit/>
          <w:trHeight w:val="519"/>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Pulgones</w:t>
            </w:r>
          </w:p>
          <w:p w:rsidR="00202B3A" w:rsidRPr="00993936" w:rsidRDefault="00202B3A" w:rsidP="003C0F94">
            <w:pPr>
              <w:pStyle w:val="Sinespaciado"/>
              <w:rPr>
                <w:rFonts w:ascii="Arial" w:hAnsi="Arial" w:cs="Arial"/>
                <w:i/>
                <w:noProof/>
                <w:sz w:val="20"/>
                <w:szCs w:val="20"/>
                <w:lang w:val="es-ES"/>
              </w:rPr>
            </w:pPr>
            <w:r w:rsidRPr="00993936">
              <w:rPr>
                <w:rFonts w:ascii="Arial" w:hAnsi="Arial" w:cs="Arial"/>
                <w:i/>
                <w:noProof/>
                <w:sz w:val="20"/>
                <w:szCs w:val="20"/>
                <w:lang w:val="es-ES"/>
              </w:rPr>
              <w:t>Sitobium avenae,</w:t>
            </w:r>
          </w:p>
          <w:p w:rsidR="00202B3A" w:rsidRPr="00993936" w:rsidRDefault="00202B3A" w:rsidP="003C0F94">
            <w:pPr>
              <w:pStyle w:val="Sinespaciado"/>
              <w:rPr>
                <w:rFonts w:ascii="Arial" w:hAnsi="Arial" w:cs="Arial"/>
                <w:i/>
                <w:noProof/>
                <w:sz w:val="20"/>
                <w:szCs w:val="20"/>
                <w:lang w:val="es-ES"/>
              </w:rPr>
            </w:pPr>
            <w:r w:rsidRPr="00993936">
              <w:rPr>
                <w:rFonts w:ascii="Arial" w:hAnsi="Arial" w:cs="Arial"/>
                <w:i/>
                <w:noProof/>
                <w:sz w:val="20"/>
                <w:szCs w:val="20"/>
                <w:lang w:val="es-ES"/>
              </w:rPr>
              <w:t>Rhopalosiphum padi</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10% de plantas de la muestra con presencia</w:t>
            </w:r>
          </w:p>
        </w:tc>
      </w:tr>
      <w:tr w:rsidR="00202B3A" w:rsidRPr="00993936" w:rsidTr="001D205D">
        <w:trPr>
          <w:cantSplit/>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Trachelus</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Trachelus tabidus</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Según prescripción técnica</w:t>
            </w:r>
          </w:p>
        </w:tc>
      </w:tr>
      <w:tr w:rsidR="00202B3A" w:rsidRPr="00993936" w:rsidTr="001D205D">
        <w:trPr>
          <w:cantSplit/>
          <w:trHeight w:val="479"/>
        </w:trPr>
        <w:tc>
          <w:tcPr>
            <w:tcW w:w="3828" w:type="dxa"/>
            <w:tcBorders>
              <w:bottom w:val="nil"/>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Zabrus</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Zabrus tenebrioides</w:t>
            </w:r>
          </w:p>
        </w:tc>
        <w:tc>
          <w:tcPr>
            <w:tcW w:w="5244" w:type="dxa"/>
            <w:tcBorders>
              <w:bottom w:val="nil"/>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10% plantas de la muestra con daños o bien 10 plantes/m</w:t>
            </w:r>
            <w:r w:rsidRPr="00993936">
              <w:rPr>
                <w:rFonts w:ascii="Arial" w:hAnsi="Arial" w:cs="Arial"/>
                <w:noProof/>
                <w:sz w:val="20"/>
                <w:szCs w:val="20"/>
                <w:vertAlign w:val="superscript"/>
                <w:lang w:val="es-ES"/>
              </w:rPr>
              <w:t xml:space="preserve">2 </w:t>
            </w:r>
            <w:r w:rsidRPr="00993936">
              <w:rPr>
                <w:rFonts w:ascii="Arial" w:hAnsi="Arial" w:cs="Arial"/>
                <w:noProof/>
                <w:sz w:val="20"/>
                <w:szCs w:val="20"/>
                <w:lang w:val="es-ES"/>
              </w:rPr>
              <w:t>afectadas por daños</w:t>
            </w:r>
          </w:p>
        </w:tc>
      </w:tr>
      <w:tr w:rsidR="00202B3A" w:rsidRPr="00993936" w:rsidTr="001D205D">
        <w:trPr>
          <w:cantSplit/>
          <w:trHeight w:val="357"/>
        </w:trPr>
        <w:tc>
          <w:tcPr>
            <w:tcW w:w="9072" w:type="dxa"/>
            <w:gridSpan w:val="2"/>
            <w:shd w:val="pct12" w:color="auto" w:fill="FFFFFF"/>
            <w:vAlign w:val="center"/>
          </w:tcPr>
          <w:p w:rsidR="00202B3A" w:rsidRPr="00993936" w:rsidRDefault="00202B3A" w:rsidP="003C0F94">
            <w:pPr>
              <w:pStyle w:val="Sinespaciado"/>
              <w:jc w:val="center"/>
              <w:rPr>
                <w:rFonts w:ascii="Arial" w:hAnsi="Arial" w:cs="Arial"/>
                <w:b/>
                <w:noProof/>
                <w:sz w:val="20"/>
                <w:szCs w:val="20"/>
                <w:lang w:val="es-ES"/>
              </w:rPr>
            </w:pPr>
            <w:r w:rsidRPr="00993936">
              <w:rPr>
                <w:rFonts w:ascii="Arial" w:hAnsi="Arial" w:cs="Arial"/>
                <w:b/>
                <w:noProof/>
                <w:sz w:val="20"/>
                <w:szCs w:val="20"/>
                <w:lang w:val="es-ES"/>
              </w:rPr>
              <w:t>ENFERMEDADES</w:t>
            </w:r>
          </w:p>
        </w:tc>
      </w:tr>
      <w:tr w:rsidR="00202B3A" w:rsidRPr="00993936" w:rsidTr="001D205D">
        <w:trPr>
          <w:cantSplit/>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Carbón vestido</w:t>
            </w:r>
          </w:p>
          <w:p w:rsidR="00202B3A" w:rsidRPr="00993936" w:rsidRDefault="00202B3A" w:rsidP="003C0F94">
            <w:pPr>
              <w:pStyle w:val="Sinespaciado"/>
              <w:rPr>
                <w:rFonts w:ascii="Arial" w:hAnsi="Arial" w:cs="Arial"/>
                <w:i/>
                <w:noProof/>
                <w:sz w:val="20"/>
                <w:szCs w:val="20"/>
                <w:lang w:val="es-ES"/>
              </w:rPr>
            </w:pPr>
            <w:r w:rsidRPr="00993936">
              <w:rPr>
                <w:rFonts w:ascii="Arial" w:hAnsi="Arial" w:cs="Arial"/>
                <w:i/>
                <w:noProof/>
                <w:sz w:val="20"/>
                <w:szCs w:val="20"/>
                <w:lang w:val="es-ES"/>
              </w:rPr>
              <w:t>Ustilago sp.</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10 plantas / ha, tratamiento en la semilla ciclo siguiente</w:t>
            </w:r>
          </w:p>
        </w:tc>
      </w:tr>
      <w:tr w:rsidR="00202B3A" w:rsidRPr="00993936" w:rsidTr="001D205D">
        <w:trPr>
          <w:cantSplit/>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Carbón desnudo</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Ustilago nuda</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10 plantas / ha, tratamiento en la semilla ciclo siguiente</w:t>
            </w:r>
          </w:p>
        </w:tc>
      </w:tr>
      <w:tr w:rsidR="00202B3A" w:rsidRPr="00993936" w:rsidTr="001D205D">
        <w:trPr>
          <w:cantSplit/>
          <w:trHeight w:val="479"/>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Caries</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Tilletia caries</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10 plantas / ha, tratamiento en la semilla ciclo siguiente</w:t>
            </w:r>
          </w:p>
        </w:tc>
      </w:tr>
      <w:tr w:rsidR="00202B3A" w:rsidRPr="00993936" w:rsidTr="001D205D">
        <w:trPr>
          <w:cantSplit/>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Cercosporiosi</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Cercospora apii</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Según prescripción técnica</w:t>
            </w:r>
          </w:p>
        </w:tc>
      </w:tr>
      <w:tr w:rsidR="00202B3A" w:rsidRPr="00993936" w:rsidTr="001D205D">
        <w:trPr>
          <w:cantSplit/>
          <w:trHeight w:val="454"/>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Fusariosis</w:t>
            </w:r>
          </w:p>
          <w:p w:rsidR="00202B3A" w:rsidRPr="00993936" w:rsidRDefault="00202B3A" w:rsidP="003C0F94">
            <w:pPr>
              <w:pStyle w:val="Sinespaciado"/>
              <w:rPr>
                <w:rFonts w:ascii="Arial" w:hAnsi="Arial" w:cs="Arial"/>
                <w:i/>
                <w:noProof/>
                <w:sz w:val="20"/>
                <w:szCs w:val="20"/>
                <w:lang w:val="es-ES"/>
              </w:rPr>
            </w:pPr>
            <w:r w:rsidRPr="00993936">
              <w:rPr>
                <w:rFonts w:ascii="Arial" w:hAnsi="Arial" w:cs="Arial"/>
                <w:i/>
                <w:noProof/>
                <w:sz w:val="20"/>
                <w:szCs w:val="20"/>
                <w:lang w:val="es-ES"/>
              </w:rPr>
              <w:t>Fusarium spp.</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Presencia de rodales con síntomas o bien 20% de las plantas de la muestra con síntomas en la zona del pie</w:t>
            </w:r>
          </w:p>
        </w:tc>
      </w:tr>
      <w:tr w:rsidR="00202B3A" w:rsidRPr="00993936" w:rsidTr="001D205D">
        <w:trPr>
          <w:cantSplit/>
          <w:trHeight w:val="716"/>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Helminthosporiosi</w:t>
            </w:r>
          </w:p>
          <w:p w:rsidR="00202B3A" w:rsidRPr="00993936" w:rsidRDefault="00202B3A" w:rsidP="003C0F94">
            <w:pPr>
              <w:pStyle w:val="Sinespaciado"/>
              <w:rPr>
                <w:rFonts w:ascii="Arial" w:hAnsi="Arial" w:cs="Arial"/>
                <w:i/>
                <w:noProof/>
                <w:sz w:val="20"/>
                <w:szCs w:val="20"/>
                <w:lang w:val="es-ES"/>
              </w:rPr>
            </w:pPr>
            <w:r w:rsidRPr="00993936">
              <w:rPr>
                <w:rFonts w:ascii="Arial" w:hAnsi="Arial" w:cs="Arial"/>
                <w:i/>
                <w:noProof/>
                <w:sz w:val="20"/>
                <w:szCs w:val="20"/>
                <w:lang w:val="es-ES"/>
              </w:rPr>
              <w:t>Drechslera teres,</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Bipolaris sorokiniana</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A partir del momento de enchufado, de 5% a 10% de severidad de enfermedad en hoja</w:t>
            </w:r>
          </w:p>
        </w:tc>
      </w:tr>
      <w:tr w:rsidR="00202B3A" w:rsidRPr="00993936" w:rsidTr="001D205D">
        <w:trPr>
          <w:cantSplit/>
          <w:trHeight w:val="541"/>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Mal de pie</w:t>
            </w:r>
          </w:p>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Varias especies</w:t>
            </w:r>
            <w:r w:rsidRPr="00993936">
              <w:rPr>
                <w:rFonts w:ascii="Arial" w:hAnsi="Arial" w:cs="Arial"/>
                <w:noProof/>
                <w:vanish/>
                <w:sz w:val="20"/>
                <w:szCs w:val="20"/>
                <w:lang w:val="es-ES"/>
              </w:rPr>
              <w:t>&lt;A[especies|especias]&gt;</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Presencia de rodales con síntomas o bien 20% de las plantas de la muestra con síntomas en la zona del pie</w:t>
            </w:r>
          </w:p>
        </w:tc>
      </w:tr>
      <w:tr w:rsidR="00202B3A" w:rsidRPr="00993936" w:rsidTr="001D205D">
        <w:trPr>
          <w:cantSplit/>
          <w:trHeight w:val="422"/>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Ceniza</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Blumeria gramines</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A partir del momento de enchufado, de 3% a 5% de severidad de enfermedad en hoja</w:t>
            </w:r>
          </w:p>
        </w:tc>
      </w:tr>
      <w:tr w:rsidR="00202B3A" w:rsidRPr="00993936" w:rsidTr="001D205D">
        <w:trPr>
          <w:cantSplit/>
          <w:trHeight w:val="542"/>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Rincosporiosi</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 xml:space="preserve">Rynchosporium secalis </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A partir del momento de enchufado, de 1% a 3% de severidad de enfermedad en hoja</w:t>
            </w:r>
          </w:p>
        </w:tc>
      </w:tr>
      <w:tr w:rsidR="00202B3A" w:rsidRPr="00993936" w:rsidTr="001D205D">
        <w:trPr>
          <w:cantSplit/>
          <w:trHeight w:val="422"/>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Royas</w:t>
            </w:r>
            <w:r w:rsidRPr="00993936">
              <w:rPr>
                <w:rFonts w:ascii="Arial" w:hAnsi="Arial" w:cs="Arial"/>
                <w:noProof/>
                <w:vanish/>
                <w:sz w:val="20"/>
                <w:szCs w:val="20"/>
                <w:lang w:val="es-ES"/>
              </w:rPr>
              <w:t>&lt;A[Óxidos|Yemas]&gt;</w:t>
            </w:r>
          </w:p>
          <w:p w:rsidR="00202B3A" w:rsidRPr="00993936" w:rsidRDefault="00202B3A" w:rsidP="003C0F94">
            <w:pPr>
              <w:pStyle w:val="Sinespaciado"/>
              <w:rPr>
                <w:rFonts w:ascii="Arial" w:hAnsi="Arial" w:cs="Arial"/>
                <w:i/>
                <w:noProof/>
                <w:sz w:val="20"/>
                <w:szCs w:val="20"/>
                <w:lang w:val="es-ES"/>
              </w:rPr>
            </w:pPr>
            <w:r w:rsidRPr="00993936">
              <w:rPr>
                <w:rFonts w:ascii="Arial" w:hAnsi="Arial" w:cs="Arial"/>
                <w:i/>
                <w:noProof/>
                <w:sz w:val="20"/>
                <w:szCs w:val="20"/>
                <w:lang w:val="es-ES"/>
              </w:rPr>
              <w:t>Puccinia spp.</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A partir del momento de enchufado, de 1% a 3% de severidad de enfermedad en hoja</w:t>
            </w:r>
          </w:p>
        </w:tc>
      </w:tr>
      <w:tr w:rsidR="00202B3A" w:rsidRPr="00993936" w:rsidTr="001D205D">
        <w:trPr>
          <w:cantSplit/>
          <w:trHeight w:val="580"/>
        </w:trPr>
        <w:tc>
          <w:tcPr>
            <w:tcW w:w="3828"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Septoriosi</w:t>
            </w:r>
          </w:p>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Septoria tritíceo</w:t>
            </w:r>
          </w:p>
          <w:p w:rsidR="00202B3A" w:rsidRPr="00993936" w:rsidRDefault="00202B3A" w:rsidP="003C0F94">
            <w:pPr>
              <w:pStyle w:val="Sinespaciado"/>
              <w:rPr>
                <w:rFonts w:ascii="Arial" w:hAnsi="Arial" w:cs="Arial"/>
                <w:i/>
                <w:noProof/>
                <w:sz w:val="20"/>
                <w:szCs w:val="20"/>
              </w:rPr>
            </w:pPr>
            <w:r w:rsidRPr="00993936">
              <w:rPr>
                <w:rFonts w:ascii="Arial" w:hAnsi="Arial" w:cs="Arial"/>
                <w:i/>
                <w:noProof/>
                <w:sz w:val="20"/>
                <w:szCs w:val="20"/>
              </w:rPr>
              <w:t>Septoria nodorum</w:t>
            </w:r>
          </w:p>
        </w:tc>
        <w:tc>
          <w:tcPr>
            <w:tcW w:w="5244" w:type="dxa"/>
            <w:vAlign w:val="center"/>
          </w:tcPr>
          <w:p w:rsidR="00202B3A" w:rsidRPr="00993936" w:rsidRDefault="00202B3A" w:rsidP="003C0F94">
            <w:pPr>
              <w:pStyle w:val="Sinespaciado"/>
              <w:rPr>
                <w:rFonts w:ascii="Arial" w:hAnsi="Arial" w:cs="Arial"/>
                <w:noProof/>
                <w:sz w:val="20"/>
                <w:szCs w:val="20"/>
                <w:lang w:val="es-ES"/>
              </w:rPr>
            </w:pPr>
            <w:r w:rsidRPr="00993936">
              <w:rPr>
                <w:rFonts w:ascii="Arial" w:hAnsi="Arial" w:cs="Arial"/>
                <w:noProof/>
                <w:sz w:val="20"/>
                <w:szCs w:val="20"/>
                <w:lang w:val="es-ES"/>
              </w:rPr>
              <w:t>A partir del momento de enchufado, el 3% de severidad en hoja si ha habido lluvia o se prevén lluvias o bien si es riego por aspersión</w:t>
            </w:r>
          </w:p>
        </w:tc>
      </w:tr>
      <w:tr w:rsidR="00202B3A" w:rsidRPr="00993936" w:rsidTr="001D205D">
        <w:trPr>
          <w:cantSplit/>
          <w:trHeight w:val="580"/>
        </w:trPr>
        <w:tc>
          <w:tcPr>
            <w:tcW w:w="3828" w:type="dxa"/>
            <w:vAlign w:val="center"/>
          </w:tcPr>
          <w:p w:rsidR="00202B3A" w:rsidRPr="00993936" w:rsidRDefault="00202B3A" w:rsidP="003C0F94">
            <w:pPr>
              <w:pStyle w:val="Sinespaciado"/>
              <w:rPr>
                <w:rFonts w:ascii="Arial" w:hAnsi="Arial" w:cs="Arial"/>
                <w:sz w:val="20"/>
                <w:szCs w:val="20"/>
              </w:rPr>
            </w:pPr>
            <w:r w:rsidRPr="00993936">
              <w:rPr>
                <w:rFonts w:ascii="Arial" w:hAnsi="Arial" w:cs="Arial"/>
                <w:sz w:val="20"/>
                <w:szCs w:val="20"/>
              </w:rPr>
              <w:t>Otras plagas o enfermedades</w:t>
            </w:r>
          </w:p>
        </w:tc>
        <w:tc>
          <w:tcPr>
            <w:tcW w:w="5244" w:type="dxa"/>
            <w:tcBorders>
              <w:bottom w:val="single" w:sz="4" w:space="0" w:color="auto"/>
            </w:tcBorders>
            <w:vAlign w:val="center"/>
          </w:tcPr>
          <w:p w:rsidR="00202B3A" w:rsidRPr="00993936" w:rsidRDefault="00202B3A" w:rsidP="003C0F94">
            <w:pPr>
              <w:pStyle w:val="Sinespaciado"/>
              <w:rPr>
                <w:rFonts w:ascii="Arial" w:hAnsi="Arial" w:cs="Arial"/>
                <w:sz w:val="20"/>
                <w:szCs w:val="20"/>
              </w:rPr>
            </w:pPr>
            <w:r w:rsidRPr="00993936">
              <w:rPr>
                <w:rFonts w:ascii="Arial" w:hAnsi="Arial" w:cs="Arial"/>
                <w:sz w:val="20"/>
                <w:szCs w:val="20"/>
              </w:rPr>
              <w:t>Según prescripción técnica</w:t>
            </w:r>
          </w:p>
        </w:tc>
      </w:tr>
    </w:tbl>
    <w:p w:rsidR="00202B3A" w:rsidRPr="00993936" w:rsidRDefault="00202B3A" w:rsidP="001D205D">
      <w:pPr>
        <w:pStyle w:val="Textoindependiente2"/>
        <w:jc w:val="both"/>
        <w:rPr>
          <w:rFonts w:cs="Arial"/>
          <w:noProof/>
          <w:sz w:val="22"/>
          <w:szCs w:val="22"/>
          <w:lang w:val="es-ES"/>
        </w:rPr>
      </w:pPr>
      <w:r w:rsidRPr="00993936">
        <w:rPr>
          <w:rFonts w:cs="Arial"/>
          <w:noProof/>
          <w:sz w:val="22"/>
          <w:szCs w:val="22"/>
          <w:lang w:val="es-ES"/>
        </w:rPr>
        <w:t>Nota: Los umbrales se definen por observaciones a partir de un momento o fenología, y sirven hasta el estado de grano lechoso o pastoso. En tratamientos en la semilla, utilizad los productos autorizados para tal fin.</w:t>
      </w:r>
    </w:p>
    <w:p w:rsidR="00202B3A" w:rsidRPr="00993936" w:rsidRDefault="00202B3A" w:rsidP="001D205D">
      <w:pPr>
        <w:autoSpaceDE w:val="0"/>
        <w:autoSpaceDN w:val="0"/>
        <w:adjustRightInd w:val="0"/>
        <w:jc w:val="both"/>
        <w:rPr>
          <w:rFonts w:ascii="Arial" w:hAnsi="Arial" w:cs="Arial"/>
          <w:b/>
          <w:noProof/>
          <w:lang w:val="es-ES"/>
        </w:rPr>
      </w:pPr>
      <w:r w:rsidRPr="00993936">
        <w:rPr>
          <w:rFonts w:ascii="Arial" w:hAnsi="Arial" w:cs="Arial"/>
          <w:b/>
          <w:noProof/>
          <w:lang w:val="es-ES"/>
        </w:rPr>
        <w:lastRenderedPageBreak/>
        <w:t>2.4. Escalas</w:t>
      </w:r>
      <w:r w:rsidRPr="00993936">
        <w:rPr>
          <w:rFonts w:ascii="Arial" w:hAnsi="Arial" w:cs="Arial"/>
          <w:b/>
          <w:noProof/>
          <w:vanish/>
          <w:lang w:val="es-ES"/>
        </w:rPr>
        <w:t>&lt;A[Escaleras|Escalas]&gt;</w:t>
      </w:r>
      <w:r w:rsidRPr="00993936">
        <w:rPr>
          <w:rFonts w:ascii="Arial" w:hAnsi="Arial" w:cs="Arial"/>
          <w:b/>
          <w:noProof/>
          <w:lang w:val="es-ES"/>
        </w:rPr>
        <w:t xml:space="preserve"> de severidad (intensidad de enfermedad en hoja) definidas según la cantidad de enfermedad estimada en porcentaje sobre el órgano afectado (hoja o espiga):</w:t>
      </w:r>
    </w:p>
    <w:p w:rsidR="00202B3A" w:rsidRPr="00993936" w:rsidRDefault="00202B3A" w:rsidP="001D205D">
      <w:pPr>
        <w:pStyle w:val="Ttulo6"/>
        <w:rPr>
          <w:rFonts w:ascii="Arial" w:hAnsi="Arial" w:cs="Arial"/>
          <w:noProof/>
          <w:color w:val="auto"/>
          <w:lang w:val="es-ES"/>
        </w:rPr>
      </w:pPr>
      <w:r w:rsidRPr="00993936">
        <w:rPr>
          <w:rFonts w:ascii="Arial" w:hAnsi="Arial" w:cs="Arial"/>
          <w:noProof/>
          <w:color w:val="auto"/>
          <w:lang w:val="es-ES"/>
        </w:rPr>
        <w:t xml:space="preserve">          Rincosporiosis</w:t>
      </w:r>
      <w:r w:rsidRPr="00993936">
        <w:rPr>
          <w:rFonts w:ascii="Arial" w:hAnsi="Arial" w:cs="Arial"/>
          <w:noProof/>
          <w:color w:val="auto"/>
          <w:lang w:val="es-ES"/>
        </w:rPr>
        <w:tab/>
      </w:r>
      <w:r w:rsidRPr="00993936">
        <w:rPr>
          <w:rFonts w:ascii="Arial" w:hAnsi="Arial" w:cs="Arial"/>
          <w:noProof/>
          <w:color w:val="auto"/>
          <w:lang w:val="es-ES"/>
        </w:rPr>
        <w:tab/>
      </w:r>
      <w:r w:rsidRPr="00993936">
        <w:rPr>
          <w:rFonts w:ascii="Arial" w:hAnsi="Arial" w:cs="Arial"/>
          <w:noProof/>
          <w:color w:val="auto"/>
          <w:lang w:val="es-ES"/>
        </w:rPr>
        <w:tab/>
        <w:t xml:space="preserve">                                           Septoriosis</w:t>
      </w:r>
    </w:p>
    <w:p w:rsidR="00202B3A" w:rsidRPr="00993936" w:rsidRDefault="00202B3A" w:rsidP="001D205D">
      <w:pPr>
        <w:autoSpaceDE w:val="0"/>
        <w:autoSpaceDN w:val="0"/>
        <w:adjustRightInd w:val="0"/>
        <w:rPr>
          <w:rFonts w:ascii="Arial" w:hAnsi="Arial" w:cs="Arial"/>
          <w:noProof/>
          <w:lang w:val="es-ES"/>
        </w:rPr>
      </w:pPr>
      <w:r w:rsidRPr="00993936">
        <w:rPr>
          <w:rFonts w:ascii="Arial" w:hAnsi="Arial" w:cs="Arial"/>
          <w:noProof/>
          <w:lang w:val="es-ES" w:eastAsia="es-ES"/>
        </w:rPr>
        <mc:AlternateContent>
          <mc:Choice Requires="wpg">
            <w:drawing>
              <wp:anchor distT="0" distB="0" distL="114300" distR="114300" simplePos="0" relativeHeight="251891712" behindDoc="0" locked="0" layoutInCell="1" allowOverlap="1">
                <wp:simplePos x="0" y="0"/>
                <wp:positionH relativeFrom="column">
                  <wp:posOffset>-77470</wp:posOffset>
                </wp:positionH>
                <wp:positionV relativeFrom="paragraph">
                  <wp:posOffset>6985</wp:posOffset>
                </wp:positionV>
                <wp:extent cx="5989320" cy="3276600"/>
                <wp:effectExtent l="0" t="0" r="0" b="0"/>
                <wp:wrapNone/>
                <wp:docPr id="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3276600"/>
                          <a:chOff x="1440" y="7776"/>
                          <a:chExt cx="9432" cy="5160"/>
                        </a:xfrm>
                      </wpg:grpSpPr>
                      <pic:pic xmlns:pic="http://schemas.openxmlformats.org/drawingml/2006/picture">
                        <pic:nvPicPr>
                          <pic:cNvPr id="8"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440" y="7776"/>
                            <a:ext cx="3000" cy="5160"/>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9"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752" y="7776"/>
                            <a:ext cx="6120" cy="5160"/>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82FA457" id="Group 30" o:spid="_x0000_s1026" style="position:absolute;margin-left:-6.1pt;margin-top:.55pt;width:471.6pt;height:258pt;z-index:251891712" coordorigin="1440,7776" coordsize="9432,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1440;top:7776;width:3000;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" fillcolor="#0c9" stroked="t" strokecolor="maroon">
                  <v:imagedata r:id="rId13" o:title=""/>
                </v:shape>
                <v:shape id="Picture 32" o:spid="_x0000_s1028" type="#_x0000_t75" style="position:absolute;left:4752;top:7776;width:6120;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" fillcolor="#0c9" stroked="t" strokecolor="maroon">
                  <v:imagedata r:id="rId14" o:title=""/>
                </v:shape>
              </v:group>
            </w:pict>
          </mc:Fallback>
        </mc:AlternateContent>
      </w: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r w:rsidRPr="00993936">
        <w:rPr>
          <w:rFonts w:ascii="Arial" w:hAnsi="Arial" w:cs="Arial"/>
          <w:b/>
          <w:noProof/>
          <w:lang w:val="es-ES"/>
        </w:rPr>
        <w:t xml:space="preserve">     Helminthosporiosis</w:t>
      </w:r>
      <w:r w:rsidRPr="00993936">
        <w:rPr>
          <w:rFonts w:ascii="Arial" w:hAnsi="Arial" w:cs="Arial"/>
          <w:noProof/>
          <w:lang w:val="es-ES"/>
        </w:rPr>
        <w:tab/>
      </w:r>
      <w:r w:rsidRPr="00993936">
        <w:rPr>
          <w:rFonts w:ascii="Arial" w:hAnsi="Arial" w:cs="Arial"/>
          <w:noProof/>
          <w:lang w:val="es-ES"/>
        </w:rPr>
        <w:tab/>
      </w:r>
      <w:r w:rsidRPr="00993936">
        <w:rPr>
          <w:rFonts w:ascii="Arial" w:hAnsi="Arial" w:cs="Arial"/>
          <w:noProof/>
          <w:lang w:val="es-ES"/>
        </w:rPr>
        <w:tab/>
        <w:t xml:space="preserve">    </w:t>
      </w:r>
      <w:r w:rsidRPr="00993936">
        <w:rPr>
          <w:rFonts w:ascii="Arial" w:hAnsi="Arial" w:cs="Arial"/>
          <w:b/>
          <w:noProof/>
          <w:lang w:val="es-ES"/>
        </w:rPr>
        <w:t>Oidio (izquierda) y Roya</w:t>
      </w:r>
      <w:r w:rsidRPr="00993936">
        <w:rPr>
          <w:rFonts w:ascii="Arial" w:hAnsi="Arial" w:cs="Arial"/>
          <w:b/>
          <w:noProof/>
          <w:vanish/>
          <w:lang w:val="es-ES"/>
        </w:rPr>
        <w:t>&lt;A[óxido|yema]&gt;</w:t>
      </w:r>
      <w:r w:rsidRPr="00993936">
        <w:rPr>
          <w:rFonts w:ascii="Arial" w:hAnsi="Arial" w:cs="Arial"/>
          <w:b/>
          <w:noProof/>
          <w:lang w:val="es-ES"/>
        </w:rPr>
        <w:t xml:space="preserve"> (derecha)</w:t>
      </w:r>
    </w:p>
    <w:p w:rsidR="00202B3A" w:rsidRPr="00993936" w:rsidRDefault="00202B3A" w:rsidP="001D205D">
      <w:pPr>
        <w:autoSpaceDE w:val="0"/>
        <w:autoSpaceDN w:val="0"/>
        <w:adjustRightInd w:val="0"/>
        <w:rPr>
          <w:rFonts w:ascii="Arial" w:hAnsi="Arial" w:cs="Arial"/>
          <w:noProof/>
          <w:lang w:val="es-ES"/>
        </w:rPr>
      </w:pPr>
      <w:r w:rsidRPr="00993936">
        <w:rPr>
          <w:rFonts w:ascii="Arial" w:hAnsi="Arial" w:cs="Arial"/>
          <w:b/>
          <w:noProof/>
          <w:lang w:val="es-ES" w:eastAsia="es-ES"/>
        </w:rPr>
        <mc:AlternateContent>
          <mc:Choice Requires="wpg">
            <w:drawing>
              <wp:anchor distT="0" distB="0" distL="114300" distR="114300" simplePos="0" relativeHeight="251892736" behindDoc="0" locked="0" layoutInCell="1" allowOverlap="1">
                <wp:simplePos x="0" y="0"/>
                <wp:positionH relativeFrom="column">
                  <wp:posOffset>-48895</wp:posOffset>
                </wp:positionH>
                <wp:positionV relativeFrom="paragraph">
                  <wp:posOffset>24765</wp:posOffset>
                </wp:positionV>
                <wp:extent cx="5960745" cy="2849245"/>
                <wp:effectExtent l="0" t="0" r="0" b="0"/>
                <wp:wrapNone/>
                <wp:docPr id="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2849245"/>
                          <a:chOff x="1440" y="3312"/>
                          <a:chExt cx="9288" cy="4976"/>
                        </a:xfrm>
                      </wpg:grpSpPr>
                      <pic:pic xmlns:pic="http://schemas.openxmlformats.org/drawingml/2006/picture">
                        <pic:nvPicPr>
                          <pic:cNvPr id="73"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40" y="3312"/>
                            <a:ext cx="3000" cy="4976"/>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74"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08" y="3312"/>
                            <a:ext cx="6120" cy="4976"/>
                          </a:xfrm>
                          <a:prstGeom prst="rect">
                            <a:avLst/>
                          </a:prstGeom>
                          <a:noFill/>
                          <a:ln w="9525">
                            <a:solidFill>
                              <a:srgbClr val="800000"/>
                            </a:solidFill>
                            <a:miter lim="800000"/>
                            <a:headEnd/>
                            <a:tailEnd/>
                          </a:ln>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F7401A6" id="Group 33" o:spid="_x0000_s1026" style="position:absolute;margin-left:-3.85pt;margin-top:1.95pt;width:469.35pt;height:224.35pt;z-index:251892736" coordorigin="1440,3312" coordsize="9288,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">
                <v:shape id="Picture 34" o:spid="_x0000_s1027" type="#_x0000_t75" style="position:absolute;left:1440;top:3312;width:3000;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" fillcolor="#0c9" stroked="t" strokecolor="maroon">
                  <v:imagedata r:id="rId17" o:title=""/>
                </v:shape>
                <v:shape id="Picture 35" o:spid="_x0000_s1028" type="#_x0000_t75" style="position:absolute;left:4608;top:3312;width:6120;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" fillcolor="#0c9" stroked="t" strokecolor="maroon">
                  <v:imagedata r:id="rId18" o:title=""/>
                </v:shape>
              </v:group>
            </w:pict>
          </mc:Fallback>
        </mc:AlternateContent>
      </w: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autoSpaceDE w:val="0"/>
        <w:autoSpaceDN w:val="0"/>
        <w:adjustRightInd w:val="0"/>
        <w:rPr>
          <w:rFonts w:ascii="Arial" w:hAnsi="Arial" w:cs="Arial"/>
          <w:noProof/>
          <w:lang w:val="es-ES"/>
        </w:rPr>
      </w:pPr>
    </w:p>
    <w:p w:rsidR="00202B3A" w:rsidRPr="00993936" w:rsidRDefault="00202B3A" w:rsidP="001D205D">
      <w:pPr>
        <w:jc w:val="both"/>
        <w:rPr>
          <w:rFonts w:ascii="Arial" w:hAnsi="Arial" w:cs="Arial"/>
          <w:noProof/>
          <w:lang w:val="es-ES"/>
        </w:rPr>
      </w:pPr>
      <w:r w:rsidRPr="00993936">
        <w:rPr>
          <w:rFonts w:ascii="Arial" w:hAnsi="Arial" w:cs="Arial"/>
          <w:noProof/>
          <w:lang w:val="es-ES"/>
        </w:rPr>
        <w:t>Nota: Estas escalas son orientativas para realizar las estimaciones de las enfermedades más importantes, pero pueden servir de guía para toda clase de enfermedades que puedan afectar a los cereales.</w:t>
      </w:r>
    </w:p>
    <w:p w:rsidR="00202B3A" w:rsidRPr="00993936" w:rsidRDefault="00202B3A" w:rsidP="001D205D">
      <w:pPr>
        <w:pStyle w:val="Ttulo2"/>
        <w:rPr>
          <w:rFonts w:ascii="Arial" w:hAnsi="Arial" w:cs="Arial"/>
          <w:b/>
          <w:noProof/>
          <w:color w:val="auto"/>
          <w:sz w:val="22"/>
          <w:szCs w:val="22"/>
          <w:lang w:val="es-ES"/>
        </w:rPr>
      </w:pPr>
      <w:r w:rsidRPr="00993936">
        <w:rPr>
          <w:rFonts w:ascii="Arial" w:hAnsi="Arial" w:cs="Arial"/>
          <w:noProof/>
          <w:color w:val="auto"/>
          <w:szCs w:val="22"/>
          <w:lang w:val="es-ES"/>
        </w:rPr>
        <w:br w:type="page"/>
      </w:r>
      <w:r w:rsidRPr="00993936">
        <w:rPr>
          <w:rFonts w:ascii="Arial" w:hAnsi="Arial" w:cs="Arial"/>
          <w:b/>
          <w:noProof/>
          <w:color w:val="auto"/>
          <w:sz w:val="22"/>
          <w:szCs w:val="22"/>
          <w:lang w:val="es-ES"/>
        </w:rPr>
        <w:lastRenderedPageBreak/>
        <w:t>ANEXO 3</w:t>
      </w:r>
    </w:p>
    <w:p w:rsidR="00202B3A" w:rsidRPr="00993936" w:rsidRDefault="00202B3A" w:rsidP="001D205D">
      <w:pPr>
        <w:pStyle w:val="Textoindependiente"/>
        <w:rPr>
          <w:rFonts w:cs="Arial"/>
          <w:b/>
          <w:noProof/>
          <w:szCs w:val="22"/>
          <w:lang w:val="es-ES"/>
        </w:rPr>
      </w:pPr>
    </w:p>
    <w:p w:rsidR="00202B3A" w:rsidRPr="00993936" w:rsidRDefault="00202B3A" w:rsidP="001D205D">
      <w:pPr>
        <w:pStyle w:val="Textoindependiente"/>
        <w:rPr>
          <w:rFonts w:cs="Arial"/>
          <w:b/>
          <w:noProof/>
          <w:szCs w:val="22"/>
          <w:lang w:val="es-ES"/>
        </w:rPr>
      </w:pPr>
      <w:r w:rsidRPr="00993936">
        <w:rPr>
          <w:rFonts w:cs="Arial"/>
          <w:b/>
          <w:noProof/>
          <w:szCs w:val="22"/>
          <w:lang w:val="es-ES"/>
        </w:rPr>
        <w:t>3.1 Lista de metales pesados y valores máximos a aplicar en el suelo</w:t>
      </w:r>
    </w:p>
    <w:p w:rsidR="00202B3A" w:rsidRPr="00993936" w:rsidRDefault="00202B3A" w:rsidP="001D205D">
      <w:pPr>
        <w:jc w:val="both"/>
        <w:rPr>
          <w:rFonts w:ascii="Arial" w:hAnsi="Arial" w:cs="Arial"/>
          <w:noProof/>
          <w:snapToGrid w:val="0"/>
          <w:lang w:val="es-ES"/>
        </w:rPr>
      </w:pPr>
      <w:r w:rsidRPr="00993936">
        <w:rPr>
          <w:rFonts w:ascii="Arial" w:hAnsi="Arial" w:cs="Arial"/>
          <w:noProof/>
          <w:lang w:val="es-ES"/>
        </w:rPr>
        <w:t xml:space="preserve">Los materiales con valor fertilizante aportados en el suelo no tienen que contener metales pesados en valores superiores a los </w:t>
      </w:r>
      <w:r w:rsidRPr="00993936">
        <w:rPr>
          <w:rFonts w:ascii="Arial" w:hAnsi="Arial" w:cs="Arial"/>
          <w:noProof/>
          <w:snapToGrid w:val="0"/>
          <w:lang w:val="es-ES"/>
        </w:rPr>
        <w:t>siguientes:</w:t>
      </w:r>
    </w:p>
    <w:p w:rsidR="00202B3A" w:rsidRPr="00993936" w:rsidRDefault="00202B3A" w:rsidP="001D205D">
      <w:pPr>
        <w:jc w:val="both"/>
        <w:rPr>
          <w:rFonts w:ascii="Arial" w:hAnsi="Arial" w:cs="Arial"/>
          <w:noProof/>
          <w:snapToGrid w:val="0"/>
          <w:lang w:val="es-ES"/>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202B3A" w:rsidRPr="00993936" w:rsidTr="001D205D">
        <w:trPr>
          <w:trHeight w:val="400"/>
          <w:jc w:val="center"/>
        </w:trPr>
        <w:tc>
          <w:tcPr>
            <w:tcW w:w="4548" w:type="dxa"/>
            <w:shd w:val="clear" w:color="auto" w:fill="E7E6E6" w:themeFill="background2"/>
            <w:vAlign w:val="center"/>
          </w:tcPr>
          <w:p w:rsidR="00202B3A" w:rsidRPr="00993936" w:rsidRDefault="00202B3A" w:rsidP="001D205D">
            <w:pPr>
              <w:widowControl w:val="0"/>
              <w:jc w:val="center"/>
              <w:rPr>
                <w:rFonts w:ascii="Arial" w:hAnsi="Arial" w:cs="Arial"/>
                <w:noProof/>
                <w:snapToGrid w:val="0"/>
                <w:lang w:val="es-ES"/>
              </w:rPr>
            </w:pPr>
            <w:r w:rsidRPr="00993936">
              <w:rPr>
                <w:rFonts w:ascii="Arial" w:hAnsi="Arial" w:cs="Arial"/>
                <w:b/>
                <w:noProof/>
                <w:snapToGrid w:val="0"/>
                <w:lang w:val="es-ES"/>
              </w:rPr>
              <w:t>Metal Pesado</w:t>
            </w:r>
          </w:p>
        </w:tc>
        <w:tc>
          <w:tcPr>
            <w:tcW w:w="4464" w:type="dxa"/>
            <w:shd w:val="clear" w:color="auto" w:fill="E7E6E6" w:themeFill="background2"/>
            <w:vAlign w:val="center"/>
          </w:tcPr>
          <w:p w:rsidR="00202B3A" w:rsidRPr="00993936" w:rsidRDefault="00202B3A" w:rsidP="001D205D">
            <w:pPr>
              <w:widowControl w:val="0"/>
              <w:jc w:val="center"/>
              <w:rPr>
                <w:rFonts w:ascii="Arial" w:hAnsi="Arial" w:cs="Arial"/>
                <w:noProof/>
                <w:snapToGrid w:val="0"/>
                <w:lang w:val="es-ES"/>
              </w:rPr>
            </w:pPr>
            <w:r w:rsidRPr="00993936">
              <w:rPr>
                <w:rFonts w:ascii="Arial" w:hAnsi="Arial" w:cs="Arial"/>
                <w:b/>
                <w:noProof/>
                <w:snapToGrid w:val="0"/>
                <w:lang w:val="es-ES"/>
              </w:rPr>
              <w:t xml:space="preserve">Valores </w:t>
            </w:r>
          </w:p>
        </w:tc>
      </w:tr>
      <w:tr w:rsidR="00202B3A" w:rsidRPr="00993936" w:rsidTr="001D205D">
        <w:trPr>
          <w:trHeight w:val="400"/>
          <w:jc w:val="center"/>
        </w:trPr>
        <w:tc>
          <w:tcPr>
            <w:tcW w:w="4548" w:type="dxa"/>
            <w:vAlign w:val="center"/>
          </w:tcPr>
          <w:p w:rsidR="00202B3A" w:rsidRPr="00993936" w:rsidRDefault="00202B3A" w:rsidP="001D205D">
            <w:pPr>
              <w:pStyle w:val="Encabezado"/>
              <w:widowControl w:val="0"/>
              <w:tabs>
                <w:tab w:val="clear" w:pos="4252"/>
                <w:tab w:val="clear" w:pos="8504"/>
              </w:tabs>
              <w:rPr>
                <w:rFonts w:ascii="Arial" w:hAnsi="Arial" w:cs="Arial"/>
                <w:noProof/>
                <w:snapToGrid w:val="0"/>
                <w:lang w:val="es-ES"/>
              </w:rPr>
            </w:pPr>
            <w:r w:rsidRPr="00993936">
              <w:rPr>
                <w:rFonts w:ascii="Arial" w:hAnsi="Arial" w:cs="Arial"/>
                <w:noProof/>
                <w:snapToGrid w:val="0"/>
                <w:lang w:val="es-ES"/>
              </w:rPr>
              <w:t xml:space="preserve">   Cadmio</w:t>
            </w:r>
          </w:p>
        </w:tc>
        <w:tc>
          <w:tcPr>
            <w:tcW w:w="4464"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3 mg/kg de materia seca</w:t>
            </w:r>
          </w:p>
        </w:tc>
      </w:tr>
      <w:tr w:rsidR="00202B3A" w:rsidRPr="00993936" w:rsidTr="001D205D">
        <w:trPr>
          <w:trHeight w:val="400"/>
          <w:jc w:val="center"/>
        </w:trPr>
        <w:tc>
          <w:tcPr>
            <w:tcW w:w="4548"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Cobre</w:t>
            </w:r>
          </w:p>
        </w:tc>
        <w:tc>
          <w:tcPr>
            <w:tcW w:w="4464"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400 mg/kg de materia seca</w:t>
            </w:r>
          </w:p>
        </w:tc>
      </w:tr>
      <w:tr w:rsidR="00202B3A" w:rsidRPr="00993936" w:rsidTr="001D205D">
        <w:trPr>
          <w:trHeight w:val="400"/>
          <w:jc w:val="center"/>
        </w:trPr>
        <w:tc>
          <w:tcPr>
            <w:tcW w:w="4548"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Níquel </w:t>
            </w:r>
          </w:p>
        </w:tc>
        <w:tc>
          <w:tcPr>
            <w:tcW w:w="4464"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100 mg/kg de materia seca</w:t>
            </w:r>
          </w:p>
        </w:tc>
      </w:tr>
      <w:tr w:rsidR="00202B3A" w:rsidRPr="00993936" w:rsidTr="001D205D">
        <w:trPr>
          <w:trHeight w:val="400"/>
          <w:jc w:val="center"/>
        </w:trPr>
        <w:tc>
          <w:tcPr>
            <w:tcW w:w="4548"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Plomo</w:t>
            </w:r>
          </w:p>
        </w:tc>
        <w:tc>
          <w:tcPr>
            <w:tcW w:w="4464"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200 mg/kg de materia seca</w:t>
            </w:r>
          </w:p>
        </w:tc>
      </w:tr>
      <w:tr w:rsidR="00202B3A" w:rsidRPr="00993936" w:rsidTr="001D205D">
        <w:trPr>
          <w:trHeight w:val="400"/>
          <w:jc w:val="center"/>
        </w:trPr>
        <w:tc>
          <w:tcPr>
            <w:tcW w:w="4548"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Cinc  </w:t>
            </w:r>
          </w:p>
        </w:tc>
        <w:tc>
          <w:tcPr>
            <w:tcW w:w="4464"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1.000 mg/kg de materia seca</w:t>
            </w:r>
          </w:p>
        </w:tc>
      </w:tr>
      <w:tr w:rsidR="00202B3A" w:rsidRPr="00993936" w:rsidTr="001D205D">
        <w:trPr>
          <w:trHeight w:val="400"/>
          <w:jc w:val="center"/>
        </w:trPr>
        <w:tc>
          <w:tcPr>
            <w:tcW w:w="4548"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Mercurio</w:t>
            </w:r>
          </w:p>
        </w:tc>
        <w:tc>
          <w:tcPr>
            <w:tcW w:w="4464"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2,5 mg/kg de materia seca</w:t>
            </w:r>
          </w:p>
        </w:tc>
      </w:tr>
      <w:tr w:rsidR="00202B3A" w:rsidRPr="00993936" w:rsidTr="001D205D">
        <w:trPr>
          <w:trHeight w:val="400"/>
          <w:jc w:val="center"/>
        </w:trPr>
        <w:tc>
          <w:tcPr>
            <w:tcW w:w="4548"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Cromo    </w:t>
            </w:r>
          </w:p>
        </w:tc>
        <w:tc>
          <w:tcPr>
            <w:tcW w:w="4464" w:type="dxa"/>
            <w:vAlign w:val="center"/>
          </w:tcPr>
          <w:p w:rsidR="00202B3A" w:rsidRPr="00993936" w:rsidRDefault="00202B3A" w:rsidP="001D205D">
            <w:pPr>
              <w:widowControl w:val="0"/>
              <w:rPr>
                <w:rFonts w:ascii="Arial" w:hAnsi="Arial" w:cs="Arial"/>
                <w:noProof/>
                <w:snapToGrid w:val="0"/>
                <w:lang w:val="es-ES"/>
              </w:rPr>
            </w:pPr>
            <w:r w:rsidRPr="00993936">
              <w:rPr>
                <w:rFonts w:ascii="Arial" w:hAnsi="Arial" w:cs="Arial"/>
                <w:noProof/>
                <w:snapToGrid w:val="0"/>
                <w:lang w:val="es-ES"/>
              </w:rPr>
              <w:t xml:space="preserve">  300 mg/kg de materia seca</w:t>
            </w:r>
          </w:p>
        </w:tc>
      </w:tr>
    </w:tbl>
    <w:p w:rsidR="00202B3A" w:rsidRPr="00993936" w:rsidRDefault="00202B3A" w:rsidP="001D205D">
      <w:pPr>
        <w:pStyle w:val="Encabezado"/>
        <w:tabs>
          <w:tab w:val="clear" w:pos="4252"/>
          <w:tab w:val="clear" w:pos="8504"/>
        </w:tabs>
        <w:rPr>
          <w:rFonts w:ascii="Arial" w:hAnsi="Arial" w:cs="Arial"/>
          <w:noProof/>
          <w:lang w:val="es-ES"/>
        </w:rPr>
      </w:pPr>
      <w:r w:rsidRPr="00993936">
        <w:rPr>
          <w:rFonts w:ascii="Arial" w:hAnsi="Arial" w:cs="Arial"/>
          <w:noProof/>
          <w:lang w:val="es-ES"/>
        </w:rPr>
        <w:t>mg/kg: miligramo por kilo</w:t>
      </w:r>
    </w:p>
    <w:p w:rsidR="00202B3A" w:rsidRPr="00993936" w:rsidRDefault="00202B3A" w:rsidP="001D205D">
      <w:pPr>
        <w:pStyle w:val="Ttulo3"/>
        <w:rPr>
          <w:rFonts w:ascii="Arial" w:hAnsi="Arial" w:cs="Arial"/>
          <w:noProof/>
          <w:color w:val="auto"/>
          <w:szCs w:val="22"/>
          <w:lang w:val="es-ES"/>
        </w:rPr>
      </w:pPr>
    </w:p>
    <w:p w:rsidR="00202B3A" w:rsidRPr="00993936" w:rsidRDefault="00202B3A" w:rsidP="001D205D">
      <w:pPr>
        <w:rPr>
          <w:rFonts w:ascii="Arial" w:hAnsi="Arial" w:cs="Arial"/>
          <w:lang w:val="es-ES"/>
        </w:rPr>
      </w:pPr>
    </w:p>
    <w:p w:rsidR="00202B3A" w:rsidRPr="00993936" w:rsidRDefault="00202B3A" w:rsidP="001D205D">
      <w:pPr>
        <w:pStyle w:val="Ttulo3"/>
        <w:rPr>
          <w:rFonts w:ascii="Arial" w:hAnsi="Arial" w:cs="Arial"/>
          <w:noProof/>
          <w:color w:val="auto"/>
          <w:szCs w:val="22"/>
          <w:lang w:val="es-ES"/>
        </w:rPr>
      </w:pPr>
      <w:r w:rsidRPr="00993936">
        <w:rPr>
          <w:rFonts w:ascii="Arial" w:hAnsi="Arial" w:cs="Arial"/>
          <w:noProof/>
          <w:color w:val="auto"/>
          <w:szCs w:val="22"/>
          <w:lang w:val="es-ES"/>
        </w:rPr>
        <w:br w:type="page"/>
      </w:r>
      <w:r w:rsidRPr="00993936">
        <w:rPr>
          <w:rFonts w:ascii="Arial" w:hAnsi="Arial" w:cs="Arial"/>
          <w:noProof/>
          <w:color w:val="auto"/>
          <w:szCs w:val="22"/>
          <w:lang w:val="es-ES"/>
        </w:rPr>
        <w:lastRenderedPageBreak/>
        <w:t>ANEXO 4</w:t>
      </w:r>
    </w:p>
    <w:p w:rsidR="00202B3A" w:rsidRPr="00993936" w:rsidRDefault="00202B3A" w:rsidP="001D205D">
      <w:pPr>
        <w:rPr>
          <w:rFonts w:ascii="Arial" w:hAnsi="Arial" w:cs="Arial"/>
          <w:lang w:val="es-ES"/>
        </w:rPr>
      </w:pPr>
    </w:p>
    <w:p w:rsidR="00202B3A" w:rsidRPr="00993936" w:rsidRDefault="00202B3A" w:rsidP="001D205D">
      <w:pPr>
        <w:pStyle w:val="Ttulo3"/>
        <w:rPr>
          <w:rFonts w:ascii="Arial" w:hAnsi="Arial" w:cs="Arial"/>
          <w:noProof/>
          <w:color w:val="auto"/>
          <w:lang w:val="es-ES"/>
        </w:rPr>
      </w:pPr>
      <w:r w:rsidRPr="00993936">
        <w:rPr>
          <w:rFonts w:ascii="Arial" w:hAnsi="Arial" w:cs="Arial"/>
          <w:noProof/>
          <w:color w:val="auto"/>
          <w:lang w:val="es-ES"/>
        </w:rPr>
        <w:t>4.1 Tabla orientativa del contenido de nutrientes de algunos abonos</w:t>
      </w:r>
      <w:r w:rsidRPr="00993936">
        <w:rPr>
          <w:rFonts w:ascii="Arial" w:hAnsi="Arial" w:cs="Arial"/>
          <w:noProof/>
          <w:vanish/>
          <w:color w:val="auto"/>
          <w:lang w:val="es-ES"/>
        </w:rPr>
        <w:t>&lt;A[abonos|adobos]&gt;</w:t>
      </w:r>
      <w:r w:rsidRPr="00993936">
        <w:rPr>
          <w:rFonts w:ascii="Arial" w:hAnsi="Arial" w:cs="Arial"/>
          <w:noProof/>
          <w:color w:val="auto"/>
          <w:lang w:val="es-ES"/>
        </w:rPr>
        <w:t xml:space="preserve"> orgánicos</w:t>
      </w:r>
    </w:p>
    <w:p w:rsidR="00202B3A" w:rsidRPr="00993936" w:rsidRDefault="00202B3A" w:rsidP="001D205D">
      <w:pPr>
        <w:pStyle w:val="Ttulo3"/>
        <w:rPr>
          <w:rFonts w:ascii="Arial" w:hAnsi="Arial" w:cs="Arial"/>
          <w:noProof/>
          <w:color w:val="auto"/>
          <w:lang w:val="es-ES"/>
        </w:rPr>
      </w:pPr>
      <w:r w:rsidRPr="00993936">
        <w:rPr>
          <w:rFonts w:ascii="Arial" w:hAnsi="Arial" w:cs="Arial"/>
          <w:noProof/>
          <w:color w:val="auto"/>
          <w:lang w:val="es-ES"/>
        </w:rPr>
        <w:t xml:space="preserve"> </w:t>
      </w:r>
    </w:p>
    <w:tbl>
      <w:tblPr>
        <w:tblW w:w="5000" w:type="pct"/>
        <w:tblCellMar>
          <w:left w:w="70" w:type="dxa"/>
          <w:right w:w="70" w:type="dxa"/>
        </w:tblCellMar>
        <w:tblLook w:val="0000" w:firstRow="0" w:lastRow="0" w:firstColumn="0" w:lastColumn="0" w:noHBand="0" w:noVBand="0"/>
      </w:tblPr>
      <w:tblGrid>
        <w:gridCol w:w="1105"/>
        <w:gridCol w:w="1091"/>
        <w:gridCol w:w="3559"/>
        <w:gridCol w:w="963"/>
        <w:gridCol w:w="963"/>
        <w:gridCol w:w="963"/>
      </w:tblGrid>
      <w:tr w:rsidR="000E5335" w:rsidRPr="00993936" w:rsidTr="000E5335">
        <w:trPr>
          <w:trHeight w:val="555"/>
        </w:trPr>
        <w:tc>
          <w:tcPr>
            <w:tcW w:w="582" w:type="pct"/>
            <w:tcBorders>
              <w:top w:val="single" w:sz="8" w:space="0" w:color="auto"/>
              <w:left w:val="single" w:sz="8" w:space="0" w:color="auto"/>
              <w:bottom w:val="single" w:sz="8" w:space="0" w:color="auto"/>
              <w:right w:val="single" w:sz="8" w:space="0" w:color="auto"/>
            </w:tcBorders>
            <w:shd w:val="clear" w:color="auto" w:fill="D9D9D9"/>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Ganado</w:t>
            </w:r>
          </w:p>
        </w:tc>
        <w:tc>
          <w:tcPr>
            <w:tcW w:w="833" w:type="pct"/>
            <w:tcBorders>
              <w:top w:val="single" w:sz="8" w:space="0" w:color="auto"/>
              <w:left w:val="nil"/>
              <w:bottom w:val="single" w:sz="8" w:space="0" w:color="auto"/>
              <w:right w:val="single" w:sz="8" w:space="0" w:color="auto"/>
            </w:tcBorders>
            <w:shd w:val="clear" w:color="auto" w:fill="D9D9D9"/>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Tipo</w:t>
            </w:r>
          </w:p>
        </w:tc>
        <w:tc>
          <w:tcPr>
            <w:tcW w:w="1879" w:type="pct"/>
            <w:tcBorders>
              <w:top w:val="single" w:sz="8" w:space="0" w:color="auto"/>
              <w:left w:val="nil"/>
              <w:bottom w:val="single" w:sz="8" w:space="0" w:color="auto"/>
              <w:right w:val="nil"/>
            </w:tcBorders>
            <w:shd w:val="clear" w:color="auto" w:fill="D9D9D9"/>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Fase / Sistema Productivo</w:t>
            </w:r>
          </w:p>
        </w:tc>
        <w:tc>
          <w:tcPr>
            <w:tcW w:w="569" w:type="pct"/>
            <w:tcBorders>
              <w:top w:val="single" w:sz="8" w:space="0" w:color="auto"/>
              <w:left w:val="single" w:sz="8" w:space="0" w:color="auto"/>
              <w:bottom w:val="single" w:sz="8" w:space="0" w:color="auto"/>
              <w:right w:val="single" w:sz="8" w:space="0" w:color="auto"/>
            </w:tcBorders>
            <w:shd w:val="clear" w:color="auto" w:fill="D9D9D9"/>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Kg N/m</w:t>
            </w:r>
            <w:r w:rsidRPr="00993936">
              <w:rPr>
                <w:rFonts w:ascii="Arial" w:hAnsi="Arial" w:cs="Arial"/>
                <w:vertAlign w:val="superscript"/>
                <w:lang w:val="es-ES" w:eastAsia="ca-ES"/>
              </w:rPr>
              <w:t>3</w:t>
            </w:r>
            <w:r w:rsidRPr="00993936">
              <w:rPr>
                <w:rFonts w:ascii="Arial" w:hAnsi="Arial" w:cs="Arial"/>
                <w:lang w:val="es-ES" w:eastAsia="ca-ES"/>
              </w:rPr>
              <w:t xml:space="preserve"> o tonelada</w:t>
            </w:r>
          </w:p>
        </w:tc>
        <w:tc>
          <w:tcPr>
            <w:tcW w:w="569" w:type="pct"/>
            <w:tcBorders>
              <w:top w:val="single" w:sz="8" w:space="0" w:color="auto"/>
              <w:left w:val="nil"/>
              <w:bottom w:val="single" w:sz="8" w:space="0" w:color="auto"/>
              <w:right w:val="single" w:sz="8" w:space="0" w:color="auto"/>
            </w:tcBorders>
            <w:shd w:val="clear" w:color="auto" w:fill="D9D9D9"/>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Kg P</w:t>
            </w:r>
            <w:r w:rsidRPr="00993936">
              <w:rPr>
                <w:rFonts w:ascii="Arial" w:hAnsi="Arial" w:cs="Arial"/>
                <w:vertAlign w:val="subscript"/>
                <w:lang w:val="es-ES" w:eastAsia="ca-ES"/>
              </w:rPr>
              <w:t>2</w:t>
            </w:r>
            <w:r w:rsidRPr="00993936">
              <w:rPr>
                <w:rFonts w:ascii="Arial" w:hAnsi="Arial" w:cs="Arial"/>
                <w:lang w:val="es-ES" w:eastAsia="ca-ES"/>
              </w:rPr>
              <w:t>O</w:t>
            </w:r>
            <w:r w:rsidRPr="00993936">
              <w:rPr>
                <w:rFonts w:ascii="Arial" w:hAnsi="Arial" w:cs="Arial"/>
                <w:vertAlign w:val="subscript"/>
                <w:lang w:val="es-ES" w:eastAsia="ca-ES"/>
              </w:rPr>
              <w:t>5</w:t>
            </w:r>
            <w:r w:rsidRPr="00993936">
              <w:rPr>
                <w:rFonts w:ascii="Arial" w:hAnsi="Arial" w:cs="Arial"/>
                <w:lang w:val="es-ES" w:eastAsia="ca-ES"/>
              </w:rPr>
              <w:t>/m</w:t>
            </w:r>
            <w:r w:rsidRPr="00993936">
              <w:rPr>
                <w:rFonts w:ascii="Arial" w:hAnsi="Arial" w:cs="Arial"/>
                <w:vertAlign w:val="superscript"/>
                <w:lang w:val="es-ES" w:eastAsia="ca-ES"/>
              </w:rPr>
              <w:t xml:space="preserve">3 </w:t>
            </w:r>
            <w:r w:rsidRPr="00993936">
              <w:rPr>
                <w:rFonts w:ascii="Arial" w:hAnsi="Arial" w:cs="Arial"/>
                <w:lang w:val="es-ES" w:eastAsia="ca-ES"/>
              </w:rPr>
              <w:t>o tonelada</w:t>
            </w:r>
          </w:p>
        </w:tc>
        <w:tc>
          <w:tcPr>
            <w:tcW w:w="569" w:type="pct"/>
            <w:tcBorders>
              <w:top w:val="single" w:sz="8" w:space="0" w:color="auto"/>
              <w:left w:val="nil"/>
              <w:bottom w:val="single" w:sz="8" w:space="0" w:color="auto"/>
              <w:right w:val="single" w:sz="8" w:space="0" w:color="auto"/>
            </w:tcBorders>
            <w:shd w:val="clear" w:color="auto" w:fill="D9D9D9"/>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Kg K</w:t>
            </w:r>
            <w:r w:rsidRPr="00993936">
              <w:rPr>
                <w:rFonts w:ascii="Arial" w:hAnsi="Arial" w:cs="Arial"/>
                <w:vertAlign w:val="subscript"/>
                <w:lang w:val="es-ES" w:eastAsia="ca-ES"/>
              </w:rPr>
              <w:t>2</w:t>
            </w:r>
            <w:r w:rsidRPr="00993936">
              <w:rPr>
                <w:rFonts w:ascii="Arial" w:hAnsi="Arial" w:cs="Arial"/>
                <w:lang w:val="es-ES" w:eastAsia="ca-ES"/>
              </w:rPr>
              <w:t>O/m</w:t>
            </w:r>
            <w:r w:rsidRPr="00993936">
              <w:rPr>
                <w:rFonts w:ascii="Arial" w:hAnsi="Arial" w:cs="Arial"/>
                <w:vertAlign w:val="superscript"/>
                <w:lang w:val="es-ES" w:eastAsia="ca-ES"/>
              </w:rPr>
              <w:t xml:space="preserve">3 </w:t>
            </w:r>
            <w:r w:rsidRPr="00993936">
              <w:rPr>
                <w:rFonts w:ascii="Arial" w:hAnsi="Arial" w:cs="Arial"/>
                <w:lang w:val="es-ES" w:eastAsia="ca-ES"/>
              </w:rPr>
              <w:t>o tonelada</w:t>
            </w:r>
          </w:p>
        </w:tc>
      </w:tr>
      <w:tr w:rsidR="000E5335" w:rsidRPr="00993936" w:rsidTr="000E5335">
        <w:trPr>
          <w:trHeight w:val="300"/>
        </w:trPr>
        <w:tc>
          <w:tcPr>
            <w:tcW w:w="582" w:type="pct"/>
            <w:vMerge w:val="restart"/>
            <w:tcBorders>
              <w:top w:val="nil"/>
              <w:left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Porcino</w:t>
            </w:r>
          </w:p>
        </w:tc>
        <w:tc>
          <w:tcPr>
            <w:tcW w:w="833" w:type="pct"/>
            <w:vMerge w:val="restart"/>
            <w:tcBorders>
              <w:top w:val="nil"/>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Purín</w:t>
            </w: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Engorde</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5,7</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3,6</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4,2</w:t>
            </w:r>
          </w:p>
        </w:tc>
      </w:tr>
      <w:tr w:rsidR="000E5335" w:rsidRPr="00993936" w:rsidTr="000E5335">
        <w:trPr>
          <w:trHeight w:val="300"/>
        </w:trPr>
        <w:tc>
          <w:tcPr>
            <w:tcW w:w="582" w:type="pct"/>
            <w:vMerge/>
            <w:tcBorders>
              <w:left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Reproductora</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2,9</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2,1</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1,8</w:t>
            </w:r>
          </w:p>
        </w:tc>
      </w:tr>
      <w:tr w:rsidR="000E5335" w:rsidRPr="00993936" w:rsidTr="000E5335">
        <w:trPr>
          <w:trHeight w:val="300"/>
        </w:trPr>
        <w:tc>
          <w:tcPr>
            <w:tcW w:w="582" w:type="pct"/>
            <w:vMerge/>
            <w:tcBorders>
              <w:left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Cochinillos (6-20kg)</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3,4</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2,6</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1,7</w:t>
            </w:r>
          </w:p>
        </w:tc>
      </w:tr>
      <w:tr w:rsidR="000E5335" w:rsidRPr="00993936" w:rsidTr="000E5335">
        <w:trPr>
          <w:trHeight w:val="300"/>
        </w:trPr>
        <w:tc>
          <w:tcPr>
            <w:tcW w:w="582" w:type="pct"/>
            <w:vMerge/>
            <w:tcBorders>
              <w:left w:val="single" w:sz="8" w:space="0" w:color="auto"/>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single" w:sz="8" w:space="0" w:color="auto"/>
              <w:bottom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Ciclo cerrado</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3,4</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2,4</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2,5</w:t>
            </w:r>
          </w:p>
        </w:tc>
      </w:tr>
      <w:tr w:rsidR="000E5335" w:rsidRPr="00993936" w:rsidTr="000E5335">
        <w:trPr>
          <w:trHeight w:val="300"/>
        </w:trPr>
        <w:tc>
          <w:tcPr>
            <w:tcW w:w="582" w:type="pct"/>
            <w:vMerge w:val="restart"/>
            <w:tcBorders>
              <w:top w:val="single" w:sz="8" w:space="0" w:color="auto"/>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Ganado vacuno</w:t>
            </w:r>
          </w:p>
        </w:tc>
        <w:tc>
          <w:tcPr>
            <w:tcW w:w="833" w:type="pct"/>
            <w:vMerge w:val="restart"/>
            <w:tcBorders>
              <w:top w:val="single" w:sz="8" w:space="0" w:color="auto"/>
              <w:left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Purín</w:t>
            </w:r>
          </w:p>
        </w:tc>
        <w:tc>
          <w:tcPr>
            <w:tcW w:w="1879" w:type="pct"/>
            <w:tcBorders>
              <w:top w:val="single" w:sz="8" w:space="0" w:color="auto"/>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Vaca de leche</w:t>
            </w:r>
          </w:p>
        </w:tc>
        <w:tc>
          <w:tcPr>
            <w:tcW w:w="569" w:type="pct"/>
            <w:tcBorders>
              <w:top w:val="single" w:sz="8" w:space="0" w:color="auto"/>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3,3</w:t>
            </w:r>
          </w:p>
        </w:tc>
        <w:tc>
          <w:tcPr>
            <w:tcW w:w="569" w:type="pct"/>
            <w:tcBorders>
              <w:top w:val="single" w:sz="8" w:space="0" w:color="auto"/>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1,5</w:t>
            </w:r>
          </w:p>
        </w:tc>
        <w:tc>
          <w:tcPr>
            <w:tcW w:w="569" w:type="pct"/>
            <w:tcBorders>
              <w:top w:val="single" w:sz="8" w:space="0" w:color="auto"/>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3,4</w:t>
            </w:r>
          </w:p>
        </w:tc>
      </w:tr>
      <w:tr w:rsidR="000E5335" w:rsidRPr="00993936" w:rsidTr="000E5335">
        <w:trPr>
          <w:trHeight w:val="300"/>
        </w:trPr>
        <w:tc>
          <w:tcPr>
            <w:tcW w:w="582"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bottom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Engorde terneros</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5,2</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1,7</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3,6</w:t>
            </w:r>
          </w:p>
        </w:tc>
      </w:tr>
      <w:tr w:rsidR="000E5335" w:rsidRPr="00993936" w:rsidTr="000E5335">
        <w:trPr>
          <w:trHeight w:val="300"/>
        </w:trPr>
        <w:tc>
          <w:tcPr>
            <w:tcW w:w="582"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val="restart"/>
            <w:tcBorders>
              <w:top w:val="single" w:sz="8" w:space="0" w:color="auto"/>
              <w:left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Estiércol</w:t>
            </w:r>
            <w:r w:rsidR="000E5335" w:rsidRPr="00993936">
              <w:rPr>
                <w:rFonts w:ascii="Arial" w:hAnsi="Arial" w:cs="Arial"/>
                <w:lang w:val="es-ES" w:eastAsia="ca-ES"/>
              </w:rPr>
              <w:t xml:space="preserve">    </w:t>
            </w:r>
          </w:p>
          <w:p w:rsidR="00202B3A" w:rsidRPr="00993936" w:rsidRDefault="00202B3A" w:rsidP="000E5335">
            <w:pPr>
              <w:pStyle w:val="Sinespaciado"/>
              <w:rPr>
                <w:rFonts w:ascii="Arial" w:hAnsi="Arial" w:cs="Arial"/>
                <w:lang w:val="es-ES" w:eastAsia="ca-ES"/>
              </w:rPr>
            </w:pPr>
          </w:p>
        </w:tc>
        <w:tc>
          <w:tcPr>
            <w:tcW w:w="1879" w:type="pct"/>
            <w:tcBorders>
              <w:top w:val="single" w:sz="8" w:space="0" w:color="auto"/>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Vaca de leche</w:t>
            </w:r>
          </w:p>
        </w:tc>
        <w:tc>
          <w:tcPr>
            <w:tcW w:w="569" w:type="pct"/>
            <w:tcBorders>
              <w:top w:val="single" w:sz="8" w:space="0" w:color="auto"/>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5,5</w:t>
            </w:r>
          </w:p>
        </w:tc>
        <w:tc>
          <w:tcPr>
            <w:tcW w:w="569" w:type="pct"/>
            <w:tcBorders>
              <w:top w:val="single" w:sz="8" w:space="0" w:color="auto"/>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2,0</w:t>
            </w:r>
          </w:p>
        </w:tc>
        <w:tc>
          <w:tcPr>
            <w:tcW w:w="569" w:type="pct"/>
            <w:tcBorders>
              <w:top w:val="single" w:sz="8" w:space="0" w:color="auto"/>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7,9</w:t>
            </w:r>
          </w:p>
        </w:tc>
      </w:tr>
      <w:tr w:rsidR="000E5335" w:rsidRPr="00993936" w:rsidTr="000E5335">
        <w:trPr>
          <w:trHeight w:val="300"/>
        </w:trPr>
        <w:tc>
          <w:tcPr>
            <w:tcW w:w="582"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Vaca de carne</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3,0</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2,0</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5,0</w:t>
            </w:r>
          </w:p>
        </w:tc>
      </w:tr>
      <w:tr w:rsidR="000E5335" w:rsidRPr="00993936" w:rsidTr="000E5335">
        <w:trPr>
          <w:trHeight w:val="300"/>
        </w:trPr>
        <w:tc>
          <w:tcPr>
            <w:tcW w:w="582" w:type="pct"/>
            <w:vMerge/>
            <w:tcBorders>
              <w:left w:val="single" w:sz="8" w:space="0" w:color="auto"/>
              <w:bottom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bottom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Ternero de engorde</w:t>
            </w:r>
          </w:p>
        </w:tc>
        <w:tc>
          <w:tcPr>
            <w:tcW w:w="569" w:type="pct"/>
            <w:tcBorders>
              <w:top w:val="nil"/>
              <w:left w:val="nil"/>
              <w:bottom w:val="single" w:sz="8" w:space="0" w:color="auto"/>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6,0</w:t>
            </w:r>
          </w:p>
        </w:tc>
        <w:tc>
          <w:tcPr>
            <w:tcW w:w="569" w:type="pct"/>
            <w:tcBorders>
              <w:top w:val="nil"/>
              <w:left w:val="nil"/>
              <w:bottom w:val="single" w:sz="8" w:space="0" w:color="auto"/>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5,0</w:t>
            </w:r>
          </w:p>
        </w:tc>
        <w:tc>
          <w:tcPr>
            <w:tcW w:w="569" w:type="pct"/>
            <w:tcBorders>
              <w:top w:val="nil"/>
              <w:left w:val="nil"/>
              <w:bottom w:val="single" w:sz="8" w:space="0" w:color="auto"/>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6,0</w:t>
            </w:r>
          </w:p>
        </w:tc>
      </w:tr>
      <w:tr w:rsidR="000E5335" w:rsidRPr="00993936" w:rsidTr="000E5335">
        <w:trPr>
          <w:trHeight w:val="300"/>
        </w:trPr>
        <w:tc>
          <w:tcPr>
            <w:tcW w:w="582" w:type="pct"/>
            <w:vMerge w:val="restart"/>
            <w:tcBorders>
              <w:top w:val="single" w:sz="8" w:space="0" w:color="auto"/>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Aves de corral</w:t>
            </w:r>
          </w:p>
        </w:tc>
        <w:tc>
          <w:tcPr>
            <w:tcW w:w="833" w:type="pct"/>
            <w:vMerge w:val="restart"/>
            <w:tcBorders>
              <w:top w:val="nil"/>
              <w:left w:val="nil"/>
              <w:right w:val="single" w:sz="8" w:space="0" w:color="auto"/>
            </w:tcBorders>
            <w:shd w:val="clear" w:color="auto" w:fill="FFFFFF"/>
            <w:vAlign w:val="center"/>
          </w:tcPr>
          <w:p w:rsidR="000E5335" w:rsidRPr="00993936" w:rsidRDefault="000E5335" w:rsidP="000E5335">
            <w:pPr>
              <w:pStyle w:val="Sinespaciado"/>
              <w:rPr>
                <w:rFonts w:ascii="Arial" w:hAnsi="Arial" w:cs="Arial"/>
                <w:sz w:val="24"/>
                <w:lang w:val="es-ES" w:eastAsia="ca-ES"/>
              </w:rPr>
            </w:pPr>
          </w:p>
          <w:p w:rsidR="000E5335" w:rsidRPr="00993936" w:rsidRDefault="00202B3A" w:rsidP="000E5335">
            <w:pPr>
              <w:pStyle w:val="Sinespaciado"/>
              <w:rPr>
                <w:rFonts w:ascii="Arial" w:hAnsi="Arial" w:cs="Arial"/>
                <w:sz w:val="20"/>
                <w:lang w:val="es-ES" w:eastAsia="ca-ES"/>
              </w:rPr>
            </w:pPr>
            <w:r w:rsidRPr="00993936">
              <w:rPr>
                <w:rFonts w:ascii="Arial" w:hAnsi="Arial" w:cs="Arial"/>
                <w:sz w:val="24"/>
                <w:lang w:val="es-ES" w:eastAsia="ca-ES"/>
              </w:rPr>
              <w:t>G</w:t>
            </w:r>
            <w:r w:rsidRPr="00993936">
              <w:rPr>
                <w:rFonts w:ascii="Arial" w:hAnsi="Arial" w:cs="Arial"/>
                <w:sz w:val="20"/>
                <w:lang w:val="es-ES" w:eastAsia="ca-ES"/>
              </w:rPr>
              <w:t>allinaz</w:t>
            </w:r>
            <w:r w:rsidR="000E5335" w:rsidRPr="00993936">
              <w:rPr>
                <w:rFonts w:ascii="Arial" w:hAnsi="Arial" w:cs="Arial"/>
                <w:sz w:val="20"/>
                <w:lang w:val="es-ES" w:eastAsia="ca-ES"/>
              </w:rPr>
              <w:t>a</w:t>
            </w:r>
            <w:r w:rsidR="000E5335" w:rsidRPr="00993936">
              <w:rPr>
                <w:rFonts w:ascii="Arial" w:hAnsi="Arial" w:cs="Arial"/>
                <w:color w:val="FFFFFF" w:themeColor="background1"/>
                <w:sz w:val="20"/>
                <w:lang w:val="es-ES" w:eastAsia="ca-ES"/>
              </w:rPr>
              <w:t>a</w:t>
            </w:r>
            <w:r w:rsidR="000E5335" w:rsidRPr="00993936">
              <w:rPr>
                <w:rFonts w:ascii="Arial" w:hAnsi="Arial" w:cs="Arial"/>
                <w:sz w:val="20"/>
                <w:lang w:val="es-ES" w:eastAsia="ca-ES"/>
              </w:rPr>
              <w:t xml:space="preserve">               </w:t>
            </w:r>
          </w:p>
          <w:p w:rsidR="00202B3A" w:rsidRPr="00993936" w:rsidRDefault="000E5335" w:rsidP="000E5335">
            <w:pPr>
              <w:pStyle w:val="Sinespaciado"/>
              <w:rPr>
                <w:rFonts w:ascii="Arial" w:hAnsi="Arial" w:cs="Arial"/>
                <w:lang w:val="es-ES" w:eastAsia="ca-ES"/>
              </w:rPr>
            </w:pPr>
            <w:r w:rsidRPr="00993936">
              <w:rPr>
                <w:rFonts w:ascii="Arial" w:hAnsi="Arial" w:cs="Arial"/>
                <w:sz w:val="20"/>
                <w:lang w:val="es-ES" w:eastAsia="ca-ES"/>
              </w:rPr>
              <w:t xml:space="preserve">  </w:t>
            </w:r>
            <w:r w:rsidRPr="00993936">
              <w:rPr>
                <w:rFonts w:ascii="Arial" w:hAnsi="Arial" w:cs="Arial"/>
                <w:sz w:val="24"/>
                <w:lang w:val="es-ES" w:eastAsia="ca-ES"/>
              </w:rPr>
              <w:t xml:space="preserve">  </w:t>
            </w: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Pavo</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24,9</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25,8</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20,0</w:t>
            </w:r>
          </w:p>
        </w:tc>
      </w:tr>
      <w:tr w:rsidR="000E5335" w:rsidRPr="00993936" w:rsidTr="000E5335">
        <w:trPr>
          <w:trHeight w:val="300"/>
        </w:trPr>
        <w:tc>
          <w:tcPr>
            <w:tcW w:w="582"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Pollo de engorde</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22,8</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21,1</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17,7</w:t>
            </w:r>
          </w:p>
        </w:tc>
      </w:tr>
      <w:tr w:rsidR="000E5335" w:rsidRPr="00993936" w:rsidTr="000E5335">
        <w:trPr>
          <w:trHeight w:val="300"/>
        </w:trPr>
        <w:tc>
          <w:tcPr>
            <w:tcW w:w="582"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Gallina ponedora</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12,5</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10,4</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8,0</w:t>
            </w:r>
          </w:p>
        </w:tc>
      </w:tr>
      <w:tr w:rsidR="000E5335" w:rsidRPr="00993936" w:rsidTr="000E5335">
        <w:trPr>
          <w:trHeight w:val="300"/>
        </w:trPr>
        <w:tc>
          <w:tcPr>
            <w:tcW w:w="582"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Gallina reproductora</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17,4</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33,9</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23,6</w:t>
            </w:r>
          </w:p>
        </w:tc>
      </w:tr>
      <w:tr w:rsidR="000E5335" w:rsidRPr="00993936" w:rsidTr="000E5335">
        <w:trPr>
          <w:trHeight w:val="300"/>
        </w:trPr>
        <w:tc>
          <w:tcPr>
            <w:tcW w:w="582" w:type="pct"/>
            <w:vMerge/>
            <w:tcBorders>
              <w:left w:val="single" w:sz="8" w:space="0" w:color="auto"/>
              <w:bottom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bottom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Gallina reposición</w:t>
            </w:r>
          </w:p>
        </w:tc>
        <w:tc>
          <w:tcPr>
            <w:tcW w:w="569" w:type="pct"/>
            <w:tcBorders>
              <w:top w:val="nil"/>
              <w:left w:val="nil"/>
              <w:bottom w:val="single" w:sz="8" w:space="0" w:color="auto"/>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19,5</w:t>
            </w:r>
          </w:p>
        </w:tc>
        <w:tc>
          <w:tcPr>
            <w:tcW w:w="569" w:type="pct"/>
            <w:tcBorders>
              <w:top w:val="nil"/>
              <w:left w:val="nil"/>
              <w:bottom w:val="single" w:sz="8" w:space="0" w:color="auto"/>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45,8</w:t>
            </w:r>
          </w:p>
        </w:tc>
        <w:tc>
          <w:tcPr>
            <w:tcW w:w="569" w:type="pct"/>
            <w:tcBorders>
              <w:top w:val="nil"/>
              <w:left w:val="nil"/>
              <w:bottom w:val="single" w:sz="8" w:space="0" w:color="auto"/>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25,5</w:t>
            </w:r>
          </w:p>
        </w:tc>
      </w:tr>
      <w:tr w:rsidR="000E5335" w:rsidRPr="00993936" w:rsidTr="000E5335">
        <w:trPr>
          <w:trHeight w:val="300"/>
        </w:trPr>
        <w:tc>
          <w:tcPr>
            <w:tcW w:w="582" w:type="pct"/>
            <w:vMerge w:val="restart"/>
            <w:tcBorders>
              <w:top w:val="single" w:sz="8" w:space="0" w:color="auto"/>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Ovino-ganado cabrío</w:t>
            </w:r>
          </w:p>
        </w:tc>
        <w:tc>
          <w:tcPr>
            <w:tcW w:w="833" w:type="pct"/>
            <w:vMerge w:val="restart"/>
            <w:tcBorders>
              <w:top w:val="nil"/>
              <w:left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Estiércol</w:t>
            </w:r>
          </w:p>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Oveja de carne</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9,4</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5,0</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10,0</w:t>
            </w:r>
          </w:p>
        </w:tc>
      </w:tr>
      <w:tr w:rsidR="000E5335" w:rsidRPr="00993936" w:rsidTr="000E5335">
        <w:trPr>
          <w:trHeight w:val="300"/>
        </w:trPr>
        <w:tc>
          <w:tcPr>
            <w:tcW w:w="582"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Oveja de leche</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8,1</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3,2</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8,6</w:t>
            </w:r>
          </w:p>
        </w:tc>
      </w:tr>
      <w:tr w:rsidR="000E5335" w:rsidRPr="00993936" w:rsidTr="000E5335">
        <w:trPr>
          <w:trHeight w:val="300"/>
        </w:trPr>
        <w:tc>
          <w:tcPr>
            <w:tcW w:w="582" w:type="pct"/>
            <w:vMerge/>
            <w:tcBorders>
              <w:left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vMerge/>
            <w:tcBorders>
              <w:left w:val="nil"/>
              <w:bottom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Cabra</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9,4</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5,0</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9,0</w:t>
            </w:r>
          </w:p>
        </w:tc>
      </w:tr>
      <w:tr w:rsidR="000E5335" w:rsidRPr="00993936" w:rsidTr="000E5335">
        <w:trPr>
          <w:trHeight w:val="300"/>
        </w:trPr>
        <w:tc>
          <w:tcPr>
            <w:tcW w:w="582" w:type="pct"/>
            <w:vMerge/>
            <w:tcBorders>
              <w:left w:val="single" w:sz="8" w:space="0" w:color="auto"/>
              <w:bottom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p>
        </w:tc>
        <w:tc>
          <w:tcPr>
            <w:tcW w:w="833" w:type="pct"/>
            <w:tcBorders>
              <w:top w:val="nil"/>
              <w:left w:val="nil"/>
              <w:bottom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purín</w:t>
            </w:r>
          </w:p>
        </w:tc>
        <w:tc>
          <w:tcPr>
            <w:tcW w:w="1879" w:type="pct"/>
            <w:tcBorders>
              <w:top w:val="single" w:sz="8" w:space="0" w:color="auto"/>
              <w:left w:val="nil"/>
              <w:bottom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Oveja de leche</w:t>
            </w:r>
          </w:p>
        </w:tc>
        <w:tc>
          <w:tcPr>
            <w:tcW w:w="569" w:type="pct"/>
            <w:tcBorders>
              <w:top w:val="single" w:sz="8" w:space="0" w:color="auto"/>
              <w:left w:val="nil"/>
              <w:bottom w:val="single" w:sz="8" w:space="0" w:color="auto"/>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7,3</w:t>
            </w:r>
          </w:p>
        </w:tc>
        <w:tc>
          <w:tcPr>
            <w:tcW w:w="569" w:type="pct"/>
            <w:tcBorders>
              <w:top w:val="single" w:sz="8" w:space="0" w:color="auto"/>
              <w:left w:val="nil"/>
              <w:bottom w:val="single" w:sz="8" w:space="0" w:color="auto"/>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3,4</w:t>
            </w:r>
          </w:p>
        </w:tc>
        <w:tc>
          <w:tcPr>
            <w:tcW w:w="569" w:type="pct"/>
            <w:tcBorders>
              <w:top w:val="single" w:sz="8" w:space="0" w:color="auto"/>
              <w:left w:val="nil"/>
              <w:bottom w:val="single" w:sz="8" w:space="0" w:color="auto"/>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7,1</w:t>
            </w:r>
          </w:p>
        </w:tc>
      </w:tr>
      <w:tr w:rsidR="000E5335" w:rsidRPr="00993936" w:rsidTr="000E5335">
        <w:trPr>
          <w:trHeight w:val="300"/>
        </w:trPr>
        <w:tc>
          <w:tcPr>
            <w:tcW w:w="582" w:type="pct"/>
            <w:tcBorders>
              <w:top w:val="nil"/>
              <w:left w:val="single" w:sz="8" w:space="0" w:color="auto"/>
              <w:bottom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Equino</w:t>
            </w:r>
          </w:p>
        </w:tc>
        <w:tc>
          <w:tcPr>
            <w:tcW w:w="833"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Estiércol</w:t>
            </w:r>
          </w:p>
        </w:tc>
        <w:tc>
          <w:tcPr>
            <w:tcW w:w="1879" w:type="pct"/>
            <w:tcBorders>
              <w:top w:val="nil"/>
              <w:left w:val="single" w:sz="8" w:space="0" w:color="auto"/>
              <w:bottom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Caballo</w:t>
            </w:r>
          </w:p>
        </w:tc>
        <w:tc>
          <w:tcPr>
            <w:tcW w:w="569" w:type="pct"/>
            <w:tcBorders>
              <w:top w:val="nil"/>
              <w:left w:val="nil"/>
              <w:bottom w:val="single" w:sz="8" w:space="0" w:color="auto"/>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5,7</w:t>
            </w:r>
          </w:p>
        </w:tc>
        <w:tc>
          <w:tcPr>
            <w:tcW w:w="569" w:type="pct"/>
            <w:tcBorders>
              <w:top w:val="nil"/>
              <w:left w:val="nil"/>
              <w:bottom w:val="single" w:sz="8" w:space="0" w:color="auto"/>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2,1</w:t>
            </w:r>
          </w:p>
        </w:tc>
        <w:tc>
          <w:tcPr>
            <w:tcW w:w="569" w:type="pct"/>
            <w:tcBorders>
              <w:top w:val="nil"/>
              <w:left w:val="nil"/>
              <w:bottom w:val="single" w:sz="8" w:space="0" w:color="auto"/>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8,2</w:t>
            </w:r>
          </w:p>
        </w:tc>
      </w:tr>
      <w:tr w:rsidR="000E5335" w:rsidRPr="00993936" w:rsidTr="000E5335">
        <w:trPr>
          <w:trHeight w:val="300"/>
        </w:trPr>
        <w:tc>
          <w:tcPr>
            <w:tcW w:w="582" w:type="pct"/>
            <w:tcBorders>
              <w:top w:val="single" w:sz="8" w:space="0" w:color="auto"/>
              <w:left w:val="single" w:sz="8" w:space="0" w:color="auto"/>
              <w:bottom w:val="nil"/>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Cunícol</w:t>
            </w:r>
            <w:r w:rsidR="000E5335" w:rsidRPr="00993936">
              <w:rPr>
                <w:rFonts w:ascii="Arial" w:hAnsi="Arial" w:cs="Arial"/>
                <w:lang w:val="es-ES" w:eastAsia="ca-ES"/>
              </w:rPr>
              <w:t>a</w:t>
            </w:r>
            <w:r w:rsidRPr="00993936">
              <w:rPr>
                <w:rFonts w:ascii="Arial" w:hAnsi="Arial" w:cs="Arial"/>
                <w:color w:val="FFFFFF" w:themeColor="background1"/>
                <w:lang w:val="es-ES" w:eastAsia="ca-ES"/>
              </w:rPr>
              <w:t>a</w:t>
            </w:r>
          </w:p>
        </w:tc>
        <w:tc>
          <w:tcPr>
            <w:tcW w:w="833" w:type="pct"/>
            <w:tcBorders>
              <w:top w:val="single" w:sz="8" w:space="0" w:color="auto"/>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Estiércol</w:t>
            </w:r>
          </w:p>
        </w:tc>
        <w:tc>
          <w:tcPr>
            <w:tcW w:w="1879" w:type="pct"/>
            <w:tcBorders>
              <w:top w:val="nil"/>
              <w:left w:val="single" w:sz="8" w:space="0" w:color="auto"/>
              <w:bottom w:val="nil"/>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Conejo</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8,4</w:t>
            </w:r>
          </w:p>
        </w:tc>
        <w:tc>
          <w:tcPr>
            <w:tcW w:w="569" w:type="pct"/>
            <w:tcBorders>
              <w:top w:val="nil"/>
              <w:left w:val="nil"/>
              <w:bottom w:val="nil"/>
              <w:right w:val="nil"/>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10,3</w:t>
            </w:r>
          </w:p>
        </w:tc>
        <w:tc>
          <w:tcPr>
            <w:tcW w:w="569" w:type="pct"/>
            <w:tcBorders>
              <w:top w:val="nil"/>
              <w:left w:val="nil"/>
              <w:bottom w:val="nil"/>
              <w:right w:val="single" w:sz="8" w:space="0" w:color="auto"/>
            </w:tcBorders>
            <w:shd w:val="clear" w:color="auto" w:fill="FFFFFF"/>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9,5</w:t>
            </w:r>
          </w:p>
        </w:tc>
      </w:tr>
      <w:tr w:rsidR="000E5335" w:rsidRPr="00993936" w:rsidTr="000E5335">
        <w:trPr>
          <w:trHeight w:val="300"/>
        </w:trPr>
        <w:tc>
          <w:tcPr>
            <w:tcW w:w="1414" w:type="pct"/>
            <w:gridSpan w:val="2"/>
            <w:vMerge w:val="restart"/>
            <w:tcBorders>
              <w:top w:val="single" w:sz="8" w:space="0" w:color="auto"/>
              <w:left w:val="single" w:sz="8" w:space="0" w:color="auto"/>
              <w:right w:val="nil"/>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Altres*</w:t>
            </w:r>
          </w:p>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 xml:space="preserve"> </w:t>
            </w:r>
          </w:p>
        </w:tc>
        <w:tc>
          <w:tcPr>
            <w:tcW w:w="1879" w:type="pct"/>
            <w:tcBorders>
              <w:top w:val="single" w:sz="8" w:space="0" w:color="auto"/>
              <w:left w:val="single" w:sz="8" w:space="0" w:color="auto"/>
              <w:bottom w:val="nil"/>
              <w:right w:val="nil"/>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Compuesto de estiércol</w:t>
            </w:r>
          </w:p>
        </w:tc>
        <w:tc>
          <w:tcPr>
            <w:tcW w:w="569" w:type="pct"/>
            <w:tcBorders>
              <w:top w:val="single" w:sz="8" w:space="0" w:color="auto"/>
              <w:left w:val="nil"/>
              <w:bottom w:val="nil"/>
              <w:right w:val="nil"/>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12,0</w:t>
            </w:r>
          </w:p>
        </w:tc>
        <w:tc>
          <w:tcPr>
            <w:tcW w:w="569" w:type="pct"/>
            <w:tcBorders>
              <w:top w:val="single" w:sz="8" w:space="0" w:color="auto"/>
              <w:left w:val="nil"/>
              <w:bottom w:val="nil"/>
              <w:right w:val="nil"/>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15,6</w:t>
            </w:r>
          </w:p>
        </w:tc>
        <w:tc>
          <w:tcPr>
            <w:tcW w:w="569" w:type="pct"/>
            <w:tcBorders>
              <w:top w:val="single" w:sz="8" w:space="0" w:color="auto"/>
              <w:left w:val="nil"/>
              <w:bottom w:val="nil"/>
              <w:right w:val="single" w:sz="8" w:space="0" w:color="auto"/>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12,5</w:t>
            </w:r>
          </w:p>
        </w:tc>
      </w:tr>
      <w:tr w:rsidR="000E5335" w:rsidRPr="00993936" w:rsidTr="000E5335">
        <w:trPr>
          <w:trHeight w:val="300"/>
        </w:trPr>
        <w:tc>
          <w:tcPr>
            <w:tcW w:w="1414" w:type="pct"/>
            <w:gridSpan w:val="2"/>
            <w:vMerge/>
            <w:tcBorders>
              <w:left w:val="single" w:sz="8" w:space="0" w:color="auto"/>
              <w:right w:val="nil"/>
            </w:tcBorders>
            <w:shd w:val="clear" w:color="auto" w:fill="FFFFFF"/>
            <w:noWrap/>
            <w:vAlign w:val="bottom"/>
          </w:tcPr>
          <w:p w:rsidR="00202B3A" w:rsidRPr="00993936" w:rsidRDefault="00202B3A" w:rsidP="000E5335">
            <w:pPr>
              <w:pStyle w:val="Sinespaciado"/>
              <w:rPr>
                <w:rFonts w:ascii="Arial" w:hAnsi="Arial" w:cs="Arial"/>
                <w:lang w:val="es-ES" w:eastAsia="ca-ES"/>
              </w:rPr>
            </w:pPr>
          </w:p>
        </w:tc>
        <w:tc>
          <w:tcPr>
            <w:tcW w:w="1879" w:type="pct"/>
            <w:tcBorders>
              <w:top w:val="nil"/>
              <w:left w:val="single" w:sz="8" w:space="0" w:color="auto"/>
              <w:bottom w:val="nil"/>
              <w:right w:val="nil"/>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Compuesto de lodos de depuradora</w:t>
            </w:r>
          </w:p>
        </w:tc>
        <w:tc>
          <w:tcPr>
            <w:tcW w:w="569" w:type="pct"/>
            <w:tcBorders>
              <w:top w:val="nil"/>
              <w:left w:val="nil"/>
              <w:bottom w:val="nil"/>
              <w:right w:val="nil"/>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18,8</w:t>
            </w:r>
          </w:p>
        </w:tc>
        <w:tc>
          <w:tcPr>
            <w:tcW w:w="569" w:type="pct"/>
            <w:tcBorders>
              <w:top w:val="nil"/>
              <w:left w:val="nil"/>
              <w:bottom w:val="nil"/>
              <w:right w:val="nil"/>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23,3</w:t>
            </w:r>
          </w:p>
        </w:tc>
        <w:tc>
          <w:tcPr>
            <w:tcW w:w="569" w:type="pct"/>
            <w:tcBorders>
              <w:top w:val="nil"/>
              <w:left w:val="nil"/>
              <w:bottom w:val="nil"/>
              <w:right w:val="single" w:sz="8" w:space="0" w:color="auto"/>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6,2</w:t>
            </w:r>
          </w:p>
        </w:tc>
      </w:tr>
      <w:tr w:rsidR="000E5335" w:rsidRPr="00993936" w:rsidTr="000E5335">
        <w:trPr>
          <w:trHeight w:val="300"/>
        </w:trPr>
        <w:tc>
          <w:tcPr>
            <w:tcW w:w="1414" w:type="pct"/>
            <w:gridSpan w:val="2"/>
            <w:vMerge/>
            <w:tcBorders>
              <w:left w:val="single" w:sz="8" w:space="0" w:color="auto"/>
              <w:bottom w:val="single" w:sz="8" w:space="0" w:color="auto"/>
              <w:right w:val="nil"/>
            </w:tcBorders>
            <w:shd w:val="clear" w:color="auto" w:fill="FFFFFF"/>
            <w:noWrap/>
            <w:vAlign w:val="bottom"/>
          </w:tcPr>
          <w:p w:rsidR="00202B3A" w:rsidRPr="00993936" w:rsidRDefault="00202B3A" w:rsidP="000E5335">
            <w:pPr>
              <w:pStyle w:val="Sinespaciado"/>
              <w:rPr>
                <w:rFonts w:ascii="Arial" w:hAnsi="Arial" w:cs="Arial"/>
                <w:lang w:val="es-ES" w:eastAsia="ca-ES"/>
              </w:rPr>
            </w:pPr>
          </w:p>
        </w:tc>
        <w:tc>
          <w:tcPr>
            <w:tcW w:w="1879" w:type="pct"/>
            <w:tcBorders>
              <w:top w:val="nil"/>
              <w:left w:val="single" w:sz="8" w:space="0" w:color="auto"/>
              <w:bottom w:val="single" w:sz="8" w:space="0" w:color="auto"/>
              <w:right w:val="nil"/>
            </w:tcBorders>
            <w:shd w:val="clear" w:color="auto" w:fill="FFFFFF"/>
            <w:noWrap/>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Lodos de depuradora**</w:t>
            </w:r>
          </w:p>
        </w:tc>
        <w:tc>
          <w:tcPr>
            <w:tcW w:w="569" w:type="pct"/>
            <w:tcBorders>
              <w:top w:val="nil"/>
              <w:left w:val="nil"/>
              <w:bottom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10,5</w:t>
            </w:r>
          </w:p>
        </w:tc>
        <w:tc>
          <w:tcPr>
            <w:tcW w:w="569" w:type="pct"/>
            <w:tcBorders>
              <w:top w:val="nil"/>
              <w:left w:val="nil"/>
              <w:bottom w:val="single" w:sz="8" w:space="0" w:color="auto"/>
              <w:right w:val="nil"/>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13,0</w:t>
            </w:r>
          </w:p>
        </w:tc>
        <w:tc>
          <w:tcPr>
            <w:tcW w:w="569" w:type="pct"/>
            <w:tcBorders>
              <w:top w:val="nil"/>
              <w:left w:val="nil"/>
              <w:bottom w:val="single" w:sz="8" w:space="0" w:color="auto"/>
              <w:right w:val="single" w:sz="8" w:space="0" w:color="auto"/>
            </w:tcBorders>
            <w:shd w:val="clear" w:color="auto" w:fill="FFFFFF"/>
            <w:vAlign w:val="center"/>
          </w:tcPr>
          <w:p w:rsidR="00202B3A" w:rsidRPr="00993936" w:rsidRDefault="00202B3A" w:rsidP="000E5335">
            <w:pPr>
              <w:pStyle w:val="Sinespaciado"/>
              <w:rPr>
                <w:rFonts w:ascii="Arial" w:hAnsi="Arial" w:cs="Arial"/>
                <w:lang w:val="es-ES" w:eastAsia="ca-ES"/>
              </w:rPr>
            </w:pPr>
            <w:r w:rsidRPr="00993936">
              <w:rPr>
                <w:rFonts w:ascii="Arial" w:hAnsi="Arial" w:cs="Arial"/>
                <w:lang w:val="es-ES" w:eastAsia="ca-ES"/>
              </w:rPr>
              <w:t>1,2</w:t>
            </w:r>
          </w:p>
        </w:tc>
      </w:tr>
    </w:tbl>
    <w:p w:rsidR="00202B3A" w:rsidRPr="00993936" w:rsidRDefault="00202B3A" w:rsidP="001D205D">
      <w:pPr>
        <w:rPr>
          <w:rFonts w:ascii="Arial" w:hAnsi="Arial" w:cs="Arial"/>
          <w:sz w:val="16"/>
          <w:szCs w:val="16"/>
          <w:lang w:val="es-ES"/>
        </w:rPr>
      </w:pPr>
      <w:r w:rsidRPr="00993936">
        <w:rPr>
          <w:rFonts w:ascii="Arial" w:hAnsi="Arial" w:cs="Arial"/>
          <w:sz w:val="16"/>
          <w:szCs w:val="16"/>
          <w:lang w:val="es-ES"/>
        </w:rPr>
        <w:t>* Estos materiales están sujetos a una variabilidad asociada a las materias primas utilizadas en cada planta</w:t>
      </w:r>
    </w:p>
    <w:p w:rsidR="00202B3A" w:rsidRPr="00993936" w:rsidRDefault="00202B3A" w:rsidP="001D205D">
      <w:pPr>
        <w:rPr>
          <w:rFonts w:ascii="Arial" w:hAnsi="Arial" w:cs="Arial"/>
          <w:sz w:val="16"/>
          <w:szCs w:val="16"/>
          <w:lang w:val="es-ES"/>
        </w:rPr>
      </w:pPr>
      <w:r w:rsidRPr="00993936">
        <w:rPr>
          <w:rFonts w:ascii="Arial" w:hAnsi="Arial" w:cs="Arial"/>
          <w:sz w:val="16"/>
          <w:szCs w:val="16"/>
          <w:lang w:val="es-ES"/>
        </w:rPr>
        <w:t>** Sólo se pueden utilizar lodos de depuradora que hayan sido previamente tratados</w:t>
      </w:r>
    </w:p>
    <w:p w:rsidR="00202B3A" w:rsidRPr="00993936" w:rsidRDefault="00202B3A" w:rsidP="001D205D">
      <w:pPr>
        <w:rPr>
          <w:rFonts w:ascii="Arial" w:hAnsi="Arial" w:cs="Arial"/>
          <w:noProof/>
          <w:lang w:val="es-ES"/>
        </w:rPr>
      </w:pPr>
    </w:p>
    <w:p w:rsidR="00202B3A" w:rsidRPr="00993936" w:rsidRDefault="00202B3A" w:rsidP="001D205D">
      <w:pPr>
        <w:rPr>
          <w:rFonts w:ascii="Arial" w:hAnsi="Arial" w:cs="Arial"/>
          <w:noProof/>
          <w:lang w:val="es-ES"/>
        </w:rPr>
      </w:pPr>
    </w:p>
    <w:p w:rsidR="00202B3A" w:rsidRPr="00993936" w:rsidRDefault="00202B3A" w:rsidP="001D205D">
      <w:pPr>
        <w:rPr>
          <w:rFonts w:ascii="Arial" w:hAnsi="Arial" w:cs="Arial"/>
          <w:noProof/>
          <w:lang w:val="es-ES"/>
        </w:rPr>
      </w:pPr>
    </w:p>
    <w:p w:rsidR="00202B3A" w:rsidRPr="00993936" w:rsidRDefault="00202B3A" w:rsidP="001D205D">
      <w:pPr>
        <w:rPr>
          <w:rFonts w:ascii="Arial" w:hAnsi="Arial" w:cs="Arial"/>
          <w:noProof/>
          <w:lang w:val="es-ES"/>
        </w:rPr>
      </w:pPr>
    </w:p>
    <w:p w:rsidR="00202B3A" w:rsidRPr="00993936" w:rsidRDefault="00202B3A" w:rsidP="001D205D">
      <w:pPr>
        <w:rPr>
          <w:rFonts w:ascii="Arial" w:hAnsi="Arial" w:cs="Arial"/>
          <w:noProof/>
          <w:lang w:val="es-ES"/>
        </w:rPr>
      </w:pPr>
    </w:p>
    <w:p w:rsidR="00202B3A" w:rsidRPr="00993936" w:rsidRDefault="00202B3A" w:rsidP="001D205D">
      <w:pPr>
        <w:rPr>
          <w:rFonts w:ascii="Arial" w:hAnsi="Arial" w:cs="Arial"/>
          <w:noProof/>
          <w:lang w:val="es-ES"/>
        </w:rPr>
      </w:pPr>
    </w:p>
    <w:p w:rsidR="00202B3A" w:rsidRPr="00993936" w:rsidRDefault="00202B3A" w:rsidP="001D205D">
      <w:pPr>
        <w:pStyle w:val="Ttulo3"/>
        <w:rPr>
          <w:rFonts w:ascii="Arial" w:hAnsi="Arial" w:cs="Arial"/>
          <w:noProof/>
          <w:color w:val="auto"/>
          <w:lang w:val="es-ES"/>
        </w:rPr>
      </w:pPr>
      <w:r w:rsidRPr="00993936">
        <w:rPr>
          <w:rFonts w:ascii="Arial" w:hAnsi="Arial" w:cs="Arial"/>
          <w:noProof/>
          <w:color w:val="auto"/>
          <w:lang w:val="es-ES"/>
        </w:rPr>
        <w:t>ANEXO 5</w:t>
      </w:r>
    </w:p>
    <w:p w:rsidR="00202B3A" w:rsidRPr="00993936" w:rsidRDefault="00202B3A" w:rsidP="001D205D">
      <w:pPr>
        <w:rPr>
          <w:rFonts w:ascii="Arial" w:hAnsi="Arial" w:cs="Arial"/>
          <w:lang w:val="es-ES"/>
        </w:rPr>
      </w:pPr>
    </w:p>
    <w:p w:rsidR="00202B3A" w:rsidRPr="00993936" w:rsidRDefault="00202B3A" w:rsidP="001D205D">
      <w:pPr>
        <w:jc w:val="both"/>
        <w:rPr>
          <w:rFonts w:ascii="Arial" w:hAnsi="Arial" w:cs="Arial"/>
          <w:b/>
          <w:noProof/>
          <w:lang w:val="es-ES"/>
        </w:rPr>
      </w:pPr>
      <w:r w:rsidRPr="00993936">
        <w:rPr>
          <w:rFonts w:ascii="Arial" w:hAnsi="Arial" w:cs="Arial"/>
          <w:b/>
          <w:noProof/>
          <w:lang w:val="es-ES"/>
        </w:rPr>
        <w:t>5.1 Niveles orientativos del contenido de nutrientes en hojas de cereales en floración</w:t>
      </w:r>
    </w:p>
    <w:p w:rsidR="00202B3A" w:rsidRPr="00993936" w:rsidRDefault="00202B3A" w:rsidP="001D205D">
      <w:pPr>
        <w:jc w:val="both"/>
        <w:rPr>
          <w:rFonts w:ascii="Arial" w:hAnsi="Arial" w:cs="Arial"/>
          <w:b/>
          <w:noProof/>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0"/>
        <w:gridCol w:w="3544"/>
        <w:gridCol w:w="3827"/>
      </w:tblGrid>
      <w:tr w:rsidR="00202B3A" w:rsidRPr="00993936">
        <w:trPr>
          <w:tblHeader/>
        </w:trPr>
        <w:tc>
          <w:tcPr>
            <w:tcW w:w="1701" w:type="dxa"/>
            <w:gridSpan w:val="2"/>
            <w:shd w:val="pct12" w:color="auto" w:fill="FFFFFF"/>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Elemento</w:t>
            </w:r>
          </w:p>
        </w:tc>
        <w:tc>
          <w:tcPr>
            <w:tcW w:w="3544" w:type="dxa"/>
            <w:shd w:val="pct12" w:color="auto" w:fill="FFFFFF"/>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3827" w:type="dxa"/>
            <w:shd w:val="pct12" w:color="auto" w:fill="FFFFFF"/>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Cebada</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N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1,9 – 2,3</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2.0 – 3.0</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P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0,2 – 0,5</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0.20 – 0.50</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K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1,0 – 2,5</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1.5 – 3.0</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Casa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&gt; 0,2</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&gt; 0,5</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Mg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0,15 – 0,50</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&gt; 1,2</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Fe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ppm</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25 – 100</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50 – 150</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Mn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ppm</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50</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25 – 100</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Cu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ppm</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2 – 4</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4,80 – 6,80</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Zn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ppm</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15 – 70</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25 – 100</w:t>
            </w:r>
          </w:p>
        </w:tc>
      </w:tr>
      <w:tr w:rsidR="00202B3A" w:rsidRPr="00993936">
        <w:tc>
          <w:tcPr>
            <w:tcW w:w="851"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B   </w:t>
            </w:r>
          </w:p>
        </w:tc>
        <w:tc>
          <w:tcPr>
            <w:tcW w:w="850"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ppm</w:t>
            </w:r>
          </w:p>
        </w:tc>
        <w:tc>
          <w:tcPr>
            <w:tcW w:w="3544"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 </w:t>
            </w:r>
          </w:p>
        </w:tc>
        <w:tc>
          <w:tcPr>
            <w:tcW w:w="3827" w:type="dxa"/>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 </w:t>
            </w:r>
          </w:p>
        </w:tc>
      </w:tr>
    </w:tbl>
    <w:p w:rsidR="00202B3A" w:rsidRPr="00993936" w:rsidRDefault="00202B3A" w:rsidP="001D205D">
      <w:pPr>
        <w:jc w:val="both"/>
        <w:rPr>
          <w:rFonts w:ascii="Arial" w:hAnsi="Arial" w:cs="Arial"/>
          <w:b/>
          <w:noProof/>
          <w:lang w:val="es-ES"/>
        </w:rPr>
      </w:pPr>
    </w:p>
    <w:p w:rsidR="00202B3A" w:rsidRPr="00993936" w:rsidRDefault="00202B3A" w:rsidP="001D205D">
      <w:pPr>
        <w:jc w:val="both"/>
        <w:rPr>
          <w:rFonts w:ascii="Arial" w:hAnsi="Arial" w:cs="Arial"/>
          <w:b/>
          <w:noProof/>
          <w:lang w:val="es-ES"/>
        </w:rPr>
      </w:pPr>
      <w:r w:rsidRPr="00993936">
        <w:rPr>
          <w:rFonts w:ascii="Arial" w:hAnsi="Arial" w:cs="Arial"/>
          <w:b/>
          <w:noProof/>
          <w:lang w:val="es-ES"/>
        </w:rPr>
        <w:t>ANEXO 6</w:t>
      </w:r>
    </w:p>
    <w:p w:rsidR="00202B3A" w:rsidRPr="00993936" w:rsidRDefault="00202B3A" w:rsidP="001D205D">
      <w:pPr>
        <w:jc w:val="both"/>
        <w:rPr>
          <w:rFonts w:ascii="Arial" w:hAnsi="Arial" w:cs="Arial"/>
          <w:b/>
          <w:noProof/>
          <w:lang w:val="es-ES"/>
        </w:rPr>
      </w:pPr>
    </w:p>
    <w:p w:rsidR="00202B3A" w:rsidRPr="00993936" w:rsidRDefault="00202B3A" w:rsidP="001D205D">
      <w:pPr>
        <w:jc w:val="both"/>
        <w:rPr>
          <w:rFonts w:ascii="Arial" w:hAnsi="Arial" w:cs="Arial"/>
          <w:b/>
          <w:noProof/>
          <w:lang w:val="es-ES"/>
        </w:rPr>
      </w:pPr>
      <w:r w:rsidRPr="00993936">
        <w:rPr>
          <w:rFonts w:ascii="Arial" w:hAnsi="Arial" w:cs="Arial"/>
          <w:b/>
          <w:noProof/>
          <w:lang w:val="es-ES"/>
        </w:rPr>
        <w:t>6.1 Método Merrien- Keller para el cálculo del coeficiente de uniformidad de un sistema de riego</w:t>
      </w:r>
    </w:p>
    <w:p w:rsidR="00202B3A" w:rsidRPr="00993936" w:rsidRDefault="00202B3A" w:rsidP="001D205D">
      <w:pPr>
        <w:jc w:val="both"/>
        <w:rPr>
          <w:rFonts w:ascii="Arial" w:hAnsi="Arial" w:cs="Arial"/>
          <w:b/>
          <w:noProof/>
          <w:lang w:val="es-ES"/>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202B3A" w:rsidRPr="00993936">
        <w:tc>
          <w:tcPr>
            <w:tcW w:w="496" w:type="dxa"/>
            <w:vMerge w:val="restart"/>
            <w:vAlign w:val="center"/>
          </w:tcPr>
          <w:p w:rsidR="00202B3A" w:rsidRPr="00993936" w:rsidRDefault="00202B3A" w:rsidP="001D205D">
            <w:pPr>
              <w:rPr>
                <w:rFonts w:ascii="Arial" w:hAnsi="Arial" w:cs="Arial"/>
                <w:noProof/>
                <w:lang w:val="es-ES"/>
              </w:rPr>
            </w:pPr>
            <w:r w:rsidRPr="00993936">
              <w:rPr>
                <w:rFonts w:ascii="Arial" w:hAnsi="Arial" w:cs="Arial"/>
                <w:noProof/>
                <w:lang w:val="es-ES" w:eastAsia="es-ES"/>
              </w:rPr>
              <mc:AlternateContent>
                <mc:Choice Requires="wps">
                  <w:drawing>
                    <wp:anchor distT="0" distB="0" distL="114300" distR="114300" simplePos="0" relativeHeight="251890688" behindDoc="0" locked="0" layoutInCell="1" allowOverlap="1">
                      <wp:simplePos x="0" y="0"/>
                      <wp:positionH relativeFrom="column">
                        <wp:posOffset>522605</wp:posOffset>
                      </wp:positionH>
                      <wp:positionV relativeFrom="paragraph">
                        <wp:posOffset>231140</wp:posOffset>
                      </wp:positionV>
                      <wp:extent cx="365760" cy="0"/>
                      <wp:effectExtent l="0" t="0" r="0" b="0"/>
                      <wp:wrapNone/>
                      <wp:docPr id="7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3326F2" id="Line 29"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8.2pt" to="69.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jh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"/>
                  </w:pict>
                </mc:Fallback>
              </mc:AlternateContent>
            </w:r>
            <w:r w:rsidRPr="00993936">
              <w:rPr>
                <w:rFonts w:ascii="Arial" w:hAnsi="Arial" w:cs="Arial"/>
                <w:noProof/>
                <w:lang w:val="es-ES"/>
              </w:rPr>
              <w:t>CU</w:t>
            </w:r>
          </w:p>
        </w:tc>
        <w:tc>
          <w:tcPr>
            <w:tcW w:w="283" w:type="dxa"/>
          </w:tcPr>
          <w:p w:rsidR="00202B3A" w:rsidRPr="00993936" w:rsidRDefault="00202B3A" w:rsidP="001D205D">
            <w:pPr>
              <w:jc w:val="both"/>
              <w:rPr>
                <w:rFonts w:ascii="Arial" w:hAnsi="Arial" w:cs="Arial"/>
                <w:noProof/>
                <w:lang w:val="es-ES"/>
              </w:rPr>
            </w:pPr>
          </w:p>
        </w:tc>
        <w:tc>
          <w:tcPr>
            <w:tcW w:w="709" w:type="dxa"/>
          </w:tcPr>
          <w:p w:rsidR="00202B3A" w:rsidRPr="00993936" w:rsidRDefault="00202B3A" w:rsidP="001D205D">
            <w:pPr>
              <w:jc w:val="center"/>
              <w:rPr>
                <w:rFonts w:ascii="Arial" w:hAnsi="Arial" w:cs="Arial"/>
                <w:noProof/>
                <w:lang w:val="es-ES"/>
              </w:rPr>
            </w:pPr>
            <w:r w:rsidRPr="00993936">
              <w:rPr>
                <w:rFonts w:ascii="Arial" w:hAnsi="Arial" w:cs="Arial"/>
                <w:noProof/>
                <w:lang w:val="es-ES"/>
              </w:rPr>
              <w:t>Q</w:t>
            </w:r>
            <w:r w:rsidRPr="00993936">
              <w:rPr>
                <w:rFonts w:ascii="Arial" w:hAnsi="Arial" w:cs="Arial"/>
                <w:noProof/>
                <w:vertAlign w:val="subscript"/>
                <w:lang w:val="es-ES"/>
              </w:rPr>
              <w:t>25%</w:t>
            </w:r>
          </w:p>
        </w:tc>
        <w:tc>
          <w:tcPr>
            <w:tcW w:w="283" w:type="dxa"/>
          </w:tcPr>
          <w:p w:rsidR="00202B3A" w:rsidRPr="00993936" w:rsidRDefault="00202B3A" w:rsidP="001D205D">
            <w:pPr>
              <w:jc w:val="both"/>
              <w:rPr>
                <w:rFonts w:ascii="Arial" w:hAnsi="Arial" w:cs="Arial"/>
                <w:noProof/>
                <w:lang w:val="es-ES"/>
              </w:rPr>
            </w:pPr>
          </w:p>
        </w:tc>
        <w:tc>
          <w:tcPr>
            <w:tcW w:w="4804" w:type="dxa"/>
          </w:tcPr>
          <w:p w:rsidR="00202B3A" w:rsidRPr="00993936" w:rsidRDefault="00202B3A" w:rsidP="001D205D">
            <w:pPr>
              <w:jc w:val="both"/>
              <w:rPr>
                <w:rFonts w:ascii="Arial" w:hAnsi="Arial" w:cs="Arial"/>
                <w:noProof/>
                <w:lang w:val="es-ES"/>
              </w:rPr>
            </w:pPr>
          </w:p>
        </w:tc>
        <w:tc>
          <w:tcPr>
            <w:tcW w:w="1315" w:type="dxa"/>
          </w:tcPr>
          <w:p w:rsidR="00202B3A" w:rsidRPr="00993936" w:rsidRDefault="00202B3A" w:rsidP="001D205D">
            <w:pPr>
              <w:jc w:val="both"/>
              <w:rPr>
                <w:rFonts w:ascii="Arial" w:hAnsi="Arial" w:cs="Arial"/>
                <w:noProof/>
                <w:lang w:val="es-ES"/>
              </w:rPr>
            </w:pPr>
          </w:p>
        </w:tc>
        <w:tc>
          <w:tcPr>
            <w:tcW w:w="1315" w:type="dxa"/>
          </w:tcPr>
          <w:p w:rsidR="00202B3A" w:rsidRPr="00993936" w:rsidRDefault="00202B3A" w:rsidP="001D205D">
            <w:pPr>
              <w:jc w:val="both"/>
              <w:rPr>
                <w:rFonts w:ascii="Arial" w:hAnsi="Arial" w:cs="Arial"/>
                <w:noProof/>
                <w:lang w:val="es-ES"/>
              </w:rPr>
            </w:pPr>
          </w:p>
        </w:tc>
      </w:tr>
      <w:tr w:rsidR="00202B3A" w:rsidRPr="00993936">
        <w:trPr>
          <w:trHeight w:val="184"/>
        </w:trPr>
        <w:tc>
          <w:tcPr>
            <w:tcW w:w="496" w:type="dxa"/>
            <w:vMerge/>
          </w:tcPr>
          <w:p w:rsidR="00202B3A" w:rsidRPr="00993936" w:rsidRDefault="00202B3A" w:rsidP="001D205D">
            <w:pPr>
              <w:jc w:val="both"/>
              <w:rPr>
                <w:rFonts w:ascii="Arial" w:hAnsi="Arial" w:cs="Arial"/>
                <w:noProof/>
                <w:lang w:val="es-ES"/>
              </w:rPr>
            </w:pPr>
          </w:p>
        </w:tc>
        <w:tc>
          <w:tcPr>
            <w:tcW w:w="283"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w:t>
            </w:r>
          </w:p>
        </w:tc>
        <w:tc>
          <w:tcPr>
            <w:tcW w:w="709" w:type="dxa"/>
          </w:tcPr>
          <w:p w:rsidR="00202B3A" w:rsidRPr="00993936" w:rsidRDefault="00202B3A" w:rsidP="001D205D">
            <w:pPr>
              <w:rPr>
                <w:rFonts w:ascii="Arial" w:hAnsi="Arial" w:cs="Arial"/>
                <w:noProof/>
                <w:lang w:val="es-ES"/>
              </w:rPr>
            </w:pPr>
          </w:p>
        </w:tc>
        <w:tc>
          <w:tcPr>
            <w:tcW w:w="283"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x</w:t>
            </w:r>
          </w:p>
        </w:tc>
        <w:tc>
          <w:tcPr>
            <w:tcW w:w="4804"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100</w:t>
            </w:r>
          </w:p>
        </w:tc>
        <w:tc>
          <w:tcPr>
            <w:tcW w:w="1315" w:type="dxa"/>
          </w:tcPr>
          <w:p w:rsidR="00202B3A" w:rsidRPr="00993936" w:rsidRDefault="00202B3A" w:rsidP="001D205D">
            <w:pPr>
              <w:jc w:val="both"/>
              <w:rPr>
                <w:rFonts w:ascii="Arial" w:hAnsi="Arial" w:cs="Arial"/>
                <w:noProof/>
                <w:lang w:val="es-ES"/>
              </w:rPr>
            </w:pPr>
          </w:p>
        </w:tc>
        <w:tc>
          <w:tcPr>
            <w:tcW w:w="1315" w:type="dxa"/>
          </w:tcPr>
          <w:p w:rsidR="00202B3A" w:rsidRPr="00993936" w:rsidRDefault="00202B3A" w:rsidP="001D205D">
            <w:pPr>
              <w:jc w:val="both"/>
              <w:rPr>
                <w:rFonts w:ascii="Arial" w:hAnsi="Arial" w:cs="Arial"/>
                <w:noProof/>
                <w:lang w:val="es-ES"/>
              </w:rPr>
            </w:pPr>
          </w:p>
        </w:tc>
      </w:tr>
      <w:tr w:rsidR="00202B3A" w:rsidRPr="00993936">
        <w:tc>
          <w:tcPr>
            <w:tcW w:w="496" w:type="dxa"/>
            <w:vMerge/>
          </w:tcPr>
          <w:p w:rsidR="00202B3A" w:rsidRPr="00993936" w:rsidRDefault="00202B3A" w:rsidP="001D205D">
            <w:pPr>
              <w:jc w:val="both"/>
              <w:rPr>
                <w:rFonts w:ascii="Arial" w:hAnsi="Arial" w:cs="Arial"/>
                <w:noProof/>
                <w:lang w:val="es-ES"/>
              </w:rPr>
            </w:pPr>
          </w:p>
        </w:tc>
        <w:tc>
          <w:tcPr>
            <w:tcW w:w="283" w:type="dxa"/>
          </w:tcPr>
          <w:p w:rsidR="00202B3A" w:rsidRPr="00993936" w:rsidRDefault="00202B3A" w:rsidP="001D205D">
            <w:pPr>
              <w:jc w:val="both"/>
              <w:rPr>
                <w:rFonts w:ascii="Arial" w:hAnsi="Arial" w:cs="Arial"/>
                <w:noProof/>
                <w:lang w:val="es-ES"/>
              </w:rPr>
            </w:pPr>
          </w:p>
        </w:tc>
        <w:tc>
          <w:tcPr>
            <w:tcW w:w="709" w:type="dxa"/>
          </w:tcPr>
          <w:p w:rsidR="00202B3A" w:rsidRPr="00993936" w:rsidRDefault="00202B3A" w:rsidP="001D205D">
            <w:pPr>
              <w:jc w:val="center"/>
              <w:rPr>
                <w:rFonts w:ascii="Arial" w:hAnsi="Arial" w:cs="Arial"/>
                <w:noProof/>
                <w:lang w:val="es-ES"/>
              </w:rPr>
            </w:pPr>
            <w:r w:rsidRPr="00993936">
              <w:rPr>
                <w:rFonts w:ascii="Arial" w:hAnsi="Arial" w:cs="Arial"/>
                <w:noProof/>
                <w:lang w:val="es-ES"/>
              </w:rPr>
              <w:t>Q</w:t>
            </w:r>
            <w:r w:rsidRPr="00993936">
              <w:rPr>
                <w:rFonts w:ascii="Arial" w:hAnsi="Arial" w:cs="Arial"/>
                <w:noProof/>
                <w:vertAlign w:val="subscript"/>
                <w:lang w:val="es-ES"/>
              </w:rPr>
              <w:t>n</w:t>
            </w:r>
          </w:p>
        </w:tc>
        <w:tc>
          <w:tcPr>
            <w:tcW w:w="283" w:type="dxa"/>
          </w:tcPr>
          <w:p w:rsidR="00202B3A" w:rsidRPr="00993936" w:rsidRDefault="00202B3A" w:rsidP="001D205D">
            <w:pPr>
              <w:jc w:val="both"/>
              <w:rPr>
                <w:rFonts w:ascii="Arial" w:hAnsi="Arial" w:cs="Arial"/>
                <w:noProof/>
                <w:lang w:val="es-ES"/>
              </w:rPr>
            </w:pPr>
          </w:p>
        </w:tc>
        <w:tc>
          <w:tcPr>
            <w:tcW w:w="4804" w:type="dxa"/>
          </w:tcPr>
          <w:p w:rsidR="00202B3A" w:rsidRPr="00993936" w:rsidRDefault="00202B3A" w:rsidP="001D205D">
            <w:pPr>
              <w:jc w:val="both"/>
              <w:rPr>
                <w:rFonts w:ascii="Arial" w:hAnsi="Arial" w:cs="Arial"/>
                <w:noProof/>
                <w:lang w:val="es-ES"/>
              </w:rPr>
            </w:pPr>
          </w:p>
        </w:tc>
        <w:tc>
          <w:tcPr>
            <w:tcW w:w="1315" w:type="dxa"/>
          </w:tcPr>
          <w:p w:rsidR="00202B3A" w:rsidRPr="00993936" w:rsidRDefault="00202B3A" w:rsidP="001D205D">
            <w:pPr>
              <w:jc w:val="both"/>
              <w:rPr>
                <w:rFonts w:ascii="Arial" w:hAnsi="Arial" w:cs="Arial"/>
                <w:noProof/>
                <w:lang w:val="es-ES"/>
              </w:rPr>
            </w:pPr>
          </w:p>
        </w:tc>
        <w:tc>
          <w:tcPr>
            <w:tcW w:w="1315" w:type="dxa"/>
          </w:tcPr>
          <w:p w:rsidR="00202B3A" w:rsidRPr="00993936" w:rsidRDefault="00202B3A" w:rsidP="001D205D">
            <w:pPr>
              <w:jc w:val="both"/>
              <w:rPr>
                <w:rFonts w:ascii="Arial" w:hAnsi="Arial" w:cs="Arial"/>
                <w:noProof/>
                <w:lang w:val="es-ES"/>
              </w:rPr>
            </w:pPr>
          </w:p>
        </w:tc>
      </w:tr>
    </w:tbl>
    <w:p w:rsidR="00202B3A" w:rsidRPr="00993936" w:rsidRDefault="00202B3A" w:rsidP="001D205D">
      <w:pPr>
        <w:jc w:val="both"/>
        <w:rPr>
          <w:rFonts w:ascii="Arial" w:hAnsi="Arial" w:cs="Arial"/>
          <w:b/>
          <w:noProof/>
          <w:snapToGrid w:val="0"/>
          <w:lang w:val="es-E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202B3A" w:rsidRPr="00993936">
        <w:tc>
          <w:tcPr>
            <w:tcW w:w="779"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CU</w:t>
            </w:r>
          </w:p>
        </w:tc>
        <w:tc>
          <w:tcPr>
            <w:tcW w:w="284"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w:t>
            </w:r>
          </w:p>
        </w:tc>
        <w:tc>
          <w:tcPr>
            <w:tcW w:w="8147"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Coeficiente de uniformidad.</w:t>
            </w:r>
          </w:p>
        </w:tc>
      </w:tr>
      <w:tr w:rsidR="00202B3A" w:rsidRPr="00993936">
        <w:tc>
          <w:tcPr>
            <w:tcW w:w="779"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Q</w:t>
            </w:r>
            <w:r w:rsidRPr="00993936">
              <w:rPr>
                <w:rFonts w:ascii="Arial" w:hAnsi="Arial" w:cs="Arial"/>
                <w:noProof/>
                <w:vertAlign w:val="subscript"/>
                <w:lang w:val="es-ES"/>
              </w:rPr>
              <w:t>25%</w:t>
            </w:r>
          </w:p>
        </w:tc>
        <w:tc>
          <w:tcPr>
            <w:tcW w:w="284"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w:t>
            </w:r>
          </w:p>
        </w:tc>
        <w:tc>
          <w:tcPr>
            <w:tcW w:w="8147" w:type="dxa"/>
          </w:tcPr>
          <w:p w:rsidR="00202B3A" w:rsidRPr="00993936" w:rsidRDefault="00202B3A" w:rsidP="001D205D">
            <w:pPr>
              <w:jc w:val="both"/>
              <w:outlineLvl w:val="0"/>
              <w:rPr>
                <w:rFonts w:ascii="Arial" w:hAnsi="Arial" w:cs="Arial"/>
                <w:noProof/>
                <w:lang w:val="es-ES"/>
              </w:rPr>
            </w:pPr>
            <w:r w:rsidRPr="00993936">
              <w:rPr>
                <w:rFonts w:ascii="Arial" w:hAnsi="Arial" w:cs="Arial"/>
                <w:noProof/>
                <w:lang w:val="es-ES"/>
              </w:rPr>
              <w:t>Media aritmética del caudal de descarga del 25% de los emisores con caudal más reducido.</w:t>
            </w:r>
          </w:p>
        </w:tc>
      </w:tr>
      <w:tr w:rsidR="00202B3A" w:rsidRPr="00993936">
        <w:tc>
          <w:tcPr>
            <w:tcW w:w="779"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Q</w:t>
            </w:r>
            <w:r w:rsidRPr="00993936">
              <w:rPr>
                <w:rFonts w:ascii="Arial" w:hAnsi="Arial" w:cs="Arial"/>
                <w:noProof/>
                <w:vertAlign w:val="subscript"/>
                <w:lang w:val="es-ES"/>
              </w:rPr>
              <w:t>n</w:t>
            </w:r>
          </w:p>
        </w:tc>
        <w:tc>
          <w:tcPr>
            <w:tcW w:w="284"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w:t>
            </w:r>
          </w:p>
        </w:tc>
        <w:tc>
          <w:tcPr>
            <w:tcW w:w="8147"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Caudal medio de todos los emisores.</w:t>
            </w:r>
          </w:p>
        </w:tc>
      </w:tr>
      <w:tr w:rsidR="00202B3A" w:rsidRPr="00993936">
        <w:tc>
          <w:tcPr>
            <w:tcW w:w="779"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n</w:t>
            </w:r>
          </w:p>
        </w:tc>
        <w:tc>
          <w:tcPr>
            <w:tcW w:w="284"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w:t>
            </w:r>
          </w:p>
        </w:tc>
        <w:tc>
          <w:tcPr>
            <w:tcW w:w="8147" w:type="dxa"/>
          </w:tcPr>
          <w:p w:rsidR="00202B3A" w:rsidRPr="00993936" w:rsidRDefault="00202B3A" w:rsidP="001D205D">
            <w:pPr>
              <w:jc w:val="both"/>
              <w:rPr>
                <w:rFonts w:ascii="Arial" w:hAnsi="Arial" w:cs="Arial"/>
                <w:noProof/>
                <w:lang w:val="es-ES"/>
              </w:rPr>
            </w:pPr>
            <w:r w:rsidRPr="00993936">
              <w:rPr>
                <w:rFonts w:ascii="Arial" w:hAnsi="Arial" w:cs="Arial"/>
                <w:noProof/>
                <w:lang w:val="es-ES"/>
              </w:rPr>
              <w:t>Número de unidades o puestos de control (Se recomienda que n ≥16). Cuando la unidad de control tenga más de un emisor, el caudal total a considerar será la suma del caudal de todos los emisores que constituyen la unidad.</w:t>
            </w:r>
          </w:p>
        </w:tc>
      </w:tr>
    </w:tbl>
    <w:p w:rsidR="00202B3A" w:rsidRPr="00993936" w:rsidRDefault="00202B3A" w:rsidP="001D205D">
      <w:pPr>
        <w:pStyle w:val="Ttulo4"/>
        <w:rPr>
          <w:rFonts w:ascii="Arial" w:hAnsi="Arial" w:cs="Arial"/>
          <w:b/>
          <w:i w:val="0"/>
          <w:noProof/>
          <w:color w:val="auto"/>
          <w:lang w:val="es-ES"/>
        </w:rPr>
      </w:pPr>
    </w:p>
    <w:p w:rsidR="00202B3A" w:rsidRPr="00993936" w:rsidRDefault="00202B3A" w:rsidP="001D205D">
      <w:pPr>
        <w:pStyle w:val="Ttulo4"/>
        <w:rPr>
          <w:rFonts w:ascii="Arial" w:hAnsi="Arial" w:cs="Arial"/>
          <w:b/>
          <w:i w:val="0"/>
          <w:noProof/>
          <w:color w:val="auto"/>
          <w:lang w:val="es-ES"/>
        </w:rPr>
      </w:pPr>
    </w:p>
    <w:p w:rsidR="00202B3A" w:rsidRPr="00993936" w:rsidRDefault="00202B3A" w:rsidP="001D205D">
      <w:pPr>
        <w:pStyle w:val="Ttulo4"/>
        <w:rPr>
          <w:rFonts w:ascii="Arial" w:hAnsi="Arial" w:cs="Arial"/>
          <w:b/>
          <w:i w:val="0"/>
          <w:noProof/>
          <w:color w:val="auto"/>
          <w:lang w:val="es-ES"/>
        </w:rPr>
      </w:pPr>
      <w:r w:rsidRPr="00993936">
        <w:rPr>
          <w:rFonts w:ascii="Arial" w:hAnsi="Arial" w:cs="Arial"/>
          <w:noProof/>
          <w:color w:val="auto"/>
          <w:lang w:val="es-ES"/>
        </w:rPr>
        <w:br w:type="page"/>
      </w:r>
      <w:r w:rsidRPr="00993936">
        <w:rPr>
          <w:rFonts w:ascii="Arial" w:hAnsi="Arial" w:cs="Arial"/>
          <w:b/>
          <w:i w:val="0"/>
          <w:noProof/>
          <w:color w:val="auto"/>
          <w:lang w:val="es-ES"/>
        </w:rPr>
        <w:lastRenderedPageBreak/>
        <w:t>ANEXO 7</w:t>
      </w:r>
    </w:p>
    <w:p w:rsidR="00202B3A" w:rsidRPr="00993936" w:rsidRDefault="00202B3A" w:rsidP="001D205D">
      <w:pPr>
        <w:rPr>
          <w:rFonts w:ascii="Arial" w:hAnsi="Arial" w:cs="Arial"/>
          <w:noProof/>
          <w:lang w:val="es-ES"/>
        </w:rPr>
      </w:pPr>
    </w:p>
    <w:p w:rsidR="00202B3A" w:rsidRPr="00993936" w:rsidRDefault="00202B3A" w:rsidP="001D205D">
      <w:pPr>
        <w:pStyle w:val="Ttulo4"/>
        <w:rPr>
          <w:rFonts w:ascii="Arial" w:hAnsi="Arial" w:cs="Arial"/>
          <w:noProof/>
          <w:color w:val="auto"/>
          <w:lang w:val="es-ES"/>
        </w:rPr>
      </w:pPr>
      <w:r w:rsidRPr="00993936">
        <w:rPr>
          <w:rFonts w:ascii="Arial" w:hAnsi="Arial" w:cs="Arial"/>
          <w:b/>
          <w:i w:val="0"/>
          <w:noProof/>
          <w:color w:val="auto"/>
          <w:lang w:val="es-ES"/>
        </w:rPr>
        <w:t>7.1 Desinfección de semillas de cereal (trigo, cebada, avena, centeno y triticale)</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66"/>
        <w:gridCol w:w="1491"/>
        <w:gridCol w:w="4191"/>
      </w:tblGrid>
      <w:tr w:rsidR="00202B3A" w:rsidRPr="00993936" w:rsidTr="000E5335">
        <w:trPr>
          <w:cantSplit/>
          <w:trHeight w:val="617"/>
          <w:tblHeader/>
          <w:jc w:val="center"/>
        </w:trPr>
        <w:tc>
          <w:tcPr>
            <w:tcW w:w="3466" w:type="dxa"/>
            <w:shd w:val="pct12" w:color="auto" w:fill="FFFFFF"/>
            <w:vAlign w:val="center"/>
          </w:tcPr>
          <w:p w:rsidR="00202B3A" w:rsidRPr="00993936" w:rsidRDefault="00202B3A" w:rsidP="000E5335">
            <w:pPr>
              <w:pStyle w:val="Sinespaciado"/>
              <w:jc w:val="center"/>
              <w:rPr>
                <w:rFonts w:ascii="Arial" w:hAnsi="Arial" w:cs="Arial"/>
                <w:b/>
                <w:noProof/>
                <w:lang w:val="es-ES"/>
              </w:rPr>
            </w:pPr>
            <w:r w:rsidRPr="00993936">
              <w:rPr>
                <w:rFonts w:ascii="Arial" w:hAnsi="Arial" w:cs="Arial"/>
                <w:b/>
                <w:noProof/>
                <w:lang w:val="es-ES"/>
              </w:rPr>
              <w:t>MATERIA ACTIVA</w:t>
            </w:r>
          </w:p>
        </w:tc>
        <w:tc>
          <w:tcPr>
            <w:tcW w:w="1491" w:type="dxa"/>
            <w:shd w:val="pct12" w:color="auto" w:fill="FFFFFF"/>
            <w:vAlign w:val="center"/>
          </w:tcPr>
          <w:p w:rsidR="00202B3A" w:rsidRPr="00993936" w:rsidRDefault="00202B3A" w:rsidP="000E5335">
            <w:pPr>
              <w:pStyle w:val="Sinespaciado"/>
              <w:jc w:val="center"/>
              <w:rPr>
                <w:rFonts w:ascii="Arial" w:hAnsi="Arial" w:cs="Arial"/>
                <w:b/>
                <w:noProof/>
                <w:lang w:val="es-ES"/>
              </w:rPr>
            </w:pPr>
            <w:r w:rsidRPr="00993936">
              <w:rPr>
                <w:rFonts w:ascii="Arial" w:hAnsi="Arial" w:cs="Arial"/>
                <w:b/>
                <w:noProof/>
                <w:lang w:val="es-ES"/>
              </w:rPr>
              <w:t>CULTIVO/S</w:t>
            </w:r>
          </w:p>
        </w:tc>
        <w:tc>
          <w:tcPr>
            <w:tcW w:w="4191" w:type="dxa"/>
            <w:shd w:val="pct12" w:color="auto" w:fill="FFFFFF"/>
            <w:vAlign w:val="center"/>
          </w:tcPr>
          <w:p w:rsidR="00202B3A" w:rsidRPr="00993936" w:rsidRDefault="00202B3A" w:rsidP="000E5335">
            <w:pPr>
              <w:pStyle w:val="Sinespaciado"/>
              <w:jc w:val="center"/>
              <w:rPr>
                <w:rFonts w:ascii="Arial" w:hAnsi="Arial" w:cs="Arial"/>
                <w:b/>
                <w:noProof/>
                <w:lang w:val="es-ES"/>
              </w:rPr>
            </w:pPr>
            <w:r w:rsidRPr="00993936">
              <w:rPr>
                <w:rFonts w:ascii="Arial" w:hAnsi="Arial" w:cs="Arial"/>
                <w:b/>
                <w:noProof/>
                <w:lang w:val="es-ES"/>
              </w:rPr>
              <w:t>AUTORIZACIONES DE USO</w:t>
            </w:r>
          </w:p>
        </w:tc>
      </w:tr>
      <w:tr w:rsidR="00202B3A" w:rsidRPr="00993936" w:rsidTr="000E5335">
        <w:trPr>
          <w:cantSplit/>
          <w:jc w:val="center"/>
        </w:trPr>
        <w:tc>
          <w:tcPr>
            <w:tcW w:w="3466" w:type="dxa"/>
            <w:vMerge w:val="restart"/>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Acetato de guazatina 30% EC </w:t>
            </w: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Avena, cebada</w:t>
            </w:r>
          </w:p>
        </w:tc>
        <w:tc>
          <w:tcPr>
            <w:tcW w:w="4191" w:type="dxa"/>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Fusarium sp., Septoria sp.</w:t>
            </w:r>
          </w:p>
        </w:tc>
      </w:tr>
      <w:tr w:rsidR="00202B3A" w:rsidRPr="00993936" w:rsidTr="000E5335">
        <w:trPr>
          <w:cantSplit/>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i/>
                <w:noProof/>
                <w:lang w:val="es-ES"/>
              </w:rPr>
              <w:t>Fusarium sp., Septoria sp., Tilletia sp.</w:t>
            </w:r>
          </w:p>
        </w:tc>
      </w:tr>
      <w:tr w:rsidR="00202B3A" w:rsidRPr="00993936" w:rsidTr="000E5335">
        <w:trPr>
          <w:cantSplit/>
          <w:jc w:val="center"/>
        </w:trPr>
        <w:tc>
          <w:tcPr>
            <w:tcW w:w="3466" w:type="dxa"/>
            <w:vAlign w:val="center"/>
          </w:tcPr>
          <w:p w:rsidR="00202B3A" w:rsidRPr="00993936" w:rsidRDefault="00202B3A" w:rsidP="000E5335">
            <w:pPr>
              <w:pStyle w:val="Sinespaciado"/>
              <w:rPr>
                <w:rFonts w:ascii="Arial" w:hAnsi="Arial" w:cs="Arial"/>
                <w:i/>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Cereales</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Aves </w:t>
            </w:r>
          </w:p>
        </w:tc>
      </w:tr>
      <w:tr w:rsidR="00202B3A" w:rsidRPr="00993936" w:rsidTr="000E5335">
        <w:trPr>
          <w:cantSplit/>
          <w:trHeight w:val="522"/>
          <w:jc w:val="center"/>
        </w:trPr>
        <w:tc>
          <w:tcPr>
            <w:tcW w:w="3466"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Carboxín 20% + Tiram 20% SC </w:t>
            </w:r>
          </w:p>
        </w:tc>
        <w:tc>
          <w:tcPr>
            <w:tcW w:w="14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Cereales</w:t>
            </w:r>
          </w:p>
        </w:tc>
        <w:tc>
          <w:tcPr>
            <w:tcW w:w="4191" w:type="dxa"/>
            <w:tcBorders>
              <w:bottom w:val="single" w:sz="4" w:space="0" w:color="auto"/>
            </w:tcBorders>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Fusarium sp., Drechslera teres, Rhynchosporium secalis, Tilletia sp.,</w:t>
            </w:r>
            <w:r w:rsidRPr="00993936">
              <w:rPr>
                <w:rFonts w:ascii="Arial" w:hAnsi="Arial" w:cs="Arial"/>
                <w:noProof/>
                <w:lang w:val="es-ES"/>
              </w:rPr>
              <w:t xml:space="preserve"> carbón desnudo, carbón cubierto</w:t>
            </w:r>
          </w:p>
        </w:tc>
      </w:tr>
      <w:tr w:rsidR="00202B3A" w:rsidRPr="00993936" w:rsidTr="000E5335">
        <w:trPr>
          <w:cantSplit/>
          <w:trHeight w:val="237"/>
          <w:jc w:val="center"/>
        </w:trPr>
        <w:tc>
          <w:tcPr>
            <w:tcW w:w="3466" w:type="dxa"/>
            <w:vMerge w:val="restart"/>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Carboxín 37,5% + Tiram 37,5% WP </w:t>
            </w:r>
          </w:p>
        </w:tc>
        <w:tc>
          <w:tcPr>
            <w:tcW w:w="14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Avena</w:t>
            </w:r>
          </w:p>
        </w:tc>
        <w:tc>
          <w:tcPr>
            <w:tcW w:w="4191" w:type="dxa"/>
            <w:tcBorders>
              <w:bottom w:val="single" w:sz="4" w:space="0" w:color="auto"/>
            </w:tcBorders>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 xml:space="preserve">Fusarium sp., </w:t>
            </w:r>
            <w:r w:rsidRPr="00993936">
              <w:rPr>
                <w:rFonts w:ascii="Arial" w:hAnsi="Arial" w:cs="Arial"/>
                <w:noProof/>
                <w:lang w:val="es-ES"/>
              </w:rPr>
              <w:t xml:space="preserve">carbón desnudo, carbón cubierto </w:t>
            </w:r>
          </w:p>
        </w:tc>
      </w:tr>
      <w:tr w:rsidR="00202B3A" w:rsidRPr="00993936" w:rsidTr="000E5335">
        <w:trPr>
          <w:cantSplit/>
          <w:trHeight w:val="141"/>
          <w:jc w:val="center"/>
        </w:trPr>
        <w:tc>
          <w:tcPr>
            <w:tcW w:w="3466" w:type="dxa"/>
            <w:vMerge/>
            <w:tcBorders>
              <w:bottom w:val="single" w:sz="4" w:space="0" w:color="auto"/>
            </w:tcBorders>
            <w:vAlign w:val="center"/>
          </w:tcPr>
          <w:p w:rsidR="00202B3A" w:rsidRPr="00993936" w:rsidRDefault="00202B3A" w:rsidP="000E5335">
            <w:pPr>
              <w:pStyle w:val="Sinespaciado"/>
              <w:rPr>
                <w:rFonts w:ascii="Arial" w:hAnsi="Arial" w:cs="Arial"/>
                <w:noProof/>
                <w:lang w:val="es-ES"/>
              </w:rPr>
            </w:pPr>
          </w:p>
        </w:tc>
        <w:tc>
          <w:tcPr>
            <w:tcW w:w="14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Cebada</w:t>
            </w:r>
          </w:p>
        </w:tc>
        <w:tc>
          <w:tcPr>
            <w:tcW w:w="41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i/>
                <w:noProof/>
                <w:lang w:val="es-ES"/>
              </w:rPr>
              <w:t xml:space="preserve">Fusarium sp., </w:t>
            </w:r>
            <w:r w:rsidRPr="00993936">
              <w:rPr>
                <w:rFonts w:ascii="Arial" w:hAnsi="Arial" w:cs="Arial"/>
                <w:noProof/>
                <w:lang w:val="es-ES"/>
              </w:rPr>
              <w:t xml:space="preserve">carbón desnudo, carbón cubierto </w:t>
            </w:r>
          </w:p>
        </w:tc>
      </w:tr>
      <w:tr w:rsidR="00202B3A" w:rsidRPr="00993936" w:rsidTr="000E5335">
        <w:trPr>
          <w:cantSplit/>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i/>
                <w:noProof/>
                <w:lang w:val="es-ES"/>
              </w:rPr>
              <w:t xml:space="preserve">Fusarium sp., Septoria sp., Rhynchosporium secalis, </w:t>
            </w:r>
            <w:r w:rsidRPr="00993936">
              <w:rPr>
                <w:rFonts w:ascii="Arial" w:hAnsi="Arial" w:cs="Arial"/>
                <w:noProof/>
                <w:lang w:val="es-ES"/>
              </w:rPr>
              <w:t xml:space="preserve">carbón desnudo, </w:t>
            </w:r>
            <w:r w:rsidRPr="00993936">
              <w:rPr>
                <w:rFonts w:ascii="Arial" w:hAnsi="Arial" w:cs="Arial"/>
                <w:i/>
                <w:noProof/>
                <w:lang w:val="es-ES"/>
              </w:rPr>
              <w:t>Tilletia sp.</w:t>
            </w:r>
          </w:p>
        </w:tc>
      </w:tr>
      <w:tr w:rsidR="00202B3A" w:rsidRPr="00993936" w:rsidTr="000E5335">
        <w:trPr>
          <w:cantSplit/>
          <w:trHeight w:val="434"/>
          <w:jc w:val="center"/>
        </w:trPr>
        <w:tc>
          <w:tcPr>
            <w:tcW w:w="3466"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Carboxín 75% PM</w:t>
            </w: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Avena, cebada, trigo</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Carbón cubierto, carbón desnudo</w:t>
            </w:r>
          </w:p>
        </w:tc>
      </w:tr>
      <w:tr w:rsidR="00202B3A" w:rsidRPr="00993936" w:rsidTr="000E5335">
        <w:trPr>
          <w:cantSplit/>
          <w:jc w:val="center"/>
        </w:trPr>
        <w:tc>
          <w:tcPr>
            <w:tcW w:w="3466" w:type="dxa"/>
            <w:vMerge w:val="restart"/>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Difenoconazol 3% FS</w:t>
            </w: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Cebada</w:t>
            </w:r>
          </w:p>
        </w:tc>
        <w:tc>
          <w:tcPr>
            <w:tcW w:w="4191" w:type="dxa"/>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Drechslera teres</w:t>
            </w:r>
          </w:p>
        </w:tc>
      </w:tr>
      <w:tr w:rsidR="00202B3A" w:rsidRPr="00993936" w:rsidTr="000E5335">
        <w:trPr>
          <w:cantSplit/>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i/>
                <w:noProof/>
                <w:lang w:val="es-ES"/>
              </w:rPr>
              <w:t>Tilletia sp.,</w:t>
            </w:r>
            <w:r w:rsidRPr="00993936">
              <w:rPr>
                <w:rFonts w:ascii="Arial" w:hAnsi="Arial" w:cs="Arial"/>
                <w:noProof/>
                <w:lang w:val="es-ES"/>
              </w:rPr>
              <w:t xml:space="preserve"> carbón cubierto, podredumbre de cuello</w:t>
            </w:r>
            <w:r w:rsidRPr="00993936">
              <w:rPr>
                <w:rFonts w:ascii="Arial" w:hAnsi="Arial" w:cs="Arial"/>
                <w:noProof/>
                <w:vanish/>
                <w:lang w:val="es-ES"/>
              </w:rPr>
              <w:t>&lt;A[cuello|garganta]&gt;</w:t>
            </w:r>
            <w:r w:rsidRPr="00993936">
              <w:rPr>
                <w:rFonts w:ascii="Arial" w:hAnsi="Arial" w:cs="Arial"/>
                <w:noProof/>
                <w:lang w:val="es-ES"/>
              </w:rPr>
              <w:t xml:space="preserve"> y de raíz</w:t>
            </w:r>
          </w:p>
        </w:tc>
      </w:tr>
      <w:tr w:rsidR="00202B3A" w:rsidRPr="00993936" w:rsidTr="000E5335">
        <w:trPr>
          <w:cantSplit/>
          <w:jc w:val="center"/>
        </w:trPr>
        <w:tc>
          <w:tcPr>
            <w:tcW w:w="3466" w:type="dxa"/>
            <w:vMerge w:val="restart"/>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Fludioxonil 2,5% SC</w:t>
            </w: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Cebada</w:t>
            </w:r>
          </w:p>
        </w:tc>
        <w:tc>
          <w:tcPr>
            <w:tcW w:w="4191" w:type="dxa"/>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Drechslera teres</w:t>
            </w:r>
          </w:p>
        </w:tc>
      </w:tr>
      <w:tr w:rsidR="00202B3A" w:rsidRPr="00993936" w:rsidTr="000E5335">
        <w:trPr>
          <w:cantSplit/>
          <w:trHeight w:val="285"/>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4191" w:type="dxa"/>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 xml:space="preserve">Tilletia sp. </w:t>
            </w:r>
          </w:p>
        </w:tc>
      </w:tr>
      <w:tr w:rsidR="00202B3A" w:rsidRPr="00993936" w:rsidTr="000E5335">
        <w:trPr>
          <w:cantSplit/>
          <w:jc w:val="center"/>
        </w:trPr>
        <w:tc>
          <w:tcPr>
            <w:tcW w:w="3466" w:type="dxa"/>
            <w:vMerge w:val="restart"/>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Flutriafol 2,5% + Maneb 40% SC </w:t>
            </w: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Cebada</w:t>
            </w:r>
          </w:p>
        </w:tc>
        <w:tc>
          <w:tcPr>
            <w:tcW w:w="4191" w:type="dxa"/>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 xml:space="preserve">Fusarium sp., </w:t>
            </w:r>
            <w:r w:rsidRPr="00993936">
              <w:rPr>
                <w:rFonts w:ascii="Arial" w:hAnsi="Arial" w:cs="Arial"/>
                <w:noProof/>
                <w:lang w:val="es-ES"/>
              </w:rPr>
              <w:t>carbón desnudo, carbón cubierto</w:t>
            </w:r>
          </w:p>
        </w:tc>
      </w:tr>
      <w:tr w:rsidR="00202B3A" w:rsidRPr="00993936" w:rsidTr="000E5335">
        <w:trPr>
          <w:cantSplit/>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4191" w:type="dxa"/>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 xml:space="preserve">Fusarium sp., </w:t>
            </w:r>
            <w:r w:rsidRPr="00993936">
              <w:rPr>
                <w:rFonts w:ascii="Arial" w:hAnsi="Arial" w:cs="Arial"/>
                <w:noProof/>
                <w:lang w:val="es-ES"/>
              </w:rPr>
              <w:t xml:space="preserve">carbón desnudo, carbón cubierto, </w:t>
            </w:r>
            <w:r w:rsidRPr="00993936">
              <w:rPr>
                <w:rFonts w:ascii="Arial" w:hAnsi="Arial" w:cs="Arial"/>
                <w:i/>
                <w:noProof/>
                <w:lang w:val="es-ES"/>
              </w:rPr>
              <w:t>Tilletia sp., Septoria sp.</w:t>
            </w:r>
          </w:p>
        </w:tc>
      </w:tr>
      <w:tr w:rsidR="00202B3A" w:rsidRPr="00993936" w:rsidTr="000E5335">
        <w:trPr>
          <w:cantSplit/>
          <w:trHeight w:val="221"/>
          <w:jc w:val="center"/>
        </w:trPr>
        <w:tc>
          <w:tcPr>
            <w:tcW w:w="3466"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Himexazol 70% SÁ </w:t>
            </w:r>
          </w:p>
        </w:tc>
        <w:tc>
          <w:tcPr>
            <w:tcW w:w="14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Cebada, trigo</w:t>
            </w:r>
          </w:p>
        </w:tc>
        <w:tc>
          <w:tcPr>
            <w:tcW w:w="4191" w:type="dxa"/>
            <w:tcBorders>
              <w:bottom w:val="single" w:sz="4" w:space="0" w:color="auto"/>
            </w:tcBorders>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Fusarium sp., Pythium sp.</w:t>
            </w:r>
          </w:p>
        </w:tc>
      </w:tr>
      <w:tr w:rsidR="00202B3A" w:rsidRPr="00993936" w:rsidTr="000E5335">
        <w:trPr>
          <w:cantSplit/>
          <w:trHeight w:val="267"/>
          <w:jc w:val="center"/>
        </w:trPr>
        <w:tc>
          <w:tcPr>
            <w:tcW w:w="3466"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Imidacloprid 35% FS</w:t>
            </w:r>
          </w:p>
        </w:tc>
        <w:tc>
          <w:tcPr>
            <w:tcW w:w="14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Cereales</w:t>
            </w:r>
          </w:p>
        </w:tc>
        <w:tc>
          <w:tcPr>
            <w:tcW w:w="41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Pulgones, </w:t>
            </w:r>
            <w:r w:rsidRPr="00993936">
              <w:rPr>
                <w:rFonts w:ascii="Arial" w:hAnsi="Arial" w:cs="Arial"/>
                <w:i/>
                <w:noProof/>
                <w:lang w:val="es-ES"/>
              </w:rPr>
              <w:t>Zabrus tenebroides</w:t>
            </w:r>
          </w:p>
        </w:tc>
      </w:tr>
      <w:tr w:rsidR="00202B3A" w:rsidRPr="00993936" w:rsidTr="000E5335">
        <w:trPr>
          <w:cantSplit/>
          <w:trHeight w:val="366"/>
          <w:jc w:val="center"/>
        </w:trPr>
        <w:tc>
          <w:tcPr>
            <w:tcW w:w="3466" w:type="dxa"/>
            <w:vMerge w:val="restart"/>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Maneb 40% SC</w:t>
            </w:r>
          </w:p>
        </w:tc>
        <w:tc>
          <w:tcPr>
            <w:tcW w:w="14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Avena, cebada</w:t>
            </w:r>
          </w:p>
        </w:tc>
        <w:tc>
          <w:tcPr>
            <w:tcW w:w="41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i/>
                <w:noProof/>
                <w:lang w:val="es-ES"/>
              </w:rPr>
              <w:t xml:space="preserve">Fusarium sp., Pythium sp., Septoria sp., </w:t>
            </w:r>
            <w:r w:rsidRPr="00993936">
              <w:rPr>
                <w:rFonts w:ascii="Arial" w:hAnsi="Arial" w:cs="Arial"/>
                <w:noProof/>
                <w:lang w:val="es-ES"/>
              </w:rPr>
              <w:t>carbón cubierto</w:t>
            </w:r>
          </w:p>
        </w:tc>
      </w:tr>
      <w:tr w:rsidR="00202B3A" w:rsidRPr="00993936" w:rsidTr="000E5335">
        <w:trPr>
          <w:cantSplit/>
          <w:trHeight w:val="375"/>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4191" w:type="dxa"/>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 xml:space="preserve">Fusarium sp., Pythium sp., Septoria sp., </w:t>
            </w:r>
            <w:r w:rsidRPr="00993936">
              <w:rPr>
                <w:rFonts w:ascii="Arial" w:hAnsi="Arial" w:cs="Arial"/>
                <w:noProof/>
                <w:lang w:val="es-ES"/>
              </w:rPr>
              <w:t xml:space="preserve">carbón cubierto, </w:t>
            </w:r>
            <w:r w:rsidRPr="00993936">
              <w:rPr>
                <w:rFonts w:ascii="Arial" w:hAnsi="Arial" w:cs="Arial"/>
                <w:i/>
                <w:noProof/>
                <w:lang w:val="es-ES"/>
              </w:rPr>
              <w:t>Tilletia sp.</w:t>
            </w:r>
          </w:p>
        </w:tc>
      </w:tr>
      <w:tr w:rsidR="00202B3A" w:rsidRPr="00993936" w:rsidTr="000E5335">
        <w:trPr>
          <w:cantSplit/>
          <w:trHeight w:val="289"/>
          <w:jc w:val="center"/>
        </w:trPr>
        <w:tc>
          <w:tcPr>
            <w:tcW w:w="3466" w:type="dxa"/>
            <w:vMerge w:val="restart"/>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Oxiclorur de cocer 16% SÁ</w:t>
            </w:r>
          </w:p>
        </w:tc>
        <w:tc>
          <w:tcPr>
            <w:tcW w:w="14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Avena, cebada</w:t>
            </w:r>
          </w:p>
        </w:tc>
        <w:tc>
          <w:tcPr>
            <w:tcW w:w="4191" w:type="dxa"/>
            <w:tcBorders>
              <w:bottom w:val="single" w:sz="4" w:space="0" w:color="auto"/>
            </w:tcBorders>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Fusarium sp., Septoria sp.</w:t>
            </w:r>
          </w:p>
        </w:tc>
      </w:tr>
      <w:tr w:rsidR="00202B3A" w:rsidRPr="00993936" w:rsidTr="000E5335">
        <w:trPr>
          <w:cantSplit/>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i/>
                <w:noProof/>
                <w:lang w:val="es-ES"/>
              </w:rPr>
              <w:t>Fusarium sp., Septoria sp., Tilletia sp.</w:t>
            </w:r>
          </w:p>
        </w:tc>
      </w:tr>
      <w:tr w:rsidR="00202B3A" w:rsidRPr="00993936" w:rsidTr="000E5335">
        <w:trPr>
          <w:cantSplit/>
          <w:jc w:val="center"/>
        </w:trPr>
        <w:tc>
          <w:tcPr>
            <w:tcW w:w="3466" w:type="dxa"/>
            <w:vMerge w:val="restart"/>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Tebuconazol 2,5% SC</w:t>
            </w: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Avena, cebada</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Carbón desnudo, carbón cubierto, </w:t>
            </w:r>
            <w:r w:rsidRPr="00993936">
              <w:rPr>
                <w:rFonts w:ascii="Arial" w:hAnsi="Arial" w:cs="Arial"/>
                <w:i/>
                <w:noProof/>
                <w:lang w:val="es-ES"/>
              </w:rPr>
              <w:t>Drechslera teres</w:t>
            </w:r>
          </w:p>
        </w:tc>
      </w:tr>
      <w:tr w:rsidR="00202B3A" w:rsidRPr="00993936" w:rsidTr="000E5335">
        <w:trPr>
          <w:cantSplit/>
          <w:trHeight w:val="229"/>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 centeno</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 xml:space="preserve">Carbón desnudo, </w:t>
            </w:r>
            <w:r w:rsidRPr="00993936">
              <w:rPr>
                <w:rFonts w:ascii="Arial" w:hAnsi="Arial" w:cs="Arial"/>
                <w:i/>
                <w:noProof/>
                <w:lang w:val="es-ES"/>
              </w:rPr>
              <w:t>Tilletia sp.,</w:t>
            </w:r>
            <w:r w:rsidRPr="00993936">
              <w:rPr>
                <w:rFonts w:ascii="Arial" w:hAnsi="Arial" w:cs="Arial"/>
                <w:noProof/>
                <w:lang w:val="es-ES"/>
              </w:rPr>
              <w:t xml:space="preserve"> </w:t>
            </w:r>
            <w:r w:rsidRPr="00993936">
              <w:rPr>
                <w:rFonts w:ascii="Arial" w:hAnsi="Arial" w:cs="Arial"/>
                <w:i/>
                <w:noProof/>
                <w:lang w:val="es-ES"/>
              </w:rPr>
              <w:t>Drechslera teres</w:t>
            </w:r>
          </w:p>
        </w:tc>
      </w:tr>
      <w:tr w:rsidR="00202B3A" w:rsidRPr="00993936" w:rsidTr="000E5335">
        <w:trPr>
          <w:cantSplit/>
          <w:trHeight w:val="390"/>
          <w:jc w:val="center"/>
        </w:trPr>
        <w:tc>
          <w:tcPr>
            <w:tcW w:w="3466"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Tiram 50% SC</w:t>
            </w:r>
          </w:p>
        </w:tc>
        <w:tc>
          <w:tcPr>
            <w:tcW w:w="1491" w:type="dxa"/>
            <w:tcBorders>
              <w:bottom w:val="single" w:sz="4" w:space="0" w:color="auto"/>
            </w:tcBorders>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Cereales</w:t>
            </w:r>
          </w:p>
        </w:tc>
        <w:tc>
          <w:tcPr>
            <w:tcW w:w="4191" w:type="dxa"/>
            <w:tcBorders>
              <w:bottom w:val="single" w:sz="4" w:space="0" w:color="auto"/>
            </w:tcBorders>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 xml:space="preserve">Fusarium sp., Pythium sp., Septoria sp., </w:t>
            </w:r>
            <w:r w:rsidRPr="00993936">
              <w:rPr>
                <w:rFonts w:ascii="Arial" w:hAnsi="Arial" w:cs="Arial"/>
                <w:noProof/>
                <w:lang w:val="es-ES"/>
              </w:rPr>
              <w:t>carbón cubierto</w:t>
            </w:r>
          </w:p>
        </w:tc>
      </w:tr>
      <w:tr w:rsidR="00202B3A" w:rsidRPr="00993936" w:rsidTr="000E5335">
        <w:trPr>
          <w:cantSplit/>
          <w:jc w:val="center"/>
        </w:trPr>
        <w:tc>
          <w:tcPr>
            <w:tcW w:w="3466" w:type="dxa"/>
            <w:vMerge w:val="restart"/>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Triticonazol 2,5% FS</w:t>
            </w: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Cebada</w:t>
            </w:r>
          </w:p>
        </w:tc>
        <w:tc>
          <w:tcPr>
            <w:tcW w:w="41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Carbón desnudo</w:t>
            </w:r>
          </w:p>
        </w:tc>
      </w:tr>
      <w:tr w:rsidR="00202B3A" w:rsidRPr="00993936" w:rsidTr="000E5335">
        <w:trPr>
          <w:cantSplit/>
          <w:jc w:val="center"/>
        </w:trPr>
        <w:tc>
          <w:tcPr>
            <w:tcW w:w="3466" w:type="dxa"/>
            <w:vMerge/>
            <w:vAlign w:val="center"/>
          </w:tcPr>
          <w:p w:rsidR="00202B3A" w:rsidRPr="00993936" w:rsidRDefault="00202B3A" w:rsidP="000E5335">
            <w:pPr>
              <w:pStyle w:val="Sinespaciado"/>
              <w:rPr>
                <w:rFonts w:ascii="Arial" w:hAnsi="Arial" w:cs="Arial"/>
                <w:noProof/>
                <w:lang w:val="es-ES"/>
              </w:rPr>
            </w:pPr>
          </w:p>
        </w:tc>
        <w:tc>
          <w:tcPr>
            <w:tcW w:w="1491" w:type="dxa"/>
            <w:vAlign w:val="center"/>
          </w:tcPr>
          <w:p w:rsidR="00202B3A" w:rsidRPr="00993936" w:rsidRDefault="00202B3A" w:rsidP="000E5335">
            <w:pPr>
              <w:pStyle w:val="Sinespaciado"/>
              <w:rPr>
                <w:rFonts w:ascii="Arial" w:hAnsi="Arial" w:cs="Arial"/>
                <w:noProof/>
                <w:lang w:val="es-ES"/>
              </w:rPr>
            </w:pPr>
            <w:r w:rsidRPr="00993936">
              <w:rPr>
                <w:rFonts w:ascii="Arial" w:hAnsi="Arial" w:cs="Arial"/>
                <w:noProof/>
                <w:lang w:val="es-ES"/>
              </w:rPr>
              <w:t>Trigo</w:t>
            </w:r>
          </w:p>
        </w:tc>
        <w:tc>
          <w:tcPr>
            <w:tcW w:w="4191" w:type="dxa"/>
            <w:vAlign w:val="center"/>
          </w:tcPr>
          <w:p w:rsidR="00202B3A" w:rsidRPr="00993936" w:rsidRDefault="00202B3A" w:rsidP="000E5335">
            <w:pPr>
              <w:pStyle w:val="Sinespaciado"/>
              <w:rPr>
                <w:rFonts w:ascii="Arial" w:hAnsi="Arial" w:cs="Arial"/>
                <w:i/>
                <w:noProof/>
                <w:lang w:val="es-ES"/>
              </w:rPr>
            </w:pPr>
            <w:r w:rsidRPr="00993936">
              <w:rPr>
                <w:rFonts w:ascii="Arial" w:hAnsi="Arial" w:cs="Arial"/>
                <w:i/>
                <w:noProof/>
                <w:lang w:val="es-ES"/>
              </w:rPr>
              <w:t>Tilletia sp.,</w:t>
            </w:r>
            <w:r w:rsidRPr="00993936">
              <w:rPr>
                <w:rFonts w:ascii="Arial" w:hAnsi="Arial" w:cs="Arial"/>
                <w:noProof/>
                <w:lang w:val="es-ES"/>
              </w:rPr>
              <w:t xml:space="preserve"> </w:t>
            </w:r>
            <w:r w:rsidRPr="00993936">
              <w:rPr>
                <w:rFonts w:ascii="Arial" w:hAnsi="Arial" w:cs="Arial"/>
                <w:i/>
                <w:noProof/>
                <w:lang w:val="es-ES"/>
              </w:rPr>
              <w:t>Fusarium sp.</w:t>
            </w:r>
          </w:p>
        </w:tc>
      </w:tr>
    </w:tbl>
    <w:p w:rsidR="00202B3A" w:rsidRPr="00993936" w:rsidRDefault="00202B3A" w:rsidP="001D205D">
      <w:pPr>
        <w:jc w:val="center"/>
        <w:rPr>
          <w:rFonts w:ascii="Arial" w:hAnsi="Arial" w:cs="Arial"/>
          <w:noProof/>
          <w:lang w:val="es-ES"/>
        </w:rPr>
      </w:pPr>
      <w:r w:rsidRPr="00993936">
        <w:rPr>
          <w:rFonts w:ascii="Arial" w:hAnsi="Arial" w:cs="Arial"/>
          <w:noProof/>
          <w:lang w:val="es-ES"/>
        </w:rPr>
        <w:t>.-.-.-.-.-.-.-.-.-.-.-.-.-.-.-.-.-.-.-.-.-.-.-.-.-.-.-.-.-.-.-.-.-.-.-.-.-.</w:t>
      </w:r>
    </w:p>
    <w:p w:rsidR="00412AFB" w:rsidRPr="00993936" w:rsidRDefault="00412AFB" w:rsidP="00412AFB">
      <w:pPr>
        <w:jc w:val="both"/>
        <w:rPr>
          <w:rFonts w:ascii="Arial" w:hAnsi="Arial" w:cs="Arial"/>
          <w:b/>
          <w:sz w:val="24"/>
          <w:szCs w:val="24"/>
          <w:lang w:val="es-ES"/>
        </w:rPr>
      </w:pPr>
      <w:r w:rsidRPr="00993936">
        <w:rPr>
          <w:rFonts w:ascii="Arial" w:hAnsi="Arial" w:cs="Arial"/>
          <w:b/>
          <w:sz w:val="24"/>
          <w:szCs w:val="24"/>
          <w:lang w:val="es-ES"/>
        </w:rPr>
        <w:lastRenderedPageBreak/>
        <w:t>Anexo III. Norma técnica de producción integrada de cítricos.</w:t>
      </w:r>
    </w:p>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Definiciones</w:t>
      </w:r>
      <w:r w:rsidRPr="00993936">
        <w:rPr>
          <w:rFonts w:ascii="Arial" w:hAnsi="Arial" w:cs="Arial"/>
          <w:b/>
          <w:lang w:val="es-ES"/>
        </w:rPr>
        <w:tab/>
      </w:r>
    </w:p>
    <w:p w:rsidR="00412AFB" w:rsidRPr="00993936" w:rsidRDefault="00412AFB" w:rsidP="00412AFB">
      <w:pPr>
        <w:jc w:val="both"/>
        <w:rPr>
          <w:rFonts w:ascii="Arial" w:hAnsi="Arial" w:cs="Arial"/>
          <w:lang w:val="es-ES"/>
        </w:rPr>
      </w:pPr>
      <w:r w:rsidRPr="00993936">
        <w:rPr>
          <w:rFonts w:ascii="Arial" w:hAnsi="Arial" w:cs="Arial"/>
          <w:lang w:val="es-ES"/>
        </w:rPr>
        <w:t>A efectos de esta norma, se entenderá por:</w:t>
      </w:r>
    </w:p>
    <w:p w:rsidR="00412AFB" w:rsidRPr="00993936" w:rsidRDefault="00412AFB" w:rsidP="00412AFB">
      <w:pPr>
        <w:jc w:val="both"/>
        <w:rPr>
          <w:rFonts w:ascii="Arial" w:hAnsi="Arial" w:cs="Arial"/>
          <w:lang w:val="es-ES"/>
        </w:rPr>
      </w:pPr>
      <w:r w:rsidRPr="00993936">
        <w:rPr>
          <w:rFonts w:ascii="Arial" w:hAnsi="Arial" w:cs="Arial"/>
          <w:i/>
          <w:lang w:val="es-ES"/>
        </w:rPr>
        <w:t xml:space="preserve">Agrupación de producción integrada: </w:t>
      </w:r>
      <w:r w:rsidRPr="00993936">
        <w:rPr>
          <w:rFonts w:ascii="Arial" w:hAnsi="Arial" w:cs="Arial"/>
          <w:lang w:val="es-ES"/>
        </w:rPr>
        <w:t>aquella agrupación de operadores constituida en virtud de cualquier fórmula jurídica o integrada en otra agrupación previamente constituida y reconocida por la autoridad competente con el objeto de obtener productos vegetales bajo los requisitos de producción integrada para ser comercializados.</w:t>
      </w:r>
    </w:p>
    <w:p w:rsidR="00412AFB" w:rsidRPr="00993936" w:rsidRDefault="00412AFB" w:rsidP="00412AFB">
      <w:pPr>
        <w:jc w:val="both"/>
        <w:rPr>
          <w:rFonts w:ascii="Arial" w:hAnsi="Arial" w:cs="Arial"/>
          <w:lang w:val="es-ES"/>
        </w:rPr>
      </w:pPr>
      <w:r w:rsidRPr="00993936">
        <w:rPr>
          <w:rFonts w:ascii="Arial" w:hAnsi="Arial" w:cs="Arial"/>
          <w:i/>
          <w:lang w:val="es-ES"/>
        </w:rPr>
        <w:t xml:space="preserve">Análisis de peligros y puntos de control críticos (APPCC): </w:t>
      </w:r>
      <w:r w:rsidRPr="00993936">
        <w:rPr>
          <w:rFonts w:ascii="Arial" w:hAnsi="Arial" w:cs="Arial"/>
          <w:lang w:val="es-ES"/>
        </w:rPr>
        <w:t>enfoque sistemático de la base científica que permite identificar riesgos específicos y medidas para el control, con el fin de asegurar la inocuidad de los alimentos. Es un instrumento para evaluar los riesgos y establecer sistemas de control que se orienten hacia la prevención en lugar de fundamentarse en el análisis del producto final.</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 diferentes que vive en un determinado ecosistema.</w:t>
      </w:r>
    </w:p>
    <w:p w:rsidR="00412AFB" w:rsidRPr="00993936" w:rsidRDefault="00412AFB" w:rsidP="00412AFB">
      <w:pPr>
        <w:jc w:val="both"/>
        <w:rPr>
          <w:rFonts w:ascii="Arial" w:hAnsi="Arial" w:cs="Arial"/>
          <w:lang w:val="es-ES"/>
        </w:rPr>
      </w:pPr>
      <w:r w:rsidRPr="00993936">
        <w:rPr>
          <w:rFonts w:ascii="Arial" w:hAnsi="Arial" w:cs="Arial"/>
          <w:i/>
          <w:lang w:val="es-ES"/>
        </w:rPr>
        <w:t xml:space="preserve">Buenas prácticas fitosanitarias: </w:t>
      </w:r>
      <w:r w:rsidRPr="00993936">
        <w:rPr>
          <w:rFonts w:ascii="Arial" w:hAnsi="Arial" w:cs="Arial"/>
          <w:lang w:val="es-ES"/>
        </w:rPr>
        <w:t>Utilizar productos fitosanitarios y otros medios de defensa fitosanitaria bajo las condiciones de uso autorizadas.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Central hortofrutícola: </w:t>
      </w:r>
      <w:r w:rsidRPr="00993936">
        <w:rPr>
          <w:rFonts w:ascii="Arial" w:hAnsi="Arial" w:cs="Arial"/>
          <w:lang w:val="es-ES"/>
        </w:rPr>
        <w:t>instalación o conjunto de instalaciones donde se reciben, manipulan, almacenan, envasan y expiden frutas y hortalizas.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Cítricos: </w:t>
      </w:r>
      <w:r w:rsidRPr="00993936">
        <w:rPr>
          <w:rFonts w:ascii="Arial" w:hAnsi="Arial" w:cs="Arial"/>
          <w:lang w:val="es-ES"/>
        </w:rPr>
        <w:t xml:space="preserve">Frutal de la familia de las rutáceas, con carácter de árbol o de arbusto, cuyo fruto es en general carnoso e indehiscente, protegido con una corteza impregnada de aceite esencial y que esconde muchos carpelos verticilados, por lo común separados y llenos de pulpa rica con alto contenido en azúcar y ácido cítrico. </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Coeficiente de uniformidad: </w:t>
      </w:r>
      <w:r w:rsidRPr="00993936">
        <w:rPr>
          <w:rFonts w:ascii="Arial" w:hAnsi="Arial" w:cs="Arial"/>
          <w:lang w:val="es-ES"/>
        </w:rPr>
        <w:t xml:space="preserve">valor obtenido de aplicar una fórmula que indica la uniformidad en la distribución del agua aplicada por el sistema de riego. </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productos vegetales.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Control o lucha integrada: </w:t>
      </w:r>
      <w:r w:rsidRPr="00993936">
        <w:rPr>
          <w:rFonts w:ascii="Arial" w:hAnsi="Arial" w:cs="Arial"/>
          <w:lang w:val="es-ES"/>
        </w:rPr>
        <w:t>la aplicación racional de una combinación de medidas biológicas, físicas, biotecnológicas, químicas, de cultivo o de selección de vegetales, de modo que la utilización de productos fitosanitarios se limita al mínimo necesario para controlar las plagas.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Criterio de intervención: </w:t>
      </w:r>
      <w:r w:rsidRPr="00993936">
        <w:rPr>
          <w:rFonts w:ascii="Arial" w:hAnsi="Arial" w:cs="Arial"/>
          <w:lang w:val="es-ES"/>
        </w:rPr>
        <w:t>conjunto de condiciones que permiten justificar la realización de un tratamiento contra una plaga o agente patógeno.</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Cultivo: </w:t>
      </w:r>
      <w:r w:rsidRPr="00993936">
        <w:rPr>
          <w:rFonts w:ascii="Arial" w:hAnsi="Arial" w:cs="Arial"/>
          <w:lang w:val="es-ES"/>
        </w:rPr>
        <w:t>para cada especie, la totalidad de la producción que gestiona un agricultor</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i/>
          <w:lang w:val="es-ES"/>
        </w:rPr>
        <w:t xml:space="preserve">Ecosistema: </w:t>
      </w:r>
      <w:r w:rsidRPr="00993936">
        <w:rPr>
          <w:rFonts w:ascii="Arial" w:hAnsi="Arial" w:cs="Arial"/>
          <w:lang w:val="es-ES"/>
        </w:rPr>
        <w:t>sistema formado por el conjunto de seres vivos presentes en un lugar determinado y el medio ambiente que les es propio.</w:t>
      </w:r>
    </w:p>
    <w:p w:rsidR="00412AFB" w:rsidRPr="00993936" w:rsidRDefault="00412AFB" w:rsidP="00412AFB">
      <w:pPr>
        <w:jc w:val="both"/>
        <w:rPr>
          <w:rFonts w:ascii="Arial" w:hAnsi="Arial" w:cs="Arial"/>
          <w:lang w:val="es-ES"/>
        </w:rPr>
      </w:pPr>
      <w:r w:rsidRPr="00993936">
        <w:rPr>
          <w:rFonts w:ascii="Arial" w:hAnsi="Arial" w:cs="Arial"/>
          <w:i/>
          <w:lang w:val="es-ES"/>
        </w:rPr>
        <w:lastRenderedPageBreak/>
        <w:t xml:space="preserve">Enemigo natural: </w:t>
      </w:r>
      <w:r w:rsidRPr="00993936">
        <w:rPr>
          <w:rFonts w:ascii="Arial" w:hAnsi="Arial" w:cs="Arial"/>
          <w:lang w:val="es-ES"/>
        </w:rPr>
        <w:t>insecto o ácaro que actúa como agente de control biológico interaccionando con las plagas del cultivo, depredándolas o parasitándolas.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Entidades de certificación: </w:t>
      </w:r>
      <w:r w:rsidRPr="00993936">
        <w:rPr>
          <w:rFonts w:ascii="Arial" w:hAnsi="Arial" w:cs="Arial"/>
          <w:lang w:val="es-ES"/>
        </w:rPr>
        <w:t>son aquellas entidades acreditadas por la Entidad Nacional de Acreditación (ENAC) para realizar las funciones de control y certificación, a las que deberá someterse la producción para los productos obtenidos puedan ser diferenciados con un distintivo de garantía de producción integrada, de acuerdo con el Decreto 241/2002 (DOGC núm. 3744, de 21.10.2002) o, en su caso, las acreditadas por cualquier otro organismo acreditación firmante del acuerdo multilateral de reconocimiento de la Cooperación Europea para la Acreditación (EA).</w:t>
      </w:r>
    </w:p>
    <w:p w:rsidR="00412AFB" w:rsidRPr="00993936" w:rsidRDefault="00412AFB" w:rsidP="00412AFB">
      <w:pPr>
        <w:jc w:val="both"/>
        <w:rPr>
          <w:rFonts w:ascii="Arial" w:hAnsi="Arial" w:cs="Arial"/>
          <w:lang w:val="es-ES"/>
        </w:rPr>
      </w:pPr>
      <w:r w:rsidRPr="00993936">
        <w:rPr>
          <w:rFonts w:ascii="Arial" w:hAnsi="Arial" w:cs="Arial"/>
          <w:i/>
          <w:lang w:val="es-ES"/>
        </w:rPr>
        <w:t xml:space="preserve">Especie mejoradora: </w:t>
      </w:r>
      <w:r w:rsidRPr="00993936">
        <w:rPr>
          <w:rFonts w:ascii="Arial" w:hAnsi="Arial" w:cs="Arial"/>
          <w:lang w:val="es-ES"/>
        </w:rPr>
        <w:t>especie vegetal, normalmente gramíneas o leguminosas, que por sus características biológicas mejoran las propiedades físico-químicas del suelo durante su cultivo.</w:t>
      </w:r>
    </w:p>
    <w:p w:rsidR="00412AFB" w:rsidRPr="00993936" w:rsidRDefault="00412AFB" w:rsidP="00412AFB">
      <w:pPr>
        <w:jc w:val="both"/>
        <w:rPr>
          <w:rFonts w:ascii="Arial" w:hAnsi="Arial" w:cs="Arial"/>
          <w:lang w:val="es-ES"/>
        </w:rPr>
      </w:pPr>
      <w:r w:rsidRPr="00993936">
        <w:rPr>
          <w:rFonts w:ascii="Arial" w:hAnsi="Arial" w:cs="Arial"/>
          <w:i/>
          <w:lang w:val="es-ES"/>
        </w:rPr>
        <w:t xml:space="preserve">Etiquetado: </w:t>
      </w:r>
      <w:r w:rsidRPr="00993936">
        <w:rPr>
          <w:rFonts w:ascii="Arial" w:hAnsi="Arial" w:cs="Arial"/>
          <w:lang w:val="es-ES"/>
        </w:rPr>
        <w:t>todas las menciones, indicaciones, identificaciones de fábrica o de comercio, imágenes o signos que figuren en los envases, documentos, letreros, etiquetas, argollas o collarines que acompañen o se refieran a productos que prevé el Decreto 241/2002</w:t>
      </w:r>
      <w:r w:rsidR="00C03DD4" w:rsidRPr="00993936">
        <w:rPr>
          <w:rFonts w:ascii="Arial" w:hAnsi="Arial" w:cs="Arial"/>
          <w:lang w:val="es-ES"/>
        </w:rPr>
        <w:t>.</w:t>
      </w:r>
    </w:p>
    <w:p w:rsidR="00412AFB" w:rsidRPr="00993936" w:rsidRDefault="00412AFB" w:rsidP="00412AFB">
      <w:pPr>
        <w:jc w:val="both"/>
        <w:rPr>
          <w:rFonts w:ascii="Arial" w:hAnsi="Arial" w:cs="Arial"/>
          <w:lang w:val="es-ES"/>
        </w:rPr>
      </w:pPr>
      <w:r w:rsidRPr="00993936">
        <w:rPr>
          <w:rFonts w:ascii="Arial" w:hAnsi="Arial" w:cs="Arial"/>
          <w:i/>
          <w:lang w:val="es-ES"/>
        </w:rPr>
        <w:t xml:space="preserve">Explotación: </w:t>
      </w:r>
      <w:r w:rsidRPr="00993936">
        <w:rPr>
          <w:rFonts w:ascii="Arial" w:hAnsi="Arial" w:cs="Arial"/>
          <w:lang w:val="es-ES"/>
        </w:rPr>
        <w:t>conjunto de bienes productivos que dan origen a una actividad económica.</w:t>
      </w:r>
    </w:p>
    <w:p w:rsidR="00412AFB" w:rsidRPr="00993936" w:rsidRDefault="00412AFB" w:rsidP="00412AFB">
      <w:pPr>
        <w:jc w:val="both"/>
        <w:rPr>
          <w:rFonts w:ascii="Arial" w:hAnsi="Arial" w:cs="Arial"/>
          <w:lang w:val="es-ES"/>
        </w:rPr>
      </w:pPr>
      <w:r w:rsidRPr="00993936">
        <w:rPr>
          <w:rFonts w:ascii="Arial" w:hAnsi="Arial" w:cs="Arial"/>
          <w:i/>
          <w:lang w:val="es-ES"/>
        </w:rPr>
        <w:t xml:space="preserve">Fauna auxiliar: </w:t>
      </w:r>
      <w:r w:rsidRPr="00993936">
        <w:rPr>
          <w:rFonts w:ascii="Arial" w:hAnsi="Arial" w:cs="Arial"/>
          <w:lang w:val="es-ES"/>
        </w:rPr>
        <w:t>véase enemigo natural.</w:t>
      </w:r>
    </w:p>
    <w:p w:rsidR="00412AFB" w:rsidRPr="00993936" w:rsidRDefault="00412AFB" w:rsidP="00412AFB">
      <w:pPr>
        <w:jc w:val="both"/>
        <w:rPr>
          <w:rFonts w:ascii="Arial" w:hAnsi="Arial" w:cs="Arial"/>
          <w:lang w:val="es-ES"/>
        </w:rPr>
      </w:pPr>
      <w:r w:rsidRPr="00993936">
        <w:rPr>
          <w:rFonts w:ascii="Arial" w:hAnsi="Arial" w:cs="Arial"/>
          <w:i/>
          <w:lang w:val="es-ES"/>
        </w:rPr>
        <w:t xml:space="preserve">Fruta para consumir en fresco: </w:t>
      </w:r>
      <w:r w:rsidRPr="00993936">
        <w:rPr>
          <w:rFonts w:ascii="Arial" w:hAnsi="Arial" w:cs="Arial"/>
          <w:lang w:val="es-ES"/>
        </w:rPr>
        <w:t xml:space="preserve">aquella que se comercializa en fresco, lo que supone que después de ser recolectada no ha sufrido procesado, a excepción de las operaciones de limpieza, pelado, cortado y/o envasado. </w:t>
      </w:r>
    </w:p>
    <w:p w:rsidR="00412AFB" w:rsidRPr="00993936" w:rsidRDefault="00412AFB" w:rsidP="00412AFB">
      <w:pPr>
        <w:jc w:val="both"/>
        <w:rPr>
          <w:rFonts w:ascii="Arial" w:hAnsi="Arial" w:cs="Arial"/>
          <w:lang w:val="es-ES"/>
        </w:rPr>
      </w:pPr>
      <w:r w:rsidRPr="00993936">
        <w:rPr>
          <w:rFonts w:ascii="Arial" w:hAnsi="Arial" w:cs="Arial"/>
          <w:i/>
          <w:lang w:val="es-ES"/>
        </w:rPr>
        <w:t xml:space="preserve">Herbigación: </w:t>
      </w:r>
      <w:r w:rsidRPr="00993936">
        <w:rPr>
          <w:rFonts w:ascii="Arial" w:hAnsi="Arial" w:cs="Arial"/>
          <w:lang w:val="es-ES"/>
        </w:rPr>
        <w:t>Aplicación de herbicidas a través de las instalaciones de riego localizado.</w:t>
      </w:r>
    </w:p>
    <w:p w:rsidR="00412AFB" w:rsidRPr="00993936" w:rsidRDefault="00412AFB" w:rsidP="00412AFB">
      <w:pPr>
        <w:jc w:val="both"/>
        <w:rPr>
          <w:rFonts w:ascii="Arial" w:hAnsi="Arial" w:cs="Arial"/>
          <w:lang w:val="es-ES"/>
        </w:rPr>
      </w:pPr>
      <w:r w:rsidRPr="00993936">
        <w:rPr>
          <w:rFonts w:ascii="Arial" w:hAnsi="Arial" w:cs="Arial"/>
          <w:i/>
          <w:lang w:val="es-ES"/>
        </w:rPr>
        <w:t xml:space="preserve">Método de Merrien-Keller: </w:t>
      </w:r>
      <w:r w:rsidRPr="00993936">
        <w:rPr>
          <w:rFonts w:ascii="Arial" w:hAnsi="Arial" w:cs="Arial"/>
          <w:lang w:val="es-ES"/>
        </w:rPr>
        <w:t>método de cálculo del coeficiente de uniformidad de un sistema de riego, expresado por la siguiente fórmula:</w:t>
      </w:r>
      <w:r w:rsidR="00E03B3B" w:rsidRPr="00993936">
        <w:rPr>
          <w:rFonts w:ascii="Arial" w:hAnsi="Arial" w:cs="Arial"/>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412AFB" w:rsidRPr="00993936" w:rsidTr="00C8678E">
        <w:trPr>
          <w:cantSplit/>
        </w:trPr>
        <w:tc>
          <w:tcPr>
            <w:tcW w:w="921" w:type="dxa"/>
            <w:vMerge w:val="restart"/>
            <w:tcBorders>
              <w:top w:val="nil"/>
              <w:left w:val="nil"/>
              <w:bottom w:val="nil"/>
              <w:right w:val="nil"/>
            </w:tcBorders>
            <w:vAlign w:val="center"/>
          </w:tcPr>
          <w:p w:rsidR="00412AFB" w:rsidRPr="00993936" w:rsidRDefault="00412AFB" w:rsidP="00C8678E">
            <w:pPr>
              <w:jc w:val="both"/>
              <w:rPr>
                <w:rFonts w:ascii="Arial" w:hAnsi="Arial" w:cs="Arial"/>
                <w:lang w:val="es-ES"/>
              </w:rPr>
            </w:pPr>
            <w:r w:rsidRPr="00993936">
              <w:rPr>
                <w:rFonts w:ascii="Arial" w:hAnsi="Arial" w:cs="Arial"/>
                <w:lang w:val="es-ES"/>
              </w:rPr>
              <w:t>CU</w:t>
            </w:r>
            <w:r w:rsidR="00E03B3B" w:rsidRPr="00993936">
              <w:rPr>
                <w:rFonts w:ascii="Arial" w:hAnsi="Arial" w:cs="Arial"/>
                <w:lang w:val="es-ES"/>
              </w:rPr>
              <w:t xml:space="preserve"> </w:t>
            </w:r>
            <w:r w:rsidRPr="00993936">
              <w:rPr>
                <w:rFonts w:ascii="Arial" w:hAnsi="Arial" w:cs="Arial"/>
                <w:lang w:val="es-ES"/>
              </w:rPr>
              <w:t xml:space="preserve">= </w:t>
            </w:r>
          </w:p>
        </w:tc>
        <w:tc>
          <w:tcPr>
            <w:tcW w:w="992" w:type="dxa"/>
            <w:tcBorders>
              <w:top w:val="nil"/>
              <w:left w:val="nil"/>
              <w:bottom w:val="single" w:sz="4" w:space="0" w:color="auto"/>
              <w:right w:val="nil"/>
            </w:tcBorders>
          </w:tcPr>
          <w:p w:rsidR="00412AFB" w:rsidRPr="00993936" w:rsidRDefault="00412AFB" w:rsidP="00C8678E">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25 %</w:t>
            </w:r>
          </w:p>
        </w:tc>
        <w:tc>
          <w:tcPr>
            <w:tcW w:w="992" w:type="dxa"/>
            <w:vMerge w:val="restart"/>
            <w:tcBorders>
              <w:top w:val="nil"/>
              <w:left w:val="nil"/>
              <w:bottom w:val="nil"/>
              <w:right w:val="nil"/>
            </w:tcBorders>
            <w:vAlign w:val="center"/>
          </w:tcPr>
          <w:p w:rsidR="00412AFB" w:rsidRPr="00993936" w:rsidRDefault="00412AFB" w:rsidP="00C8678E">
            <w:pPr>
              <w:jc w:val="both"/>
              <w:rPr>
                <w:rFonts w:ascii="Arial" w:hAnsi="Arial" w:cs="Arial"/>
                <w:lang w:val="es-ES"/>
              </w:rPr>
            </w:pPr>
            <w:r w:rsidRPr="00993936">
              <w:rPr>
                <w:rFonts w:ascii="Arial" w:hAnsi="Arial" w:cs="Arial"/>
                <w:lang w:val="es-ES"/>
              </w:rPr>
              <w:t xml:space="preserve"> × 100</w:t>
            </w:r>
          </w:p>
        </w:tc>
      </w:tr>
      <w:tr w:rsidR="00412AFB" w:rsidRPr="00993936" w:rsidTr="00C8678E">
        <w:trPr>
          <w:cantSplit/>
        </w:trPr>
        <w:tc>
          <w:tcPr>
            <w:tcW w:w="921" w:type="dxa"/>
            <w:vMerge/>
            <w:tcBorders>
              <w:top w:val="nil"/>
              <w:left w:val="nil"/>
              <w:bottom w:val="nil"/>
              <w:right w:val="nil"/>
            </w:tcBorders>
          </w:tcPr>
          <w:p w:rsidR="00412AFB" w:rsidRPr="00993936" w:rsidRDefault="00412AFB" w:rsidP="00C8678E">
            <w:pPr>
              <w:jc w:val="both"/>
              <w:rPr>
                <w:rFonts w:ascii="Arial" w:hAnsi="Arial" w:cs="Arial"/>
                <w:lang w:val="es-ES"/>
              </w:rPr>
            </w:pPr>
          </w:p>
        </w:tc>
        <w:tc>
          <w:tcPr>
            <w:tcW w:w="992" w:type="dxa"/>
            <w:tcBorders>
              <w:top w:val="single" w:sz="4" w:space="0" w:color="auto"/>
              <w:left w:val="nil"/>
              <w:bottom w:val="nil"/>
              <w:right w:val="nil"/>
            </w:tcBorders>
          </w:tcPr>
          <w:p w:rsidR="00412AFB" w:rsidRPr="00993936" w:rsidRDefault="00412AFB" w:rsidP="00C8678E">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n</w:t>
            </w:r>
          </w:p>
        </w:tc>
        <w:tc>
          <w:tcPr>
            <w:tcW w:w="992" w:type="dxa"/>
            <w:vMerge/>
            <w:tcBorders>
              <w:top w:val="nil"/>
              <w:left w:val="nil"/>
              <w:bottom w:val="nil"/>
              <w:right w:val="nil"/>
            </w:tcBorders>
          </w:tcPr>
          <w:p w:rsidR="00412AFB" w:rsidRPr="00993936" w:rsidRDefault="00412AFB" w:rsidP="00C8678E">
            <w:pPr>
              <w:jc w:val="both"/>
              <w:rPr>
                <w:rFonts w:ascii="Arial" w:hAnsi="Arial" w:cs="Arial"/>
                <w:lang w:val="es-ES"/>
              </w:rPr>
            </w:pPr>
          </w:p>
        </w:tc>
      </w:tr>
    </w:tbl>
    <w:p w:rsidR="00412AFB" w:rsidRPr="00993936" w:rsidRDefault="00412AFB" w:rsidP="00412AFB">
      <w:pPr>
        <w:jc w:val="both"/>
        <w:rPr>
          <w:rFonts w:ascii="Arial" w:hAnsi="Arial" w:cs="Arial"/>
          <w:lang w:val="es-ES"/>
        </w:rPr>
      </w:pPr>
      <w:r w:rsidRPr="00993936">
        <w:rPr>
          <w:rFonts w:ascii="Arial" w:hAnsi="Arial" w:cs="Arial"/>
          <w:lang w:val="es-ES"/>
        </w:rPr>
        <w:t xml:space="preserve">donde Q </w:t>
      </w:r>
      <w:r w:rsidRPr="00993936">
        <w:rPr>
          <w:rFonts w:ascii="Arial" w:hAnsi="Arial" w:cs="Arial"/>
          <w:vertAlign w:val="subscript"/>
          <w:lang w:val="es-ES"/>
        </w:rPr>
        <w:t>25 %</w:t>
      </w:r>
      <w:r w:rsidRPr="00993936">
        <w:rPr>
          <w:rFonts w:ascii="Arial" w:hAnsi="Arial" w:cs="Arial"/>
          <w:lang w:val="es-ES"/>
        </w:rPr>
        <w:t xml:space="preserve"> es la media del caudal de la descarga del 25 % de los emisores del caudal más reducido;</w:t>
      </w:r>
      <w:r w:rsidR="00E03B3B" w:rsidRPr="00993936">
        <w:rPr>
          <w:rFonts w:ascii="Arial" w:hAnsi="Arial" w:cs="Arial"/>
          <w:lang w:val="es-ES"/>
        </w:rPr>
        <w:t xml:space="preserve"> </w:t>
      </w:r>
      <w:r w:rsidRPr="00993936">
        <w:rPr>
          <w:rFonts w:ascii="Arial" w:hAnsi="Arial" w:cs="Arial"/>
          <w:lang w:val="es-ES"/>
        </w:rPr>
        <w:t>Q</w:t>
      </w:r>
      <w:r w:rsidRPr="00993936">
        <w:rPr>
          <w:rFonts w:ascii="Arial" w:hAnsi="Arial" w:cs="Arial"/>
          <w:vertAlign w:val="subscript"/>
          <w:lang w:val="es-ES"/>
        </w:rPr>
        <w:t>n</w:t>
      </w:r>
      <w:r w:rsidRPr="00993936">
        <w:rPr>
          <w:rFonts w:ascii="Arial" w:hAnsi="Arial" w:cs="Arial"/>
          <w:lang w:val="es-ES"/>
        </w:rPr>
        <w:t xml:space="preserve"> es el caudal medio de todos los emisores y n, el número de unidades o puntos de control (se recomienda que n </w:t>
      </w:r>
      <w:r w:rsidR="00C8354D" w:rsidRPr="00993936">
        <w:rPr>
          <w:rFonts w:ascii="Arial" w:hAnsi="Arial" w:cs="Arial"/>
          <w:lang w:val="es-ES"/>
        </w:rPr>
        <w:t>≥</w:t>
      </w:r>
      <w:r w:rsidRPr="00993936">
        <w:rPr>
          <w:rFonts w:ascii="Arial" w:hAnsi="Arial" w:cs="Arial"/>
          <w:lang w:val="es-ES"/>
        </w:rPr>
        <w:t xml:space="preserve"> 16). En caso de que la unidad de control tenga más de un emisor, el caudal total que hay que considerar será la suma del caudal de todos los emisores que constituyen la unidad.</w:t>
      </w:r>
    </w:p>
    <w:p w:rsidR="00412AFB" w:rsidRPr="00993936" w:rsidRDefault="00412AFB" w:rsidP="00412AFB">
      <w:pPr>
        <w:jc w:val="both"/>
        <w:rPr>
          <w:rFonts w:ascii="Arial" w:hAnsi="Arial" w:cs="Arial"/>
          <w:lang w:val="es-ES"/>
        </w:rPr>
      </w:pPr>
      <w:r w:rsidRPr="00993936">
        <w:rPr>
          <w:rFonts w:ascii="Arial" w:hAnsi="Arial" w:cs="Arial"/>
          <w:i/>
          <w:lang w:val="es-ES"/>
        </w:rPr>
        <w:t xml:space="preserve">Nueva plantación: </w:t>
      </w:r>
      <w:r w:rsidRPr="00993936">
        <w:rPr>
          <w:rFonts w:ascii="Arial" w:hAnsi="Arial" w:cs="Arial"/>
          <w:lang w:val="es-ES"/>
        </w:rPr>
        <w:t>aquella que se realiza durante el año en curso, hasta tres meses después de la fecha de publicación de esta norma.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 operadora: </w:t>
      </w:r>
      <w:r w:rsidRPr="00993936">
        <w:rPr>
          <w:rFonts w:ascii="Arial" w:hAnsi="Arial" w:cs="Arial"/>
          <w:lang w:val="es-ES"/>
        </w:rPr>
        <w:t>toda persona física o jurídica que obtiene, manipula, elabora, envasa, etiqueta, almacena o comercializa productos vegetales en las condiciones que establece esta disposición y que, como tal, figura inscrita en el Registro del Consejo Catalán dela Producción Integrada.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 operadora individual: </w:t>
      </w:r>
      <w:r w:rsidRPr="00993936">
        <w:rPr>
          <w:rFonts w:ascii="Arial" w:hAnsi="Arial" w:cs="Arial"/>
          <w:lang w:val="es-ES"/>
        </w:rPr>
        <w:t xml:space="preserve">aquella persona operadora que no está agrupada bajo ninguna forma de agrupación de producción integrada. </w:t>
      </w:r>
    </w:p>
    <w:p w:rsidR="00412AFB" w:rsidRPr="00993936" w:rsidRDefault="00412AFB" w:rsidP="00412AFB">
      <w:pPr>
        <w:jc w:val="both"/>
        <w:rPr>
          <w:rFonts w:ascii="Arial" w:hAnsi="Arial" w:cs="Arial"/>
          <w:lang w:val="es-ES"/>
        </w:rPr>
      </w:pPr>
      <w:r w:rsidRPr="00993936">
        <w:rPr>
          <w:rFonts w:ascii="Arial" w:hAnsi="Arial" w:cs="Arial"/>
          <w:i/>
          <w:lang w:val="es-ES"/>
        </w:rPr>
        <w:lastRenderedPageBreak/>
        <w:t xml:space="preserve">Organismo de control biológico: </w:t>
      </w:r>
      <w:r w:rsidRPr="00993936">
        <w:rPr>
          <w:rFonts w:ascii="Arial" w:hAnsi="Arial" w:cs="Arial"/>
          <w:lang w:val="es-ES"/>
        </w:rPr>
        <w:t>enemigo natural antagonista o competidor u otra entidad biótica capaz de reproducirse, utilizado para el control de plagas, con excepción de los microorganismos y virus contenidos en la definición de sustancia activa.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Parcela: </w:t>
      </w:r>
      <w:r w:rsidRPr="00993936">
        <w:rPr>
          <w:rFonts w:ascii="Arial" w:hAnsi="Arial" w:cs="Arial"/>
          <w:lang w:val="es-ES"/>
        </w:rPr>
        <w:t>superficie continua de terreno geográficamente definida e inscrita en el Registro catastral a nombre de uno o más titulares, donde la persona operadora realiza las prácticas de producción integrada.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Pérdidas técnicas de nutrientes: </w:t>
      </w:r>
      <w:r w:rsidRPr="00993936">
        <w:rPr>
          <w:rFonts w:ascii="Arial" w:hAnsi="Arial" w:cs="Arial"/>
          <w:lang w:val="es-ES"/>
        </w:rPr>
        <w:t>son las que se deben a la falta de incorporación de elementos nutritivos en la planta como consecuencia de errores de homogeneidad en la aportación, extracción de vegetación adventicia, lixiviación, pérdida de asimilabilidad por antagonismos, transformación en compuestos orgánicos, precipitación o insolubilización de elementos minerales o cualquier otro factor biótico.</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Personal técnico competente: </w:t>
      </w:r>
      <w:r w:rsidRPr="00993936">
        <w:rPr>
          <w:rFonts w:ascii="Arial" w:hAnsi="Arial" w:cs="Arial"/>
          <w:lang w:val="es-ES"/>
        </w:rPr>
        <w:t>Conjunto de personas físicas que prestan servicios técnicos de asistencia a la producción integrada y que cuentan con titulación universitaria de grado medio o superior, de acuerdo con lo especificado en el artículo 11.1 del Decreto 241/2002.</w:t>
      </w:r>
    </w:p>
    <w:p w:rsidR="00412AFB" w:rsidRPr="00993936" w:rsidRDefault="00412AFB" w:rsidP="00412AFB">
      <w:pPr>
        <w:jc w:val="both"/>
        <w:rPr>
          <w:rFonts w:ascii="Arial" w:hAnsi="Arial" w:cs="Arial"/>
          <w:lang w:val="es-ES"/>
        </w:rPr>
      </w:pPr>
      <w:r w:rsidRPr="00993936">
        <w:rPr>
          <w:rFonts w:ascii="Arial" w:hAnsi="Arial" w:cs="Arial"/>
          <w:i/>
          <w:lang w:val="es-ES"/>
        </w:rPr>
        <w:t xml:space="preserve">Producción integrada: </w:t>
      </w:r>
      <w:r w:rsidRPr="00993936">
        <w:rPr>
          <w:rFonts w:ascii="Arial" w:hAnsi="Arial" w:cs="Arial"/>
          <w:lang w:val="es-ES"/>
        </w:rPr>
        <w:t>el sistema agrario de producción y obtención de alimentos de calidad, frescos o transformados, y otros productos, que prioriza la utilización de los recursos y mecanismos de regulación naturales, con el objeto de optimizar los métodos de producción, evitar las aportaciones perjudiciales al medio ambiente y asegurar a largo plazo una agricultura y una ganadería sostenibles.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Cuaderno de conservación / poscosecha / central hortofrutícola: </w:t>
      </w:r>
      <w:r w:rsidRPr="00993936">
        <w:rPr>
          <w:rFonts w:ascii="Arial" w:hAnsi="Arial" w:cs="Arial"/>
          <w:lang w:val="es-ES"/>
        </w:rPr>
        <w:t>documento donde se registran los datos relativos a las instalaciones de los productos vegetales, mediante el cual es posible hacer un seguimiento detallado de todas las operaciones de recepción, manipulado, almacenamiento, envasado y expedición de frutas y hortalizas.</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Cuaderno de explotación: </w:t>
      </w:r>
      <w:r w:rsidRPr="00993936">
        <w:rPr>
          <w:rFonts w:ascii="Arial" w:hAnsi="Arial" w:cs="Arial"/>
          <w:lang w:val="es-ES"/>
        </w:rPr>
        <w:t>documento donde se registran los datos relativos a una parcela o agrupación de parcelas de cultivo (véase la definición de la unidad homogénea de cultivo), mediante el que es posible hacer un seguimiento detallado de todas las operaciones culturales realizadas durante el ciclo de cultivo.</w:t>
      </w:r>
    </w:p>
    <w:p w:rsidR="00412AFB" w:rsidRPr="00993936" w:rsidRDefault="00412AFB" w:rsidP="00412AFB">
      <w:pPr>
        <w:jc w:val="both"/>
        <w:rPr>
          <w:rFonts w:ascii="Arial" w:hAnsi="Arial" w:cs="Arial"/>
          <w:lang w:val="es-ES"/>
        </w:rPr>
      </w:pPr>
      <w:r w:rsidRPr="00993936">
        <w:rPr>
          <w:rFonts w:ascii="Arial" w:hAnsi="Arial" w:cs="Arial"/>
          <w:i/>
          <w:lang w:val="es-ES"/>
        </w:rPr>
        <w:t xml:space="preserve">Sustancias activas: </w:t>
      </w:r>
      <w:r w:rsidRPr="00993936">
        <w:rPr>
          <w:rFonts w:ascii="Arial" w:hAnsi="Arial" w:cs="Arial"/>
          <w:lang w:val="es-ES"/>
        </w:rPr>
        <w:t>las sustancias o microorganismos, incluidos los virus, que ejercen una acción general o específica contra las plagas, incluidas las enfermedades, o en vegetales, partes de vegetales o productos vegetales.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Unidad homogénea de cultivo (UHC): </w:t>
      </w:r>
      <w:r w:rsidRPr="00993936">
        <w:rPr>
          <w:rFonts w:ascii="Arial" w:hAnsi="Arial" w:cs="Arial"/>
          <w:lang w:val="es-ES"/>
        </w:rPr>
        <w:t>para cada cultivo, es la superficie de terreno que presenta unas características similares en cuanto al tipo de suelo, el sistema de riego y el tipo de cultivo, en la que se aplican operaciones culturales y técnicas de cultivo similares, así como los mismos tratamientos fitosanitarios. En el caso de agrupaciones de productores, podrán existir UHC que incluyan cultivos o partes de cultivos de varios agricultores. Para cultivos protegidos, la unidad homogénea de cultivo se encontrará dentro de un mismo recinto delimitado por un tipo de protección idéntico.</w:t>
      </w:r>
    </w:p>
    <w:p w:rsidR="00412AFB" w:rsidRPr="00993936" w:rsidRDefault="00412AFB" w:rsidP="00412AFB">
      <w:pPr>
        <w:jc w:val="both"/>
        <w:rPr>
          <w:rFonts w:ascii="Arial" w:hAnsi="Arial" w:cs="Arial"/>
          <w:lang w:val="es-ES"/>
        </w:rPr>
      </w:pPr>
      <w:r w:rsidRPr="00993936">
        <w:rPr>
          <w:rFonts w:ascii="Arial" w:hAnsi="Arial" w:cs="Arial"/>
          <w:i/>
          <w:lang w:val="es-ES"/>
        </w:rPr>
        <w:t xml:space="preserve">Venta directa: </w:t>
      </w:r>
      <w:r w:rsidRPr="00993936">
        <w:rPr>
          <w:rFonts w:ascii="Arial" w:hAnsi="Arial" w:cs="Arial"/>
          <w:lang w:val="es-ES"/>
        </w:rPr>
        <w:t>venta realizada por las propias personas operadoras de su producto fresco, envasado y etiquetado en la propia explotación, tanto al consumidor como al asentador, comerciante o mayorista.</w:t>
      </w:r>
    </w:p>
    <w:p w:rsidR="00412AFB" w:rsidRPr="00993936" w:rsidRDefault="00412AFB" w:rsidP="00412AFB">
      <w:pPr>
        <w:jc w:val="both"/>
        <w:rPr>
          <w:rFonts w:ascii="Arial" w:hAnsi="Arial" w:cs="Arial"/>
          <w:lang w:val="es-ES"/>
        </w:rPr>
      </w:pPr>
    </w:p>
    <w:p w:rsidR="000E5335" w:rsidRPr="00993936" w:rsidRDefault="000E5335">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tabs>
          <w:tab w:val="left" w:pos="1815"/>
        </w:tabs>
        <w:jc w:val="both"/>
        <w:outlineLvl w:val="0"/>
        <w:rPr>
          <w:rFonts w:ascii="Arial" w:hAnsi="Arial" w:cs="Arial"/>
          <w:b/>
          <w:snapToGrid w:val="0"/>
          <w:lang w:val="es-ES"/>
        </w:rPr>
      </w:pPr>
      <w:r w:rsidRPr="00993936">
        <w:rPr>
          <w:rFonts w:ascii="Arial" w:hAnsi="Arial" w:cs="Arial"/>
          <w:b/>
          <w:snapToGrid w:val="0"/>
          <w:lang w:val="es-ES"/>
        </w:rPr>
        <w:lastRenderedPageBreak/>
        <w:t>I.</w:t>
      </w:r>
      <w:r w:rsidR="00E03B3B" w:rsidRPr="00993936">
        <w:rPr>
          <w:rFonts w:ascii="Arial" w:hAnsi="Arial" w:cs="Arial"/>
          <w:b/>
          <w:snapToGrid w:val="0"/>
          <w:lang w:val="es-ES"/>
        </w:rPr>
        <w:t xml:space="preserve"> </w:t>
      </w:r>
      <w:r w:rsidRPr="00993936">
        <w:rPr>
          <w:rFonts w:ascii="Arial" w:hAnsi="Arial" w:cs="Arial"/>
          <w:b/>
          <w:snapToGrid w:val="0"/>
          <w:lang w:val="es-ES"/>
        </w:rPr>
        <w:t>BIODIVERSIDAD Y PRÁCTICAS DE CULTIVO</w:t>
      </w:r>
    </w:p>
    <w:p w:rsidR="00412AFB" w:rsidRPr="00993936" w:rsidRDefault="00412AFB" w:rsidP="00412AFB">
      <w:pPr>
        <w:tabs>
          <w:tab w:val="left" w:pos="1815"/>
        </w:tabs>
        <w:jc w:val="both"/>
        <w:outlineLvl w:val="0"/>
        <w:rPr>
          <w:rFonts w:ascii="Arial" w:hAnsi="Arial" w:cs="Arial"/>
          <w:snapToGrid w:val="0"/>
          <w:lang w:val="es-ES"/>
        </w:rPr>
      </w:pPr>
      <w:r w:rsidRPr="00993936">
        <w:rPr>
          <w:rFonts w:ascii="Arial" w:hAnsi="Arial" w:cs="Arial"/>
          <w:snapToGrid w:val="0"/>
          <w:lang w:val="es-ES"/>
        </w:rPr>
        <w:t>Artículo 1</w:t>
      </w:r>
      <w:r w:rsidRPr="00993936">
        <w:rPr>
          <w:rFonts w:ascii="Arial" w:hAnsi="Arial" w:cs="Arial"/>
          <w:snapToGrid w:val="0"/>
          <w:lang w:val="es-ES"/>
        </w:rPr>
        <w:tab/>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Biodiversidad</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1.1.</w:t>
      </w:r>
      <w:r w:rsidR="00CA0C28" w:rsidRPr="00993936">
        <w:rPr>
          <w:rFonts w:ascii="Arial" w:hAnsi="Arial" w:cs="Arial"/>
          <w:snapToGrid w:val="0"/>
          <w:lang w:val="es-ES"/>
        </w:rPr>
        <w:t xml:space="preserve"> </w:t>
      </w:r>
      <w:r w:rsidRPr="00993936">
        <w:rPr>
          <w:rFonts w:ascii="Arial" w:hAnsi="Arial" w:cs="Arial"/>
          <w:i/>
          <w:snapToGrid w:val="0"/>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t>1.1.1 Fomentar activamente la diversidad biológica de los niveles genéticos, específicos y del ecosistema, ya que constituye un recurso natural importante de la explotación agraria.</w:t>
      </w:r>
    </w:p>
    <w:p w:rsidR="00412AFB" w:rsidRPr="00993936" w:rsidRDefault="00412AFB" w:rsidP="00412AFB">
      <w:pPr>
        <w:pStyle w:val="Textodenotaalfinal"/>
        <w:jc w:val="both"/>
        <w:rPr>
          <w:rFonts w:ascii="Arial" w:hAnsi="Arial" w:cs="Arial"/>
          <w:sz w:val="22"/>
          <w:szCs w:val="22"/>
          <w:lang w:val="es-ES"/>
        </w:rPr>
      </w:pPr>
      <w:r w:rsidRPr="00993936">
        <w:rPr>
          <w:rFonts w:ascii="Arial" w:hAnsi="Arial" w:cs="Arial"/>
          <w:sz w:val="22"/>
          <w:szCs w:val="22"/>
          <w:lang w:val="es-ES"/>
        </w:rPr>
        <w:t>1.1.2 Fomentar y conservar un entorno de la explotación agraria natural y equilibrado, con un ecosistema de plantas y animales diversificado, identificando para cada cultivo y tipo de explotación agraria los elementos importantes de las infraestructuras ecológicas que contribuyan al mantenimiento y a la mejora de la biodiversidad biológica. Cada persona operadora productora deberá impulsar la realización de, al menos, dos opciones ecológicas que contribuyan a la mejora de la biodiversidad de sus plantaciones, seleccionándolas, prioritariamente, de la lista que se describe a continuación. Si no fuera posible la realización de las opciones propuestas, la persona operadora podrá establecer una lista de alternativas, de las que, como mínimo, deberá poner en práctica dos:</w:t>
      </w:r>
    </w:p>
    <w:p w:rsidR="00412AFB" w:rsidRPr="00993936" w:rsidRDefault="00412AFB" w:rsidP="00412AFB">
      <w:pPr>
        <w:pStyle w:val="Textodenotaalfinal"/>
        <w:numPr>
          <w:ilvl w:val="0"/>
          <w:numId w:val="10"/>
        </w:numPr>
        <w:ind w:left="714" w:hanging="357"/>
        <w:jc w:val="both"/>
        <w:rPr>
          <w:rFonts w:ascii="Arial" w:hAnsi="Arial" w:cs="Arial"/>
          <w:sz w:val="22"/>
          <w:szCs w:val="22"/>
          <w:lang w:val="es-ES"/>
        </w:rPr>
      </w:pPr>
      <w:r w:rsidRPr="00993936">
        <w:rPr>
          <w:rFonts w:ascii="Arial" w:hAnsi="Arial" w:cs="Arial"/>
          <w:sz w:val="22"/>
          <w:szCs w:val="22"/>
          <w:lang w:val="es-ES"/>
        </w:rPr>
        <w:t>Establecer un área de compensación ecológica, en la que no se apliquen plaguicidas ni fertilizantes, para aumentar la biodiversidad faunística y botánica, de al menos un 5 % de la superficie total de la explotación (excluidos los bosques). Podrán considerarse dentro de estas áreas, por ejemplo: cortavientos, márgenes de caminos, de canales, de ríos o arroyos, etc.</w:t>
      </w:r>
    </w:p>
    <w:p w:rsidR="00412AFB" w:rsidRPr="00993936" w:rsidRDefault="00412AFB" w:rsidP="00412AFB">
      <w:pPr>
        <w:pStyle w:val="Textodenotaalfinal"/>
        <w:ind w:left="708"/>
        <w:jc w:val="both"/>
        <w:rPr>
          <w:rFonts w:ascii="Arial" w:hAnsi="Arial" w:cs="Arial"/>
          <w:sz w:val="22"/>
          <w:szCs w:val="22"/>
          <w:lang w:val="es-ES"/>
        </w:rPr>
      </w:pPr>
      <w:r w:rsidRPr="00993936">
        <w:rPr>
          <w:rFonts w:ascii="Arial" w:hAnsi="Arial" w:cs="Arial"/>
          <w:sz w:val="22"/>
          <w:szCs w:val="22"/>
          <w:lang w:val="es-ES"/>
        </w:rPr>
        <w:t>Se admitirá que las áreas de compensación ecológica se establezcan a nivel de organización de productores o municipal, siempre que vayan asociadas directamente a las zonas de producción.</w:t>
      </w:r>
    </w:p>
    <w:p w:rsidR="00412AFB" w:rsidRPr="00993936" w:rsidRDefault="00412AFB" w:rsidP="00412AFB">
      <w:pPr>
        <w:pStyle w:val="Textodenotaalfinal"/>
        <w:numPr>
          <w:ilvl w:val="0"/>
          <w:numId w:val="10"/>
        </w:numPr>
        <w:ind w:left="714" w:hanging="357"/>
        <w:jc w:val="both"/>
        <w:rPr>
          <w:rFonts w:ascii="Arial" w:hAnsi="Arial" w:cs="Arial"/>
          <w:sz w:val="22"/>
          <w:szCs w:val="22"/>
          <w:lang w:val="es-ES"/>
        </w:rPr>
      </w:pPr>
      <w:r w:rsidRPr="00993936">
        <w:rPr>
          <w:rFonts w:ascii="Arial" w:hAnsi="Arial" w:cs="Arial"/>
          <w:sz w:val="22"/>
          <w:szCs w:val="22"/>
          <w:lang w:val="es-ES"/>
        </w:rPr>
        <w:t>Establecer o mantener una cubierta vegetal del suelo.</w:t>
      </w:r>
    </w:p>
    <w:p w:rsidR="00412AFB" w:rsidRPr="00993936" w:rsidRDefault="00412AFB" w:rsidP="00412AFB">
      <w:pPr>
        <w:pStyle w:val="Textodenotaalfinal"/>
        <w:numPr>
          <w:ilvl w:val="0"/>
          <w:numId w:val="10"/>
        </w:numPr>
        <w:ind w:left="714" w:hanging="357"/>
        <w:jc w:val="both"/>
        <w:rPr>
          <w:rFonts w:ascii="Arial" w:hAnsi="Arial" w:cs="Arial"/>
          <w:sz w:val="22"/>
          <w:szCs w:val="22"/>
          <w:lang w:val="es-ES"/>
        </w:rPr>
      </w:pPr>
      <w:r w:rsidRPr="00993936">
        <w:rPr>
          <w:rFonts w:ascii="Arial" w:hAnsi="Arial" w:cs="Arial"/>
          <w:sz w:val="22"/>
          <w:szCs w:val="22"/>
          <w:lang w:val="es-ES"/>
        </w:rPr>
        <w:t>No aplicar herbicidas en las plantaciones durante el periodo de otoño-invierno.</w:t>
      </w:r>
    </w:p>
    <w:p w:rsidR="00412AFB" w:rsidRPr="00993936" w:rsidRDefault="00412AFB" w:rsidP="00412AFB">
      <w:pPr>
        <w:pStyle w:val="Textodenotaalfinal"/>
        <w:numPr>
          <w:ilvl w:val="0"/>
          <w:numId w:val="10"/>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los pájaros insectívoros y aves rapaces.</w:t>
      </w:r>
    </w:p>
    <w:p w:rsidR="00412AFB" w:rsidRPr="00993936" w:rsidRDefault="00412AFB" w:rsidP="00412AFB">
      <w:pPr>
        <w:pStyle w:val="Textodenotaalfinal"/>
        <w:numPr>
          <w:ilvl w:val="0"/>
          <w:numId w:val="10"/>
        </w:numPr>
        <w:ind w:left="714" w:hanging="357"/>
        <w:jc w:val="both"/>
        <w:rPr>
          <w:rFonts w:ascii="Arial" w:hAnsi="Arial" w:cs="Arial"/>
          <w:sz w:val="22"/>
          <w:szCs w:val="22"/>
          <w:lang w:val="es-ES"/>
        </w:rPr>
      </w:pPr>
      <w:r w:rsidRPr="00993936">
        <w:rPr>
          <w:rFonts w:ascii="Arial" w:hAnsi="Arial" w:cs="Arial"/>
          <w:sz w:val="22"/>
          <w:szCs w:val="22"/>
          <w:lang w:val="es-ES"/>
        </w:rPr>
        <w:t>No aplicar productos fitosanitarios ni herbicidas sobre la vegetación espontánea de los márgenes de las parcelas y realizar su control con medios culturales.</w:t>
      </w:r>
    </w:p>
    <w:p w:rsidR="00412AFB" w:rsidRPr="00993936" w:rsidRDefault="00412AFB" w:rsidP="00412AFB">
      <w:pPr>
        <w:pStyle w:val="Textodenotaalfinal"/>
        <w:numPr>
          <w:ilvl w:val="0"/>
          <w:numId w:val="10"/>
        </w:numPr>
        <w:ind w:left="714" w:hanging="357"/>
        <w:jc w:val="both"/>
        <w:rPr>
          <w:rFonts w:ascii="Arial" w:hAnsi="Arial" w:cs="Arial"/>
          <w:sz w:val="22"/>
          <w:szCs w:val="22"/>
          <w:lang w:val="es-ES"/>
        </w:rPr>
      </w:pPr>
      <w:r w:rsidRPr="00993936">
        <w:rPr>
          <w:rFonts w:ascii="Arial" w:hAnsi="Arial" w:cs="Arial"/>
          <w:sz w:val="22"/>
          <w:szCs w:val="22"/>
          <w:lang w:val="es-ES"/>
        </w:rPr>
        <w:t>Establecer cortavientos en los márgenes de las parcelas, especialmente en zonas ventosas.</w:t>
      </w:r>
    </w:p>
    <w:p w:rsidR="00412AFB" w:rsidRPr="00993936" w:rsidRDefault="00412AFB" w:rsidP="00412AFB">
      <w:pPr>
        <w:pStyle w:val="Textodenotaalfinal"/>
        <w:numPr>
          <w:ilvl w:val="0"/>
          <w:numId w:val="10"/>
        </w:numPr>
        <w:ind w:left="714" w:hanging="357"/>
        <w:jc w:val="both"/>
        <w:rPr>
          <w:rFonts w:ascii="Arial" w:hAnsi="Arial" w:cs="Arial"/>
          <w:sz w:val="22"/>
          <w:szCs w:val="22"/>
          <w:lang w:val="es-ES"/>
        </w:rPr>
      </w:pPr>
      <w:r w:rsidRPr="00993936">
        <w:rPr>
          <w:rFonts w:ascii="Arial" w:hAnsi="Arial" w:cs="Arial"/>
          <w:sz w:val="22"/>
          <w:szCs w:val="22"/>
          <w:lang w:val="es-ES"/>
        </w:rPr>
        <w:t>Proporcionar alimentos a los adultos de los enemigos naturales mediante plantas con flores.</w:t>
      </w:r>
    </w:p>
    <w:p w:rsidR="00412AFB" w:rsidRPr="00993936" w:rsidRDefault="00412AFB" w:rsidP="00412AFB">
      <w:pPr>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1.2.1 En caso de que se implanten cortavientos, siempre que sea posible se realizarán con especies autóctonas, procurando mantener una diversidad de estructura y composición.</w:t>
      </w:r>
    </w:p>
    <w:p w:rsidR="00412AFB" w:rsidRPr="00993936" w:rsidRDefault="00412AFB" w:rsidP="00412AFB">
      <w:pPr>
        <w:jc w:val="both"/>
        <w:rPr>
          <w:rFonts w:ascii="Arial" w:hAnsi="Arial" w:cs="Arial"/>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2</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Aspectos agronómicos generales</w:t>
      </w:r>
    </w:p>
    <w:p w:rsidR="00412AFB" w:rsidRPr="00993936" w:rsidRDefault="00412AFB" w:rsidP="00412AFB">
      <w:pPr>
        <w:pStyle w:val="Sangradetextonormal"/>
        <w:ind w:left="0"/>
        <w:jc w:val="both"/>
        <w:rPr>
          <w:rFonts w:cs="Arial"/>
          <w:b/>
          <w:szCs w:val="22"/>
          <w:lang w:val="es-ES"/>
        </w:rPr>
      </w:pPr>
      <w:r w:rsidRPr="00993936">
        <w:rPr>
          <w:rFonts w:cs="Arial"/>
          <w:szCs w:val="22"/>
          <w:lang w:val="es-ES"/>
        </w:rPr>
        <w:t xml:space="preserve">2.1 </w:t>
      </w:r>
      <w:r w:rsidRPr="00993936">
        <w:rPr>
          <w:rFonts w:cs="Arial"/>
          <w:i/>
          <w:szCs w:val="22"/>
          <w:lang w:val="es-ES"/>
        </w:rPr>
        <w:t>Obligaciones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2.1.1 El momento y la intensidad de las operaciones culturales deben minimizar los posibles impactos ambientales.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2.1.2 En cítricos, el sistema de cultivo incluye el sistema de formación y debe respetar el estado fisiológico óptimo de las plantas.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2.2 </w:t>
      </w:r>
      <w:r w:rsidRPr="00993936">
        <w:rPr>
          <w:rFonts w:cs="Arial"/>
          <w:i/>
          <w:szCs w:val="22"/>
          <w:lang w:val="es-ES"/>
        </w:rPr>
        <w:t>Recomendaciones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2.2.1 Conocer la temperatura, la pluviometría, el régimen de heladas y el número de horas de frío en las zonas de cultivo.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2.2.2 Exigencias climáticas:</w:t>
      </w:r>
    </w:p>
    <w:p w:rsidR="00412AFB" w:rsidRPr="00993936" w:rsidRDefault="00412AFB" w:rsidP="00412AFB">
      <w:pPr>
        <w:pStyle w:val="Sangradetextonormal"/>
        <w:jc w:val="both"/>
        <w:rPr>
          <w:rFonts w:cs="Arial"/>
          <w:szCs w:val="22"/>
          <w:lang w:val="es-ES"/>
        </w:rPr>
      </w:pPr>
      <w:r w:rsidRPr="00993936">
        <w:rPr>
          <w:rFonts w:cs="Arial"/>
          <w:szCs w:val="22"/>
          <w:lang w:val="es-ES"/>
        </w:rPr>
        <w:t>Según la clasificación de Papadakis:</w:t>
      </w:r>
    </w:p>
    <w:p w:rsidR="00412AFB" w:rsidRPr="00993936" w:rsidRDefault="00412AFB" w:rsidP="009D1A2D">
      <w:pPr>
        <w:pStyle w:val="Sangradetextonormal"/>
        <w:numPr>
          <w:ilvl w:val="0"/>
          <w:numId w:val="34"/>
        </w:numPr>
        <w:tabs>
          <w:tab w:val="clear" w:pos="360"/>
          <w:tab w:val="num" w:pos="1068"/>
        </w:tabs>
        <w:ind w:left="1068"/>
        <w:jc w:val="both"/>
        <w:rPr>
          <w:rFonts w:cs="Arial"/>
          <w:szCs w:val="22"/>
          <w:lang w:val="es-ES"/>
        </w:rPr>
      </w:pPr>
      <w:r w:rsidRPr="00993936">
        <w:rPr>
          <w:rFonts w:cs="Arial"/>
          <w:szCs w:val="22"/>
          <w:lang w:val="es-ES"/>
        </w:rPr>
        <w:t>Tipo de invierno: Ci (citrus)</w:t>
      </w:r>
    </w:p>
    <w:p w:rsidR="00412AFB" w:rsidRPr="00993936" w:rsidRDefault="00412AFB" w:rsidP="009D1A2D">
      <w:pPr>
        <w:pStyle w:val="Sangradetextonormal"/>
        <w:numPr>
          <w:ilvl w:val="0"/>
          <w:numId w:val="34"/>
        </w:numPr>
        <w:tabs>
          <w:tab w:val="clear" w:pos="360"/>
          <w:tab w:val="num" w:pos="1068"/>
        </w:tabs>
        <w:ind w:left="1068"/>
        <w:jc w:val="both"/>
        <w:rPr>
          <w:rFonts w:cs="Arial"/>
          <w:szCs w:val="22"/>
          <w:lang w:val="es-ES"/>
        </w:rPr>
      </w:pPr>
      <w:r w:rsidRPr="00993936">
        <w:rPr>
          <w:rFonts w:cs="Arial"/>
          <w:szCs w:val="22"/>
          <w:lang w:val="es-ES"/>
        </w:rPr>
        <w:t>Tipo de verano: G (algodón, con un verano suficientemente cálido)</w:t>
      </w:r>
    </w:p>
    <w:p w:rsidR="00412AFB" w:rsidRPr="00993936" w:rsidRDefault="00412AFB" w:rsidP="009D1A2D">
      <w:pPr>
        <w:pStyle w:val="Sangradetextonormal"/>
        <w:numPr>
          <w:ilvl w:val="0"/>
          <w:numId w:val="34"/>
        </w:numPr>
        <w:tabs>
          <w:tab w:val="clear" w:pos="360"/>
          <w:tab w:val="num" w:pos="1068"/>
        </w:tabs>
        <w:ind w:left="1068"/>
        <w:jc w:val="both"/>
        <w:rPr>
          <w:rFonts w:cs="Arial"/>
          <w:szCs w:val="22"/>
          <w:lang w:val="es-ES"/>
        </w:rPr>
      </w:pPr>
      <w:r w:rsidRPr="00993936">
        <w:rPr>
          <w:rFonts w:cs="Arial"/>
          <w:szCs w:val="22"/>
          <w:lang w:val="es-ES"/>
        </w:rPr>
        <w:t>Régimen de humedad: Me (Mediterráneo seco)</w:t>
      </w:r>
    </w:p>
    <w:p w:rsidR="00412AFB" w:rsidRPr="00993936" w:rsidRDefault="00412AFB" w:rsidP="00412AFB">
      <w:pPr>
        <w:pStyle w:val="Sangradetextonormal"/>
        <w:ind w:left="0"/>
        <w:jc w:val="both"/>
        <w:rPr>
          <w:rFonts w:cs="Arial"/>
          <w:b/>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3</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Suelo, preparación del terreno, cultivo y manejo de la cubierta vegetal</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3.1 Generalidades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3.1.1 </w:t>
      </w:r>
      <w:r w:rsidRPr="00993936">
        <w:rPr>
          <w:rFonts w:cs="Arial"/>
          <w:i/>
          <w:szCs w:val="22"/>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t>3.1.1.1 Mantener y mejorar la fertilidad del suelo mediante:</w:t>
      </w:r>
    </w:p>
    <w:p w:rsidR="00412AFB" w:rsidRPr="00993936" w:rsidRDefault="00412AFB" w:rsidP="009D1A2D">
      <w:pPr>
        <w:pStyle w:val="Textoindependiente"/>
        <w:numPr>
          <w:ilvl w:val="0"/>
          <w:numId w:val="38"/>
        </w:numPr>
        <w:rPr>
          <w:rFonts w:cs="Arial"/>
          <w:szCs w:val="22"/>
          <w:lang w:val="es-ES"/>
        </w:rPr>
      </w:pPr>
      <w:r w:rsidRPr="00993936">
        <w:rPr>
          <w:rFonts w:cs="Arial"/>
          <w:szCs w:val="22"/>
          <w:lang w:val="es-ES"/>
        </w:rPr>
        <w:t xml:space="preserve">El conocimiento de los niveles de materia orgánica del suelo y la velocidad de mineralización, que se estimarán de acuerdo con el tipo de suelo y con las condiciones climáticas de la zona. </w:t>
      </w:r>
    </w:p>
    <w:p w:rsidR="00412AFB" w:rsidRPr="00993936" w:rsidRDefault="00412AFB" w:rsidP="009D1A2D">
      <w:pPr>
        <w:pStyle w:val="Sangradetextonormal"/>
        <w:numPr>
          <w:ilvl w:val="0"/>
          <w:numId w:val="38"/>
        </w:numPr>
        <w:jc w:val="both"/>
        <w:rPr>
          <w:rFonts w:cs="Arial"/>
          <w:szCs w:val="22"/>
          <w:lang w:val="es-ES"/>
        </w:rPr>
      </w:pPr>
      <w:r w:rsidRPr="00993936">
        <w:rPr>
          <w:rFonts w:cs="Arial"/>
          <w:szCs w:val="22"/>
          <w:lang w:val="es-ES"/>
        </w:rPr>
        <w:t>La protección del suelo durante el máximo de tiempo posible mediante una cubierta vegetal espontánea y/o elaborada con especies mejoradoras o, en su defecto, con los restos de poda triturados y dejados sobre el terreno. Dicha protección deberá conservarse durante los meses de máxima pluviometría (desde septiembre a finales de invierno) y ser manejada mediante métodos mecánicos. En aquellos casos en que no puedan aplicarse técnicas de no laboreo, se realizará la mínima labranza superficial, combinando, para el control de las malas hierbas, la utilización de herbicidas y de cultivo.</w:t>
      </w:r>
    </w:p>
    <w:p w:rsidR="00412AFB" w:rsidRPr="00993936" w:rsidRDefault="00412AFB" w:rsidP="009D1A2D">
      <w:pPr>
        <w:numPr>
          <w:ilvl w:val="0"/>
          <w:numId w:val="38"/>
        </w:numPr>
        <w:spacing w:after="0" w:line="240" w:lineRule="auto"/>
        <w:jc w:val="both"/>
        <w:rPr>
          <w:rFonts w:ascii="Arial" w:hAnsi="Arial" w:cs="Arial"/>
          <w:lang w:val="es-ES"/>
        </w:rPr>
      </w:pPr>
      <w:r w:rsidRPr="00993936">
        <w:rPr>
          <w:rFonts w:ascii="Arial" w:hAnsi="Arial" w:cs="Arial"/>
          <w:lang w:val="es-ES"/>
        </w:rPr>
        <w:t>La optimización de las propiedades biofísicas del suelo para evitar la compactación minimizando el paso de la maquinaria en condiciones de excesiva humedad del suelo.</w:t>
      </w:r>
    </w:p>
    <w:p w:rsidR="00412AFB" w:rsidRPr="00993936" w:rsidRDefault="00412AFB" w:rsidP="009D1A2D">
      <w:pPr>
        <w:numPr>
          <w:ilvl w:val="0"/>
          <w:numId w:val="38"/>
        </w:numPr>
        <w:spacing w:after="0" w:line="240" w:lineRule="auto"/>
        <w:jc w:val="both"/>
        <w:rPr>
          <w:rFonts w:ascii="Arial" w:hAnsi="Arial" w:cs="Arial"/>
          <w:lang w:val="es-ES"/>
        </w:rPr>
      </w:pPr>
      <w:r w:rsidRPr="00993936">
        <w:rPr>
          <w:rFonts w:ascii="Arial" w:hAnsi="Arial" w:cs="Arial"/>
          <w:lang w:val="es-ES"/>
        </w:rPr>
        <w:t>La mínima perturbación física o química del suelo.</w:t>
      </w:r>
    </w:p>
    <w:p w:rsidR="00412AFB" w:rsidRPr="00993936" w:rsidRDefault="00412AFB" w:rsidP="00412AFB">
      <w:pPr>
        <w:jc w:val="both"/>
        <w:rPr>
          <w:rFonts w:ascii="Arial" w:hAnsi="Arial" w:cs="Arial"/>
          <w:lang w:val="es-ES"/>
        </w:rPr>
      </w:pPr>
      <w:r w:rsidRPr="00993936">
        <w:rPr>
          <w:rFonts w:ascii="Arial" w:hAnsi="Arial" w:cs="Arial"/>
          <w:lang w:val="es-ES"/>
        </w:rPr>
        <w:t xml:space="preserve">3.1.1.2 Los trabajos de campo se realizarán respetando al máximo la estructura del suelo, evitando la escorrentía superficial y el encharcamiento. También se tendrá en cuenta la pendiente del suelo para la adecuada conservación del suelo, adaptando las dimensiones y características de las obras de conservación (terrazas, bancales, lomas) con el objeto de evitar fenómenos de erosión.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3.1.1.3 Las técnicas de cultivo utilizadas deberán ser las adecuadas para reducir la erosión del suelo y el consumo energético.</w:t>
      </w:r>
    </w:p>
    <w:p w:rsidR="00412AFB" w:rsidRPr="00993936" w:rsidRDefault="00412AFB" w:rsidP="00412AFB">
      <w:pPr>
        <w:pStyle w:val="Sangradetextonormal"/>
        <w:ind w:left="0"/>
        <w:jc w:val="both"/>
        <w:rPr>
          <w:rFonts w:cs="Arial"/>
          <w:b/>
          <w:szCs w:val="22"/>
          <w:lang w:val="es-ES"/>
        </w:rPr>
      </w:pPr>
      <w:r w:rsidRPr="00993936">
        <w:rPr>
          <w:rFonts w:cs="Arial"/>
          <w:szCs w:val="22"/>
          <w:lang w:val="es-ES"/>
        </w:rPr>
        <w:t xml:space="preserve">3.1.2 </w:t>
      </w:r>
      <w:r w:rsidRPr="00993936">
        <w:rPr>
          <w:rFonts w:cs="Arial"/>
          <w:i/>
          <w:szCs w:val="22"/>
          <w:lang w:val="es-ES"/>
        </w:rPr>
        <w:t>Prohibiciones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3.1.2.1 Desinfectar el suelo mediante tratamientos químicos, salvo casos técnicamente justificados y autorizados por el organismo oficial correspondiente. Las autorizaciones podrán establecerse también para una determinada zona o región.</w:t>
      </w:r>
    </w:p>
    <w:p w:rsidR="00412AFB" w:rsidRPr="00993936" w:rsidRDefault="00412AFB" w:rsidP="00412AFB">
      <w:pPr>
        <w:pStyle w:val="Textoindependiente"/>
        <w:rPr>
          <w:rFonts w:cs="Arial"/>
          <w:szCs w:val="22"/>
          <w:lang w:val="es-ES"/>
        </w:rPr>
      </w:pPr>
      <w:r w:rsidRPr="00993936">
        <w:rPr>
          <w:rFonts w:cs="Arial"/>
          <w:szCs w:val="22"/>
          <w:lang w:val="es-ES"/>
        </w:rPr>
        <w:t>3.1.2.2 Trabajar el suelo en el sentido de la pendiente en parcelas con pendientes superiores al 10 % y también efectuar trabajos preparatorios que alteren los horizontes del suelo.</w:t>
      </w:r>
    </w:p>
    <w:p w:rsidR="00412AFB" w:rsidRPr="00993936" w:rsidRDefault="00412AFB" w:rsidP="00412AFB">
      <w:pPr>
        <w:jc w:val="both"/>
        <w:rPr>
          <w:rFonts w:ascii="Arial" w:hAnsi="Arial" w:cs="Arial"/>
          <w:lang w:val="es-ES"/>
        </w:rPr>
      </w:pPr>
      <w:r w:rsidRPr="00993936">
        <w:rPr>
          <w:rFonts w:ascii="Arial" w:hAnsi="Arial" w:cs="Arial"/>
          <w:lang w:val="es-ES"/>
        </w:rPr>
        <w:t>3.1.2.3 La utilización sistemática y permanente de herramientas agrícolas (cavadoras, discos, etc.) que destruyan la estructura del suelo y favorezcan la formación de un estrato o zona de compactación.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3.1.3 </w:t>
      </w:r>
      <w:r w:rsidRPr="00993936">
        <w:rPr>
          <w:rFonts w:cs="Arial"/>
          <w:i/>
          <w:szCs w:val="22"/>
          <w:lang w:val="es-ES"/>
        </w:rPr>
        <w:t>Recomendaciones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lastRenderedPageBreak/>
        <w:t xml:space="preserve">3.1.3.1 Efectuar una aportación de materia orgánica de una relación carbono/nitrógeno (C/N </w:t>
      </w:r>
      <w:r w:rsidRPr="00993936">
        <w:rPr>
          <w:rFonts w:cs="Arial"/>
          <w:szCs w:val="22"/>
          <w:lang w:val="es-ES"/>
        </w:rPr>
        <w:sym w:font="Symbol" w:char="F040"/>
      </w:r>
      <w:r w:rsidRPr="00993936">
        <w:rPr>
          <w:rFonts w:cs="Arial"/>
          <w:szCs w:val="22"/>
          <w:lang w:val="es-ES"/>
        </w:rPr>
        <w:t xml:space="preserve"> 10) cuando el suelo no llega al 2 %.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3.1.3.2 Realizar las labores preparatorias adecuadas que faciliten el drenaje y aireación del terreno para mantener la estructura del suelo.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3.1.3.3 Desfondar el terreno cuando aparezcan capas compactas a escasa profundidad.</w:t>
      </w:r>
    </w:p>
    <w:p w:rsidR="00412AFB" w:rsidRPr="00993936" w:rsidRDefault="00412AFB" w:rsidP="00412AFB">
      <w:pPr>
        <w:jc w:val="both"/>
        <w:rPr>
          <w:rFonts w:ascii="Arial" w:hAnsi="Arial" w:cs="Arial"/>
          <w:lang w:val="es-ES"/>
        </w:rPr>
      </w:pPr>
      <w:r w:rsidRPr="00993936">
        <w:rPr>
          <w:rFonts w:ascii="Arial" w:hAnsi="Arial" w:cs="Arial"/>
          <w:lang w:val="es-ES"/>
        </w:rPr>
        <w:t xml:space="preserve">3.1.3.4 Se preferirán los tipos de suelos que tengan una profundidad adecuada para el desarrollo de las raíces, que estén bien drenados y de textura media. La conductividad eléctrica (CE) debe ser menor de 1,5 dS/m a </w:t>
      </w:r>
      <w:smartTag w:uri="urn:schemas-microsoft-com:office:smarttags" w:element="metricconverter">
        <w:smartTagPr>
          <w:attr w:name="ProductID" w:val="25ﾺC"/>
        </w:smartTagPr>
        <w:r w:rsidRPr="00993936">
          <w:rPr>
            <w:rFonts w:ascii="Arial" w:hAnsi="Arial" w:cs="Arial"/>
            <w:lang w:val="es-ES"/>
          </w:rPr>
          <w:t>25 ºC</w:t>
        </w:r>
      </w:smartTag>
      <w:r w:rsidRPr="00993936">
        <w:rPr>
          <w:rFonts w:ascii="Arial" w:hAnsi="Arial" w:cs="Arial"/>
          <w:lang w:val="es-ES"/>
        </w:rPr>
        <w:t>.</w:t>
      </w:r>
    </w:p>
    <w:p w:rsidR="00412AFB" w:rsidRPr="00993936" w:rsidRDefault="00412AFB" w:rsidP="00412AFB">
      <w:pPr>
        <w:pStyle w:val="Textoindependiente"/>
        <w:rPr>
          <w:rFonts w:cs="Arial"/>
          <w:szCs w:val="22"/>
          <w:lang w:val="es-ES"/>
        </w:rPr>
      </w:pPr>
      <w:r w:rsidRPr="00993936">
        <w:rPr>
          <w:rFonts w:cs="Arial"/>
          <w:szCs w:val="22"/>
          <w:lang w:val="es-ES"/>
        </w:rPr>
        <w:t>3.1.3.5 En caso de que sea necesario realizar la desinfección del suelo, utilizar técnicas de solarización.</w:t>
      </w:r>
    </w:p>
    <w:p w:rsidR="00412AFB" w:rsidRPr="00993936" w:rsidRDefault="00412AFB" w:rsidP="00412AFB">
      <w:pPr>
        <w:jc w:val="both"/>
        <w:rPr>
          <w:rFonts w:ascii="Arial" w:hAnsi="Arial" w:cs="Arial"/>
          <w:lang w:val="es-ES"/>
        </w:rPr>
      </w:pPr>
      <w:r w:rsidRPr="00993936">
        <w:rPr>
          <w:rFonts w:ascii="Arial" w:hAnsi="Arial" w:cs="Arial"/>
          <w:lang w:val="es-ES"/>
        </w:rPr>
        <w:t>3.1.3.6 La información sobre el tipo de suelo podrá ser extraída del mapa detallado de suelos de Cataluña, en caso de que exista.</w:t>
      </w:r>
    </w:p>
    <w:p w:rsidR="00412AFB" w:rsidRPr="00993936" w:rsidRDefault="00412AFB" w:rsidP="00412AFB">
      <w:pPr>
        <w:pStyle w:val="Textoindependiente"/>
        <w:rPr>
          <w:rFonts w:cs="Arial"/>
          <w:szCs w:val="22"/>
          <w:lang w:val="es-ES"/>
        </w:rPr>
      </w:pPr>
      <w:r w:rsidRPr="00993936">
        <w:rPr>
          <w:rFonts w:cs="Arial"/>
          <w:szCs w:val="22"/>
          <w:lang w:val="es-ES"/>
        </w:rPr>
        <w:t xml:space="preserve">3.1.3.7 No realizar el cultivo en zonas con factores limitantes: encharcamientos, salinidad, capa freática alta, poca profundidad. </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 xml:space="preserve"> </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3.2 Nueva plantación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3.2.1 </w:t>
      </w:r>
      <w:r w:rsidRPr="00993936">
        <w:rPr>
          <w:rFonts w:cs="Arial"/>
          <w:i/>
          <w:szCs w:val="22"/>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3.2.1.1 Se realizará una caracterización del suelo mediante el examen directo y su análisis. Con este fin, se excavarán zanjas en el suelo para obtener información sobre la profundidad, textura, estructura, acidez, alcalinidad, capacidad de retención de agua y posibles problemas de salinidad, permeabilidad y encharcamientos. Las zanjas se excavarán por zonas homogéneas, que no deberán ser necesariamente coincidentes con las unidades de control. No será necesario realizar esta práctica si la información puede obtenerse a través de los mapas de suelos existentes.</w:t>
      </w:r>
    </w:p>
    <w:p w:rsidR="00412AFB" w:rsidRPr="00993936" w:rsidRDefault="00412AFB" w:rsidP="00412AFB">
      <w:pPr>
        <w:pStyle w:val="Textoindependiente"/>
        <w:rPr>
          <w:rFonts w:cs="Arial"/>
          <w:szCs w:val="22"/>
          <w:lang w:val="es-ES"/>
        </w:rPr>
      </w:pPr>
      <w:r w:rsidRPr="00993936">
        <w:rPr>
          <w:rFonts w:cs="Arial"/>
          <w:szCs w:val="22"/>
          <w:lang w:val="es-ES"/>
        </w:rPr>
        <w:t>3.2.1.2 Eliminar los tocones y restos de cultivos leñosos anteriores.</w:t>
      </w:r>
    </w:p>
    <w:p w:rsidR="00412AFB" w:rsidRPr="00993936" w:rsidRDefault="00412AFB" w:rsidP="00412AFB">
      <w:pPr>
        <w:jc w:val="both"/>
        <w:rPr>
          <w:rFonts w:ascii="Arial" w:hAnsi="Arial" w:cs="Arial"/>
          <w:lang w:val="es-ES"/>
        </w:rPr>
      </w:pPr>
      <w:r w:rsidRPr="00993936">
        <w:rPr>
          <w:rFonts w:ascii="Arial" w:hAnsi="Arial" w:cs="Arial"/>
          <w:lang w:val="es-ES"/>
        </w:rPr>
        <w:t>3.2.1.3 La disposición de las filas de árboles será la que minimice la erosión y, de ser necesario, se adoptarán medidas de conservación de suelos.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3.2.1.4 En los suelos poco profundos o con tendencia al estancamiento, la plantación se efectuará sobre caballones, mesetas o cerros para evitar problemas fitosanitarios en el sistema radicular.</w:t>
      </w:r>
      <w:r w:rsidR="00E03B3B" w:rsidRPr="00993936">
        <w:rPr>
          <w:rFonts w:cs="Arial"/>
          <w:szCs w:val="22"/>
          <w:lang w:val="es-ES"/>
        </w:rPr>
        <w:t xml:space="preserve">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3.2.1.5 La profundidad mínima del suelo utilizable para las raíces deberá ser de </w:t>
      </w:r>
      <w:smartTag w:uri="urn:schemas-microsoft-com:office:smarttags" w:element="metricconverter">
        <w:smartTagPr>
          <w:attr w:name="ProductID" w:val="40 cm"/>
        </w:smartTagPr>
        <w:r w:rsidRPr="00993936">
          <w:rPr>
            <w:rFonts w:cs="Arial"/>
            <w:szCs w:val="22"/>
            <w:lang w:val="es-ES"/>
          </w:rPr>
          <w:t>40 cm</w:t>
        </w:r>
      </w:smartTag>
      <w:r w:rsidRPr="00993936">
        <w:rPr>
          <w:rFonts w:cs="Arial"/>
          <w:szCs w:val="22"/>
          <w:lang w:val="es-ES"/>
        </w:rPr>
        <w:t>.</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3.2.2 </w:t>
      </w:r>
      <w:r w:rsidRPr="00993936">
        <w:rPr>
          <w:rFonts w:cs="Arial"/>
          <w:i/>
          <w:szCs w:val="22"/>
          <w:lang w:val="es-ES"/>
        </w:rPr>
        <w:t>Recomendaciones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3.2.2.1 Antes de la plantación deberán tenerse en cuenta aquellas características del suelo que influyan en el desarrollo de la planta, como textura, estructura, acidez, alcalinidad, salinidad, etc., analizando la idoneidad para la especie elegida.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3.2.2.2 Realizar un análisis previo de nematodos en las nuevas plantaciones.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3.2.2.3 Condicionantes del suelo:</w:t>
      </w:r>
    </w:p>
    <w:p w:rsidR="00412AFB" w:rsidRPr="00993936" w:rsidRDefault="00412AFB" w:rsidP="00412AFB">
      <w:pPr>
        <w:pStyle w:val="Sangradetextonormal"/>
        <w:ind w:left="709"/>
        <w:jc w:val="both"/>
        <w:rPr>
          <w:rFonts w:cs="Arial"/>
          <w:i/>
          <w:szCs w:val="22"/>
          <w:lang w:val="es-ES"/>
        </w:rPr>
      </w:pPr>
      <w:r w:rsidRPr="00993936">
        <w:rPr>
          <w:rFonts w:cs="Arial"/>
          <w:i/>
          <w:szCs w:val="22"/>
          <w:lang w:val="es-ES"/>
        </w:rPr>
        <w:t>Profundidad:</w:t>
      </w:r>
    </w:p>
    <w:p w:rsidR="00412AFB" w:rsidRPr="00993936" w:rsidRDefault="00412AFB" w:rsidP="00412AFB">
      <w:pPr>
        <w:pStyle w:val="Sangradetextonormal"/>
        <w:ind w:left="709"/>
        <w:jc w:val="both"/>
        <w:rPr>
          <w:rFonts w:cs="Arial"/>
          <w:szCs w:val="22"/>
          <w:lang w:val="es-ES"/>
        </w:rPr>
      </w:pPr>
      <w:r w:rsidRPr="00993936">
        <w:rPr>
          <w:rFonts w:cs="Arial"/>
          <w:szCs w:val="22"/>
          <w:lang w:val="es-ES"/>
        </w:rPr>
        <w:t xml:space="preserve">En el material impermeable: </w:t>
      </w:r>
      <w:smartTag w:uri="urn:schemas-microsoft-com:office:smarttags" w:element="metricconverter">
        <w:smartTagPr>
          <w:attr w:name="ProductID" w:val="60 cm"/>
        </w:smartTagPr>
        <w:r w:rsidRPr="00993936">
          <w:rPr>
            <w:rFonts w:cs="Arial"/>
            <w:szCs w:val="22"/>
            <w:lang w:val="es-ES"/>
          </w:rPr>
          <w:t>60 cm</w:t>
        </w:r>
      </w:smartTag>
      <w:r w:rsidRPr="00993936">
        <w:rPr>
          <w:rFonts w:cs="Arial"/>
          <w:szCs w:val="22"/>
          <w:lang w:val="es-ES"/>
        </w:rPr>
        <w:t xml:space="preserve"> </w:t>
      </w:r>
    </w:p>
    <w:p w:rsidR="00412AFB" w:rsidRPr="00993936" w:rsidRDefault="00412AFB" w:rsidP="00412AFB">
      <w:pPr>
        <w:pStyle w:val="Sangradetextonormal"/>
        <w:ind w:left="709"/>
        <w:jc w:val="both"/>
        <w:rPr>
          <w:rFonts w:cs="Arial"/>
          <w:szCs w:val="22"/>
          <w:lang w:val="es-ES"/>
        </w:rPr>
      </w:pPr>
      <w:r w:rsidRPr="00993936">
        <w:rPr>
          <w:rFonts w:cs="Arial"/>
          <w:szCs w:val="22"/>
          <w:lang w:val="es-ES"/>
        </w:rPr>
        <w:t xml:space="preserve">En la arena o grava: </w:t>
      </w:r>
      <w:smartTag w:uri="urn:schemas-microsoft-com:office:smarttags" w:element="metricconverter">
        <w:smartTagPr>
          <w:attr w:name="ProductID" w:val="45 cm"/>
        </w:smartTagPr>
        <w:r w:rsidRPr="00993936">
          <w:rPr>
            <w:rFonts w:cs="Arial"/>
            <w:szCs w:val="22"/>
            <w:lang w:val="es-ES"/>
          </w:rPr>
          <w:t>45 cm</w:t>
        </w:r>
      </w:smartTag>
    </w:p>
    <w:p w:rsidR="00412AFB" w:rsidRPr="00993936" w:rsidRDefault="00412AFB" w:rsidP="00412AFB">
      <w:pPr>
        <w:pStyle w:val="Sangradetextonormal"/>
        <w:ind w:left="709"/>
        <w:jc w:val="both"/>
        <w:rPr>
          <w:rFonts w:cs="Arial"/>
          <w:szCs w:val="22"/>
          <w:lang w:val="es-ES"/>
        </w:rPr>
      </w:pPr>
      <w:r w:rsidRPr="00993936">
        <w:rPr>
          <w:rFonts w:cs="Arial"/>
          <w:szCs w:val="22"/>
          <w:lang w:val="es-ES"/>
        </w:rPr>
        <w:t xml:space="preserve">En la caliza permeable: </w:t>
      </w:r>
      <w:smartTag w:uri="urn:schemas-microsoft-com:office:smarttags" w:element="metricconverter">
        <w:smartTagPr>
          <w:attr w:name="ProductID" w:val="35 cm"/>
        </w:smartTagPr>
        <w:r w:rsidRPr="00993936">
          <w:rPr>
            <w:rFonts w:cs="Arial"/>
            <w:szCs w:val="22"/>
            <w:lang w:val="es-ES"/>
          </w:rPr>
          <w:t>35 cm</w:t>
        </w:r>
      </w:smartTag>
    </w:p>
    <w:p w:rsidR="00412AFB" w:rsidRPr="00993936" w:rsidRDefault="00412AFB" w:rsidP="00412AFB">
      <w:pPr>
        <w:pStyle w:val="Sangradetextonormal"/>
        <w:ind w:left="709"/>
        <w:jc w:val="both"/>
        <w:rPr>
          <w:rFonts w:cs="Arial"/>
          <w:i/>
          <w:szCs w:val="22"/>
          <w:lang w:val="es-ES"/>
        </w:rPr>
      </w:pPr>
      <w:r w:rsidRPr="00993936">
        <w:rPr>
          <w:rFonts w:cs="Arial"/>
          <w:i/>
          <w:szCs w:val="22"/>
          <w:lang w:val="es-ES"/>
        </w:rPr>
        <w:t>Textura:</w:t>
      </w:r>
    </w:p>
    <w:p w:rsidR="00412AFB" w:rsidRPr="00993936" w:rsidRDefault="00412AFB" w:rsidP="00412AFB">
      <w:pPr>
        <w:pStyle w:val="Sangradetextonormal"/>
        <w:ind w:left="709"/>
        <w:jc w:val="both"/>
        <w:rPr>
          <w:rFonts w:cs="Arial"/>
          <w:szCs w:val="22"/>
          <w:lang w:val="es-ES"/>
        </w:rPr>
      </w:pPr>
      <w:r w:rsidRPr="00993936">
        <w:rPr>
          <w:rFonts w:cs="Arial"/>
          <w:szCs w:val="22"/>
          <w:lang w:val="es-ES"/>
        </w:rPr>
        <w:t>Para el naranjo:</w:t>
      </w:r>
    </w:p>
    <w:p w:rsidR="00412AFB" w:rsidRPr="00993936" w:rsidRDefault="00412AFB" w:rsidP="00412AFB">
      <w:pPr>
        <w:pStyle w:val="Sangradetextonormal"/>
        <w:ind w:left="709"/>
        <w:jc w:val="both"/>
        <w:rPr>
          <w:rFonts w:cs="Arial"/>
          <w:szCs w:val="22"/>
          <w:lang w:val="es-ES"/>
        </w:rPr>
      </w:pPr>
      <w:r w:rsidRPr="00993936">
        <w:rPr>
          <w:rFonts w:cs="Arial"/>
          <w:szCs w:val="22"/>
          <w:lang w:val="es-ES"/>
        </w:rPr>
        <w:t>Con &lt; 15 % de grava en superficie suelta.</w:t>
      </w:r>
    </w:p>
    <w:p w:rsidR="00412AFB" w:rsidRPr="00993936" w:rsidRDefault="00412AFB" w:rsidP="00412AFB">
      <w:pPr>
        <w:pStyle w:val="Sangradetextonormal"/>
        <w:ind w:left="709"/>
        <w:jc w:val="both"/>
        <w:rPr>
          <w:rFonts w:cs="Arial"/>
          <w:szCs w:val="22"/>
          <w:lang w:val="es-ES"/>
        </w:rPr>
      </w:pPr>
      <w:r w:rsidRPr="00993936">
        <w:rPr>
          <w:rFonts w:cs="Arial"/>
          <w:szCs w:val="22"/>
          <w:lang w:val="es-ES"/>
        </w:rPr>
        <w:t>Con &gt; 25 % de grava en superficie media.</w:t>
      </w:r>
    </w:p>
    <w:p w:rsidR="00412AFB" w:rsidRPr="00993936" w:rsidRDefault="00412AFB" w:rsidP="00412AFB">
      <w:pPr>
        <w:pStyle w:val="Sangradetextonormal"/>
        <w:ind w:left="709"/>
        <w:jc w:val="both"/>
        <w:rPr>
          <w:rFonts w:cs="Arial"/>
          <w:szCs w:val="22"/>
          <w:lang w:val="es-ES"/>
        </w:rPr>
      </w:pPr>
      <w:r w:rsidRPr="00993936">
        <w:rPr>
          <w:rFonts w:cs="Arial"/>
          <w:szCs w:val="22"/>
          <w:lang w:val="es-ES"/>
        </w:rPr>
        <w:t>Para limonero, suelos de textura pesada.</w:t>
      </w:r>
    </w:p>
    <w:p w:rsidR="00412AFB" w:rsidRPr="00993936" w:rsidRDefault="00880FEB" w:rsidP="00412AFB">
      <w:pPr>
        <w:pStyle w:val="Sangradetextonormal"/>
        <w:ind w:left="709"/>
        <w:jc w:val="both"/>
        <w:rPr>
          <w:rFonts w:cs="Arial"/>
          <w:szCs w:val="22"/>
          <w:lang w:val="es-ES"/>
        </w:rPr>
      </w:pPr>
      <w:r w:rsidRPr="00993936">
        <w:rPr>
          <w:rFonts w:cs="Arial"/>
          <w:szCs w:val="22"/>
          <w:lang w:val="es-ES"/>
        </w:rPr>
        <w:t>p</w:t>
      </w:r>
      <w:r w:rsidR="00412AFB" w:rsidRPr="00993936">
        <w:rPr>
          <w:rFonts w:cs="Arial"/>
          <w:szCs w:val="22"/>
          <w:lang w:val="es-ES"/>
        </w:rPr>
        <w:t>H comprendido entre 6 y 7,6.</w:t>
      </w:r>
    </w:p>
    <w:p w:rsidR="00412AFB" w:rsidRPr="00993936" w:rsidRDefault="00412AFB" w:rsidP="00412AFB">
      <w:pPr>
        <w:pStyle w:val="Sangradetextonormal"/>
        <w:jc w:val="both"/>
        <w:rPr>
          <w:rFonts w:cs="Arial"/>
          <w:szCs w:val="22"/>
          <w:lang w:val="es-ES"/>
        </w:rPr>
      </w:pPr>
      <w:r w:rsidRPr="00993936">
        <w:rPr>
          <w:rFonts w:cs="Arial"/>
          <w:szCs w:val="22"/>
          <w:lang w:val="es-ES"/>
        </w:rPr>
        <w:lastRenderedPageBreak/>
        <w:t xml:space="preserve">Conductividad eléctrica (CEA) &lt; 4,8 dS/m a </w:t>
      </w:r>
      <w:smartTag w:uri="urn:schemas-microsoft-com:office:smarttags" w:element="metricconverter">
        <w:smartTagPr>
          <w:attr w:name="ProductID" w:val="25 ﾺC"/>
        </w:smartTagPr>
        <w:r w:rsidRPr="00993936">
          <w:rPr>
            <w:rFonts w:cs="Arial"/>
            <w:szCs w:val="22"/>
            <w:lang w:val="es-ES"/>
          </w:rPr>
          <w:t>25 ºC</w:t>
        </w:r>
      </w:smartTag>
      <w:r w:rsidRPr="00993936">
        <w:rPr>
          <w:rFonts w:cs="Arial"/>
          <w:szCs w:val="22"/>
          <w:lang w:val="es-ES"/>
        </w:rPr>
        <w:t>.</w:t>
      </w:r>
    </w:p>
    <w:p w:rsidR="00412AFB" w:rsidRPr="00993936" w:rsidRDefault="00412AFB" w:rsidP="00412AFB">
      <w:pPr>
        <w:pStyle w:val="Sangradetextonormal"/>
        <w:jc w:val="both"/>
        <w:rPr>
          <w:rFonts w:cs="Arial"/>
          <w:szCs w:val="22"/>
          <w:lang w:val="es-ES"/>
        </w:rPr>
      </w:pPr>
      <w:r w:rsidRPr="00993936">
        <w:rPr>
          <w:rFonts w:cs="Arial"/>
          <w:szCs w:val="22"/>
          <w:lang w:val="es-ES"/>
        </w:rPr>
        <w:t>Porcentaje de sodio intercambiable (PSI) &lt;10.</w:t>
      </w:r>
    </w:p>
    <w:p w:rsidR="00412AFB" w:rsidRPr="00993936" w:rsidRDefault="00412AFB" w:rsidP="00412AFB">
      <w:pPr>
        <w:pStyle w:val="Sangradetextonormal"/>
        <w:jc w:val="both"/>
        <w:rPr>
          <w:rFonts w:cs="Arial"/>
          <w:szCs w:val="22"/>
          <w:lang w:val="es-ES"/>
        </w:rPr>
      </w:pPr>
      <w:r w:rsidRPr="00993936">
        <w:rPr>
          <w:rFonts w:cs="Arial"/>
          <w:szCs w:val="22"/>
          <w:lang w:val="es-ES"/>
        </w:rPr>
        <w:t>Porcentaje de carbonatos totales entre 10 y 20.</w:t>
      </w:r>
    </w:p>
    <w:p w:rsidR="00412AFB" w:rsidRPr="00993936" w:rsidRDefault="00412AFB" w:rsidP="00412AFB">
      <w:pPr>
        <w:pStyle w:val="Sangradetextonormal"/>
        <w:jc w:val="both"/>
        <w:rPr>
          <w:rFonts w:cs="Arial"/>
          <w:szCs w:val="22"/>
          <w:lang w:val="es-ES"/>
        </w:rPr>
      </w:pPr>
      <w:r w:rsidRPr="00993936">
        <w:rPr>
          <w:rFonts w:cs="Arial"/>
          <w:szCs w:val="22"/>
          <w:lang w:val="es-ES"/>
        </w:rPr>
        <w:t>Porcentaje de calcio activo entre 2 y 7.</w:t>
      </w:r>
    </w:p>
    <w:p w:rsidR="00412AFB" w:rsidRPr="00993936" w:rsidRDefault="00412AFB" w:rsidP="00412AFB">
      <w:pPr>
        <w:pStyle w:val="Sangradetextonormal"/>
        <w:jc w:val="both"/>
        <w:rPr>
          <w:rFonts w:cs="Arial"/>
          <w:szCs w:val="22"/>
          <w:lang w:val="es-ES"/>
        </w:rPr>
      </w:pPr>
      <w:r w:rsidRPr="00993936">
        <w:rPr>
          <w:rFonts w:cs="Arial"/>
          <w:szCs w:val="22"/>
          <w:lang w:val="es-ES"/>
        </w:rPr>
        <w:t>En el extracto de saturación:</w:t>
      </w:r>
    </w:p>
    <w:p w:rsidR="00412AFB" w:rsidRPr="00993936" w:rsidRDefault="00412AFB" w:rsidP="00412AFB">
      <w:pPr>
        <w:pStyle w:val="Sangradetextonormal"/>
        <w:jc w:val="both"/>
        <w:rPr>
          <w:rFonts w:cs="Arial"/>
          <w:szCs w:val="22"/>
          <w:lang w:val="es-ES"/>
        </w:rPr>
      </w:pPr>
      <w:r w:rsidRPr="00993936">
        <w:rPr>
          <w:rFonts w:cs="Arial"/>
          <w:szCs w:val="22"/>
          <w:lang w:val="es-ES"/>
        </w:rPr>
        <w:t>La concentración de boro &lt; 1 ppm.</w:t>
      </w:r>
    </w:p>
    <w:p w:rsidR="00412AFB" w:rsidRPr="00993936" w:rsidRDefault="00412AFB" w:rsidP="00412AFB">
      <w:pPr>
        <w:pStyle w:val="Sangradetextonormal"/>
        <w:jc w:val="both"/>
        <w:rPr>
          <w:rFonts w:cs="Arial"/>
          <w:szCs w:val="22"/>
          <w:lang w:val="es-ES"/>
        </w:rPr>
      </w:pPr>
      <w:r w:rsidRPr="00993936">
        <w:rPr>
          <w:rFonts w:cs="Arial"/>
          <w:szCs w:val="22"/>
          <w:lang w:val="es-ES"/>
        </w:rPr>
        <w:t>La concentración de cloruros &lt; 50 mEq/l</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3.2.2.4 En el caso de poner en cultivo un nuevo terreno, el productor deberá justificar que es el adecuado para desarrollar el cultivo en cuestión. Para ello, dispondrá de un plan de gestión, en el que se indicará el uso anterior del suelo y el impacto ambiental de la nueva producción.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3.2.2.5 Efectuar una aportación de materia orgánica a base de estiércol previa a la plantación.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3.2.2.6 En las replantaciones, labrar el suelo y dejarlo airear al menos durante un año antes de efectuar la nueva plantación.</w:t>
      </w:r>
    </w:p>
    <w:p w:rsidR="00412AFB" w:rsidRPr="00993936" w:rsidRDefault="00412AFB" w:rsidP="00412AFB">
      <w:pPr>
        <w:pStyle w:val="Sangradetextonormal"/>
        <w:ind w:left="0"/>
        <w:jc w:val="both"/>
        <w:rPr>
          <w:rFonts w:cs="Arial"/>
          <w:b/>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4</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Material vegetal</w:t>
      </w:r>
    </w:p>
    <w:p w:rsidR="00412AFB" w:rsidRPr="00993936" w:rsidRDefault="00412AFB" w:rsidP="00412AFB">
      <w:pPr>
        <w:jc w:val="both"/>
        <w:rPr>
          <w:rFonts w:ascii="Arial" w:hAnsi="Arial" w:cs="Arial"/>
          <w:lang w:val="es-ES"/>
        </w:rPr>
      </w:pPr>
      <w:r w:rsidRPr="00993936">
        <w:rPr>
          <w:rFonts w:ascii="Arial" w:hAnsi="Arial" w:cs="Arial"/>
          <w:lang w:val="es-ES"/>
        </w:rPr>
        <w:t>Para realizar la producción integrada de cítricos se admiten todas las variedades y los portainjertos que hay en las actuales plantaciones.</w:t>
      </w:r>
    </w:p>
    <w:p w:rsidR="00412AFB" w:rsidRPr="00993936" w:rsidRDefault="00412AFB" w:rsidP="00412AFB">
      <w:pPr>
        <w:pStyle w:val="Textoindependiente"/>
        <w:rPr>
          <w:rFonts w:cs="Arial"/>
          <w:szCs w:val="22"/>
          <w:lang w:val="es-ES"/>
        </w:rPr>
      </w:pPr>
      <w:r w:rsidRPr="00993936">
        <w:rPr>
          <w:rFonts w:cs="Arial"/>
          <w:szCs w:val="22"/>
          <w:lang w:val="es-ES"/>
        </w:rPr>
        <w:t>En las nuevas plantaciones, se escogerán las variedades y los portainjertos más adecuados para la zona de cultivo.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w:t>
      </w:r>
      <w:r w:rsidR="008B63CC" w:rsidRPr="00993936">
        <w:rPr>
          <w:rFonts w:cs="Arial"/>
          <w:szCs w:val="22"/>
          <w:lang w:val="es-ES"/>
        </w:rPr>
        <w:t xml:space="preserve"> </w:t>
      </w:r>
      <w:r w:rsidRPr="00993936">
        <w:rPr>
          <w:rFonts w:cs="Arial"/>
          <w:i/>
          <w:szCs w:val="22"/>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4.1.1 En las nuevas plantaciones, el material vegetal deberá:</w:t>
      </w:r>
    </w:p>
    <w:p w:rsidR="00412AFB" w:rsidRPr="00993936" w:rsidRDefault="00412AFB" w:rsidP="00412AFB">
      <w:pPr>
        <w:numPr>
          <w:ilvl w:val="0"/>
          <w:numId w:val="14"/>
        </w:numPr>
        <w:spacing w:after="0" w:line="240" w:lineRule="auto"/>
        <w:jc w:val="both"/>
        <w:rPr>
          <w:rFonts w:ascii="Arial" w:hAnsi="Arial" w:cs="Arial"/>
          <w:lang w:val="es-ES"/>
        </w:rPr>
      </w:pPr>
      <w:r w:rsidRPr="00993936">
        <w:rPr>
          <w:rFonts w:ascii="Arial" w:hAnsi="Arial" w:cs="Arial"/>
          <w:lang w:val="es-ES"/>
        </w:rPr>
        <w:t>Proceder de proveedores oficialmente autorizados y estar certificado, de haberlo, por el Servicio de Ordenación Agrícola u otros organismos oficiales reconocidos. Se utilizarán variedades inscritas en el Registro oficial de semillas y plantas de vivero.</w:t>
      </w:r>
    </w:p>
    <w:p w:rsidR="00412AFB" w:rsidRPr="00993936" w:rsidRDefault="00412AFB" w:rsidP="00412AFB">
      <w:pPr>
        <w:numPr>
          <w:ilvl w:val="0"/>
          <w:numId w:val="14"/>
        </w:numPr>
        <w:spacing w:after="0" w:line="240" w:lineRule="auto"/>
        <w:jc w:val="both"/>
        <w:rPr>
          <w:rFonts w:ascii="Arial" w:hAnsi="Arial" w:cs="Arial"/>
          <w:lang w:val="es-ES"/>
        </w:rPr>
      </w:pPr>
      <w:r w:rsidRPr="00993936">
        <w:rPr>
          <w:rFonts w:ascii="Arial" w:hAnsi="Arial" w:cs="Arial"/>
          <w:lang w:val="es-ES"/>
        </w:rPr>
        <w:t>Cumplir los requisitos de autenticidad varietal y de sanidad que establece el Reglamento 929/1995, de 9 de junio, de control y certificación de planteles de frutales.</w:t>
      </w:r>
    </w:p>
    <w:p w:rsidR="00412AFB" w:rsidRPr="00993936" w:rsidRDefault="00412AFB" w:rsidP="00412AFB">
      <w:pPr>
        <w:numPr>
          <w:ilvl w:val="0"/>
          <w:numId w:val="14"/>
        </w:numPr>
        <w:spacing w:after="0" w:line="240" w:lineRule="auto"/>
        <w:jc w:val="both"/>
        <w:rPr>
          <w:rFonts w:ascii="Arial" w:hAnsi="Arial" w:cs="Arial"/>
          <w:lang w:val="es-ES"/>
        </w:rPr>
      </w:pPr>
      <w:r w:rsidRPr="00993936">
        <w:rPr>
          <w:rFonts w:ascii="Arial" w:hAnsi="Arial" w:cs="Arial"/>
          <w:lang w:val="es-ES"/>
        </w:rPr>
        <w:t>Ir acompañado del preceptivo pasaporte fitosanitario que garantice el cumplimiento de las disposiciones establecidas en el Real Decreto 2071/1993 y demás normas vigentes, sobre medidas contra la introducción y difusión en el territorio nacional y de la Comunidad Europea de organismos nocivos para los vegetales o productos vegetales.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4.1.2 El tiempo de conservación de los registros documentales será de al menos cuatro años.</w:t>
      </w:r>
    </w:p>
    <w:p w:rsidR="00412AFB" w:rsidRPr="00993936" w:rsidRDefault="00412AFB" w:rsidP="00412AFB">
      <w:pPr>
        <w:jc w:val="both"/>
        <w:rPr>
          <w:rFonts w:ascii="Arial" w:hAnsi="Arial" w:cs="Arial"/>
          <w:lang w:val="es-ES"/>
        </w:rPr>
      </w:pPr>
      <w:r w:rsidRPr="00993936">
        <w:rPr>
          <w:rFonts w:ascii="Arial" w:hAnsi="Arial" w:cs="Arial"/>
          <w:lang w:val="es-ES"/>
        </w:rPr>
        <w:t>4.1.3 En las plantaciones de cítricos, los patrones se adaptarán a las condiciones edáficas y no serán sensibles a las fisiopatías habituales de la zona o a otras que tengan una repercusión comercial importante.</w:t>
      </w:r>
    </w:p>
    <w:p w:rsidR="00412AFB" w:rsidRPr="00993936" w:rsidRDefault="00412AFB" w:rsidP="00412AFB">
      <w:pPr>
        <w:jc w:val="both"/>
        <w:rPr>
          <w:rFonts w:ascii="Arial" w:hAnsi="Arial" w:cs="Arial"/>
          <w:lang w:val="es-ES"/>
        </w:rPr>
      </w:pPr>
      <w:r w:rsidRPr="00993936">
        <w:rPr>
          <w:rFonts w:ascii="Arial" w:hAnsi="Arial" w:cs="Arial"/>
          <w:lang w:val="es-ES"/>
        </w:rPr>
        <w:t xml:space="preserve">4.1.4 Todas las variedades deben estar inscritas en el Catálogo común de variedades de especies de plantas de la Unión Europea y/o en la lista española de variedades comerciales de plantas. </w:t>
      </w:r>
    </w:p>
    <w:p w:rsidR="00412AFB" w:rsidRPr="00993936" w:rsidRDefault="00412AFB" w:rsidP="00412AFB">
      <w:pPr>
        <w:jc w:val="both"/>
        <w:rPr>
          <w:rFonts w:ascii="Arial" w:hAnsi="Arial" w:cs="Arial"/>
          <w:lang w:val="es-ES"/>
        </w:rPr>
      </w:pPr>
      <w:r w:rsidRPr="00993936">
        <w:rPr>
          <w:rFonts w:ascii="Arial" w:hAnsi="Arial" w:cs="Arial"/>
          <w:lang w:val="es-ES"/>
        </w:rPr>
        <w:t>4.1.5 Eliminar antes de la plantación todo el material vegetal que presente síntomas de enfermedad o un crecimiento anormal.</w:t>
      </w:r>
    </w:p>
    <w:p w:rsidR="00412AFB" w:rsidRPr="00993936" w:rsidRDefault="00412AFB" w:rsidP="00412AFB">
      <w:pPr>
        <w:pStyle w:val="Textoindependiente"/>
        <w:rPr>
          <w:rFonts w:cs="Arial"/>
          <w:szCs w:val="22"/>
          <w:lang w:val="es-ES"/>
        </w:rPr>
      </w:pPr>
      <w:r w:rsidRPr="00993936">
        <w:rPr>
          <w:rFonts w:cs="Arial"/>
          <w:szCs w:val="22"/>
          <w:lang w:val="es-ES"/>
        </w:rPr>
        <w:lastRenderedPageBreak/>
        <w:t>4.1.6 El material de plantación, variedades, densidad de plantación y ciclo de cultivo se adaptarán a las condiciones locales, con el objeto de conseguir un producto de calidad con las mínimas intervenciones posibles.</w:t>
      </w:r>
    </w:p>
    <w:p w:rsidR="00412AFB" w:rsidRPr="00993936" w:rsidRDefault="00412AFB" w:rsidP="00412AFB">
      <w:pPr>
        <w:jc w:val="both"/>
        <w:rPr>
          <w:rFonts w:ascii="Arial" w:hAnsi="Arial" w:cs="Arial"/>
          <w:lang w:val="es-ES"/>
        </w:rPr>
      </w:pPr>
      <w:r w:rsidRPr="00993936">
        <w:rPr>
          <w:rFonts w:ascii="Arial" w:hAnsi="Arial" w:cs="Arial"/>
          <w:lang w:val="es-ES"/>
        </w:rPr>
        <w:t>4.1.7 Utilizar, si las hay, variedades resistentes o tolerantes a alguna de las enfermedades importantes de la especie y adaptadas a las condiciones locales, salvo una justificación técnica expresa.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4.1.8 En las parcelas de cítricos, para incorporarse al programa de producción integrada, se controlará previamente la incidencia de problemas fitopatológicos, virosis o problemas fúngicos, que se harán constar en el cuaderno de explotación.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4.1.9 Cuando el injerto lo realice el propio agricultor o bien se sobreinjerte la plantación, las yemas utilizadas deberán estar certificadas como libres de virus. El sobreinjerto no convivirá más de tres años con la madera vieja.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4.1.10 Para incorporarse al programa de producción integrada, se controlará previamente la incidencia de virosis o Phytophthora en el cuello y/o tronco, excluyendo aquellas parcelas con una incidencia superior al 25 % de los árboles.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4.1.11 En las nuevas plantaciones, las variedades deberán escogerse para adaptarse a las condiciones microclimáticas de la parcela, de modo que se minimicen los posibles daños por accidentes meteorológicos (frío, viento, lluvia, etc.). En áreas de riesgo frecuente de heladas, se utilizarán variedades que, por su época de recolección, estén menos expuestas a sufrir daños en el fruto.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4.1.12 El marco de plantación debe dejar un espacio libre de 1,50 metros, como mínimo, entre las hileras de árboles y entre las hileras y los límites de la parcela con el fin de facilitar las labores, favorecer la iluminación y la penetración de los productos fitosanitarios. Dentro de las filas los árboles pueden llegar a tocarse, siempre que no se produzca un cruce acusado de las ramas.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4.1.13 Cuando se implanten diferentes variedades dentro de la misma parcela, su distribución deberá permitir las prácticas de cultivo independiente de cada una de ellas.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4.1.14 En la UHC, asegurar la adecuada separación espacial de variedades cultivadas para evitar la polinización cruzada entre ellas que pueda producir o aumentar la formación de semillas en los frutos.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4.2 </w:t>
      </w:r>
      <w:r w:rsidRPr="00993936">
        <w:rPr>
          <w:rFonts w:cs="Arial"/>
          <w:i/>
          <w:szCs w:val="22"/>
          <w:lang w:val="es-ES"/>
        </w:rPr>
        <w:t>Prohibiciones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4.2.1 En plantaciones nuevas, deben utilizarse patrones, combinaciones injerto-patrón o variedades especialmente sensibles a determinadas enfermedades de especial incidencia o relevancia. En concreto, no podrán utilizarse patrones sensibles al hongo </w:t>
      </w:r>
      <w:r w:rsidRPr="00993936">
        <w:rPr>
          <w:rFonts w:cs="Arial"/>
          <w:i/>
          <w:szCs w:val="22"/>
          <w:lang w:val="es-ES"/>
        </w:rPr>
        <w:t xml:space="preserve">Phytophthora </w:t>
      </w:r>
      <w:r w:rsidRPr="00993936">
        <w:rPr>
          <w:rFonts w:cs="Arial"/>
          <w:szCs w:val="22"/>
          <w:lang w:val="es-ES"/>
        </w:rPr>
        <w:t>y tampoco se permite la implantación de combinaciones injerto-patrón sensibles al virus de la tristeza.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4.2.2 Asociar, en la misma parcela, especies diferentes de cítricos o especies de cítricos con otros frutales.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4.2.3 La coexistencia de variedades cuyo manejo agrónomo sea diferente.</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4.2.4 Doblar las plantaciones, excepto en aquellos casos donde el agricultor esté acogido a programas oficiales de cambio de variedad para erradicación de plagas. En el caso de establecerse una variedad diferente, la antigua se eliminará antes de los tres años.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4.3 </w:t>
      </w:r>
      <w:r w:rsidRPr="00993936">
        <w:rPr>
          <w:rFonts w:cs="Arial"/>
          <w:i/>
          <w:szCs w:val="22"/>
          <w:lang w:val="es-ES"/>
        </w:rPr>
        <w:t>Recomendaciones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4.3.1 Para la elección de los patrones, consultar la tabla 1.1 «Comportamiento de patrones» y la tabla 1.2 «Comportamiento agrónomo de patrones ante las plagas y enfermedades más importantes» del punto 1. Patrones y variedades, del Apéndice I. Tablas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4.3.2 Conocer el grado de susceptibilidad de la variedad de plagas y enfermedades.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lastRenderedPageBreak/>
        <w:t>4.3.3 Marcos de plantación rectangulares, para conciliar al máximo las necesidades de acceso a la parcela con el aprovechamiento del terreno.</w:t>
      </w:r>
    </w:p>
    <w:p w:rsidR="00412AFB" w:rsidRPr="00993936" w:rsidRDefault="00412AFB" w:rsidP="009D1A2D">
      <w:pPr>
        <w:pStyle w:val="Sangradetextonormal"/>
        <w:numPr>
          <w:ilvl w:val="1"/>
          <w:numId w:val="39"/>
        </w:numPr>
        <w:jc w:val="both"/>
        <w:rPr>
          <w:rFonts w:cs="Arial"/>
          <w:szCs w:val="22"/>
          <w:lang w:val="es-ES"/>
        </w:rPr>
      </w:pPr>
      <w:r w:rsidRPr="00993936">
        <w:rPr>
          <w:rFonts w:cs="Arial"/>
          <w:szCs w:val="22"/>
          <w:lang w:val="es-ES"/>
        </w:rPr>
        <w:t xml:space="preserve">Naranjos: 6 x </w:t>
      </w:r>
      <w:smartTag w:uri="urn:schemas-microsoft-com:office:smarttags" w:element="metricconverter">
        <w:smartTagPr>
          <w:attr w:name="ProductID" w:val="4 m"/>
        </w:smartTagPr>
        <w:r w:rsidRPr="00993936">
          <w:rPr>
            <w:rFonts w:cs="Arial"/>
            <w:szCs w:val="22"/>
            <w:lang w:val="es-ES"/>
          </w:rPr>
          <w:t>4 m</w:t>
        </w:r>
      </w:smartTag>
      <w:r w:rsidRPr="00993936">
        <w:rPr>
          <w:rFonts w:cs="Arial"/>
          <w:szCs w:val="22"/>
          <w:lang w:val="es-ES"/>
        </w:rPr>
        <w:t xml:space="preserve"> en suelos normales.</w:t>
      </w:r>
    </w:p>
    <w:p w:rsidR="00412AFB" w:rsidRPr="00993936" w:rsidRDefault="00412AFB" w:rsidP="009D1A2D">
      <w:pPr>
        <w:pStyle w:val="Sangradetextonormal"/>
        <w:numPr>
          <w:ilvl w:val="1"/>
          <w:numId w:val="39"/>
        </w:numPr>
        <w:jc w:val="both"/>
        <w:rPr>
          <w:rFonts w:cs="Arial"/>
          <w:szCs w:val="22"/>
          <w:lang w:val="es-ES"/>
        </w:rPr>
      </w:pPr>
      <w:r w:rsidRPr="00993936">
        <w:rPr>
          <w:rFonts w:cs="Arial"/>
          <w:szCs w:val="22"/>
          <w:lang w:val="es-ES"/>
        </w:rPr>
        <w:t xml:space="preserve">7 x </w:t>
      </w:r>
      <w:smartTag w:uri="urn:schemas-microsoft-com:office:smarttags" w:element="metricconverter">
        <w:smartTagPr>
          <w:attr w:name="ProductID" w:val="4 m"/>
        </w:smartTagPr>
        <w:r w:rsidRPr="00993936">
          <w:rPr>
            <w:rFonts w:cs="Arial"/>
            <w:szCs w:val="22"/>
            <w:lang w:val="es-ES"/>
          </w:rPr>
          <w:t>4 m</w:t>
        </w:r>
      </w:smartTag>
      <w:r w:rsidRPr="00993936">
        <w:rPr>
          <w:rFonts w:cs="Arial"/>
          <w:szCs w:val="22"/>
          <w:lang w:val="es-ES"/>
        </w:rPr>
        <w:t xml:space="preserve"> en suelos fértiles y profundos.</w:t>
      </w:r>
    </w:p>
    <w:p w:rsidR="00412AFB" w:rsidRPr="00993936" w:rsidRDefault="00412AFB" w:rsidP="009D1A2D">
      <w:pPr>
        <w:pStyle w:val="Sangradetextonormal"/>
        <w:numPr>
          <w:ilvl w:val="1"/>
          <w:numId w:val="39"/>
        </w:numPr>
        <w:jc w:val="both"/>
        <w:rPr>
          <w:rFonts w:cs="Arial"/>
          <w:szCs w:val="22"/>
          <w:lang w:val="es-ES"/>
        </w:rPr>
      </w:pPr>
      <w:r w:rsidRPr="00993936">
        <w:rPr>
          <w:rFonts w:cs="Arial"/>
          <w:szCs w:val="22"/>
          <w:lang w:val="es-ES"/>
        </w:rPr>
        <w:t xml:space="preserve">Mandarinas y sus híbridos: 5 x </w:t>
      </w:r>
      <w:smartTag w:uri="urn:schemas-microsoft-com:office:smarttags" w:element="metricconverter">
        <w:smartTagPr>
          <w:attr w:name="ProductID" w:val="3,5 m"/>
        </w:smartTagPr>
        <w:r w:rsidRPr="00993936">
          <w:rPr>
            <w:rFonts w:cs="Arial"/>
            <w:szCs w:val="22"/>
            <w:lang w:val="es-ES"/>
          </w:rPr>
          <w:t>3,5 m</w:t>
        </w:r>
      </w:smartTag>
      <w:r w:rsidRPr="00993936">
        <w:rPr>
          <w:rFonts w:cs="Arial"/>
          <w:szCs w:val="22"/>
          <w:lang w:val="es-ES"/>
        </w:rPr>
        <w:t>.</w:t>
      </w:r>
    </w:p>
    <w:p w:rsidR="00412AFB" w:rsidRPr="00993936" w:rsidRDefault="00412AFB" w:rsidP="009D1A2D">
      <w:pPr>
        <w:pStyle w:val="Sangradetextonormal"/>
        <w:numPr>
          <w:ilvl w:val="1"/>
          <w:numId w:val="39"/>
        </w:numPr>
        <w:jc w:val="both"/>
        <w:rPr>
          <w:rFonts w:cs="Arial"/>
          <w:szCs w:val="22"/>
          <w:lang w:val="es-ES"/>
        </w:rPr>
      </w:pPr>
      <w:r w:rsidRPr="00993936">
        <w:rPr>
          <w:rFonts w:cs="Arial"/>
          <w:szCs w:val="22"/>
          <w:lang w:val="es-ES"/>
        </w:rPr>
        <w:t xml:space="preserve">Limoneros y pomelos: 7 x </w:t>
      </w:r>
      <w:smartTag w:uri="urn:schemas-microsoft-com:office:smarttags" w:element="metricconverter">
        <w:smartTagPr>
          <w:attr w:name="ProductID" w:val="5 m"/>
        </w:smartTagPr>
        <w:r w:rsidRPr="00993936">
          <w:rPr>
            <w:rFonts w:cs="Arial"/>
            <w:szCs w:val="22"/>
            <w:lang w:val="es-ES"/>
          </w:rPr>
          <w:t>5 m</w:t>
        </w:r>
      </w:smartTag>
      <w:r w:rsidRPr="00993936">
        <w:rPr>
          <w:rFonts w:cs="Arial"/>
          <w:szCs w:val="22"/>
          <w:lang w:val="es-ES"/>
        </w:rPr>
        <w:t xml:space="preserve"> en suelos normales.</w:t>
      </w:r>
    </w:p>
    <w:p w:rsidR="00412AFB" w:rsidRPr="00993936" w:rsidRDefault="00412AFB" w:rsidP="009D1A2D">
      <w:pPr>
        <w:pStyle w:val="Sangradetextonormal"/>
        <w:numPr>
          <w:ilvl w:val="1"/>
          <w:numId w:val="39"/>
        </w:numPr>
        <w:jc w:val="both"/>
        <w:rPr>
          <w:rFonts w:cs="Arial"/>
          <w:szCs w:val="22"/>
          <w:lang w:val="es-ES"/>
        </w:rPr>
      </w:pPr>
      <w:r w:rsidRPr="00993936">
        <w:rPr>
          <w:rFonts w:cs="Arial"/>
          <w:szCs w:val="22"/>
          <w:lang w:val="es-ES"/>
        </w:rPr>
        <w:t xml:space="preserve">8 x </w:t>
      </w:r>
      <w:smartTag w:uri="urn:schemas-microsoft-com:office:smarttags" w:element="metricconverter">
        <w:smartTagPr>
          <w:attr w:name="ProductID" w:val="5 m"/>
        </w:smartTagPr>
        <w:r w:rsidRPr="00993936">
          <w:rPr>
            <w:rFonts w:cs="Arial"/>
            <w:szCs w:val="22"/>
            <w:lang w:val="es-ES"/>
          </w:rPr>
          <w:t>5 m</w:t>
        </w:r>
      </w:smartTag>
      <w:r w:rsidRPr="00993936">
        <w:rPr>
          <w:rFonts w:cs="Arial"/>
          <w:szCs w:val="22"/>
          <w:lang w:val="es-ES"/>
        </w:rPr>
        <w:t xml:space="preserve"> en suelos fértiles y profundos.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Estos marcos podrán ampliarse o reducirse en función del vigor de la combinación injerto- patrón y de la fertilidad y profundidad del suelo, siempre que el desarrollo final de los árboles cumpla con las normas de separación exigidas.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4.3.4 Orientar las filas de la plantación de NE a SO, para conseguir frutos de maduración uniforme.</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4.3.5 Se escogerán preferentemente las variedades más adecuadas a la zona y el periodo de cultivo, con el objeto de conseguir un fruto de calidad con las mínimas intervenciones posibles.</w:t>
      </w:r>
    </w:p>
    <w:p w:rsidR="00412AFB" w:rsidRPr="00993936" w:rsidRDefault="00412AFB" w:rsidP="00412AFB">
      <w:pPr>
        <w:pStyle w:val="Sangradetextonormal"/>
        <w:ind w:left="0"/>
        <w:jc w:val="both"/>
        <w:rPr>
          <w:rFonts w:cs="Arial"/>
          <w:b/>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5</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Fertilización y enmiendas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5.1 </w:t>
      </w:r>
      <w:r w:rsidRPr="00993936">
        <w:rPr>
          <w:rFonts w:cs="Arial"/>
          <w:i/>
          <w:szCs w:val="22"/>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5.1.1 En las nuevas plantaciones, previamente a la plantación, se realizarán análisis del suelo y del agua de riego. Los resultados de estos análisis servirán para determinar la fertilización de fondo previa a la plantación. </w:t>
      </w:r>
    </w:p>
    <w:p w:rsidR="00412AFB" w:rsidRPr="00993936" w:rsidRDefault="00412AFB" w:rsidP="00412AFB">
      <w:pPr>
        <w:pStyle w:val="Textoindependiente"/>
        <w:rPr>
          <w:rFonts w:cs="Arial"/>
          <w:szCs w:val="22"/>
          <w:lang w:val="es-ES"/>
        </w:rPr>
      </w:pPr>
      <w:r w:rsidRPr="00993936">
        <w:rPr>
          <w:rFonts w:cs="Arial"/>
          <w:szCs w:val="22"/>
          <w:lang w:val="es-ES"/>
        </w:rPr>
        <w:t>5.1.2 En plantaciones establecidas, cada explotación deberá realizar y disponer, de forma justificada, de análisis de suelos y del agua de riego para planificar la fertilización. Los análisis se realizarán cada cinco años.</w:t>
      </w:r>
    </w:p>
    <w:p w:rsidR="00412AFB" w:rsidRPr="00993936" w:rsidRDefault="00412AFB" w:rsidP="00412AFB">
      <w:pPr>
        <w:pStyle w:val="Textoindependiente"/>
        <w:ind w:left="708"/>
        <w:rPr>
          <w:rFonts w:cs="Arial"/>
          <w:szCs w:val="22"/>
          <w:lang w:val="es-ES"/>
        </w:rPr>
      </w:pPr>
      <w:r w:rsidRPr="00993936">
        <w:rPr>
          <w:rFonts w:cs="Arial"/>
          <w:szCs w:val="22"/>
          <w:lang w:val="es-ES"/>
        </w:rPr>
        <w:t>5.1.2.1 En el caso de que el abastecimiento del agua de riego se haga a través de una comunidad de regantes o una entidad similar, el cumplimiento del requisito indicado en el punto anterior podrá justificarse con la disposición de una analítica de agua, efectuada por alguna de las entidades indicadas, siempre que incluya los parámetros que se indican en el artículo 8.1.</w:t>
      </w:r>
    </w:p>
    <w:p w:rsidR="00412AFB" w:rsidRPr="00993936" w:rsidRDefault="00412AFB" w:rsidP="00412AFB">
      <w:pPr>
        <w:pStyle w:val="Textoindependiente"/>
        <w:ind w:left="708"/>
        <w:rPr>
          <w:rFonts w:cs="Arial"/>
          <w:szCs w:val="22"/>
          <w:lang w:val="es-ES"/>
        </w:rPr>
      </w:pPr>
      <w:r w:rsidRPr="00993936">
        <w:rPr>
          <w:rFonts w:cs="Arial"/>
          <w:szCs w:val="22"/>
          <w:lang w:val="es-ES"/>
        </w:rPr>
        <w:t>5.1.2.2 En caso de que el abastecimiento del agua de riego provenga de un pozo, los análisis se llevarán a cabo como mínimo cada dos años. Cuando los resultados de dos analíticas consecutivas del agua, realizadas en el plazo señalado, sean similares estas podrán realizarse cada cinco años.</w:t>
      </w:r>
    </w:p>
    <w:p w:rsidR="00412AFB" w:rsidRPr="00993936" w:rsidRDefault="00412AFB" w:rsidP="00412AFB">
      <w:pPr>
        <w:pStyle w:val="Textoindependiente"/>
        <w:rPr>
          <w:rFonts w:cs="Arial"/>
          <w:szCs w:val="22"/>
          <w:lang w:val="es-ES"/>
        </w:rPr>
      </w:pPr>
      <w:r w:rsidRPr="00993936">
        <w:rPr>
          <w:rFonts w:cs="Arial"/>
          <w:szCs w:val="22"/>
          <w:lang w:val="es-ES"/>
        </w:rPr>
        <w:t>El número de análisis que se efectuarán será como mínimo un análisis del suelo por unidad homogénea de cultivo. Cuando una UHC pase a formar parte del sistema de producción integrada habrá que efectuar un análisis físico y químico, siempre que no se disponga de uno realizado en un periodo de tiempo inferior a cinco años.</w:t>
      </w:r>
    </w:p>
    <w:p w:rsidR="00412AFB" w:rsidRPr="00993936" w:rsidRDefault="00412AFB" w:rsidP="00412AFB">
      <w:pPr>
        <w:pStyle w:val="Textoindependiente"/>
        <w:rPr>
          <w:rFonts w:cs="Arial"/>
          <w:szCs w:val="22"/>
          <w:lang w:val="es-ES"/>
        </w:rPr>
      </w:pPr>
      <w:r w:rsidRPr="00993936">
        <w:rPr>
          <w:rFonts w:cs="Arial"/>
          <w:szCs w:val="22"/>
          <w:lang w:val="es-ES"/>
        </w:rPr>
        <w:t xml:space="preserve">5.1.3 Todas las analíticas de suelo incluirán, al menos, la determinación de fósforo, potasio y magnesio asimilables, la materia orgánica, la prueba previa de salinidad y, si procede, el análisis de sales solubles. En la primera analítica se incluirá, además, la determinación de textura y pH, y en caso de establecer una nueva plantación, la determinación de carbonatos y cal activa. </w:t>
      </w:r>
    </w:p>
    <w:p w:rsidR="00412AFB" w:rsidRPr="00993936" w:rsidRDefault="00412AFB" w:rsidP="00412AFB">
      <w:pPr>
        <w:jc w:val="both"/>
        <w:rPr>
          <w:rFonts w:ascii="Arial" w:hAnsi="Arial" w:cs="Arial"/>
          <w:lang w:val="es-ES"/>
        </w:rPr>
      </w:pPr>
      <w:bookmarkStart w:id="2" w:name="OLE_LINK3"/>
      <w:r w:rsidRPr="00993936">
        <w:rPr>
          <w:rFonts w:ascii="Arial" w:hAnsi="Arial" w:cs="Arial"/>
          <w:lang w:val="es-ES"/>
        </w:rPr>
        <w:t>5.1.4 A partir del tercer año de la plantación se hará un seguimiento de su estado nutritivo mediante análisis foliares realizados cada año entre los meses noviembre y enero (véase Apéndice 3).</w:t>
      </w:r>
      <w:r w:rsidR="00E03B3B" w:rsidRPr="00993936">
        <w:rPr>
          <w:rFonts w:ascii="Arial" w:hAnsi="Arial" w:cs="Arial"/>
          <w:lang w:val="es-ES"/>
        </w:rPr>
        <w:t xml:space="preserve"> </w:t>
      </w:r>
      <w:r w:rsidRPr="00993936">
        <w:rPr>
          <w:rFonts w:ascii="Arial" w:hAnsi="Arial" w:cs="Arial"/>
          <w:lang w:val="es-ES"/>
        </w:rPr>
        <w:t xml:space="preserve">El análisis de las hojas servirá para conocer la respuesta de la planta al programa de fertilización, corregir las desviaciones que puedan producirse y validar los programas de abono. Cada explotación deberá disponer de análisis foliares. El número de análisis foliares que habrá que realizar anualmente será, como mínimo, de un análisis por UHC. En cada UHC se analizarán, al menos, los nutrientes </w:t>
      </w:r>
      <w:r w:rsidRPr="00993936">
        <w:rPr>
          <w:rFonts w:ascii="Arial" w:hAnsi="Arial" w:cs="Arial"/>
          <w:lang w:val="es-ES"/>
        </w:rPr>
        <w:lastRenderedPageBreak/>
        <w:t>mayoritarios (N, P, K, Ca y Mg). Si hay síntomas de deficiencia o se utilizan fertilizantes con oligoelementos, deberán incluirse los microelementos en los análisis, al menos Fe, Mn, Cu y Zn o bien aquellos de los que se requiera la aportación.</w:t>
      </w:r>
    </w:p>
    <w:bookmarkEnd w:id="2"/>
    <w:p w:rsidR="00412AFB" w:rsidRPr="00993936" w:rsidRDefault="00412AFB" w:rsidP="00412AFB">
      <w:pPr>
        <w:jc w:val="both"/>
        <w:rPr>
          <w:rFonts w:ascii="Arial" w:hAnsi="Arial" w:cs="Arial"/>
          <w:lang w:val="es-ES"/>
        </w:rPr>
      </w:pPr>
      <w:r w:rsidRPr="00993936">
        <w:rPr>
          <w:rFonts w:ascii="Arial" w:hAnsi="Arial" w:cs="Arial"/>
          <w:lang w:val="es-ES"/>
        </w:rPr>
        <w:t>5.1.5 Las aplicaciones de abonos foliares y oligoelementos requerirán siempre de la disposición de un análisis foliar. Solo se recurrirá a la fertilización foliar cuando el técnico responsable de producción integrada la considere necesaria y siempre en función de las necesidades y exigencias del cultivo.</w:t>
      </w:r>
    </w:p>
    <w:p w:rsidR="00412AFB" w:rsidRPr="00993936" w:rsidRDefault="00412AFB" w:rsidP="00412AFB">
      <w:pPr>
        <w:jc w:val="both"/>
        <w:rPr>
          <w:rFonts w:ascii="Arial" w:hAnsi="Arial" w:cs="Arial"/>
          <w:lang w:val="es-ES"/>
        </w:rPr>
      </w:pPr>
      <w:r w:rsidRPr="00993936">
        <w:rPr>
          <w:rFonts w:ascii="Arial" w:hAnsi="Arial" w:cs="Arial"/>
          <w:lang w:val="es-ES"/>
        </w:rPr>
        <w:t>5.1.6 El suministro de nutrientes se efectuará fundamentalmente a través del sistema radicular.</w:t>
      </w:r>
    </w:p>
    <w:p w:rsidR="00412AFB" w:rsidRPr="00993936" w:rsidRDefault="00412AFB" w:rsidP="00412AFB">
      <w:pPr>
        <w:jc w:val="both"/>
        <w:rPr>
          <w:rFonts w:ascii="Arial" w:hAnsi="Arial" w:cs="Arial"/>
          <w:lang w:val="es-ES"/>
        </w:rPr>
      </w:pPr>
      <w:r w:rsidRPr="00993936">
        <w:rPr>
          <w:rFonts w:ascii="Arial" w:hAnsi="Arial" w:cs="Arial"/>
          <w:lang w:val="es-ES"/>
        </w:rPr>
        <w:t xml:space="preserve">5.1.7 Utilizar los análisis físico y químico del suelo como base para estimar las necesidades de macronutrientes. </w:t>
      </w:r>
    </w:p>
    <w:p w:rsidR="00412AFB" w:rsidRPr="00993936" w:rsidRDefault="00412AFB" w:rsidP="00412AFB">
      <w:pPr>
        <w:jc w:val="both"/>
        <w:rPr>
          <w:rFonts w:ascii="Arial" w:hAnsi="Arial" w:cs="Arial"/>
          <w:lang w:val="es-ES"/>
        </w:rPr>
      </w:pPr>
      <w:r w:rsidRPr="00993936">
        <w:rPr>
          <w:rFonts w:ascii="Arial" w:hAnsi="Arial" w:cs="Arial"/>
          <w:lang w:val="es-ES"/>
        </w:rPr>
        <w:t>5.1.8 Diseñar y aplicar un programa de fertilización de macronutrientes para cada cultivo y unidad homogénea de cultivo que considere los resultados de los análisis y tenga en cuenta, además de las extracciones del cultivo, el estado nutricional y de crecimiento, el tipo y nivel de fertilidad del suelo, y las aportaciones realizadas por otras vías (agua y materia orgánica). El programa determinará las épocas y la forma de aplicación más adecuadas para minimizar las pérdidas por lixiviación, erosión, etc., potenciando la aportación de fertilizantes naturales y reduciendo los químicos de síntesis.</w:t>
      </w:r>
    </w:p>
    <w:p w:rsidR="00412AFB" w:rsidRPr="00993936" w:rsidRDefault="00412AFB" w:rsidP="00412AFB">
      <w:pPr>
        <w:jc w:val="both"/>
        <w:rPr>
          <w:rFonts w:ascii="Arial" w:hAnsi="Arial" w:cs="Arial"/>
          <w:lang w:val="es-ES"/>
        </w:rPr>
      </w:pPr>
      <w:r w:rsidRPr="00993936">
        <w:rPr>
          <w:rFonts w:ascii="Arial" w:hAnsi="Arial" w:cs="Arial"/>
          <w:lang w:val="es-ES"/>
        </w:rPr>
        <w:t>5.1.9 La programación ha de tener en cuenta que los fertilizantes que provienen del exterior (aguas, materias orgánicas y fertilización directa) deben compensar las extracciones de las cosechas y las pérdidas técnicas. El programa determinará las épocas y el modo de aplicación más adecuados, según la extracción periódica del cultivo, para minimizar las pérdidas por lixiviación, volatilización, desnitrificación, erosión, etc.</w:t>
      </w:r>
    </w:p>
    <w:p w:rsidR="00412AFB" w:rsidRPr="00993936" w:rsidRDefault="00412AFB" w:rsidP="00412AFB">
      <w:pPr>
        <w:jc w:val="both"/>
        <w:outlineLvl w:val="0"/>
        <w:rPr>
          <w:rFonts w:ascii="Arial" w:hAnsi="Arial" w:cs="Arial"/>
          <w:lang w:val="es-ES"/>
        </w:rPr>
      </w:pPr>
      <w:r w:rsidRPr="00993936">
        <w:rPr>
          <w:rFonts w:ascii="Arial" w:hAnsi="Arial" w:cs="Arial"/>
          <w:lang w:val="es-ES"/>
        </w:rPr>
        <w:t>5.1.10 Considerando las aportaciones de las diferentes entradas (deyecciones ganaderas, aguas de riego, abonos minerales y otras), se establece el máximo de aportaciones siguientes:</w:t>
      </w:r>
    </w:p>
    <w:p w:rsidR="00412AFB" w:rsidRPr="00993936" w:rsidRDefault="00412AFB" w:rsidP="00412AFB">
      <w:pPr>
        <w:jc w:val="both"/>
        <w:outlineLvl w:val="0"/>
        <w:rPr>
          <w:rFonts w:ascii="Arial" w:hAnsi="Arial" w:cs="Arial"/>
          <w:lang w:val="es-E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2145"/>
        <w:gridCol w:w="4923"/>
      </w:tblGrid>
      <w:tr w:rsidR="00412AFB" w:rsidRPr="00993936" w:rsidTr="000E5335">
        <w:tc>
          <w:tcPr>
            <w:tcW w:w="947" w:type="pct"/>
            <w:shd w:val="clear" w:color="auto" w:fill="D9D9D9" w:themeFill="background1" w:themeFillShade="D9"/>
            <w:vAlign w:val="center"/>
          </w:tcPr>
          <w:p w:rsidR="00412AFB" w:rsidRPr="00993936" w:rsidRDefault="00412AFB" w:rsidP="000E5335">
            <w:pPr>
              <w:pStyle w:val="Sinespaciado"/>
              <w:jc w:val="center"/>
              <w:rPr>
                <w:rFonts w:ascii="Arial" w:hAnsi="Arial" w:cs="Arial"/>
                <w:b/>
                <w:lang w:val="es-ES"/>
              </w:rPr>
            </w:pPr>
            <w:r w:rsidRPr="00993936">
              <w:rPr>
                <w:rFonts w:ascii="Arial" w:hAnsi="Arial" w:cs="Arial"/>
                <w:b/>
                <w:lang w:val="es-ES"/>
              </w:rPr>
              <w:t>Elemento</w:t>
            </w:r>
          </w:p>
        </w:tc>
        <w:tc>
          <w:tcPr>
            <w:tcW w:w="1230" w:type="pct"/>
            <w:shd w:val="clear" w:color="auto" w:fill="D9D9D9" w:themeFill="background1" w:themeFillShade="D9"/>
            <w:vAlign w:val="center"/>
          </w:tcPr>
          <w:p w:rsidR="00412AFB" w:rsidRPr="00993936" w:rsidRDefault="00412AFB" w:rsidP="000E5335">
            <w:pPr>
              <w:pStyle w:val="Sinespaciado"/>
              <w:jc w:val="center"/>
              <w:rPr>
                <w:rFonts w:ascii="Arial" w:hAnsi="Arial" w:cs="Arial"/>
                <w:b/>
                <w:lang w:val="es-ES"/>
              </w:rPr>
            </w:pPr>
            <w:r w:rsidRPr="00993936">
              <w:rPr>
                <w:rFonts w:ascii="Arial" w:hAnsi="Arial" w:cs="Arial"/>
                <w:b/>
                <w:lang w:val="es-ES"/>
              </w:rPr>
              <w:t>Máximo aportaciones</w:t>
            </w:r>
          </w:p>
          <w:p w:rsidR="00412AFB" w:rsidRPr="00993936" w:rsidRDefault="00412AFB" w:rsidP="000E5335">
            <w:pPr>
              <w:pStyle w:val="Sinespaciado"/>
              <w:jc w:val="center"/>
              <w:rPr>
                <w:rFonts w:ascii="Arial" w:hAnsi="Arial" w:cs="Arial"/>
                <w:b/>
                <w:lang w:val="es-ES"/>
              </w:rPr>
            </w:pPr>
            <w:r w:rsidRPr="00993936">
              <w:rPr>
                <w:rFonts w:ascii="Arial" w:hAnsi="Arial" w:cs="Arial"/>
                <w:b/>
                <w:lang w:val="es-ES"/>
              </w:rPr>
              <w:t>UF/ha y año</w:t>
            </w:r>
          </w:p>
        </w:tc>
        <w:tc>
          <w:tcPr>
            <w:tcW w:w="2823" w:type="pct"/>
            <w:shd w:val="clear" w:color="auto" w:fill="D9D9D9" w:themeFill="background1" w:themeFillShade="D9"/>
            <w:vAlign w:val="center"/>
          </w:tcPr>
          <w:p w:rsidR="00412AFB" w:rsidRPr="00993936" w:rsidRDefault="00412AFB" w:rsidP="000E5335">
            <w:pPr>
              <w:pStyle w:val="Sinespaciado"/>
              <w:jc w:val="center"/>
              <w:rPr>
                <w:rFonts w:ascii="Arial" w:hAnsi="Arial" w:cs="Arial"/>
                <w:b/>
                <w:bCs/>
                <w:lang w:val="es-ES"/>
              </w:rPr>
            </w:pPr>
            <w:r w:rsidRPr="00993936">
              <w:rPr>
                <w:rFonts w:ascii="Arial" w:hAnsi="Arial" w:cs="Arial"/>
                <w:b/>
                <w:bCs/>
                <w:lang w:val="es-ES"/>
              </w:rPr>
              <w:t>Cultivos y condiciones que considerar</w:t>
            </w:r>
          </w:p>
        </w:tc>
      </w:tr>
      <w:tr w:rsidR="00412AFB" w:rsidRPr="00993936" w:rsidTr="00C8678E">
        <w:tc>
          <w:tcPr>
            <w:tcW w:w="947" w:type="pct"/>
            <w:shd w:val="clear" w:color="auto" w:fill="auto"/>
          </w:tcPr>
          <w:p w:rsidR="00412AFB" w:rsidRPr="00993936" w:rsidRDefault="00E03B3B" w:rsidP="000E5335">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Nitrógeno (N)</w:t>
            </w:r>
          </w:p>
        </w:tc>
        <w:tc>
          <w:tcPr>
            <w:tcW w:w="1230"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210</w:t>
            </w:r>
          </w:p>
        </w:tc>
        <w:tc>
          <w:tcPr>
            <w:tcW w:w="2823"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Todas las especies de cítricos (1)</w:t>
            </w:r>
          </w:p>
        </w:tc>
      </w:tr>
      <w:tr w:rsidR="00412AFB" w:rsidRPr="00993936" w:rsidTr="00C8678E">
        <w:tc>
          <w:tcPr>
            <w:tcW w:w="947" w:type="pct"/>
            <w:shd w:val="clear" w:color="auto" w:fill="auto"/>
          </w:tcPr>
          <w:p w:rsidR="00412AFB" w:rsidRPr="00993936" w:rsidRDefault="00E03B3B" w:rsidP="000E5335">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Nitrógeno (N)</w:t>
            </w:r>
          </w:p>
        </w:tc>
        <w:tc>
          <w:tcPr>
            <w:tcW w:w="1230"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200</w:t>
            </w:r>
          </w:p>
        </w:tc>
        <w:tc>
          <w:tcPr>
            <w:tcW w:w="2823"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 xml:space="preserve">Todas las especies de cítricos (2) </w:t>
            </w:r>
          </w:p>
        </w:tc>
      </w:tr>
      <w:tr w:rsidR="00412AFB" w:rsidRPr="00993936" w:rsidTr="00C8678E">
        <w:tc>
          <w:tcPr>
            <w:tcW w:w="947" w:type="pct"/>
            <w:shd w:val="clear" w:color="auto" w:fill="auto"/>
          </w:tcPr>
          <w:p w:rsidR="00412AFB" w:rsidRPr="00993936" w:rsidRDefault="00E03B3B" w:rsidP="000E5335">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Nitrógeno (N)</w:t>
            </w:r>
          </w:p>
        </w:tc>
        <w:tc>
          <w:tcPr>
            <w:tcW w:w="1230"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150</w:t>
            </w:r>
          </w:p>
        </w:tc>
        <w:tc>
          <w:tcPr>
            <w:tcW w:w="2823"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Todas las especies de cítricos (3)</w:t>
            </w:r>
          </w:p>
        </w:tc>
      </w:tr>
      <w:tr w:rsidR="00412AFB" w:rsidRPr="00993936" w:rsidTr="00C8678E">
        <w:tc>
          <w:tcPr>
            <w:tcW w:w="947" w:type="pct"/>
            <w:shd w:val="clear" w:color="auto" w:fill="auto"/>
          </w:tcPr>
          <w:p w:rsidR="00412AFB" w:rsidRPr="00993936" w:rsidRDefault="00E03B3B" w:rsidP="000E5335">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Fósforo (P</w:t>
            </w:r>
            <w:r w:rsidR="00412AFB" w:rsidRPr="00993936">
              <w:rPr>
                <w:rFonts w:ascii="Arial" w:hAnsi="Arial" w:cs="Arial"/>
                <w:vertAlign w:val="subscript"/>
                <w:lang w:val="es-ES"/>
              </w:rPr>
              <w:t>2</w:t>
            </w:r>
            <w:r w:rsidR="00412AFB" w:rsidRPr="00993936">
              <w:rPr>
                <w:rFonts w:ascii="Arial" w:hAnsi="Arial" w:cs="Arial"/>
                <w:lang w:val="es-ES"/>
              </w:rPr>
              <w:t>O)</w:t>
            </w:r>
          </w:p>
        </w:tc>
        <w:tc>
          <w:tcPr>
            <w:tcW w:w="1230"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40</w:t>
            </w:r>
          </w:p>
        </w:tc>
        <w:tc>
          <w:tcPr>
            <w:tcW w:w="2823"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 xml:space="preserve">Si el nivel de fósforo en el suelo es superior a 25 ppm </w:t>
            </w:r>
          </w:p>
        </w:tc>
      </w:tr>
      <w:tr w:rsidR="00412AFB" w:rsidRPr="00993936" w:rsidTr="00C8678E">
        <w:tc>
          <w:tcPr>
            <w:tcW w:w="947" w:type="pct"/>
            <w:shd w:val="clear" w:color="auto" w:fill="auto"/>
          </w:tcPr>
          <w:p w:rsidR="00412AFB" w:rsidRPr="00993936" w:rsidRDefault="00E03B3B" w:rsidP="000E5335">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Potasio (K</w:t>
            </w:r>
            <w:r w:rsidR="00412AFB" w:rsidRPr="00993936">
              <w:rPr>
                <w:rFonts w:ascii="Arial" w:hAnsi="Arial" w:cs="Arial"/>
                <w:vertAlign w:val="subscript"/>
                <w:lang w:val="es-ES"/>
              </w:rPr>
              <w:t>2</w:t>
            </w:r>
            <w:r w:rsidR="00412AFB" w:rsidRPr="00993936">
              <w:rPr>
                <w:rFonts w:ascii="Arial" w:hAnsi="Arial" w:cs="Arial"/>
                <w:lang w:val="es-ES"/>
              </w:rPr>
              <w:t>O)</w:t>
            </w:r>
          </w:p>
        </w:tc>
        <w:tc>
          <w:tcPr>
            <w:tcW w:w="1230"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80</w:t>
            </w:r>
          </w:p>
        </w:tc>
        <w:tc>
          <w:tcPr>
            <w:tcW w:w="2823" w:type="pct"/>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Si el nivel de potasio en el suelo es superior a 125 ppm</w:t>
            </w:r>
          </w:p>
        </w:tc>
      </w:tr>
      <w:tr w:rsidR="00412AFB" w:rsidRPr="00993936" w:rsidTr="00C8678E">
        <w:tc>
          <w:tcPr>
            <w:tcW w:w="5000" w:type="pct"/>
            <w:gridSpan w:val="3"/>
            <w:shd w:val="clear" w:color="auto" w:fill="auto"/>
          </w:tcPr>
          <w:p w:rsidR="00412AFB" w:rsidRPr="00993936" w:rsidRDefault="00E03B3B" w:rsidP="000E5335">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 xml:space="preserve">ppm: partes por millón, </w:t>
            </w:r>
          </w:p>
        </w:tc>
      </w:tr>
      <w:tr w:rsidR="00412AFB" w:rsidRPr="00993936" w:rsidTr="00C8678E">
        <w:tc>
          <w:tcPr>
            <w:tcW w:w="5000" w:type="pct"/>
            <w:gridSpan w:val="3"/>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 xml:space="preserve">Considerando la aportación de nitrógeno orgánico + nitrógeno mineral </w:t>
            </w:r>
          </w:p>
        </w:tc>
      </w:tr>
      <w:tr w:rsidR="00412AFB" w:rsidRPr="00993936" w:rsidTr="00C8678E">
        <w:tc>
          <w:tcPr>
            <w:tcW w:w="5000" w:type="pct"/>
            <w:gridSpan w:val="3"/>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 xml:space="preserve">Considerando solo la aportación de nitrógeno mineral </w:t>
            </w:r>
          </w:p>
        </w:tc>
      </w:tr>
      <w:tr w:rsidR="00412AFB" w:rsidRPr="00993936" w:rsidTr="00C8678E">
        <w:tc>
          <w:tcPr>
            <w:tcW w:w="5000" w:type="pct"/>
            <w:gridSpan w:val="3"/>
            <w:shd w:val="clear" w:color="auto" w:fill="auto"/>
          </w:tcPr>
          <w:p w:rsidR="00412AFB" w:rsidRPr="00993936" w:rsidRDefault="00412AFB" w:rsidP="000E5335">
            <w:pPr>
              <w:pStyle w:val="Sinespaciado"/>
              <w:rPr>
                <w:rFonts w:ascii="Arial" w:hAnsi="Arial" w:cs="Arial"/>
                <w:lang w:val="es-ES"/>
              </w:rPr>
            </w:pPr>
            <w:r w:rsidRPr="00993936">
              <w:rPr>
                <w:rFonts w:ascii="Arial" w:hAnsi="Arial" w:cs="Arial"/>
                <w:lang w:val="es-ES"/>
              </w:rPr>
              <w:t>En zonas vulnerables, considerando solo la aportación de nitrógeno mineral</w:t>
            </w:r>
          </w:p>
        </w:tc>
      </w:tr>
    </w:tbl>
    <w:p w:rsidR="00412AFB" w:rsidRPr="00993936" w:rsidRDefault="00412AFB" w:rsidP="00412AFB">
      <w:pPr>
        <w:jc w:val="both"/>
        <w:outlineLvl w:val="0"/>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lastRenderedPageBreak/>
        <w:t>La aplicación de microelementos se reducirá al mínimo posible y solo se aplicarán cuando un análisis previo, o su sintomatología evidente, determine su insuficiencia para los requerimientos reales del cultivo.</w:t>
      </w:r>
    </w:p>
    <w:p w:rsidR="00412AFB" w:rsidRPr="00993936" w:rsidRDefault="00412AFB" w:rsidP="00412AFB">
      <w:pPr>
        <w:pStyle w:val="Textoindependiente"/>
        <w:rPr>
          <w:rFonts w:cs="Arial"/>
          <w:szCs w:val="22"/>
          <w:lang w:val="es-ES"/>
        </w:rPr>
      </w:pPr>
      <w:r w:rsidRPr="00993936">
        <w:rPr>
          <w:rFonts w:cs="Arial"/>
          <w:szCs w:val="22"/>
          <w:lang w:val="es-ES"/>
        </w:rPr>
        <w:t>La aplicación de fertilizantes deberá revisarse a posteriori por el miembro del personal técnico responsable de producción integrada, y su conformidad figurará en el cuaderno de explotación.</w:t>
      </w:r>
    </w:p>
    <w:p w:rsidR="00412AFB" w:rsidRPr="00993936" w:rsidRDefault="00412AFB" w:rsidP="00412AFB">
      <w:pPr>
        <w:jc w:val="both"/>
        <w:rPr>
          <w:rFonts w:ascii="Arial" w:hAnsi="Arial" w:cs="Arial"/>
          <w:lang w:val="es-ES"/>
        </w:rPr>
      </w:pPr>
      <w:r w:rsidRPr="00993936">
        <w:rPr>
          <w:rFonts w:ascii="Arial" w:hAnsi="Arial" w:cs="Arial"/>
          <w:lang w:val="es-ES"/>
        </w:rPr>
        <w:t>5.1.11 Fraccionar la fertilización nitrogenada en regadío, especialmente en zonas vulnerables, y elegir el tipo de abono más adecuado en función del manejo del agua de riego, de la pluviometría, del tipo de suelo, de la época de del año y de la problemática específica de la plantación.</w:t>
      </w:r>
    </w:p>
    <w:p w:rsidR="00412AFB" w:rsidRPr="00993936" w:rsidRDefault="00412AFB" w:rsidP="00412AFB">
      <w:pPr>
        <w:jc w:val="both"/>
        <w:rPr>
          <w:rFonts w:ascii="Arial" w:hAnsi="Arial" w:cs="Arial"/>
          <w:lang w:val="es-ES"/>
        </w:rPr>
      </w:pPr>
      <w:r w:rsidRPr="00993936">
        <w:rPr>
          <w:rFonts w:ascii="Arial" w:hAnsi="Arial" w:cs="Arial"/>
          <w:lang w:val="es-ES"/>
        </w:rPr>
        <w:t>5.1.12 Cuando se añada materia orgánica al suelo, deberán conocerse los contenidos medios aportados en 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 xml:space="preserve">5, </w:t>
      </w:r>
      <w:r w:rsidRPr="00993936">
        <w:rPr>
          <w:rFonts w:ascii="Arial" w:hAnsi="Arial" w:cs="Arial"/>
          <w:lang w:val="es-ES"/>
        </w:rPr>
        <w:t>K</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 xml:space="preserve">. </w:t>
      </w:r>
      <w:r w:rsidRPr="00993936">
        <w:rPr>
          <w:rFonts w:ascii="Arial" w:hAnsi="Arial" w:cs="Arial"/>
          <w:lang w:val="es-ES"/>
        </w:rPr>
        <w:t>Para el cálculo de los elementos fertilizantes aportados se utilizarán preferentemente los resultados del análisis de la materia orgánica, o, en su defecto, los que figuran en el Apéndice IV como valores orientativos.</w:t>
      </w:r>
    </w:p>
    <w:p w:rsidR="00412AFB" w:rsidRPr="00993936" w:rsidRDefault="00412AFB" w:rsidP="00412AFB">
      <w:pPr>
        <w:jc w:val="both"/>
        <w:rPr>
          <w:rFonts w:ascii="Arial" w:hAnsi="Arial" w:cs="Arial"/>
          <w:lang w:val="es-ES"/>
        </w:rPr>
      </w:pPr>
      <w:r w:rsidRPr="00993936">
        <w:rPr>
          <w:rFonts w:ascii="Arial" w:hAnsi="Arial" w:cs="Arial"/>
          <w:lang w:val="es-ES"/>
        </w:rPr>
        <w:t>5.1.13 Cuando se aporten materias con valor fertilizante de origen urbano o industrial, es necesario disponer de, o bien efectuar, un análisis de metales pesados ​​para certificar que no excedan los límites legales establecidos y tener en cuenta el programa de actuaciones para la gestión de los lodos de depuración de aguas residuales urbanas de Cataluña. En todo caso, esta aportación debe contener la mínima cantidad de metales pesados ​​(cadmio, cromo, cobre, plomo, zinc, níquel y mercurio), patógenos u otros productos tóxicos.</w:t>
      </w:r>
    </w:p>
    <w:p w:rsidR="00412AFB" w:rsidRPr="00993936" w:rsidRDefault="00412AFB" w:rsidP="00412AFB">
      <w:pPr>
        <w:pStyle w:val="Textoindependiente"/>
        <w:rPr>
          <w:rFonts w:cs="Arial"/>
          <w:szCs w:val="22"/>
          <w:lang w:val="es-ES"/>
        </w:rPr>
      </w:pPr>
      <w:r w:rsidRPr="00993936">
        <w:rPr>
          <w:rFonts w:cs="Arial"/>
          <w:szCs w:val="22"/>
          <w:lang w:val="es-ES"/>
        </w:rPr>
        <w:t>5.1.14 Almacenar los abonos orgánicos de manera adecuada, de forma que se reduzca el riesgo de contaminación del medio ambiente.</w:t>
      </w:r>
    </w:p>
    <w:p w:rsidR="00412AFB" w:rsidRPr="00993936" w:rsidRDefault="00412AFB" w:rsidP="00412AFB">
      <w:pPr>
        <w:jc w:val="both"/>
        <w:rPr>
          <w:rFonts w:ascii="Arial" w:hAnsi="Arial" w:cs="Arial"/>
          <w:lang w:val="es-ES"/>
        </w:rPr>
      </w:pPr>
      <w:r w:rsidRPr="00993936">
        <w:rPr>
          <w:rFonts w:ascii="Arial" w:hAnsi="Arial" w:cs="Arial"/>
          <w:lang w:val="es-ES"/>
        </w:rPr>
        <w:t>5.1.15 Conseguir, mediante un manejo adecuado, un nivel de pH comprendido entre 6,5 y 8,9.</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5.1.16 Establecer las aportaciones de fósforo y potasio en g/árbol en función de la tabla 2.6 «Aportaciones anuales de fertilización recomendadas según la edad de la plantación» del punto 2. Fertilización, del Apéndice I: Tablas, excepto en las zonas vulnerables, que serán reguladas por la legislación vigente.</w:t>
      </w:r>
    </w:p>
    <w:p w:rsidR="00412AFB" w:rsidRPr="00993936" w:rsidRDefault="00412AFB" w:rsidP="00412AFB">
      <w:pPr>
        <w:pStyle w:val="Textoindependiente"/>
        <w:rPr>
          <w:rFonts w:cs="Arial"/>
          <w:szCs w:val="22"/>
          <w:lang w:val="es-ES"/>
        </w:rPr>
      </w:pPr>
      <w:r w:rsidRPr="00993936">
        <w:rPr>
          <w:rFonts w:cs="Arial"/>
          <w:szCs w:val="22"/>
          <w:lang w:val="es-ES"/>
        </w:rPr>
        <w:t>5.1.17 Respecto al nitrógeno, deberá definirse la máxima cantidad de nitrógeno que habrá que aplicar para cada cultivo en función del tipo de suelo (textura y contenido en materia orgánica) y el momento de cada aplicación, dosis y fórmula del fertilizante. La dosis de nitrógeno mineral se establecerá por diferencia entre las necesidades totales y la cantidad de nitrógeno aportada por el agua de riego, que depende de su concentración en nitrato y del volumen de agua aportada. De forma similar, deberá también tenerse en cuenta el nitrógeno aportado por la materia orgánica del suelo. En las plantaciones regadas por inundación, el abonado nitrogenado deberá fraccionarse, como mínimo, en dos aportaciones:</w:t>
      </w:r>
      <w:r w:rsidR="00E03B3B" w:rsidRPr="00993936">
        <w:rPr>
          <w:rFonts w:cs="Arial"/>
          <w:szCs w:val="22"/>
          <w:lang w:val="es-ES"/>
        </w:rPr>
        <w:t xml:space="preserve"> </w:t>
      </w:r>
      <w:r w:rsidRPr="00993936">
        <w:rPr>
          <w:rFonts w:cs="Arial"/>
          <w:szCs w:val="22"/>
          <w:lang w:val="es-ES"/>
        </w:rPr>
        <w:t>- Una en primavera y otra en verano, excepto en los terrenos marcadamente arenosos, donde se aplicará, al menos, en tres fracciones distribuidas entre ambos periodos. La aplicación de fertilizantes deberá revisarse a posteriori por el miembro del personal técnico responsable de producción integrada, y su conformidad figurará en el cuaderno de explotación.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5.1.18 En plantaciones con riego localizado la fertilización se realizará mediante abonos solubles disueltos en el agua de riego. Estos se dosificarán con alta frecuencia, como mínimo, deberá ser semanal.</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5.1.19 En fertirrigación, las aportaciones de nutrientes se adaptarán a las curvas de evolución de los niveles foliares. La concentración máxima de nutrientes en agua de </w:t>
      </w:r>
      <w:r w:rsidRPr="00993936">
        <w:rPr>
          <w:rFonts w:cs="Arial"/>
          <w:szCs w:val="22"/>
          <w:lang w:val="es-ES"/>
        </w:rPr>
        <w:lastRenderedPageBreak/>
        <w:t>riego no podrá exceder el valor de 0,75 ‰ en los meses de marzo y abril. El resto del año no podrá exceder el valor de 0,5 ‰.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5.1.20 Los oligoelementos se integrarán en los planes de fertilización en función de las necesidades y exigencias del cultivo.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5.1.21 En suelos calcáreos, los niveles foliares de hierro no deben quedar por debajo de los valores de referencia de la tabla 2.1 «Valores de referencia de los análisis foliares de F, Mn, B Cu y Mo en cítricos» del punto 2. Fertilización, del Apéndice I: Tablas.</w:t>
      </w:r>
    </w:p>
    <w:p w:rsidR="00412AFB" w:rsidRPr="00993936" w:rsidRDefault="00412AFB" w:rsidP="00412AFB">
      <w:pPr>
        <w:jc w:val="both"/>
        <w:rPr>
          <w:rFonts w:ascii="Arial" w:hAnsi="Arial" w:cs="Arial"/>
          <w:lang w:val="es-ES"/>
        </w:rPr>
      </w:pPr>
      <w:r w:rsidRPr="00993936">
        <w:rPr>
          <w:rFonts w:ascii="Arial" w:hAnsi="Arial" w:cs="Arial"/>
          <w:lang w:val="es-ES"/>
        </w:rPr>
        <w:t>5.</w:t>
      </w:r>
      <w:r w:rsidR="00C03DD4" w:rsidRPr="00993936">
        <w:rPr>
          <w:rFonts w:ascii="Arial" w:hAnsi="Arial" w:cs="Arial"/>
          <w:lang w:val="es-ES"/>
        </w:rPr>
        <w:t>1.</w:t>
      </w:r>
      <w:r w:rsidRPr="00993936">
        <w:rPr>
          <w:rFonts w:ascii="Arial" w:hAnsi="Arial" w:cs="Arial"/>
          <w:lang w:val="es-ES"/>
        </w:rPr>
        <w:t>22 Realizar las enmiendas necesarias siempre que el pH del suelo se aparte un 20 % del valor aceptado como óptimo para el cultivo, o cuando las características físicas o químicas del suelo así lo aconsejen. En todo caso, las enmiendas deberán ser técnicamente justificadas de acuerdo con un análisis del suelo y con las necesidades reales de la variedad y la especie cultivadas.</w:t>
      </w:r>
    </w:p>
    <w:p w:rsidR="00412AFB" w:rsidRPr="00993936" w:rsidRDefault="00412AFB" w:rsidP="00412AFB">
      <w:pPr>
        <w:pStyle w:val="Sangradetextonormal"/>
        <w:ind w:left="0"/>
        <w:jc w:val="both"/>
        <w:rPr>
          <w:rFonts w:cs="Arial"/>
          <w:i/>
          <w:szCs w:val="22"/>
          <w:lang w:val="es-ES"/>
        </w:rPr>
      </w:pPr>
      <w:r w:rsidRPr="00993936">
        <w:rPr>
          <w:rFonts w:cs="Arial"/>
          <w:szCs w:val="22"/>
          <w:lang w:val="es-ES"/>
        </w:rPr>
        <w:t xml:space="preserve">5.2 </w:t>
      </w:r>
      <w:r w:rsidRPr="00993936">
        <w:rPr>
          <w:rFonts w:cs="Arial"/>
          <w:i/>
          <w:szCs w:val="22"/>
          <w:lang w:val="es-ES"/>
        </w:rPr>
        <w:t>Prohibiciones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5.2.1 Superar la cantidad máxima tolerable por hectárea y año de nitrógeno total, fósforo y potasio, y exceder los límites nacionales e internacionales aplicables a cada territorio relativos a la contaminación por nitratos o fosfatos del agua subterránea, así como los límites que se fijan de metales pesados en las tablas 2.16, 2.17 y 2.18 de esta norma, de patógenos y otros productos tóxicos.</w:t>
      </w:r>
    </w:p>
    <w:p w:rsidR="00412AFB" w:rsidRPr="00993936" w:rsidRDefault="00412AFB" w:rsidP="00412AFB">
      <w:pPr>
        <w:pStyle w:val="Textoindependiente"/>
        <w:rPr>
          <w:rFonts w:cs="Arial"/>
          <w:szCs w:val="22"/>
          <w:lang w:val="es-ES"/>
        </w:rPr>
      </w:pPr>
      <w:r w:rsidRPr="00993936">
        <w:rPr>
          <w:rFonts w:cs="Arial"/>
          <w:szCs w:val="22"/>
          <w:lang w:val="es-ES"/>
        </w:rPr>
        <w:t>5.2.2 Almacenar los fertilizantes y los fitosanitarios sin estar separados físicamente ni etiquetados correctamente.</w:t>
      </w:r>
    </w:p>
    <w:p w:rsidR="00412AFB" w:rsidRPr="00993936" w:rsidRDefault="00412AFB" w:rsidP="00412AFB">
      <w:pPr>
        <w:pStyle w:val="Textoindependiente"/>
        <w:rPr>
          <w:rFonts w:cs="Arial"/>
          <w:szCs w:val="22"/>
          <w:lang w:val="es-ES"/>
        </w:rPr>
      </w:pPr>
      <w:r w:rsidRPr="00993936">
        <w:rPr>
          <w:rFonts w:cs="Arial"/>
          <w:szCs w:val="22"/>
          <w:lang w:val="es-ES"/>
        </w:rPr>
        <w:t>5.2.3 Hacer una programación de la fertilización sin tener en cuenta los resultados de los análisis de suelo, y/ u hojas y agua.</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5.2.4 Aplicar estiércoles y purines sobre los terrenos encharcados o con nieve y a menos de </w:t>
      </w:r>
      <w:smartTag w:uri="urn:schemas-microsoft-com:office:smarttags" w:element="metricconverter">
        <w:smartTagPr>
          <w:attr w:name="ProductID" w:val="50 m"/>
        </w:smartTagPr>
        <w:r w:rsidRPr="00993936">
          <w:rPr>
            <w:rFonts w:ascii="Arial" w:hAnsi="Arial" w:cs="Arial"/>
            <w:lang w:val="es-ES"/>
          </w:rPr>
          <w:t>50 metros</w:t>
        </w:r>
      </w:smartTag>
      <w:r w:rsidRPr="00993936">
        <w:rPr>
          <w:rFonts w:ascii="Arial" w:hAnsi="Arial" w:cs="Arial"/>
          <w:lang w:val="es-ES"/>
        </w:rPr>
        <w:t xml:space="preserve"> de una captación de agua destinada al consumo humano.</w:t>
      </w:r>
    </w:p>
    <w:p w:rsidR="00412AFB" w:rsidRPr="00993936" w:rsidRDefault="00412AFB" w:rsidP="00412AFB">
      <w:pPr>
        <w:jc w:val="both"/>
        <w:outlineLvl w:val="0"/>
        <w:rPr>
          <w:rFonts w:ascii="Arial" w:hAnsi="Arial" w:cs="Arial"/>
          <w:lang w:val="es-ES"/>
        </w:rPr>
      </w:pPr>
      <w:r w:rsidRPr="00993936">
        <w:rPr>
          <w:rFonts w:ascii="Arial" w:hAnsi="Arial" w:cs="Arial"/>
          <w:lang w:val="es-ES"/>
        </w:rPr>
        <w:t>5.2.5 Utilizar, sin haber realizado tratamiento previo reconocido por la dirección general competente en materia de agricultura, tanto barro que proceda de depuradora como residuos sólidos urbanos.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5.2.6 Realizar la fertilización durante la parada vegetativa.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5.2.7 La aplicación de abonos nitrogenados a finales de otoño, durante la parada invernal o cuando el fruto esté próximo a la madurez.</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5.3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5.3.1 Realizar la fertirrigación de forma que se minimice el lavado de nutrientes, evitando la salinización del suelo.</w:t>
      </w:r>
    </w:p>
    <w:p w:rsidR="00412AFB" w:rsidRPr="00993936" w:rsidRDefault="00412AFB" w:rsidP="00412AFB">
      <w:pPr>
        <w:jc w:val="both"/>
        <w:rPr>
          <w:rFonts w:ascii="Arial" w:hAnsi="Arial" w:cs="Arial"/>
          <w:lang w:val="es-ES"/>
        </w:rPr>
      </w:pPr>
      <w:r w:rsidRPr="00993936">
        <w:rPr>
          <w:rFonts w:ascii="Arial" w:hAnsi="Arial" w:cs="Arial"/>
          <w:lang w:val="es-ES"/>
        </w:rPr>
        <w:t>5.3.2 Las aportaciones al suelo de quelatos u otras formulaciones de micronutrientes se limitarán a las situaciones en que los análisis o la experiencia contrastada demuestren que son imprescindibles para una adecuada producción. Específicamente, se permite la aplicación de quelatos para controlar la clorosis férrica en suelos con un contenido de carbonatos superior al 15 %.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5.3.3 Para hacer una estimación de las necesidades de fertilización, consultar la tabla 2.1 «Niveles críticos orientados en hojas de cítricos», la tabla 2 «Tratamientos recomendados en caso de carencias», la tabla 2.4 «Factores de corrección para la fertilización fosforada de acuerdo con los análisis de suelo y foliar», la tabla 2.5 «Factores de corrección para la fertilización potásica de acuerdo con los análisis de suelo y foliar» y las tablas 2.7, 2.8 y 2.9, en las que se muestra la distribución de los elementos </w:t>
      </w:r>
      <w:r w:rsidR="006043F1" w:rsidRPr="00993936">
        <w:rPr>
          <w:rFonts w:cs="Arial"/>
          <w:szCs w:val="22"/>
          <w:lang w:val="es-ES"/>
        </w:rPr>
        <w:t>(</w:t>
      </w:r>
      <w:r w:rsidRPr="00993936">
        <w:rPr>
          <w:rFonts w:cs="Arial"/>
          <w:szCs w:val="22"/>
          <w:lang w:val="es-ES"/>
        </w:rPr>
        <w:t xml:space="preserve">%) a lo largo del ciclo productivo. Consultar, asimismo, la tabla 10.2 </w:t>
      </w:r>
      <w:r w:rsidRPr="00993936">
        <w:rPr>
          <w:rFonts w:cs="Arial"/>
          <w:szCs w:val="22"/>
          <w:lang w:val="es-ES"/>
        </w:rPr>
        <w:lastRenderedPageBreak/>
        <w:t>«Aportaciones de nitrógeno para el agua de riego», la tabla 2.11 «Composición de los diferentes tipos de estiércol», la tabla 2.12 «Nitrógeno procedente de la materia orgánica del suelo», la tabla 2.13.</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«Principales abonos nitrogenados utilizables en la fertirrigación», la tabla 2.14 «Efectos de los principales tipos de abono» y la tabla 2.15 «Elección del abono en función del tipo de suelo» del punto 2. Fertilización, del Apéndice I: Tablas.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5.3.4 Aplicar fertilizantes en las épocas siguientes:</w:t>
      </w:r>
    </w:p>
    <w:p w:rsidR="00412AFB" w:rsidRPr="00993936" w:rsidRDefault="00412AFB" w:rsidP="009D1A2D">
      <w:pPr>
        <w:pStyle w:val="Sangradetextonormal"/>
        <w:numPr>
          <w:ilvl w:val="0"/>
          <w:numId w:val="40"/>
        </w:numPr>
        <w:jc w:val="both"/>
        <w:rPr>
          <w:rFonts w:cs="Arial"/>
          <w:szCs w:val="22"/>
          <w:lang w:val="es-ES"/>
        </w:rPr>
      </w:pPr>
      <w:r w:rsidRPr="00993936">
        <w:rPr>
          <w:rFonts w:cs="Arial"/>
          <w:szCs w:val="22"/>
          <w:lang w:val="es-ES"/>
        </w:rPr>
        <w:t>Variedades de naranja y mandarina tempranas: febrero-agosto</w:t>
      </w:r>
    </w:p>
    <w:p w:rsidR="00412AFB" w:rsidRPr="00993936" w:rsidRDefault="00412AFB" w:rsidP="009D1A2D">
      <w:pPr>
        <w:pStyle w:val="Sangradetextonormal"/>
        <w:numPr>
          <w:ilvl w:val="0"/>
          <w:numId w:val="40"/>
        </w:numPr>
        <w:jc w:val="both"/>
        <w:rPr>
          <w:rFonts w:cs="Arial"/>
          <w:szCs w:val="22"/>
          <w:lang w:val="es-ES"/>
        </w:rPr>
      </w:pPr>
      <w:r w:rsidRPr="00993936">
        <w:rPr>
          <w:rFonts w:cs="Arial"/>
          <w:szCs w:val="22"/>
          <w:lang w:val="es-ES"/>
        </w:rPr>
        <w:t xml:space="preserve">Variedad de naranja y mandarina tardías: marzo-septiembre </w:t>
      </w:r>
    </w:p>
    <w:p w:rsidR="00412AFB" w:rsidRPr="00993936" w:rsidRDefault="00412AFB" w:rsidP="009D1A2D">
      <w:pPr>
        <w:pStyle w:val="Sangradetextonormal"/>
        <w:numPr>
          <w:ilvl w:val="0"/>
          <w:numId w:val="40"/>
        </w:numPr>
        <w:jc w:val="both"/>
        <w:rPr>
          <w:rFonts w:cs="Arial"/>
          <w:szCs w:val="22"/>
          <w:lang w:val="es-ES"/>
        </w:rPr>
      </w:pPr>
      <w:r w:rsidRPr="00993936">
        <w:rPr>
          <w:rFonts w:cs="Arial"/>
          <w:szCs w:val="22"/>
          <w:lang w:val="es-ES"/>
        </w:rPr>
        <w:t>Limón fino: febrero-diciembre</w:t>
      </w:r>
    </w:p>
    <w:p w:rsidR="00412AFB" w:rsidRPr="00993936" w:rsidRDefault="00412AFB" w:rsidP="009D1A2D">
      <w:pPr>
        <w:pStyle w:val="Sangradetextonormal"/>
        <w:numPr>
          <w:ilvl w:val="0"/>
          <w:numId w:val="40"/>
        </w:numPr>
        <w:jc w:val="both"/>
        <w:rPr>
          <w:rFonts w:cs="Arial"/>
          <w:szCs w:val="22"/>
          <w:lang w:val="es-ES"/>
        </w:rPr>
      </w:pPr>
      <w:r w:rsidRPr="00993936">
        <w:rPr>
          <w:rFonts w:cs="Arial"/>
          <w:szCs w:val="22"/>
          <w:lang w:val="es-ES"/>
        </w:rPr>
        <w:t>Limón verna: febrero-noviembre</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5.3.5 Aplicar la fertilización nitrogenada con el máximo grado de fraccionamiento posible, evitando su aplicación durante el cuajado del fruto.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5.3.6 Implantación de sistemas de fertirrigación.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5.3.7 En el riego por inundación, los abonos se aplicarán con el suelo en sazón y se enterrarán inmediatamente mediante un cultivo.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5.3.8 Aplicación de materia orgánica de origen vegetal o animal, como mejoradora de la condición y fertilidad del suelo. </w:t>
      </w:r>
    </w:p>
    <w:p w:rsidR="00412AFB" w:rsidRPr="00993936" w:rsidRDefault="00412AFB" w:rsidP="00C03DD4">
      <w:pPr>
        <w:pStyle w:val="Sangradetextonormal"/>
        <w:ind w:left="0"/>
        <w:jc w:val="both"/>
        <w:rPr>
          <w:rFonts w:cs="Arial"/>
          <w:szCs w:val="22"/>
          <w:lang w:val="es-ES"/>
        </w:rPr>
      </w:pPr>
      <w:r w:rsidRPr="00993936">
        <w:rPr>
          <w:rFonts w:cs="Arial"/>
          <w:szCs w:val="22"/>
          <w:lang w:val="es-ES"/>
        </w:rPr>
        <w:t>5.3.9 Para valorar el contenido en metales pesados ​​de las materias con valor fertilizante y los resultados de los análisis del suelo, consultar la tabla 2.16 «Aportes máximos de metales pesados ​​en el suelo», la tabla 2</w:t>
      </w:r>
      <w:r w:rsidR="00C03DD4" w:rsidRPr="00993936">
        <w:rPr>
          <w:rFonts w:cs="Arial"/>
          <w:szCs w:val="22"/>
          <w:lang w:val="es-ES"/>
        </w:rPr>
        <w:t>.17</w:t>
      </w:r>
      <w:r w:rsidRPr="00993936">
        <w:rPr>
          <w:rFonts w:cs="Arial"/>
          <w:szCs w:val="22"/>
          <w:lang w:val="es-ES"/>
        </w:rPr>
        <w:t xml:space="preserve"> «Valores máximos admitidos de metales pesados ​​en materiales con valor fertilizante» y la tabla 2.18 «Concentraciones máximas de metales pesados ​​permitidos en el suelo», del punto 2. Fertilización, del Apéndice I: Tablas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5.3.10 El almacenamiento del estiércol en el campo para las labores de abonado en curso se llevará a cabo en lugares donde se garantice que no se contaminan las fuentes de agua.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5.3.11 Aplicar enmiendas calizas si las aguas presentan elevadas concentraciones en sales no deseables o si se producen desequilibrios entre el calcio y otros cationes.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5.3.12 Utilizar aquellas formas de sales que no desequilibren el sistema agua-suelo, salvo corrección expresa indicada por el servicio técnico responsable del campo. </w:t>
      </w:r>
    </w:p>
    <w:p w:rsidR="00412AFB" w:rsidRPr="00993936" w:rsidRDefault="00412AFB" w:rsidP="00412AFB">
      <w:pPr>
        <w:pStyle w:val="Sangradetextonormal"/>
        <w:jc w:val="both"/>
        <w:rPr>
          <w:rFonts w:cs="Arial"/>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6</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Poda y manejo de la plantación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6.1 </w:t>
      </w:r>
      <w:r w:rsidRPr="00993936">
        <w:rPr>
          <w:rFonts w:cs="Arial"/>
          <w:i/>
          <w:szCs w:val="22"/>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6.1.1 La poda se llevará a cabo con un planteamiento técnico, teniendo en cuenta los principios fundamentales que rigen esta práctica, para maximizar su eficacia y rentabilidad.</w:t>
      </w:r>
    </w:p>
    <w:p w:rsidR="00412AFB" w:rsidRPr="00993936" w:rsidRDefault="00412AFB" w:rsidP="00412AFB">
      <w:pPr>
        <w:jc w:val="both"/>
        <w:rPr>
          <w:rFonts w:ascii="Arial" w:hAnsi="Arial" w:cs="Arial"/>
          <w:lang w:val="es-ES"/>
        </w:rPr>
      </w:pPr>
      <w:r w:rsidRPr="00993936">
        <w:rPr>
          <w:rFonts w:ascii="Arial" w:hAnsi="Arial" w:cs="Arial"/>
          <w:lang w:val="es-ES"/>
        </w:rPr>
        <w:t>6.1.2 Desinfectar los instrumentos de poda cuando se cambie de parcela o de variedad, en caso de haber riesgo de propagación de problemas fitosanitarios.</w:t>
      </w:r>
      <w:r w:rsidRPr="00993936" w:rsidDel="004C0492">
        <w:rPr>
          <w:rFonts w:ascii="Arial" w:hAnsi="Arial" w:cs="Arial"/>
          <w:lang w:val="es-ES"/>
        </w:rPr>
        <w:t xml:space="preserve">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6.1.3 El sistema de poda debe respetar el estado fisiológico óptimo de la planta, permitir una buena ventilación y penetración de la luz y de los tratamientos, mantener una adecuada relación hoja/madera, reducir la vecería y mejorar la calidad del fruto.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6.1.4 Podar los árboles, como mínimo, con frecuencia bianual. En la poda se eliminarán los rebrotes del tronco, las ramas secas o debilitadas, aquellas que por su posición y orientación pueden dificultar los tratamientos y las que crecen verticalmente en el centro del árbol, para abrir la parte superior de la copa.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6.1.5 Corregir el exceso de vigor mediante prácticas culturales, además de la poda.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6.1.6 Realizar la poda en verde con instrumentos cortantes (tijeras, cuchillos, etc.).</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6.2 </w:t>
      </w:r>
      <w:r w:rsidRPr="00993936">
        <w:rPr>
          <w:rFonts w:cs="Arial"/>
          <w:i/>
          <w:szCs w:val="22"/>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6.2.1 Quemar de forma incontrolada los restos de poda.</w:t>
      </w:r>
    </w:p>
    <w:p w:rsidR="00412AFB" w:rsidRPr="00993936" w:rsidRDefault="00412AFB" w:rsidP="00412AFB">
      <w:pPr>
        <w:jc w:val="both"/>
        <w:rPr>
          <w:rFonts w:ascii="Arial" w:hAnsi="Arial" w:cs="Arial"/>
          <w:lang w:val="es-ES"/>
        </w:rPr>
      </w:pPr>
      <w:r w:rsidRPr="00993936">
        <w:rPr>
          <w:rFonts w:ascii="Arial" w:hAnsi="Arial" w:cs="Arial"/>
          <w:lang w:val="es-ES"/>
        </w:rPr>
        <w:t xml:space="preserve">6.2.2 Abandonar los restos de poda, no procesados, en la parcela o en sus márgenes, cuando suponga un riesgo fitosanitario.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6.3 </w:t>
      </w:r>
      <w:r w:rsidRPr="00993936">
        <w:rPr>
          <w:rFonts w:cs="Arial"/>
          <w:i/>
          <w:szCs w:val="22"/>
          <w:lang w:val="es-ES"/>
        </w:rPr>
        <w:t>Recomendaciones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6.3.1 Evitar realizar la poda con alta humedad ambiental.</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6.3.2 Incorporar al terreno los restos de poda mediante troceado y trituración in situ.</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6.3.3 Desinfectar las heridas de poda.</w:t>
      </w:r>
    </w:p>
    <w:p w:rsidR="00412AFB" w:rsidRPr="00993936" w:rsidRDefault="00412AFB" w:rsidP="00412AFB">
      <w:pPr>
        <w:pStyle w:val="Sangradetextonormal"/>
        <w:ind w:left="0"/>
        <w:jc w:val="both"/>
        <w:rPr>
          <w:rFonts w:cs="Arial"/>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7</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Control del desarrollo del fruto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7.1 </w:t>
      </w:r>
      <w:r w:rsidRPr="00993936">
        <w:rPr>
          <w:rFonts w:cs="Arial"/>
          <w:i/>
          <w:szCs w:val="22"/>
          <w:lang w:val="es-ES"/>
        </w:rPr>
        <w:t>Obligaciones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7.1.1 Los tratamientos hormonales deberán efectuarse con la autorización </w:t>
      </w:r>
      <w:r w:rsidR="00394AEA" w:rsidRPr="00993936">
        <w:rPr>
          <w:rFonts w:cs="Arial"/>
          <w:szCs w:val="22"/>
          <w:lang w:val="es-ES"/>
        </w:rPr>
        <w:t xml:space="preserve">expresa </w:t>
      </w:r>
      <w:r w:rsidRPr="00993936">
        <w:rPr>
          <w:rFonts w:cs="Arial"/>
          <w:szCs w:val="22"/>
          <w:lang w:val="es-ES"/>
        </w:rPr>
        <w:t xml:space="preserve">y bajo estricto control del miembro del personal técnico responsable de producción </w:t>
      </w:r>
      <w:r w:rsidR="00394AEA" w:rsidRPr="00993936">
        <w:rPr>
          <w:rFonts w:cs="Arial"/>
          <w:szCs w:val="22"/>
          <w:lang w:val="es-ES"/>
        </w:rPr>
        <w:t>integrada. En cualquier caso, só</w:t>
      </w:r>
      <w:r w:rsidRPr="00993936">
        <w:rPr>
          <w:rFonts w:cs="Arial"/>
          <w:szCs w:val="22"/>
          <w:lang w:val="es-ES"/>
        </w:rPr>
        <w:t>lo podrán utilizarse los siguientes compuestos con actividad en la regulación del desarrollo:</w:t>
      </w:r>
    </w:p>
    <w:p w:rsidR="00412AFB" w:rsidRPr="00993936" w:rsidRDefault="00412AFB" w:rsidP="00412AFB">
      <w:pPr>
        <w:pStyle w:val="Sangradetextonormal"/>
        <w:ind w:left="0"/>
        <w:jc w:val="both"/>
        <w:rPr>
          <w:rFonts w:cs="Arial"/>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El ácido giberélico solo, o en mezcla con MCPA ácido éster tioetílico, para el cuajado de las variedades improductivas, la regulación de la floración y el control de las alteraciones de la piel del fruto, siempre que la aplicación se efectúe en una dosis inferior a 10 mg/l del producto aplicado y treinta días antes de la recolección. </w:t>
      </w:r>
    </w:p>
    <w:p w:rsidR="00412AFB" w:rsidRPr="00993936" w:rsidRDefault="00412AFB" w:rsidP="00412AFB">
      <w:pPr>
        <w:pStyle w:val="Sangradetextonormal"/>
        <w:ind w:left="0"/>
        <w:jc w:val="both"/>
        <w:rPr>
          <w:rFonts w:cs="Arial"/>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Otras auxinas de síntesis, solas, o en el caso del MCPA ácido éster tioetílico mezclado con ácido giberélico, para aumentar el tamaño del fruto, siempre que se efectúe el tratamiento antes de finalizar el mes de junio en variedades extratempranas, antes del 15 de agosto en la variedad Fortune y antes del 15 de julio para el resto de las variedades sin tener frutos maduros en el árbol. </w:t>
      </w:r>
    </w:p>
    <w:p w:rsidR="00412AFB" w:rsidRPr="00993936" w:rsidRDefault="00412AFB" w:rsidP="00412AFB">
      <w:pPr>
        <w:pStyle w:val="Sangradetextonormal"/>
        <w:ind w:left="0"/>
        <w:jc w:val="both"/>
        <w:rPr>
          <w:rFonts w:cs="Arial"/>
          <w:szCs w:val="22"/>
          <w:lang w:val="es-ES"/>
        </w:rPr>
      </w:pPr>
      <w:r w:rsidRPr="00993936" w:rsidDel="00A65ABE">
        <w:rPr>
          <w:rFonts w:cs="Arial"/>
          <w:szCs w:val="22"/>
          <w:lang w:val="es-ES"/>
        </w:rPr>
        <w:t xml:space="preserve"> </w:t>
      </w:r>
      <w:r w:rsidRPr="00993936">
        <w:rPr>
          <w:rFonts w:cs="Arial"/>
          <w:szCs w:val="22"/>
          <w:lang w:val="es-ES"/>
        </w:rPr>
        <w:t xml:space="preserve">7.2 </w:t>
      </w:r>
      <w:r w:rsidRPr="00993936">
        <w:rPr>
          <w:rFonts w:cs="Arial"/>
          <w:i/>
          <w:szCs w:val="22"/>
          <w:lang w:val="es-ES"/>
        </w:rPr>
        <w:t>Prohibiciones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7.2.1 El uso generalizado de fitorreguladores, a excepción de en variedades donde resulte imprescindible el uso y siempre bajo control y autorización del miembro del personal técnico responsable de producción integrada.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7.3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7.3.1 Como norma de carácter general, se implantarán árboles que tiendan, de forma natural, a un equilibrio vegetativo y productivo. En estos debe ser posible, por una parte, una conducción armónica de la plantación que respete la tendencia natural de la planta, y por otra, que permita la consecución de los procesos de cuajado, desarrollo, crecimiento y maduración del fruto, minimizando las intervenciones con fitorreguladores. </w:t>
      </w:r>
    </w:p>
    <w:p w:rsidR="00412AFB" w:rsidRPr="00993936" w:rsidRDefault="00412AFB" w:rsidP="00412AFB">
      <w:pPr>
        <w:jc w:val="both"/>
        <w:rPr>
          <w:rFonts w:ascii="Arial" w:hAnsi="Arial" w:cs="Arial"/>
          <w:lang w:val="es-ES"/>
        </w:rPr>
      </w:pPr>
      <w:r w:rsidRPr="00993936">
        <w:rPr>
          <w:rFonts w:ascii="Arial" w:hAnsi="Arial" w:cs="Arial"/>
          <w:lang w:val="es-ES"/>
        </w:rPr>
        <w:t>Para el logro del equilibrio vegetativo y productivo, se escogerá cuidadosamente el material vegetal más adecuado en relación con las condiciones de cada finca en particular, tomando en consideración los factores edafoclimáticos y las técnicas productivas (poda, riego, abonado) que queremos emplear.</w:t>
      </w:r>
    </w:p>
    <w:p w:rsidR="00412AFB" w:rsidRPr="00993936" w:rsidRDefault="00412AFB" w:rsidP="00412AFB">
      <w:pPr>
        <w:jc w:val="both"/>
        <w:rPr>
          <w:rFonts w:ascii="Arial" w:hAnsi="Arial" w:cs="Arial"/>
          <w:lang w:val="es-ES"/>
        </w:rPr>
      </w:pPr>
      <w:r w:rsidRPr="00993936">
        <w:rPr>
          <w:rFonts w:ascii="Arial" w:hAnsi="Arial" w:cs="Arial"/>
          <w:lang w:val="es-ES"/>
        </w:rPr>
        <w:t>En este aspecto, se evitará, en lo posible, la implantación de plantaciones que por motivos varietales o de condiciones edafoclimáticas de la parcela tengan fuertemente condicionado su cultivo a la utilización de productos fitorreguladores.</w:t>
      </w:r>
    </w:p>
    <w:p w:rsidR="00412AFB" w:rsidRPr="00993936" w:rsidRDefault="00412AFB" w:rsidP="00412AFB">
      <w:pPr>
        <w:jc w:val="both"/>
        <w:rPr>
          <w:rFonts w:ascii="Arial" w:hAnsi="Arial" w:cs="Arial"/>
          <w:lang w:val="es-ES"/>
        </w:rPr>
      </w:pPr>
      <w:r w:rsidRPr="00993936">
        <w:rPr>
          <w:rFonts w:ascii="Arial" w:hAnsi="Arial" w:cs="Arial"/>
          <w:lang w:val="es-ES"/>
        </w:rPr>
        <w:t xml:space="preserve">En las plantaciones establecidas de antemano, y donde ya no sea factible la optimización de algunos de los factores mencionados anteriormente, habrá que basar </w:t>
      </w:r>
      <w:r w:rsidRPr="00993936">
        <w:rPr>
          <w:rFonts w:ascii="Arial" w:hAnsi="Arial" w:cs="Arial"/>
          <w:lang w:val="es-ES"/>
        </w:rPr>
        <w:lastRenderedPageBreak/>
        <w:t>el logro del equilibrio vegetativo y productivo, en lo posible, en operaciones culturales, y, cuando estas no sean suficientes, en la utilización de productos fitorreguladores.</w:t>
      </w:r>
      <w:r w:rsidR="00E03B3B" w:rsidRPr="00993936">
        <w:rPr>
          <w:rFonts w:ascii="Arial" w:hAnsi="Arial" w:cs="Arial"/>
          <w:lang w:val="es-ES"/>
        </w:rPr>
        <w:t xml:space="preserve">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7.3.2 El rayado de ramas puede utilizarse como técnica alternativa para incrementar el cuajado de las variedades con problemas de fructificación.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7.3.3 Utilizar métodos naturales para obtener fruta de calidad.</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7.3.4 Aclareo de frutos defectuosos o retrasados.</w:t>
      </w:r>
    </w:p>
    <w:p w:rsidR="00412AFB" w:rsidRPr="00993936" w:rsidRDefault="00412AFB" w:rsidP="00412AFB">
      <w:pPr>
        <w:pStyle w:val="Sangradetextonormal"/>
        <w:jc w:val="both"/>
        <w:rPr>
          <w:rFonts w:cs="Arial"/>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8</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Riego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8.1 </w:t>
      </w:r>
      <w:r w:rsidRPr="00993936">
        <w:rPr>
          <w:rFonts w:cs="Arial"/>
          <w:i/>
          <w:szCs w:val="22"/>
          <w:lang w:val="es-ES"/>
        </w:rPr>
        <w:t>Obligaciones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8.1.1 Disponer de las características analíticas de la calidad del agua de riego con el objeto de tomar una decisión sobre su utilización. El análisis químico incluirá al menos las determinaciones de nitratos y de conductividad, sin perjuicio de otros elementos que puedan ser de interés. Los análisis se realizarán en laboratorios autorizados.</w:t>
      </w:r>
    </w:p>
    <w:p w:rsidR="00412AFB" w:rsidRPr="00993936" w:rsidRDefault="00412AFB" w:rsidP="00412AFB">
      <w:pPr>
        <w:jc w:val="both"/>
        <w:rPr>
          <w:rFonts w:ascii="Arial" w:hAnsi="Arial" w:cs="Arial"/>
          <w:lang w:val="es-ES"/>
        </w:rPr>
      </w:pPr>
      <w:r w:rsidRPr="00993936">
        <w:rPr>
          <w:rFonts w:ascii="Arial" w:hAnsi="Arial" w:cs="Arial"/>
          <w:lang w:val="es-ES"/>
        </w:rPr>
        <w:t>8.1.2 Analizar el agua de riego cada cinco años en un laboratorio reconocido por la Administración. Si por razón de su origen la composición del agua es muy variable, deberán hacerse análisis con más frecuencia del contenido de nitratos y de la conductividad. En el riego aguas residuales depuradas, que puedan entrar en contacto directo con los órganos vegetales consumibles, analizar la posible presencia de contaminantes microbianos, químicos o bacteriológicos para tomar una decisión sobre su uso.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8.1.3 Tomar las medidas necesarias para evitar las pérdidas de agua, por lo que habrá que mantener en buen estado de conservación los sistemas de distribución del agua.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8.1.4 Las parcelas deberán tener un adecuado drenaje o disponer de la posibilidad de evacuación superficial de las aguas, para evitar el encharcamiento prolongado después de producirse fuertes precipitaciones. Asimismo, evitar los encharcamientos prolongados del terreno para minimizar las pérdidas de nitrógeno por desnitrificación.</w:t>
      </w:r>
    </w:p>
    <w:p w:rsidR="00412AFB" w:rsidRPr="00993936" w:rsidRDefault="00412AFB" w:rsidP="00412AFB">
      <w:pPr>
        <w:pStyle w:val="Textoindependiente"/>
        <w:rPr>
          <w:rFonts w:cs="Arial"/>
          <w:szCs w:val="22"/>
          <w:lang w:val="es-ES"/>
        </w:rPr>
      </w:pPr>
      <w:r w:rsidRPr="00993936">
        <w:rPr>
          <w:rFonts w:cs="Arial"/>
          <w:szCs w:val="22"/>
          <w:lang w:val="es-ES"/>
        </w:rPr>
        <w:t>8.1.5 Establecer los volúmenes máximos de cada riego en función del sistema, la profundidad radicular del cultivo, el estado hídrico y las características físicas del suelo. Para valores de conductividad eléctrica del agua superiores a 2,1 dS/m, se utilizará una fracción de lavado complementaria a las dosis normales del riego.</w:t>
      </w:r>
    </w:p>
    <w:p w:rsidR="00412AFB" w:rsidRPr="00993936" w:rsidRDefault="00412AFB" w:rsidP="00412AFB">
      <w:pPr>
        <w:jc w:val="both"/>
        <w:rPr>
          <w:rFonts w:ascii="Arial" w:hAnsi="Arial" w:cs="Arial"/>
          <w:lang w:val="es-ES"/>
        </w:rPr>
      </w:pPr>
      <w:r w:rsidRPr="00993936">
        <w:rPr>
          <w:rFonts w:ascii="Arial" w:hAnsi="Arial" w:cs="Arial"/>
          <w:lang w:val="es-ES"/>
        </w:rPr>
        <w:t xml:space="preserve">8.1.6 Los riegos se programarán para cada parcela y/o UHC siguiendo métodos técnicamente aceptados. </w:t>
      </w:r>
    </w:p>
    <w:p w:rsidR="00412AFB" w:rsidRPr="00993936" w:rsidRDefault="00412AFB" w:rsidP="00412AFB">
      <w:pPr>
        <w:jc w:val="both"/>
        <w:rPr>
          <w:rFonts w:ascii="Arial" w:hAnsi="Arial" w:cs="Arial"/>
          <w:lang w:val="es-ES"/>
        </w:rPr>
      </w:pPr>
      <w:r w:rsidRPr="00993936">
        <w:rPr>
          <w:rFonts w:ascii="Arial" w:hAnsi="Arial" w:cs="Arial"/>
          <w:lang w:val="es-ES"/>
        </w:rPr>
        <w:t>8.1.7 Al regar, se evitará la aplicación de aguas que conduzcan a una degradación del suelo por salinización y/o sodificación.</w:t>
      </w:r>
    </w:p>
    <w:p w:rsidR="00412AFB" w:rsidRPr="00993936" w:rsidRDefault="00412AFB" w:rsidP="00412AFB">
      <w:pPr>
        <w:pStyle w:val="Textoindependiente"/>
        <w:rPr>
          <w:rFonts w:cs="Arial"/>
          <w:szCs w:val="22"/>
          <w:lang w:val="es-ES"/>
        </w:rPr>
      </w:pPr>
      <w:r w:rsidRPr="00993936">
        <w:rPr>
          <w:rFonts w:cs="Arial"/>
          <w:szCs w:val="22"/>
          <w:lang w:val="es-ES"/>
        </w:rPr>
        <w:t>8.1.8 Para la programación de los riegos, se establecerá un programa que determine los volúmenes de agua a aplicar y los tiempos de riego.</w:t>
      </w:r>
    </w:p>
    <w:p w:rsidR="00412AFB" w:rsidRPr="00993936" w:rsidRDefault="00412AFB" w:rsidP="00412AFB">
      <w:pPr>
        <w:jc w:val="both"/>
        <w:rPr>
          <w:rFonts w:ascii="Arial" w:hAnsi="Arial" w:cs="Arial"/>
          <w:lang w:val="es-ES"/>
        </w:rPr>
      </w:pPr>
      <w:r w:rsidRPr="00993936">
        <w:rPr>
          <w:rFonts w:ascii="Arial" w:hAnsi="Arial" w:cs="Arial"/>
          <w:lang w:val="es-ES"/>
        </w:rPr>
        <w:t>8.1.9 Se diseñará un sistema de riego para cada parcela que garantice de forma permanente la conservación del suelo.</w:t>
      </w:r>
    </w:p>
    <w:p w:rsidR="00412AFB" w:rsidRPr="00993936" w:rsidRDefault="00412AFB" w:rsidP="00412AFB">
      <w:pPr>
        <w:pStyle w:val="Textoindependiente"/>
        <w:rPr>
          <w:rFonts w:cs="Arial"/>
          <w:szCs w:val="22"/>
          <w:lang w:val="es-ES"/>
        </w:rPr>
      </w:pPr>
      <w:r w:rsidRPr="00993936">
        <w:rPr>
          <w:rFonts w:cs="Arial"/>
          <w:szCs w:val="22"/>
          <w:lang w:val="es-ES"/>
        </w:rPr>
        <w:t>8.1.10 Se utilizarán técnicas de riego que garanticen la máxima eficiencia en el uso del agua y la optimización de los recursos hídricos, evitando las pérdidas de agua, por lo que se tendrá en cuenta que:</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Las dosis de riego se ajustarán a las necesidades de los cultivos, a la textura y a las características de drenaje del suelo.</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lastRenderedPageBreak/>
        <w:t>En riego por gravedad o inundación, la longitud de las tablas y su pendiente máxima se establecerán en función del volumen de riego necesario y de las condiciones hidráulicas y de permeabilidad del terreno.</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 xml:space="preserve">En el riego a presión se justificará que el valor del coeficiente de uniformidad (CU) esté comprendido entre los valores establecidos de acuerdo con la separación entre los emisores y la pendiente del terreno. </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 xml:space="preserve">La medida del cálculo del coeficiente de uniformidad se realizará mediante el método de Merrien-Keller (Apéndice I). </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Mantener en buen estado de conservación los sistemas de distribución del agua.</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Registrar el agua de riego aplicada en el cuaderno de explotación. Si no fuera posible, se efectuará una estimación.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8.1.11 El agua para el riego se utilizará con criterios de máxima eficiencia. Deberá utilizarse algún método de programación de riegos que permita ajustar las dosis de riego a las necesidades de los cultivos y a la textura y el drenaje del suelo. El agua de riego se distribuirá uniformemente en las parcelas minimizando las pérdidas que se produzcan por percolación y escorrentía. </w:t>
      </w:r>
    </w:p>
    <w:p w:rsidR="00412AFB" w:rsidRPr="00993936" w:rsidRDefault="00412AFB" w:rsidP="00412AFB">
      <w:pPr>
        <w:jc w:val="both"/>
        <w:rPr>
          <w:rFonts w:ascii="Arial" w:hAnsi="Arial" w:cs="Arial"/>
          <w:lang w:val="es-ES"/>
        </w:rPr>
      </w:pPr>
      <w:r w:rsidRPr="00993936">
        <w:rPr>
          <w:rFonts w:ascii="Arial" w:hAnsi="Arial" w:cs="Arial"/>
          <w:lang w:val="es-ES"/>
        </w:rPr>
        <w:t xml:space="preserve">8.1.12 En los sistemas de riego localizado, alcanzar un coeficiente de uniformidad (CU) superior al 80 %. La comprobación de este coeficiente se llevará a cabo cada tres años, en cada sector de riego, de modo que pueda asegurarse el buen funcionamiento de las instalaciones. </w:t>
      </w:r>
    </w:p>
    <w:p w:rsidR="00412AFB" w:rsidRPr="00993936" w:rsidRDefault="00412AFB" w:rsidP="00412AFB">
      <w:pPr>
        <w:jc w:val="both"/>
        <w:rPr>
          <w:rFonts w:ascii="Arial" w:hAnsi="Arial" w:cs="Arial"/>
          <w:lang w:val="es-ES"/>
        </w:rPr>
      </w:pPr>
      <w:r w:rsidRPr="00993936">
        <w:rPr>
          <w:rFonts w:ascii="Arial" w:hAnsi="Arial" w:cs="Arial"/>
          <w:lang w:val="es-ES"/>
        </w:rPr>
        <w:t>8.1.13 En el caso del riego superficial, debe exigirse una nivelación cuidadosa en el momento de realizar una nueva plantación y, a la vez, una adaptación de la sistematización de la superficie que hay que regar a los módulos de riego que se utilicen y a las condiciones de infiltración. En el riego superficial, es necesario alcanzar la máxima uniformidad de distribución.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8.1.14 Tomar las medidas necesarias para evitar las pérdidas de agua, por lo que habrá que mantener en buen estado de conservación los sistemas de distribución del agua.</w:t>
      </w:r>
    </w:p>
    <w:p w:rsidR="00412AFB" w:rsidRPr="00993936" w:rsidRDefault="006E0CBA" w:rsidP="00412AFB">
      <w:pPr>
        <w:pStyle w:val="Sangradetextonormal"/>
        <w:ind w:left="0"/>
        <w:jc w:val="both"/>
        <w:rPr>
          <w:rFonts w:cs="Arial"/>
          <w:szCs w:val="22"/>
          <w:lang w:val="es-ES"/>
        </w:rPr>
      </w:pPr>
      <w:r w:rsidRPr="00993936">
        <w:rPr>
          <w:rFonts w:cs="Arial"/>
          <w:szCs w:val="22"/>
          <w:lang w:val="es-ES"/>
        </w:rPr>
        <w:t>L</w:t>
      </w:r>
      <w:r w:rsidR="00412AFB" w:rsidRPr="00993936">
        <w:rPr>
          <w:rFonts w:cs="Arial"/>
          <w:szCs w:val="22"/>
          <w:lang w:val="es-ES"/>
        </w:rPr>
        <w:t>as parcelas deberán tener un adecuado drenaje o disponer de la posibilidad de evacuación superficial de las aguas, para evitar el encharcamiento prolongado después de producirse fuertes precipitaciones. Asimismo, evitar los encharcamientos prolongados del terreno para minimizar las pérdidas de nitrógeno por desnitrificación.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8.1.15 Establecer los volúmenes anuales necesarios mediante el cálculo de las necesidades del cultivo, basándose en los datos locales de la evapotranspiración, calculada mediante la información de la estación meteorológica más cercana. En plantaciones adultas, el volumen máximo anual utilizado en el riego no podrá sobrepasar los 8.000 m</w:t>
      </w:r>
      <w:r w:rsidRPr="00993936">
        <w:rPr>
          <w:rFonts w:cs="Arial"/>
          <w:szCs w:val="22"/>
          <w:vertAlign w:val="superscript"/>
          <w:lang w:val="es-ES"/>
        </w:rPr>
        <w:t>3</w:t>
      </w:r>
      <w:r w:rsidRPr="00993936">
        <w:rPr>
          <w:rFonts w:cs="Arial"/>
          <w:szCs w:val="22"/>
          <w:lang w:val="es-ES"/>
        </w:rPr>
        <w:t>/ha en riego por inundación, y los 6.500 m</w:t>
      </w:r>
      <w:r w:rsidRPr="00993936">
        <w:rPr>
          <w:rFonts w:cs="Arial"/>
          <w:szCs w:val="22"/>
          <w:vertAlign w:val="superscript"/>
          <w:lang w:val="es-ES"/>
        </w:rPr>
        <w:t>3</w:t>
      </w:r>
      <w:r w:rsidRPr="00993936">
        <w:rPr>
          <w:rFonts w:cs="Arial"/>
          <w:szCs w:val="22"/>
          <w:lang w:val="es-ES"/>
        </w:rPr>
        <w:t>/ha en el riego localizado.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8.2 </w:t>
      </w:r>
      <w:r w:rsidRPr="00993936">
        <w:rPr>
          <w:rFonts w:cs="Arial"/>
          <w:i/>
          <w:szCs w:val="22"/>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8.2.1 La utilización de aguas residuales sin depuración previa.</w:t>
      </w:r>
    </w:p>
    <w:p w:rsidR="00412AFB" w:rsidRPr="00993936" w:rsidRDefault="00412AFB" w:rsidP="00412AFB">
      <w:pPr>
        <w:jc w:val="both"/>
        <w:rPr>
          <w:rFonts w:ascii="Arial" w:hAnsi="Arial" w:cs="Arial"/>
          <w:lang w:val="es-ES"/>
        </w:rPr>
      </w:pPr>
      <w:r w:rsidRPr="00993936">
        <w:rPr>
          <w:rFonts w:ascii="Arial" w:hAnsi="Arial" w:cs="Arial"/>
          <w:lang w:val="es-ES"/>
        </w:rPr>
        <w:t>8.2.2 Utilizar aguas caracterizadas por parámetros de calidad inadecuados para el cultivo y para el suelo.</w:t>
      </w:r>
    </w:p>
    <w:p w:rsidR="00412AFB" w:rsidRPr="00993936" w:rsidRDefault="00412AFB" w:rsidP="00412AFB">
      <w:pPr>
        <w:jc w:val="both"/>
        <w:rPr>
          <w:rFonts w:ascii="Arial" w:hAnsi="Arial" w:cs="Arial"/>
          <w:lang w:val="es-ES"/>
        </w:rPr>
      </w:pPr>
      <w:r w:rsidRPr="00993936">
        <w:rPr>
          <w:rFonts w:ascii="Arial" w:hAnsi="Arial" w:cs="Arial"/>
          <w:lang w:val="es-ES"/>
        </w:rPr>
        <w:t>8.2.3 El uso de aguas de riego que superen los siguientes parámetros:</w:t>
      </w:r>
    </w:p>
    <w:p w:rsidR="00412AFB" w:rsidRPr="00993936" w:rsidRDefault="00412AFB" w:rsidP="009D1A2D">
      <w:pPr>
        <w:numPr>
          <w:ilvl w:val="0"/>
          <w:numId w:val="41"/>
        </w:numPr>
        <w:spacing w:after="0" w:line="240" w:lineRule="auto"/>
        <w:jc w:val="both"/>
        <w:rPr>
          <w:rFonts w:ascii="Arial" w:hAnsi="Arial" w:cs="Arial"/>
          <w:lang w:val="es-ES"/>
        </w:rPr>
      </w:pPr>
      <w:r w:rsidRPr="00993936">
        <w:rPr>
          <w:rFonts w:ascii="Arial" w:hAnsi="Arial" w:cs="Arial"/>
          <w:lang w:val="es-ES"/>
        </w:rPr>
        <w:t>Conductividad (CEW) ...</w:t>
      </w:r>
      <w:r w:rsidR="00D74508" w:rsidRPr="00993936">
        <w:rPr>
          <w:rFonts w:ascii="Arial" w:hAnsi="Arial" w:cs="Arial"/>
          <w:lang w:val="es-ES"/>
        </w:rPr>
        <w:t>.</w:t>
      </w:r>
      <w:r w:rsidRPr="00993936">
        <w:rPr>
          <w:rFonts w:ascii="Arial" w:hAnsi="Arial" w:cs="Arial"/>
          <w:lang w:val="es-ES"/>
        </w:rPr>
        <w:t>...... 3,0 dS/m</w:t>
      </w:r>
    </w:p>
    <w:p w:rsidR="00412AFB" w:rsidRPr="00993936" w:rsidRDefault="00412AFB" w:rsidP="009D1A2D">
      <w:pPr>
        <w:numPr>
          <w:ilvl w:val="0"/>
          <w:numId w:val="41"/>
        </w:numPr>
        <w:spacing w:after="0" w:line="240" w:lineRule="auto"/>
        <w:jc w:val="both"/>
        <w:rPr>
          <w:rFonts w:ascii="Arial" w:hAnsi="Arial" w:cs="Arial"/>
          <w:lang w:val="es-ES"/>
        </w:rPr>
      </w:pPr>
      <w:r w:rsidRPr="00993936">
        <w:rPr>
          <w:rFonts w:ascii="Arial" w:hAnsi="Arial" w:cs="Arial"/>
          <w:lang w:val="es-ES"/>
        </w:rPr>
        <w:t>RAS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4</w:t>
      </w:r>
    </w:p>
    <w:p w:rsidR="00412AFB" w:rsidRPr="00993936" w:rsidRDefault="00412AFB" w:rsidP="009D1A2D">
      <w:pPr>
        <w:numPr>
          <w:ilvl w:val="0"/>
          <w:numId w:val="41"/>
        </w:numPr>
        <w:spacing w:after="0" w:line="240" w:lineRule="auto"/>
        <w:jc w:val="both"/>
        <w:rPr>
          <w:rFonts w:ascii="Arial" w:hAnsi="Arial" w:cs="Arial"/>
          <w:lang w:val="es-ES"/>
        </w:rPr>
      </w:pPr>
      <w:r w:rsidRPr="00993936">
        <w:rPr>
          <w:rFonts w:ascii="Arial" w:hAnsi="Arial" w:cs="Arial"/>
          <w:lang w:val="es-ES"/>
        </w:rPr>
        <w:lastRenderedPageBreak/>
        <w:t>Boro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2 ppm</w:t>
      </w:r>
    </w:p>
    <w:p w:rsidR="00412AFB" w:rsidRPr="00993936" w:rsidRDefault="00D74508" w:rsidP="009D1A2D">
      <w:pPr>
        <w:numPr>
          <w:ilvl w:val="0"/>
          <w:numId w:val="41"/>
        </w:numPr>
        <w:spacing w:after="0" w:line="240" w:lineRule="auto"/>
        <w:jc w:val="both"/>
        <w:rPr>
          <w:rFonts w:ascii="Arial" w:hAnsi="Arial" w:cs="Arial"/>
          <w:lang w:val="es-ES"/>
        </w:rPr>
      </w:pPr>
      <w:r w:rsidRPr="00993936">
        <w:rPr>
          <w:rFonts w:ascii="Arial" w:hAnsi="Arial" w:cs="Arial"/>
          <w:lang w:val="es-ES"/>
        </w:rPr>
        <w:t>Cloruros…………………</w:t>
      </w:r>
      <w:r w:rsidR="00412AFB" w:rsidRPr="00993936">
        <w:rPr>
          <w:rFonts w:ascii="Arial" w:hAnsi="Arial" w:cs="Arial"/>
          <w:lang w:val="es-ES"/>
        </w:rPr>
        <w:t>......</w:t>
      </w:r>
      <w:r w:rsidR="00E03B3B" w:rsidRPr="00993936">
        <w:rPr>
          <w:rFonts w:ascii="Arial" w:hAnsi="Arial" w:cs="Arial"/>
          <w:lang w:val="es-ES"/>
        </w:rPr>
        <w:t xml:space="preserve"> </w:t>
      </w:r>
      <w:r w:rsidR="00412AFB" w:rsidRPr="00993936">
        <w:rPr>
          <w:rFonts w:ascii="Arial" w:hAnsi="Arial" w:cs="Arial"/>
          <w:lang w:val="es-ES"/>
        </w:rPr>
        <w:t>10 mEq/l</w:t>
      </w:r>
    </w:p>
    <w:p w:rsidR="00412AFB" w:rsidRPr="00993936" w:rsidRDefault="00412AFB" w:rsidP="009D1A2D">
      <w:pPr>
        <w:numPr>
          <w:ilvl w:val="0"/>
          <w:numId w:val="41"/>
        </w:numPr>
        <w:spacing w:after="0" w:line="240" w:lineRule="auto"/>
        <w:jc w:val="both"/>
        <w:rPr>
          <w:rFonts w:ascii="Arial" w:hAnsi="Arial" w:cs="Arial"/>
          <w:lang w:val="es-ES"/>
        </w:rPr>
      </w:pPr>
      <w:r w:rsidRPr="00993936">
        <w:rPr>
          <w:rFonts w:ascii="Arial" w:hAnsi="Arial" w:cs="Arial"/>
          <w:lang w:val="es-ES"/>
        </w:rPr>
        <w:t>Sodio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9 mEq/l</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8.3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8.3.1 Para utilizar el agua para el riego con criterios de máxima eficiencia, se recomienda en los sistemas de riego a presión la instalación de un caudalímetro o algún otro sistema de medición de consumo de agua, como instalar contadores en los conductos a presión o bien contar las horas de riego superficial, que permitan llevar un control preciso de las dosis de agua y de los momentos de aplicación.</w:t>
      </w:r>
    </w:p>
    <w:p w:rsidR="00412AFB" w:rsidRPr="00993936" w:rsidRDefault="00412AFB" w:rsidP="00412AFB">
      <w:pPr>
        <w:jc w:val="both"/>
        <w:rPr>
          <w:rFonts w:ascii="Arial" w:hAnsi="Arial" w:cs="Arial"/>
          <w:lang w:val="es-ES"/>
        </w:rPr>
      </w:pPr>
      <w:r w:rsidRPr="00993936">
        <w:rPr>
          <w:rFonts w:ascii="Arial" w:hAnsi="Arial" w:cs="Arial"/>
          <w:lang w:val="es-ES"/>
        </w:rPr>
        <w:t>8.3.2 Que el material utilizado en las instalaciones nuevas de microirrigación corresponda a los modelos de emisores, tubos emisores y difusores certificados por el programa de control de características de material de microirrigación del Departamento de Agricultura, Ganadería y Pesca (Orden de 2 de mayo de 1995, DOGC núm. 2050, de 15.5.1995) o por otros programas oficiales.</w:t>
      </w:r>
    </w:p>
    <w:p w:rsidR="00412AFB" w:rsidRPr="00993936" w:rsidRDefault="00412AFB" w:rsidP="00412AFB">
      <w:pPr>
        <w:jc w:val="both"/>
        <w:rPr>
          <w:rFonts w:ascii="Arial" w:hAnsi="Arial" w:cs="Arial"/>
          <w:lang w:val="es-ES"/>
        </w:rPr>
      </w:pPr>
      <w:r w:rsidRPr="00993936">
        <w:rPr>
          <w:rFonts w:ascii="Arial" w:hAnsi="Arial" w:cs="Arial"/>
          <w:lang w:val="es-ES"/>
        </w:rPr>
        <w:t>8.3.3 Establecer un plan de gestión del agua que permita optimizar su uso y reducir las pérdidas.</w:t>
      </w: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8.3.4 Evitar el riego por gravedad en suelos de textura arenosa.</w:t>
      </w:r>
    </w:p>
    <w:p w:rsidR="00412AFB" w:rsidRPr="00993936" w:rsidRDefault="00412AFB" w:rsidP="00412AFB">
      <w:pPr>
        <w:jc w:val="both"/>
        <w:rPr>
          <w:rFonts w:ascii="Arial" w:hAnsi="Arial" w:cs="Arial"/>
          <w:lang w:val="es-ES"/>
        </w:rPr>
      </w:pPr>
      <w:r w:rsidRPr="00993936">
        <w:rPr>
          <w:rFonts w:ascii="Arial" w:hAnsi="Arial" w:cs="Arial"/>
          <w:lang w:val="es-ES"/>
        </w:rPr>
        <w:t>8.3.5 Utilizar el riego por goteo, cuando sea posible.</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8.3.6 Utilizar métodos de balance hídrico para evaluar el estado del agua del suelo, a partir del cálculo diario de la evapotranspiración; asimismo, instalar tensiómetros para controlar la humedad del suelo a profundidad radicular y sondas de succión para controlar la conductividad de la solución del suelo.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Niveles de parámetros del agua de riego:</w:t>
      </w:r>
    </w:p>
    <w:p w:rsidR="00412AFB" w:rsidRPr="00993936" w:rsidRDefault="00412AFB" w:rsidP="009D1A2D">
      <w:pPr>
        <w:pStyle w:val="Sangradetextonormal"/>
        <w:numPr>
          <w:ilvl w:val="0"/>
          <w:numId w:val="42"/>
        </w:numPr>
        <w:jc w:val="both"/>
        <w:rPr>
          <w:rFonts w:cs="Arial"/>
          <w:szCs w:val="22"/>
          <w:lang w:val="es-ES"/>
        </w:rPr>
      </w:pPr>
      <w:r w:rsidRPr="00993936">
        <w:rPr>
          <w:rFonts w:cs="Arial"/>
          <w:szCs w:val="22"/>
          <w:lang w:val="es-ES"/>
        </w:rPr>
        <w:t>CEA &lt; 3 dS/m;</w:t>
      </w:r>
      <w:r w:rsidR="00E03B3B" w:rsidRPr="00993936">
        <w:rPr>
          <w:rFonts w:cs="Arial"/>
          <w:szCs w:val="22"/>
          <w:lang w:val="es-ES"/>
        </w:rPr>
        <w:t xml:space="preserve"> </w:t>
      </w:r>
      <w:r w:rsidRPr="00993936">
        <w:rPr>
          <w:rFonts w:cs="Arial"/>
          <w:szCs w:val="22"/>
          <w:lang w:val="es-ES"/>
        </w:rPr>
        <w:t>RAS &lt; 9; boro &lt; 0,75 ppm; bicarbonato &lt; 2,5 mEq/l; cloruros &lt;10 mEq/l.</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8.3.7 Para la programación de los riegos localizados, consultar la tabla 3.1 «Número de emisores por árbol en riego por goteo». Tabla 3.2 «Frecuencia de riego recomendado en sistemas localizados» y la tabla 3.3 «Cálculo de las necesidades de agua en el riego localizado» del punto 3. Riego, del Apéndice I: Tablas.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8.3.8 En las zonas de cultivo donde se sospeche riesgo de excesiva concentración de boro en el agua de riego disponible, se recomienda incluir la determinación analítica en el análisis físico-químico de esta.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8.3.9 El nivel de agotamiento permisible (NAP) del agua disponible se fija en 0,35 para el naranjo y mandarino, y en 0,25 para limonero.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8.3.10 En el riego por inundación, no utilizar tablas con una longitud superior a los </w:t>
      </w:r>
      <w:smartTag w:uri="urn:schemas-microsoft-com:office:smarttags" w:element="metricconverter">
        <w:smartTagPr>
          <w:attr w:name="ProductID" w:val="120 m"/>
        </w:smartTagPr>
        <w:r w:rsidRPr="00993936">
          <w:rPr>
            <w:rFonts w:cs="Arial"/>
            <w:szCs w:val="22"/>
            <w:lang w:val="es-ES"/>
          </w:rPr>
          <w:t>120 m</w:t>
        </w:r>
      </w:smartTag>
      <w:r w:rsidRPr="00993936">
        <w:rPr>
          <w:rFonts w:cs="Arial"/>
          <w:szCs w:val="22"/>
          <w:lang w:val="es-ES"/>
        </w:rPr>
        <w:t xml:space="preserve"> en suelos arcillosos y a los</w:t>
      </w:r>
      <w:r w:rsidR="00C03DD4" w:rsidRPr="00993936">
        <w:rPr>
          <w:rFonts w:cs="Arial"/>
          <w:szCs w:val="22"/>
          <w:lang w:val="es-ES"/>
        </w:rPr>
        <w:t xml:space="preserve"> </w:t>
      </w:r>
      <w:smartTag w:uri="urn:schemas-microsoft-com:office:smarttags" w:element="metricconverter">
        <w:smartTagPr>
          <w:attr w:name="ProductID" w:val="75 m"/>
        </w:smartTagPr>
        <w:r w:rsidRPr="00993936">
          <w:rPr>
            <w:rFonts w:cs="Arial"/>
            <w:szCs w:val="22"/>
            <w:lang w:val="es-ES"/>
          </w:rPr>
          <w:t>75 m</w:t>
        </w:r>
      </w:smartTag>
      <w:r w:rsidRPr="00993936">
        <w:rPr>
          <w:rFonts w:cs="Arial"/>
          <w:szCs w:val="22"/>
          <w:lang w:val="es-ES"/>
        </w:rPr>
        <w:t xml:space="preserve"> en suelos arenosos. En los terrenos de naturaleza arcillosa, es necesario que la pendiente del terreno, en el sentido del riego, se aproxime al 0,5 ‰, mientras que en las areniscas puede llegar al 2 ‰. No se aconseja utilizar módulos de riego superiores a 40 l/s.</w:t>
      </w:r>
    </w:p>
    <w:p w:rsidR="00412AFB" w:rsidRPr="00993936" w:rsidRDefault="00412AFB" w:rsidP="00412AFB">
      <w:pPr>
        <w:pStyle w:val="Sangradetextonormal"/>
        <w:ind w:left="0"/>
        <w:jc w:val="both"/>
        <w:rPr>
          <w:rFonts w:cs="Arial"/>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9</w:t>
      </w:r>
    </w:p>
    <w:p w:rsidR="00412AFB" w:rsidRPr="00993936" w:rsidRDefault="00412AFB" w:rsidP="00412AFB">
      <w:pPr>
        <w:pStyle w:val="Sangradetextonormal"/>
        <w:ind w:left="0"/>
        <w:jc w:val="both"/>
        <w:rPr>
          <w:rFonts w:cs="Arial"/>
          <w:b/>
          <w:szCs w:val="22"/>
          <w:lang w:val="es-ES"/>
        </w:rPr>
      </w:pPr>
      <w:r w:rsidRPr="00993936">
        <w:rPr>
          <w:rFonts w:cs="Arial"/>
          <w:b/>
          <w:szCs w:val="22"/>
          <w:lang w:val="es-ES"/>
        </w:rPr>
        <w:t xml:space="preserve">Control integrado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9.1 </w:t>
      </w:r>
      <w:r w:rsidRPr="00993936">
        <w:rPr>
          <w:rFonts w:cs="Arial"/>
          <w:i/>
          <w:szCs w:val="22"/>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9.1.1 Para controlar plagas y enfermedades deben priorizarse, siempre que sea posible, los métodos biológicos, biotecnológicos, culturales, físicos y genéticos frente a los métodos químicos. </w:t>
      </w:r>
    </w:p>
    <w:p w:rsidR="00412AFB" w:rsidRPr="00993936" w:rsidRDefault="00412AFB" w:rsidP="00412AFB">
      <w:pPr>
        <w:pStyle w:val="Textoindependiente"/>
        <w:rPr>
          <w:rFonts w:cs="Arial"/>
          <w:szCs w:val="22"/>
          <w:lang w:val="es-ES"/>
        </w:rPr>
      </w:pPr>
      <w:r w:rsidRPr="00993936">
        <w:rPr>
          <w:rFonts w:cs="Arial"/>
          <w:szCs w:val="22"/>
          <w:lang w:val="es-ES"/>
        </w:rPr>
        <w:lastRenderedPageBreak/>
        <w:t>9.1.2 La estimación del riesgo en cada parcela y/o UHC se hará mediante evaluaciones de los niveles de población calculados mediante sistemas de muestreo, estado de desarrollo de las plagas, enfermedades y fauna útil, fenología del cultivo y condiciones climáticas. La aplicación de medidas directas de control de plagas y enfermedades solo se efectuará cuando los niveles de población o las condiciones ambientales superen los correspondientes umbrales y/o criterios mínimos de intervención que figuran en el Apéndice II de esta norma, y, en caso de enfermedades, cuando la estimación del riesgo así lo indique.</w:t>
      </w:r>
    </w:p>
    <w:p w:rsidR="00412AFB" w:rsidRPr="00993936" w:rsidRDefault="00412AFB" w:rsidP="00412AFB">
      <w:pPr>
        <w:jc w:val="both"/>
        <w:rPr>
          <w:rFonts w:ascii="Arial" w:hAnsi="Arial" w:cs="Arial"/>
          <w:lang w:val="es-ES"/>
        </w:rPr>
      </w:pPr>
      <w:r w:rsidRPr="00993936">
        <w:rPr>
          <w:rFonts w:ascii="Arial" w:hAnsi="Arial" w:cs="Arial"/>
          <w:lang w:val="es-ES"/>
        </w:rPr>
        <w:t>En el caso de agrupaciones de productores, el número de trampas que hay que colocar será determinado por el personal técnico responsable de producción integrada en función del número y la distribución de las plantaciones, de manera que se garantice un sistema de control fiable y representativo de la zona que se quiera controlar. En este caso, cada agrupación de productores deberá disponer de un plano de situación de las trampas, con indicación de sus modelos y el tipo de parásitos que hay que controlar y también de la relación de fincas —hectáreas y nombres de los productores incluidos— junto con la descripción del plan de control.</w:t>
      </w:r>
    </w:p>
    <w:p w:rsidR="00412AFB" w:rsidRPr="00993936" w:rsidRDefault="00412AFB" w:rsidP="00412AFB">
      <w:pPr>
        <w:jc w:val="both"/>
        <w:rPr>
          <w:rFonts w:ascii="Arial" w:hAnsi="Arial" w:cs="Arial"/>
          <w:lang w:val="es-ES"/>
        </w:rPr>
      </w:pPr>
      <w:r w:rsidRPr="00993936">
        <w:rPr>
          <w:rFonts w:ascii="Arial" w:hAnsi="Arial" w:cs="Arial"/>
          <w:lang w:val="es-ES"/>
        </w:rPr>
        <w:t xml:space="preserve">Los criterios que se utilicen para la justificación de los posibles tratamientos fitosanitarios deberán estar previstos en el Programa de control integrado de plagas y enfermedades (CIP) previstos en esta norma. </w:t>
      </w:r>
    </w:p>
    <w:p w:rsidR="00412AFB" w:rsidRPr="00993936" w:rsidRDefault="00412AFB" w:rsidP="00412AFB">
      <w:pPr>
        <w:jc w:val="both"/>
        <w:rPr>
          <w:rFonts w:ascii="Arial" w:hAnsi="Arial" w:cs="Arial"/>
          <w:lang w:val="es-ES"/>
        </w:rPr>
      </w:pPr>
      <w:r w:rsidRPr="00993936">
        <w:rPr>
          <w:rFonts w:ascii="Arial" w:hAnsi="Arial" w:cs="Arial"/>
          <w:lang w:val="es-ES"/>
        </w:rPr>
        <w:t>9.1.3 En caso de que sea necesaria una intervención con productos fitosanitarios, las sustancias activas que hay que utilizar serán seleccionadas de acuerdo con los criterios de menor peligrosidad para los humanos, la fauna y el medio ambiente; la efectividad en el control de la plaga o la enfermedad; la selectividad (debe evitarse la toxicidad para los polinizadores y los enemigos naturales); los residuos y el riesgo de aparición de poblaciones resistentes. En cualquier caso, solo podrán utilizarse productos fitosanitarios inscritos en el Registro oficial de productos y de material fitosanitario de España y aprobados expresamente para los cultivos y los usos autorizados, y de acuerdo con las instrucciones y/o restricciones que figuran en el Anexo de esta norma.</w:t>
      </w:r>
    </w:p>
    <w:p w:rsidR="00412AFB" w:rsidRPr="00993936" w:rsidRDefault="00412AFB" w:rsidP="00412AFB">
      <w:pPr>
        <w:jc w:val="both"/>
        <w:rPr>
          <w:rFonts w:ascii="Arial" w:hAnsi="Arial" w:cs="Arial"/>
          <w:lang w:val="es-ES"/>
        </w:rPr>
      </w:pPr>
    </w:p>
    <w:p w:rsidR="00412AFB" w:rsidRPr="00993936" w:rsidRDefault="00412AFB" w:rsidP="009D1A2D">
      <w:pPr>
        <w:numPr>
          <w:ilvl w:val="0"/>
          <w:numId w:val="35"/>
        </w:numPr>
        <w:tabs>
          <w:tab w:val="num" w:pos="720"/>
        </w:tabs>
        <w:spacing w:after="0" w:line="240" w:lineRule="auto"/>
        <w:jc w:val="both"/>
        <w:rPr>
          <w:rFonts w:ascii="Arial" w:hAnsi="Arial" w:cs="Arial"/>
          <w:lang w:val="es-ES"/>
        </w:rPr>
      </w:pPr>
      <w:r w:rsidRPr="00993936">
        <w:rPr>
          <w:rFonts w:ascii="Arial" w:hAnsi="Arial" w:cs="Arial"/>
          <w:lang w:val="es-ES"/>
        </w:rPr>
        <w:t>Los formulados de sustancias activas que contengan alguna sustancia no dirigida contra una determinada plaga y/o enfermedad no podrán utilizarse, excepto en aquellas ocasiones en las que se justifique el tratamiento simultáneo contra varios organismos nocivos.</w:t>
      </w:r>
    </w:p>
    <w:p w:rsidR="00412AFB" w:rsidRPr="00993936" w:rsidRDefault="00412AFB" w:rsidP="009D1A2D">
      <w:pPr>
        <w:numPr>
          <w:ilvl w:val="0"/>
          <w:numId w:val="35"/>
        </w:numPr>
        <w:tabs>
          <w:tab w:val="num" w:pos="720"/>
        </w:tabs>
        <w:spacing w:after="0" w:line="240" w:lineRule="auto"/>
        <w:jc w:val="both"/>
        <w:rPr>
          <w:rFonts w:ascii="Arial" w:hAnsi="Arial" w:cs="Arial"/>
          <w:lang w:val="es-ES"/>
        </w:rPr>
      </w:pPr>
      <w:r w:rsidRPr="00993936">
        <w:rPr>
          <w:rFonts w:ascii="Arial" w:hAnsi="Arial" w:cs="Arial"/>
          <w:lang w:val="es-ES"/>
        </w:rPr>
        <w:t>La utilización de productos fitosanitarios se realizará respetando siempre las indicaciones reflejadas en las correspondientes etiquetas, con independencia de que, en su uso en producción integrada, puedan establecerse restricciones mayores.</w:t>
      </w:r>
    </w:p>
    <w:p w:rsidR="00412AFB" w:rsidRPr="00993936" w:rsidRDefault="00412AFB" w:rsidP="00412AFB">
      <w:pPr>
        <w:tabs>
          <w:tab w:val="num" w:pos="720"/>
        </w:tabs>
        <w:jc w:val="both"/>
        <w:rPr>
          <w:rFonts w:ascii="Arial" w:hAnsi="Arial" w:cs="Arial"/>
          <w:lang w:val="es-ES"/>
        </w:rPr>
      </w:pPr>
      <w:r w:rsidRPr="00993936">
        <w:rPr>
          <w:rFonts w:ascii="Arial" w:hAnsi="Arial" w:cs="Arial"/>
          <w:lang w:val="es-ES"/>
        </w:rPr>
        <w:t>En caso de emplear para el control de plagas y enfermedades formulados comerciales a base de mezclas de sustancias activas, dada la gran cantidad existente, se consideran admitidas en producción integrada de cereales de verano, aunque no estén expresamente definidas el Anexo de esta norma, todas las mezclas de formulados que incorporen dos o más sustancias activas incluidas en el mencionado anexo, siempre que la mezcla comercial esté autorizada en el Registro oficial de productos y material fitosanitario para el cultivo y para los usos oficialmente autorizados.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9.1.4 Para evitar riesgos a los operarios, los consumidores y el medio ambiente, el uso y la aplicación de productos fitosanitarios se llevará a cabo respetando siempre las indicaciones reflejadas en las etiquetas correspondientes de los productos y siguiendo las recomendaciones y/o instrucciones dictadas por el responsable técnico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9.1.5 Se deberán registrar en el cuaderno de explotación todas las aplicaciones de productos químicos, indicando como mínimo la fecha, el producto, el principio activo, la cantidad y el volumen utilizado; estas aplicaciones deberán ser revisadas a posteriori por el miembro del personal técnico responsable de producción integrada, cuya conformidad figurará en dicho cuaderno.</w:t>
      </w:r>
    </w:p>
    <w:p w:rsidR="00412AFB" w:rsidRPr="00993936" w:rsidRDefault="00412AFB" w:rsidP="00412AFB">
      <w:pPr>
        <w:pStyle w:val="Textoindependiente"/>
        <w:rPr>
          <w:rFonts w:cs="Arial"/>
          <w:szCs w:val="22"/>
          <w:lang w:val="es-ES"/>
        </w:rPr>
      </w:pPr>
      <w:r w:rsidRPr="00993936">
        <w:rPr>
          <w:rFonts w:cs="Arial"/>
          <w:szCs w:val="22"/>
          <w:lang w:val="es-ES"/>
        </w:rPr>
        <w:t>9.1.6 La presencia de residuos debe minimizarse mediante la máxima ampliación posible de los plazos de seguridad.</w:t>
      </w:r>
    </w:p>
    <w:p w:rsidR="00412AFB" w:rsidRPr="00993936" w:rsidRDefault="00412AFB" w:rsidP="000E5335">
      <w:pPr>
        <w:pStyle w:val="Sinespaciado"/>
        <w:jc w:val="both"/>
        <w:rPr>
          <w:rFonts w:ascii="Arial" w:hAnsi="Arial" w:cs="Arial"/>
          <w:lang w:val="es-ES"/>
        </w:rPr>
      </w:pPr>
      <w:r w:rsidRPr="00993936">
        <w:rPr>
          <w:rFonts w:ascii="Arial" w:hAnsi="Arial" w:cs="Arial"/>
          <w:lang w:val="es-ES"/>
        </w:rPr>
        <w:t>9.1.17 El aplicador de productos fitosanitarios deberá estar cualificado específicamente, por lo que habrá de justificar que dispone de la acreditación del carné básico de aplicador de productos fitosanitarios o el carné cualificado, en caso de que le sea obligatorio de acuerdo con lo establecido en el Real Decreto 1311/2012.</w:t>
      </w:r>
    </w:p>
    <w:p w:rsidR="00412AFB" w:rsidRPr="00993936" w:rsidRDefault="00412AFB" w:rsidP="000E5335">
      <w:pPr>
        <w:pStyle w:val="Sinespaciado"/>
        <w:jc w:val="both"/>
        <w:rPr>
          <w:rFonts w:ascii="Arial" w:hAnsi="Arial" w:cs="Arial"/>
          <w:lang w:val="es-ES"/>
        </w:rPr>
      </w:pPr>
      <w:r w:rsidRPr="00993936">
        <w:rPr>
          <w:rFonts w:ascii="Arial" w:hAnsi="Arial" w:cs="Arial"/>
          <w:lang w:val="es-ES"/>
        </w:rPr>
        <w:t>9</w:t>
      </w:r>
      <w:r w:rsidR="00C03DD4" w:rsidRPr="00993936">
        <w:rPr>
          <w:rFonts w:ascii="Arial" w:hAnsi="Arial" w:cs="Arial"/>
          <w:lang w:val="es-ES"/>
        </w:rPr>
        <w:t>.1</w:t>
      </w:r>
      <w:r w:rsidRPr="00993936">
        <w:rPr>
          <w:rFonts w:ascii="Arial" w:hAnsi="Arial" w:cs="Arial"/>
          <w:lang w:val="es-ES"/>
        </w:rPr>
        <w:t>.8 En caso de tratamientos fitosanitarios y con el objeto de obtener la máxima eficacia con la menor dosis posible, deben ajustarse las concentraciones de los productos, los volúmenes máximos de caldo y el caudal de aire, para evitar las sobredosificaciones y procurar que las aplicaciones no lleguen a una parcela y/o UHC diferente de la que pretende tratarse; asimismo, ha de tenerse en cuenta el estado fenológico del cultivo.</w:t>
      </w:r>
      <w:r w:rsidR="00E03B3B" w:rsidRPr="00993936">
        <w:rPr>
          <w:rFonts w:ascii="Arial" w:hAnsi="Arial" w:cs="Arial"/>
          <w:lang w:val="es-ES"/>
        </w:rPr>
        <w:t xml:space="preserve"> </w:t>
      </w:r>
    </w:p>
    <w:p w:rsidR="00412AFB" w:rsidRPr="00993936" w:rsidRDefault="00412AFB" w:rsidP="000E5335">
      <w:pPr>
        <w:pStyle w:val="Sinespaciado"/>
        <w:jc w:val="both"/>
        <w:rPr>
          <w:rFonts w:ascii="Arial" w:hAnsi="Arial" w:cs="Arial"/>
          <w:lang w:val="es-ES"/>
        </w:rPr>
      </w:pPr>
      <w:r w:rsidRPr="00993936">
        <w:rPr>
          <w:rFonts w:ascii="Arial" w:hAnsi="Arial" w:cs="Arial"/>
          <w:lang w:val="es-ES"/>
        </w:rPr>
        <w:t>9.1.9 Reducir el área tratada a focos o rodales con tratamientos químicos siempre que</w:t>
      </w:r>
      <w:r w:rsidRPr="00993936">
        <w:rPr>
          <w:lang w:val="es-ES"/>
        </w:rPr>
        <w:t xml:space="preserve"> </w:t>
      </w:r>
      <w:r w:rsidRPr="00993936">
        <w:rPr>
          <w:rFonts w:ascii="Arial" w:hAnsi="Arial" w:cs="Arial"/>
          <w:lang w:val="es-ES"/>
        </w:rPr>
        <w:t>la plaga o enfermedad se encuentre bastante localizada y sea posible.</w:t>
      </w:r>
    </w:p>
    <w:p w:rsidR="00412AFB" w:rsidRPr="00993936" w:rsidRDefault="00412AFB" w:rsidP="00412AFB">
      <w:pPr>
        <w:pStyle w:val="Sangradetextonormal"/>
        <w:tabs>
          <w:tab w:val="num" w:pos="1068"/>
        </w:tabs>
        <w:ind w:left="0"/>
        <w:jc w:val="both"/>
        <w:rPr>
          <w:rFonts w:cs="Arial"/>
          <w:szCs w:val="22"/>
          <w:lang w:val="es-ES"/>
        </w:rPr>
      </w:pPr>
      <w:r w:rsidRPr="00993936">
        <w:rPr>
          <w:rFonts w:cs="Arial"/>
          <w:szCs w:val="22"/>
          <w:lang w:val="es-ES"/>
        </w:rPr>
        <w:t>9.1.10 Hacer la estimación del riesgo en cada parcela y/o UHC mediante evaluaciones de los niveles poblacionales calculados a través de sistemas de muestreos, estado de desarrollo de las plagas y fauna útil, fenología del cultivo y condiciones climáticas. Esta estimación viene detallada para cada caso en el Apéndice II:</w:t>
      </w:r>
      <w:r w:rsidR="00E03B3B" w:rsidRPr="00993936">
        <w:rPr>
          <w:rFonts w:cs="Arial"/>
          <w:szCs w:val="22"/>
          <w:lang w:val="es-ES"/>
        </w:rPr>
        <w:t xml:space="preserve"> </w:t>
      </w:r>
      <w:r w:rsidRPr="00993936">
        <w:rPr>
          <w:rFonts w:cs="Arial"/>
          <w:szCs w:val="22"/>
          <w:lang w:val="es-ES"/>
        </w:rPr>
        <w:t xml:space="preserve">Plagas y enfermedades. </w:t>
      </w:r>
    </w:p>
    <w:p w:rsidR="00412AFB" w:rsidRPr="00993936" w:rsidRDefault="00412AFB" w:rsidP="00412AFB">
      <w:pPr>
        <w:pStyle w:val="Sangradetextonormal"/>
        <w:tabs>
          <w:tab w:val="num" w:pos="1068"/>
        </w:tabs>
        <w:ind w:left="0"/>
        <w:jc w:val="both"/>
        <w:rPr>
          <w:rFonts w:cs="Arial"/>
          <w:szCs w:val="22"/>
          <w:lang w:val="es-ES"/>
        </w:rPr>
      </w:pPr>
      <w:r w:rsidRPr="00993936">
        <w:rPr>
          <w:rFonts w:cs="Arial"/>
          <w:szCs w:val="22"/>
          <w:lang w:val="es-ES"/>
        </w:rPr>
        <w:t>9.1.11 Aplicar únicamente medidas directas de control de plagas cuando los niveles poblacionales o las condiciones ambientales superen los límites y/o criterios mínimos de intervención y, en caso de enfermedades, cuando la estimación del riesgo lo indique (véase Apéndice II: Plagas y enfermedades).</w:t>
      </w:r>
    </w:p>
    <w:p w:rsidR="00412AFB" w:rsidRPr="00993936" w:rsidRDefault="00412AFB" w:rsidP="00412AFB">
      <w:pPr>
        <w:jc w:val="both"/>
        <w:rPr>
          <w:rFonts w:ascii="Arial" w:hAnsi="Arial" w:cs="Arial"/>
          <w:lang w:val="es-ES"/>
        </w:rPr>
      </w:pPr>
      <w:r w:rsidRPr="00993936">
        <w:rPr>
          <w:rFonts w:ascii="Arial" w:hAnsi="Arial" w:cs="Arial"/>
          <w:lang w:val="es-ES"/>
        </w:rPr>
        <w:t>9.1.12 Controlar las malas hierbas, siempre que sea posible, con medios mecánicos, biológicos, biofísicos o aquellos que ofrecen el menor riesgo de emisiones de CO</w:t>
      </w:r>
      <w:r w:rsidRPr="00993936">
        <w:rPr>
          <w:rFonts w:ascii="Arial" w:hAnsi="Arial" w:cs="Arial"/>
          <w:vertAlign w:val="subscript"/>
          <w:lang w:val="es-ES"/>
        </w:rPr>
        <w:t>2</w:t>
      </w:r>
      <w:r w:rsidRPr="00993936">
        <w:rPr>
          <w:rFonts w:ascii="Arial" w:hAnsi="Arial" w:cs="Arial"/>
          <w:lang w:val="es-ES"/>
        </w:rPr>
        <w:t>. De ser necesaria la aplicación de herbicidas, esta se llevará a cabo mediante las técnicas recomendadas en la etiqueta del producto. Utilizar sustancias activas autorizadas en el Anexo 1, seleccionadas con los mismos criterios citados para los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Excepcionalmente, cuando en el cultivo se detecten malas hierbas no habituales o cuyo umbral y/o criterio mínimo de intervención no se haya definido, podrá actuarse en contra con cualquier otro herbicida que esté expresamente autorizado en el Registro</w:t>
      </w:r>
      <w:r w:rsidR="008B63CC" w:rsidRPr="00993936">
        <w:rPr>
          <w:rFonts w:ascii="Arial" w:hAnsi="Arial" w:cs="Arial"/>
          <w:lang w:val="es-ES"/>
        </w:rPr>
        <w:t xml:space="preserve"> </w:t>
      </w:r>
      <w:r w:rsidRPr="00993936">
        <w:rPr>
          <w:rFonts w:ascii="Arial" w:hAnsi="Arial" w:cs="Arial"/>
          <w:lang w:val="es-ES"/>
        </w:rPr>
        <w:t>oficial de productos y material fitosanitario del Ministerio de Agricultura y Pesca, Alimentación y Medio Ambiente (MAPAMA) para este cultivo y para los usos oficialmente autorizados. Esta excepción también será de aplicación para aquellos herbicidas que aparezcan en dicho registro, para combatir determinadas malas hierbas que no estén contempladas por su novedad en el anexo de herbicidas de esta norma.</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9.1.13 Mantener una cubierta vegetal del suelo, preferentemente a base de flora espontánea o bien sembrada, para mejorar su fertilidad, reducir las pérdidas de nutrientes y disminuir el riesgo de erosión. El manejo de esta cubierta se hará preferentemente mediante la siega.</w:t>
      </w:r>
    </w:p>
    <w:p w:rsidR="00412AFB" w:rsidRPr="00993936" w:rsidRDefault="00412AFB" w:rsidP="00412AFB">
      <w:pPr>
        <w:jc w:val="both"/>
        <w:rPr>
          <w:rFonts w:ascii="Arial" w:hAnsi="Arial" w:cs="Arial"/>
          <w:lang w:val="es-ES"/>
        </w:rPr>
      </w:pPr>
      <w:r w:rsidRPr="00993936">
        <w:rPr>
          <w:rFonts w:ascii="Arial" w:hAnsi="Arial" w:cs="Arial"/>
          <w:lang w:val="es-ES"/>
        </w:rPr>
        <w:t>9.1.14 En el supuesto de que se utilicen herbicidas, su aplicación se limitará a la línea de plantación y afectará, como máximo, al 30 % del total de la superficie comprendida entre las filas de árboles. El tratamiento herbicida se hará, preferentemente, en el momento en que la mala hierba sea más sensible con el objeto de utilizar las dosis mínimas eficaces.</w:t>
      </w:r>
    </w:p>
    <w:p w:rsidR="00412AFB" w:rsidRPr="00993936" w:rsidRDefault="00412AFB" w:rsidP="00412AFB">
      <w:pPr>
        <w:pStyle w:val="Textoindependiente"/>
        <w:rPr>
          <w:rFonts w:cs="Arial"/>
          <w:szCs w:val="22"/>
          <w:lang w:val="es-ES"/>
        </w:rPr>
      </w:pPr>
      <w:r w:rsidRPr="00993936">
        <w:rPr>
          <w:rFonts w:cs="Arial"/>
          <w:szCs w:val="22"/>
          <w:lang w:val="es-ES"/>
        </w:rPr>
        <w:t>9.1.15 Las materias activas que se utilizarán serán seleccionadas de acuerdo con los criterios de menor peligrosidad para los humanos, la fauna silvestre y el medio ambiente, y por proporcionar un control efectivo de las malas hierbas. En cualquier caso, solo podrán utilizarse los herbicidas inscritos en el Registro oficial de productos y de material fitosanitario del Ministerio de Agricultura, Pesca, Alimentación y Medio Ambiente (MAPAMA) y aprobados expresamente para los cultivos autorizados que figuran en el Anexo.</w:t>
      </w:r>
    </w:p>
    <w:p w:rsidR="00412AFB" w:rsidRPr="00993936" w:rsidRDefault="006E0CBA" w:rsidP="00412AFB">
      <w:pPr>
        <w:pStyle w:val="Textoindependiente"/>
        <w:rPr>
          <w:rFonts w:cs="Arial"/>
          <w:szCs w:val="22"/>
          <w:lang w:val="es-ES"/>
        </w:rPr>
      </w:pPr>
      <w:r w:rsidRPr="00993936">
        <w:rPr>
          <w:rFonts w:cs="Arial"/>
          <w:szCs w:val="22"/>
          <w:lang w:val="es-ES"/>
        </w:rPr>
        <w:t xml:space="preserve">9.1.16 </w:t>
      </w:r>
      <w:r w:rsidR="00412AFB" w:rsidRPr="00993936">
        <w:rPr>
          <w:rFonts w:cs="Arial"/>
          <w:szCs w:val="22"/>
          <w:lang w:val="es-ES"/>
        </w:rPr>
        <w:t>Los volúmenes máximos de caldo en los tratamientos herbicidas se ajustarán a los parámetros precisos, teniendo en cuenta el estado de desarrollo del cultivo para obtener la máxima eficacia con la menor dosis.</w:t>
      </w:r>
    </w:p>
    <w:p w:rsidR="00412AFB" w:rsidRPr="00993936" w:rsidRDefault="00412AFB" w:rsidP="00412AFB">
      <w:pPr>
        <w:jc w:val="both"/>
        <w:rPr>
          <w:rFonts w:ascii="Arial" w:hAnsi="Arial" w:cs="Arial"/>
          <w:lang w:val="es-ES"/>
        </w:rPr>
      </w:pPr>
      <w:r w:rsidRPr="00993936">
        <w:rPr>
          <w:rFonts w:ascii="Arial" w:hAnsi="Arial" w:cs="Arial"/>
          <w:lang w:val="es-ES"/>
        </w:rPr>
        <w:t>9.1.17 Eliminar inmediatamente los árboles arrancados o trozos de árboles cortados, ya que son susceptibles de presentar síntomas o signos de enfermedades o plagas, especialmente las virosis.</w:t>
      </w:r>
    </w:p>
    <w:p w:rsidR="00412AFB" w:rsidRPr="00993936" w:rsidRDefault="00412AFB" w:rsidP="00412AFB">
      <w:pPr>
        <w:jc w:val="both"/>
        <w:rPr>
          <w:rFonts w:ascii="Arial" w:hAnsi="Arial" w:cs="Arial"/>
          <w:lang w:val="es-ES"/>
        </w:rPr>
      </w:pPr>
      <w:r w:rsidRPr="00993936">
        <w:rPr>
          <w:rFonts w:ascii="Arial" w:hAnsi="Arial" w:cs="Arial"/>
          <w:lang w:val="es-ES"/>
        </w:rPr>
        <w:t xml:space="preserve">9.1.18 Utilizar herbicidas, preferentemente mediante técnicas de </w:t>
      </w:r>
      <w:r w:rsidR="008B63CC" w:rsidRPr="00993936">
        <w:rPr>
          <w:rFonts w:ascii="Arial" w:hAnsi="Arial" w:cs="Arial"/>
          <w:lang w:val="es-ES"/>
        </w:rPr>
        <w:t>herbigación</w:t>
      </w:r>
      <w:r w:rsidRPr="00993936">
        <w:rPr>
          <w:rFonts w:ascii="Arial" w:hAnsi="Arial" w:cs="Arial"/>
          <w:lang w:val="es-ES"/>
        </w:rPr>
        <w:t xml:space="preserve"> o aplicación localizada.</w:t>
      </w:r>
    </w:p>
    <w:p w:rsidR="00412AFB" w:rsidRPr="00993936" w:rsidRDefault="00412AFB" w:rsidP="00412AFB">
      <w:pPr>
        <w:jc w:val="both"/>
        <w:rPr>
          <w:rFonts w:ascii="Arial" w:hAnsi="Arial" w:cs="Arial"/>
          <w:lang w:val="es-ES"/>
        </w:rPr>
      </w:pPr>
      <w:r w:rsidRPr="00993936">
        <w:rPr>
          <w:rFonts w:ascii="Arial" w:hAnsi="Arial" w:cs="Arial"/>
          <w:lang w:val="es-ES"/>
        </w:rPr>
        <w:t>9.1.19 El miembro del personal técnico competente adoptará un sistema de muestreo que incluya la frecuencia y el plazo en el que se realizarán los muestreos. Para llevar a cabo la sistemática de muestreos, podrá adoptarse alguna de las que se describen a continuación:</w:t>
      </w:r>
    </w:p>
    <w:p w:rsidR="00412AFB" w:rsidRPr="00993936" w:rsidRDefault="00412AFB" w:rsidP="009D1A2D">
      <w:pPr>
        <w:numPr>
          <w:ilvl w:val="0"/>
          <w:numId w:val="33"/>
        </w:numPr>
        <w:spacing w:after="0" w:line="240" w:lineRule="auto"/>
        <w:jc w:val="both"/>
        <w:rPr>
          <w:rFonts w:ascii="Arial" w:hAnsi="Arial" w:cs="Arial"/>
          <w:i/>
          <w:lang w:val="es-ES"/>
        </w:rPr>
      </w:pPr>
      <w:r w:rsidRPr="00993936">
        <w:rPr>
          <w:rFonts w:ascii="Arial" w:hAnsi="Arial" w:cs="Arial"/>
          <w:i/>
          <w:lang w:val="es-ES"/>
        </w:rPr>
        <w:t>Sistema A</w:t>
      </w:r>
    </w:p>
    <w:p w:rsidR="00412AFB" w:rsidRPr="00993936" w:rsidRDefault="00412AFB" w:rsidP="00412AFB">
      <w:pPr>
        <w:jc w:val="both"/>
        <w:rPr>
          <w:rFonts w:ascii="Arial" w:hAnsi="Arial" w:cs="Arial"/>
          <w:lang w:val="es-ES"/>
        </w:rPr>
      </w:pPr>
      <w:r w:rsidRPr="00993936">
        <w:rPr>
          <w:rFonts w:ascii="Arial" w:hAnsi="Arial" w:cs="Arial"/>
          <w:lang w:val="es-ES"/>
        </w:rPr>
        <w:t>UHC</w:t>
      </w:r>
      <w:r w:rsidR="00E47352" w:rsidRPr="00993936">
        <w:rPr>
          <w:rFonts w:ascii="Arial" w:hAnsi="Arial" w:cs="Arial"/>
          <w:lang w:val="es-ES"/>
        </w:rPr>
        <w:t xml:space="preserve"> ≤ </w:t>
      </w:r>
      <w:r w:rsidRPr="00993936">
        <w:rPr>
          <w:rFonts w:ascii="Arial" w:hAnsi="Arial" w:cs="Arial"/>
          <w:lang w:val="es-ES"/>
        </w:rPr>
        <w:t>5 ha</w:t>
      </w:r>
    </w:p>
    <w:p w:rsidR="00412AFB" w:rsidRPr="00993936" w:rsidRDefault="00412AFB" w:rsidP="00412AFB">
      <w:pPr>
        <w:jc w:val="both"/>
        <w:rPr>
          <w:rFonts w:ascii="Arial" w:hAnsi="Arial" w:cs="Arial"/>
          <w:lang w:val="es-ES"/>
        </w:rPr>
      </w:pPr>
      <w:r w:rsidRPr="00993936">
        <w:rPr>
          <w:rFonts w:ascii="Arial" w:hAnsi="Arial" w:cs="Arial"/>
          <w:lang w:val="es-ES"/>
        </w:rPr>
        <w:t>Se elegirá como UHC elemental de muestreo la totalidad de la UHC.</w:t>
      </w:r>
    </w:p>
    <w:p w:rsidR="00412AFB" w:rsidRPr="00993936" w:rsidRDefault="00412AFB" w:rsidP="00412AFB">
      <w:pPr>
        <w:jc w:val="both"/>
        <w:rPr>
          <w:rFonts w:ascii="Arial" w:hAnsi="Arial" w:cs="Arial"/>
          <w:lang w:val="es-ES"/>
        </w:rPr>
      </w:pPr>
      <w:r w:rsidRPr="00993936">
        <w:rPr>
          <w:rFonts w:ascii="Arial" w:hAnsi="Arial" w:cs="Arial"/>
          <w:lang w:val="es-ES"/>
        </w:rPr>
        <w:t>UHC &gt; </w:t>
      </w:r>
      <w:smartTag w:uri="urn:schemas-microsoft-com:office:smarttags" w:element="metricconverter">
        <w:smartTagPr>
          <w:attr w:name="ProductID" w:val="5 ha"/>
        </w:smartTagPr>
        <w:r w:rsidRPr="00993936">
          <w:rPr>
            <w:rFonts w:ascii="Arial" w:hAnsi="Arial" w:cs="Arial"/>
            <w:lang w:val="es-ES"/>
          </w:rPr>
          <w:t>5 ha</w:t>
        </w:r>
      </w:smartTag>
      <w:r w:rsidRPr="00993936">
        <w:rPr>
          <w:rFonts w:ascii="Arial" w:hAnsi="Arial" w:cs="Arial"/>
          <w:lang w:val="es-ES"/>
        </w:rPr>
        <w:t xml:space="preserve"> y 25 &lt; ha.</w:t>
      </w:r>
    </w:p>
    <w:p w:rsidR="00412AFB" w:rsidRPr="00993936" w:rsidRDefault="00412AFB" w:rsidP="00412AFB">
      <w:pPr>
        <w:jc w:val="both"/>
        <w:rPr>
          <w:rFonts w:ascii="Arial" w:hAnsi="Arial" w:cs="Arial"/>
          <w:lang w:val="es-ES"/>
        </w:rPr>
      </w:pPr>
      <w:r w:rsidRPr="00993936">
        <w:rPr>
          <w:rFonts w:ascii="Arial" w:hAnsi="Arial" w:cs="Arial"/>
          <w:lang w:val="es-ES"/>
        </w:rPr>
        <w:t xml:space="preserve">Se dividirá la UHC con tantas UHC elementales de </w:t>
      </w:r>
      <w:smartTag w:uri="urn:schemas-microsoft-com:office:smarttags" w:element="metricconverter">
        <w:smartTagPr>
          <w:attr w:name="ProductID" w:val="5 ha"/>
        </w:smartTagPr>
        <w:r w:rsidRPr="00993936">
          <w:rPr>
            <w:rFonts w:ascii="Arial" w:hAnsi="Arial" w:cs="Arial"/>
            <w:lang w:val="es-ES"/>
          </w:rPr>
          <w:t>5 ha</w:t>
        </w:r>
      </w:smartTag>
      <w:r w:rsidRPr="00993936">
        <w:rPr>
          <w:rFonts w:ascii="Arial" w:hAnsi="Arial" w:cs="Arial"/>
          <w:lang w:val="es-ES"/>
        </w:rPr>
        <w:t xml:space="preserve"> como sea posible. Si por la forma resultaran menores de </w:t>
      </w:r>
      <w:smartTag w:uri="urn:schemas-microsoft-com:office:smarttags" w:element="metricconverter">
        <w:smartTagPr>
          <w:attr w:name="ProductID" w:val="5 ha"/>
        </w:smartTagPr>
        <w:r w:rsidRPr="00993936">
          <w:rPr>
            <w:rFonts w:ascii="Arial" w:hAnsi="Arial" w:cs="Arial"/>
            <w:lang w:val="es-ES"/>
          </w:rPr>
          <w:t>5 ha</w:t>
        </w:r>
      </w:smartTag>
      <w:r w:rsidRPr="00993936">
        <w:rPr>
          <w:rFonts w:ascii="Arial" w:hAnsi="Arial" w:cs="Arial"/>
          <w:lang w:val="es-ES"/>
        </w:rPr>
        <w:t xml:space="preserve">, se anexionarán a la UHC elemental más próxima si la superficie es menor de </w:t>
      </w:r>
      <w:smartTag w:uri="urn:schemas-microsoft-com:office:smarttags" w:element="metricconverter">
        <w:smartTagPr>
          <w:attr w:name="ProductID" w:val="25.000 m2"/>
        </w:smartTagPr>
        <w:r w:rsidRPr="00993936">
          <w:rPr>
            <w:rFonts w:ascii="Arial" w:hAnsi="Arial" w:cs="Arial"/>
            <w:lang w:val="es-ES"/>
          </w:rPr>
          <w:t>25.000 m</w:t>
        </w:r>
        <w:r w:rsidRPr="00993936">
          <w:rPr>
            <w:rFonts w:ascii="Arial" w:hAnsi="Arial" w:cs="Arial"/>
            <w:vertAlign w:val="superscript"/>
            <w:lang w:val="es-ES"/>
          </w:rPr>
          <w:t>2</w:t>
        </w:r>
      </w:smartTag>
      <w:r w:rsidRPr="00993936">
        <w:rPr>
          <w:rFonts w:ascii="Arial" w:hAnsi="Arial" w:cs="Arial"/>
          <w:lang w:val="es-ES"/>
        </w:rPr>
        <w:t xml:space="preserve"> y, si es mayor de </w:t>
      </w:r>
      <w:smartTag w:uri="urn:schemas-microsoft-com:office:smarttags" w:element="metricconverter">
        <w:smartTagPr>
          <w:attr w:name="ProductID" w:val="25.000 m2"/>
        </w:smartTagPr>
        <w:r w:rsidRPr="00993936">
          <w:rPr>
            <w:rFonts w:ascii="Arial" w:hAnsi="Arial" w:cs="Arial"/>
            <w:lang w:val="es-ES"/>
          </w:rPr>
          <w:t>25.000 m</w:t>
        </w:r>
        <w:r w:rsidRPr="00993936">
          <w:rPr>
            <w:rFonts w:ascii="Arial" w:hAnsi="Arial" w:cs="Arial"/>
            <w:vertAlign w:val="superscript"/>
            <w:lang w:val="es-ES"/>
          </w:rPr>
          <w:t>2</w:t>
        </w:r>
      </w:smartTag>
      <w:r w:rsidRPr="00993936">
        <w:rPr>
          <w:rFonts w:ascii="Arial" w:hAnsi="Arial" w:cs="Arial"/>
          <w:lang w:val="es-ES"/>
        </w:rPr>
        <w:t xml:space="preserve">, se considerará como una UHC elemental. </w:t>
      </w:r>
    </w:p>
    <w:p w:rsidR="00412AFB" w:rsidRPr="00993936" w:rsidRDefault="00412AFB" w:rsidP="00412AFB">
      <w:pPr>
        <w:jc w:val="both"/>
        <w:rPr>
          <w:rFonts w:ascii="Arial" w:hAnsi="Arial" w:cs="Arial"/>
          <w:lang w:val="es-ES"/>
        </w:rPr>
      </w:pPr>
      <w:r w:rsidRPr="00993936">
        <w:rPr>
          <w:rFonts w:ascii="Arial" w:hAnsi="Arial" w:cs="Arial"/>
          <w:lang w:val="es-ES"/>
        </w:rPr>
        <w:t>Del número de UHC elementales resultantes se elegirá al azar el 50 %, donde se llevarán los controles. Si el número resultante de calcular el 50 % de las UHC no fuera entero, se considerará el entero inmediatamente superior.</w:t>
      </w:r>
    </w:p>
    <w:p w:rsidR="00412AFB" w:rsidRPr="00993936" w:rsidRDefault="00412AFB" w:rsidP="00412AFB">
      <w:pPr>
        <w:pStyle w:val="Textoindependiente"/>
        <w:rPr>
          <w:rFonts w:cs="Arial"/>
          <w:szCs w:val="22"/>
          <w:lang w:val="es-ES"/>
        </w:rPr>
      </w:pPr>
      <w:r w:rsidRPr="00993936">
        <w:rPr>
          <w:rFonts w:cs="Arial"/>
          <w:szCs w:val="22"/>
          <w:lang w:val="es-ES"/>
        </w:rPr>
        <w:t xml:space="preserve">UHC </w:t>
      </w:r>
      <w:r w:rsidRPr="00993936">
        <w:rPr>
          <w:rFonts w:cs="Arial"/>
          <w:szCs w:val="22"/>
          <w:lang w:val="es-ES"/>
        </w:rPr>
        <w:sym w:font="Symbol" w:char="F0B3"/>
      </w:r>
      <w:r w:rsidRPr="00993936">
        <w:rPr>
          <w:rFonts w:cs="Arial"/>
          <w:szCs w:val="22"/>
          <w:lang w:val="es-ES"/>
        </w:rPr>
        <w:t xml:space="preserve"> </w:t>
      </w:r>
      <w:smartTag w:uri="urn:schemas-microsoft-com:office:smarttags" w:element="metricconverter">
        <w:smartTagPr>
          <w:attr w:name="ProductID" w:val="25 ha"/>
        </w:smartTagPr>
        <w:r w:rsidRPr="00993936">
          <w:rPr>
            <w:rFonts w:cs="Arial"/>
            <w:szCs w:val="22"/>
            <w:lang w:val="es-ES"/>
          </w:rPr>
          <w:t>25 ha</w:t>
        </w:r>
      </w:smartTag>
      <w:r w:rsidRPr="00993936">
        <w:rPr>
          <w:rFonts w:cs="Arial"/>
          <w:szCs w:val="22"/>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 xml:space="preserve">El número de UHC elementales de </w:t>
      </w:r>
      <w:smartTag w:uri="urn:schemas-microsoft-com:office:smarttags" w:element="metricconverter">
        <w:smartTagPr>
          <w:attr w:name="ProductID" w:val="5 ha"/>
        </w:smartTagPr>
        <w:r w:rsidRPr="00993936">
          <w:rPr>
            <w:rFonts w:ascii="Arial" w:hAnsi="Arial" w:cs="Arial"/>
            <w:lang w:val="es-ES"/>
          </w:rPr>
          <w:t>cinco hectáreas</w:t>
        </w:r>
      </w:smartTag>
      <w:r w:rsidRPr="00993936">
        <w:rPr>
          <w:rFonts w:ascii="Arial" w:hAnsi="Arial" w:cs="Arial"/>
          <w:lang w:val="es-ES"/>
        </w:rPr>
        <w:t xml:space="preserve"> que se someterá a un muestreo será de tres y se incrementará una unidad de UHC elemental para cada superficie adicional menor o igual de </w:t>
      </w:r>
      <w:smartTag w:uri="urn:schemas-microsoft-com:office:smarttags" w:element="metricconverter">
        <w:smartTagPr>
          <w:attr w:name="ProductID" w:val="25 ha"/>
        </w:smartTagPr>
        <w:r w:rsidRPr="00993936">
          <w:rPr>
            <w:rFonts w:ascii="Arial" w:hAnsi="Arial" w:cs="Arial"/>
            <w:lang w:val="es-ES"/>
          </w:rPr>
          <w:t>25 ha</w:t>
        </w:r>
      </w:smartTag>
      <w:r w:rsidRPr="00993936">
        <w:rPr>
          <w:rFonts w:ascii="Arial" w:hAnsi="Arial" w:cs="Arial"/>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Unidad primaria: árbol.</w:t>
      </w:r>
    </w:p>
    <w:p w:rsidR="00412AFB" w:rsidRPr="00993936" w:rsidRDefault="00412AFB" w:rsidP="00412AFB">
      <w:pPr>
        <w:jc w:val="both"/>
        <w:rPr>
          <w:rFonts w:ascii="Arial" w:hAnsi="Arial" w:cs="Arial"/>
          <w:lang w:val="es-ES"/>
        </w:rPr>
      </w:pPr>
      <w:r w:rsidRPr="00993936">
        <w:rPr>
          <w:rFonts w:ascii="Arial" w:hAnsi="Arial" w:cs="Arial"/>
          <w:lang w:val="es-ES"/>
        </w:rPr>
        <w:t>Unidad secundaria: brote de 6-7 centímetros</w:t>
      </w:r>
      <w:r w:rsidR="00E03B3B" w:rsidRPr="00993936">
        <w:rPr>
          <w:rFonts w:ascii="Arial" w:hAnsi="Arial" w:cs="Arial"/>
          <w:lang w:val="es-ES"/>
        </w:rPr>
        <w:t xml:space="preserve"> </w:t>
      </w:r>
      <w:r w:rsidRPr="00993936">
        <w:rPr>
          <w:rFonts w:ascii="Arial" w:hAnsi="Arial" w:cs="Arial"/>
          <w:lang w:val="es-ES"/>
        </w:rPr>
        <w:t>con 4-5 hojas tiernas y brote con varios brotes tiernos con menos 6-</w:t>
      </w:r>
      <w:smartTag w:uri="urn:schemas-microsoft-com:office:smarttags" w:element="metricconverter">
        <w:smartTagPr>
          <w:attr w:name="ProductID" w:val="7 cm"/>
        </w:smartTagPr>
        <w:r w:rsidRPr="00993936">
          <w:rPr>
            <w:rFonts w:ascii="Arial" w:hAnsi="Arial" w:cs="Arial"/>
            <w:lang w:val="es-ES"/>
          </w:rPr>
          <w:t>7 centímetros</w:t>
        </w:r>
      </w:smartTag>
      <w:r w:rsidRPr="00993936">
        <w:rPr>
          <w:rFonts w:ascii="Arial" w:hAnsi="Arial" w:cs="Arial"/>
          <w:lang w:val="es-ES"/>
        </w:rPr>
        <w:t xml:space="preserve"> y menos de 4-5 hojas, perteneciente a la brotadura del momento del muestreo.</w:t>
      </w:r>
    </w:p>
    <w:p w:rsidR="00412AFB" w:rsidRPr="00993936" w:rsidRDefault="00412AFB" w:rsidP="00412AFB">
      <w:pPr>
        <w:jc w:val="both"/>
        <w:rPr>
          <w:rFonts w:ascii="Arial" w:hAnsi="Arial" w:cs="Arial"/>
          <w:lang w:val="es-ES"/>
        </w:rPr>
      </w:pPr>
      <w:r w:rsidRPr="00993936">
        <w:rPr>
          <w:rFonts w:ascii="Arial" w:hAnsi="Arial" w:cs="Arial"/>
          <w:lang w:val="es-ES"/>
        </w:rPr>
        <w:t>Hoja: la perteneciente al último brote totalmente madura (color verde de la variedad).</w:t>
      </w:r>
    </w:p>
    <w:p w:rsidR="00412AFB" w:rsidRPr="00993936" w:rsidRDefault="00412AFB" w:rsidP="00412AFB">
      <w:pPr>
        <w:jc w:val="both"/>
        <w:rPr>
          <w:rFonts w:ascii="Arial" w:hAnsi="Arial" w:cs="Arial"/>
          <w:lang w:val="es-ES"/>
        </w:rPr>
      </w:pPr>
      <w:r w:rsidRPr="00993936">
        <w:rPr>
          <w:rFonts w:ascii="Arial" w:hAnsi="Arial" w:cs="Arial"/>
          <w:lang w:val="es-ES"/>
        </w:rPr>
        <w:t>Fruto: en el estado de desarrollo correspondiente a la época de muestreo.</w:t>
      </w:r>
    </w:p>
    <w:p w:rsidR="00412AFB" w:rsidRPr="00993936" w:rsidRDefault="00412AFB" w:rsidP="00412AFB">
      <w:pPr>
        <w:jc w:val="both"/>
        <w:rPr>
          <w:rFonts w:ascii="Arial" w:hAnsi="Arial" w:cs="Arial"/>
          <w:lang w:val="es-ES"/>
        </w:rPr>
      </w:pPr>
      <w:r w:rsidRPr="00993936">
        <w:rPr>
          <w:rFonts w:ascii="Arial" w:hAnsi="Arial" w:cs="Arial"/>
          <w:lang w:val="es-ES"/>
        </w:rPr>
        <w:t xml:space="preserve">Rama: porción de rama existente entre el nudo anterior y el posterior a la hoja muestreada de la última o penúltima brotadura. </w:t>
      </w:r>
    </w:p>
    <w:p w:rsidR="00412AFB" w:rsidRPr="00993936" w:rsidRDefault="00412AFB" w:rsidP="00412AFB">
      <w:pPr>
        <w:jc w:val="both"/>
        <w:rPr>
          <w:rFonts w:ascii="Arial" w:hAnsi="Arial" w:cs="Arial"/>
          <w:lang w:val="es-ES"/>
        </w:rPr>
      </w:pPr>
      <w:r w:rsidRPr="00993936">
        <w:rPr>
          <w:rFonts w:ascii="Arial" w:hAnsi="Arial" w:cs="Arial"/>
          <w:lang w:val="es-ES"/>
        </w:rPr>
        <w:t>Tamaño de la muestra:</w:t>
      </w:r>
    </w:p>
    <w:p w:rsidR="00412AFB" w:rsidRPr="00993936" w:rsidRDefault="00412AFB" w:rsidP="00412AFB">
      <w:pPr>
        <w:jc w:val="both"/>
        <w:rPr>
          <w:rFonts w:ascii="Arial" w:hAnsi="Arial" w:cs="Arial"/>
          <w:lang w:val="es-ES"/>
        </w:rPr>
      </w:pPr>
      <w:r w:rsidRPr="00993936">
        <w:rPr>
          <w:rFonts w:ascii="Arial" w:hAnsi="Arial" w:cs="Arial"/>
          <w:lang w:val="es-ES"/>
        </w:rPr>
        <w:t>UHC elemental &lt; 250 árboles: 10 % de los árboles, mínimo 10 árboles al azar.</w:t>
      </w:r>
    </w:p>
    <w:p w:rsidR="00412AFB" w:rsidRPr="00993936" w:rsidRDefault="00412AFB" w:rsidP="00412AFB">
      <w:pPr>
        <w:jc w:val="both"/>
        <w:rPr>
          <w:rFonts w:ascii="Arial" w:hAnsi="Arial" w:cs="Arial"/>
          <w:lang w:val="es-ES"/>
        </w:rPr>
      </w:pPr>
      <w:r w:rsidRPr="00993936">
        <w:rPr>
          <w:rFonts w:ascii="Arial" w:hAnsi="Arial" w:cs="Arial"/>
          <w:lang w:val="es-ES"/>
        </w:rPr>
        <w:t xml:space="preserve">UHC elemental </w:t>
      </w:r>
      <w:r w:rsidRPr="00993936">
        <w:rPr>
          <w:rFonts w:ascii="Arial" w:hAnsi="Arial" w:cs="Arial"/>
          <w:lang w:val="es-ES"/>
        </w:rPr>
        <w:sym w:font="Symbol" w:char="F0B3"/>
      </w:r>
      <w:r w:rsidRPr="00993936">
        <w:rPr>
          <w:rFonts w:ascii="Arial" w:hAnsi="Arial" w:cs="Arial"/>
          <w:lang w:val="es-ES"/>
        </w:rPr>
        <w:t xml:space="preserve"> 250 árboles: 25 árboles al azar.</w:t>
      </w:r>
    </w:p>
    <w:p w:rsidR="00412AFB" w:rsidRPr="00993936" w:rsidRDefault="00412AFB" w:rsidP="009D1A2D">
      <w:pPr>
        <w:numPr>
          <w:ilvl w:val="0"/>
          <w:numId w:val="33"/>
        </w:numPr>
        <w:spacing w:after="0" w:line="240" w:lineRule="auto"/>
        <w:jc w:val="both"/>
        <w:rPr>
          <w:rFonts w:ascii="Arial" w:hAnsi="Arial" w:cs="Arial"/>
          <w:i/>
          <w:lang w:val="es-ES"/>
        </w:rPr>
      </w:pPr>
      <w:r w:rsidRPr="00993936">
        <w:rPr>
          <w:rFonts w:ascii="Arial" w:hAnsi="Arial" w:cs="Arial"/>
          <w:i/>
          <w:lang w:val="es-ES"/>
        </w:rPr>
        <w:t xml:space="preserve">Sistema B </w:t>
      </w:r>
    </w:p>
    <w:p w:rsidR="00412AFB" w:rsidRPr="00993936" w:rsidRDefault="00412AFB" w:rsidP="00412AFB">
      <w:pPr>
        <w:jc w:val="both"/>
        <w:rPr>
          <w:rFonts w:ascii="Arial" w:hAnsi="Arial" w:cs="Arial"/>
          <w:lang w:val="es-ES"/>
        </w:rPr>
      </w:pPr>
      <w:r w:rsidRPr="00993936">
        <w:rPr>
          <w:rFonts w:ascii="Arial" w:hAnsi="Arial" w:cs="Arial"/>
          <w:lang w:val="es-ES"/>
        </w:rPr>
        <w:t>Las UHC se dividirán en unidades de decisión (zona homogénea y uniforme en función de la variedad, patrón, altura, situación y sistema de producción). Esta unidad de decisión será</w:t>
      </w:r>
      <w:r w:rsidR="00E03B3B" w:rsidRPr="00993936">
        <w:rPr>
          <w:rFonts w:ascii="Arial" w:hAnsi="Arial" w:cs="Arial"/>
          <w:lang w:val="es-ES"/>
        </w:rPr>
        <w:t xml:space="preserve"> </w:t>
      </w:r>
      <w:r w:rsidRPr="00993936">
        <w:rPr>
          <w:rFonts w:ascii="Arial" w:hAnsi="Arial" w:cs="Arial"/>
          <w:u w:val="single"/>
          <w:lang w:val="es-ES"/>
        </w:rPr>
        <w:t xml:space="preserve">≤ </w:t>
      </w:r>
      <w:r w:rsidRPr="00993936">
        <w:rPr>
          <w:rFonts w:ascii="Arial" w:hAnsi="Arial" w:cs="Arial"/>
          <w:lang w:val="es-ES"/>
        </w:rPr>
        <w:t>10.000 árboles ≤ </w:t>
      </w:r>
      <w:smartTag w:uri="urn:schemas-microsoft-com:office:smarttags" w:element="metricconverter">
        <w:smartTagPr>
          <w:attr w:name="ProductID" w:val="10 ha"/>
        </w:smartTagPr>
        <w:r w:rsidRPr="00993936">
          <w:rPr>
            <w:rFonts w:ascii="Arial" w:hAnsi="Arial" w:cs="Arial"/>
            <w:lang w:val="es-ES"/>
          </w:rPr>
          <w:t>10 hectáreas</w:t>
        </w:r>
      </w:smartTag>
      <w:r w:rsidRPr="00993936">
        <w:rPr>
          <w:rFonts w:ascii="Arial" w:hAnsi="Arial" w:cs="Arial"/>
          <w:lang w:val="es-ES"/>
        </w:rPr>
        <w:t>. Esta unidad de decisión se dividirá en (máximo 12) unidades ficticias, según la superficie. El muestreo se realizará en un 50 % de las unidades ficticias, de las que se tomarán cinco árboles al azar. El muestreo total por unidad de decisión será de 10-30 árboles.</w:t>
      </w:r>
    </w:p>
    <w:p w:rsidR="00412AFB" w:rsidRPr="00993936" w:rsidRDefault="00412AFB" w:rsidP="00412AFB">
      <w:pPr>
        <w:jc w:val="both"/>
        <w:rPr>
          <w:rFonts w:ascii="Arial" w:hAnsi="Arial" w:cs="Arial"/>
          <w:lang w:val="es-ES"/>
        </w:rPr>
      </w:pPr>
      <w:r w:rsidRPr="00993936">
        <w:rPr>
          <w:rFonts w:ascii="Arial" w:hAnsi="Arial" w:cs="Arial"/>
          <w:lang w:val="es-ES"/>
        </w:rPr>
        <w:t>Las definiciones de unidad primaria y unidades secundarias son las mismas que las reflejadas en el Sistema A.</w:t>
      </w:r>
    </w:p>
    <w:p w:rsidR="00412AFB" w:rsidRPr="00993936" w:rsidRDefault="00412AFB" w:rsidP="00412AFB">
      <w:pPr>
        <w:jc w:val="both"/>
        <w:rPr>
          <w:rFonts w:ascii="Arial" w:hAnsi="Arial" w:cs="Arial"/>
          <w:lang w:val="es-ES"/>
        </w:rPr>
      </w:pPr>
      <w:r w:rsidRPr="00993936">
        <w:rPr>
          <w:rFonts w:ascii="Arial" w:hAnsi="Arial" w:cs="Arial"/>
          <w:lang w:val="es-ES"/>
        </w:rPr>
        <w:t>9.1.20 En el Apéndice de Plagas y enfermedades se indican los organismos objeto de muestreo para el cultivo de cítricos. Los muestreos se llevarán a cabo con la frecuencia que exija la fenología del cultivo y desarrollo de la plaga, teniendo en cuenta los periodos y las condiciones climáticas que se indican para algunos de los organismos señalados. El hecho de que un organismo aparezca en el Apéndice de plagas y enfermedades de cítricos no obliga a la persona operadora a realizar su seguimiento. Sin embargo, el no seguimiento de algunos de estos organismos, al no constituir plaga en esta zona de cultivo, deberá estar debidamente justificado.</w:t>
      </w:r>
    </w:p>
    <w:p w:rsidR="00412AFB" w:rsidRPr="00993936" w:rsidRDefault="00412AFB" w:rsidP="00412AFB">
      <w:pPr>
        <w:jc w:val="both"/>
        <w:rPr>
          <w:rFonts w:ascii="Arial" w:hAnsi="Arial" w:cs="Arial"/>
          <w:lang w:val="es-ES"/>
        </w:rPr>
      </w:pPr>
      <w:r w:rsidRPr="00993936">
        <w:rPr>
          <w:rFonts w:ascii="Arial" w:hAnsi="Arial" w:cs="Arial"/>
          <w:lang w:val="es-ES"/>
        </w:rPr>
        <w:t>9</w:t>
      </w:r>
      <w:r w:rsidR="00C03DD4" w:rsidRPr="00993936">
        <w:rPr>
          <w:rFonts w:ascii="Arial" w:hAnsi="Arial" w:cs="Arial"/>
          <w:lang w:val="es-ES"/>
        </w:rPr>
        <w:t>.1</w:t>
      </w:r>
      <w:r w:rsidRPr="00993936">
        <w:rPr>
          <w:rFonts w:ascii="Arial" w:hAnsi="Arial" w:cs="Arial"/>
          <w:lang w:val="es-ES"/>
        </w:rPr>
        <w:t>.21 Deberá protegerse la fauna auxiliar en general, y en particular al menos tres especies cuya protección y cuyo aumento de sus poblaciones se considere prioritario para cada cultivo. El miembro del equipo técnico competente decidirá a partir de la relación de auxiliares considerados importantes para los cítricos (</w:t>
      </w:r>
      <w:r w:rsidRPr="00993936">
        <w:rPr>
          <w:rFonts w:ascii="Arial" w:hAnsi="Arial" w:cs="Arial"/>
          <w:i/>
          <w:lang w:val="es-ES"/>
        </w:rPr>
        <w:t xml:space="preserve">Rodolia cardinalis, Encarsia sp., Cryptolaemus montrouzieri, Lysiphlebus testaceipes, Leptomastix dactylopii, Calas Noack, Euseius stipulatus, Anagyrus pseudococci, Citrostichus phyllocnistoides y Aphytis sp.) </w:t>
      </w:r>
      <w:r w:rsidRPr="00993936">
        <w:rPr>
          <w:rFonts w:ascii="Arial" w:hAnsi="Arial" w:cs="Arial"/>
          <w:lang w:val="es-ES"/>
        </w:rPr>
        <w:t>y, en función de las características particulares de la explotación, la fauna auxiliar objetivo que pretende defender o implantar mediante sueltas.</w:t>
      </w:r>
    </w:p>
    <w:p w:rsidR="00412AFB" w:rsidRPr="00993936" w:rsidRDefault="00412AFB" w:rsidP="00412AFB">
      <w:pPr>
        <w:jc w:val="both"/>
        <w:rPr>
          <w:rFonts w:ascii="Arial" w:hAnsi="Arial" w:cs="Arial"/>
          <w:lang w:val="es-ES"/>
        </w:rPr>
      </w:pPr>
      <w:r w:rsidRPr="00993936">
        <w:rPr>
          <w:rFonts w:ascii="Arial" w:hAnsi="Arial" w:cs="Arial"/>
          <w:lang w:val="es-ES"/>
        </w:rPr>
        <w:t xml:space="preserve">9.1.22 Además de cumplir las </w:t>
      </w:r>
      <w:r w:rsidRPr="00993936">
        <w:rPr>
          <w:rFonts w:ascii="Arial" w:hAnsi="Arial" w:cs="Arial"/>
          <w:i/>
          <w:lang w:val="es-ES"/>
        </w:rPr>
        <w:t xml:space="preserve">obligaciones </w:t>
      </w:r>
      <w:r w:rsidRPr="00993936">
        <w:rPr>
          <w:rFonts w:ascii="Arial" w:hAnsi="Arial" w:cs="Arial"/>
          <w:lang w:val="es-ES"/>
        </w:rPr>
        <w:t>expuestas, los productos fitosanitarios empleados deberán ser respetuosos con los auxiliares señalados como objetivo.</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9</w:t>
      </w:r>
      <w:r w:rsidR="00C03DD4" w:rsidRPr="00993936">
        <w:rPr>
          <w:rFonts w:ascii="Arial" w:hAnsi="Arial" w:cs="Arial"/>
          <w:lang w:val="es-ES"/>
        </w:rPr>
        <w:t>.1</w:t>
      </w:r>
      <w:r w:rsidRPr="00993936">
        <w:rPr>
          <w:rFonts w:ascii="Arial" w:hAnsi="Arial" w:cs="Arial"/>
          <w:lang w:val="es-ES"/>
        </w:rPr>
        <w:t>.23 Cualquier cambio en la selección de los auxiliares que hay que defender o implantar deberá ser justificado técnicamente.</w:t>
      </w:r>
    </w:p>
    <w:p w:rsidR="00412AFB" w:rsidRPr="00993936" w:rsidRDefault="00412AFB" w:rsidP="00C03DD4">
      <w:pPr>
        <w:jc w:val="both"/>
        <w:rPr>
          <w:rFonts w:ascii="Arial" w:hAnsi="Arial" w:cs="Arial"/>
          <w:lang w:val="es-ES"/>
        </w:rPr>
      </w:pPr>
      <w:r w:rsidRPr="00993936">
        <w:rPr>
          <w:rFonts w:ascii="Arial" w:hAnsi="Arial" w:cs="Arial"/>
          <w:lang w:val="es-ES"/>
        </w:rPr>
        <w:t>9.</w:t>
      </w:r>
      <w:r w:rsidR="00C03DD4" w:rsidRPr="00993936">
        <w:rPr>
          <w:rFonts w:ascii="Arial" w:hAnsi="Arial" w:cs="Arial"/>
          <w:lang w:val="es-ES"/>
        </w:rPr>
        <w:t>1.</w:t>
      </w:r>
      <w:r w:rsidRPr="00993936">
        <w:rPr>
          <w:rFonts w:ascii="Arial" w:hAnsi="Arial" w:cs="Arial"/>
          <w:lang w:val="es-ES"/>
        </w:rPr>
        <w:t>24 Cuando se mezclen fitosanitarios, habrá que seguir los procedimientos adecuados para el manejo y la carga, según se indique en las instrucciones de la etiqueta del producto.</w:t>
      </w:r>
    </w:p>
    <w:p w:rsidR="00412AFB" w:rsidRPr="00993936" w:rsidRDefault="00412AFB" w:rsidP="00412AFB">
      <w:pPr>
        <w:pStyle w:val="Textoindependiente"/>
        <w:rPr>
          <w:rFonts w:cs="Arial"/>
          <w:szCs w:val="22"/>
          <w:lang w:val="es-ES"/>
        </w:rPr>
      </w:pPr>
      <w:r w:rsidRPr="00993936">
        <w:rPr>
          <w:rFonts w:cs="Arial"/>
          <w:szCs w:val="22"/>
          <w:lang w:val="es-ES"/>
        </w:rPr>
        <w:t>9.1.25 Para cultivos de recogida continua durante un periodo largo de tiempo, deberá tenerse un plan para la protección vegetal que no comprometa los intervalos de recolección. El plan deberá considerar el establecimiento de marcadores de campo que permitan diferenciar las plantas que son para la recolección del resto del cultivo.</w:t>
      </w:r>
    </w:p>
    <w:p w:rsidR="00412AFB" w:rsidRPr="00993936" w:rsidRDefault="00412AFB" w:rsidP="00412AFB">
      <w:pPr>
        <w:jc w:val="both"/>
        <w:rPr>
          <w:rFonts w:ascii="Arial" w:hAnsi="Arial" w:cs="Arial"/>
          <w:lang w:val="es-ES"/>
        </w:rPr>
      </w:pPr>
      <w:r w:rsidRPr="00993936">
        <w:rPr>
          <w:rFonts w:ascii="Arial" w:hAnsi="Arial" w:cs="Arial"/>
          <w:lang w:val="es-ES"/>
        </w:rPr>
        <w:t xml:space="preserve">9.2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9.2.1 Liberar enemigos naturales no presentes en la fauna española o cuya introducción esté prohibida por la legislación correspondiente, salvo autorización expresa de la dirección general competente en materia de agricultura.</w:t>
      </w:r>
    </w:p>
    <w:p w:rsidR="00412AFB" w:rsidRPr="00993936" w:rsidRDefault="00412AFB" w:rsidP="00412AFB">
      <w:pPr>
        <w:jc w:val="both"/>
        <w:rPr>
          <w:rFonts w:ascii="Arial" w:hAnsi="Arial" w:cs="Arial"/>
          <w:lang w:val="es-ES"/>
        </w:rPr>
      </w:pPr>
      <w:r w:rsidRPr="00993936">
        <w:rPr>
          <w:rFonts w:ascii="Arial" w:hAnsi="Arial" w:cs="Arial"/>
          <w:lang w:val="es-ES"/>
        </w:rPr>
        <w:t>9.2.2 Abandonar el control fitosanitario antes de finalizar el periodo vegetativo del cultivo, excepto en casos de fuerza mayor reconocidos por la Dirección General</w:t>
      </w:r>
      <w:r w:rsidR="00E03B3B" w:rsidRPr="00993936">
        <w:rPr>
          <w:rFonts w:ascii="Arial" w:hAnsi="Arial" w:cs="Arial"/>
          <w:lang w:val="es-ES"/>
        </w:rPr>
        <w:t xml:space="preserve"> </w:t>
      </w:r>
      <w:r w:rsidRPr="00993936">
        <w:rPr>
          <w:rFonts w:ascii="Arial" w:hAnsi="Arial" w:cs="Arial"/>
          <w:lang w:val="es-ES"/>
        </w:rPr>
        <w:t>competente en materia de agricultura.</w:t>
      </w:r>
    </w:p>
    <w:p w:rsidR="00412AFB" w:rsidRPr="00993936" w:rsidRDefault="00412AFB" w:rsidP="00412AFB">
      <w:pPr>
        <w:pStyle w:val="Textoindependiente"/>
        <w:rPr>
          <w:rFonts w:cs="Arial"/>
          <w:szCs w:val="22"/>
          <w:lang w:val="es-ES"/>
        </w:rPr>
      </w:pPr>
      <w:r w:rsidRPr="00993936">
        <w:rPr>
          <w:rFonts w:cs="Arial"/>
          <w:szCs w:val="22"/>
          <w:lang w:val="es-ES"/>
        </w:rPr>
        <w:t>9.2.3 Emplear de manera sistemática y reiterada productos fitosanitarios no selectivos, de larga persistencia, alta volatilidad, lixiviables o con otras características negativas.</w:t>
      </w:r>
    </w:p>
    <w:p w:rsidR="00412AFB" w:rsidRPr="00993936" w:rsidRDefault="00412AFB" w:rsidP="00412AFB">
      <w:pPr>
        <w:jc w:val="both"/>
        <w:rPr>
          <w:rFonts w:ascii="Arial" w:hAnsi="Arial" w:cs="Arial"/>
          <w:lang w:val="es-ES"/>
        </w:rPr>
      </w:pPr>
      <w:r w:rsidRPr="00993936">
        <w:rPr>
          <w:rFonts w:ascii="Arial" w:hAnsi="Arial" w:cs="Arial"/>
          <w:lang w:val="es-ES"/>
        </w:rPr>
        <w:t xml:space="preserve">9.2.4 Utilizar productos fitosanitarios a menos de cinco metros de las aguas superficiales. </w:t>
      </w:r>
    </w:p>
    <w:p w:rsidR="00412AFB" w:rsidRPr="00993936" w:rsidRDefault="00412AFB" w:rsidP="00412AFB">
      <w:pPr>
        <w:pStyle w:val="Textoindependiente"/>
        <w:rPr>
          <w:rFonts w:cs="Arial"/>
          <w:szCs w:val="22"/>
          <w:lang w:val="es-ES"/>
        </w:rPr>
      </w:pPr>
      <w:r w:rsidRPr="00993936">
        <w:rPr>
          <w:rFonts w:cs="Arial"/>
          <w:szCs w:val="22"/>
          <w:lang w:val="es-ES"/>
        </w:rPr>
        <w:t>9.2.5 El vertido, al agua y/o en zonas muy próximas, de productos agroquímicos sobrantes y de los líquidos procedentes de la limpieza de la maquinaria de tratamientos.</w:t>
      </w:r>
    </w:p>
    <w:p w:rsidR="00412AFB" w:rsidRPr="00993936" w:rsidRDefault="00412AFB" w:rsidP="00412AFB">
      <w:pPr>
        <w:jc w:val="both"/>
        <w:rPr>
          <w:rFonts w:ascii="Arial" w:hAnsi="Arial" w:cs="Arial"/>
          <w:lang w:val="es-ES"/>
        </w:rPr>
      </w:pPr>
      <w:r w:rsidRPr="00993936">
        <w:rPr>
          <w:rFonts w:ascii="Arial" w:hAnsi="Arial" w:cs="Arial"/>
          <w:lang w:val="es-ES"/>
        </w:rPr>
        <w:t>9.2.6 Utilizar cualquier producto autorizado por estas normas técnicas que sea dado de baja del Registro oficial de productos y material fitosanitario del Ministerio de Agricultura, Pesca y Alimentación y Medio Ambiente con posterioridad a la publicación de esta norma o que haya perdido la autorización de uso correspondiente.</w:t>
      </w:r>
    </w:p>
    <w:p w:rsidR="00412AFB" w:rsidRPr="00993936" w:rsidRDefault="00412AFB" w:rsidP="00412AFB">
      <w:pPr>
        <w:jc w:val="both"/>
        <w:rPr>
          <w:rFonts w:ascii="Arial" w:hAnsi="Arial" w:cs="Arial"/>
          <w:lang w:val="es-ES"/>
        </w:rPr>
      </w:pPr>
      <w:r w:rsidRPr="00993936">
        <w:rPr>
          <w:rFonts w:ascii="Arial" w:hAnsi="Arial" w:cs="Arial"/>
          <w:lang w:val="es-ES"/>
        </w:rPr>
        <w:t xml:space="preserve">9.2.7 Utilizar materias activas no incluidas en el Anexo de esta norma técnica. </w:t>
      </w:r>
    </w:p>
    <w:p w:rsidR="00412AFB" w:rsidRPr="00993936" w:rsidRDefault="00412AFB" w:rsidP="00412AFB">
      <w:pPr>
        <w:jc w:val="both"/>
        <w:rPr>
          <w:rFonts w:ascii="Arial" w:hAnsi="Arial" w:cs="Arial"/>
          <w:lang w:val="es-ES"/>
        </w:rPr>
      </w:pPr>
      <w:r w:rsidRPr="00993936">
        <w:rPr>
          <w:rFonts w:ascii="Arial" w:hAnsi="Arial" w:cs="Arial"/>
          <w:lang w:val="es-ES"/>
        </w:rPr>
        <w:t>Esta prohibición no es aplicable a las materias activas que tengan una autorización de uso excepcional vigente o a aquellas que aparezcan en el Registro oficial de productos y material fitosanitario, autorizadas para combatir determinadas plagas y/o enfermedades, que no estén contempladas por su novedad en los anexos de fitosanitarios de esta norma.</w:t>
      </w:r>
    </w:p>
    <w:p w:rsidR="00412AFB" w:rsidRPr="00993936" w:rsidRDefault="00412AFB" w:rsidP="00412AFB">
      <w:pPr>
        <w:jc w:val="both"/>
        <w:rPr>
          <w:rFonts w:ascii="Arial" w:hAnsi="Arial" w:cs="Arial"/>
          <w:lang w:val="es-ES"/>
        </w:rPr>
      </w:pPr>
      <w:r w:rsidRPr="00993936">
        <w:rPr>
          <w:rFonts w:ascii="Arial" w:hAnsi="Arial" w:cs="Arial"/>
          <w:lang w:val="es-ES"/>
        </w:rPr>
        <w:t>Excepcionalmente, cuando en el cultivo se detecten malas hierbas no habituales o cuyo umbral y/o criterio mínimo de intervención no se haya definido, podrá actuarse en contra con cualquier otro herbicida que esté expresamente autorizado en el Registro</w:t>
      </w:r>
      <w:r w:rsidR="008B63CC" w:rsidRPr="00993936">
        <w:rPr>
          <w:rFonts w:ascii="Arial" w:hAnsi="Arial" w:cs="Arial"/>
          <w:lang w:val="es-ES"/>
        </w:rPr>
        <w:t xml:space="preserve"> </w:t>
      </w:r>
      <w:r w:rsidRPr="00993936">
        <w:rPr>
          <w:rFonts w:ascii="Arial" w:hAnsi="Arial" w:cs="Arial"/>
          <w:lang w:val="es-ES"/>
        </w:rPr>
        <w:t xml:space="preserve">oficial de productos y material fitosanitario del Ministerio de Agricultura y Pesca, Alimentación y Medio Ambiente (MAPAMA) para este cultivo y para los usos oficialmente autorizados. </w:t>
      </w:r>
    </w:p>
    <w:p w:rsidR="00412AFB" w:rsidRPr="00993936" w:rsidRDefault="00412AFB" w:rsidP="00412AFB">
      <w:pPr>
        <w:jc w:val="both"/>
        <w:rPr>
          <w:rFonts w:ascii="Arial" w:hAnsi="Arial" w:cs="Arial"/>
          <w:lang w:val="es-ES"/>
        </w:rPr>
      </w:pPr>
      <w:r w:rsidRPr="00993936">
        <w:rPr>
          <w:rFonts w:ascii="Arial" w:hAnsi="Arial" w:cs="Arial"/>
          <w:lang w:val="es-ES"/>
        </w:rPr>
        <w:t>9.2.8 Aplicar productos fitosanitarios de perfil toxicológico (T+) (muy tóxicos) o que en su clasificación y etiquetado presenten advertencias de riesgo con un perfil muy tóxico o mortales para la salud humana.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9.2.9 Aplicar productos fitosanitarios a menos de 50 metros de captaciones de agua de consumo humano.</w:t>
      </w:r>
    </w:p>
    <w:p w:rsidR="00412AFB" w:rsidRPr="00993936" w:rsidRDefault="006E0CBA" w:rsidP="00412AFB">
      <w:pPr>
        <w:jc w:val="both"/>
        <w:rPr>
          <w:rFonts w:ascii="Arial" w:hAnsi="Arial" w:cs="Arial"/>
          <w:lang w:val="es-ES"/>
        </w:rPr>
      </w:pPr>
      <w:r w:rsidRPr="00993936">
        <w:rPr>
          <w:rFonts w:ascii="Arial" w:hAnsi="Arial" w:cs="Arial"/>
          <w:lang w:val="es-ES"/>
        </w:rPr>
        <w:t xml:space="preserve">9.2.10 </w:t>
      </w:r>
      <w:r w:rsidR="00412AFB" w:rsidRPr="00993936">
        <w:rPr>
          <w:rFonts w:ascii="Arial" w:hAnsi="Arial" w:cs="Arial"/>
          <w:lang w:val="es-ES"/>
        </w:rPr>
        <w:t>La utilización de herbicidas residuales en los suelos arenosos.</w:t>
      </w:r>
    </w:p>
    <w:p w:rsidR="00412AFB" w:rsidRPr="00993936" w:rsidRDefault="00412AFB" w:rsidP="00412AFB">
      <w:pPr>
        <w:jc w:val="both"/>
        <w:rPr>
          <w:rFonts w:ascii="Arial" w:hAnsi="Arial" w:cs="Arial"/>
          <w:lang w:val="es-ES"/>
        </w:rPr>
      </w:pPr>
      <w:r w:rsidRPr="00993936">
        <w:rPr>
          <w:rFonts w:ascii="Arial" w:hAnsi="Arial" w:cs="Arial"/>
          <w:lang w:val="es-ES"/>
        </w:rPr>
        <w:t>9.2.11 Dejar, en regadío, una zona desherbada entre hileras de árboles igual o superior al 30 % del total de la superficie comprendida entre las filas de árboles.</w:t>
      </w:r>
    </w:p>
    <w:p w:rsidR="00412AFB" w:rsidRPr="00993936" w:rsidRDefault="00412AFB" w:rsidP="00412AFB">
      <w:pPr>
        <w:jc w:val="both"/>
        <w:rPr>
          <w:rFonts w:ascii="Arial" w:hAnsi="Arial" w:cs="Arial"/>
          <w:lang w:val="es-ES"/>
        </w:rPr>
      </w:pPr>
      <w:r w:rsidRPr="00993936">
        <w:rPr>
          <w:rFonts w:ascii="Arial" w:hAnsi="Arial" w:cs="Arial"/>
          <w:lang w:val="es-ES"/>
        </w:rPr>
        <w:t>9.2.12 Utilizar cualquier herbicida que, a pesar de figurar en el Anexo de esta norma, se haya dado de baja del Registro oficial de productos y de material fitosanitario del Ministerio de Agricultura, Pesca, Alimentación y Medio Ambiente (MAPAMA) con posterioridad a la publicación de la disposición que lo aprueba o que haya perdido la autorización de uso correspondiente.</w:t>
      </w:r>
    </w:p>
    <w:p w:rsidR="00412AFB" w:rsidRPr="00993936" w:rsidRDefault="00412AFB" w:rsidP="00412AFB">
      <w:pPr>
        <w:jc w:val="both"/>
        <w:rPr>
          <w:rFonts w:ascii="Arial" w:hAnsi="Arial" w:cs="Arial"/>
          <w:lang w:val="es-ES"/>
        </w:rPr>
      </w:pPr>
      <w:r w:rsidRPr="00993936">
        <w:rPr>
          <w:rFonts w:ascii="Arial" w:hAnsi="Arial" w:cs="Arial"/>
          <w:lang w:val="es-ES"/>
        </w:rPr>
        <w:t>9</w:t>
      </w:r>
      <w:r w:rsidR="00C03DD4" w:rsidRPr="00993936">
        <w:rPr>
          <w:rFonts w:ascii="Arial" w:hAnsi="Arial" w:cs="Arial"/>
          <w:lang w:val="es-ES"/>
        </w:rPr>
        <w:t>.2</w:t>
      </w:r>
      <w:r w:rsidRPr="00993936">
        <w:rPr>
          <w:rFonts w:ascii="Arial" w:hAnsi="Arial" w:cs="Arial"/>
          <w:lang w:val="es-ES"/>
        </w:rPr>
        <w:t>.13 Utilizar calendarios de tratamientos y realizar aplicaciones indiscriminadas sin prescripción técnica.</w:t>
      </w:r>
    </w:p>
    <w:p w:rsidR="00412AFB" w:rsidRPr="00993936" w:rsidRDefault="00412AFB" w:rsidP="00412AFB">
      <w:pPr>
        <w:jc w:val="both"/>
        <w:rPr>
          <w:rFonts w:ascii="Arial" w:hAnsi="Arial" w:cs="Arial"/>
          <w:lang w:val="es-ES"/>
        </w:rPr>
      </w:pPr>
      <w:r w:rsidRPr="00993936">
        <w:rPr>
          <w:rFonts w:ascii="Arial" w:hAnsi="Arial" w:cs="Arial"/>
          <w:lang w:val="es-ES"/>
        </w:rPr>
        <w:t>9</w:t>
      </w:r>
      <w:r w:rsidR="00C03DD4" w:rsidRPr="00993936">
        <w:rPr>
          <w:rFonts w:ascii="Arial" w:hAnsi="Arial" w:cs="Arial"/>
          <w:lang w:val="es-ES"/>
        </w:rPr>
        <w:t>.2</w:t>
      </w:r>
      <w:r w:rsidRPr="00993936">
        <w:rPr>
          <w:rFonts w:ascii="Arial" w:hAnsi="Arial" w:cs="Arial"/>
          <w:lang w:val="es-ES"/>
        </w:rPr>
        <w:t>.14 Aplicar productos fitosanitarios en condiciones meteorológicamente desfavorables, para evitar la deriva de los productos.</w:t>
      </w:r>
    </w:p>
    <w:p w:rsidR="00412AFB" w:rsidRPr="00993936" w:rsidRDefault="00412AFB" w:rsidP="00412AFB">
      <w:pPr>
        <w:jc w:val="both"/>
        <w:rPr>
          <w:rFonts w:ascii="Arial" w:hAnsi="Arial" w:cs="Arial"/>
          <w:lang w:val="es-ES"/>
        </w:rPr>
      </w:pPr>
      <w:r w:rsidRPr="00993936">
        <w:rPr>
          <w:rFonts w:ascii="Arial" w:hAnsi="Arial" w:cs="Arial"/>
          <w:lang w:val="es-ES"/>
        </w:rPr>
        <w:t>9</w:t>
      </w:r>
      <w:r w:rsidR="00C03DD4" w:rsidRPr="00993936">
        <w:rPr>
          <w:rFonts w:ascii="Arial" w:hAnsi="Arial" w:cs="Arial"/>
          <w:lang w:val="es-ES"/>
        </w:rPr>
        <w:t>.2</w:t>
      </w:r>
      <w:r w:rsidRPr="00993936">
        <w:rPr>
          <w:rFonts w:ascii="Arial" w:hAnsi="Arial" w:cs="Arial"/>
          <w:lang w:val="es-ES"/>
        </w:rPr>
        <w:t>.15 Utilizar herbicidas residuales en las tierras arenosas. En otros terrenos solamente pueden utilizarse una vez al año, a excepción de que se fraccionen las dosis autorizadas.</w:t>
      </w:r>
    </w:p>
    <w:p w:rsidR="00412AFB" w:rsidRPr="00993936" w:rsidRDefault="00412AFB" w:rsidP="00412AFB">
      <w:pPr>
        <w:jc w:val="both"/>
        <w:rPr>
          <w:rFonts w:ascii="Arial" w:hAnsi="Arial" w:cs="Arial"/>
          <w:lang w:val="es-ES"/>
        </w:rPr>
      </w:pPr>
      <w:r w:rsidRPr="00993936">
        <w:rPr>
          <w:rFonts w:ascii="Arial" w:hAnsi="Arial" w:cs="Arial"/>
          <w:lang w:val="es-ES"/>
        </w:rPr>
        <w:t>9</w:t>
      </w:r>
      <w:r w:rsidR="00C03DD4" w:rsidRPr="00993936">
        <w:rPr>
          <w:rFonts w:ascii="Arial" w:hAnsi="Arial" w:cs="Arial"/>
          <w:lang w:val="es-ES"/>
        </w:rPr>
        <w:t>.2</w:t>
      </w:r>
      <w:r w:rsidRPr="00993936">
        <w:rPr>
          <w:rFonts w:ascii="Arial" w:hAnsi="Arial" w:cs="Arial"/>
          <w:lang w:val="es-ES"/>
        </w:rPr>
        <w:t>.16 Utilizar herbicidas con una persistencia en el suelo que sea superior a un año.</w:t>
      </w:r>
    </w:p>
    <w:p w:rsidR="00412AFB" w:rsidRPr="00993936" w:rsidRDefault="00412AFB" w:rsidP="00412AFB">
      <w:pPr>
        <w:jc w:val="both"/>
        <w:rPr>
          <w:rFonts w:ascii="Arial" w:hAnsi="Arial" w:cs="Arial"/>
          <w:lang w:val="es-ES"/>
        </w:rPr>
      </w:pPr>
      <w:r w:rsidRPr="00993936">
        <w:rPr>
          <w:rFonts w:ascii="Arial" w:hAnsi="Arial" w:cs="Arial"/>
          <w:lang w:val="es-ES"/>
        </w:rPr>
        <w:t xml:space="preserve">9.3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9.3.1 Realizar los tratamientos fitosanitarios con velocidades de viento inferiores a </w:t>
      </w:r>
      <w:smartTag w:uri="urn:schemas-microsoft-com:office:smarttags" w:element="metricconverter">
        <w:smartTagPr>
          <w:attr w:name="ProductID" w:val="10,8 km"/>
        </w:smartTagPr>
        <w:r w:rsidRPr="00993936">
          <w:rPr>
            <w:rFonts w:ascii="Arial" w:hAnsi="Arial" w:cs="Arial"/>
            <w:lang w:val="es-ES"/>
          </w:rPr>
          <w:t>10,8 km/h</w:t>
        </w:r>
      </w:smartTag>
      <w:r w:rsidRPr="00993936">
        <w:rPr>
          <w:rFonts w:ascii="Arial" w:hAnsi="Arial" w:cs="Arial"/>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9.3.2 Utilizar modelos de predicción de plagas y enfermedades, en caso de que existan y que se hayan contrastado en la zona de cultivo.</w:t>
      </w:r>
    </w:p>
    <w:p w:rsidR="00412AFB" w:rsidRPr="00993936" w:rsidRDefault="00412AFB" w:rsidP="00412AFB">
      <w:pPr>
        <w:jc w:val="both"/>
        <w:rPr>
          <w:rFonts w:ascii="Arial" w:hAnsi="Arial" w:cs="Arial"/>
          <w:lang w:val="es-ES"/>
        </w:rPr>
      </w:pPr>
      <w:r w:rsidRPr="00993936">
        <w:rPr>
          <w:rFonts w:ascii="Arial" w:hAnsi="Arial" w:cs="Arial"/>
          <w:lang w:val="es-ES"/>
        </w:rPr>
        <w:t xml:space="preserve">9.3.3 En caso de que las malas hierbas estén controladas en la superficie de suelo entre árboles, para tal fin se utilizarán preferentemente métodos como el acolchado (cobertura con materia inerte), la cobertura con los restos del material vegetal segado, o bien métodos mecánicos como la siega o el cultivo. </w:t>
      </w:r>
    </w:p>
    <w:p w:rsidR="00412AFB" w:rsidRPr="00993936" w:rsidRDefault="00412AFB" w:rsidP="00412AFB">
      <w:pPr>
        <w:jc w:val="both"/>
        <w:rPr>
          <w:rFonts w:ascii="Arial" w:hAnsi="Arial" w:cs="Arial"/>
          <w:lang w:val="es-ES"/>
        </w:rPr>
      </w:pPr>
      <w:r w:rsidRPr="00993936">
        <w:rPr>
          <w:rFonts w:ascii="Arial" w:hAnsi="Arial" w:cs="Arial"/>
          <w:lang w:val="es-ES"/>
        </w:rPr>
        <w:t>9.3.4 Controlar las malas hierbas empleando técnicas de control integrado.</w:t>
      </w:r>
    </w:p>
    <w:p w:rsidR="00412AFB" w:rsidRPr="00993936" w:rsidRDefault="00412AFB" w:rsidP="00412AFB">
      <w:pPr>
        <w:jc w:val="both"/>
        <w:rPr>
          <w:rFonts w:ascii="Arial" w:hAnsi="Arial" w:cs="Arial"/>
          <w:lang w:val="es-ES"/>
        </w:rPr>
      </w:pPr>
      <w:r w:rsidRPr="00993936">
        <w:rPr>
          <w:rFonts w:ascii="Arial" w:hAnsi="Arial" w:cs="Arial"/>
          <w:lang w:val="es-ES"/>
        </w:rPr>
        <w:t>9.3.5 Seguir las pautas descritas en la tabla 4.1 «Volumen recomendado de caldo y caudal de aire de los pulverizadores hidroneumáticos y equipos hidráulicos (pistolas) para realizar los tratamientos fitosanitarios» del punto 4. Tratamientos fitosanitarios, del Apéndice I: Tablas.</w:t>
      </w:r>
    </w:p>
    <w:p w:rsidR="00412AFB" w:rsidRPr="00993936" w:rsidRDefault="00412AFB" w:rsidP="00412AFB">
      <w:pPr>
        <w:jc w:val="both"/>
        <w:rPr>
          <w:rFonts w:ascii="Arial" w:hAnsi="Arial" w:cs="Arial"/>
          <w:lang w:val="es-ES"/>
        </w:rPr>
      </w:pPr>
      <w:r w:rsidRPr="00993936">
        <w:rPr>
          <w:rFonts w:ascii="Arial" w:hAnsi="Arial" w:cs="Arial"/>
          <w:lang w:val="es-ES"/>
        </w:rPr>
        <w:t>9.3.6 Establecer un inventario y valoración de fauna auxiliar y agentes nocivos.</w:t>
      </w:r>
    </w:p>
    <w:p w:rsidR="00412AFB" w:rsidRPr="00993936" w:rsidRDefault="00412AFB" w:rsidP="00412AFB">
      <w:pPr>
        <w:jc w:val="both"/>
        <w:rPr>
          <w:rFonts w:ascii="Arial" w:hAnsi="Arial" w:cs="Arial"/>
          <w:lang w:val="es-ES"/>
        </w:rPr>
      </w:pPr>
      <w:r w:rsidRPr="00993936">
        <w:rPr>
          <w:rFonts w:ascii="Arial" w:hAnsi="Arial" w:cs="Arial"/>
          <w:lang w:val="es-ES"/>
        </w:rPr>
        <w:t xml:space="preserve">9.3.7 Colocar trampas cromotrópicas y de feromonas como método de estimación del riesgo y del control de plagas. (Véase el Apéndice II: Plagas y enfermedades). </w:t>
      </w:r>
    </w:p>
    <w:p w:rsidR="00412AFB" w:rsidRPr="00993936" w:rsidRDefault="00412AFB" w:rsidP="00412AFB">
      <w:pPr>
        <w:jc w:val="both"/>
        <w:rPr>
          <w:rFonts w:ascii="Arial" w:hAnsi="Arial" w:cs="Arial"/>
          <w:lang w:val="es-ES"/>
        </w:rPr>
      </w:pPr>
      <w:r w:rsidRPr="00993936">
        <w:rPr>
          <w:rFonts w:ascii="Arial" w:hAnsi="Arial" w:cs="Arial"/>
          <w:lang w:val="es-ES"/>
        </w:rPr>
        <w:t>9.3.8 En caso de tratamientos químicos, alternar sustancias activas de diferentes grupos químicos y mecanismo de acción para evitar problemas de resistencias; no deben realizarse más de dos tratamientos seguidos con la misma sustancia activa.</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9.3.9 No utilizar productos fitosanitarios de más de dos años desde la fecha de fabricación, excepto que la etiqueta especifique un plazo inferior.</w:t>
      </w:r>
    </w:p>
    <w:p w:rsidR="00412AFB" w:rsidRPr="00993936" w:rsidRDefault="00412AFB" w:rsidP="00412AFB">
      <w:pPr>
        <w:jc w:val="both"/>
        <w:rPr>
          <w:rFonts w:ascii="Arial" w:hAnsi="Arial" w:cs="Arial"/>
          <w:lang w:val="es-ES"/>
        </w:rPr>
      </w:pPr>
      <w:r w:rsidRPr="00993936">
        <w:rPr>
          <w:rFonts w:ascii="Arial" w:hAnsi="Arial" w:cs="Arial"/>
          <w:lang w:val="es-ES"/>
        </w:rPr>
        <w:t>9.3.10 Cuando se utilicen herbicidas, se recomienda usar aquellos cuya persistencia en el suelo sea inferior a seis meses.</w:t>
      </w:r>
    </w:p>
    <w:p w:rsidR="00412AFB" w:rsidRPr="00993936" w:rsidRDefault="00412AFB" w:rsidP="00412AFB">
      <w:pPr>
        <w:jc w:val="both"/>
        <w:rPr>
          <w:rFonts w:ascii="Arial" w:hAnsi="Arial" w:cs="Arial"/>
          <w:lang w:val="es-ES"/>
        </w:rPr>
      </w:pPr>
      <w:r w:rsidRPr="00993936">
        <w:rPr>
          <w:rFonts w:ascii="Arial" w:hAnsi="Arial" w:cs="Arial"/>
          <w:lang w:val="es-ES"/>
        </w:rPr>
        <w:t>9.3.11 Disponer la explotación de zonas preparadas expresamente para llenar cubos, lavar equipos, depositar restos de caldo no utilizados, etc.</w:t>
      </w:r>
    </w:p>
    <w:p w:rsidR="00412AFB" w:rsidRPr="00993936" w:rsidRDefault="00412AFB" w:rsidP="00412AFB">
      <w:pPr>
        <w:jc w:val="both"/>
        <w:rPr>
          <w:rFonts w:ascii="Arial" w:hAnsi="Arial" w:cs="Arial"/>
          <w:lang w:val="es-ES"/>
        </w:rPr>
      </w:pPr>
      <w:r w:rsidRPr="00993936">
        <w:rPr>
          <w:rFonts w:ascii="Arial" w:hAnsi="Arial" w:cs="Arial"/>
          <w:lang w:val="es-ES"/>
        </w:rPr>
        <w:t>3.9.12 Aplicar tratamientos para prevenir la infección, en caso de que haya heridas causadas por accidentes meteorológicos.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10</w:t>
      </w:r>
      <w:r w:rsidR="00E03B3B" w:rsidRPr="00993936">
        <w:rPr>
          <w:rFonts w:ascii="Arial" w:hAnsi="Arial" w:cs="Arial"/>
          <w:lang w:val="es-ES"/>
        </w:rPr>
        <w:t xml:space="preserve"> </w:t>
      </w:r>
    </w:p>
    <w:p w:rsidR="00412AFB" w:rsidRPr="00993936" w:rsidRDefault="00412AFB" w:rsidP="00412AFB">
      <w:pPr>
        <w:jc w:val="both"/>
        <w:rPr>
          <w:rFonts w:ascii="Arial" w:hAnsi="Arial" w:cs="Arial"/>
          <w:b/>
          <w:lang w:val="es-ES"/>
        </w:rPr>
      </w:pPr>
      <w:r w:rsidRPr="00993936">
        <w:rPr>
          <w:rFonts w:ascii="Arial" w:hAnsi="Arial" w:cs="Arial"/>
          <w:b/>
          <w:lang w:val="es-ES"/>
        </w:rPr>
        <w:t>Recolección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10.1.1 Realizar la recolección en las fechas y condiciones adecuadas para evitar lesiones en los productos vegetales que reduzcan la calidad y propicien infecciones de patógenos causantes de podredumbres.</w:t>
      </w:r>
    </w:p>
    <w:p w:rsidR="00412AFB" w:rsidRPr="00993936" w:rsidRDefault="00412AFB" w:rsidP="00412AFB">
      <w:pPr>
        <w:jc w:val="both"/>
        <w:rPr>
          <w:rFonts w:ascii="Arial" w:hAnsi="Arial" w:cs="Arial"/>
          <w:lang w:val="es-ES"/>
        </w:rPr>
      </w:pPr>
      <w:r w:rsidRPr="00993936">
        <w:rPr>
          <w:rFonts w:ascii="Arial" w:hAnsi="Arial" w:cs="Arial"/>
          <w:lang w:val="es-ES"/>
        </w:rPr>
        <w:t>10.1.2 Se eliminarán los frutos que presenten síntomas con presencia de patógenos causantes de podredumbres.</w:t>
      </w:r>
    </w:p>
    <w:p w:rsidR="00412AFB" w:rsidRPr="00993936" w:rsidRDefault="00412AFB" w:rsidP="00412AFB">
      <w:pPr>
        <w:jc w:val="both"/>
        <w:rPr>
          <w:rFonts w:ascii="Arial" w:hAnsi="Arial" w:cs="Arial"/>
          <w:lang w:val="es-ES"/>
        </w:rPr>
      </w:pPr>
      <w:r w:rsidRPr="00993936">
        <w:rPr>
          <w:rFonts w:ascii="Arial" w:hAnsi="Arial" w:cs="Arial"/>
          <w:lang w:val="es-ES"/>
        </w:rPr>
        <w:t xml:space="preserve">10.1.3 Recolectar los frutos en un estado de madurez que permita alcanzar las exigencias de la calidad comercial. Se exigirá un índice de madurez mínima de 6,5 para satsumas, 7 para clementinas, 8 para </w:t>
      </w:r>
      <w:r w:rsidR="008B63CC" w:rsidRPr="00993936">
        <w:rPr>
          <w:rFonts w:ascii="Arial" w:hAnsi="Arial" w:cs="Arial"/>
          <w:lang w:val="es-ES"/>
        </w:rPr>
        <w:t>F</w:t>
      </w:r>
      <w:r w:rsidRPr="00993936">
        <w:rPr>
          <w:rFonts w:ascii="Arial" w:hAnsi="Arial" w:cs="Arial"/>
          <w:lang w:val="es-ES"/>
        </w:rPr>
        <w:t>ortune, 7,5 para ortanique, 7 para otros híbridos y 6,5 para naranjas. Los porcentajes de zumo (respecto al peso total del fruto) requeridos se establecen en el 40 % para clementinas, el 33 % para el grupo mandarinas —sus híbridos y satsumas pero no clementinas—, 33 % para el grupo de naranjas navel, el 30 % para naranjas sanguinas y el 35 % para el resto de las variedades de naranjas.</w:t>
      </w:r>
    </w:p>
    <w:p w:rsidR="00412AFB" w:rsidRPr="00993936" w:rsidRDefault="00412AFB" w:rsidP="00412AFB">
      <w:pPr>
        <w:jc w:val="both"/>
        <w:rPr>
          <w:rFonts w:ascii="Arial" w:hAnsi="Arial" w:cs="Arial"/>
          <w:lang w:val="es-ES"/>
        </w:rPr>
      </w:pPr>
      <w:r w:rsidRPr="00993936">
        <w:rPr>
          <w:rFonts w:ascii="Arial" w:hAnsi="Arial" w:cs="Arial"/>
          <w:lang w:val="es-ES"/>
        </w:rPr>
        <w:t>10.1.4 La fruta entrará en el almacén durante las primeras 24 horas desde su recolección.</w:t>
      </w:r>
    </w:p>
    <w:p w:rsidR="00412AFB" w:rsidRPr="00993936" w:rsidRDefault="00412AFB" w:rsidP="00412AFB">
      <w:pPr>
        <w:pStyle w:val="Textoindependiente"/>
        <w:rPr>
          <w:rFonts w:cs="Arial"/>
          <w:szCs w:val="22"/>
          <w:lang w:val="es-ES"/>
        </w:rPr>
      </w:pPr>
      <w:r w:rsidRPr="00993936">
        <w:rPr>
          <w:rFonts w:cs="Arial"/>
          <w:szCs w:val="22"/>
          <w:lang w:val="es-ES"/>
        </w:rPr>
        <w:t>10.1.5 Cuando los productos recolectados no sean trasladados al almacén manipulador el mismo día de la recolección, deberán colocarse en un abrigadero o bajo unas condiciones que eviten la incidencia directa de los agentes atmosféricos y en un lugar con la máxima ventilación, hasta el momento de su envío al almacén manipulador. En caso de que su manipulación se realice en el campo y cuando haya algún riesgo de contaminación, el embalaje deberá retirarse durante la noche.</w:t>
      </w:r>
    </w:p>
    <w:p w:rsidR="00412AFB" w:rsidRPr="00993936" w:rsidRDefault="00412AFB" w:rsidP="00412AFB">
      <w:pPr>
        <w:jc w:val="both"/>
        <w:rPr>
          <w:rFonts w:ascii="Arial" w:hAnsi="Arial" w:cs="Arial"/>
          <w:lang w:val="es-ES"/>
        </w:rPr>
      </w:pPr>
      <w:r w:rsidRPr="00993936">
        <w:rPr>
          <w:rFonts w:ascii="Arial" w:hAnsi="Arial" w:cs="Arial"/>
          <w:lang w:val="es-ES"/>
        </w:rPr>
        <w:t xml:space="preserve">10.1.6 Todas las personas operadoras que deseen obtener la certificación o comercializar productos con la identificación de garantía de producción integrada deberán acogerse a un programa de autocontrol individual o colectivo, de acuerdo con lo previsto en el artículo 34 de esta norma, durante la recolección y/o elaboración para analizar la posible presencia de residuos de productos fitosanitarios, y en virtud de lo que establecen los artículos 12 (f) y 13 (g) del Decreto 241/2002, con el objetivo de garantizar que se han utilizado exclusivamente las materias activas seleccionadas en la estrategia de producción integrada, y que se cumple con lo establecido en la </w:t>
      </w:r>
      <w:r w:rsidRPr="00993936">
        <w:rPr>
          <w:rFonts w:ascii="Arial" w:hAnsi="Arial" w:cs="Arial"/>
          <w:lang w:val="es-ES"/>
        </w:rPr>
        <w:lastRenderedPageBreak/>
        <w:t xml:space="preserve">legislación española en relación con los límites máximos de residuos </w:t>
      </w:r>
      <w:r w:rsidRPr="00993936">
        <w:rPr>
          <w:rFonts w:ascii="Arial" w:hAnsi="Arial" w:cs="Arial"/>
          <w:i/>
          <w:lang w:val="es-ES"/>
        </w:rPr>
        <w:t>(LMR)</w:t>
      </w:r>
      <w:r w:rsidRPr="00993936">
        <w:rPr>
          <w:rFonts w:ascii="Arial" w:hAnsi="Arial" w:cs="Arial"/>
          <w:lang w:val="es-ES"/>
        </w:rPr>
        <w:t xml:space="preserve"> de productos fitosanitarios.</w:t>
      </w:r>
    </w:p>
    <w:p w:rsidR="00412AFB" w:rsidRPr="00993936" w:rsidRDefault="00412AFB" w:rsidP="00412AFB">
      <w:pPr>
        <w:pStyle w:val="Textoindependiente"/>
        <w:rPr>
          <w:rFonts w:cs="Arial"/>
          <w:szCs w:val="22"/>
          <w:lang w:val="es-ES"/>
        </w:rPr>
      </w:pPr>
      <w:r w:rsidRPr="00993936">
        <w:rPr>
          <w:rFonts w:cs="Arial"/>
          <w:szCs w:val="22"/>
          <w:lang w:val="es-ES"/>
        </w:rPr>
        <w:t>10.1.7 Las personas operadoras deberán recibir instrucciones básicas sobre higiene y deberán conocer la obligación de comunicar cualquier enfermedad contagiosa que pueda incapacitarlas para realizar este trabajo.</w:t>
      </w:r>
    </w:p>
    <w:p w:rsidR="00412AFB" w:rsidRPr="00993936" w:rsidRDefault="00412AFB" w:rsidP="00412AFB">
      <w:pPr>
        <w:jc w:val="both"/>
        <w:rPr>
          <w:rFonts w:ascii="Arial" w:hAnsi="Arial" w:cs="Arial"/>
          <w:lang w:val="es-ES"/>
        </w:rPr>
      </w:pPr>
      <w:r w:rsidRPr="00993936">
        <w:rPr>
          <w:rFonts w:ascii="Arial" w:hAnsi="Arial" w:cs="Arial"/>
          <w:lang w:val="es-ES"/>
        </w:rPr>
        <w:t>10.1.8 Para producciones dirigidas a otros mercados distintos del nacional, verificar que cumplen la legislación establecida en el lugar de destino, en relación con el contenido de residuos.</w:t>
      </w:r>
    </w:p>
    <w:p w:rsidR="00412AFB" w:rsidRPr="00993936" w:rsidRDefault="00412AFB" w:rsidP="00412AFB">
      <w:pPr>
        <w:pStyle w:val="Textoindependiente"/>
        <w:rPr>
          <w:rFonts w:cs="Arial"/>
          <w:szCs w:val="22"/>
          <w:lang w:val="es-ES"/>
        </w:rPr>
      </w:pPr>
      <w:r w:rsidRPr="00993936">
        <w:rPr>
          <w:rFonts w:cs="Arial"/>
          <w:szCs w:val="22"/>
          <w:lang w:val="es-ES"/>
        </w:rPr>
        <w:t>10.1.9 Almacenar los embalajes de forma que se evite la contaminación por plagas y/o enfermedades.</w:t>
      </w:r>
    </w:p>
    <w:p w:rsidR="00412AFB" w:rsidRPr="00993936" w:rsidRDefault="00412AFB" w:rsidP="00412AFB">
      <w:pPr>
        <w:jc w:val="both"/>
        <w:rPr>
          <w:rFonts w:ascii="Arial" w:hAnsi="Arial" w:cs="Arial"/>
          <w:lang w:val="es-ES"/>
        </w:rPr>
      </w:pPr>
      <w:r w:rsidRPr="00993936">
        <w:rPr>
          <w:rFonts w:ascii="Arial" w:hAnsi="Arial" w:cs="Arial"/>
          <w:lang w:val="es-ES"/>
        </w:rPr>
        <w:t>10.1.10 Controlar que los envases reciclables estén limpios y no tengan materiales extraños que puedan perjudicar el producto y/o la salud del consumidor.</w:t>
      </w:r>
    </w:p>
    <w:p w:rsidR="00412AFB" w:rsidRPr="00993936" w:rsidRDefault="00412AFB" w:rsidP="00412AFB">
      <w:pPr>
        <w:jc w:val="both"/>
        <w:rPr>
          <w:rFonts w:ascii="Arial" w:hAnsi="Arial" w:cs="Arial"/>
          <w:lang w:val="es-ES"/>
        </w:rPr>
      </w:pPr>
      <w:r w:rsidRPr="00993936">
        <w:rPr>
          <w:rFonts w:ascii="Arial" w:hAnsi="Arial" w:cs="Arial"/>
          <w:lang w:val="es-ES"/>
        </w:rPr>
        <w:t>10.1.11 Los envases de campo deberán llevar una identificación inequívoca de la parcela de procedencia, de la variedad y del tipo de producción.</w:t>
      </w:r>
      <w:r w:rsidR="00E03B3B" w:rsidRPr="00993936">
        <w:rPr>
          <w:rFonts w:ascii="Arial" w:hAnsi="Arial" w:cs="Arial"/>
          <w:lang w:val="es-ES"/>
        </w:rPr>
        <w:t xml:space="preserve"> </w:t>
      </w:r>
    </w:p>
    <w:p w:rsidR="00412AFB" w:rsidRPr="00993936" w:rsidRDefault="00412AFB" w:rsidP="00412AFB">
      <w:pPr>
        <w:jc w:val="both"/>
        <w:rPr>
          <w:rFonts w:ascii="Arial" w:hAnsi="Arial" w:cs="Arial"/>
          <w:lang w:val="es-ES"/>
        </w:rPr>
      </w:pPr>
      <w:r w:rsidRPr="00993936">
        <w:rPr>
          <w:rFonts w:ascii="Arial" w:hAnsi="Arial" w:cs="Arial"/>
          <w:lang w:val="es-ES"/>
        </w:rPr>
        <w:t xml:space="preserve">10.2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10.2.1 Abandonar los desechos en la parcela si su presencia representa un riesgo para la propagación de plagas o enfermedades de los vegetales.</w:t>
      </w:r>
    </w:p>
    <w:p w:rsidR="00412AFB" w:rsidRPr="00993936" w:rsidRDefault="00412AFB" w:rsidP="00412AFB">
      <w:pPr>
        <w:pStyle w:val="Textoindependiente"/>
        <w:rPr>
          <w:rFonts w:cs="Arial"/>
          <w:szCs w:val="22"/>
          <w:lang w:val="es-ES"/>
        </w:rPr>
      </w:pPr>
      <w:r w:rsidRPr="00993936">
        <w:rPr>
          <w:rFonts w:cs="Arial"/>
          <w:szCs w:val="22"/>
          <w:lang w:val="es-ES"/>
        </w:rPr>
        <w:t>10.2.2 Dejar fruta abandonada en la parcela si representa un peligro de propagación de plagas o de enfermedades vegetales.</w:t>
      </w:r>
    </w:p>
    <w:p w:rsidR="00412AFB" w:rsidRPr="00993936" w:rsidRDefault="00412AFB" w:rsidP="00412AFB">
      <w:pPr>
        <w:jc w:val="both"/>
        <w:outlineLvl w:val="0"/>
        <w:rPr>
          <w:rFonts w:ascii="Arial" w:hAnsi="Arial" w:cs="Arial"/>
          <w:lang w:val="es-ES"/>
        </w:rPr>
      </w:pPr>
      <w:r w:rsidRPr="00993936">
        <w:rPr>
          <w:rFonts w:ascii="Arial" w:hAnsi="Arial" w:cs="Arial"/>
          <w:lang w:val="es-ES"/>
        </w:rPr>
        <w:t>10.2.3 Efectuar la recolección cuando los productos vegetales estén mojados a causa de la lluvia. No será de aplicación esta prohibición en condiciones de humedad relativa elevada a causa de la niebla, rocío u otros agentes meteorológicos.</w:t>
      </w:r>
    </w:p>
    <w:p w:rsidR="00412AFB" w:rsidRPr="00993936" w:rsidRDefault="00412AFB" w:rsidP="00412AFB">
      <w:pPr>
        <w:jc w:val="both"/>
        <w:rPr>
          <w:rFonts w:ascii="Arial" w:hAnsi="Arial" w:cs="Arial"/>
          <w:lang w:val="es-ES"/>
        </w:rPr>
      </w:pPr>
      <w:r w:rsidRPr="00993936">
        <w:rPr>
          <w:rFonts w:ascii="Arial" w:hAnsi="Arial" w:cs="Arial"/>
          <w:lang w:val="es-ES"/>
        </w:rPr>
        <w:t xml:space="preserve">10.3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10.3.1 Disponer de los instrumentos adecuados que permitan evaluar el grado de madurez del producto y sus principales características cualitativas.</w:t>
      </w:r>
    </w:p>
    <w:p w:rsidR="00412AFB" w:rsidRPr="00993936" w:rsidRDefault="00412AFB" w:rsidP="00412AFB">
      <w:pPr>
        <w:jc w:val="both"/>
        <w:rPr>
          <w:rFonts w:ascii="Arial" w:hAnsi="Arial" w:cs="Arial"/>
          <w:lang w:val="es-ES"/>
        </w:rPr>
      </w:pPr>
      <w:r w:rsidRPr="00993936">
        <w:rPr>
          <w:rFonts w:ascii="Arial" w:hAnsi="Arial" w:cs="Arial"/>
          <w:lang w:val="es-ES"/>
        </w:rPr>
        <w:t>10.3.2 Llevar un registro semanal de las partidas significativas de cada variedad y de los índices de refractometría.</w:t>
      </w:r>
    </w:p>
    <w:p w:rsidR="00412AFB" w:rsidRPr="00993936" w:rsidRDefault="00412AFB" w:rsidP="00412AFB">
      <w:pPr>
        <w:jc w:val="both"/>
        <w:rPr>
          <w:rFonts w:ascii="Arial" w:hAnsi="Arial" w:cs="Arial"/>
          <w:lang w:val="es-ES"/>
        </w:rPr>
      </w:pPr>
      <w:r w:rsidRPr="00993936">
        <w:rPr>
          <w:rFonts w:ascii="Arial" w:hAnsi="Arial" w:cs="Arial"/>
          <w:lang w:val="es-ES"/>
        </w:rPr>
        <w:t>10.3.3 Realizar la recolección en un momento adecuado para cada variedad y tipo de presentación.</w:t>
      </w:r>
    </w:p>
    <w:p w:rsidR="00412AFB" w:rsidRPr="00993936" w:rsidRDefault="00412AFB" w:rsidP="00412AFB">
      <w:pPr>
        <w:pStyle w:val="Textoindependiente"/>
        <w:rPr>
          <w:rFonts w:cs="Arial"/>
          <w:szCs w:val="22"/>
          <w:lang w:val="es-ES"/>
        </w:rPr>
      </w:pPr>
      <w:r w:rsidRPr="00993936">
        <w:rPr>
          <w:rFonts w:cs="Arial"/>
          <w:szCs w:val="22"/>
          <w:lang w:val="es-ES"/>
        </w:rPr>
        <w:t>10.3.4 Realizar el traslado de los cítricos al centro manipulador con las mejores condiciones y con los medios más rápidos, para conseguir que su proceso de enfriamiento comience lo antes posible.</w:t>
      </w:r>
    </w:p>
    <w:p w:rsidR="00412AFB" w:rsidRPr="00993936" w:rsidRDefault="00412AFB" w:rsidP="00412AFB">
      <w:pPr>
        <w:pStyle w:val="Textoindependiente"/>
        <w:rPr>
          <w:rFonts w:cs="Arial"/>
          <w:szCs w:val="22"/>
          <w:lang w:val="es-ES"/>
        </w:rPr>
      </w:pPr>
      <w:r w:rsidRPr="00993936">
        <w:rPr>
          <w:rFonts w:cs="Arial"/>
          <w:szCs w:val="22"/>
          <w:lang w:val="es-ES"/>
        </w:rPr>
        <w:t>11.3.5 Utilizar agua potable para el lavado en el campo de los productos vegetales que vayan destinados a la comercialización.</w:t>
      </w: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11</w:t>
      </w:r>
    </w:p>
    <w:p w:rsidR="00412AFB" w:rsidRPr="00993936" w:rsidRDefault="00412AFB" w:rsidP="00412AFB">
      <w:pPr>
        <w:jc w:val="both"/>
        <w:rPr>
          <w:rFonts w:ascii="Arial" w:hAnsi="Arial" w:cs="Arial"/>
          <w:b/>
          <w:lang w:val="es-ES"/>
        </w:rPr>
      </w:pPr>
      <w:r w:rsidRPr="00993936">
        <w:rPr>
          <w:rFonts w:ascii="Arial" w:hAnsi="Arial" w:cs="Arial"/>
          <w:b/>
          <w:lang w:val="es-ES"/>
        </w:rPr>
        <w:t>Cuaderno de explotación</w:t>
      </w:r>
    </w:p>
    <w:p w:rsidR="00412AFB" w:rsidRPr="00993936" w:rsidRDefault="00412AFB" w:rsidP="00412AFB">
      <w:pPr>
        <w:jc w:val="both"/>
        <w:rPr>
          <w:rFonts w:ascii="Arial" w:hAnsi="Arial" w:cs="Arial"/>
          <w:i/>
          <w:lang w:val="es-ES"/>
        </w:rPr>
      </w:pPr>
      <w:r w:rsidRPr="00993936">
        <w:rPr>
          <w:rFonts w:ascii="Arial" w:hAnsi="Arial" w:cs="Arial"/>
          <w:lang w:val="es-ES"/>
        </w:rPr>
        <w:t xml:space="preserve">11.1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11.1.1 El modelo de cuaderno de explotación es único en cuanto al contenido de los datos que deben registrarse, y será aprobado por el Departamento de Agricultura, Ganadería, Pesca y Alimentación.</w:t>
      </w:r>
    </w:p>
    <w:p w:rsidR="00412AFB" w:rsidRPr="00993936" w:rsidRDefault="00412AFB" w:rsidP="00412AFB">
      <w:pPr>
        <w:jc w:val="both"/>
        <w:rPr>
          <w:rFonts w:ascii="Arial" w:hAnsi="Arial" w:cs="Arial"/>
          <w:lang w:val="es-ES"/>
        </w:rPr>
      </w:pPr>
      <w:r w:rsidRPr="00993936">
        <w:rPr>
          <w:rFonts w:ascii="Arial" w:hAnsi="Arial" w:cs="Arial"/>
          <w:lang w:val="es-ES"/>
        </w:rPr>
        <w:t>11.1.2 El productor de producción integrada, mediante su firma, se responsabilizará de la veracidad de las anotaciones realizadas en el cuaderno de explotación.</w:t>
      </w:r>
    </w:p>
    <w:p w:rsidR="00412AFB" w:rsidRPr="00993936" w:rsidRDefault="00412AFB" w:rsidP="00412AFB">
      <w:pPr>
        <w:pStyle w:val="Textoindependiente"/>
        <w:rPr>
          <w:rFonts w:cs="Arial"/>
          <w:szCs w:val="22"/>
          <w:lang w:val="es-ES"/>
        </w:rPr>
      </w:pPr>
      <w:r w:rsidRPr="00993936">
        <w:rPr>
          <w:rFonts w:cs="Arial"/>
          <w:szCs w:val="22"/>
          <w:lang w:val="es-ES"/>
        </w:rPr>
        <w:t>11.1.3 El cuaderno de explotación es obligatorio y estará siempre disponible para su inspección. Para la buena funcionalidad del sistema, las anotaciones de las operaciones habrán de realizarse en el plazo máximo de los siete días siguientes a su ejecución.</w:t>
      </w:r>
    </w:p>
    <w:p w:rsidR="00412AFB" w:rsidRPr="00993936" w:rsidRDefault="00412AFB" w:rsidP="00412AFB">
      <w:pPr>
        <w:jc w:val="both"/>
        <w:rPr>
          <w:rFonts w:ascii="Arial" w:hAnsi="Arial" w:cs="Arial"/>
          <w:lang w:val="es-ES"/>
        </w:rPr>
      </w:pPr>
      <w:r w:rsidRPr="00993936">
        <w:rPr>
          <w:rFonts w:ascii="Arial" w:hAnsi="Arial" w:cs="Arial"/>
          <w:lang w:val="es-ES"/>
        </w:rPr>
        <w:t>11.1.4 El cuaderno de explotación será controlado y supervisado periódicamente por el técnico responsable de producción integrada y, para que quede constancia de ello, se registrará la fecha y la firma en cada revisión.</w:t>
      </w:r>
    </w:p>
    <w:p w:rsidR="00412AFB" w:rsidRPr="00993936" w:rsidRDefault="00412AFB" w:rsidP="00412AFB">
      <w:pPr>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12</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Normas de calidad</w:t>
      </w:r>
    </w:p>
    <w:p w:rsidR="00412AFB" w:rsidRPr="00993936" w:rsidRDefault="00412AFB" w:rsidP="00412AFB">
      <w:pPr>
        <w:jc w:val="both"/>
        <w:rPr>
          <w:rFonts w:ascii="Arial" w:hAnsi="Arial" w:cs="Arial"/>
          <w:i/>
          <w:lang w:val="es-ES"/>
        </w:rPr>
      </w:pPr>
      <w:r w:rsidRPr="00993936">
        <w:rPr>
          <w:rFonts w:ascii="Arial" w:hAnsi="Arial" w:cs="Arial"/>
          <w:i/>
          <w:lang w:val="es-ES"/>
        </w:rPr>
        <w:t>12.1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12.1.1 Las categorías de cítricos amparadas por la denominación de producción integrada serán todas aquellas establecidas de acuerdo con las características que define la normativa vigente, relativas a normas de calidad y otros aspectos referentes a la comercialización. </w:t>
      </w:r>
    </w:p>
    <w:p w:rsidR="00412AFB" w:rsidRPr="00993936" w:rsidRDefault="00412AFB" w:rsidP="00412AFB">
      <w:pPr>
        <w:jc w:val="both"/>
        <w:rPr>
          <w:rFonts w:ascii="Arial" w:hAnsi="Arial" w:cs="Arial"/>
          <w:lang w:val="es-ES"/>
        </w:rPr>
      </w:pPr>
      <w:r w:rsidRPr="00993936">
        <w:rPr>
          <w:rFonts w:ascii="Arial" w:hAnsi="Arial" w:cs="Arial"/>
          <w:lang w:val="es-ES"/>
        </w:rPr>
        <w:t xml:space="preserve">Cada variedad tendrá unas características mínimas de calidad interna y externa para que pueda ser comercializada como fruta de producción integrada. </w:t>
      </w:r>
    </w:p>
    <w:p w:rsidR="00412AFB" w:rsidRPr="00993936" w:rsidRDefault="00412AFB" w:rsidP="00412AFB">
      <w:pPr>
        <w:rPr>
          <w:rFonts w:ascii="Arial" w:hAnsi="Arial" w:cs="Arial"/>
          <w:b/>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II.</w:t>
      </w:r>
      <w:r w:rsidR="00E03B3B" w:rsidRPr="00993936">
        <w:rPr>
          <w:rFonts w:ascii="Arial" w:hAnsi="Arial" w:cs="Arial"/>
          <w:b/>
          <w:lang w:val="es-ES"/>
        </w:rPr>
        <w:t xml:space="preserve"> </w:t>
      </w:r>
      <w:r w:rsidRPr="00993936">
        <w:rPr>
          <w:rFonts w:ascii="Arial" w:hAnsi="Arial" w:cs="Arial"/>
          <w:b/>
          <w:lang w:val="es-ES"/>
        </w:rPr>
        <w:t>INSTALACIONES, EQUIPOS, PERSONAL, TRANSPORTE Y ALMACENAMIENTO</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13</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Instalaciones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13.1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13.1.1 Las instalaciones, incluidos los baños, los equipos y el entorno productivo, deben estar en un estado de orden y de limpieza adecuado.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13.1.2 Todas las instalaciones han de estar ventiladas, iluminadas y con sistemas de desagües apropiados para las actividades que desarrollen.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13.1.3 Habrá zonas diferentes para el almacenamiento de productos y para los envases vacíos.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13.1.4 Los productos químicos deben estar almacenados en un lugar que pueda cerrarse y esté debidamente señalizado. Solo podrá acceder al lugar de almacenamiento de productos químicos, así como manipularlos, el personal designado por la persona operadora.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13.1.5 Los productos químicos almacenados deben estar etiquetados correctamente y autorizados para ser usados en la industria alimentaria.</w:t>
      </w:r>
    </w:p>
    <w:p w:rsidR="00412AFB" w:rsidRPr="00993936" w:rsidRDefault="00412AFB" w:rsidP="00412AFB">
      <w:pPr>
        <w:pStyle w:val="Sangradetextonormal"/>
        <w:rPr>
          <w:rFonts w:cs="Arial"/>
          <w:szCs w:val="22"/>
          <w:lang w:val="es-ES"/>
        </w:rPr>
      </w:pPr>
    </w:p>
    <w:p w:rsidR="00412AFB" w:rsidRPr="00993936" w:rsidRDefault="00412AFB" w:rsidP="00412AFB">
      <w:pPr>
        <w:pStyle w:val="Sangradetextonormal"/>
        <w:ind w:left="0"/>
        <w:rPr>
          <w:rFonts w:cs="Arial"/>
          <w:szCs w:val="22"/>
          <w:lang w:val="es-ES"/>
        </w:rPr>
      </w:pPr>
      <w:r w:rsidRPr="00993936">
        <w:rPr>
          <w:rFonts w:cs="Arial"/>
          <w:szCs w:val="22"/>
          <w:lang w:val="es-ES"/>
        </w:rPr>
        <w:t>Artículo 14</w:t>
      </w:r>
    </w:p>
    <w:p w:rsidR="00412AFB" w:rsidRPr="00993936" w:rsidRDefault="00412AFB" w:rsidP="00412AFB">
      <w:pPr>
        <w:pStyle w:val="Sangradetextonormal"/>
        <w:ind w:left="0"/>
        <w:rPr>
          <w:rFonts w:cs="Arial"/>
          <w:b/>
          <w:szCs w:val="22"/>
          <w:lang w:val="es-ES"/>
        </w:rPr>
      </w:pPr>
      <w:r w:rsidRPr="00993936">
        <w:rPr>
          <w:rFonts w:cs="Arial"/>
          <w:b/>
          <w:szCs w:val="22"/>
          <w:lang w:val="es-ES"/>
        </w:rPr>
        <w:t>Higiene y mantenimiento de las instalaciones y equipos</w:t>
      </w:r>
    </w:p>
    <w:p w:rsidR="00412AFB" w:rsidRPr="00993936" w:rsidRDefault="00412AFB" w:rsidP="00412AFB">
      <w:pPr>
        <w:pStyle w:val="Sangradetextonormal"/>
        <w:ind w:left="0"/>
        <w:rPr>
          <w:rFonts w:cs="Arial"/>
          <w:b/>
          <w:szCs w:val="22"/>
          <w:lang w:val="es-ES"/>
        </w:rPr>
      </w:pPr>
      <w:r w:rsidRPr="00993936">
        <w:rPr>
          <w:rFonts w:cs="Arial"/>
          <w:szCs w:val="22"/>
          <w:lang w:val="es-ES"/>
        </w:rPr>
        <w:lastRenderedPageBreak/>
        <w:t>14.1</w:t>
      </w:r>
      <w:r w:rsidRPr="00993936">
        <w:rPr>
          <w:rFonts w:cs="Arial"/>
          <w:i/>
          <w:szCs w:val="22"/>
          <w:lang w:val="es-ES"/>
        </w:rPr>
        <w:t xml:space="preserve"> Obligaciones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14.1.1 Cada persona operadora debe disponer de un plan general de limpieza y de desinfección detallado de las instalaciones, los equipos, las líneas de manipulación, el almacenamiento, el envasado y las cámaras frigoríficas, con el objeto de que en todo momento estén en buen estado de conservación. El plan deberá contemplar:</w:t>
      </w:r>
    </w:p>
    <w:p w:rsidR="00412AFB" w:rsidRPr="00993936" w:rsidRDefault="00412AFB" w:rsidP="00412AFB">
      <w:pPr>
        <w:pStyle w:val="Sangradetextonormal"/>
        <w:numPr>
          <w:ilvl w:val="0"/>
          <w:numId w:val="15"/>
        </w:numPr>
        <w:tabs>
          <w:tab w:val="clear" w:pos="624"/>
          <w:tab w:val="num" w:pos="596"/>
        </w:tabs>
        <w:ind w:left="680"/>
        <w:jc w:val="both"/>
        <w:rPr>
          <w:rFonts w:cs="Arial"/>
          <w:szCs w:val="22"/>
          <w:lang w:val="es-ES"/>
        </w:rPr>
      </w:pPr>
      <w:r w:rsidRPr="00993936">
        <w:rPr>
          <w:rFonts w:cs="Arial"/>
          <w:szCs w:val="22"/>
          <w:lang w:val="es-ES"/>
        </w:rPr>
        <w:t>Las instalaciones y la maquinaria de la línea de confección se limpiarán y desinfectarán al inicio de la campaña y al menos una vez al mes en el periodo de funcionamiento.</w:t>
      </w:r>
    </w:p>
    <w:p w:rsidR="00412AFB" w:rsidRPr="00993936" w:rsidRDefault="00412AFB" w:rsidP="00412AFB">
      <w:pPr>
        <w:numPr>
          <w:ilvl w:val="0"/>
          <w:numId w:val="15"/>
        </w:numPr>
        <w:tabs>
          <w:tab w:val="clear" w:pos="624"/>
          <w:tab w:val="num" w:pos="596"/>
        </w:tabs>
        <w:spacing w:after="0" w:line="240" w:lineRule="auto"/>
        <w:ind w:left="680"/>
        <w:jc w:val="both"/>
        <w:rPr>
          <w:rFonts w:ascii="Arial" w:hAnsi="Arial" w:cs="Arial"/>
          <w:lang w:val="es-ES"/>
        </w:rPr>
      </w:pPr>
      <w:r w:rsidRPr="00993936">
        <w:rPr>
          <w:rFonts w:ascii="Arial" w:hAnsi="Arial" w:cs="Arial"/>
          <w:lang w:val="es-ES"/>
        </w:rPr>
        <w:t>Los envases se limpiarán y desinfectarán al menos una vez al año.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14.1.2 Cada persona operadora dispondrá de un plan de limpieza, desinfección y desratización llevado a la práctica por un equipo con autorización legal para este fin. El plan contendrá, al menos, la siguiente información: identificación del equipo de trabajo, faenas y su frecuencia, material y productos que se emplearán y método de aplicación. Los cebos deben estar señalizados y numerados debidamente, y ha de haber un plan de señalización. </w:t>
      </w:r>
      <w:r w:rsidRPr="00993936">
        <w:rPr>
          <w:rFonts w:cs="Arial"/>
          <w:szCs w:val="22"/>
          <w:lang w:val="es-ES"/>
        </w:rPr>
        <w:tab/>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14.1.3 Evitar agujeros y ventanas e instalar elementos que impidan la entrada de insectos, pájaros y otros animales en las instalaciones.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14.1.4 Las instalaciones, los equipos y las herramientas estarán en buen estado de conservación mediante un adecuado plan de mantenimiento.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14.1.5 La persona operadora debe tomar las medidas necesarias para evitar el contacto de los productos hortícolas y de las superficies con sustancias químicas, aguas no potables u objetos extraños.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14.1.6 Los recipientes de evacuación de residuos se destinarán en exclusiva para este fin y se limpiarán periódicamente, de acuerdo con el plan de limpieza establecido.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14.1.7 La persona operadora debe disponer de un plan de mantenimiento de las instalaciones, de los equipos y de las herramientas, para que en todo momento estén en buen estado de conservación.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14.1.8 Proceder a la desinfección total de la central al menos una vez al año.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14.2 </w:t>
      </w:r>
      <w:r w:rsidRPr="00993936">
        <w:rPr>
          <w:rFonts w:cs="Arial"/>
          <w:i/>
          <w:szCs w:val="22"/>
          <w:lang w:val="es-ES"/>
        </w:rPr>
        <w:t>Prohibiciones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14.2.1 Utilizar carretillas elevadoras de gasoil dentro de la central.</w:t>
      </w:r>
    </w:p>
    <w:p w:rsidR="00412AFB" w:rsidRPr="00993936" w:rsidRDefault="00412AFB" w:rsidP="00412AFB">
      <w:pPr>
        <w:pStyle w:val="Sangradetextonormal"/>
        <w:ind w:left="0"/>
        <w:jc w:val="both"/>
        <w:rPr>
          <w:rFonts w:cs="Arial"/>
          <w:szCs w:val="22"/>
          <w:lang w:val="es-ES"/>
        </w:rPr>
      </w:pPr>
    </w:p>
    <w:p w:rsidR="00412AFB" w:rsidRPr="00993936" w:rsidRDefault="00412AFB" w:rsidP="00412AFB">
      <w:pPr>
        <w:pStyle w:val="Sangradetextonormal"/>
        <w:ind w:left="0"/>
        <w:jc w:val="both"/>
        <w:rPr>
          <w:rFonts w:cs="Arial"/>
          <w:szCs w:val="22"/>
          <w:lang w:val="es-ES"/>
        </w:rPr>
      </w:pPr>
      <w:r w:rsidRPr="00993936">
        <w:rPr>
          <w:rFonts w:cs="Arial"/>
          <w:szCs w:val="22"/>
          <w:lang w:val="es-ES"/>
        </w:rPr>
        <w:t>Artículo 15</w:t>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 xml:space="preserve">Equipos de tratamientos </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15.1</w:t>
      </w:r>
      <w:r w:rsidRPr="00993936">
        <w:rPr>
          <w:rFonts w:ascii="Arial" w:hAnsi="Arial" w:cs="Arial"/>
          <w:i/>
          <w:snapToGrid w:val="0"/>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15.1.1 La maquinaria utilizada para los tratamientos fitosanitarios, abonos foliares y otros similares debe estar en buen estado de funcionamiento y someterse revisiones y calibraciones periódicas. La persona operadora debe realizar una revisión y un calibrado cada año validados por el miembro del equipo técnico responsable de producción integrada y, además, una vez cada cuatro años ha de ser inspeccionada por un centro oficial o reconocido, de conformidad con las disposiciones vigentes en la materia. La inspección se efectuará de conformidad con las normas de inspección de pulverizadores EN 13790/1 y 2, de seguridad UNE-EN-907 y de protección medioambiental UNE-EN 12761/1, 2 y 3.</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En caso de contratar servicios externos, la persona productora les exigirá estar al corriente de las inspecciones y las calibraciones estipuladas en la legislación vigente de aplicación.</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15.1.2 Antes de cada tratamiento será necesario regular la máquina en función del estado de la plantación o cultivo y de la plaga o enfermedad que hay que combatir.</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lastRenderedPageBreak/>
        <w:t>15.1.3 Utilizar maquinaria correctamente adaptada a la aplicación de herbicidas en la línea de la plantación.</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15.1.4 Realizar revisiones periódicas de los elementos de protección y seguridad de los equipos de tratamiento, procurando un buen mantenimiento y una calibración cuidadosa de estos.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15.1.5 Cuando los equipos no se utilicen han de mantenerse limpios y no deben contener productos fitosanitarios.</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 xml:space="preserve">15.2 </w:t>
      </w:r>
      <w:r w:rsidRPr="00993936">
        <w:rPr>
          <w:rFonts w:ascii="Arial" w:hAnsi="Arial" w:cs="Arial"/>
          <w:i/>
          <w:snapToGrid w:val="0"/>
          <w:lang w:val="es-ES"/>
        </w:rPr>
        <w:t>Prohibiciones</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15.2.1 La utilización de equipos de tratamiento que tengan carencias graves en elementos de seguridad, protección y funcionamiento.</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 xml:space="preserve">15.3 </w:t>
      </w:r>
      <w:r w:rsidRPr="00993936">
        <w:rPr>
          <w:rFonts w:ascii="Arial" w:hAnsi="Arial" w:cs="Arial"/>
          <w:i/>
          <w:snapToGrid w:val="0"/>
          <w:lang w:val="es-ES"/>
        </w:rPr>
        <w:t>Recomendaciones</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15.3.1 Los pulverizadores nuevos corresponderán a modelos certificados del Programa de control de características de maquinaria de tratamientos del Departamento de Agricultura, Ganadería y Pesca, o por otros programas oficiales de control.</w:t>
      </w:r>
    </w:p>
    <w:p w:rsidR="00412AFB" w:rsidRPr="00993936" w:rsidRDefault="00412AFB" w:rsidP="00412AFB">
      <w:pPr>
        <w:jc w:val="both"/>
        <w:rPr>
          <w:rFonts w:ascii="Arial" w:hAnsi="Arial" w:cs="Arial"/>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Artículo 16</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Equipos de protección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16.1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16.1.1 La persona que manipule los productos fitosanitarios debe utilizar un equipo adecuado para la protección personal, de acuerdo con la legislación vigente de aplicación y las indicaciones de las etiquetas de cada producto.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16.1.2 La ropa y el equipo se almacenarán de forma que no entren en contacto con los productos fitosanitarios.</w:t>
      </w:r>
    </w:p>
    <w:p w:rsidR="00412AFB" w:rsidRPr="00993936" w:rsidRDefault="00412AFB" w:rsidP="00412AFB">
      <w:pPr>
        <w:jc w:val="both"/>
        <w:rPr>
          <w:rFonts w:ascii="Arial" w:hAnsi="Arial" w:cs="Arial"/>
          <w:lang w:val="es-ES"/>
        </w:rPr>
      </w:pPr>
    </w:p>
    <w:p w:rsidR="00412AFB" w:rsidRPr="00993936" w:rsidRDefault="00412AFB" w:rsidP="00412AFB">
      <w:pPr>
        <w:pStyle w:val="Sangradetextonormal"/>
        <w:ind w:left="0"/>
        <w:rPr>
          <w:rFonts w:cs="Arial"/>
          <w:szCs w:val="22"/>
          <w:lang w:val="es-ES"/>
        </w:rPr>
      </w:pPr>
      <w:r w:rsidRPr="00993936">
        <w:rPr>
          <w:rFonts w:cs="Arial"/>
          <w:szCs w:val="22"/>
          <w:lang w:val="es-ES"/>
        </w:rPr>
        <w:t>Artículo 17</w:t>
      </w:r>
    </w:p>
    <w:p w:rsidR="00412AFB" w:rsidRPr="00993936" w:rsidRDefault="00412AFB" w:rsidP="00412AFB">
      <w:pPr>
        <w:pStyle w:val="Sangradetextonormal"/>
        <w:ind w:left="0"/>
        <w:rPr>
          <w:rFonts w:cs="Arial"/>
          <w:b/>
          <w:szCs w:val="22"/>
          <w:lang w:val="es-ES"/>
        </w:rPr>
      </w:pPr>
      <w:r w:rsidRPr="00993936">
        <w:rPr>
          <w:rFonts w:cs="Arial"/>
          <w:b/>
          <w:szCs w:val="22"/>
          <w:lang w:val="es-ES"/>
        </w:rPr>
        <w:t xml:space="preserve">Personal </w:t>
      </w:r>
    </w:p>
    <w:p w:rsidR="00412AFB" w:rsidRPr="00993936" w:rsidRDefault="00412AFB" w:rsidP="00412AFB">
      <w:pPr>
        <w:pStyle w:val="Sangradetextonormal"/>
        <w:ind w:left="0"/>
        <w:jc w:val="both"/>
        <w:rPr>
          <w:rFonts w:cs="Arial"/>
          <w:i/>
          <w:szCs w:val="22"/>
          <w:lang w:val="es-ES"/>
        </w:rPr>
      </w:pPr>
      <w:r w:rsidRPr="00993936">
        <w:rPr>
          <w:rFonts w:cs="Arial"/>
          <w:i/>
          <w:szCs w:val="22"/>
          <w:lang w:val="es-ES"/>
        </w:rPr>
        <w:t>17.1 Obligaciones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17.1.1 Dar instrucciones al personal trabajador para que, en caso de sufrir enfermedades de transmisión alimentaria, o padecer, entre otras patologías, heridas infectadas, infecciones cutáneas o diarreas, informen a la dirección.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17.1.2 Documentar los procedimientos de actuación en caso de accidentes o de emergencias de modo que sean comprensibles para las personas afectadas.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17.1.3 Disponer de botiquines de primeros auxilios accesibles para el personal trabajador.</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17.1.4 Fomentar la formación del personal del almacén en materia de buenas prácticas de higiene y seguridad alimentarias, y conservar un registro de las actividades formativas que ha impartido la persona operadora o una entidad externa autorizada.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17.1.5 Elaborar instrucciones para el personal trabajador en las que se consideren los aspectos higiénicos que deben respetarse en cada puesto de trabajo, y de acuerdo con las características de la explotación.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17.1.6 Disponer de un plan de prevención de riesgos laborales y un plan de análisis de peligros y puntos críticos (APPCC) implantados y aprobados, si procede, por la autoridad competente. </w:t>
      </w: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18 </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Transporte del producto vegetal y contenedores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18.1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18.1.1 Los receptáculos y contenedores de los vehículos utilizados para transportar los productos vegetales deben estar limpios y en condiciones adecuadas de mantenimiento, para protegerlos de la contaminación. Su forma y composición han de permitir una limpieza y desinfección adecuadas.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18.1.2 Cuando se emplean los receptáculos y contenedores de los vehículos para transportar una carga que no sean productos vegetales o alimenticios, se procederá a una limpieza eficaz entre las distintas cargas para evitar el riesgo de contaminación.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18.1.3 Conservar limpios los cajones y recipientes utilizados para transportar y recolectar los productos vegetales y desinfectarlos cuando sea necesario.</w:t>
      </w: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Artículo 19</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Almacenamiento de productos fitosanitarios y fertilizantes</w:t>
      </w:r>
    </w:p>
    <w:p w:rsidR="00412AFB" w:rsidRPr="00993936" w:rsidRDefault="00412AFB" w:rsidP="00412AFB">
      <w:pPr>
        <w:jc w:val="both"/>
        <w:rPr>
          <w:rFonts w:ascii="Arial" w:hAnsi="Arial" w:cs="Arial"/>
          <w:i/>
          <w:lang w:val="es-ES"/>
        </w:rPr>
      </w:pPr>
      <w:r w:rsidRPr="00993936">
        <w:rPr>
          <w:rFonts w:ascii="Arial" w:hAnsi="Arial" w:cs="Arial"/>
          <w:lang w:val="es-ES"/>
        </w:rPr>
        <w:t>19.1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19.1.1 </w:t>
      </w:r>
      <w:r w:rsidRPr="00993936">
        <w:rPr>
          <w:rFonts w:ascii="Arial" w:hAnsi="Arial" w:cs="Arial"/>
          <w:i/>
          <w:u w:val="single"/>
          <w:lang w:val="es-ES"/>
        </w:rPr>
        <w:t>Condiciones de almacenamiento</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 xml:space="preserve">19.1.1.1 Los productos fitosanitarios y fertilizantes habrán de almacenarse en un lugar cerrado, separados del material vegetal y los productos frescos, para evitar cualquier riesgo de contaminación. </w:t>
      </w:r>
    </w:p>
    <w:p w:rsidR="00412AFB" w:rsidRPr="00993936" w:rsidRDefault="00412AFB" w:rsidP="00412AFB">
      <w:pPr>
        <w:jc w:val="both"/>
        <w:rPr>
          <w:rFonts w:ascii="Arial" w:hAnsi="Arial" w:cs="Arial"/>
          <w:lang w:val="es-ES"/>
        </w:rPr>
      </w:pPr>
      <w:r w:rsidRPr="00993936">
        <w:rPr>
          <w:rFonts w:ascii="Arial" w:hAnsi="Arial" w:cs="Arial"/>
          <w:lang w:val="es-ES"/>
        </w:rPr>
        <w:t>19.1.1.2 El almacén dispondrá de llave y ventilación permanente y suficiente.</w:t>
      </w:r>
    </w:p>
    <w:p w:rsidR="00412AFB" w:rsidRPr="00993936" w:rsidRDefault="00412AFB" w:rsidP="00412AFB">
      <w:pPr>
        <w:jc w:val="both"/>
        <w:rPr>
          <w:rFonts w:ascii="Arial" w:hAnsi="Arial" w:cs="Arial"/>
          <w:lang w:val="es-ES"/>
        </w:rPr>
      </w:pPr>
      <w:r w:rsidRPr="00993936">
        <w:rPr>
          <w:rFonts w:ascii="Arial" w:hAnsi="Arial" w:cs="Arial"/>
          <w:lang w:val="es-ES"/>
        </w:rPr>
        <w:t>19.1.1.3 El almacenamiento ha de disponer de medios para retener posibles derrames accidentales.</w:t>
      </w:r>
    </w:p>
    <w:p w:rsidR="00412AFB" w:rsidRPr="00993936" w:rsidRDefault="00412AFB" w:rsidP="00412AFB">
      <w:pPr>
        <w:jc w:val="both"/>
        <w:rPr>
          <w:rFonts w:ascii="Arial" w:hAnsi="Arial" w:cs="Arial"/>
          <w:lang w:val="es-ES"/>
        </w:rPr>
      </w:pPr>
      <w:r w:rsidRPr="00993936">
        <w:rPr>
          <w:rFonts w:ascii="Arial" w:hAnsi="Arial" w:cs="Arial"/>
          <w:lang w:val="es-ES"/>
        </w:rPr>
        <w:t>19.1.1.4 El lugar del almacén tiene que estar debidamente señalado, haciendo un especial hincapié en la prohibición de acceso a personas no autorizadas.</w:t>
      </w:r>
    </w:p>
    <w:p w:rsidR="00412AFB" w:rsidRPr="00993936" w:rsidRDefault="00412AFB" w:rsidP="00412AFB">
      <w:pPr>
        <w:jc w:val="both"/>
        <w:rPr>
          <w:rFonts w:ascii="Arial" w:hAnsi="Arial" w:cs="Arial"/>
          <w:lang w:val="es-ES"/>
        </w:rPr>
      </w:pPr>
      <w:r w:rsidRPr="00993936">
        <w:rPr>
          <w:rFonts w:ascii="Arial" w:hAnsi="Arial" w:cs="Arial"/>
          <w:lang w:val="es-ES"/>
        </w:rPr>
        <w:t>19.1.1.5 En el almacenamiento de productos fitosanitarios se deben tener en cuenta, además, el resto de las obligaciones que establece el artículo 40 del Real Decreto 1311/2012.</w:t>
      </w:r>
    </w:p>
    <w:p w:rsidR="00412AFB" w:rsidRPr="00993936" w:rsidRDefault="00412AFB" w:rsidP="00412AFB">
      <w:pPr>
        <w:jc w:val="both"/>
        <w:rPr>
          <w:rFonts w:ascii="Arial" w:hAnsi="Arial" w:cs="Arial"/>
          <w:lang w:val="es-ES"/>
        </w:rPr>
      </w:pPr>
      <w:r w:rsidRPr="00993936">
        <w:rPr>
          <w:rFonts w:ascii="Arial" w:hAnsi="Arial" w:cs="Arial"/>
          <w:lang w:val="es-ES"/>
        </w:rPr>
        <w:t xml:space="preserve">19.1.2 </w:t>
      </w:r>
      <w:r w:rsidRPr="00993936">
        <w:rPr>
          <w:rFonts w:ascii="Arial" w:hAnsi="Arial" w:cs="Arial"/>
          <w:i/>
          <w:u w:val="single"/>
          <w:lang w:val="es-ES"/>
        </w:rPr>
        <w:t>Almacenamiento de productos</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19.1.2.1 Los fitosanitarios deben mantenerse dentro de su envase original y sus etiquetas han de ser perfectamente legibles.</w:t>
      </w:r>
    </w:p>
    <w:p w:rsidR="00412AFB" w:rsidRPr="00993936" w:rsidRDefault="00412AFB" w:rsidP="00412AFB">
      <w:pPr>
        <w:jc w:val="both"/>
        <w:rPr>
          <w:rFonts w:ascii="Arial" w:hAnsi="Arial" w:cs="Arial"/>
          <w:lang w:val="es-ES"/>
        </w:rPr>
      </w:pPr>
      <w:r w:rsidRPr="00993936">
        <w:rPr>
          <w:rFonts w:ascii="Arial" w:hAnsi="Arial" w:cs="Arial"/>
          <w:lang w:val="es-ES"/>
        </w:rPr>
        <w:t>19.1.2.2 Los productos fitosanitarios y fertilizantes deben estar debidamente etiquetados, ordenados y separados físicamente.</w:t>
      </w:r>
    </w:p>
    <w:p w:rsidR="00412AFB" w:rsidRPr="00993936" w:rsidRDefault="00412AFB" w:rsidP="00412AFB">
      <w:pPr>
        <w:jc w:val="both"/>
        <w:rPr>
          <w:rFonts w:ascii="Arial" w:hAnsi="Arial" w:cs="Arial"/>
          <w:lang w:val="es-ES"/>
        </w:rPr>
      </w:pPr>
      <w:r w:rsidRPr="00993936">
        <w:rPr>
          <w:rFonts w:ascii="Arial" w:hAnsi="Arial" w:cs="Arial"/>
          <w:lang w:val="es-ES"/>
        </w:rPr>
        <w:t>19.1.2.3 Los fitosanitarios en polvo han de almacenarse en estantes situados por encima de los líquidos.</w:t>
      </w:r>
    </w:p>
    <w:p w:rsidR="00412AFB" w:rsidRPr="00993936" w:rsidRDefault="00412AFB" w:rsidP="00412AFB">
      <w:pPr>
        <w:jc w:val="both"/>
        <w:rPr>
          <w:rFonts w:ascii="Arial" w:hAnsi="Arial" w:cs="Arial"/>
          <w:lang w:val="es-ES"/>
        </w:rPr>
      </w:pPr>
      <w:r w:rsidRPr="00993936">
        <w:rPr>
          <w:rFonts w:ascii="Arial" w:hAnsi="Arial" w:cs="Arial"/>
          <w:lang w:val="es-ES"/>
        </w:rPr>
        <w:t>19.1.2.4 La conservación de los justificantes de las compras y gastos de los productos fitosanitarios reflejados en el cuaderno de explotación es obligatoria durante tres años.</w:t>
      </w:r>
    </w:p>
    <w:p w:rsidR="00412AFB" w:rsidRPr="00993936" w:rsidRDefault="00412AFB" w:rsidP="00412AFB">
      <w:pPr>
        <w:jc w:val="both"/>
        <w:rPr>
          <w:rFonts w:ascii="Arial" w:hAnsi="Arial" w:cs="Arial"/>
          <w:lang w:val="es-ES"/>
        </w:rPr>
      </w:pPr>
      <w:r w:rsidRPr="00993936">
        <w:rPr>
          <w:rFonts w:ascii="Arial" w:hAnsi="Arial" w:cs="Arial"/>
          <w:lang w:val="es-ES"/>
        </w:rPr>
        <w:t>19.1.2.5 En caso de existir almacén de productos fitosanitarios y/o fertilizantes en la central hortofrutícola, se aplicarán las obligaciones de la RTS (Reglamentación Técnico-Sanitaria) y las del Real Decreto 1311/2012.</w:t>
      </w: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lastRenderedPageBreak/>
        <w:t xml:space="preserve">19.2 </w:t>
      </w:r>
      <w:r w:rsidRPr="00993936">
        <w:rPr>
          <w:rFonts w:ascii="Arial" w:hAnsi="Arial" w:cs="Arial"/>
          <w:i/>
          <w:color w:val="auto"/>
          <w:sz w:val="22"/>
          <w:szCs w:val="22"/>
        </w:rPr>
        <w:t>Recomendaciones</w:t>
      </w:r>
    </w:p>
    <w:p w:rsidR="00412AFB" w:rsidRPr="00993936" w:rsidRDefault="00412AFB" w:rsidP="00D35662">
      <w:pPr>
        <w:pStyle w:val="Sinespaciado"/>
        <w:jc w:val="both"/>
        <w:rPr>
          <w:rFonts w:ascii="Arial" w:hAnsi="Arial" w:cs="Arial"/>
          <w:lang w:val="es-ES"/>
        </w:rPr>
      </w:pPr>
      <w:r w:rsidRPr="00993936">
        <w:rPr>
          <w:rFonts w:ascii="Arial" w:hAnsi="Arial" w:cs="Arial"/>
          <w:lang w:val="es-ES"/>
        </w:rPr>
        <w:t>19.2.1 No almacenar los productos fitosanitarios ni fertilizantes en contacto con el suelo.</w:t>
      </w:r>
    </w:p>
    <w:p w:rsidR="00412AFB" w:rsidRPr="00993936" w:rsidRDefault="00412AFB" w:rsidP="00D35662">
      <w:pPr>
        <w:pStyle w:val="Sinespaciado"/>
        <w:jc w:val="both"/>
        <w:rPr>
          <w:rFonts w:ascii="Arial" w:hAnsi="Arial" w:cs="Arial"/>
          <w:lang w:val="es-ES"/>
        </w:rPr>
      </w:pPr>
      <w:r w:rsidRPr="00993936">
        <w:rPr>
          <w:rFonts w:ascii="Arial" w:hAnsi="Arial" w:cs="Arial"/>
          <w:lang w:val="es-ES"/>
        </w:rPr>
        <w:t>19.2.2 Emplear estantes de almacén de materiales no absorbentes.</w:t>
      </w:r>
    </w:p>
    <w:p w:rsidR="00412AFB" w:rsidRPr="00993936" w:rsidRDefault="00412AFB" w:rsidP="00D35662">
      <w:pPr>
        <w:pStyle w:val="Sinespaciado"/>
        <w:rPr>
          <w:rFonts w:ascii="Arial" w:hAnsi="Arial" w:cs="Arial"/>
          <w:lang w:val="es-ES"/>
        </w:rPr>
      </w:pPr>
      <w:r w:rsidRPr="00993936">
        <w:rPr>
          <w:rFonts w:ascii="Arial" w:hAnsi="Arial" w:cs="Arial"/>
          <w:lang w:val="es-ES"/>
        </w:rPr>
        <w:t>19.2.3 No almacenar productos innecesariamente.</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20</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Señalización de seguridad</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20.1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20.1.1 Utilizar las señalizaciones que prevé la legislación vigente.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20.1.2 En el almacén de productos fitosanitarios deben estar presentes, de manera accesible y legible, las normas generales de actuación en caso de intoxicación y derrame accidental, y es obligatorio disponer de los números de teléfono del Instituto de Toxicología y de otros organismos que puedan ser competentes en esta materia.</w:t>
      </w:r>
    </w:p>
    <w:p w:rsidR="00412AFB" w:rsidRPr="00993936" w:rsidRDefault="00412AFB" w:rsidP="00412AFB">
      <w:pPr>
        <w:jc w:val="both"/>
        <w:rPr>
          <w:rFonts w:ascii="Arial" w:hAnsi="Arial" w:cs="Arial"/>
          <w:lang w:val="es-ES"/>
        </w:rPr>
      </w:pPr>
    </w:p>
    <w:p w:rsidR="00412AFB" w:rsidRPr="00993936" w:rsidRDefault="00412AFB" w:rsidP="00412AFB">
      <w:pPr>
        <w:numPr>
          <w:ilvl w:val="0"/>
          <w:numId w:val="16"/>
        </w:numPr>
        <w:spacing w:after="0" w:line="240" w:lineRule="auto"/>
        <w:jc w:val="both"/>
        <w:rPr>
          <w:rFonts w:ascii="Arial" w:hAnsi="Arial" w:cs="Arial"/>
          <w:b/>
          <w:lang w:val="es-ES"/>
        </w:rPr>
      </w:pPr>
      <w:r w:rsidRPr="00993936">
        <w:rPr>
          <w:rFonts w:ascii="Arial" w:hAnsi="Arial" w:cs="Arial"/>
          <w:b/>
          <w:lang w:val="es-ES"/>
        </w:rPr>
        <w:t xml:space="preserve">CENTRAL E INDUSTRIA DE TRANSFORMACIÓN Y/O DE ELABORACIÓN Y/O DE CONSERVACIÓN </w:t>
      </w:r>
    </w:p>
    <w:p w:rsidR="00412AFB" w:rsidRPr="00993936" w:rsidRDefault="00412AFB" w:rsidP="00412AFB">
      <w:pPr>
        <w:jc w:val="both"/>
        <w:rPr>
          <w:rFonts w:ascii="Arial" w:hAnsi="Arial" w:cs="Arial"/>
          <w:lang w:val="es-ES"/>
        </w:rPr>
      </w:pPr>
      <w:r w:rsidRPr="00993936">
        <w:rPr>
          <w:rFonts w:ascii="Arial" w:hAnsi="Arial" w:cs="Arial"/>
          <w:noProof/>
          <w:lang w:val="es-ES" w:eastAsia="es-ES"/>
        </w:rPr>
        <mc:AlternateContent>
          <mc:Choice Requires="wps">
            <w:drawing>
              <wp:anchor distT="0" distB="0" distL="114300" distR="114300" simplePos="0" relativeHeight="251566080" behindDoc="0" locked="0" layoutInCell="1" allowOverlap="1">
                <wp:simplePos x="0" y="0"/>
                <wp:positionH relativeFrom="column">
                  <wp:posOffset>0</wp:posOffset>
                </wp:positionH>
                <wp:positionV relativeFrom="paragraph">
                  <wp:posOffset>-2383790</wp:posOffset>
                </wp:positionV>
                <wp:extent cx="0" cy="114300"/>
                <wp:effectExtent l="9525" t="6985" r="9525" b="12065"/>
                <wp:wrapNone/>
                <wp:docPr id="47" name="Conector recto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852124" id="Conector recto 47" o:spid="_x0000_s1026" style="position:absolute;flip:y;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7pt" to="0,-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"/>
            </w:pict>
          </mc:Fallback>
        </mc:AlternateConten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Artículo 21</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Central e industria de transformación y/o de elaboración y/o conservación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21.1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21.1.1 Estar inscrita en el Registro sanitario de industrias y productos alimentarios de Cataluña.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21.1.2 Disponer de un plan de prevención de riesgos laborales y de un plan de análisis de peligros y puntos de control críticos (APPCC) implantados y aprobados por los organismos competentes en la materia.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21.1.3 En caso de haber almacenamiento de productos fitosanitarios y/o fertilizantes en la central o la industria de transformación, se aplicarán las obligaciones establecidas en los artículos 5 y 19 de esta norma.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21.1.4 Aplicar métodos o técnicas que permitan mantener intacta la calidad del producto, conservar su integridad y asegurar su respiración, si favorecen la conservación de las características organolépticas.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21.1.5 Todas las máquinas, los recipientes, los elementos de transporte, los envases y los lugares de almacenamiento deben reunir las siguientes condiciones: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21.1.5.1 No transmitir a los productos con los que entren en contacto sustancias tóxicas o que puedan contaminar, ni originar reacciones químicas perjudiciales.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21.1.5.2 No alterar las características de composición y los caracteres organolépticos de los productos.</w:t>
      </w:r>
    </w:p>
    <w:p w:rsidR="00412AFB" w:rsidRPr="00993936" w:rsidRDefault="00412AFB" w:rsidP="00412AFB">
      <w:pPr>
        <w:pStyle w:val="Textoindependiente"/>
        <w:outlineLvl w:val="0"/>
        <w:rPr>
          <w:rFonts w:cs="Arial"/>
          <w:szCs w:val="22"/>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 xml:space="preserve">Artículo 22 </w:t>
      </w:r>
    </w:p>
    <w:p w:rsidR="00412AFB" w:rsidRPr="00993936" w:rsidRDefault="00412AFB" w:rsidP="00412AFB">
      <w:pPr>
        <w:jc w:val="both"/>
        <w:rPr>
          <w:rFonts w:ascii="Arial" w:hAnsi="Arial" w:cs="Arial"/>
          <w:b/>
          <w:lang w:val="es-ES"/>
        </w:rPr>
      </w:pPr>
      <w:r w:rsidRPr="00993936">
        <w:rPr>
          <w:rFonts w:ascii="Arial" w:hAnsi="Arial" w:cs="Arial"/>
          <w:b/>
          <w:lang w:val="es-ES"/>
        </w:rPr>
        <w:t>Transporte y recepción en la central hortofrutícola</w:t>
      </w:r>
    </w:p>
    <w:p w:rsidR="00412AFB" w:rsidRPr="00993936" w:rsidRDefault="00412AFB" w:rsidP="00412AFB">
      <w:pPr>
        <w:jc w:val="both"/>
        <w:rPr>
          <w:rFonts w:ascii="Arial" w:hAnsi="Arial" w:cs="Arial"/>
          <w:lang w:val="es-ES"/>
        </w:rPr>
      </w:pPr>
      <w:r w:rsidRPr="00993936">
        <w:rPr>
          <w:rFonts w:ascii="Arial" w:hAnsi="Arial" w:cs="Arial"/>
          <w:lang w:val="es-ES"/>
        </w:rPr>
        <w:t xml:space="preserve">22.1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22.1.1 Los vehículos que lleguen a las instalaciones deben estar en condiciones de higiene adecuadas y cargados exclusivamente con productos vegetales.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22.1.2 Habrá una separación física, definida y señalizada, de los productos vegetales que proceden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 xml:space="preserve">22.1.3 Realizar una inspección visual de las partidas de productos vegetales cuando lleguen a la recepción, establecer un sistema de verificación de la calidad de los </w:t>
      </w:r>
      <w:r w:rsidRPr="00993936">
        <w:rPr>
          <w:rFonts w:ascii="Arial" w:hAnsi="Arial" w:cs="Arial"/>
          <w:lang w:val="es-ES"/>
        </w:rPr>
        <w:lastRenderedPageBreak/>
        <w:t>productos que entran. Habrá un registro de incidencias en caso de incumplimiento. Las partidas que no cumplan los requisitos anteriores dejarán de considerarse como de producción integrada.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22.1.4 Antes de cargar todos los elementos de transporte deben estar limpios, en buen estado y exentos de olores y objetos extraños.</w:t>
      </w:r>
    </w:p>
    <w:p w:rsidR="00412AFB" w:rsidRPr="00993936" w:rsidRDefault="00412AFB" w:rsidP="00412AFB">
      <w:pPr>
        <w:jc w:val="both"/>
        <w:rPr>
          <w:rFonts w:ascii="Arial" w:hAnsi="Arial" w:cs="Arial"/>
          <w:i/>
          <w:lang w:val="es-ES"/>
        </w:rPr>
      </w:pPr>
      <w:r w:rsidRPr="00993936">
        <w:rPr>
          <w:rFonts w:ascii="Arial" w:hAnsi="Arial" w:cs="Arial"/>
          <w:lang w:val="es-ES"/>
        </w:rPr>
        <w:t xml:space="preserve">22.2.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22.2.1 Almacenar productos químicos y desechos en la zona de recepción de productos vegetales.</w:t>
      </w:r>
    </w:p>
    <w:p w:rsidR="00412AFB" w:rsidRPr="00993936" w:rsidRDefault="00412AFB" w:rsidP="00412AFB">
      <w:pPr>
        <w:jc w:val="both"/>
        <w:rPr>
          <w:rFonts w:ascii="Arial" w:hAnsi="Arial" w:cs="Arial"/>
          <w:b/>
          <w:i/>
          <w:lang w:val="es-ES"/>
        </w:rPr>
      </w:pPr>
      <w:r w:rsidRPr="00993936">
        <w:rPr>
          <w:rFonts w:ascii="Arial" w:hAnsi="Arial" w:cs="Arial"/>
          <w:lang w:val="es-ES"/>
        </w:rPr>
        <w:t xml:space="preserve">22.3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22.3.1 Los muelles de descarga serán independientes y señalizados para los productos de producción integrada y con plataformas para adaptar su altura a la caja de los vehículos.</w:t>
      </w:r>
    </w:p>
    <w:p w:rsidR="00412AFB" w:rsidRPr="00993936" w:rsidRDefault="00412AFB" w:rsidP="00412AFB">
      <w:pPr>
        <w:jc w:val="both"/>
        <w:rPr>
          <w:rFonts w:ascii="Arial" w:hAnsi="Arial" w:cs="Arial"/>
          <w:lang w:val="es-ES"/>
        </w:rPr>
      </w:pPr>
    </w:p>
    <w:p w:rsidR="00412AFB" w:rsidRPr="00993936" w:rsidRDefault="00412AFB" w:rsidP="00412AFB">
      <w:pPr>
        <w:pStyle w:val="Ttulo7"/>
        <w:rPr>
          <w:rFonts w:ascii="Arial" w:hAnsi="Arial" w:cs="Arial"/>
          <w:i w:val="0"/>
          <w:color w:val="auto"/>
          <w:lang w:val="es-ES"/>
        </w:rPr>
      </w:pPr>
      <w:r w:rsidRPr="00993936">
        <w:rPr>
          <w:rFonts w:ascii="Arial" w:hAnsi="Arial" w:cs="Arial"/>
          <w:i w:val="0"/>
          <w:color w:val="auto"/>
          <w:lang w:val="es-ES"/>
        </w:rPr>
        <w:t xml:space="preserve">Artículo 23 </w:t>
      </w:r>
    </w:p>
    <w:p w:rsidR="00412AFB" w:rsidRPr="00993936" w:rsidRDefault="00412AFB" w:rsidP="00412AFB">
      <w:pPr>
        <w:pStyle w:val="Ttulo7"/>
        <w:rPr>
          <w:rFonts w:ascii="Arial" w:hAnsi="Arial" w:cs="Arial"/>
          <w:b/>
          <w:i w:val="0"/>
          <w:color w:val="auto"/>
          <w:lang w:val="es-ES"/>
        </w:rPr>
      </w:pPr>
      <w:r w:rsidRPr="00993936">
        <w:rPr>
          <w:rFonts w:ascii="Arial" w:hAnsi="Arial" w:cs="Arial"/>
          <w:b/>
          <w:i w:val="0"/>
          <w:color w:val="auto"/>
          <w:lang w:val="es-ES"/>
        </w:rPr>
        <w:t>Tratamientos posrecolección y lavado</w:t>
      </w:r>
    </w:p>
    <w:p w:rsidR="00412AFB" w:rsidRPr="00993936" w:rsidRDefault="00412AFB" w:rsidP="00412AFB">
      <w:pPr>
        <w:pStyle w:val="Ttulo7"/>
        <w:rPr>
          <w:rFonts w:ascii="Arial" w:hAnsi="Arial" w:cs="Arial"/>
          <w:i w:val="0"/>
          <w:color w:val="auto"/>
          <w:lang w:val="es-ES"/>
        </w:rPr>
      </w:pPr>
      <w:r w:rsidRPr="00993936">
        <w:rPr>
          <w:rFonts w:ascii="Arial" w:hAnsi="Arial" w:cs="Arial"/>
          <w:i w:val="0"/>
          <w:color w:val="auto"/>
          <w:lang w:val="es-ES"/>
        </w:rPr>
        <w:t>23.1</w:t>
      </w:r>
      <w:r w:rsidRPr="00993936">
        <w:rPr>
          <w:rFonts w:ascii="Arial" w:hAnsi="Arial" w:cs="Arial"/>
          <w:color w:val="auto"/>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23.1.1 Los tratamientos posrecolección solo se permitirán en cosechas destinadas a la conservación prolongada o donde esté técnicamente justificado. Se preferirán los métodos físicos o con productos naturales en detrimento de los productos de síntesis.</w:t>
      </w:r>
    </w:p>
    <w:p w:rsidR="00412AFB" w:rsidRPr="00993936" w:rsidRDefault="00412AFB" w:rsidP="00412AFB">
      <w:pPr>
        <w:jc w:val="both"/>
        <w:rPr>
          <w:rFonts w:ascii="Arial" w:hAnsi="Arial" w:cs="Arial"/>
          <w:lang w:val="es-ES"/>
        </w:rPr>
      </w:pPr>
      <w:r w:rsidRPr="00993936">
        <w:rPr>
          <w:rFonts w:ascii="Arial" w:hAnsi="Arial" w:cs="Arial"/>
          <w:lang w:val="es-ES"/>
        </w:rPr>
        <w:t>23.1.2 En el tratamiento con productos químicos de síntesis se utilizarán, entre los autorizados, aquellos con perfil toxicológico más favorable y cuyos límites máximos de residuos estén armonizados a nivel comunitario.</w:t>
      </w:r>
    </w:p>
    <w:p w:rsidR="00412AFB" w:rsidRPr="00993936" w:rsidRDefault="00412AFB" w:rsidP="00412AFB">
      <w:pPr>
        <w:jc w:val="both"/>
        <w:rPr>
          <w:rFonts w:ascii="Arial" w:hAnsi="Arial" w:cs="Arial"/>
          <w:lang w:val="es-ES"/>
        </w:rPr>
      </w:pPr>
      <w:r w:rsidRPr="00993936">
        <w:rPr>
          <w:rFonts w:ascii="Arial" w:hAnsi="Arial" w:cs="Arial"/>
          <w:lang w:val="es-ES"/>
        </w:rPr>
        <w:t>23.1.3 Cuando se haga recircular el agua de lavado de los productos, deberá filtrarse y tratarse de forma que no comprometa la salubridad de los productos.</w:t>
      </w:r>
    </w:p>
    <w:p w:rsidR="00412AFB" w:rsidRPr="00993936" w:rsidRDefault="00412AFB" w:rsidP="00412AFB">
      <w:pPr>
        <w:jc w:val="both"/>
        <w:rPr>
          <w:rFonts w:ascii="Arial" w:hAnsi="Arial" w:cs="Arial"/>
          <w:lang w:val="es-ES"/>
        </w:rPr>
      </w:pPr>
      <w:r w:rsidRPr="00993936">
        <w:rPr>
          <w:rFonts w:ascii="Arial" w:hAnsi="Arial" w:cs="Arial"/>
          <w:lang w:val="es-ES"/>
        </w:rPr>
        <w:t>23.1.4 Cuando se apliquen ceras, se cumplirán estrictamente las condiciones para el tratamiento de superficie de frutos que figuren en las listas oficiales de aditivos para la elaboración de productos alimenticios.</w:t>
      </w:r>
    </w:p>
    <w:p w:rsidR="00412AFB" w:rsidRPr="00993936" w:rsidRDefault="00412AFB" w:rsidP="00412AFB">
      <w:pPr>
        <w:jc w:val="both"/>
        <w:rPr>
          <w:rFonts w:ascii="Arial" w:hAnsi="Arial" w:cs="Arial"/>
          <w:lang w:val="es-ES"/>
        </w:rPr>
      </w:pPr>
      <w:r w:rsidRPr="00993936">
        <w:rPr>
          <w:rFonts w:ascii="Arial" w:hAnsi="Arial" w:cs="Arial"/>
          <w:lang w:val="es-ES"/>
        </w:rPr>
        <w:t>23.1.5 Tener un sistema de autocontrol para aplicar fungicidas.</w:t>
      </w:r>
    </w:p>
    <w:p w:rsidR="00412AFB" w:rsidRPr="00993936" w:rsidRDefault="00412AFB" w:rsidP="00412AFB">
      <w:pPr>
        <w:jc w:val="both"/>
        <w:rPr>
          <w:rFonts w:ascii="Arial" w:hAnsi="Arial" w:cs="Arial"/>
          <w:lang w:val="es-ES"/>
        </w:rPr>
      </w:pPr>
      <w:r w:rsidRPr="00993936">
        <w:rPr>
          <w:rFonts w:ascii="Arial" w:hAnsi="Arial" w:cs="Arial"/>
          <w:lang w:val="es-ES"/>
        </w:rPr>
        <w:t>23.1.6 Disponer de un registro documentado de todos los tratamientos y controles realizados.</w:t>
      </w:r>
    </w:p>
    <w:p w:rsidR="00412AFB" w:rsidRPr="00993936" w:rsidRDefault="00412AFB" w:rsidP="00412AFB">
      <w:pPr>
        <w:jc w:val="both"/>
        <w:rPr>
          <w:rFonts w:ascii="Arial" w:hAnsi="Arial" w:cs="Arial"/>
          <w:lang w:val="es-ES"/>
        </w:rPr>
      </w:pPr>
      <w:r w:rsidRPr="00993936">
        <w:rPr>
          <w:rFonts w:ascii="Arial" w:hAnsi="Arial" w:cs="Arial"/>
          <w:lang w:val="es-ES"/>
        </w:rPr>
        <w:t>23.1.7 La duración de conservación de los frutos estará en función del sistema de conservación utilizado y de la evolución de los frutos.</w:t>
      </w:r>
    </w:p>
    <w:p w:rsidR="00412AFB" w:rsidRPr="00993936" w:rsidRDefault="00412AFB" w:rsidP="00412AFB">
      <w:pPr>
        <w:jc w:val="both"/>
        <w:rPr>
          <w:rFonts w:ascii="Arial" w:hAnsi="Arial" w:cs="Arial"/>
          <w:lang w:val="es-ES"/>
        </w:rPr>
      </w:pPr>
      <w:r w:rsidRPr="00993936">
        <w:rPr>
          <w:rFonts w:ascii="Arial" w:hAnsi="Arial" w:cs="Arial"/>
          <w:lang w:val="es-ES"/>
        </w:rPr>
        <w:t>23.1.8 La manipulación de los productos deberá hacerse por series completas separadas físicamente o en el tiempo de operaciones de productos no obtenidos bajo normas de producción integrada, con el objeto de evitar superposiciones y contaminaciones, y asegurar la trazabilidad.</w:t>
      </w:r>
    </w:p>
    <w:p w:rsidR="00412AFB" w:rsidRPr="00993936" w:rsidRDefault="00412AFB" w:rsidP="00412AFB">
      <w:pPr>
        <w:jc w:val="both"/>
        <w:rPr>
          <w:rFonts w:ascii="Arial" w:hAnsi="Arial" w:cs="Arial"/>
          <w:lang w:val="es-ES"/>
        </w:rPr>
      </w:pPr>
      <w:r w:rsidRPr="00993936">
        <w:rPr>
          <w:rFonts w:ascii="Arial" w:hAnsi="Arial" w:cs="Arial"/>
          <w:lang w:val="es-ES"/>
        </w:rPr>
        <w:t xml:space="preserve">23.2 </w:t>
      </w:r>
      <w:r w:rsidRPr="00993936">
        <w:rPr>
          <w:rFonts w:ascii="Arial" w:hAnsi="Arial" w:cs="Arial"/>
          <w:i/>
          <w:lang w:val="es-ES"/>
        </w:rPr>
        <w:t>Prohibiciones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lastRenderedPageBreak/>
        <w:t>23.2.1 Utilizar para el lavado de los productos vegetales aguas no potables, de acuerdo con la normativa vigente, y para el resto de los usos, las que superen los parámetros establecidos en la normativa de aplicación.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23.3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23.3.1 Evitar en lo posible los tratamientos posrecolección.</w:t>
      </w:r>
    </w:p>
    <w:p w:rsidR="00412AFB" w:rsidRPr="00993936" w:rsidRDefault="00412AFB" w:rsidP="00412AFB">
      <w:pPr>
        <w:jc w:val="both"/>
        <w:rPr>
          <w:rFonts w:ascii="Arial" w:hAnsi="Arial" w:cs="Arial"/>
          <w:lang w:val="es-ES"/>
        </w:rPr>
      </w:pPr>
      <w:r w:rsidRPr="00993936">
        <w:rPr>
          <w:rFonts w:ascii="Arial" w:hAnsi="Arial" w:cs="Arial"/>
          <w:lang w:val="es-ES"/>
        </w:rPr>
        <w:t>23.3.2 Usar ceras naturales.</w:t>
      </w:r>
    </w:p>
    <w:p w:rsidR="00412AFB" w:rsidRPr="00993936" w:rsidRDefault="00412AFB" w:rsidP="00412AFB">
      <w:pPr>
        <w:jc w:val="both"/>
        <w:rPr>
          <w:rFonts w:ascii="Arial" w:hAnsi="Arial" w:cs="Arial"/>
          <w:lang w:val="es-ES"/>
        </w:rPr>
      </w:pPr>
      <w:r w:rsidRPr="00993936">
        <w:rPr>
          <w:rFonts w:ascii="Arial" w:hAnsi="Arial" w:cs="Arial"/>
          <w:lang w:val="es-ES"/>
        </w:rPr>
        <w:t>23.3.3 Establecer las dosis en función de la maquinaria de cada almacén y de la evolución de la campaña (estado de la fruta, problemas de hongos, etc.).</w:t>
      </w:r>
    </w:p>
    <w:p w:rsidR="00412AFB" w:rsidRPr="00993936" w:rsidRDefault="00412AFB" w:rsidP="00412AFB">
      <w:pPr>
        <w:jc w:val="both"/>
        <w:rPr>
          <w:rFonts w:ascii="Arial" w:hAnsi="Arial" w:cs="Arial"/>
          <w:lang w:val="es-ES"/>
        </w:rPr>
      </w:pPr>
      <w:r w:rsidRPr="00993936">
        <w:rPr>
          <w:rFonts w:ascii="Arial" w:hAnsi="Arial" w:cs="Arial"/>
          <w:lang w:val="es-ES"/>
        </w:rPr>
        <w:t>23.3.4 En la desverdización, concentración de etilenos de 3 mg/l y temperatura de referencia de 20-</w:t>
      </w:r>
      <w:smartTag w:uri="urn:schemas-microsoft-com:office:smarttags" w:element="metricconverter">
        <w:smartTagPr>
          <w:attr w:name="ProductID" w:val="22ﾺC"/>
        </w:smartTagPr>
        <w:r w:rsidRPr="00993936">
          <w:rPr>
            <w:rFonts w:ascii="Arial" w:hAnsi="Arial" w:cs="Arial"/>
            <w:lang w:val="es-ES"/>
          </w:rPr>
          <w:t>22 ºC</w:t>
        </w:r>
      </w:smartTag>
      <w:r w:rsidRPr="00993936">
        <w:rPr>
          <w:rFonts w:ascii="Arial" w:hAnsi="Arial" w:cs="Arial"/>
          <w:lang w:val="es-ES"/>
        </w:rPr>
        <w:t>.</w:t>
      </w: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Artículo 24</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Proceso de transformación y elaboración del producto vegetal</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 xml:space="preserve">24.1 Obligaciones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24.1.1 Todos los productos vegetales que se utilicen para la elaboración del producto transformado deberán cumplir las condiciones establecidas por esta norma.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24.1.2 Los tratamientos que se realicen y los coadyuvantes que se empleen deben estar autorizados e incluidos en los anexos de esta norma.</w:t>
      </w:r>
    </w:p>
    <w:p w:rsidR="00412AFB" w:rsidRPr="00993936" w:rsidRDefault="00412AFB" w:rsidP="00412AFB">
      <w:pPr>
        <w:pStyle w:val="Ttulo1"/>
        <w:rPr>
          <w:rFonts w:ascii="Arial" w:hAnsi="Arial" w:cs="Arial"/>
          <w:b/>
          <w:color w:val="auto"/>
          <w:szCs w:val="22"/>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25</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Conservación</w:t>
      </w:r>
    </w:p>
    <w:p w:rsidR="00412AFB" w:rsidRPr="00993936" w:rsidRDefault="00412AFB" w:rsidP="00412AFB">
      <w:pPr>
        <w:jc w:val="both"/>
        <w:outlineLvl w:val="0"/>
        <w:rPr>
          <w:rFonts w:ascii="Arial" w:hAnsi="Arial" w:cs="Arial"/>
          <w:i/>
          <w:lang w:val="es-ES"/>
        </w:rPr>
      </w:pPr>
      <w:r w:rsidRPr="00993936">
        <w:rPr>
          <w:rFonts w:ascii="Arial" w:hAnsi="Arial" w:cs="Arial"/>
          <w:i/>
          <w:lang w:val="es-ES"/>
        </w:rPr>
        <w:t>25.1 Obligaciones</w:t>
      </w:r>
    </w:p>
    <w:p w:rsidR="00412AFB" w:rsidRPr="00993936" w:rsidRDefault="00412AFB" w:rsidP="00412AFB">
      <w:pPr>
        <w:jc w:val="both"/>
        <w:rPr>
          <w:rFonts w:ascii="Arial" w:hAnsi="Arial" w:cs="Arial"/>
          <w:lang w:val="es-ES"/>
        </w:rPr>
      </w:pPr>
      <w:r w:rsidRPr="00993936">
        <w:rPr>
          <w:rFonts w:ascii="Arial" w:hAnsi="Arial" w:cs="Arial"/>
          <w:lang w:val="es-ES"/>
        </w:rPr>
        <w:t>25.1.1 Utilizar métodos de conservación que mantengan una alta calidad interna y externa.</w:t>
      </w:r>
    </w:p>
    <w:p w:rsidR="00412AFB" w:rsidRPr="00993936" w:rsidRDefault="00412AFB" w:rsidP="00412AFB">
      <w:pPr>
        <w:jc w:val="both"/>
        <w:rPr>
          <w:rFonts w:ascii="Arial" w:hAnsi="Arial" w:cs="Arial"/>
          <w:lang w:val="es-ES"/>
        </w:rPr>
      </w:pPr>
      <w:r w:rsidRPr="00993936">
        <w:rPr>
          <w:rFonts w:ascii="Arial" w:hAnsi="Arial" w:cs="Arial"/>
          <w:lang w:val="es-ES"/>
        </w:rPr>
        <w:t>25.1.2 Controlar periódicamente la calidad y, específicamente, antes de la comercialización, teniendo en cuenta aspectos de muestreo y tipo de determinación analítica y también los límites de residuos que garanticen la seguridad del consumidor.</w:t>
      </w:r>
    </w:p>
    <w:p w:rsidR="00412AFB" w:rsidRPr="00993936" w:rsidRDefault="00412AFB" w:rsidP="00412AFB">
      <w:pPr>
        <w:jc w:val="both"/>
        <w:rPr>
          <w:rFonts w:ascii="Arial" w:hAnsi="Arial" w:cs="Arial"/>
          <w:lang w:val="es-ES"/>
        </w:rPr>
      </w:pPr>
      <w:r w:rsidRPr="00993936">
        <w:rPr>
          <w:rFonts w:ascii="Arial" w:hAnsi="Arial" w:cs="Arial"/>
          <w:lang w:val="es-ES"/>
        </w:rPr>
        <w:t>25.1.3 La duración de conservación de los frutos estará en función del sistema de conservación utilizado y de la evolución de los frutos.</w:t>
      </w:r>
    </w:p>
    <w:p w:rsidR="00412AFB" w:rsidRPr="00993936" w:rsidRDefault="00412AFB" w:rsidP="00412AFB">
      <w:pPr>
        <w:jc w:val="both"/>
        <w:rPr>
          <w:rFonts w:ascii="Arial" w:hAnsi="Arial" w:cs="Arial"/>
          <w:lang w:val="es-ES"/>
        </w:rPr>
      </w:pPr>
      <w:r w:rsidRPr="00993936">
        <w:rPr>
          <w:rFonts w:ascii="Arial" w:hAnsi="Arial" w:cs="Arial"/>
          <w:lang w:val="es-ES"/>
        </w:rPr>
        <w:t>25.1.4 En las cámaras frigoríficas los palés guardarán una distancia entre sí y entre las paredes para una ventilación correcta.</w:t>
      </w:r>
    </w:p>
    <w:p w:rsidR="00412AFB" w:rsidRPr="00993936" w:rsidRDefault="00412AFB" w:rsidP="00412AFB">
      <w:pPr>
        <w:pStyle w:val="Textoindependiente"/>
        <w:rPr>
          <w:rFonts w:cs="Arial"/>
          <w:szCs w:val="22"/>
          <w:lang w:val="es-ES"/>
        </w:rPr>
      </w:pPr>
      <w:r w:rsidRPr="00993936">
        <w:rPr>
          <w:rFonts w:cs="Arial"/>
          <w:szCs w:val="22"/>
          <w:lang w:val="es-ES"/>
        </w:rPr>
        <w:t>25.1.5 Conservar el registro de cada cámara frigorífica donde se almacenen los productos, en relación con la temperatura y las entradas y salidas de fruta.</w:t>
      </w:r>
    </w:p>
    <w:p w:rsidR="00412AFB" w:rsidRPr="00993936" w:rsidRDefault="00412AFB" w:rsidP="00412AFB">
      <w:pPr>
        <w:pStyle w:val="Ttulo1"/>
        <w:rPr>
          <w:rFonts w:ascii="Arial" w:hAnsi="Arial" w:cs="Arial"/>
          <w:b/>
          <w:color w:val="auto"/>
          <w:szCs w:val="22"/>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26</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Almacenamiento de los productos</w:t>
      </w:r>
    </w:p>
    <w:p w:rsidR="00412AFB" w:rsidRPr="00993936" w:rsidRDefault="00412AFB" w:rsidP="00412AFB">
      <w:pPr>
        <w:rPr>
          <w:rFonts w:ascii="Arial" w:hAnsi="Arial" w:cs="Arial"/>
          <w:i/>
          <w:lang w:val="es-ES"/>
        </w:rPr>
      </w:pPr>
      <w:r w:rsidRPr="00993936">
        <w:rPr>
          <w:rFonts w:ascii="Arial" w:hAnsi="Arial" w:cs="Arial"/>
          <w:lang w:val="es-ES"/>
        </w:rPr>
        <w:t>26.1</w:t>
      </w:r>
      <w:r w:rsidRPr="00993936">
        <w:rPr>
          <w:rFonts w:ascii="Arial" w:hAnsi="Arial" w:cs="Arial"/>
          <w:i/>
          <w:lang w:val="es-ES"/>
        </w:rPr>
        <w:t xml:space="preserve"> Obligaciones</w:t>
      </w:r>
    </w:p>
    <w:p w:rsidR="00412AFB" w:rsidRPr="00993936" w:rsidRDefault="00412AFB" w:rsidP="00412AFB">
      <w:pPr>
        <w:rPr>
          <w:rFonts w:ascii="Arial" w:hAnsi="Arial" w:cs="Arial"/>
          <w:lang w:val="es-ES"/>
        </w:rPr>
      </w:pPr>
      <w:r w:rsidRPr="00993936">
        <w:rPr>
          <w:rFonts w:ascii="Arial" w:hAnsi="Arial" w:cs="Arial"/>
          <w:lang w:val="es-ES"/>
        </w:rPr>
        <w:lastRenderedPageBreak/>
        <w:t>26.1.1 Almacenar los productos siguiendo los procedimientos que garanticen la mejor calidad posible.</w:t>
      </w:r>
    </w:p>
    <w:p w:rsidR="00412AFB" w:rsidRPr="00993936" w:rsidRDefault="00412AFB" w:rsidP="00412AFB">
      <w:pPr>
        <w:pStyle w:val="Textoindependiente"/>
        <w:rPr>
          <w:rFonts w:cs="Arial"/>
          <w:szCs w:val="22"/>
          <w:lang w:val="es-ES"/>
        </w:rPr>
      </w:pPr>
      <w:r w:rsidRPr="00993936">
        <w:rPr>
          <w:rFonts w:cs="Arial"/>
          <w:szCs w:val="22"/>
          <w:lang w:val="es-ES"/>
        </w:rPr>
        <w:t>26.1.2 Eliminar todos los frutos que presenten síntomas de presencia de patógenos causantes de podredumbres.</w:t>
      </w:r>
    </w:p>
    <w:p w:rsidR="00412AFB" w:rsidRPr="00993936" w:rsidRDefault="00412AFB" w:rsidP="00412AFB">
      <w:pPr>
        <w:jc w:val="both"/>
        <w:rPr>
          <w:rFonts w:ascii="Arial" w:hAnsi="Arial" w:cs="Arial"/>
          <w:lang w:val="es-ES"/>
        </w:rPr>
      </w:pPr>
      <w:r w:rsidRPr="00993936">
        <w:rPr>
          <w:rFonts w:ascii="Arial" w:hAnsi="Arial" w:cs="Arial"/>
          <w:lang w:val="es-ES"/>
        </w:rPr>
        <w:t>26.1.3 Realizar la limpieza, la desinfección y la lucha contra los parásitos de los lugares del almacenamiento de modo que no se produzca ningún tipo de contaminación de los productos.</w:t>
      </w:r>
    </w:p>
    <w:p w:rsidR="00412AFB" w:rsidRPr="00993936" w:rsidRDefault="00412AFB" w:rsidP="00412AFB">
      <w:pPr>
        <w:jc w:val="both"/>
        <w:rPr>
          <w:rFonts w:ascii="Arial" w:hAnsi="Arial" w:cs="Arial"/>
          <w:lang w:val="es-ES"/>
        </w:rPr>
      </w:pPr>
      <w:r w:rsidRPr="00993936">
        <w:rPr>
          <w:rFonts w:ascii="Arial" w:hAnsi="Arial" w:cs="Arial"/>
          <w:lang w:val="es-ES"/>
        </w:rPr>
        <w:t>26.1.4 Establecer en los almacenes una separación clara y definida entre los productos procedentes de cultivos de producción integrada y otros productos convencionales, e indicar en un croquis su situación dentro de cada almacén. Las cajas y palés deberán estar identificados debidamente y colocados de manera que pueda verse claramente su identificación, lo que facilitará el recuento.</w:t>
      </w:r>
    </w:p>
    <w:p w:rsidR="00412AFB" w:rsidRPr="00993936" w:rsidRDefault="00412AFB" w:rsidP="00412AFB">
      <w:pPr>
        <w:jc w:val="both"/>
        <w:rPr>
          <w:rFonts w:ascii="Arial" w:hAnsi="Arial" w:cs="Arial"/>
          <w:lang w:val="es-ES"/>
        </w:rPr>
      </w:pPr>
      <w:r w:rsidRPr="00993936">
        <w:rPr>
          <w:rFonts w:ascii="Arial" w:hAnsi="Arial" w:cs="Arial"/>
          <w:lang w:val="es-ES"/>
        </w:rPr>
        <w:t>26.1.5 Mantener limpios los recipientes y cajas utilizados en el almacenamiento de los productos vegetales. Como norma general, todos los elementos que puedan afectar a la condición del producto se limpiarán cuando se inicie la utilización y se desinfectarán cuando sea conveniente, en cualquier caso al menos una vez al año.</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26.2 </w:t>
      </w:r>
      <w:r w:rsidRPr="00993936">
        <w:rPr>
          <w:rFonts w:ascii="Arial" w:hAnsi="Arial" w:cs="Arial"/>
          <w:i/>
          <w:lang w:val="es-ES"/>
        </w:rPr>
        <w:t>Prohibiciones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26.2.1 El uso de productos químicos de síntesis para la lucha contra las plagas y parásitos del almacén, salvo en los casos que estén justificados técnicamente, donde se utilizarán sustancias activas autorizadas en producción integrada. </w:t>
      </w:r>
    </w:p>
    <w:p w:rsidR="00412AFB" w:rsidRPr="00993936" w:rsidRDefault="00412AFB" w:rsidP="00412AFB">
      <w:pPr>
        <w:jc w:val="both"/>
        <w:outlineLvl w:val="0"/>
        <w:rPr>
          <w:rFonts w:ascii="Arial" w:hAnsi="Arial" w:cs="Arial"/>
          <w:lang w:val="es-ES"/>
        </w:rPr>
      </w:pPr>
      <w:r w:rsidRPr="00993936">
        <w:rPr>
          <w:rFonts w:ascii="Arial" w:hAnsi="Arial" w:cs="Arial"/>
          <w:lang w:val="es-ES"/>
        </w:rPr>
        <w:t>26.2.2 Almacenar productos químicos o desechos en la zona de almacenamiento de los productos envasados.</w:t>
      </w:r>
    </w:p>
    <w:p w:rsidR="00412AFB" w:rsidRPr="00993936" w:rsidRDefault="00412AFB" w:rsidP="00412AFB">
      <w:pPr>
        <w:rPr>
          <w:rFonts w:ascii="Arial" w:hAnsi="Arial" w:cs="Arial"/>
          <w:lang w:val="es-ES"/>
        </w:rPr>
      </w:pPr>
    </w:p>
    <w:p w:rsidR="00412AFB" w:rsidRPr="00993936" w:rsidRDefault="00412AFB" w:rsidP="00412AFB">
      <w:pPr>
        <w:pStyle w:val="Ttulo3"/>
        <w:rPr>
          <w:rFonts w:ascii="Arial" w:hAnsi="Arial" w:cs="Arial"/>
          <w:color w:val="auto"/>
          <w:szCs w:val="22"/>
          <w:lang w:val="es-ES"/>
        </w:rPr>
      </w:pPr>
      <w:r w:rsidRPr="00993936">
        <w:rPr>
          <w:rFonts w:ascii="Arial" w:hAnsi="Arial" w:cs="Arial"/>
          <w:color w:val="auto"/>
          <w:szCs w:val="22"/>
          <w:lang w:val="es-ES"/>
        </w:rPr>
        <w:t>Artículo 27</w:t>
      </w:r>
    </w:p>
    <w:p w:rsidR="00412AFB" w:rsidRPr="00993936" w:rsidRDefault="00412AFB" w:rsidP="00412AFB">
      <w:pPr>
        <w:pStyle w:val="Ttulo3"/>
        <w:rPr>
          <w:rFonts w:ascii="Arial" w:hAnsi="Arial" w:cs="Arial"/>
          <w:b/>
          <w:color w:val="auto"/>
          <w:szCs w:val="22"/>
          <w:lang w:val="es-ES"/>
        </w:rPr>
      </w:pPr>
      <w:r w:rsidRPr="00993936">
        <w:rPr>
          <w:rFonts w:ascii="Arial" w:hAnsi="Arial" w:cs="Arial"/>
          <w:b/>
          <w:color w:val="auto"/>
          <w:szCs w:val="22"/>
          <w:lang w:val="es-ES"/>
        </w:rPr>
        <w:t>Envasado</w:t>
      </w:r>
    </w:p>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 xml:space="preserve">27.1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27.1.1 Todas las máquinas, recipientes, elementos de transporte, envases provisionales y lugares de almacenamiento deben reunir las siguientes condiciones:</w:t>
      </w:r>
    </w:p>
    <w:p w:rsidR="00412AFB" w:rsidRPr="00993936" w:rsidRDefault="00412AFB" w:rsidP="009D1A2D">
      <w:pPr>
        <w:numPr>
          <w:ilvl w:val="0"/>
          <w:numId w:val="25"/>
        </w:numPr>
        <w:tabs>
          <w:tab w:val="clear" w:pos="1494"/>
          <w:tab w:val="num" w:pos="1068"/>
        </w:tabs>
        <w:spacing w:after="0" w:line="240" w:lineRule="auto"/>
        <w:ind w:left="1048"/>
        <w:jc w:val="both"/>
        <w:rPr>
          <w:rFonts w:ascii="Arial" w:hAnsi="Arial" w:cs="Arial"/>
          <w:lang w:val="es-ES"/>
        </w:rPr>
      </w:pPr>
      <w:r w:rsidRPr="00993936">
        <w:rPr>
          <w:rFonts w:ascii="Arial" w:hAnsi="Arial" w:cs="Arial"/>
          <w:lang w:val="es-ES"/>
        </w:rPr>
        <w:t>No transmitir a los productos con los que entren en contacto sustancias tóxicas o que puedan contaminar u originar reacciones químicas perjudiciales.</w:t>
      </w:r>
    </w:p>
    <w:p w:rsidR="00412AFB" w:rsidRPr="00993936" w:rsidRDefault="00412AFB" w:rsidP="009D1A2D">
      <w:pPr>
        <w:numPr>
          <w:ilvl w:val="0"/>
          <w:numId w:val="25"/>
        </w:numPr>
        <w:tabs>
          <w:tab w:val="clear" w:pos="1494"/>
          <w:tab w:val="num" w:pos="1068"/>
        </w:tabs>
        <w:spacing w:after="0" w:line="240" w:lineRule="auto"/>
        <w:ind w:left="1048"/>
        <w:jc w:val="both"/>
        <w:rPr>
          <w:rFonts w:ascii="Arial" w:hAnsi="Arial" w:cs="Arial"/>
          <w:lang w:val="es-ES"/>
        </w:rPr>
      </w:pPr>
      <w:r w:rsidRPr="00993936">
        <w:rPr>
          <w:rFonts w:ascii="Arial" w:hAnsi="Arial" w:cs="Arial"/>
          <w:lang w:val="es-ES"/>
        </w:rPr>
        <w:t>No alterar las características de composición y organolépticas de los productos.</w:t>
      </w:r>
    </w:p>
    <w:p w:rsidR="00412AFB" w:rsidRPr="00993936" w:rsidRDefault="00412AFB" w:rsidP="009D1A2D">
      <w:pPr>
        <w:numPr>
          <w:ilvl w:val="0"/>
          <w:numId w:val="25"/>
        </w:numPr>
        <w:tabs>
          <w:tab w:val="clear" w:pos="1494"/>
          <w:tab w:val="num" w:pos="1068"/>
        </w:tabs>
        <w:spacing w:after="0" w:line="240" w:lineRule="auto"/>
        <w:ind w:left="1048"/>
        <w:jc w:val="both"/>
        <w:rPr>
          <w:rFonts w:ascii="Arial" w:hAnsi="Arial" w:cs="Arial"/>
          <w:lang w:val="es-ES"/>
        </w:rPr>
      </w:pPr>
      <w:r w:rsidRPr="00993936">
        <w:rPr>
          <w:rFonts w:ascii="Arial" w:hAnsi="Arial" w:cs="Arial"/>
          <w:lang w:val="es-ES"/>
        </w:rPr>
        <w:t>Realizar la limpieza con métodos y productos autorizados igual que el control de los roedores e insectos.</w:t>
      </w:r>
    </w:p>
    <w:p w:rsidR="00412AFB" w:rsidRPr="00993936" w:rsidRDefault="00412AFB" w:rsidP="00412AFB">
      <w:pPr>
        <w:jc w:val="both"/>
        <w:rPr>
          <w:rFonts w:ascii="Arial" w:hAnsi="Arial" w:cs="Arial"/>
          <w:lang w:val="es-ES"/>
        </w:rPr>
      </w:pPr>
      <w:r w:rsidRPr="00993936">
        <w:rPr>
          <w:rFonts w:ascii="Arial" w:hAnsi="Arial" w:cs="Arial"/>
          <w:lang w:val="es-ES"/>
        </w:rPr>
        <w:t>27.1.2 Las operaciones de envasado deberán efectuarse por series completas, separadas físicamente o en el tiempo, de operaciones de productos convencionales.</w:t>
      </w:r>
    </w:p>
    <w:p w:rsidR="00412AFB" w:rsidRPr="00993936" w:rsidRDefault="00412AFB" w:rsidP="00412AFB">
      <w:pPr>
        <w:jc w:val="both"/>
        <w:rPr>
          <w:rFonts w:ascii="Arial" w:hAnsi="Arial" w:cs="Arial"/>
          <w:lang w:val="es-ES"/>
        </w:rPr>
      </w:pPr>
      <w:r w:rsidRPr="00993936">
        <w:rPr>
          <w:rFonts w:ascii="Arial" w:hAnsi="Arial" w:cs="Arial"/>
          <w:lang w:val="es-ES"/>
        </w:rPr>
        <w:t>27.1.3 Las personas operadoras que realizan envasado de productos certificados de producción integrada y convencionales deben avisar al órgano o entidad de control. La comunicación se efectuará a principios de campaña, con antelación suficiente y antes del inicio de las operaciones de los productos de producción integrada.</w:t>
      </w:r>
    </w:p>
    <w:p w:rsidR="00412AFB" w:rsidRPr="00993936" w:rsidRDefault="00412AFB" w:rsidP="006E0CBA">
      <w:pPr>
        <w:jc w:val="both"/>
        <w:rPr>
          <w:rFonts w:ascii="Arial" w:hAnsi="Arial" w:cs="Arial"/>
          <w:lang w:val="es-ES"/>
        </w:rPr>
      </w:pPr>
      <w:r w:rsidRPr="00993936">
        <w:rPr>
          <w:rFonts w:ascii="Arial" w:hAnsi="Arial" w:cs="Arial"/>
          <w:lang w:val="es-ES"/>
        </w:rPr>
        <w:lastRenderedPageBreak/>
        <w:t>27.1.4 Las personas manipuladoras de alimentos deberán tener una formación específica al respecto o justificar que están en proceso de obtenerla de</w:t>
      </w:r>
      <w:r w:rsidR="006E0CBA" w:rsidRPr="00993936">
        <w:rPr>
          <w:rFonts w:ascii="Arial" w:hAnsi="Arial" w:cs="Arial"/>
          <w:lang w:val="es-ES"/>
        </w:rPr>
        <w:t xml:space="preserve"> acuerdo con lo establecido en el RD 202/2000, </w:t>
      </w:r>
      <w:r w:rsidRPr="00993936">
        <w:rPr>
          <w:rFonts w:ascii="Arial" w:hAnsi="Arial" w:cs="Arial"/>
          <w:lang w:val="es-ES"/>
        </w:rPr>
        <w:t xml:space="preserve">por </w:t>
      </w:r>
      <w:r w:rsidR="006E0CBA" w:rsidRPr="00993936">
        <w:rPr>
          <w:rFonts w:ascii="Arial" w:hAnsi="Arial" w:cs="Arial"/>
          <w:lang w:val="es-ES"/>
        </w:rPr>
        <w:t>e</w:t>
      </w:r>
      <w:r w:rsidRPr="00993936">
        <w:rPr>
          <w:rFonts w:ascii="Arial" w:hAnsi="Arial" w:cs="Arial"/>
          <w:lang w:val="es-ES"/>
        </w:rPr>
        <w:t>l que se establecen las normas relativas a los manipuladores de alimentos</w:t>
      </w:r>
      <w:r w:rsidR="006E0CBA" w:rsidRPr="00993936">
        <w:rPr>
          <w:rFonts w:ascii="Arial" w:hAnsi="Arial" w:cs="Arial"/>
          <w:lang w:val="es-ES"/>
        </w:rPr>
        <w:t xml:space="preserve"> (BOE núm.</w:t>
      </w:r>
      <w:r w:rsidRPr="00993936">
        <w:rPr>
          <w:rFonts w:ascii="Arial" w:hAnsi="Arial" w:cs="Arial"/>
          <w:lang w:val="es-ES"/>
        </w:rPr>
        <w:t xml:space="preserve"> 48, de 25.02.2000).</w:t>
      </w:r>
    </w:p>
    <w:p w:rsidR="00412AFB" w:rsidRPr="00993936" w:rsidRDefault="00412AFB" w:rsidP="00412AFB">
      <w:pPr>
        <w:jc w:val="both"/>
        <w:rPr>
          <w:rFonts w:ascii="Arial" w:hAnsi="Arial" w:cs="Arial"/>
          <w:lang w:val="es-ES"/>
        </w:rPr>
      </w:pPr>
      <w:r w:rsidRPr="00993936">
        <w:rPr>
          <w:rFonts w:ascii="Arial" w:hAnsi="Arial" w:cs="Arial"/>
          <w:lang w:val="es-ES"/>
        </w:rPr>
        <w:t>27.1.5 La zona de almacenamiento de envases y materiales de envasado estará claramente diferenciada de la zona de manipulación.</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27.2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27.2.1 La mezcla de variedades durante el proceso de lavado, selección y calibrado.</w:t>
      </w:r>
    </w:p>
    <w:p w:rsidR="00412AFB" w:rsidRPr="00993936" w:rsidRDefault="00412AFB" w:rsidP="00412AFB">
      <w:pPr>
        <w:pStyle w:val="Textoindependiente"/>
        <w:rPr>
          <w:rFonts w:cs="Arial"/>
          <w:szCs w:val="22"/>
          <w:lang w:val="es-ES"/>
        </w:rPr>
      </w:pPr>
      <w:r w:rsidRPr="00993936">
        <w:rPr>
          <w:rFonts w:cs="Arial"/>
          <w:szCs w:val="22"/>
          <w:lang w:val="es-ES"/>
        </w:rPr>
        <w:t>27.2.2 La utilización de aguas no potables para el lavado de los frutos.</w:t>
      </w:r>
    </w:p>
    <w:p w:rsidR="00412AFB" w:rsidRPr="00993936" w:rsidRDefault="00412AFB" w:rsidP="00412AFB">
      <w:pPr>
        <w:pStyle w:val="Ttulo1"/>
        <w:rPr>
          <w:rFonts w:ascii="Arial" w:hAnsi="Arial" w:cs="Arial"/>
          <w:b/>
          <w:color w:val="auto"/>
          <w:szCs w:val="22"/>
        </w:rPr>
      </w:pPr>
    </w:p>
    <w:p w:rsidR="00412AFB" w:rsidRPr="00993936" w:rsidRDefault="00412AFB" w:rsidP="00D35662">
      <w:pPr>
        <w:pStyle w:val="Sinespaciado"/>
        <w:rPr>
          <w:rFonts w:ascii="Arial" w:hAnsi="Arial" w:cs="Arial"/>
        </w:rPr>
      </w:pPr>
      <w:r w:rsidRPr="00993936">
        <w:rPr>
          <w:rFonts w:ascii="Arial" w:hAnsi="Arial" w:cs="Arial"/>
        </w:rPr>
        <w:t>Artículo 28</w:t>
      </w:r>
    </w:p>
    <w:p w:rsidR="00412AFB" w:rsidRPr="00993936" w:rsidRDefault="00412AFB" w:rsidP="00D35662">
      <w:pPr>
        <w:pStyle w:val="Sinespaciado"/>
        <w:rPr>
          <w:rFonts w:ascii="Arial" w:hAnsi="Arial" w:cs="Arial"/>
          <w:b/>
        </w:rPr>
      </w:pPr>
      <w:r w:rsidRPr="00993936">
        <w:rPr>
          <w:rFonts w:ascii="Arial" w:hAnsi="Arial" w:cs="Arial"/>
          <w:b/>
        </w:rPr>
        <w:t>Expedición</w:t>
      </w:r>
    </w:p>
    <w:p w:rsidR="00412AFB" w:rsidRPr="00993936" w:rsidRDefault="00412AFB" w:rsidP="00D35662">
      <w:pPr>
        <w:pStyle w:val="Sinespaciado"/>
        <w:rPr>
          <w:rFonts w:ascii="Arial" w:hAnsi="Arial" w:cs="Arial"/>
          <w:i/>
          <w:lang w:val="es-ES"/>
        </w:rPr>
      </w:pPr>
      <w:r w:rsidRPr="00993936">
        <w:rPr>
          <w:rFonts w:ascii="Arial" w:hAnsi="Arial" w:cs="Arial"/>
          <w:i/>
          <w:lang w:val="es-ES"/>
        </w:rPr>
        <w:t>28.1 Obligaciones</w:t>
      </w:r>
    </w:p>
    <w:p w:rsidR="00412AFB" w:rsidRPr="00993936" w:rsidRDefault="00412AFB" w:rsidP="00412AFB">
      <w:pPr>
        <w:jc w:val="both"/>
        <w:rPr>
          <w:rFonts w:ascii="Arial" w:hAnsi="Arial" w:cs="Arial"/>
          <w:lang w:val="es-ES"/>
        </w:rPr>
      </w:pPr>
      <w:r w:rsidRPr="00993936">
        <w:rPr>
          <w:rFonts w:ascii="Arial" w:hAnsi="Arial" w:cs="Arial"/>
          <w:lang w:val="es-ES"/>
        </w:rPr>
        <w:t>28.1.1 Antes de cargar todos los elementos de transporte deben estar limpios, en buen estado y exentos de olores y objetos extraños.</w:t>
      </w:r>
    </w:p>
    <w:p w:rsidR="00412AFB" w:rsidRPr="00993936" w:rsidRDefault="00412AFB" w:rsidP="00412AFB">
      <w:pPr>
        <w:jc w:val="both"/>
        <w:rPr>
          <w:rFonts w:ascii="Arial" w:hAnsi="Arial" w:cs="Arial"/>
          <w:lang w:val="es-ES"/>
        </w:rPr>
      </w:pPr>
      <w:r w:rsidRPr="00993936">
        <w:rPr>
          <w:rFonts w:ascii="Arial" w:hAnsi="Arial" w:cs="Arial"/>
          <w:lang w:val="es-ES"/>
        </w:rPr>
        <w:t>28.1.2 El producto debe ser transportado a la temperatura estipulada por la persona operadora y reflejada en el contrato de transporte.</w:t>
      </w:r>
    </w:p>
    <w:p w:rsidR="00412AFB" w:rsidRPr="00993936" w:rsidRDefault="00412AFB" w:rsidP="00412AFB">
      <w:pPr>
        <w:pStyle w:val="Textoindependiente"/>
        <w:outlineLvl w:val="0"/>
        <w:rPr>
          <w:rFonts w:cs="Arial"/>
          <w:szCs w:val="22"/>
          <w:lang w:val="es-ES"/>
        </w:rPr>
      </w:pPr>
    </w:p>
    <w:p w:rsidR="00412AFB" w:rsidRPr="00993936" w:rsidRDefault="00412AFB" w:rsidP="00412AFB">
      <w:pPr>
        <w:pStyle w:val="Textoindependiente"/>
        <w:outlineLvl w:val="0"/>
        <w:rPr>
          <w:rFonts w:cs="Arial"/>
          <w:szCs w:val="22"/>
          <w:lang w:val="es-ES"/>
        </w:rPr>
      </w:pPr>
      <w:r w:rsidRPr="00993936">
        <w:rPr>
          <w:rFonts w:cs="Arial"/>
          <w:szCs w:val="22"/>
          <w:lang w:val="es-ES"/>
        </w:rPr>
        <w:t>Artículo 29</w:t>
      </w:r>
    </w:p>
    <w:p w:rsidR="00412AFB" w:rsidRPr="00993936" w:rsidRDefault="00412AFB" w:rsidP="00412AFB">
      <w:pPr>
        <w:pStyle w:val="Textoindependiente"/>
        <w:outlineLvl w:val="0"/>
        <w:rPr>
          <w:rFonts w:cs="Arial"/>
          <w:b/>
          <w:szCs w:val="22"/>
          <w:lang w:val="es-ES"/>
        </w:rPr>
      </w:pPr>
      <w:r w:rsidRPr="00993936">
        <w:rPr>
          <w:rFonts w:cs="Arial"/>
          <w:b/>
          <w:szCs w:val="22"/>
          <w:lang w:val="es-ES"/>
        </w:rPr>
        <w:t>Cuaderno de conservación/poscosecha</w:t>
      </w:r>
    </w:p>
    <w:p w:rsidR="00412AFB" w:rsidRPr="00993936" w:rsidRDefault="00412AFB" w:rsidP="00412AFB">
      <w:pPr>
        <w:jc w:val="both"/>
        <w:rPr>
          <w:rFonts w:ascii="Arial" w:hAnsi="Arial" w:cs="Arial"/>
          <w:i/>
          <w:lang w:val="es-ES"/>
        </w:rPr>
      </w:pPr>
      <w:r w:rsidRPr="00993936">
        <w:rPr>
          <w:rFonts w:ascii="Arial" w:hAnsi="Arial" w:cs="Arial"/>
          <w:i/>
          <w:lang w:val="es-ES"/>
        </w:rPr>
        <w:t>29.1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29.1.1 El modelo de cuaderno de explotación es único en cuanto al contenido de los datos que deben registrarse, y será aprobado por el Departamento de Agricultura, Ganadería, Pesca y Alimentación. </w:t>
      </w:r>
    </w:p>
    <w:p w:rsidR="00412AFB" w:rsidRPr="00993936" w:rsidRDefault="00412AFB" w:rsidP="00412AFB">
      <w:pPr>
        <w:jc w:val="both"/>
        <w:rPr>
          <w:rFonts w:ascii="Arial" w:hAnsi="Arial" w:cs="Arial"/>
          <w:lang w:val="es-ES"/>
        </w:rPr>
      </w:pPr>
      <w:r w:rsidRPr="00993936">
        <w:rPr>
          <w:rFonts w:ascii="Arial" w:hAnsi="Arial" w:cs="Arial"/>
          <w:lang w:val="es-ES"/>
        </w:rPr>
        <w:t>29.1.2 El personal técnico responsable de conservación de productos de producción integrada se responsabilizará periódicamente, mediante su firma, de la conformidad de las anotaciones realizadas en el cuaderno de conservación para con el sistema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29.1.3 El cuaderno de conservación es obligatorio y estará siempre disponible para su inspección. Para la buena funcionalidad del sistema, las anotaciones de las operaciones deberán realizarse en el plazo máximo de los siete días siguientes a su ejecución.</w:t>
      </w:r>
    </w:p>
    <w:p w:rsidR="00412AFB" w:rsidRPr="00993936" w:rsidRDefault="00412AFB" w:rsidP="00412AFB">
      <w:pPr>
        <w:pStyle w:val="Ttulo2"/>
        <w:rPr>
          <w:rFonts w:ascii="Arial" w:hAnsi="Arial" w:cs="Arial"/>
          <w:color w:val="auto"/>
          <w:szCs w:val="22"/>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30</w:t>
      </w:r>
    </w:p>
    <w:p w:rsidR="00412AFB" w:rsidRPr="00993936" w:rsidRDefault="00412AFB" w:rsidP="00412AFB">
      <w:pPr>
        <w:jc w:val="both"/>
        <w:rPr>
          <w:rFonts w:ascii="Arial" w:hAnsi="Arial" w:cs="Arial"/>
          <w:b/>
          <w:lang w:val="es-ES"/>
        </w:rPr>
      </w:pPr>
      <w:r w:rsidRPr="00993936">
        <w:rPr>
          <w:rFonts w:ascii="Arial" w:hAnsi="Arial" w:cs="Arial"/>
          <w:b/>
          <w:lang w:val="es-ES"/>
        </w:rPr>
        <w:t xml:space="preserve">Formación del personal </w:t>
      </w:r>
    </w:p>
    <w:p w:rsidR="00412AFB" w:rsidRPr="00993936" w:rsidRDefault="00412AFB" w:rsidP="00412AFB">
      <w:pPr>
        <w:jc w:val="both"/>
        <w:rPr>
          <w:rFonts w:ascii="Arial" w:hAnsi="Arial" w:cs="Arial"/>
          <w:lang w:val="es-ES"/>
        </w:rPr>
      </w:pPr>
      <w:r w:rsidRPr="00993936">
        <w:rPr>
          <w:rFonts w:ascii="Arial" w:hAnsi="Arial" w:cs="Arial"/>
          <w:lang w:val="es-ES"/>
        </w:rPr>
        <w:t xml:space="preserve">30.1 </w:t>
      </w:r>
      <w:r w:rsidRPr="00993936">
        <w:rPr>
          <w:rFonts w:ascii="Arial" w:hAnsi="Arial" w:cs="Arial"/>
          <w:i/>
          <w:lang w:val="es-ES"/>
        </w:rPr>
        <w:t>Obligaciones</w:t>
      </w:r>
    </w:p>
    <w:p w:rsidR="00412AFB" w:rsidRPr="00993936" w:rsidRDefault="006E0CBA" w:rsidP="00412AFB">
      <w:pPr>
        <w:jc w:val="both"/>
        <w:rPr>
          <w:rFonts w:ascii="Arial" w:hAnsi="Arial" w:cs="Arial"/>
          <w:lang w:val="es-ES"/>
        </w:rPr>
      </w:pPr>
      <w:r w:rsidRPr="00993936">
        <w:rPr>
          <w:rFonts w:ascii="Arial" w:hAnsi="Arial" w:cs="Arial"/>
          <w:lang w:val="es-ES"/>
        </w:rPr>
        <w:t xml:space="preserve">30.1.1 </w:t>
      </w:r>
      <w:r w:rsidR="00412AFB" w:rsidRPr="00993936">
        <w:rPr>
          <w:rFonts w:ascii="Arial" w:hAnsi="Arial" w:cs="Arial"/>
          <w:lang w:val="es-ES"/>
        </w:rPr>
        <w:t xml:space="preserve">La empresa deberá fomentar la formación y proporcionar la que sea necesaria al personal implicado en la aplicación de esta norma y demás partes afectadas por su </w:t>
      </w:r>
      <w:r w:rsidR="00412AFB" w:rsidRPr="00993936">
        <w:rPr>
          <w:rFonts w:ascii="Arial" w:hAnsi="Arial" w:cs="Arial"/>
          <w:lang w:val="es-ES"/>
        </w:rPr>
        <w:lastRenderedPageBreak/>
        <w:t>actividad. Por otro lado, todos los agentes que participen en la producción integrada deben tener una formación específica al respecto.</w:t>
      </w:r>
    </w:p>
    <w:p w:rsidR="00412AFB" w:rsidRPr="00993936" w:rsidRDefault="00412AFB" w:rsidP="00412AFB">
      <w:pPr>
        <w:pStyle w:val="Sangradetextonormal"/>
        <w:ind w:left="0"/>
        <w:rPr>
          <w:rFonts w:cs="Arial"/>
          <w:b/>
          <w:szCs w:val="22"/>
          <w:lang w:val="es-ES"/>
        </w:rPr>
      </w:pPr>
      <w:r w:rsidRPr="00993936">
        <w:rPr>
          <w:rFonts w:cs="Arial"/>
          <w:szCs w:val="22"/>
          <w:lang w:val="es-ES"/>
        </w:rPr>
        <w:t xml:space="preserve">30.1.1.1 </w:t>
      </w:r>
      <w:r w:rsidRPr="00993936">
        <w:rPr>
          <w:rFonts w:cs="Arial"/>
          <w:szCs w:val="22"/>
          <w:u w:val="single"/>
          <w:lang w:val="es-ES"/>
        </w:rPr>
        <w:t>Personal de la central hortofrutícola</w:t>
      </w:r>
      <w:r w:rsidRPr="00993936">
        <w:rPr>
          <w:rFonts w:cs="Arial"/>
          <w:b/>
          <w:szCs w:val="22"/>
          <w:lang w:val="es-ES"/>
        </w:rPr>
        <w:t xml:space="preserve"> </w:t>
      </w:r>
    </w:p>
    <w:p w:rsidR="00412AFB" w:rsidRPr="00993936" w:rsidRDefault="00412AFB" w:rsidP="00412AFB">
      <w:pPr>
        <w:pStyle w:val="Sangradetextonormal"/>
        <w:ind w:left="0"/>
        <w:rPr>
          <w:rFonts w:cs="Arial"/>
          <w:szCs w:val="22"/>
          <w:lang w:val="es-ES"/>
        </w:rPr>
      </w:pPr>
      <w:r w:rsidRPr="00993936">
        <w:rPr>
          <w:rFonts w:cs="Arial"/>
          <w:szCs w:val="22"/>
          <w:lang w:val="es-ES"/>
        </w:rPr>
        <w:t>La empresa debe asegurar la formación del personal de la central hortofrutícola en materia de buenas prácticas de higiene y manipulado, conservando un registro de los cursos impartidos.</w:t>
      </w:r>
    </w:p>
    <w:p w:rsidR="00412AFB" w:rsidRPr="00993936" w:rsidRDefault="00412AFB" w:rsidP="00412AFB">
      <w:pPr>
        <w:jc w:val="both"/>
        <w:rPr>
          <w:rFonts w:ascii="Arial" w:hAnsi="Arial" w:cs="Arial"/>
          <w:lang w:val="es-ES"/>
        </w:rPr>
      </w:pPr>
      <w:r w:rsidRPr="00993936">
        <w:rPr>
          <w:rFonts w:ascii="Arial" w:hAnsi="Arial" w:cs="Arial"/>
          <w:lang w:val="es-ES"/>
        </w:rPr>
        <w:t xml:space="preserve">30.1.1.2 </w:t>
      </w:r>
      <w:r w:rsidRPr="00993936">
        <w:rPr>
          <w:rFonts w:ascii="Arial" w:hAnsi="Arial" w:cs="Arial"/>
          <w:u w:val="single"/>
          <w:lang w:val="es-ES"/>
        </w:rPr>
        <w:t>Personal técnico competente</w:t>
      </w:r>
    </w:p>
    <w:p w:rsidR="00412AFB" w:rsidRPr="00993936" w:rsidRDefault="00412AFB" w:rsidP="00412AFB">
      <w:pPr>
        <w:jc w:val="both"/>
        <w:rPr>
          <w:rFonts w:ascii="Arial" w:hAnsi="Arial" w:cs="Arial"/>
          <w:lang w:val="es-ES"/>
        </w:rPr>
      </w:pPr>
      <w:r w:rsidRPr="00993936">
        <w:rPr>
          <w:rFonts w:ascii="Arial" w:hAnsi="Arial" w:cs="Arial"/>
          <w:lang w:val="es-ES"/>
        </w:rPr>
        <w:t>El personal técnico competente que participe en la producción integrada debe tener una formación universitaria de acuerdo con lo establecido en el artículo 11.1 del Decreto 241/2002 y acreditar una formación específica en producción integrada en virtud de lo que se establece en el artículo 24.1 del mencionado Decreto. Esta formación, en Cataluña, se regula por la Orden ARP/69/2003, de 14 de febrero (DOGC núm. 3832, de 27.02.2003), por los que se establecen y regulan los cursos de formación en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30.1.1.3</w:t>
      </w:r>
      <w:r w:rsidR="00E03B3B" w:rsidRPr="00993936">
        <w:rPr>
          <w:rFonts w:ascii="Arial" w:hAnsi="Arial" w:cs="Arial"/>
          <w:lang w:val="es-ES"/>
        </w:rPr>
        <w:t xml:space="preserve"> </w:t>
      </w:r>
      <w:r w:rsidRPr="00993936">
        <w:rPr>
          <w:rFonts w:ascii="Arial" w:hAnsi="Arial" w:cs="Arial"/>
          <w:u w:val="single"/>
          <w:lang w:val="es-ES"/>
        </w:rPr>
        <w:t>Operadores o personas operadoras</w:t>
      </w:r>
    </w:p>
    <w:p w:rsidR="00412AFB" w:rsidRPr="00993936" w:rsidRDefault="00412AFB" w:rsidP="00412AFB">
      <w:pPr>
        <w:jc w:val="both"/>
        <w:rPr>
          <w:rFonts w:ascii="Arial" w:hAnsi="Arial" w:cs="Arial"/>
          <w:lang w:val="es-ES"/>
        </w:rPr>
      </w:pPr>
      <w:r w:rsidRPr="00993936">
        <w:rPr>
          <w:rFonts w:ascii="Arial" w:hAnsi="Arial" w:cs="Arial"/>
          <w:lang w:val="es-ES"/>
        </w:rPr>
        <w:t>Todos los miembros del personal operador de producción integrada (productores y/o elaboradores) deben tener una formación específica en producción integrada, por lo que tienen que acreditar la realización de un curso de producción integrada impartido por la Administración pública o por alguna entidad reconocida, de acuerdo con lo establecido en el Decreto 241/2002 y la Orden ARP/69/2003, de 14 de febrero (DOGC núm. 3832, de 27.02.2003), por los que se establecen y regulan los cursos de formación en producción integrada.</w:t>
      </w:r>
    </w:p>
    <w:p w:rsidR="00412AFB" w:rsidRPr="00993936" w:rsidRDefault="00412AFB" w:rsidP="00D35662">
      <w:pPr>
        <w:pStyle w:val="Sinespaciado"/>
        <w:jc w:val="both"/>
        <w:rPr>
          <w:rFonts w:ascii="Arial" w:hAnsi="Arial" w:cs="Arial"/>
        </w:rPr>
      </w:pPr>
      <w:r w:rsidRPr="00993936">
        <w:rPr>
          <w:rFonts w:ascii="Arial" w:hAnsi="Arial" w:cs="Arial"/>
        </w:rPr>
        <w:t>30.1.1.4 Persona encargada de manipular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La persona encargada de manipular productos fitosanitarios debe estar en posesión del carné de manipulador de nivel básico que la capacita para desarrollar su actividad, salvo las excepciones previstas en la legislación vigente.</w:t>
      </w:r>
    </w:p>
    <w:p w:rsidR="00412AFB" w:rsidRPr="00993936" w:rsidRDefault="00412AFB" w:rsidP="00412AFB">
      <w:pPr>
        <w:rPr>
          <w:rFonts w:ascii="Arial" w:hAnsi="Arial" w:cs="Arial"/>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IV. IDENTIFICACIÓN, TRAZABILIDAD Y COMERCIALIZACIÓN</w:t>
      </w:r>
    </w:p>
    <w:p w:rsidR="00412AFB" w:rsidRPr="00993936" w:rsidRDefault="00412AFB" w:rsidP="00412AFB">
      <w:pPr>
        <w:pStyle w:val="Ttulo6"/>
        <w:ind w:left="3600"/>
        <w:jc w:val="both"/>
        <w:rPr>
          <w:rFonts w:ascii="Arial" w:hAnsi="Arial" w:cs="Arial"/>
          <w:color w:val="auto"/>
          <w:lang w:val="es-ES"/>
        </w:rPr>
      </w:pPr>
      <w:r w:rsidRPr="00993936">
        <w:rPr>
          <w:rFonts w:ascii="Arial" w:hAnsi="Arial" w:cs="Arial"/>
          <w:color w:val="auto"/>
          <w:lang w:val="es-ES"/>
        </w:rPr>
        <w:t xml:space="preserve"> </w:t>
      </w:r>
    </w:p>
    <w:p w:rsidR="00412AFB" w:rsidRPr="00993936" w:rsidRDefault="00412AFB" w:rsidP="00412AFB">
      <w:pPr>
        <w:pStyle w:val="Ttulo6"/>
        <w:jc w:val="both"/>
        <w:rPr>
          <w:rFonts w:ascii="Arial" w:hAnsi="Arial" w:cs="Arial"/>
          <w:b/>
          <w:color w:val="auto"/>
          <w:lang w:val="es-ES"/>
        </w:rPr>
      </w:pPr>
      <w:r w:rsidRPr="00993936">
        <w:rPr>
          <w:rFonts w:ascii="Arial" w:hAnsi="Arial" w:cs="Arial"/>
          <w:color w:val="auto"/>
          <w:lang w:val="es-ES"/>
        </w:rPr>
        <w:t>Artículo 31</w:t>
      </w:r>
    </w:p>
    <w:p w:rsidR="00412AFB" w:rsidRPr="00993936" w:rsidRDefault="00412AFB" w:rsidP="00412AFB">
      <w:pPr>
        <w:pStyle w:val="Ttulo6"/>
        <w:jc w:val="both"/>
        <w:rPr>
          <w:rFonts w:ascii="Arial" w:hAnsi="Arial" w:cs="Arial"/>
          <w:b/>
          <w:color w:val="auto"/>
          <w:lang w:val="es-ES"/>
        </w:rPr>
      </w:pPr>
      <w:r w:rsidRPr="00993936">
        <w:rPr>
          <w:rFonts w:ascii="Arial" w:hAnsi="Arial" w:cs="Arial"/>
          <w:b/>
          <w:noProof/>
          <w:color w:val="auto"/>
          <w:lang w:val="es-ES" w:eastAsia="es-ES"/>
        </w:rPr>
        <mc:AlternateContent>
          <mc:Choice Requires="wps">
            <w:drawing>
              <wp:anchor distT="0" distB="0" distL="114300" distR="114300" simplePos="0" relativeHeight="251607040" behindDoc="0" locked="0" layoutInCell="1" allowOverlap="1">
                <wp:simplePos x="0" y="0"/>
                <wp:positionH relativeFrom="column">
                  <wp:posOffset>800100</wp:posOffset>
                </wp:positionH>
                <wp:positionV relativeFrom="paragraph">
                  <wp:posOffset>-2912110</wp:posOffset>
                </wp:positionV>
                <wp:extent cx="0" cy="0"/>
                <wp:effectExtent l="9525" t="12065" r="9525" b="6985"/>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263869" id="Conector recto 45"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1T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598848" behindDoc="0" locked="0" layoutInCell="1" allowOverlap="1">
                <wp:simplePos x="0" y="0"/>
                <wp:positionH relativeFrom="column">
                  <wp:posOffset>5715000</wp:posOffset>
                </wp:positionH>
                <wp:positionV relativeFrom="paragraph">
                  <wp:posOffset>-3715385</wp:posOffset>
                </wp:positionV>
                <wp:extent cx="0" cy="0"/>
                <wp:effectExtent l="9525" t="8890" r="9525" b="1016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573B7E" id="Conector recto 44"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xl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590656" behindDoc="0" locked="0" layoutInCell="1" allowOverlap="1">
                <wp:simplePos x="0" y="0"/>
                <wp:positionH relativeFrom="column">
                  <wp:posOffset>2286000</wp:posOffset>
                </wp:positionH>
                <wp:positionV relativeFrom="paragraph">
                  <wp:posOffset>-3715385</wp:posOffset>
                </wp:positionV>
                <wp:extent cx="0" cy="0"/>
                <wp:effectExtent l="9525" t="8890" r="9525" b="10160"/>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19710A9" id="Conector recto 43"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"/>
            </w:pict>
          </mc:Fallback>
        </mc:AlternateContent>
      </w:r>
      <w:r w:rsidRPr="00993936">
        <w:rPr>
          <w:rFonts w:ascii="Arial" w:hAnsi="Arial" w:cs="Arial"/>
          <w:b/>
          <w:color w:val="auto"/>
          <w:lang w:val="es-ES"/>
        </w:rPr>
        <w:t>Identificación y trazabilidad</w:t>
      </w:r>
    </w:p>
    <w:p w:rsidR="00412AFB" w:rsidRPr="00993936" w:rsidRDefault="00412AFB" w:rsidP="00412AFB">
      <w:pPr>
        <w:jc w:val="both"/>
        <w:rPr>
          <w:rFonts w:ascii="Arial" w:hAnsi="Arial" w:cs="Arial"/>
          <w:lang w:val="es-ES"/>
        </w:rPr>
      </w:pPr>
      <w:r w:rsidRPr="00993936">
        <w:rPr>
          <w:rFonts w:ascii="Arial" w:hAnsi="Arial" w:cs="Arial"/>
          <w:lang w:val="es-ES"/>
        </w:rPr>
        <w:t xml:space="preserve">31.1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31.1.1 Formalizar una declaración de responsabilidad del agricultor que permita la identificación de los productos que proceden de parcelas acogidas a la producción integrada. En un plano o croquis de la parcela y/o UHC se justificará el conocimiento de la ubicación de los diferentes lotes del material vegetal utilizado.</w:t>
      </w:r>
    </w:p>
    <w:p w:rsidR="00412AFB" w:rsidRPr="00993936" w:rsidRDefault="00412AFB" w:rsidP="00412AFB">
      <w:pPr>
        <w:jc w:val="both"/>
        <w:rPr>
          <w:rFonts w:ascii="Arial" w:hAnsi="Arial" w:cs="Arial"/>
          <w:lang w:val="es-ES"/>
        </w:rPr>
      </w:pPr>
      <w:r w:rsidRPr="00993936">
        <w:rPr>
          <w:rFonts w:ascii="Arial" w:hAnsi="Arial" w:cs="Arial"/>
          <w:lang w:val="es-ES"/>
        </w:rPr>
        <w:t>31.1.2 En cada centro de recepción y/o manipulación ha de haber un albarán de control de entrada, donde figure el producto, la cantidad, la parcela de origen, la unidad homogénea de cultivo y la fecha de entrada, firmado por la persona que hace la entrega.</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31.1.3 Las personas operadoras que no tengan la totalidad de la producción de cultivo sujeta a normas de producción integrada deberán cumplir los siguientes requisitos:</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de otros orígenes. </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t>En caso de utilizar la misma línea de manipulación o confección para los dos tipos de producto, deberá quedar claramente definido el intervalo de tiempo durante el que se manipula cada tipo de producto, y ha de ser conocido por todo el personal implicado en el proceso.</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t>Antes de proceder a la manipulación del producto de producción integrada, las líneas de manipulación deben estar completamente limpias de productos de otros orígenes.</w:t>
      </w:r>
    </w:p>
    <w:p w:rsidR="00412AFB" w:rsidRPr="00993936" w:rsidRDefault="00412AFB" w:rsidP="00412AFB">
      <w:pPr>
        <w:jc w:val="both"/>
        <w:rPr>
          <w:rFonts w:ascii="Arial" w:hAnsi="Arial" w:cs="Arial"/>
          <w:lang w:val="es-ES"/>
        </w:rPr>
      </w:pPr>
      <w:r w:rsidRPr="00993936">
        <w:rPr>
          <w:rFonts w:ascii="Arial" w:hAnsi="Arial" w:cs="Arial"/>
          <w:lang w:val="es-ES"/>
        </w:rPr>
        <w:t>31.1.4 Los productos de producción integrada serán identificados y considerados, en cualquier momento del proceso técnico, administrativo y de comercialización, como diferentes en relación con el resto de los productos manipulados por la persona operadora.</w:t>
      </w:r>
    </w:p>
    <w:p w:rsidR="00412AFB" w:rsidRPr="00993936" w:rsidRDefault="00412AFB" w:rsidP="00412AFB">
      <w:pPr>
        <w:jc w:val="both"/>
        <w:rPr>
          <w:rFonts w:ascii="Arial" w:hAnsi="Arial" w:cs="Arial"/>
          <w:lang w:val="es-ES"/>
        </w:rPr>
      </w:pPr>
      <w:r w:rsidRPr="00993936">
        <w:rPr>
          <w:rFonts w:ascii="Arial" w:hAnsi="Arial" w:cs="Arial"/>
          <w:lang w:val="es-ES"/>
        </w:rPr>
        <w:t>31.1.5 Las cajas de campo y otros envases utilizados para la recolección o el transporte de productos de producción integrada deben estar claramente diferenciados de los empleados para otros productos.</w:t>
      </w:r>
    </w:p>
    <w:p w:rsidR="00412AFB" w:rsidRPr="00993936" w:rsidRDefault="00412AFB" w:rsidP="00412AFB">
      <w:pPr>
        <w:jc w:val="both"/>
        <w:rPr>
          <w:rFonts w:ascii="Arial" w:hAnsi="Arial" w:cs="Arial"/>
          <w:lang w:val="es-ES"/>
        </w:rPr>
      </w:pPr>
      <w:r w:rsidRPr="00993936">
        <w:rPr>
          <w:rFonts w:ascii="Arial" w:hAnsi="Arial" w:cs="Arial"/>
          <w:lang w:val="es-ES"/>
        </w:rPr>
        <w:t xml:space="preserve">31.2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31.2.1 Comercializar, como productos amparados por esta norma, los procedentes de unidades de cultivo que no cumplan las indicaciones de cultivo que establece la normativa de producción integrada en toda su producción.</w:t>
      </w:r>
    </w:p>
    <w:p w:rsidR="00412AFB" w:rsidRPr="00993936" w:rsidRDefault="00412AFB" w:rsidP="00412AFB">
      <w:pPr>
        <w:jc w:val="both"/>
        <w:rPr>
          <w:rFonts w:ascii="Arial" w:hAnsi="Arial" w:cs="Arial"/>
          <w:lang w:val="es-ES"/>
        </w:rPr>
      </w:pPr>
      <w:r w:rsidRPr="00993936">
        <w:rPr>
          <w:rFonts w:ascii="Arial" w:hAnsi="Arial" w:cs="Arial"/>
          <w:lang w:val="es-ES"/>
        </w:rPr>
        <w:t>31.2.2 La presencia de cajas, etiquetas o marcas comerciales, de productos de producción integrada en parcelas y/o UHC que no estén acogidas a producción integrada.</w:t>
      </w:r>
    </w:p>
    <w:p w:rsidR="00412AFB" w:rsidRPr="00993936" w:rsidRDefault="00412AFB" w:rsidP="00412AFB">
      <w:pPr>
        <w:pStyle w:val="Ttulo6"/>
        <w:spacing w:before="120"/>
        <w:jc w:val="both"/>
        <w:rPr>
          <w:rFonts w:ascii="Arial" w:hAnsi="Arial" w:cs="Arial"/>
          <w:b/>
          <w:color w:val="auto"/>
          <w:lang w:val="es-ES"/>
        </w:rPr>
      </w:pPr>
      <w:r w:rsidRPr="00993936">
        <w:rPr>
          <w:rFonts w:ascii="Arial" w:hAnsi="Arial" w:cs="Arial"/>
          <w:color w:val="auto"/>
          <w:lang w:val="es-ES"/>
        </w:rPr>
        <w:t>Artículo 32</w:t>
      </w:r>
    </w:p>
    <w:p w:rsidR="00412AFB" w:rsidRPr="00993936" w:rsidRDefault="00412AFB" w:rsidP="00412AFB">
      <w:pPr>
        <w:pStyle w:val="Ttulo6"/>
        <w:jc w:val="both"/>
        <w:rPr>
          <w:rFonts w:ascii="Arial" w:hAnsi="Arial" w:cs="Arial"/>
          <w:b/>
          <w:color w:val="auto"/>
          <w:lang w:val="es-ES"/>
        </w:rPr>
      </w:pPr>
      <w:r w:rsidRPr="00993936">
        <w:rPr>
          <w:rFonts w:ascii="Arial" w:hAnsi="Arial" w:cs="Arial"/>
          <w:b/>
          <w:color w:val="auto"/>
          <w:lang w:val="es-ES"/>
        </w:rPr>
        <w:t>Control de calidad</w:t>
      </w:r>
    </w:p>
    <w:p w:rsidR="00412AFB" w:rsidRPr="00993936" w:rsidRDefault="00412AFB" w:rsidP="00412AFB">
      <w:pPr>
        <w:pStyle w:val="Encabezado"/>
        <w:tabs>
          <w:tab w:val="clear" w:pos="4252"/>
          <w:tab w:val="clear" w:pos="8504"/>
        </w:tabs>
        <w:jc w:val="both"/>
        <w:rPr>
          <w:rFonts w:ascii="Arial" w:hAnsi="Arial" w:cs="Arial"/>
          <w:i/>
          <w:lang w:val="es-ES"/>
        </w:rPr>
      </w:pPr>
      <w:r w:rsidRPr="00993936">
        <w:rPr>
          <w:rFonts w:ascii="Arial" w:hAnsi="Arial" w:cs="Arial"/>
          <w:i/>
          <w:lang w:val="es-ES"/>
        </w:rPr>
        <w:t>32.1 Obligaciones</w:t>
      </w:r>
    </w:p>
    <w:p w:rsidR="00412AFB" w:rsidRPr="00993936" w:rsidRDefault="00412AFB" w:rsidP="00412AFB">
      <w:pPr>
        <w:jc w:val="both"/>
        <w:rPr>
          <w:rFonts w:ascii="Arial" w:hAnsi="Arial" w:cs="Arial"/>
          <w:lang w:val="es-ES"/>
        </w:rPr>
      </w:pPr>
      <w:r w:rsidRPr="00993936">
        <w:rPr>
          <w:rFonts w:ascii="Arial" w:hAnsi="Arial" w:cs="Arial"/>
          <w:lang w:val="es-ES"/>
        </w:rPr>
        <w:t>32.1.1 La persona operadora debe tener definido e implantado un muestreo sistemático de la producción que sirva para comprobar que se cumplen las especificaciones de la legislación vigente referentes a la normalización comercial. Los parámetros que hay que comprobar son los especificados para cada producto en la legislación vigente de calidad de frutas y hortalizas (categoría, calibre, color, peso, etc.).</w:t>
      </w:r>
    </w:p>
    <w:p w:rsidR="00412AFB" w:rsidRPr="00993936" w:rsidRDefault="00412AFB" w:rsidP="00412AFB">
      <w:pPr>
        <w:jc w:val="both"/>
        <w:rPr>
          <w:rFonts w:ascii="Arial" w:hAnsi="Arial" w:cs="Arial"/>
          <w:lang w:val="es-ES"/>
        </w:rPr>
      </w:pPr>
      <w:r w:rsidRPr="00993936">
        <w:rPr>
          <w:rFonts w:ascii="Arial" w:hAnsi="Arial" w:cs="Arial"/>
          <w:lang w:val="es-ES"/>
        </w:rPr>
        <w:t>32.1.2 La persona operadora debe conservar los registros de los controles.</w:t>
      </w:r>
    </w:p>
    <w:p w:rsidR="00412AFB" w:rsidRPr="00993936" w:rsidRDefault="00412AFB" w:rsidP="00412AFB">
      <w:pPr>
        <w:pStyle w:val="Textoindependiente"/>
        <w:rPr>
          <w:rFonts w:cs="Arial"/>
          <w:szCs w:val="22"/>
          <w:lang w:val="es-ES"/>
        </w:rPr>
      </w:pPr>
      <w:r w:rsidRPr="00993936">
        <w:rPr>
          <w:rFonts w:cs="Arial"/>
          <w:szCs w:val="22"/>
          <w:lang w:val="es-ES"/>
        </w:rPr>
        <w:t>32.1.3 La persona operadora verificará el correcto funcionamiento del instrumental de medida.</w:t>
      </w:r>
    </w:p>
    <w:p w:rsidR="00412AFB" w:rsidRPr="00993936" w:rsidRDefault="00412AFB" w:rsidP="00412AFB">
      <w:pPr>
        <w:jc w:val="both"/>
        <w:rPr>
          <w:rFonts w:ascii="Arial" w:hAnsi="Arial" w:cs="Arial"/>
          <w:lang w:val="es-ES"/>
        </w:rPr>
      </w:pPr>
      <w:r w:rsidRPr="00993936">
        <w:rPr>
          <w:rFonts w:ascii="Arial" w:hAnsi="Arial" w:cs="Arial"/>
          <w:lang w:val="es-ES"/>
        </w:rPr>
        <w:t>32.1.4 Controlar de forma periódica la calidad y, específicamente, antes de la comercialización, teniendo en cuenta aspectos de muestreo y el tipo de determinación analítica que garantice la seguridad del consumidor.</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32.1.5 Las categorías de cítricos amparadas por la denominación de producción integrada serán las establecidas por el Reglamento (CE) núm. 1799/2001, de 12 de septiembre de 2001, en el que se especifican las normas de calidad externa e interna de los frutos.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V. RESIDUOS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33</w:t>
      </w:r>
    </w:p>
    <w:p w:rsidR="00412AFB" w:rsidRPr="00993936" w:rsidRDefault="00412AFB" w:rsidP="00412AFB">
      <w:pPr>
        <w:jc w:val="both"/>
        <w:rPr>
          <w:rFonts w:ascii="Arial" w:hAnsi="Arial" w:cs="Arial"/>
          <w:b/>
          <w:lang w:val="es-ES"/>
        </w:rPr>
      </w:pPr>
      <w:r w:rsidRPr="00993936">
        <w:rPr>
          <w:rFonts w:ascii="Arial" w:hAnsi="Arial" w:cs="Arial"/>
          <w:b/>
          <w:lang w:val="es-ES"/>
        </w:rPr>
        <w:t>Gestión de los residuos</w:t>
      </w:r>
    </w:p>
    <w:p w:rsidR="00412AFB" w:rsidRPr="00993936" w:rsidRDefault="00412AFB" w:rsidP="00412AFB">
      <w:pPr>
        <w:jc w:val="both"/>
        <w:rPr>
          <w:rFonts w:ascii="Arial" w:hAnsi="Arial" w:cs="Arial"/>
          <w:i/>
          <w:lang w:val="es-ES"/>
        </w:rPr>
      </w:pPr>
      <w:r w:rsidRPr="00993936">
        <w:rPr>
          <w:rFonts w:ascii="Arial" w:hAnsi="Arial" w:cs="Arial"/>
          <w:lang w:val="es-ES"/>
        </w:rPr>
        <w:t>33.1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33.1.1 Reciclar adecuadamente los sustratos inertes, siempre que sea agronómicamente aconsejable.</w:t>
      </w:r>
    </w:p>
    <w:p w:rsidR="00412AFB" w:rsidRPr="00993936" w:rsidRDefault="00412AFB" w:rsidP="00412AFB">
      <w:pPr>
        <w:jc w:val="both"/>
        <w:rPr>
          <w:rFonts w:ascii="Arial" w:hAnsi="Arial" w:cs="Arial"/>
          <w:lang w:val="es-ES"/>
        </w:rPr>
      </w:pPr>
      <w:r w:rsidRPr="00993936">
        <w:rPr>
          <w:rFonts w:ascii="Arial" w:hAnsi="Arial" w:cs="Arial"/>
          <w:lang w:val="es-ES"/>
        </w:rPr>
        <w:t>33.1.2 Retirar para su reciclaje o, si procede, para hacer un vertido controlado, los plásticos de almohadillados, malla o cualquier otro material utilizado en las estructuras del cultivo, siempre que haya un sistema de gestión de estos residuos.</w:t>
      </w:r>
    </w:p>
    <w:p w:rsidR="00412AFB" w:rsidRPr="00993936" w:rsidRDefault="00412AFB" w:rsidP="00412AFB">
      <w:pPr>
        <w:jc w:val="both"/>
        <w:rPr>
          <w:rFonts w:ascii="Arial" w:hAnsi="Arial" w:cs="Arial"/>
          <w:lang w:val="es-ES"/>
        </w:rPr>
      </w:pPr>
      <w:r w:rsidRPr="00993936">
        <w:rPr>
          <w:rFonts w:ascii="Arial" w:hAnsi="Arial" w:cs="Arial"/>
          <w:lang w:val="es-ES"/>
        </w:rPr>
        <w:t>33.1.3 Retirar y almacenar los envases de los productos fitosanitarios y fertilizantes, una vez utilizados, hasta entregarlos a un gestor autorizado de acuerdo con el Decreto 1416/2001, de 14 de diciembre, sobre envases de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33.1.4 Gestionar los productos fitosanitarios de rechazo mediante un gestor autorizado de residuos de productos químicos o a través de una compañía proveedora o cualquier otro método seguro para el medio.</w:t>
      </w:r>
    </w:p>
    <w:p w:rsidR="00412AFB" w:rsidRPr="00993936" w:rsidRDefault="00412AFB" w:rsidP="00412AFB">
      <w:pPr>
        <w:jc w:val="both"/>
        <w:rPr>
          <w:rFonts w:ascii="Arial" w:hAnsi="Arial" w:cs="Arial"/>
          <w:lang w:val="es-ES"/>
        </w:rPr>
      </w:pPr>
      <w:r w:rsidRPr="00993936">
        <w:rPr>
          <w:rFonts w:ascii="Arial" w:hAnsi="Arial" w:cs="Arial"/>
          <w:lang w:val="es-ES"/>
        </w:rPr>
        <w:t>33.1.5 Establecer sistemas de recogida de aceites usados o de todo tipo de sustancias tóxicas y peligrosas que haya en la explotación, y asignarles el destino previsto en la legislación vigente.</w:t>
      </w:r>
    </w:p>
    <w:p w:rsidR="00412AFB" w:rsidRPr="00993936" w:rsidRDefault="00412AFB" w:rsidP="00412AFB">
      <w:pPr>
        <w:jc w:val="both"/>
        <w:rPr>
          <w:rFonts w:ascii="Arial" w:hAnsi="Arial" w:cs="Arial"/>
          <w:b/>
          <w:lang w:val="es-ES"/>
        </w:rPr>
      </w:pPr>
      <w:r w:rsidRPr="00993936">
        <w:rPr>
          <w:rFonts w:ascii="Arial" w:hAnsi="Arial" w:cs="Arial"/>
          <w:lang w:val="es-ES"/>
        </w:rPr>
        <w:t xml:space="preserve">33.2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33.2.1 Abandonar restos de plástico, envases y otros residuos en el interior o en los márgenes de la parcela y/o UHC. </w:t>
      </w:r>
    </w:p>
    <w:p w:rsidR="00412AFB" w:rsidRPr="00993936" w:rsidRDefault="00412AFB" w:rsidP="00412AFB">
      <w:pPr>
        <w:jc w:val="both"/>
        <w:rPr>
          <w:rFonts w:ascii="Arial" w:hAnsi="Arial" w:cs="Arial"/>
          <w:lang w:val="es-ES"/>
        </w:rPr>
      </w:pPr>
      <w:r w:rsidRPr="00993936">
        <w:rPr>
          <w:rFonts w:ascii="Arial" w:hAnsi="Arial" w:cs="Arial"/>
          <w:lang w:val="es-ES"/>
        </w:rPr>
        <w:t>33.2.2 Utilizar plásticos o mallas de las estructuras de cultivo, una vez retirados, para otros usos que supongan un riesgo para el cultivo, las personas o la fauna.</w:t>
      </w:r>
    </w:p>
    <w:p w:rsidR="00412AFB" w:rsidRPr="00993936" w:rsidRDefault="00412AFB" w:rsidP="00412AFB">
      <w:pPr>
        <w:jc w:val="both"/>
        <w:rPr>
          <w:rFonts w:ascii="Arial" w:hAnsi="Arial" w:cs="Arial"/>
          <w:lang w:val="es-ES"/>
        </w:rPr>
      </w:pPr>
      <w:r w:rsidRPr="00993936">
        <w:rPr>
          <w:rFonts w:ascii="Arial" w:hAnsi="Arial" w:cs="Arial"/>
          <w:lang w:val="es-ES"/>
        </w:rPr>
        <w:t>33.2.3 Destruir, mediante fuego u otros procedimientos, triturar o enterrar en la parcela y/o UHC o aledaños, los envases vacíos de los productos fitosanitarios y fertilizantes, los plásticos o las mallas de las estructuras de cultivo, excepto si se hace en lugares autorizados por la autoridad competente.</w:t>
      </w:r>
    </w:p>
    <w:p w:rsidR="00412AFB" w:rsidRPr="00993936" w:rsidRDefault="00412AFB" w:rsidP="00412AFB">
      <w:pPr>
        <w:jc w:val="both"/>
        <w:rPr>
          <w:rFonts w:ascii="Arial" w:hAnsi="Arial" w:cs="Arial"/>
          <w:lang w:val="es-ES"/>
        </w:rPr>
      </w:pPr>
      <w:r w:rsidRPr="00993936">
        <w:rPr>
          <w:rFonts w:ascii="Arial" w:hAnsi="Arial" w:cs="Arial"/>
          <w:lang w:val="es-ES"/>
        </w:rPr>
        <w:t>33.2.4 Depositar en cursos de agua, canales o embalses de agua, o dentro del perímetro de protección de captaciones de agua de consumo humano, los restos de caldo de los equipos de aplicación de productos fitosanitarios y lavarlos en esta zona.</w:t>
      </w:r>
    </w:p>
    <w:p w:rsidR="00412AFB" w:rsidRPr="00993936" w:rsidRDefault="00412AFB" w:rsidP="00412AFB">
      <w:pPr>
        <w:jc w:val="both"/>
        <w:rPr>
          <w:rFonts w:ascii="Arial" w:hAnsi="Arial" w:cs="Arial"/>
          <w:lang w:val="es-ES"/>
        </w:rPr>
      </w:pPr>
      <w:r w:rsidRPr="00993936">
        <w:rPr>
          <w:rFonts w:ascii="Arial" w:hAnsi="Arial" w:cs="Arial"/>
          <w:lang w:val="es-ES"/>
        </w:rPr>
        <w:t xml:space="preserve">33.2.5 Quemar restos vegetales de manera incontrolada, haciendo caso omiso de la normativa vigente que sea de aplicación. </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lastRenderedPageBreak/>
        <w:t>Artículo 34</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de residuos de productos fitosanitarios en vegetales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34.1 La persona operadora debe disponer de un programa de autocontrol individual o colectivo para verificar la ausencia de residuos de productos fitosanitarios, mediante la toma de muestras correspondiente, garantizar que han sido utilizadas exclusivamente las sustancias activas autorizadas y comprobar que se cumple la normativa de aplicación y, si procede, la del estado de destino, en relación con los límites máximos de residuos de productos fitosanitarios. La planificación de la recogida de las muestras debe considerar especialmente la época de recolección y/o de manipulación.</w:t>
      </w:r>
    </w:p>
    <w:p w:rsidR="00412AFB" w:rsidRPr="00993936" w:rsidRDefault="00412AFB" w:rsidP="00412AFB">
      <w:pPr>
        <w:pStyle w:val="NormalWeb"/>
        <w:spacing w:after="0"/>
        <w:jc w:val="both"/>
        <w:rPr>
          <w:rFonts w:ascii="Arial" w:hAnsi="Arial" w:cs="Arial"/>
          <w:b/>
          <w:sz w:val="22"/>
          <w:szCs w:val="22"/>
          <w:lang w:val="es-ES"/>
        </w:rPr>
      </w:pP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 xml:space="preserve">VI. PROTECCIÓN MEDIOAMBIENTAL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35</w:t>
      </w:r>
    </w:p>
    <w:p w:rsidR="00412AFB" w:rsidRPr="00993936" w:rsidRDefault="00412AFB" w:rsidP="00412AFB">
      <w:pPr>
        <w:jc w:val="both"/>
        <w:rPr>
          <w:rFonts w:ascii="Arial" w:hAnsi="Arial" w:cs="Arial"/>
          <w:b/>
          <w:lang w:val="es-ES"/>
        </w:rPr>
      </w:pPr>
      <w:r w:rsidRPr="00993936">
        <w:rPr>
          <w:rFonts w:ascii="Arial" w:hAnsi="Arial" w:cs="Arial"/>
          <w:b/>
          <w:lang w:val="es-ES"/>
        </w:rPr>
        <w:t>Protección medioambiental</w:t>
      </w:r>
    </w:p>
    <w:p w:rsidR="00412AFB" w:rsidRPr="00993936" w:rsidRDefault="00412AFB" w:rsidP="00412AFB">
      <w:pPr>
        <w:jc w:val="both"/>
        <w:rPr>
          <w:rFonts w:ascii="Arial" w:hAnsi="Arial" w:cs="Arial"/>
          <w:i/>
          <w:lang w:val="es-ES"/>
        </w:rPr>
      </w:pPr>
      <w:r w:rsidRPr="00993936">
        <w:rPr>
          <w:rFonts w:ascii="Arial" w:hAnsi="Arial" w:cs="Arial"/>
          <w:i/>
          <w:lang w:val="es-ES"/>
        </w:rPr>
        <w:t>35.1 Obligaciones</w:t>
      </w:r>
    </w:p>
    <w:p w:rsidR="00412AFB" w:rsidRPr="00993936" w:rsidRDefault="00412AFB" w:rsidP="00412AFB">
      <w:pPr>
        <w:pStyle w:val="Textoindependiente"/>
        <w:rPr>
          <w:rFonts w:cs="Arial"/>
          <w:szCs w:val="22"/>
          <w:lang w:val="es-ES"/>
        </w:rPr>
      </w:pPr>
      <w:r w:rsidRPr="00993936">
        <w:rPr>
          <w:rFonts w:cs="Arial"/>
          <w:szCs w:val="22"/>
          <w:lang w:val="es-ES"/>
        </w:rPr>
        <w:t>35.1.1 La empresa debe cumplir con la política de conservación del entorno natural según la legislación medioambiental vigente.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35.1.2 Disponer de medidas de prevención de vertido accidental de aceites, hidrocarburos u otros productos químicos peligrosos para el medio ambiente.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35.1.3 Implantar, de no existir, medidas de ahorro en el consumo de agua y de energía en las instalaciones y los procesos.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 xml:space="preserve">VII. CONTROL Y CERTIFICACIÓN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36</w:t>
      </w:r>
    </w:p>
    <w:p w:rsidR="00412AFB" w:rsidRPr="00993936" w:rsidRDefault="00412AFB" w:rsidP="00412AFB">
      <w:pPr>
        <w:jc w:val="both"/>
        <w:rPr>
          <w:rFonts w:ascii="Arial" w:hAnsi="Arial" w:cs="Arial"/>
          <w:b/>
          <w:lang w:val="es-ES"/>
        </w:rPr>
      </w:pPr>
      <w:r w:rsidRPr="00993936">
        <w:rPr>
          <w:rFonts w:ascii="Arial" w:hAnsi="Arial" w:cs="Arial"/>
          <w:b/>
          <w:lang w:val="es-ES"/>
        </w:rPr>
        <w:t>Tratamiento de no conformidades</w:t>
      </w:r>
    </w:p>
    <w:p w:rsidR="00412AFB" w:rsidRPr="00993936" w:rsidRDefault="00412AFB" w:rsidP="00412AFB">
      <w:pPr>
        <w:jc w:val="both"/>
        <w:rPr>
          <w:rFonts w:ascii="Arial" w:hAnsi="Arial" w:cs="Arial"/>
          <w:i/>
          <w:lang w:val="es-ES"/>
        </w:rPr>
      </w:pPr>
      <w:r w:rsidRPr="00993936">
        <w:rPr>
          <w:rFonts w:ascii="Arial" w:hAnsi="Arial" w:cs="Arial"/>
          <w:i/>
          <w:lang w:val="es-ES"/>
        </w:rPr>
        <w:t>36.1 Obligaciones</w:t>
      </w:r>
    </w:p>
    <w:p w:rsidR="00412AFB" w:rsidRPr="00993936" w:rsidRDefault="00412AFB" w:rsidP="00412AFB">
      <w:pPr>
        <w:jc w:val="both"/>
        <w:rPr>
          <w:rFonts w:ascii="Arial" w:hAnsi="Arial" w:cs="Arial"/>
          <w:lang w:val="es-ES"/>
        </w:rPr>
      </w:pPr>
      <w:r w:rsidRPr="00993936">
        <w:rPr>
          <w:rFonts w:ascii="Arial" w:hAnsi="Arial" w:cs="Arial"/>
          <w:lang w:val="es-ES"/>
        </w:rPr>
        <w:t>36.1.1 Cuando durante la realización de los controles internos o externos se detecte el incumplimiento total o parcial de alguna de las prácticas establecidas en esta norma como «obligatorias» o «prohibidas», las desviaciones detectadas deberán dejarse registradas con el epígrafe «no conformidad».</w:t>
      </w:r>
    </w:p>
    <w:p w:rsidR="00412AFB" w:rsidRPr="00993936" w:rsidRDefault="00412AFB" w:rsidP="00412AFB">
      <w:pPr>
        <w:jc w:val="both"/>
        <w:rPr>
          <w:rFonts w:ascii="Arial" w:hAnsi="Arial" w:cs="Arial"/>
          <w:lang w:val="es-ES"/>
        </w:rPr>
      </w:pPr>
      <w:r w:rsidRPr="00993936">
        <w:rPr>
          <w:rFonts w:ascii="Arial" w:hAnsi="Arial" w:cs="Arial"/>
          <w:lang w:val="es-ES"/>
        </w:rPr>
        <w:t>36.1.2 Establecer y documentar las acciones correctivas que procedan para dar el tratamiento adecuado a estas no conformidades, de forma que se eliminen sus efectos y las causas que las motivan y que se impida una repetición futura.</w:t>
      </w:r>
    </w:p>
    <w:p w:rsidR="00412AFB" w:rsidRPr="00993936" w:rsidRDefault="00412AFB" w:rsidP="00412AFB">
      <w:pPr>
        <w:jc w:val="both"/>
        <w:rPr>
          <w:rFonts w:ascii="Arial" w:hAnsi="Arial" w:cs="Arial"/>
          <w:lang w:val="es-ES"/>
        </w:rPr>
      </w:pPr>
      <w:r w:rsidRPr="00993936">
        <w:rPr>
          <w:rFonts w:ascii="Arial" w:hAnsi="Arial" w:cs="Arial"/>
          <w:lang w:val="es-ES"/>
        </w:rPr>
        <w:t>36.1.3 El operador debe realizar el seguimiento de la implantación de las acciones correctivas y comprobar su efectividad antes de proceder al cierre de las no conformidades detectadas.</w:t>
      </w:r>
    </w:p>
    <w:p w:rsidR="00412AFB" w:rsidRPr="00993936" w:rsidRDefault="00412AFB" w:rsidP="00412AFB">
      <w:pPr>
        <w:pStyle w:val="Textoindependiente"/>
        <w:rPr>
          <w:rFonts w:cs="Arial"/>
          <w:szCs w:val="22"/>
          <w:lang w:val="es-ES"/>
        </w:rPr>
      </w:pPr>
      <w:r w:rsidRPr="00993936">
        <w:rPr>
          <w:rFonts w:cs="Arial"/>
          <w:szCs w:val="22"/>
          <w:lang w:val="es-ES"/>
        </w:rPr>
        <w:t xml:space="preserve">36.1.4 Siempre que se detecten no conformidades sobre las materias primas, productos en proceso y los productos finales obtenidos de los productos vegetales de producción integrada, deberán adoptarse las medidas adecuadas de identificación, trazabilidad y segregación de estos, de modo que se manifieste claramente su estado </w:t>
      </w:r>
      <w:r w:rsidRPr="00993936">
        <w:rPr>
          <w:rFonts w:cs="Arial"/>
          <w:szCs w:val="22"/>
          <w:lang w:val="es-ES"/>
        </w:rPr>
        <w:lastRenderedPageBreak/>
        <w:t>«no conforme» y se prevenga su utilización o comercialización de forma no intencionada como productos de producción integrada.</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37</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37.1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37.1.1 El control y la certificación del sistema de la producción integrada se regirá por lo que determina la Ley 14/2003, de 13 de junio, de calidad agroalimentaria; el Decreto 285/2006, de 4 de julio, por el que se desarrolla la Ley 14/2003; el Decreto 24/2002, de 8 de octubre, por el que se regula la producción integrada en Cataluña, y la Orden </w:t>
      </w:r>
      <w:r w:rsidR="00C03DD4" w:rsidRPr="00993936">
        <w:rPr>
          <w:rFonts w:ascii="Arial" w:hAnsi="Arial" w:cs="Arial"/>
          <w:sz w:val="22"/>
          <w:szCs w:val="22"/>
          <w:lang w:val="es-ES"/>
        </w:rPr>
        <w:t>ARP/</w:t>
      </w:r>
      <w:r w:rsidRPr="00993936">
        <w:rPr>
          <w:rFonts w:ascii="Arial" w:hAnsi="Arial" w:cs="Arial"/>
          <w:sz w:val="22"/>
          <w:szCs w:val="22"/>
          <w:lang w:val="es-ES"/>
        </w:rPr>
        <w:t>208/2003, de 7 de mayo, por la que se aprueba el Reglamento de régimen interior del Consejo Catalán de la Producción Integrada.</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38</w:t>
      </w:r>
    </w:p>
    <w:p w:rsidR="00412AFB" w:rsidRPr="00993936" w:rsidRDefault="00412AFB" w:rsidP="00412AFB">
      <w:pPr>
        <w:jc w:val="both"/>
        <w:rPr>
          <w:rFonts w:ascii="Arial" w:hAnsi="Arial" w:cs="Arial"/>
          <w:b/>
          <w:lang w:val="es-ES"/>
        </w:rPr>
      </w:pPr>
      <w:r w:rsidRPr="00993936">
        <w:rPr>
          <w:rFonts w:ascii="Arial" w:hAnsi="Arial" w:cs="Arial"/>
          <w:b/>
          <w:lang w:val="es-ES"/>
        </w:rPr>
        <w:t>Distintivo de garantía de producción integrada</w:t>
      </w:r>
    </w:p>
    <w:p w:rsidR="00412AFB" w:rsidRPr="00993936" w:rsidRDefault="00412AFB" w:rsidP="00412AFB">
      <w:pPr>
        <w:jc w:val="both"/>
        <w:rPr>
          <w:rFonts w:ascii="Arial" w:hAnsi="Arial" w:cs="Arial"/>
          <w:i/>
          <w:lang w:val="es-ES"/>
        </w:rPr>
      </w:pPr>
      <w:r w:rsidRPr="00993936">
        <w:rPr>
          <w:rFonts w:ascii="Arial" w:hAnsi="Arial" w:cs="Arial"/>
          <w:lang w:val="es-ES"/>
        </w:rPr>
        <w:t xml:space="preserve">38.1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38.1.1 Solo podrán utilizar el distintivo de garantía de producción integrada de Cataluña los productos que previamente hayan cumplido los requisitos establecidos en la normativa vigente de producción integrada y que, asimismo, hayan obtenido la certificación a través de una entidad de control y certificación.</w:t>
      </w:r>
    </w:p>
    <w:p w:rsidR="00412AFB" w:rsidRPr="00993936" w:rsidRDefault="00412AFB" w:rsidP="00412AFB">
      <w:pPr>
        <w:jc w:val="both"/>
        <w:rPr>
          <w:rFonts w:ascii="Arial" w:hAnsi="Arial" w:cs="Arial"/>
          <w:lang w:val="es-ES"/>
        </w:rPr>
      </w:pPr>
      <w:r w:rsidRPr="00993936">
        <w:rPr>
          <w:rFonts w:ascii="Arial" w:hAnsi="Arial" w:cs="Arial"/>
          <w:lang w:val="es-ES"/>
        </w:rPr>
        <w:t>38.1.2 La utilización del distintivo de garantía de producción integrada, en las etiquetas de los envases, frutos y otros lugares, se ajustará al sistema establecido por el libro de estilo del Consejo Catalán de</w:t>
      </w:r>
      <w:r w:rsidR="008B63CC" w:rsidRPr="00993936">
        <w:rPr>
          <w:rFonts w:ascii="Arial" w:hAnsi="Arial" w:cs="Arial"/>
          <w:lang w:val="es-ES"/>
        </w:rPr>
        <w:t xml:space="preserve"> </w:t>
      </w:r>
      <w:r w:rsidRPr="00993936">
        <w:rPr>
          <w:rFonts w:ascii="Arial" w:hAnsi="Arial" w:cs="Arial"/>
          <w:lang w:val="es-ES"/>
        </w:rPr>
        <w:t>la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38.1.3 La concesión del distintivo de garantía de producción integrada será concedido por el Consejo.</w:t>
      </w:r>
    </w:p>
    <w:p w:rsidR="00412AFB" w:rsidRPr="00993936" w:rsidRDefault="00412AFB" w:rsidP="00412AFB">
      <w:pPr>
        <w:jc w:val="both"/>
        <w:rPr>
          <w:rFonts w:ascii="Arial" w:hAnsi="Arial" w:cs="Arial"/>
          <w:i/>
          <w:lang w:val="es-ES"/>
        </w:rPr>
      </w:pPr>
      <w:r w:rsidRPr="00993936">
        <w:rPr>
          <w:rFonts w:ascii="Arial" w:hAnsi="Arial" w:cs="Arial"/>
          <w:lang w:val="es-ES"/>
        </w:rPr>
        <w:t xml:space="preserve">38.2 </w:t>
      </w:r>
      <w:r w:rsidRPr="00993936">
        <w:rPr>
          <w:rFonts w:ascii="Arial" w:hAnsi="Arial" w:cs="Arial"/>
          <w:i/>
          <w:lang w:val="es-ES"/>
        </w:rPr>
        <w:t>Prohibiciones</w:t>
      </w:r>
    </w:p>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38.2.1 Utilizar el distintivo de garantía sin disponer de la preceptiva certificación.</w:t>
      </w:r>
    </w:p>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p>
    <w:p w:rsidR="00412AFB" w:rsidRPr="00993936" w:rsidRDefault="00412AFB" w:rsidP="00412AFB">
      <w:pPr>
        <w:rPr>
          <w:rFonts w:ascii="Arial" w:hAnsi="Arial" w:cs="Arial"/>
          <w:lang w:val="es-ES"/>
        </w:rPr>
      </w:pPr>
    </w:p>
    <w:p w:rsidR="00412AFB" w:rsidRPr="00993936" w:rsidRDefault="00412AFB" w:rsidP="00412AFB">
      <w:pPr>
        <w:jc w:val="center"/>
        <w:rPr>
          <w:rFonts w:ascii="Arial" w:hAnsi="Arial" w:cs="Arial"/>
          <w:lang w:val="es-ES"/>
        </w:rPr>
        <w:sectPr w:rsidR="00412AFB" w:rsidRPr="00993936" w:rsidSect="005F5243">
          <w:footerReference w:type="default" r:id="rId19"/>
          <w:pgSz w:w="11906" w:h="16838"/>
          <w:pgMar w:top="1417" w:right="1701" w:bottom="1417" w:left="1701" w:header="708" w:footer="708" w:gutter="0"/>
          <w:cols w:space="708"/>
          <w:docGrid w:linePitch="360"/>
        </w:sectPr>
      </w:pPr>
      <w:r w:rsidRPr="00993936">
        <w:rPr>
          <w:rFonts w:ascii="Arial" w:hAnsi="Arial" w:cs="Arial"/>
          <w:lang w:val="es-ES"/>
        </w:rPr>
        <w:t>-.-.-.-.-.-.-.-.-.-.-.-.-.-.-.-.-.-.-.-.-.-.-.-.-.-.-.-.-.</w:t>
      </w:r>
    </w:p>
    <w:p w:rsidR="00412AFB" w:rsidRPr="00993936" w:rsidRDefault="00412AFB" w:rsidP="00D35662">
      <w:pPr>
        <w:pStyle w:val="Sinespaciado"/>
        <w:jc w:val="center"/>
        <w:rPr>
          <w:rFonts w:ascii="Arial" w:hAnsi="Arial" w:cs="Arial"/>
          <w:b/>
          <w:snapToGrid w:val="0"/>
          <w:lang w:val="es-ES"/>
        </w:rPr>
      </w:pPr>
      <w:r w:rsidRPr="00993936">
        <w:rPr>
          <w:rFonts w:ascii="Arial" w:hAnsi="Arial" w:cs="Arial"/>
          <w:b/>
          <w:snapToGrid w:val="0"/>
          <w:lang w:val="es-ES"/>
        </w:rPr>
        <w:lastRenderedPageBreak/>
        <w:t>APÉNDICE I: TABLAS</w:t>
      </w:r>
    </w:p>
    <w:p w:rsidR="00412AFB" w:rsidRPr="00993936" w:rsidRDefault="00412AFB" w:rsidP="00D35662">
      <w:pPr>
        <w:pStyle w:val="Sinespaciado"/>
        <w:rPr>
          <w:rFonts w:ascii="Arial" w:hAnsi="Arial" w:cs="Arial"/>
          <w:b/>
          <w:snapToGrid w:val="0"/>
          <w:lang w:val="es-ES"/>
        </w:rPr>
      </w:pPr>
      <w:r w:rsidRPr="00993936">
        <w:rPr>
          <w:rFonts w:ascii="Arial" w:hAnsi="Arial" w:cs="Arial"/>
          <w:b/>
          <w:snapToGrid w:val="0"/>
          <w:lang w:val="es-ES"/>
        </w:rPr>
        <w:t>PUNTO 1. PATRONES Y VARIEDADES</w:t>
      </w:r>
    </w:p>
    <w:p w:rsidR="00412AFB" w:rsidRPr="00993936" w:rsidRDefault="00412AFB" w:rsidP="00D35662">
      <w:pPr>
        <w:pStyle w:val="Sinespaciado"/>
        <w:rPr>
          <w:rFonts w:ascii="Arial" w:hAnsi="Arial" w:cs="Arial"/>
          <w:b/>
          <w:snapToGrid w:val="0"/>
          <w:lang w:val="es-ES"/>
        </w:rPr>
      </w:pPr>
      <w:r w:rsidRPr="00993936">
        <w:rPr>
          <w:rFonts w:ascii="Arial" w:hAnsi="Arial" w:cs="Arial"/>
          <w:b/>
          <w:snapToGrid w:val="0"/>
          <w:lang w:val="es-ES"/>
        </w:rPr>
        <w:t>Tabla 1.1 Comportamiento de patrones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5"/>
        <w:gridCol w:w="1489"/>
        <w:gridCol w:w="1719"/>
        <w:gridCol w:w="2148"/>
        <w:gridCol w:w="1735"/>
        <w:gridCol w:w="1292"/>
        <w:gridCol w:w="1489"/>
        <w:gridCol w:w="992"/>
        <w:gridCol w:w="1192"/>
      </w:tblGrid>
      <w:tr w:rsidR="00D35662" w:rsidRPr="00993936" w:rsidTr="00D35662">
        <w:trPr>
          <w:jc w:val="center"/>
        </w:trPr>
        <w:tc>
          <w:tcPr>
            <w:tcW w:w="651" w:type="pct"/>
            <w:shd w:val="pct25" w:color="auto" w:fill="FFFFFF"/>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Patrones</w:t>
            </w:r>
          </w:p>
        </w:tc>
        <w:tc>
          <w:tcPr>
            <w:tcW w:w="537" w:type="pct"/>
            <w:shd w:val="pct25" w:color="auto" w:fill="FFFFFF"/>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Calcáreo</w:t>
            </w:r>
          </w:p>
        </w:tc>
        <w:tc>
          <w:tcPr>
            <w:tcW w:w="620" w:type="pct"/>
            <w:shd w:val="pct25" w:color="auto" w:fill="FFFFFF"/>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Salinidad</w:t>
            </w:r>
          </w:p>
        </w:tc>
        <w:tc>
          <w:tcPr>
            <w:tcW w:w="775" w:type="pct"/>
            <w:shd w:val="pct25" w:color="auto" w:fill="FFFFFF"/>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Encharcamientos</w:t>
            </w:r>
          </w:p>
        </w:tc>
        <w:tc>
          <w:tcPr>
            <w:tcW w:w="626" w:type="pct"/>
            <w:shd w:val="pct25" w:color="auto" w:fill="FFFFFF"/>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Heladas</w:t>
            </w:r>
          </w:p>
        </w:tc>
        <w:tc>
          <w:tcPr>
            <w:tcW w:w="466" w:type="pct"/>
            <w:shd w:val="pct25" w:color="auto" w:fill="FFFFFF"/>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Longevidad</w:t>
            </w:r>
          </w:p>
        </w:tc>
        <w:tc>
          <w:tcPr>
            <w:tcW w:w="537" w:type="pct"/>
            <w:shd w:val="pct25" w:color="auto" w:fill="FFFFFF"/>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Productividad</w:t>
            </w:r>
          </w:p>
        </w:tc>
        <w:tc>
          <w:tcPr>
            <w:tcW w:w="358" w:type="pct"/>
            <w:shd w:val="pct25" w:color="auto" w:fill="FFFFFF"/>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Tamaño fruto</w:t>
            </w:r>
          </w:p>
        </w:tc>
        <w:tc>
          <w:tcPr>
            <w:tcW w:w="430" w:type="pct"/>
            <w:shd w:val="pct25" w:color="auto" w:fill="FFFFFF"/>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Calidad fruta</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Citrange Troyer</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Normal</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Buena</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Alto</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Alta</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Citrange Carrizo</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Normal</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Buena</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Alto</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Alta</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i/>
                <w:snapToGrid w:val="0"/>
                <w:sz w:val="20"/>
                <w:lang w:val="es-ES"/>
              </w:rPr>
              <w:t>Swinglw Cirumelo</w:t>
            </w:r>
            <w:r w:rsidRPr="00993936">
              <w:rPr>
                <w:rFonts w:ascii="Arial" w:hAnsi="Arial" w:cs="Arial"/>
                <w:snapToGrid w:val="0"/>
                <w:sz w:val="20"/>
                <w:lang w:val="es-ES"/>
              </w:rPr>
              <w:t xml:space="preserve"> CPB 4475</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resistente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Poncinus trifoliata</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resistente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Naranjo amargo</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Normal</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Alta</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Media</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Media</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Naranjo dulce</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Mandarino Cleopatra</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resistente</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Normal</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Baja</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Bajo</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Normal</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Mandarino común</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Citrus macrophyla</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Normal</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Alta</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Alto</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Alta/media (*)</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Citrus taiwanica</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Citrus volkameriana</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Alta</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Alto</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Baja</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Fornet-Alcaide núm. 5</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r>
      <w:tr w:rsidR="00D35662" w:rsidRPr="00993936" w:rsidTr="00D35662">
        <w:trPr>
          <w:jc w:val="center"/>
        </w:trPr>
        <w:tc>
          <w:tcPr>
            <w:tcW w:w="651"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Fornet-Alcaide núm. 2418</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2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Resistencia media</w:t>
            </w:r>
          </w:p>
        </w:tc>
        <w:tc>
          <w:tcPr>
            <w:tcW w:w="77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62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66"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53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35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30"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r>
    </w:tbl>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 Alta en fino / Media en verna por exceso de tamaño</w:t>
      </w:r>
    </w:p>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Para nuevas plantaciones se recomiendan:</w:t>
      </w:r>
    </w:p>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 xml:space="preserve">En condiciones generales, Citrange Troyer y Citrange Carrizo. </w:t>
      </w:r>
    </w:p>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Con contenido de cal activo &gt; 9 % o CEes &gt; 2,5 dS/m y/o contenido de cloruros en el suelo superior a 10 mEq/l; mandarino Cleopatra.</w:t>
      </w:r>
    </w:p>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Con contenido de cal activo &gt; 2 %, Swinglw Cirumelo CPB 4475.</w:t>
      </w:r>
    </w:p>
    <w:p w:rsidR="00412AFB" w:rsidRPr="00993936" w:rsidRDefault="00412AFB" w:rsidP="00D35662">
      <w:pPr>
        <w:pStyle w:val="Sinespaciado"/>
        <w:rPr>
          <w:rFonts w:ascii="Arial" w:hAnsi="Arial" w:cs="Arial"/>
          <w:b/>
          <w:snapToGrid w:val="0"/>
          <w:sz w:val="40"/>
          <w:lang w:val="es-ES"/>
        </w:rPr>
      </w:pPr>
    </w:p>
    <w:p w:rsidR="00412AFB" w:rsidRPr="00993936" w:rsidRDefault="00412AFB" w:rsidP="00D35662">
      <w:pPr>
        <w:pStyle w:val="Sinespaciado"/>
        <w:rPr>
          <w:rFonts w:ascii="Arial" w:hAnsi="Arial" w:cs="Arial"/>
          <w:b/>
          <w:snapToGrid w:val="0"/>
          <w:lang w:val="es-ES"/>
        </w:rPr>
      </w:pPr>
      <w:r w:rsidRPr="00993936">
        <w:rPr>
          <w:rFonts w:ascii="Arial" w:hAnsi="Arial" w:cs="Arial"/>
          <w:b/>
          <w:snapToGrid w:val="0"/>
          <w:sz w:val="40"/>
          <w:lang w:val="es-ES"/>
        </w:rPr>
        <w:br w:type="page"/>
      </w:r>
      <w:r w:rsidRPr="00993936">
        <w:rPr>
          <w:rFonts w:ascii="Arial" w:hAnsi="Arial" w:cs="Arial"/>
          <w:b/>
          <w:snapToGrid w:val="0"/>
          <w:lang w:val="es-ES"/>
        </w:rPr>
        <w:lastRenderedPageBreak/>
        <w:t xml:space="preserve">Tabla 1.2 Comportamiento agronómico de patrones frente a las plagas y enfermedades más importantes </w:t>
      </w:r>
    </w:p>
    <w:p w:rsidR="00D35662" w:rsidRPr="00993936" w:rsidRDefault="00D35662" w:rsidP="00D35662">
      <w:pPr>
        <w:pStyle w:val="Sinespaciado"/>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37"/>
        <w:gridCol w:w="1353"/>
        <w:gridCol w:w="1131"/>
        <w:gridCol w:w="1145"/>
        <w:gridCol w:w="1206"/>
        <w:gridCol w:w="1156"/>
        <w:gridCol w:w="1428"/>
        <w:gridCol w:w="1503"/>
        <w:gridCol w:w="1192"/>
        <w:gridCol w:w="1710"/>
      </w:tblGrid>
      <w:tr w:rsidR="00412AFB" w:rsidRPr="00993936" w:rsidTr="00D35662">
        <w:trPr>
          <w:cantSplit/>
          <w:jc w:val="center"/>
        </w:trPr>
        <w:tc>
          <w:tcPr>
            <w:tcW w:w="735" w:type="pct"/>
            <w:vMerge w:val="restart"/>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Patrones</w:t>
            </w:r>
          </w:p>
        </w:tc>
        <w:tc>
          <w:tcPr>
            <w:tcW w:w="1744" w:type="pct"/>
            <w:gridSpan w:val="4"/>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Virosis</w:t>
            </w:r>
          </w:p>
        </w:tc>
        <w:tc>
          <w:tcPr>
            <w:tcW w:w="932" w:type="pct"/>
            <w:gridSpan w:val="2"/>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Viroides</w:t>
            </w:r>
          </w:p>
        </w:tc>
        <w:tc>
          <w:tcPr>
            <w:tcW w:w="972" w:type="pct"/>
            <w:gridSpan w:val="2"/>
            <w:shd w:val="pct20" w:color="auto" w:fill="FFFFFF"/>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Hongos</w:t>
            </w:r>
          </w:p>
        </w:tc>
        <w:tc>
          <w:tcPr>
            <w:tcW w:w="617" w:type="pct"/>
            <w:shd w:val="pct20" w:color="auto" w:fill="FFFFFF"/>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Nematodos</w:t>
            </w:r>
          </w:p>
        </w:tc>
      </w:tr>
      <w:tr w:rsidR="00412AFB" w:rsidRPr="00993936" w:rsidTr="00D35662">
        <w:trPr>
          <w:cantSplit/>
          <w:jc w:val="center"/>
        </w:trPr>
        <w:tc>
          <w:tcPr>
            <w:tcW w:w="735" w:type="pct"/>
            <w:vMerge/>
            <w:shd w:val="pct20" w:color="auto" w:fill="FFFFFF"/>
            <w:vAlign w:val="center"/>
          </w:tcPr>
          <w:p w:rsidR="00412AFB" w:rsidRPr="00993936" w:rsidRDefault="00412AFB" w:rsidP="00D35662">
            <w:pPr>
              <w:pStyle w:val="Sinespaciado"/>
              <w:rPr>
                <w:rFonts w:ascii="Arial" w:hAnsi="Arial" w:cs="Arial"/>
                <w:b/>
                <w:snapToGrid w:val="0"/>
                <w:sz w:val="20"/>
                <w:lang w:val="es-ES"/>
              </w:rPr>
            </w:pPr>
          </w:p>
        </w:tc>
        <w:tc>
          <w:tcPr>
            <w:tcW w:w="488" w:type="pct"/>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Tristeza</w:t>
            </w:r>
          </w:p>
        </w:tc>
        <w:tc>
          <w:tcPr>
            <w:tcW w:w="408" w:type="pct"/>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Psoriasis</w:t>
            </w:r>
          </w:p>
        </w:tc>
        <w:tc>
          <w:tcPr>
            <w:tcW w:w="413" w:type="pct"/>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Woody Gatt</w:t>
            </w:r>
          </w:p>
        </w:tc>
        <w:tc>
          <w:tcPr>
            <w:tcW w:w="435" w:type="pct"/>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Vein enation</w:t>
            </w:r>
          </w:p>
        </w:tc>
        <w:tc>
          <w:tcPr>
            <w:tcW w:w="417" w:type="pct"/>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Exocortis</w:t>
            </w:r>
          </w:p>
        </w:tc>
        <w:tc>
          <w:tcPr>
            <w:tcW w:w="515" w:type="pct"/>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Xitoporosys</w:t>
            </w:r>
          </w:p>
        </w:tc>
        <w:tc>
          <w:tcPr>
            <w:tcW w:w="542" w:type="pct"/>
            <w:shd w:val="pct20" w:color="auto" w:fill="FFFFFF"/>
            <w:vAlign w:val="center"/>
          </w:tcPr>
          <w:p w:rsidR="00412AFB" w:rsidRPr="00993936" w:rsidRDefault="00412AFB" w:rsidP="00D35662">
            <w:pPr>
              <w:pStyle w:val="Sinespaciado"/>
              <w:rPr>
                <w:rFonts w:ascii="Arial" w:hAnsi="Arial" w:cs="Arial"/>
                <w:b/>
                <w:i/>
                <w:snapToGrid w:val="0"/>
                <w:sz w:val="20"/>
                <w:lang w:val="es-ES"/>
              </w:rPr>
            </w:pPr>
            <w:r w:rsidRPr="00993936">
              <w:rPr>
                <w:rFonts w:ascii="Arial" w:hAnsi="Arial" w:cs="Arial"/>
                <w:b/>
                <w:i/>
                <w:snapToGrid w:val="0"/>
                <w:sz w:val="20"/>
                <w:lang w:val="es-ES"/>
              </w:rPr>
              <w:t>Phytosphora sp.</w:t>
            </w:r>
          </w:p>
        </w:tc>
        <w:tc>
          <w:tcPr>
            <w:tcW w:w="430" w:type="pct"/>
            <w:shd w:val="pct20" w:color="auto" w:fill="FFFFFF"/>
            <w:vAlign w:val="center"/>
          </w:tcPr>
          <w:p w:rsidR="00412AFB" w:rsidRPr="00993936" w:rsidRDefault="00412AFB" w:rsidP="00D35662">
            <w:pPr>
              <w:pStyle w:val="Sinespaciado"/>
              <w:rPr>
                <w:rFonts w:ascii="Arial" w:hAnsi="Arial" w:cs="Arial"/>
                <w:b/>
                <w:snapToGrid w:val="0"/>
                <w:sz w:val="20"/>
                <w:lang w:val="es-ES"/>
              </w:rPr>
            </w:pPr>
            <w:r w:rsidRPr="00993936">
              <w:rPr>
                <w:rFonts w:ascii="Arial" w:hAnsi="Arial" w:cs="Arial"/>
                <w:b/>
                <w:snapToGrid w:val="0"/>
                <w:sz w:val="20"/>
                <w:lang w:val="es-ES"/>
              </w:rPr>
              <w:t>Armillaria</w:t>
            </w:r>
          </w:p>
        </w:tc>
        <w:tc>
          <w:tcPr>
            <w:tcW w:w="617" w:type="pct"/>
            <w:shd w:val="pct20" w:color="auto" w:fill="FFFFFF"/>
            <w:vAlign w:val="center"/>
          </w:tcPr>
          <w:p w:rsidR="00412AFB" w:rsidRPr="00993936" w:rsidRDefault="00412AFB" w:rsidP="00D35662">
            <w:pPr>
              <w:pStyle w:val="Sinespaciado"/>
              <w:rPr>
                <w:rFonts w:ascii="Arial" w:hAnsi="Arial" w:cs="Arial"/>
                <w:b/>
                <w:i/>
                <w:snapToGrid w:val="0"/>
                <w:sz w:val="20"/>
                <w:lang w:val="es-ES"/>
              </w:rPr>
            </w:pPr>
            <w:r w:rsidRPr="00993936">
              <w:rPr>
                <w:rFonts w:ascii="Arial" w:hAnsi="Arial" w:cs="Arial"/>
                <w:b/>
                <w:i/>
                <w:snapToGrid w:val="0"/>
                <w:sz w:val="20"/>
                <w:lang w:val="es-ES"/>
              </w:rPr>
              <w:t>Tylenchulus</w:t>
            </w:r>
          </w:p>
          <w:p w:rsidR="00412AFB" w:rsidRPr="00993936" w:rsidRDefault="00412AFB" w:rsidP="00D35662">
            <w:pPr>
              <w:pStyle w:val="Sinespaciado"/>
              <w:rPr>
                <w:rFonts w:ascii="Arial" w:hAnsi="Arial" w:cs="Arial"/>
                <w:b/>
                <w:i/>
                <w:snapToGrid w:val="0"/>
                <w:sz w:val="20"/>
                <w:lang w:val="es-ES"/>
              </w:rPr>
            </w:pPr>
            <w:r w:rsidRPr="00993936">
              <w:rPr>
                <w:rFonts w:ascii="Arial" w:hAnsi="Arial" w:cs="Arial"/>
                <w:b/>
                <w:i/>
                <w:snapToGrid w:val="0"/>
                <w:sz w:val="20"/>
                <w:lang w:val="es-ES"/>
              </w:rPr>
              <w:t>semipenetrans</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Citrange Troyer</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Citrange Carrizo</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i/>
                <w:snapToGrid w:val="0"/>
                <w:sz w:val="20"/>
                <w:lang w:val="es-ES"/>
              </w:rPr>
              <w:t>Swinglw Cirumelo</w:t>
            </w:r>
            <w:r w:rsidRPr="00993936">
              <w:rPr>
                <w:rFonts w:ascii="Arial" w:hAnsi="Arial" w:cs="Arial"/>
                <w:snapToGrid w:val="0"/>
                <w:sz w:val="20"/>
                <w:lang w:val="es-ES"/>
              </w:rPr>
              <w:t xml:space="preserve"> CPB 4475</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resistente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Poncinus trifoliata</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resistente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Naranjo amargo</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 (1)</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Naranjo dulce</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Mandarino Cleopatra</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 media</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Mandarino común</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Citrus macrophyla</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resistente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Citrus taiwanica</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 media</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i/>
                <w:snapToGrid w:val="0"/>
                <w:sz w:val="20"/>
                <w:lang w:val="es-ES"/>
              </w:rPr>
            </w:pPr>
            <w:r w:rsidRPr="00993936">
              <w:rPr>
                <w:rFonts w:ascii="Arial" w:hAnsi="Arial" w:cs="Arial"/>
                <w:i/>
                <w:snapToGrid w:val="0"/>
                <w:sz w:val="20"/>
                <w:lang w:val="es-ES"/>
              </w:rPr>
              <w:t>Citrus volkameriana</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435" w:type="pct"/>
            <w:vAlign w:val="center"/>
          </w:tcPr>
          <w:p w:rsidR="00412AFB" w:rsidRPr="00993936" w:rsidRDefault="00412AFB" w:rsidP="00D35662">
            <w:pPr>
              <w:pStyle w:val="Sinespaciado"/>
              <w:rPr>
                <w:rFonts w:ascii="Arial" w:hAnsi="Arial" w:cs="Arial"/>
                <w:snapToGrid w:val="0"/>
                <w:sz w:val="20"/>
                <w:lang w:val="es-ES"/>
              </w:rPr>
            </w:pP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Muy sensible</w:t>
            </w:r>
          </w:p>
        </w:tc>
        <w:tc>
          <w:tcPr>
            <w:tcW w:w="430" w:type="pct"/>
          </w:tcPr>
          <w:p w:rsidR="00412AFB" w:rsidRPr="00993936" w:rsidRDefault="00412AFB" w:rsidP="00D35662">
            <w:pPr>
              <w:pStyle w:val="Sinespaciado"/>
              <w:rPr>
                <w:rFonts w:ascii="Arial" w:hAnsi="Arial" w:cs="Arial"/>
                <w:snapToGrid w:val="0"/>
                <w:sz w:val="20"/>
                <w:lang w:val="es-ES"/>
              </w:rPr>
            </w:pP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Fornet-Alcaide núm. 5</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08" w:type="pct"/>
            <w:vAlign w:val="center"/>
          </w:tcPr>
          <w:p w:rsidR="00412AFB" w:rsidRPr="00993936" w:rsidRDefault="00412AFB" w:rsidP="00D35662">
            <w:pPr>
              <w:pStyle w:val="Sinespaciado"/>
              <w:rPr>
                <w:rFonts w:ascii="Arial" w:hAnsi="Arial" w:cs="Arial"/>
                <w:snapToGrid w:val="0"/>
                <w:sz w:val="20"/>
                <w:lang w:val="es-ES"/>
              </w:rPr>
            </w:pPr>
          </w:p>
        </w:tc>
        <w:tc>
          <w:tcPr>
            <w:tcW w:w="413" w:type="pct"/>
            <w:vAlign w:val="center"/>
          </w:tcPr>
          <w:p w:rsidR="00412AFB" w:rsidRPr="00993936" w:rsidRDefault="00412AFB" w:rsidP="00D35662">
            <w:pPr>
              <w:pStyle w:val="Sinespaciado"/>
              <w:rPr>
                <w:rFonts w:ascii="Arial" w:hAnsi="Arial" w:cs="Arial"/>
                <w:snapToGrid w:val="0"/>
                <w:sz w:val="20"/>
                <w:lang w:val="es-ES"/>
              </w:rPr>
            </w:pPr>
          </w:p>
        </w:tc>
        <w:tc>
          <w:tcPr>
            <w:tcW w:w="435" w:type="pct"/>
            <w:vAlign w:val="center"/>
          </w:tcPr>
          <w:p w:rsidR="00412AFB" w:rsidRPr="00993936" w:rsidRDefault="00412AFB" w:rsidP="00D35662">
            <w:pPr>
              <w:pStyle w:val="Sinespaciado"/>
              <w:rPr>
                <w:rFonts w:ascii="Arial" w:hAnsi="Arial" w:cs="Arial"/>
                <w:snapToGrid w:val="0"/>
                <w:sz w:val="20"/>
                <w:lang w:val="es-ES"/>
              </w:rPr>
            </w:pPr>
          </w:p>
        </w:tc>
        <w:tc>
          <w:tcPr>
            <w:tcW w:w="417" w:type="pct"/>
            <w:vAlign w:val="center"/>
          </w:tcPr>
          <w:p w:rsidR="00412AFB" w:rsidRPr="00993936" w:rsidRDefault="00412AFB" w:rsidP="00D35662">
            <w:pPr>
              <w:pStyle w:val="Sinespaciado"/>
              <w:rPr>
                <w:rFonts w:ascii="Arial" w:hAnsi="Arial" w:cs="Arial"/>
                <w:snapToGrid w:val="0"/>
                <w:sz w:val="20"/>
                <w:lang w:val="es-ES"/>
              </w:rPr>
            </w:pPr>
          </w:p>
        </w:tc>
        <w:tc>
          <w:tcPr>
            <w:tcW w:w="515" w:type="pct"/>
            <w:vAlign w:val="center"/>
          </w:tcPr>
          <w:p w:rsidR="00412AFB" w:rsidRPr="00993936" w:rsidRDefault="00412AFB" w:rsidP="00D35662">
            <w:pPr>
              <w:pStyle w:val="Sinespaciado"/>
              <w:rPr>
                <w:rFonts w:ascii="Arial" w:hAnsi="Arial" w:cs="Arial"/>
                <w:snapToGrid w:val="0"/>
                <w:sz w:val="20"/>
                <w:lang w:val="es-ES"/>
              </w:rPr>
            </w:pP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c>
          <w:tcPr>
            <w:tcW w:w="430" w:type="pct"/>
          </w:tcPr>
          <w:p w:rsidR="00412AFB" w:rsidRPr="00993936" w:rsidRDefault="00412AFB" w:rsidP="00D35662">
            <w:pPr>
              <w:pStyle w:val="Sinespaciado"/>
              <w:rPr>
                <w:rFonts w:ascii="Arial" w:hAnsi="Arial" w:cs="Arial"/>
                <w:snapToGrid w:val="0"/>
                <w:sz w:val="20"/>
                <w:lang w:val="es-ES"/>
              </w:rPr>
            </w:pP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Resistente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Fornet-Alcaide núm. 2418</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p>
        </w:tc>
        <w:tc>
          <w:tcPr>
            <w:tcW w:w="413" w:type="pct"/>
            <w:vAlign w:val="center"/>
          </w:tcPr>
          <w:p w:rsidR="00412AFB" w:rsidRPr="00993936" w:rsidRDefault="00412AFB" w:rsidP="00D35662">
            <w:pPr>
              <w:pStyle w:val="Sinespaciado"/>
              <w:rPr>
                <w:rFonts w:ascii="Arial" w:hAnsi="Arial" w:cs="Arial"/>
                <w:snapToGrid w:val="0"/>
                <w:sz w:val="20"/>
                <w:lang w:val="es-ES"/>
              </w:rPr>
            </w:pPr>
          </w:p>
        </w:tc>
        <w:tc>
          <w:tcPr>
            <w:tcW w:w="435" w:type="pct"/>
            <w:vAlign w:val="center"/>
          </w:tcPr>
          <w:p w:rsidR="00412AFB" w:rsidRPr="00993936" w:rsidRDefault="00412AFB" w:rsidP="00D35662">
            <w:pPr>
              <w:pStyle w:val="Sinespaciado"/>
              <w:rPr>
                <w:rFonts w:ascii="Arial" w:hAnsi="Arial" w:cs="Arial"/>
                <w:snapToGrid w:val="0"/>
                <w:sz w:val="20"/>
                <w:lang w:val="es-ES"/>
              </w:rPr>
            </w:pPr>
          </w:p>
        </w:tc>
        <w:tc>
          <w:tcPr>
            <w:tcW w:w="417" w:type="pct"/>
            <w:vAlign w:val="center"/>
          </w:tcPr>
          <w:p w:rsidR="00412AFB" w:rsidRPr="00993936" w:rsidRDefault="00412AFB" w:rsidP="00D35662">
            <w:pPr>
              <w:pStyle w:val="Sinespaciado"/>
              <w:rPr>
                <w:rFonts w:ascii="Arial" w:hAnsi="Arial" w:cs="Arial"/>
                <w:snapToGrid w:val="0"/>
                <w:sz w:val="20"/>
                <w:lang w:val="es-ES"/>
              </w:rPr>
            </w:pPr>
          </w:p>
        </w:tc>
        <w:tc>
          <w:tcPr>
            <w:tcW w:w="515" w:type="pct"/>
            <w:vAlign w:val="center"/>
          </w:tcPr>
          <w:p w:rsidR="00412AFB" w:rsidRPr="00993936" w:rsidRDefault="00412AFB" w:rsidP="00D35662">
            <w:pPr>
              <w:pStyle w:val="Sinespaciado"/>
              <w:rPr>
                <w:rFonts w:ascii="Arial" w:hAnsi="Arial" w:cs="Arial"/>
                <w:snapToGrid w:val="0"/>
                <w:sz w:val="20"/>
                <w:lang w:val="es-ES"/>
              </w:rPr>
            </w:pP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Resist. media</w:t>
            </w:r>
          </w:p>
        </w:tc>
        <w:tc>
          <w:tcPr>
            <w:tcW w:w="430" w:type="pct"/>
          </w:tcPr>
          <w:p w:rsidR="00412AFB" w:rsidRPr="00993936" w:rsidRDefault="00412AFB" w:rsidP="00D35662">
            <w:pPr>
              <w:pStyle w:val="Sinespaciado"/>
              <w:rPr>
                <w:rFonts w:ascii="Arial" w:hAnsi="Arial" w:cs="Arial"/>
                <w:snapToGrid w:val="0"/>
                <w:sz w:val="20"/>
                <w:lang w:val="es-ES"/>
              </w:rPr>
            </w:pP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r w:rsidR="00412AFB" w:rsidRPr="00993936" w:rsidTr="00D35662">
        <w:trPr>
          <w:cantSplit/>
          <w:jc w:val="center"/>
        </w:trPr>
        <w:tc>
          <w:tcPr>
            <w:tcW w:w="7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Limón rugoso</w:t>
            </w:r>
          </w:p>
        </w:tc>
        <w:tc>
          <w:tcPr>
            <w:tcW w:w="48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08"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w:t>
            </w:r>
          </w:p>
        </w:tc>
        <w:tc>
          <w:tcPr>
            <w:tcW w:w="413"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435"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4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Tolerante</w:t>
            </w:r>
          </w:p>
        </w:tc>
        <w:tc>
          <w:tcPr>
            <w:tcW w:w="515" w:type="pct"/>
            <w:vAlign w:val="center"/>
          </w:tcPr>
          <w:p w:rsidR="00412AFB" w:rsidRPr="00993936" w:rsidRDefault="00412AFB" w:rsidP="00D35662">
            <w:pPr>
              <w:pStyle w:val="Sinespaciado"/>
              <w:rPr>
                <w:rFonts w:ascii="Arial" w:hAnsi="Arial" w:cs="Arial"/>
                <w:snapToGrid w:val="0"/>
                <w:sz w:val="20"/>
                <w:lang w:val="es-ES"/>
              </w:rPr>
            </w:pPr>
          </w:p>
        </w:tc>
        <w:tc>
          <w:tcPr>
            <w:tcW w:w="542"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430" w:type="pct"/>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c>
          <w:tcPr>
            <w:tcW w:w="617" w:type="pct"/>
            <w:vAlign w:val="center"/>
          </w:tcPr>
          <w:p w:rsidR="00412AFB" w:rsidRPr="00993936" w:rsidRDefault="00412AFB" w:rsidP="00D35662">
            <w:pPr>
              <w:pStyle w:val="Sinespaciado"/>
              <w:rPr>
                <w:rFonts w:ascii="Arial" w:hAnsi="Arial" w:cs="Arial"/>
                <w:snapToGrid w:val="0"/>
                <w:sz w:val="20"/>
                <w:lang w:val="es-ES"/>
              </w:rPr>
            </w:pPr>
            <w:r w:rsidRPr="00993936">
              <w:rPr>
                <w:rFonts w:ascii="Arial" w:hAnsi="Arial" w:cs="Arial"/>
                <w:snapToGrid w:val="0"/>
                <w:sz w:val="20"/>
                <w:lang w:val="es-ES"/>
              </w:rPr>
              <w:t>Sensible</w:t>
            </w:r>
          </w:p>
        </w:tc>
      </w:tr>
    </w:tbl>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r w:rsidRPr="00993936">
        <w:rPr>
          <w:rFonts w:ascii="Arial" w:hAnsi="Arial" w:cs="Arial"/>
          <w:snapToGrid w:val="0"/>
          <w:lang w:val="es-ES"/>
        </w:rPr>
        <w:t xml:space="preserve">(1) Forman combinaciones tolerantes cuando se injertan con variedades de limonero. </w:t>
      </w: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sectPr w:rsidR="00412AFB" w:rsidRPr="00993936" w:rsidSect="005F5243">
          <w:pgSz w:w="16840" w:h="11907" w:orient="landscape" w:code="9"/>
          <w:pgMar w:top="1418" w:right="1418" w:bottom="1418" w:left="1701" w:header="708" w:footer="708" w:gutter="0"/>
          <w:cols w:space="708"/>
          <w:docGrid w:linePitch="299"/>
        </w:sectPr>
      </w:pPr>
    </w:p>
    <w:p w:rsidR="00412AFB" w:rsidRPr="00993936" w:rsidRDefault="00412AFB" w:rsidP="00412AFB">
      <w:pPr>
        <w:rPr>
          <w:rFonts w:ascii="Arial" w:hAnsi="Arial" w:cs="Arial"/>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PUNTO 2. FERTILIZACIÓN</w:t>
      </w:r>
    </w:p>
    <w:p w:rsidR="00412AFB" w:rsidRPr="00993936" w:rsidRDefault="00412AFB" w:rsidP="00412AFB">
      <w:pPr>
        <w:rPr>
          <w:rFonts w:ascii="Arial" w:hAnsi="Arial" w:cs="Arial"/>
          <w:b/>
          <w:snapToGrid w:val="0"/>
          <w:u w:val="single"/>
          <w:lang w:val="es-ES"/>
        </w:rPr>
      </w:pPr>
      <w:r w:rsidRPr="00993936">
        <w:rPr>
          <w:rFonts w:ascii="Arial" w:hAnsi="Arial" w:cs="Arial"/>
          <w:b/>
          <w:snapToGrid w:val="0"/>
          <w:u w:val="single"/>
          <w:lang w:val="es-ES"/>
        </w:rPr>
        <w:t>ANÁLISIS FOLIARES</w:t>
      </w:r>
    </w:p>
    <w:p w:rsidR="00412AFB" w:rsidRPr="00993936" w:rsidRDefault="00412AFB" w:rsidP="00412AFB">
      <w:pPr>
        <w:pStyle w:val="Ttulo1"/>
        <w:rPr>
          <w:rFonts w:ascii="Arial" w:eastAsiaTheme="minorHAnsi" w:hAnsi="Arial" w:cs="Arial"/>
          <w:b/>
          <w:snapToGrid w:val="0"/>
          <w:color w:val="auto"/>
          <w:sz w:val="22"/>
          <w:szCs w:val="22"/>
          <w:lang w:val="es-ES"/>
        </w:rPr>
      </w:pPr>
      <w:r w:rsidRPr="00993936">
        <w:rPr>
          <w:rFonts w:ascii="Arial" w:eastAsiaTheme="minorHAnsi" w:hAnsi="Arial" w:cs="Arial"/>
          <w:b/>
          <w:snapToGrid w:val="0"/>
          <w:color w:val="auto"/>
          <w:sz w:val="22"/>
          <w:szCs w:val="22"/>
          <w:lang w:val="es-ES"/>
        </w:rPr>
        <w:t>Tabla 2.1 Niveles críticos orientativos en hojas de cítricos</w:t>
      </w:r>
      <w:r w:rsidR="00E03B3B" w:rsidRPr="00993936">
        <w:rPr>
          <w:rFonts w:ascii="Arial" w:eastAsiaTheme="minorHAnsi" w:hAnsi="Arial" w:cs="Arial"/>
          <w:b/>
          <w:snapToGrid w:val="0"/>
          <w:color w:val="auto"/>
          <w:sz w:val="22"/>
          <w:szCs w:val="22"/>
          <w:lang w:val="es-ES"/>
        </w:rPr>
        <w:t xml:space="preserve">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51"/>
        <w:gridCol w:w="1296"/>
        <w:gridCol w:w="1297"/>
        <w:gridCol w:w="1297"/>
        <w:gridCol w:w="1296"/>
        <w:gridCol w:w="1297"/>
        <w:gridCol w:w="1297"/>
      </w:tblGrid>
      <w:tr w:rsidR="00412AFB" w:rsidRPr="00993936" w:rsidTr="00C8678E">
        <w:trPr>
          <w:cantSplit/>
        </w:trPr>
        <w:tc>
          <w:tcPr>
            <w:tcW w:w="1151" w:type="dxa"/>
            <w:vMerge w:val="restart"/>
            <w:shd w:val="pct20" w:color="auto" w:fill="FFFFFF"/>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Especie</w:t>
            </w:r>
          </w:p>
        </w:tc>
        <w:tc>
          <w:tcPr>
            <w:tcW w:w="7780" w:type="dxa"/>
            <w:gridSpan w:val="6"/>
            <w:shd w:val="pct20" w:color="auto" w:fill="FFFFFF"/>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Niveles nutritivos estándares (% de peso seco)</w:t>
            </w:r>
          </w:p>
        </w:tc>
      </w:tr>
      <w:tr w:rsidR="00412AFB" w:rsidRPr="00993936" w:rsidTr="00C8678E">
        <w:trPr>
          <w:cantSplit/>
        </w:trPr>
        <w:tc>
          <w:tcPr>
            <w:tcW w:w="1151" w:type="dxa"/>
            <w:vMerge/>
            <w:shd w:val="pct20" w:color="auto" w:fill="FFFFFF"/>
          </w:tcPr>
          <w:p w:rsidR="00412AFB" w:rsidRPr="00993936" w:rsidRDefault="00412AFB" w:rsidP="00D35662">
            <w:pPr>
              <w:pStyle w:val="Sinespaciado"/>
              <w:rPr>
                <w:rFonts w:ascii="Arial" w:hAnsi="Arial" w:cs="Arial"/>
                <w:snapToGrid w:val="0"/>
                <w:lang w:val="es-ES"/>
              </w:rPr>
            </w:pPr>
          </w:p>
        </w:tc>
        <w:tc>
          <w:tcPr>
            <w:tcW w:w="1296" w:type="dxa"/>
            <w:shd w:val="pct20" w:color="auto" w:fill="FFFFFF"/>
          </w:tcPr>
          <w:p w:rsidR="00412AFB" w:rsidRPr="00993936" w:rsidRDefault="00412AFB" w:rsidP="00D35662">
            <w:pPr>
              <w:pStyle w:val="Sinespaciado"/>
              <w:rPr>
                <w:rFonts w:ascii="Arial" w:hAnsi="Arial" w:cs="Arial"/>
                <w:snapToGrid w:val="0"/>
                <w:lang w:val="es-ES"/>
              </w:rPr>
            </w:pPr>
          </w:p>
        </w:tc>
        <w:tc>
          <w:tcPr>
            <w:tcW w:w="1297" w:type="dxa"/>
            <w:shd w:val="pct20" w:color="auto" w:fill="FFFFFF"/>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Deficiente</w:t>
            </w:r>
          </w:p>
        </w:tc>
        <w:tc>
          <w:tcPr>
            <w:tcW w:w="1297" w:type="dxa"/>
            <w:shd w:val="pct20" w:color="auto" w:fill="FFFFFF"/>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Bajo</w:t>
            </w:r>
          </w:p>
        </w:tc>
        <w:tc>
          <w:tcPr>
            <w:tcW w:w="1296" w:type="dxa"/>
            <w:shd w:val="pct20" w:color="auto" w:fill="FFFFFF"/>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Normal</w:t>
            </w:r>
          </w:p>
        </w:tc>
        <w:tc>
          <w:tcPr>
            <w:tcW w:w="1297" w:type="dxa"/>
            <w:shd w:val="pct20" w:color="auto" w:fill="FFFFFF"/>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Alto</w:t>
            </w:r>
          </w:p>
        </w:tc>
        <w:tc>
          <w:tcPr>
            <w:tcW w:w="1297" w:type="dxa"/>
            <w:shd w:val="pct20" w:color="auto" w:fill="FFFFFF"/>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Excesivo</w:t>
            </w:r>
          </w:p>
        </w:tc>
      </w:tr>
      <w:tr w:rsidR="00412AFB" w:rsidRPr="00993936" w:rsidTr="00C8678E">
        <w:trPr>
          <w:cantSplit/>
        </w:trPr>
        <w:tc>
          <w:tcPr>
            <w:tcW w:w="1151" w:type="dxa"/>
            <w:vMerge w:val="restart"/>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Naranjo</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N</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2,30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30-2</w:t>
            </w:r>
            <w:r w:rsidR="00C03DD4" w:rsidRPr="00993936">
              <w:rPr>
                <w:rFonts w:ascii="Arial" w:hAnsi="Arial" w:cs="Arial"/>
                <w:snapToGrid w:val="0"/>
                <w:lang w:val="es-ES"/>
              </w:rPr>
              <w:t>,</w:t>
            </w:r>
            <w:r w:rsidRPr="00993936">
              <w:rPr>
                <w:rFonts w:ascii="Arial" w:hAnsi="Arial" w:cs="Arial"/>
                <w:snapToGrid w:val="0"/>
                <w:lang w:val="es-ES"/>
              </w:rPr>
              <w:t>50</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51-2</w:t>
            </w:r>
            <w:r w:rsidR="00C03DD4" w:rsidRPr="00993936">
              <w:rPr>
                <w:rFonts w:ascii="Arial" w:hAnsi="Arial" w:cs="Arial"/>
                <w:snapToGrid w:val="0"/>
                <w:lang w:val="es-ES"/>
              </w:rPr>
              <w:t>,</w:t>
            </w:r>
            <w:r w:rsidRPr="00993936">
              <w:rPr>
                <w:rFonts w:ascii="Arial" w:hAnsi="Arial" w:cs="Arial"/>
                <w:snapToGrid w:val="0"/>
                <w:lang w:val="es-ES"/>
              </w:rPr>
              <w:t>80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81-3</w:t>
            </w:r>
            <w:r w:rsidR="00C03DD4" w:rsidRPr="00993936">
              <w:rPr>
                <w:rFonts w:ascii="Arial" w:hAnsi="Arial" w:cs="Arial"/>
                <w:snapToGrid w:val="0"/>
                <w:lang w:val="es-ES"/>
              </w:rPr>
              <w:t>,</w:t>
            </w:r>
            <w:r w:rsidRPr="00993936">
              <w:rPr>
                <w:rFonts w:ascii="Arial" w:hAnsi="Arial" w:cs="Arial"/>
                <w:snapToGrid w:val="0"/>
                <w:lang w:val="es-ES"/>
              </w:rPr>
              <w:t>00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3,00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P</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0,10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0,10-0,12</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0,13-0,16</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0,17-0,20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0,20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K</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0,50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0,50-0,7</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0,71-1,00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1,01-1,30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1</w:t>
            </w:r>
            <w:r w:rsidR="00C03DD4" w:rsidRPr="00993936">
              <w:rPr>
                <w:rFonts w:ascii="Arial" w:hAnsi="Arial" w:cs="Arial"/>
                <w:snapToGrid w:val="0"/>
                <w:lang w:val="es-ES"/>
              </w:rPr>
              <w:t>,</w:t>
            </w:r>
            <w:r w:rsidRPr="00993936">
              <w:rPr>
                <w:rFonts w:ascii="Arial" w:hAnsi="Arial" w:cs="Arial"/>
                <w:snapToGrid w:val="0"/>
                <w:lang w:val="es-ES"/>
              </w:rPr>
              <w:t>30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Mg</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0,15</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0,15-0,24</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0,25-0,45</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0,46-0,90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1</w:t>
            </w:r>
            <w:r w:rsidR="00C03DD4" w:rsidRPr="00993936">
              <w:rPr>
                <w:rFonts w:ascii="Arial" w:hAnsi="Arial" w:cs="Arial"/>
                <w:snapToGrid w:val="0"/>
                <w:lang w:val="es-ES"/>
              </w:rPr>
              <w:t>,</w:t>
            </w:r>
            <w:r w:rsidRPr="00993936">
              <w:rPr>
                <w:rFonts w:ascii="Arial" w:hAnsi="Arial" w:cs="Arial"/>
                <w:snapToGrid w:val="0"/>
                <w:lang w:val="es-ES"/>
              </w:rPr>
              <w:t>90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Ca</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1,60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1,60-2,90</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3</w:t>
            </w:r>
            <w:r w:rsidR="00C03DD4" w:rsidRPr="00993936">
              <w:rPr>
                <w:rFonts w:ascii="Arial" w:hAnsi="Arial" w:cs="Arial"/>
                <w:snapToGrid w:val="0"/>
                <w:lang w:val="es-ES"/>
              </w:rPr>
              <w:t>,</w:t>
            </w:r>
            <w:r w:rsidRPr="00993936">
              <w:rPr>
                <w:rFonts w:ascii="Arial" w:hAnsi="Arial" w:cs="Arial"/>
                <w:snapToGrid w:val="0"/>
                <w:lang w:val="es-ES"/>
              </w:rPr>
              <w:t>00-5</w:t>
            </w:r>
            <w:r w:rsidR="00C03DD4" w:rsidRPr="00993936">
              <w:rPr>
                <w:rFonts w:ascii="Arial" w:hAnsi="Arial" w:cs="Arial"/>
                <w:snapToGrid w:val="0"/>
                <w:lang w:val="es-ES"/>
              </w:rPr>
              <w:t>,</w:t>
            </w:r>
            <w:r w:rsidRPr="00993936">
              <w:rPr>
                <w:rFonts w:ascii="Arial" w:hAnsi="Arial" w:cs="Arial"/>
                <w:snapToGrid w:val="0"/>
                <w:lang w:val="es-ES"/>
              </w:rPr>
              <w:t>00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5</w:t>
            </w:r>
            <w:r w:rsidR="00C03DD4" w:rsidRPr="00993936">
              <w:rPr>
                <w:rFonts w:ascii="Arial" w:hAnsi="Arial" w:cs="Arial"/>
                <w:snapToGrid w:val="0"/>
                <w:lang w:val="es-ES"/>
              </w:rPr>
              <w:t>,</w:t>
            </w:r>
            <w:r w:rsidRPr="00993936">
              <w:rPr>
                <w:rFonts w:ascii="Arial" w:hAnsi="Arial" w:cs="Arial"/>
                <w:snapToGrid w:val="0"/>
                <w:lang w:val="es-ES"/>
              </w:rPr>
              <w:t>10-6</w:t>
            </w:r>
            <w:r w:rsidR="00C03DD4" w:rsidRPr="00993936">
              <w:rPr>
                <w:rFonts w:ascii="Arial" w:hAnsi="Arial" w:cs="Arial"/>
                <w:snapToGrid w:val="0"/>
                <w:lang w:val="es-ES"/>
              </w:rPr>
              <w:t>,</w:t>
            </w:r>
            <w:r w:rsidRPr="00993936">
              <w:rPr>
                <w:rFonts w:ascii="Arial" w:hAnsi="Arial" w:cs="Arial"/>
                <w:snapToGrid w:val="0"/>
                <w:lang w:val="es-ES"/>
              </w:rPr>
              <w:t>50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6,50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S</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0,14</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0,14-0,19</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0,20-0,30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0,31-0,50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0,50</w:t>
            </w:r>
          </w:p>
        </w:tc>
      </w:tr>
      <w:tr w:rsidR="00412AFB" w:rsidRPr="00993936" w:rsidTr="00C8678E">
        <w:trPr>
          <w:cantSplit/>
        </w:trPr>
        <w:tc>
          <w:tcPr>
            <w:tcW w:w="1151" w:type="dxa"/>
            <w:vMerge w:val="restart"/>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Clementino</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N</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2,20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20-2</w:t>
            </w:r>
            <w:r w:rsidR="00C03DD4" w:rsidRPr="00993936">
              <w:rPr>
                <w:rFonts w:ascii="Arial" w:hAnsi="Arial" w:cs="Arial"/>
                <w:snapToGrid w:val="0"/>
                <w:lang w:val="es-ES"/>
              </w:rPr>
              <w:t>,</w:t>
            </w:r>
            <w:r w:rsidRPr="00993936">
              <w:rPr>
                <w:rFonts w:ascii="Arial" w:hAnsi="Arial" w:cs="Arial"/>
                <w:snapToGrid w:val="0"/>
                <w:lang w:val="es-ES"/>
              </w:rPr>
              <w:t>40</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41-2</w:t>
            </w:r>
            <w:r w:rsidR="00C03DD4" w:rsidRPr="00993936">
              <w:rPr>
                <w:rFonts w:ascii="Arial" w:hAnsi="Arial" w:cs="Arial"/>
                <w:snapToGrid w:val="0"/>
                <w:lang w:val="es-ES"/>
              </w:rPr>
              <w:t>,</w:t>
            </w:r>
            <w:r w:rsidRPr="00993936">
              <w:rPr>
                <w:rFonts w:ascii="Arial" w:hAnsi="Arial" w:cs="Arial"/>
                <w:snapToGrid w:val="0"/>
                <w:lang w:val="es-ES"/>
              </w:rPr>
              <w:t>70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71-2</w:t>
            </w:r>
            <w:r w:rsidR="00C03DD4" w:rsidRPr="00993936">
              <w:rPr>
                <w:rFonts w:ascii="Arial" w:hAnsi="Arial" w:cs="Arial"/>
                <w:snapToGrid w:val="0"/>
                <w:lang w:val="es-ES"/>
              </w:rPr>
              <w:t>,</w:t>
            </w:r>
            <w:r w:rsidRPr="00993936">
              <w:rPr>
                <w:rFonts w:ascii="Arial" w:hAnsi="Arial" w:cs="Arial"/>
                <w:snapToGrid w:val="0"/>
                <w:lang w:val="es-ES"/>
              </w:rPr>
              <w:t>90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2</w:t>
            </w:r>
            <w:r w:rsidR="00C03DD4" w:rsidRPr="00993936">
              <w:rPr>
                <w:rFonts w:ascii="Arial" w:hAnsi="Arial" w:cs="Arial"/>
                <w:snapToGrid w:val="0"/>
                <w:lang w:val="es-ES"/>
              </w:rPr>
              <w:t>,</w:t>
            </w:r>
            <w:r w:rsidRPr="00993936">
              <w:rPr>
                <w:rFonts w:ascii="Arial" w:hAnsi="Arial" w:cs="Arial"/>
                <w:snapToGrid w:val="0"/>
                <w:lang w:val="es-ES"/>
              </w:rPr>
              <w:t>90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P</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0,09</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0,09-0,11</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0,12-0,15</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0,16-0,19</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0,19</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K</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0,50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0,50-0,70</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0,71-1,00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1,01-1,30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1</w:t>
            </w:r>
            <w:r w:rsidR="00C03DD4" w:rsidRPr="00993936">
              <w:rPr>
                <w:rFonts w:ascii="Arial" w:hAnsi="Arial" w:cs="Arial"/>
                <w:snapToGrid w:val="0"/>
                <w:lang w:val="es-ES"/>
              </w:rPr>
              <w:t>,</w:t>
            </w:r>
            <w:r w:rsidRPr="00993936">
              <w:rPr>
                <w:rFonts w:ascii="Arial" w:hAnsi="Arial" w:cs="Arial"/>
                <w:snapToGrid w:val="0"/>
                <w:lang w:val="es-ES"/>
              </w:rPr>
              <w:t>30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Mg</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0,15</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0,15-0,24</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0,25-0,45</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0,46-0,90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0,90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Ca</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1,60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1,60-2,90</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3</w:t>
            </w:r>
            <w:r w:rsidR="00C03DD4" w:rsidRPr="00993936">
              <w:rPr>
                <w:rFonts w:ascii="Arial" w:hAnsi="Arial" w:cs="Arial"/>
                <w:snapToGrid w:val="0"/>
                <w:lang w:val="es-ES"/>
              </w:rPr>
              <w:t>,</w:t>
            </w:r>
            <w:r w:rsidRPr="00993936">
              <w:rPr>
                <w:rFonts w:ascii="Arial" w:hAnsi="Arial" w:cs="Arial"/>
                <w:snapToGrid w:val="0"/>
                <w:lang w:val="es-ES"/>
              </w:rPr>
              <w:t>00-5</w:t>
            </w:r>
            <w:r w:rsidR="00C03DD4" w:rsidRPr="00993936">
              <w:rPr>
                <w:rFonts w:ascii="Arial" w:hAnsi="Arial" w:cs="Arial"/>
                <w:snapToGrid w:val="0"/>
                <w:lang w:val="es-ES"/>
              </w:rPr>
              <w:t>,</w:t>
            </w:r>
            <w:r w:rsidRPr="00993936">
              <w:rPr>
                <w:rFonts w:ascii="Arial" w:hAnsi="Arial" w:cs="Arial"/>
                <w:snapToGrid w:val="0"/>
                <w:lang w:val="es-ES"/>
              </w:rPr>
              <w:t>00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5</w:t>
            </w:r>
            <w:r w:rsidR="00C03DD4" w:rsidRPr="00993936">
              <w:rPr>
                <w:rFonts w:ascii="Arial" w:hAnsi="Arial" w:cs="Arial"/>
                <w:snapToGrid w:val="0"/>
                <w:lang w:val="es-ES"/>
              </w:rPr>
              <w:t>,</w:t>
            </w:r>
            <w:r w:rsidRPr="00993936">
              <w:rPr>
                <w:rFonts w:ascii="Arial" w:hAnsi="Arial" w:cs="Arial"/>
                <w:snapToGrid w:val="0"/>
                <w:lang w:val="es-ES"/>
              </w:rPr>
              <w:t>10-6</w:t>
            </w:r>
            <w:r w:rsidR="00C03DD4" w:rsidRPr="00993936">
              <w:rPr>
                <w:rFonts w:ascii="Arial" w:hAnsi="Arial" w:cs="Arial"/>
                <w:snapToGrid w:val="0"/>
                <w:lang w:val="es-ES"/>
              </w:rPr>
              <w:t>,</w:t>
            </w:r>
            <w:r w:rsidRPr="00993936">
              <w:rPr>
                <w:rFonts w:ascii="Arial" w:hAnsi="Arial" w:cs="Arial"/>
                <w:snapToGrid w:val="0"/>
                <w:lang w:val="es-ES"/>
              </w:rPr>
              <w:t>50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6,50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S</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0,14</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0,14-0,19</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0,20-0,30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0,31-0,50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0,50</w:t>
            </w:r>
          </w:p>
        </w:tc>
      </w:tr>
      <w:tr w:rsidR="00412AFB" w:rsidRPr="00993936" w:rsidTr="00C8678E">
        <w:trPr>
          <w:cantSplit/>
        </w:trPr>
        <w:tc>
          <w:tcPr>
            <w:tcW w:w="1151" w:type="dxa"/>
            <w:vMerge w:val="restart"/>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Satsumas</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N</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2,40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40-2</w:t>
            </w:r>
            <w:r w:rsidR="00C03DD4" w:rsidRPr="00993936">
              <w:rPr>
                <w:rFonts w:ascii="Arial" w:hAnsi="Arial" w:cs="Arial"/>
                <w:snapToGrid w:val="0"/>
                <w:lang w:val="es-ES"/>
              </w:rPr>
              <w:t>,</w:t>
            </w:r>
            <w:r w:rsidRPr="00993936">
              <w:rPr>
                <w:rFonts w:ascii="Arial" w:hAnsi="Arial" w:cs="Arial"/>
                <w:snapToGrid w:val="0"/>
                <w:lang w:val="es-ES"/>
              </w:rPr>
              <w:t>60</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61-2</w:t>
            </w:r>
            <w:r w:rsidR="00C03DD4" w:rsidRPr="00993936">
              <w:rPr>
                <w:rFonts w:ascii="Arial" w:hAnsi="Arial" w:cs="Arial"/>
                <w:snapToGrid w:val="0"/>
                <w:lang w:val="es-ES"/>
              </w:rPr>
              <w:t>,</w:t>
            </w:r>
            <w:r w:rsidRPr="00993936">
              <w:rPr>
                <w:rFonts w:ascii="Arial" w:hAnsi="Arial" w:cs="Arial"/>
                <w:snapToGrid w:val="0"/>
                <w:lang w:val="es-ES"/>
              </w:rPr>
              <w:t>90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91-3</w:t>
            </w:r>
            <w:r w:rsidR="00C03DD4" w:rsidRPr="00993936">
              <w:rPr>
                <w:rFonts w:ascii="Arial" w:hAnsi="Arial" w:cs="Arial"/>
                <w:snapToGrid w:val="0"/>
                <w:lang w:val="es-ES"/>
              </w:rPr>
              <w:t>,</w:t>
            </w:r>
            <w:r w:rsidRPr="00993936">
              <w:rPr>
                <w:rFonts w:ascii="Arial" w:hAnsi="Arial" w:cs="Arial"/>
                <w:snapToGrid w:val="0"/>
                <w:lang w:val="es-ES"/>
              </w:rPr>
              <w:t>10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3</w:t>
            </w:r>
            <w:r w:rsidR="00C03DD4" w:rsidRPr="00993936">
              <w:rPr>
                <w:rFonts w:ascii="Arial" w:hAnsi="Arial" w:cs="Arial"/>
                <w:snapToGrid w:val="0"/>
                <w:lang w:val="es-ES"/>
              </w:rPr>
              <w:t>,</w:t>
            </w:r>
            <w:r w:rsidRPr="00993936">
              <w:rPr>
                <w:rFonts w:ascii="Arial" w:hAnsi="Arial" w:cs="Arial"/>
                <w:snapToGrid w:val="0"/>
                <w:lang w:val="es-ES"/>
              </w:rPr>
              <w:t>10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P</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0,10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0,10-0,12</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0,13-0,16</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0,17-0,20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0,20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K</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0,40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0,40-0,60</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0,61-0,90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0,91-1,15</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1</w:t>
            </w:r>
            <w:r w:rsidR="00C03DD4" w:rsidRPr="00993936">
              <w:rPr>
                <w:rFonts w:ascii="Arial" w:hAnsi="Arial" w:cs="Arial"/>
                <w:snapToGrid w:val="0"/>
                <w:lang w:val="es-ES"/>
              </w:rPr>
              <w:t>,</w:t>
            </w:r>
            <w:r w:rsidRPr="00993936">
              <w:rPr>
                <w:rFonts w:ascii="Arial" w:hAnsi="Arial" w:cs="Arial"/>
                <w:snapToGrid w:val="0"/>
                <w:lang w:val="es-ES"/>
              </w:rPr>
              <w:t>15</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Mg</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0,15</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0,15-0,24</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0,25-0,45</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0,46-0,90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0,90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Ca</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1,60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1,60-2,90</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3</w:t>
            </w:r>
            <w:r w:rsidR="00C03DD4" w:rsidRPr="00993936">
              <w:rPr>
                <w:rFonts w:ascii="Arial" w:hAnsi="Arial" w:cs="Arial"/>
                <w:snapToGrid w:val="0"/>
                <w:lang w:val="es-ES"/>
              </w:rPr>
              <w:t>,</w:t>
            </w:r>
            <w:r w:rsidRPr="00993936">
              <w:rPr>
                <w:rFonts w:ascii="Arial" w:hAnsi="Arial" w:cs="Arial"/>
                <w:snapToGrid w:val="0"/>
                <w:lang w:val="es-ES"/>
              </w:rPr>
              <w:t>00-5</w:t>
            </w:r>
            <w:r w:rsidR="00C03DD4" w:rsidRPr="00993936">
              <w:rPr>
                <w:rFonts w:ascii="Arial" w:hAnsi="Arial" w:cs="Arial"/>
                <w:snapToGrid w:val="0"/>
                <w:lang w:val="es-ES"/>
              </w:rPr>
              <w:t>,</w:t>
            </w:r>
            <w:r w:rsidRPr="00993936">
              <w:rPr>
                <w:rFonts w:ascii="Arial" w:hAnsi="Arial" w:cs="Arial"/>
                <w:snapToGrid w:val="0"/>
                <w:lang w:val="es-ES"/>
              </w:rPr>
              <w:t>00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3</w:t>
            </w:r>
            <w:r w:rsidR="00C03DD4" w:rsidRPr="00993936">
              <w:rPr>
                <w:rFonts w:ascii="Arial" w:hAnsi="Arial" w:cs="Arial"/>
                <w:snapToGrid w:val="0"/>
                <w:lang w:val="es-ES"/>
              </w:rPr>
              <w:t>,</w:t>
            </w:r>
            <w:r w:rsidRPr="00993936">
              <w:rPr>
                <w:rFonts w:ascii="Arial" w:hAnsi="Arial" w:cs="Arial"/>
                <w:snapToGrid w:val="0"/>
                <w:lang w:val="es-ES"/>
              </w:rPr>
              <w:t>10-6</w:t>
            </w:r>
            <w:r w:rsidR="00C03DD4" w:rsidRPr="00993936">
              <w:rPr>
                <w:rFonts w:ascii="Arial" w:hAnsi="Arial" w:cs="Arial"/>
                <w:snapToGrid w:val="0"/>
                <w:lang w:val="es-ES"/>
              </w:rPr>
              <w:t>,</w:t>
            </w:r>
            <w:r w:rsidRPr="00993936">
              <w:rPr>
                <w:rFonts w:ascii="Arial" w:hAnsi="Arial" w:cs="Arial"/>
                <w:snapToGrid w:val="0"/>
                <w:lang w:val="es-ES"/>
              </w:rPr>
              <w:t>50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6,50</w:t>
            </w: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S</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&lt; 0,14</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0,14-0,19</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0,20-0,30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0,31-0,50</w:t>
            </w:r>
          </w:p>
        </w:tc>
        <w:tc>
          <w:tcPr>
            <w:tcW w:w="1297"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&gt; 0,50</w:t>
            </w:r>
          </w:p>
        </w:tc>
      </w:tr>
      <w:tr w:rsidR="00412AFB" w:rsidRPr="00993936" w:rsidTr="00C8678E">
        <w:trPr>
          <w:cantSplit/>
        </w:trPr>
        <w:tc>
          <w:tcPr>
            <w:tcW w:w="1151" w:type="dxa"/>
            <w:vMerge w:val="restart"/>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Limonero</w:t>
            </w: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N</w:t>
            </w: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2</w:t>
            </w:r>
            <w:r w:rsidR="00C03DD4" w:rsidRPr="00993936">
              <w:rPr>
                <w:rFonts w:ascii="Arial" w:hAnsi="Arial" w:cs="Arial"/>
                <w:snapToGrid w:val="0"/>
                <w:lang w:val="es-ES"/>
              </w:rPr>
              <w:t>,</w:t>
            </w:r>
            <w:r w:rsidRPr="00993936">
              <w:rPr>
                <w:rFonts w:ascii="Arial" w:hAnsi="Arial" w:cs="Arial"/>
                <w:snapToGrid w:val="0"/>
                <w:lang w:val="es-ES"/>
              </w:rPr>
              <w:t>30-2</w:t>
            </w:r>
            <w:r w:rsidR="00C03DD4" w:rsidRPr="00993936">
              <w:rPr>
                <w:rFonts w:ascii="Arial" w:hAnsi="Arial" w:cs="Arial"/>
                <w:snapToGrid w:val="0"/>
                <w:lang w:val="es-ES"/>
              </w:rPr>
              <w:t>,</w:t>
            </w:r>
            <w:r w:rsidRPr="00993936">
              <w:rPr>
                <w:rFonts w:ascii="Arial" w:hAnsi="Arial" w:cs="Arial"/>
                <w:snapToGrid w:val="0"/>
                <w:lang w:val="es-ES"/>
              </w:rPr>
              <w:t>80</w:t>
            </w: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7" w:type="dxa"/>
            <w:vAlign w:val="center"/>
          </w:tcPr>
          <w:p w:rsidR="00412AFB" w:rsidRPr="00993936" w:rsidRDefault="00412AFB" w:rsidP="00D35662">
            <w:pPr>
              <w:pStyle w:val="Sinespaciado"/>
              <w:rPr>
                <w:rFonts w:ascii="Arial" w:hAnsi="Arial" w:cs="Arial"/>
                <w:snapToGrid w:val="0"/>
                <w:lang w:val="es-ES"/>
              </w:rPr>
            </w:pP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P</w:t>
            </w: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0,12-0,16</w:t>
            </w: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7" w:type="dxa"/>
            <w:vAlign w:val="center"/>
          </w:tcPr>
          <w:p w:rsidR="00412AFB" w:rsidRPr="00993936" w:rsidRDefault="00412AFB" w:rsidP="00D35662">
            <w:pPr>
              <w:pStyle w:val="Sinespaciado"/>
              <w:rPr>
                <w:rFonts w:ascii="Arial" w:hAnsi="Arial" w:cs="Arial"/>
                <w:snapToGrid w:val="0"/>
                <w:lang w:val="es-ES"/>
              </w:rPr>
            </w:pPr>
          </w:p>
        </w:tc>
      </w:tr>
      <w:tr w:rsidR="00412AFB" w:rsidRPr="00993936" w:rsidTr="00C8678E">
        <w:trPr>
          <w:cantSplit/>
        </w:trPr>
        <w:tc>
          <w:tcPr>
            <w:tcW w:w="1151" w:type="dxa"/>
            <w:vMerge/>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K</w:t>
            </w: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6" w:type="dxa"/>
            <w:vAlign w:val="center"/>
          </w:tcPr>
          <w:p w:rsidR="00412AFB" w:rsidRPr="00993936" w:rsidRDefault="00412AFB" w:rsidP="00D35662">
            <w:pPr>
              <w:pStyle w:val="Sinespaciado"/>
              <w:rPr>
                <w:rFonts w:ascii="Arial" w:hAnsi="Arial" w:cs="Arial"/>
                <w:snapToGrid w:val="0"/>
                <w:lang w:val="es-ES"/>
              </w:rPr>
            </w:pPr>
            <w:r w:rsidRPr="00993936">
              <w:rPr>
                <w:rFonts w:ascii="Arial" w:hAnsi="Arial" w:cs="Arial"/>
                <w:snapToGrid w:val="0"/>
                <w:lang w:val="es-ES"/>
              </w:rPr>
              <w:t>1,20-1,60</w:t>
            </w:r>
          </w:p>
        </w:tc>
        <w:tc>
          <w:tcPr>
            <w:tcW w:w="1297" w:type="dxa"/>
            <w:vAlign w:val="center"/>
          </w:tcPr>
          <w:p w:rsidR="00412AFB" w:rsidRPr="00993936" w:rsidRDefault="00412AFB" w:rsidP="00D35662">
            <w:pPr>
              <w:pStyle w:val="Sinespaciado"/>
              <w:rPr>
                <w:rFonts w:ascii="Arial" w:hAnsi="Arial" w:cs="Arial"/>
                <w:snapToGrid w:val="0"/>
                <w:lang w:val="es-ES"/>
              </w:rPr>
            </w:pPr>
          </w:p>
        </w:tc>
        <w:tc>
          <w:tcPr>
            <w:tcW w:w="1297" w:type="dxa"/>
            <w:vAlign w:val="center"/>
          </w:tcPr>
          <w:p w:rsidR="00412AFB" w:rsidRPr="00993936" w:rsidRDefault="00412AFB" w:rsidP="00D35662">
            <w:pPr>
              <w:pStyle w:val="Sinespaciado"/>
              <w:rPr>
                <w:rFonts w:ascii="Arial" w:hAnsi="Arial" w:cs="Arial"/>
                <w:snapToGrid w:val="0"/>
                <w:lang w:val="es-ES"/>
              </w:rPr>
            </w:pPr>
          </w:p>
        </w:tc>
      </w:tr>
    </w:tbl>
    <w:p w:rsidR="00412AFB" w:rsidRPr="00993936" w:rsidRDefault="00412AFB" w:rsidP="00412AFB">
      <w:pPr>
        <w:rPr>
          <w:rFonts w:ascii="Arial" w:hAnsi="Arial" w:cs="Arial"/>
          <w:b/>
          <w:snapToGrid w:val="0"/>
          <w:lang w:val="es-ES"/>
        </w:rPr>
      </w:pPr>
    </w:p>
    <w:p w:rsidR="00D35662" w:rsidRPr="00993936" w:rsidRDefault="00D35662">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Tabla 2.2 Valores de referencia de los análisis foliares de Fe, Zn, Mn, B, Cu y Mo en cítricos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1"/>
        <w:gridCol w:w="1600"/>
        <w:gridCol w:w="1600"/>
        <w:gridCol w:w="1600"/>
        <w:gridCol w:w="1600"/>
        <w:gridCol w:w="1600"/>
      </w:tblGrid>
      <w:tr w:rsidR="00412AFB" w:rsidRPr="00993936" w:rsidTr="00C8678E">
        <w:trPr>
          <w:cantSplit/>
        </w:trPr>
        <w:tc>
          <w:tcPr>
            <w:tcW w:w="931" w:type="dxa"/>
            <w:vMerge w:val="restar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Elemento</w:t>
            </w:r>
          </w:p>
        </w:tc>
        <w:tc>
          <w:tcPr>
            <w:tcW w:w="8000" w:type="dxa"/>
            <w:gridSpan w:val="5"/>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 xml:space="preserve">Niveles nutritivos estándares (ppm) </w:t>
            </w:r>
          </w:p>
        </w:tc>
      </w:tr>
      <w:tr w:rsidR="00412AFB" w:rsidRPr="00993936" w:rsidTr="00C8678E">
        <w:trPr>
          <w:cantSplit/>
        </w:trPr>
        <w:tc>
          <w:tcPr>
            <w:tcW w:w="931" w:type="dxa"/>
            <w:vMerge/>
            <w:shd w:val="pct20" w:color="auto" w:fill="FFFFFF"/>
            <w:vAlign w:val="center"/>
          </w:tcPr>
          <w:p w:rsidR="00412AFB" w:rsidRPr="00993936" w:rsidRDefault="00412AFB" w:rsidP="00C8678E">
            <w:pPr>
              <w:jc w:val="center"/>
              <w:rPr>
                <w:rFonts w:ascii="Arial" w:hAnsi="Arial" w:cs="Arial"/>
                <w:b/>
                <w:snapToGrid w:val="0"/>
                <w:lang w:val="es-ES"/>
              </w:rPr>
            </w:pPr>
          </w:p>
        </w:tc>
        <w:tc>
          <w:tcPr>
            <w:tcW w:w="1600"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Muy bajo</w:t>
            </w:r>
          </w:p>
        </w:tc>
        <w:tc>
          <w:tcPr>
            <w:tcW w:w="1600"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Bajo</w:t>
            </w:r>
          </w:p>
        </w:tc>
        <w:tc>
          <w:tcPr>
            <w:tcW w:w="1600"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Normal</w:t>
            </w:r>
          </w:p>
        </w:tc>
        <w:tc>
          <w:tcPr>
            <w:tcW w:w="1600"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Alto</w:t>
            </w:r>
          </w:p>
        </w:tc>
        <w:tc>
          <w:tcPr>
            <w:tcW w:w="1600"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Muy alto</w:t>
            </w:r>
          </w:p>
        </w:tc>
      </w:tr>
      <w:tr w:rsidR="00412AFB" w:rsidRPr="00993936" w:rsidTr="00C8678E">
        <w:trPr>
          <w:cantSplit/>
        </w:trPr>
        <w:tc>
          <w:tcPr>
            <w:tcW w:w="93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Fe</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&lt; 35</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35-60</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61-100</w:t>
            </w:r>
          </w:p>
        </w:tc>
        <w:tc>
          <w:tcPr>
            <w:tcW w:w="160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101-200</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&gt; 200</w:t>
            </w:r>
          </w:p>
        </w:tc>
      </w:tr>
      <w:tr w:rsidR="00412AFB" w:rsidRPr="00993936" w:rsidTr="00C8678E">
        <w:trPr>
          <w:cantSplit/>
        </w:trPr>
        <w:tc>
          <w:tcPr>
            <w:tcW w:w="93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Zn</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&lt; 14</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14-25</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26-70</w:t>
            </w:r>
          </w:p>
        </w:tc>
        <w:tc>
          <w:tcPr>
            <w:tcW w:w="160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71-300</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&gt; 300</w:t>
            </w:r>
          </w:p>
        </w:tc>
      </w:tr>
      <w:tr w:rsidR="00412AFB" w:rsidRPr="00993936" w:rsidTr="00C8678E">
        <w:trPr>
          <w:cantSplit/>
        </w:trPr>
        <w:tc>
          <w:tcPr>
            <w:tcW w:w="93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Mn</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&lt; 12</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12-25</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26-60</w:t>
            </w:r>
          </w:p>
        </w:tc>
        <w:tc>
          <w:tcPr>
            <w:tcW w:w="160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61-250</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&gt; 250</w:t>
            </w:r>
          </w:p>
        </w:tc>
      </w:tr>
      <w:tr w:rsidR="00412AFB" w:rsidRPr="00993936" w:rsidTr="00C8678E">
        <w:trPr>
          <w:cantSplit/>
        </w:trPr>
        <w:tc>
          <w:tcPr>
            <w:tcW w:w="93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&lt; 21</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21-30</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31-100</w:t>
            </w:r>
          </w:p>
        </w:tc>
        <w:tc>
          <w:tcPr>
            <w:tcW w:w="160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101-260</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&gt; 260</w:t>
            </w:r>
          </w:p>
        </w:tc>
      </w:tr>
      <w:tr w:rsidR="00412AFB" w:rsidRPr="00993936" w:rsidTr="00C8678E">
        <w:trPr>
          <w:cantSplit/>
        </w:trPr>
        <w:tc>
          <w:tcPr>
            <w:tcW w:w="93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Cu</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&lt; 3</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3-5</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6-14</w:t>
            </w:r>
          </w:p>
        </w:tc>
        <w:tc>
          <w:tcPr>
            <w:tcW w:w="160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15-25</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&gt; 25</w:t>
            </w:r>
          </w:p>
        </w:tc>
      </w:tr>
      <w:tr w:rsidR="00412AFB" w:rsidRPr="00993936" w:rsidTr="00C8678E">
        <w:trPr>
          <w:cantSplit/>
        </w:trPr>
        <w:tc>
          <w:tcPr>
            <w:tcW w:w="93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Mo</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&lt; 0,06</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0,06-0,09</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0,10-3,00</w:t>
            </w:r>
          </w:p>
        </w:tc>
        <w:tc>
          <w:tcPr>
            <w:tcW w:w="1600" w:type="dxa"/>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3</w:t>
            </w:r>
            <w:r w:rsidR="00C03DD4" w:rsidRPr="00993936">
              <w:rPr>
                <w:rFonts w:ascii="Arial" w:hAnsi="Arial" w:cs="Arial"/>
                <w:snapToGrid w:val="0"/>
                <w:lang w:val="es-ES"/>
              </w:rPr>
              <w:t>,</w:t>
            </w:r>
            <w:r w:rsidRPr="00993936">
              <w:rPr>
                <w:rFonts w:ascii="Arial" w:hAnsi="Arial" w:cs="Arial"/>
                <w:snapToGrid w:val="0"/>
                <w:lang w:val="es-ES"/>
              </w:rPr>
              <w:t>10-10</w:t>
            </w:r>
          </w:p>
        </w:tc>
        <w:tc>
          <w:tcPr>
            <w:tcW w:w="1600"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&gt; 10</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u w:val="single"/>
          <w:lang w:val="es-ES"/>
        </w:rPr>
      </w:pPr>
      <w:r w:rsidRPr="00993936">
        <w:rPr>
          <w:rFonts w:ascii="Arial" w:hAnsi="Arial" w:cs="Arial"/>
          <w:b/>
          <w:snapToGrid w:val="0"/>
          <w:u w:val="single"/>
          <w:lang w:val="es-ES"/>
        </w:rPr>
        <w:t xml:space="preserve">DOSIS DE FERTILIZACIÓN </w:t>
      </w:r>
    </w:p>
    <w:p w:rsidR="00412AFB" w:rsidRPr="00993936" w:rsidRDefault="00412AFB" w:rsidP="00412AFB">
      <w:pPr>
        <w:rPr>
          <w:rFonts w:ascii="Arial" w:hAnsi="Arial" w:cs="Arial"/>
          <w:b/>
          <w:snapToGrid w:val="0"/>
          <w:u w:val="single"/>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Tabla 2.3 Tratamientos recomendados en caso de carencias</w:t>
      </w:r>
      <w:r w:rsidR="00E03B3B" w:rsidRPr="00993936">
        <w:rPr>
          <w:rFonts w:ascii="Arial" w:hAnsi="Arial" w:cs="Arial"/>
          <w:b/>
          <w:snapToGrid w:val="0"/>
          <w:lang w:val="es-ES"/>
        </w:rPr>
        <w:t xml:space="preserve">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7730"/>
      </w:tblGrid>
      <w:tr w:rsidR="00412AFB" w:rsidRPr="00993936" w:rsidTr="00D35662">
        <w:tc>
          <w:tcPr>
            <w:tcW w:w="1201"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Carencia</w:t>
            </w:r>
          </w:p>
        </w:tc>
        <w:tc>
          <w:tcPr>
            <w:tcW w:w="7730" w:type="dxa"/>
            <w:shd w:val="pct20" w:color="auto" w:fill="FFFFFF"/>
          </w:tcPr>
          <w:p w:rsidR="00412AFB" w:rsidRPr="00993936" w:rsidRDefault="00412AFB" w:rsidP="00D35662">
            <w:pPr>
              <w:jc w:val="center"/>
              <w:rPr>
                <w:rFonts w:ascii="Arial" w:hAnsi="Arial" w:cs="Arial"/>
                <w:b/>
                <w:snapToGrid w:val="0"/>
                <w:lang w:val="es-ES"/>
              </w:rPr>
            </w:pPr>
            <w:r w:rsidRPr="00993936">
              <w:rPr>
                <w:rFonts w:ascii="Arial" w:hAnsi="Arial" w:cs="Arial"/>
                <w:b/>
                <w:snapToGrid w:val="0"/>
                <w:lang w:val="es-ES"/>
              </w:rPr>
              <w:t>Tratamiento recomendado</w:t>
            </w:r>
          </w:p>
        </w:tc>
      </w:tr>
      <w:tr w:rsidR="00412AFB" w:rsidRPr="00993936" w:rsidTr="00D35662">
        <w:tc>
          <w:tcPr>
            <w:tcW w:w="120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Mg</w:t>
            </w:r>
          </w:p>
        </w:tc>
        <w:tc>
          <w:tcPr>
            <w:tcW w:w="7730"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Pulverización foliar de sulfato de magnesio al 2-4 % utilizando un mojante o de nitrato de magnesio al 1,2 %. El sulfato de magnesio debe contener la menor cantidad posible de cloruro sódico. Aplicación al suelo de 1-</w:t>
            </w:r>
            <w:smartTag w:uri="urn:schemas-microsoft-com:office:smarttags" w:element="metricconverter">
              <w:smartTagPr>
                <w:attr w:name="ProductID" w:val="2 kg"/>
              </w:smartTagPr>
              <w:r w:rsidRPr="00993936">
                <w:rPr>
                  <w:rFonts w:ascii="Arial" w:hAnsi="Arial" w:cs="Arial"/>
                  <w:snapToGrid w:val="0"/>
                  <w:lang w:val="es-ES"/>
                </w:rPr>
                <w:t>2 kg</w:t>
              </w:r>
            </w:smartTag>
            <w:r w:rsidRPr="00993936">
              <w:rPr>
                <w:rFonts w:ascii="Arial" w:hAnsi="Arial" w:cs="Arial"/>
                <w:snapToGrid w:val="0"/>
                <w:lang w:val="es-ES"/>
              </w:rPr>
              <w:t xml:space="preserve"> de sulfato de magnesio por árbol.</w:t>
            </w:r>
          </w:p>
        </w:tc>
      </w:tr>
      <w:tr w:rsidR="00412AFB" w:rsidRPr="00993936" w:rsidTr="00D35662">
        <w:tc>
          <w:tcPr>
            <w:tcW w:w="120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Fe</w:t>
            </w:r>
          </w:p>
        </w:tc>
        <w:tc>
          <w:tcPr>
            <w:tcW w:w="7730"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Pulverización foliar de sulfato de hierro al 0,25 % utilizando un mojante. Aplicación al suelo de 1-</w:t>
            </w:r>
            <w:smartTag w:uri="urn:schemas-microsoft-com:office:smarttags" w:element="metricconverter">
              <w:smartTagPr>
                <w:attr w:name="ProductID" w:val="2 kg"/>
              </w:smartTagPr>
              <w:r w:rsidRPr="00993936">
                <w:rPr>
                  <w:rFonts w:ascii="Arial" w:hAnsi="Arial" w:cs="Arial"/>
                  <w:snapToGrid w:val="0"/>
                  <w:lang w:val="es-ES"/>
                </w:rPr>
                <w:t>2 kg</w:t>
              </w:r>
            </w:smartTag>
            <w:r w:rsidRPr="00993936">
              <w:rPr>
                <w:rFonts w:ascii="Arial" w:hAnsi="Arial" w:cs="Arial"/>
                <w:snapToGrid w:val="0"/>
                <w:lang w:val="es-ES"/>
              </w:rPr>
              <w:t xml:space="preserve"> de sulfato de hierro. Puede sustituirse por quelatos.</w:t>
            </w:r>
          </w:p>
        </w:tc>
      </w:tr>
      <w:tr w:rsidR="00412AFB" w:rsidRPr="00993936" w:rsidTr="00D35662">
        <w:tc>
          <w:tcPr>
            <w:tcW w:w="120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Zn y Mn</w:t>
            </w:r>
          </w:p>
        </w:tc>
        <w:tc>
          <w:tcPr>
            <w:tcW w:w="7730"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Pulverización foliar de sulfato de zinc o de magnesio al 0,12 %. Neutralizar el caldo con carbonato cálcico. </w:t>
            </w:r>
          </w:p>
        </w:tc>
      </w:tr>
      <w:tr w:rsidR="00412AFB" w:rsidRPr="00993936" w:rsidTr="00D35662">
        <w:tc>
          <w:tcPr>
            <w:tcW w:w="120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Cu</w:t>
            </w:r>
          </w:p>
        </w:tc>
        <w:tc>
          <w:tcPr>
            <w:tcW w:w="7730"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Pulverización foliar con oxicloruro de cobre al 0,4 % o caldo bordelés. </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Tabla 2.4 Factores de corrección para la fertilización fosforada de acuerdo con los análisis del suelo y foliar</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843"/>
        <w:gridCol w:w="1748"/>
        <w:gridCol w:w="1748"/>
        <w:gridCol w:w="1748"/>
      </w:tblGrid>
      <w:tr w:rsidR="00412AFB" w:rsidRPr="00993936" w:rsidTr="00C8678E">
        <w:trPr>
          <w:cantSplit/>
        </w:trPr>
        <w:tc>
          <w:tcPr>
            <w:tcW w:w="1985" w:type="dxa"/>
            <w:vMerge w:val="restar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 xml:space="preserve">Nivel de </w:t>
            </w:r>
            <w:r w:rsidRPr="00993936">
              <w:rPr>
                <w:rFonts w:ascii="Arial" w:hAnsi="Arial" w:cs="Arial"/>
                <w:b/>
                <w:snapToGrid w:val="0"/>
                <w:u w:val="single"/>
                <w:lang w:val="es-ES"/>
              </w:rPr>
              <w:t>P</w:t>
            </w:r>
            <w:r w:rsidRPr="00993936">
              <w:rPr>
                <w:rFonts w:ascii="Arial" w:hAnsi="Arial" w:cs="Arial"/>
                <w:b/>
                <w:snapToGrid w:val="0"/>
                <w:lang w:val="es-ES"/>
              </w:rPr>
              <w:t xml:space="preserve"> en el suelo</w:t>
            </w:r>
          </w:p>
        </w:tc>
        <w:tc>
          <w:tcPr>
            <w:tcW w:w="1843" w:type="dxa"/>
            <w:vMerge w:val="restar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 xml:space="preserve">Nivel de </w:t>
            </w:r>
            <w:r w:rsidRPr="00993936">
              <w:rPr>
                <w:rFonts w:ascii="Arial" w:hAnsi="Arial" w:cs="Arial"/>
                <w:b/>
                <w:snapToGrid w:val="0"/>
                <w:u w:val="single"/>
                <w:lang w:val="es-ES"/>
              </w:rPr>
              <w:t>P</w:t>
            </w:r>
            <w:r w:rsidRPr="00993936">
              <w:rPr>
                <w:rFonts w:ascii="Arial" w:hAnsi="Arial" w:cs="Arial"/>
                <w:b/>
                <w:snapToGrid w:val="0"/>
                <w:lang w:val="es-ES"/>
              </w:rPr>
              <w:t xml:space="preserve"> foliar</w:t>
            </w:r>
          </w:p>
        </w:tc>
        <w:tc>
          <w:tcPr>
            <w:tcW w:w="5244" w:type="dxa"/>
            <w:gridSpan w:val="3"/>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 Carbonato cálcico</w:t>
            </w:r>
          </w:p>
        </w:tc>
      </w:tr>
      <w:tr w:rsidR="00412AFB" w:rsidRPr="00993936" w:rsidTr="00C8678E">
        <w:trPr>
          <w:cantSplit/>
        </w:trPr>
        <w:tc>
          <w:tcPr>
            <w:tcW w:w="1985" w:type="dxa"/>
            <w:vMerge/>
            <w:tcBorders>
              <w:bottom w:val="single" w:sz="4" w:space="0" w:color="auto"/>
            </w:tcBorders>
            <w:shd w:val="pct20" w:color="auto" w:fill="FFFFFF"/>
            <w:vAlign w:val="center"/>
          </w:tcPr>
          <w:p w:rsidR="00412AFB" w:rsidRPr="00993936" w:rsidRDefault="00412AFB" w:rsidP="00C8678E">
            <w:pPr>
              <w:jc w:val="center"/>
              <w:rPr>
                <w:rFonts w:ascii="Arial" w:hAnsi="Arial" w:cs="Arial"/>
                <w:b/>
                <w:snapToGrid w:val="0"/>
                <w:lang w:val="es-ES"/>
              </w:rPr>
            </w:pPr>
          </w:p>
        </w:tc>
        <w:tc>
          <w:tcPr>
            <w:tcW w:w="1843" w:type="dxa"/>
            <w:vMerge/>
            <w:tcBorders>
              <w:bottom w:val="single" w:sz="4" w:space="0" w:color="auto"/>
            </w:tcBorders>
            <w:shd w:val="pct20" w:color="auto" w:fill="FFFFFF"/>
            <w:vAlign w:val="center"/>
          </w:tcPr>
          <w:p w:rsidR="00412AFB" w:rsidRPr="00993936" w:rsidRDefault="00412AFB" w:rsidP="00C8678E">
            <w:pPr>
              <w:rPr>
                <w:rFonts w:ascii="Arial" w:hAnsi="Arial" w:cs="Arial"/>
                <w:b/>
                <w:snapToGrid w:val="0"/>
                <w:lang w:val="es-ES"/>
              </w:rPr>
            </w:pPr>
          </w:p>
        </w:tc>
        <w:tc>
          <w:tcPr>
            <w:tcW w:w="1748" w:type="dxa"/>
            <w:tcBorders>
              <w:bottom w:val="single" w:sz="4" w:space="0" w:color="auto"/>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0-2</w:t>
            </w:r>
          </w:p>
        </w:tc>
        <w:tc>
          <w:tcPr>
            <w:tcW w:w="1748" w:type="dxa"/>
            <w:tcBorders>
              <w:bottom w:val="single" w:sz="4" w:space="0" w:color="auto"/>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2-20</w:t>
            </w:r>
          </w:p>
        </w:tc>
        <w:tc>
          <w:tcPr>
            <w:tcW w:w="1748" w:type="dxa"/>
            <w:tcBorders>
              <w:bottom w:val="single" w:sz="4" w:space="0" w:color="auto"/>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&gt; 20</w:t>
            </w:r>
          </w:p>
        </w:tc>
      </w:tr>
      <w:tr w:rsidR="00412AFB" w:rsidRPr="00993936" w:rsidTr="00C8678E">
        <w:trPr>
          <w:cantSplit/>
        </w:trPr>
        <w:tc>
          <w:tcPr>
            <w:tcW w:w="1985" w:type="dxa"/>
            <w:vMerge w:val="restart"/>
            <w:tcBorders>
              <w:top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Muy bajo</w:t>
            </w:r>
          </w:p>
        </w:tc>
        <w:tc>
          <w:tcPr>
            <w:tcW w:w="1843" w:type="dxa"/>
            <w:tcBorders>
              <w:top w:val="nil"/>
              <w:bottom w:val="nil"/>
              <w:right w:val="single" w:sz="4" w:space="0" w:color="auto"/>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MB</w:t>
            </w:r>
          </w:p>
        </w:tc>
        <w:tc>
          <w:tcPr>
            <w:tcW w:w="1748" w:type="dxa"/>
            <w:tcBorders>
              <w:top w:val="nil"/>
              <w:left w:val="single" w:sz="4" w:space="0" w:color="auto"/>
              <w:bottom w:val="nil"/>
              <w:right w:val="single" w:sz="4" w:space="0" w:color="auto"/>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left w:val="single" w:sz="4" w:space="0" w:color="auto"/>
              <w:bottom w:val="nil"/>
              <w:right w:val="single" w:sz="4" w:space="0" w:color="auto"/>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+120</w:t>
            </w:r>
          </w:p>
        </w:tc>
        <w:tc>
          <w:tcPr>
            <w:tcW w:w="1748" w:type="dxa"/>
            <w:tcBorders>
              <w:top w:val="nil"/>
              <w:left w:val="single" w:sz="4" w:space="0" w:color="auto"/>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+140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right w:val="single" w:sz="4" w:space="0" w:color="auto"/>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w:t>
            </w:r>
          </w:p>
        </w:tc>
        <w:tc>
          <w:tcPr>
            <w:tcW w:w="1748" w:type="dxa"/>
            <w:tcBorders>
              <w:top w:val="nil"/>
              <w:left w:val="single" w:sz="4" w:space="0" w:color="auto"/>
              <w:bottom w:val="nil"/>
              <w:right w:val="single" w:sz="4" w:space="0" w:color="auto"/>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+80</w:t>
            </w:r>
          </w:p>
        </w:tc>
        <w:tc>
          <w:tcPr>
            <w:tcW w:w="1748" w:type="dxa"/>
            <w:tcBorders>
              <w:top w:val="nil"/>
              <w:left w:val="single" w:sz="4" w:space="0" w:color="auto"/>
              <w:bottom w:val="nil"/>
              <w:right w:val="single" w:sz="4" w:space="0" w:color="auto"/>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left w:val="single" w:sz="4" w:space="0" w:color="auto"/>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+120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single" w:sz="4" w:space="0" w:color="auto"/>
              <w:right w:val="single" w:sz="4" w:space="0" w:color="auto"/>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top w:val="nil"/>
              <w:left w:val="single" w:sz="4" w:space="0" w:color="auto"/>
              <w:bottom w:val="single" w:sz="4" w:space="0" w:color="auto"/>
              <w:right w:val="single" w:sz="4" w:space="0" w:color="auto"/>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+60</w:t>
            </w:r>
          </w:p>
        </w:tc>
        <w:tc>
          <w:tcPr>
            <w:tcW w:w="1748" w:type="dxa"/>
            <w:tcBorders>
              <w:top w:val="nil"/>
              <w:left w:val="single" w:sz="4" w:space="0" w:color="auto"/>
              <w:bottom w:val="single" w:sz="4" w:space="0" w:color="auto"/>
              <w:right w:val="single" w:sz="4" w:space="0" w:color="auto"/>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+80</w:t>
            </w:r>
          </w:p>
        </w:tc>
        <w:tc>
          <w:tcPr>
            <w:tcW w:w="1748" w:type="dxa"/>
            <w:tcBorders>
              <w:top w:val="nil"/>
              <w:left w:val="single" w:sz="4" w:space="0" w:color="auto"/>
              <w:bottom w:val="single" w:sz="4" w:space="0" w:color="auto"/>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+100</w:t>
            </w:r>
          </w:p>
        </w:tc>
      </w:tr>
      <w:tr w:rsidR="00412AFB" w:rsidRPr="00993936" w:rsidTr="00C8678E">
        <w:trPr>
          <w:cantSplit/>
        </w:trPr>
        <w:tc>
          <w:tcPr>
            <w:tcW w:w="1985" w:type="dxa"/>
            <w:vMerge w:val="restart"/>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Bajo</w:t>
            </w: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MB</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+80</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+120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+60</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+80</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+100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+40</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+60</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+80</w:t>
            </w:r>
          </w:p>
        </w:tc>
      </w:tr>
      <w:tr w:rsidR="00412AFB" w:rsidRPr="00993936" w:rsidTr="00C8678E">
        <w:trPr>
          <w:cantSplit/>
        </w:trPr>
        <w:tc>
          <w:tcPr>
            <w:tcW w:w="1985" w:type="dxa"/>
            <w:vMerge w:val="restart"/>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Normal</w:t>
            </w:r>
          </w:p>
        </w:tc>
        <w:tc>
          <w:tcPr>
            <w:tcW w:w="1843" w:type="dxa"/>
            <w:tcBorders>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w:t>
            </w:r>
          </w:p>
        </w:tc>
        <w:tc>
          <w:tcPr>
            <w:tcW w:w="1748" w:type="dxa"/>
            <w:tcBorders>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+20</w:t>
            </w:r>
          </w:p>
        </w:tc>
        <w:tc>
          <w:tcPr>
            <w:tcW w:w="1748" w:type="dxa"/>
            <w:tcBorders>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+30</w:t>
            </w:r>
          </w:p>
        </w:tc>
        <w:tc>
          <w:tcPr>
            <w:tcW w:w="1748" w:type="dxa"/>
            <w:tcBorders>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+40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+10</w:t>
            </w:r>
          </w:p>
        </w:tc>
        <w:tc>
          <w:tcPr>
            <w:tcW w:w="1748" w:type="dxa"/>
            <w:tcBorders>
              <w:top w:val="nil"/>
              <w:bottom w:val="nil"/>
            </w:tcBorders>
            <w:vAlign w:val="center"/>
          </w:tcPr>
          <w:p w:rsidR="00412AFB" w:rsidRPr="00993936" w:rsidRDefault="00412AFB" w:rsidP="00C03DD4">
            <w:pPr>
              <w:jc w:val="center"/>
              <w:rPr>
                <w:rFonts w:ascii="Arial" w:hAnsi="Arial" w:cs="Arial"/>
                <w:snapToGrid w:val="0"/>
                <w:lang w:val="es-ES"/>
              </w:rPr>
            </w:pPr>
            <w:r w:rsidRPr="00993936">
              <w:rPr>
                <w:rFonts w:ascii="Arial" w:hAnsi="Arial" w:cs="Arial"/>
                <w:snapToGrid w:val="0"/>
                <w:lang w:val="es-ES"/>
              </w:rPr>
              <w:t>+20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w:t>
            </w:r>
          </w:p>
        </w:tc>
      </w:tr>
      <w:tr w:rsidR="00412AFB" w:rsidRPr="00993936" w:rsidTr="00C8678E">
        <w:trPr>
          <w:cantSplit/>
        </w:trPr>
        <w:tc>
          <w:tcPr>
            <w:tcW w:w="1985" w:type="dxa"/>
            <w:vMerge w:val="restart"/>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Alto</w:t>
            </w:r>
          </w:p>
        </w:tc>
        <w:tc>
          <w:tcPr>
            <w:tcW w:w="1843" w:type="dxa"/>
            <w:tcBorders>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-60</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-50</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MA</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r>
      <w:tr w:rsidR="00412AFB" w:rsidRPr="00993936" w:rsidTr="00C8678E">
        <w:trPr>
          <w:cantSplit/>
        </w:trPr>
        <w:tc>
          <w:tcPr>
            <w:tcW w:w="1985" w:type="dxa"/>
            <w:vMerge w:val="restart"/>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Muy alto</w:t>
            </w:r>
          </w:p>
        </w:tc>
        <w:tc>
          <w:tcPr>
            <w:tcW w:w="1843" w:type="dxa"/>
            <w:tcBorders>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-80</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-70</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MA</w:t>
            </w:r>
          </w:p>
        </w:tc>
        <w:tc>
          <w:tcPr>
            <w:tcW w:w="1748" w:type="dxa"/>
            <w:tcBorders>
              <w:top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r>
    </w:tbl>
    <w:p w:rsidR="00412AFB" w:rsidRPr="00993936" w:rsidRDefault="00412AFB" w:rsidP="00412AFB">
      <w:pPr>
        <w:rPr>
          <w:rFonts w:ascii="Arial" w:hAnsi="Arial" w:cs="Arial"/>
          <w:snapToGrid w:val="0"/>
          <w:lang w:val="es-ES"/>
        </w:rPr>
      </w:pPr>
      <w:r w:rsidRPr="00993936">
        <w:rPr>
          <w:rFonts w:ascii="Arial" w:hAnsi="Arial" w:cs="Arial"/>
          <w:snapToGrid w:val="0"/>
          <w:lang w:val="es-ES"/>
        </w:rPr>
        <w:t>(+): (%) de reducción de las dosis anuales de abonado</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 xml:space="preserve">(-): (%) de reducción de las dosis anuales de abonado </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Tabla 2.5 Factores de corrección para la fertilización potásica de acuerdo con los análisis del suelo y foliar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843"/>
        <w:gridCol w:w="1748"/>
        <w:gridCol w:w="1748"/>
        <w:gridCol w:w="1748"/>
      </w:tblGrid>
      <w:tr w:rsidR="00412AFB" w:rsidRPr="00993936" w:rsidTr="00C8678E">
        <w:trPr>
          <w:cantSplit/>
        </w:trPr>
        <w:tc>
          <w:tcPr>
            <w:tcW w:w="1985" w:type="dxa"/>
            <w:vMerge w:val="restar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 xml:space="preserve">Nivel de </w:t>
            </w:r>
            <w:r w:rsidRPr="00993936">
              <w:rPr>
                <w:rFonts w:ascii="Arial" w:hAnsi="Arial" w:cs="Arial"/>
                <w:b/>
                <w:snapToGrid w:val="0"/>
                <w:u w:val="single"/>
                <w:lang w:val="es-ES"/>
              </w:rPr>
              <w:t>K</w:t>
            </w:r>
            <w:r w:rsidRPr="00993936">
              <w:rPr>
                <w:rFonts w:ascii="Arial" w:hAnsi="Arial" w:cs="Arial"/>
                <w:b/>
                <w:snapToGrid w:val="0"/>
                <w:lang w:val="es-ES"/>
              </w:rPr>
              <w:t xml:space="preserve"> al suelo</w:t>
            </w:r>
          </w:p>
        </w:tc>
        <w:tc>
          <w:tcPr>
            <w:tcW w:w="1843" w:type="dxa"/>
            <w:vMerge w:val="restar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 xml:space="preserve">nivel de </w:t>
            </w:r>
            <w:r w:rsidRPr="00993936">
              <w:rPr>
                <w:rFonts w:ascii="Arial" w:hAnsi="Arial" w:cs="Arial"/>
                <w:b/>
                <w:snapToGrid w:val="0"/>
                <w:u w:val="single"/>
                <w:lang w:val="es-ES"/>
              </w:rPr>
              <w:t>K</w:t>
            </w:r>
            <w:r w:rsidRPr="00993936">
              <w:rPr>
                <w:rFonts w:ascii="Arial" w:hAnsi="Arial" w:cs="Arial"/>
                <w:b/>
                <w:snapToGrid w:val="0"/>
                <w:lang w:val="es-ES"/>
              </w:rPr>
              <w:t xml:space="preserve"> foliar</w:t>
            </w:r>
          </w:p>
        </w:tc>
        <w:tc>
          <w:tcPr>
            <w:tcW w:w="5244" w:type="dxa"/>
            <w:gridSpan w:val="3"/>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Tipo de suelo</w:t>
            </w:r>
          </w:p>
        </w:tc>
      </w:tr>
      <w:tr w:rsidR="00412AFB" w:rsidRPr="00993936" w:rsidTr="00C8678E">
        <w:trPr>
          <w:cantSplit/>
        </w:trPr>
        <w:tc>
          <w:tcPr>
            <w:tcW w:w="1985" w:type="dxa"/>
            <w:vMerge/>
            <w:tcBorders>
              <w:bottom w:val="single" w:sz="4" w:space="0" w:color="auto"/>
            </w:tcBorders>
            <w:shd w:val="pct20" w:color="auto" w:fill="FFFFFF"/>
            <w:vAlign w:val="center"/>
          </w:tcPr>
          <w:p w:rsidR="00412AFB" w:rsidRPr="00993936" w:rsidRDefault="00412AFB" w:rsidP="00C8678E">
            <w:pPr>
              <w:jc w:val="center"/>
              <w:rPr>
                <w:rFonts w:ascii="Arial" w:hAnsi="Arial" w:cs="Arial"/>
                <w:b/>
                <w:snapToGrid w:val="0"/>
                <w:lang w:val="es-ES"/>
              </w:rPr>
            </w:pPr>
          </w:p>
        </w:tc>
        <w:tc>
          <w:tcPr>
            <w:tcW w:w="1843" w:type="dxa"/>
            <w:vMerge/>
            <w:tcBorders>
              <w:bottom w:val="single" w:sz="4" w:space="0" w:color="auto"/>
            </w:tcBorders>
            <w:shd w:val="pct20" w:color="auto" w:fill="FFFFFF"/>
            <w:vAlign w:val="center"/>
          </w:tcPr>
          <w:p w:rsidR="00412AFB" w:rsidRPr="00993936" w:rsidRDefault="00412AFB" w:rsidP="00C8678E">
            <w:pPr>
              <w:rPr>
                <w:rFonts w:ascii="Arial" w:hAnsi="Arial" w:cs="Arial"/>
                <w:b/>
                <w:snapToGrid w:val="0"/>
                <w:lang w:val="es-ES"/>
              </w:rPr>
            </w:pPr>
          </w:p>
        </w:tc>
        <w:tc>
          <w:tcPr>
            <w:tcW w:w="1748" w:type="dxa"/>
            <w:tcBorders>
              <w:bottom w:val="single" w:sz="4" w:space="0" w:color="auto"/>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ARENOSO</w:t>
            </w:r>
          </w:p>
        </w:tc>
        <w:tc>
          <w:tcPr>
            <w:tcW w:w="1748" w:type="dxa"/>
            <w:tcBorders>
              <w:bottom w:val="single" w:sz="4" w:space="0" w:color="auto"/>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FRANCO</w:t>
            </w:r>
          </w:p>
        </w:tc>
        <w:tc>
          <w:tcPr>
            <w:tcW w:w="1748" w:type="dxa"/>
            <w:tcBorders>
              <w:bottom w:val="single" w:sz="4" w:space="0" w:color="auto"/>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ARCILLOSO</w:t>
            </w:r>
          </w:p>
        </w:tc>
      </w:tr>
      <w:tr w:rsidR="00412AFB" w:rsidRPr="00993936" w:rsidTr="00C8678E">
        <w:trPr>
          <w:cantSplit/>
        </w:trPr>
        <w:tc>
          <w:tcPr>
            <w:tcW w:w="1985" w:type="dxa"/>
            <w:vMerge w:val="restart"/>
            <w:tcBorders>
              <w:top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Muy bajo</w:t>
            </w:r>
          </w:p>
        </w:tc>
        <w:tc>
          <w:tcPr>
            <w:tcW w:w="1843" w:type="dxa"/>
            <w:tcBorders>
              <w:top w:val="nil"/>
              <w:bottom w:val="nil"/>
              <w:right w:val="single" w:sz="4" w:space="0" w:color="auto"/>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MB</w:t>
            </w:r>
          </w:p>
        </w:tc>
        <w:tc>
          <w:tcPr>
            <w:tcW w:w="1748" w:type="dxa"/>
            <w:tcBorders>
              <w:top w:val="nil"/>
              <w:left w:val="single" w:sz="4" w:space="0" w:color="auto"/>
              <w:bottom w:val="nil"/>
              <w:right w:val="single" w:sz="4" w:space="0" w:color="auto"/>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100</w:t>
            </w:r>
          </w:p>
        </w:tc>
        <w:tc>
          <w:tcPr>
            <w:tcW w:w="1748" w:type="dxa"/>
            <w:tcBorders>
              <w:top w:val="nil"/>
              <w:left w:val="single" w:sz="4" w:space="0" w:color="auto"/>
              <w:bottom w:val="nil"/>
              <w:right w:val="single" w:sz="4" w:space="0" w:color="auto"/>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110</w:t>
            </w:r>
          </w:p>
        </w:tc>
        <w:tc>
          <w:tcPr>
            <w:tcW w:w="1748" w:type="dxa"/>
            <w:tcBorders>
              <w:top w:val="nil"/>
              <w:left w:val="single" w:sz="4" w:space="0" w:color="auto"/>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120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right w:val="single" w:sz="4" w:space="0" w:color="auto"/>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w:t>
            </w:r>
          </w:p>
        </w:tc>
        <w:tc>
          <w:tcPr>
            <w:tcW w:w="1748" w:type="dxa"/>
            <w:tcBorders>
              <w:top w:val="nil"/>
              <w:left w:val="single" w:sz="4" w:space="0" w:color="auto"/>
              <w:bottom w:val="nil"/>
              <w:right w:val="single" w:sz="4" w:space="0" w:color="auto"/>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80</w:t>
            </w:r>
          </w:p>
        </w:tc>
        <w:tc>
          <w:tcPr>
            <w:tcW w:w="1748" w:type="dxa"/>
            <w:tcBorders>
              <w:top w:val="nil"/>
              <w:left w:val="single" w:sz="4" w:space="0" w:color="auto"/>
              <w:bottom w:val="nil"/>
              <w:right w:val="single" w:sz="4" w:space="0" w:color="auto"/>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90</w:t>
            </w:r>
          </w:p>
        </w:tc>
        <w:tc>
          <w:tcPr>
            <w:tcW w:w="1748" w:type="dxa"/>
            <w:tcBorders>
              <w:top w:val="nil"/>
              <w:left w:val="single" w:sz="4" w:space="0" w:color="auto"/>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100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single" w:sz="4" w:space="0" w:color="auto"/>
              <w:right w:val="single" w:sz="4" w:space="0" w:color="auto"/>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top w:val="nil"/>
              <w:left w:val="single" w:sz="4" w:space="0" w:color="auto"/>
              <w:bottom w:val="single" w:sz="4" w:space="0" w:color="auto"/>
              <w:right w:val="single" w:sz="4" w:space="0" w:color="auto"/>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60</w:t>
            </w:r>
          </w:p>
        </w:tc>
        <w:tc>
          <w:tcPr>
            <w:tcW w:w="1748" w:type="dxa"/>
            <w:tcBorders>
              <w:top w:val="nil"/>
              <w:left w:val="single" w:sz="4" w:space="0" w:color="auto"/>
              <w:bottom w:val="single" w:sz="4" w:space="0" w:color="auto"/>
              <w:right w:val="single" w:sz="4" w:space="0" w:color="auto"/>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70</w:t>
            </w:r>
          </w:p>
        </w:tc>
        <w:tc>
          <w:tcPr>
            <w:tcW w:w="1748" w:type="dxa"/>
            <w:tcBorders>
              <w:top w:val="nil"/>
              <w:left w:val="single" w:sz="4" w:space="0" w:color="auto"/>
              <w:bottom w:val="single" w:sz="4" w:space="0" w:color="auto"/>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80</w:t>
            </w:r>
          </w:p>
        </w:tc>
      </w:tr>
      <w:tr w:rsidR="00412AFB" w:rsidRPr="00993936" w:rsidTr="00C8678E">
        <w:trPr>
          <w:cantSplit/>
        </w:trPr>
        <w:tc>
          <w:tcPr>
            <w:tcW w:w="1985" w:type="dxa"/>
            <w:vMerge w:val="restart"/>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Bajo</w:t>
            </w: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MB</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50</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60</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70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40</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50</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60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30</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40</w:t>
            </w:r>
          </w:p>
        </w:tc>
        <w:tc>
          <w:tcPr>
            <w:tcW w:w="1748" w:type="dxa"/>
            <w:tcBorders>
              <w:top w:val="nil"/>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50</w:t>
            </w:r>
          </w:p>
        </w:tc>
      </w:tr>
      <w:tr w:rsidR="00412AFB" w:rsidRPr="00993936" w:rsidTr="00C8678E">
        <w:trPr>
          <w:cantSplit/>
        </w:trPr>
        <w:tc>
          <w:tcPr>
            <w:tcW w:w="1985" w:type="dxa"/>
            <w:vMerge w:val="restart"/>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Normal</w:t>
            </w:r>
          </w:p>
        </w:tc>
        <w:tc>
          <w:tcPr>
            <w:tcW w:w="1843" w:type="dxa"/>
            <w:tcBorders>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B</w:t>
            </w:r>
          </w:p>
        </w:tc>
        <w:tc>
          <w:tcPr>
            <w:tcW w:w="1748" w:type="dxa"/>
            <w:tcBorders>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20</w:t>
            </w:r>
          </w:p>
        </w:tc>
        <w:tc>
          <w:tcPr>
            <w:tcW w:w="1748" w:type="dxa"/>
            <w:tcBorders>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30</w:t>
            </w:r>
          </w:p>
        </w:tc>
        <w:tc>
          <w:tcPr>
            <w:tcW w:w="1748" w:type="dxa"/>
            <w:tcBorders>
              <w:bottom w:val="nil"/>
            </w:tcBorders>
            <w:vAlign w:val="center"/>
          </w:tcPr>
          <w:p w:rsidR="00412AFB" w:rsidRPr="00993936" w:rsidRDefault="00C03DD4" w:rsidP="00C8678E">
            <w:pPr>
              <w:jc w:val="center"/>
              <w:rPr>
                <w:rFonts w:ascii="Arial" w:hAnsi="Arial" w:cs="Arial"/>
                <w:snapToGrid w:val="0"/>
                <w:lang w:val="es-ES"/>
              </w:rPr>
            </w:pPr>
            <w:r w:rsidRPr="00993936">
              <w:rPr>
                <w:rFonts w:ascii="Arial" w:hAnsi="Arial" w:cs="Arial"/>
                <w:snapToGrid w:val="0"/>
                <w:lang w:val="es-ES"/>
              </w:rPr>
              <w:t>+</w:t>
            </w:r>
            <w:r w:rsidR="00412AFB" w:rsidRPr="00993936">
              <w:rPr>
                <w:rFonts w:ascii="Arial" w:hAnsi="Arial" w:cs="Arial"/>
                <w:snapToGrid w:val="0"/>
                <w:lang w:val="es-ES"/>
              </w:rPr>
              <w:t>40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r>
      <w:tr w:rsidR="00412AFB" w:rsidRPr="00993936" w:rsidTr="00C8678E">
        <w:trPr>
          <w:cantSplit/>
        </w:trPr>
        <w:tc>
          <w:tcPr>
            <w:tcW w:w="1985" w:type="dxa"/>
            <w:vMerge w:val="restart"/>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Alto</w:t>
            </w:r>
          </w:p>
        </w:tc>
        <w:tc>
          <w:tcPr>
            <w:tcW w:w="1843" w:type="dxa"/>
            <w:tcBorders>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-90</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MA</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r>
      <w:tr w:rsidR="00412AFB" w:rsidRPr="00993936" w:rsidTr="00C8678E">
        <w:trPr>
          <w:cantSplit/>
        </w:trPr>
        <w:tc>
          <w:tcPr>
            <w:tcW w:w="1985" w:type="dxa"/>
            <w:vMerge w:val="restart"/>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Muy alto</w:t>
            </w:r>
          </w:p>
        </w:tc>
        <w:tc>
          <w:tcPr>
            <w:tcW w:w="1843" w:type="dxa"/>
            <w:tcBorders>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bottom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r>
      <w:tr w:rsidR="00412AFB" w:rsidRPr="00993936" w:rsidTr="00C8678E">
        <w:trPr>
          <w:cantSplit/>
        </w:trPr>
        <w:tc>
          <w:tcPr>
            <w:tcW w:w="1985" w:type="dxa"/>
            <w:vMerge/>
            <w:vAlign w:val="center"/>
          </w:tcPr>
          <w:p w:rsidR="00412AFB" w:rsidRPr="00993936" w:rsidRDefault="00412AFB" w:rsidP="00C8678E">
            <w:pPr>
              <w:jc w:val="center"/>
              <w:rPr>
                <w:rFonts w:ascii="Arial" w:hAnsi="Arial" w:cs="Arial"/>
                <w:b/>
                <w:snapToGrid w:val="0"/>
                <w:lang w:val="es-ES"/>
              </w:rPr>
            </w:pPr>
          </w:p>
        </w:tc>
        <w:tc>
          <w:tcPr>
            <w:tcW w:w="1843" w:type="dxa"/>
            <w:tcBorders>
              <w:top w:val="nil"/>
            </w:tcBorders>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MA</w:t>
            </w:r>
          </w:p>
        </w:tc>
        <w:tc>
          <w:tcPr>
            <w:tcW w:w="1748" w:type="dxa"/>
            <w:tcBorders>
              <w:top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748" w:type="dxa"/>
            <w:tcBorders>
              <w:top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r>
    </w:tbl>
    <w:p w:rsidR="00412AFB" w:rsidRPr="00993936" w:rsidRDefault="00412AFB" w:rsidP="00412AFB">
      <w:pPr>
        <w:rPr>
          <w:rFonts w:ascii="Arial" w:hAnsi="Arial" w:cs="Arial"/>
          <w:snapToGrid w:val="0"/>
          <w:lang w:val="es-ES"/>
        </w:rPr>
      </w:pPr>
      <w:r w:rsidRPr="00993936">
        <w:rPr>
          <w:rFonts w:ascii="Arial" w:hAnsi="Arial" w:cs="Arial"/>
          <w:snapToGrid w:val="0"/>
          <w:lang w:val="es-ES"/>
        </w:rPr>
        <w:t>(+): (%) de reducción de las dosis anuales de abonado</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 xml:space="preserve">(-): (%) de reducción de las dosis anuales de abonado </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Tabla 2.6 Aportaciones anuales de fertilización recomendadas según la edad de la plantación, a razón de 400 árboles/ha </w:t>
      </w:r>
    </w:p>
    <w:p w:rsidR="00412AFB" w:rsidRPr="00993936" w:rsidRDefault="00412AFB" w:rsidP="00412AFB">
      <w:pPr>
        <w:rPr>
          <w:rFonts w:ascii="Arial" w:hAnsi="Arial" w:cs="Arial"/>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61"/>
        <w:gridCol w:w="1201"/>
        <w:gridCol w:w="1191"/>
        <w:gridCol w:w="1213"/>
        <w:gridCol w:w="1202"/>
        <w:gridCol w:w="1202"/>
        <w:gridCol w:w="1207"/>
      </w:tblGrid>
      <w:tr w:rsidR="00412AFB" w:rsidRPr="00993936" w:rsidTr="00C8678E">
        <w:trPr>
          <w:cantSplit/>
        </w:trPr>
        <w:tc>
          <w:tcPr>
            <w:tcW w:w="1861" w:type="dxa"/>
            <w:shd w:val="pct20" w:color="auto" w:fill="FFFFFF"/>
            <w:vAlign w:val="center"/>
          </w:tcPr>
          <w:p w:rsidR="00412AFB" w:rsidRPr="00993936" w:rsidRDefault="00412AFB" w:rsidP="00C8678E">
            <w:pPr>
              <w:rPr>
                <w:rFonts w:ascii="Arial" w:hAnsi="Arial" w:cs="Arial"/>
                <w:b/>
                <w:snapToGrid w:val="0"/>
                <w:lang w:val="es-ES"/>
              </w:rPr>
            </w:pPr>
            <w:r w:rsidRPr="00993936">
              <w:rPr>
                <w:rFonts w:ascii="Arial" w:hAnsi="Arial" w:cs="Arial"/>
                <w:b/>
                <w:snapToGrid w:val="0"/>
                <w:lang w:val="es-ES"/>
              </w:rPr>
              <w:t>Edad de la plantación</w:t>
            </w:r>
          </w:p>
        </w:tc>
        <w:tc>
          <w:tcPr>
            <w:tcW w:w="2392" w:type="dxa"/>
            <w:gridSpan w:val="2"/>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Nitrógeno (N)</w:t>
            </w:r>
          </w:p>
        </w:tc>
        <w:tc>
          <w:tcPr>
            <w:tcW w:w="2415" w:type="dxa"/>
            <w:gridSpan w:val="2"/>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Fósforo (P</w:t>
            </w:r>
            <w:r w:rsidRPr="00993936">
              <w:rPr>
                <w:rFonts w:ascii="Arial" w:hAnsi="Arial" w:cs="Arial"/>
                <w:b/>
                <w:snapToGrid w:val="0"/>
                <w:vertAlign w:val="subscript"/>
                <w:lang w:val="es-ES"/>
              </w:rPr>
              <w:t>2</w:t>
            </w:r>
            <w:r w:rsidRPr="00993936">
              <w:rPr>
                <w:rFonts w:ascii="Arial" w:hAnsi="Arial" w:cs="Arial"/>
                <w:b/>
                <w:snapToGrid w:val="0"/>
                <w:lang w:val="es-ES"/>
              </w:rPr>
              <w:t>O</w:t>
            </w:r>
            <w:r w:rsidRPr="00993936">
              <w:rPr>
                <w:rFonts w:ascii="Arial" w:hAnsi="Arial" w:cs="Arial"/>
                <w:b/>
                <w:snapToGrid w:val="0"/>
                <w:vertAlign w:val="subscript"/>
                <w:lang w:val="es-ES"/>
              </w:rPr>
              <w:t>5</w:t>
            </w:r>
            <w:r w:rsidRPr="00993936">
              <w:rPr>
                <w:rFonts w:ascii="Arial" w:hAnsi="Arial" w:cs="Arial"/>
                <w:b/>
                <w:snapToGrid w:val="0"/>
                <w:lang w:val="es-ES"/>
              </w:rPr>
              <w:t>)</w:t>
            </w:r>
          </w:p>
        </w:tc>
        <w:tc>
          <w:tcPr>
            <w:tcW w:w="2409" w:type="dxa"/>
            <w:gridSpan w:val="2"/>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Potasio (K</w:t>
            </w:r>
            <w:r w:rsidRPr="00993936">
              <w:rPr>
                <w:rFonts w:ascii="Arial" w:hAnsi="Arial" w:cs="Arial"/>
                <w:b/>
                <w:snapToGrid w:val="0"/>
                <w:vertAlign w:val="subscript"/>
                <w:lang w:val="es-ES"/>
              </w:rPr>
              <w:t>2</w:t>
            </w:r>
            <w:r w:rsidRPr="00993936">
              <w:rPr>
                <w:rFonts w:ascii="Arial" w:hAnsi="Arial" w:cs="Arial"/>
                <w:b/>
                <w:snapToGrid w:val="0"/>
                <w:lang w:val="es-ES"/>
              </w:rPr>
              <w:t>O)</w:t>
            </w:r>
          </w:p>
        </w:tc>
      </w:tr>
      <w:tr w:rsidR="00412AFB" w:rsidRPr="00993936" w:rsidTr="00C8678E">
        <w:tc>
          <w:tcPr>
            <w:tcW w:w="186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Años</w:t>
            </w:r>
          </w:p>
        </w:tc>
        <w:tc>
          <w:tcPr>
            <w:tcW w:w="120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g/árbol</w:t>
            </w:r>
          </w:p>
        </w:tc>
        <w:tc>
          <w:tcPr>
            <w:tcW w:w="119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kg/ha</w:t>
            </w:r>
          </w:p>
        </w:tc>
        <w:tc>
          <w:tcPr>
            <w:tcW w:w="1213"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g/árbol</w:t>
            </w:r>
          </w:p>
        </w:tc>
        <w:tc>
          <w:tcPr>
            <w:tcW w:w="1202"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kg/ha</w:t>
            </w:r>
          </w:p>
        </w:tc>
        <w:tc>
          <w:tcPr>
            <w:tcW w:w="1202"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g/árbol</w:t>
            </w:r>
          </w:p>
        </w:tc>
        <w:tc>
          <w:tcPr>
            <w:tcW w:w="1207"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kg/ha</w:t>
            </w:r>
          </w:p>
        </w:tc>
      </w:tr>
      <w:tr w:rsidR="00412AFB" w:rsidRPr="00993936" w:rsidTr="00C8678E">
        <w:trPr>
          <w:cantSplit/>
        </w:trPr>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c>
          <w:tcPr>
            <w:tcW w:w="120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40</w:t>
            </w:r>
          </w:p>
        </w:tc>
        <w:tc>
          <w:tcPr>
            <w:tcW w:w="1191"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16-32</w:t>
            </w: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1202"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0-8</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1207"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0-12</w:t>
            </w:r>
          </w:p>
        </w:tc>
      </w:tr>
      <w:tr w:rsidR="00412AFB" w:rsidRPr="00993936" w:rsidTr="00C8678E">
        <w:trPr>
          <w:cantSplit/>
        </w:trPr>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w:t>
            </w:r>
          </w:p>
        </w:tc>
        <w:tc>
          <w:tcPr>
            <w:tcW w:w="120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80</w:t>
            </w:r>
          </w:p>
        </w:tc>
        <w:tc>
          <w:tcPr>
            <w:tcW w:w="1191" w:type="dxa"/>
            <w:vMerge/>
            <w:vAlign w:val="center"/>
          </w:tcPr>
          <w:p w:rsidR="00412AFB" w:rsidRPr="00993936" w:rsidRDefault="00412AFB" w:rsidP="00C8678E">
            <w:pPr>
              <w:jc w:val="center"/>
              <w:rPr>
                <w:rFonts w:ascii="Arial" w:hAnsi="Arial" w:cs="Arial"/>
                <w:snapToGrid w:val="0"/>
                <w:lang w:val="es-ES"/>
              </w:rPr>
            </w:pP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1202" w:type="dxa"/>
            <w:vMerge/>
            <w:vAlign w:val="center"/>
          </w:tcPr>
          <w:p w:rsidR="00412AFB" w:rsidRPr="00993936" w:rsidRDefault="00412AFB" w:rsidP="00C8678E">
            <w:pPr>
              <w:jc w:val="center"/>
              <w:rPr>
                <w:rFonts w:ascii="Arial" w:hAnsi="Arial" w:cs="Arial"/>
                <w:snapToGrid w:val="0"/>
                <w:lang w:val="es-ES"/>
              </w:rPr>
            </w:pP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1207" w:type="dxa"/>
            <w:vMerge/>
            <w:vAlign w:val="center"/>
          </w:tcPr>
          <w:p w:rsidR="00412AFB" w:rsidRPr="00993936" w:rsidRDefault="00412AFB" w:rsidP="00C8678E">
            <w:pPr>
              <w:jc w:val="center"/>
              <w:rPr>
                <w:rFonts w:ascii="Arial" w:hAnsi="Arial" w:cs="Arial"/>
                <w:snapToGrid w:val="0"/>
                <w:lang w:val="es-ES"/>
              </w:rPr>
            </w:pPr>
          </w:p>
        </w:tc>
      </w:tr>
      <w:tr w:rsidR="00412AFB" w:rsidRPr="00993936" w:rsidTr="00C8678E">
        <w:trPr>
          <w:cantSplit/>
        </w:trPr>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w:t>
            </w:r>
          </w:p>
        </w:tc>
        <w:tc>
          <w:tcPr>
            <w:tcW w:w="120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120</w:t>
            </w:r>
          </w:p>
        </w:tc>
        <w:tc>
          <w:tcPr>
            <w:tcW w:w="1191"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48-64</w:t>
            </w: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1202"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12-16</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40</w:t>
            </w:r>
          </w:p>
        </w:tc>
        <w:tc>
          <w:tcPr>
            <w:tcW w:w="1207"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16-32</w:t>
            </w:r>
          </w:p>
        </w:tc>
      </w:tr>
      <w:tr w:rsidR="00412AFB" w:rsidRPr="00993936" w:rsidTr="00C8678E">
        <w:trPr>
          <w:cantSplit/>
        </w:trPr>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w:t>
            </w:r>
          </w:p>
        </w:tc>
        <w:tc>
          <w:tcPr>
            <w:tcW w:w="120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160</w:t>
            </w:r>
          </w:p>
        </w:tc>
        <w:tc>
          <w:tcPr>
            <w:tcW w:w="1191" w:type="dxa"/>
            <w:vMerge/>
            <w:vAlign w:val="center"/>
          </w:tcPr>
          <w:p w:rsidR="00412AFB" w:rsidRPr="00993936" w:rsidRDefault="00412AFB" w:rsidP="00C8678E">
            <w:pPr>
              <w:jc w:val="center"/>
              <w:rPr>
                <w:rFonts w:ascii="Arial" w:hAnsi="Arial" w:cs="Arial"/>
                <w:snapToGrid w:val="0"/>
                <w:lang w:val="es-ES"/>
              </w:rPr>
            </w:pP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40</w:t>
            </w:r>
          </w:p>
        </w:tc>
        <w:tc>
          <w:tcPr>
            <w:tcW w:w="1202" w:type="dxa"/>
            <w:vMerge/>
            <w:vAlign w:val="center"/>
          </w:tcPr>
          <w:p w:rsidR="00412AFB" w:rsidRPr="00993936" w:rsidRDefault="00412AFB" w:rsidP="00C8678E">
            <w:pPr>
              <w:jc w:val="center"/>
              <w:rPr>
                <w:rFonts w:ascii="Arial" w:hAnsi="Arial" w:cs="Arial"/>
                <w:snapToGrid w:val="0"/>
                <w:lang w:val="es-ES"/>
              </w:rPr>
            </w:pP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80</w:t>
            </w:r>
          </w:p>
        </w:tc>
        <w:tc>
          <w:tcPr>
            <w:tcW w:w="1207" w:type="dxa"/>
            <w:vMerge/>
            <w:vAlign w:val="center"/>
          </w:tcPr>
          <w:p w:rsidR="00412AFB" w:rsidRPr="00993936" w:rsidRDefault="00412AFB" w:rsidP="00C8678E">
            <w:pPr>
              <w:jc w:val="center"/>
              <w:rPr>
                <w:rFonts w:ascii="Arial" w:hAnsi="Arial" w:cs="Arial"/>
                <w:snapToGrid w:val="0"/>
                <w:lang w:val="es-ES"/>
              </w:rPr>
            </w:pPr>
          </w:p>
        </w:tc>
      </w:tr>
      <w:tr w:rsidR="00412AFB" w:rsidRPr="00993936" w:rsidTr="00C8678E">
        <w:trPr>
          <w:cantSplit/>
        </w:trPr>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120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240</w:t>
            </w:r>
          </w:p>
        </w:tc>
        <w:tc>
          <w:tcPr>
            <w:tcW w:w="1191"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96-128</w:t>
            </w: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50</w:t>
            </w:r>
          </w:p>
        </w:tc>
        <w:tc>
          <w:tcPr>
            <w:tcW w:w="1202"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20-24</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w:t>
            </w:r>
          </w:p>
        </w:tc>
        <w:tc>
          <w:tcPr>
            <w:tcW w:w="1207"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40-48</w:t>
            </w:r>
          </w:p>
        </w:tc>
      </w:tr>
      <w:tr w:rsidR="00412AFB" w:rsidRPr="00993936" w:rsidTr="00C8678E">
        <w:trPr>
          <w:cantSplit/>
        </w:trPr>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w:t>
            </w:r>
          </w:p>
        </w:tc>
        <w:tc>
          <w:tcPr>
            <w:tcW w:w="120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320</w:t>
            </w:r>
          </w:p>
        </w:tc>
        <w:tc>
          <w:tcPr>
            <w:tcW w:w="1191" w:type="dxa"/>
            <w:vMerge/>
            <w:vAlign w:val="center"/>
          </w:tcPr>
          <w:p w:rsidR="00412AFB" w:rsidRPr="00993936" w:rsidRDefault="00412AFB" w:rsidP="00C8678E">
            <w:pPr>
              <w:jc w:val="center"/>
              <w:rPr>
                <w:rFonts w:ascii="Arial" w:hAnsi="Arial" w:cs="Arial"/>
                <w:snapToGrid w:val="0"/>
                <w:lang w:val="es-ES"/>
              </w:rPr>
            </w:pP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60</w:t>
            </w:r>
          </w:p>
        </w:tc>
        <w:tc>
          <w:tcPr>
            <w:tcW w:w="1202" w:type="dxa"/>
            <w:vMerge/>
            <w:vAlign w:val="center"/>
          </w:tcPr>
          <w:p w:rsidR="00412AFB" w:rsidRPr="00993936" w:rsidRDefault="00412AFB" w:rsidP="00C8678E">
            <w:pPr>
              <w:jc w:val="center"/>
              <w:rPr>
                <w:rFonts w:ascii="Arial" w:hAnsi="Arial" w:cs="Arial"/>
                <w:snapToGrid w:val="0"/>
                <w:lang w:val="es-ES"/>
              </w:rPr>
            </w:pP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120</w:t>
            </w:r>
          </w:p>
        </w:tc>
        <w:tc>
          <w:tcPr>
            <w:tcW w:w="1207" w:type="dxa"/>
            <w:vMerge/>
            <w:vAlign w:val="center"/>
          </w:tcPr>
          <w:p w:rsidR="00412AFB" w:rsidRPr="00993936" w:rsidRDefault="00412AFB" w:rsidP="00C8678E">
            <w:pPr>
              <w:jc w:val="center"/>
              <w:rPr>
                <w:rFonts w:ascii="Arial" w:hAnsi="Arial" w:cs="Arial"/>
                <w:snapToGrid w:val="0"/>
                <w:lang w:val="es-ES"/>
              </w:rPr>
            </w:pPr>
          </w:p>
        </w:tc>
      </w:tr>
      <w:tr w:rsidR="00412AFB" w:rsidRPr="00993936" w:rsidTr="00C8678E">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7-8</w:t>
            </w:r>
          </w:p>
        </w:tc>
        <w:tc>
          <w:tcPr>
            <w:tcW w:w="1201"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410-525</w:t>
            </w:r>
          </w:p>
        </w:tc>
        <w:tc>
          <w:tcPr>
            <w:tcW w:w="1191"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164-210</w:t>
            </w: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80-100</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32-40</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160-200</w:t>
            </w:r>
          </w:p>
        </w:tc>
        <w:tc>
          <w:tcPr>
            <w:tcW w:w="1207"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64-80</w:t>
            </w:r>
          </w:p>
        </w:tc>
      </w:tr>
      <w:tr w:rsidR="00412AFB" w:rsidRPr="00993936" w:rsidTr="00C8678E">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9-10</w:t>
            </w:r>
          </w:p>
        </w:tc>
        <w:tc>
          <w:tcPr>
            <w:tcW w:w="1201" w:type="dxa"/>
            <w:vMerge/>
            <w:vAlign w:val="center"/>
          </w:tcPr>
          <w:p w:rsidR="00412AFB" w:rsidRPr="00993936" w:rsidRDefault="00412AFB" w:rsidP="00C8678E">
            <w:pPr>
              <w:jc w:val="center"/>
              <w:rPr>
                <w:rFonts w:ascii="Arial" w:hAnsi="Arial" w:cs="Arial"/>
                <w:snapToGrid w:val="0"/>
                <w:lang w:val="es-ES"/>
              </w:rPr>
            </w:pPr>
          </w:p>
        </w:tc>
        <w:tc>
          <w:tcPr>
            <w:tcW w:w="1191" w:type="dxa"/>
            <w:vMerge/>
            <w:vAlign w:val="center"/>
          </w:tcPr>
          <w:p w:rsidR="00412AFB" w:rsidRPr="00993936" w:rsidRDefault="00412AFB" w:rsidP="00C8678E">
            <w:pPr>
              <w:jc w:val="center"/>
              <w:rPr>
                <w:rFonts w:ascii="Arial" w:hAnsi="Arial" w:cs="Arial"/>
                <w:snapToGrid w:val="0"/>
                <w:lang w:val="es-ES"/>
              </w:rPr>
            </w:pP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120-150</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48-60</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250-300</w:t>
            </w:r>
          </w:p>
        </w:tc>
        <w:tc>
          <w:tcPr>
            <w:tcW w:w="1207"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100-120</w:t>
            </w:r>
          </w:p>
        </w:tc>
      </w:tr>
      <w:tr w:rsidR="00412AFB" w:rsidRPr="00993936" w:rsidTr="00C8678E">
        <w:tc>
          <w:tcPr>
            <w:tcW w:w="186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&gt; 10</w:t>
            </w:r>
          </w:p>
        </w:tc>
        <w:tc>
          <w:tcPr>
            <w:tcW w:w="1201" w:type="dxa"/>
            <w:vMerge/>
            <w:vAlign w:val="center"/>
          </w:tcPr>
          <w:p w:rsidR="00412AFB" w:rsidRPr="00993936" w:rsidRDefault="00412AFB" w:rsidP="00C8678E">
            <w:pPr>
              <w:jc w:val="center"/>
              <w:rPr>
                <w:rFonts w:ascii="Arial" w:hAnsi="Arial" w:cs="Arial"/>
                <w:snapToGrid w:val="0"/>
                <w:lang w:val="es-ES"/>
              </w:rPr>
            </w:pPr>
          </w:p>
        </w:tc>
        <w:tc>
          <w:tcPr>
            <w:tcW w:w="1191" w:type="dxa"/>
            <w:vMerge/>
            <w:vAlign w:val="center"/>
          </w:tcPr>
          <w:p w:rsidR="00412AFB" w:rsidRPr="00993936" w:rsidRDefault="00412AFB" w:rsidP="00C8678E">
            <w:pPr>
              <w:jc w:val="center"/>
              <w:rPr>
                <w:rFonts w:ascii="Arial" w:hAnsi="Arial" w:cs="Arial"/>
                <w:snapToGrid w:val="0"/>
                <w:lang w:val="es-ES"/>
              </w:rPr>
            </w:pPr>
          </w:p>
        </w:tc>
        <w:tc>
          <w:tcPr>
            <w:tcW w:w="121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150-200</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60-80</w:t>
            </w:r>
          </w:p>
        </w:tc>
        <w:tc>
          <w:tcPr>
            <w:tcW w:w="1202"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300-400</w:t>
            </w:r>
          </w:p>
        </w:tc>
        <w:tc>
          <w:tcPr>
            <w:tcW w:w="1207"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120-160</w:t>
            </w:r>
          </w:p>
        </w:tc>
      </w:tr>
    </w:tbl>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Tabla 2.7 Distribución de los elementos (%) de febrero a septiembre para variedades tempranas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685"/>
        <w:gridCol w:w="685"/>
        <w:gridCol w:w="685"/>
        <w:gridCol w:w="685"/>
        <w:gridCol w:w="685"/>
        <w:gridCol w:w="685"/>
        <w:gridCol w:w="685"/>
        <w:gridCol w:w="685"/>
        <w:gridCol w:w="685"/>
        <w:gridCol w:w="685"/>
        <w:gridCol w:w="685"/>
        <w:gridCol w:w="686"/>
      </w:tblGrid>
      <w:tr w:rsidR="00412AFB" w:rsidRPr="00993936" w:rsidTr="00C8678E">
        <w:trPr>
          <w:trHeight w:val="300"/>
        </w:trPr>
        <w:tc>
          <w:tcPr>
            <w:tcW w:w="85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Elemento</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J</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X</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S</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O</w:t>
            </w:r>
          </w:p>
        </w:tc>
        <w:tc>
          <w:tcPr>
            <w:tcW w:w="68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686"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D</w:t>
            </w:r>
          </w:p>
        </w:tc>
      </w:tr>
      <w:tr w:rsidR="00412AFB" w:rsidRPr="00993936" w:rsidTr="00C8678E">
        <w:trPr>
          <w:trHeight w:val="300"/>
        </w:trPr>
        <w:tc>
          <w:tcPr>
            <w:tcW w:w="85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5</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w:t>
            </w:r>
          </w:p>
        </w:tc>
        <w:tc>
          <w:tcPr>
            <w:tcW w:w="685"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10</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5"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18</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5"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15</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5" w:type="dxa"/>
            <w:vAlign w:val="center"/>
          </w:tcPr>
          <w:p w:rsidR="00412AFB" w:rsidRPr="00993936" w:rsidRDefault="00412AFB" w:rsidP="00C8678E">
            <w:pPr>
              <w:jc w:val="center"/>
              <w:rPr>
                <w:rFonts w:ascii="Arial" w:hAnsi="Arial" w:cs="Arial"/>
                <w:lang w:val="es-ES"/>
              </w:rPr>
            </w:pPr>
          </w:p>
        </w:tc>
        <w:tc>
          <w:tcPr>
            <w:tcW w:w="685" w:type="dxa"/>
            <w:vAlign w:val="center"/>
          </w:tcPr>
          <w:p w:rsidR="00412AFB" w:rsidRPr="00993936" w:rsidRDefault="00412AFB" w:rsidP="00C8678E">
            <w:pPr>
              <w:jc w:val="center"/>
              <w:rPr>
                <w:rFonts w:ascii="Arial" w:hAnsi="Arial" w:cs="Arial"/>
                <w:b/>
                <w:snapToGrid w:val="0"/>
                <w:lang w:val="es-ES"/>
              </w:rPr>
            </w:pPr>
          </w:p>
        </w:tc>
        <w:tc>
          <w:tcPr>
            <w:tcW w:w="686" w:type="dxa"/>
            <w:vAlign w:val="center"/>
          </w:tcPr>
          <w:p w:rsidR="00412AFB" w:rsidRPr="00993936" w:rsidRDefault="00412AFB" w:rsidP="00C8678E">
            <w:pPr>
              <w:jc w:val="center"/>
              <w:rPr>
                <w:rFonts w:ascii="Arial" w:hAnsi="Arial" w:cs="Arial"/>
                <w:lang w:val="es-ES"/>
              </w:rPr>
            </w:pPr>
          </w:p>
        </w:tc>
      </w:tr>
      <w:tr w:rsidR="00412AFB" w:rsidRPr="00993936" w:rsidTr="00C8678E">
        <w:trPr>
          <w:trHeight w:val="300"/>
        </w:trPr>
        <w:tc>
          <w:tcPr>
            <w:tcW w:w="85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P</w:t>
            </w:r>
            <w:r w:rsidRPr="00993936">
              <w:rPr>
                <w:rFonts w:ascii="Arial" w:hAnsi="Arial" w:cs="Arial"/>
                <w:b/>
                <w:snapToGrid w:val="0"/>
                <w:vertAlign w:val="subscript"/>
                <w:lang w:val="es-ES"/>
              </w:rPr>
              <w:t>2</w:t>
            </w:r>
            <w:r w:rsidRPr="00993936">
              <w:rPr>
                <w:rFonts w:ascii="Arial" w:hAnsi="Arial" w:cs="Arial"/>
                <w:b/>
                <w:snapToGrid w:val="0"/>
                <w:lang w:val="es-ES"/>
              </w:rPr>
              <w:t>O</w:t>
            </w:r>
            <w:r w:rsidRPr="00993936">
              <w:rPr>
                <w:rFonts w:ascii="Arial" w:hAnsi="Arial" w:cs="Arial"/>
                <w:b/>
                <w:snapToGrid w:val="0"/>
                <w:vertAlign w:val="subscript"/>
                <w:lang w:val="es-ES"/>
              </w:rPr>
              <w:t>5</w:t>
            </w: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r w:rsidR="00E03B3B" w:rsidRPr="00993936">
              <w:rPr>
                <w:rFonts w:ascii="Arial" w:hAnsi="Arial" w:cs="Arial"/>
                <w:snapToGrid w:val="0"/>
                <w:lang w:val="es-ES"/>
              </w:rPr>
              <w:t xml:space="preserve"> </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5" w:type="dxa"/>
            <w:vAlign w:val="center"/>
          </w:tcPr>
          <w:p w:rsidR="00412AFB" w:rsidRPr="00993936" w:rsidRDefault="00412AFB" w:rsidP="00C8678E">
            <w:pPr>
              <w:jc w:val="center"/>
              <w:rPr>
                <w:rFonts w:ascii="Arial" w:hAnsi="Arial" w:cs="Arial"/>
                <w:snapToGrid w:val="0"/>
                <w:lang w:val="es-ES"/>
              </w:rPr>
            </w:pPr>
          </w:p>
        </w:tc>
        <w:tc>
          <w:tcPr>
            <w:tcW w:w="685" w:type="dxa"/>
            <w:vAlign w:val="center"/>
          </w:tcPr>
          <w:p w:rsidR="00412AFB" w:rsidRPr="00993936" w:rsidRDefault="00412AFB" w:rsidP="00C8678E">
            <w:pPr>
              <w:jc w:val="center"/>
              <w:rPr>
                <w:rFonts w:ascii="Arial" w:hAnsi="Arial" w:cs="Arial"/>
                <w:b/>
                <w:snapToGrid w:val="0"/>
                <w:lang w:val="es-ES"/>
              </w:rPr>
            </w:pPr>
          </w:p>
        </w:tc>
        <w:tc>
          <w:tcPr>
            <w:tcW w:w="686" w:type="dxa"/>
            <w:vAlign w:val="center"/>
          </w:tcPr>
          <w:p w:rsidR="00412AFB" w:rsidRPr="00993936" w:rsidRDefault="00412AFB" w:rsidP="00C8678E">
            <w:pPr>
              <w:jc w:val="center"/>
              <w:rPr>
                <w:rFonts w:ascii="Arial" w:hAnsi="Arial" w:cs="Arial"/>
                <w:b/>
                <w:snapToGrid w:val="0"/>
                <w:lang w:val="es-ES"/>
              </w:rPr>
            </w:pPr>
          </w:p>
        </w:tc>
      </w:tr>
      <w:tr w:rsidR="00412AFB" w:rsidRPr="00993936" w:rsidTr="00C8678E">
        <w:trPr>
          <w:trHeight w:val="300"/>
        </w:trPr>
        <w:tc>
          <w:tcPr>
            <w:tcW w:w="85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K</w:t>
            </w:r>
            <w:r w:rsidRPr="00993936">
              <w:rPr>
                <w:rFonts w:ascii="Arial" w:hAnsi="Arial" w:cs="Arial"/>
                <w:b/>
                <w:snapToGrid w:val="0"/>
                <w:vertAlign w:val="superscript"/>
                <w:lang w:val="es-ES"/>
              </w:rPr>
              <w:t>2</w:t>
            </w:r>
            <w:r w:rsidRPr="00993936">
              <w:rPr>
                <w:rFonts w:ascii="Arial" w:hAnsi="Arial" w:cs="Arial"/>
                <w:b/>
                <w:snapToGrid w:val="0"/>
                <w:lang w:val="es-ES"/>
              </w:rPr>
              <w:t>O</w:t>
            </w: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14</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22</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b/>
                <w:snapToGrid w:val="0"/>
                <w:lang w:val="es-ES"/>
              </w:rPr>
            </w:pPr>
          </w:p>
        </w:tc>
        <w:tc>
          <w:tcPr>
            <w:tcW w:w="686" w:type="dxa"/>
            <w:vAlign w:val="center"/>
          </w:tcPr>
          <w:p w:rsidR="00412AFB" w:rsidRPr="00993936" w:rsidRDefault="00412AFB" w:rsidP="00C8678E">
            <w:pPr>
              <w:jc w:val="center"/>
              <w:rPr>
                <w:rFonts w:ascii="Arial" w:hAnsi="Arial" w:cs="Arial"/>
                <w:b/>
                <w:snapToGrid w:val="0"/>
                <w:lang w:val="es-ES"/>
              </w:rPr>
            </w:pPr>
          </w:p>
        </w:tc>
      </w:tr>
      <w:tr w:rsidR="00412AFB" w:rsidRPr="00993936" w:rsidTr="00C8678E">
        <w:trPr>
          <w:trHeight w:val="300"/>
        </w:trPr>
        <w:tc>
          <w:tcPr>
            <w:tcW w:w="85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MgO</w:t>
            </w: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5" w:type="dxa"/>
            <w:vAlign w:val="center"/>
          </w:tcPr>
          <w:p w:rsidR="00412AFB" w:rsidRPr="00993936" w:rsidRDefault="00412AFB" w:rsidP="00C8678E">
            <w:pPr>
              <w:jc w:val="center"/>
              <w:rPr>
                <w:rFonts w:ascii="Arial" w:hAnsi="Arial" w:cs="Arial"/>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5" w:type="dxa"/>
            <w:vAlign w:val="center"/>
          </w:tcPr>
          <w:p w:rsidR="00412AFB" w:rsidRPr="00993936" w:rsidRDefault="00412AFB" w:rsidP="00C8678E">
            <w:pPr>
              <w:jc w:val="center"/>
              <w:rPr>
                <w:rFonts w:ascii="Arial" w:hAnsi="Arial" w:cs="Arial"/>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5" w:type="dxa"/>
            <w:vAlign w:val="center"/>
          </w:tcPr>
          <w:p w:rsidR="00412AFB" w:rsidRPr="00993936" w:rsidRDefault="00412AFB" w:rsidP="00C8678E">
            <w:pPr>
              <w:jc w:val="center"/>
              <w:rPr>
                <w:rFonts w:ascii="Arial" w:hAnsi="Arial" w:cs="Arial"/>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5" w:type="dxa"/>
            <w:vAlign w:val="center"/>
          </w:tcPr>
          <w:p w:rsidR="00412AFB" w:rsidRPr="00993936" w:rsidRDefault="00412AFB" w:rsidP="00C8678E">
            <w:pPr>
              <w:jc w:val="center"/>
              <w:rPr>
                <w:rFonts w:ascii="Arial" w:hAnsi="Arial" w:cs="Arial"/>
                <w:snapToGrid w:val="0"/>
                <w:lang w:val="es-ES"/>
              </w:rPr>
            </w:pPr>
          </w:p>
        </w:tc>
        <w:tc>
          <w:tcPr>
            <w:tcW w:w="685" w:type="dxa"/>
            <w:vAlign w:val="center"/>
          </w:tcPr>
          <w:p w:rsidR="00412AFB" w:rsidRPr="00993936" w:rsidRDefault="00412AFB" w:rsidP="00C8678E">
            <w:pPr>
              <w:jc w:val="center"/>
              <w:rPr>
                <w:rFonts w:ascii="Arial" w:hAnsi="Arial" w:cs="Arial"/>
                <w:b/>
                <w:snapToGrid w:val="0"/>
                <w:lang w:val="es-ES"/>
              </w:rPr>
            </w:pPr>
          </w:p>
        </w:tc>
        <w:tc>
          <w:tcPr>
            <w:tcW w:w="686" w:type="dxa"/>
            <w:vAlign w:val="center"/>
          </w:tcPr>
          <w:p w:rsidR="00412AFB" w:rsidRPr="00993936" w:rsidRDefault="00412AFB" w:rsidP="00C8678E">
            <w:pPr>
              <w:jc w:val="center"/>
              <w:rPr>
                <w:rFonts w:ascii="Arial" w:hAnsi="Arial" w:cs="Arial"/>
                <w:b/>
                <w:snapToGrid w:val="0"/>
                <w:lang w:val="es-ES"/>
              </w:rPr>
            </w:pPr>
          </w:p>
        </w:tc>
      </w:tr>
      <w:tr w:rsidR="00412AFB" w:rsidRPr="00993936" w:rsidTr="00C8678E">
        <w:trPr>
          <w:trHeight w:val="300"/>
        </w:trPr>
        <w:tc>
          <w:tcPr>
            <w:tcW w:w="85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Fe</w:t>
            </w: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5" w:type="dxa"/>
            <w:vAlign w:val="center"/>
          </w:tcPr>
          <w:p w:rsidR="00412AFB" w:rsidRPr="00993936" w:rsidRDefault="00412AFB" w:rsidP="00C8678E">
            <w:pPr>
              <w:jc w:val="center"/>
              <w:rPr>
                <w:rFonts w:ascii="Arial" w:hAnsi="Arial" w:cs="Arial"/>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5" w:type="dxa"/>
            <w:vAlign w:val="center"/>
          </w:tcPr>
          <w:p w:rsidR="00412AFB" w:rsidRPr="00993936" w:rsidRDefault="00412AFB" w:rsidP="00C8678E">
            <w:pPr>
              <w:jc w:val="center"/>
              <w:rPr>
                <w:rFonts w:ascii="Arial" w:hAnsi="Arial" w:cs="Arial"/>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5" w:type="dxa"/>
            <w:vAlign w:val="center"/>
          </w:tcPr>
          <w:p w:rsidR="00412AFB" w:rsidRPr="00993936" w:rsidRDefault="00412AFB" w:rsidP="00C8678E">
            <w:pPr>
              <w:jc w:val="center"/>
              <w:rPr>
                <w:rFonts w:ascii="Arial" w:hAnsi="Arial" w:cs="Arial"/>
                <w:snapToGrid w:val="0"/>
                <w:lang w:val="es-ES"/>
              </w:rPr>
            </w:pPr>
          </w:p>
        </w:tc>
        <w:tc>
          <w:tcPr>
            <w:tcW w:w="68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5" w:type="dxa"/>
            <w:vAlign w:val="center"/>
          </w:tcPr>
          <w:p w:rsidR="00412AFB" w:rsidRPr="00993936" w:rsidRDefault="00412AFB" w:rsidP="00C8678E">
            <w:pPr>
              <w:jc w:val="center"/>
              <w:rPr>
                <w:rFonts w:ascii="Arial" w:hAnsi="Arial" w:cs="Arial"/>
                <w:b/>
                <w:snapToGrid w:val="0"/>
                <w:lang w:val="es-ES"/>
              </w:rPr>
            </w:pPr>
          </w:p>
        </w:tc>
        <w:tc>
          <w:tcPr>
            <w:tcW w:w="685" w:type="dxa"/>
            <w:vAlign w:val="center"/>
          </w:tcPr>
          <w:p w:rsidR="00412AFB" w:rsidRPr="00993936" w:rsidRDefault="00412AFB" w:rsidP="00C8678E">
            <w:pPr>
              <w:jc w:val="center"/>
              <w:rPr>
                <w:rFonts w:ascii="Arial" w:hAnsi="Arial" w:cs="Arial"/>
                <w:b/>
                <w:snapToGrid w:val="0"/>
                <w:lang w:val="es-ES"/>
              </w:rPr>
            </w:pPr>
          </w:p>
        </w:tc>
        <w:tc>
          <w:tcPr>
            <w:tcW w:w="686" w:type="dxa"/>
            <w:vAlign w:val="center"/>
          </w:tcPr>
          <w:p w:rsidR="00412AFB" w:rsidRPr="00993936" w:rsidRDefault="00412AFB" w:rsidP="00C8678E">
            <w:pPr>
              <w:jc w:val="center"/>
              <w:rPr>
                <w:rFonts w:ascii="Arial" w:hAnsi="Arial" w:cs="Arial"/>
                <w:b/>
                <w:snapToGrid w:val="0"/>
                <w:lang w:val="es-ES"/>
              </w:rPr>
            </w:pP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Tabla 2.8 Distribución de los elementos (%) de marzo a octubre para variedades de plena estación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
        <w:gridCol w:w="683"/>
        <w:gridCol w:w="683"/>
        <w:gridCol w:w="684"/>
        <w:gridCol w:w="683"/>
        <w:gridCol w:w="684"/>
        <w:gridCol w:w="683"/>
        <w:gridCol w:w="683"/>
        <w:gridCol w:w="684"/>
        <w:gridCol w:w="683"/>
        <w:gridCol w:w="684"/>
        <w:gridCol w:w="683"/>
        <w:gridCol w:w="684"/>
      </w:tblGrid>
      <w:tr w:rsidR="00412AFB" w:rsidRPr="00993936" w:rsidTr="00C8678E">
        <w:trPr>
          <w:trHeight w:val="300"/>
        </w:trPr>
        <w:tc>
          <w:tcPr>
            <w:tcW w:w="87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Elemento</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J</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X</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S</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O</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D</w:t>
            </w: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3"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12</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18</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4"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5</w:t>
            </w: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lang w:val="es-ES"/>
              </w:rPr>
            </w:pP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P</w:t>
            </w:r>
            <w:r w:rsidRPr="00993936">
              <w:rPr>
                <w:rFonts w:ascii="Arial" w:hAnsi="Arial" w:cs="Arial"/>
                <w:b/>
                <w:snapToGrid w:val="0"/>
                <w:vertAlign w:val="subscript"/>
                <w:lang w:val="es-ES"/>
              </w:rPr>
              <w:t>2</w:t>
            </w:r>
            <w:r w:rsidRPr="00993936">
              <w:rPr>
                <w:rFonts w:ascii="Arial" w:hAnsi="Arial" w:cs="Arial"/>
                <w:b/>
                <w:snapToGrid w:val="0"/>
                <w:lang w:val="es-ES"/>
              </w:rPr>
              <w:t>O</w:t>
            </w:r>
            <w:r w:rsidRPr="00993936">
              <w:rPr>
                <w:rFonts w:ascii="Arial" w:hAnsi="Arial" w:cs="Arial"/>
                <w:b/>
                <w:snapToGrid w:val="0"/>
                <w:vertAlign w:val="subscript"/>
                <w:lang w:val="es-ES"/>
              </w:rPr>
              <w:t>5</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3" w:type="dxa"/>
            <w:vAlign w:val="center"/>
          </w:tcPr>
          <w:p w:rsidR="00412AFB" w:rsidRPr="00993936" w:rsidRDefault="00412AFB" w:rsidP="00C8678E">
            <w:pPr>
              <w:jc w:val="center"/>
              <w:rPr>
                <w:rFonts w:ascii="Arial" w:hAnsi="Arial" w:cs="Arial"/>
                <w:snapToGrid w:val="0"/>
                <w:lang w:val="es-ES"/>
              </w:rPr>
            </w:pPr>
          </w:p>
        </w:tc>
        <w:tc>
          <w:tcPr>
            <w:tcW w:w="684" w:type="dxa"/>
            <w:vAlign w:val="center"/>
          </w:tcPr>
          <w:p w:rsidR="00412AFB" w:rsidRPr="00993936" w:rsidRDefault="00412AFB" w:rsidP="00C8678E">
            <w:pPr>
              <w:jc w:val="center"/>
              <w:rPr>
                <w:rFonts w:ascii="Arial" w:hAnsi="Arial" w:cs="Arial"/>
                <w:b/>
                <w:snapToGrid w:val="0"/>
                <w:lang w:val="es-ES"/>
              </w:rPr>
            </w:pP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K</w:t>
            </w:r>
            <w:r w:rsidRPr="00993936">
              <w:rPr>
                <w:rFonts w:ascii="Arial" w:hAnsi="Arial" w:cs="Arial"/>
                <w:b/>
                <w:snapToGrid w:val="0"/>
                <w:vertAlign w:val="superscript"/>
                <w:lang w:val="es-ES"/>
              </w:rPr>
              <w:t>2</w:t>
            </w:r>
            <w:r w:rsidRPr="00993936">
              <w:rPr>
                <w:rFonts w:ascii="Arial" w:hAnsi="Arial" w:cs="Arial"/>
                <w:b/>
                <w:snapToGrid w:val="0"/>
                <w:lang w:val="es-ES"/>
              </w:rPr>
              <w:t>O</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b/>
                <w:snapToGrid w:val="0"/>
                <w:lang w:val="es-ES"/>
              </w:rPr>
            </w:pP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MgO</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3" w:type="dxa"/>
            <w:vAlign w:val="center"/>
          </w:tcPr>
          <w:p w:rsidR="00412AFB" w:rsidRPr="00993936" w:rsidRDefault="00412AFB" w:rsidP="00C8678E">
            <w:pPr>
              <w:jc w:val="center"/>
              <w:rPr>
                <w:rFonts w:ascii="Arial" w:hAnsi="Arial" w:cs="Arial"/>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3"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4"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b/>
                <w:snapToGrid w:val="0"/>
                <w:lang w:val="es-ES"/>
              </w:rPr>
            </w:pP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Fe</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3" w:type="dxa"/>
            <w:vAlign w:val="center"/>
          </w:tcPr>
          <w:p w:rsidR="00412AFB" w:rsidRPr="00993936" w:rsidRDefault="00412AFB" w:rsidP="00C8678E">
            <w:pPr>
              <w:jc w:val="center"/>
              <w:rPr>
                <w:rFonts w:ascii="Arial" w:hAnsi="Arial" w:cs="Arial"/>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3"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b/>
                <w:snapToGrid w:val="0"/>
                <w:lang w:val="es-ES"/>
              </w:rPr>
            </w:pP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Tabla 2.9 Distribución de los elementos (%) de marzo a noviembre para variedades tardías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1"/>
        <w:gridCol w:w="683"/>
        <w:gridCol w:w="683"/>
        <w:gridCol w:w="684"/>
        <w:gridCol w:w="683"/>
        <w:gridCol w:w="684"/>
        <w:gridCol w:w="683"/>
        <w:gridCol w:w="683"/>
        <w:gridCol w:w="684"/>
        <w:gridCol w:w="683"/>
        <w:gridCol w:w="684"/>
        <w:gridCol w:w="683"/>
        <w:gridCol w:w="684"/>
      </w:tblGrid>
      <w:tr w:rsidR="00412AFB" w:rsidRPr="00993936" w:rsidTr="00C8678E">
        <w:trPr>
          <w:trHeight w:val="300"/>
        </w:trPr>
        <w:tc>
          <w:tcPr>
            <w:tcW w:w="87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Elemento</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J</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X</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S</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O</w:t>
            </w:r>
          </w:p>
        </w:tc>
        <w:tc>
          <w:tcPr>
            <w:tcW w:w="683"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68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D</w:t>
            </w: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3"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10</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4" w:type="dxa"/>
            <w:vAlign w:val="center"/>
          </w:tcPr>
          <w:p w:rsidR="00412AFB" w:rsidRPr="00993936" w:rsidRDefault="00412AFB" w:rsidP="00C8678E">
            <w:pPr>
              <w:jc w:val="center"/>
              <w:rPr>
                <w:rFonts w:ascii="Arial" w:hAnsi="Arial" w:cs="Arial"/>
                <w:lang w:val="es-ES"/>
              </w:rPr>
            </w:pPr>
            <w:r w:rsidRPr="00993936">
              <w:rPr>
                <w:rFonts w:ascii="Arial" w:hAnsi="Arial" w:cs="Arial"/>
                <w:lang w:val="es-ES"/>
              </w:rPr>
              <w:t>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4" w:type="dxa"/>
            <w:vAlign w:val="center"/>
          </w:tcPr>
          <w:p w:rsidR="00412AFB" w:rsidRPr="00993936" w:rsidRDefault="00412AFB" w:rsidP="00C8678E">
            <w:pPr>
              <w:jc w:val="center"/>
              <w:rPr>
                <w:rFonts w:ascii="Arial" w:hAnsi="Arial" w:cs="Arial"/>
                <w:lang w:val="es-ES"/>
              </w:rPr>
            </w:pP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P</w:t>
            </w:r>
            <w:r w:rsidRPr="00993936">
              <w:rPr>
                <w:rFonts w:ascii="Arial" w:hAnsi="Arial" w:cs="Arial"/>
                <w:b/>
                <w:snapToGrid w:val="0"/>
                <w:vertAlign w:val="subscript"/>
                <w:lang w:val="es-ES"/>
              </w:rPr>
              <w:t>2</w:t>
            </w:r>
            <w:r w:rsidRPr="00993936">
              <w:rPr>
                <w:rFonts w:ascii="Arial" w:hAnsi="Arial" w:cs="Arial"/>
                <w:b/>
                <w:snapToGrid w:val="0"/>
                <w:lang w:val="es-ES"/>
              </w:rPr>
              <w:t>O</w:t>
            </w:r>
            <w:r w:rsidRPr="00993936">
              <w:rPr>
                <w:rFonts w:ascii="Arial" w:hAnsi="Arial" w:cs="Arial"/>
                <w:b/>
                <w:snapToGrid w:val="0"/>
                <w:vertAlign w:val="subscript"/>
                <w:lang w:val="es-ES"/>
              </w:rPr>
              <w:t>5</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4" w:type="dxa"/>
            <w:vAlign w:val="center"/>
          </w:tcPr>
          <w:p w:rsidR="00412AFB" w:rsidRPr="00993936" w:rsidRDefault="00412AFB" w:rsidP="00C8678E">
            <w:pPr>
              <w:jc w:val="center"/>
              <w:rPr>
                <w:rFonts w:ascii="Arial" w:hAnsi="Arial" w:cs="Arial"/>
                <w:snapToGrid w:val="0"/>
                <w:lang w:val="es-ES"/>
              </w:rPr>
            </w:pP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K</w:t>
            </w:r>
            <w:r w:rsidRPr="00993936">
              <w:rPr>
                <w:rFonts w:ascii="Arial" w:hAnsi="Arial" w:cs="Arial"/>
                <w:b/>
                <w:snapToGrid w:val="0"/>
                <w:vertAlign w:val="superscript"/>
                <w:lang w:val="es-ES"/>
              </w:rPr>
              <w:t>2</w:t>
            </w:r>
            <w:r w:rsidRPr="00993936">
              <w:rPr>
                <w:rFonts w:ascii="Arial" w:hAnsi="Arial" w:cs="Arial"/>
                <w:b/>
                <w:snapToGrid w:val="0"/>
                <w:lang w:val="es-ES"/>
              </w:rPr>
              <w:t>O</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14</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18</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18</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w:t>
            </w:r>
          </w:p>
        </w:tc>
        <w:tc>
          <w:tcPr>
            <w:tcW w:w="684" w:type="dxa"/>
            <w:vAlign w:val="center"/>
          </w:tcPr>
          <w:p w:rsidR="00412AFB" w:rsidRPr="00993936" w:rsidRDefault="00412AFB" w:rsidP="00C8678E">
            <w:pPr>
              <w:jc w:val="center"/>
              <w:rPr>
                <w:rFonts w:ascii="Arial" w:hAnsi="Arial" w:cs="Arial"/>
                <w:snapToGrid w:val="0"/>
                <w:lang w:val="es-ES"/>
              </w:rPr>
            </w:pP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MgO</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3" w:type="dxa"/>
            <w:vAlign w:val="center"/>
          </w:tcPr>
          <w:p w:rsidR="00412AFB" w:rsidRPr="00993936" w:rsidRDefault="00412AFB" w:rsidP="00C8678E">
            <w:pPr>
              <w:jc w:val="center"/>
              <w:rPr>
                <w:rFonts w:ascii="Arial" w:hAnsi="Arial" w:cs="Arial"/>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25</w:t>
            </w:r>
          </w:p>
        </w:tc>
        <w:tc>
          <w:tcPr>
            <w:tcW w:w="683"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25</w:t>
            </w:r>
          </w:p>
        </w:tc>
        <w:tc>
          <w:tcPr>
            <w:tcW w:w="684"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684" w:type="dxa"/>
            <w:vAlign w:val="center"/>
          </w:tcPr>
          <w:p w:rsidR="00412AFB" w:rsidRPr="00993936" w:rsidRDefault="00412AFB" w:rsidP="00C8678E">
            <w:pPr>
              <w:jc w:val="center"/>
              <w:rPr>
                <w:rFonts w:ascii="Arial" w:hAnsi="Arial" w:cs="Arial"/>
                <w:snapToGrid w:val="0"/>
                <w:lang w:val="es-ES"/>
              </w:rPr>
            </w:pPr>
          </w:p>
        </w:tc>
      </w:tr>
      <w:tr w:rsidR="00412AFB" w:rsidRPr="00993936" w:rsidTr="00C8678E">
        <w:trPr>
          <w:trHeight w:val="300"/>
        </w:trPr>
        <w:tc>
          <w:tcPr>
            <w:tcW w:w="871"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Fe</w:t>
            </w:r>
          </w:p>
        </w:tc>
        <w:tc>
          <w:tcPr>
            <w:tcW w:w="683" w:type="dxa"/>
            <w:vAlign w:val="center"/>
          </w:tcPr>
          <w:p w:rsidR="00412AFB" w:rsidRPr="00993936" w:rsidRDefault="00412AFB" w:rsidP="00C8678E">
            <w:pPr>
              <w:jc w:val="center"/>
              <w:rPr>
                <w:rFonts w:ascii="Arial" w:hAnsi="Arial" w:cs="Arial"/>
                <w:b/>
                <w:snapToGrid w:val="0"/>
                <w:lang w:val="es-ES"/>
              </w:rPr>
            </w:pPr>
          </w:p>
        </w:tc>
        <w:tc>
          <w:tcPr>
            <w:tcW w:w="683" w:type="dxa"/>
            <w:vAlign w:val="center"/>
          </w:tcPr>
          <w:p w:rsidR="00412AFB" w:rsidRPr="00993936" w:rsidRDefault="00412AFB" w:rsidP="00C8678E">
            <w:pPr>
              <w:jc w:val="center"/>
              <w:rPr>
                <w:rFonts w:ascii="Arial" w:hAnsi="Arial" w:cs="Arial"/>
                <w:b/>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3" w:type="dxa"/>
            <w:vAlign w:val="center"/>
          </w:tcPr>
          <w:p w:rsidR="00412AFB" w:rsidRPr="00993936" w:rsidRDefault="00412AFB" w:rsidP="00C8678E">
            <w:pPr>
              <w:jc w:val="center"/>
              <w:rPr>
                <w:rFonts w:ascii="Arial" w:hAnsi="Arial" w:cs="Arial"/>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683"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684" w:type="dxa"/>
            <w:vAlign w:val="center"/>
          </w:tcPr>
          <w:p w:rsidR="00412AFB" w:rsidRPr="00993936" w:rsidRDefault="00412AFB" w:rsidP="00C8678E">
            <w:pPr>
              <w:jc w:val="center"/>
              <w:rPr>
                <w:rFonts w:ascii="Arial" w:hAnsi="Arial" w:cs="Arial"/>
                <w:snapToGrid w:val="0"/>
                <w:lang w:val="es-ES"/>
              </w:rPr>
            </w:pPr>
          </w:p>
        </w:tc>
        <w:tc>
          <w:tcPr>
            <w:tcW w:w="683" w:type="dxa"/>
            <w:vAlign w:val="center"/>
          </w:tcPr>
          <w:p w:rsidR="00412AFB" w:rsidRPr="00993936" w:rsidRDefault="00412AFB" w:rsidP="00C8678E">
            <w:pPr>
              <w:jc w:val="center"/>
              <w:rPr>
                <w:rFonts w:ascii="Arial" w:hAnsi="Arial" w:cs="Arial"/>
                <w:snapToGrid w:val="0"/>
                <w:lang w:val="es-ES"/>
              </w:rPr>
            </w:pPr>
          </w:p>
        </w:tc>
        <w:tc>
          <w:tcPr>
            <w:tcW w:w="684" w:type="dxa"/>
            <w:vAlign w:val="center"/>
          </w:tcPr>
          <w:p w:rsidR="00412AFB" w:rsidRPr="00993936" w:rsidRDefault="00412AFB" w:rsidP="00C8678E">
            <w:pPr>
              <w:jc w:val="center"/>
              <w:rPr>
                <w:rFonts w:ascii="Arial" w:hAnsi="Arial" w:cs="Arial"/>
                <w:snapToGrid w:val="0"/>
                <w:lang w:val="es-ES"/>
              </w:rPr>
            </w:pP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Tabla 10.2 Aportación de nitrógeno por el agua de riego</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noProof/>
          <w:lang w:val="es-ES" w:eastAsia="es-ES"/>
        </w:rPr>
        <mc:AlternateContent>
          <mc:Choice Requires="wps">
            <w:drawing>
              <wp:anchor distT="0" distB="0" distL="114300" distR="114300" simplePos="0" relativeHeight="251648000" behindDoc="0" locked="0" layoutInCell="0" allowOverlap="1">
                <wp:simplePos x="0" y="0"/>
                <wp:positionH relativeFrom="column">
                  <wp:posOffset>13970</wp:posOffset>
                </wp:positionH>
                <wp:positionV relativeFrom="paragraph">
                  <wp:posOffset>92075</wp:posOffset>
                </wp:positionV>
                <wp:extent cx="5760720" cy="2011680"/>
                <wp:effectExtent l="13970" t="6350" r="6985" b="1079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011680"/>
                        </a:xfrm>
                        <a:prstGeom prst="rect">
                          <a:avLst/>
                        </a:prstGeom>
                        <a:solidFill>
                          <a:srgbClr val="FFFFFF"/>
                        </a:solidFill>
                        <a:ln w="9525">
                          <a:solidFill>
                            <a:srgbClr val="000000"/>
                          </a:solidFill>
                          <a:miter lim="800000"/>
                          <a:headEnd/>
                          <a:tailEnd/>
                        </a:ln>
                      </wps:spPr>
                      <wps:txbx>
                        <w:txbxContent>
                          <w:p w:rsidR="00567C10" w:rsidRPr="00857A1E" w:rsidRDefault="00567C10" w:rsidP="00412AFB">
                            <w:pPr>
                              <w:rPr>
                                <w:snapToGrid w:val="0"/>
                                <w:sz w:val="18"/>
                                <w:lang w:val="es-ES_tradnl"/>
                              </w:rPr>
                            </w:pPr>
                            <w:r w:rsidRPr="00857A1E">
                              <w:rPr>
                                <w:snapToGrid w:val="0"/>
                                <w:sz w:val="18"/>
                                <w:lang w:val="es-ES_tradnl"/>
                              </w:rPr>
                              <w:t>Para calcular la cantidad aproximada de nitrógeno por hectárea aportado por el agua de riego en función de su concentración con nitrato, puede utilizarse la fórmula siguiente:</w:t>
                            </w:r>
                          </w:p>
                          <w:p w:rsidR="00567C10" w:rsidRPr="00857A1E" w:rsidRDefault="00567C10" w:rsidP="00412AFB">
                            <w:pPr>
                              <w:rPr>
                                <w:snapToGrid w:val="0"/>
                                <w:sz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984"/>
                              <w:gridCol w:w="567"/>
                            </w:tblGrid>
                            <w:tr w:rsidR="00567C10" w:rsidRPr="00857A1E">
                              <w:trPr>
                                <w:cantSplit/>
                                <w:trHeight w:val="400"/>
                                <w:jc w:val="center"/>
                              </w:trPr>
                              <w:tc>
                                <w:tcPr>
                                  <w:tcW w:w="1063" w:type="dxa"/>
                                  <w:vMerge w:val="restart"/>
                                  <w:tcBorders>
                                    <w:left w:val="single" w:sz="4" w:space="0" w:color="auto"/>
                                    <w:right w:val="nil"/>
                                  </w:tcBorders>
                                  <w:vAlign w:val="center"/>
                                </w:tcPr>
                                <w:p w:rsidR="00567C10" w:rsidRPr="00857A1E" w:rsidRDefault="00567C10" w:rsidP="00412AFB">
                                  <w:pPr>
                                    <w:jc w:val="right"/>
                                    <w:rPr>
                                      <w:b/>
                                      <w:snapToGrid w:val="0"/>
                                      <w:sz w:val="18"/>
                                      <w:lang w:val="es-ES_tradnl"/>
                                    </w:rPr>
                                  </w:pPr>
                                  <w:r w:rsidRPr="00857A1E">
                                    <w:rPr>
                                      <w:b/>
                                      <w:snapToGrid w:val="0"/>
                                      <w:sz w:val="18"/>
                                      <w:lang w:val="es-ES_tradnl"/>
                                    </w:rPr>
                                    <w:t>k. N/ha =</w:t>
                                  </w:r>
                                </w:p>
                              </w:tc>
                              <w:tc>
                                <w:tcPr>
                                  <w:tcW w:w="1984" w:type="dxa"/>
                                  <w:tcBorders>
                                    <w:left w:val="nil"/>
                                    <w:right w:val="nil"/>
                                  </w:tcBorders>
                                  <w:vAlign w:val="center"/>
                                </w:tcPr>
                                <w:p w:rsidR="00567C10" w:rsidRPr="00857A1E" w:rsidRDefault="00567C10" w:rsidP="00412AFB">
                                  <w:pPr>
                                    <w:jc w:val="center"/>
                                    <w:rPr>
                                      <w:b/>
                                      <w:snapToGrid w:val="0"/>
                                      <w:sz w:val="18"/>
                                      <w:lang w:val="es-ES_tradnl"/>
                                    </w:rPr>
                                  </w:pPr>
                                  <w:r w:rsidRPr="00857A1E">
                                    <w:rPr>
                                      <w:b/>
                                      <w:snapToGrid w:val="0"/>
                                      <w:sz w:val="24"/>
                                      <w:lang w:val="es-ES_tradnl"/>
                                    </w:rPr>
                                    <w:sym w:font="Symbol" w:char="F05B"/>
                                  </w:r>
                                  <w:r w:rsidRPr="00857A1E">
                                    <w:rPr>
                                      <w:b/>
                                      <w:snapToGrid w:val="0"/>
                                      <w:sz w:val="24"/>
                                      <w:lang w:val="es-ES_tradnl"/>
                                    </w:rPr>
                                    <w:t xml:space="preserve"> </w:t>
                                  </w:r>
                                  <w:r w:rsidRPr="00857A1E">
                                    <w:rPr>
                                      <w:b/>
                                      <w:snapToGrid w:val="0"/>
                                      <w:sz w:val="18"/>
                                      <w:lang w:val="es-ES_tradnl"/>
                                    </w:rPr>
                                    <w:t>NO</w:t>
                                  </w:r>
                                  <w:r w:rsidRPr="00857A1E">
                                    <w:rPr>
                                      <w:b/>
                                      <w:snapToGrid w:val="0"/>
                                      <w:sz w:val="18"/>
                                      <w:vertAlign w:val="subscript"/>
                                      <w:lang w:val="es-ES_tradnl"/>
                                    </w:rPr>
                                    <w:t>3</w:t>
                                  </w:r>
                                  <w:r w:rsidRPr="00857A1E">
                                    <w:rPr>
                                      <w:b/>
                                      <w:snapToGrid w:val="0"/>
                                      <w:sz w:val="18"/>
                                      <w:vertAlign w:val="superscript"/>
                                      <w:lang w:val="es-ES_tradnl"/>
                                    </w:rPr>
                                    <w:t xml:space="preserve">- </w:t>
                                  </w:r>
                                  <w:r w:rsidRPr="00857A1E">
                                    <w:rPr>
                                      <w:b/>
                                      <w:snapToGrid w:val="0"/>
                                      <w:sz w:val="24"/>
                                      <w:lang w:val="es-ES_tradnl"/>
                                    </w:rPr>
                                    <w:sym w:font="Symbol" w:char="F05D"/>
                                  </w:r>
                                  <w:r w:rsidRPr="00857A1E">
                                    <w:rPr>
                                      <w:b/>
                                      <w:snapToGrid w:val="0"/>
                                      <w:sz w:val="24"/>
                                      <w:lang w:val="es-ES_tradnl"/>
                                    </w:rPr>
                                    <w:t xml:space="preserve"> </w:t>
                                  </w:r>
                                  <w:r w:rsidRPr="00857A1E">
                                    <w:rPr>
                                      <w:b/>
                                      <w:snapToGrid w:val="0"/>
                                      <w:sz w:val="18"/>
                                      <w:lang w:val="es-ES_tradnl"/>
                                    </w:rPr>
                                    <w:t>x Vr x 22,6</w:t>
                                  </w:r>
                                </w:p>
                              </w:tc>
                              <w:tc>
                                <w:tcPr>
                                  <w:tcW w:w="567" w:type="dxa"/>
                                  <w:vMerge w:val="restart"/>
                                  <w:tcBorders>
                                    <w:left w:val="nil"/>
                                  </w:tcBorders>
                                  <w:vAlign w:val="center"/>
                                </w:tcPr>
                                <w:p w:rsidR="00567C10" w:rsidRPr="00857A1E" w:rsidRDefault="00567C10" w:rsidP="00412AFB">
                                  <w:pPr>
                                    <w:rPr>
                                      <w:b/>
                                      <w:snapToGrid w:val="0"/>
                                      <w:sz w:val="18"/>
                                      <w:lang w:val="es-ES_tradnl"/>
                                    </w:rPr>
                                  </w:pPr>
                                  <w:r w:rsidRPr="00857A1E">
                                    <w:rPr>
                                      <w:b/>
                                      <w:snapToGrid w:val="0"/>
                                      <w:sz w:val="18"/>
                                      <w:lang w:val="es-ES_tradnl"/>
                                    </w:rPr>
                                    <w:t>x F</w:t>
                                  </w:r>
                                </w:p>
                              </w:tc>
                            </w:tr>
                            <w:tr w:rsidR="00567C10" w:rsidRPr="00857A1E">
                              <w:trPr>
                                <w:cantSplit/>
                                <w:trHeight w:val="400"/>
                                <w:jc w:val="center"/>
                              </w:trPr>
                              <w:tc>
                                <w:tcPr>
                                  <w:tcW w:w="1063" w:type="dxa"/>
                                  <w:vMerge/>
                                  <w:tcBorders>
                                    <w:left w:val="single" w:sz="4" w:space="0" w:color="auto"/>
                                    <w:right w:val="nil"/>
                                  </w:tcBorders>
                                </w:tcPr>
                                <w:p w:rsidR="00567C10" w:rsidRPr="00857A1E" w:rsidRDefault="00567C10" w:rsidP="00412AFB">
                                  <w:pPr>
                                    <w:rPr>
                                      <w:snapToGrid w:val="0"/>
                                      <w:sz w:val="18"/>
                                      <w:lang w:val="es-ES_tradnl"/>
                                    </w:rPr>
                                  </w:pPr>
                                </w:p>
                              </w:tc>
                              <w:tc>
                                <w:tcPr>
                                  <w:tcW w:w="1984" w:type="dxa"/>
                                  <w:tcBorders>
                                    <w:left w:val="nil"/>
                                    <w:right w:val="nil"/>
                                  </w:tcBorders>
                                  <w:vAlign w:val="center"/>
                                </w:tcPr>
                                <w:p w:rsidR="00567C10" w:rsidRPr="00857A1E" w:rsidRDefault="00567C10" w:rsidP="00412AFB">
                                  <w:pPr>
                                    <w:jc w:val="center"/>
                                    <w:rPr>
                                      <w:b/>
                                      <w:snapToGrid w:val="0"/>
                                      <w:sz w:val="18"/>
                                      <w:lang w:val="es-ES_tradnl"/>
                                    </w:rPr>
                                  </w:pPr>
                                  <w:r w:rsidRPr="00857A1E">
                                    <w:rPr>
                                      <w:b/>
                                      <w:snapToGrid w:val="0"/>
                                      <w:sz w:val="18"/>
                                      <w:lang w:val="es-ES_tradnl"/>
                                    </w:rPr>
                                    <w:t>100.000</w:t>
                                  </w:r>
                                </w:p>
                              </w:tc>
                              <w:tc>
                                <w:tcPr>
                                  <w:tcW w:w="567" w:type="dxa"/>
                                  <w:vMerge/>
                                  <w:tcBorders>
                                    <w:left w:val="nil"/>
                                  </w:tcBorders>
                                </w:tcPr>
                                <w:p w:rsidR="00567C10" w:rsidRPr="00857A1E" w:rsidRDefault="00567C10" w:rsidP="00412AFB">
                                  <w:pPr>
                                    <w:rPr>
                                      <w:snapToGrid w:val="0"/>
                                      <w:sz w:val="18"/>
                                      <w:lang w:val="es-ES_tradnl"/>
                                    </w:rPr>
                                  </w:pPr>
                                </w:p>
                              </w:tc>
                            </w:tr>
                          </w:tbl>
                          <w:p w:rsidR="00567C10" w:rsidRPr="00857A1E" w:rsidRDefault="00567C10" w:rsidP="00412AFB">
                            <w:pPr>
                              <w:rPr>
                                <w:snapToGrid w:val="0"/>
                                <w:sz w:val="18"/>
                                <w:lang w:val="es-ES_tradnl"/>
                              </w:rPr>
                            </w:pPr>
                          </w:p>
                          <w:p w:rsidR="00567C10" w:rsidRPr="00857A1E" w:rsidRDefault="00567C10" w:rsidP="00412AFB">
                            <w:pPr>
                              <w:rPr>
                                <w:snapToGrid w:val="0"/>
                                <w:sz w:val="18"/>
                                <w:lang w:val="es-ES_tradnl"/>
                              </w:rPr>
                            </w:pPr>
                            <w:r w:rsidRPr="00857A1E">
                              <w:rPr>
                                <w:snapToGrid w:val="0"/>
                                <w:sz w:val="18"/>
                                <w:lang w:val="es-ES_tradnl"/>
                              </w:rPr>
                              <w:t>Donde:</w:t>
                            </w:r>
                          </w:p>
                          <w:p w:rsidR="00567C10" w:rsidRPr="00857A1E" w:rsidRDefault="00567C10" w:rsidP="009D1A2D">
                            <w:pPr>
                              <w:numPr>
                                <w:ilvl w:val="0"/>
                                <w:numId w:val="36"/>
                              </w:numPr>
                              <w:spacing w:after="0" w:line="240" w:lineRule="auto"/>
                              <w:rPr>
                                <w:snapToGrid w:val="0"/>
                                <w:sz w:val="18"/>
                                <w:lang w:val="es-ES_tradnl"/>
                              </w:rPr>
                            </w:pPr>
                            <w:r w:rsidRPr="00857A1E">
                              <w:rPr>
                                <w:b/>
                                <w:snapToGrid w:val="0"/>
                                <w:sz w:val="24"/>
                                <w:lang w:val="es-ES_tradnl"/>
                              </w:rPr>
                              <w:sym w:font="Symbol" w:char="F05B"/>
                            </w:r>
                            <w:r w:rsidRPr="00857A1E">
                              <w:rPr>
                                <w:b/>
                                <w:snapToGrid w:val="0"/>
                                <w:sz w:val="18"/>
                                <w:lang w:val="es-ES_tradnl"/>
                              </w:rPr>
                              <w:t>NO</w:t>
                            </w:r>
                            <w:r w:rsidRPr="00857A1E">
                              <w:rPr>
                                <w:b/>
                                <w:snapToGrid w:val="0"/>
                                <w:sz w:val="18"/>
                                <w:vertAlign w:val="subscript"/>
                                <w:lang w:val="es-ES_tradnl"/>
                              </w:rPr>
                              <w:t>3</w:t>
                            </w:r>
                            <w:r w:rsidRPr="00857A1E">
                              <w:rPr>
                                <w:b/>
                                <w:snapToGrid w:val="0"/>
                                <w:sz w:val="18"/>
                                <w:vertAlign w:val="superscript"/>
                                <w:lang w:val="es-ES_tradnl"/>
                              </w:rPr>
                              <w:t xml:space="preserve">- </w:t>
                            </w:r>
                            <w:r w:rsidRPr="00857A1E">
                              <w:rPr>
                                <w:b/>
                                <w:snapToGrid w:val="0"/>
                                <w:sz w:val="24"/>
                                <w:lang w:val="es-ES_tradnl"/>
                              </w:rPr>
                              <w:sym w:font="Symbol" w:char="F05D"/>
                            </w:r>
                            <w:r w:rsidRPr="00857A1E">
                              <w:rPr>
                                <w:b/>
                                <w:snapToGrid w:val="0"/>
                                <w:sz w:val="24"/>
                                <w:lang w:val="es-ES_tradnl"/>
                              </w:rPr>
                              <w:t xml:space="preserve"> </w:t>
                            </w:r>
                            <w:r w:rsidRPr="00857A1E">
                              <w:rPr>
                                <w:snapToGrid w:val="0"/>
                                <w:sz w:val="18"/>
                                <w:lang w:val="es-ES_tradnl"/>
                              </w:rPr>
                              <w:t>es la concentración de nitrato en el agua de riego expresada en ppm (partes por millón = mg/l)</w:t>
                            </w:r>
                          </w:p>
                          <w:p w:rsidR="00567C10" w:rsidRPr="00857A1E" w:rsidRDefault="00567C10" w:rsidP="009D1A2D">
                            <w:pPr>
                              <w:numPr>
                                <w:ilvl w:val="0"/>
                                <w:numId w:val="36"/>
                              </w:numPr>
                              <w:spacing w:after="0" w:line="240" w:lineRule="auto"/>
                              <w:rPr>
                                <w:i/>
                                <w:snapToGrid w:val="0"/>
                                <w:sz w:val="18"/>
                                <w:lang w:val="es-ES_tradnl"/>
                              </w:rPr>
                            </w:pPr>
                            <w:r w:rsidRPr="00857A1E">
                              <w:rPr>
                                <w:b/>
                                <w:snapToGrid w:val="0"/>
                                <w:sz w:val="18"/>
                                <w:lang w:val="es-ES_tradnl"/>
                              </w:rPr>
                              <w:t xml:space="preserve">Vr: </w:t>
                            </w:r>
                            <w:r w:rsidRPr="00857A1E">
                              <w:rPr>
                                <w:snapToGrid w:val="0"/>
                                <w:sz w:val="18"/>
                                <w:lang w:val="es-ES_tradnl"/>
                              </w:rPr>
                              <w:t>Volumen total de riego en metros cúbicos por hectárea.</w:t>
                            </w:r>
                          </w:p>
                          <w:p w:rsidR="00567C10" w:rsidRPr="00857A1E" w:rsidRDefault="00567C10" w:rsidP="009D1A2D">
                            <w:pPr>
                              <w:numPr>
                                <w:ilvl w:val="0"/>
                                <w:numId w:val="36"/>
                              </w:numPr>
                              <w:spacing w:after="0" w:line="240" w:lineRule="auto"/>
                              <w:rPr>
                                <w:b/>
                                <w:snapToGrid w:val="0"/>
                                <w:sz w:val="18"/>
                                <w:lang w:val="es-ES_tradnl"/>
                              </w:rPr>
                            </w:pPr>
                            <w:r w:rsidRPr="00857A1E">
                              <w:rPr>
                                <w:b/>
                                <w:snapToGrid w:val="0"/>
                                <w:sz w:val="18"/>
                                <w:lang w:val="es-ES_tradnl"/>
                              </w:rPr>
                              <w:t xml:space="preserve">22,6: </w:t>
                            </w:r>
                            <w:r w:rsidRPr="00857A1E">
                              <w:rPr>
                                <w:snapToGrid w:val="0"/>
                                <w:sz w:val="18"/>
                                <w:lang w:val="es-ES_tradnl"/>
                              </w:rPr>
                              <w:t xml:space="preserve">Porcentaje de riqueza en N del </w:t>
                            </w:r>
                            <w:r w:rsidRPr="00857A1E">
                              <w:rPr>
                                <w:b/>
                                <w:snapToGrid w:val="0"/>
                                <w:sz w:val="18"/>
                                <w:lang w:val="es-ES_tradnl"/>
                              </w:rPr>
                              <w:t>NO</w:t>
                            </w:r>
                            <w:r w:rsidRPr="00857A1E">
                              <w:rPr>
                                <w:b/>
                                <w:snapToGrid w:val="0"/>
                                <w:sz w:val="18"/>
                                <w:vertAlign w:val="subscript"/>
                                <w:lang w:val="es-ES_tradnl"/>
                              </w:rPr>
                              <w:t>3</w:t>
                            </w:r>
                            <w:r w:rsidRPr="00857A1E">
                              <w:rPr>
                                <w:b/>
                                <w:snapToGrid w:val="0"/>
                                <w:sz w:val="18"/>
                                <w:vertAlign w:val="superscript"/>
                                <w:lang w:val="es-ES_tradnl"/>
                              </w:rPr>
                              <w:t xml:space="preserve">- </w:t>
                            </w:r>
                          </w:p>
                          <w:p w:rsidR="00567C10" w:rsidRPr="00857A1E" w:rsidRDefault="00567C10" w:rsidP="009D1A2D">
                            <w:pPr>
                              <w:numPr>
                                <w:ilvl w:val="0"/>
                                <w:numId w:val="36"/>
                              </w:numPr>
                              <w:spacing w:after="0" w:line="240" w:lineRule="auto"/>
                              <w:rPr>
                                <w:snapToGrid w:val="0"/>
                                <w:sz w:val="18"/>
                                <w:lang w:val="es-ES_tradnl"/>
                              </w:rPr>
                            </w:pPr>
                            <w:r w:rsidRPr="00857A1E">
                              <w:rPr>
                                <w:b/>
                                <w:snapToGrid w:val="0"/>
                                <w:sz w:val="18"/>
                                <w:lang w:val="es-ES_tradnl"/>
                              </w:rPr>
                              <w:t>F:</w:t>
                            </w:r>
                            <w:r>
                              <w:rPr>
                                <w:b/>
                                <w:snapToGrid w:val="0"/>
                                <w:sz w:val="18"/>
                                <w:lang w:val="es-ES_tradnl"/>
                              </w:rPr>
                              <w:t xml:space="preserve"> </w:t>
                            </w:r>
                            <w:r w:rsidRPr="00857A1E">
                              <w:rPr>
                                <w:snapToGrid w:val="0"/>
                                <w:sz w:val="18"/>
                                <w:lang w:val="es-ES_tradnl"/>
                              </w:rPr>
                              <w:t>Factor que depende de la eficacia del riego y considera la pérdida del agua.</w:t>
                            </w:r>
                          </w:p>
                          <w:p w:rsidR="00567C10" w:rsidRPr="00857A1E" w:rsidRDefault="00567C10" w:rsidP="00412AFB">
                            <w:pPr>
                              <w:rPr>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9" o:spid="_x0000_s1026" type="#_x0000_t202" style="position:absolute;margin-left:1.1pt;margin-top:7.25pt;width:453.6pt;height:15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" o:allowincell="f">
                <v:textbox>
                  <w:txbxContent>
                    <w:p w:rsidR="00567C10" w:rsidRPr="00857A1E" w:rsidRDefault="00567C10" w:rsidP="00412AFB">
                      <w:pPr>
                        <w:rPr>
                          <w:snapToGrid w:val="0"/>
                          <w:sz w:val="18"/>
                          <w:lang w:val="es-ES_tradnl"/>
                        </w:rPr>
                      </w:pPr>
                      <w:r w:rsidRPr="00857A1E">
                        <w:rPr>
                          <w:snapToGrid w:val="0"/>
                          <w:sz w:val="18"/>
                          <w:lang w:val="es-ES_tradnl"/>
                        </w:rPr>
                        <w:t>Para calcular la cantidad aproximada de nitrógeno por hectárea aportado por el agua de riego en función de su concentración con nitrato, puede utilizarse la fórmula siguiente:</w:t>
                      </w:r>
                    </w:p>
                    <w:p w:rsidR="00567C10" w:rsidRPr="00857A1E" w:rsidRDefault="00567C10" w:rsidP="00412AFB">
                      <w:pPr>
                        <w:rPr>
                          <w:snapToGrid w:val="0"/>
                          <w:sz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984"/>
                        <w:gridCol w:w="567"/>
                      </w:tblGrid>
                      <w:tr w:rsidR="00567C10" w:rsidRPr="00857A1E">
                        <w:trPr>
                          <w:cantSplit/>
                          <w:trHeight w:val="400"/>
                          <w:jc w:val="center"/>
                        </w:trPr>
                        <w:tc>
                          <w:tcPr>
                            <w:tcW w:w="1063" w:type="dxa"/>
                            <w:vMerge w:val="restart"/>
                            <w:tcBorders>
                              <w:left w:val="single" w:sz="4" w:space="0" w:color="auto"/>
                              <w:right w:val="nil"/>
                            </w:tcBorders>
                            <w:vAlign w:val="center"/>
                          </w:tcPr>
                          <w:p w:rsidR="00567C10" w:rsidRPr="00857A1E" w:rsidRDefault="00567C10" w:rsidP="00412AFB">
                            <w:pPr>
                              <w:jc w:val="right"/>
                              <w:rPr>
                                <w:b/>
                                <w:snapToGrid w:val="0"/>
                                <w:sz w:val="18"/>
                                <w:lang w:val="es-ES_tradnl"/>
                              </w:rPr>
                            </w:pPr>
                            <w:r w:rsidRPr="00857A1E">
                              <w:rPr>
                                <w:b/>
                                <w:snapToGrid w:val="0"/>
                                <w:sz w:val="18"/>
                                <w:lang w:val="es-ES_tradnl"/>
                              </w:rPr>
                              <w:t>k. N/ha =</w:t>
                            </w:r>
                          </w:p>
                        </w:tc>
                        <w:tc>
                          <w:tcPr>
                            <w:tcW w:w="1984" w:type="dxa"/>
                            <w:tcBorders>
                              <w:left w:val="nil"/>
                              <w:right w:val="nil"/>
                            </w:tcBorders>
                            <w:vAlign w:val="center"/>
                          </w:tcPr>
                          <w:p w:rsidR="00567C10" w:rsidRPr="00857A1E" w:rsidRDefault="00567C10" w:rsidP="00412AFB">
                            <w:pPr>
                              <w:jc w:val="center"/>
                              <w:rPr>
                                <w:b/>
                                <w:snapToGrid w:val="0"/>
                                <w:sz w:val="18"/>
                                <w:lang w:val="es-ES_tradnl"/>
                              </w:rPr>
                            </w:pPr>
                            <w:r w:rsidRPr="00857A1E">
                              <w:rPr>
                                <w:b/>
                                <w:snapToGrid w:val="0"/>
                                <w:sz w:val="24"/>
                                <w:lang w:val="es-ES_tradnl"/>
                              </w:rPr>
                              <w:sym w:font="Symbol" w:char="F05B"/>
                            </w:r>
                            <w:r w:rsidRPr="00857A1E">
                              <w:rPr>
                                <w:b/>
                                <w:snapToGrid w:val="0"/>
                                <w:sz w:val="24"/>
                                <w:lang w:val="es-ES_tradnl"/>
                              </w:rPr>
                              <w:t xml:space="preserve"> </w:t>
                            </w:r>
                            <w:r w:rsidRPr="00857A1E">
                              <w:rPr>
                                <w:b/>
                                <w:snapToGrid w:val="0"/>
                                <w:sz w:val="18"/>
                                <w:lang w:val="es-ES_tradnl"/>
                              </w:rPr>
                              <w:t>NO</w:t>
                            </w:r>
                            <w:r w:rsidRPr="00857A1E">
                              <w:rPr>
                                <w:b/>
                                <w:snapToGrid w:val="0"/>
                                <w:sz w:val="18"/>
                                <w:vertAlign w:val="subscript"/>
                                <w:lang w:val="es-ES_tradnl"/>
                              </w:rPr>
                              <w:t>3</w:t>
                            </w:r>
                            <w:r w:rsidRPr="00857A1E">
                              <w:rPr>
                                <w:b/>
                                <w:snapToGrid w:val="0"/>
                                <w:sz w:val="18"/>
                                <w:vertAlign w:val="superscript"/>
                                <w:lang w:val="es-ES_tradnl"/>
                              </w:rPr>
                              <w:t xml:space="preserve">- </w:t>
                            </w:r>
                            <w:r w:rsidRPr="00857A1E">
                              <w:rPr>
                                <w:b/>
                                <w:snapToGrid w:val="0"/>
                                <w:sz w:val="24"/>
                                <w:lang w:val="es-ES_tradnl"/>
                              </w:rPr>
                              <w:sym w:font="Symbol" w:char="F05D"/>
                            </w:r>
                            <w:r w:rsidRPr="00857A1E">
                              <w:rPr>
                                <w:b/>
                                <w:snapToGrid w:val="0"/>
                                <w:sz w:val="24"/>
                                <w:lang w:val="es-ES_tradnl"/>
                              </w:rPr>
                              <w:t xml:space="preserve"> </w:t>
                            </w:r>
                            <w:r w:rsidRPr="00857A1E">
                              <w:rPr>
                                <w:b/>
                                <w:snapToGrid w:val="0"/>
                                <w:sz w:val="18"/>
                                <w:lang w:val="es-ES_tradnl"/>
                              </w:rPr>
                              <w:t>x Vr x 22,6</w:t>
                            </w:r>
                          </w:p>
                        </w:tc>
                        <w:tc>
                          <w:tcPr>
                            <w:tcW w:w="567" w:type="dxa"/>
                            <w:vMerge w:val="restart"/>
                            <w:tcBorders>
                              <w:left w:val="nil"/>
                            </w:tcBorders>
                            <w:vAlign w:val="center"/>
                          </w:tcPr>
                          <w:p w:rsidR="00567C10" w:rsidRPr="00857A1E" w:rsidRDefault="00567C10" w:rsidP="00412AFB">
                            <w:pPr>
                              <w:rPr>
                                <w:b/>
                                <w:snapToGrid w:val="0"/>
                                <w:sz w:val="18"/>
                                <w:lang w:val="es-ES_tradnl"/>
                              </w:rPr>
                            </w:pPr>
                            <w:r w:rsidRPr="00857A1E">
                              <w:rPr>
                                <w:b/>
                                <w:snapToGrid w:val="0"/>
                                <w:sz w:val="18"/>
                                <w:lang w:val="es-ES_tradnl"/>
                              </w:rPr>
                              <w:t>x F</w:t>
                            </w:r>
                          </w:p>
                        </w:tc>
                      </w:tr>
                      <w:tr w:rsidR="00567C10" w:rsidRPr="00857A1E">
                        <w:trPr>
                          <w:cantSplit/>
                          <w:trHeight w:val="400"/>
                          <w:jc w:val="center"/>
                        </w:trPr>
                        <w:tc>
                          <w:tcPr>
                            <w:tcW w:w="1063" w:type="dxa"/>
                            <w:vMerge/>
                            <w:tcBorders>
                              <w:left w:val="single" w:sz="4" w:space="0" w:color="auto"/>
                              <w:right w:val="nil"/>
                            </w:tcBorders>
                          </w:tcPr>
                          <w:p w:rsidR="00567C10" w:rsidRPr="00857A1E" w:rsidRDefault="00567C10" w:rsidP="00412AFB">
                            <w:pPr>
                              <w:rPr>
                                <w:snapToGrid w:val="0"/>
                                <w:sz w:val="18"/>
                                <w:lang w:val="es-ES_tradnl"/>
                              </w:rPr>
                            </w:pPr>
                          </w:p>
                        </w:tc>
                        <w:tc>
                          <w:tcPr>
                            <w:tcW w:w="1984" w:type="dxa"/>
                            <w:tcBorders>
                              <w:left w:val="nil"/>
                              <w:right w:val="nil"/>
                            </w:tcBorders>
                            <w:vAlign w:val="center"/>
                          </w:tcPr>
                          <w:p w:rsidR="00567C10" w:rsidRPr="00857A1E" w:rsidRDefault="00567C10" w:rsidP="00412AFB">
                            <w:pPr>
                              <w:jc w:val="center"/>
                              <w:rPr>
                                <w:b/>
                                <w:snapToGrid w:val="0"/>
                                <w:sz w:val="18"/>
                                <w:lang w:val="es-ES_tradnl"/>
                              </w:rPr>
                            </w:pPr>
                            <w:r w:rsidRPr="00857A1E">
                              <w:rPr>
                                <w:b/>
                                <w:snapToGrid w:val="0"/>
                                <w:sz w:val="18"/>
                                <w:lang w:val="es-ES_tradnl"/>
                              </w:rPr>
                              <w:t>100.000</w:t>
                            </w:r>
                          </w:p>
                        </w:tc>
                        <w:tc>
                          <w:tcPr>
                            <w:tcW w:w="567" w:type="dxa"/>
                            <w:vMerge/>
                            <w:tcBorders>
                              <w:left w:val="nil"/>
                            </w:tcBorders>
                          </w:tcPr>
                          <w:p w:rsidR="00567C10" w:rsidRPr="00857A1E" w:rsidRDefault="00567C10" w:rsidP="00412AFB">
                            <w:pPr>
                              <w:rPr>
                                <w:snapToGrid w:val="0"/>
                                <w:sz w:val="18"/>
                                <w:lang w:val="es-ES_tradnl"/>
                              </w:rPr>
                            </w:pPr>
                          </w:p>
                        </w:tc>
                      </w:tr>
                    </w:tbl>
                    <w:p w:rsidR="00567C10" w:rsidRPr="00857A1E" w:rsidRDefault="00567C10" w:rsidP="00412AFB">
                      <w:pPr>
                        <w:rPr>
                          <w:snapToGrid w:val="0"/>
                          <w:sz w:val="18"/>
                          <w:lang w:val="es-ES_tradnl"/>
                        </w:rPr>
                      </w:pPr>
                    </w:p>
                    <w:p w:rsidR="00567C10" w:rsidRPr="00857A1E" w:rsidRDefault="00567C10" w:rsidP="00412AFB">
                      <w:pPr>
                        <w:rPr>
                          <w:snapToGrid w:val="0"/>
                          <w:sz w:val="18"/>
                          <w:lang w:val="es-ES_tradnl"/>
                        </w:rPr>
                      </w:pPr>
                      <w:r w:rsidRPr="00857A1E">
                        <w:rPr>
                          <w:snapToGrid w:val="0"/>
                          <w:sz w:val="18"/>
                          <w:lang w:val="es-ES_tradnl"/>
                        </w:rPr>
                        <w:t>Donde:</w:t>
                      </w:r>
                    </w:p>
                    <w:p w:rsidR="00567C10" w:rsidRPr="00857A1E" w:rsidRDefault="00567C10" w:rsidP="009D1A2D">
                      <w:pPr>
                        <w:numPr>
                          <w:ilvl w:val="0"/>
                          <w:numId w:val="36"/>
                        </w:numPr>
                        <w:spacing w:after="0" w:line="240" w:lineRule="auto"/>
                        <w:rPr>
                          <w:snapToGrid w:val="0"/>
                          <w:sz w:val="18"/>
                          <w:lang w:val="es-ES_tradnl"/>
                        </w:rPr>
                      </w:pPr>
                      <w:r w:rsidRPr="00857A1E">
                        <w:rPr>
                          <w:b/>
                          <w:snapToGrid w:val="0"/>
                          <w:sz w:val="24"/>
                          <w:lang w:val="es-ES_tradnl"/>
                        </w:rPr>
                        <w:sym w:font="Symbol" w:char="F05B"/>
                      </w:r>
                      <w:r w:rsidRPr="00857A1E">
                        <w:rPr>
                          <w:b/>
                          <w:snapToGrid w:val="0"/>
                          <w:sz w:val="18"/>
                          <w:lang w:val="es-ES_tradnl"/>
                        </w:rPr>
                        <w:t>NO</w:t>
                      </w:r>
                      <w:r w:rsidRPr="00857A1E">
                        <w:rPr>
                          <w:b/>
                          <w:snapToGrid w:val="0"/>
                          <w:sz w:val="18"/>
                          <w:vertAlign w:val="subscript"/>
                          <w:lang w:val="es-ES_tradnl"/>
                        </w:rPr>
                        <w:t>3</w:t>
                      </w:r>
                      <w:r w:rsidRPr="00857A1E">
                        <w:rPr>
                          <w:b/>
                          <w:snapToGrid w:val="0"/>
                          <w:sz w:val="18"/>
                          <w:vertAlign w:val="superscript"/>
                          <w:lang w:val="es-ES_tradnl"/>
                        </w:rPr>
                        <w:t xml:space="preserve">- </w:t>
                      </w:r>
                      <w:r w:rsidRPr="00857A1E">
                        <w:rPr>
                          <w:b/>
                          <w:snapToGrid w:val="0"/>
                          <w:sz w:val="24"/>
                          <w:lang w:val="es-ES_tradnl"/>
                        </w:rPr>
                        <w:sym w:font="Symbol" w:char="F05D"/>
                      </w:r>
                      <w:r w:rsidRPr="00857A1E">
                        <w:rPr>
                          <w:b/>
                          <w:snapToGrid w:val="0"/>
                          <w:sz w:val="24"/>
                          <w:lang w:val="es-ES_tradnl"/>
                        </w:rPr>
                        <w:t xml:space="preserve"> </w:t>
                      </w:r>
                      <w:r w:rsidRPr="00857A1E">
                        <w:rPr>
                          <w:snapToGrid w:val="0"/>
                          <w:sz w:val="18"/>
                          <w:lang w:val="es-ES_tradnl"/>
                        </w:rPr>
                        <w:t>es la concentración de nitrato en el agua de riego expresada en ppm (partes por millón = mg/l)</w:t>
                      </w:r>
                    </w:p>
                    <w:p w:rsidR="00567C10" w:rsidRPr="00857A1E" w:rsidRDefault="00567C10" w:rsidP="009D1A2D">
                      <w:pPr>
                        <w:numPr>
                          <w:ilvl w:val="0"/>
                          <w:numId w:val="36"/>
                        </w:numPr>
                        <w:spacing w:after="0" w:line="240" w:lineRule="auto"/>
                        <w:rPr>
                          <w:i/>
                          <w:snapToGrid w:val="0"/>
                          <w:sz w:val="18"/>
                          <w:lang w:val="es-ES_tradnl"/>
                        </w:rPr>
                      </w:pPr>
                      <w:r w:rsidRPr="00857A1E">
                        <w:rPr>
                          <w:b/>
                          <w:snapToGrid w:val="0"/>
                          <w:sz w:val="18"/>
                          <w:lang w:val="es-ES_tradnl"/>
                        </w:rPr>
                        <w:t xml:space="preserve">Vr: </w:t>
                      </w:r>
                      <w:r w:rsidRPr="00857A1E">
                        <w:rPr>
                          <w:snapToGrid w:val="0"/>
                          <w:sz w:val="18"/>
                          <w:lang w:val="es-ES_tradnl"/>
                        </w:rPr>
                        <w:t>Volumen total de riego en metros cúbicos por hectárea.</w:t>
                      </w:r>
                    </w:p>
                    <w:p w:rsidR="00567C10" w:rsidRPr="00857A1E" w:rsidRDefault="00567C10" w:rsidP="009D1A2D">
                      <w:pPr>
                        <w:numPr>
                          <w:ilvl w:val="0"/>
                          <w:numId w:val="36"/>
                        </w:numPr>
                        <w:spacing w:after="0" w:line="240" w:lineRule="auto"/>
                        <w:rPr>
                          <w:b/>
                          <w:snapToGrid w:val="0"/>
                          <w:sz w:val="18"/>
                          <w:lang w:val="es-ES_tradnl"/>
                        </w:rPr>
                      </w:pPr>
                      <w:r w:rsidRPr="00857A1E">
                        <w:rPr>
                          <w:b/>
                          <w:snapToGrid w:val="0"/>
                          <w:sz w:val="18"/>
                          <w:lang w:val="es-ES_tradnl"/>
                        </w:rPr>
                        <w:t xml:space="preserve">22,6: </w:t>
                      </w:r>
                      <w:r w:rsidRPr="00857A1E">
                        <w:rPr>
                          <w:snapToGrid w:val="0"/>
                          <w:sz w:val="18"/>
                          <w:lang w:val="es-ES_tradnl"/>
                        </w:rPr>
                        <w:t xml:space="preserve">Porcentaje de riqueza en N del </w:t>
                      </w:r>
                      <w:r w:rsidRPr="00857A1E">
                        <w:rPr>
                          <w:b/>
                          <w:snapToGrid w:val="0"/>
                          <w:sz w:val="18"/>
                          <w:lang w:val="es-ES_tradnl"/>
                        </w:rPr>
                        <w:t>NO</w:t>
                      </w:r>
                      <w:r w:rsidRPr="00857A1E">
                        <w:rPr>
                          <w:b/>
                          <w:snapToGrid w:val="0"/>
                          <w:sz w:val="18"/>
                          <w:vertAlign w:val="subscript"/>
                          <w:lang w:val="es-ES_tradnl"/>
                        </w:rPr>
                        <w:t>3</w:t>
                      </w:r>
                      <w:r w:rsidRPr="00857A1E">
                        <w:rPr>
                          <w:b/>
                          <w:snapToGrid w:val="0"/>
                          <w:sz w:val="18"/>
                          <w:vertAlign w:val="superscript"/>
                          <w:lang w:val="es-ES_tradnl"/>
                        </w:rPr>
                        <w:t xml:space="preserve">- </w:t>
                      </w:r>
                    </w:p>
                    <w:p w:rsidR="00567C10" w:rsidRPr="00857A1E" w:rsidRDefault="00567C10" w:rsidP="009D1A2D">
                      <w:pPr>
                        <w:numPr>
                          <w:ilvl w:val="0"/>
                          <w:numId w:val="36"/>
                        </w:numPr>
                        <w:spacing w:after="0" w:line="240" w:lineRule="auto"/>
                        <w:rPr>
                          <w:snapToGrid w:val="0"/>
                          <w:sz w:val="18"/>
                          <w:lang w:val="es-ES_tradnl"/>
                        </w:rPr>
                      </w:pPr>
                      <w:r w:rsidRPr="00857A1E">
                        <w:rPr>
                          <w:b/>
                          <w:snapToGrid w:val="0"/>
                          <w:sz w:val="18"/>
                          <w:lang w:val="es-ES_tradnl"/>
                        </w:rPr>
                        <w:t>F:</w:t>
                      </w:r>
                      <w:r>
                        <w:rPr>
                          <w:b/>
                          <w:snapToGrid w:val="0"/>
                          <w:sz w:val="18"/>
                          <w:lang w:val="es-ES_tradnl"/>
                        </w:rPr>
                        <w:t xml:space="preserve"> </w:t>
                      </w:r>
                      <w:r w:rsidRPr="00857A1E">
                        <w:rPr>
                          <w:snapToGrid w:val="0"/>
                          <w:sz w:val="18"/>
                          <w:lang w:val="es-ES_tradnl"/>
                        </w:rPr>
                        <w:t>Factor que depende de la eficacia del riego y considera la pérdida del agua.</w:t>
                      </w:r>
                    </w:p>
                    <w:p w:rsidR="00567C10" w:rsidRPr="00857A1E" w:rsidRDefault="00567C10" w:rsidP="00412AFB">
                      <w:pPr>
                        <w:rPr>
                          <w:lang w:val="es-ES_tradnl"/>
                        </w:rPr>
                      </w:pPr>
                    </w:p>
                  </w:txbxContent>
                </v:textbox>
              </v:shape>
            </w:pict>
          </mc:Fallback>
        </mc:AlternateContent>
      </w: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Tabla 2.11 Composición de los diferentes tipos de estiércol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41"/>
        <w:gridCol w:w="1247"/>
        <w:gridCol w:w="1247"/>
        <w:gridCol w:w="1248"/>
        <w:gridCol w:w="1247"/>
        <w:gridCol w:w="1248"/>
      </w:tblGrid>
      <w:tr w:rsidR="00412AFB" w:rsidRPr="00993936" w:rsidTr="00C8678E">
        <w:trPr>
          <w:cantSplit/>
        </w:trPr>
        <w:tc>
          <w:tcPr>
            <w:tcW w:w="9072" w:type="dxa"/>
            <w:gridSpan w:val="7"/>
            <w:tcBorders>
              <w:bottom w:val="nil"/>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Composición de los diferentes tipos de estiércol</w:t>
            </w:r>
          </w:p>
        </w:tc>
      </w:tr>
      <w:tr w:rsidR="00412AFB" w:rsidRPr="00993936" w:rsidTr="00C8678E">
        <w:tc>
          <w:tcPr>
            <w:tcW w:w="2694"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COMPOSICIÓN</w:t>
            </w:r>
          </w:p>
        </w:tc>
        <w:tc>
          <w:tcPr>
            <w:tcW w:w="1388" w:type="dxa"/>
            <w:gridSpan w:val="2"/>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GALLINAZA</w:t>
            </w:r>
          </w:p>
        </w:tc>
        <w:tc>
          <w:tcPr>
            <w:tcW w:w="1247"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OVEJA</w:t>
            </w:r>
          </w:p>
        </w:tc>
        <w:tc>
          <w:tcPr>
            <w:tcW w:w="124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TERNERO</w:t>
            </w:r>
          </w:p>
        </w:tc>
        <w:tc>
          <w:tcPr>
            <w:tcW w:w="1247"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VACA</w:t>
            </w:r>
          </w:p>
        </w:tc>
        <w:tc>
          <w:tcPr>
            <w:tcW w:w="124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CONEJO</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Materia seca</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22 o 76 (2)</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25</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23</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23</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26</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pH</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6,80</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7,82</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7,90</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8,17</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7,47</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Conductividad</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5,78</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2,81</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4,72</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4,03</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2,87</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Materia orgánica (%) (1)</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64,71</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64,08</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73,25</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66,28</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69,38</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Nitrógeno</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1,74</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2,54</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2,40</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1,84</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2,79</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P</w:t>
            </w:r>
            <w:r w:rsidRPr="00993936">
              <w:rPr>
                <w:rFonts w:ascii="Arial" w:hAnsi="Arial" w:cs="Arial"/>
                <w:snapToGrid w:val="0"/>
                <w:vertAlign w:val="subscript"/>
                <w:lang w:val="es-ES"/>
              </w:rPr>
              <w:t>2</w:t>
            </w:r>
            <w:r w:rsidRPr="00993936">
              <w:rPr>
                <w:rFonts w:ascii="Arial" w:hAnsi="Arial" w:cs="Arial"/>
                <w:snapToGrid w:val="0"/>
                <w:lang w:val="es-ES"/>
              </w:rPr>
              <w:t>O</w:t>
            </w:r>
            <w:r w:rsidRPr="00993936">
              <w:rPr>
                <w:rFonts w:ascii="Arial" w:hAnsi="Arial" w:cs="Arial"/>
                <w:snapToGrid w:val="0"/>
                <w:vertAlign w:val="subscript"/>
                <w:lang w:val="es-ES"/>
              </w:rPr>
              <w:t>5</w:t>
            </w:r>
            <w:r w:rsidRPr="00993936">
              <w:rPr>
                <w:rFonts w:ascii="Arial" w:hAnsi="Arial" w:cs="Arial"/>
                <w:snapToGrid w:val="0"/>
                <w:lang w:val="es-ES"/>
              </w:rPr>
              <w:t xml:space="preserve"> (%)</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4,18</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1,19</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1,50</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1,73</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4,86</w:t>
            </w:r>
          </w:p>
        </w:tc>
      </w:tr>
      <w:tr w:rsidR="00412AFB" w:rsidRPr="00993936" w:rsidTr="00C8678E">
        <w:trPr>
          <w:trHeight w:val="365"/>
        </w:trPr>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K</w:t>
            </w:r>
            <w:r w:rsidRPr="00993936">
              <w:rPr>
                <w:rFonts w:ascii="Arial" w:hAnsi="Arial" w:cs="Arial"/>
                <w:snapToGrid w:val="0"/>
                <w:vertAlign w:val="subscript"/>
                <w:lang w:val="es-ES"/>
              </w:rPr>
              <w:t>2</w:t>
            </w:r>
            <w:r w:rsidRPr="00993936">
              <w:rPr>
                <w:rFonts w:ascii="Arial" w:hAnsi="Arial" w:cs="Arial"/>
                <w:snapToGrid w:val="0"/>
                <w:lang w:val="es-ES"/>
              </w:rPr>
              <w:t>O (%)</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3,79</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2,83</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3,14</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3,10</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1,88</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 xml:space="preserve">Relación C/N </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20,15</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10,57</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14,55</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13,90</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10,92</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CaO (%)</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8,90</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7,76</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2,99</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3,74</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6,62</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MgO (%)</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2,90</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1,51</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0,91</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1,08</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2,10</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Na</w:t>
            </w:r>
            <w:r w:rsidRPr="00993936">
              <w:rPr>
                <w:rFonts w:ascii="Arial" w:hAnsi="Arial" w:cs="Arial"/>
                <w:snapToGrid w:val="0"/>
                <w:vertAlign w:val="subscript"/>
                <w:lang w:val="es-ES"/>
              </w:rPr>
              <w:t>2</w:t>
            </w:r>
            <w:r w:rsidRPr="00993936">
              <w:rPr>
                <w:rFonts w:ascii="Arial" w:hAnsi="Arial" w:cs="Arial"/>
                <w:snapToGrid w:val="0"/>
                <w:lang w:val="es-ES"/>
              </w:rPr>
              <w:t>O (%)</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0,59</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0,62</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0,78</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0,58</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0,35</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Fe (%)</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0,49</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0,34</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0,23</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0,41</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0,24</w:t>
            </w:r>
          </w:p>
        </w:tc>
      </w:tr>
      <w:tr w:rsidR="00412AFB" w:rsidRPr="00993936" w:rsidTr="00C8678E">
        <w:tc>
          <w:tcPr>
            <w:tcW w:w="2835" w:type="dxa"/>
            <w:gridSpan w:val="2"/>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Mn (mg/kg)</w:t>
            </w:r>
          </w:p>
        </w:tc>
        <w:tc>
          <w:tcPr>
            <w:tcW w:w="1247" w:type="dxa"/>
            <w:tcBorders>
              <w:bottom w:val="nil"/>
            </w:tcBorders>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506</w:t>
            </w:r>
          </w:p>
        </w:tc>
        <w:tc>
          <w:tcPr>
            <w:tcW w:w="1247" w:type="dxa"/>
            <w:tcBorders>
              <w:bottom w:val="nil"/>
            </w:tcBorders>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306</w:t>
            </w:r>
          </w:p>
        </w:tc>
        <w:tc>
          <w:tcPr>
            <w:tcW w:w="1248" w:type="dxa"/>
            <w:tcBorders>
              <w:bottom w:val="nil"/>
            </w:tcBorders>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160</w:t>
            </w:r>
          </w:p>
        </w:tc>
        <w:tc>
          <w:tcPr>
            <w:tcW w:w="1247" w:type="dxa"/>
            <w:tcBorders>
              <w:bottom w:val="nil"/>
            </w:tcBorders>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172</w:t>
            </w:r>
          </w:p>
        </w:tc>
        <w:tc>
          <w:tcPr>
            <w:tcW w:w="1248" w:type="dxa"/>
            <w:tcBorders>
              <w:bottom w:val="nil"/>
            </w:tcBorders>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258</w:t>
            </w:r>
          </w:p>
        </w:tc>
      </w:tr>
      <w:tr w:rsidR="00412AFB" w:rsidRPr="00993936" w:rsidTr="00C8678E">
        <w:trPr>
          <w:cantSplit/>
        </w:trPr>
        <w:tc>
          <w:tcPr>
            <w:tcW w:w="9072" w:type="dxa"/>
            <w:gridSpan w:val="7"/>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Contenido en elementos potencialmente tóxicos (mg/kg)</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Zn</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452</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120</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177</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133</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417</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Cu</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177</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27</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26</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33</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42</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27</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Pb</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19</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9</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14</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18</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Cr</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63</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24</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32</w:t>
            </w:r>
          </w:p>
        </w:tc>
      </w:tr>
      <w:tr w:rsidR="00412AFB" w:rsidRPr="00993936" w:rsidTr="00C8678E">
        <w:tc>
          <w:tcPr>
            <w:tcW w:w="2835" w:type="dxa"/>
            <w:gridSpan w:val="2"/>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Cd</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c>
          <w:tcPr>
            <w:tcW w:w="124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c>
          <w:tcPr>
            <w:tcW w:w="124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r>
    </w:tbl>
    <w:p w:rsidR="00412AFB" w:rsidRPr="00993936" w:rsidRDefault="00412AFB" w:rsidP="009D1A2D">
      <w:pPr>
        <w:numPr>
          <w:ilvl w:val="0"/>
          <w:numId w:val="37"/>
        </w:numPr>
        <w:spacing w:after="0" w:line="240" w:lineRule="auto"/>
        <w:rPr>
          <w:rFonts w:ascii="Arial" w:hAnsi="Arial" w:cs="Arial"/>
          <w:snapToGrid w:val="0"/>
          <w:lang w:val="es-ES"/>
        </w:rPr>
      </w:pPr>
      <w:r w:rsidRPr="00993936">
        <w:rPr>
          <w:rFonts w:ascii="Arial" w:hAnsi="Arial" w:cs="Arial"/>
          <w:snapToGrid w:val="0"/>
          <w:lang w:val="es-ES"/>
        </w:rPr>
        <w:t>Todos los resultados están expresados ​​sobre materia seca.</w:t>
      </w:r>
      <w:r w:rsidR="00E03B3B" w:rsidRPr="00993936">
        <w:rPr>
          <w:rFonts w:ascii="Arial" w:hAnsi="Arial" w:cs="Arial"/>
          <w:snapToGrid w:val="0"/>
          <w:lang w:val="es-ES"/>
        </w:rPr>
        <w:t xml:space="preserve"> </w:t>
      </w:r>
    </w:p>
    <w:p w:rsidR="00412AFB" w:rsidRPr="00993936" w:rsidRDefault="00412AFB" w:rsidP="009D1A2D">
      <w:pPr>
        <w:numPr>
          <w:ilvl w:val="0"/>
          <w:numId w:val="37"/>
        </w:numPr>
        <w:spacing w:after="0" w:line="240" w:lineRule="auto"/>
        <w:rPr>
          <w:rFonts w:ascii="Arial" w:hAnsi="Arial" w:cs="Arial"/>
          <w:snapToGrid w:val="0"/>
          <w:lang w:val="es-ES"/>
        </w:rPr>
      </w:pPr>
      <w:r w:rsidRPr="00993936">
        <w:rPr>
          <w:rFonts w:ascii="Arial" w:hAnsi="Arial" w:cs="Arial"/>
          <w:snapToGrid w:val="0"/>
          <w:lang w:val="es-ES"/>
        </w:rPr>
        <w:t xml:space="preserve">Ponedoras en batería y pollos de engorde, respectivamente. </w:t>
      </w: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Tabla 2.12 Nitrógeno procedente de la materia orgánica del suelo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949"/>
        <w:gridCol w:w="2285"/>
        <w:gridCol w:w="2286"/>
      </w:tblGrid>
      <w:tr w:rsidR="00412AFB" w:rsidRPr="00993936" w:rsidTr="00C8678E">
        <w:trPr>
          <w:cantSplit/>
          <w:trHeight w:val="400"/>
        </w:trPr>
        <w:tc>
          <w:tcPr>
            <w:tcW w:w="9072" w:type="dxa"/>
            <w:gridSpan w:val="4"/>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Nitrógeno anual disponible (kg/ha)</w:t>
            </w:r>
          </w:p>
        </w:tc>
      </w:tr>
      <w:tr w:rsidR="00412AFB" w:rsidRPr="00993936" w:rsidTr="00C8678E">
        <w:tc>
          <w:tcPr>
            <w:tcW w:w="2552"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Materia orgánica del suelo %</w:t>
            </w:r>
          </w:p>
        </w:tc>
        <w:tc>
          <w:tcPr>
            <w:tcW w:w="1949"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Arenoso</w:t>
            </w:r>
          </w:p>
        </w:tc>
        <w:tc>
          <w:tcPr>
            <w:tcW w:w="2285"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Franco</w:t>
            </w:r>
          </w:p>
        </w:tc>
        <w:tc>
          <w:tcPr>
            <w:tcW w:w="2286" w:type="dxa"/>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Arcilloso</w:t>
            </w:r>
          </w:p>
        </w:tc>
      </w:tr>
      <w:tr w:rsidR="00412AFB" w:rsidRPr="00993936" w:rsidTr="00C8678E">
        <w:tc>
          <w:tcPr>
            <w:tcW w:w="2552"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0,5</w:t>
            </w:r>
          </w:p>
        </w:tc>
        <w:tc>
          <w:tcPr>
            <w:tcW w:w="1949"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10-15</w:t>
            </w:r>
          </w:p>
        </w:tc>
        <w:tc>
          <w:tcPr>
            <w:tcW w:w="2285"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7-12</w:t>
            </w:r>
          </w:p>
        </w:tc>
        <w:tc>
          <w:tcPr>
            <w:tcW w:w="228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5-10</w:t>
            </w:r>
          </w:p>
        </w:tc>
      </w:tr>
      <w:tr w:rsidR="00412AFB" w:rsidRPr="00993936" w:rsidTr="00C8678E">
        <w:tc>
          <w:tcPr>
            <w:tcW w:w="2552"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w:t>
            </w:r>
          </w:p>
        </w:tc>
        <w:tc>
          <w:tcPr>
            <w:tcW w:w="1949"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20-30</w:t>
            </w:r>
          </w:p>
        </w:tc>
        <w:tc>
          <w:tcPr>
            <w:tcW w:w="2285"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15-25</w:t>
            </w:r>
          </w:p>
        </w:tc>
        <w:tc>
          <w:tcPr>
            <w:tcW w:w="228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10-20</w:t>
            </w:r>
          </w:p>
        </w:tc>
      </w:tr>
      <w:tr w:rsidR="00412AFB" w:rsidRPr="00993936" w:rsidTr="00C8678E">
        <w:tc>
          <w:tcPr>
            <w:tcW w:w="2552"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c>
          <w:tcPr>
            <w:tcW w:w="1949"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30-45</w:t>
            </w:r>
          </w:p>
        </w:tc>
        <w:tc>
          <w:tcPr>
            <w:tcW w:w="2285"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22-37</w:t>
            </w:r>
          </w:p>
        </w:tc>
        <w:tc>
          <w:tcPr>
            <w:tcW w:w="228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15-30</w:t>
            </w:r>
          </w:p>
        </w:tc>
      </w:tr>
      <w:tr w:rsidR="00412AFB" w:rsidRPr="00993936" w:rsidTr="00C8678E">
        <w:tc>
          <w:tcPr>
            <w:tcW w:w="2552"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w:t>
            </w:r>
          </w:p>
        </w:tc>
        <w:tc>
          <w:tcPr>
            <w:tcW w:w="1949"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40-60</w:t>
            </w:r>
          </w:p>
        </w:tc>
        <w:tc>
          <w:tcPr>
            <w:tcW w:w="2285"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30-50</w:t>
            </w:r>
          </w:p>
        </w:tc>
        <w:tc>
          <w:tcPr>
            <w:tcW w:w="228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20-40</w:t>
            </w:r>
          </w:p>
        </w:tc>
      </w:tr>
      <w:tr w:rsidR="00412AFB" w:rsidRPr="00993936" w:rsidTr="00C8678E">
        <w:tc>
          <w:tcPr>
            <w:tcW w:w="2552"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2,5</w:t>
            </w:r>
          </w:p>
        </w:tc>
        <w:tc>
          <w:tcPr>
            <w:tcW w:w="1949"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w:t>
            </w:r>
          </w:p>
        </w:tc>
        <w:tc>
          <w:tcPr>
            <w:tcW w:w="2285"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37-62</w:t>
            </w:r>
          </w:p>
        </w:tc>
        <w:tc>
          <w:tcPr>
            <w:tcW w:w="228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25-40</w:t>
            </w:r>
          </w:p>
        </w:tc>
      </w:tr>
      <w:tr w:rsidR="00412AFB" w:rsidRPr="00993936" w:rsidTr="00C8678E">
        <w:tc>
          <w:tcPr>
            <w:tcW w:w="2552"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w:t>
            </w:r>
          </w:p>
        </w:tc>
        <w:tc>
          <w:tcPr>
            <w:tcW w:w="1949"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w:t>
            </w:r>
          </w:p>
        </w:tc>
        <w:tc>
          <w:tcPr>
            <w:tcW w:w="2285"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w:t>
            </w:r>
          </w:p>
        </w:tc>
        <w:tc>
          <w:tcPr>
            <w:tcW w:w="228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30-60</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Tabla 2.13 Principales abonos nitrogenados utilizables en fertirrigación </w:t>
      </w:r>
    </w:p>
    <w:p w:rsidR="00412AFB" w:rsidRPr="00993936" w:rsidRDefault="00412AFB" w:rsidP="00412AFB">
      <w:pPr>
        <w:rPr>
          <w:rFonts w:ascii="Arial" w:hAnsi="Arial" w:cs="Arial"/>
          <w:b/>
          <w:snapToGrid w:val="0"/>
          <w:lang w:val="es-ES"/>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0"/>
        <w:gridCol w:w="2409"/>
        <w:gridCol w:w="1843"/>
        <w:gridCol w:w="1843"/>
        <w:gridCol w:w="1487"/>
      </w:tblGrid>
      <w:tr w:rsidR="00412AFB" w:rsidRPr="00993936" w:rsidTr="00B27C4C">
        <w:trPr>
          <w:cantSplit/>
        </w:trPr>
        <w:tc>
          <w:tcPr>
            <w:tcW w:w="1490" w:type="dxa"/>
            <w:tcBorders>
              <w:top w:val="nil"/>
              <w:left w:val="nil"/>
              <w:bottom w:val="nil"/>
              <w:right w:val="nil"/>
            </w:tcBorders>
          </w:tcPr>
          <w:p w:rsidR="00412AFB" w:rsidRPr="00993936" w:rsidRDefault="00412AFB" w:rsidP="00B27C4C">
            <w:pPr>
              <w:pStyle w:val="Sinespaciado"/>
              <w:jc w:val="center"/>
              <w:rPr>
                <w:rFonts w:ascii="Arial" w:hAnsi="Arial" w:cs="Arial"/>
                <w:b/>
                <w:snapToGrid w:val="0"/>
                <w:lang w:val="es-ES"/>
              </w:rPr>
            </w:pPr>
          </w:p>
        </w:tc>
        <w:tc>
          <w:tcPr>
            <w:tcW w:w="2409" w:type="dxa"/>
            <w:tcBorders>
              <w:top w:val="nil"/>
              <w:left w:val="nil"/>
              <w:right w:val="nil"/>
            </w:tcBorders>
            <w:shd w:val="pct20" w:color="auto" w:fill="FFFFFF"/>
          </w:tcPr>
          <w:p w:rsidR="00412AFB" w:rsidRPr="00993936" w:rsidRDefault="00412AFB" w:rsidP="00B27C4C">
            <w:pPr>
              <w:pStyle w:val="Sinespaciado"/>
              <w:jc w:val="center"/>
              <w:rPr>
                <w:rFonts w:ascii="Arial" w:hAnsi="Arial" w:cs="Arial"/>
                <w:b/>
                <w:snapToGrid w:val="0"/>
                <w:lang w:val="es-ES"/>
              </w:rPr>
            </w:pPr>
          </w:p>
        </w:tc>
        <w:tc>
          <w:tcPr>
            <w:tcW w:w="1843" w:type="dxa"/>
            <w:tcBorders>
              <w:top w:val="nil"/>
              <w:left w:val="nil"/>
            </w:tcBorders>
            <w:shd w:val="pct20" w:color="auto" w:fill="FFFFFF"/>
          </w:tcPr>
          <w:p w:rsidR="00412AFB" w:rsidRPr="00993936" w:rsidRDefault="00412AFB" w:rsidP="00B27C4C">
            <w:pPr>
              <w:pStyle w:val="Sinespaciado"/>
              <w:jc w:val="center"/>
              <w:rPr>
                <w:rFonts w:ascii="Arial" w:hAnsi="Arial" w:cs="Arial"/>
                <w:b/>
                <w:snapToGrid w:val="0"/>
                <w:lang w:val="es-ES"/>
              </w:rPr>
            </w:pPr>
          </w:p>
        </w:tc>
        <w:tc>
          <w:tcPr>
            <w:tcW w:w="3330" w:type="dxa"/>
            <w:gridSpan w:val="2"/>
            <w:shd w:val="pct20" w:color="auto" w:fill="FFFFFF"/>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Solubilidad (g/l)</w:t>
            </w:r>
          </w:p>
        </w:tc>
      </w:tr>
      <w:tr w:rsidR="00412AFB" w:rsidRPr="00993936" w:rsidTr="00B27C4C">
        <w:tc>
          <w:tcPr>
            <w:tcW w:w="1490" w:type="dxa"/>
            <w:tcBorders>
              <w:top w:val="nil"/>
              <w:left w:val="nil"/>
            </w:tcBorders>
            <w:vAlign w:val="center"/>
          </w:tcPr>
          <w:p w:rsidR="00412AFB" w:rsidRPr="00993936" w:rsidRDefault="00412AFB" w:rsidP="00B27C4C">
            <w:pPr>
              <w:pStyle w:val="Sinespaciado"/>
              <w:jc w:val="center"/>
              <w:rPr>
                <w:rFonts w:ascii="Arial" w:hAnsi="Arial" w:cs="Arial"/>
                <w:b/>
                <w:snapToGrid w:val="0"/>
                <w:lang w:val="es-ES"/>
              </w:rPr>
            </w:pPr>
          </w:p>
        </w:tc>
        <w:tc>
          <w:tcPr>
            <w:tcW w:w="2409"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Tipo de abono</w:t>
            </w:r>
          </w:p>
        </w:tc>
        <w:tc>
          <w:tcPr>
            <w:tcW w:w="1843"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Riqueza</w:t>
            </w:r>
          </w:p>
        </w:tc>
        <w:tc>
          <w:tcPr>
            <w:tcW w:w="1843"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0º C</w:t>
            </w:r>
          </w:p>
        </w:tc>
        <w:tc>
          <w:tcPr>
            <w:tcW w:w="1487"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20 ºC</w:t>
            </w:r>
          </w:p>
        </w:tc>
      </w:tr>
      <w:tr w:rsidR="00412AFB" w:rsidRPr="00993936" w:rsidTr="00B27C4C">
        <w:trPr>
          <w:cantSplit/>
        </w:trPr>
        <w:tc>
          <w:tcPr>
            <w:tcW w:w="1490" w:type="dxa"/>
            <w:vMerge w:val="restart"/>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Nitrogenados</w:t>
            </w: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Urea</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46 % N</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780</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1190</w:t>
            </w:r>
          </w:p>
        </w:tc>
      </w:tr>
      <w:tr w:rsidR="00412AFB" w:rsidRPr="00993936" w:rsidTr="00B27C4C">
        <w:trPr>
          <w:cantSplit/>
        </w:trPr>
        <w:tc>
          <w:tcPr>
            <w:tcW w:w="1490" w:type="dxa"/>
            <w:vMerge/>
            <w:vAlign w:val="center"/>
          </w:tcPr>
          <w:p w:rsidR="00412AFB" w:rsidRPr="00993936" w:rsidRDefault="00412AFB" w:rsidP="00B27C4C">
            <w:pPr>
              <w:pStyle w:val="Sinespaciado"/>
              <w:rPr>
                <w:rFonts w:ascii="Arial" w:hAnsi="Arial" w:cs="Arial"/>
                <w:snapToGrid w:val="0"/>
                <w:lang w:val="es-ES"/>
              </w:rPr>
            </w:pP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amónico</w:t>
            </w:r>
          </w:p>
        </w:tc>
        <w:tc>
          <w:tcPr>
            <w:tcW w:w="1843" w:type="dxa"/>
            <w:vAlign w:val="center"/>
          </w:tcPr>
          <w:p w:rsidR="00412AFB" w:rsidRPr="00993936" w:rsidRDefault="006E0CBA" w:rsidP="00B27C4C">
            <w:pPr>
              <w:pStyle w:val="Sinespaciado"/>
              <w:rPr>
                <w:rFonts w:ascii="Arial" w:hAnsi="Arial" w:cs="Arial"/>
                <w:snapToGrid w:val="0"/>
                <w:lang w:val="es-ES"/>
              </w:rPr>
            </w:pPr>
            <w:r w:rsidRPr="00993936">
              <w:rPr>
                <w:rFonts w:ascii="Arial" w:hAnsi="Arial" w:cs="Arial"/>
                <w:noProof/>
                <w:snapToGrid w:val="0"/>
              </w:rPr>
              <w:t xml:space="preserve">33,5 % </w:t>
            </w:r>
            <w:r w:rsidR="00412AFB" w:rsidRPr="00993936">
              <w:rPr>
                <w:rFonts w:ascii="Arial" w:hAnsi="Arial" w:cs="Arial"/>
                <w:snapToGrid w:val="0"/>
                <w:lang w:val="es-ES"/>
              </w:rPr>
              <w:t>N</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900</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1185</w:t>
            </w:r>
          </w:p>
        </w:tc>
      </w:tr>
      <w:tr w:rsidR="00412AFB" w:rsidRPr="00993936" w:rsidTr="00B27C4C">
        <w:trPr>
          <w:cantSplit/>
        </w:trPr>
        <w:tc>
          <w:tcPr>
            <w:tcW w:w="1490" w:type="dxa"/>
            <w:vMerge/>
            <w:vAlign w:val="center"/>
          </w:tcPr>
          <w:p w:rsidR="00412AFB" w:rsidRPr="00993936" w:rsidRDefault="00412AFB" w:rsidP="00B27C4C">
            <w:pPr>
              <w:pStyle w:val="Sinespaciado"/>
              <w:rPr>
                <w:rFonts w:ascii="Arial" w:hAnsi="Arial" w:cs="Arial"/>
                <w:snapToGrid w:val="0"/>
                <w:lang w:val="es-ES"/>
              </w:rPr>
            </w:pP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cálcico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15,5 % N</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1020</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1670</w:t>
            </w:r>
          </w:p>
        </w:tc>
      </w:tr>
      <w:tr w:rsidR="00412AFB" w:rsidRPr="00993936" w:rsidTr="00B27C4C">
        <w:trPr>
          <w:cantSplit/>
        </w:trPr>
        <w:tc>
          <w:tcPr>
            <w:tcW w:w="1490" w:type="dxa"/>
            <w:vMerge/>
            <w:vAlign w:val="center"/>
          </w:tcPr>
          <w:p w:rsidR="00412AFB" w:rsidRPr="00993936" w:rsidRDefault="00412AFB" w:rsidP="00B27C4C">
            <w:pPr>
              <w:pStyle w:val="Sinespaciado"/>
              <w:rPr>
                <w:rFonts w:ascii="Arial" w:hAnsi="Arial" w:cs="Arial"/>
                <w:snapToGrid w:val="0"/>
                <w:lang w:val="es-ES"/>
              </w:rPr>
            </w:pP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Sulfato amónico</w:t>
            </w:r>
          </w:p>
        </w:tc>
        <w:tc>
          <w:tcPr>
            <w:tcW w:w="1843" w:type="dxa"/>
            <w:vAlign w:val="center"/>
          </w:tcPr>
          <w:p w:rsidR="00412AFB" w:rsidRPr="00993936" w:rsidRDefault="006E0CBA" w:rsidP="00B27C4C">
            <w:pPr>
              <w:pStyle w:val="Sinespaciado"/>
              <w:rPr>
                <w:rFonts w:ascii="Arial" w:hAnsi="Arial" w:cs="Arial"/>
                <w:snapToGrid w:val="0"/>
                <w:lang w:val="es-ES"/>
              </w:rPr>
            </w:pPr>
            <w:r w:rsidRPr="00993936">
              <w:rPr>
                <w:rFonts w:ascii="Arial" w:hAnsi="Arial" w:cs="Arial"/>
                <w:snapToGrid w:val="0"/>
                <w:lang w:val="es-ES"/>
              </w:rPr>
              <w:t>20,6 %</w:t>
            </w:r>
            <w:r w:rsidR="00412AFB" w:rsidRPr="00993936">
              <w:rPr>
                <w:rFonts w:ascii="Arial" w:hAnsi="Arial" w:cs="Arial"/>
                <w:snapToGrid w:val="0"/>
                <w:lang w:val="es-ES"/>
              </w:rPr>
              <w:t>N</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380</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700</w:t>
            </w:r>
          </w:p>
        </w:tc>
      </w:tr>
      <w:tr w:rsidR="00412AFB" w:rsidRPr="00993936" w:rsidTr="00B27C4C">
        <w:trPr>
          <w:cantSplit/>
        </w:trPr>
        <w:tc>
          <w:tcPr>
            <w:tcW w:w="1490" w:type="dxa"/>
            <w:vMerge w:val="restart"/>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Fosforados</w:t>
            </w: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Ácido fosfórico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75 % P</w:t>
            </w:r>
            <w:r w:rsidRPr="00993936">
              <w:rPr>
                <w:rFonts w:ascii="Arial" w:hAnsi="Arial" w:cs="Arial"/>
                <w:snapToGrid w:val="0"/>
                <w:vertAlign w:val="subscript"/>
                <w:lang w:val="es-ES"/>
              </w:rPr>
              <w:t>2</w:t>
            </w:r>
            <w:r w:rsidRPr="00993936">
              <w:rPr>
                <w:rFonts w:ascii="Arial" w:hAnsi="Arial" w:cs="Arial"/>
                <w:snapToGrid w:val="0"/>
                <w:lang w:val="es-ES"/>
              </w:rPr>
              <w:t>O</w:t>
            </w:r>
            <w:r w:rsidRPr="00993936">
              <w:rPr>
                <w:rFonts w:ascii="Arial" w:hAnsi="Arial" w:cs="Arial"/>
                <w:snapToGrid w:val="0"/>
                <w:vertAlign w:val="subscript"/>
                <w:lang w:val="es-ES"/>
              </w:rPr>
              <w:t>5</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Todas las proporciones</w:t>
            </w:r>
          </w:p>
        </w:tc>
        <w:tc>
          <w:tcPr>
            <w:tcW w:w="1487" w:type="dxa"/>
            <w:vAlign w:val="center"/>
          </w:tcPr>
          <w:p w:rsidR="00412AFB" w:rsidRPr="00993936" w:rsidRDefault="00412AFB" w:rsidP="00B27C4C">
            <w:pPr>
              <w:pStyle w:val="Sinespaciado"/>
              <w:rPr>
                <w:rFonts w:ascii="Arial" w:hAnsi="Arial" w:cs="Arial"/>
                <w:snapToGrid w:val="0"/>
                <w:lang w:val="es-ES"/>
              </w:rPr>
            </w:pPr>
          </w:p>
        </w:tc>
      </w:tr>
      <w:tr w:rsidR="00412AFB" w:rsidRPr="00993936" w:rsidTr="00B27C4C">
        <w:trPr>
          <w:cantSplit/>
        </w:trPr>
        <w:tc>
          <w:tcPr>
            <w:tcW w:w="1490" w:type="dxa"/>
            <w:vMerge/>
            <w:vAlign w:val="center"/>
          </w:tcPr>
          <w:p w:rsidR="00412AFB" w:rsidRPr="00993936" w:rsidRDefault="00412AFB" w:rsidP="00B27C4C">
            <w:pPr>
              <w:pStyle w:val="Sinespaciado"/>
              <w:rPr>
                <w:rFonts w:ascii="Arial" w:hAnsi="Arial" w:cs="Arial"/>
                <w:snapToGrid w:val="0"/>
                <w:lang w:val="es-ES"/>
              </w:rPr>
            </w:pP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Fosfato monoamónico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50 % P25</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102</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225</w:t>
            </w:r>
          </w:p>
        </w:tc>
      </w:tr>
      <w:tr w:rsidR="00412AFB" w:rsidRPr="00993936" w:rsidTr="00B27C4C">
        <w:trPr>
          <w:cantSplit/>
        </w:trPr>
        <w:tc>
          <w:tcPr>
            <w:tcW w:w="1490" w:type="dxa"/>
            <w:vMerge/>
            <w:vAlign w:val="center"/>
          </w:tcPr>
          <w:p w:rsidR="00412AFB" w:rsidRPr="00993936" w:rsidRDefault="00412AFB" w:rsidP="00B27C4C">
            <w:pPr>
              <w:pStyle w:val="Sinespaciado"/>
              <w:rPr>
                <w:rFonts w:ascii="Arial" w:hAnsi="Arial" w:cs="Arial"/>
                <w:snapToGrid w:val="0"/>
                <w:lang w:val="es-ES"/>
              </w:rPr>
            </w:pP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Fosfato biamónico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 xml:space="preserve">46 % </w:t>
            </w:r>
            <w:r w:rsidR="00D76C09" w:rsidRPr="00993936">
              <w:rPr>
                <w:rFonts w:ascii="Arial" w:hAnsi="Arial" w:cs="Arial"/>
                <w:snapToGrid w:val="0"/>
                <w:lang w:val="es-ES"/>
              </w:rPr>
              <w:t>P</w:t>
            </w:r>
            <w:r w:rsidR="00D76C09" w:rsidRPr="00993936">
              <w:rPr>
                <w:rFonts w:ascii="Arial" w:hAnsi="Arial" w:cs="Arial"/>
                <w:snapToGrid w:val="0"/>
                <w:vertAlign w:val="subscript"/>
                <w:lang w:val="es-ES"/>
              </w:rPr>
              <w:t>2</w:t>
            </w:r>
            <w:r w:rsidR="00D76C09" w:rsidRPr="00993936">
              <w:rPr>
                <w:rFonts w:ascii="Arial" w:hAnsi="Arial" w:cs="Arial"/>
                <w:snapToGrid w:val="0"/>
                <w:lang w:val="es-ES"/>
              </w:rPr>
              <w:t>O</w:t>
            </w:r>
            <w:r w:rsidR="00D76C09" w:rsidRPr="00993936">
              <w:rPr>
                <w:rFonts w:ascii="Arial" w:hAnsi="Arial" w:cs="Arial"/>
                <w:snapToGrid w:val="0"/>
                <w:vertAlign w:val="subscript"/>
                <w:lang w:val="es-ES"/>
              </w:rPr>
              <w:t>5</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198</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413</w:t>
            </w:r>
          </w:p>
        </w:tc>
      </w:tr>
      <w:tr w:rsidR="00412AFB" w:rsidRPr="00993936" w:rsidTr="00B27C4C">
        <w:trPr>
          <w:cantSplit/>
        </w:trPr>
        <w:tc>
          <w:tcPr>
            <w:tcW w:w="1490" w:type="dxa"/>
            <w:vMerge w:val="restart"/>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Potásicos</w:t>
            </w: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Sulfato potásico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50 % K</w:t>
            </w:r>
            <w:r w:rsidRPr="00993936">
              <w:rPr>
                <w:rFonts w:ascii="Arial" w:hAnsi="Arial" w:cs="Arial"/>
                <w:snapToGrid w:val="0"/>
                <w:vertAlign w:val="subscript"/>
                <w:lang w:val="es-ES"/>
              </w:rPr>
              <w:t>2</w:t>
            </w:r>
            <w:r w:rsidRPr="00993936">
              <w:rPr>
                <w:rFonts w:ascii="Arial" w:hAnsi="Arial" w:cs="Arial"/>
                <w:snapToGrid w:val="0"/>
                <w:lang w:val="es-ES"/>
              </w:rPr>
              <w:t>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32</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67</w:t>
            </w:r>
          </w:p>
        </w:tc>
      </w:tr>
      <w:tr w:rsidR="00412AFB" w:rsidRPr="00993936" w:rsidTr="00B27C4C">
        <w:trPr>
          <w:cantSplit/>
        </w:trPr>
        <w:tc>
          <w:tcPr>
            <w:tcW w:w="1490" w:type="dxa"/>
            <w:vMerge/>
            <w:vAlign w:val="center"/>
          </w:tcPr>
          <w:p w:rsidR="00412AFB" w:rsidRPr="00993936" w:rsidRDefault="00412AFB" w:rsidP="00B27C4C">
            <w:pPr>
              <w:pStyle w:val="Sinespaciado"/>
              <w:rPr>
                <w:rFonts w:ascii="Arial" w:hAnsi="Arial" w:cs="Arial"/>
                <w:snapToGrid w:val="0"/>
                <w:lang w:val="es-ES"/>
              </w:rPr>
            </w:pP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potásico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 xml:space="preserve">44 % </w:t>
            </w:r>
            <w:r w:rsidR="00A97D5A" w:rsidRPr="00993936">
              <w:rPr>
                <w:rFonts w:ascii="Arial" w:hAnsi="Arial" w:cs="Arial"/>
                <w:snapToGrid w:val="0"/>
                <w:lang w:val="es-ES"/>
              </w:rPr>
              <w:t>K</w:t>
            </w:r>
            <w:r w:rsidR="00A97D5A" w:rsidRPr="00993936">
              <w:rPr>
                <w:rFonts w:ascii="Arial" w:hAnsi="Arial" w:cs="Arial"/>
                <w:snapToGrid w:val="0"/>
                <w:vertAlign w:val="subscript"/>
                <w:lang w:val="es-ES"/>
              </w:rPr>
              <w:t>2</w:t>
            </w:r>
            <w:r w:rsidR="00A97D5A" w:rsidRPr="00993936">
              <w:rPr>
                <w:rFonts w:ascii="Arial" w:hAnsi="Arial" w:cs="Arial"/>
                <w:snapToGrid w:val="0"/>
                <w:lang w:val="es-ES"/>
              </w:rPr>
              <w:t>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96</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195</w:t>
            </w:r>
          </w:p>
        </w:tc>
      </w:tr>
      <w:tr w:rsidR="00412AFB" w:rsidRPr="00993936" w:rsidTr="00B27C4C">
        <w:trPr>
          <w:cantSplit/>
        </w:trPr>
        <w:tc>
          <w:tcPr>
            <w:tcW w:w="1490" w:type="dxa"/>
            <w:vMerge/>
            <w:vAlign w:val="center"/>
          </w:tcPr>
          <w:p w:rsidR="00412AFB" w:rsidRPr="00993936" w:rsidRDefault="00412AFB" w:rsidP="00B27C4C">
            <w:pPr>
              <w:pStyle w:val="Sinespaciado"/>
              <w:rPr>
                <w:rFonts w:ascii="Arial" w:hAnsi="Arial" w:cs="Arial"/>
                <w:snapToGrid w:val="0"/>
                <w:lang w:val="es-ES"/>
              </w:rPr>
            </w:pPr>
          </w:p>
        </w:tc>
        <w:tc>
          <w:tcPr>
            <w:tcW w:w="2409"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Cloruro potásico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 xml:space="preserve">60 % </w:t>
            </w:r>
            <w:r w:rsidR="00A97D5A" w:rsidRPr="00993936">
              <w:rPr>
                <w:rFonts w:ascii="Arial" w:hAnsi="Arial" w:cs="Arial"/>
                <w:snapToGrid w:val="0"/>
                <w:lang w:val="es-ES"/>
              </w:rPr>
              <w:t>K</w:t>
            </w:r>
            <w:r w:rsidR="00A97D5A" w:rsidRPr="00993936">
              <w:rPr>
                <w:rFonts w:ascii="Arial" w:hAnsi="Arial" w:cs="Arial"/>
                <w:snapToGrid w:val="0"/>
                <w:vertAlign w:val="subscript"/>
                <w:lang w:val="es-ES"/>
              </w:rPr>
              <w:t>2</w:t>
            </w:r>
            <w:r w:rsidR="00A97D5A" w:rsidRPr="00993936">
              <w:rPr>
                <w:rFonts w:ascii="Arial" w:hAnsi="Arial" w:cs="Arial"/>
                <w:snapToGrid w:val="0"/>
                <w:lang w:val="es-ES"/>
              </w:rPr>
              <w:t>O</w:t>
            </w:r>
          </w:p>
        </w:tc>
        <w:tc>
          <w:tcPr>
            <w:tcW w:w="1843"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130</w:t>
            </w:r>
          </w:p>
        </w:tc>
        <w:tc>
          <w:tcPr>
            <w:tcW w:w="1487" w:type="dxa"/>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277</w:t>
            </w:r>
          </w:p>
        </w:tc>
      </w:tr>
    </w:tbl>
    <w:p w:rsidR="00412AFB" w:rsidRPr="00993936" w:rsidRDefault="00412AFB" w:rsidP="00412AFB">
      <w:pPr>
        <w:rPr>
          <w:rFonts w:ascii="Arial" w:hAnsi="Arial" w:cs="Arial"/>
          <w:b/>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Tabla 2.14 Efectos de los principales tipos de abonos</w:t>
      </w:r>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5"/>
        <w:gridCol w:w="1425"/>
        <w:gridCol w:w="1551"/>
        <w:gridCol w:w="1915"/>
        <w:gridCol w:w="1915"/>
      </w:tblGrid>
      <w:tr w:rsidR="00412AFB" w:rsidRPr="00993936" w:rsidTr="00B27C4C">
        <w:tc>
          <w:tcPr>
            <w:tcW w:w="233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ABONOS NITROGENADOS</w:t>
            </w:r>
          </w:p>
        </w:tc>
        <w:tc>
          <w:tcPr>
            <w:tcW w:w="142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Riqueza en N (%)</w:t>
            </w:r>
          </w:p>
        </w:tc>
        <w:tc>
          <w:tcPr>
            <w:tcW w:w="155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Reacción del suelo</w:t>
            </w:r>
          </w:p>
        </w:tc>
        <w:tc>
          <w:tcPr>
            <w:tcW w:w="191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Reacción de la planta</w:t>
            </w:r>
          </w:p>
        </w:tc>
        <w:tc>
          <w:tcPr>
            <w:tcW w:w="191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Efecto sobre la estructura del suelo</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Sulfato amónico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20,6</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Acidificante</w:t>
            </w: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Tóxico a dosis alta</w:t>
            </w: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Adversa*</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Cloruro amónico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24</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Acidificante</w:t>
            </w: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Tóxico</w:t>
            </w: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Adversa*</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Nitrato cálcico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15,5</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Alcalinizante</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Favorable*</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Nitrato sódico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16</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Alcalinizante</w:t>
            </w: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Tóxico a dosis alta</w:t>
            </w: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Adversa*</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Nitrato potásico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13,8</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Nitrato amónico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33,5</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Adversa*</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Nitrosulfato amónico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26</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Acidificante</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Adversa*</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Nitro-cal-amónico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20,5</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Acidificante</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Favorable*</w:t>
            </w:r>
          </w:p>
        </w:tc>
      </w:tr>
      <w:tr w:rsidR="00412AFB" w:rsidRPr="00993936" w:rsidTr="00B27C4C">
        <w:tc>
          <w:tcPr>
            <w:tcW w:w="2335"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Urea</w:t>
            </w:r>
          </w:p>
        </w:tc>
        <w:tc>
          <w:tcPr>
            <w:tcW w:w="1425"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46</w:t>
            </w:r>
          </w:p>
        </w:tc>
        <w:tc>
          <w:tcPr>
            <w:tcW w:w="1551"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tcBorders>
              <w:bottom w:val="nil"/>
            </w:tcBorders>
            <w:vAlign w:val="center"/>
          </w:tcPr>
          <w:p w:rsidR="00412AFB" w:rsidRPr="00993936" w:rsidRDefault="00412AFB" w:rsidP="00C8678E">
            <w:pPr>
              <w:jc w:val="center"/>
              <w:rPr>
                <w:rFonts w:ascii="Arial" w:hAnsi="Arial" w:cs="Arial"/>
                <w:snapToGrid w:val="0"/>
                <w:lang w:val="es-ES"/>
              </w:rPr>
            </w:pPr>
          </w:p>
        </w:tc>
        <w:tc>
          <w:tcPr>
            <w:tcW w:w="1915"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Adversa*</w:t>
            </w:r>
          </w:p>
        </w:tc>
      </w:tr>
      <w:tr w:rsidR="00412AFB" w:rsidRPr="00993936" w:rsidTr="00B27C4C">
        <w:tc>
          <w:tcPr>
            <w:tcW w:w="233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ABONOS FOSFORADOS</w:t>
            </w:r>
          </w:p>
        </w:tc>
        <w:tc>
          <w:tcPr>
            <w:tcW w:w="142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Riqueza en P</w:t>
            </w:r>
            <w:r w:rsidRPr="00993936">
              <w:rPr>
                <w:rFonts w:ascii="Arial" w:hAnsi="Arial" w:cs="Arial"/>
                <w:b/>
                <w:snapToGrid w:val="0"/>
                <w:vertAlign w:val="subscript"/>
                <w:lang w:val="es-ES"/>
              </w:rPr>
              <w:t>2</w:t>
            </w:r>
            <w:r w:rsidRPr="00993936">
              <w:rPr>
                <w:rFonts w:ascii="Arial" w:hAnsi="Arial" w:cs="Arial"/>
                <w:b/>
                <w:snapToGrid w:val="0"/>
                <w:lang w:val="es-ES"/>
              </w:rPr>
              <w:t>O</w:t>
            </w:r>
            <w:r w:rsidRPr="00993936">
              <w:rPr>
                <w:rFonts w:ascii="Arial" w:hAnsi="Arial" w:cs="Arial"/>
                <w:b/>
                <w:snapToGrid w:val="0"/>
                <w:vertAlign w:val="subscript"/>
                <w:lang w:val="es-ES"/>
              </w:rPr>
              <w:t>5</w:t>
            </w:r>
            <w:r w:rsidRPr="00993936">
              <w:rPr>
                <w:rFonts w:ascii="Arial" w:hAnsi="Arial" w:cs="Arial"/>
                <w:b/>
                <w:snapToGrid w:val="0"/>
                <w:lang w:val="es-ES"/>
              </w:rPr>
              <w:t xml:space="preserve"> (%)</w:t>
            </w:r>
          </w:p>
        </w:tc>
        <w:tc>
          <w:tcPr>
            <w:tcW w:w="155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Reacción del suelo</w:t>
            </w:r>
          </w:p>
        </w:tc>
        <w:tc>
          <w:tcPr>
            <w:tcW w:w="191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Reacción de la planta</w:t>
            </w:r>
          </w:p>
        </w:tc>
        <w:tc>
          <w:tcPr>
            <w:tcW w:w="191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Efecto sobre la estructura del suelo</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Ácido fosfórico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75</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Acidificante</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Fosfato monoamónico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50</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Adversa*</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Fosfato biamónico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46</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Adversa*</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Superfosfato de calcio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19</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Favorable*</w:t>
            </w:r>
          </w:p>
        </w:tc>
      </w:tr>
      <w:tr w:rsidR="00412AFB" w:rsidRPr="00993936" w:rsidTr="00B27C4C">
        <w:tc>
          <w:tcPr>
            <w:tcW w:w="2335"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Fosforitas</w:t>
            </w:r>
          </w:p>
        </w:tc>
        <w:tc>
          <w:tcPr>
            <w:tcW w:w="1425"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w:t>
            </w:r>
          </w:p>
        </w:tc>
        <w:tc>
          <w:tcPr>
            <w:tcW w:w="1551"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tcBorders>
              <w:bottom w:val="nil"/>
            </w:tcBorders>
            <w:vAlign w:val="center"/>
          </w:tcPr>
          <w:p w:rsidR="00412AFB" w:rsidRPr="00993936" w:rsidRDefault="00412AFB" w:rsidP="00C8678E">
            <w:pPr>
              <w:jc w:val="center"/>
              <w:rPr>
                <w:rFonts w:ascii="Arial" w:hAnsi="Arial" w:cs="Arial"/>
                <w:snapToGrid w:val="0"/>
                <w:lang w:val="es-ES"/>
              </w:rPr>
            </w:pPr>
          </w:p>
        </w:tc>
        <w:tc>
          <w:tcPr>
            <w:tcW w:w="1915" w:type="dxa"/>
            <w:tcBorders>
              <w:bottom w:val="nil"/>
            </w:tcBorders>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Favorable*</w:t>
            </w:r>
          </w:p>
        </w:tc>
      </w:tr>
      <w:tr w:rsidR="00412AFB" w:rsidRPr="00993936" w:rsidTr="00B27C4C">
        <w:tc>
          <w:tcPr>
            <w:tcW w:w="233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ABONOS POTÁSICOS</w:t>
            </w:r>
          </w:p>
        </w:tc>
        <w:tc>
          <w:tcPr>
            <w:tcW w:w="142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Riqueza en K</w:t>
            </w:r>
            <w:r w:rsidRPr="00993936">
              <w:rPr>
                <w:rFonts w:ascii="Arial" w:hAnsi="Arial" w:cs="Arial"/>
                <w:b/>
                <w:snapToGrid w:val="0"/>
                <w:vertAlign w:val="subscript"/>
                <w:lang w:val="es-ES"/>
              </w:rPr>
              <w:t>2</w:t>
            </w:r>
            <w:r w:rsidRPr="00993936">
              <w:rPr>
                <w:rFonts w:ascii="Arial" w:hAnsi="Arial" w:cs="Arial"/>
                <w:b/>
                <w:snapToGrid w:val="0"/>
                <w:lang w:val="es-ES"/>
              </w:rPr>
              <w:t>O (%)</w:t>
            </w:r>
          </w:p>
        </w:tc>
        <w:tc>
          <w:tcPr>
            <w:tcW w:w="155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Reacción del suelo</w:t>
            </w:r>
          </w:p>
        </w:tc>
        <w:tc>
          <w:tcPr>
            <w:tcW w:w="191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Reacción de la planta</w:t>
            </w:r>
          </w:p>
        </w:tc>
        <w:tc>
          <w:tcPr>
            <w:tcW w:w="191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Efecto sobre la estructura del suelo</w:t>
            </w: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Sulfato potásico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50</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b/>
                <w:snapToGrid w:val="0"/>
                <w:lang w:val="es-ES"/>
              </w:rPr>
            </w:pP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Nitrato potásico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44</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vAlign w:val="center"/>
          </w:tcPr>
          <w:p w:rsidR="00412AFB" w:rsidRPr="00993936" w:rsidRDefault="00412AFB" w:rsidP="00C8678E">
            <w:pPr>
              <w:jc w:val="center"/>
              <w:rPr>
                <w:rFonts w:ascii="Arial" w:hAnsi="Arial" w:cs="Arial"/>
                <w:snapToGrid w:val="0"/>
                <w:lang w:val="es-ES"/>
              </w:rPr>
            </w:pPr>
          </w:p>
        </w:tc>
        <w:tc>
          <w:tcPr>
            <w:tcW w:w="1915" w:type="dxa"/>
            <w:vAlign w:val="center"/>
          </w:tcPr>
          <w:p w:rsidR="00412AFB" w:rsidRPr="00993936" w:rsidRDefault="00412AFB" w:rsidP="00C8678E">
            <w:pPr>
              <w:jc w:val="center"/>
              <w:rPr>
                <w:rFonts w:ascii="Arial" w:hAnsi="Arial" w:cs="Arial"/>
                <w:b/>
                <w:snapToGrid w:val="0"/>
                <w:lang w:val="es-ES"/>
              </w:rPr>
            </w:pPr>
          </w:p>
        </w:tc>
      </w:tr>
      <w:tr w:rsidR="00412AFB" w:rsidRPr="00993936" w:rsidTr="00B27C4C">
        <w:tc>
          <w:tcPr>
            <w:tcW w:w="233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Cloruro potásico</w:t>
            </w:r>
          </w:p>
        </w:tc>
        <w:tc>
          <w:tcPr>
            <w:tcW w:w="142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60</w:t>
            </w:r>
          </w:p>
        </w:tc>
        <w:tc>
          <w:tcPr>
            <w:tcW w:w="1551"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Neutro</w:t>
            </w:r>
          </w:p>
        </w:tc>
        <w:tc>
          <w:tcPr>
            <w:tcW w:w="1915" w:type="dxa"/>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Tóxico</w:t>
            </w:r>
          </w:p>
        </w:tc>
        <w:tc>
          <w:tcPr>
            <w:tcW w:w="1915" w:type="dxa"/>
            <w:vAlign w:val="center"/>
          </w:tcPr>
          <w:p w:rsidR="00412AFB" w:rsidRPr="00993936" w:rsidRDefault="00412AFB" w:rsidP="00C8678E">
            <w:pPr>
              <w:jc w:val="center"/>
              <w:rPr>
                <w:rFonts w:ascii="Arial" w:hAnsi="Arial" w:cs="Arial"/>
                <w:b/>
                <w:snapToGrid w:val="0"/>
                <w:lang w:val="es-ES"/>
              </w:rPr>
            </w:pPr>
          </w:p>
        </w:tc>
      </w:tr>
    </w:tbl>
    <w:p w:rsidR="00412AFB" w:rsidRPr="00993936" w:rsidRDefault="00412AFB" w:rsidP="00412AFB">
      <w:pPr>
        <w:rPr>
          <w:rFonts w:ascii="Arial" w:hAnsi="Arial" w:cs="Arial"/>
          <w:snapToGrid w:val="0"/>
          <w:lang w:val="es-ES"/>
        </w:rPr>
      </w:pPr>
      <w:r w:rsidRPr="00993936">
        <w:rPr>
          <w:rFonts w:ascii="Arial" w:hAnsi="Arial" w:cs="Arial"/>
          <w:b/>
          <w:snapToGrid w:val="0"/>
          <w:lang w:val="es-ES"/>
        </w:rPr>
        <w:t xml:space="preserve">* </w:t>
      </w:r>
      <w:r w:rsidRPr="00993936">
        <w:rPr>
          <w:rFonts w:ascii="Arial" w:hAnsi="Arial" w:cs="Arial"/>
          <w:snapToGrid w:val="0"/>
          <w:lang w:val="es-ES"/>
        </w:rPr>
        <w:t xml:space="preserve">Los efectos adversos de estos abonos sobre la estructura del suelo solo se producen en suelos pobres en calcio </w:t>
      </w: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Tabla 2.15 Elección del abono en función del tipo de suelo</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2"/>
        <w:gridCol w:w="1842"/>
        <w:gridCol w:w="1842"/>
        <w:gridCol w:w="1842"/>
        <w:gridCol w:w="1842"/>
      </w:tblGrid>
      <w:tr w:rsidR="00412AFB" w:rsidRPr="00993936" w:rsidTr="00C8678E">
        <w:tc>
          <w:tcPr>
            <w:tcW w:w="1772"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Fertilizantes</w:t>
            </w:r>
          </w:p>
        </w:tc>
        <w:tc>
          <w:tcPr>
            <w:tcW w:w="1842"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Suelos neutros y alcalinos no calcáreos</w:t>
            </w:r>
          </w:p>
        </w:tc>
        <w:tc>
          <w:tcPr>
            <w:tcW w:w="1842"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Suelos alcalinos calcáreos</w:t>
            </w:r>
          </w:p>
        </w:tc>
        <w:tc>
          <w:tcPr>
            <w:tcW w:w="1842"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Suelos ácidos</w:t>
            </w:r>
          </w:p>
        </w:tc>
        <w:tc>
          <w:tcPr>
            <w:tcW w:w="1842" w:type="dxa"/>
            <w:shd w:val="pct20" w:color="auto" w:fill="FFFFFF"/>
            <w:vAlign w:val="center"/>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Suelos salinos</w:t>
            </w:r>
          </w:p>
        </w:tc>
      </w:tr>
      <w:tr w:rsidR="00412AFB" w:rsidRPr="00993936" w:rsidTr="00C8678E">
        <w:trPr>
          <w:cantSplit/>
        </w:trPr>
        <w:tc>
          <w:tcPr>
            <w:tcW w:w="1772" w:type="dxa"/>
            <w:vMerge w:val="restart"/>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Nitrogenados</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Nitro-cal-amónico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Sulfato amónico</w:t>
            </w:r>
          </w:p>
        </w:tc>
        <w:tc>
          <w:tcPr>
            <w:tcW w:w="1842" w:type="dxa"/>
          </w:tcPr>
          <w:p w:rsidR="00412AFB" w:rsidRPr="00993936" w:rsidRDefault="00A97D5A" w:rsidP="00B27C4C">
            <w:pPr>
              <w:pStyle w:val="Sinespaciado"/>
              <w:rPr>
                <w:rFonts w:ascii="Arial" w:hAnsi="Arial" w:cs="Arial"/>
                <w:snapToGrid w:val="0"/>
                <w:lang w:val="es-ES"/>
              </w:rPr>
            </w:pPr>
            <w:r w:rsidRPr="00993936">
              <w:rPr>
                <w:rFonts w:ascii="Arial" w:hAnsi="Arial" w:cs="Arial"/>
                <w:snapToGrid w:val="0"/>
                <w:lang w:val="es-ES"/>
              </w:rPr>
              <w:t>Nitro-cal-amónico</w:t>
            </w:r>
          </w:p>
        </w:tc>
        <w:tc>
          <w:tcPr>
            <w:tcW w:w="1842" w:type="dxa"/>
          </w:tcPr>
          <w:p w:rsidR="00412AFB" w:rsidRPr="00993936" w:rsidRDefault="00A97D5A" w:rsidP="00B27C4C">
            <w:pPr>
              <w:pStyle w:val="Sinespaciado"/>
              <w:rPr>
                <w:rFonts w:ascii="Arial" w:hAnsi="Arial" w:cs="Arial"/>
                <w:snapToGrid w:val="0"/>
                <w:lang w:val="es-ES"/>
              </w:rPr>
            </w:pPr>
            <w:r w:rsidRPr="00993936">
              <w:rPr>
                <w:rFonts w:ascii="Arial" w:hAnsi="Arial" w:cs="Arial"/>
                <w:snapToGrid w:val="0"/>
                <w:lang w:val="es-ES"/>
              </w:rPr>
              <w:t>Nitro-cal-amónico</w:t>
            </w:r>
          </w:p>
        </w:tc>
      </w:tr>
      <w:tr w:rsidR="00412AFB" w:rsidRPr="00993936" w:rsidTr="00C8678E">
        <w:trPr>
          <w:cantSplit/>
        </w:trPr>
        <w:tc>
          <w:tcPr>
            <w:tcW w:w="1772" w:type="dxa"/>
            <w:vMerge/>
            <w:vAlign w:val="center"/>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Nitrosulfato amónico</w:t>
            </w: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cálcico</w:t>
            </w:r>
          </w:p>
        </w:tc>
      </w:tr>
      <w:tr w:rsidR="00412AFB" w:rsidRPr="00993936" w:rsidTr="00C8678E">
        <w:trPr>
          <w:cantSplit/>
        </w:trPr>
        <w:tc>
          <w:tcPr>
            <w:tcW w:w="1772" w:type="dxa"/>
            <w:vMerge/>
            <w:vAlign w:val="center"/>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cálcico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amónico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cálcico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amónico</w:t>
            </w:r>
          </w:p>
        </w:tc>
      </w:tr>
      <w:tr w:rsidR="00412AFB" w:rsidRPr="00993936" w:rsidTr="00C8678E">
        <w:trPr>
          <w:cantSplit/>
        </w:trPr>
        <w:tc>
          <w:tcPr>
            <w:tcW w:w="1772" w:type="dxa"/>
            <w:vMerge/>
            <w:vAlign w:val="center"/>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Urea</w:t>
            </w: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Urea</w:t>
            </w:r>
          </w:p>
        </w:tc>
      </w:tr>
      <w:tr w:rsidR="00412AFB" w:rsidRPr="00993936" w:rsidTr="00C8678E">
        <w:trPr>
          <w:cantSplit/>
        </w:trPr>
        <w:tc>
          <w:tcPr>
            <w:tcW w:w="1772" w:type="dxa"/>
            <w:vMerge w:val="restart"/>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Fosforados</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Superfosfato de calcio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Fosfato monoamónico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Fosfitos</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Superfosfato de calcio</w:t>
            </w:r>
          </w:p>
        </w:tc>
      </w:tr>
      <w:tr w:rsidR="00412AFB" w:rsidRPr="00993936" w:rsidTr="00C8678E">
        <w:trPr>
          <w:cantSplit/>
        </w:trPr>
        <w:tc>
          <w:tcPr>
            <w:tcW w:w="1772" w:type="dxa"/>
            <w:vMerge/>
            <w:vAlign w:val="center"/>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Fosfato biamónico</w:t>
            </w: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Fosfato monoamónico</w:t>
            </w:r>
          </w:p>
        </w:tc>
      </w:tr>
      <w:tr w:rsidR="00412AFB" w:rsidRPr="00993936" w:rsidTr="00C8678E">
        <w:trPr>
          <w:cantSplit/>
        </w:trPr>
        <w:tc>
          <w:tcPr>
            <w:tcW w:w="1772" w:type="dxa"/>
            <w:vMerge/>
            <w:vAlign w:val="center"/>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Fosfato biamónico</w:t>
            </w:r>
          </w:p>
        </w:tc>
      </w:tr>
      <w:tr w:rsidR="00412AFB" w:rsidRPr="00993936" w:rsidTr="00C8678E">
        <w:trPr>
          <w:cantSplit/>
        </w:trPr>
        <w:tc>
          <w:tcPr>
            <w:tcW w:w="1772" w:type="dxa"/>
            <w:vMerge w:val="restart"/>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Potásicos</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Sulfato potásico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Sulfato potásico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potásico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potásico</w:t>
            </w:r>
          </w:p>
        </w:tc>
      </w:tr>
      <w:tr w:rsidR="00412AFB" w:rsidRPr="00993936" w:rsidTr="00C8678E">
        <w:trPr>
          <w:cantSplit/>
        </w:trPr>
        <w:tc>
          <w:tcPr>
            <w:tcW w:w="1772" w:type="dxa"/>
            <w:vMerge/>
            <w:vAlign w:val="center"/>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potásico</w:t>
            </w:r>
          </w:p>
        </w:tc>
        <w:tc>
          <w:tcPr>
            <w:tcW w:w="1842"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Nitrato potásico</w:t>
            </w:r>
          </w:p>
        </w:tc>
        <w:tc>
          <w:tcPr>
            <w:tcW w:w="1842" w:type="dxa"/>
          </w:tcPr>
          <w:p w:rsidR="00412AFB" w:rsidRPr="00993936" w:rsidRDefault="00412AFB" w:rsidP="00B27C4C">
            <w:pPr>
              <w:pStyle w:val="Sinespaciado"/>
              <w:rPr>
                <w:rFonts w:ascii="Arial" w:hAnsi="Arial" w:cs="Arial"/>
                <w:snapToGrid w:val="0"/>
                <w:lang w:val="es-ES"/>
              </w:rPr>
            </w:pPr>
          </w:p>
        </w:tc>
        <w:tc>
          <w:tcPr>
            <w:tcW w:w="1842" w:type="dxa"/>
          </w:tcPr>
          <w:p w:rsidR="00412AFB" w:rsidRPr="00993936" w:rsidRDefault="00412AFB" w:rsidP="00B27C4C">
            <w:pPr>
              <w:pStyle w:val="Sinespaciado"/>
              <w:rPr>
                <w:rFonts w:ascii="Arial" w:hAnsi="Arial" w:cs="Arial"/>
                <w:snapToGrid w:val="0"/>
                <w:lang w:val="es-ES"/>
              </w:rPr>
            </w:pPr>
          </w:p>
        </w:tc>
      </w:tr>
    </w:tbl>
    <w:p w:rsidR="00412AFB" w:rsidRPr="00993936" w:rsidRDefault="00412AFB" w:rsidP="00412AFB">
      <w:pPr>
        <w:jc w:val="center"/>
        <w:rPr>
          <w:rFonts w:ascii="Arial" w:hAnsi="Arial" w:cs="Arial"/>
          <w:b/>
          <w:snapToGrid w:val="0"/>
          <w:lang w:val="es-ES"/>
        </w:rPr>
      </w:pPr>
    </w:p>
    <w:p w:rsidR="00412AFB" w:rsidRPr="00993936" w:rsidRDefault="00412AFB" w:rsidP="00412AFB">
      <w:pPr>
        <w:rPr>
          <w:rFonts w:ascii="Arial" w:hAnsi="Arial" w:cs="Arial"/>
          <w:b/>
          <w:snapToGrid w:val="0"/>
          <w:u w:val="single"/>
          <w:lang w:val="es-ES"/>
        </w:rPr>
      </w:pPr>
      <w:r w:rsidRPr="00993936">
        <w:rPr>
          <w:rFonts w:ascii="Arial" w:hAnsi="Arial" w:cs="Arial"/>
          <w:b/>
          <w:snapToGrid w:val="0"/>
          <w:u w:val="single"/>
          <w:lang w:val="es-ES"/>
        </w:rPr>
        <w:t>METALES PESADOS</w:t>
      </w:r>
    </w:p>
    <w:p w:rsidR="00412AFB" w:rsidRPr="00993936" w:rsidRDefault="00412AFB" w:rsidP="00412AFB">
      <w:pPr>
        <w:rPr>
          <w:rFonts w:ascii="Arial" w:hAnsi="Arial" w:cs="Arial"/>
          <w:b/>
          <w:snapToGrid w:val="0"/>
          <w:u w:val="single"/>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Tabla 2.16 Aportaciones máximas de metales pesados ​​en el suelo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01"/>
        <w:gridCol w:w="4571"/>
      </w:tblGrid>
      <w:tr w:rsidR="00412AFB" w:rsidRPr="00993936" w:rsidTr="00C8678E">
        <w:tc>
          <w:tcPr>
            <w:tcW w:w="4501" w:type="dxa"/>
            <w:shd w:val="pct20" w:color="auto" w:fill="FFFFFF"/>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Elemento</w:t>
            </w:r>
          </w:p>
        </w:tc>
        <w:tc>
          <w:tcPr>
            <w:tcW w:w="4571" w:type="dxa"/>
            <w:shd w:val="pct20" w:color="auto" w:fill="FFFFFF"/>
          </w:tcPr>
          <w:p w:rsidR="00412AFB" w:rsidRPr="00993936" w:rsidRDefault="00412AFB" w:rsidP="00B27C4C">
            <w:pPr>
              <w:pStyle w:val="Sinespaciado"/>
              <w:jc w:val="center"/>
              <w:rPr>
                <w:rFonts w:ascii="Arial" w:hAnsi="Arial" w:cs="Arial"/>
                <w:b/>
                <w:snapToGrid w:val="0"/>
                <w:lang w:val="es-ES"/>
              </w:rPr>
            </w:pPr>
            <w:r w:rsidRPr="00993936">
              <w:rPr>
                <w:rFonts w:ascii="Arial" w:hAnsi="Arial" w:cs="Arial"/>
                <w:b/>
                <w:snapToGrid w:val="0"/>
                <w:lang w:val="es-ES"/>
              </w:rPr>
              <w:t>Aportación máxima (kg/ha por año)</w:t>
            </w:r>
          </w:p>
        </w:tc>
      </w:tr>
      <w:tr w:rsidR="00412AFB" w:rsidRPr="00993936" w:rsidTr="00C8678E">
        <w:tc>
          <w:tcPr>
            <w:tcW w:w="450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Cadmio</w:t>
            </w:r>
          </w:p>
        </w:tc>
        <w:tc>
          <w:tcPr>
            <w:tcW w:w="457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0,15</w:t>
            </w:r>
          </w:p>
        </w:tc>
      </w:tr>
      <w:tr w:rsidR="00412AFB" w:rsidRPr="00993936" w:rsidTr="00C8678E">
        <w:tc>
          <w:tcPr>
            <w:tcW w:w="450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Mercurio</w:t>
            </w:r>
          </w:p>
        </w:tc>
        <w:tc>
          <w:tcPr>
            <w:tcW w:w="457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0,1</w:t>
            </w:r>
          </w:p>
        </w:tc>
      </w:tr>
      <w:tr w:rsidR="00412AFB" w:rsidRPr="00993936" w:rsidTr="00C8678E">
        <w:tc>
          <w:tcPr>
            <w:tcW w:w="450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Plomo</w:t>
            </w:r>
          </w:p>
        </w:tc>
        <w:tc>
          <w:tcPr>
            <w:tcW w:w="457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15</w:t>
            </w:r>
          </w:p>
        </w:tc>
      </w:tr>
      <w:tr w:rsidR="00412AFB" w:rsidRPr="00993936" w:rsidTr="00C8678E">
        <w:tc>
          <w:tcPr>
            <w:tcW w:w="450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Níquel</w:t>
            </w:r>
          </w:p>
        </w:tc>
        <w:tc>
          <w:tcPr>
            <w:tcW w:w="457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3</w:t>
            </w:r>
          </w:p>
        </w:tc>
      </w:tr>
      <w:tr w:rsidR="00412AFB" w:rsidRPr="00993936" w:rsidTr="00C8678E">
        <w:tc>
          <w:tcPr>
            <w:tcW w:w="450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Zinc</w:t>
            </w:r>
          </w:p>
        </w:tc>
        <w:tc>
          <w:tcPr>
            <w:tcW w:w="457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30</w:t>
            </w:r>
          </w:p>
        </w:tc>
      </w:tr>
      <w:tr w:rsidR="00412AFB" w:rsidRPr="00993936" w:rsidTr="00C8678E">
        <w:tc>
          <w:tcPr>
            <w:tcW w:w="450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Cobre</w:t>
            </w:r>
          </w:p>
        </w:tc>
        <w:tc>
          <w:tcPr>
            <w:tcW w:w="4571" w:type="dxa"/>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12</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2</w:t>
      </w:r>
      <w:r w:rsidR="00C03DD4" w:rsidRPr="00993936">
        <w:rPr>
          <w:rFonts w:ascii="Arial" w:hAnsi="Arial" w:cs="Arial"/>
          <w:b/>
          <w:snapToGrid w:val="0"/>
          <w:lang w:val="es-ES"/>
        </w:rPr>
        <w:t>.17</w:t>
      </w:r>
      <w:r w:rsidRPr="00993936">
        <w:rPr>
          <w:rFonts w:ascii="Arial" w:hAnsi="Arial" w:cs="Arial"/>
          <w:b/>
          <w:snapToGrid w:val="0"/>
          <w:lang w:val="es-ES"/>
        </w:rPr>
        <w:t xml:space="preserve"> Valores máximos admitidos de metales pesados ​​en materiales con valor fertilizante</w:t>
      </w:r>
    </w:p>
    <w:p w:rsidR="00412AFB" w:rsidRPr="00993936" w:rsidRDefault="00412AFB" w:rsidP="00412AFB">
      <w:pPr>
        <w:jc w:val="both"/>
        <w:rPr>
          <w:rFonts w:ascii="Arial" w:hAnsi="Arial" w:cs="Arial"/>
          <w:snapToGrid w:val="0"/>
          <w:lang w:val="es-ES"/>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412AFB" w:rsidRPr="00993936" w:rsidTr="00C8678E">
        <w:trPr>
          <w:trHeight w:val="400"/>
          <w:jc w:val="center"/>
        </w:trPr>
        <w:tc>
          <w:tcPr>
            <w:tcW w:w="4548" w:type="dxa"/>
            <w:shd w:val="clear" w:color="auto" w:fill="E7E6E6" w:themeFill="background2"/>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Metal pesado</w:t>
            </w:r>
          </w:p>
        </w:tc>
        <w:tc>
          <w:tcPr>
            <w:tcW w:w="4464" w:type="dxa"/>
            <w:shd w:val="clear" w:color="auto" w:fill="E7E6E6" w:themeFill="background2"/>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 xml:space="preserve">Valores </w:t>
            </w:r>
          </w:p>
        </w:tc>
      </w:tr>
      <w:tr w:rsidR="00412AFB" w:rsidRPr="00993936" w:rsidTr="00C8678E">
        <w:trPr>
          <w:trHeight w:val="400"/>
          <w:jc w:val="center"/>
        </w:trPr>
        <w:tc>
          <w:tcPr>
            <w:tcW w:w="4548" w:type="dxa"/>
            <w:vAlign w:val="center"/>
          </w:tcPr>
          <w:p w:rsidR="00412AFB" w:rsidRPr="00993936" w:rsidRDefault="00412AFB" w:rsidP="00C8678E">
            <w:pPr>
              <w:widowControl w:val="0"/>
              <w:jc w:val="center"/>
              <w:rPr>
                <w:rFonts w:ascii="Arial" w:hAnsi="Arial" w:cs="Arial"/>
                <w:b/>
                <w:snapToGrid w:val="0"/>
                <w:lang w:val="es-ES"/>
              </w:rPr>
            </w:pPr>
          </w:p>
        </w:tc>
        <w:tc>
          <w:tcPr>
            <w:tcW w:w="4464" w:type="dxa"/>
            <w:vAlign w:val="center"/>
          </w:tcPr>
          <w:p w:rsidR="00412AFB" w:rsidRPr="00993936" w:rsidRDefault="00412AFB" w:rsidP="00C8678E">
            <w:pPr>
              <w:widowControl w:val="0"/>
              <w:jc w:val="center"/>
              <w:rPr>
                <w:rFonts w:ascii="Arial" w:hAnsi="Arial" w:cs="Arial"/>
                <w:b/>
                <w:snapToGrid w:val="0"/>
                <w:lang w:val="es-ES"/>
              </w:rPr>
            </w:pPr>
          </w:p>
        </w:tc>
      </w:tr>
      <w:tr w:rsidR="00412AFB" w:rsidRPr="00993936" w:rsidTr="00C8678E">
        <w:trPr>
          <w:trHeight w:val="400"/>
          <w:jc w:val="center"/>
        </w:trPr>
        <w:tc>
          <w:tcPr>
            <w:tcW w:w="4548" w:type="dxa"/>
            <w:vAlign w:val="center"/>
          </w:tcPr>
          <w:p w:rsidR="00412AFB" w:rsidRPr="00993936" w:rsidRDefault="00E03B3B" w:rsidP="00C8678E">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Cadmio</w:t>
            </w:r>
          </w:p>
        </w:tc>
        <w:tc>
          <w:tcPr>
            <w:tcW w:w="4464"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3 mg/kg de materia seca</w:t>
            </w:r>
          </w:p>
        </w:tc>
      </w:tr>
      <w:tr w:rsidR="00412AFB" w:rsidRPr="00993936" w:rsidTr="00C8678E">
        <w:trPr>
          <w:trHeight w:val="400"/>
          <w:jc w:val="center"/>
        </w:trPr>
        <w:tc>
          <w:tcPr>
            <w:tcW w:w="4548"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Cobre</w:t>
            </w:r>
          </w:p>
        </w:tc>
        <w:tc>
          <w:tcPr>
            <w:tcW w:w="4464"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400 mg/kg de materia seca</w:t>
            </w:r>
          </w:p>
        </w:tc>
      </w:tr>
      <w:tr w:rsidR="00412AFB" w:rsidRPr="00993936" w:rsidTr="00C8678E">
        <w:trPr>
          <w:trHeight w:val="400"/>
          <w:jc w:val="center"/>
        </w:trPr>
        <w:tc>
          <w:tcPr>
            <w:tcW w:w="4548"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 xml:space="preserve">Níquel </w:t>
            </w:r>
          </w:p>
        </w:tc>
        <w:tc>
          <w:tcPr>
            <w:tcW w:w="4464"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100 mg/kg de materia seca</w:t>
            </w:r>
          </w:p>
        </w:tc>
      </w:tr>
      <w:tr w:rsidR="00412AFB" w:rsidRPr="00993936" w:rsidTr="00C8678E">
        <w:trPr>
          <w:trHeight w:val="400"/>
          <w:jc w:val="center"/>
        </w:trPr>
        <w:tc>
          <w:tcPr>
            <w:tcW w:w="4548"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Plomo</w:t>
            </w:r>
          </w:p>
        </w:tc>
        <w:tc>
          <w:tcPr>
            <w:tcW w:w="4464"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200 mg/kg de materia seca</w:t>
            </w:r>
          </w:p>
        </w:tc>
      </w:tr>
      <w:tr w:rsidR="00412AFB" w:rsidRPr="00993936" w:rsidTr="00C8678E">
        <w:trPr>
          <w:trHeight w:val="400"/>
          <w:jc w:val="center"/>
        </w:trPr>
        <w:tc>
          <w:tcPr>
            <w:tcW w:w="4548"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Zinc</w:t>
            </w:r>
            <w:r w:rsidRPr="00993936">
              <w:rPr>
                <w:rFonts w:ascii="Arial" w:hAnsi="Arial" w:cs="Arial"/>
                <w:snapToGrid w:val="0"/>
                <w:lang w:val="es-ES"/>
              </w:rPr>
              <w:t xml:space="preserve"> </w:t>
            </w:r>
          </w:p>
        </w:tc>
        <w:tc>
          <w:tcPr>
            <w:tcW w:w="4464"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1.000 mg/kg de materia seca</w:t>
            </w:r>
          </w:p>
        </w:tc>
      </w:tr>
      <w:tr w:rsidR="00412AFB" w:rsidRPr="00993936" w:rsidTr="00C8678E">
        <w:trPr>
          <w:trHeight w:val="400"/>
          <w:jc w:val="center"/>
        </w:trPr>
        <w:tc>
          <w:tcPr>
            <w:tcW w:w="4548"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Mercurio</w:t>
            </w:r>
          </w:p>
        </w:tc>
        <w:tc>
          <w:tcPr>
            <w:tcW w:w="4464"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2,5 mg/kg de materia seca</w:t>
            </w:r>
          </w:p>
        </w:tc>
      </w:tr>
      <w:tr w:rsidR="00412AFB" w:rsidRPr="00993936" w:rsidTr="00C8678E">
        <w:trPr>
          <w:trHeight w:val="400"/>
          <w:jc w:val="center"/>
        </w:trPr>
        <w:tc>
          <w:tcPr>
            <w:tcW w:w="4548"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Cromo</w:t>
            </w:r>
            <w:r w:rsidRPr="00993936">
              <w:rPr>
                <w:rFonts w:ascii="Arial" w:hAnsi="Arial" w:cs="Arial"/>
                <w:snapToGrid w:val="0"/>
                <w:lang w:val="es-ES"/>
              </w:rPr>
              <w:t xml:space="preserve"> </w:t>
            </w:r>
          </w:p>
        </w:tc>
        <w:tc>
          <w:tcPr>
            <w:tcW w:w="4464" w:type="dxa"/>
            <w:vAlign w:val="center"/>
          </w:tcPr>
          <w:p w:rsidR="00412AFB" w:rsidRPr="00993936" w:rsidRDefault="00E03B3B" w:rsidP="00C8678E">
            <w:pPr>
              <w:widowControl w:val="0"/>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300 mg/kg de materia seca</w:t>
            </w:r>
          </w:p>
        </w:tc>
      </w:tr>
    </w:tbl>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mg/kg: miligramo por kilo</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Tabla 2.18 Concentraciones máximas de metales pesados ​​permitidas en el suelo</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7796"/>
      </w:tblGrid>
      <w:tr w:rsidR="00412AFB" w:rsidRPr="00993936" w:rsidTr="00C8678E">
        <w:tc>
          <w:tcPr>
            <w:tcW w:w="1276"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Elemento</w:t>
            </w:r>
          </w:p>
        </w:tc>
        <w:tc>
          <w:tcPr>
            <w:tcW w:w="7796"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Concentración máxima</w:t>
            </w:r>
          </w:p>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(mg/kg de suelo)</w:t>
            </w:r>
          </w:p>
        </w:tc>
      </w:tr>
      <w:tr w:rsidR="00412AFB" w:rsidRPr="00993936" w:rsidTr="00C8678E">
        <w:tc>
          <w:tcPr>
            <w:tcW w:w="127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Cadmio</w:t>
            </w:r>
          </w:p>
        </w:tc>
        <w:tc>
          <w:tcPr>
            <w:tcW w:w="779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w:t>
            </w:r>
          </w:p>
        </w:tc>
      </w:tr>
      <w:tr w:rsidR="00412AFB" w:rsidRPr="00993936" w:rsidTr="00C8678E">
        <w:tc>
          <w:tcPr>
            <w:tcW w:w="127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Mercurio</w:t>
            </w:r>
          </w:p>
        </w:tc>
        <w:tc>
          <w:tcPr>
            <w:tcW w:w="779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w:t>
            </w:r>
          </w:p>
        </w:tc>
      </w:tr>
      <w:tr w:rsidR="00412AFB" w:rsidRPr="00993936" w:rsidTr="00C8678E">
        <w:tc>
          <w:tcPr>
            <w:tcW w:w="127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Plomo</w:t>
            </w:r>
          </w:p>
        </w:tc>
        <w:tc>
          <w:tcPr>
            <w:tcW w:w="779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150</w:t>
            </w:r>
          </w:p>
        </w:tc>
      </w:tr>
      <w:tr w:rsidR="00412AFB" w:rsidRPr="00993936" w:rsidTr="00C8678E">
        <w:tc>
          <w:tcPr>
            <w:tcW w:w="127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Níquel</w:t>
            </w:r>
          </w:p>
        </w:tc>
        <w:tc>
          <w:tcPr>
            <w:tcW w:w="779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75</w:t>
            </w:r>
          </w:p>
        </w:tc>
      </w:tr>
      <w:tr w:rsidR="00412AFB" w:rsidRPr="00993936" w:rsidTr="00C8678E">
        <w:tc>
          <w:tcPr>
            <w:tcW w:w="127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Zinc</w:t>
            </w:r>
          </w:p>
        </w:tc>
        <w:tc>
          <w:tcPr>
            <w:tcW w:w="779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300</w:t>
            </w:r>
          </w:p>
        </w:tc>
      </w:tr>
      <w:tr w:rsidR="00412AFB" w:rsidRPr="00993936" w:rsidTr="00C8678E">
        <w:tc>
          <w:tcPr>
            <w:tcW w:w="127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Cobre</w:t>
            </w:r>
          </w:p>
        </w:tc>
        <w:tc>
          <w:tcPr>
            <w:tcW w:w="7796"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140</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PUNTO 3. RIEGO</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Tabla 3.1 Número de emisores por árbol en riego por goteo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1878"/>
        <w:gridCol w:w="1878"/>
        <w:gridCol w:w="1878"/>
        <w:gridCol w:w="1878"/>
      </w:tblGrid>
      <w:tr w:rsidR="00412AFB" w:rsidRPr="00993936" w:rsidTr="00C8678E">
        <w:trPr>
          <w:cantSplit/>
        </w:trPr>
        <w:tc>
          <w:tcPr>
            <w:tcW w:w="9072" w:type="dxa"/>
            <w:gridSpan w:val="5"/>
            <w:tcBorders>
              <w:bottom w:val="nil"/>
            </w:tcBorders>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Tipo de suelo</w:t>
            </w:r>
          </w:p>
        </w:tc>
      </w:tr>
      <w:tr w:rsidR="00412AFB" w:rsidRPr="00993936" w:rsidTr="00C8678E">
        <w:trPr>
          <w:trHeight w:val="303"/>
        </w:trPr>
        <w:tc>
          <w:tcPr>
            <w:tcW w:w="1560"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Edad del árbol</w:t>
            </w:r>
          </w:p>
        </w:tc>
        <w:tc>
          <w:tcPr>
            <w:tcW w:w="1878"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Arcilloso</w:t>
            </w:r>
          </w:p>
        </w:tc>
        <w:tc>
          <w:tcPr>
            <w:tcW w:w="1878"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Franco</w:t>
            </w:r>
          </w:p>
        </w:tc>
        <w:tc>
          <w:tcPr>
            <w:tcW w:w="1878"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Arenoso</w:t>
            </w:r>
          </w:p>
        </w:tc>
        <w:tc>
          <w:tcPr>
            <w:tcW w:w="1878"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Gravoso</w:t>
            </w:r>
          </w:p>
        </w:tc>
      </w:tr>
      <w:tr w:rsidR="00412AFB" w:rsidRPr="00993936" w:rsidTr="00C8678E">
        <w:tc>
          <w:tcPr>
            <w:tcW w:w="156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1-2</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w:t>
            </w:r>
          </w:p>
        </w:tc>
      </w:tr>
      <w:tr w:rsidR="00412AFB" w:rsidRPr="00993936" w:rsidTr="00C8678E">
        <w:tc>
          <w:tcPr>
            <w:tcW w:w="156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3-4</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1</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2-4</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w:t>
            </w:r>
          </w:p>
        </w:tc>
      </w:tr>
      <w:tr w:rsidR="00412AFB" w:rsidRPr="00993936" w:rsidTr="00C8678E">
        <w:tc>
          <w:tcPr>
            <w:tcW w:w="156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5-6</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4-6</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w:t>
            </w:r>
          </w:p>
        </w:tc>
      </w:tr>
      <w:tr w:rsidR="00412AFB" w:rsidRPr="00993936" w:rsidTr="00C8678E">
        <w:tc>
          <w:tcPr>
            <w:tcW w:w="1560"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7-8</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2-4</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4-6</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6-8</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w:t>
            </w:r>
          </w:p>
        </w:tc>
      </w:tr>
      <w:tr w:rsidR="00412AFB" w:rsidRPr="00993936" w:rsidTr="00C8678E">
        <w:tc>
          <w:tcPr>
            <w:tcW w:w="1560" w:type="dxa"/>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&gt; 8</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4</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6</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w:t>
            </w:r>
          </w:p>
        </w:tc>
        <w:tc>
          <w:tcPr>
            <w:tcW w:w="18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8-12</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Tabla 3.2 Frecuencia de riego recomendado en sistemas localizados </w:t>
      </w:r>
    </w:p>
    <w:p w:rsidR="00412AFB" w:rsidRPr="00993936" w:rsidRDefault="00412AFB" w:rsidP="00412AFB">
      <w:pPr>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864"/>
        <w:gridCol w:w="1977"/>
        <w:gridCol w:w="1977"/>
        <w:gridCol w:w="1978"/>
      </w:tblGrid>
      <w:tr w:rsidR="00412AFB" w:rsidRPr="00993936" w:rsidTr="00C8678E">
        <w:trPr>
          <w:cantSplit/>
        </w:trPr>
        <w:tc>
          <w:tcPr>
            <w:tcW w:w="9072" w:type="dxa"/>
            <w:gridSpan w:val="5"/>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Tipo de suelo</w:t>
            </w:r>
          </w:p>
        </w:tc>
      </w:tr>
      <w:tr w:rsidR="00412AFB" w:rsidRPr="00993936" w:rsidTr="00C8678E">
        <w:trPr>
          <w:trHeight w:val="247"/>
        </w:trPr>
        <w:tc>
          <w:tcPr>
            <w:tcW w:w="1276"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Época</w:t>
            </w:r>
          </w:p>
        </w:tc>
        <w:tc>
          <w:tcPr>
            <w:tcW w:w="1864"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Arcilloso</w:t>
            </w:r>
          </w:p>
        </w:tc>
        <w:tc>
          <w:tcPr>
            <w:tcW w:w="1977"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Franco</w:t>
            </w:r>
          </w:p>
        </w:tc>
        <w:tc>
          <w:tcPr>
            <w:tcW w:w="1977"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Arenoso</w:t>
            </w:r>
          </w:p>
        </w:tc>
        <w:tc>
          <w:tcPr>
            <w:tcW w:w="1978" w:type="dxa"/>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Gravoso</w:t>
            </w:r>
          </w:p>
        </w:tc>
      </w:tr>
      <w:tr w:rsidR="00412AFB" w:rsidRPr="00993936" w:rsidTr="00C8678E">
        <w:trPr>
          <w:cantSplit/>
        </w:trPr>
        <w:tc>
          <w:tcPr>
            <w:tcW w:w="1276"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PRIMAVERA</w:t>
            </w:r>
          </w:p>
        </w:tc>
        <w:tc>
          <w:tcPr>
            <w:tcW w:w="1864"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G-2 V. 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G-3 V. 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G-DIARIO</w:t>
            </w:r>
          </w:p>
        </w:tc>
        <w:tc>
          <w:tcPr>
            <w:tcW w:w="19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G-1-2 V. P. D.</w:t>
            </w:r>
          </w:p>
        </w:tc>
      </w:tr>
      <w:tr w:rsidR="00412AFB" w:rsidRPr="00993936" w:rsidTr="00C8678E">
        <w:trPr>
          <w:cantSplit/>
        </w:trPr>
        <w:tc>
          <w:tcPr>
            <w:tcW w:w="1276" w:type="dxa"/>
            <w:vMerge/>
            <w:vAlign w:val="center"/>
          </w:tcPr>
          <w:p w:rsidR="00412AFB" w:rsidRPr="00993936" w:rsidRDefault="00412AFB" w:rsidP="00C8678E">
            <w:pPr>
              <w:jc w:val="center"/>
              <w:rPr>
                <w:rFonts w:ascii="Arial" w:hAnsi="Arial" w:cs="Arial"/>
                <w:snapToGrid w:val="0"/>
                <w:lang w:val="es-ES"/>
              </w:rPr>
            </w:pPr>
          </w:p>
        </w:tc>
        <w:tc>
          <w:tcPr>
            <w:tcW w:w="1864"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MA-1 V. 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MA-2 V. 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MA-3 V.P. S.</w:t>
            </w:r>
          </w:p>
        </w:tc>
        <w:tc>
          <w:tcPr>
            <w:tcW w:w="19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MA-DIARIO</w:t>
            </w:r>
          </w:p>
        </w:tc>
      </w:tr>
      <w:tr w:rsidR="00412AFB" w:rsidRPr="00993936" w:rsidTr="00C8678E">
        <w:trPr>
          <w:cantSplit/>
        </w:trPr>
        <w:tc>
          <w:tcPr>
            <w:tcW w:w="1276"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VERANO</w:t>
            </w:r>
          </w:p>
        </w:tc>
        <w:tc>
          <w:tcPr>
            <w:tcW w:w="1864"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G-3</w:t>
            </w:r>
            <w:r w:rsidR="00E03B3B" w:rsidRPr="00993936">
              <w:rPr>
                <w:rFonts w:ascii="Arial" w:hAnsi="Arial" w:cs="Arial"/>
                <w:snapToGrid w:val="0"/>
                <w:lang w:val="es-ES"/>
              </w:rPr>
              <w:t xml:space="preserve"> </w:t>
            </w:r>
            <w:r w:rsidRPr="00993936">
              <w:rPr>
                <w:rFonts w:ascii="Arial" w:hAnsi="Arial" w:cs="Arial"/>
                <w:snapToGrid w:val="0"/>
                <w:lang w:val="es-ES"/>
              </w:rPr>
              <w:t>V.P.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G-DIARIO</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G-DIARIO</w:t>
            </w:r>
          </w:p>
        </w:tc>
        <w:tc>
          <w:tcPr>
            <w:tcW w:w="19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G-2-3 V. P. D.</w:t>
            </w:r>
          </w:p>
        </w:tc>
      </w:tr>
      <w:tr w:rsidR="00412AFB" w:rsidRPr="00993936" w:rsidTr="00C8678E">
        <w:trPr>
          <w:cantSplit/>
        </w:trPr>
        <w:tc>
          <w:tcPr>
            <w:tcW w:w="1276" w:type="dxa"/>
            <w:vMerge/>
            <w:vAlign w:val="center"/>
          </w:tcPr>
          <w:p w:rsidR="00412AFB" w:rsidRPr="00993936" w:rsidRDefault="00412AFB" w:rsidP="00C8678E">
            <w:pPr>
              <w:jc w:val="center"/>
              <w:rPr>
                <w:rFonts w:ascii="Arial" w:hAnsi="Arial" w:cs="Arial"/>
                <w:snapToGrid w:val="0"/>
                <w:lang w:val="es-ES"/>
              </w:rPr>
            </w:pPr>
          </w:p>
        </w:tc>
        <w:tc>
          <w:tcPr>
            <w:tcW w:w="1864"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MA-2 V.P.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MA-3 V.P.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MA-DIARIO</w:t>
            </w:r>
          </w:p>
        </w:tc>
        <w:tc>
          <w:tcPr>
            <w:tcW w:w="19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MA-DIARIO</w:t>
            </w:r>
          </w:p>
        </w:tc>
      </w:tr>
      <w:tr w:rsidR="00412AFB" w:rsidRPr="00993936" w:rsidTr="00C8678E">
        <w:trPr>
          <w:cantSplit/>
        </w:trPr>
        <w:tc>
          <w:tcPr>
            <w:tcW w:w="1276" w:type="dxa"/>
            <w:vMerge w:val="restart"/>
            <w:vAlign w:val="center"/>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OTOÑO</w:t>
            </w:r>
          </w:p>
        </w:tc>
        <w:tc>
          <w:tcPr>
            <w:tcW w:w="1864"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G-2 V. 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G-3 V.P.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G-DIARIO</w:t>
            </w:r>
          </w:p>
        </w:tc>
        <w:tc>
          <w:tcPr>
            <w:tcW w:w="19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G-A-2 V. P. D.</w:t>
            </w:r>
          </w:p>
        </w:tc>
      </w:tr>
      <w:tr w:rsidR="00412AFB" w:rsidRPr="00993936" w:rsidTr="00C8678E">
        <w:trPr>
          <w:cantSplit/>
        </w:trPr>
        <w:tc>
          <w:tcPr>
            <w:tcW w:w="1276" w:type="dxa"/>
            <w:vMerge/>
          </w:tcPr>
          <w:p w:rsidR="00412AFB" w:rsidRPr="00993936" w:rsidRDefault="00412AFB" w:rsidP="00C8678E">
            <w:pPr>
              <w:jc w:val="center"/>
              <w:rPr>
                <w:rFonts w:ascii="Arial" w:hAnsi="Arial" w:cs="Arial"/>
                <w:snapToGrid w:val="0"/>
                <w:lang w:val="es-ES"/>
              </w:rPr>
            </w:pPr>
          </w:p>
        </w:tc>
        <w:tc>
          <w:tcPr>
            <w:tcW w:w="1864"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MA-1 V.P.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MA-2 V.P. S.</w:t>
            </w:r>
          </w:p>
        </w:tc>
        <w:tc>
          <w:tcPr>
            <w:tcW w:w="1977"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MA-3 V.P. S.</w:t>
            </w:r>
          </w:p>
        </w:tc>
        <w:tc>
          <w:tcPr>
            <w:tcW w:w="1978" w:type="dxa"/>
          </w:tcPr>
          <w:p w:rsidR="00412AFB" w:rsidRPr="00993936" w:rsidRDefault="00412AFB" w:rsidP="00C8678E">
            <w:pPr>
              <w:jc w:val="center"/>
              <w:rPr>
                <w:rFonts w:ascii="Arial" w:hAnsi="Arial" w:cs="Arial"/>
                <w:snapToGrid w:val="0"/>
                <w:lang w:val="es-ES"/>
              </w:rPr>
            </w:pPr>
            <w:r w:rsidRPr="00993936">
              <w:rPr>
                <w:rFonts w:ascii="Arial" w:hAnsi="Arial" w:cs="Arial"/>
                <w:snapToGrid w:val="0"/>
                <w:lang w:val="es-ES"/>
              </w:rPr>
              <w:t>MA-DIARIO</w:t>
            </w:r>
          </w:p>
        </w:tc>
      </w:tr>
    </w:tbl>
    <w:p w:rsidR="00412AFB" w:rsidRPr="00993936" w:rsidRDefault="00412AFB" w:rsidP="00412AFB">
      <w:pPr>
        <w:rPr>
          <w:rFonts w:ascii="Arial" w:hAnsi="Arial" w:cs="Arial"/>
          <w:snapToGrid w:val="0"/>
          <w:lang w:val="es-ES"/>
        </w:rPr>
      </w:pPr>
      <w:r w:rsidRPr="00993936">
        <w:rPr>
          <w:rFonts w:ascii="Arial" w:hAnsi="Arial" w:cs="Arial"/>
          <w:snapToGrid w:val="0"/>
          <w:lang w:val="es-ES"/>
        </w:rPr>
        <w:t>V.P. S.- Veces por semana</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 xml:space="preserve">V. P. D.- Veces por día </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G - Sistema de riego por goteo</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MA - Sistema de riego por microaspersión</w:t>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Tabla 3.3 Cálculo de las necesidades de agua en riego localizado</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noProof/>
          <w:lang w:val="es-ES" w:eastAsia="es-ES"/>
        </w:rPr>
        <mc:AlternateContent>
          <mc:Choice Requires="wps">
            <w:drawing>
              <wp:anchor distT="0" distB="0" distL="114300" distR="114300" simplePos="0" relativeHeight="251656192" behindDoc="0" locked="0" layoutInCell="0" allowOverlap="1">
                <wp:simplePos x="0" y="0"/>
                <wp:positionH relativeFrom="column">
                  <wp:posOffset>13970</wp:posOffset>
                </wp:positionH>
                <wp:positionV relativeFrom="paragraph">
                  <wp:posOffset>56515</wp:posOffset>
                </wp:positionV>
                <wp:extent cx="5760720" cy="2495550"/>
                <wp:effectExtent l="0" t="0" r="11430" b="1905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495550"/>
                        </a:xfrm>
                        <a:prstGeom prst="rect">
                          <a:avLst/>
                        </a:prstGeom>
                        <a:solidFill>
                          <a:srgbClr val="FFFFFF"/>
                        </a:solidFill>
                        <a:ln w="9525">
                          <a:solidFill>
                            <a:srgbClr val="000000"/>
                          </a:solidFill>
                          <a:miter lim="800000"/>
                          <a:headEnd/>
                          <a:tailEnd/>
                        </a:ln>
                      </wps:spPr>
                      <wps:txbx>
                        <w:txbxContent>
                          <w:p w:rsidR="00567C10" w:rsidRPr="00857A1E" w:rsidRDefault="00567C10" w:rsidP="00412AFB">
                            <w:pPr>
                              <w:rPr>
                                <w:sz w:val="18"/>
                                <w:lang w:val="es-ES_tradnl"/>
                              </w:rPr>
                            </w:pPr>
                            <w:r w:rsidRPr="00857A1E">
                              <w:rPr>
                                <w:sz w:val="18"/>
                                <w:lang w:val="es-ES_tradnl"/>
                              </w:rPr>
                              <w:t xml:space="preserve">El volumen diario de agua para aportar a la plantación de cítricos expresado en litros por </w:t>
                            </w:r>
                            <w:r w:rsidRPr="00857A1E">
                              <w:rPr>
                                <w:rFonts w:ascii="Calibri" w:hAnsi="Calibri"/>
                                <w:lang w:val="es-ES_tradnl"/>
                              </w:rPr>
                              <w:t xml:space="preserve">metros cuadrados </w:t>
                            </w:r>
                            <w:r w:rsidRPr="00857A1E">
                              <w:rPr>
                                <w:sz w:val="18"/>
                                <w:lang w:val="es-ES_tradnl"/>
                              </w:rPr>
                              <w:t>(mm) se obtiene con la siguiente fórmula: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6"/>
                            </w:tblGrid>
                            <w:tr w:rsidR="00567C10" w:rsidRPr="00857A1E">
                              <w:trPr>
                                <w:jc w:val="center"/>
                              </w:trPr>
                              <w:tc>
                                <w:tcPr>
                                  <w:tcW w:w="1606" w:type="dxa"/>
                                </w:tcPr>
                                <w:p w:rsidR="00567C10" w:rsidRPr="00857A1E" w:rsidRDefault="00567C10" w:rsidP="00412AFB">
                                  <w:pPr>
                                    <w:jc w:val="center"/>
                                    <w:rPr>
                                      <w:b/>
                                      <w:sz w:val="24"/>
                                      <w:lang w:val="es-ES_tradnl"/>
                                    </w:rPr>
                                  </w:pPr>
                                  <w:r w:rsidRPr="00857A1E">
                                    <w:rPr>
                                      <w:b/>
                                      <w:sz w:val="24"/>
                                      <w:lang w:val="es-ES_tradnl"/>
                                    </w:rPr>
                                    <w:t>ETc = k. Eo</w:t>
                                  </w:r>
                                </w:p>
                              </w:tc>
                            </w:tr>
                          </w:tbl>
                          <w:p w:rsidR="00567C10" w:rsidRPr="00857A1E" w:rsidRDefault="00567C10" w:rsidP="00412AFB">
                            <w:pPr>
                              <w:rPr>
                                <w:sz w:val="18"/>
                                <w:lang w:val="es-ES_tradnl"/>
                              </w:rPr>
                            </w:pPr>
                            <w:r w:rsidRPr="00857A1E">
                              <w:rPr>
                                <w:sz w:val="18"/>
                                <w:lang w:val="es-ES_tradnl"/>
                              </w:rPr>
                              <w:t xml:space="preserve"> </w:t>
                            </w:r>
                          </w:p>
                          <w:p w:rsidR="00567C10" w:rsidRPr="00857A1E" w:rsidRDefault="00567C10" w:rsidP="00412AFB">
                            <w:pPr>
                              <w:rPr>
                                <w:sz w:val="18"/>
                                <w:lang w:val="es-ES_tradnl"/>
                              </w:rPr>
                            </w:pPr>
                            <w:r w:rsidRPr="00857A1E">
                              <w:rPr>
                                <w:sz w:val="18"/>
                                <w:lang w:val="es-ES_tradnl"/>
                              </w:rPr>
                              <w:t>Donde:</w:t>
                            </w:r>
                          </w:p>
                          <w:p w:rsidR="00567C10" w:rsidRPr="00857A1E" w:rsidRDefault="00567C10" w:rsidP="00412AFB">
                            <w:pPr>
                              <w:rPr>
                                <w:sz w:val="18"/>
                                <w:lang w:val="es-ES_tradnl"/>
                              </w:rPr>
                            </w:pPr>
                            <w:r w:rsidRPr="00857A1E">
                              <w:rPr>
                                <w:b/>
                                <w:sz w:val="18"/>
                                <w:lang w:val="es-ES_tradnl"/>
                              </w:rPr>
                              <w:t xml:space="preserve">ETc: </w:t>
                            </w:r>
                            <w:r w:rsidRPr="00857A1E">
                              <w:rPr>
                                <w:sz w:val="18"/>
                                <w:lang w:val="es-ES_tradnl"/>
                              </w:rPr>
                              <w:t>es la evapotranspiración del cultivo en l/m</w:t>
                            </w:r>
                            <w:r w:rsidRPr="00857A1E">
                              <w:rPr>
                                <w:sz w:val="18"/>
                                <w:vertAlign w:val="superscript"/>
                                <w:lang w:val="es-ES_tradnl"/>
                              </w:rPr>
                              <w:t>2</w:t>
                            </w:r>
                            <w:r w:rsidRPr="00857A1E">
                              <w:rPr>
                                <w:sz w:val="18"/>
                                <w:lang w:val="es-ES_tradnl"/>
                              </w:rPr>
                              <w:t xml:space="preserve"> (mm), que expresa el consumo de agua por unidad de superficie cultivada.</w:t>
                            </w:r>
                          </w:p>
                          <w:p w:rsidR="00567C10" w:rsidRPr="00857A1E" w:rsidRDefault="00567C10" w:rsidP="00412AFB">
                            <w:pPr>
                              <w:rPr>
                                <w:sz w:val="18"/>
                                <w:lang w:val="es-ES_tradnl"/>
                              </w:rPr>
                            </w:pPr>
                            <w:r w:rsidRPr="00857A1E">
                              <w:rPr>
                                <w:b/>
                                <w:sz w:val="18"/>
                                <w:lang w:val="es-ES_tradnl"/>
                              </w:rPr>
                              <w:t xml:space="preserve">Eo: </w:t>
                            </w:r>
                            <w:r w:rsidRPr="00857A1E">
                              <w:rPr>
                                <w:sz w:val="18"/>
                                <w:lang w:val="es-ES_tradnl"/>
                              </w:rPr>
                              <w:t xml:space="preserve">evaporación del agua del tanque expresada en mm/día. </w:t>
                            </w:r>
                          </w:p>
                          <w:p w:rsidR="00567C10" w:rsidRPr="00857A1E" w:rsidRDefault="00567C10" w:rsidP="00412AFB">
                            <w:pPr>
                              <w:rPr>
                                <w:sz w:val="18"/>
                                <w:lang w:val="es-ES_tradnl"/>
                              </w:rPr>
                            </w:pPr>
                            <w:r w:rsidRPr="00857A1E">
                              <w:rPr>
                                <w:b/>
                                <w:sz w:val="18"/>
                                <w:lang w:val="es-ES_tradnl"/>
                              </w:rPr>
                              <w:t xml:space="preserve">K: </w:t>
                            </w:r>
                            <w:r w:rsidRPr="00857A1E">
                              <w:rPr>
                                <w:sz w:val="18"/>
                                <w:lang w:val="es-ES_tradnl"/>
                              </w:rPr>
                              <w:t>es un coeficiente corrector que se obtiene del producto Kp x Kc, siendo Kp el coeficiente corrector de la lectura del tanque correspondiente a su ubicación y Kc, el coeficiente de cultivo definido por la expresión Kc = 0,046 (0,0089. PAS). Siendo PAS el porcentaje del área sombreada por la planta.</w:t>
                            </w:r>
                            <w:r>
                              <w:rPr>
                                <w:sz w:val="18"/>
                                <w:lang w:val="es-ES_tradnl"/>
                              </w:rPr>
                              <w:t xml:space="preserve"> </w:t>
                            </w:r>
                          </w:p>
                          <w:p w:rsidR="00567C10" w:rsidRPr="00857A1E" w:rsidRDefault="00567C10" w:rsidP="00412AFB">
                            <w:pPr>
                              <w:rPr>
                                <w:sz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0"/>
                              <w:gridCol w:w="2361"/>
                              <w:gridCol w:w="603"/>
                            </w:tblGrid>
                            <w:tr w:rsidR="00567C10" w:rsidRPr="00857A1E">
                              <w:trPr>
                                <w:cantSplit/>
                                <w:trHeight w:val="400"/>
                                <w:jc w:val="center"/>
                              </w:trPr>
                              <w:tc>
                                <w:tcPr>
                                  <w:tcW w:w="670" w:type="dxa"/>
                                  <w:vMerge w:val="restart"/>
                                  <w:tcBorders>
                                    <w:left w:val="single" w:sz="4" w:space="0" w:color="auto"/>
                                    <w:right w:val="nil"/>
                                  </w:tcBorders>
                                  <w:vAlign w:val="center"/>
                                </w:tcPr>
                                <w:p w:rsidR="00567C10" w:rsidRPr="00857A1E" w:rsidRDefault="00567C10" w:rsidP="00412AFB">
                                  <w:pPr>
                                    <w:jc w:val="right"/>
                                    <w:rPr>
                                      <w:b/>
                                      <w:snapToGrid w:val="0"/>
                                      <w:sz w:val="18"/>
                                      <w:lang w:val="es-ES_tradnl"/>
                                    </w:rPr>
                                  </w:pPr>
                                  <w:r w:rsidRPr="00857A1E">
                                    <w:rPr>
                                      <w:b/>
                                      <w:snapToGrid w:val="0"/>
                                      <w:sz w:val="18"/>
                                      <w:lang w:val="es-ES_tradnl"/>
                                    </w:rPr>
                                    <w:t>PAS =</w:t>
                                  </w:r>
                                </w:p>
                              </w:tc>
                              <w:tc>
                                <w:tcPr>
                                  <w:tcW w:w="2361" w:type="dxa"/>
                                  <w:tcBorders>
                                    <w:left w:val="nil"/>
                                    <w:right w:val="nil"/>
                                  </w:tcBorders>
                                  <w:vAlign w:val="center"/>
                                </w:tcPr>
                                <w:p w:rsidR="00567C10" w:rsidRPr="00857A1E" w:rsidRDefault="00567C10" w:rsidP="00412AFB">
                                  <w:pPr>
                                    <w:jc w:val="center"/>
                                    <w:rPr>
                                      <w:b/>
                                      <w:snapToGrid w:val="0"/>
                                      <w:sz w:val="18"/>
                                      <w:lang w:val="es-ES_tradnl"/>
                                    </w:rPr>
                                  </w:pPr>
                                  <w:r w:rsidRPr="00857A1E">
                                    <w:rPr>
                                      <w:b/>
                                      <w:snapToGrid w:val="0"/>
                                      <w:sz w:val="18"/>
                                      <w:lang w:val="es-ES_tradnl"/>
                                    </w:rPr>
                                    <w:t>Área sombreada (m</w:t>
                                  </w:r>
                                  <w:r w:rsidRPr="00857A1E">
                                    <w:rPr>
                                      <w:b/>
                                      <w:snapToGrid w:val="0"/>
                                      <w:sz w:val="18"/>
                                      <w:vertAlign w:val="superscript"/>
                                      <w:lang w:val="es-ES_tradnl"/>
                                    </w:rPr>
                                    <w:t>2</w:t>
                                  </w:r>
                                  <w:r w:rsidRPr="00857A1E">
                                    <w:rPr>
                                      <w:b/>
                                      <w:snapToGrid w:val="0"/>
                                      <w:sz w:val="18"/>
                                      <w:lang w:val="es-ES_tradnl"/>
                                    </w:rPr>
                                    <w:t>)</w:t>
                                  </w:r>
                                </w:p>
                              </w:tc>
                              <w:tc>
                                <w:tcPr>
                                  <w:tcW w:w="603" w:type="dxa"/>
                                  <w:vMerge w:val="restart"/>
                                  <w:tcBorders>
                                    <w:left w:val="nil"/>
                                  </w:tcBorders>
                                  <w:vAlign w:val="center"/>
                                </w:tcPr>
                                <w:p w:rsidR="00567C10" w:rsidRPr="00857A1E" w:rsidRDefault="00567C10" w:rsidP="00412AFB">
                                  <w:pPr>
                                    <w:rPr>
                                      <w:b/>
                                      <w:snapToGrid w:val="0"/>
                                      <w:sz w:val="18"/>
                                      <w:lang w:val="es-ES_tradnl"/>
                                    </w:rPr>
                                  </w:pPr>
                                  <w:r w:rsidRPr="00857A1E">
                                    <w:rPr>
                                      <w:b/>
                                      <w:snapToGrid w:val="0"/>
                                      <w:sz w:val="18"/>
                                      <w:lang w:val="es-ES_tradnl"/>
                                    </w:rPr>
                                    <w:t>x 100</w:t>
                                  </w:r>
                                </w:p>
                              </w:tc>
                            </w:tr>
                            <w:tr w:rsidR="00567C10" w:rsidRPr="00857A1E">
                              <w:trPr>
                                <w:cantSplit/>
                                <w:trHeight w:val="400"/>
                                <w:jc w:val="center"/>
                              </w:trPr>
                              <w:tc>
                                <w:tcPr>
                                  <w:tcW w:w="670" w:type="dxa"/>
                                  <w:vMerge/>
                                  <w:tcBorders>
                                    <w:left w:val="single" w:sz="4" w:space="0" w:color="auto"/>
                                    <w:right w:val="nil"/>
                                  </w:tcBorders>
                                </w:tcPr>
                                <w:p w:rsidR="00567C10" w:rsidRPr="00857A1E" w:rsidRDefault="00567C10" w:rsidP="00412AFB">
                                  <w:pPr>
                                    <w:rPr>
                                      <w:snapToGrid w:val="0"/>
                                      <w:sz w:val="18"/>
                                      <w:lang w:val="es-ES_tradnl"/>
                                    </w:rPr>
                                  </w:pPr>
                                </w:p>
                              </w:tc>
                              <w:tc>
                                <w:tcPr>
                                  <w:tcW w:w="2361" w:type="dxa"/>
                                  <w:tcBorders>
                                    <w:left w:val="nil"/>
                                    <w:right w:val="nil"/>
                                  </w:tcBorders>
                                  <w:vAlign w:val="center"/>
                                </w:tcPr>
                                <w:p w:rsidR="00567C10" w:rsidRPr="00857A1E" w:rsidRDefault="00567C10" w:rsidP="00412AFB">
                                  <w:pPr>
                                    <w:jc w:val="center"/>
                                    <w:rPr>
                                      <w:b/>
                                      <w:snapToGrid w:val="0"/>
                                      <w:sz w:val="18"/>
                                      <w:lang w:val="es-ES_tradnl"/>
                                    </w:rPr>
                                  </w:pPr>
                                  <w:r w:rsidRPr="00857A1E">
                                    <w:rPr>
                                      <w:b/>
                                      <w:snapToGrid w:val="0"/>
                                      <w:sz w:val="18"/>
                                      <w:lang w:val="es-ES_tradnl"/>
                                    </w:rPr>
                                    <w:t>Marco de plantación (m</w:t>
                                  </w:r>
                                  <w:r w:rsidRPr="00857A1E">
                                    <w:rPr>
                                      <w:b/>
                                      <w:snapToGrid w:val="0"/>
                                      <w:sz w:val="18"/>
                                      <w:vertAlign w:val="superscript"/>
                                      <w:lang w:val="es-ES_tradnl"/>
                                    </w:rPr>
                                    <w:t>2</w:t>
                                  </w:r>
                                  <w:r w:rsidRPr="00857A1E">
                                    <w:rPr>
                                      <w:b/>
                                      <w:snapToGrid w:val="0"/>
                                      <w:sz w:val="18"/>
                                      <w:lang w:val="es-ES_tradnl"/>
                                    </w:rPr>
                                    <w:t>)</w:t>
                                  </w:r>
                                </w:p>
                              </w:tc>
                              <w:tc>
                                <w:tcPr>
                                  <w:tcW w:w="603" w:type="dxa"/>
                                  <w:vMerge/>
                                  <w:tcBorders>
                                    <w:left w:val="nil"/>
                                  </w:tcBorders>
                                </w:tcPr>
                                <w:p w:rsidR="00567C10" w:rsidRPr="00857A1E" w:rsidRDefault="00567C10" w:rsidP="00412AFB">
                                  <w:pPr>
                                    <w:rPr>
                                      <w:snapToGrid w:val="0"/>
                                      <w:sz w:val="18"/>
                                      <w:lang w:val="es-ES_tradnl"/>
                                    </w:rPr>
                                  </w:pPr>
                                </w:p>
                              </w:tc>
                            </w:tr>
                          </w:tbl>
                          <w:p w:rsidR="00567C10" w:rsidRPr="00857A1E" w:rsidRDefault="00567C10" w:rsidP="00412AFB">
                            <w:pPr>
                              <w:rPr>
                                <w:sz w:val="18"/>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8" o:spid="_x0000_s1027" type="#_x0000_t202" style="position:absolute;margin-left:1.1pt;margin-top:4.45pt;width:453.6pt;height:19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" o:allowincell="f">
                <v:textbox>
                  <w:txbxContent>
                    <w:p w:rsidR="00567C10" w:rsidRPr="00857A1E" w:rsidRDefault="00567C10" w:rsidP="00412AFB">
                      <w:pPr>
                        <w:rPr>
                          <w:sz w:val="18"/>
                          <w:lang w:val="es-ES_tradnl"/>
                        </w:rPr>
                      </w:pPr>
                      <w:r w:rsidRPr="00857A1E">
                        <w:rPr>
                          <w:sz w:val="18"/>
                          <w:lang w:val="es-ES_tradnl"/>
                        </w:rPr>
                        <w:t xml:space="preserve">El volumen diario de agua para aportar a la plantación de cítricos expresado en litros por </w:t>
                      </w:r>
                      <w:r w:rsidRPr="00857A1E">
                        <w:rPr>
                          <w:rFonts w:ascii="Calibri" w:hAnsi="Calibri"/>
                          <w:lang w:val="es-ES_tradnl"/>
                        </w:rPr>
                        <w:t xml:space="preserve">metros cuadrados </w:t>
                      </w:r>
                      <w:r w:rsidRPr="00857A1E">
                        <w:rPr>
                          <w:sz w:val="18"/>
                          <w:lang w:val="es-ES_tradnl"/>
                        </w:rPr>
                        <w:t>(mm) se obtiene con la siguiente fórmula: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6"/>
                      </w:tblGrid>
                      <w:tr w:rsidR="00567C10" w:rsidRPr="00857A1E">
                        <w:trPr>
                          <w:jc w:val="center"/>
                        </w:trPr>
                        <w:tc>
                          <w:tcPr>
                            <w:tcW w:w="1606" w:type="dxa"/>
                          </w:tcPr>
                          <w:p w:rsidR="00567C10" w:rsidRPr="00857A1E" w:rsidRDefault="00567C10" w:rsidP="00412AFB">
                            <w:pPr>
                              <w:jc w:val="center"/>
                              <w:rPr>
                                <w:b/>
                                <w:sz w:val="24"/>
                                <w:lang w:val="es-ES_tradnl"/>
                              </w:rPr>
                            </w:pPr>
                            <w:r w:rsidRPr="00857A1E">
                              <w:rPr>
                                <w:b/>
                                <w:sz w:val="24"/>
                                <w:lang w:val="es-ES_tradnl"/>
                              </w:rPr>
                              <w:t>ETc = k. Eo</w:t>
                            </w:r>
                          </w:p>
                        </w:tc>
                      </w:tr>
                    </w:tbl>
                    <w:p w:rsidR="00567C10" w:rsidRPr="00857A1E" w:rsidRDefault="00567C10" w:rsidP="00412AFB">
                      <w:pPr>
                        <w:rPr>
                          <w:sz w:val="18"/>
                          <w:lang w:val="es-ES_tradnl"/>
                        </w:rPr>
                      </w:pPr>
                      <w:r w:rsidRPr="00857A1E">
                        <w:rPr>
                          <w:sz w:val="18"/>
                          <w:lang w:val="es-ES_tradnl"/>
                        </w:rPr>
                        <w:t xml:space="preserve"> </w:t>
                      </w:r>
                    </w:p>
                    <w:p w:rsidR="00567C10" w:rsidRPr="00857A1E" w:rsidRDefault="00567C10" w:rsidP="00412AFB">
                      <w:pPr>
                        <w:rPr>
                          <w:sz w:val="18"/>
                          <w:lang w:val="es-ES_tradnl"/>
                        </w:rPr>
                      </w:pPr>
                      <w:r w:rsidRPr="00857A1E">
                        <w:rPr>
                          <w:sz w:val="18"/>
                          <w:lang w:val="es-ES_tradnl"/>
                        </w:rPr>
                        <w:t>Donde:</w:t>
                      </w:r>
                    </w:p>
                    <w:p w:rsidR="00567C10" w:rsidRPr="00857A1E" w:rsidRDefault="00567C10" w:rsidP="00412AFB">
                      <w:pPr>
                        <w:rPr>
                          <w:sz w:val="18"/>
                          <w:lang w:val="es-ES_tradnl"/>
                        </w:rPr>
                      </w:pPr>
                      <w:r w:rsidRPr="00857A1E">
                        <w:rPr>
                          <w:b/>
                          <w:sz w:val="18"/>
                          <w:lang w:val="es-ES_tradnl"/>
                        </w:rPr>
                        <w:t xml:space="preserve">ETc: </w:t>
                      </w:r>
                      <w:r w:rsidRPr="00857A1E">
                        <w:rPr>
                          <w:sz w:val="18"/>
                          <w:lang w:val="es-ES_tradnl"/>
                        </w:rPr>
                        <w:t>es la evapotranspiración del cultivo en l/m</w:t>
                      </w:r>
                      <w:r w:rsidRPr="00857A1E">
                        <w:rPr>
                          <w:sz w:val="18"/>
                          <w:vertAlign w:val="superscript"/>
                          <w:lang w:val="es-ES_tradnl"/>
                        </w:rPr>
                        <w:t>2</w:t>
                      </w:r>
                      <w:r w:rsidRPr="00857A1E">
                        <w:rPr>
                          <w:sz w:val="18"/>
                          <w:lang w:val="es-ES_tradnl"/>
                        </w:rPr>
                        <w:t xml:space="preserve"> (mm), que expresa el consumo de agua por unidad de superficie cultivada.</w:t>
                      </w:r>
                    </w:p>
                    <w:p w:rsidR="00567C10" w:rsidRPr="00857A1E" w:rsidRDefault="00567C10" w:rsidP="00412AFB">
                      <w:pPr>
                        <w:rPr>
                          <w:sz w:val="18"/>
                          <w:lang w:val="es-ES_tradnl"/>
                        </w:rPr>
                      </w:pPr>
                      <w:r w:rsidRPr="00857A1E">
                        <w:rPr>
                          <w:b/>
                          <w:sz w:val="18"/>
                          <w:lang w:val="es-ES_tradnl"/>
                        </w:rPr>
                        <w:t xml:space="preserve">Eo: </w:t>
                      </w:r>
                      <w:r w:rsidRPr="00857A1E">
                        <w:rPr>
                          <w:sz w:val="18"/>
                          <w:lang w:val="es-ES_tradnl"/>
                        </w:rPr>
                        <w:t xml:space="preserve">evaporación del agua del tanque expresada en mm/día. </w:t>
                      </w:r>
                    </w:p>
                    <w:p w:rsidR="00567C10" w:rsidRPr="00857A1E" w:rsidRDefault="00567C10" w:rsidP="00412AFB">
                      <w:pPr>
                        <w:rPr>
                          <w:sz w:val="18"/>
                          <w:lang w:val="es-ES_tradnl"/>
                        </w:rPr>
                      </w:pPr>
                      <w:r w:rsidRPr="00857A1E">
                        <w:rPr>
                          <w:b/>
                          <w:sz w:val="18"/>
                          <w:lang w:val="es-ES_tradnl"/>
                        </w:rPr>
                        <w:t xml:space="preserve">K: </w:t>
                      </w:r>
                      <w:r w:rsidRPr="00857A1E">
                        <w:rPr>
                          <w:sz w:val="18"/>
                          <w:lang w:val="es-ES_tradnl"/>
                        </w:rPr>
                        <w:t>es un coeficiente corrector que se obtiene del producto Kp x Kc, siendo Kp el coeficiente corrector de la lectura del tanque correspondiente a su ubicación y Kc, el coeficiente de cultivo definido por la expresión Kc = 0,046 (0,0089. PAS). Siendo PAS el porcentaje del área sombreada por la planta.</w:t>
                      </w:r>
                      <w:r>
                        <w:rPr>
                          <w:sz w:val="18"/>
                          <w:lang w:val="es-ES_tradnl"/>
                        </w:rPr>
                        <w:t xml:space="preserve"> </w:t>
                      </w:r>
                    </w:p>
                    <w:p w:rsidR="00567C10" w:rsidRPr="00857A1E" w:rsidRDefault="00567C10" w:rsidP="00412AFB">
                      <w:pPr>
                        <w:rPr>
                          <w:sz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70"/>
                        <w:gridCol w:w="2361"/>
                        <w:gridCol w:w="603"/>
                      </w:tblGrid>
                      <w:tr w:rsidR="00567C10" w:rsidRPr="00857A1E">
                        <w:trPr>
                          <w:cantSplit/>
                          <w:trHeight w:val="400"/>
                          <w:jc w:val="center"/>
                        </w:trPr>
                        <w:tc>
                          <w:tcPr>
                            <w:tcW w:w="670" w:type="dxa"/>
                            <w:vMerge w:val="restart"/>
                            <w:tcBorders>
                              <w:left w:val="single" w:sz="4" w:space="0" w:color="auto"/>
                              <w:right w:val="nil"/>
                            </w:tcBorders>
                            <w:vAlign w:val="center"/>
                          </w:tcPr>
                          <w:p w:rsidR="00567C10" w:rsidRPr="00857A1E" w:rsidRDefault="00567C10" w:rsidP="00412AFB">
                            <w:pPr>
                              <w:jc w:val="right"/>
                              <w:rPr>
                                <w:b/>
                                <w:snapToGrid w:val="0"/>
                                <w:sz w:val="18"/>
                                <w:lang w:val="es-ES_tradnl"/>
                              </w:rPr>
                            </w:pPr>
                            <w:r w:rsidRPr="00857A1E">
                              <w:rPr>
                                <w:b/>
                                <w:snapToGrid w:val="0"/>
                                <w:sz w:val="18"/>
                                <w:lang w:val="es-ES_tradnl"/>
                              </w:rPr>
                              <w:t>PAS =</w:t>
                            </w:r>
                          </w:p>
                        </w:tc>
                        <w:tc>
                          <w:tcPr>
                            <w:tcW w:w="2361" w:type="dxa"/>
                            <w:tcBorders>
                              <w:left w:val="nil"/>
                              <w:right w:val="nil"/>
                            </w:tcBorders>
                            <w:vAlign w:val="center"/>
                          </w:tcPr>
                          <w:p w:rsidR="00567C10" w:rsidRPr="00857A1E" w:rsidRDefault="00567C10" w:rsidP="00412AFB">
                            <w:pPr>
                              <w:jc w:val="center"/>
                              <w:rPr>
                                <w:b/>
                                <w:snapToGrid w:val="0"/>
                                <w:sz w:val="18"/>
                                <w:lang w:val="es-ES_tradnl"/>
                              </w:rPr>
                            </w:pPr>
                            <w:r w:rsidRPr="00857A1E">
                              <w:rPr>
                                <w:b/>
                                <w:snapToGrid w:val="0"/>
                                <w:sz w:val="18"/>
                                <w:lang w:val="es-ES_tradnl"/>
                              </w:rPr>
                              <w:t>Área sombreada (m</w:t>
                            </w:r>
                            <w:r w:rsidRPr="00857A1E">
                              <w:rPr>
                                <w:b/>
                                <w:snapToGrid w:val="0"/>
                                <w:sz w:val="18"/>
                                <w:vertAlign w:val="superscript"/>
                                <w:lang w:val="es-ES_tradnl"/>
                              </w:rPr>
                              <w:t>2</w:t>
                            </w:r>
                            <w:r w:rsidRPr="00857A1E">
                              <w:rPr>
                                <w:b/>
                                <w:snapToGrid w:val="0"/>
                                <w:sz w:val="18"/>
                                <w:lang w:val="es-ES_tradnl"/>
                              </w:rPr>
                              <w:t>)</w:t>
                            </w:r>
                          </w:p>
                        </w:tc>
                        <w:tc>
                          <w:tcPr>
                            <w:tcW w:w="603" w:type="dxa"/>
                            <w:vMerge w:val="restart"/>
                            <w:tcBorders>
                              <w:left w:val="nil"/>
                            </w:tcBorders>
                            <w:vAlign w:val="center"/>
                          </w:tcPr>
                          <w:p w:rsidR="00567C10" w:rsidRPr="00857A1E" w:rsidRDefault="00567C10" w:rsidP="00412AFB">
                            <w:pPr>
                              <w:rPr>
                                <w:b/>
                                <w:snapToGrid w:val="0"/>
                                <w:sz w:val="18"/>
                                <w:lang w:val="es-ES_tradnl"/>
                              </w:rPr>
                            </w:pPr>
                            <w:r w:rsidRPr="00857A1E">
                              <w:rPr>
                                <w:b/>
                                <w:snapToGrid w:val="0"/>
                                <w:sz w:val="18"/>
                                <w:lang w:val="es-ES_tradnl"/>
                              </w:rPr>
                              <w:t>x 100</w:t>
                            </w:r>
                          </w:p>
                        </w:tc>
                      </w:tr>
                      <w:tr w:rsidR="00567C10" w:rsidRPr="00857A1E">
                        <w:trPr>
                          <w:cantSplit/>
                          <w:trHeight w:val="400"/>
                          <w:jc w:val="center"/>
                        </w:trPr>
                        <w:tc>
                          <w:tcPr>
                            <w:tcW w:w="670" w:type="dxa"/>
                            <w:vMerge/>
                            <w:tcBorders>
                              <w:left w:val="single" w:sz="4" w:space="0" w:color="auto"/>
                              <w:right w:val="nil"/>
                            </w:tcBorders>
                          </w:tcPr>
                          <w:p w:rsidR="00567C10" w:rsidRPr="00857A1E" w:rsidRDefault="00567C10" w:rsidP="00412AFB">
                            <w:pPr>
                              <w:rPr>
                                <w:snapToGrid w:val="0"/>
                                <w:sz w:val="18"/>
                                <w:lang w:val="es-ES_tradnl"/>
                              </w:rPr>
                            </w:pPr>
                          </w:p>
                        </w:tc>
                        <w:tc>
                          <w:tcPr>
                            <w:tcW w:w="2361" w:type="dxa"/>
                            <w:tcBorders>
                              <w:left w:val="nil"/>
                              <w:right w:val="nil"/>
                            </w:tcBorders>
                            <w:vAlign w:val="center"/>
                          </w:tcPr>
                          <w:p w:rsidR="00567C10" w:rsidRPr="00857A1E" w:rsidRDefault="00567C10" w:rsidP="00412AFB">
                            <w:pPr>
                              <w:jc w:val="center"/>
                              <w:rPr>
                                <w:b/>
                                <w:snapToGrid w:val="0"/>
                                <w:sz w:val="18"/>
                                <w:lang w:val="es-ES_tradnl"/>
                              </w:rPr>
                            </w:pPr>
                            <w:r w:rsidRPr="00857A1E">
                              <w:rPr>
                                <w:b/>
                                <w:snapToGrid w:val="0"/>
                                <w:sz w:val="18"/>
                                <w:lang w:val="es-ES_tradnl"/>
                              </w:rPr>
                              <w:t>Marco de plantación (m</w:t>
                            </w:r>
                            <w:r w:rsidRPr="00857A1E">
                              <w:rPr>
                                <w:b/>
                                <w:snapToGrid w:val="0"/>
                                <w:sz w:val="18"/>
                                <w:vertAlign w:val="superscript"/>
                                <w:lang w:val="es-ES_tradnl"/>
                              </w:rPr>
                              <w:t>2</w:t>
                            </w:r>
                            <w:r w:rsidRPr="00857A1E">
                              <w:rPr>
                                <w:b/>
                                <w:snapToGrid w:val="0"/>
                                <w:sz w:val="18"/>
                                <w:lang w:val="es-ES_tradnl"/>
                              </w:rPr>
                              <w:t>)</w:t>
                            </w:r>
                          </w:p>
                        </w:tc>
                        <w:tc>
                          <w:tcPr>
                            <w:tcW w:w="603" w:type="dxa"/>
                            <w:vMerge/>
                            <w:tcBorders>
                              <w:left w:val="nil"/>
                            </w:tcBorders>
                          </w:tcPr>
                          <w:p w:rsidR="00567C10" w:rsidRPr="00857A1E" w:rsidRDefault="00567C10" w:rsidP="00412AFB">
                            <w:pPr>
                              <w:rPr>
                                <w:snapToGrid w:val="0"/>
                                <w:sz w:val="18"/>
                                <w:lang w:val="es-ES_tradnl"/>
                              </w:rPr>
                            </w:pPr>
                          </w:p>
                        </w:tc>
                      </w:tr>
                    </w:tbl>
                    <w:p w:rsidR="00567C10" w:rsidRPr="00857A1E" w:rsidRDefault="00567C10" w:rsidP="00412AFB">
                      <w:pPr>
                        <w:rPr>
                          <w:sz w:val="18"/>
                          <w:lang w:val="es-ES_tradnl"/>
                        </w:rPr>
                      </w:pPr>
                    </w:p>
                  </w:txbxContent>
                </v:textbox>
              </v:shape>
            </w:pict>
          </mc:Fallback>
        </mc:AlternateConten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B27C4C" w:rsidRPr="00993936" w:rsidRDefault="00B27C4C">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PUNTO 4. TRATAMIENTOS FITOSANITARIOS</w:t>
      </w:r>
    </w:p>
    <w:p w:rsidR="00412AFB" w:rsidRPr="00993936" w:rsidRDefault="00412AFB" w:rsidP="00B27C4C">
      <w:pPr>
        <w:rPr>
          <w:rFonts w:ascii="Arial" w:hAnsi="Arial" w:cs="Arial"/>
          <w:b/>
          <w:snapToGrid w:val="0"/>
          <w:lang w:val="es-ES"/>
        </w:rPr>
      </w:pPr>
      <w:r w:rsidRPr="00993936">
        <w:rPr>
          <w:rFonts w:ascii="Arial" w:hAnsi="Arial" w:cs="Arial"/>
          <w:b/>
          <w:snapToGrid w:val="0"/>
          <w:lang w:val="es-ES"/>
        </w:rPr>
        <w:t xml:space="preserve">Tabla 4.1 Volumen recomendado de caldo y caudal de aire de los pulverizadores hidroneumáticos y equipos hidráulicos (pistolas) para realizar los tratamientos fitosanitarios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20"/>
        <w:gridCol w:w="4536"/>
      </w:tblGrid>
      <w:tr w:rsidR="00412AFB" w:rsidRPr="00993936" w:rsidTr="00B27C4C">
        <w:trPr>
          <w:cantSplit/>
        </w:trPr>
        <w:tc>
          <w:tcPr>
            <w:tcW w:w="9356" w:type="dxa"/>
            <w:gridSpan w:val="2"/>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Pulverizadores hidroneumáticos</w:t>
            </w:r>
          </w:p>
        </w:tc>
      </w:tr>
      <w:tr w:rsidR="00412AFB" w:rsidRPr="00993936" w:rsidTr="00B27C4C">
        <w:tc>
          <w:tcPr>
            <w:tcW w:w="4820"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Para el marco de la plantación ancho y agentes parasitarios de localización externa:</w:t>
            </w:r>
          </w:p>
          <w:p w:rsidR="00412AFB" w:rsidRPr="00993936" w:rsidRDefault="00E03B3B" w:rsidP="00C8678E">
            <w:pP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Volumen de aplicación 1.000 l/ha</w:t>
            </w:r>
          </w:p>
          <w:p w:rsidR="00412AFB" w:rsidRPr="00993936" w:rsidRDefault="00E03B3B" w:rsidP="00C8678E">
            <w:pP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Caudal de aire de 20.000 m</w:t>
            </w:r>
            <w:r w:rsidR="00412AFB" w:rsidRPr="00993936">
              <w:rPr>
                <w:rFonts w:ascii="Arial" w:hAnsi="Arial" w:cs="Arial"/>
                <w:snapToGrid w:val="0"/>
                <w:vertAlign w:val="superscript"/>
                <w:lang w:val="es-ES"/>
              </w:rPr>
              <w:t>3</w:t>
            </w:r>
            <w:r w:rsidR="00412AFB" w:rsidRPr="00993936">
              <w:rPr>
                <w:rFonts w:ascii="Arial" w:hAnsi="Arial" w:cs="Arial"/>
                <w:snapToGrid w:val="0"/>
                <w:lang w:val="es-ES"/>
              </w:rPr>
              <w:t>/h</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Para el marco de plantación estrecho y agentes parasitarios de localización externa:</w:t>
            </w:r>
          </w:p>
          <w:p w:rsidR="00412AFB" w:rsidRPr="00993936" w:rsidRDefault="00E03B3B" w:rsidP="00C8678E">
            <w:pP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Volumen de aplicación 1.200 l/ha</w:t>
            </w:r>
          </w:p>
          <w:p w:rsidR="00412AFB" w:rsidRPr="00993936" w:rsidRDefault="00E03B3B" w:rsidP="00C8678E">
            <w:pP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 xml:space="preserve">Caudal de aire de 35.000 </w:t>
            </w:r>
            <w:r w:rsidR="00A97D5A" w:rsidRPr="00993936">
              <w:rPr>
                <w:rFonts w:ascii="Arial" w:hAnsi="Arial" w:cs="Arial"/>
                <w:snapToGrid w:val="0"/>
                <w:lang w:val="es-ES"/>
              </w:rPr>
              <w:t>m</w:t>
            </w:r>
            <w:r w:rsidR="00A97D5A" w:rsidRPr="00993936">
              <w:rPr>
                <w:rFonts w:ascii="Arial" w:hAnsi="Arial" w:cs="Arial"/>
                <w:snapToGrid w:val="0"/>
                <w:vertAlign w:val="superscript"/>
                <w:lang w:val="es-ES"/>
              </w:rPr>
              <w:t>3</w:t>
            </w:r>
            <w:r w:rsidR="00A97D5A" w:rsidRPr="00993936">
              <w:rPr>
                <w:rFonts w:ascii="Arial" w:hAnsi="Arial" w:cs="Arial"/>
                <w:snapToGrid w:val="0"/>
                <w:lang w:val="es-ES"/>
              </w:rPr>
              <w:t>/h</w:t>
            </w:r>
          </w:p>
          <w:p w:rsidR="00412AFB" w:rsidRPr="00993936" w:rsidRDefault="00412AFB" w:rsidP="00C8678E">
            <w:pPr>
              <w:rPr>
                <w:rFonts w:ascii="Arial" w:hAnsi="Arial" w:cs="Arial"/>
                <w:b/>
                <w:snapToGrid w:val="0"/>
                <w:lang w:val="es-ES"/>
              </w:rPr>
            </w:pPr>
          </w:p>
        </w:tc>
        <w:tc>
          <w:tcPr>
            <w:tcW w:w="4536"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Para agentes parasitarios de localización externa:</w:t>
            </w:r>
          </w:p>
          <w:p w:rsidR="00412AFB" w:rsidRPr="00993936" w:rsidRDefault="00412AFB" w:rsidP="00C8678E">
            <w:pPr>
              <w:rPr>
                <w:rFonts w:ascii="Arial" w:hAnsi="Arial" w:cs="Arial"/>
                <w:snapToGrid w:val="0"/>
                <w:lang w:val="es-ES"/>
              </w:rPr>
            </w:pPr>
          </w:p>
          <w:p w:rsidR="00412AFB" w:rsidRPr="00993936" w:rsidRDefault="00412AFB" w:rsidP="00C8678E">
            <w:pPr>
              <w:rPr>
                <w:rFonts w:ascii="Arial" w:hAnsi="Arial" w:cs="Arial"/>
                <w:snapToGrid w:val="0"/>
                <w:lang w:val="es-ES"/>
              </w:rPr>
            </w:pPr>
            <w:r w:rsidRPr="00993936">
              <w:rPr>
                <w:rFonts w:ascii="Arial" w:hAnsi="Arial" w:cs="Arial"/>
                <w:snapToGrid w:val="0"/>
                <w:lang w:val="es-ES"/>
              </w:rPr>
              <w:t>Volumen de aplicación de 1.200 l/ha</w:t>
            </w:r>
          </w:p>
          <w:p w:rsidR="00412AFB" w:rsidRPr="00993936" w:rsidRDefault="00E03B3B" w:rsidP="00C8678E">
            <w:pP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 xml:space="preserve">Caudal de aire de 30.000 </w:t>
            </w:r>
            <w:r w:rsidR="00A97D5A" w:rsidRPr="00993936">
              <w:rPr>
                <w:rFonts w:ascii="Arial" w:hAnsi="Arial" w:cs="Arial"/>
                <w:snapToGrid w:val="0"/>
                <w:lang w:val="es-ES"/>
              </w:rPr>
              <w:t>m</w:t>
            </w:r>
            <w:r w:rsidR="00A97D5A" w:rsidRPr="00993936">
              <w:rPr>
                <w:rFonts w:ascii="Arial" w:hAnsi="Arial" w:cs="Arial"/>
                <w:snapToGrid w:val="0"/>
                <w:vertAlign w:val="superscript"/>
                <w:lang w:val="es-ES"/>
              </w:rPr>
              <w:t>3</w:t>
            </w:r>
            <w:r w:rsidR="00A97D5A" w:rsidRPr="00993936">
              <w:rPr>
                <w:rFonts w:ascii="Arial" w:hAnsi="Arial" w:cs="Arial"/>
                <w:snapToGrid w:val="0"/>
                <w:lang w:val="es-ES"/>
              </w:rPr>
              <w:t>/h</w:t>
            </w:r>
          </w:p>
        </w:tc>
      </w:tr>
      <w:tr w:rsidR="00412AFB" w:rsidRPr="00993936" w:rsidTr="00B27C4C">
        <w:tc>
          <w:tcPr>
            <w:tcW w:w="4820" w:type="dxa"/>
            <w:tcBorders>
              <w:bottom w:val="nil"/>
            </w:tcBorders>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Para el marco de plantación ancho y agentes parasitarios de localización interna:</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Volumen de aplicación 2.000 l/ha</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Caudal de aire de 40.000 </w:t>
            </w:r>
            <w:r w:rsidR="00A97D5A" w:rsidRPr="00993936">
              <w:rPr>
                <w:rFonts w:ascii="Arial" w:hAnsi="Arial" w:cs="Arial"/>
                <w:snapToGrid w:val="0"/>
                <w:lang w:val="es-ES"/>
              </w:rPr>
              <w:t>m</w:t>
            </w:r>
            <w:r w:rsidR="00A97D5A" w:rsidRPr="00993936">
              <w:rPr>
                <w:rFonts w:ascii="Arial" w:hAnsi="Arial" w:cs="Arial"/>
                <w:snapToGrid w:val="0"/>
                <w:vertAlign w:val="superscript"/>
                <w:lang w:val="es-ES"/>
              </w:rPr>
              <w:t>3</w:t>
            </w:r>
            <w:r w:rsidR="00A97D5A" w:rsidRPr="00993936">
              <w:rPr>
                <w:rFonts w:ascii="Arial" w:hAnsi="Arial" w:cs="Arial"/>
                <w:snapToGrid w:val="0"/>
                <w:lang w:val="es-ES"/>
              </w:rPr>
              <w:t>/h</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Para el marco de plantación estrecho y agentes parasitarios de localización interna:</w:t>
            </w:r>
          </w:p>
          <w:p w:rsidR="00412AFB" w:rsidRPr="00993936" w:rsidRDefault="00E03B3B" w:rsidP="00C8678E">
            <w:pP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Volumen de aplicación 2.500 l/ha</w:t>
            </w:r>
          </w:p>
          <w:p w:rsidR="00412AFB" w:rsidRPr="00993936" w:rsidRDefault="00E03B3B" w:rsidP="00C8678E">
            <w:pP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 xml:space="preserve">Caudal de aire de 60.000 </w:t>
            </w:r>
            <w:r w:rsidR="00A97D5A" w:rsidRPr="00993936">
              <w:rPr>
                <w:rFonts w:ascii="Arial" w:hAnsi="Arial" w:cs="Arial"/>
                <w:snapToGrid w:val="0"/>
                <w:lang w:val="es-ES"/>
              </w:rPr>
              <w:t>m</w:t>
            </w:r>
            <w:r w:rsidR="00A97D5A" w:rsidRPr="00993936">
              <w:rPr>
                <w:rFonts w:ascii="Arial" w:hAnsi="Arial" w:cs="Arial"/>
                <w:snapToGrid w:val="0"/>
                <w:vertAlign w:val="superscript"/>
                <w:lang w:val="es-ES"/>
              </w:rPr>
              <w:t>3</w:t>
            </w:r>
            <w:r w:rsidR="00A97D5A" w:rsidRPr="00993936">
              <w:rPr>
                <w:rFonts w:ascii="Arial" w:hAnsi="Arial" w:cs="Arial"/>
                <w:snapToGrid w:val="0"/>
                <w:lang w:val="es-ES"/>
              </w:rPr>
              <w:t>/h</w:t>
            </w:r>
          </w:p>
        </w:tc>
        <w:tc>
          <w:tcPr>
            <w:tcW w:w="4536" w:type="dxa"/>
            <w:tcBorders>
              <w:bottom w:val="nil"/>
            </w:tcBorders>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Para agentes parasitarios de localización interna:</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 </w:t>
            </w:r>
          </w:p>
          <w:p w:rsidR="00412AFB" w:rsidRPr="00993936" w:rsidRDefault="00E03B3B" w:rsidP="00C8678E">
            <w:pP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Volumen de aplicación 2.500 l/ha</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Caudal de aire de 50.000 </w:t>
            </w:r>
            <w:r w:rsidR="00A97D5A" w:rsidRPr="00993936">
              <w:rPr>
                <w:rFonts w:ascii="Arial" w:hAnsi="Arial" w:cs="Arial"/>
                <w:snapToGrid w:val="0"/>
                <w:lang w:val="es-ES"/>
              </w:rPr>
              <w:t>m</w:t>
            </w:r>
            <w:r w:rsidR="00A97D5A" w:rsidRPr="00993936">
              <w:rPr>
                <w:rFonts w:ascii="Arial" w:hAnsi="Arial" w:cs="Arial"/>
                <w:snapToGrid w:val="0"/>
                <w:vertAlign w:val="superscript"/>
                <w:lang w:val="es-ES"/>
              </w:rPr>
              <w:t>3</w:t>
            </w:r>
            <w:r w:rsidR="00A97D5A" w:rsidRPr="00993936">
              <w:rPr>
                <w:rFonts w:ascii="Arial" w:hAnsi="Arial" w:cs="Arial"/>
                <w:snapToGrid w:val="0"/>
                <w:lang w:val="es-ES"/>
              </w:rPr>
              <w:t>/h</w:t>
            </w:r>
          </w:p>
        </w:tc>
      </w:tr>
      <w:tr w:rsidR="00412AFB" w:rsidRPr="00993936" w:rsidTr="00B27C4C">
        <w:trPr>
          <w:cantSplit/>
        </w:trPr>
        <w:tc>
          <w:tcPr>
            <w:tcW w:w="9356" w:type="dxa"/>
            <w:gridSpan w:val="2"/>
            <w:shd w:val="pct20" w:color="auto" w:fill="FFFFFF"/>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Pulverizadores hidráulicos con disparadores accionados manualmente</w:t>
            </w:r>
          </w:p>
        </w:tc>
      </w:tr>
      <w:tr w:rsidR="00412AFB" w:rsidRPr="00993936" w:rsidTr="00B27C4C">
        <w:tc>
          <w:tcPr>
            <w:tcW w:w="4820"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Para agentes parasitarios de localización externa: 2.000 l/ha</w:t>
            </w:r>
          </w:p>
        </w:tc>
        <w:tc>
          <w:tcPr>
            <w:tcW w:w="4536"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Para agentes parasitarios de localización externa: 2.500 l/ha, con un diámetro máximo de boquilla de </w:t>
            </w:r>
            <w:smartTag w:uri="urn:schemas-microsoft-com:office:smarttags" w:element="metricconverter">
              <w:smartTagPr>
                <w:attr w:name="ProductID" w:val="1,5 mm"/>
              </w:smartTagPr>
              <w:r w:rsidRPr="00993936">
                <w:rPr>
                  <w:rFonts w:ascii="Arial" w:hAnsi="Arial" w:cs="Arial"/>
                  <w:snapToGrid w:val="0"/>
                  <w:lang w:val="es-ES"/>
                </w:rPr>
                <w:t>1,5 mm</w:t>
              </w:r>
            </w:smartTag>
          </w:p>
        </w:tc>
      </w:tr>
      <w:tr w:rsidR="00412AFB" w:rsidRPr="00993936" w:rsidTr="00B27C4C">
        <w:tc>
          <w:tcPr>
            <w:tcW w:w="4820"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Para agentes parasitarios de localización interna: 4.000 l</w:t>
            </w:r>
          </w:p>
        </w:tc>
        <w:tc>
          <w:tcPr>
            <w:tcW w:w="4536"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Para agentes parasitarios de localización interna: 5.000 l/ha con un diámetro máximo de boquilla de </w:t>
            </w:r>
            <w:smartTag w:uri="urn:schemas-microsoft-com:office:smarttags" w:element="metricconverter">
              <w:smartTagPr>
                <w:attr w:name="ProductID" w:val="2 mm"/>
              </w:smartTagPr>
              <w:r w:rsidRPr="00993936">
                <w:rPr>
                  <w:rFonts w:ascii="Arial" w:hAnsi="Arial" w:cs="Arial"/>
                  <w:snapToGrid w:val="0"/>
                  <w:lang w:val="es-ES"/>
                </w:rPr>
                <w:t>2 mm</w:t>
              </w:r>
            </w:smartTag>
          </w:p>
        </w:tc>
      </w:tr>
    </w:tbl>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Pulverizadores hidroneumáticos: la velocidad de salida del aire no debe exceder los 30 m/s, y la presión de trabajo los 20 kg/cm</w:t>
      </w:r>
      <w:r w:rsidRPr="00993936">
        <w:rPr>
          <w:rFonts w:ascii="Arial" w:hAnsi="Arial" w:cs="Arial"/>
          <w:snapToGrid w:val="0"/>
          <w:vertAlign w:val="superscript"/>
          <w:lang w:val="es-ES"/>
        </w:rPr>
        <w:t>2</w:t>
      </w:r>
      <w:r w:rsidRPr="00993936">
        <w:rPr>
          <w:rFonts w:ascii="Arial" w:hAnsi="Arial" w:cs="Arial"/>
          <w:snapToGrid w:val="0"/>
          <w:lang w:val="es-ES"/>
        </w:rPr>
        <w:t>.</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Pulverizadores hidráulicos: La presión de trabajo no debe exceder los 30 kg/cm</w:t>
      </w:r>
      <w:r w:rsidRPr="00993936">
        <w:rPr>
          <w:rFonts w:ascii="Arial" w:hAnsi="Arial" w:cs="Arial"/>
          <w:snapToGrid w:val="0"/>
          <w:vertAlign w:val="superscript"/>
          <w:lang w:val="es-ES"/>
        </w:rPr>
        <w:t>2</w:t>
      </w:r>
      <w:r w:rsidRPr="00993936">
        <w:rPr>
          <w:rFonts w:ascii="Arial" w:hAnsi="Arial" w:cs="Arial"/>
          <w:snapToGrid w:val="0"/>
          <w:lang w:val="es-ES"/>
        </w:rPr>
        <w:t>.</w:t>
      </w:r>
    </w:p>
    <w:p w:rsidR="00412AFB" w:rsidRPr="00993936" w:rsidRDefault="00412AFB" w:rsidP="00412AFB">
      <w:pPr>
        <w:jc w:val="center"/>
        <w:outlineLvl w:val="0"/>
        <w:rPr>
          <w:rFonts w:ascii="Arial" w:hAnsi="Arial" w:cs="Arial"/>
          <w:b/>
          <w:snapToGrid w:val="0"/>
          <w:lang w:val="es-ES"/>
        </w:rPr>
      </w:pPr>
      <w:r w:rsidRPr="00993936">
        <w:rPr>
          <w:rFonts w:ascii="Arial" w:hAnsi="Arial" w:cs="Arial"/>
          <w:b/>
          <w:snapToGrid w:val="0"/>
          <w:lang w:val="es-ES"/>
        </w:rPr>
        <w:t>APÉNDICE II: PLAGAS Y ENFERMEDADES</w:t>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ANEXO 1</w:t>
      </w:r>
    </w:p>
    <w:p w:rsidR="00412AFB" w:rsidRPr="00993936" w:rsidRDefault="00412AFB" w:rsidP="00412AFB">
      <w:pPr>
        <w:pStyle w:val="Textoindependiente2"/>
        <w:rPr>
          <w:rFonts w:cs="Arial"/>
          <w:szCs w:val="22"/>
          <w:lang w:val="es-ES"/>
        </w:rPr>
      </w:pPr>
      <w:r w:rsidRPr="00993936">
        <w:rPr>
          <w:rFonts w:cs="Arial"/>
          <w:szCs w:val="22"/>
          <w:lang w:val="es-ES"/>
        </w:rPr>
        <w:lastRenderedPageBreak/>
        <w:t xml:space="preserve">1.1. Materias activas de herbicidas para la producción integrada cítricos. </w:t>
      </w:r>
    </w:p>
    <w:p w:rsidR="00412AFB" w:rsidRPr="00993936" w:rsidRDefault="00412AFB" w:rsidP="00412AFB">
      <w:pPr>
        <w:jc w:val="both"/>
        <w:rPr>
          <w:rFonts w:ascii="Arial" w:hAnsi="Arial" w:cs="Arial"/>
          <w:b/>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3"/>
        <w:gridCol w:w="4605"/>
      </w:tblGrid>
      <w:tr w:rsidR="00412AFB" w:rsidRPr="00993936" w:rsidTr="00C8678E">
        <w:trPr>
          <w:jc w:val="center"/>
        </w:trPr>
        <w:tc>
          <w:tcPr>
            <w:tcW w:w="9088" w:type="dxa"/>
            <w:gridSpan w:val="2"/>
            <w:tcBorders>
              <w:bottom w:val="nil"/>
            </w:tcBorders>
            <w:shd w:val="pct12" w:color="auto" w:fill="FFFFFF"/>
            <w:vAlign w:val="center"/>
          </w:tcPr>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TIPO DE HERBICIDAS</w:t>
            </w:r>
          </w:p>
        </w:tc>
      </w:tr>
      <w:tr w:rsidR="00412AFB" w:rsidRPr="00993936" w:rsidTr="00C8678E">
        <w:trPr>
          <w:jc w:val="center"/>
        </w:trPr>
        <w:tc>
          <w:tcPr>
            <w:tcW w:w="4483" w:type="dxa"/>
            <w:tcBorders>
              <w:bottom w:val="nil"/>
            </w:tcBorders>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t>Materia activa</w:t>
            </w:r>
          </w:p>
        </w:tc>
        <w:tc>
          <w:tcPr>
            <w:tcW w:w="4605" w:type="dxa"/>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t>Obligaciones</w:t>
            </w:r>
          </w:p>
        </w:tc>
      </w:tr>
      <w:tr w:rsidR="00412AFB" w:rsidRPr="00993936" w:rsidTr="00C8678E">
        <w:trPr>
          <w:cantSplit/>
          <w:trHeight w:val="4033"/>
          <w:jc w:val="center"/>
        </w:trPr>
        <w:tc>
          <w:tcPr>
            <w:tcW w:w="4483" w:type="dxa"/>
            <w:vMerge w:val="restart"/>
            <w:shd w:val="clear" w:color="auto" w:fill="FFFFFF"/>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2,4-D + Tiacloprid (1)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Ácido pelargónico + Glifosato (1)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Carfentrazona etil</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Diclobenil</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Diflufenican + Glifosato (1)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Diflufenican + Oxifluorfen (1)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Flazasulfuron</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Fluazifop-P-butil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Fluroxipir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Glifosato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Glifosato + MCPA (1)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Glifosato + Oxifluorfen (1)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Glifosato + Piraflufen etil (1)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Glufosinato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Isoxaben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MCPA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Metazacloro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Napropamida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Oxifluorfen</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Pendimetalina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Piraflufen-etil</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Propaquizafop</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Quizalofop-P-etil</w:t>
            </w:r>
          </w:p>
          <w:p w:rsidR="00412AFB" w:rsidRPr="00993936" w:rsidRDefault="00412AFB" w:rsidP="00B27C4C">
            <w:pPr>
              <w:pStyle w:val="Sinespaciado"/>
              <w:rPr>
                <w:rFonts w:ascii="Arial" w:hAnsi="Arial" w:cs="Arial"/>
                <w:snapToGrid w:val="0"/>
                <w:lang w:val="es-ES"/>
              </w:rPr>
            </w:pPr>
          </w:p>
        </w:tc>
        <w:tc>
          <w:tcPr>
            <w:tcW w:w="4605" w:type="dxa"/>
          </w:tcPr>
          <w:p w:rsidR="00412AFB" w:rsidRPr="00993936" w:rsidRDefault="00412AFB" w:rsidP="00B27C4C">
            <w:pPr>
              <w:pStyle w:val="Sinespaciado"/>
              <w:rPr>
                <w:rFonts w:ascii="Arial" w:hAnsi="Arial" w:cs="Arial"/>
                <w:snapToGrid w:val="0"/>
                <w:lang w:val="es-ES"/>
              </w:rPr>
            </w:pPr>
          </w:p>
          <w:p w:rsidR="00412AFB" w:rsidRPr="00993936" w:rsidRDefault="00412AFB" w:rsidP="00B27C4C">
            <w:pPr>
              <w:pStyle w:val="Sinespaciado"/>
              <w:rPr>
                <w:rFonts w:ascii="Arial" w:hAnsi="Arial" w:cs="Arial"/>
                <w:snapToGrid w:val="0"/>
                <w:lang w:val="es-ES"/>
              </w:rPr>
            </w:pPr>
          </w:p>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ab/>
              <w:t>Controlar las malas hierbas, siempre que sea posible, con medios físicos, mecánicos, biológicos o con aquellos que ofrezcan el menor riesgo de emisiones de CO</w:t>
            </w:r>
            <w:r w:rsidRPr="00993936">
              <w:rPr>
                <w:rFonts w:ascii="Arial" w:hAnsi="Arial" w:cs="Arial"/>
                <w:snapToGrid w:val="0"/>
                <w:vertAlign w:val="subscript"/>
                <w:lang w:val="es-ES"/>
              </w:rPr>
              <w:t>2</w:t>
            </w:r>
            <w:r w:rsidRPr="00993936">
              <w:rPr>
                <w:rFonts w:ascii="Arial" w:hAnsi="Arial" w:cs="Arial"/>
                <w:snapToGrid w:val="0"/>
                <w:lang w:val="es-ES"/>
              </w:rPr>
              <w:t>. Cuando los medios señalados anteriormente no permitan un control adecuado de las malas hierbas, podrá justificarse la aplicación de alguno de los herbicidas que figuran en esta tabla.</w:t>
            </w:r>
          </w:p>
          <w:p w:rsidR="00412AFB" w:rsidRPr="00993936" w:rsidRDefault="00412AFB" w:rsidP="00B27C4C">
            <w:pPr>
              <w:pStyle w:val="Sinespaciado"/>
              <w:rPr>
                <w:rFonts w:ascii="Arial" w:hAnsi="Arial" w:cs="Arial"/>
                <w:snapToGrid w:val="0"/>
                <w:lang w:val="es-ES"/>
              </w:rPr>
            </w:pPr>
          </w:p>
          <w:p w:rsidR="00412AFB" w:rsidRPr="00993936" w:rsidRDefault="00412AFB" w:rsidP="00B27C4C">
            <w:pPr>
              <w:pStyle w:val="Sinespaciado"/>
              <w:rPr>
                <w:rFonts w:ascii="Arial" w:hAnsi="Arial" w:cs="Arial"/>
                <w:snapToGrid w:val="0"/>
                <w:lang w:val="es-ES"/>
              </w:rPr>
            </w:pPr>
            <w:r w:rsidRPr="00993936">
              <w:rPr>
                <w:rFonts w:ascii="Arial" w:hAnsi="Arial" w:cs="Arial"/>
                <w:snapToGrid w:val="0"/>
                <w:lang w:val="es-ES"/>
              </w:rPr>
              <w:t>Las materias activas que se utilizarán serán seleccionadas de acuerdo con los criterios de menor peligrosidad para los humanos, la fauna silvestre y el medio ambiente, y por proporcionar un control efectivo de las mala hierbas.</w:t>
            </w:r>
          </w:p>
          <w:p w:rsidR="00412AFB" w:rsidRPr="00993936" w:rsidRDefault="00412AFB" w:rsidP="00B27C4C">
            <w:pPr>
              <w:pStyle w:val="Sinespaciado"/>
              <w:rPr>
                <w:rFonts w:ascii="Arial" w:hAnsi="Arial" w:cs="Arial"/>
                <w:snapToGrid w:val="0"/>
                <w:lang w:val="es-ES"/>
              </w:rPr>
            </w:pPr>
          </w:p>
        </w:tc>
      </w:tr>
      <w:tr w:rsidR="00412AFB" w:rsidRPr="00993936" w:rsidTr="00C8678E">
        <w:trPr>
          <w:cantSplit/>
          <w:trHeight w:val="227"/>
          <w:jc w:val="center"/>
        </w:trPr>
        <w:tc>
          <w:tcPr>
            <w:tcW w:w="4483" w:type="dxa"/>
            <w:vMerge/>
            <w:shd w:val="clear" w:color="auto" w:fill="FFFFFF"/>
            <w:vAlign w:val="center"/>
          </w:tcPr>
          <w:p w:rsidR="00412AFB" w:rsidRPr="00993936" w:rsidDel="00371BC6" w:rsidRDefault="00412AFB" w:rsidP="00B27C4C">
            <w:pPr>
              <w:pStyle w:val="Sinespaciado"/>
              <w:rPr>
                <w:rFonts w:ascii="Arial" w:hAnsi="Arial" w:cs="Arial"/>
                <w:lang w:val="es-ES"/>
              </w:rPr>
            </w:pPr>
          </w:p>
        </w:tc>
        <w:tc>
          <w:tcPr>
            <w:tcW w:w="4605" w:type="dxa"/>
            <w:shd w:val="clear" w:color="auto" w:fill="D9D9D9"/>
          </w:tcPr>
          <w:p w:rsidR="00412AFB" w:rsidRPr="00993936" w:rsidRDefault="00412AFB" w:rsidP="00B27C4C">
            <w:pPr>
              <w:pStyle w:val="Sinespaciado"/>
              <w:rPr>
                <w:rFonts w:ascii="Arial" w:hAnsi="Arial" w:cs="Arial"/>
                <w:snapToGrid w:val="0"/>
                <w:lang w:val="es-ES" w:eastAsia="ca-ES"/>
              </w:rPr>
            </w:pPr>
            <w:r w:rsidRPr="00993936">
              <w:rPr>
                <w:rFonts w:ascii="Arial" w:hAnsi="Arial" w:cs="Arial"/>
                <w:snapToGrid w:val="0"/>
                <w:lang w:val="es-ES" w:eastAsia="ca-ES"/>
              </w:rPr>
              <w:t>Restricciones</w:t>
            </w:r>
          </w:p>
        </w:tc>
      </w:tr>
      <w:tr w:rsidR="00412AFB" w:rsidRPr="00993936" w:rsidTr="00C8678E">
        <w:trPr>
          <w:cantSplit/>
          <w:trHeight w:val="416"/>
          <w:jc w:val="center"/>
        </w:trPr>
        <w:tc>
          <w:tcPr>
            <w:tcW w:w="4483" w:type="dxa"/>
            <w:vMerge/>
            <w:shd w:val="clear" w:color="auto" w:fill="FFFFFF"/>
            <w:vAlign w:val="center"/>
          </w:tcPr>
          <w:p w:rsidR="00412AFB" w:rsidRPr="00993936" w:rsidDel="00371BC6" w:rsidRDefault="00412AFB" w:rsidP="00B27C4C">
            <w:pPr>
              <w:pStyle w:val="Sinespaciado"/>
              <w:rPr>
                <w:rFonts w:ascii="Arial" w:hAnsi="Arial" w:cs="Arial"/>
                <w:lang w:val="es-ES"/>
              </w:rPr>
            </w:pPr>
          </w:p>
        </w:tc>
        <w:tc>
          <w:tcPr>
            <w:tcW w:w="4605" w:type="dxa"/>
          </w:tcPr>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 Solo formulaciones comerciales registradas</w:t>
            </w:r>
          </w:p>
          <w:p w:rsidR="00412AFB" w:rsidRPr="00993936" w:rsidRDefault="00412AFB" w:rsidP="00B27C4C">
            <w:pPr>
              <w:pStyle w:val="Sinespaciado"/>
              <w:rPr>
                <w:rFonts w:ascii="Arial" w:hAnsi="Arial" w:cs="Arial"/>
                <w:lang w:val="es-ES" w:eastAsia="ca-ES"/>
              </w:rPr>
            </w:pPr>
          </w:p>
        </w:tc>
      </w:tr>
    </w:tbl>
    <w:p w:rsidR="00412AFB" w:rsidRPr="00993936" w:rsidRDefault="00412AFB" w:rsidP="00412AFB">
      <w:pPr>
        <w:jc w:val="both"/>
        <w:rPr>
          <w:rFonts w:ascii="Arial" w:hAnsi="Arial" w:cs="Arial"/>
          <w:b/>
          <w:snapToGrid w:val="0"/>
          <w:lang w:val="es-ES"/>
        </w:rPr>
        <w:sectPr w:rsidR="00412AFB" w:rsidRPr="00993936">
          <w:pgSz w:w="11907" w:h="16840" w:code="9"/>
          <w:pgMar w:top="1985" w:right="1418" w:bottom="1701" w:left="1418" w:header="708" w:footer="708" w:gutter="0"/>
          <w:pgNumType w:start="1"/>
          <w:cols w:space="708"/>
        </w:sectPr>
      </w:pPr>
    </w:p>
    <w:p w:rsidR="00412AFB" w:rsidRPr="00993936" w:rsidRDefault="00412AFB" w:rsidP="00412AFB">
      <w:pPr>
        <w:jc w:val="both"/>
        <w:outlineLvl w:val="0"/>
        <w:rPr>
          <w:rFonts w:ascii="Arial" w:hAnsi="Arial" w:cs="Arial"/>
          <w:b/>
          <w:snapToGrid w:val="0"/>
          <w:lang w:val="es-ES"/>
        </w:rPr>
      </w:pPr>
    </w:p>
    <w:p w:rsidR="00412AFB" w:rsidRPr="00993936" w:rsidRDefault="00412AFB" w:rsidP="00412AFB">
      <w:pPr>
        <w:pStyle w:val="Textoindependiente2"/>
        <w:rPr>
          <w:rFonts w:cs="Arial"/>
          <w:szCs w:val="22"/>
          <w:lang w:val="es-ES"/>
        </w:rPr>
      </w:pPr>
      <w:r w:rsidRPr="00993936">
        <w:rPr>
          <w:rFonts w:cs="Arial"/>
          <w:szCs w:val="22"/>
          <w:lang w:val="es-ES"/>
        </w:rPr>
        <w:t>1.2 Materias activas de herbicidas para la producción integrada de cítricos con indicación del código de resistencia HRAC</w:t>
      </w:r>
    </w:p>
    <w:p w:rsidR="00412AFB" w:rsidRPr="00993936" w:rsidRDefault="00412AFB" w:rsidP="00412AFB">
      <w:pPr>
        <w:pStyle w:val="Textoindependiente2"/>
        <w:rPr>
          <w:rFonts w:cs="Arial"/>
          <w:szCs w:val="22"/>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 </w:t>
      </w:r>
    </w:p>
    <w:tbl>
      <w:tblPr>
        <w:tblW w:w="849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3936"/>
        <w:gridCol w:w="4557"/>
      </w:tblGrid>
      <w:tr w:rsidR="00412AFB" w:rsidRPr="00993936" w:rsidTr="00C8678E">
        <w:trPr>
          <w:trHeight w:val="400"/>
          <w:tblHeader/>
          <w:jc w:val="center"/>
        </w:trPr>
        <w:tc>
          <w:tcPr>
            <w:tcW w:w="8493" w:type="dxa"/>
            <w:gridSpan w:val="2"/>
            <w:shd w:val="pct5"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 xml:space="preserve">TIPO DE HERBICIDAS </w:t>
            </w:r>
          </w:p>
        </w:tc>
      </w:tr>
      <w:tr w:rsidR="00412AFB" w:rsidRPr="00993936" w:rsidTr="00C8678E">
        <w:trPr>
          <w:cantSplit/>
          <w:trHeight w:val="170"/>
          <w:jc w:val="center"/>
        </w:trPr>
        <w:tc>
          <w:tcPr>
            <w:tcW w:w="3936" w:type="dxa"/>
            <w:vMerge w:val="restart"/>
            <w:tcBorders>
              <w:top w:val="nil"/>
            </w:tcBorders>
            <w:shd w:val="pct12"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Materia activa</w:t>
            </w:r>
          </w:p>
          <w:p w:rsidR="00412AFB" w:rsidRPr="00993936" w:rsidRDefault="00412AFB" w:rsidP="00C8678E">
            <w:pPr>
              <w:pStyle w:val="Textoindependiente"/>
              <w:jc w:val="center"/>
              <w:rPr>
                <w:rFonts w:cs="Arial"/>
                <w:b/>
                <w:szCs w:val="22"/>
                <w:lang w:val="es-ES"/>
              </w:rPr>
            </w:pPr>
          </w:p>
        </w:tc>
        <w:tc>
          <w:tcPr>
            <w:tcW w:w="4557" w:type="dxa"/>
            <w:tcBorders>
              <w:top w:val="nil"/>
            </w:tcBorders>
            <w:shd w:val="pct12"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Indicación del código de resistencia</w:t>
            </w:r>
          </w:p>
        </w:tc>
      </w:tr>
      <w:tr w:rsidR="00412AFB" w:rsidRPr="00993936" w:rsidTr="00C8678E">
        <w:trPr>
          <w:cantSplit/>
          <w:trHeight w:val="267"/>
          <w:jc w:val="center"/>
        </w:trPr>
        <w:tc>
          <w:tcPr>
            <w:tcW w:w="3936" w:type="dxa"/>
            <w:vMerge/>
            <w:shd w:val="clear" w:color="auto" w:fill="FFFFFF"/>
            <w:vAlign w:val="center"/>
          </w:tcPr>
          <w:p w:rsidR="00412AFB" w:rsidRPr="00993936" w:rsidRDefault="00412AFB" w:rsidP="00C8678E">
            <w:pPr>
              <w:pStyle w:val="Textoindependiente"/>
              <w:rPr>
                <w:rFonts w:cs="Arial"/>
                <w:szCs w:val="22"/>
                <w:lang w:val="es-ES"/>
              </w:rPr>
            </w:pPr>
          </w:p>
        </w:tc>
        <w:tc>
          <w:tcPr>
            <w:tcW w:w="4557" w:type="dxa"/>
            <w:shd w:val="pct12" w:color="auto" w:fill="auto"/>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HRAC (*)</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2-4 D + Tiacloprid</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O+O</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 xml:space="preserve">Ácido pelargónico + Glifosato </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Z + G</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Carbentrazone-etil</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E</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Diclobenil</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L</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 xml:space="preserve">Diflufenican + Glifosato </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F1 + G</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 xml:space="preserve">Diflufenican + Oxifluorfen </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F1 + E</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Flazasulfuron</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B</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Fluroxipir</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A</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Fluazifop-P-butil</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A</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 xml:space="preserve">Glifosato </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G</w:t>
            </w:r>
          </w:p>
        </w:tc>
      </w:tr>
      <w:tr w:rsidR="00412AFB" w:rsidRPr="00993936" w:rsidTr="00C8678E">
        <w:trPr>
          <w:cantSplit/>
          <w:trHeight w:val="252"/>
          <w:jc w:val="center"/>
        </w:trPr>
        <w:tc>
          <w:tcPr>
            <w:tcW w:w="3936" w:type="dxa"/>
            <w:shd w:val="clear" w:color="auto" w:fill="FFFFFF"/>
            <w:vAlign w:val="center"/>
          </w:tcPr>
          <w:p w:rsidR="00412AFB" w:rsidRPr="00993936" w:rsidRDefault="006E0CBA" w:rsidP="00C8678E">
            <w:pPr>
              <w:pStyle w:val="Textoindependiente"/>
              <w:jc w:val="left"/>
              <w:rPr>
                <w:rFonts w:cs="Arial"/>
                <w:szCs w:val="22"/>
                <w:lang w:val="es-ES"/>
              </w:rPr>
            </w:pPr>
            <w:r w:rsidRPr="00993936">
              <w:rPr>
                <w:rFonts w:cs="Arial"/>
                <w:szCs w:val="22"/>
                <w:lang w:val="es-ES"/>
              </w:rPr>
              <w:t xml:space="preserve">Glifosato + MCPA </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G + E</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 xml:space="preserve">Glifosato + Oxifluorfen </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G + E</w:t>
            </w:r>
          </w:p>
        </w:tc>
      </w:tr>
      <w:tr w:rsidR="00412AFB" w:rsidRPr="00993936" w:rsidTr="00C8678E">
        <w:trPr>
          <w:cantSplit/>
          <w:trHeight w:val="252"/>
          <w:jc w:val="center"/>
        </w:trPr>
        <w:tc>
          <w:tcPr>
            <w:tcW w:w="3936" w:type="dxa"/>
            <w:shd w:val="clear" w:color="auto" w:fill="FFFFFF"/>
            <w:vAlign w:val="center"/>
          </w:tcPr>
          <w:p w:rsidR="00412AFB" w:rsidRPr="00993936" w:rsidRDefault="00C03DD4" w:rsidP="00C8678E">
            <w:pPr>
              <w:pStyle w:val="Textoindependiente"/>
              <w:jc w:val="left"/>
              <w:rPr>
                <w:rFonts w:cs="Arial"/>
                <w:szCs w:val="22"/>
                <w:lang w:val="es-ES"/>
              </w:rPr>
            </w:pPr>
            <w:r w:rsidRPr="00993936">
              <w:rPr>
                <w:rFonts w:cs="Arial"/>
                <w:szCs w:val="22"/>
                <w:lang w:val="es-ES"/>
              </w:rPr>
              <w:t>Glifosato * Piraflufen-</w:t>
            </w:r>
            <w:r w:rsidR="00412AFB" w:rsidRPr="00993936">
              <w:rPr>
                <w:rFonts w:cs="Arial"/>
                <w:szCs w:val="22"/>
                <w:lang w:val="es-ES"/>
              </w:rPr>
              <w:t xml:space="preserve">etil </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G + E</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Glufosinato amónico</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H</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Isoxaben</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L</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MCPA</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E</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Metazacloro</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K3</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Napropamida</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K3</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Oxifluorfen</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E</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Pendimetalina</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K1</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Piraflufen-etil</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E</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Propaquizafop</w:t>
            </w:r>
          </w:p>
        </w:tc>
        <w:tc>
          <w:tcPr>
            <w:tcW w:w="4557" w:type="dxa"/>
            <w:shd w:val="clear" w:color="auto" w:fill="FFFFFF"/>
            <w:vAlign w:val="center"/>
          </w:tcPr>
          <w:p w:rsidR="00412AFB" w:rsidRPr="00993936" w:rsidRDefault="00412AFB" w:rsidP="00C8678E">
            <w:pPr>
              <w:pStyle w:val="Textoindependiente"/>
              <w:jc w:val="center"/>
              <w:rPr>
                <w:rFonts w:cs="Arial"/>
                <w:b/>
                <w:szCs w:val="22"/>
                <w:lang w:val="es-ES"/>
              </w:rPr>
            </w:pPr>
            <w:r w:rsidRPr="00993936">
              <w:rPr>
                <w:rFonts w:cs="Arial"/>
                <w:b/>
                <w:szCs w:val="22"/>
                <w:lang w:val="es-ES"/>
              </w:rPr>
              <w:t>A</w:t>
            </w:r>
          </w:p>
        </w:tc>
      </w:tr>
      <w:tr w:rsidR="00412AFB" w:rsidRPr="00993936" w:rsidTr="00C8678E">
        <w:trPr>
          <w:cantSplit/>
          <w:trHeight w:val="252"/>
          <w:jc w:val="center"/>
        </w:trPr>
        <w:tc>
          <w:tcPr>
            <w:tcW w:w="3936" w:type="dxa"/>
            <w:shd w:val="clear" w:color="auto" w:fill="FFFFFF"/>
            <w:vAlign w:val="center"/>
          </w:tcPr>
          <w:p w:rsidR="00412AFB" w:rsidRPr="00993936" w:rsidRDefault="00412AFB" w:rsidP="00C8678E">
            <w:pPr>
              <w:pStyle w:val="Textoindependiente"/>
              <w:jc w:val="left"/>
              <w:rPr>
                <w:rFonts w:cs="Arial"/>
                <w:szCs w:val="22"/>
                <w:lang w:val="es-ES"/>
              </w:rPr>
            </w:pPr>
            <w:r w:rsidRPr="00993936">
              <w:rPr>
                <w:rFonts w:cs="Arial"/>
                <w:szCs w:val="22"/>
                <w:lang w:val="es-ES"/>
              </w:rPr>
              <w:t>Quizalofop-P-etil</w:t>
            </w:r>
          </w:p>
        </w:tc>
        <w:tc>
          <w:tcPr>
            <w:tcW w:w="4557" w:type="dxa"/>
            <w:shd w:val="clear" w:color="auto" w:fill="FFFFFF"/>
            <w:vAlign w:val="center"/>
          </w:tcPr>
          <w:p w:rsidR="00412AFB" w:rsidRPr="00993936" w:rsidRDefault="00412AFB" w:rsidP="00C8678E">
            <w:pPr>
              <w:pStyle w:val="Textoindependiente"/>
              <w:jc w:val="center"/>
              <w:rPr>
                <w:rFonts w:cs="Arial"/>
                <w:b/>
                <w:bCs/>
                <w:szCs w:val="22"/>
                <w:lang w:val="es-ES"/>
              </w:rPr>
            </w:pPr>
            <w:r w:rsidRPr="00993936">
              <w:rPr>
                <w:rFonts w:cs="Arial"/>
                <w:b/>
                <w:bCs/>
                <w:szCs w:val="22"/>
                <w:lang w:val="es-ES"/>
              </w:rPr>
              <w:t>A</w:t>
            </w:r>
          </w:p>
        </w:tc>
      </w:tr>
      <w:tr w:rsidR="00412AFB" w:rsidRPr="00993936" w:rsidTr="00C8678E">
        <w:trPr>
          <w:cantSplit/>
          <w:jc w:val="center"/>
        </w:trPr>
        <w:tc>
          <w:tcPr>
            <w:tcW w:w="8493" w:type="dxa"/>
            <w:gridSpan w:val="2"/>
            <w:shd w:val="clear" w:color="auto" w:fill="FFFFFF"/>
            <w:vAlign w:val="center"/>
          </w:tcPr>
          <w:p w:rsidR="00412AFB" w:rsidRPr="00993936" w:rsidRDefault="00412AFB" w:rsidP="00C8678E">
            <w:pPr>
              <w:pStyle w:val="Textoindependiente"/>
              <w:jc w:val="left"/>
              <w:rPr>
                <w:rFonts w:cs="Arial"/>
                <w:szCs w:val="22"/>
                <w:lang w:val="es-ES"/>
              </w:rPr>
            </w:pPr>
          </w:p>
          <w:p w:rsidR="00412AFB" w:rsidRPr="00993936" w:rsidRDefault="00412AFB" w:rsidP="009D1A2D">
            <w:pPr>
              <w:pStyle w:val="Textoindependiente"/>
              <w:keepLines/>
              <w:numPr>
                <w:ilvl w:val="0"/>
                <w:numId w:val="32"/>
              </w:numPr>
              <w:rPr>
                <w:rFonts w:cs="Arial"/>
                <w:szCs w:val="22"/>
                <w:lang w:val="es-ES"/>
              </w:rPr>
            </w:pPr>
            <w:r w:rsidRPr="00993936">
              <w:rPr>
                <w:rFonts w:cs="Arial"/>
                <w:szCs w:val="22"/>
                <w:lang w:val="es-ES"/>
              </w:rPr>
              <w:t>Para evitar la aparición de resistencias a herbicidas alternar el uso de materias activas que presenten códigos de resistencia (HRAC) diferentes.</w:t>
            </w:r>
          </w:p>
        </w:tc>
      </w:tr>
      <w:tr w:rsidR="00412AFB" w:rsidRPr="00993936" w:rsidTr="00C8678E">
        <w:trPr>
          <w:cantSplit/>
          <w:trHeight w:val="127"/>
          <w:jc w:val="center"/>
        </w:trPr>
        <w:tc>
          <w:tcPr>
            <w:tcW w:w="8493" w:type="dxa"/>
            <w:gridSpan w:val="2"/>
            <w:shd w:val="clear" w:color="auto" w:fill="FFFFFF"/>
            <w:vAlign w:val="center"/>
          </w:tcPr>
          <w:p w:rsidR="00412AFB" w:rsidRPr="00993936" w:rsidRDefault="00412AFB" w:rsidP="00C8678E">
            <w:pPr>
              <w:pStyle w:val="Textoindependiente"/>
              <w:jc w:val="left"/>
              <w:rPr>
                <w:rFonts w:cs="Arial"/>
                <w:szCs w:val="22"/>
                <w:lang w:val="es-ES"/>
              </w:rPr>
            </w:pPr>
          </w:p>
          <w:p w:rsidR="00412AFB" w:rsidRPr="00993936" w:rsidRDefault="00412AFB" w:rsidP="00C8678E">
            <w:pPr>
              <w:pStyle w:val="Textoindependiente"/>
              <w:jc w:val="left"/>
              <w:rPr>
                <w:rFonts w:cs="Arial"/>
                <w:szCs w:val="22"/>
                <w:lang w:val="es-ES"/>
              </w:rPr>
            </w:pPr>
            <w:r w:rsidRPr="00993936">
              <w:rPr>
                <w:rFonts w:cs="Arial"/>
                <w:szCs w:val="22"/>
                <w:lang w:val="es-ES"/>
              </w:rPr>
              <w:t>(*) Fuente: Comité de Acción de Resistencia a Herbicidas</w:t>
            </w:r>
          </w:p>
          <w:p w:rsidR="00412AFB" w:rsidRPr="00993936" w:rsidRDefault="00412AFB" w:rsidP="00C8678E">
            <w:pPr>
              <w:pStyle w:val="Textoindependiente"/>
              <w:jc w:val="left"/>
              <w:rPr>
                <w:rFonts w:cs="Arial"/>
                <w:szCs w:val="22"/>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lang w:val="es-ES"/>
        </w:rPr>
      </w:pPr>
    </w:p>
    <w:p w:rsidR="00412AFB" w:rsidRPr="00993936" w:rsidRDefault="00412AFB" w:rsidP="00412AFB">
      <w:pPr>
        <w:jc w:val="both"/>
        <w:outlineLvl w:val="0"/>
        <w:rPr>
          <w:rFonts w:ascii="Arial" w:hAnsi="Arial" w:cs="Arial"/>
          <w:b/>
          <w:snapToGrid w:val="0"/>
          <w:lang w:val="es-ES"/>
        </w:rPr>
      </w:pPr>
    </w:p>
    <w:p w:rsidR="00412AFB" w:rsidRPr="00993936" w:rsidRDefault="00412AFB" w:rsidP="00412AFB">
      <w:pPr>
        <w:jc w:val="both"/>
        <w:outlineLvl w:val="0"/>
        <w:rPr>
          <w:rFonts w:ascii="Arial" w:hAnsi="Arial" w:cs="Arial"/>
          <w:b/>
          <w:snapToGrid w:val="0"/>
          <w:lang w:val="es-ES"/>
        </w:rPr>
      </w:pP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ANEXO 2</w:t>
      </w: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2.1. Materias activas de insecticidas para la producción integrada de cítricos</w:t>
      </w: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 xml:space="preserve">2.1.1. Naranja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3"/>
        <w:gridCol w:w="2873"/>
        <w:gridCol w:w="3388"/>
      </w:tblGrid>
      <w:tr w:rsidR="00412AFB" w:rsidRPr="00993936" w:rsidTr="00C8678E">
        <w:trPr>
          <w:tblHeader/>
          <w:jc w:val="center"/>
        </w:trPr>
        <w:tc>
          <w:tcPr>
            <w:tcW w:w="1378" w:type="pct"/>
            <w:shd w:val="pct12" w:color="auto" w:fill="FFFFFF"/>
            <w:vAlign w:val="center"/>
          </w:tcPr>
          <w:p w:rsidR="00412AFB" w:rsidRPr="00993936" w:rsidRDefault="00412AFB" w:rsidP="00B27C4C">
            <w:pPr>
              <w:pStyle w:val="Sinespaciado"/>
              <w:jc w:val="center"/>
              <w:rPr>
                <w:rFonts w:ascii="Arial" w:hAnsi="Arial" w:cs="Arial"/>
                <w:b/>
                <w:lang w:val="es-ES"/>
              </w:rPr>
            </w:pPr>
            <w:r w:rsidRPr="00993936">
              <w:rPr>
                <w:rFonts w:ascii="Arial" w:hAnsi="Arial" w:cs="Arial"/>
                <w:b/>
                <w:lang w:val="es-ES"/>
              </w:rPr>
              <w:t>PLAGA</w:t>
            </w:r>
          </w:p>
        </w:tc>
        <w:tc>
          <w:tcPr>
            <w:tcW w:w="1662" w:type="pct"/>
            <w:shd w:val="pct12" w:color="auto" w:fill="FFFFFF"/>
            <w:vAlign w:val="center"/>
          </w:tcPr>
          <w:p w:rsidR="00412AFB" w:rsidRPr="00993936" w:rsidRDefault="00412AFB" w:rsidP="00B27C4C">
            <w:pPr>
              <w:pStyle w:val="Sinespaciado"/>
              <w:jc w:val="center"/>
              <w:rPr>
                <w:rFonts w:ascii="Arial" w:hAnsi="Arial" w:cs="Arial"/>
                <w:b/>
                <w:lang w:val="es-ES"/>
              </w:rPr>
            </w:pPr>
            <w:r w:rsidRPr="00993936">
              <w:rPr>
                <w:rFonts w:ascii="Arial" w:hAnsi="Arial" w:cs="Arial"/>
                <w:b/>
                <w:lang w:val="es-ES"/>
              </w:rPr>
              <w:t>MATERIA ACTIVA</w:t>
            </w:r>
          </w:p>
        </w:tc>
        <w:tc>
          <w:tcPr>
            <w:tcW w:w="1960" w:type="pct"/>
            <w:shd w:val="pct12" w:color="auto" w:fill="FFFFFF"/>
            <w:vAlign w:val="center"/>
          </w:tcPr>
          <w:p w:rsidR="00412AFB" w:rsidRPr="00993936" w:rsidRDefault="00412AFB" w:rsidP="00B27C4C">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Pulgones</w:t>
            </w:r>
          </w:p>
          <w:p w:rsidR="00412AFB" w:rsidRPr="00993936" w:rsidRDefault="00412AFB" w:rsidP="00B27C4C">
            <w:pPr>
              <w:pStyle w:val="Sinespaciado"/>
              <w:rPr>
                <w:rFonts w:ascii="Arial" w:hAnsi="Arial" w:cs="Arial"/>
                <w:i/>
                <w:iCs/>
                <w:lang w:val="es-ES" w:eastAsia="ca-ES"/>
              </w:rPr>
            </w:pPr>
            <w:r w:rsidRPr="00993936">
              <w:rPr>
                <w:rFonts w:ascii="Arial" w:hAnsi="Arial" w:cs="Arial"/>
                <w:lang w:val="es-ES" w:eastAsia="ca-ES"/>
              </w:rPr>
              <w:t>(</w:t>
            </w:r>
            <w:r w:rsidRPr="00993936">
              <w:rPr>
                <w:rFonts w:ascii="Arial" w:hAnsi="Arial" w:cs="Arial"/>
                <w:i/>
                <w:iCs/>
                <w:lang w:val="es-ES" w:eastAsia="ca-ES"/>
              </w:rPr>
              <w:t>Aphis spiraecola, Aphis gossypii, Myzus persicae</w:t>
            </w:r>
          </w:p>
          <w:p w:rsidR="00412AFB" w:rsidRPr="00993936" w:rsidRDefault="00412AFB" w:rsidP="00B27C4C">
            <w:pPr>
              <w:pStyle w:val="Sinespaciado"/>
              <w:rPr>
                <w:rFonts w:ascii="Arial" w:hAnsi="Arial" w:cs="Arial"/>
                <w:iCs/>
                <w:lang w:val="es-ES" w:eastAsia="ca-ES"/>
              </w:rPr>
            </w:pPr>
            <w:r w:rsidRPr="00993936">
              <w:rPr>
                <w:rFonts w:ascii="Arial" w:hAnsi="Arial" w:cs="Arial"/>
                <w:lang w:val="es-ES" w:eastAsia="ca-ES"/>
              </w:rPr>
              <w:t>Toxoptera aurantii)</w:t>
            </w:r>
          </w:p>
        </w:tc>
        <w:tc>
          <w:tcPr>
            <w:tcW w:w="1662"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Acetamiprid</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Cipermetrina (17)(18)</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 (17)(18)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Etofenprox</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Flonicamid</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 Lambda-cihalotrina +Tiametoxam</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Pimetrozina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Pirimicarb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Sales potásicas de raíces grasas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Tau-fluvalinato (17) (18) (20)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Tiametoxam</w:t>
            </w:r>
          </w:p>
        </w:tc>
        <w:tc>
          <w:tcPr>
            <w:tcW w:w="1960" w:type="pct"/>
            <w:vMerge w:val="restar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 Utilizar solo hasta la floración</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 Usar sin cosecha pendiente o en fruta destinada al mercado interior</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lang w:val="es-ES" w:eastAsia="ca-ES"/>
                </w:rPr>
                <w:t>20 m</w:t>
              </w:r>
            </w:smartTag>
            <w:r w:rsidRPr="00993936">
              <w:rPr>
                <w:rFonts w:ascii="Arial" w:hAnsi="Arial" w:cs="Arial"/>
                <w:lang w:val="es-ES" w:eastAsia="ca-ES"/>
              </w:rPr>
              <w:t xml:space="preserve"> de corrientes de agua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(6) Solo en plantones e injertos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(7) Pintado del tronco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(8) Riego por goteo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(9) Aplicado como cebo en el suelo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(10)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(11) Solo mayo-junio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(12) No tratar si hay cochinilla acanalada o cotonet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(13) Solo tratamientos en primavera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(14) Suspensión en el tronco del árbol y/o en el suelo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(15) Máximo una aplicación foliar por año para los naranjos y </w:t>
            </w:r>
            <w:r w:rsidRPr="00993936">
              <w:rPr>
                <w:rFonts w:ascii="Arial" w:hAnsi="Arial" w:cs="Arial"/>
                <w:lang w:val="es-ES" w:eastAsia="ca-ES"/>
              </w:rPr>
              <w:lastRenderedPageBreak/>
              <w:t>limoneros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(16) Un único tratamiento cuando el fruto comienza a tomar color</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(17) Utilizar solo cuando las materias activas sin restricciones no sean efectivas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(18) Un único tratamiento por campaña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(19) Utilizar mediante captura masiva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(20) Solo formulaciones que no sean de clasificación toxicológica 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(21) Utilizar con poblaciones bajas de plaga</w:t>
            </w: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i/>
                <w:iCs/>
                <w:lang w:val="es-ES" w:eastAsia="ca-ES"/>
              </w:rPr>
            </w:pPr>
            <w:r w:rsidRPr="00993936">
              <w:rPr>
                <w:rFonts w:ascii="Arial" w:hAnsi="Arial" w:cs="Arial"/>
                <w:lang w:val="es-ES" w:eastAsia="ca-ES"/>
              </w:rPr>
              <w:t xml:space="preserve">(*) </w:t>
            </w:r>
            <w:r w:rsidRPr="00993936">
              <w:rPr>
                <w:rFonts w:ascii="Arial" w:hAnsi="Arial" w:cs="Arial"/>
                <w:i/>
                <w:iCs/>
                <w:lang w:val="es-ES" w:eastAsia="ca-ES"/>
              </w:rPr>
              <w:t>A partir de la fecha límite de autorización de la materia activa, el LMR (límite máximo de</w:t>
            </w:r>
          </w:p>
          <w:p w:rsidR="00412AFB" w:rsidRPr="00993936" w:rsidRDefault="00412AFB" w:rsidP="00B27C4C">
            <w:pPr>
              <w:pStyle w:val="Sinespaciado"/>
              <w:rPr>
                <w:rFonts w:ascii="Arial" w:hAnsi="Arial" w:cs="Arial"/>
                <w:i/>
                <w:iCs/>
                <w:lang w:val="es-ES" w:eastAsia="ca-ES"/>
              </w:rPr>
            </w:pPr>
            <w:r w:rsidRPr="00993936">
              <w:rPr>
                <w:rFonts w:ascii="Arial" w:hAnsi="Arial" w:cs="Arial"/>
                <w:i/>
                <w:iCs/>
                <w:lang w:val="es-ES" w:eastAsia="ca-ES"/>
              </w:rPr>
              <w:t>residuos) baja al LD (límite de detección). Deben tenerse en cuenta las curvas de disipación</w:t>
            </w:r>
          </w:p>
          <w:p w:rsidR="00412AFB" w:rsidRPr="00993936" w:rsidRDefault="00412AFB" w:rsidP="00B27C4C">
            <w:pPr>
              <w:pStyle w:val="Sinespaciado"/>
              <w:rPr>
                <w:rFonts w:ascii="Arial" w:hAnsi="Arial" w:cs="Arial"/>
                <w:i/>
                <w:iCs/>
                <w:lang w:val="es-ES" w:eastAsia="ca-ES"/>
              </w:rPr>
            </w:pPr>
            <w:r w:rsidRPr="00993936">
              <w:rPr>
                <w:rFonts w:ascii="Arial" w:hAnsi="Arial" w:cs="Arial"/>
                <w:i/>
                <w:iCs/>
                <w:lang w:val="es-ES" w:eastAsia="ca-ES"/>
              </w:rPr>
              <w:t>de estos plaguicidas en cítricos. Consultar la bibliografía.</w:t>
            </w:r>
          </w:p>
          <w:p w:rsidR="00412AFB" w:rsidRPr="00993936" w:rsidRDefault="00412AFB" w:rsidP="00B27C4C">
            <w:pPr>
              <w:pStyle w:val="Sinespaciado"/>
              <w:rPr>
                <w:rFonts w:ascii="Arial" w:hAnsi="Arial" w:cs="Arial"/>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lang w:val="es-ES"/>
              </w:rPr>
            </w:pPr>
            <w:r w:rsidRPr="00993936">
              <w:rPr>
                <w:rFonts w:ascii="Arial" w:hAnsi="Arial" w:cs="Arial"/>
                <w:bCs/>
                <w:lang w:val="es-ES" w:eastAsia="ca-ES"/>
              </w:rPr>
              <w:t xml:space="preserve">Mosca blanca </w:t>
            </w:r>
            <w:r w:rsidRPr="00993936">
              <w:rPr>
                <w:rFonts w:ascii="Arial" w:hAnsi="Arial" w:cs="Arial"/>
                <w:lang w:val="es-ES" w:eastAsia="ca-ES"/>
              </w:rPr>
              <w:t>(Aleurothrixus floccosus)</w:t>
            </w:r>
          </w:p>
        </w:tc>
        <w:tc>
          <w:tcPr>
            <w:tcW w:w="1662"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Acetamiprid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 (17)(18)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960" w:type="pct"/>
            <w:vMerge/>
            <w:vAlign w:val="center"/>
          </w:tcPr>
          <w:p w:rsidR="00412AFB" w:rsidRPr="00993936" w:rsidRDefault="00412AFB" w:rsidP="00B27C4C">
            <w:pPr>
              <w:pStyle w:val="Sinespaciado"/>
              <w:rPr>
                <w:rFonts w:ascii="Arial" w:hAnsi="Arial" w:cs="Arial"/>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lastRenderedPageBreak/>
              <w:br w:type="page"/>
            </w:r>
            <w:r w:rsidRPr="00993936">
              <w:rPr>
                <w:rFonts w:ascii="Arial" w:hAnsi="Arial" w:cs="Arial"/>
                <w:bCs/>
                <w:lang w:val="es-ES" w:eastAsia="ca-ES"/>
              </w:rPr>
              <w:t xml:space="preserve">Minador de hojas </w:t>
            </w:r>
            <w:r w:rsidRPr="00993936">
              <w:rPr>
                <w:rFonts w:ascii="Arial" w:hAnsi="Arial" w:cs="Arial"/>
                <w:lang w:val="es-ES" w:eastAsia="ca-ES"/>
              </w:rPr>
              <w:t>(Phyllocnistis citrella)</w:t>
            </w:r>
          </w:p>
        </w:tc>
        <w:tc>
          <w:tcPr>
            <w:tcW w:w="1662"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Abamectina (3)(4)(5)(6)(20)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Acetamiprid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Clorantranilipol</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Diflubenzuron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Hexitiazox (2)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 + Tiametoxam</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Metoxifenocida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Tebufenocida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Tiametoxam</w:t>
            </w:r>
          </w:p>
        </w:tc>
        <w:tc>
          <w:tcPr>
            <w:tcW w:w="1960" w:type="pct"/>
            <w:vMerge/>
            <w:vAlign w:val="center"/>
          </w:tcPr>
          <w:p w:rsidR="00412AFB" w:rsidRPr="00993936" w:rsidRDefault="00412AFB" w:rsidP="00B27C4C">
            <w:pPr>
              <w:pStyle w:val="Sinespaciado"/>
              <w:rPr>
                <w:rFonts w:ascii="Arial" w:hAnsi="Arial" w:cs="Arial"/>
                <w:lang w:val="es-ES"/>
              </w:rPr>
            </w:pPr>
          </w:p>
        </w:tc>
      </w:tr>
    </w:tbl>
    <w:p w:rsidR="00412AFB" w:rsidRPr="00993936" w:rsidRDefault="00412AFB" w:rsidP="00412AFB">
      <w:pPr>
        <w:rPr>
          <w:rFonts w:ascii="Arial" w:hAnsi="Arial" w:cs="Arial"/>
          <w:i/>
          <w:lang w:val="es-ES"/>
        </w:rPr>
      </w:pPr>
    </w:p>
    <w:p w:rsidR="00412AFB" w:rsidRPr="00993936" w:rsidRDefault="00412AFB" w:rsidP="00412AFB">
      <w:pPr>
        <w:rPr>
          <w:rFonts w:ascii="Arial" w:hAnsi="Arial" w:cs="Arial"/>
          <w:i/>
          <w:lang w:val="es-ES"/>
        </w:rPr>
      </w:pPr>
      <w:r w:rsidRPr="00993936">
        <w:rPr>
          <w:rFonts w:ascii="Arial" w:hAnsi="Arial" w:cs="Arial"/>
          <w:i/>
          <w:lang w:val="es-E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3"/>
        <w:gridCol w:w="2873"/>
        <w:gridCol w:w="3388"/>
      </w:tblGrid>
      <w:tr w:rsidR="00412AFB" w:rsidRPr="00993936" w:rsidTr="00C8678E">
        <w:trPr>
          <w:cantSplit/>
          <w:tblHeader/>
        </w:trPr>
        <w:tc>
          <w:tcPr>
            <w:tcW w:w="1378" w:type="pct"/>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lastRenderedPageBreak/>
              <w:br w:type="page"/>
            </w:r>
            <w:r w:rsidRPr="00993936">
              <w:rPr>
                <w:rFonts w:ascii="Arial" w:hAnsi="Arial" w:cs="Arial"/>
                <w:lang w:val="es-ES"/>
              </w:rPr>
              <w:br w:type="page"/>
              <w:t>PLAGA</w:t>
            </w:r>
          </w:p>
        </w:tc>
        <w:tc>
          <w:tcPr>
            <w:tcW w:w="1662" w:type="pct"/>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t>MATERIA ACTIVA</w:t>
            </w:r>
          </w:p>
        </w:tc>
        <w:tc>
          <w:tcPr>
            <w:tcW w:w="1960" w:type="pct"/>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t>RESTRICCIONES</w:t>
            </w:r>
          </w:p>
        </w:tc>
      </w:tr>
      <w:tr w:rsidR="00412AFB" w:rsidRPr="00993936" w:rsidTr="00C8678E">
        <w:trPr>
          <w:tblHead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lang w:val="es-ES"/>
              </w:rPr>
              <w:br w:type="page"/>
            </w:r>
            <w:r w:rsidRPr="00993936">
              <w:rPr>
                <w:rFonts w:ascii="Arial" w:hAnsi="Arial" w:cs="Arial"/>
                <w:bCs/>
                <w:lang w:val="es-ES" w:eastAsia="ca-ES"/>
              </w:rPr>
              <w:t xml:space="preserve">Piojo rojo de California </w:t>
            </w:r>
            <w:r w:rsidRPr="00993936">
              <w:rPr>
                <w:rFonts w:ascii="Arial" w:hAnsi="Arial" w:cs="Arial"/>
                <w:lang w:val="es-ES" w:eastAsia="ca-ES"/>
              </w:rPr>
              <w:t>(Aonidiella aurantii)</w:t>
            </w:r>
          </w:p>
        </w:tc>
        <w:tc>
          <w:tcPr>
            <w:tcW w:w="1662"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Rescalure</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960" w:type="pct"/>
            <w:vMerge w:val="restar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 Utilizar solo hasta la floración</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 Usar sin cosecha pendiente o en fruta destinada al mercado interior</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lang w:val="es-ES" w:eastAsia="ca-ES"/>
                </w:rPr>
                <w:t>20 m</w:t>
              </w:r>
            </w:smartTag>
            <w:r w:rsidRPr="00993936">
              <w:rPr>
                <w:rFonts w:ascii="Arial" w:hAnsi="Arial" w:cs="Arial"/>
                <w:lang w:val="es-ES" w:eastAsia="ca-ES"/>
              </w:rPr>
              <w:t xml:space="preserve"> de corrientes de agua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(6) Solo en plantones e injertos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(7) Pintado del tronco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(8) Riego por goteo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(9) Aplicado como cebo en el suelo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(10)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(11) Solo mayo-junio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(12) No tratar si hay cochinilla acanalada o cotonet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(13) Solo tratamientos en primavera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(14) Suspensión en el tronco del árbol y/o en el suelo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(15) Máximo una aplicación foliar por año para los naranjos y limoneros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lastRenderedPageBreak/>
              <w:t>(16) Un único tratamiento cuando el fruto comienza a tomar color</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(17) Utilizar solo cuando las materias activas sin restricciones no sean efectivas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(18) Un único tratamiento por campaña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(19) Utilizar mediante captura masiva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(20) Solo formulaciones que no sean de clasificación toxicológica 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(21) Utilizar con poblaciones bajas de plaga</w:t>
            </w: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i/>
                <w:iCs/>
                <w:lang w:val="es-ES" w:eastAsia="ca-ES"/>
              </w:rPr>
            </w:pPr>
            <w:r w:rsidRPr="00993936">
              <w:rPr>
                <w:rFonts w:ascii="Arial" w:hAnsi="Arial" w:cs="Arial"/>
                <w:lang w:val="es-ES" w:eastAsia="ca-ES"/>
              </w:rPr>
              <w:t xml:space="preserve">(*) </w:t>
            </w:r>
            <w:r w:rsidRPr="00993936">
              <w:rPr>
                <w:rFonts w:ascii="Arial" w:hAnsi="Arial" w:cs="Arial"/>
                <w:i/>
                <w:iCs/>
                <w:lang w:val="es-ES" w:eastAsia="ca-ES"/>
              </w:rPr>
              <w:t>A partir de la fecha límite de autorización de la materia activa, el LMR (límite máximo de</w:t>
            </w:r>
          </w:p>
          <w:p w:rsidR="00412AFB" w:rsidRPr="00993936" w:rsidRDefault="00412AFB" w:rsidP="00B27C4C">
            <w:pPr>
              <w:pStyle w:val="Sinespaciado"/>
              <w:rPr>
                <w:rFonts w:ascii="Arial" w:hAnsi="Arial" w:cs="Arial"/>
                <w:i/>
                <w:iCs/>
                <w:lang w:val="es-ES" w:eastAsia="ca-ES"/>
              </w:rPr>
            </w:pPr>
            <w:r w:rsidRPr="00993936">
              <w:rPr>
                <w:rFonts w:ascii="Arial" w:hAnsi="Arial" w:cs="Arial"/>
                <w:i/>
                <w:iCs/>
                <w:lang w:val="es-ES" w:eastAsia="ca-ES"/>
              </w:rPr>
              <w:t>residuos) baja al LD (límite de detección). Deben tenerse en cuenta las curvas de disipación</w:t>
            </w:r>
          </w:p>
          <w:p w:rsidR="00412AFB" w:rsidRPr="00993936" w:rsidRDefault="00412AFB" w:rsidP="00B27C4C">
            <w:pPr>
              <w:pStyle w:val="Sinespaciado"/>
              <w:rPr>
                <w:rFonts w:ascii="Arial" w:hAnsi="Arial" w:cs="Arial"/>
                <w:i/>
                <w:iCs/>
                <w:lang w:val="es-ES" w:eastAsia="ca-ES"/>
              </w:rPr>
            </w:pPr>
            <w:r w:rsidRPr="00993936">
              <w:rPr>
                <w:rFonts w:ascii="Arial" w:hAnsi="Arial" w:cs="Arial"/>
                <w:i/>
                <w:iCs/>
                <w:lang w:val="es-ES" w:eastAsia="ca-ES"/>
              </w:rPr>
              <w:t>de estos plaguicidas en cítricos. Consultar la bibliografía.</w:t>
            </w:r>
          </w:p>
          <w:p w:rsidR="00412AFB" w:rsidRPr="00993936" w:rsidRDefault="00412AFB" w:rsidP="00B27C4C">
            <w:pPr>
              <w:pStyle w:val="Sinespaciado"/>
              <w:rPr>
                <w:rFonts w:ascii="Arial" w:hAnsi="Arial" w:cs="Arial"/>
                <w:lang w:val="es-ES"/>
              </w:rPr>
            </w:pPr>
          </w:p>
        </w:tc>
      </w:tr>
      <w:tr w:rsidR="00412AFB" w:rsidRPr="00993936" w:rsidTr="00C8678E">
        <w:trPr>
          <w:trHeight w:val="2080"/>
          <w:tblHead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Culebrilla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(Lepidosaphes spp.)</w:t>
            </w:r>
          </w:p>
        </w:tc>
        <w:tc>
          <w:tcPr>
            <w:tcW w:w="1662"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p>
        </w:tc>
        <w:tc>
          <w:tcPr>
            <w:tcW w:w="1960" w:type="pct"/>
            <w:vMerge/>
            <w:vAlign w:val="center"/>
          </w:tcPr>
          <w:p w:rsidR="00412AFB" w:rsidRPr="00993936" w:rsidRDefault="00412AFB" w:rsidP="00B27C4C">
            <w:pPr>
              <w:pStyle w:val="Sinespaciado"/>
              <w:rPr>
                <w:rFonts w:ascii="Arial" w:hAnsi="Arial" w:cs="Arial"/>
                <w:lang w:val="es-ES"/>
              </w:rPr>
            </w:pPr>
          </w:p>
        </w:tc>
      </w:tr>
      <w:tr w:rsidR="00412AFB" w:rsidRPr="00993936" w:rsidTr="00C8678E">
        <w:trPr>
          <w:tblHead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Piojo gris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(Parlatoria pergandii)</w:t>
            </w:r>
          </w:p>
        </w:tc>
        <w:tc>
          <w:tcPr>
            <w:tcW w:w="1662"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960" w:type="pct"/>
            <w:vMerge/>
            <w:vAlign w:val="center"/>
          </w:tcPr>
          <w:p w:rsidR="00412AFB" w:rsidRPr="00993936" w:rsidRDefault="00412AFB" w:rsidP="00B27C4C">
            <w:pPr>
              <w:pStyle w:val="Sinespaciado"/>
              <w:rPr>
                <w:rFonts w:ascii="Arial" w:hAnsi="Arial" w:cs="Arial"/>
                <w:lang w:val="es-ES"/>
              </w:rPr>
            </w:pPr>
          </w:p>
        </w:tc>
      </w:tr>
      <w:tr w:rsidR="00412AFB" w:rsidRPr="00993936" w:rsidTr="00C8678E">
        <w:trPr>
          <w:tblHead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lastRenderedPageBreak/>
              <w:t xml:space="preserve">Caparretas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(Saissetia oleae, Ceroplastes sinensis)</w:t>
            </w:r>
          </w:p>
        </w:tc>
        <w:tc>
          <w:tcPr>
            <w:tcW w:w="1662"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r w:rsidR="006E0CBA" w:rsidRPr="00993936">
              <w:rPr>
                <w:rFonts w:ascii="Arial" w:hAnsi="Arial" w:cs="Arial"/>
                <w:lang w:val="es-ES" w:eastAsia="ca-ES"/>
              </w:rPr>
              <w:t>(20)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Tau-fluvalinato</w:t>
            </w:r>
          </w:p>
        </w:tc>
        <w:tc>
          <w:tcPr>
            <w:tcW w:w="1960" w:type="pct"/>
            <w:vMerge/>
            <w:vAlign w:val="center"/>
          </w:tcPr>
          <w:p w:rsidR="00412AFB" w:rsidRPr="00993936" w:rsidRDefault="00412AFB" w:rsidP="00B27C4C">
            <w:pPr>
              <w:pStyle w:val="Sinespaciado"/>
              <w:rPr>
                <w:rFonts w:ascii="Arial" w:hAnsi="Arial" w:cs="Arial"/>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lang w:val="es-ES"/>
        </w:rPr>
      </w:pPr>
      <w:r w:rsidRPr="00993936">
        <w:rPr>
          <w:rFonts w:ascii="Arial" w:hAnsi="Arial" w:cs="Arial"/>
          <w:lang w:val="es-E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3"/>
        <w:gridCol w:w="2605"/>
        <w:gridCol w:w="3656"/>
      </w:tblGrid>
      <w:tr w:rsidR="00412AFB" w:rsidRPr="00993936" w:rsidTr="00C8678E">
        <w:trPr>
          <w:cantSplit/>
          <w:tblHeader/>
        </w:trPr>
        <w:tc>
          <w:tcPr>
            <w:tcW w:w="1378" w:type="pct"/>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lastRenderedPageBreak/>
              <w:br w:type="page"/>
            </w:r>
            <w:r w:rsidRPr="00993936">
              <w:rPr>
                <w:rFonts w:ascii="Arial" w:hAnsi="Arial" w:cs="Arial"/>
                <w:lang w:val="es-ES"/>
              </w:rPr>
              <w:br w:type="page"/>
              <w:t>PLAGA</w:t>
            </w:r>
          </w:p>
        </w:tc>
        <w:tc>
          <w:tcPr>
            <w:tcW w:w="1507" w:type="pct"/>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t>MATERIA ACTIVA</w:t>
            </w:r>
          </w:p>
        </w:tc>
        <w:tc>
          <w:tcPr>
            <w:tcW w:w="2115" w:type="pct"/>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t>RESTRICCIONES</w:t>
            </w:r>
          </w:p>
        </w:tc>
      </w:tr>
      <w:tr w:rsidR="00412AFB" w:rsidRPr="00993936" w:rsidTr="00C8678E">
        <w:tblPrEx>
          <w:jc w:val="center"/>
        </w:tblPrEx>
        <w:trPr>
          <w:tblHeader/>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Cotonet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(Planococcus citri)</w:t>
            </w:r>
          </w:p>
        </w:tc>
        <w:tc>
          <w:tcPr>
            <w:tcW w:w="1507" w:type="pct"/>
            <w:vAlign w:val="center"/>
          </w:tcPr>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 (4)</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2115" w:type="pct"/>
            <w:vMerge w:val="restar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 Utilizar solo hasta la floración</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 Usar sin cosecha pendiente o en fruta destinada al mercado interior</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lang w:val="es-ES" w:eastAsia="ca-ES"/>
                </w:rPr>
                <w:t>20 m</w:t>
              </w:r>
            </w:smartTag>
            <w:r w:rsidRPr="00993936">
              <w:rPr>
                <w:rFonts w:ascii="Arial" w:hAnsi="Arial" w:cs="Arial"/>
                <w:lang w:val="es-ES" w:eastAsia="ca-ES"/>
              </w:rPr>
              <w:t xml:space="preserve"> de corrientes de agua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(6) Solo en plantones e injertos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(7) Pintado del tronco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(8) Riego por goteo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(9) Aplicado como cebo en el suelo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(10)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(11) Solo mayo-junio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(12) No tratar si hay cochinilla acanalada o cotonet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(13) Solo tratamientos en primavera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(14) Suspensión en el tronco del árbol y/o en el suelo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(15) Máximo una aplicación foliar por año para los naranjos y limoneros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(16) Un único tratamiento cuando el fruto comienza a tomar color</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(17) Utilizar solo cuando las materias activas sin restricciones no sean efectivas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(18) Un único tratamiento por campaña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(19) Utilizar mediante captura masiva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(20) Solo formulaciones que no sean de clasificación toxicológica 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(21) Utilizar con poblaciones bajas de plaga</w:t>
            </w: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i/>
                <w:iCs/>
                <w:lang w:val="es-ES" w:eastAsia="ca-ES"/>
              </w:rPr>
            </w:pPr>
            <w:r w:rsidRPr="00993936">
              <w:rPr>
                <w:rFonts w:ascii="Arial" w:hAnsi="Arial" w:cs="Arial"/>
                <w:lang w:val="es-ES" w:eastAsia="ca-ES"/>
              </w:rPr>
              <w:t xml:space="preserve">(*) </w:t>
            </w:r>
            <w:r w:rsidRPr="00993936">
              <w:rPr>
                <w:rFonts w:ascii="Arial" w:hAnsi="Arial" w:cs="Arial"/>
                <w:i/>
                <w:iCs/>
                <w:lang w:val="es-ES" w:eastAsia="ca-ES"/>
              </w:rPr>
              <w:t>A partir de la fecha límite de autorización de la materia activa, el LMR (límite máximo de</w:t>
            </w:r>
          </w:p>
          <w:p w:rsidR="00412AFB" w:rsidRPr="00993936" w:rsidRDefault="00412AFB" w:rsidP="00B27C4C">
            <w:pPr>
              <w:pStyle w:val="Sinespaciado"/>
              <w:rPr>
                <w:rFonts w:ascii="Arial" w:hAnsi="Arial" w:cs="Arial"/>
                <w:i/>
                <w:iCs/>
                <w:lang w:val="es-ES" w:eastAsia="ca-ES"/>
              </w:rPr>
            </w:pPr>
            <w:r w:rsidRPr="00993936">
              <w:rPr>
                <w:rFonts w:ascii="Arial" w:hAnsi="Arial" w:cs="Arial"/>
                <w:i/>
                <w:iCs/>
                <w:lang w:val="es-ES" w:eastAsia="ca-ES"/>
              </w:rPr>
              <w:t>residuos) baja al LD (límite de detección). Deben tenerse en cuenta las curvas de disipación</w:t>
            </w:r>
          </w:p>
          <w:p w:rsidR="00412AFB" w:rsidRPr="00993936" w:rsidRDefault="00412AFB" w:rsidP="00B27C4C">
            <w:pPr>
              <w:pStyle w:val="Sinespaciado"/>
              <w:rPr>
                <w:rFonts w:ascii="Arial" w:hAnsi="Arial" w:cs="Arial"/>
                <w:i/>
                <w:iCs/>
                <w:lang w:val="es-ES" w:eastAsia="ca-ES"/>
              </w:rPr>
            </w:pPr>
            <w:r w:rsidRPr="00993936">
              <w:rPr>
                <w:rFonts w:ascii="Arial" w:hAnsi="Arial" w:cs="Arial"/>
                <w:i/>
                <w:iCs/>
                <w:lang w:val="es-ES" w:eastAsia="ca-ES"/>
              </w:rPr>
              <w:t>de estos plaguicidas en cítricos. Consultar la bibliografía.</w:t>
            </w:r>
          </w:p>
          <w:p w:rsidR="00412AFB" w:rsidRPr="00993936" w:rsidRDefault="00412AFB" w:rsidP="00B27C4C">
            <w:pPr>
              <w:pStyle w:val="Sinespaciado"/>
              <w:rPr>
                <w:rFonts w:ascii="Arial" w:hAnsi="Arial" w:cs="Arial"/>
                <w:lang w:val="es-ES"/>
              </w:rPr>
            </w:pPr>
          </w:p>
        </w:tc>
      </w:tr>
      <w:tr w:rsidR="00412AFB" w:rsidRPr="00993936" w:rsidTr="00C8678E">
        <w:tblPrEx>
          <w:jc w:val="center"/>
        </w:tblPrEx>
        <w:trPr>
          <w:tblHeader/>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Trip</w:t>
            </w:r>
          </w:p>
        </w:tc>
        <w:tc>
          <w:tcPr>
            <w:tcW w:w="1507"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Etofenprox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 (4)</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Tau-fluvalinato</w:t>
            </w:r>
          </w:p>
        </w:tc>
        <w:tc>
          <w:tcPr>
            <w:tcW w:w="2115" w:type="pct"/>
            <w:vMerge/>
            <w:vAlign w:val="center"/>
          </w:tcPr>
          <w:p w:rsidR="00412AFB" w:rsidRPr="00993936" w:rsidRDefault="00412AFB" w:rsidP="00B27C4C">
            <w:pPr>
              <w:pStyle w:val="Sinespaciado"/>
              <w:rPr>
                <w:rFonts w:ascii="Arial" w:hAnsi="Arial" w:cs="Arial"/>
                <w:lang w:val="es-ES"/>
              </w:rPr>
            </w:pPr>
          </w:p>
        </w:tc>
      </w:tr>
      <w:tr w:rsidR="00412AFB" w:rsidRPr="00993936" w:rsidTr="00C8678E">
        <w:tblPrEx>
          <w:jc w:val="center"/>
        </w:tblPrEx>
        <w:trPr>
          <w:tblHeader/>
          <w:jc w:val="center"/>
        </w:trPr>
        <w:tc>
          <w:tcPr>
            <w:tcW w:w="1378" w:type="pct"/>
            <w:vAlign w:val="center"/>
          </w:tcPr>
          <w:p w:rsidR="00412AFB" w:rsidRPr="00993936" w:rsidRDefault="00412AFB" w:rsidP="00B27C4C">
            <w:pPr>
              <w:pStyle w:val="Sinespaciado"/>
              <w:rPr>
                <w:rFonts w:ascii="Arial" w:hAnsi="Arial" w:cs="Arial"/>
                <w:bCs/>
                <w:lang w:val="es-ES" w:eastAsia="ca-ES"/>
              </w:rPr>
            </w:pPr>
          </w:p>
          <w:p w:rsidR="00412AFB" w:rsidRPr="00993936" w:rsidRDefault="00412AFB" w:rsidP="00B27C4C">
            <w:pPr>
              <w:pStyle w:val="Sinespaciado"/>
              <w:rPr>
                <w:rFonts w:ascii="Arial" w:hAnsi="Arial" w:cs="Arial"/>
                <w:bCs/>
                <w:lang w:val="es-ES" w:eastAsia="ca-ES"/>
              </w:rPr>
            </w:pPr>
          </w:p>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Prays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(Prays)</w:t>
            </w: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lang w:val="es-ES" w:eastAsia="ca-ES"/>
              </w:rPr>
            </w:pPr>
          </w:p>
          <w:p w:rsidR="00412AFB" w:rsidRPr="00993936" w:rsidRDefault="00412AFB" w:rsidP="00B27C4C">
            <w:pPr>
              <w:pStyle w:val="Sinespaciado"/>
              <w:rPr>
                <w:rFonts w:ascii="Arial" w:hAnsi="Arial" w:cs="Arial"/>
                <w:lang w:val="es-ES" w:eastAsia="ca-ES"/>
              </w:rPr>
            </w:pPr>
          </w:p>
        </w:tc>
        <w:tc>
          <w:tcPr>
            <w:tcW w:w="1507" w:type="pct"/>
            <w:vAlign w:val="center"/>
          </w:tcPr>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Bacillus thurigiensis var. kurstaki</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Cipermetrina (17)(18)</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Etofenprox</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 (4)</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Tau-fluvalinato (20) </w:t>
            </w:r>
          </w:p>
        </w:tc>
        <w:tc>
          <w:tcPr>
            <w:tcW w:w="2115" w:type="pct"/>
            <w:vMerge/>
            <w:vAlign w:val="center"/>
          </w:tcPr>
          <w:p w:rsidR="00412AFB" w:rsidRPr="00993936" w:rsidRDefault="00412AFB" w:rsidP="00B27C4C">
            <w:pPr>
              <w:pStyle w:val="Sinespaciado"/>
              <w:rPr>
                <w:rFonts w:ascii="Arial" w:hAnsi="Arial" w:cs="Arial"/>
                <w:lang w:val="es-ES"/>
              </w:rPr>
            </w:pPr>
          </w:p>
        </w:tc>
      </w:tr>
      <w:tr w:rsidR="00412AFB" w:rsidRPr="00993936" w:rsidTr="00C8678E">
        <w:tblPrEx>
          <w:jc w:val="center"/>
        </w:tblPrEx>
        <w:trPr>
          <w:tblHeader/>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Gusano de los brotes</w:t>
            </w:r>
            <w:r w:rsidR="00DC071E" w:rsidRPr="00993936">
              <w:rPr>
                <w:rFonts w:ascii="Arial" w:hAnsi="Arial" w:cs="Arial"/>
                <w:bCs/>
                <w:lang w:val="es-ES" w:eastAsia="ca-ES"/>
              </w:rPr>
              <w:t xml:space="preserve"> </w:t>
            </w:r>
            <w:r w:rsidRPr="00993936">
              <w:rPr>
                <w:rFonts w:ascii="Arial" w:hAnsi="Arial" w:cs="Arial"/>
                <w:lang w:val="es-ES" w:eastAsia="ca-ES"/>
              </w:rPr>
              <w:t>(Cacoecimorpha pronubana)</w:t>
            </w:r>
          </w:p>
        </w:tc>
        <w:tc>
          <w:tcPr>
            <w:tcW w:w="1507" w:type="pct"/>
            <w:vAlign w:val="center"/>
          </w:tcPr>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Bacillus thurigiensis var. Kurstaki</w:t>
            </w:r>
          </w:p>
          <w:p w:rsidR="00412AFB" w:rsidRPr="00993936" w:rsidRDefault="00412AFB" w:rsidP="00B27C4C">
            <w:pPr>
              <w:pStyle w:val="Sinespaciado"/>
              <w:rPr>
                <w:rFonts w:ascii="Arial" w:hAnsi="Arial" w:cs="Arial"/>
                <w:lang w:val="es-ES" w:eastAsia="ca-ES"/>
              </w:rPr>
            </w:pPr>
          </w:p>
        </w:tc>
        <w:tc>
          <w:tcPr>
            <w:tcW w:w="2115" w:type="pct"/>
            <w:vMerge/>
            <w:vAlign w:val="center"/>
          </w:tcPr>
          <w:p w:rsidR="00412AFB" w:rsidRPr="00993936" w:rsidRDefault="00412AFB" w:rsidP="00B27C4C">
            <w:pPr>
              <w:pStyle w:val="Sinespaciado"/>
              <w:rPr>
                <w:rFonts w:ascii="Arial" w:hAnsi="Arial" w:cs="Arial"/>
                <w:lang w:val="es-ES"/>
              </w:rPr>
            </w:pPr>
          </w:p>
        </w:tc>
      </w:tr>
      <w:tr w:rsidR="00412AFB" w:rsidRPr="00993936" w:rsidTr="00C8678E">
        <w:tblPrEx>
          <w:jc w:val="center"/>
        </w:tblPrEx>
        <w:trPr>
          <w:tblHeader/>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Mosca de la fruta </w:t>
            </w:r>
            <w:r w:rsidRPr="00993936">
              <w:rPr>
                <w:rFonts w:ascii="Arial" w:hAnsi="Arial" w:cs="Arial"/>
                <w:lang w:val="es-ES" w:eastAsia="ca-ES"/>
              </w:rPr>
              <w:t>(Ceratitis capitata)</w:t>
            </w:r>
          </w:p>
        </w:tc>
        <w:tc>
          <w:tcPr>
            <w:tcW w:w="1507"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Beauveria bassiana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Caolín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 (17)(18)(20)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Diaminobutano + Acetato amónico + Trimetilamina clorhidrato (19)</w:t>
            </w:r>
          </w:p>
          <w:p w:rsidR="00412AFB" w:rsidRPr="00993936" w:rsidRDefault="00412AFB" w:rsidP="00B27C4C">
            <w:pPr>
              <w:pStyle w:val="Sinespaciado"/>
              <w:rPr>
                <w:rFonts w:ascii="Arial" w:hAnsi="Arial" w:cs="Arial"/>
                <w:i/>
                <w:lang w:val="es-ES" w:eastAsia="ca-ES"/>
              </w:rPr>
            </w:pPr>
            <w:r w:rsidRPr="00993936">
              <w:rPr>
                <w:rFonts w:ascii="Arial" w:hAnsi="Arial" w:cs="Arial"/>
                <w:lang w:val="es-ES" w:eastAsia="ca-ES"/>
              </w:rPr>
              <w:t xml:space="preserve">Etofenprox </w:t>
            </w:r>
            <w:r w:rsidRPr="00993936">
              <w:rPr>
                <w:rFonts w:ascii="Arial" w:hAnsi="Arial" w:cs="Arial"/>
                <w:i/>
                <w:lang w:val="es-ES" w:eastAsia="ca-ES"/>
              </w:rPr>
              <w:t>(solo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Fosmet (16)</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 (solo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Lufenuron (solo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Proteína hidrolizable</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Spinosad (solo pulverización cebo)</w:t>
            </w:r>
          </w:p>
        </w:tc>
        <w:tc>
          <w:tcPr>
            <w:tcW w:w="2115" w:type="pct"/>
            <w:vMerge/>
            <w:vAlign w:val="center"/>
          </w:tcPr>
          <w:p w:rsidR="00412AFB" w:rsidRPr="00993936" w:rsidRDefault="00412AFB" w:rsidP="00B27C4C">
            <w:pPr>
              <w:pStyle w:val="Sinespaciado"/>
              <w:rPr>
                <w:rFonts w:ascii="Arial" w:hAnsi="Arial" w:cs="Arial"/>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2.1.2. Mandarina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138"/>
        <w:gridCol w:w="3124"/>
      </w:tblGrid>
      <w:tr w:rsidR="00412AFB" w:rsidRPr="00993936" w:rsidTr="00C8678E">
        <w:trPr>
          <w:tblHeader/>
          <w:jc w:val="center"/>
        </w:trPr>
        <w:tc>
          <w:tcPr>
            <w:tcW w:w="1378" w:type="pct"/>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t>PLAGA</w:t>
            </w:r>
          </w:p>
        </w:tc>
        <w:tc>
          <w:tcPr>
            <w:tcW w:w="1815" w:type="pct"/>
            <w:shd w:val="pct12" w:color="auto" w:fill="FFFFFF"/>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t>MATERIA ACTIVA</w:t>
            </w:r>
          </w:p>
        </w:tc>
        <w:tc>
          <w:tcPr>
            <w:tcW w:w="1807" w:type="pct"/>
            <w:shd w:val="pct12" w:color="auto" w:fill="FFFFFF"/>
            <w:vAlign w:val="center"/>
          </w:tcPr>
          <w:p w:rsidR="00412AFB" w:rsidRPr="00993936" w:rsidRDefault="00412AFB" w:rsidP="00B27C4C">
            <w:pPr>
              <w:pStyle w:val="Sinespaciado"/>
              <w:rPr>
                <w:rFonts w:ascii="Arial" w:hAnsi="Arial" w:cs="Arial"/>
                <w:sz w:val="20"/>
                <w:lang w:val="es-ES"/>
              </w:rPr>
            </w:pPr>
            <w:r w:rsidRPr="00993936">
              <w:rPr>
                <w:rFonts w:ascii="Arial" w:hAnsi="Arial" w:cs="Arial"/>
                <w:sz w:val="20"/>
                <w:lang w:val="es-ES"/>
              </w:rPr>
              <w:t>RESTRICCIONES</w:t>
            </w:r>
          </w:p>
        </w:tc>
      </w:tr>
      <w:tr w:rsidR="00412AFB" w:rsidRPr="00993936" w:rsidTr="00C8678E">
        <w:trPr>
          <w:cantSplit/>
          <w:jc w:val="center"/>
        </w:trPr>
        <w:tc>
          <w:tcPr>
            <w:tcW w:w="1378" w:type="pct"/>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Pulgones</w:t>
            </w:r>
          </w:p>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(Aphis spiraecola, Aphis gossypii, Myzus persicae,</w:t>
            </w:r>
          </w:p>
          <w:p w:rsidR="00412AFB" w:rsidRPr="00993936" w:rsidRDefault="00412AFB" w:rsidP="00B27C4C">
            <w:pPr>
              <w:pStyle w:val="Sinespaciado"/>
              <w:rPr>
                <w:rFonts w:ascii="Arial" w:hAnsi="Arial" w:cs="Arial"/>
                <w:iCs/>
                <w:lang w:val="es-ES" w:eastAsia="ca-ES"/>
              </w:rPr>
            </w:pPr>
            <w:r w:rsidRPr="00993936">
              <w:rPr>
                <w:rFonts w:ascii="Arial" w:hAnsi="Arial" w:cs="Arial"/>
                <w:lang w:val="es-ES" w:eastAsia="ca-ES"/>
              </w:rPr>
              <w:t>Toxoptera aurantii)</w:t>
            </w:r>
          </w:p>
        </w:tc>
        <w:tc>
          <w:tcPr>
            <w:tcW w:w="1815" w:type="pct"/>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Acetamiprid</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(17)(18)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Cipermetrina (17)(18)</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 (17)(18)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Etofenprox</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Flonicamid</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 Lambda-cihalotrina</w:t>
            </w:r>
            <w:r w:rsidR="00E03B3B" w:rsidRPr="00993936">
              <w:rPr>
                <w:rFonts w:ascii="Arial" w:hAnsi="Arial" w:cs="Arial"/>
                <w:lang w:val="es-ES" w:eastAsia="ca-ES"/>
              </w:rPr>
              <w:t xml:space="preserve"> </w:t>
            </w:r>
            <w:r w:rsidRPr="00993936">
              <w:rPr>
                <w:rFonts w:ascii="Arial" w:hAnsi="Arial" w:cs="Arial"/>
                <w:lang w:val="es-ES" w:eastAsia="ca-ES"/>
              </w:rPr>
              <w:t>+ Tiametoxam</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Pimetrozina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Pirimicarb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Sales potásicas de raíces grasas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Tau-fluvalinato (17) (18) (20)</w:t>
            </w:r>
          </w:p>
          <w:p w:rsidR="00412AFB" w:rsidRPr="00993936" w:rsidRDefault="00412AFB" w:rsidP="00B27C4C">
            <w:pPr>
              <w:pStyle w:val="Sinespaciado"/>
              <w:rPr>
                <w:rFonts w:ascii="Arial" w:hAnsi="Arial" w:cs="Arial"/>
                <w:lang w:val="es-ES"/>
              </w:rPr>
            </w:pPr>
          </w:p>
        </w:tc>
        <w:tc>
          <w:tcPr>
            <w:tcW w:w="1807" w:type="pct"/>
            <w:tcBorders>
              <w:bottom w:val="single" w:sz="4" w:space="0" w:color="auto"/>
            </w:tcBorders>
            <w:vAlign w:val="center"/>
          </w:tcPr>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 Utilizar solo hasta la floración</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 Usar sin cosecha pendiente o en fruta destinada al mercado interior</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20"/>
                  <w:lang w:val="es-ES" w:eastAsia="ca-ES"/>
                </w:rPr>
                <w:t>20 m</w:t>
              </w:r>
            </w:smartTag>
            <w:r w:rsidRPr="00993936">
              <w:rPr>
                <w:rFonts w:ascii="Arial" w:hAnsi="Arial" w:cs="Arial"/>
                <w:sz w:val="20"/>
                <w:lang w:val="es-ES" w:eastAsia="ca-ES"/>
              </w:rPr>
              <w:t xml:space="preserve"> de corrientes de agua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(6) Solo en plantones e injertos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(7) Pintado del tronco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(8) Riego por goteo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(9) Aplicado como cebo en el suelo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(10) Pulverización cebo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(11) Solo mayo-junio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(12) No tratar si hay cochinilla acanalada o cotonet</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(13) Solo tratamientos en primavera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(14) Suspensión en el tronco del árbol y/o en el suelo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(15) Máximo una aplicación foliar por año para los naranjos y limoneros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(16) Un único tratamiento cuando el fruto comienza a tomar color</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(17) Utilizar solo cuando las materias activas sin restricciones no sean efectivas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(18) Un único tratamiento por campaña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(19) Utilizar mediante captura masiva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(20) Solo formulaciones que no sean de clasificación toxicológica T</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(21) Utilizar con poblaciones bajas de plaga</w:t>
            </w:r>
          </w:p>
          <w:p w:rsidR="00412AFB" w:rsidRPr="00993936" w:rsidRDefault="00412AFB" w:rsidP="00B27C4C">
            <w:pPr>
              <w:pStyle w:val="Sinespaciado"/>
              <w:rPr>
                <w:rFonts w:ascii="Arial" w:hAnsi="Arial" w:cs="Arial"/>
                <w:i/>
                <w:iCs/>
                <w:sz w:val="20"/>
                <w:lang w:val="es-ES" w:eastAsia="ca-ES"/>
              </w:rPr>
            </w:pPr>
            <w:r w:rsidRPr="00993936">
              <w:rPr>
                <w:rFonts w:ascii="Arial" w:hAnsi="Arial" w:cs="Arial"/>
                <w:sz w:val="20"/>
                <w:lang w:val="es-ES" w:eastAsia="ca-ES"/>
              </w:rPr>
              <w:t xml:space="preserve">(*) </w:t>
            </w:r>
            <w:r w:rsidRPr="00993936">
              <w:rPr>
                <w:rFonts w:ascii="Arial" w:hAnsi="Arial" w:cs="Arial"/>
                <w:i/>
                <w:iCs/>
                <w:sz w:val="20"/>
                <w:lang w:val="es-ES" w:eastAsia="ca-ES"/>
              </w:rPr>
              <w:t>A partir de la fecha límite de autorización de la materia activa, el LMR (límite máximo de</w:t>
            </w:r>
          </w:p>
          <w:p w:rsidR="00412AFB" w:rsidRPr="00993936" w:rsidRDefault="00412AFB" w:rsidP="00B27C4C">
            <w:pPr>
              <w:pStyle w:val="Sinespaciado"/>
              <w:rPr>
                <w:rFonts w:ascii="Arial" w:hAnsi="Arial" w:cs="Arial"/>
                <w:i/>
                <w:iCs/>
                <w:sz w:val="20"/>
                <w:lang w:val="es-ES" w:eastAsia="ca-ES"/>
              </w:rPr>
            </w:pPr>
            <w:r w:rsidRPr="00993936">
              <w:rPr>
                <w:rFonts w:ascii="Arial" w:hAnsi="Arial" w:cs="Arial"/>
                <w:i/>
                <w:iCs/>
                <w:sz w:val="20"/>
                <w:lang w:val="es-ES" w:eastAsia="ca-ES"/>
              </w:rPr>
              <w:t>residuos) baja al LD (límite de detección). Deben tenerse en cuenta las curvas de disipación</w:t>
            </w:r>
          </w:p>
          <w:p w:rsidR="00412AFB" w:rsidRPr="00993936" w:rsidRDefault="00412AFB" w:rsidP="00B27C4C">
            <w:pPr>
              <w:pStyle w:val="Sinespaciado"/>
              <w:rPr>
                <w:rFonts w:ascii="Arial" w:hAnsi="Arial" w:cs="Arial"/>
                <w:i/>
                <w:iCs/>
                <w:sz w:val="20"/>
                <w:lang w:val="es-ES" w:eastAsia="ca-ES"/>
              </w:rPr>
            </w:pPr>
            <w:r w:rsidRPr="00993936">
              <w:rPr>
                <w:rFonts w:ascii="Arial" w:hAnsi="Arial" w:cs="Arial"/>
                <w:i/>
                <w:iCs/>
                <w:sz w:val="20"/>
                <w:lang w:val="es-ES" w:eastAsia="ca-ES"/>
              </w:rPr>
              <w:t>de estos plaguicidas en cítricos. Consultar la bibliografía.</w:t>
            </w:r>
          </w:p>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lang w:val="es-ES"/>
              </w:rPr>
            </w:pPr>
            <w:r w:rsidRPr="00993936">
              <w:rPr>
                <w:rFonts w:ascii="Arial" w:hAnsi="Arial" w:cs="Arial"/>
                <w:bCs/>
                <w:lang w:val="es-ES" w:eastAsia="ca-ES"/>
              </w:rPr>
              <w:lastRenderedPageBreak/>
              <w:t xml:space="preserve">Mosca blanca </w:t>
            </w:r>
            <w:r w:rsidRPr="00993936">
              <w:rPr>
                <w:rFonts w:ascii="Arial" w:hAnsi="Arial" w:cs="Arial"/>
                <w:lang w:val="es-ES" w:eastAsia="ca-ES"/>
              </w:rPr>
              <w:t>(Aleurothrixus floccosus)</w:t>
            </w:r>
          </w:p>
        </w:tc>
        <w:tc>
          <w:tcPr>
            <w:tcW w:w="1815"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Acetamiprid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 (17)(18)(20)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807" w:type="pct"/>
            <w:vMerge w:val="restart"/>
            <w:tcBorders>
              <w:bottom w:val="nil"/>
            </w:tcBorders>
            <w:vAlign w:val="center"/>
          </w:tcPr>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 Utilizar solo hasta la floración</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 Usar sin cosecha pendiente o en fruta destinada al mercado interior</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20"/>
                  <w:lang w:val="es-ES" w:eastAsia="ca-ES"/>
                </w:rPr>
                <w:t>20 m</w:t>
              </w:r>
            </w:smartTag>
            <w:r w:rsidRPr="00993936">
              <w:rPr>
                <w:rFonts w:ascii="Arial" w:hAnsi="Arial" w:cs="Arial"/>
                <w:sz w:val="20"/>
                <w:lang w:val="es-ES" w:eastAsia="ca-ES"/>
              </w:rPr>
              <w:t xml:space="preserve"> de corrientes de agua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(6) Solo en plantones e injertos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(7) Pintado del tronco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(8) Riego por goteo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(9) Aplicado como cebo en el suelo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(10) Pulverización cebo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(11) Solo mayo-junio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(12) No tratar si hay cochinilla acanalada o cotonet</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(13) Solo tratamientos en primavera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(14) Suspensión en el tronco del árbol y/o en el suelo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(15) Máximo una aplicación foliar por año para los naranjos y limoneros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(16) Un único tratamiento cuando el fruto comienza a tomar color</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(17) Utilizar solo cuando las materias activas sin restricciones no sean efectivas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(18) Un único tratamiento por campaña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(19) Utilizar mediante captura masiva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(20) Solo formulaciones que no sean de clasificación toxicológica T</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(21) Utilizar con poblaciones bajas de plaga</w:t>
            </w:r>
          </w:p>
          <w:p w:rsidR="00412AFB" w:rsidRPr="00993936" w:rsidRDefault="00412AFB" w:rsidP="00B27C4C">
            <w:pPr>
              <w:pStyle w:val="Sinespaciado"/>
              <w:rPr>
                <w:rFonts w:ascii="Arial" w:hAnsi="Arial" w:cs="Arial"/>
                <w:sz w:val="20"/>
                <w:lang w:val="es-ES" w:eastAsia="ca-ES"/>
              </w:rPr>
            </w:pPr>
          </w:p>
          <w:p w:rsidR="00412AFB" w:rsidRPr="00993936" w:rsidRDefault="00412AFB" w:rsidP="00B27C4C">
            <w:pPr>
              <w:pStyle w:val="Sinespaciado"/>
              <w:rPr>
                <w:rFonts w:ascii="Arial" w:hAnsi="Arial" w:cs="Arial"/>
                <w:sz w:val="20"/>
                <w:lang w:val="es-ES" w:eastAsia="ca-ES"/>
              </w:rPr>
            </w:pPr>
          </w:p>
          <w:p w:rsidR="00412AFB" w:rsidRPr="00993936" w:rsidRDefault="00412AFB" w:rsidP="00B27C4C">
            <w:pPr>
              <w:pStyle w:val="Sinespaciado"/>
              <w:rPr>
                <w:rFonts w:ascii="Arial" w:hAnsi="Arial" w:cs="Arial"/>
                <w:i/>
                <w:iCs/>
                <w:sz w:val="20"/>
                <w:lang w:val="es-ES" w:eastAsia="ca-ES"/>
              </w:rPr>
            </w:pPr>
            <w:r w:rsidRPr="00993936">
              <w:rPr>
                <w:rFonts w:ascii="Arial" w:hAnsi="Arial" w:cs="Arial"/>
                <w:sz w:val="20"/>
                <w:lang w:val="es-ES" w:eastAsia="ca-ES"/>
              </w:rPr>
              <w:t xml:space="preserve">(*) </w:t>
            </w:r>
            <w:r w:rsidRPr="00993936">
              <w:rPr>
                <w:rFonts w:ascii="Arial" w:hAnsi="Arial" w:cs="Arial"/>
                <w:i/>
                <w:iCs/>
                <w:sz w:val="20"/>
                <w:lang w:val="es-ES" w:eastAsia="ca-ES"/>
              </w:rPr>
              <w:t>A partir de la fecha límite de autorización de la materia activa, el LMR (límite máximo de</w:t>
            </w:r>
            <w:r w:rsidR="00D74508" w:rsidRPr="00993936">
              <w:rPr>
                <w:rFonts w:ascii="Arial" w:hAnsi="Arial" w:cs="Arial"/>
                <w:i/>
                <w:iCs/>
                <w:sz w:val="20"/>
                <w:lang w:val="es-ES" w:eastAsia="ca-ES"/>
              </w:rPr>
              <w:t xml:space="preserve"> </w:t>
            </w:r>
            <w:r w:rsidRPr="00993936">
              <w:rPr>
                <w:rFonts w:ascii="Arial" w:hAnsi="Arial" w:cs="Arial"/>
                <w:i/>
                <w:iCs/>
                <w:sz w:val="20"/>
                <w:lang w:val="es-ES" w:eastAsia="ca-ES"/>
              </w:rPr>
              <w:t>residuos) baja al LD (límite de detección). Deben tenerse en cuenta las curvas de disipación</w:t>
            </w:r>
            <w:r w:rsidR="00D74508" w:rsidRPr="00993936">
              <w:rPr>
                <w:rFonts w:ascii="Arial" w:hAnsi="Arial" w:cs="Arial"/>
                <w:i/>
                <w:iCs/>
                <w:sz w:val="20"/>
                <w:lang w:val="es-ES" w:eastAsia="ca-ES"/>
              </w:rPr>
              <w:t xml:space="preserve"> </w:t>
            </w:r>
            <w:r w:rsidRPr="00993936">
              <w:rPr>
                <w:rFonts w:ascii="Arial" w:hAnsi="Arial" w:cs="Arial"/>
                <w:i/>
                <w:iCs/>
                <w:sz w:val="20"/>
                <w:lang w:val="es-ES" w:eastAsia="ca-ES"/>
              </w:rPr>
              <w:t>de estos plaguicidas en cítricos. Consultar la bibliografía.</w:t>
            </w:r>
          </w:p>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lang w:val="es-ES"/>
              </w:rPr>
            </w:pPr>
            <w:r w:rsidRPr="00993936">
              <w:rPr>
                <w:rFonts w:ascii="Arial" w:hAnsi="Arial" w:cs="Arial"/>
                <w:lang w:val="es-ES"/>
              </w:rPr>
              <w:br w:type="page"/>
            </w:r>
            <w:r w:rsidRPr="00993936">
              <w:rPr>
                <w:rFonts w:ascii="Arial" w:hAnsi="Arial" w:cs="Arial"/>
                <w:bCs/>
                <w:lang w:val="es-ES" w:eastAsia="ca-ES"/>
              </w:rPr>
              <w:t xml:space="preserve">Minador de hojas </w:t>
            </w:r>
            <w:r w:rsidRPr="00993936">
              <w:rPr>
                <w:rFonts w:ascii="Arial" w:hAnsi="Arial" w:cs="Arial"/>
                <w:lang w:val="es-ES" w:eastAsia="ca-ES"/>
              </w:rPr>
              <w:t>(Phyllocnistis citrella)</w:t>
            </w:r>
          </w:p>
        </w:tc>
        <w:tc>
          <w:tcPr>
            <w:tcW w:w="1815"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Abamectina (3)(4)(5)(6)(20)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Acetamiprid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Clorantranilipol</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Diflubenzuron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Hexitiazox (2)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 + Tiametoxam</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Metoxifenocida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Tebufenocida (17) (18)</w:t>
            </w:r>
          </w:p>
        </w:tc>
        <w:tc>
          <w:tcPr>
            <w:tcW w:w="1807" w:type="pct"/>
            <w:vMerge/>
            <w:tcBorders>
              <w:bottom w:val="nil"/>
            </w:tcBorders>
            <w:vAlign w:val="center"/>
          </w:tcPr>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Piojo rojo de California </w:t>
            </w:r>
            <w:r w:rsidRPr="00993936">
              <w:rPr>
                <w:rFonts w:ascii="Arial" w:hAnsi="Arial" w:cs="Arial"/>
                <w:lang w:val="es-ES" w:eastAsia="ca-ES"/>
              </w:rPr>
              <w:t>(Aonidiella aurantii)</w:t>
            </w:r>
          </w:p>
        </w:tc>
        <w:tc>
          <w:tcPr>
            <w:tcW w:w="1815"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Piriproxifen (3) (11) (12) (17)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Rescalure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807" w:type="pct"/>
            <w:vMerge/>
            <w:tcBorders>
              <w:bottom w:val="nil"/>
            </w:tcBorders>
            <w:vAlign w:val="center"/>
          </w:tcPr>
          <w:p w:rsidR="00412AFB" w:rsidRPr="00993936" w:rsidRDefault="00412AFB" w:rsidP="00B27C4C">
            <w:pPr>
              <w:pStyle w:val="Sinespaciado"/>
              <w:rPr>
                <w:rFonts w:ascii="Arial" w:hAnsi="Arial" w:cs="Arial"/>
                <w:sz w:val="20"/>
                <w:lang w:val="es-ES"/>
              </w:rPr>
            </w:pPr>
          </w:p>
        </w:tc>
      </w:tr>
      <w:tr w:rsidR="00412AFB" w:rsidRPr="00993936" w:rsidTr="00C8678E">
        <w:trPr>
          <w:cantSplit/>
          <w:trHeight w:val="1675"/>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Culebrilla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(Lepidosaphes spp.)</w:t>
            </w:r>
          </w:p>
        </w:tc>
        <w:tc>
          <w:tcPr>
            <w:tcW w:w="1815"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p>
        </w:tc>
        <w:tc>
          <w:tcPr>
            <w:tcW w:w="1807" w:type="pct"/>
            <w:vMerge/>
            <w:tcBorders>
              <w:bottom w:val="nil"/>
            </w:tcBorders>
            <w:vAlign w:val="center"/>
          </w:tcPr>
          <w:p w:rsidR="00412AFB" w:rsidRPr="00993936" w:rsidRDefault="00412AFB" w:rsidP="00B27C4C">
            <w:pPr>
              <w:pStyle w:val="Sinespaciado"/>
              <w:rPr>
                <w:rFonts w:ascii="Arial" w:hAnsi="Arial" w:cs="Arial"/>
                <w:sz w:val="20"/>
                <w:lang w:val="es-ES"/>
              </w:rPr>
            </w:pPr>
          </w:p>
        </w:tc>
      </w:tr>
      <w:tr w:rsidR="00412AFB" w:rsidRPr="00993936" w:rsidTr="00C8678E">
        <w:trPr>
          <w:cantSplit/>
          <w:trHeight w:val="2691"/>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Piojo gris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(Parlatoria pergandii)</w:t>
            </w:r>
          </w:p>
        </w:tc>
        <w:tc>
          <w:tcPr>
            <w:tcW w:w="1815"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807" w:type="pct"/>
            <w:vMerge/>
            <w:tcBorders>
              <w:bottom w:val="nil"/>
            </w:tcBorders>
            <w:vAlign w:val="center"/>
          </w:tcPr>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lastRenderedPageBreak/>
              <w:t xml:space="preserve">Caparretas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(Saissetia oleae, Ceroplastes sinensis)</w:t>
            </w:r>
          </w:p>
        </w:tc>
        <w:tc>
          <w:tcPr>
            <w:tcW w:w="1815"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Tau-fluvalinato (17) (18) (20)</w:t>
            </w:r>
          </w:p>
        </w:tc>
        <w:tc>
          <w:tcPr>
            <w:tcW w:w="1807" w:type="pct"/>
            <w:vMerge w:val="restart"/>
            <w:tcBorders>
              <w:top w:val="nil"/>
            </w:tcBorders>
            <w:vAlign w:val="center"/>
          </w:tcPr>
          <w:p w:rsidR="00412AFB" w:rsidRPr="00993936" w:rsidRDefault="00412AFB" w:rsidP="00B27C4C">
            <w:pPr>
              <w:pStyle w:val="Sinespaciado"/>
              <w:rPr>
                <w:rFonts w:ascii="Arial" w:hAnsi="Arial" w:cs="Arial"/>
                <w:sz w:val="20"/>
                <w:lang w:val="es-ES" w:eastAsia="ca-ES"/>
              </w:rPr>
            </w:pPr>
          </w:p>
          <w:p w:rsidR="00412AFB" w:rsidRPr="00993936" w:rsidRDefault="00412AFB" w:rsidP="00B27C4C">
            <w:pPr>
              <w:pStyle w:val="Sinespaciado"/>
              <w:rPr>
                <w:rFonts w:ascii="Arial" w:hAnsi="Arial" w:cs="Arial"/>
                <w:sz w:val="20"/>
                <w:lang w:val="es-ES" w:eastAsia="ca-ES"/>
              </w:rPr>
            </w:pP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 Utilizar solo hasta la floración</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 Usar sin cosecha pendiente o en fruta destinada al mercado interior</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20"/>
                  <w:lang w:val="es-ES" w:eastAsia="ca-ES"/>
                </w:rPr>
                <w:t>20 m</w:t>
              </w:r>
            </w:smartTag>
            <w:r w:rsidRPr="00993936">
              <w:rPr>
                <w:rFonts w:ascii="Arial" w:hAnsi="Arial" w:cs="Arial"/>
                <w:sz w:val="20"/>
                <w:lang w:val="es-ES" w:eastAsia="ca-ES"/>
              </w:rPr>
              <w:t xml:space="preserve"> de corrientes de agua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(6) Solo en plantones e injertos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(7) Pintado del tronco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(8) Riego por goteo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(9) Aplicado como cebo en el suelo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(10) Pulverización cebo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(11) Solo mayo-junio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(12) No tratar si hay cochinilla acanalada o cotonet</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(13) Solo tratamientos en primavera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(14) Suspensión en el tronco del árbol y/o en el suelo</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(15) Máximo una aplicación foliar por año para los naranjos y limoneros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(16) Un único tratamiento cuando el fruto comienza a tomar color</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(17) Utilizar solo cuando las materias activas sin restricciones no sean efectivas</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(18) Un único tratamiento por campaña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(19) Utilizar mediante captura masiva</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(20) Solo formulaciones que no sean de clasificación toxicológica T</w:t>
            </w:r>
          </w:p>
          <w:p w:rsidR="00412AFB" w:rsidRPr="00993936" w:rsidRDefault="00412AFB" w:rsidP="00B27C4C">
            <w:pPr>
              <w:pStyle w:val="Sinespaciado"/>
              <w:rPr>
                <w:rFonts w:ascii="Arial" w:hAnsi="Arial" w:cs="Arial"/>
                <w:sz w:val="20"/>
                <w:lang w:val="es-ES" w:eastAsia="ca-ES"/>
              </w:rPr>
            </w:pPr>
            <w:r w:rsidRPr="00993936">
              <w:rPr>
                <w:rFonts w:ascii="Arial" w:hAnsi="Arial" w:cs="Arial"/>
                <w:sz w:val="20"/>
                <w:lang w:val="es-ES" w:eastAsia="ca-ES"/>
              </w:rPr>
              <w:t>(21) Utilizar con poblaciones bajas de plaga</w:t>
            </w:r>
          </w:p>
          <w:p w:rsidR="00412AFB" w:rsidRPr="00993936" w:rsidRDefault="00412AFB" w:rsidP="00B27C4C">
            <w:pPr>
              <w:pStyle w:val="Sinespaciado"/>
              <w:rPr>
                <w:rFonts w:ascii="Arial" w:hAnsi="Arial" w:cs="Arial"/>
                <w:sz w:val="20"/>
                <w:lang w:val="es-ES" w:eastAsia="ca-ES"/>
              </w:rPr>
            </w:pPr>
          </w:p>
          <w:p w:rsidR="00412AFB" w:rsidRPr="00993936" w:rsidRDefault="00412AFB" w:rsidP="00B27C4C">
            <w:pPr>
              <w:pStyle w:val="Sinespaciado"/>
              <w:rPr>
                <w:rFonts w:ascii="Arial" w:hAnsi="Arial" w:cs="Arial"/>
                <w:sz w:val="20"/>
                <w:lang w:val="es-ES" w:eastAsia="ca-ES"/>
              </w:rPr>
            </w:pPr>
          </w:p>
          <w:p w:rsidR="00412AFB" w:rsidRPr="00993936" w:rsidRDefault="00412AFB" w:rsidP="00B27C4C">
            <w:pPr>
              <w:pStyle w:val="Sinespaciado"/>
              <w:rPr>
                <w:rFonts w:ascii="Arial" w:hAnsi="Arial" w:cs="Arial"/>
                <w:i/>
                <w:iCs/>
                <w:sz w:val="20"/>
                <w:lang w:val="es-ES" w:eastAsia="ca-ES"/>
              </w:rPr>
            </w:pPr>
            <w:r w:rsidRPr="00993936">
              <w:rPr>
                <w:rFonts w:ascii="Arial" w:hAnsi="Arial" w:cs="Arial"/>
                <w:sz w:val="20"/>
                <w:lang w:val="es-ES" w:eastAsia="ca-ES"/>
              </w:rPr>
              <w:t xml:space="preserve">(*) </w:t>
            </w:r>
            <w:r w:rsidRPr="00993936">
              <w:rPr>
                <w:rFonts w:ascii="Arial" w:hAnsi="Arial" w:cs="Arial"/>
                <w:i/>
                <w:iCs/>
                <w:sz w:val="20"/>
                <w:lang w:val="es-ES" w:eastAsia="ca-ES"/>
              </w:rPr>
              <w:t>A partir de la fecha límite de autorización de la materia activa, el LMR (límite máximo de</w:t>
            </w:r>
            <w:r w:rsidR="00D74508" w:rsidRPr="00993936">
              <w:rPr>
                <w:rFonts w:ascii="Arial" w:hAnsi="Arial" w:cs="Arial"/>
                <w:i/>
                <w:iCs/>
                <w:sz w:val="20"/>
                <w:lang w:val="es-ES" w:eastAsia="ca-ES"/>
              </w:rPr>
              <w:t xml:space="preserve"> </w:t>
            </w:r>
            <w:r w:rsidRPr="00993936">
              <w:rPr>
                <w:rFonts w:ascii="Arial" w:hAnsi="Arial" w:cs="Arial"/>
                <w:i/>
                <w:iCs/>
                <w:sz w:val="20"/>
                <w:lang w:val="es-ES" w:eastAsia="ca-ES"/>
              </w:rPr>
              <w:t>residuos) baja al LD (límite de detección). Deben tenerse en cuenta las curvas de disipación</w:t>
            </w:r>
            <w:r w:rsidR="00D74508" w:rsidRPr="00993936">
              <w:rPr>
                <w:rFonts w:ascii="Arial" w:hAnsi="Arial" w:cs="Arial"/>
                <w:i/>
                <w:iCs/>
                <w:sz w:val="20"/>
                <w:lang w:val="es-ES" w:eastAsia="ca-ES"/>
              </w:rPr>
              <w:t xml:space="preserve"> </w:t>
            </w:r>
            <w:r w:rsidRPr="00993936">
              <w:rPr>
                <w:rFonts w:ascii="Arial" w:hAnsi="Arial" w:cs="Arial"/>
                <w:i/>
                <w:iCs/>
                <w:sz w:val="20"/>
                <w:lang w:val="es-ES" w:eastAsia="ca-ES"/>
              </w:rPr>
              <w:t>de estos plaguicidas en cítricos. Consultar la bibliografía.</w:t>
            </w:r>
          </w:p>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Cotonet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(Planococcus citri)</w:t>
            </w:r>
          </w:p>
        </w:tc>
        <w:tc>
          <w:tcPr>
            <w:tcW w:w="1815"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Clorpirifos (4) + (15) Metil-</w:t>
            </w:r>
            <w:r w:rsidR="00CA0C28" w:rsidRPr="00993936">
              <w:rPr>
                <w:rFonts w:ascii="Arial" w:hAnsi="Arial" w:cs="Arial"/>
                <w:lang w:val="es-ES" w:eastAsia="ca-ES"/>
              </w:rPr>
              <w:t>Clorpirifos</w:t>
            </w:r>
            <w:r w:rsidRPr="00993936">
              <w:rPr>
                <w:rFonts w:ascii="Arial" w:hAnsi="Arial" w:cs="Arial"/>
                <w:lang w:val="es-ES" w:eastAsia="ca-ES"/>
              </w:rPr>
              <w:t xml:space="preserve"> (4)</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p w:rsidR="00412AFB" w:rsidRPr="00993936" w:rsidRDefault="00412AFB" w:rsidP="00B27C4C">
            <w:pPr>
              <w:pStyle w:val="Sinespaciado"/>
              <w:rPr>
                <w:rFonts w:ascii="Arial" w:hAnsi="Arial" w:cs="Arial"/>
                <w:lang w:val="es-ES" w:eastAsia="ca-ES"/>
              </w:rPr>
            </w:pPr>
          </w:p>
        </w:tc>
        <w:tc>
          <w:tcPr>
            <w:tcW w:w="1807" w:type="pct"/>
            <w:vMerge/>
            <w:vAlign w:val="center"/>
          </w:tcPr>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Trip</w:t>
            </w:r>
          </w:p>
        </w:tc>
        <w:tc>
          <w:tcPr>
            <w:tcW w:w="1815"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Etofenprox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 (4)</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Spirotetramat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Tau-fluvalinato (17) (18) (20)</w:t>
            </w:r>
          </w:p>
        </w:tc>
        <w:tc>
          <w:tcPr>
            <w:tcW w:w="1807" w:type="pct"/>
            <w:vMerge/>
            <w:vAlign w:val="center"/>
          </w:tcPr>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Prays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(Prays)</w:t>
            </w:r>
          </w:p>
        </w:tc>
        <w:tc>
          <w:tcPr>
            <w:tcW w:w="1815" w:type="pct"/>
            <w:vAlign w:val="center"/>
          </w:tcPr>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Bacillus thurigiensis var. kurstaki</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Cipermetrina (17)(18)</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Etofenprox</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Metil-clorpirifos (4)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Tau-fluvalinato (20) </w:t>
            </w:r>
          </w:p>
        </w:tc>
        <w:tc>
          <w:tcPr>
            <w:tcW w:w="1807" w:type="pct"/>
            <w:vMerge/>
            <w:vAlign w:val="center"/>
          </w:tcPr>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Gusano de los brotes</w:t>
            </w:r>
          </w:p>
          <w:p w:rsidR="00412AFB" w:rsidRPr="00993936" w:rsidRDefault="00412AFB" w:rsidP="00B27C4C">
            <w:pPr>
              <w:pStyle w:val="Sinespaciado"/>
              <w:rPr>
                <w:rFonts w:ascii="Arial" w:hAnsi="Arial" w:cs="Arial"/>
                <w:iCs/>
                <w:lang w:val="es-ES" w:eastAsia="ca-ES"/>
              </w:rPr>
            </w:pPr>
            <w:r w:rsidRPr="00993936">
              <w:rPr>
                <w:rFonts w:ascii="Arial" w:hAnsi="Arial" w:cs="Arial"/>
                <w:lang w:val="es-ES" w:eastAsia="ca-ES"/>
              </w:rPr>
              <w:t>(Cacoecimorpha pronubana)</w:t>
            </w:r>
          </w:p>
        </w:tc>
        <w:tc>
          <w:tcPr>
            <w:tcW w:w="1815" w:type="pct"/>
            <w:vAlign w:val="center"/>
          </w:tcPr>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Bacillus thurigiensis var. Kurstaki</w:t>
            </w:r>
          </w:p>
          <w:p w:rsidR="00412AFB" w:rsidRPr="00993936" w:rsidRDefault="00412AFB" w:rsidP="00B27C4C">
            <w:pPr>
              <w:pStyle w:val="Sinespaciado"/>
              <w:rPr>
                <w:rFonts w:ascii="Arial" w:hAnsi="Arial" w:cs="Arial"/>
                <w:lang w:val="es-ES" w:eastAsia="ca-ES"/>
              </w:rPr>
            </w:pPr>
          </w:p>
        </w:tc>
        <w:tc>
          <w:tcPr>
            <w:tcW w:w="1807" w:type="pct"/>
            <w:vMerge/>
            <w:vAlign w:val="center"/>
          </w:tcPr>
          <w:p w:rsidR="00412AFB" w:rsidRPr="00993936" w:rsidRDefault="00412AFB" w:rsidP="00B27C4C">
            <w:pPr>
              <w:pStyle w:val="Sinespaciado"/>
              <w:rPr>
                <w:rFonts w:ascii="Arial" w:hAnsi="Arial" w:cs="Arial"/>
                <w:sz w:val="20"/>
                <w:lang w:val="es-ES"/>
              </w:rPr>
            </w:pPr>
          </w:p>
        </w:tc>
      </w:tr>
      <w:tr w:rsidR="00412AFB" w:rsidRPr="00993936" w:rsidTr="00C8678E">
        <w:trPr>
          <w:cantSplit/>
          <w:jc w:val="center"/>
        </w:trPr>
        <w:tc>
          <w:tcPr>
            <w:tcW w:w="1378" w:type="pct"/>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 xml:space="preserve">Mosca de la fruta </w:t>
            </w:r>
            <w:r w:rsidRPr="00993936">
              <w:rPr>
                <w:rFonts w:ascii="Arial" w:hAnsi="Arial" w:cs="Arial"/>
                <w:lang w:val="es-ES" w:eastAsia="ca-ES"/>
              </w:rPr>
              <w:t>(Ceratitis capitata)</w:t>
            </w:r>
          </w:p>
        </w:tc>
        <w:tc>
          <w:tcPr>
            <w:tcW w:w="1815" w:type="pct"/>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Beauveria bassiana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Caolín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 (17)(18)(20)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Diaminobutano + Acetato amónico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Trimetilamina clorhidrato (19)</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Etofenprox </w:t>
            </w:r>
            <w:r w:rsidRPr="00993936">
              <w:rPr>
                <w:rFonts w:ascii="Arial" w:hAnsi="Arial" w:cs="Arial"/>
                <w:i/>
                <w:lang w:val="es-ES" w:eastAsia="ca-ES"/>
              </w:rPr>
              <w:t>(solo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Fosmet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Lambda- cihalotrina </w:t>
            </w:r>
            <w:r w:rsidRPr="00993936">
              <w:rPr>
                <w:rFonts w:ascii="Arial" w:hAnsi="Arial" w:cs="Arial"/>
                <w:i/>
                <w:lang w:val="es-ES" w:eastAsia="ca-ES"/>
              </w:rPr>
              <w:t>(solo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Lufenuron (solo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Proteína hidrolizable</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Spinosad </w:t>
            </w:r>
            <w:r w:rsidRPr="00993936">
              <w:rPr>
                <w:rFonts w:ascii="Arial" w:hAnsi="Arial" w:cs="Arial"/>
                <w:i/>
                <w:lang w:val="es-ES" w:eastAsia="ca-ES"/>
              </w:rPr>
              <w:t>(Solo pulverización cebo)</w:t>
            </w:r>
          </w:p>
        </w:tc>
        <w:tc>
          <w:tcPr>
            <w:tcW w:w="1807" w:type="pct"/>
            <w:vMerge/>
            <w:vAlign w:val="center"/>
          </w:tcPr>
          <w:p w:rsidR="00412AFB" w:rsidRPr="00993936" w:rsidRDefault="00412AFB" w:rsidP="00B27C4C">
            <w:pPr>
              <w:pStyle w:val="Sinespaciado"/>
              <w:rPr>
                <w:rFonts w:ascii="Arial" w:hAnsi="Arial" w:cs="Arial"/>
                <w:sz w:val="20"/>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2.1.3. Limón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273"/>
        <w:gridCol w:w="2989"/>
      </w:tblGrid>
      <w:tr w:rsidR="00412AFB" w:rsidRPr="00993936" w:rsidTr="00C8678E">
        <w:trPr>
          <w:tblHeader/>
          <w:jc w:val="center"/>
        </w:trPr>
        <w:tc>
          <w:tcPr>
            <w:tcW w:w="1378" w:type="pct"/>
            <w:shd w:val="pct12" w:color="auto" w:fill="FFFFFF"/>
            <w:vAlign w:val="center"/>
          </w:tcPr>
          <w:p w:rsidR="00412AFB" w:rsidRPr="00993936" w:rsidRDefault="00412AFB" w:rsidP="00B27C4C">
            <w:pPr>
              <w:pStyle w:val="Sinespaciado"/>
              <w:rPr>
                <w:rFonts w:ascii="Arial" w:hAnsi="Arial" w:cs="Arial"/>
                <w:b/>
                <w:lang w:val="es-ES"/>
              </w:rPr>
            </w:pPr>
            <w:r w:rsidRPr="00993936">
              <w:rPr>
                <w:rFonts w:ascii="Arial" w:hAnsi="Arial" w:cs="Arial"/>
                <w:b/>
                <w:lang w:val="es-ES"/>
              </w:rPr>
              <w:t>PLAGA</w:t>
            </w:r>
          </w:p>
        </w:tc>
        <w:tc>
          <w:tcPr>
            <w:tcW w:w="1893" w:type="pct"/>
            <w:shd w:val="pct12" w:color="auto" w:fill="FFFFFF"/>
            <w:vAlign w:val="center"/>
          </w:tcPr>
          <w:p w:rsidR="00412AFB" w:rsidRPr="00993936" w:rsidRDefault="00412AFB" w:rsidP="00B27C4C">
            <w:pPr>
              <w:pStyle w:val="Sinespaciado"/>
              <w:rPr>
                <w:rFonts w:ascii="Arial" w:hAnsi="Arial" w:cs="Arial"/>
                <w:b/>
                <w:lang w:val="es-ES"/>
              </w:rPr>
            </w:pPr>
            <w:r w:rsidRPr="00993936">
              <w:rPr>
                <w:rFonts w:ascii="Arial" w:hAnsi="Arial" w:cs="Arial"/>
                <w:b/>
                <w:lang w:val="es-ES"/>
              </w:rPr>
              <w:t>MATERIA ACTIVA</w:t>
            </w:r>
          </w:p>
        </w:tc>
        <w:tc>
          <w:tcPr>
            <w:tcW w:w="1729" w:type="pct"/>
            <w:shd w:val="pct12" w:color="auto" w:fill="FFFFFF"/>
            <w:vAlign w:val="center"/>
          </w:tcPr>
          <w:p w:rsidR="00412AFB" w:rsidRPr="00993936" w:rsidRDefault="00412AFB" w:rsidP="00B27C4C">
            <w:pPr>
              <w:pStyle w:val="Sinespaciado"/>
              <w:rPr>
                <w:rFonts w:ascii="Arial" w:hAnsi="Arial" w:cs="Arial"/>
                <w:b/>
                <w:sz w:val="18"/>
                <w:lang w:val="es-ES"/>
              </w:rPr>
            </w:pPr>
            <w:r w:rsidRPr="00993936">
              <w:rPr>
                <w:rFonts w:ascii="Arial" w:hAnsi="Arial" w:cs="Arial"/>
                <w:b/>
                <w:sz w:val="18"/>
                <w:lang w:val="es-ES"/>
              </w:rPr>
              <w:t>RESTRICCIONES</w:t>
            </w:r>
          </w:p>
        </w:tc>
      </w:tr>
      <w:tr w:rsidR="00412AFB" w:rsidRPr="00993936" w:rsidTr="00C8678E">
        <w:trPr>
          <w:cantSplit/>
          <w:jc w:val="center"/>
        </w:trPr>
        <w:tc>
          <w:tcPr>
            <w:tcW w:w="1378" w:type="pct"/>
          </w:tcPr>
          <w:p w:rsidR="00412AFB" w:rsidRPr="00993936" w:rsidRDefault="00412AFB" w:rsidP="00B27C4C">
            <w:pPr>
              <w:pStyle w:val="Sinespaciado"/>
              <w:rPr>
                <w:rFonts w:ascii="Arial" w:hAnsi="Arial" w:cs="Arial"/>
                <w:bCs/>
                <w:lang w:val="es-ES" w:eastAsia="ca-ES"/>
              </w:rPr>
            </w:pPr>
            <w:r w:rsidRPr="00993936">
              <w:rPr>
                <w:rFonts w:ascii="Arial" w:hAnsi="Arial" w:cs="Arial"/>
                <w:bCs/>
                <w:lang w:val="es-ES" w:eastAsia="ca-ES"/>
              </w:rPr>
              <w:t>Pulgones</w:t>
            </w:r>
          </w:p>
          <w:p w:rsidR="00412AFB" w:rsidRPr="00993936" w:rsidRDefault="00412AFB" w:rsidP="00B27C4C">
            <w:pPr>
              <w:pStyle w:val="Sinespaciado"/>
              <w:rPr>
                <w:rFonts w:ascii="Arial" w:hAnsi="Arial" w:cs="Arial"/>
                <w:i/>
                <w:iCs/>
                <w:lang w:val="es-ES" w:eastAsia="ca-ES"/>
              </w:rPr>
            </w:pPr>
            <w:r w:rsidRPr="00993936">
              <w:rPr>
                <w:rFonts w:ascii="Arial" w:hAnsi="Arial" w:cs="Arial"/>
                <w:lang w:val="es-ES" w:eastAsia="ca-ES"/>
              </w:rPr>
              <w:t>(</w:t>
            </w:r>
            <w:r w:rsidRPr="00993936">
              <w:rPr>
                <w:rFonts w:ascii="Arial" w:hAnsi="Arial" w:cs="Arial"/>
                <w:i/>
                <w:iCs/>
                <w:lang w:val="es-ES" w:eastAsia="ca-ES"/>
              </w:rPr>
              <w:t>Aphis spiraecola, Aphis gossypii, Myzus persicae</w:t>
            </w:r>
          </w:p>
          <w:p w:rsidR="00412AFB" w:rsidRPr="00993936" w:rsidRDefault="00412AFB" w:rsidP="00B27C4C">
            <w:pPr>
              <w:pStyle w:val="Sinespaciado"/>
              <w:rPr>
                <w:rFonts w:ascii="Arial" w:hAnsi="Arial" w:cs="Arial"/>
                <w:i/>
                <w:iCs/>
                <w:lang w:val="es-ES" w:eastAsia="ca-ES"/>
              </w:rPr>
            </w:pPr>
            <w:r w:rsidRPr="00993936">
              <w:rPr>
                <w:rFonts w:ascii="Arial" w:hAnsi="Arial" w:cs="Arial"/>
                <w:lang w:val="es-ES" w:eastAsia="ca-ES"/>
              </w:rPr>
              <w:t>Toxoptera aurantii)</w:t>
            </w:r>
          </w:p>
        </w:tc>
        <w:tc>
          <w:tcPr>
            <w:tcW w:w="1893" w:type="pct"/>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Acetamiprid</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(17)(18)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Cipermetrina (17)(18)</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 (17)(18)(20)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Etofenprox</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Flonicamid</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 + Tiametoxam</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Pimetrozina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Pirimicarb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Sales potásicas de raíces grasas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Tau-fluvalinato (17) (18) (20) </w:t>
            </w:r>
          </w:p>
          <w:p w:rsidR="00412AFB" w:rsidRPr="00993936" w:rsidRDefault="00412AFB" w:rsidP="00B27C4C">
            <w:pPr>
              <w:pStyle w:val="Sinespaciado"/>
              <w:rPr>
                <w:rFonts w:ascii="Arial" w:hAnsi="Arial" w:cs="Arial"/>
                <w:lang w:val="es-ES"/>
              </w:rPr>
            </w:pPr>
          </w:p>
        </w:tc>
        <w:tc>
          <w:tcPr>
            <w:tcW w:w="1729" w:type="pct"/>
            <w:vAlign w:val="center"/>
          </w:tcPr>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corrientes de agua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B27C4C">
            <w:pPr>
              <w:pStyle w:val="Sinespaciado"/>
              <w:rPr>
                <w:rFonts w:ascii="Arial" w:hAnsi="Arial" w:cs="Arial"/>
                <w:sz w:val="18"/>
                <w:lang w:val="es-ES" w:eastAsia="ca-ES"/>
              </w:rPr>
            </w:pPr>
          </w:p>
          <w:p w:rsidR="00412AFB" w:rsidRPr="00993936" w:rsidRDefault="00412AFB" w:rsidP="00B27C4C">
            <w:pPr>
              <w:pStyle w:val="Sinespaciado"/>
              <w:rPr>
                <w:rFonts w:ascii="Arial" w:hAnsi="Arial" w:cs="Arial"/>
                <w:sz w:val="18"/>
                <w:lang w:val="es-ES" w:eastAsia="ca-ES"/>
              </w:rPr>
            </w:pPr>
          </w:p>
          <w:p w:rsidR="00412AFB" w:rsidRPr="00993936" w:rsidRDefault="00412AFB" w:rsidP="00B27C4C">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p>
          <w:p w:rsidR="00412AFB" w:rsidRPr="00993936" w:rsidRDefault="00412AFB" w:rsidP="00B27C4C">
            <w:pPr>
              <w:pStyle w:val="Sinespaciado"/>
              <w:rPr>
                <w:rFonts w:ascii="Arial" w:hAnsi="Arial" w:cs="Arial"/>
                <w:i/>
                <w:iCs/>
                <w:sz w:val="18"/>
                <w:lang w:val="es-ES" w:eastAsia="ca-ES"/>
              </w:rPr>
            </w:pPr>
            <w:r w:rsidRPr="00993936">
              <w:rPr>
                <w:rFonts w:ascii="Arial" w:hAnsi="Arial" w:cs="Arial"/>
                <w:i/>
                <w:iCs/>
                <w:sz w:val="18"/>
                <w:lang w:val="es-ES" w:eastAsia="ca-ES"/>
              </w:rPr>
              <w:t>residuos) baja al LD (límite de detección). Deben tenerse en cuenta las curvas de disipación</w:t>
            </w:r>
          </w:p>
          <w:p w:rsidR="00412AFB" w:rsidRPr="00993936" w:rsidRDefault="00412AFB" w:rsidP="00B27C4C">
            <w:pPr>
              <w:pStyle w:val="Sinespaciado"/>
              <w:rPr>
                <w:rFonts w:ascii="Arial" w:hAnsi="Arial" w:cs="Arial"/>
                <w:i/>
                <w:iCs/>
                <w:sz w:val="18"/>
                <w:lang w:val="es-ES" w:eastAsia="ca-ES"/>
              </w:rPr>
            </w:pPr>
            <w:r w:rsidRPr="00993936">
              <w:rPr>
                <w:rFonts w:ascii="Arial" w:hAnsi="Arial" w:cs="Arial"/>
                <w:i/>
                <w:iCs/>
                <w:sz w:val="18"/>
                <w:lang w:val="es-ES" w:eastAsia="ca-ES"/>
              </w:rPr>
              <w:t>de estos plaguicidas en cítricos. Consultar la bibliografía.</w:t>
            </w:r>
          </w:p>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lang w:val="es-ES"/>
              </w:rPr>
            </w:pPr>
            <w:r w:rsidRPr="00993936">
              <w:rPr>
                <w:rFonts w:ascii="Arial" w:hAnsi="Arial" w:cs="Arial"/>
                <w:b/>
                <w:bCs/>
                <w:lang w:val="es-ES" w:eastAsia="ca-ES"/>
              </w:rPr>
              <w:t>Mosca blanca</w:t>
            </w:r>
            <w:r w:rsidRPr="00993936">
              <w:rPr>
                <w:rFonts w:ascii="Arial" w:hAnsi="Arial" w:cs="Arial"/>
                <w:bCs/>
                <w:lang w:val="es-ES" w:eastAsia="ca-ES"/>
              </w:rPr>
              <w:t xml:space="preserve"> </w:t>
            </w:r>
            <w:r w:rsidRPr="00993936">
              <w:rPr>
                <w:rFonts w:ascii="Arial" w:hAnsi="Arial" w:cs="Arial"/>
                <w:lang w:val="es-ES" w:eastAsia="ca-ES"/>
              </w:rPr>
              <w:t>(Aleurothrixus floccosus)</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Acetamiprid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Deltametrina(17)(18)(20)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p w:rsidR="00412AFB" w:rsidRPr="00993936" w:rsidRDefault="00412AFB" w:rsidP="00B27C4C">
            <w:pPr>
              <w:pStyle w:val="Sinespaciado"/>
              <w:rPr>
                <w:rFonts w:ascii="Arial" w:hAnsi="Arial" w:cs="Arial"/>
                <w:lang w:val="es-ES"/>
              </w:rPr>
            </w:pPr>
          </w:p>
        </w:tc>
        <w:tc>
          <w:tcPr>
            <w:tcW w:w="1729" w:type="pct"/>
            <w:vMerge w:val="restart"/>
            <w:vAlign w:val="center"/>
          </w:tcPr>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w:t>
            </w:r>
            <w:r w:rsidRPr="00993936">
              <w:rPr>
                <w:rFonts w:ascii="Arial" w:hAnsi="Arial" w:cs="Arial"/>
                <w:sz w:val="18"/>
                <w:lang w:val="es-ES" w:eastAsia="ca-ES"/>
              </w:rPr>
              <w:lastRenderedPageBreak/>
              <w:t>corrientes de agua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B27C4C">
            <w:pPr>
              <w:pStyle w:val="Sinespaciado"/>
              <w:rPr>
                <w:rFonts w:ascii="Arial" w:hAnsi="Arial" w:cs="Arial"/>
                <w:sz w:val="18"/>
                <w:lang w:val="es-ES" w:eastAsia="ca-ES"/>
              </w:rPr>
            </w:pPr>
          </w:p>
          <w:p w:rsidR="00412AFB" w:rsidRPr="00993936" w:rsidRDefault="00412AFB" w:rsidP="00B27C4C">
            <w:pPr>
              <w:pStyle w:val="Sinespaciado"/>
              <w:rPr>
                <w:rFonts w:ascii="Arial" w:hAnsi="Arial" w:cs="Arial"/>
                <w:sz w:val="18"/>
                <w:lang w:val="es-ES" w:eastAsia="ca-ES"/>
              </w:rPr>
            </w:pPr>
          </w:p>
          <w:p w:rsidR="00412AFB" w:rsidRPr="00993936" w:rsidRDefault="00412AFB" w:rsidP="00B27C4C">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r w:rsidR="00D74508" w:rsidRPr="00993936">
              <w:rPr>
                <w:rFonts w:ascii="Arial" w:hAnsi="Arial" w:cs="Arial"/>
                <w:i/>
                <w:iCs/>
                <w:sz w:val="18"/>
                <w:lang w:val="es-ES" w:eastAsia="ca-ES"/>
              </w:rPr>
              <w:t xml:space="preserve"> </w:t>
            </w:r>
            <w:r w:rsidRPr="00993936">
              <w:rPr>
                <w:rFonts w:ascii="Arial" w:hAnsi="Arial" w:cs="Arial"/>
                <w:i/>
                <w:iCs/>
                <w:sz w:val="18"/>
                <w:lang w:val="es-ES" w:eastAsia="ca-ES"/>
              </w:rPr>
              <w:t>residuos) baja al LD (límite de detección). Deben tenerse en cuenta las curvas de disipación</w:t>
            </w:r>
            <w:r w:rsidR="00D74508" w:rsidRPr="00993936">
              <w:rPr>
                <w:rFonts w:ascii="Arial" w:hAnsi="Arial" w:cs="Arial"/>
                <w:i/>
                <w:iCs/>
                <w:sz w:val="18"/>
                <w:lang w:val="es-ES" w:eastAsia="ca-ES"/>
              </w:rPr>
              <w:t xml:space="preserve"> </w:t>
            </w:r>
            <w:r w:rsidRPr="00993936">
              <w:rPr>
                <w:rFonts w:ascii="Arial" w:hAnsi="Arial" w:cs="Arial"/>
                <w:i/>
                <w:iCs/>
                <w:sz w:val="18"/>
                <w:lang w:val="es-ES" w:eastAsia="ca-ES"/>
              </w:rPr>
              <w:t>de estos plaguicidas en cítricos. Consultar la bibliografía.</w:t>
            </w: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i/>
                <w:iCs/>
                <w:sz w:val="18"/>
                <w:lang w:val="es-ES" w:eastAsia="ca-ES"/>
              </w:rPr>
            </w:pPr>
          </w:p>
          <w:p w:rsidR="00412AFB" w:rsidRPr="00993936" w:rsidRDefault="00412AFB" w:rsidP="00B27C4C">
            <w:pPr>
              <w:pStyle w:val="Sinespaciado"/>
              <w:rPr>
                <w:rFonts w:ascii="Arial" w:hAnsi="Arial" w:cs="Arial"/>
                <w:snapToGrid w:val="0"/>
                <w:sz w:val="18"/>
                <w:lang w:val="es-ES"/>
              </w:rPr>
            </w:pP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 xml:space="preserve">(3) Dejar zonas refugio del 5 % de superficie sin tratar en explotaciones de más de cinco </w:t>
            </w:r>
            <w:r w:rsidRPr="00993936">
              <w:rPr>
                <w:rFonts w:ascii="Arial" w:hAnsi="Arial" w:cs="Arial"/>
                <w:sz w:val="18"/>
                <w:lang w:val="es-ES" w:eastAsia="ca-ES"/>
              </w:rPr>
              <w:lastRenderedPageBreak/>
              <w:t>hectáreas.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corrientes de agua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B27C4C">
            <w:pPr>
              <w:pStyle w:val="Sinespaciado"/>
              <w:rPr>
                <w:rFonts w:ascii="Arial" w:hAnsi="Arial" w:cs="Arial"/>
                <w:sz w:val="18"/>
                <w:lang w:val="es-ES" w:eastAsia="ca-ES"/>
              </w:rPr>
            </w:pPr>
          </w:p>
          <w:p w:rsidR="00412AFB" w:rsidRPr="00993936" w:rsidRDefault="00412AFB" w:rsidP="00B27C4C">
            <w:pPr>
              <w:pStyle w:val="Sinespaciado"/>
              <w:rPr>
                <w:rFonts w:ascii="Arial" w:hAnsi="Arial" w:cs="Arial"/>
                <w:sz w:val="18"/>
                <w:lang w:val="es-ES" w:eastAsia="ca-ES"/>
              </w:rPr>
            </w:pPr>
          </w:p>
          <w:p w:rsidR="00412AFB" w:rsidRPr="00993936" w:rsidRDefault="00412AFB" w:rsidP="00B27C4C">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r w:rsidR="00D74508" w:rsidRPr="00993936">
              <w:rPr>
                <w:rFonts w:ascii="Arial" w:hAnsi="Arial" w:cs="Arial"/>
                <w:i/>
                <w:iCs/>
                <w:sz w:val="18"/>
                <w:lang w:val="es-ES" w:eastAsia="ca-ES"/>
              </w:rPr>
              <w:t xml:space="preserve"> </w:t>
            </w:r>
            <w:r w:rsidRPr="00993936">
              <w:rPr>
                <w:rFonts w:ascii="Arial" w:hAnsi="Arial" w:cs="Arial"/>
                <w:i/>
                <w:iCs/>
                <w:sz w:val="18"/>
                <w:lang w:val="es-ES" w:eastAsia="ca-ES"/>
              </w:rPr>
              <w:t>residuos) baja al LD (límite de detección). Deben tenerse en cuenta las curvas de disipación</w:t>
            </w:r>
          </w:p>
          <w:p w:rsidR="00412AFB" w:rsidRPr="00993936" w:rsidRDefault="00412AFB" w:rsidP="00B27C4C">
            <w:pPr>
              <w:pStyle w:val="Sinespaciado"/>
              <w:rPr>
                <w:rFonts w:ascii="Arial" w:hAnsi="Arial" w:cs="Arial"/>
                <w:i/>
                <w:iCs/>
                <w:sz w:val="18"/>
                <w:lang w:val="es-ES" w:eastAsia="ca-ES"/>
              </w:rPr>
            </w:pPr>
            <w:r w:rsidRPr="00993936">
              <w:rPr>
                <w:rFonts w:ascii="Arial" w:hAnsi="Arial" w:cs="Arial"/>
                <w:i/>
                <w:iCs/>
                <w:sz w:val="18"/>
                <w:lang w:val="es-ES" w:eastAsia="ca-ES"/>
              </w:rPr>
              <w:t>de estos plaguicidas en cítricos. Consultar la bibliografía.</w:t>
            </w:r>
          </w:p>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lang w:val="es-ES"/>
              </w:rPr>
            </w:pPr>
            <w:r w:rsidRPr="00993936">
              <w:rPr>
                <w:rFonts w:ascii="Arial" w:hAnsi="Arial" w:cs="Arial"/>
                <w:b/>
                <w:bCs/>
                <w:lang w:val="es-ES" w:eastAsia="ca-ES"/>
              </w:rPr>
              <w:lastRenderedPageBreak/>
              <w:t>Minador de hojas</w:t>
            </w:r>
            <w:r w:rsidRPr="00993936">
              <w:rPr>
                <w:rFonts w:ascii="Arial" w:hAnsi="Arial" w:cs="Arial"/>
                <w:bCs/>
                <w:lang w:val="es-ES" w:eastAsia="ca-ES"/>
              </w:rPr>
              <w:t xml:space="preserve"> </w:t>
            </w:r>
            <w:r w:rsidRPr="00993936">
              <w:rPr>
                <w:rFonts w:ascii="Arial" w:hAnsi="Arial" w:cs="Arial"/>
                <w:lang w:val="es-ES" w:eastAsia="ca-ES"/>
              </w:rPr>
              <w:t>(Phyllocnistis citrella)</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Abamectina (3)(4)(5)(6)(20)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Acetamiprid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Clorantranilipol</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Diflubenzuron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Hexitiazox (2)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 + Tiametoxam</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Tebufenocida (17) (18)</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B27C4C" w:rsidRPr="00993936" w:rsidRDefault="00412AFB" w:rsidP="00B27C4C">
            <w:pPr>
              <w:pStyle w:val="Sinespaciado"/>
              <w:rPr>
                <w:rFonts w:ascii="Arial" w:hAnsi="Arial" w:cs="Arial"/>
                <w:lang w:val="es-ES" w:eastAsia="ca-ES"/>
              </w:rPr>
            </w:pPr>
            <w:r w:rsidRPr="00993936">
              <w:rPr>
                <w:rFonts w:ascii="Arial" w:hAnsi="Arial" w:cs="Arial"/>
                <w:b/>
                <w:bCs/>
                <w:lang w:val="es-ES" w:eastAsia="ca-ES"/>
              </w:rPr>
              <w:lastRenderedPageBreak/>
              <w:t>Piojo rojo de California</w:t>
            </w:r>
          </w:p>
          <w:p w:rsidR="00412AFB" w:rsidRPr="00993936" w:rsidRDefault="00412AFB" w:rsidP="00B27C4C">
            <w:pPr>
              <w:pStyle w:val="Sinespaciado"/>
              <w:rPr>
                <w:rFonts w:ascii="Arial" w:hAnsi="Arial" w:cs="Arial"/>
                <w:bCs/>
                <w:lang w:val="es-ES" w:eastAsia="ca-ES"/>
              </w:rPr>
            </w:pPr>
            <w:r w:rsidRPr="00993936">
              <w:rPr>
                <w:rFonts w:ascii="Arial" w:hAnsi="Arial" w:cs="Arial"/>
                <w:lang w:val="es-ES" w:eastAsia="ca-ES"/>
              </w:rPr>
              <w:t>(Aonidiella aurantii)</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Rescalure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
                <w:bCs/>
                <w:lang w:val="es-ES" w:eastAsia="ca-ES"/>
              </w:rPr>
            </w:pPr>
            <w:r w:rsidRPr="00993936">
              <w:rPr>
                <w:rFonts w:ascii="Arial" w:hAnsi="Arial" w:cs="Arial"/>
                <w:b/>
                <w:bCs/>
                <w:lang w:val="es-ES" w:eastAsia="ca-ES"/>
              </w:rPr>
              <w:t xml:space="preserve">Piojo blanco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(Aspdiotus nerii)</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r w:rsidRPr="00993936">
              <w:rPr>
                <w:rFonts w:ascii="Arial" w:hAnsi="Arial" w:cs="Arial"/>
                <w:lang w:val="es-ES" w:eastAsia="ca-ES"/>
              </w:rPr>
              <w:br/>
              <w:t>Spirotetramat</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
                <w:bCs/>
                <w:lang w:val="es-ES" w:eastAsia="ca-ES"/>
              </w:rPr>
            </w:pPr>
            <w:r w:rsidRPr="00993936">
              <w:rPr>
                <w:rFonts w:ascii="Arial" w:hAnsi="Arial" w:cs="Arial"/>
                <w:b/>
                <w:bCs/>
                <w:lang w:val="es-ES" w:eastAsia="ca-ES"/>
              </w:rPr>
              <w:t xml:space="preserve">Culebrilla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(Lepidosaphes spp.)</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
                <w:bCs/>
                <w:lang w:val="es-ES" w:eastAsia="ca-ES"/>
              </w:rPr>
            </w:pPr>
            <w:r w:rsidRPr="00993936">
              <w:rPr>
                <w:rFonts w:ascii="Arial" w:hAnsi="Arial" w:cs="Arial"/>
                <w:b/>
                <w:bCs/>
                <w:lang w:val="es-ES" w:eastAsia="ca-ES"/>
              </w:rPr>
              <w:t xml:space="preserve">Piojo gris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(Parlatoria pergandii)</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 (3) (11) (12) (17) (18)</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 (17)</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
                <w:bCs/>
                <w:lang w:val="es-ES" w:eastAsia="ca-ES"/>
              </w:rPr>
            </w:pPr>
            <w:r w:rsidRPr="00993936">
              <w:rPr>
                <w:rFonts w:ascii="Arial" w:hAnsi="Arial" w:cs="Arial"/>
                <w:b/>
                <w:bCs/>
                <w:lang w:val="es-ES" w:eastAsia="ca-ES"/>
              </w:rPr>
              <w:t xml:space="preserve">Caparretas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(Saissetia oleae, Ceroplastes sinensis)</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 (3) (11) (12)</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Tau-fluvalinato (17) (18) (20)</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
                <w:bCs/>
                <w:lang w:val="es-ES" w:eastAsia="ca-ES"/>
              </w:rPr>
            </w:pPr>
            <w:r w:rsidRPr="00993936">
              <w:rPr>
                <w:rFonts w:ascii="Arial" w:hAnsi="Arial" w:cs="Arial"/>
                <w:b/>
                <w:bCs/>
                <w:lang w:val="es-ES" w:eastAsia="ca-ES"/>
              </w:rPr>
              <w:lastRenderedPageBreak/>
              <w:t>Cotonet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(Planococcus citri)</w:t>
            </w:r>
          </w:p>
        </w:tc>
        <w:tc>
          <w:tcPr>
            <w:tcW w:w="1893" w:type="pct"/>
            <w:vAlign w:val="center"/>
          </w:tcPr>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 (4)</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
                <w:bCs/>
                <w:lang w:val="es-ES" w:eastAsia="ca-ES"/>
              </w:rPr>
            </w:pPr>
            <w:r w:rsidRPr="00993936">
              <w:rPr>
                <w:rFonts w:ascii="Arial" w:hAnsi="Arial" w:cs="Arial"/>
                <w:b/>
                <w:bCs/>
                <w:lang w:val="es-ES" w:eastAsia="ca-ES"/>
              </w:rPr>
              <w:lastRenderedPageBreak/>
              <w:t>Trip</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Etofenprox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 (4)</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Tau-fluvalinato (17) (18) (20)</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
                <w:bCs/>
                <w:lang w:val="es-ES" w:eastAsia="ca-ES"/>
              </w:rPr>
            </w:pPr>
            <w:r w:rsidRPr="00993936">
              <w:rPr>
                <w:rFonts w:ascii="Arial" w:hAnsi="Arial" w:cs="Arial"/>
                <w:b/>
                <w:bCs/>
                <w:lang w:val="es-ES" w:eastAsia="ca-ES"/>
              </w:rPr>
              <w:t>Prays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(Prays)</w:t>
            </w:r>
          </w:p>
        </w:tc>
        <w:tc>
          <w:tcPr>
            <w:tcW w:w="1893" w:type="pct"/>
            <w:vAlign w:val="center"/>
          </w:tcPr>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Bacillus thurigiensis var. kurstaki</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Cipermetrina (17)(18)</w:t>
            </w:r>
          </w:p>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(4)+(15)</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Etofenprox</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 (4)</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Tau-fluvalinato (20) </w:t>
            </w: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
                <w:bCs/>
                <w:sz w:val="20"/>
                <w:lang w:val="es-ES" w:eastAsia="ca-ES"/>
              </w:rPr>
              <w:t>Gusano de los brotes</w:t>
            </w:r>
            <w:r w:rsidR="00DC071E" w:rsidRPr="00993936">
              <w:rPr>
                <w:rFonts w:ascii="Arial" w:hAnsi="Arial" w:cs="Arial"/>
                <w:bCs/>
                <w:sz w:val="20"/>
                <w:lang w:val="es-ES" w:eastAsia="ca-ES"/>
              </w:rPr>
              <w:t xml:space="preserve"> </w:t>
            </w:r>
            <w:r w:rsidRPr="00993936">
              <w:rPr>
                <w:rFonts w:ascii="Arial" w:hAnsi="Arial" w:cs="Arial"/>
                <w:lang w:val="es-ES" w:eastAsia="ca-ES"/>
              </w:rPr>
              <w:t>(Cacoecimorpha pronubana)</w:t>
            </w:r>
          </w:p>
        </w:tc>
        <w:tc>
          <w:tcPr>
            <w:tcW w:w="1893" w:type="pct"/>
            <w:vAlign w:val="center"/>
          </w:tcPr>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Bacillus thurigiensis var. Kurstaki</w:t>
            </w:r>
          </w:p>
          <w:p w:rsidR="00412AFB" w:rsidRPr="00993936" w:rsidRDefault="00412AFB" w:rsidP="00B27C4C">
            <w:pPr>
              <w:pStyle w:val="Sinespaciado"/>
              <w:rPr>
                <w:rFonts w:ascii="Arial" w:hAnsi="Arial" w:cs="Arial"/>
                <w:lang w:val="es-ES" w:eastAsia="ca-ES"/>
              </w:rPr>
            </w:pPr>
          </w:p>
        </w:tc>
        <w:tc>
          <w:tcPr>
            <w:tcW w:w="1729"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B27C4C">
            <w:pPr>
              <w:pStyle w:val="Sinespaciado"/>
              <w:rPr>
                <w:rFonts w:ascii="Arial" w:hAnsi="Arial" w:cs="Arial"/>
                <w:bCs/>
                <w:lang w:val="es-ES" w:eastAsia="ca-ES"/>
              </w:rPr>
            </w:pPr>
            <w:r w:rsidRPr="00993936">
              <w:rPr>
                <w:rFonts w:ascii="Arial" w:hAnsi="Arial" w:cs="Arial"/>
                <w:b/>
                <w:bCs/>
                <w:lang w:val="es-ES" w:eastAsia="ca-ES"/>
              </w:rPr>
              <w:t>Mosca de la fruta</w:t>
            </w:r>
            <w:r w:rsidRPr="00993936">
              <w:rPr>
                <w:rFonts w:ascii="Arial" w:hAnsi="Arial" w:cs="Arial"/>
                <w:bCs/>
                <w:lang w:val="es-ES" w:eastAsia="ca-ES"/>
              </w:rPr>
              <w:t xml:space="preserve"> </w:t>
            </w:r>
            <w:r w:rsidRPr="00993936">
              <w:rPr>
                <w:rFonts w:ascii="Arial" w:hAnsi="Arial" w:cs="Arial"/>
                <w:lang w:val="es-ES" w:eastAsia="ca-ES"/>
              </w:rPr>
              <w:t>(Ceratitis capitata)</w:t>
            </w:r>
          </w:p>
        </w:tc>
        <w:tc>
          <w:tcPr>
            <w:tcW w:w="1893"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Beauveria bassiana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Diaminobutano + Acetato amónico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Trimetilamina clorhidrato (19)</w:t>
            </w:r>
          </w:p>
          <w:p w:rsidR="00412AFB" w:rsidRPr="00993936" w:rsidRDefault="00412AFB" w:rsidP="00B27C4C">
            <w:pPr>
              <w:pStyle w:val="Sinespaciado"/>
              <w:rPr>
                <w:rFonts w:ascii="Arial" w:hAnsi="Arial" w:cs="Arial"/>
                <w:i/>
                <w:lang w:val="es-ES" w:eastAsia="ca-ES"/>
              </w:rPr>
            </w:pPr>
            <w:r w:rsidRPr="00993936">
              <w:rPr>
                <w:rFonts w:ascii="Arial" w:hAnsi="Arial" w:cs="Arial"/>
                <w:lang w:val="es-ES" w:eastAsia="ca-ES"/>
              </w:rPr>
              <w:t xml:space="preserve">Etofenprox </w:t>
            </w:r>
            <w:r w:rsidRPr="00993936">
              <w:rPr>
                <w:rFonts w:ascii="Arial" w:hAnsi="Arial" w:cs="Arial"/>
                <w:i/>
                <w:lang w:val="es-ES" w:eastAsia="ca-ES"/>
              </w:rPr>
              <w:t>(solo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Fosmet</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w:t>
            </w:r>
          </w:p>
          <w:p w:rsidR="00412AFB" w:rsidRPr="00993936" w:rsidRDefault="00412AFB" w:rsidP="00B27C4C">
            <w:pPr>
              <w:pStyle w:val="Sinespaciado"/>
              <w:rPr>
                <w:rFonts w:ascii="Arial" w:hAnsi="Arial" w:cs="Arial"/>
                <w:i/>
                <w:lang w:val="es-ES" w:eastAsia="ca-ES"/>
              </w:rPr>
            </w:pPr>
            <w:r w:rsidRPr="00993936">
              <w:rPr>
                <w:rFonts w:ascii="Arial" w:hAnsi="Arial" w:cs="Arial"/>
                <w:lang w:val="es-ES" w:eastAsia="ca-ES"/>
              </w:rPr>
              <w:t xml:space="preserve">Lambda- cihalotrina </w:t>
            </w:r>
            <w:r w:rsidRPr="00993936">
              <w:rPr>
                <w:rFonts w:ascii="Arial" w:hAnsi="Arial" w:cs="Arial"/>
                <w:i/>
                <w:lang w:val="es-ES" w:eastAsia="ca-ES"/>
              </w:rPr>
              <w:t>(solo pulverización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Lufenuron </w:t>
            </w:r>
            <w:r w:rsidRPr="00993936">
              <w:rPr>
                <w:rFonts w:ascii="Arial" w:hAnsi="Arial" w:cs="Arial"/>
                <w:i/>
                <w:lang w:val="es-ES" w:eastAsia="ca-ES"/>
              </w:rPr>
              <w:t>(solo cebo)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Proteína hidrolizable</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Spinosad </w:t>
            </w:r>
            <w:r w:rsidRPr="00993936">
              <w:rPr>
                <w:rFonts w:ascii="Arial" w:hAnsi="Arial" w:cs="Arial"/>
                <w:i/>
                <w:lang w:val="es-ES" w:eastAsia="ca-ES"/>
              </w:rPr>
              <w:t>(Solo pulverización cebo)</w:t>
            </w:r>
          </w:p>
        </w:tc>
        <w:tc>
          <w:tcPr>
            <w:tcW w:w="1729" w:type="pct"/>
            <w:vMerge/>
            <w:vAlign w:val="center"/>
          </w:tcPr>
          <w:p w:rsidR="00412AFB" w:rsidRPr="00993936" w:rsidRDefault="00412AFB" w:rsidP="00B27C4C">
            <w:pPr>
              <w:pStyle w:val="Sinespaciado"/>
              <w:rPr>
                <w:rFonts w:ascii="Arial" w:hAnsi="Arial" w:cs="Arial"/>
                <w:sz w:val="18"/>
                <w:lang w:val="es-ES"/>
              </w:rPr>
            </w:pPr>
          </w:p>
        </w:tc>
      </w:tr>
    </w:tbl>
    <w:p w:rsidR="00B27C4C" w:rsidRPr="00993936" w:rsidRDefault="00B27C4C" w:rsidP="00412AFB">
      <w:pPr>
        <w:tabs>
          <w:tab w:val="left" w:pos="3750"/>
        </w:tabs>
        <w:jc w:val="both"/>
        <w:rPr>
          <w:rFonts w:ascii="Arial" w:hAnsi="Arial" w:cs="Arial"/>
          <w:b/>
          <w:lang w:val="es-ES"/>
        </w:rPr>
      </w:pPr>
    </w:p>
    <w:p w:rsidR="00B27C4C" w:rsidRPr="00993936" w:rsidRDefault="00B27C4C">
      <w:pPr>
        <w:rPr>
          <w:rFonts w:ascii="Arial" w:hAnsi="Arial" w:cs="Arial"/>
          <w:b/>
          <w:lang w:val="es-ES"/>
        </w:rPr>
      </w:pPr>
      <w:r w:rsidRPr="00993936">
        <w:rPr>
          <w:rFonts w:ascii="Arial" w:hAnsi="Arial" w:cs="Arial"/>
          <w:b/>
          <w:lang w:val="es-ES"/>
        </w:rPr>
        <w:br w:type="page"/>
      </w:r>
    </w:p>
    <w:p w:rsidR="00412AFB" w:rsidRPr="00993936" w:rsidRDefault="00412AFB" w:rsidP="00B27C4C">
      <w:pPr>
        <w:tabs>
          <w:tab w:val="left" w:pos="3750"/>
        </w:tabs>
        <w:jc w:val="both"/>
        <w:rPr>
          <w:rFonts w:ascii="Arial" w:hAnsi="Arial" w:cs="Arial"/>
          <w:b/>
          <w:lang w:val="es-ES"/>
        </w:rPr>
      </w:pPr>
      <w:r w:rsidRPr="00993936">
        <w:rPr>
          <w:rFonts w:ascii="Arial" w:hAnsi="Arial" w:cs="Arial"/>
          <w:b/>
          <w:lang w:val="es-ES"/>
        </w:rPr>
        <w:lastRenderedPageBreak/>
        <w:t>2.1.4 Materias activas de insecticidas para la producción integrada de cítricos con indicación del código de resistencia IRAC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B27C4C">
            <w:pPr>
              <w:pStyle w:val="Sinespaciado"/>
              <w:jc w:val="center"/>
              <w:rPr>
                <w:rFonts w:ascii="Arial" w:hAnsi="Arial" w:cs="Arial"/>
                <w:b/>
                <w:lang w:val="es-ES" w:eastAsia="ca-ES"/>
              </w:rPr>
            </w:pPr>
            <w:r w:rsidRPr="00993936">
              <w:rPr>
                <w:rFonts w:ascii="Arial" w:hAnsi="Arial" w:cs="Arial"/>
                <w:b/>
                <w:lang w:val="es-ES" w:eastAsia="ca-ES"/>
              </w:rPr>
              <w:t>TIPO DE INSECTICIDAS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B27C4C">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00" w:type="pct"/>
            <w:shd w:val="solid" w:color="C0C0C0" w:fill="auto"/>
          </w:tcPr>
          <w:p w:rsidR="00412AFB" w:rsidRPr="00993936" w:rsidRDefault="00412AFB" w:rsidP="00B27C4C">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B27C4C">
            <w:pPr>
              <w:pStyle w:val="Sinespaciado"/>
              <w:jc w:val="center"/>
              <w:rPr>
                <w:rFonts w:ascii="Arial" w:hAnsi="Arial" w:cs="Arial"/>
                <w:b/>
                <w:lang w:val="es-ES" w:eastAsia="ca-ES"/>
              </w:rPr>
            </w:pPr>
          </w:p>
        </w:tc>
        <w:tc>
          <w:tcPr>
            <w:tcW w:w="2500" w:type="pct"/>
            <w:shd w:val="solid" w:color="C0C0C0" w:fill="auto"/>
          </w:tcPr>
          <w:p w:rsidR="00412AFB" w:rsidRPr="00993936" w:rsidRDefault="00412AFB" w:rsidP="00B27C4C">
            <w:pPr>
              <w:pStyle w:val="Sinespaciado"/>
              <w:jc w:val="center"/>
              <w:rPr>
                <w:rFonts w:ascii="Arial" w:hAnsi="Arial" w:cs="Arial"/>
                <w:b/>
                <w:lang w:val="es-ES" w:eastAsia="ca-ES"/>
              </w:rPr>
            </w:pPr>
            <w:r w:rsidRPr="00993936">
              <w:rPr>
                <w:rFonts w:ascii="Arial" w:hAnsi="Arial" w:cs="Arial"/>
                <w:b/>
                <w:lang w:val="es-ES" w:eastAsia="ca-ES"/>
              </w:rPr>
              <w:t>IRAC (*)</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6</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Acetamiprid</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UN</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Bacillus thuringiensis kurstaki</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11A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i/>
                <w:lang w:val="es-ES" w:eastAsia="ca-ES"/>
              </w:rPr>
            </w:pPr>
            <w:r w:rsidRPr="00993936">
              <w:rPr>
                <w:rFonts w:ascii="Arial" w:hAnsi="Arial" w:cs="Arial"/>
                <w:i/>
                <w:lang w:val="es-ES" w:eastAsia="ca-ES"/>
              </w:rPr>
              <w:t>Beauveria bassiana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Cipermetrina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Clorantraniliprol</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28</w:t>
            </w:r>
          </w:p>
        </w:tc>
      </w:tr>
      <w:tr w:rsidR="00412AFB" w:rsidRPr="00993936" w:rsidTr="00C8678E">
        <w:trPr>
          <w:trHeight w:val="260"/>
        </w:trPr>
        <w:tc>
          <w:tcPr>
            <w:tcW w:w="2500" w:type="pct"/>
            <w:shd w:val="solid" w:color="FFFFFF" w:fill="auto"/>
          </w:tcPr>
          <w:p w:rsidR="00412AFB" w:rsidRPr="00993936" w:rsidRDefault="00CA0C28" w:rsidP="00B27C4C">
            <w:pPr>
              <w:pStyle w:val="Sinespaciado"/>
              <w:rPr>
                <w:rFonts w:ascii="Arial" w:hAnsi="Arial" w:cs="Arial"/>
                <w:lang w:val="es-ES" w:eastAsia="ca-ES"/>
              </w:rPr>
            </w:pPr>
            <w:r w:rsidRPr="00993936">
              <w:rPr>
                <w:rFonts w:ascii="Arial" w:hAnsi="Arial" w:cs="Arial"/>
                <w:lang w:val="es-ES" w:eastAsia="ca-ES"/>
              </w:rPr>
              <w:t>Clorpirifos</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Deltametrina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Diflubenzuron</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15</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Dimetoato</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Spinosad</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5</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Spiromesifén</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23</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Etofenprox</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Etoxazol</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10B</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Fenoxicarb</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7B</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Fenpiroximato</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21B</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Flonicamid</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29</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Fosmet</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Imidacloprid</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Lambda-cihalotrina + Tiametoxam</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3A + 4A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Lufenuron</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15</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Metil-clorpirifos</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Metoxifenocida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18</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NC</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Pimetrozina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9B</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Pirimicarb</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Piriproxifen</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7C</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Spirotetramat</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23</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Tau-fluvalinato</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Tebufenocida</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18</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Tebufenpirad</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21A</w:t>
            </w:r>
          </w:p>
        </w:tc>
      </w:tr>
      <w:tr w:rsidR="00412AFB" w:rsidRPr="00993936" w:rsidTr="00C8678E">
        <w:trPr>
          <w:trHeight w:val="260"/>
        </w:trPr>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Tiametoxam</w:t>
            </w:r>
          </w:p>
        </w:tc>
        <w:tc>
          <w:tcPr>
            <w:tcW w:w="2500" w:type="pct"/>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70"/>
        </w:trPr>
        <w:tc>
          <w:tcPr>
            <w:tcW w:w="5000" w:type="pct"/>
            <w:gridSpan w:val="2"/>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412AFB" w:rsidRPr="00993936" w:rsidTr="00C8678E">
        <w:trPr>
          <w:trHeight w:val="270"/>
        </w:trPr>
        <w:tc>
          <w:tcPr>
            <w:tcW w:w="5000" w:type="pct"/>
            <w:gridSpan w:val="2"/>
            <w:shd w:val="solid" w:color="FFFFFF" w:fill="auto"/>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Fuente: Comité de Acción de Resistencia a Insecticidas</w:t>
            </w:r>
          </w:p>
        </w:tc>
      </w:tr>
    </w:tbl>
    <w:p w:rsidR="00412AFB" w:rsidRPr="00993936" w:rsidRDefault="00412AFB" w:rsidP="00412AFB">
      <w:pPr>
        <w:pStyle w:val="Textoindependiente2"/>
        <w:rPr>
          <w:rFonts w:cs="Arial"/>
          <w:szCs w:val="22"/>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2.2. Materias activas de acaricidas para la producción integrada de cítricos</w:t>
      </w: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 xml:space="preserve">2.2.1. Naranja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4"/>
        <w:gridCol w:w="3193"/>
        <w:gridCol w:w="3257"/>
      </w:tblGrid>
      <w:tr w:rsidR="00412AFB" w:rsidRPr="00993936" w:rsidTr="00C8678E">
        <w:trPr>
          <w:jc w:val="center"/>
        </w:trPr>
        <w:tc>
          <w:tcPr>
            <w:tcW w:w="1269" w:type="pct"/>
            <w:shd w:val="pct12" w:color="auto" w:fill="FFFFFF"/>
          </w:tcPr>
          <w:p w:rsidR="00412AFB" w:rsidRPr="00993936" w:rsidRDefault="00412AFB" w:rsidP="00B27C4C">
            <w:pPr>
              <w:pStyle w:val="Sinespaciado"/>
              <w:rPr>
                <w:rFonts w:ascii="Arial" w:hAnsi="Arial" w:cs="Arial"/>
                <w:lang w:val="es-ES"/>
              </w:rPr>
            </w:pPr>
            <w:r w:rsidRPr="00993936">
              <w:rPr>
                <w:rFonts w:ascii="Arial" w:hAnsi="Arial" w:cs="Arial"/>
                <w:lang w:val="es-ES"/>
              </w:rPr>
              <w:t>PLAGA</w:t>
            </w:r>
          </w:p>
        </w:tc>
        <w:tc>
          <w:tcPr>
            <w:tcW w:w="1847" w:type="pct"/>
            <w:shd w:val="pct12" w:color="auto" w:fill="FFFFFF"/>
          </w:tcPr>
          <w:p w:rsidR="00412AFB" w:rsidRPr="00993936" w:rsidRDefault="00412AFB" w:rsidP="00B27C4C">
            <w:pPr>
              <w:pStyle w:val="Sinespaciado"/>
              <w:rPr>
                <w:rFonts w:ascii="Arial" w:hAnsi="Arial" w:cs="Arial"/>
                <w:lang w:val="es-ES"/>
              </w:rPr>
            </w:pPr>
            <w:r w:rsidRPr="00993936">
              <w:rPr>
                <w:rFonts w:ascii="Arial" w:hAnsi="Arial" w:cs="Arial"/>
                <w:lang w:val="es-ES"/>
              </w:rPr>
              <w:t>MATERIA ACTIVA</w:t>
            </w:r>
          </w:p>
        </w:tc>
        <w:tc>
          <w:tcPr>
            <w:tcW w:w="1884" w:type="pct"/>
            <w:shd w:val="pct12" w:color="auto" w:fill="FFFFFF"/>
          </w:tcPr>
          <w:p w:rsidR="00412AFB" w:rsidRPr="00993936" w:rsidRDefault="00412AFB" w:rsidP="00B27C4C">
            <w:pPr>
              <w:pStyle w:val="Sinespaciado"/>
              <w:rPr>
                <w:rFonts w:ascii="Arial" w:hAnsi="Arial" w:cs="Arial"/>
                <w:sz w:val="18"/>
                <w:lang w:val="es-ES"/>
              </w:rPr>
            </w:pPr>
            <w:r w:rsidRPr="00993936">
              <w:rPr>
                <w:rFonts w:ascii="Arial" w:hAnsi="Arial" w:cs="Arial"/>
                <w:sz w:val="18"/>
                <w:lang w:val="es-ES"/>
              </w:rPr>
              <w:t>RESTRICCIONES</w:t>
            </w:r>
          </w:p>
        </w:tc>
      </w:tr>
      <w:tr w:rsidR="00412AFB" w:rsidRPr="00993936" w:rsidTr="00C8678E">
        <w:trPr>
          <w:cantSplit/>
          <w:jc w:val="center"/>
        </w:trPr>
        <w:tc>
          <w:tcPr>
            <w:tcW w:w="1269" w:type="pct"/>
            <w:vAlign w:val="center"/>
          </w:tcPr>
          <w:p w:rsidR="00412AFB" w:rsidRPr="00993936" w:rsidRDefault="00412AFB" w:rsidP="00B27C4C">
            <w:pPr>
              <w:pStyle w:val="Sinespaciado"/>
              <w:rPr>
                <w:rFonts w:ascii="Arial" w:hAnsi="Arial" w:cs="Arial"/>
                <w:b/>
                <w:bCs/>
                <w:lang w:val="es-ES" w:eastAsia="ca-ES"/>
              </w:rPr>
            </w:pPr>
            <w:r w:rsidRPr="00993936">
              <w:rPr>
                <w:rFonts w:ascii="Arial" w:hAnsi="Arial" w:cs="Arial"/>
                <w:b/>
                <w:bCs/>
                <w:lang w:val="es-ES" w:eastAsia="ca-ES"/>
              </w:rPr>
              <w:t>Ácaro de las maravillas</w:t>
            </w:r>
          </w:p>
          <w:p w:rsidR="00412AFB" w:rsidRPr="00993936" w:rsidRDefault="00412AFB" w:rsidP="00B27C4C">
            <w:pPr>
              <w:pStyle w:val="Sinespaciado"/>
              <w:rPr>
                <w:rFonts w:ascii="Arial" w:hAnsi="Arial" w:cs="Arial"/>
                <w:iCs/>
                <w:lang w:val="es-ES" w:eastAsia="ca-ES"/>
              </w:rPr>
            </w:pPr>
            <w:r w:rsidRPr="00993936">
              <w:rPr>
                <w:rFonts w:ascii="Arial" w:hAnsi="Arial" w:cs="Arial"/>
                <w:lang w:val="es-ES" w:eastAsia="ca-ES"/>
              </w:rPr>
              <w:t>(Aceria (Eriophes) sheldoni)</w:t>
            </w:r>
          </w:p>
        </w:tc>
        <w:tc>
          <w:tcPr>
            <w:tcW w:w="1847"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rPr>
            </w:pPr>
          </w:p>
        </w:tc>
        <w:tc>
          <w:tcPr>
            <w:tcW w:w="1884" w:type="pct"/>
            <w:vMerge w:val="restart"/>
            <w:vAlign w:val="center"/>
          </w:tcPr>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(3) Dejar zonas refugio del 5 % de superficie sin tratar en explotaciones de más de cinco hectáreas.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corrientes de agua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B27C4C">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B27C4C">
            <w:pPr>
              <w:pStyle w:val="Sinespaciado"/>
              <w:rPr>
                <w:rFonts w:ascii="Arial" w:hAnsi="Arial" w:cs="Arial"/>
                <w:sz w:val="18"/>
                <w:lang w:val="es-ES" w:eastAsia="ca-ES"/>
              </w:rPr>
            </w:pPr>
          </w:p>
          <w:p w:rsidR="00412AFB" w:rsidRPr="00993936" w:rsidRDefault="00412AFB" w:rsidP="00B27C4C">
            <w:pPr>
              <w:pStyle w:val="Sinespaciado"/>
              <w:rPr>
                <w:rFonts w:ascii="Arial" w:hAnsi="Arial" w:cs="Arial"/>
                <w:sz w:val="18"/>
                <w:lang w:val="es-ES" w:eastAsia="ca-ES"/>
              </w:rPr>
            </w:pPr>
          </w:p>
          <w:p w:rsidR="00412AFB" w:rsidRPr="00993936" w:rsidRDefault="00412AFB" w:rsidP="00B27C4C">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p>
          <w:p w:rsidR="00412AFB" w:rsidRPr="00993936" w:rsidRDefault="00412AFB" w:rsidP="00B27C4C">
            <w:pPr>
              <w:pStyle w:val="Sinespaciado"/>
              <w:rPr>
                <w:rFonts w:ascii="Arial" w:hAnsi="Arial" w:cs="Arial"/>
                <w:i/>
                <w:iCs/>
                <w:sz w:val="18"/>
                <w:lang w:val="es-ES" w:eastAsia="ca-ES"/>
              </w:rPr>
            </w:pPr>
            <w:r w:rsidRPr="00993936">
              <w:rPr>
                <w:rFonts w:ascii="Arial" w:hAnsi="Arial" w:cs="Arial"/>
                <w:i/>
                <w:iCs/>
                <w:sz w:val="18"/>
                <w:lang w:val="es-ES" w:eastAsia="ca-ES"/>
              </w:rPr>
              <w:t>residuos) baja al LD (límite de detección). Deben tenerse en cuenta las curvas de disipación</w:t>
            </w:r>
          </w:p>
          <w:p w:rsidR="00412AFB" w:rsidRPr="00993936" w:rsidRDefault="00412AFB" w:rsidP="00B27C4C">
            <w:pPr>
              <w:pStyle w:val="Sinespaciado"/>
              <w:rPr>
                <w:rFonts w:ascii="Arial" w:hAnsi="Arial" w:cs="Arial"/>
                <w:i/>
                <w:iCs/>
                <w:sz w:val="18"/>
                <w:lang w:val="es-ES" w:eastAsia="ca-ES"/>
              </w:rPr>
            </w:pPr>
            <w:r w:rsidRPr="00993936">
              <w:rPr>
                <w:rFonts w:ascii="Arial" w:hAnsi="Arial" w:cs="Arial"/>
                <w:i/>
                <w:iCs/>
                <w:sz w:val="18"/>
                <w:lang w:val="es-ES" w:eastAsia="ca-ES"/>
              </w:rPr>
              <w:t>de estos plaguicidas en cítricos. Consultar la bibliografía.</w:t>
            </w:r>
          </w:p>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269" w:type="pct"/>
            <w:vAlign w:val="center"/>
          </w:tcPr>
          <w:p w:rsidR="00412AFB" w:rsidRPr="00993936" w:rsidRDefault="00412AFB" w:rsidP="00B27C4C">
            <w:pPr>
              <w:pStyle w:val="Sinespaciado"/>
              <w:rPr>
                <w:rFonts w:ascii="Arial" w:hAnsi="Arial" w:cs="Arial"/>
                <w:lang w:val="es-ES"/>
              </w:rPr>
            </w:pPr>
            <w:r w:rsidRPr="00993936">
              <w:rPr>
                <w:rFonts w:ascii="Arial" w:hAnsi="Arial" w:cs="Arial"/>
                <w:b/>
                <w:bCs/>
                <w:lang w:val="es-ES" w:eastAsia="ca-ES"/>
              </w:rPr>
              <w:t>Araña parda</w:t>
            </w:r>
            <w:r w:rsidRPr="00993936">
              <w:rPr>
                <w:rFonts w:ascii="Arial" w:hAnsi="Arial" w:cs="Arial"/>
                <w:bCs/>
                <w:lang w:val="es-ES" w:eastAsia="ca-ES"/>
              </w:rPr>
              <w:t xml:space="preserve"> </w:t>
            </w:r>
            <w:r w:rsidRPr="00993936">
              <w:rPr>
                <w:rFonts w:ascii="Arial" w:hAnsi="Arial" w:cs="Arial"/>
                <w:lang w:val="es-ES" w:eastAsia="ca-ES"/>
              </w:rPr>
              <w:t>(Panonychus citri)</w:t>
            </w:r>
          </w:p>
        </w:tc>
        <w:tc>
          <w:tcPr>
            <w:tcW w:w="1847"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Clofentezina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Etoxazol</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Hexitiazox</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Fenpiroximato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Tebufenpirad</w:t>
            </w:r>
          </w:p>
        </w:tc>
        <w:tc>
          <w:tcPr>
            <w:tcW w:w="1884" w:type="pct"/>
            <w:vMerge/>
            <w:vAlign w:val="center"/>
          </w:tcPr>
          <w:p w:rsidR="00412AFB" w:rsidRPr="00993936" w:rsidRDefault="00412AFB" w:rsidP="00B27C4C">
            <w:pPr>
              <w:pStyle w:val="Sinespaciado"/>
              <w:rPr>
                <w:rFonts w:ascii="Arial" w:hAnsi="Arial" w:cs="Arial"/>
                <w:sz w:val="18"/>
                <w:lang w:val="es-ES"/>
              </w:rPr>
            </w:pPr>
          </w:p>
        </w:tc>
      </w:tr>
      <w:tr w:rsidR="00412AFB" w:rsidRPr="00993936" w:rsidTr="00C8678E">
        <w:trPr>
          <w:cantSplit/>
          <w:jc w:val="center"/>
        </w:trPr>
        <w:tc>
          <w:tcPr>
            <w:tcW w:w="1269" w:type="pct"/>
            <w:vAlign w:val="center"/>
          </w:tcPr>
          <w:p w:rsidR="00412AFB" w:rsidRPr="00993936" w:rsidRDefault="00412AFB" w:rsidP="00B27C4C">
            <w:pPr>
              <w:pStyle w:val="Sinespaciado"/>
              <w:rPr>
                <w:rFonts w:ascii="Arial" w:hAnsi="Arial" w:cs="Arial"/>
                <w:lang w:val="es-ES"/>
              </w:rPr>
            </w:pPr>
            <w:r w:rsidRPr="00993936">
              <w:rPr>
                <w:rFonts w:ascii="Arial" w:hAnsi="Arial" w:cs="Arial"/>
                <w:b/>
                <w:bCs/>
                <w:lang w:val="es-ES" w:eastAsia="ca-ES"/>
              </w:rPr>
              <w:t>Araña roja</w:t>
            </w:r>
            <w:r w:rsidRPr="00993936">
              <w:rPr>
                <w:rFonts w:ascii="Arial" w:hAnsi="Arial" w:cs="Arial"/>
                <w:bCs/>
                <w:lang w:val="es-ES" w:eastAsia="ca-ES"/>
              </w:rPr>
              <w:t xml:space="preserve"> </w:t>
            </w:r>
            <w:r w:rsidRPr="00993936">
              <w:rPr>
                <w:rFonts w:ascii="Arial" w:hAnsi="Arial" w:cs="Arial"/>
                <w:lang w:val="es-ES" w:eastAsia="ca-ES"/>
              </w:rPr>
              <w:t>(Tetranychus urticae)</w:t>
            </w:r>
          </w:p>
        </w:tc>
        <w:tc>
          <w:tcPr>
            <w:tcW w:w="1847" w:type="pct"/>
            <w:vAlign w:val="center"/>
          </w:tcPr>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Abamectina (3)(4)(5)(20)</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Clofentezina</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Etoxazol</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Fenbutatin (Fenbutestan) (4) (20)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Fenpiroximato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 xml:space="preserve">Hexitiazox (2) </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B27C4C">
            <w:pPr>
              <w:pStyle w:val="Sinespaciado"/>
              <w:rPr>
                <w:rFonts w:ascii="Arial" w:hAnsi="Arial" w:cs="Arial"/>
                <w:lang w:val="es-ES" w:eastAsia="ca-ES"/>
              </w:rPr>
            </w:pPr>
            <w:r w:rsidRPr="00993936">
              <w:rPr>
                <w:rFonts w:ascii="Arial" w:hAnsi="Arial" w:cs="Arial"/>
                <w:lang w:val="es-ES" w:eastAsia="ca-ES"/>
              </w:rPr>
              <w:t>Tebufenpirad</w:t>
            </w:r>
          </w:p>
        </w:tc>
        <w:tc>
          <w:tcPr>
            <w:tcW w:w="1884" w:type="pct"/>
            <w:vMerge/>
            <w:vAlign w:val="center"/>
          </w:tcPr>
          <w:p w:rsidR="00412AFB" w:rsidRPr="00993936" w:rsidRDefault="00412AFB" w:rsidP="00B27C4C">
            <w:pPr>
              <w:pStyle w:val="Sinespaciado"/>
              <w:rPr>
                <w:rFonts w:ascii="Arial" w:hAnsi="Arial" w:cs="Arial"/>
                <w:sz w:val="18"/>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lastRenderedPageBreak/>
        <w:t>2.2.2. Mandarina</w:t>
      </w:r>
    </w:p>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138"/>
        <w:gridCol w:w="3124"/>
      </w:tblGrid>
      <w:tr w:rsidR="00412AFB" w:rsidRPr="00993936" w:rsidTr="00C8678E">
        <w:trPr>
          <w:jc w:val="center"/>
        </w:trPr>
        <w:tc>
          <w:tcPr>
            <w:tcW w:w="1378" w:type="pct"/>
            <w:shd w:val="pct12" w:color="auto" w:fill="FFFFFF"/>
          </w:tcPr>
          <w:p w:rsidR="00412AFB" w:rsidRPr="00993936" w:rsidRDefault="00412AFB" w:rsidP="00483A9B">
            <w:pPr>
              <w:pStyle w:val="Sinespaciado"/>
              <w:jc w:val="center"/>
              <w:rPr>
                <w:rFonts w:ascii="Arial" w:hAnsi="Arial" w:cs="Arial"/>
                <w:b/>
                <w:lang w:val="es-ES"/>
              </w:rPr>
            </w:pPr>
            <w:r w:rsidRPr="00993936">
              <w:rPr>
                <w:rFonts w:ascii="Arial" w:hAnsi="Arial" w:cs="Arial"/>
                <w:b/>
                <w:lang w:val="es-ES"/>
              </w:rPr>
              <w:t>PLAGA</w:t>
            </w:r>
          </w:p>
        </w:tc>
        <w:tc>
          <w:tcPr>
            <w:tcW w:w="1815" w:type="pct"/>
            <w:shd w:val="pct12" w:color="auto" w:fill="FFFFFF"/>
          </w:tcPr>
          <w:p w:rsidR="00412AFB" w:rsidRPr="00993936" w:rsidRDefault="00412AFB" w:rsidP="00483A9B">
            <w:pPr>
              <w:pStyle w:val="Sinespaciado"/>
              <w:jc w:val="center"/>
              <w:rPr>
                <w:rFonts w:ascii="Arial" w:hAnsi="Arial" w:cs="Arial"/>
                <w:b/>
                <w:lang w:val="es-ES"/>
              </w:rPr>
            </w:pPr>
            <w:r w:rsidRPr="00993936">
              <w:rPr>
                <w:rFonts w:ascii="Arial" w:hAnsi="Arial" w:cs="Arial"/>
                <w:b/>
                <w:lang w:val="es-ES"/>
              </w:rPr>
              <w:t>MATERIA ACTIVA</w:t>
            </w:r>
          </w:p>
        </w:tc>
        <w:tc>
          <w:tcPr>
            <w:tcW w:w="1807" w:type="pct"/>
            <w:shd w:val="pct12" w:color="auto" w:fill="FFFFFF"/>
          </w:tcPr>
          <w:p w:rsidR="00412AFB" w:rsidRPr="00993936" w:rsidRDefault="00412AFB" w:rsidP="00483A9B">
            <w:pPr>
              <w:pStyle w:val="Sinespaciado"/>
              <w:jc w:val="center"/>
              <w:rPr>
                <w:rFonts w:ascii="Arial" w:hAnsi="Arial" w:cs="Arial"/>
                <w:b/>
                <w:sz w:val="18"/>
                <w:lang w:val="es-ES"/>
              </w:rPr>
            </w:pPr>
            <w:r w:rsidRPr="00993936">
              <w:rPr>
                <w:rFonts w:ascii="Arial" w:hAnsi="Arial" w:cs="Arial"/>
                <w:b/>
                <w:sz w:val="18"/>
                <w:lang w:val="es-ES"/>
              </w:rPr>
              <w:t>RESTRICCIONES</w:t>
            </w: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
                <w:bCs/>
                <w:lang w:val="es-ES" w:eastAsia="ca-ES"/>
              </w:rPr>
            </w:pPr>
            <w:r w:rsidRPr="00993936">
              <w:rPr>
                <w:rFonts w:ascii="Arial" w:hAnsi="Arial" w:cs="Arial"/>
                <w:b/>
                <w:bCs/>
                <w:lang w:val="es-ES" w:eastAsia="ca-ES"/>
              </w:rPr>
              <w:t>Ácaro de las maravillas</w:t>
            </w:r>
          </w:p>
          <w:p w:rsidR="00412AFB" w:rsidRPr="00993936" w:rsidRDefault="00412AFB" w:rsidP="00483A9B">
            <w:pPr>
              <w:pStyle w:val="Sinespaciado"/>
              <w:rPr>
                <w:rFonts w:ascii="Arial" w:hAnsi="Arial" w:cs="Arial"/>
                <w:i/>
                <w:iCs/>
                <w:lang w:val="es-ES" w:eastAsia="ca-ES"/>
              </w:rPr>
            </w:pPr>
            <w:r w:rsidRPr="00993936">
              <w:rPr>
                <w:rFonts w:ascii="Arial" w:hAnsi="Arial" w:cs="Arial"/>
                <w:lang w:val="es-ES" w:eastAsia="ca-ES"/>
              </w:rPr>
              <w:t>(Aceria (Eriophes) sheldoni)</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483A9B">
            <w:pPr>
              <w:pStyle w:val="Sinespaciado"/>
              <w:rPr>
                <w:rFonts w:ascii="Arial" w:hAnsi="Arial" w:cs="Arial"/>
                <w:lang w:val="es-ES" w:eastAsia="ca-ES"/>
              </w:rPr>
            </w:pPr>
          </w:p>
        </w:tc>
        <w:tc>
          <w:tcPr>
            <w:tcW w:w="1807" w:type="pct"/>
            <w:vMerge w:val="restart"/>
            <w:vAlign w:val="center"/>
          </w:tcPr>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(3) Dejar zonas refugio del 5 % de superficie sin tratar en explotaciones de más de cinco hectáreas.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corrientes de agua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p>
          <w:p w:rsidR="00412AFB" w:rsidRPr="00993936" w:rsidRDefault="00412AFB" w:rsidP="00483A9B">
            <w:pPr>
              <w:pStyle w:val="Sinespaciado"/>
              <w:rPr>
                <w:rFonts w:ascii="Arial" w:hAnsi="Arial" w:cs="Arial"/>
                <w:i/>
                <w:iCs/>
                <w:sz w:val="18"/>
                <w:lang w:val="es-ES" w:eastAsia="ca-ES"/>
              </w:rPr>
            </w:pPr>
            <w:r w:rsidRPr="00993936">
              <w:rPr>
                <w:rFonts w:ascii="Arial" w:hAnsi="Arial" w:cs="Arial"/>
                <w:i/>
                <w:iCs/>
                <w:sz w:val="18"/>
                <w:lang w:val="es-ES" w:eastAsia="ca-ES"/>
              </w:rPr>
              <w:t>residuos) baja al LD (límite de detección). Deben tenerse en cuenta las curvas de disipación</w:t>
            </w:r>
          </w:p>
          <w:p w:rsidR="00412AFB" w:rsidRPr="00993936" w:rsidRDefault="00412AFB" w:rsidP="00483A9B">
            <w:pPr>
              <w:pStyle w:val="Sinespaciado"/>
              <w:rPr>
                <w:rFonts w:ascii="Arial" w:hAnsi="Arial" w:cs="Arial"/>
                <w:i/>
                <w:iCs/>
                <w:sz w:val="18"/>
                <w:lang w:val="es-ES" w:eastAsia="ca-ES"/>
              </w:rPr>
            </w:pPr>
            <w:r w:rsidRPr="00993936">
              <w:rPr>
                <w:rFonts w:ascii="Arial" w:hAnsi="Arial" w:cs="Arial"/>
                <w:i/>
                <w:iCs/>
                <w:sz w:val="18"/>
                <w:lang w:val="es-ES" w:eastAsia="ca-ES"/>
              </w:rPr>
              <w:t>de estos plaguicidas en cítricos. Consultar la bibliografía.</w:t>
            </w:r>
          </w:p>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lang w:val="es-ES"/>
              </w:rPr>
            </w:pPr>
            <w:r w:rsidRPr="00993936">
              <w:rPr>
                <w:rFonts w:ascii="Arial" w:hAnsi="Arial" w:cs="Arial"/>
                <w:b/>
                <w:bCs/>
                <w:lang w:val="es-ES" w:eastAsia="ca-ES"/>
              </w:rPr>
              <w:t>Araña parda</w:t>
            </w:r>
            <w:r w:rsidRPr="00993936">
              <w:rPr>
                <w:rFonts w:ascii="Arial" w:hAnsi="Arial" w:cs="Arial"/>
                <w:bCs/>
                <w:lang w:val="es-ES" w:eastAsia="ca-ES"/>
              </w:rPr>
              <w:t xml:space="preserve"> </w:t>
            </w:r>
            <w:r w:rsidRPr="00993936">
              <w:rPr>
                <w:rFonts w:ascii="Arial" w:hAnsi="Arial" w:cs="Arial"/>
                <w:lang w:val="es-ES" w:eastAsia="ca-ES"/>
              </w:rPr>
              <w:t>(Panonychus citri)</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Clofentezina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Etoxazol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xml:space="preserve">Hexitiazox (2) </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Fenpiroximato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Tebufenpirad</w:t>
            </w:r>
          </w:p>
        </w:tc>
        <w:tc>
          <w:tcPr>
            <w:tcW w:w="1807" w:type="pct"/>
            <w:vMerge/>
            <w:vAlign w:val="center"/>
          </w:tcPr>
          <w:p w:rsidR="00412AFB" w:rsidRPr="00993936" w:rsidRDefault="00412AFB" w:rsidP="00483A9B">
            <w:pPr>
              <w:pStyle w:val="Sinespaciado"/>
              <w:rPr>
                <w:rFonts w:ascii="Arial" w:hAnsi="Arial" w:cs="Arial"/>
                <w:sz w:val="18"/>
                <w:lang w:val="es-ES"/>
              </w:rPr>
            </w:pPr>
          </w:p>
        </w:tc>
      </w:tr>
      <w:tr w:rsidR="00412AFB" w:rsidRPr="00993936" w:rsidTr="00C8678E">
        <w:trPr>
          <w:cantSplit/>
          <w:trHeight w:val="3460"/>
          <w:jc w:val="center"/>
        </w:trPr>
        <w:tc>
          <w:tcPr>
            <w:tcW w:w="1378" w:type="pct"/>
            <w:vAlign w:val="center"/>
          </w:tcPr>
          <w:p w:rsidR="00412AFB" w:rsidRPr="00993936" w:rsidRDefault="00412AFB" w:rsidP="00483A9B">
            <w:pPr>
              <w:pStyle w:val="Sinespaciado"/>
              <w:rPr>
                <w:rFonts w:ascii="Arial" w:hAnsi="Arial" w:cs="Arial"/>
                <w:b/>
                <w:bCs/>
                <w:lang w:val="es-ES" w:eastAsia="ca-ES"/>
              </w:rPr>
            </w:pPr>
            <w:r w:rsidRPr="00993936">
              <w:rPr>
                <w:rFonts w:ascii="Arial" w:hAnsi="Arial" w:cs="Arial"/>
                <w:b/>
                <w:bCs/>
                <w:lang w:val="es-ES" w:eastAsia="ca-ES"/>
              </w:rPr>
              <w:t xml:space="preserve">Araña roja </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(Tetranychus urticae)</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Abamectina (3)(4)(5)(20)</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Clofentezina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Etoxazol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xml:space="preserve">Fenbutatin (Fenbutestan) (4) (20) </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Fenpiroximato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xml:space="preserve">Hexitiazox (2) </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Tebufenpirad</w:t>
            </w:r>
          </w:p>
        </w:tc>
        <w:tc>
          <w:tcPr>
            <w:tcW w:w="1807" w:type="pct"/>
            <w:vMerge/>
            <w:vAlign w:val="center"/>
          </w:tcPr>
          <w:p w:rsidR="00412AFB" w:rsidRPr="00993936" w:rsidRDefault="00412AFB" w:rsidP="00483A9B">
            <w:pPr>
              <w:pStyle w:val="Sinespaciado"/>
              <w:rPr>
                <w:rFonts w:ascii="Arial" w:hAnsi="Arial" w:cs="Arial"/>
                <w:sz w:val="18"/>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lastRenderedPageBreak/>
        <w:t>2.2.3. Limón</w:t>
      </w:r>
    </w:p>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005"/>
        <w:gridCol w:w="3257"/>
      </w:tblGrid>
      <w:tr w:rsidR="00412AFB" w:rsidRPr="00993936" w:rsidTr="00C8678E">
        <w:trPr>
          <w:jc w:val="center"/>
        </w:trPr>
        <w:tc>
          <w:tcPr>
            <w:tcW w:w="1378" w:type="pct"/>
            <w:shd w:val="pct12" w:color="auto" w:fill="FFFFFF"/>
          </w:tcPr>
          <w:p w:rsidR="00412AFB" w:rsidRPr="00993936" w:rsidRDefault="00412AFB" w:rsidP="00483A9B">
            <w:pPr>
              <w:pStyle w:val="Sinespaciado"/>
              <w:jc w:val="center"/>
              <w:rPr>
                <w:rFonts w:ascii="Arial" w:hAnsi="Arial" w:cs="Arial"/>
                <w:b/>
                <w:lang w:val="es-ES"/>
              </w:rPr>
            </w:pPr>
            <w:r w:rsidRPr="00993936">
              <w:rPr>
                <w:rFonts w:ascii="Arial" w:hAnsi="Arial" w:cs="Arial"/>
                <w:b/>
                <w:lang w:val="es-ES"/>
              </w:rPr>
              <w:t>PLAGA</w:t>
            </w:r>
          </w:p>
        </w:tc>
        <w:tc>
          <w:tcPr>
            <w:tcW w:w="1738" w:type="pct"/>
            <w:shd w:val="pct12" w:color="auto" w:fill="FFFFFF"/>
          </w:tcPr>
          <w:p w:rsidR="00412AFB" w:rsidRPr="00993936" w:rsidRDefault="00412AFB" w:rsidP="00483A9B">
            <w:pPr>
              <w:pStyle w:val="Sinespaciado"/>
              <w:jc w:val="center"/>
              <w:rPr>
                <w:rFonts w:ascii="Arial" w:hAnsi="Arial" w:cs="Arial"/>
                <w:b/>
                <w:lang w:val="es-ES"/>
              </w:rPr>
            </w:pPr>
            <w:r w:rsidRPr="00993936">
              <w:rPr>
                <w:rFonts w:ascii="Arial" w:hAnsi="Arial" w:cs="Arial"/>
                <w:b/>
                <w:lang w:val="es-ES"/>
              </w:rPr>
              <w:t>MATERIA ACTIVA</w:t>
            </w:r>
          </w:p>
        </w:tc>
        <w:tc>
          <w:tcPr>
            <w:tcW w:w="1884" w:type="pct"/>
            <w:shd w:val="pct12" w:color="auto" w:fill="FFFFFF"/>
          </w:tcPr>
          <w:p w:rsidR="00412AFB" w:rsidRPr="00993936" w:rsidRDefault="00412AFB" w:rsidP="00483A9B">
            <w:pPr>
              <w:pStyle w:val="Sinespaciado"/>
              <w:jc w:val="center"/>
              <w:rPr>
                <w:rFonts w:ascii="Arial" w:hAnsi="Arial" w:cs="Arial"/>
                <w:b/>
                <w:sz w:val="18"/>
                <w:lang w:val="es-ES"/>
              </w:rPr>
            </w:pPr>
            <w:r w:rsidRPr="00993936">
              <w:rPr>
                <w:rFonts w:ascii="Arial" w:hAnsi="Arial" w:cs="Arial"/>
                <w:b/>
                <w:sz w:val="18"/>
                <w:lang w:val="es-ES"/>
              </w:rPr>
              <w:t>RESTRICCIONES</w:t>
            </w: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
                <w:bCs/>
                <w:lang w:val="es-ES" w:eastAsia="ca-ES"/>
              </w:rPr>
            </w:pPr>
            <w:r w:rsidRPr="00993936">
              <w:rPr>
                <w:rFonts w:ascii="Arial" w:hAnsi="Arial" w:cs="Arial"/>
                <w:b/>
                <w:bCs/>
                <w:lang w:val="es-ES" w:eastAsia="ca-ES"/>
              </w:rPr>
              <w:t>Ácaro de las maravillas</w:t>
            </w:r>
          </w:p>
          <w:p w:rsidR="00412AFB" w:rsidRPr="00993936" w:rsidRDefault="00412AFB" w:rsidP="00483A9B">
            <w:pPr>
              <w:pStyle w:val="Sinespaciado"/>
              <w:rPr>
                <w:rFonts w:ascii="Arial" w:hAnsi="Arial" w:cs="Arial"/>
                <w:i/>
                <w:iCs/>
                <w:lang w:val="es-ES" w:eastAsia="ca-ES"/>
              </w:rPr>
            </w:pPr>
            <w:r w:rsidRPr="00993936">
              <w:rPr>
                <w:rFonts w:ascii="Arial" w:hAnsi="Arial" w:cs="Arial"/>
                <w:lang w:val="es-ES" w:eastAsia="ca-ES"/>
              </w:rPr>
              <w:t>(Aceria (Eriophes) sheldoni)</w:t>
            </w:r>
          </w:p>
        </w:tc>
        <w:tc>
          <w:tcPr>
            <w:tcW w:w="1738"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483A9B">
            <w:pPr>
              <w:pStyle w:val="Sinespaciado"/>
              <w:rPr>
                <w:rFonts w:ascii="Arial" w:hAnsi="Arial" w:cs="Arial"/>
                <w:lang w:val="es-ES" w:eastAsia="ca-ES"/>
              </w:rPr>
            </w:pPr>
          </w:p>
        </w:tc>
        <w:tc>
          <w:tcPr>
            <w:tcW w:w="1884" w:type="pct"/>
            <w:vMerge w:val="restart"/>
            <w:vAlign w:val="center"/>
          </w:tcPr>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(3) Dejar zonas refugio del 5 % de superficie sin tratar en explotaciones de más de cinco hectáreas.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corrientes de agua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p>
          <w:p w:rsidR="00412AFB" w:rsidRPr="00993936" w:rsidRDefault="00412AFB" w:rsidP="00483A9B">
            <w:pPr>
              <w:pStyle w:val="Sinespaciado"/>
              <w:rPr>
                <w:rFonts w:ascii="Arial" w:hAnsi="Arial" w:cs="Arial"/>
                <w:i/>
                <w:iCs/>
                <w:sz w:val="18"/>
                <w:lang w:val="es-ES" w:eastAsia="ca-ES"/>
              </w:rPr>
            </w:pPr>
            <w:r w:rsidRPr="00993936">
              <w:rPr>
                <w:rFonts w:ascii="Arial" w:hAnsi="Arial" w:cs="Arial"/>
                <w:i/>
                <w:iCs/>
                <w:sz w:val="18"/>
                <w:lang w:val="es-ES" w:eastAsia="ca-ES"/>
              </w:rPr>
              <w:t>residuos) baja al LD (límite de detección). Deben tenerse en cuenta las curvas de disipación</w:t>
            </w:r>
          </w:p>
          <w:p w:rsidR="00412AFB" w:rsidRPr="00993936" w:rsidRDefault="00412AFB" w:rsidP="00483A9B">
            <w:pPr>
              <w:pStyle w:val="Sinespaciado"/>
              <w:rPr>
                <w:rFonts w:ascii="Arial" w:hAnsi="Arial" w:cs="Arial"/>
                <w:i/>
                <w:iCs/>
                <w:sz w:val="18"/>
                <w:lang w:val="es-ES" w:eastAsia="ca-ES"/>
              </w:rPr>
            </w:pPr>
            <w:r w:rsidRPr="00993936">
              <w:rPr>
                <w:rFonts w:ascii="Arial" w:hAnsi="Arial" w:cs="Arial"/>
                <w:i/>
                <w:iCs/>
                <w:sz w:val="18"/>
                <w:lang w:val="es-ES" w:eastAsia="ca-ES"/>
              </w:rPr>
              <w:t>de estos plaguicidas en cítricos. Consultar la bibliografía.</w:t>
            </w:r>
          </w:p>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lang w:val="es-ES"/>
              </w:rPr>
            </w:pPr>
            <w:r w:rsidRPr="00993936">
              <w:rPr>
                <w:rFonts w:ascii="Arial" w:hAnsi="Arial" w:cs="Arial"/>
                <w:b/>
                <w:bCs/>
                <w:lang w:val="es-ES" w:eastAsia="ca-ES"/>
              </w:rPr>
              <w:t>Araña parda</w:t>
            </w:r>
            <w:r w:rsidRPr="00993936">
              <w:rPr>
                <w:rFonts w:ascii="Arial" w:hAnsi="Arial" w:cs="Arial"/>
                <w:bCs/>
                <w:lang w:val="es-ES" w:eastAsia="ca-ES"/>
              </w:rPr>
              <w:t xml:space="preserve"> </w:t>
            </w:r>
            <w:r w:rsidRPr="00993936">
              <w:rPr>
                <w:rFonts w:ascii="Arial" w:hAnsi="Arial" w:cs="Arial"/>
                <w:lang w:val="es-ES" w:eastAsia="ca-ES"/>
              </w:rPr>
              <w:t>(Panonychus citri)</w:t>
            </w:r>
          </w:p>
        </w:tc>
        <w:tc>
          <w:tcPr>
            <w:tcW w:w="1738"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Clofentezina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Etoxazol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xml:space="preserve">Hexitiazox (2) </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Fenpiroximato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Tebufenpirad</w:t>
            </w:r>
          </w:p>
        </w:tc>
        <w:tc>
          <w:tcPr>
            <w:tcW w:w="1884" w:type="pct"/>
            <w:vMerge/>
            <w:vAlign w:val="center"/>
          </w:tcPr>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
                <w:bCs/>
                <w:lang w:val="es-ES" w:eastAsia="ca-ES"/>
              </w:rPr>
            </w:pPr>
            <w:r w:rsidRPr="00993936">
              <w:rPr>
                <w:rFonts w:ascii="Arial" w:hAnsi="Arial" w:cs="Arial"/>
                <w:b/>
                <w:bCs/>
                <w:lang w:val="es-ES" w:eastAsia="ca-ES"/>
              </w:rPr>
              <w:t>Araña roja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xml:space="preserve"> (Tetranychus urticae)</w:t>
            </w:r>
          </w:p>
        </w:tc>
        <w:tc>
          <w:tcPr>
            <w:tcW w:w="1738"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Abamectina (3)(4)(5)(20)</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Azadiractina (21)</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Clofentezina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Etoxazol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Fenbutatina (Fenbutestan) (4) (20) fenpiroximato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xml:space="preserve">Hexitiazox (2) </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Tebufenpirad</w:t>
            </w:r>
          </w:p>
        </w:tc>
        <w:tc>
          <w:tcPr>
            <w:tcW w:w="1884" w:type="pct"/>
            <w:vMerge/>
            <w:vAlign w:val="center"/>
          </w:tcPr>
          <w:p w:rsidR="00412AFB" w:rsidRPr="00993936" w:rsidRDefault="00412AFB" w:rsidP="00483A9B">
            <w:pPr>
              <w:pStyle w:val="Sinespaciado"/>
              <w:rPr>
                <w:rFonts w:ascii="Arial" w:hAnsi="Arial" w:cs="Arial"/>
                <w:sz w:val="18"/>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2.2.4 Materias activas de acaricidas para la producción integrada de forrajes con indicación del código de resistencia IRAC</w:t>
      </w:r>
    </w:p>
    <w:p w:rsidR="00412AFB" w:rsidRPr="00993936" w:rsidRDefault="00412AFB" w:rsidP="00412AFB">
      <w:pPr>
        <w:pStyle w:val="Textoindependiente2"/>
        <w:rPr>
          <w:rFonts w:cs="Arial"/>
          <w:szCs w:val="22"/>
          <w:lang w:val="es-ES"/>
        </w:rPr>
      </w:pPr>
    </w:p>
    <w:p w:rsidR="00412AFB" w:rsidRPr="00993936" w:rsidRDefault="00412AFB" w:rsidP="00412AFB">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TIPOS DE ACARICIDAS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C8678E">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IRAC (*)</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6</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Azadiractina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UN</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i/>
                <w:lang w:val="es-ES" w:eastAsia="ca-ES"/>
              </w:rPr>
            </w:pPr>
            <w:r w:rsidRPr="00993936">
              <w:rPr>
                <w:rFonts w:ascii="Arial" w:hAnsi="Arial" w:cs="Arial"/>
                <w:i/>
                <w:lang w:val="es-ES" w:eastAsia="ca-ES"/>
              </w:rPr>
              <w:t>Beauveria bassiana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Clofentezina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Spiromesifén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23</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Etoxazol</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10B</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Fenpiroximato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21B</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NC</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Tebufenpirad</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21A</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a Insecticidas</w:t>
            </w:r>
          </w:p>
        </w:tc>
      </w:tr>
    </w:tbl>
    <w:p w:rsidR="00412AFB" w:rsidRPr="00993936" w:rsidRDefault="00412AFB" w:rsidP="00412AFB">
      <w:pPr>
        <w:pStyle w:val="Textoindependiente2"/>
        <w:rPr>
          <w:rFonts w:cs="Arial"/>
          <w:szCs w:val="22"/>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2.3. Materias activas de helicidas para la producción integrada de cítricos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005"/>
        <w:gridCol w:w="3257"/>
      </w:tblGrid>
      <w:tr w:rsidR="00412AFB" w:rsidRPr="00993936" w:rsidTr="00483A9B">
        <w:trPr>
          <w:jc w:val="center"/>
        </w:trPr>
        <w:tc>
          <w:tcPr>
            <w:tcW w:w="1377" w:type="pct"/>
            <w:shd w:val="pct12" w:color="auto" w:fill="FFFFFF"/>
          </w:tcPr>
          <w:p w:rsidR="00412AFB" w:rsidRPr="00993936" w:rsidRDefault="00412AFB" w:rsidP="00483A9B">
            <w:pPr>
              <w:pStyle w:val="Sinespaciado"/>
              <w:rPr>
                <w:rFonts w:ascii="Arial" w:hAnsi="Arial" w:cs="Arial"/>
                <w:lang w:val="es-ES"/>
              </w:rPr>
            </w:pPr>
            <w:r w:rsidRPr="00993936">
              <w:rPr>
                <w:rFonts w:ascii="Arial" w:hAnsi="Arial" w:cs="Arial"/>
                <w:lang w:val="es-ES"/>
              </w:rPr>
              <w:t>PLAGA</w:t>
            </w:r>
          </w:p>
        </w:tc>
        <w:tc>
          <w:tcPr>
            <w:tcW w:w="1738" w:type="pct"/>
            <w:shd w:val="pct12" w:color="auto" w:fill="FFFFFF"/>
          </w:tcPr>
          <w:p w:rsidR="00412AFB" w:rsidRPr="00993936" w:rsidRDefault="00412AFB" w:rsidP="00483A9B">
            <w:pPr>
              <w:pStyle w:val="Sinespaciado"/>
              <w:rPr>
                <w:rFonts w:ascii="Arial" w:hAnsi="Arial" w:cs="Arial"/>
                <w:lang w:val="es-ES"/>
              </w:rPr>
            </w:pPr>
            <w:r w:rsidRPr="00993936">
              <w:rPr>
                <w:rFonts w:ascii="Arial" w:hAnsi="Arial" w:cs="Arial"/>
                <w:lang w:val="es-ES"/>
              </w:rPr>
              <w:t>MATERIA ACTIVA</w:t>
            </w:r>
          </w:p>
        </w:tc>
        <w:tc>
          <w:tcPr>
            <w:tcW w:w="1884" w:type="pct"/>
            <w:shd w:val="pct12" w:color="auto" w:fill="FFFFFF"/>
          </w:tcPr>
          <w:p w:rsidR="00412AFB" w:rsidRPr="00993936" w:rsidRDefault="00412AFB" w:rsidP="00483A9B">
            <w:pPr>
              <w:pStyle w:val="Sinespaciado"/>
              <w:rPr>
                <w:rFonts w:ascii="Arial" w:hAnsi="Arial" w:cs="Arial"/>
                <w:sz w:val="20"/>
                <w:lang w:val="es-ES"/>
              </w:rPr>
            </w:pPr>
            <w:r w:rsidRPr="00993936">
              <w:rPr>
                <w:rFonts w:ascii="Arial" w:hAnsi="Arial" w:cs="Arial"/>
                <w:sz w:val="20"/>
                <w:lang w:val="es-ES"/>
              </w:rPr>
              <w:t>RESTRICCIONES</w:t>
            </w:r>
          </w:p>
        </w:tc>
      </w:tr>
      <w:tr w:rsidR="00412AFB" w:rsidRPr="00993936" w:rsidTr="00483A9B">
        <w:trPr>
          <w:cantSplit/>
          <w:jc w:val="center"/>
        </w:trPr>
        <w:tc>
          <w:tcPr>
            <w:tcW w:w="1377" w:type="pct"/>
            <w:vAlign w:val="center"/>
          </w:tcPr>
          <w:p w:rsidR="00412AFB" w:rsidRPr="00993936" w:rsidRDefault="00412AFB" w:rsidP="00483A9B">
            <w:pPr>
              <w:pStyle w:val="Sinespaciado"/>
              <w:rPr>
                <w:rFonts w:ascii="Arial" w:hAnsi="Arial" w:cs="Arial"/>
                <w:bCs/>
                <w:lang w:val="es-ES" w:eastAsia="ca-ES"/>
              </w:rPr>
            </w:pPr>
            <w:r w:rsidRPr="00993936">
              <w:rPr>
                <w:rFonts w:ascii="Arial" w:hAnsi="Arial" w:cs="Arial"/>
                <w:bCs/>
                <w:lang w:val="es-ES" w:eastAsia="ca-ES"/>
              </w:rPr>
              <w:t>Caracoles y babosas</w:t>
            </w:r>
          </w:p>
        </w:tc>
        <w:tc>
          <w:tcPr>
            <w:tcW w:w="1738"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Fosfato férrico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Metaldehído (9)</w:t>
            </w:r>
          </w:p>
          <w:p w:rsidR="00412AFB" w:rsidRPr="00993936" w:rsidRDefault="00412AFB" w:rsidP="00483A9B">
            <w:pPr>
              <w:pStyle w:val="Sinespaciado"/>
              <w:rPr>
                <w:rFonts w:ascii="Arial" w:hAnsi="Arial" w:cs="Arial"/>
                <w:lang w:val="es-ES" w:eastAsia="ca-ES"/>
              </w:rPr>
            </w:pPr>
          </w:p>
        </w:tc>
        <w:tc>
          <w:tcPr>
            <w:tcW w:w="1884" w:type="pct"/>
            <w:vAlign w:val="center"/>
          </w:tcPr>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 Utilizar solo hasta la floración</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(2) Usar sin cosecha pendiente o en fruta destinada al mercado interior</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(3) Dejar zonas refugio del 5 % de superficie sin tratar en explotaciones de más de cinco hectáreas.</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20"/>
                  <w:lang w:val="es-ES" w:eastAsia="ca-ES"/>
                </w:rPr>
                <w:t>20 m</w:t>
              </w:r>
            </w:smartTag>
            <w:r w:rsidRPr="00993936">
              <w:rPr>
                <w:rFonts w:ascii="Arial" w:hAnsi="Arial" w:cs="Arial"/>
                <w:sz w:val="20"/>
                <w:lang w:val="es-ES" w:eastAsia="ca-ES"/>
              </w:rPr>
              <w:t xml:space="preserve"> de corrientes de agua</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(5) No utilizar en espacios naturales protegidos ni en las zonas de influencia oficialmente declaradas</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(6) Solo en plantones e injertos</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(7) Pintado del tronco</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(8) Riego por goteo</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(9) Aplicado como cebo en el suelo</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(10) Pulverización cebo</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(11) Solo mayo-junio</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(12) No tratar si hay cochinilla acanalada o cotonet</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(13) Solo tratamientos en primavera</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(14) Suspensión en el tronco del árbol y/o en el suelo</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(15) Máximo una aplicación foliar por año para los naranjos y limoneros</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(16) Un único tratamiento cuando el fruto comienza a tomar color</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(17) Utilizar solo cuando las materias activas sin restricciones no sean efectivas</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(18) Un único tratamiento por campaña</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(19) Utilizar mediante captura masiva</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(20) Solo formulaciones que no sean de clasificación toxicológica T</w:t>
            </w:r>
          </w:p>
          <w:p w:rsidR="00412AFB" w:rsidRPr="00993936" w:rsidRDefault="00412AFB" w:rsidP="00483A9B">
            <w:pPr>
              <w:pStyle w:val="Sinespaciado"/>
              <w:rPr>
                <w:rFonts w:ascii="Arial" w:hAnsi="Arial" w:cs="Arial"/>
                <w:sz w:val="20"/>
                <w:lang w:val="es-ES" w:eastAsia="ca-ES"/>
              </w:rPr>
            </w:pPr>
            <w:r w:rsidRPr="00993936">
              <w:rPr>
                <w:rFonts w:ascii="Arial" w:hAnsi="Arial" w:cs="Arial"/>
                <w:sz w:val="20"/>
                <w:lang w:val="es-ES" w:eastAsia="ca-ES"/>
              </w:rPr>
              <w:t>(21) Utilizar con poblaciones bajas de plaga</w:t>
            </w:r>
          </w:p>
          <w:p w:rsidR="00412AFB" w:rsidRPr="00993936" w:rsidRDefault="00412AFB" w:rsidP="00483A9B">
            <w:pPr>
              <w:pStyle w:val="Sinespaciado"/>
              <w:rPr>
                <w:rFonts w:ascii="Arial" w:hAnsi="Arial" w:cs="Arial"/>
                <w:sz w:val="20"/>
                <w:lang w:val="es-ES" w:eastAsia="ca-ES"/>
              </w:rPr>
            </w:pPr>
          </w:p>
          <w:p w:rsidR="00412AFB" w:rsidRPr="00993936" w:rsidRDefault="00412AFB" w:rsidP="00483A9B">
            <w:pPr>
              <w:pStyle w:val="Sinespaciado"/>
              <w:rPr>
                <w:rFonts w:ascii="Arial" w:hAnsi="Arial" w:cs="Arial"/>
                <w:sz w:val="20"/>
                <w:lang w:val="es-ES" w:eastAsia="ca-ES"/>
              </w:rPr>
            </w:pPr>
          </w:p>
          <w:p w:rsidR="00412AFB" w:rsidRPr="00993936" w:rsidRDefault="00412AFB" w:rsidP="00483A9B">
            <w:pPr>
              <w:pStyle w:val="Sinespaciado"/>
              <w:rPr>
                <w:rFonts w:ascii="Arial" w:hAnsi="Arial" w:cs="Arial"/>
                <w:i/>
                <w:iCs/>
                <w:sz w:val="20"/>
                <w:lang w:val="es-ES" w:eastAsia="ca-ES"/>
              </w:rPr>
            </w:pPr>
            <w:r w:rsidRPr="00993936">
              <w:rPr>
                <w:rFonts w:ascii="Arial" w:hAnsi="Arial" w:cs="Arial"/>
                <w:sz w:val="20"/>
                <w:lang w:val="es-ES" w:eastAsia="ca-ES"/>
              </w:rPr>
              <w:t xml:space="preserve">(*) </w:t>
            </w:r>
            <w:r w:rsidRPr="00993936">
              <w:rPr>
                <w:rFonts w:ascii="Arial" w:hAnsi="Arial" w:cs="Arial"/>
                <w:i/>
                <w:iCs/>
                <w:sz w:val="20"/>
                <w:lang w:val="es-ES" w:eastAsia="ca-ES"/>
              </w:rPr>
              <w:t>A partir de la fecha límite de autorización de la materia activa, el LMR (límite máximo de</w:t>
            </w:r>
          </w:p>
          <w:p w:rsidR="00412AFB" w:rsidRPr="00993936" w:rsidRDefault="00412AFB" w:rsidP="00483A9B">
            <w:pPr>
              <w:pStyle w:val="Sinespaciado"/>
              <w:rPr>
                <w:rFonts w:ascii="Arial" w:hAnsi="Arial" w:cs="Arial"/>
                <w:i/>
                <w:iCs/>
                <w:sz w:val="20"/>
                <w:lang w:val="es-ES" w:eastAsia="ca-ES"/>
              </w:rPr>
            </w:pPr>
            <w:r w:rsidRPr="00993936">
              <w:rPr>
                <w:rFonts w:ascii="Arial" w:hAnsi="Arial" w:cs="Arial"/>
                <w:i/>
                <w:iCs/>
                <w:sz w:val="20"/>
                <w:lang w:val="es-ES" w:eastAsia="ca-ES"/>
              </w:rPr>
              <w:t>residuos) baja al LD (límite de detección). Deben tenerse en cuenta las curvas de disipación</w:t>
            </w:r>
          </w:p>
          <w:p w:rsidR="00412AFB" w:rsidRPr="00993936" w:rsidRDefault="00412AFB" w:rsidP="00483A9B">
            <w:pPr>
              <w:pStyle w:val="Sinespaciado"/>
              <w:rPr>
                <w:rFonts w:ascii="Arial" w:hAnsi="Arial" w:cs="Arial"/>
                <w:i/>
                <w:iCs/>
                <w:sz w:val="20"/>
                <w:lang w:val="es-ES" w:eastAsia="ca-ES"/>
              </w:rPr>
            </w:pPr>
            <w:r w:rsidRPr="00993936">
              <w:rPr>
                <w:rFonts w:ascii="Arial" w:hAnsi="Arial" w:cs="Arial"/>
                <w:i/>
                <w:iCs/>
                <w:sz w:val="20"/>
                <w:lang w:val="es-ES" w:eastAsia="ca-ES"/>
              </w:rPr>
              <w:t>de estos plaguicidas en cítricos. Consultar la bibliografía.</w:t>
            </w:r>
          </w:p>
          <w:p w:rsidR="00412AFB" w:rsidRPr="00993936" w:rsidRDefault="00412AFB" w:rsidP="00483A9B">
            <w:pPr>
              <w:pStyle w:val="Sinespaciado"/>
              <w:rPr>
                <w:rFonts w:ascii="Arial" w:hAnsi="Arial" w:cs="Arial"/>
                <w:sz w:val="20"/>
                <w:lang w:val="es-ES"/>
              </w:rPr>
            </w:pPr>
          </w:p>
        </w:tc>
      </w:tr>
    </w:tbl>
    <w:p w:rsidR="00412AFB" w:rsidRPr="00993936" w:rsidRDefault="00412AFB" w:rsidP="00412AFB">
      <w:pPr>
        <w:jc w:val="both"/>
        <w:outlineLvl w:val="0"/>
        <w:rPr>
          <w:rFonts w:ascii="Arial" w:hAnsi="Arial" w:cs="Arial"/>
          <w:b/>
          <w:snapToGrid w:val="0"/>
          <w:lang w:val="es-ES"/>
        </w:rPr>
      </w:pPr>
    </w:p>
    <w:p w:rsidR="00412AFB" w:rsidRPr="00993936" w:rsidRDefault="00412AFB" w:rsidP="00483A9B">
      <w:pPr>
        <w:jc w:val="both"/>
        <w:outlineLvl w:val="0"/>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2.4. Materias activas de fungicidas para la producción integrada de cítricos</w:t>
      </w: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 xml:space="preserve">2.4.1. Naranja </w:t>
      </w:r>
    </w:p>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138"/>
        <w:gridCol w:w="3124"/>
      </w:tblGrid>
      <w:tr w:rsidR="00412AFB" w:rsidRPr="00993936" w:rsidTr="00C8678E">
        <w:trPr>
          <w:jc w:val="center"/>
        </w:trPr>
        <w:tc>
          <w:tcPr>
            <w:tcW w:w="1378" w:type="pct"/>
            <w:shd w:val="pct12" w:color="auto" w:fill="FFFFFF"/>
          </w:tcPr>
          <w:p w:rsidR="00412AFB" w:rsidRPr="00993936" w:rsidRDefault="00412AFB" w:rsidP="00483A9B">
            <w:pPr>
              <w:pStyle w:val="Sinespaciado"/>
              <w:rPr>
                <w:rFonts w:ascii="Arial" w:hAnsi="Arial" w:cs="Arial"/>
                <w:lang w:val="es-ES"/>
              </w:rPr>
            </w:pPr>
            <w:r w:rsidRPr="00993936">
              <w:rPr>
                <w:rFonts w:ascii="Arial" w:hAnsi="Arial" w:cs="Arial"/>
                <w:lang w:val="es-ES"/>
              </w:rPr>
              <w:t>ENFERMEDAD</w:t>
            </w:r>
          </w:p>
        </w:tc>
        <w:tc>
          <w:tcPr>
            <w:tcW w:w="1815" w:type="pct"/>
            <w:shd w:val="pct12" w:color="auto" w:fill="FFFFFF"/>
          </w:tcPr>
          <w:p w:rsidR="00412AFB" w:rsidRPr="00993936" w:rsidRDefault="00412AFB" w:rsidP="00483A9B">
            <w:pPr>
              <w:pStyle w:val="Sinespaciado"/>
              <w:rPr>
                <w:rFonts w:ascii="Arial" w:hAnsi="Arial" w:cs="Arial"/>
                <w:lang w:val="es-ES"/>
              </w:rPr>
            </w:pPr>
            <w:r w:rsidRPr="00993936">
              <w:rPr>
                <w:rFonts w:ascii="Arial" w:hAnsi="Arial" w:cs="Arial"/>
                <w:lang w:val="es-ES"/>
              </w:rPr>
              <w:t>MATERIA ACTIVA</w:t>
            </w:r>
          </w:p>
        </w:tc>
        <w:tc>
          <w:tcPr>
            <w:tcW w:w="1807" w:type="pct"/>
            <w:shd w:val="pct12" w:color="auto" w:fill="FFFFFF"/>
          </w:tcPr>
          <w:p w:rsidR="00412AFB" w:rsidRPr="00993936" w:rsidRDefault="00412AFB" w:rsidP="00483A9B">
            <w:pPr>
              <w:pStyle w:val="Sinespaciado"/>
              <w:rPr>
                <w:rFonts w:ascii="Arial" w:hAnsi="Arial" w:cs="Arial"/>
                <w:sz w:val="18"/>
                <w:lang w:val="es-ES"/>
              </w:rPr>
            </w:pPr>
            <w:r w:rsidRPr="00993936">
              <w:rPr>
                <w:rFonts w:ascii="Arial" w:hAnsi="Arial" w:cs="Arial"/>
                <w:sz w:val="18"/>
                <w:lang w:val="es-ES"/>
              </w:rPr>
              <w:t>RESTRICCIONES</w:t>
            </w: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Cs/>
                <w:lang w:val="es-ES" w:eastAsia="ca-ES"/>
              </w:rPr>
            </w:pPr>
            <w:r w:rsidRPr="00993936">
              <w:rPr>
                <w:rFonts w:ascii="Arial" w:hAnsi="Arial" w:cs="Arial"/>
                <w:bCs/>
                <w:lang w:val="es-ES" w:eastAsia="ca-ES"/>
              </w:rPr>
              <w:t>Aguado y podredumbre del cuello</w:t>
            </w:r>
          </w:p>
          <w:p w:rsidR="00412AFB" w:rsidRPr="00993936" w:rsidRDefault="00412AFB" w:rsidP="00483A9B">
            <w:pPr>
              <w:pStyle w:val="Sinespaciado"/>
              <w:rPr>
                <w:rFonts w:ascii="Arial" w:hAnsi="Arial" w:cs="Arial"/>
                <w:i/>
                <w:iCs/>
                <w:lang w:val="es-ES" w:eastAsia="ca-ES"/>
              </w:rPr>
            </w:pPr>
            <w:r w:rsidRPr="00993936">
              <w:rPr>
                <w:rFonts w:ascii="Arial" w:hAnsi="Arial" w:cs="Arial"/>
                <w:i/>
                <w:iCs/>
                <w:lang w:val="es-ES" w:eastAsia="ca-ES"/>
              </w:rPr>
              <w:t>(Phytophthora)</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Dimetomorf</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Hidróxido cúprico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Oxicloruro de cobre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Sulfato cuprocálcico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Metalaxil (17) (18)</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Metalaxil-M</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Oxicloruro de cobre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Oxicloruro de cobre + Sulfato cuprocálcico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Sulfato cuprocálcico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Sulfato tribásico de cobre</w:t>
            </w:r>
          </w:p>
        </w:tc>
        <w:tc>
          <w:tcPr>
            <w:tcW w:w="1807" w:type="pct"/>
            <w:vMerge w:val="restart"/>
            <w:vAlign w:val="center"/>
          </w:tcPr>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(3) Dejar zonas refugio del 5 % de superficie sin tratar en explotaciones de más de cinco hectáreas.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corrientes de agua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p>
          <w:p w:rsidR="00412AFB" w:rsidRPr="00993936" w:rsidRDefault="00412AFB" w:rsidP="00483A9B">
            <w:pPr>
              <w:pStyle w:val="Sinespaciado"/>
              <w:rPr>
                <w:rFonts w:ascii="Arial" w:hAnsi="Arial" w:cs="Arial"/>
                <w:i/>
                <w:iCs/>
                <w:sz w:val="18"/>
                <w:lang w:val="es-ES" w:eastAsia="ca-ES"/>
              </w:rPr>
            </w:pPr>
            <w:r w:rsidRPr="00993936">
              <w:rPr>
                <w:rFonts w:ascii="Arial" w:hAnsi="Arial" w:cs="Arial"/>
                <w:i/>
                <w:iCs/>
                <w:sz w:val="18"/>
                <w:lang w:val="es-ES" w:eastAsia="ca-ES"/>
              </w:rPr>
              <w:t>residuos) baja al LD (límite de detección). Deben tenerse en cuenta las curvas de disipación</w:t>
            </w:r>
          </w:p>
          <w:p w:rsidR="00412AFB" w:rsidRPr="00993936" w:rsidRDefault="00412AFB" w:rsidP="00483A9B">
            <w:pPr>
              <w:pStyle w:val="Sinespaciado"/>
              <w:rPr>
                <w:rFonts w:ascii="Arial" w:hAnsi="Arial" w:cs="Arial"/>
                <w:i/>
                <w:iCs/>
                <w:sz w:val="18"/>
                <w:lang w:val="es-ES" w:eastAsia="ca-ES"/>
              </w:rPr>
            </w:pPr>
            <w:r w:rsidRPr="00993936">
              <w:rPr>
                <w:rFonts w:ascii="Arial" w:hAnsi="Arial" w:cs="Arial"/>
                <w:i/>
                <w:iCs/>
                <w:sz w:val="18"/>
                <w:lang w:val="es-ES" w:eastAsia="ca-ES"/>
              </w:rPr>
              <w:t>de estos plaguicidas en cítricos. Consultar la bibliografía.</w:t>
            </w:r>
          </w:p>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Cs/>
                <w:lang w:val="es-ES" w:eastAsia="ca-ES"/>
              </w:rPr>
            </w:pPr>
            <w:r w:rsidRPr="00993936">
              <w:rPr>
                <w:rFonts w:ascii="Arial" w:hAnsi="Arial" w:cs="Arial"/>
                <w:bCs/>
                <w:lang w:val="es-ES" w:eastAsia="ca-ES"/>
              </w:rPr>
              <w:t xml:space="preserve">Antracnosis </w:t>
            </w:r>
            <w:r w:rsidRPr="00993936">
              <w:rPr>
                <w:rFonts w:ascii="Arial" w:hAnsi="Arial" w:cs="Arial"/>
                <w:i/>
                <w:iCs/>
                <w:lang w:val="es-ES" w:eastAsia="ca-ES"/>
              </w:rPr>
              <w:t>(Colletotrichum gloeosporioides)</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Fludioxinil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(4)</w:t>
            </w:r>
          </w:p>
        </w:tc>
        <w:tc>
          <w:tcPr>
            <w:tcW w:w="1807" w:type="pct"/>
            <w:vMerge/>
            <w:vAlign w:val="center"/>
          </w:tcPr>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Cs/>
                <w:lang w:val="es-ES" w:eastAsia="ca-ES"/>
              </w:rPr>
            </w:pPr>
            <w:r w:rsidRPr="00993936">
              <w:rPr>
                <w:rFonts w:ascii="Arial" w:hAnsi="Arial" w:cs="Arial"/>
                <w:bCs/>
                <w:lang w:val="es-ES" w:eastAsia="ca-ES"/>
              </w:rPr>
              <w:t xml:space="preserve">Alternaria </w:t>
            </w:r>
          </w:p>
          <w:p w:rsidR="00412AFB" w:rsidRPr="00993936" w:rsidRDefault="00412AFB" w:rsidP="00483A9B">
            <w:pPr>
              <w:pStyle w:val="Sinespaciado"/>
              <w:rPr>
                <w:rFonts w:ascii="Arial" w:hAnsi="Arial" w:cs="Arial"/>
                <w:i/>
                <w:iCs/>
                <w:lang w:val="es-ES" w:eastAsia="ca-ES"/>
              </w:rPr>
            </w:pPr>
            <w:r w:rsidRPr="00993936">
              <w:rPr>
                <w:rFonts w:ascii="Arial" w:hAnsi="Arial" w:cs="Arial"/>
                <w:i/>
                <w:iCs/>
                <w:lang w:val="es-ES" w:eastAsia="ca-ES"/>
              </w:rPr>
              <w:t>(Alternaria alternata)</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Oxicloruro de cobre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Sulfato cuprocálcico (4)</w:t>
            </w:r>
          </w:p>
          <w:p w:rsidR="00412AFB" w:rsidRPr="00993936" w:rsidRDefault="00412AFB" w:rsidP="00483A9B">
            <w:pPr>
              <w:pStyle w:val="Sinespaciado"/>
              <w:rPr>
                <w:rFonts w:ascii="Arial" w:hAnsi="Arial" w:cs="Arial"/>
                <w:lang w:val="es-ES" w:eastAsia="ca-ES"/>
              </w:rPr>
            </w:pPr>
          </w:p>
        </w:tc>
        <w:tc>
          <w:tcPr>
            <w:tcW w:w="1807" w:type="pct"/>
            <w:vMerge/>
            <w:vAlign w:val="center"/>
          </w:tcPr>
          <w:p w:rsidR="00412AFB" w:rsidRPr="00993936" w:rsidRDefault="00412AFB" w:rsidP="00483A9B">
            <w:pPr>
              <w:pStyle w:val="Sinespaciado"/>
              <w:rPr>
                <w:rFonts w:ascii="Arial" w:hAnsi="Arial" w:cs="Arial"/>
                <w:sz w:val="18"/>
                <w:lang w:val="es-ES"/>
              </w:rPr>
            </w:pPr>
          </w:p>
        </w:tc>
      </w:tr>
    </w:tbl>
    <w:p w:rsidR="00412AFB" w:rsidRPr="00993936" w:rsidRDefault="00412AFB" w:rsidP="00412AFB">
      <w:pPr>
        <w:jc w:val="both"/>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lastRenderedPageBreak/>
        <w:t>2.4.2. Mandarina</w:t>
      </w:r>
    </w:p>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138"/>
        <w:gridCol w:w="3124"/>
      </w:tblGrid>
      <w:tr w:rsidR="00412AFB" w:rsidRPr="00993936" w:rsidTr="00C8678E">
        <w:trPr>
          <w:jc w:val="center"/>
        </w:trPr>
        <w:tc>
          <w:tcPr>
            <w:tcW w:w="1378" w:type="pct"/>
            <w:shd w:val="pct12" w:color="auto" w:fill="FFFFFF"/>
          </w:tcPr>
          <w:p w:rsidR="00412AFB" w:rsidRPr="00993936" w:rsidRDefault="00412AFB" w:rsidP="00483A9B">
            <w:pPr>
              <w:pStyle w:val="Sinespaciado"/>
              <w:rPr>
                <w:rFonts w:ascii="Arial" w:hAnsi="Arial" w:cs="Arial"/>
                <w:lang w:val="es-ES"/>
              </w:rPr>
            </w:pPr>
            <w:r w:rsidRPr="00993936">
              <w:rPr>
                <w:rFonts w:ascii="Arial" w:hAnsi="Arial" w:cs="Arial"/>
                <w:lang w:val="es-ES"/>
              </w:rPr>
              <w:t>ENFERMEDAD</w:t>
            </w:r>
          </w:p>
        </w:tc>
        <w:tc>
          <w:tcPr>
            <w:tcW w:w="1815" w:type="pct"/>
            <w:shd w:val="pct12" w:color="auto" w:fill="FFFFFF"/>
          </w:tcPr>
          <w:p w:rsidR="00412AFB" w:rsidRPr="00993936" w:rsidRDefault="00412AFB" w:rsidP="00483A9B">
            <w:pPr>
              <w:pStyle w:val="Sinespaciado"/>
              <w:rPr>
                <w:rFonts w:ascii="Arial" w:hAnsi="Arial" w:cs="Arial"/>
                <w:lang w:val="es-ES"/>
              </w:rPr>
            </w:pPr>
            <w:r w:rsidRPr="00993936">
              <w:rPr>
                <w:rFonts w:ascii="Arial" w:hAnsi="Arial" w:cs="Arial"/>
                <w:lang w:val="es-ES"/>
              </w:rPr>
              <w:t>MATERIA ACTIVA</w:t>
            </w:r>
          </w:p>
        </w:tc>
        <w:tc>
          <w:tcPr>
            <w:tcW w:w="1807" w:type="pct"/>
            <w:shd w:val="pct12" w:color="auto" w:fill="FFFFFF"/>
          </w:tcPr>
          <w:p w:rsidR="00412AFB" w:rsidRPr="00993936" w:rsidRDefault="00412AFB" w:rsidP="00483A9B">
            <w:pPr>
              <w:pStyle w:val="Sinespaciado"/>
              <w:rPr>
                <w:rFonts w:ascii="Arial" w:hAnsi="Arial" w:cs="Arial"/>
                <w:sz w:val="18"/>
                <w:lang w:val="es-ES"/>
              </w:rPr>
            </w:pPr>
            <w:r w:rsidRPr="00993936">
              <w:rPr>
                <w:rFonts w:ascii="Arial" w:hAnsi="Arial" w:cs="Arial"/>
                <w:sz w:val="18"/>
                <w:lang w:val="es-ES"/>
              </w:rPr>
              <w:t>RESTRICCIONES</w:t>
            </w: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
                <w:bCs/>
                <w:lang w:val="es-ES" w:eastAsia="ca-ES"/>
              </w:rPr>
            </w:pPr>
            <w:r w:rsidRPr="00993936">
              <w:rPr>
                <w:rFonts w:ascii="Arial" w:hAnsi="Arial" w:cs="Arial"/>
                <w:b/>
                <w:bCs/>
                <w:lang w:val="es-ES" w:eastAsia="ca-ES"/>
              </w:rPr>
              <w:t>Aguado y podredumbre del cuello</w:t>
            </w:r>
          </w:p>
          <w:p w:rsidR="00412AFB" w:rsidRPr="00993936" w:rsidRDefault="00412AFB" w:rsidP="00483A9B">
            <w:pPr>
              <w:pStyle w:val="Sinespaciado"/>
              <w:rPr>
                <w:rFonts w:ascii="Arial" w:hAnsi="Arial" w:cs="Arial"/>
                <w:i/>
                <w:iCs/>
                <w:lang w:val="es-ES" w:eastAsia="ca-ES"/>
              </w:rPr>
            </w:pPr>
            <w:r w:rsidRPr="00993936">
              <w:rPr>
                <w:rFonts w:ascii="Arial" w:hAnsi="Arial" w:cs="Arial"/>
                <w:i/>
                <w:iCs/>
                <w:lang w:val="es-ES" w:eastAsia="ca-ES"/>
              </w:rPr>
              <w:t>(Phytophthora)</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Hidróxido cúprico + Mancozeb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Oxicloruro de cobre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Sulfato cuprocálcico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Metalaxil-M</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Oxicloruro de cobre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Oxicloruro de cobre + Sulfato cuprocálcico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Sulfato cuprocálcico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Sulfato tribásico de cobre</w:t>
            </w:r>
          </w:p>
        </w:tc>
        <w:tc>
          <w:tcPr>
            <w:tcW w:w="1807" w:type="pct"/>
            <w:vMerge w:val="restart"/>
            <w:vAlign w:val="center"/>
          </w:tcPr>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(3) Dejar zonas refugio del 5 % de superficie sin tratar en explotaciones de más de cinco hectáreas.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corrientes de agua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r w:rsidR="00962CCD" w:rsidRPr="00993936">
              <w:rPr>
                <w:rFonts w:ascii="Arial" w:hAnsi="Arial" w:cs="Arial"/>
                <w:i/>
                <w:iCs/>
                <w:sz w:val="18"/>
                <w:lang w:val="es-ES" w:eastAsia="ca-ES"/>
              </w:rPr>
              <w:t xml:space="preserve"> </w:t>
            </w:r>
            <w:r w:rsidRPr="00993936">
              <w:rPr>
                <w:rFonts w:ascii="Arial" w:hAnsi="Arial" w:cs="Arial"/>
                <w:i/>
                <w:iCs/>
                <w:sz w:val="18"/>
                <w:lang w:val="es-ES" w:eastAsia="ca-ES"/>
              </w:rPr>
              <w:t>residuos) baja al LD (límite de detección). Deben tenerse en cuenta las curvas de disipación</w:t>
            </w:r>
            <w:r w:rsidR="00962CCD" w:rsidRPr="00993936">
              <w:rPr>
                <w:rFonts w:ascii="Arial" w:hAnsi="Arial" w:cs="Arial"/>
                <w:i/>
                <w:iCs/>
                <w:sz w:val="18"/>
                <w:lang w:val="es-ES" w:eastAsia="ca-ES"/>
              </w:rPr>
              <w:t xml:space="preserve"> </w:t>
            </w:r>
            <w:r w:rsidRPr="00993936">
              <w:rPr>
                <w:rFonts w:ascii="Arial" w:hAnsi="Arial" w:cs="Arial"/>
                <w:i/>
                <w:iCs/>
                <w:sz w:val="18"/>
                <w:lang w:val="es-ES" w:eastAsia="ca-ES"/>
              </w:rPr>
              <w:t>de estos plaguicidas en cítricos. Consultar la bibliografía.</w:t>
            </w:r>
          </w:p>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Cs/>
                <w:lang w:val="es-ES" w:eastAsia="ca-ES"/>
              </w:rPr>
            </w:pPr>
            <w:r w:rsidRPr="00993936">
              <w:rPr>
                <w:rFonts w:ascii="Arial" w:hAnsi="Arial" w:cs="Arial"/>
                <w:b/>
                <w:bCs/>
                <w:lang w:val="es-ES" w:eastAsia="ca-ES"/>
              </w:rPr>
              <w:t xml:space="preserve">Antracnosis </w:t>
            </w:r>
            <w:r w:rsidRPr="00993936">
              <w:rPr>
                <w:rFonts w:ascii="Arial" w:hAnsi="Arial" w:cs="Arial"/>
                <w:i/>
                <w:iCs/>
                <w:lang w:val="es-ES" w:eastAsia="ca-ES"/>
              </w:rPr>
              <w:t>(Colletotrichum gloeosporioides)</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Fludioxinil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(4)</w:t>
            </w:r>
          </w:p>
        </w:tc>
        <w:tc>
          <w:tcPr>
            <w:tcW w:w="1807" w:type="pct"/>
            <w:vMerge/>
            <w:vAlign w:val="center"/>
          </w:tcPr>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
                <w:bCs/>
                <w:lang w:val="es-ES" w:eastAsia="ca-ES"/>
              </w:rPr>
            </w:pPr>
            <w:r w:rsidRPr="00993936">
              <w:rPr>
                <w:rFonts w:ascii="Arial" w:hAnsi="Arial" w:cs="Arial"/>
                <w:b/>
                <w:bCs/>
                <w:lang w:val="es-ES" w:eastAsia="ca-ES"/>
              </w:rPr>
              <w:t xml:space="preserve">Alternaria </w:t>
            </w:r>
          </w:p>
          <w:p w:rsidR="00412AFB" w:rsidRPr="00993936" w:rsidRDefault="00412AFB" w:rsidP="00483A9B">
            <w:pPr>
              <w:pStyle w:val="Sinespaciado"/>
              <w:rPr>
                <w:rFonts w:ascii="Arial" w:hAnsi="Arial" w:cs="Arial"/>
                <w:i/>
                <w:iCs/>
                <w:lang w:val="es-ES" w:eastAsia="ca-ES"/>
              </w:rPr>
            </w:pPr>
            <w:r w:rsidRPr="00993936">
              <w:rPr>
                <w:rFonts w:ascii="Arial" w:hAnsi="Arial" w:cs="Arial"/>
                <w:i/>
                <w:iCs/>
                <w:lang w:val="es-ES" w:eastAsia="ca-ES"/>
              </w:rPr>
              <w:t>(Alternaria alternata)</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Oxicloruro de cobre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Sulfato cuprocálcico (4)</w:t>
            </w:r>
          </w:p>
          <w:p w:rsidR="00412AFB" w:rsidRPr="00993936" w:rsidRDefault="00412AFB" w:rsidP="00483A9B">
            <w:pPr>
              <w:pStyle w:val="Sinespaciado"/>
              <w:rPr>
                <w:rFonts w:ascii="Arial" w:hAnsi="Arial" w:cs="Arial"/>
                <w:lang w:val="es-ES" w:eastAsia="ca-ES"/>
              </w:rPr>
            </w:pPr>
          </w:p>
        </w:tc>
        <w:tc>
          <w:tcPr>
            <w:tcW w:w="1807" w:type="pct"/>
            <w:vMerge/>
            <w:vAlign w:val="center"/>
          </w:tcPr>
          <w:p w:rsidR="00412AFB" w:rsidRPr="00993936" w:rsidRDefault="00412AFB" w:rsidP="00483A9B">
            <w:pPr>
              <w:pStyle w:val="Sinespaciado"/>
              <w:rPr>
                <w:rFonts w:ascii="Arial" w:hAnsi="Arial" w:cs="Arial"/>
                <w:sz w:val="18"/>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2.4.3. Limón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138"/>
        <w:gridCol w:w="3124"/>
      </w:tblGrid>
      <w:tr w:rsidR="00412AFB" w:rsidRPr="00993936" w:rsidTr="00C8678E">
        <w:trPr>
          <w:jc w:val="center"/>
        </w:trPr>
        <w:tc>
          <w:tcPr>
            <w:tcW w:w="1378" w:type="pct"/>
            <w:shd w:val="pct12" w:color="auto" w:fill="FFFFFF"/>
          </w:tcPr>
          <w:p w:rsidR="00412AFB" w:rsidRPr="00993936" w:rsidRDefault="00412AFB" w:rsidP="00483A9B">
            <w:pPr>
              <w:pStyle w:val="Sinespaciado"/>
              <w:rPr>
                <w:rFonts w:ascii="Arial" w:hAnsi="Arial" w:cs="Arial"/>
                <w:b/>
                <w:lang w:val="es-ES"/>
              </w:rPr>
            </w:pPr>
            <w:r w:rsidRPr="00993936">
              <w:rPr>
                <w:rFonts w:ascii="Arial" w:hAnsi="Arial" w:cs="Arial"/>
                <w:b/>
                <w:lang w:val="es-ES"/>
              </w:rPr>
              <w:t>ENFERMEDAD</w:t>
            </w:r>
          </w:p>
        </w:tc>
        <w:tc>
          <w:tcPr>
            <w:tcW w:w="1815" w:type="pct"/>
            <w:shd w:val="pct12" w:color="auto" w:fill="FFFFFF"/>
          </w:tcPr>
          <w:p w:rsidR="00412AFB" w:rsidRPr="00993936" w:rsidRDefault="00412AFB" w:rsidP="00483A9B">
            <w:pPr>
              <w:pStyle w:val="Sinespaciado"/>
              <w:rPr>
                <w:rFonts w:ascii="Arial" w:hAnsi="Arial" w:cs="Arial"/>
                <w:b/>
                <w:lang w:val="es-ES"/>
              </w:rPr>
            </w:pPr>
            <w:r w:rsidRPr="00993936">
              <w:rPr>
                <w:rFonts w:ascii="Arial" w:hAnsi="Arial" w:cs="Arial"/>
                <w:b/>
                <w:lang w:val="es-ES"/>
              </w:rPr>
              <w:t>MATERIA ACTIVA</w:t>
            </w:r>
          </w:p>
        </w:tc>
        <w:tc>
          <w:tcPr>
            <w:tcW w:w="1807" w:type="pct"/>
            <w:shd w:val="pct12" w:color="auto" w:fill="FFFFFF"/>
          </w:tcPr>
          <w:p w:rsidR="00412AFB" w:rsidRPr="00993936" w:rsidRDefault="00412AFB" w:rsidP="00483A9B">
            <w:pPr>
              <w:pStyle w:val="Sinespaciado"/>
              <w:rPr>
                <w:rFonts w:ascii="Arial" w:hAnsi="Arial" w:cs="Arial"/>
                <w:b/>
                <w:sz w:val="18"/>
                <w:lang w:val="es-ES"/>
              </w:rPr>
            </w:pPr>
            <w:r w:rsidRPr="00993936">
              <w:rPr>
                <w:rFonts w:ascii="Arial" w:hAnsi="Arial" w:cs="Arial"/>
                <w:b/>
                <w:sz w:val="18"/>
                <w:lang w:val="es-ES"/>
              </w:rPr>
              <w:t>RESTRICCIONES</w:t>
            </w: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Cs/>
                <w:lang w:val="es-ES" w:eastAsia="ca-ES"/>
              </w:rPr>
            </w:pPr>
            <w:r w:rsidRPr="00993936">
              <w:rPr>
                <w:rFonts w:ascii="Arial" w:hAnsi="Arial" w:cs="Arial"/>
                <w:bCs/>
                <w:lang w:val="es-ES" w:eastAsia="ca-ES"/>
              </w:rPr>
              <w:t>Aguado y podredumbre del cuello</w:t>
            </w:r>
          </w:p>
          <w:p w:rsidR="00412AFB" w:rsidRPr="00993936" w:rsidRDefault="00412AFB" w:rsidP="00483A9B">
            <w:pPr>
              <w:pStyle w:val="Sinespaciado"/>
              <w:rPr>
                <w:rFonts w:ascii="Arial" w:hAnsi="Arial" w:cs="Arial"/>
                <w:i/>
                <w:iCs/>
                <w:lang w:val="es-ES" w:eastAsia="ca-ES"/>
              </w:rPr>
            </w:pPr>
            <w:r w:rsidRPr="00993936">
              <w:rPr>
                <w:rFonts w:ascii="Arial" w:hAnsi="Arial" w:cs="Arial"/>
                <w:i/>
                <w:iCs/>
                <w:lang w:val="es-ES" w:eastAsia="ca-ES"/>
              </w:rPr>
              <w:t>(Phytophthora)</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Hidróxido cúprico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Oxicloruro de cobre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Sulfato cuprocálcico (4) Metalaxil-M</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Oxicloruro de cobre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Oxicloruro de cobre + Sulfato cuprocálcico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Sulfato cuprocálcico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Sulfato tribásico de cobre</w:t>
            </w:r>
          </w:p>
        </w:tc>
        <w:tc>
          <w:tcPr>
            <w:tcW w:w="1807" w:type="pct"/>
            <w:vMerge w:val="restart"/>
            <w:vAlign w:val="center"/>
          </w:tcPr>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 Utilizar solo hasta la floración</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 Usar sin cosecha pendiente o en fruta destinada al mercado interior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(3) Dejar zonas refugio del 5 % de superficie sin tratar en explotaciones de más de cinco hectáreas.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sz w:val="18"/>
                  <w:lang w:val="es-ES" w:eastAsia="ca-ES"/>
                </w:rPr>
                <w:t>20 m</w:t>
              </w:r>
            </w:smartTag>
            <w:r w:rsidRPr="00993936">
              <w:rPr>
                <w:rFonts w:ascii="Arial" w:hAnsi="Arial" w:cs="Arial"/>
                <w:sz w:val="18"/>
                <w:lang w:val="es-ES" w:eastAsia="ca-ES"/>
              </w:rPr>
              <w:t xml:space="preserve"> de corrientes de agua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(5) No utilizar en espacios naturales protegidos ni en las zonas de influencia oficialmente declaradas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(6) Solo en plantones e injertos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(7) Pintado del tronco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(8) Riego por goteo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(9) Aplicado como cebo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(10) Pulverización cebo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(11) Solo mayo-junio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(12) No tratar si hay cochinilla acanalada o cotonet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(13) Solo tratamientos en primavera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(14) Suspensión en el tronco del árbol y/o en el suelo</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(15) Máximo una aplicación foliar por año para los naranjos y limoneros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(16) Un único tratamiento cuando el fruto comienza a tomar color</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(17) Utilizar solo cuando las materias activas sin restricciones no sean efectivas</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(18) Un único tratamiento por campaña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(19) Utilizar mediante captura masiva</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(20) Solo formulaciones que no sean de clasificación toxicológica T</w:t>
            </w:r>
          </w:p>
          <w:p w:rsidR="00412AFB" w:rsidRPr="00993936" w:rsidRDefault="00412AFB" w:rsidP="00483A9B">
            <w:pPr>
              <w:pStyle w:val="Sinespaciado"/>
              <w:rPr>
                <w:rFonts w:ascii="Arial" w:hAnsi="Arial" w:cs="Arial"/>
                <w:sz w:val="18"/>
                <w:lang w:val="es-ES" w:eastAsia="ca-ES"/>
              </w:rPr>
            </w:pPr>
            <w:r w:rsidRPr="00993936">
              <w:rPr>
                <w:rFonts w:ascii="Arial" w:hAnsi="Arial" w:cs="Arial"/>
                <w:sz w:val="18"/>
                <w:lang w:val="es-ES" w:eastAsia="ca-ES"/>
              </w:rPr>
              <w:t>(21) Utilizar con poblaciones bajas de plaga</w:t>
            </w: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sz w:val="18"/>
                <w:lang w:val="es-ES" w:eastAsia="ca-ES"/>
              </w:rPr>
            </w:pPr>
          </w:p>
          <w:p w:rsidR="00412AFB" w:rsidRPr="00993936" w:rsidRDefault="00412AFB" w:rsidP="00483A9B">
            <w:pPr>
              <w:pStyle w:val="Sinespaciado"/>
              <w:rPr>
                <w:rFonts w:ascii="Arial" w:hAnsi="Arial" w:cs="Arial"/>
                <w:i/>
                <w:iCs/>
                <w:sz w:val="18"/>
                <w:lang w:val="es-ES" w:eastAsia="ca-ES"/>
              </w:rPr>
            </w:pPr>
            <w:r w:rsidRPr="00993936">
              <w:rPr>
                <w:rFonts w:ascii="Arial" w:hAnsi="Arial" w:cs="Arial"/>
                <w:sz w:val="18"/>
                <w:lang w:val="es-ES" w:eastAsia="ca-ES"/>
              </w:rPr>
              <w:t xml:space="preserve">(*) </w:t>
            </w:r>
            <w:r w:rsidRPr="00993936">
              <w:rPr>
                <w:rFonts w:ascii="Arial" w:hAnsi="Arial" w:cs="Arial"/>
                <w:i/>
                <w:iCs/>
                <w:sz w:val="18"/>
                <w:lang w:val="es-ES" w:eastAsia="ca-ES"/>
              </w:rPr>
              <w:t>A partir de la fecha límite de autorización de la materia activa, el LMR (límite máximo de</w:t>
            </w:r>
          </w:p>
          <w:p w:rsidR="00412AFB" w:rsidRPr="00993936" w:rsidRDefault="00412AFB" w:rsidP="00483A9B">
            <w:pPr>
              <w:pStyle w:val="Sinespaciado"/>
              <w:rPr>
                <w:rFonts w:ascii="Arial" w:hAnsi="Arial" w:cs="Arial"/>
                <w:i/>
                <w:iCs/>
                <w:sz w:val="18"/>
                <w:lang w:val="es-ES" w:eastAsia="ca-ES"/>
              </w:rPr>
            </w:pPr>
            <w:r w:rsidRPr="00993936">
              <w:rPr>
                <w:rFonts w:ascii="Arial" w:hAnsi="Arial" w:cs="Arial"/>
                <w:i/>
                <w:iCs/>
                <w:sz w:val="18"/>
                <w:lang w:val="es-ES" w:eastAsia="ca-ES"/>
              </w:rPr>
              <w:t>residuos) baja al LD (límite de detección). Deben tenerse en cuenta las curvas de disipación</w:t>
            </w:r>
          </w:p>
          <w:p w:rsidR="00412AFB" w:rsidRPr="00993936" w:rsidRDefault="00412AFB" w:rsidP="00483A9B">
            <w:pPr>
              <w:pStyle w:val="Sinespaciado"/>
              <w:rPr>
                <w:rFonts w:ascii="Arial" w:hAnsi="Arial" w:cs="Arial"/>
                <w:i/>
                <w:iCs/>
                <w:sz w:val="18"/>
                <w:lang w:val="es-ES" w:eastAsia="ca-ES"/>
              </w:rPr>
            </w:pPr>
            <w:r w:rsidRPr="00993936">
              <w:rPr>
                <w:rFonts w:ascii="Arial" w:hAnsi="Arial" w:cs="Arial"/>
                <w:i/>
                <w:iCs/>
                <w:sz w:val="18"/>
                <w:lang w:val="es-ES" w:eastAsia="ca-ES"/>
              </w:rPr>
              <w:t>de estos plaguicidas en cítricos. Consultar la bibliografía.</w:t>
            </w:r>
          </w:p>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Cs/>
                <w:lang w:val="es-ES" w:eastAsia="ca-ES"/>
              </w:rPr>
            </w:pPr>
            <w:r w:rsidRPr="00993936">
              <w:rPr>
                <w:rFonts w:ascii="Arial" w:hAnsi="Arial" w:cs="Arial"/>
                <w:bCs/>
                <w:lang w:val="es-ES" w:eastAsia="ca-ES"/>
              </w:rPr>
              <w:t xml:space="preserve">Antracnosis </w:t>
            </w:r>
            <w:r w:rsidRPr="00993936">
              <w:rPr>
                <w:rFonts w:ascii="Arial" w:hAnsi="Arial" w:cs="Arial"/>
                <w:i/>
                <w:iCs/>
                <w:lang w:val="es-ES" w:eastAsia="ca-ES"/>
              </w:rPr>
              <w:t>(Colletotrichum gloeosporioides)</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Fludioxinil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(4)</w:t>
            </w:r>
          </w:p>
        </w:tc>
        <w:tc>
          <w:tcPr>
            <w:tcW w:w="1807" w:type="pct"/>
            <w:vMerge/>
            <w:vAlign w:val="center"/>
          </w:tcPr>
          <w:p w:rsidR="00412AFB" w:rsidRPr="00993936" w:rsidRDefault="00412AFB" w:rsidP="00483A9B">
            <w:pPr>
              <w:pStyle w:val="Sinespaciado"/>
              <w:rPr>
                <w:rFonts w:ascii="Arial" w:hAnsi="Arial" w:cs="Arial"/>
                <w:sz w:val="18"/>
                <w:lang w:val="es-ES"/>
              </w:rPr>
            </w:pPr>
          </w:p>
        </w:tc>
      </w:tr>
      <w:tr w:rsidR="00412AFB" w:rsidRPr="00993936" w:rsidTr="00C8678E">
        <w:trPr>
          <w:cantSplit/>
          <w:jc w:val="center"/>
        </w:trPr>
        <w:tc>
          <w:tcPr>
            <w:tcW w:w="1378" w:type="pct"/>
            <w:vAlign w:val="center"/>
          </w:tcPr>
          <w:p w:rsidR="00412AFB" w:rsidRPr="00993936" w:rsidRDefault="00412AFB" w:rsidP="00483A9B">
            <w:pPr>
              <w:pStyle w:val="Sinespaciado"/>
              <w:rPr>
                <w:rFonts w:ascii="Arial" w:hAnsi="Arial" w:cs="Arial"/>
                <w:bCs/>
                <w:lang w:val="es-ES" w:eastAsia="ca-ES"/>
              </w:rPr>
            </w:pPr>
            <w:r w:rsidRPr="00993936">
              <w:rPr>
                <w:rFonts w:ascii="Arial" w:hAnsi="Arial" w:cs="Arial"/>
                <w:bCs/>
                <w:lang w:val="es-ES" w:eastAsia="ca-ES"/>
              </w:rPr>
              <w:t xml:space="preserve">Alternaria </w:t>
            </w:r>
          </w:p>
          <w:p w:rsidR="00412AFB" w:rsidRPr="00993936" w:rsidRDefault="00412AFB" w:rsidP="00483A9B">
            <w:pPr>
              <w:pStyle w:val="Sinespaciado"/>
              <w:rPr>
                <w:rFonts w:ascii="Arial" w:hAnsi="Arial" w:cs="Arial"/>
                <w:i/>
                <w:iCs/>
                <w:lang w:val="es-ES" w:eastAsia="ca-ES"/>
              </w:rPr>
            </w:pPr>
            <w:r w:rsidRPr="00993936">
              <w:rPr>
                <w:rFonts w:ascii="Arial" w:hAnsi="Arial" w:cs="Arial"/>
                <w:i/>
                <w:iCs/>
                <w:lang w:val="es-ES" w:eastAsia="ca-ES"/>
              </w:rPr>
              <w:t>(Alternaria alternata)</w:t>
            </w:r>
          </w:p>
        </w:tc>
        <w:tc>
          <w:tcPr>
            <w:tcW w:w="1815" w:type="pc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Oxicloruro de cobre (4)</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Sulfato cuprocálcico (4)</w:t>
            </w:r>
          </w:p>
          <w:p w:rsidR="00412AFB" w:rsidRPr="00993936" w:rsidRDefault="00412AFB" w:rsidP="00483A9B">
            <w:pPr>
              <w:pStyle w:val="Sinespaciado"/>
              <w:rPr>
                <w:rFonts w:ascii="Arial" w:hAnsi="Arial" w:cs="Arial"/>
                <w:lang w:val="es-ES" w:eastAsia="ca-ES"/>
              </w:rPr>
            </w:pPr>
          </w:p>
        </w:tc>
        <w:tc>
          <w:tcPr>
            <w:tcW w:w="1807" w:type="pct"/>
            <w:vMerge/>
            <w:vAlign w:val="center"/>
          </w:tcPr>
          <w:p w:rsidR="00412AFB" w:rsidRPr="00993936" w:rsidRDefault="00412AFB" w:rsidP="00483A9B">
            <w:pPr>
              <w:pStyle w:val="Sinespaciado"/>
              <w:rPr>
                <w:rFonts w:ascii="Arial" w:hAnsi="Arial" w:cs="Arial"/>
                <w:sz w:val="18"/>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3.3.4 Materias activas de fungicidas para la producción integrada de forrajes con indicación del código de resistencia FRAC</w:t>
      </w:r>
    </w:p>
    <w:p w:rsidR="00412AFB" w:rsidRPr="00993936" w:rsidRDefault="00412AFB" w:rsidP="00412AFB">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483A9B">
            <w:pPr>
              <w:pStyle w:val="Sinespaciado"/>
              <w:rPr>
                <w:rFonts w:ascii="Arial" w:hAnsi="Arial" w:cs="Arial"/>
                <w:b/>
                <w:lang w:val="es-ES" w:eastAsia="ca-ES"/>
              </w:rPr>
            </w:pPr>
            <w:r w:rsidRPr="00993936">
              <w:rPr>
                <w:rFonts w:ascii="Arial" w:hAnsi="Arial" w:cs="Arial"/>
                <w:b/>
                <w:lang w:val="es-ES" w:eastAsia="ca-ES"/>
              </w:rPr>
              <w:t>TIPO DE FUNGICIDAS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483A9B">
            <w:pPr>
              <w:pStyle w:val="Sinespaciado"/>
              <w:rPr>
                <w:rFonts w:ascii="Arial" w:hAnsi="Arial" w:cs="Arial"/>
                <w:b/>
                <w:lang w:val="es-ES" w:eastAsia="ca-ES"/>
              </w:rPr>
            </w:pPr>
            <w:r w:rsidRPr="00993936">
              <w:rPr>
                <w:rFonts w:ascii="Arial" w:hAnsi="Arial" w:cs="Arial"/>
                <w:b/>
                <w:lang w:val="es-ES" w:eastAsia="ca-ES"/>
              </w:rPr>
              <w:t xml:space="preserve">Materia activa </w:t>
            </w:r>
          </w:p>
        </w:tc>
        <w:tc>
          <w:tcPr>
            <w:tcW w:w="2500" w:type="pct"/>
            <w:shd w:val="solid" w:color="C0C0C0" w:fill="auto"/>
          </w:tcPr>
          <w:p w:rsidR="00412AFB" w:rsidRPr="00993936" w:rsidRDefault="00412AFB" w:rsidP="00483A9B">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483A9B">
            <w:pPr>
              <w:pStyle w:val="Sinespaciado"/>
              <w:rPr>
                <w:rFonts w:ascii="Arial" w:hAnsi="Arial" w:cs="Arial"/>
                <w:b/>
                <w:lang w:val="es-ES" w:eastAsia="ca-ES"/>
              </w:rPr>
            </w:pPr>
          </w:p>
        </w:tc>
        <w:tc>
          <w:tcPr>
            <w:tcW w:w="2500" w:type="pct"/>
            <w:shd w:val="solid" w:color="C0C0C0" w:fill="auto"/>
          </w:tcPr>
          <w:p w:rsidR="00412AFB" w:rsidRPr="00993936" w:rsidRDefault="00412AFB" w:rsidP="00483A9B">
            <w:pPr>
              <w:pStyle w:val="Sinespaciado"/>
              <w:jc w:val="center"/>
              <w:rPr>
                <w:rFonts w:ascii="Arial" w:hAnsi="Arial" w:cs="Arial"/>
                <w:b/>
                <w:lang w:val="es-ES" w:eastAsia="ca-ES"/>
              </w:rPr>
            </w:pPr>
            <w:r w:rsidRPr="00993936">
              <w:rPr>
                <w:rFonts w:ascii="Arial" w:hAnsi="Arial" w:cs="Arial"/>
                <w:b/>
                <w:lang w:val="es-ES" w:eastAsia="ca-ES"/>
              </w:rPr>
              <w:t>FRAC (*)</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Dimetomorf</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40</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Fludioxonil</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E2</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33</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 + Tiabendazol</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33+1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Hidróxido cúprico</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 + 2-fenilfenol</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3+M4</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 + Pirimetanil</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3+9</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M3+B1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Oxicloruro de cobre</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M3+M1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Mancozeb + Sulfato cuprocálcico</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M3+M1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Metalaxil</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4</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Metalaxil-M</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4</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Metil-tiofanato</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NC</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Oxicloruro de cobre</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Oxicloruro de cobre + Sulfato cuprocálcico</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M1+M1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Procloraz</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Propiconazole</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Sulfato cuprocálcico</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Sulfato tribásico de cobre</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Tebuconazole</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Tiabendazole</w:t>
            </w:r>
          </w:p>
        </w:tc>
        <w:tc>
          <w:tcPr>
            <w:tcW w:w="2500" w:type="pct"/>
            <w:shd w:val="solid" w:color="FFFFFF" w:fill="auto"/>
          </w:tcPr>
          <w:p w:rsidR="00412AFB" w:rsidRPr="00993936" w:rsidRDefault="00412AFB" w:rsidP="00483A9B">
            <w:pPr>
              <w:pStyle w:val="Sinespaciado"/>
              <w:jc w:val="center"/>
              <w:rPr>
                <w:rFonts w:ascii="Arial" w:hAnsi="Arial" w:cs="Arial"/>
                <w:lang w:val="es-ES" w:eastAsia="ca-ES"/>
              </w:rPr>
            </w:pPr>
            <w:r w:rsidRPr="00993936">
              <w:rPr>
                <w:rFonts w:ascii="Arial" w:hAnsi="Arial" w:cs="Arial"/>
                <w:lang w:val="es-ES" w:eastAsia="ca-ES"/>
              </w:rPr>
              <w:t>1</w:t>
            </w:r>
          </w:p>
        </w:tc>
      </w:tr>
      <w:tr w:rsidR="00412AFB" w:rsidRPr="00993936" w:rsidTr="00C8678E">
        <w:trPr>
          <w:trHeight w:val="270"/>
        </w:trPr>
        <w:tc>
          <w:tcPr>
            <w:tcW w:w="5000" w:type="pct"/>
            <w:gridSpan w:val="2"/>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412AFB" w:rsidRPr="00993936" w:rsidTr="00C8678E">
        <w:trPr>
          <w:trHeight w:val="270"/>
        </w:trPr>
        <w:tc>
          <w:tcPr>
            <w:tcW w:w="5000" w:type="pct"/>
            <w:gridSpan w:val="2"/>
            <w:shd w:val="solid" w:color="FFFFFF" w:fill="auto"/>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Fuente: Comité de Acción de Resistencia a Fungicidas</w:t>
            </w:r>
          </w:p>
        </w:tc>
      </w:tr>
    </w:tbl>
    <w:p w:rsidR="00412AFB" w:rsidRPr="00993936" w:rsidRDefault="00412AFB" w:rsidP="00412AFB">
      <w:pPr>
        <w:rPr>
          <w:rFonts w:ascii="Arial" w:hAnsi="Arial" w:cs="Arial"/>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2.5. Materias activas para el tratamiento de poscosecha para la producción integrada de cítricos</w:t>
      </w: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2.5.1. Naranja, mandarina y limón</w:t>
      </w:r>
    </w:p>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4"/>
        <w:gridCol w:w="3005"/>
        <w:gridCol w:w="3255"/>
      </w:tblGrid>
      <w:tr w:rsidR="00412AFB" w:rsidRPr="00993936" w:rsidTr="00C8678E">
        <w:trPr>
          <w:jc w:val="center"/>
        </w:trPr>
        <w:tc>
          <w:tcPr>
            <w:tcW w:w="1379" w:type="pct"/>
            <w:shd w:val="pct12" w:color="auto" w:fill="FFFFFF"/>
          </w:tcPr>
          <w:p w:rsidR="00412AFB" w:rsidRPr="00993936" w:rsidRDefault="00412AFB" w:rsidP="00483A9B">
            <w:pPr>
              <w:pStyle w:val="Sinespaciado"/>
              <w:jc w:val="center"/>
              <w:rPr>
                <w:rFonts w:ascii="Arial" w:hAnsi="Arial" w:cs="Arial"/>
                <w:b/>
                <w:lang w:val="es-ES"/>
              </w:rPr>
            </w:pPr>
            <w:r w:rsidRPr="00993936">
              <w:rPr>
                <w:rFonts w:ascii="Arial" w:hAnsi="Arial" w:cs="Arial"/>
                <w:b/>
                <w:lang w:val="es-ES"/>
              </w:rPr>
              <w:t>ENFERMEDAD</w:t>
            </w:r>
          </w:p>
        </w:tc>
        <w:tc>
          <w:tcPr>
            <w:tcW w:w="1738" w:type="pct"/>
            <w:shd w:val="pct12" w:color="auto" w:fill="FFFFFF"/>
          </w:tcPr>
          <w:p w:rsidR="00412AFB" w:rsidRPr="00993936" w:rsidRDefault="00412AFB" w:rsidP="00483A9B">
            <w:pPr>
              <w:pStyle w:val="Sinespaciado"/>
              <w:jc w:val="center"/>
              <w:rPr>
                <w:rFonts w:ascii="Arial" w:hAnsi="Arial" w:cs="Arial"/>
                <w:b/>
                <w:lang w:val="es-ES"/>
              </w:rPr>
            </w:pPr>
            <w:r w:rsidRPr="00993936">
              <w:rPr>
                <w:rFonts w:ascii="Arial" w:hAnsi="Arial" w:cs="Arial"/>
                <w:b/>
                <w:lang w:val="es-ES"/>
              </w:rPr>
              <w:t>MATERIA ACTIVA</w:t>
            </w:r>
          </w:p>
        </w:tc>
        <w:tc>
          <w:tcPr>
            <w:tcW w:w="1883" w:type="pct"/>
            <w:shd w:val="pct12" w:color="auto" w:fill="FFFFFF"/>
          </w:tcPr>
          <w:p w:rsidR="00412AFB" w:rsidRPr="00993936" w:rsidRDefault="00412AFB" w:rsidP="00483A9B">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379" w:type="pct"/>
          </w:tcPr>
          <w:p w:rsidR="00412AFB" w:rsidRPr="00993936" w:rsidRDefault="00412AFB" w:rsidP="00483A9B">
            <w:pPr>
              <w:pStyle w:val="Sinespaciado"/>
              <w:rPr>
                <w:rFonts w:ascii="Arial" w:hAnsi="Arial" w:cs="Arial"/>
                <w:i/>
                <w:lang w:val="es-ES"/>
              </w:rPr>
            </w:pPr>
            <w:r w:rsidRPr="00993936">
              <w:rPr>
                <w:rFonts w:ascii="Arial" w:hAnsi="Arial" w:cs="Arial"/>
                <w:i/>
                <w:lang w:val="es-ES"/>
              </w:rPr>
              <w:t>Penicillium spp.</w:t>
            </w:r>
          </w:p>
        </w:tc>
        <w:tc>
          <w:tcPr>
            <w:tcW w:w="1738" w:type="pct"/>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2-fenilfenol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Fludioxinil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 + Tiabendazol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 + 2-fenilfenol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 + Pirimetanil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Imazallil + Tiabendazol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Metil-tiofanato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Procloraz</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Propiconazole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Tebuconazole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Tiabendazole</w:t>
            </w:r>
          </w:p>
        </w:tc>
        <w:tc>
          <w:tcPr>
            <w:tcW w:w="1883" w:type="pct"/>
            <w:vMerge w:val="restart"/>
            <w:vAlign w:val="center"/>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 Utilizar solo hasta la floración</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(2) Usar sin cosecha pendiente o en fruta destinada al mercado interior</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(3) Dejar zonas refugio del 5 % de superficie sin tratar en explotaciones de más de cinco hectáreas.</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xml:space="preserve">(4) No utilizar a menos de </w:t>
            </w:r>
            <w:smartTag w:uri="urn:schemas-microsoft-com:office:smarttags" w:element="metricconverter">
              <w:smartTagPr>
                <w:attr w:name="ProductID" w:val="20 metres"/>
              </w:smartTagPr>
              <w:r w:rsidRPr="00993936">
                <w:rPr>
                  <w:rFonts w:ascii="Arial" w:hAnsi="Arial" w:cs="Arial"/>
                  <w:lang w:val="es-ES" w:eastAsia="ca-ES"/>
                </w:rPr>
                <w:t>20 m</w:t>
              </w:r>
            </w:smartTag>
            <w:r w:rsidRPr="00993936">
              <w:rPr>
                <w:rFonts w:ascii="Arial" w:hAnsi="Arial" w:cs="Arial"/>
                <w:lang w:val="es-ES" w:eastAsia="ca-ES"/>
              </w:rPr>
              <w:t xml:space="preserve"> de corrientes de agua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(5) No utilizar en espacios naturales protegidos ni en las zonas de influencia oficialmente declaradas</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(6) Solo en plantones e injertos</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(7) Pintado del tronco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(8) Riego por goteo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(9) Aplicado como cebo en el suelo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(10) Pulverización cebo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(11) Solo mayo-junio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(12) No tratar si hay cochinilla acanalada o cotonet</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(13) Solo tratamientos en primavera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(14) Suspensión en el tronco del árbol y/o en el suelo</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 xml:space="preserve">(15) Máximo una aplicación </w:t>
            </w:r>
            <w:r w:rsidRPr="00993936">
              <w:rPr>
                <w:rFonts w:ascii="Arial" w:hAnsi="Arial" w:cs="Arial"/>
                <w:lang w:val="es-ES" w:eastAsia="ca-ES"/>
              </w:rPr>
              <w:lastRenderedPageBreak/>
              <w:t>foliar por año para los naranjos y limoneros</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(16) Un único tratamiento cuando el fruto comienza a tomar color</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(17) Utilizar solo cuando las materias activas sin restricciones no sean efectivas</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(18) Un único tratamiento por campaña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(19) Utilizar mediante captura masiva</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(20) Solo formulaciones que no sean de clasificación toxicológica T</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(21) Utilizar con poblaciones bajas de plaga</w:t>
            </w:r>
          </w:p>
          <w:p w:rsidR="00412AFB" w:rsidRPr="00993936" w:rsidRDefault="00412AFB" w:rsidP="00483A9B">
            <w:pPr>
              <w:pStyle w:val="Sinespaciado"/>
              <w:rPr>
                <w:rFonts w:ascii="Arial" w:hAnsi="Arial" w:cs="Arial"/>
                <w:lang w:val="es-ES" w:eastAsia="ca-ES"/>
              </w:rPr>
            </w:pPr>
          </w:p>
          <w:p w:rsidR="00412AFB" w:rsidRPr="00993936" w:rsidRDefault="00412AFB" w:rsidP="00483A9B">
            <w:pPr>
              <w:pStyle w:val="Sinespaciado"/>
              <w:rPr>
                <w:rFonts w:ascii="Arial" w:hAnsi="Arial" w:cs="Arial"/>
                <w:lang w:val="es-ES" w:eastAsia="ca-ES"/>
              </w:rPr>
            </w:pPr>
          </w:p>
          <w:p w:rsidR="00412AFB" w:rsidRPr="00993936" w:rsidRDefault="00412AFB" w:rsidP="00483A9B">
            <w:pPr>
              <w:pStyle w:val="Sinespaciado"/>
              <w:rPr>
                <w:rFonts w:ascii="Arial" w:hAnsi="Arial" w:cs="Arial"/>
                <w:i/>
                <w:iCs/>
                <w:lang w:val="es-ES" w:eastAsia="ca-ES"/>
              </w:rPr>
            </w:pPr>
            <w:r w:rsidRPr="00993936">
              <w:rPr>
                <w:rFonts w:ascii="Arial" w:hAnsi="Arial" w:cs="Arial"/>
                <w:lang w:val="es-ES" w:eastAsia="ca-ES"/>
              </w:rPr>
              <w:t xml:space="preserve">(*) </w:t>
            </w:r>
            <w:r w:rsidRPr="00993936">
              <w:rPr>
                <w:rFonts w:ascii="Arial" w:hAnsi="Arial" w:cs="Arial"/>
                <w:i/>
                <w:iCs/>
                <w:lang w:val="es-ES" w:eastAsia="ca-ES"/>
              </w:rPr>
              <w:t>A partir de la fecha límite de autorización de la materia activa, el LMR (límite máximo de</w:t>
            </w:r>
          </w:p>
          <w:p w:rsidR="00412AFB" w:rsidRPr="00993936" w:rsidRDefault="00412AFB" w:rsidP="00483A9B">
            <w:pPr>
              <w:pStyle w:val="Sinespaciado"/>
              <w:rPr>
                <w:rFonts w:ascii="Arial" w:hAnsi="Arial" w:cs="Arial"/>
                <w:i/>
                <w:iCs/>
                <w:lang w:val="es-ES" w:eastAsia="ca-ES"/>
              </w:rPr>
            </w:pPr>
            <w:r w:rsidRPr="00993936">
              <w:rPr>
                <w:rFonts w:ascii="Arial" w:hAnsi="Arial" w:cs="Arial"/>
                <w:i/>
                <w:iCs/>
                <w:lang w:val="es-ES" w:eastAsia="ca-ES"/>
              </w:rPr>
              <w:t>residuos) baja al LD (límite de detección). Deben tenerse en cuenta las curvas de disipación</w:t>
            </w:r>
          </w:p>
          <w:p w:rsidR="00412AFB" w:rsidRPr="00993936" w:rsidRDefault="00412AFB" w:rsidP="00483A9B">
            <w:pPr>
              <w:pStyle w:val="Sinespaciado"/>
              <w:rPr>
                <w:rFonts w:ascii="Arial" w:hAnsi="Arial" w:cs="Arial"/>
                <w:i/>
                <w:iCs/>
                <w:lang w:val="es-ES" w:eastAsia="ca-ES"/>
              </w:rPr>
            </w:pPr>
            <w:r w:rsidRPr="00993936">
              <w:rPr>
                <w:rFonts w:ascii="Arial" w:hAnsi="Arial" w:cs="Arial"/>
                <w:i/>
                <w:iCs/>
                <w:lang w:val="es-ES" w:eastAsia="ca-ES"/>
              </w:rPr>
              <w:t>de estos plaguicidas en cítricos. Consultar la bibliografía.</w:t>
            </w:r>
          </w:p>
          <w:p w:rsidR="00412AFB" w:rsidRPr="00993936" w:rsidRDefault="00412AFB" w:rsidP="00483A9B">
            <w:pPr>
              <w:pStyle w:val="Sinespaciado"/>
              <w:rPr>
                <w:rFonts w:ascii="Arial" w:hAnsi="Arial" w:cs="Arial"/>
                <w:lang w:val="es-ES"/>
              </w:rPr>
            </w:pPr>
          </w:p>
        </w:tc>
      </w:tr>
      <w:tr w:rsidR="00412AFB" w:rsidRPr="00993936" w:rsidTr="00C8678E">
        <w:trPr>
          <w:cantSplit/>
          <w:jc w:val="center"/>
        </w:trPr>
        <w:tc>
          <w:tcPr>
            <w:tcW w:w="1379" w:type="pct"/>
          </w:tcPr>
          <w:p w:rsidR="00412AFB" w:rsidRPr="00993936" w:rsidRDefault="00412AFB" w:rsidP="00483A9B">
            <w:pPr>
              <w:pStyle w:val="Sinespaciado"/>
              <w:rPr>
                <w:rFonts w:ascii="Arial" w:hAnsi="Arial" w:cs="Arial"/>
                <w:i/>
                <w:lang w:val="es-ES"/>
              </w:rPr>
            </w:pPr>
            <w:r w:rsidRPr="00993936">
              <w:rPr>
                <w:rFonts w:ascii="Arial" w:hAnsi="Arial" w:cs="Arial"/>
                <w:i/>
                <w:lang w:val="es-ES"/>
              </w:rPr>
              <w:t>Geotrichum spp.</w:t>
            </w:r>
          </w:p>
        </w:tc>
        <w:tc>
          <w:tcPr>
            <w:tcW w:w="1738" w:type="pct"/>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2-fenilfenol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 + Tiabendazol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 + 2-fenilfenol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Imazallil + Tiabendazol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Propiconazole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Tebuconazole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Tiabendazole</w:t>
            </w:r>
          </w:p>
        </w:tc>
        <w:tc>
          <w:tcPr>
            <w:tcW w:w="1883" w:type="pct"/>
            <w:vMerge/>
            <w:vAlign w:val="center"/>
          </w:tcPr>
          <w:p w:rsidR="00412AFB" w:rsidRPr="00993936" w:rsidRDefault="00412AFB" w:rsidP="00483A9B">
            <w:pPr>
              <w:pStyle w:val="Sinespaciado"/>
              <w:rPr>
                <w:rFonts w:ascii="Arial" w:hAnsi="Arial" w:cs="Arial"/>
                <w:lang w:val="es-ES"/>
              </w:rPr>
            </w:pPr>
          </w:p>
        </w:tc>
      </w:tr>
      <w:tr w:rsidR="00412AFB" w:rsidRPr="00993936" w:rsidTr="00C8678E">
        <w:trPr>
          <w:cantSplit/>
          <w:jc w:val="center"/>
        </w:trPr>
        <w:tc>
          <w:tcPr>
            <w:tcW w:w="1379" w:type="pct"/>
          </w:tcPr>
          <w:p w:rsidR="00412AFB" w:rsidRPr="00993936" w:rsidRDefault="00412AFB" w:rsidP="00483A9B">
            <w:pPr>
              <w:pStyle w:val="Sinespaciado"/>
              <w:rPr>
                <w:rFonts w:ascii="Arial" w:hAnsi="Arial" w:cs="Arial"/>
                <w:i/>
                <w:lang w:val="es-ES"/>
              </w:rPr>
            </w:pPr>
            <w:r w:rsidRPr="00993936">
              <w:rPr>
                <w:rFonts w:ascii="Arial" w:hAnsi="Arial" w:cs="Arial"/>
                <w:i/>
                <w:lang w:val="es-ES"/>
              </w:rPr>
              <w:t>Phytophthora sp.</w:t>
            </w:r>
          </w:p>
        </w:tc>
        <w:tc>
          <w:tcPr>
            <w:tcW w:w="1738" w:type="pct"/>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2-fenilfenol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 + Tiabendazol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 + 2-fenilfenol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Imazallil + Tiabendazol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Propiconazole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Tebuconazole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Tiabendazole</w:t>
            </w:r>
          </w:p>
        </w:tc>
        <w:tc>
          <w:tcPr>
            <w:tcW w:w="1883" w:type="pct"/>
            <w:vMerge/>
            <w:vAlign w:val="center"/>
          </w:tcPr>
          <w:p w:rsidR="00412AFB" w:rsidRPr="00993936" w:rsidRDefault="00412AFB" w:rsidP="00483A9B">
            <w:pPr>
              <w:pStyle w:val="Sinespaciado"/>
              <w:rPr>
                <w:rFonts w:ascii="Arial" w:hAnsi="Arial" w:cs="Arial"/>
                <w:lang w:val="es-ES"/>
              </w:rPr>
            </w:pPr>
          </w:p>
        </w:tc>
      </w:tr>
      <w:tr w:rsidR="00412AFB" w:rsidRPr="00993936" w:rsidTr="00C8678E">
        <w:trPr>
          <w:cantSplit/>
          <w:jc w:val="center"/>
        </w:trPr>
        <w:tc>
          <w:tcPr>
            <w:tcW w:w="1379" w:type="pct"/>
          </w:tcPr>
          <w:p w:rsidR="00412AFB" w:rsidRPr="00993936" w:rsidRDefault="00412AFB" w:rsidP="00483A9B">
            <w:pPr>
              <w:pStyle w:val="Sinespaciado"/>
              <w:rPr>
                <w:rFonts w:ascii="Arial" w:hAnsi="Arial" w:cs="Arial"/>
                <w:i/>
                <w:lang w:val="es-ES"/>
              </w:rPr>
            </w:pPr>
            <w:r w:rsidRPr="00993936">
              <w:rPr>
                <w:rFonts w:ascii="Arial" w:hAnsi="Arial" w:cs="Arial"/>
                <w:i/>
                <w:lang w:val="es-ES"/>
              </w:rPr>
              <w:lastRenderedPageBreak/>
              <w:t>Rhizopus spp.</w:t>
            </w:r>
          </w:p>
        </w:tc>
        <w:tc>
          <w:tcPr>
            <w:tcW w:w="1738" w:type="pct"/>
          </w:tcPr>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2-fenilfenol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Fludioxinil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Fosetil-Al + Tiabendazol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Imazalil + 2-fenilfenol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Imazallil + Tiabendazol</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Propiconazole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Tebuconazole</w:t>
            </w:r>
          </w:p>
          <w:p w:rsidR="00412AFB" w:rsidRPr="00993936" w:rsidRDefault="00412AFB" w:rsidP="00483A9B">
            <w:pPr>
              <w:pStyle w:val="Sinespaciado"/>
              <w:rPr>
                <w:rFonts w:ascii="Arial" w:hAnsi="Arial" w:cs="Arial"/>
                <w:lang w:val="es-ES" w:eastAsia="ca-ES"/>
              </w:rPr>
            </w:pPr>
            <w:r w:rsidRPr="00993936">
              <w:rPr>
                <w:rFonts w:ascii="Arial" w:hAnsi="Arial" w:cs="Arial"/>
                <w:lang w:val="es-ES" w:eastAsia="ca-ES"/>
              </w:rPr>
              <w:t>Tiabendazole</w:t>
            </w:r>
          </w:p>
        </w:tc>
        <w:tc>
          <w:tcPr>
            <w:tcW w:w="1883" w:type="pct"/>
            <w:vMerge/>
            <w:vAlign w:val="center"/>
          </w:tcPr>
          <w:p w:rsidR="00412AFB" w:rsidRPr="00993936" w:rsidRDefault="00412AFB" w:rsidP="00483A9B">
            <w:pPr>
              <w:pStyle w:val="Sinespaciado"/>
              <w:rPr>
                <w:rFonts w:ascii="Arial" w:hAnsi="Arial" w:cs="Arial"/>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autoSpaceDE w:val="0"/>
        <w:autoSpaceDN w:val="0"/>
        <w:adjustRightInd w:val="0"/>
        <w:rPr>
          <w:rFonts w:ascii="Arial" w:hAnsi="Arial" w:cs="Arial"/>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2.6. Materias activas fitorreguladoras para la producción integrada de cítricos</w:t>
      </w:r>
    </w:p>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2"/>
        <w:gridCol w:w="3005"/>
        <w:gridCol w:w="3257"/>
      </w:tblGrid>
      <w:tr w:rsidR="00412AFB" w:rsidRPr="00993936" w:rsidTr="00C8678E">
        <w:trPr>
          <w:jc w:val="center"/>
        </w:trPr>
        <w:tc>
          <w:tcPr>
            <w:tcW w:w="1378"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USO</w:t>
            </w:r>
          </w:p>
        </w:tc>
        <w:tc>
          <w:tcPr>
            <w:tcW w:w="1738"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884"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378" w:type="pct"/>
          </w:tcPr>
          <w:p w:rsidR="00412AFB" w:rsidRPr="00993936" w:rsidRDefault="00412AFB" w:rsidP="00C8678E">
            <w:pPr>
              <w:rPr>
                <w:rFonts w:ascii="Arial" w:hAnsi="Arial" w:cs="Arial"/>
                <w:lang w:val="es-ES"/>
              </w:rPr>
            </w:pPr>
            <w:r w:rsidRPr="00993936">
              <w:rPr>
                <w:rFonts w:ascii="Arial" w:hAnsi="Arial" w:cs="Arial"/>
                <w:lang w:val="es-ES"/>
              </w:rPr>
              <w:t>Desverdización</w:t>
            </w:r>
          </w:p>
        </w:tc>
        <w:tc>
          <w:tcPr>
            <w:tcW w:w="1738" w:type="pct"/>
          </w:tcPr>
          <w:p w:rsidR="00412AFB" w:rsidRPr="00993936" w:rsidRDefault="00412AFB" w:rsidP="00C8678E">
            <w:pPr>
              <w:rPr>
                <w:rFonts w:ascii="Arial" w:hAnsi="Arial" w:cs="Arial"/>
                <w:lang w:val="es-ES" w:eastAsia="ca-ES"/>
              </w:rPr>
            </w:pPr>
            <w:r w:rsidRPr="00993936">
              <w:rPr>
                <w:rFonts w:ascii="Arial" w:hAnsi="Arial" w:cs="Arial"/>
                <w:lang w:val="es-ES" w:eastAsia="ca-ES"/>
              </w:rPr>
              <w:t>Etileno</w:t>
            </w:r>
          </w:p>
        </w:tc>
        <w:tc>
          <w:tcPr>
            <w:tcW w:w="1884" w:type="pct"/>
            <w:vAlign w:val="center"/>
          </w:tcPr>
          <w:p w:rsidR="00412AFB" w:rsidRPr="00993936" w:rsidRDefault="00412AFB" w:rsidP="00C8678E">
            <w:pPr>
              <w:rPr>
                <w:rFonts w:ascii="Arial" w:hAnsi="Arial" w:cs="Arial"/>
                <w:lang w:val="es-ES"/>
              </w:rPr>
            </w:pPr>
          </w:p>
        </w:tc>
      </w:tr>
      <w:tr w:rsidR="00412AFB" w:rsidRPr="00993936" w:rsidTr="00C8678E">
        <w:trPr>
          <w:cantSplit/>
          <w:jc w:val="center"/>
        </w:trPr>
        <w:tc>
          <w:tcPr>
            <w:tcW w:w="1378" w:type="pct"/>
          </w:tcPr>
          <w:p w:rsidR="00412AFB" w:rsidRPr="00993936" w:rsidRDefault="00412AFB" w:rsidP="00C8678E">
            <w:pPr>
              <w:rPr>
                <w:rFonts w:ascii="Arial" w:hAnsi="Arial" w:cs="Arial"/>
                <w:lang w:val="es-ES"/>
              </w:rPr>
            </w:pPr>
            <w:r w:rsidRPr="00993936">
              <w:rPr>
                <w:rFonts w:ascii="Arial" w:hAnsi="Arial" w:cs="Arial"/>
                <w:lang w:val="es-ES"/>
              </w:rPr>
              <w:t>Aumento tamaño fruto</w:t>
            </w:r>
          </w:p>
        </w:tc>
        <w:tc>
          <w:tcPr>
            <w:tcW w:w="1738" w:type="pct"/>
          </w:tcPr>
          <w:p w:rsidR="00412AFB" w:rsidRPr="00993936" w:rsidRDefault="00412AFB" w:rsidP="00C8678E">
            <w:pPr>
              <w:rPr>
                <w:rFonts w:ascii="Arial" w:hAnsi="Arial" w:cs="Arial"/>
                <w:lang w:val="es-ES" w:eastAsia="ca-ES"/>
              </w:rPr>
            </w:pPr>
            <w:r w:rsidRPr="00993936">
              <w:rPr>
                <w:rFonts w:ascii="Arial" w:hAnsi="Arial" w:cs="Arial"/>
                <w:lang w:val="es-ES" w:eastAsia="ca-ES"/>
              </w:rPr>
              <w:t>Ácido giberélico + MCPA</w:t>
            </w:r>
          </w:p>
        </w:tc>
        <w:tc>
          <w:tcPr>
            <w:tcW w:w="1884" w:type="pct"/>
            <w:vAlign w:val="center"/>
          </w:tcPr>
          <w:p w:rsidR="00412AFB" w:rsidRPr="00993936" w:rsidRDefault="00412AFB" w:rsidP="00C8678E">
            <w:pPr>
              <w:rPr>
                <w:rFonts w:ascii="Arial" w:hAnsi="Arial" w:cs="Arial"/>
                <w:lang w:val="es-ES"/>
              </w:rPr>
            </w:pPr>
          </w:p>
        </w:tc>
      </w:tr>
      <w:tr w:rsidR="00412AFB" w:rsidRPr="00993936" w:rsidTr="00C8678E">
        <w:trPr>
          <w:cantSplit/>
          <w:jc w:val="center"/>
        </w:trPr>
        <w:tc>
          <w:tcPr>
            <w:tcW w:w="1378" w:type="pct"/>
          </w:tcPr>
          <w:p w:rsidR="00412AFB" w:rsidRPr="00993936" w:rsidRDefault="00412AFB" w:rsidP="00C8678E">
            <w:pPr>
              <w:rPr>
                <w:rFonts w:ascii="Arial" w:hAnsi="Arial" w:cs="Arial"/>
                <w:lang w:val="es-ES"/>
              </w:rPr>
            </w:pPr>
            <w:r w:rsidRPr="00993936">
              <w:rPr>
                <w:rFonts w:ascii="Arial" w:hAnsi="Arial" w:cs="Arial"/>
                <w:lang w:val="es-ES"/>
              </w:rPr>
              <w:t>Evitar caída fruto</w:t>
            </w:r>
          </w:p>
        </w:tc>
        <w:tc>
          <w:tcPr>
            <w:tcW w:w="1738" w:type="pct"/>
          </w:tcPr>
          <w:p w:rsidR="00412AFB" w:rsidRPr="00993936" w:rsidRDefault="00412AFB" w:rsidP="00C8678E">
            <w:pPr>
              <w:rPr>
                <w:rFonts w:ascii="Arial" w:hAnsi="Arial" w:cs="Arial"/>
                <w:lang w:val="es-ES" w:eastAsia="ca-ES"/>
              </w:rPr>
            </w:pPr>
            <w:r w:rsidRPr="00993936">
              <w:rPr>
                <w:rFonts w:ascii="Arial" w:hAnsi="Arial" w:cs="Arial"/>
                <w:lang w:val="es-ES" w:eastAsia="ca-ES"/>
              </w:rPr>
              <w:t>Ácido giberélico + MCPA</w:t>
            </w:r>
          </w:p>
        </w:tc>
        <w:tc>
          <w:tcPr>
            <w:tcW w:w="1884" w:type="pct"/>
            <w:vAlign w:val="center"/>
          </w:tcPr>
          <w:p w:rsidR="00412AFB" w:rsidRPr="00993936" w:rsidRDefault="00412AFB" w:rsidP="00C8678E">
            <w:pPr>
              <w:rPr>
                <w:rFonts w:ascii="Arial" w:hAnsi="Arial" w:cs="Arial"/>
                <w:lang w:val="es-ES"/>
              </w:rPr>
            </w:pPr>
          </w:p>
        </w:tc>
      </w:tr>
      <w:tr w:rsidR="00412AFB" w:rsidRPr="00993936" w:rsidTr="00C8678E">
        <w:trPr>
          <w:cantSplit/>
          <w:jc w:val="center"/>
        </w:trPr>
        <w:tc>
          <w:tcPr>
            <w:tcW w:w="1378" w:type="pct"/>
          </w:tcPr>
          <w:p w:rsidR="00412AFB" w:rsidRPr="00993936" w:rsidRDefault="00412AFB" w:rsidP="00C8678E">
            <w:pPr>
              <w:rPr>
                <w:rFonts w:ascii="Arial" w:hAnsi="Arial" w:cs="Arial"/>
                <w:lang w:val="es-ES"/>
              </w:rPr>
            </w:pPr>
            <w:r w:rsidRPr="00993936">
              <w:rPr>
                <w:rFonts w:ascii="Arial" w:hAnsi="Arial" w:cs="Arial"/>
                <w:lang w:val="es-ES"/>
              </w:rPr>
              <w:t>Inducción de cuajado</w:t>
            </w:r>
          </w:p>
        </w:tc>
        <w:tc>
          <w:tcPr>
            <w:tcW w:w="1738" w:type="pct"/>
          </w:tcPr>
          <w:p w:rsidR="00412AFB" w:rsidRPr="00993936" w:rsidRDefault="00412AFB" w:rsidP="00C8678E">
            <w:pPr>
              <w:rPr>
                <w:rFonts w:ascii="Arial" w:hAnsi="Arial" w:cs="Arial"/>
                <w:lang w:val="es-ES" w:eastAsia="ca-ES"/>
              </w:rPr>
            </w:pPr>
            <w:r w:rsidRPr="00993936">
              <w:rPr>
                <w:rFonts w:ascii="Arial" w:hAnsi="Arial" w:cs="Arial"/>
                <w:lang w:val="es-ES" w:eastAsia="ca-ES"/>
              </w:rPr>
              <w:t>Ácido giberélico + MCPA</w:t>
            </w:r>
          </w:p>
        </w:tc>
        <w:tc>
          <w:tcPr>
            <w:tcW w:w="1884" w:type="pct"/>
            <w:vAlign w:val="center"/>
          </w:tcPr>
          <w:p w:rsidR="00412AFB" w:rsidRPr="00993936" w:rsidRDefault="00412AFB" w:rsidP="00C8678E">
            <w:pPr>
              <w:rPr>
                <w:rFonts w:ascii="Arial" w:hAnsi="Arial" w:cs="Arial"/>
                <w:lang w:val="es-ES"/>
              </w:rPr>
            </w:pPr>
          </w:p>
        </w:tc>
      </w:tr>
    </w:tbl>
    <w:p w:rsidR="00412AFB" w:rsidRPr="00993936" w:rsidRDefault="00412AFB" w:rsidP="00412AFB">
      <w:pPr>
        <w:jc w:val="center"/>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 xml:space="preserve">APÉNDICE II: PLAGAS Y ENFERMEDADES </w:t>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INSECTOS Y ÁCAROS</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Ácaro de las maravillas </w:t>
      </w:r>
      <w:r w:rsidRPr="00993936">
        <w:rPr>
          <w:rFonts w:ascii="Arial" w:hAnsi="Arial" w:cs="Arial"/>
          <w:snapToGrid w:val="0"/>
          <w:lang w:val="es-ES"/>
        </w:rPr>
        <w:t>(</w:t>
      </w:r>
      <w:r w:rsidRPr="00993936">
        <w:rPr>
          <w:rFonts w:ascii="Arial" w:hAnsi="Arial" w:cs="Arial"/>
          <w:i/>
          <w:snapToGrid w:val="0"/>
          <w:lang w:val="es-ES"/>
        </w:rPr>
        <w:t>Aceria Sheldoni</w:t>
      </w:r>
      <w:r w:rsidRPr="00993936">
        <w:rPr>
          <w:rFonts w:ascii="Arial" w:hAnsi="Arial" w:cs="Arial"/>
          <w:snapToGrid w:val="0"/>
          <w:lang w:val="es-E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24"/>
        <w:gridCol w:w="4220"/>
      </w:tblGrid>
      <w:tr w:rsidR="00412AFB" w:rsidRPr="00993936" w:rsidTr="00C8678E">
        <w:tc>
          <w:tcPr>
            <w:tcW w:w="2559"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441"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 Y/O CRITERIOS MÍNIMOS DE INTERVENCIÓN</w:t>
            </w:r>
          </w:p>
        </w:tc>
      </w:tr>
      <w:tr w:rsidR="00412AFB" w:rsidRPr="00993936" w:rsidTr="00C8678E">
        <w:tc>
          <w:tcPr>
            <w:tcW w:w="2559" w:type="pct"/>
          </w:tcPr>
          <w:p w:rsidR="00412AFB" w:rsidRPr="00993936" w:rsidRDefault="00412AFB" w:rsidP="00C8678E">
            <w:pPr>
              <w:rPr>
                <w:rFonts w:ascii="Arial" w:hAnsi="Arial" w:cs="Arial"/>
                <w:snapToGrid w:val="0"/>
                <w:lang w:val="es-ES"/>
              </w:rPr>
            </w:pPr>
            <w:r w:rsidRPr="00993936">
              <w:rPr>
                <w:rFonts w:ascii="Arial" w:hAnsi="Arial" w:cs="Arial"/>
                <w:snapToGrid w:val="0"/>
                <w:lang w:val="es-ES"/>
              </w:rPr>
              <w:t>De cada árbol se observan cuatro ramas de la brotación anterior, determinando la presencia de brotes afectados.</w:t>
            </w:r>
          </w:p>
        </w:tc>
        <w:tc>
          <w:tcPr>
            <w:tcW w:w="2441" w:type="pct"/>
          </w:tcPr>
          <w:p w:rsidR="00412AFB" w:rsidRPr="00993936" w:rsidRDefault="00412AFB" w:rsidP="00C8678E">
            <w:pPr>
              <w:rPr>
                <w:rFonts w:ascii="Arial" w:hAnsi="Arial" w:cs="Arial"/>
                <w:snapToGrid w:val="0"/>
                <w:lang w:val="es-ES"/>
              </w:rPr>
            </w:pPr>
            <w:r w:rsidRPr="00993936">
              <w:rPr>
                <w:rFonts w:ascii="Arial" w:hAnsi="Arial" w:cs="Arial"/>
                <w:snapToGrid w:val="0"/>
                <w:lang w:val="es-ES"/>
              </w:rPr>
              <w:t>En la brotación de primavera, antes de que los brotes alcancen los 5 cm, 20 % de brotes afectados.</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En verano, antes de la brotación de agosto, 20 % de brotes afectados.</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snapToGrid w:val="0"/>
          <w:lang w:val="es-ES"/>
        </w:rPr>
      </w:pPr>
      <w:r w:rsidRPr="00993936">
        <w:rPr>
          <w:rFonts w:ascii="Arial" w:hAnsi="Arial" w:cs="Arial"/>
          <w:b/>
          <w:snapToGrid w:val="0"/>
          <w:lang w:val="es-ES"/>
        </w:rPr>
        <w:t>Araña parda</w:t>
      </w:r>
      <w:r w:rsidRPr="00993936">
        <w:rPr>
          <w:rFonts w:ascii="Arial" w:hAnsi="Arial" w:cs="Arial"/>
          <w:snapToGrid w:val="0"/>
          <w:lang w:val="es-ES"/>
        </w:rPr>
        <w:t xml:space="preserve"> (</w:t>
      </w:r>
      <w:r w:rsidRPr="00993936">
        <w:rPr>
          <w:rFonts w:ascii="Arial" w:hAnsi="Arial" w:cs="Arial"/>
          <w:i/>
          <w:snapToGrid w:val="0"/>
          <w:lang w:val="es-ES"/>
        </w:rPr>
        <w:t>Panonychus citri</w:t>
      </w:r>
      <w:r w:rsidRPr="00993936">
        <w:rPr>
          <w:rFonts w:ascii="Arial" w:hAnsi="Arial" w:cs="Arial"/>
          <w:snapToGrid w:val="0"/>
          <w:lang w:val="es-E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9"/>
        <w:gridCol w:w="1911"/>
        <w:gridCol w:w="1998"/>
        <w:gridCol w:w="2426"/>
      </w:tblGrid>
      <w:tr w:rsidR="00412AFB" w:rsidRPr="00993936" w:rsidTr="00C8678E">
        <w:tc>
          <w:tcPr>
            <w:tcW w:w="1358"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r w:rsidR="00E03B3B" w:rsidRPr="00993936">
              <w:rPr>
                <w:rFonts w:ascii="Arial" w:hAnsi="Arial" w:cs="Arial"/>
                <w:b/>
                <w:snapToGrid w:val="0"/>
                <w:lang w:val="es-ES"/>
              </w:rPr>
              <w:t xml:space="preserve"> </w:t>
            </w:r>
          </w:p>
        </w:tc>
        <w:tc>
          <w:tcPr>
            <w:tcW w:w="1128"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 Y/O CRITERIOS MÍNIMOS DE INTERVENCIÓN</w:t>
            </w:r>
          </w:p>
        </w:tc>
        <w:tc>
          <w:tcPr>
            <w:tcW w:w="1178"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1336" w:type="pct"/>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c>
          <w:tcPr>
            <w:tcW w:w="1358" w:type="pct"/>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De cada árbol se observan cuatro hojas maduras de la última brotación y cuatro frutos, lo que determina la presencia de formas móviles de </w:t>
            </w:r>
            <w:r w:rsidRPr="00993936">
              <w:rPr>
                <w:rFonts w:ascii="Arial" w:hAnsi="Arial" w:cs="Arial"/>
                <w:i/>
                <w:snapToGrid w:val="0"/>
                <w:lang w:val="es-ES"/>
              </w:rPr>
              <w:t>P. Citri</w:t>
            </w:r>
            <w:r w:rsidRPr="00993936">
              <w:rPr>
                <w:rFonts w:ascii="Arial" w:hAnsi="Arial" w:cs="Arial"/>
                <w:snapToGrid w:val="0"/>
                <w:lang w:val="es-ES"/>
              </w:rPr>
              <w:t>.</w:t>
            </w:r>
            <w:r w:rsidR="00E03B3B" w:rsidRPr="00993936">
              <w:rPr>
                <w:rFonts w:ascii="Arial" w:hAnsi="Arial" w:cs="Arial"/>
                <w:snapToGrid w:val="0"/>
                <w:lang w:val="es-ES"/>
              </w:rPr>
              <w:t xml:space="preserve"> </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Asimismo, se observa la presencia de fitoseidos con cuatro hojas interiores.</w:t>
            </w:r>
          </w:p>
        </w:tc>
        <w:tc>
          <w:tcPr>
            <w:tcW w:w="1128" w:type="pct"/>
          </w:tcPr>
          <w:p w:rsidR="00412AFB" w:rsidRPr="00993936" w:rsidRDefault="00412AFB" w:rsidP="00C8678E">
            <w:pPr>
              <w:rPr>
                <w:rFonts w:ascii="Arial" w:hAnsi="Arial" w:cs="Arial"/>
                <w:snapToGrid w:val="0"/>
                <w:lang w:val="es-ES"/>
              </w:rPr>
            </w:pPr>
            <w:r w:rsidRPr="00993936">
              <w:rPr>
                <w:rFonts w:ascii="Arial" w:hAnsi="Arial" w:cs="Arial"/>
                <w:snapToGrid w:val="0"/>
                <w:lang w:val="es-ES"/>
              </w:rPr>
              <w:t>De marzo a junio y de agosto a octubre,</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&gt; 20 % de hojas o 2 % de frutos con formas móviles.</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De septiembre a noviembre, daños y formas móviles con frutos.</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El resto del año, &gt; 80 % de hojas ocupadas.</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No tratar si la presencia de fitoseidos &gt; 30 %. </w:t>
            </w:r>
          </w:p>
        </w:tc>
        <w:tc>
          <w:tcPr>
            <w:tcW w:w="1178" w:type="pct"/>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Amblyseius californicus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Conwentzia psociformis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Euseius stipulatus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Phytoseiulus persimilis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Stethorus punctillum</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Typhlodromus phialatus</w:t>
            </w:r>
          </w:p>
        </w:tc>
        <w:tc>
          <w:tcPr>
            <w:tcW w:w="1336" w:type="pct"/>
          </w:tcPr>
          <w:p w:rsidR="00412AFB" w:rsidRPr="00993936" w:rsidRDefault="00412AFB" w:rsidP="00C8678E">
            <w:pPr>
              <w:rPr>
                <w:rFonts w:ascii="Arial" w:hAnsi="Arial" w:cs="Arial"/>
                <w:snapToGrid w:val="0"/>
                <w:lang w:val="es-ES"/>
              </w:rPr>
            </w:pPr>
            <w:r w:rsidRPr="00993936">
              <w:rPr>
                <w:rFonts w:ascii="Arial" w:hAnsi="Arial" w:cs="Arial"/>
                <w:b/>
                <w:snapToGrid w:val="0"/>
                <w:lang w:val="es-ES"/>
              </w:rPr>
              <w:t>-</w:t>
            </w:r>
            <w:r w:rsidRPr="00993936">
              <w:rPr>
                <w:rFonts w:ascii="Arial" w:hAnsi="Arial" w:cs="Arial"/>
                <w:snapToGrid w:val="0"/>
                <w:lang w:val="es-ES"/>
              </w:rPr>
              <w:t>Tratar solamente los focos.</w:t>
            </w:r>
          </w:p>
        </w:tc>
      </w:tr>
    </w:tbl>
    <w:p w:rsidR="00412AFB" w:rsidRPr="00993936" w:rsidRDefault="00412AFB" w:rsidP="00412AFB">
      <w:pPr>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Araña roja </w:t>
      </w:r>
      <w:r w:rsidRPr="00993936">
        <w:rPr>
          <w:rFonts w:ascii="Arial" w:hAnsi="Arial" w:cs="Arial"/>
          <w:snapToGrid w:val="0"/>
          <w:lang w:val="es-ES"/>
        </w:rPr>
        <w:t>(</w:t>
      </w:r>
      <w:r w:rsidRPr="00993936">
        <w:rPr>
          <w:rFonts w:ascii="Arial" w:hAnsi="Arial" w:cs="Arial"/>
          <w:i/>
          <w:snapToGrid w:val="0"/>
          <w:lang w:val="es-ES"/>
        </w:rPr>
        <w:t>Tetranychus urticae</w:t>
      </w:r>
      <w:r w:rsidRPr="00993936">
        <w:rPr>
          <w:rFonts w:ascii="Arial" w:hAnsi="Arial" w:cs="Arial"/>
          <w:snapToGrid w:val="0"/>
          <w:lang w:val="es-E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92"/>
        <w:gridCol w:w="2263"/>
        <w:gridCol w:w="1563"/>
        <w:gridCol w:w="2426"/>
      </w:tblGrid>
      <w:tr w:rsidR="00412AFB" w:rsidRPr="00993936" w:rsidTr="00C8678E">
        <w:trPr>
          <w:jc w:val="center"/>
        </w:trPr>
        <w:tc>
          <w:tcPr>
            <w:tcW w:w="1537" w:type="pct"/>
            <w:shd w:val="pct20" w:color="auto" w:fill="FFFFFF"/>
            <w:vAlign w:val="center"/>
          </w:tcPr>
          <w:p w:rsidR="00412AFB" w:rsidRPr="00993936" w:rsidRDefault="00412AFB" w:rsidP="00C8678E">
            <w:pPr>
              <w:jc w:val="both"/>
              <w:rPr>
                <w:rFonts w:ascii="Arial" w:hAnsi="Arial" w:cs="Arial"/>
                <w:b/>
                <w:snapToGrid w:val="0"/>
                <w:lang w:val="es-ES"/>
              </w:rPr>
            </w:pPr>
            <w:r w:rsidRPr="00993936">
              <w:rPr>
                <w:rFonts w:ascii="Arial" w:hAnsi="Arial" w:cs="Arial"/>
                <w:b/>
                <w:snapToGrid w:val="0"/>
                <w:lang w:val="es-ES"/>
              </w:rPr>
              <w:t>NÚM. DE UNIDADES QUE MUESTREAR</w:t>
            </w:r>
          </w:p>
        </w:tc>
        <w:tc>
          <w:tcPr>
            <w:tcW w:w="1462" w:type="pct"/>
            <w:shd w:val="pct20" w:color="auto" w:fill="FFFFFF"/>
            <w:vAlign w:val="center"/>
          </w:tcPr>
          <w:p w:rsidR="00412AFB" w:rsidRPr="00993936" w:rsidRDefault="00412AFB" w:rsidP="00C8678E">
            <w:pPr>
              <w:jc w:val="both"/>
              <w:rPr>
                <w:rFonts w:ascii="Arial" w:hAnsi="Arial" w:cs="Arial"/>
                <w:b/>
                <w:snapToGrid w:val="0"/>
                <w:lang w:val="es-ES"/>
              </w:rPr>
            </w:pPr>
            <w:r w:rsidRPr="00993936">
              <w:rPr>
                <w:rFonts w:ascii="Arial" w:hAnsi="Arial" w:cs="Arial"/>
                <w:b/>
                <w:snapToGrid w:val="0"/>
                <w:lang w:val="es-ES"/>
              </w:rPr>
              <w:t>UMBRALES Y/O CRITERIOS MÍNIMOS DE INTERVENCIÓN</w:t>
            </w:r>
          </w:p>
        </w:tc>
        <w:tc>
          <w:tcPr>
            <w:tcW w:w="1057" w:type="pct"/>
            <w:shd w:val="pct20" w:color="auto" w:fill="FFFFFF"/>
            <w:vAlign w:val="center"/>
          </w:tcPr>
          <w:p w:rsidR="00412AFB" w:rsidRPr="00993936" w:rsidRDefault="00412AFB" w:rsidP="00C8678E">
            <w:pPr>
              <w:jc w:val="both"/>
              <w:rPr>
                <w:rFonts w:ascii="Arial" w:hAnsi="Arial" w:cs="Arial"/>
                <w:b/>
                <w:snapToGrid w:val="0"/>
                <w:lang w:val="es-ES"/>
              </w:rPr>
            </w:pPr>
            <w:r w:rsidRPr="00993936">
              <w:rPr>
                <w:rFonts w:ascii="Arial" w:hAnsi="Arial" w:cs="Arial"/>
                <w:b/>
                <w:snapToGrid w:val="0"/>
                <w:lang w:val="es-ES"/>
              </w:rPr>
              <w:t>AGENTES BIOLÓGICOS</w:t>
            </w:r>
          </w:p>
        </w:tc>
        <w:tc>
          <w:tcPr>
            <w:tcW w:w="944" w:type="pct"/>
            <w:shd w:val="pct20" w:color="auto" w:fill="FFFFFF"/>
            <w:vAlign w:val="center"/>
          </w:tcPr>
          <w:p w:rsidR="00412AFB" w:rsidRPr="00993936" w:rsidRDefault="00412AFB" w:rsidP="00C8678E">
            <w:pPr>
              <w:jc w:val="both"/>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1537" w:type="pct"/>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De cada árbol se observan cuatro hojas maduras de la última brotación y/o cuatro frutos, lo que determina la presencia de formas móviles de </w:t>
            </w:r>
            <w:r w:rsidRPr="00993936">
              <w:rPr>
                <w:rFonts w:ascii="Arial" w:hAnsi="Arial" w:cs="Arial"/>
                <w:i/>
                <w:snapToGrid w:val="0"/>
                <w:lang w:val="es-ES"/>
              </w:rPr>
              <w:t xml:space="preserve">T. Urticae </w:t>
            </w:r>
            <w:r w:rsidRPr="00993936">
              <w:rPr>
                <w:rFonts w:ascii="Arial" w:hAnsi="Arial" w:cs="Arial"/>
                <w:snapToGrid w:val="0"/>
                <w:lang w:val="es-ES"/>
              </w:rPr>
              <w:t>y fitoseidos.</w:t>
            </w:r>
          </w:p>
        </w:tc>
        <w:tc>
          <w:tcPr>
            <w:tcW w:w="1462" w:type="pct"/>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7 % de hojas con colonias con formas móviles (mayo/octubre).</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Presencia de daño en el fruto.</w:t>
            </w:r>
          </w:p>
        </w:tc>
        <w:tc>
          <w:tcPr>
            <w:tcW w:w="1057" w:type="pct"/>
          </w:tcPr>
          <w:p w:rsidR="00412AFB" w:rsidRPr="00993936" w:rsidRDefault="00412AFB" w:rsidP="00C8678E">
            <w:pPr>
              <w:jc w:val="both"/>
              <w:rPr>
                <w:rFonts w:ascii="Arial" w:hAnsi="Arial" w:cs="Arial"/>
                <w:i/>
                <w:snapToGrid w:val="0"/>
                <w:lang w:val="es-ES"/>
              </w:rPr>
            </w:pPr>
            <w:r w:rsidRPr="00993936">
              <w:rPr>
                <w:rFonts w:ascii="Arial" w:hAnsi="Arial" w:cs="Arial"/>
                <w:i/>
                <w:snapToGrid w:val="0"/>
                <w:lang w:val="es-ES"/>
              </w:rPr>
              <w:t>Amblyseius californicus</w:t>
            </w:r>
          </w:p>
          <w:p w:rsidR="00412AFB" w:rsidRPr="00993936" w:rsidRDefault="00412AFB" w:rsidP="00C8678E">
            <w:pPr>
              <w:jc w:val="both"/>
              <w:rPr>
                <w:rFonts w:ascii="Arial" w:hAnsi="Arial" w:cs="Arial"/>
                <w:i/>
                <w:snapToGrid w:val="0"/>
                <w:lang w:val="es-ES"/>
              </w:rPr>
            </w:pPr>
            <w:r w:rsidRPr="00993936">
              <w:rPr>
                <w:rFonts w:ascii="Arial" w:hAnsi="Arial" w:cs="Arial"/>
                <w:i/>
                <w:snapToGrid w:val="0"/>
                <w:lang w:val="es-ES"/>
              </w:rPr>
              <w:t>Conwentzia psociformis</w:t>
            </w:r>
          </w:p>
          <w:p w:rsidR="00412AFB" w:rsidRPr="00993936" w:rsidRDefault="00412AFB" w:rsidP="00C8678E">
            <w:pPr>
              <w:jc w:val="both"/>
              <w:rPr>
                <w:rFonts w:ascii="Arial" w:hAnsi="Arial" w:cs="Arial"/>
                <w:i/>
                <w:snapToGrid w:val="0"/>
                <w:lang w:val="es-ES"/>
              </w:rPr>
            </w:pPr>
            <w:r w:rsidRPr="00993936">
              <w:rPr>
                <w:rFonts w:ascii="Arial" w:hAnsi="Arial" w:cs="Arial"/>
                <w:i/>
                <w:snapToGrid w:val="0"/>
                <w:lang w:val="es-ES"/>
              </w:rPr>
              <w:t>Stethorus punctillum</w:t>
            </w:r>
          </w:p>
          <w:p w:rsidR="00412AFB" w:rsidRPr="00993936" w:rsidRDefault="00412AFB" w:rsidP="00C8678E">
            <w:pPr>
              <w:jc w:val="both"/>
              <w:rPr>
                <w:rFonts w:ascii="Arial" w:hAnsi="Arial" w:cs="Arial"/>
                <w:i/>
                <w:snapToGrid w:val="0"/>
                <w:lang w:val="es-ES"/>
              </w:rPr>
            </w:pPr>
          </w:p>
        </w:tc>
        <w:tc>
          <w:tcPr>
            <w:tcW w:w="944" w:type="pct"/>
          </w:tcPr>
          <w:p w:rsidR="00412AFB" w:rsidRPr="00993936" w:rsidRDefault="00412AFB" w:rsidP="00C8678E">
            <w:pPr>
              <w:jc w:val="both"/>
              <w:rPr>
                <w:rFonts w:ascii="Arial" w:hAnsi="Arial" w:cs="Arial"/>
                <w:snapToGrid w:val="0"/>
                <w:lang w:val="es-ES"/>
              </w:rPr>
            </w:pPr>
            <w:r w:rsidRPr="00993936">
              <w:rPr>
                <w:rFonts w:ascii="Arial" w:hAnsi="Arial" w:cs="Arial"/>
                <w:b/>
                <w:snapToGrid w:val="0"/>
                <w:lang w:val="es-ES"/>
              </w:rPr>
              <w:t xml:space="preserve">- </w:t>
            </w:r>
            <w:r w:rsidRPr="00993936">
              <w:rPr>
                <w:rFonts w:ascii="Arial" w:hAnsi="Arial" w:cs="Arial"/>
                <w:snapToGrid w:val="0"/>
                <w:lang w:val="es-ES"/>
              </w:rPr>
              <w:t xml:space="preserve">Tratar solamente los focos. </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snapToGrid w:val="0"/>
          <w:lang w:val="es-ES"/>
        </w:rPr>
      </w:pPr>
      <w:r w:rsidRPr="00993936">
        <w:rPr>
          <w:rFonts w:ascii="Arial" w:hAnsi="Arial" w:cs="Arial"/>
          <w:b/>
          <w:snapToGrid w:val="0"/>
          <w:lang w:val="es-ES"/>
        </w:rPr>
        <w:t xml:space="preserve">Piojo rojo de California </w:t>
      </w:r>
      <w:r w:rsidRPr="00993936">
        <w:rPr>
          <w:rFonts w:ascii="Arial" w:hAnsi="Arial" w:cs="Arial"/>
          <w:snapToGrid w:val="0"/>
          <w:lang w:val="es-ES"/>
        </w:rPr>
        <w:t>(</w:t>
      </w:r>
      <w:r w:rsidRPr="00993936">
        <w:rPr>
          <w:rFonts w:ascii="Arial" w:hAnsi="Arial" w:cs="Arial"/>
          <w:i/>
          <w:snapToGrid w:val="0"/>
          <w:lang w:val="es-ES"/>
        </w:rPr>
        <w:t>Aonidiella aurantii</w:t>
      </w:r>
      <w:r w:rsidRPr="00993936">
        <w:rPr>
          <w:rFonts w:ascii="Arial" w:hAnsi="Arial" w:cs="Arial"/>
          <w:snapToGrid w:val="0"/>
          <w:lang w:val="es-E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2304"/>
        <w:gridCol w:w="1610"/>
        <w:gridCol w:w="2426"/>
      </w:tblGrid>
      <w:tr w:rsidR="00412AFB" w:rsidRPr="00993936" w:rsidTr="00C8678E">
        <w:trPr>
          <w:jc w:val="center"/>
        </w:trPr>
        <w:tc>
          <w:tcPr>
            <w:tcW w:w="1451"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1451"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1049"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1049" w:type="pct"/>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1451" w:type="pct"/>
          </w:tcPr>
          <w:p w:rsidR="00412AFB" w:rsidRPr="00993936" w:rsidRDefault="00412AFB" w:rsidP="00C8678E">
            <w:pPr>
              <w:rPr>
                <w:rFonts w:ascii="Arial" w:hAnsi="Arial" w:cs="Arial"/>
                <w:snapToGrid w:val="0"/>
                <w:lang w:val="es-ES"/>
              </w:rPr>
            </w:pPr>
            <w:r w:rsidRPr="00993936">
              <w:rPr>
                <w:rFonts w:ascii="Arial" w:hAnsi="Arial" w:cs="Arial"/>
                <w:snapToGrid w:val="0"/>
                <w:lang w:val="es-ES"/>
              </w:rPr>
              <w:t>De cada árbol se observan diez frutos, ocho exteriores y dos interiores, lo que determina el porcentaje de frutos afectados (más de tres individuos por fruto).</w:t>
            </w:r>
          </w:p>
        </w:tc>
        <w:tc>
          <w:tcPr>
            <w:tcW w:w="1451" w:type="pct"/>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2 % de fruta afectada en cosecha previa </w:t>
            </w:r>
            <w:r w:rsidRPr="00993936">
              <w:rPr>
                <w:rFonts w:ascii="Arial" w:hAnsi="Arial" w:cs="Arial"/>
                <w:b/>
                <w:snapToGrid w:val="0"/>
                <w:lang w:val="es-ES"/>
              </w:rPr>
              <w:t xml:space="preserve">(1) </w:t>
            </w:r>
            <w:r w:rsidRPr="00993936">
              <w:rPr>
                <w:rFonts w:ascii="Arial" w:hAnsi="Arial" w:cs="Arial"/>
                <w:snapToGrid w:val="0"/>
                <w:lang w:val="es-ES"/>
              </w:rPr>
              <w:t>.</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Tratar preferentemente en 1.ª generación.</w:t>
            </w:r>
          </w:p>
        </w:tc>
        <w:tc>
          <w:tcPr>
            <w:tcW w:w="1049" w:type="pct"/>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Aphytis melinus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Aphytis chrysomphali</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Aphytis lingnanensis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Comperiella bifasciata</w:t>
            </w:r>
          </w:p>
        </w:tc>
        <w:tc>
          <w:tcPr>
            <w:tcW w:w="1049" w:type="pct"/>
          </w:tcPr>
          <w:p w:rsidR="00412AFB" w:rsidRPr="00993936" w:rsidRDefault="00412AFB" w:rsidP="00C8678E">
            <w:pPr>
              <w:rPr>
                <w:rFonts w:ascii="Arial" w:hAnsi="Arial" w:cs="Arial"/>
                <w:snapToGrid w:val="0"/>
                <w:lang w:val="es-ES"/>
              </w:rPr>
            </w:pPr>
            <w:r w:rsidRPr="00993936">
              <w:rPr>
                <w:rFonts w:ascii="Arial" w:hAnsi="Arial" w:cs="Arial"/>
                <w:b/>
                <w:snapToGrid w:val="0"/>
                <w:lang w:val="es-ES"/>
              </w:rPr>
              <w:t xml:space="preserve">- </w:t>
            </w:r>
            <w:r w:rsidRPr="00993936">
              <w:rPr>
                <w:rFonts w:ascii="Arial" w:hAnsi="Arial" w:cs="Arial"/>
                <w:snapToGrid w:val="0"/>
                <w:lang w:val="es-ES"/>
              </w:rPr>
              <w:t xml:space="preserve">Poda de aireación. </w:t>
            </w:r>
          </w:p>
        </w:tc>
      </w:tr>
    </w:tbl>
    <w:p w:rsidR="00412AFB" w:rsidRPr="00993936" w:rsidRDefault="00412AFB" w:rsidP="009D1A2D">
      <w:pPr>
        <w:numPr>
          <w:ilvl w:val="0"/>
          <w:numId w:val="27"/>
        </w:numPr>
        <w:spacing w:after="0" w:line="240" w:lineRule="auto"/>
        <w:rPr>
          <w:rFonts w:ascii="Arial" w:hAnsi="Arial" w:cs="Arial"/>
          <w:snapToGrid w:val="0"/>
          <w:lang w:val="es-ES"/>
        </w:rPr>
      </w:pPr>
      <w:r w:rsidRPr="00993936">
        <w:rPr>
          <w:rFonts w:ascii="Arial" w:hAnsi="Arial" w:cs="Arial"/>
          <w:snapToGrid w:val="0"/>
          <w:lang w:val="es-ES"/>
        </w:rPr>
        <w:t>Observar durante el tiempo de recolección doscientos frutos al azar controlando el porcentaje de frutos afectados.</w:t>
      </w:r>
    </w:p>
    <w:p w:rsidR="00412AFB" w:rsidRPr="00993936" w:rsidRDefault="00412AFB" w:rsidP="00412AFB">
      <w:pPr>
        <w:rPr>
          <w:rFonts w:ascii="Arial" w:hAnsi="Arial" w:cs="Arial"/>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snapToGrid w:val="0"/>
          <w:lang w:val="es-ES"/>
        </w:rPr>
      </w:pPr>
      <w:r w:rsidRPr="00993936">
        <w:rPr>
          <w:rFonts w:ascii="Arial" w:hAnsi="Arial" w:cs="Arial"/>
          <w:b/>
          <w:snapToGrid w:val="0"/>
          <w:lang w:val="es-ES"/>
        </w:rPr>
        <w:lastRenderedPageBreak/>
        <w:t xml:space="preserve"> Piojo blanco </w:t>
      </w:r>
      <w:r w:rsidRPr="00993936">
        <w:rPr>
          <w:rFonts w:ascii="Arial" w:hAnsi="Arial" w:cs="Arial"/>
          <w:snapToGrid w:val="0"/>
          <w:lang w:val="es-ES"/>
        </w:rPr>
        <w:t>(</w:t>
      </w:r>
      <w:r w:rsidRPr="00993936">
        <w:rPr>
          <w:rFonts w:ascii="Arial" w:hAnsi="Arial" w:cs="Arial"/>
          <w:i/>
          <w:snapToGrid w:val="0"/>
          <w:lang w:val="es-ES"/>
        </w:rPr>
        <w:t>Aspidiotus nerii</w:t>
      </w:r>
      <w:r w:rsidRPr="00993936">
        <w:rPr>
          <w:rFonts w:ascii="Arial" w:hAnsi="Arial" w:cs="Arial"/>
          <w:snapToGrid w:val="0"/>
          <w:lang w:val="es-ES"/>
        </w:rPr>
        <w:t xml:space="preserve">) (Limonero)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2"/>
        <w:gridCol w:w="2262"/>
        <w:gridCol w:w="1694"/>
        <w:gridCol w:w="2426"/>
      </w:tblGrid>
      <w:tr w:rsidR="00412AFB" w:rsidRPr="00993936" w:rsidTr="00C8678E">
        <w:trPr>
          <w:jc w:val="center"/>
        </w:trPr>
        <w:tc>
          <w:tcPr>
            <w:tcW w:w="1451"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1451"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1049" w:type="pct"/>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1049" w:type="pct"/>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1451" w:type="pct"/>
          </w:tcPr>
          <w:p w:rsidR="00412AFB" w:rsidRPr="00993936" w:rsidRDefault="00412AFB" w:rsidP="00C8678E">
            <w:pPr>
              <w:rPr>
                <w:rFonts w:ascii="Arial" w:hAnsi="Arial" w:cs="Arial"/>
                <w:snapToGrid w:val="0"/>
                <w:lang w:val="es-ES"/>
              </w:rPr>
            </w:pPr>
            <w:r w:rsidRPr="00993936">
              <w:rPr>
                <w:rFonts w:ascii="Arial" w:hAnsi="Arial" w:cs="Arial"/>
                <w:snapToGrid w:val="0"/>
                <w:lang w:val="es-ES"/>
              </w:rPr>
              <w:t>De cada árbol se observan diez frutos, ocho exteriores y dos interiores, lo que determina el porcentaje de frutos afectados (más de tres individuos por fruto).</w:t>
            </w:r>
          </w:p>
        </w:tc>
        <w:tc>
          <w:tcPr>
            <w:tcW w:w="1451" w:type="pct"/>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Tratar en 1.ª generación si en la cosecha del año anterior </w:t>
            </w:r>
            <w:r w:rsidRPr="00993936">
              <w:rPr>
                <w:rFonts w:ascii="Arial" w:hAnsi="Arial" w:cs="Arial"/>
                <w:b/>
                <w:snapToGrid w:val="0"/>
                <w:lang w:val="es-ES"/>
              </w:rPr>
              <w:t>(1)</w:t>
            </w:r>
            <w:r w:rsidR="00962CCD" w:rsidRPr="00993936">
              <w:rPr>
                <w:rFonts w:ascii="Arial" w:hAnsi="Arial" w:cs="Arial"/>
                <w:b/>
                <w:snapToGrid w:val="0"/>
                <w:lang w:val="es-ES"/>
              </w:rPr>
              <w:t xml:space="preserve"> </w:t>
            </w:r>
            <w:r w:rsidRPr="00993936">
              <w:rPr>
                <w:rFonts w:ascii="Arial" w:hAnsi="Arial" w:cs="Arial"/>
                <w:snapToGrid w:val="0"/>
                <w:lang w:val="es-ES"/>
              </w:rPr>
              <w:t>había 5 % de frutos afectados, cuando haya un 50 % de hembras con huevos con un máximo de formas sensibles, antes de cerrarse el cáliz.</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En 2.ª generación, tratar con 2 % de frutos afectados como máximo de formas sensibles.</w:t>
            </w:r>
          </w:p>
        </w:tc>
        <w:tc>
          <w:tcPr>
            <w:tcW w:w="1049" w:type="pct"/>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Aphytis chilensis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Aphytis melinus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Aphytis lingnanensis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Aphytis proclive</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Aspidiotiphagus citrinus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Lindorus lophanthae</w:t>
            </w:r>
          </w:p>
        </w:tc>
        <w:tc>
          <w:tcPr>
            <w:tcW w:w="1049" w:type="pct"/>
          </w:tcPr>
          <w:p w:rsidR="00412AFB" w:rsidRPr="00993936" w:rsidRDefault="00412AFB" w:rsidP="00C8678E">
            <w:pPr>
              <w:rPr>
                <w:rFonts w:ascii="Arial" w:hAnsi="Arial" w:cs="Arial"/>
                <w:snapToGrid w:val="0"/>
                <w:lang w:val="es-ES"/>
              </w:rPr>
            </w:pPr>
            <w:r w:rsidRPr="00993936">
              <w:rPr>
                <w:rFonts w:ascii="Arial" w:hAnsi="Arial" w:cs="Arial"/>
                <w:b/>
                <w:snapToGrid w:val="0"/>
                <w:lang w:val="es-ES"/>
              </w:rPr>
              <w:t xml:space="preserve">- </w:t>
            </w:r>
            <w:r w:rsidRPr="00993936">
              <w:rPr>
                <w:rFonts w:ascii="Arial" w:hAnsi="Arial" w:cs="Arial"/>
                <w:snapToGrid w:val="0"/>
                <w:lang w:val="es-ES"/>
              </w:rPr>
              <w:t xml:space="preserve">Poda de aireación. </w:t>
            </w:r>
          </w:p>
        </w:tc>
      </w:tr>
    </w:tbl>
    <w:p w:rsidR="00412AFB" w:rsidRPr="00993936" w:rsidRDefault="00412AFB" w:rsidP="009D1A2D">
      <w:pPr>
        <w:numPr>
          <w:ilvl w:val="0"/>
          <w:numId w:val="28"/>
        </w:numPr>
        <w:spacing w:after="0" w:line="240" w:lineRule="auto"/>
        <w:rPr>
          <w:rFonts w:ascii="Arial" w:hAnsi="Arial" w:cs="Arial"/>
          <w:snapToGrid w:val="0"/>
          <w:lang w:val="es-ES"/>
        </w:rPr>
      </w:pPr>
      <w:r w:rsidRPr="00993936">
        <w:rPr>
          <w:rFonts w:ascii="Arial" w:hAnsi="Arial" w:cs="Arial"/>
          <w:snapToGrid w:val="0"/>
          <w:lang w:val="es-ES"/>
        </w:rPr>
        <w:t>Observar en el tiempo de recolección 200 frutos al azar controlando el porcentaje de frutos afectados.</w:t>
      </w: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b/>
          <w:snapToGrid w:val="0"/>
          <w:lang w:val="en-US"/>
        </w:rPr>
      </w:pPr>
      <w:r w:rsidRPr="00993936">
        <w:rPr>
          <w:rFonts w:ascii="Arial" w:hAnsi="Arial" w:cs="Arial"/>
          <w:b/>
          <w:snapToGrid w:val="0"/>
          <w:lang w:val="en-US"/>
        </w:rPr>
        <w:t xml:space="preserve">Serpetas </w:t>
      </w:r>
      <w:r w:rsidRPr="00993936">
        <w:rPr>
          <w:rFonts w:ascii="Arial" w:hAnsi="Arial" w:cs="Arial"/>
          <w:snapToGrid w:val="0"/>
          <w:lang w:val="en-US"/>
        </w:rPr>
        <w:t>(C</w:t>
      </w:r>
      <w:r w:rsidRPr="00993936">
        <w:rPr>
          <w:rFonts w:ascii="Arial" w:hAnsi="Arial" w:cs="Arial"/>
          <w:i/>
          <w:snapToGrid w:val="0"/>
          <w:lang w:val="en-US"/>
        </w:rPr>
        <w:t>ornuaspis beckii, Cornuaspis gloverii</w:t>
      </w:r>
      <w:r w:rsidRPr="00993936">
        <w:rPr>
          <w:rFonts w:ascii="Arial" w:hAnsi="Arial" w:cs="Arial"/>
          <w:snapToGrid w:val="0"/>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126"/>
        <w:gridCol w:w="2127"/>
      </w:tblGrid>
      <w:tr w:rsidR="00412AFB" w:rsidRPr="00993936" w:rsidTr="00C8678E">
        <w:trPr>
          <w:jc w:val="center"/>
        </w:trPr>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2126"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21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De cada árbol se observan diez frutos, ocho exteriores y dos interiores, lo que determina el porcentaje de frutos afectados (más de tres individuos por fruto).</w:t>
            </w:r>
          </w:p>
        </w:tc>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Si se observa 2 % o más de fruta afectada en la campaña anterior, tratar en 1.ª generación el máximo de formas sensibles.</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Si en cosecha pendiente se observa la presencia de plaga en más del 2 % de los frutos, tratar con 2.ª generación.</w:t>
            </w:r>
          </w:p>
        </w:tc>
        <w:tc>
          <w:tcPr>
            <w:tcW w:w="2126" w:type="dxa"/>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Aphytis lepidoosapphes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Chilocorus bipostulatus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Encarsia elongata</w:t>
            </w:r>
          </w:p>
        </w:tc>
        <w:tc>
          <w:tcPr>
            <w:tcW w:w="2127" w:type="dxa"/>
          </w:tcPr>
          <w:p w:rsidR="00412AFB" w:rsidRPr="00993936" w:rsidRDefault="00412AFB" w:rsidP="00C8678E">
            <w:pPr>
              <w:rPr>
                <w:rFonts w:ascii="Arial" w:hAnsi="Arial" w:cs="Arial"/>
                <w:snapToGrid w:val="0"/>
                <w:lang w:val="es-ES"/>
              </w:rPr>
            </w:pPr>
            <w:r w:rsidRPr="00993936">
              <w:rPr>
                <w:rFonts w:ascii="Arial" w:hAnsi="Arial" w:cs="Arial"/>
                <w:b/>
                <w:snapToGrid w:val="0"/>
                <w:lang w:val="es-ES"/>
              </w:rPr>
              <w:t xml:space="preserve">- </w:t>
            </w:r>
            <w:r w:rsidRPr="00993936">
              <w:rPr>
                <w:rFonts w:ascii="Arial" w:hAnsi="Arial" w:cs="Arial"/>
                <w:snapToGrid w:val="0"/>
                <w:lang w:val="es-ES"/>
              </w:rPr>
              <w:t xml:space="preserve">Poda de aireación antes del tratamiento de la 1.ª generación. </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Piojo gris (</w:t>
      </w:r>
      <w:r w:rsidRPr="00993936">
        <w:rPr>
          <w:rFonts w:ascii="Arial" w:hAnsi="Arial" w:cs="Arial"/>
          <w:i/>
          <w:snapToGrid w:val="0"/>
          <w:lang w:val="es-ES"/>
        </w:rPr>
        <w:t>Parlatoria pergandei</w:t>
      </w:r>
      <w:r w:rsidRPr="00993936">
        <w:rPr>
          <w:rFonts w:ascii="Arial" w:hAnsi="Arial" w:cs="Arial"/>
          <w:snapToGrid w:val="0"/>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126"/>
        <w:gridCol w:w="2127"/>
      </w:tblGrid>
      <w:tr w:rsidR="00412AFB" w:rsidRPr="00993936" w:rsidTr="00C8678E">
        <w:trPr>
          <w:jc w:val="center"/>
        </w:trPr>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2126"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21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De cada árbol se observan diez frutos, ocho exteriores y dos interiores, lo que determina el porcentaje de frutos afectados (más de tres individuos por fruto).</w:t>
            </w:r>
          </w:p>
        </w:tc>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Si se observa más de un 2 % de fruta atacada en la cosecha anterior </w:t>
            </w:r>
            <w:r w:rsidRPr="00993936">
              <w:rPr>
                <w:rFonts w:ascii="Arial" w:hAnsi="Arial" w:cs="Arial"/>
                <w:b/>
                <w:snapToGrid w:val="0"/>
                <w:lang w:val="es-ES"/>
              </w:rPr>
              <w:t xml:space="preserve">(1), </w:t>
            </w:r>
            <w:r w:rsidRPr="00993936">
              <w:rPr>
                <w:rFonts w:ascii="Arial" w:hAnsi="Arial" w:cs="Arial"/>
                <w:snapToGrid w:val="0"/>
                <w:lang w:val="es-ES"/>
              </w:rPr>
              <w:t>tratar el máximo de formas sensibles con 1.ª generación.</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Si en cosecha pendiente se observa presencia de plaga en más del 2 % de los frutos, tratar con 2.ª generación el máximo de formas sensibles.</w:t>
            </w:r>
          </w:p>
        </w:tc>
        <w:tc>
          <w:tcPr>
            <w:tcW w:w="2126" w:type="dxa"/>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 xml:space="preserve">Aphytis hispanicus </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Chilocorus bipostulatus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Encarsia inquirenda</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Lindorus lophanthae</w:t>
            </w:r>
          </w:p>
        </w:tc>
        <w:tc>
          <w:tcPr>
            <w:tcW w:w="2127" w:type="dxa"/>
          </w:tcPr>
          <w:p w:rsidR="00412AFB" w:rsidRPr="00993936" w:rsidRDefault="00412AFB" w:rsidP="00C8678E">
            <w:pPr>
              <w:rPr>
                <w:rFonts w:ascii="Arial" w:hAnsi="Arial" w:cs="Arial"/>
                <w:snapToGrid w:val="0"/>
                <w:lang w:val="es-ES"/>
              </w:rPr>
            </w:pPr>
            <w:r w:rsidRPr="00993936">
              <w:rPr>
                <w:rFonts w:ascii="Arial" w:hAnsi="Arial" w:cs="Arial"/>
                <w:b/>
                <w:snapToGrid w:val="0"/>
                <w:lang w:val="es-ES"/>
              </w:rPr>
              <w:t xml:space="preserve">- </w:t>
            </w:r>
            <w:r w:rsidRPr="00993936">
              <w:rPr>
                <w:rFonts w:ascii="Arial" w:hAnsi="Arial" w:cs="Arial"/>
                <w:snapToGrid w:val="0"/>
                <w:lang w:val="es-ES"/>
              </w:rPr>
              <w:t xml:space="preserve">Poda de aireación. </w:t>
            </w:r>
          </w:p>
        </w:tc>
      </w:tr>
    </w:tbl>
    <w:p w:rsidR="00412AFB" w:rsidRPr="00993936" w:rsidRDefault="00412AFB" w:rsidP="009D1A2D">
      <w:pPr>
        <w:numPr>
          <w:ilvl w:val="0"/>
          <w:numId w:val="29"/>
        </w:numPr>
        <w:spacing w:after="0" w:line="240" w:lineRule="auto"/>
        <w:rPr>
          <w:rFonts w:ascii="Arial" w:hAnsi="Arial" w:cs="Arial"/>
          <w:snapToGrid w:val="0"/>
          <w:lang w:val="es-ES"/>
        </w:rPr>
      </w:pPr>
      <w:r w:rsidRPr="00993936">
        <w:rPr>
          <w:rFonts w:ascii="Arial" w:hAnsi="Arial" w:cs="Arial"/>
          <w:snapToGrid w:val="0"/>
          <w:lang w:val="es-ES"/>
        </w:rPr>
        <w:t>Observar en el tiempo de recolección 200 frutos al azar controlando el porcentaje de frutos afectados.</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snapToGrid w:val="0"/>
          <w:lang w:val="es-ES"/>
        </w:rPr>
      </w:pPr>
      <w:r w:rsidRPr="00993936">
        <w:rPr>
          <w:rFonts w:ascii="Arial" w:hAnsi="Arial" w:cs="Arial"/>
          <w:b/>
          <w:snapToGrid w:val="0"/>
          <w:lang w:val="es-ES"/>
        </w:rPr>
        <w:t xml:space="preserve">Cochinillas </w:t>
      </w:r>
      <w:r w:rsidRPr="00993936">
        <w:rPr>
          <w:rFonts w:ascii="Arial" w:hAnsi="Arial" w:cs="Arial"/>
          <w:snapToGrid w:val="0"/>
          <w:lang w:val="es-ES"/>
        </w:rPr>
        <w:t>(</w:t>
      </w:r>
      <w:r w:rsidRPr="00993936">
        <w:rPr>
          <w:rFonts w:ascii="Arial" w:hAnsi="Arial" w:cs="Arial"/>
          <w:i/>
          <w:snapToGrid w:val="0"/>
          <w:lang w:val="es-ES"/>
        </w:rPr>
        <w:t>Saissetia oleae, Ceroplastes sinensis, Ceroplastes floridensis...</w:t>
      </w:r>
      <w:r w:rsidRPr="00993936">
        <w:rPr>
          <w:rFonts w:ascii="Arial" w:hAnsi="Arial" w:cs="Arial"/>
          <w:snapToGrid w:val="0"/>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305"/>
        <w:gridCol w:w="1948"/>
      </w:tblGrid>
      <w:tr w:rsidR="00412AFB" w:rsidRPr="00993936" w:rsidTr="00C8678E">
        <w:trPr>
          <w:jc w:val="center"/>
        </w:trPr>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230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1948"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Observar 4 brotes con sus hojas, determinando el momento en que se detecte el máximo de formas sensibles (L1 hasta L3)</w:t>
            </w:r>
          </w:p>
          <w:p w:rsidR="00412AFB" w:rsidRPr="00993936" w:rsidRDefault="00412AFB" w:rsidP="00C8678E">
            <w:pPr>
              <w:rPr>
                <w:rFonts w:ascii="Arial" w:hAnsi="Arial" w:cs="Arial"/>
                <w:snapToGrid w:val="0"/>
                <w:lang w:val="es-ES"/>
              </w:rPr>
            </w:pPr>
          </w:p>
          <w:p w:rsidR="00412AFB" w:rsidRPr="00993936" w:rsidRDefault="00412AFB" w:rsidP="00C8678E">
            <w:pPr>
              <w:rPr>
                <w:rFonts w:ascii="Arial" w:hAnsi="Arial" w:cs="Arial"/>
                <w:snapToGrid w:val="0"/>
                <w:lang w:val="es-ES"/>
              </w:rPr>
            </w:pPr>
            <w:r w:rsidRPr="00993936">
              <w:rPr>
                <w:rFonts w:ascii="Arial" w:hAnsi="Arial" w:cs="Arial"/>
                <w:snapToGrid w:val="0"/>
                <w:lang w:val="es-ES"/>
              </w:rPr>
              <w:t>En julio muestrear 6 ramas, desde la punta hasta la madera vieja.</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Número de árboles: 50 % más o doble de lo establecido. </w:t>
            </w:r>
          </w:p>
        </w:tc>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Con preferencia, se tratará la 1.ª generación, hasta el estado L3, cuando sobrepase un insecto vivo por rama.</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En julio-septiembre, con el mismo umbral anterior, cuando se llegue al 100 % de los huevos avivados y un 0,2-0,5 hembras/brote según la humedad ambiental en eclosión. </w:t>
            </w:r>
          </w:p>
        </w:tc>
        <w:tc>
          <w:tcPr>
            <w:tcW w:w="2305" w:type="dxa"/>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Chilocorus bipustulatus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Coccophagus scutellaris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Coccophagus lycimnia</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Metaphycus sp.</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Scutellista cyanea</w:t>
            </w:r>
          </w:p>
        </w:tc>
        <w:tc>
          <w:tcPr>
            <w:tcW w:w="194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-Poda de aireación. </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 Contar hembras adultas vivas (color negro brillante) que tengan el interior blanco (100 % de coriones vacíos)</w:t>
            </w:r>
          </w:p>
        </w:tc>
      </w:tr>
    </w:tbl>
    <w:p w:rsidR="00412AFB" w:rsidRPr="00993936" w:rsidRDefault="00412AFB" w:rsidP="00412AFB">
      <w:pPr>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Cotonet </w:t>
      </w:r>
      <w:r w:rsidRPr="00993936">
        <w:rPr>
          <w:rFonts w:ascii="Arial" w:hAnsi="Arial" w:cs="Arial"/>
          <w:snapToGrid w:val="0"/>
          <w:lang w:val="es-ES"/>
        </w:rPr>
        <w:t>(</w:t>
      </w:r>
      <w:r w:rsidRPr="00993936">
        <w:rPr>
          <w:rFonts w:ascii="Arial" w:hAnsi="Arial" w:cs="Arial"/>
          <w:i/>
          <w:snapToGrid w:val="0"/>
          <w:lang w:val="es-ES"/>
        </w:rPr>
        <w:t>Planococcus citri)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305"/>
        <w:gridCol w:w="1948"/>
      </w:tblGrid>
      <w:tr w:rsidR="00412AFB" w:rsidRPr="00993936" w:rsidTr="00C8678E">
        <w:trPr>
          <w:jc w:val="center"/>
        </w:trPr>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230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1948"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Observar su presencia sobre frutos. De cada árbol se observan cuatro frutos. </w:t>
            </w:r>
          </w:p>
        </w:tc>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Utilizar la lucha biológica para suelta de fauna útil en la 1.ª generación. </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A partir del envero, si se sobrepasa el 10 % de frutos atacados.</w:t>
            </w:r>
          </w:p>
        </w:tc>
        <w:tc>
          <w:tcPr>
            <w:tcW w:w="2305" w:type="dxa"/>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Cryptolaemus montrouzieri</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Leptomastidea abnormis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Leptomastix dactylopii</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Scymnus sp.</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Anagyrus pseudococci</w:t>
            </w:r>
          </w:p>
        </w:tc>
        <w:tc>
          <w:tcPr>
            <w:tcW w:w="194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Controlar los niveles de hormigas.</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Cochinilla acanalada </w:t>
      </w:r>
      <w:r w:rsidRPr="00993936">
        <w:rPr>
          <w:rFonts w:ascii="Arial" w:hAnsi="Arial" w:cs="Arial"/>
          <w:snapToGrid w:val="0"/>
          <w:lang w:val="es-ES"/>
        </w:rPr>
        <w:t>(</w:t>
      </w:r>
      <w:r w:rsidRPr="00993936">
        <w:rPr>
          <w:rFonts w:ascii="Arial" w:hAnsi="Arial" w:cs="Arial"/>
          <w:i/>
          <w:snapToGrid w:val="0"/>
          <w:lang w:val="es-ES"/>
        </w:rPr>
        <w:t>Icerya purchasi</w:t>
      </w:r>
      <w:r w:rsidRPr="00993936">
        <w:rPr>
          <w:rFonts w:ascii="Arial" w:hAnsi="Arial" w:cs="Arial"/>
          <w:snapToGrid w:val="0"/>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305"/>
        <w:gridCol w:w="1948"/>
      </w:tblGrid>
      <w:tr w:rsidR="00412AFB" w:rsidRPr="00993936" w:rsidTr="00C8678E">
        <w:trPr>
          <w:jc w:val="center"/>
        </w:trPr>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230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1948"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Solo en caso de desequilibrios, observar 4 brotes con todas las hojas, determinando el momento en que se detecte el máximo de formas sensibles (L1 hasta L3)</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No se aconseja tratamiento, ya que </w:t>
            </w:r>
            <w:r w:rsidRPr="00993936">
              <w:rPr>
                <w:rFonts w:ascii="Arial" w:hAnsi="Arial" w:cs="Arial"/>
                <w:i/>
                <w:snapToGrid w:val="0"/>
                <w:lang w:val="es-ES"/>
              </w:rPr>
              <w:t>Rodolia cardinalis</w:t>
            </w:r>
            <w:r w:rsidRPr="00993936">
              <w:rPr>
                <w:rFonts w:ascii="Arial" w:hAnsi="Arial" w:cs="Arial"/>
                <w:snapToGrid w:val="0"/>
                <w:lang w:val="es-ES"/>
              </w:rPr>
              <w:t>, en condiciones de equilibrio, realiza un control suficiente de la plaga.</w:t>
            </w:r>
          </w:p>
        </w:tc>
        <w:tc>
          <w:tcPr>
            <w:tcW w:w="2305" w:type="dxa"/>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Rodolia cardinalis</w:t>
            </w:r>
          </w:p>
        </w:tc>
        <w:tc>
          <w:tcPr>
            <w:tcW w:w="194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 xml:space="preserve">-Favorece la presencia de </w:t>
            </w:r>
            <w:r w:rsidRPr="00993936">
              <w:rPr>
                <w:rFonts w:ascii="Arial" w:hAnsi="Arial" w:cs="Arial"/>
                <w:i/>
                <w:snapToGrid w:val="0"/>
                <w:lang w:val="es-ES"/>
              </w:rPr>
              <w:t>Rodolia cardinalis</w:t>
            </w:r>
            <w:r w:rsidRPr="00993936">
              <w:rPr>
                <w:rFonts w:ascii="Arial" w:hAnsi="Arial" w:cs="Arial"/>
                <w:snapToGrid w:val="0"/>
                <w:lang w:val="es-ES"/>
              </w:rPr>
              <w:t>.</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 xml:space="preserve">Pulgones </w:t>
      </w:r>
      <w:r w:rsidRPr="00993936">
        <w:rPr>
          <w:rFonts w:ascii="Arial" w:hAnsi="Arial" w:cs="Arial"/>
          <w:snapToGrid w:val="0"/>
          <w:lang w:val="es-ES"/>
        </w:rPr>
        <w:t>(</w:t>
      </w:r>
      <w:r w:rsidRPr="00993936">
        <w:rPr>
          <w:rFonts w:ascii="Arial" w:hAnsi="Arial" w:cs="Arial"/>
          <w:i/>
          <w:snapToGrid w:val="0"/>
          <w:lang w:val="es-ES"/>
        </w:rPr>
        <w:t>Aphis spiraecola, Aphis gossypii, Myzus persicae, Toxoptera aurantii</w:t>
      </w:r>
      <w:r w:rsidRPr="00993936">
        <w:rPr>
          <w:rFonts w:ascii="Arial" w:hAnsi="Arial" w:cs="Arial"/>
          <w:snapToGrid w:val="0"/>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305"/>
        <w:gridCol w:w="1948"/>
      </w:tblGrid>
      <w:tr w:rsidR="00412AFB" w:rsidRPr="00993936" w:rsidTr="00C8678E">
        <w:trPr>
          <w:jc w:val="center"/>
        </w:trPr>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230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1948"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Muestrear dos círculos por árbol. Círculos de </w:t>
            </w:r>
            <w:smartTag w:uri="urn:schemas-microsoft-com:office:smarttags" w:element="metricconverter">
              <w:smartTagPr>
                <w:attr w:name="ProductID" w:val="56 cm"/>
              </w:smartTagPr>
              <w:r w:rsidRPr="00993936">
                <w:rPr>
                  <w:rFonts w:ascii="Arial" w:hAnsi="Arial" w:cs="Arial"/>
                  <w:snapToGrid w:val="0"/>
                  <w:lang w:val="es-ES"/>
                </w:rPr>
                <w:t>56 centímetros</w:t>
              </w:r>
            </w:smartTag>
            <w:r w:rsidRPr="00993936">
              <w:rPr>
                <w:rFonts w:ascii="Arial" w:hAnsi="Arial" w:cs="Arial"/>
                <w:snapToGrid w:val="0"/>
                <w:lang w:val="es-ES"/>
              </w:rPr>
              <w:t xml:space="preserve"> de diámetro de abril a junio y de septiembre a octubre. En el caso de muestreo de enemigos naturales, realizarlo de mayo a junio y de septiembre a octubre. </w:t>
            </w:r>
          </w:p>
          <w:p w:rsidR="00412AFB" w:rsidRPr="00993936" w:rsidRDefault="00412AFB" w:rsidP="00C8678E">
            <w:pPr>
              <w:rPr>
                <w:rFonts w:ascii="Arial" w:hAnsi="Arial" w:cs="Arial"/>
                <w:snapToGrid w:val="0"/>
                <w:lang w:val="es-ES"/>
              </w:rPr>
            </w:pPr>
          </w:p>
          <w:p w:rsidR="00412AFB" w:rsidRPr="00993936" w:rsidRDefault="00412AFB" w:rsidP="00C8678E">
            <w:pPr>
              <w:rPr>
                <w:rFonts w:ascii="Arial" w:hAnsi="Arial" w:cs="Arial"/>
                <w:snapToGrid w:val="0"/>
                <w:lang w:val="es-ES"/>
              </w:rPr>
            </w:pPr>
            <w:r w:rsidRPr="00993936">
              <w:rPr>
                <w:rFonts w:ascii="Arial" w:hAnsi="Arial" w:cs="Arial"/>
                <w:snapToGrid w:val="0"/>
                <w:lang w:val="es-ES"/>
              </w:rPr>
              <w:t>Hay cuatro métodos que seguir:</w:t>
            </w:r>
          </w:p>
          <w:p w:rsidR="00412AFB" w:rsidRPr="00993936" w:rsidRDefault="00412AFB" w:rsidP="00C8678E">
            <w:pPr>
              <w:rPr>
                <w:rFonts w:ascii="Arial" w:hAnsi="Arial" w:cs="Arial"/>
                <w:snapToGrid w:val="0"/>
                <w:lang w:val="es-ES"/>
              </w:rPr>
            </w:pPr>
          </w:p>
          <w:p w:rsidR="00412AFB" w:rsidRPr="00993936" w:rsidRDefault="00412AFB" w:rsidP="00C8678E">
            <w:pPr>
              <w:rPr>
                <w:rFonts w:ascii="Arial" w:hAnsi="Arial" w:cs="Arial"/>
                <w:snapToGrid w:val="0"/>
                <w:lang w:val="es-ES"/>
              </w:rPr>
            </w:pPr>
            <w:r w:rsidRPr="00993936">
              <w:rPr>
                <w:rFonts w:ascii="Arial" w:hAnsi="Arial" w:cs="Arial"/>
                <w:snapToGrid w:val="0"/>
                <w:lang w:val="es-ES"/>
              </w:rPr>
              <w:t>Método 1: % de brotes afectados.</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Método 2:</w:t>
            </w:r>
            <w:r w:rsidR="00E03B3B" w:rsidRPr="00993936">
              <w:rPr>
                <w:rFonts w:ascii="Arial" w:hAnsi="Arial" w:cs="Arial"/>
                <w:snapToGrid w:val="0"/>
                <w:lang w:val="es-ES"/>
              </w:rPr>
              <w:t xml:space="preserve"> </w:t>
            </w:r>
            <w:r w:rsidRPr="00993936">
              <w:rPr>
                <w:rFonts w:ascii="Arial" w:hAnsi="Arial" w:cs="Arial"/>
                <w:snapToGrid w:val="0"/>
                <w:lang w:val="es-ES"/>
              </w:rPr>
              <w:t>% de círculos atacados (*)</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Método 3: Número de brotes atacados por círculo.</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Método 4: Índice de ataque (***)</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Normalmente, solo se requiere intervenir en las variedades clementinas y los híbridos, plantones e injertadas cuando se sobrepasen los umbrales siguientes:</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Enemigos naturales: con índice (**) </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sym w:font="Symbol" w:char="F0B3"/>
            </w:r>
            <w:r w:rsidRPr="00993936">
              <w:rPr>
                <w:rFonts w:ascii="Arial" w:hAnsi="Arial" w:cs="Arial"/>
                <w:snapToGrid w:val="0"/>
                <w:lang w:val="es-ES"/>
              </w:rPr>
              <w:t xml:space="preserve"> 1 repetir el muestreo 7 días más tarde.</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Método 1: 30 % de brotes afectados.</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Método 2: 50 % de círculos atacados</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en el clementino y 70 % del resto (*).</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Método 3: 2,5 brotes atacados por círculo (1,5 en el clementino).</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Método 4: 1,25 de índice de ataque (***)</w:t>
            </w:r>
          </w:p>
          <w:p w:rsidR="00412AFB" w:rsidRPr="00993936" w:rsidRDefault="00412AFB" w:rsidP="00C8678E">
            <w:pPr>
              <w:rPr>
                <w:rFonts w:ascii="Arial" w:hAnsi="Arial" w:cs="Arial"/>
                <w:snapToGrid w:val="0"/>
                <w:lang w:val="es-ES"/>
              </w:rPr>
            </w:pPr>
          </w:p>
        </w:tc>
        <w:tc>
          <w:tcPr>
            <w:tcW w:w="2305"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Afídidos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Aphidoletes sp.</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Chrysopa septempunctata</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Coccinélidos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Chrysoperla carnea</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Entomophtora sp.</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Lysiplebus testaceipes</w:t>
            </w:r>
          </w:p>
          <w:p w:rsidR="00412AFB" w:rsidRPr="00993936" w:rsidRDefault="00412AFB" w:rsidP="00C8678E">
            <w:pPr>
              <w:rPr>
                <w:rFonts w:ascii="Arial" w:hAnsi="Arial" w:cs="Arial"/>
                <w:i/>
                <w:snapToGrid w:val="0"/>
                <w:lang w:val="es-ES"/>
              </w:rPr>
            </w:pPr>
            <w:r w:rsidRPr="00993936">
              <w:rPr>
                <w:rFonts w:ascii="Arial" w:hAnsi="Arial" w:cs="Arial"/>
                <w:snapToGrid w:val="0"/>
                <w:lang w:val="es-ES"/>
              </w:rPr>
              <w:t>Sírfidos</w:t>
            </w:r>
            <w:r w:rsidRPr="00993936">
              <w:rPr>
                <w:rFonts w:ascii="Arial" w:hAnsi="Arial" w:cs="Arial"/>
                <w:i/>
                <w:snapToGrid w:val="0"/>
                <w:lang w:val="es-ES"/>
              </w:rPr>
              <w:t>s</w:t>
            </w:r>
          </w:p>
        </w:tc>
        <w:tc>
          <w:tcPr>
            <w:tcW w:w="194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-Tratar solamente los focos.</w:t>
            </w:r>
          </w:p>
        </w:tc>
      </w:tr>
    </w:tbl>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r w:rsidRPr="00993936">
        <w:rPr>
          <w:rFonts w:ascii="Arial" w:hAnsi="Arial" w:cs="Arial"/>
          <w:snapToGrid w:val="0"/>
          <w:lang w:val="es-ES"/>
        </w:rPr>
        <w:t>(*) Círculos atacados. Con 1 o más brotes con colonias desarrolladas</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 Índice = 0 ausencia de parasitismo, índice = 1: &lt; 50 % de parasitismo; índice = 2: &gt; 50 % de parasitismo, índice = 0: ausencia de depredadores, índice = 1: &lt; 4, índice = 2 &gt; 4.</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 Índice = 0:</w:t>
      </w:r>
      <w:r w:rsidR="00E03B3B" w:rsidRPr="00993936">
        <w:rPr>
          <w:rFonts w:ascii="Arial" w:hAnsi="Arial" w:cs="Arial"/>
          <w:snapToGrid w:val="0"/>
          <w:lang w:val="es-ES"/>
        </w:rPr>
        <w:t xml:space="preserve"> </w:t>
      </w:r>
      <w:r w:rsidRPr="00993936">
        <w:rPr>
          <w:rFonts w:ascii="Arial" w:hAnsi="Arial" w:cs="Arial"/>
          <w:snapToGrid w:val="0"/>
          <w:lang w:val="es-ES"/>
        </w:rPr>
        <w:t xml:space="preserve">ausencia, índice = 1: de </w:t>
      </w:r>
      <w:smartTag w:uri="urn:schemas-microsoft-com:office:smarttags" w:element="metricconverter">
        <w:smartTagPr>
          <w:attr w:name="ProductID" w:val="1 a"/>
        </w:smartTagPr>
        <w:r w:rsidRPr="00993936">
          <w:rPr>
            <w:rFonts w:ascii="Arial" w:hAnsi="Arial" w:cs="Arial"/>
            <w:snapToGrid w:val="0"/>
            <w:lang w:val="es-ES"/>
          </w:rPr>
          <w:t>1 a</w:t>
        </w:r>
      </w:smartTag>
      <w:r w:rsidRPr="00993936">
        <w:rPr>
          <w:rFonts w:ascii="Arial" w:hAnsi="Arial" w:cs="Arial"/>
          <w:snapToGrid w:val="0"/>
          <w:lang w:val="es-ES"/>
        </w:rPr>
        <w:t xml:space="preserve"> 2 brotes/círculo, índice = 2: de </w:t>
      </w:r>
      <w:smartTag w:uri="urn:schemas-microsoft-com:office:smarttags" w:element="metricconverter">
        <w:smartTagPr>
          <w:attr w:name="ProductID" w:val="3 a"/>
        </w:smartTagPr>
        <w:r w:rsidRPr="00993936">
          <w:rPr>
            <w:rFonts w:ascii="Arial" w:hAnsi="Arial" w:cs="Arial"/>
            <w:snapToGrid w:val="0"/>
            <w:lang w:val="es-ES"/>
          </w:rPr>
          <w:t>3 a</w:t>
        </w:r>
      </w:smartTag>
      <w:r w:rsidRPr="00993936">
        <w:rPr>
          <w:rFonts w:ascii="Arial" w:hAnsi="Arial" w:cs="Arial"/>
          <w:snapToGrid w:val="0"/>
          <w:lang w:val="es-ES"/>
        </w:rPr>
        <w:t xml:space="preserve"> 6, índice = 3: &gt; 6.</w:t>
      </w: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i/>
          <w:snapToGrid w:val="0"/>
          <w:lang w:val="es-ES"/>
        </w:rPr>
      </w:pPr>
      <w:r w:rsidRPr="00993936">
        <w:rPr>
          <w:rFonts w:ascii="Arial" w:hAnsi="Arial" w:cs="Arial"/>
          <w:b/>
          <w:snapToGrid w:val="0"/>
          <w:lang w:val="es-ES"/>
        </w:rPr>
        <w:lastRenderedPageBreak/>
        <w:t xml:space="preserve">Mosca blanca algodonosa </w:t>
      </w:r>
      <w:r w:rsidRPr="00993936">
        <w:rPr>
          <w:rFonts w:ascii="Arial" w:hAnsi="Arial" w:cs="Arial"/>
          <w:snapToGrid w:val="0"/>
          <w:lang w:val="es-ES"/>
        </w:rPr>
        <w:t>(</w:t>
      </w:r>
      <w:r w:rsidRPr="00993936">
        <w:rPr>
          <w:rFonts w:ascii="Arial" w:hAnsi="Arial" w:cs="Arial"/>
          <w:i/>
          <w:snapToGrid w:val="0"/>
          <w:lang w:val="es-ES"/>
        </w:rPr>
        <w:t>Aleurothrixus flocosus)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41"/>
        <w:gridCol w:w="2941"/>
        <w:gridCol w:w="2126"/>
        <w:gridCol w:w="2127"/>
      </w:tblGrid>
      <w:tr w:rsidR="00412AFB" w:rsidRPr="00993936" w:rsidTr="00C8678E">
        <w:trPr>
          <w:jc w:val="center"/>
        </w:trPr>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2126"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21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b/>
                <w:snapToGrid w:val="0"/>
                <w:lang w:val="es-ES"/>
              </w:rPr>
              <w:t>Método 1</w:t>
            </w:r>
            <w:r w:rsidRPr="00993936">
              <w:rPr>
                <w:rFonts w:ascii="Arial" w:hAnsi="Arial" w:cs="Arial"/>
                <w:snapToGrid w:val="0"/>
                <w:lang w:val="es-ES"/>
              </w:rPr>
              <w:t>: Observar en los brotes el nivel de población y la presencia de parasitismo. De cada árbol se observan cuatro brotes nuevos.</w:t>
            </w:r>
          </w:p>
          <w:p w:rsidR="00412AFB" w:rsidRPr="00993936" w:rsidRDefault="00412AFB" w:rsidP="00C8678E">
            <w:pPr>
              <w:rPr>
                <w:rFonts w:ascii="Arial" w:hAnsi="Arial" w:cs="Arial"/>
                <w:snapToGrid w:val="0"/>
                <w:lang w:val="es-ES"/>
              </w:rPr>
            </w:pPr>
          </w:p>
          <w:p w:rsidR="00412AFB" w:rsidRPr="00993936" w:rsidRDefault="00412AFB" w:rsidP="00C8678E">
            <w:pPr>
              <w:rPr>
                <w:rFonts w:ascii="Arial" w:hAnsi="Arial" w:cs="Arial"/>
                <w:b/>
                <w:snapToGrid w:val="0"/>
                <w:lang w:val="es-ES"/>
              </w:rPr>
            </w:pPr>
            <w:r w:rsidRPr="00993936">
              <w:rPr>
                <w:rFonts w:ascii="Arial" w:hAnsi="Arial" w:cs="Arial"/>
                <w:b/>
                <w:snapToGrid w:val="0"/>
                <w:lang w:val="es-ES"/>
              </w:rPr>
              <w:t xml:space="preserve">Método 2: </w:t>
            </w:r>
          </w:p>
          <w:p w:rsidR="00412AFB" w:rsidRPr="00993936" w:rsidRDefault="00412AFB" w:rsidP="00C8678E">
            <w:pPr>
              <w:jc w:val="both"/>
              <w:rPr>
                <w:rFonts w:ascii="Arial" w:hAnsi="Arial" w:cs="Arial"/>
                <w:b/>
                <w:snapToGrid w:val="0"/>
                <w:lang w:val="es-ES"/>
              </w:rPr>
            </w:pPr>
            <w:r w:rsidRPr="00993936">
              <w:rPr>
                <w:rFonts w:ascii="Arial" w:hAnsi="Arial" w:cs="Arial"/>
                <w:b/>
                <w:snapToGrid w:val="0"/>
                <w:lang w:val="es-ES"/>
              </w:rPr>
              <w:t>Método simplicidad:</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Muestrear dos círculos por árbol.</w:t>
            </w:r>
            <w:r w:rsidR="00E03B3B" w:rsidRPr="00993936">
              <w:rPr>
                <w:rFonts w:ascii="Arial" w:hAnsi="Arial" w:cs="Arial"/>
                <w:snapToGrid w:val="0"/>
                <w:lang w:val="es-ES"/>
              </w:rPr>
              <w:t xml:space="preserve"> </w:t>
            </w:r>
            <w:r w:rsidRPr="00993936">
              <w:rPr>
                <w:rFonts w:ascii="Arial" w:hAnsi="Arial" w:cs="Arial"/>
                <w:snapToGrid w:val="0"/>
                <w:lang w:val="es-ES"/>
              </w:rPr>
              <w:t xml:space="preserve">Círculos de </w:t>
            </w:r>
            <w:smartTag w:uri="urn:schemas-microsoft-com:office:smarttags" w:element="metricconverter">
              <w:smartTagPr>
                <w:attr w:name="ProductID" w:val="56 cm"/>
              </w:smartTagPr>
              <w:r w:rsidRPr="00993936">
                <w:rPr>
                  <w:rFonts w:ascii="Arial" w:hAnsi="Arial" w:cs="Arial"/>
                  <w:snapToGrid w:val="0"/>
                  <w:lang w:val="es-ES"/>
                </w:rPr>
                <w:t>56 centímetros</w:t>
              </w:r>
            </w:smartTag>
            <w:r w:rsidRPr="00993936">
              <w:rPr>
                <w:rFonts w:ascii="Arial" w:hAnsi="Arial" w:cs="Arial"/>
                <w:snapToGrid w:val="0"/>
                <w:lang w:val="es-ES"/>
              </w:rPr>
              <w:t xml:space="preserve"> de diámetro de junio a octubre.</w:t>
            </w:r>
          </w:p>
          <w:p w:rsidR="00412AFB" w:rsidRPr="00993936" w:rsidRDefault="00412AFB" w:rsidP="00C8678E">
            <w:pPr>
              <w:rPr>
                <w:rFonts w:ascii="Arial" w:hAnsi="Arial" w:cs="Arial"/>
                <w:snapToGrid w:val="0"/>
                <w:lang w:val="es-ES"/>
              </w:rPr>
            </w:pPr>
          </w:p>
          <w:p w:rsidR="00412AFB" w:rsidRPr="00993936" w:rsidRDefault="00412AFB" w:rsidP="00C8678E">
            <w:pPr>
              <w:jc w:val="both"/>
              <w:rPr>
                <w:rFonts w:ascii="Arial" w:hAnsi="Arial" w:cs="Arial"/>
                <w:b/>
                <w:snapToGrid w:val="0"/>
                <w:lang w:val="es-ES"/>
              </w:rPr>
            </w:pPr>
            <w:r w:rsidRPr="00993936">
              <w:rPr>
                <w:rFonts w:ascii="Arial" w:hAnsi="Arial" w:cs="Arial"/>
                <w:b/>
                <w:snapToGrid w:val="0"/>
                <w:lang w:val="es-ES"/>
              </w:rPr>
              <w:t>Método intensivo:</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Muestrear dos círculos por árbol. Círculos de </w:t>
            </w:r>
            <w:smartTag w:uri="urn:schemas-microsoft-com:office:smarttags" w:element="metricconverter">
              <w:smartTagPr>
                <w:attr w:name="ProductID" w:val="56 cm"/>
              </w:smartTagPr>
              <w:r w:rsidRPr="00993936">
                <w:rPr>
                  <w:rFonts w:ascii="Arial" w:hAnsi="Arial" w:cs="Arial"/>
                  <w:snapToGrid w:val="0"/>
                  <w:lang w:val="es-ES"/>
                </w:rPr>
                <w:t>56 centímetros</w:t>
              </w:r>
            </w:smartTag>
            <w:r w:rsidRPr="00993936">
              <w:rPr>
                <w:rFonts w:ascii="Arial" w:hAnsi="Arial" w:cs="Arial"/>
                <w:snapToGrid w:val="0"/>
                <w:lang w:val="es-ES"/>
              </w:rPr>
              <w:t xml:space="preserve"> de diámetro de junio a octubre, cuando la presión de la plaga se aproxima a los criterios de intervención del método simplificado.</w:t>
            </w:r>
          </w:p>
          <w:p w:rsidR="00412AFB" w:rsidRPr="00993936" w:rsidRDefault="00412AFB" w:rsidP="00C8678E">
            <w:pPr>
              <w:rPr>
                <w:rFonts w:ascii="Arial" w:hAnsi="Arial" w:cs="Arial"/>
                <w:snapToGrid w:val="0"/>
                <w:lang w:val="es-ES"/>
              </w:rPr>
            </w:pP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Laboratorio: 2-4 hojas/árbol con larvas de 2.ª-3.ª edad.</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Cuando se sobrepase el 20 % de brotes atacados con ausencia de parásitos.</w:t>
            </w:r>
          </w:p>
          <w:p w:rsidR="00412AFB" w:rsidRPr="00993936" w:rsidRDefault="00412AFB" w:rsidP="00C8678E">
            <w:pPr>
              <w:rPr>
                <w:rFonts w:ascii="Arial" w:hAnsi="Arial" w:cs="Arial"/>
                <w:snapToGrid w:val="0"/>
                <w:lang w:val="es-ES"/>
              </w:rPr>
            </w:pPr>
          </w:p>
          <w:p w:rsidR="00412AFB" w:rsidRPr="00993936" w:rsidRDefault="00412AFB" w:rsidP="00C8678E">
            <w:pPr>
              <w:rPr>
                <w:rFonts w:ascii="Arial" w:hAnsi="Arial" w:cs="Arial"/>
                <w:b/>
                <w:snapToGrid w:val="0"/>
                <w:lang w:val="es-ES"/>
              </w:rPr>
            </w:pPr>
            <w:r w:rsidRPr="00993936">
              <w:rPr>
                <w:rFonts w:ascii="Arial" w:hAnsi="Arial" w:cs="Arial"/>
                <w:b/>
                <w:snapToGrid w:val="0"/>
                <w:lang w:val="es-ES"/>
              </w:rPr>
              <w:t>Simplificado:</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70 % de círculos atacados (*)</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Con índice (**)</w:t>
            </w:r>
            <w:r w:rsidR="00B76CAE" w:rsidRPr="00993936">
              <w:rPr>
                <w:rFonts w:ascii="Arial" w:hAnsi="Arial" w:cs="Arial"/>
                <w:snapToGrid w:val="0"/>
                <w:lang w:val="es-ES"/>
              </w:rPr>
              <w:t xml:space="preserve"> </w:t>
            </w:r>
            <w:r w:rsidRPr="00993936">
              <w:rPr>
                <w:rFonts w:ascii="Arial" w:hAnsi="Arial" w:cs="Arial"/>
                <w:snapToGrid w:val="0"/>
                <w:lang w:val="es-ES"/>
              </w:rPr>
              <w:sym w:font="Symbol" w:char="F0B3"/>
            </w:r>
            <w:r w:rsidRPr="00993936">
              <w:rPr>
                <w:rFonts w:ascii="Arial" w:hAnsi="Arial" w:cs="Arial"/>
                <w:snapToGrid w:val="0"/>
                <w:lang w:val="es-ES"/>
              </w:rPr>
              <w:t xml:space="preserve"> de parasitismo, repetir muestreo.</w:t>
            </w:r>
          </w:p>
          <w:p w:rsidR="00412AFB" w:rsidRPr="00993936" w:rsidRDefault="00412AFB" w:rsidP="00C8678E">
            <w:pPr>
              <w:rPr>
                <w:rFonts w:ascii="Arial" w:hAnsi="Arial" w:cs="Arial"/>
                <w:snapToGrid w:val="0"/>
                <w:lang w:val="es-ES"/>
              </w:rPr>
            </w:pPr>
          </w:p>
          <w:p w:rsidR="00412AFB" w:rsidRPr="00993936" w:rsidRDefault="00412AFB" w:rsidP="00C8678E">
            <w:pPr>
              <w:rPr>
                <w:rFonts w:ascii="Arial" w:hAnsi="Arial" w:cs="Arial"/>
                <w:b/>
                <w:snapToGrid w:val="0"/>
                <w:lang w:val="es-ES"/>
              </w:rPr>
            </w:pPr>
            <w:r w:rsidRPr="00993936">
              <w:rPr>
                <w:rFonts w:ascii="Arial" w:hAnsi="Arial" w:cs="Arial"/>
                <w:b/>
                <w:snapToGrid w:val="0"/>
                <w:lang w:val="es-ES"/>
              </w:rPr>
              <w:t xml:space="preserve">Intensivo: </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3-4 brotes por círculo</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Índice (***): </w:t>
            </w:r>
            <w:smartTag w:uri="urn:schemas-microsoft-com:office:smarttags" w:element="metricconverter">
              <w:smartTagPr>
                <w:attr w:name="ProductID" w:val="1,1 a"/>
              </w:smartTagPr>
              <w:r w:rsidRPr="00993936">
                <w:rPr>
                  <w:rFonts w:ascii="Arial" w:hAnsi="Arial" w:cs="Arial"/>
                  <w:snapToGrid w:val="0"/>
                  <w:lang w:val="es-ES"/>
                </w:rPr>
                <w:t>1,1 a</w:t>
              </w:r>
            </w:smartTag>
            <w:r w:rsidRPr="00993936">
              <w:rPr>
                <w:rFonts w:ascii="Arial" w:hAnsi="Arial" w:cs="Arial"/>
                <w:snapToGrid w:val="0"/>
                <w:lang w:val="es-ES"/>
              </w:rPr>
              <w:t xml:space="preserve"> 1,3.</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Con índice (**)</w:t>
            </w:r>
            <w:r w:rsidR="00B76CAE" w:rsidRPr="00993936">
              <w:rPr>
                <w:rFonts w:ascii="Arial" w:hAnsi="Arial" w:cs="Arial"/>
                <w:snapToGrid w:val="0"/>
                <w:lang w:val="es-ES"/>
              </w:rPr>
              <w:t xml:space="preserve"> </w:t>
            </w:r>
            <w:r w:rsidRPr="00993936">
              <w:rPr>
                <w:rFonts w:ascii="Arial" w:hAnsi="Arial" w:cs="Arial"/>
                <w:snapToGrid w:val="0"/>
                <w:lang w:val="es-ES"/>
              </w:rPr>
              <w:sym w:font="Symbol" w:char="F0B3"/>
            </w:r>
            <w:r w:rsidRPr="00993936">
              <w:rPr>
                <w:rFonts w:ascii="Arial" w:hAnsi="Arial" w:cs="Arial"/>
                <w:snapToGrid w:val="0"/>
                <w:lang w:val="es-ES"/>
              </w:rPr>
              <w:t xml:space="preserve"> de parasitismo, repetir muestreo.</w:t>
            </w:r>
          </w:p>
          <w:p w:rsidR="00412AFB" w:rsidRPr="00993936" w:rsidRDefault="00412AFB" w:rsidP="00C8678E">
            <w:pPr>
              <w:rPr>
                <w:rFonts w:ascii="Arial" w:hAnsi="Arial" w:cs="Arial"/>
                <w:snapToGrid w:val="0"/>
                <w:lang w:val="es-ES"/>
              </w:rPr>
            </w:pP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Con 40-60 % de parasitismo, puede controlarse la plaga.</w:t>
            </w:r>
          </w:p>
          <w:p w:rsidR="00412AFB" w:rsidRPr="00993936" w:rsidRDefault="00412AFB" w:rsidP="00C8678E">
            <w:pPr>
              <w:rPr>
                <w:rFonts w:ascii="Arial" w:hAnsi="Arial" w:cs="Arial"/>
                <w:snapToGrid w:val="0"/>
                <w:lang w:val="es-ES"/>
              </w:rPr>
            </w:pPr>
          </w:p>
        </w:tc>
        <w:tc>
          <w:tcPr>
            <w:tcW w:w="2126" w:type="dxa"/>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Cales noacki</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Amitus spiniferus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Chrysopa sp.</w:t>
            </w:r>
          </w:p>
        </w:tc>
        <w:tc>
          <w:tcPr>
            <w:tcW w:w="2127"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-Introducción de brotes procedentes de brotes con elevada tasa de parasitismo</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-Tratar solamente los focos</w:t>
            </w:r>
          </w:p>
        </w:tc>
      </w:tr>
    </w:tbl>
    <w:p w:rsidR="00412AFB" w:rsidRPr="00993936" w:rsidRDefault="00412AFB" w:rsidP="00412AFB">
      <w:pPr>
        <w:rPr>
          <w:rFonts w:ascii="Arial" w:hAnsi="Arial" w:cs="Arial"/>
          <w:snapToGrid w:val="0"/>
          <w:lang w:val="es-ES"/>
        </w:rPr>
      </w:pPr>
      <w:r w:rsidRPr="00993936">
        <w:rPr>
          <w:rFonts w:ascii="Arial" w:hAnsi="Arial" w:cs="Arial"/>
          <w:snapToGrid w:val="0"/>
          <w:lang w:val="es-ES"/>
        </w:rPr>
        <w:t>(*) Círculos atacados. Con 1 o más brotes atacados</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 Índice = 0: ausencia, índice = 1: &lt; 50 % de parasitismo, índice = 2: &gt; 50 % de parasitismo.</w:t>
      </w:r>
    </w:p>
    <w:p w:rsidR="00412AFB" w:rsidRPr="00993936" w:rsidRDefault="00412AFB" w:rsidP="00412AFB">
      <w:pPr>
        <w:rPr>
          <w:rFonts w:ascii="Arial" w:hAnsi="Arial" w:cs="Arial"/>
          <w:snapToGrid w:val="0"/>
          <w:lang w:val="es-ES"/>
        </w:rPr>
      </w:pPr>
      <w:r w:rsidRPr="00993936">
        <w:rPr>
          <w:rFonts w:ascii="Arial" w:hAnsi="Arial" w:cs="Arial"/>
          <w:snapToGrid w:val="0"/>
          <w:lang w:val="es-ES"/>
        </w:rPr>
        <w:t xml:space="preserve">(***) Índice = 0: ausencia, índice = 1: de </w:t>
      </w:r>
      <w:smartTag w:uri="urn:schemas-microsoft-com:office:smarttags" w:element="metricconverter">
        <w:smartTagPr>
          <w:attr w:name="ProductID" w:val="1 a"/>
        </w:smartTagPr>
        <w:r w:rsidRPr="00993936">
          <w:rPr>
            <w:rFonts w:ascii="Arial" w:hAnsi="Arial" w:cs="Arial"/>
            <w:snapToGrid w:val="0"/>
            <w:lang w:val="es-ES"/>
          </w:rPr>
          <w:t>1 a</w:t>
        </w:r>
      </w:smartTag>
      <w:r w:rsidR="00E03B3B" w:rsidRPr="00993936">
        <w:rPr>
          <w:rFonts w:ascii="Arial" w:hAnsi="Arial" w:cs="Arial"/>
          <w:snapToGrid w:val="0"/>
          <w:lang w:val="es-ES"/>
        </w:rPr>
        <w:t xml:space="preserve"> </w:t>
      </w:r>
      <w:r w:rsidRPr="00993936">
        <w:rPr>
          <w:rFonts w:ascii="Arial" w:hAnsi="Arial" w:cs="Arial"/>
          <w:snapToGrid w:val="0"/>
          <w:lang w:val="es-ES"/>
        </w:rPr>
        <w:t xml:space="preserve">4 brotes/círculo, índice = 2: de </w:t>
      </w:r>
      <w:smartTag w:uri="urn:schemas-microsoft-com:office:smarttags" w:element="metricconverter">
        <w:smartTagPr>
          <w:attr w:name="ProductID" w:val="5 a"/>
        </w:smartTagPr>
        <w:r w:rsidRPr="00993936">
          <w:rPr>
            <w:rFonts w:ascii="Arial" w:hAnsi="Arial" w:cs="Arial"/>
            <w:snapToGrid w:val="0"/>
            <w:lang w:val="es-ES"/>
          </w:rPr>
          <w:t>5 a</w:t>
        </w:r>
      </w:smartTag>
      <w:r w:rsidR="00E03B3B" w:rsidRPr="00993936">
        <w:rPr>
          <w:rFonts w:ascii="Arial" w:hAnsi="Arial" w:cs="Arial"/>
          <w:snapToGrid w:val="0"/>
          <w:lang w:val="es-ES"/>
        </w:rPr>
        <w:t xml:space="preserve"> </w:t>
      </w:r>
      <w:r w:rsidRPr="00993936">
        <w:rPr>
          <w:rFonts w:ascii="Arial" w:hAnsi="Arial" w:cs="Arial"/>
          <w:snapToGrid w:val="0"/>
          <w:lang w:val="es-ES"/>
        </w:rPr>
        <w:t>12, índice = 3: &gt; 12.</w:t>
      </w: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Mosquito verde </w:t>
      </w:r>
      <w:r w:rsidRPr="00993936">
        <w:rPr>
          <w:rFonts w:ascii="Arial" w:hAnsi="Arial" w:cs="Arial"/>
          <w:snapToGrid w:val="0"/>
          <w:lang w:val="es-ES"/>
        </w:rPr>
        <w:t>(</w:t>
      </w:r>
      <w:r w:rsidRPr="00993936">
        <w:rPr>
          <w:rFonts w:ascii="Arial" w:hAnsi="Arial" w:cs="Arial"/>
          <w:i/>
          <w:snapToGrid w:val="0"/>
          <w:lang w:val="es-ES"/>
        </w:rPr>
        <w:t>Empoasca decipiens</w:t>
      </w:r>
      <w:r w:rsidRPr="00993936">
        <w:rPr>
          <w:rFonts w:ascii="Arial" w:hAnsi="Arial" w:cs="Arial"/>
          <w:snapToGrid w:val="0"/>
          <w:lang w:val="es-ES"/>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6768"/>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676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r>
      <w:tr w:rsidR="00412AFB" w:rsidRPr="00993936" w:rsidTr="00C8678E">
        <w:tc>
          <w:tcPr>
            <w:tcW w:w="3438"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Utilizar trampas cromotrópicas amarillas para la detección de plagas</w:t>
            </w:r>
          </w:p>
        </w:tc>
        <w:tc>
          <w:tcPr>
            <w:tcW w:w="676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Presencia de plagas en situaciones de riesgo, que tienen lugar a finales de verano o del otoño.</w:t>
            </w:r>
          </w:p>
        </w:tc>
      </w:tr>
    </w:tbl>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Chinche verde </w:t>
      </w:r>
      <w:r w:rsidRPr="00993936">
        <w:rPr>
          <w:rFonts w:ascii="Arial" w:hAnsi="Arial" w:cs="Arial"/>
          <w:snapToGrid w:val="0"/>
          <w:lang w:val="es-ES"/>
        </w:rPr>
        <w:t>(</w:t>
      </w:r>
      <w:r w:rsidRPr="00993936">
        <w:rPr>
          <w:rFonts w:ascii="Arial" w:hAnsi="Arial" w:cs="Arial"/>
          <w:i/>
          <w:snapToGrid w:val="0"/>
          <w:lang w:val="es-ES"/>
        </w:rPr>
        <w:t>Calocoris trivialis</w:t>
      </w:r>
      <w:r w:rsidRPr="00993936">
        <w:rPr>
          <w:rFonts w:ascii="Arial" w:hAnsi="Arial" w:cs="Arial"/>
          <w:snapToGrid w:val="0"/>
          <w:lang w:val="es-ES"/>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6768"/>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676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r>
      <w:tr w:rsidR="00412AFB" w:rsidRPr="00993936" w:rsidTr="00C8678E">
        <w:tc>
          <w:tcPr>
            <w:tcW w:w="3438"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Observación de daños en los brotes tiernos. Golpear ramas al azar para observar la presencia de individuos.</w:t>
            </w:r>
          </w:p>
        </w:tc>
        <w:tc>
          <w:tcPr>
            <w:tcW w:w="676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En marzo-abril (hojas 1/3 de normal), primeros daños en los brotes tiernos.</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Minador de los cítricos </w:t>
      </w:r>
      <w:r w:rsidRPr="00993936">
        <w:rPr>
          <w:rFonts w:ascii="Arial" w:hAnsi="Arial" w:cs="Arial"/>
          <w:snapToGrid w:val="0"/>
          <w:lang w:val="es-ES"/>
        </w:rPr>
        <w:t>(</w:t>
      </w:r>
      <w:r w:rsidRPr="00993936">
        <w:rPr>
          <w:rFonts w:ascii="Arial" w:hAnsi="Arial" w:cs="Arial"/>
          <w:i/>
          <w:snapToGrid w:val="0"/>
          <w:lang w:val="es-ES"/>
        </w:rPr>
        <w:t>Phyllocnistis citrella</w:t>
      </w:r>
      <w:r w:rsidRPr="00993936">
        <w:rPr>
          <w:rFonts w:ascii="Arial" w:hAnsi="Arial" w:cs="Arial"/>
          <w:snapToGrid w:val="0"/>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5"/>
        <w:gridCol w:w="2941"/>
        <w:gridCol w:w="2126"/>
        <w:gridCol w:w="2127"/>
      </w:tblGrid>
      <w:tr w:rsidR="00412AFB" w:rsidRPr="00993936" w:rsidTr="00C8678E">
        <w:trPr>
          <w:jc w:val="center"/>
        </w:trPr>
        <w:tc>
          <w:tcPr>
            <w:tcW w:w="2975"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2126"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AGENTES BIOLÓGICOS</w:t>
            </w:r>
          </w:p>
        </w:tc>
        <w:tc>
          <w:tcPr>
            <w:tcW w:w="21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rPr>
          <w:jc w:val="center"/>
        </w:trPr>
        <w:tc>
          <w:tcPr>
            <w:tcW w:w="2975"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Observación de 2 brotes tiernos / árbol.</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Generalmente, no se recomiendan tratamientos en los árboles adultos. </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En las plantaciones jóvenes e injertadas, tratar cuando se observe la presencia de la plaga. </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Aplicación con brotes entre 3-5 cm</w:t>
            </w:r>
          </w:p>
        </w:tc>
        <w:tc>
          <w:tcPr>
            <w:tcW w:w="2126" w:type="dxa"/>
          </w:tcPr>
          <w:p w:rsidR="00412AFB" w:rsidRPr="00993936" w:rsidRDefault="00412AFB" w:rsidP="00C8678E">
            <w:pPr>
              <w:rPr>
                <w:rFonts w:ascii="Arial" w:hAnsi="Arial" w:cs="Arial"/>
                <w:i/>
                <w:snapToGrid w:val="0"/>
                <w:lang w:val="es-ES"/>
              </w:rPr>
            </w:pPr>
            <w:r w:rsidRPr="00993936">
              <w:rPr>
                <w:rFonts w:ascii="Arial" w:hAnsi="Arial" w:cs="Arial"/>
                <w:i/>
                <w:snapToGrid w:val="0"/>
                <w:lang w:val="es-ES"/>
              </w:rPr>
              <w:t>Ageniaspis citricola</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Cirrosppilus sp.</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Citrostichus phyllocnistoides</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Pnigalio sp.</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Semielacher petiolatus</w:t>
            </w:r>
          </w:p>
          <w:p w:rsidR="00412AFB" w:rsidRPr="00993936" w:rsidRDefault="00412AFB" w:rsidP="00C8678E">
            <w:pPr>
              <w:rPr>
                <w:rFonts w:ascii="Arial" w:hAnsi="Arial" w:cs="Arial"/>
                <w:i/>
                <w:snapToGrid w:val="0"/>
                <w:lang w:val="es-ES"/>
              </w:rPr>
            </w:pPr>
          </w:p>
        </w:tc>
        <w:tc>
          <w:tcPr>
            <w:tcW w:w="2127" w:type="dxa"/>
          </w:tcPr>
          <w:p w:rsidR="00412AFB" w:rsidRPr="00993936" w:rsidRDefault="00412AFB" w:rsidP="009D1A2D">
            <w:pPr>
              <w:numPr>
                <w:ilvl w:val="0"/>
                <w:numId w:val="30"/>
              </w:numPr>
              <w:spacing w:after="0" w:line="240" w:lineRule="auto"/>
              <w:rPr>
                <w:rFonts w:ascii="Arial" w:hAnsi="Arial" w:cs="Arial"/>
                <w:snapToGrid w:val="0"/>
                <w:lang w:val="es-ES"/>
              </w:rPr>
            </w:pPr>
            <w:r w:rsidRPr="00993936">
              <w:rPr>
                <w:rFonts w:ascii="Arial" w:hAnsi="Arial" w:cs="Arial"/>
                <w:snapToGrid w:val="0"/>
                <w:lang w:val="es-ES"/>
              </w:rPr>
              <w:t>Control de brotación mediante manejo de riego, abono y poda.</w:t>
            </w:r>
          </w:p>
        </w:tc>
      </w:tr>
    </w:tbl>
    <w:p w:rsidR="00412AFB" w:rsidRPr="00993936" w:rsidRDefault="00412AFB" w:rsidP="00412AFB">
      <w:pPr>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Polilla del limonero </w:t>
      </w:r>
      <w:r w:rsidRPr="00993936">
        <w:rPr>
          <w:rFonts w:ascii="Arial" w:hAnsi="Arial" w:cs="Arial"/>
          <w:snapToGrid w:val="0"/>
          <w:lang w:val="es-ES"/>
        </w:rPr>
        <w:t>(</w:t>
      </w:r>
      <w:r w:rsidRPr="00993936">
        <w:rPr>
          <w:rFonts w:ascii="Arial" w:hAnsi="Arial" w:cs="Arial"/>
          <w:i/>
          <w:snapToGrid w:val="0"/>
          <w:lang w:val="es-ES"/>
        </w:rPr>
        <w:t>Prays citri</w:t>
      </w:r>
      <w:r w:rsidRPr="00993936">
        <w:rPr>
          <w:rFonts w:ascii="Arial" w:hAnsi="Arial" w:cs="Arial"/>
          <w:snapToGrid w:val="0"/>
          <w:lang w:val="es-ES"/>
        </w:rPr>
        <w:t>)</w:t>
      </w:r>
    </w:p>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36"/>
        <w:gridCol w:w="106"/>
        <w:gridCol w:w="6662"/>
      </w:tblGrid>
      <w:tr w:rsidR="00412AFB" w:rsidRPr="00993936" w:rsidTr="00C8678E">
        <w:tc>
          <w:tcPr>
            <w:tcW w:w="3438" w:type="dxa"/>
            <w:gridSpan w:val="2"/>
            <w:tcBorders>
              <w:top w:val="single" w:sz="4" w:space="0" w:color="auto"/>
              <w:bottom w:val="nil"/>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6768" w:type="dxa"/>
            <w:gridSpan w:val="2"/>
            <w:tcBorders>
              <w:top w:val="single" w:sz="4" w:space="0" w:color="auto"/>
              <w:bottom w:val="nil"/>
            </w:tcBorders>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r>
      <w:tr w:rsidR="00412AFB" w:rsidRPr="00993936" w:rsidTr="00C8678E">
        <w:tc>
          <w:tcPr>
            <w:tcW w:w="3402" w:type="dxa"/>
            <w:tcBorders>
              <w:bottom w:val="single" w:sz="4" w:space="0" w:color="auto"/>
            </w:tcBorders>
          </w:tcPr>
          <w:p w:rsidR="00412AFB" w:rsidRPr="00993936" w:rsidRDefault="00412AFB" w:rsidP="00C8678E">
            <w:pPr>
              <w:rPr>
                <w:rFonts w:ascii="Arial" w:hAnsi="Arial" w:cs="Arial"/>
                <w:snapToGrid w:val="0"/>
                <w:lang w:val="es-ES"/>
              </w:rPr>
            </w:pPr>
            <w:r w:rsidRPr="00993936">
              <w:rPr>
                <w:rFonts w:ascii="Arial" w:hAnsi="Arial" w:cs="Arial"/>
                <w:snapToGrid w:val="0"/>
                <w:lang w:val="es-ES"/>
              </w:rPr>
              <w:t>Seguimiento de vuelos con feromonas sexuales y observación de la fenología y el grado del ataque en flores y frutos.</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Se observarán 2 elementos por orientación con un mínimo de 200 elementos en total.</w:t>
            </w:r>
          </w:p>
          <w:p w:rsidR="00412AFB" w:rsidRPr="00993936" w:rsidRDefault="00412AFB" w:rsidP="00C8678E">
            <w:pPr>
              <w:rPr>
                <w:rFonts w:ascii="Arial" w:hAnsi="Arial" w:cs="Arial"/>
                <w:snapToGrid w:val="0"/>
                <w:lang w:val="es-ES"/>
              </w:rPr>
            </w:pPr>
          </w:p>
          <w:p w:rsidR="00412AFB" w:rsidRPr="00993936" w:rsidRDefault="00412AFB" w:rsidP="00C8678E">
            <w:pPr>
              <w:rPr>
                <w:rFonts w:ascii="Arial" w:hAnsi="Arial" w:cs="Arial"/>
                <w:snapToGrid w:val="0"/>
                <w:lang w:val="es-ES"/>
              </w:rPr>
            </w:pPr>
            <w:r w:rsidRPr="00993936">
              <w:rPr>
                <w:rFonts w:ascii="Arial" w:hAnsi="Arial" w:cs="Arial"/>
                <w:b/>
                <w:snapToGrid w:val="0"/>
                <w:lang w:val="es-ES"/>
              </w:rPr>
              <w:t xml:space="preserve">Gusano de los brotes </w:t>
            </w:r>
            <w:r w:rsidRPr="00993936">
              <w:rPr>
                <w:rFonts w:ascii="Arial" w:hAnsi="Arial" w:cs="Arial"/>
                <w:snapToGrid w:val="0"/>
                <w:lang w:val="es-ES"/>
              </w:rPr>
              <w:t>(</w:t>
            </w:r>
            <w:r w:rsidRPr="00993936">
              <w:rPr>
                <w:rFonts w:ascii="Arial" w:hAnsi="Arial" w:cs="Arial"/>
                <w:i/>
                <w:snapToGrid w:val="0"/>
                <w:lang w:val="es-ES"/>
              </w:rPr>
              <w:t>Cacocimorpha pronubana</w:t>
            </w:r>
            <w:r w:rsidRPr="00993936">
              <w:rPr>
                <w:rFonts w:ascii="Arial" w:hAnsi="Arial" w:cs="Arial"/>
                <w:snapToGrid w:val="0"/>
                <w:lang w:val="es-ES"/>
              </w:rPr>
              <w:t>)</w:t>
            </w:r>
          </w:p>
        </w:tc>
        <w:tc>
          <w:tcPr>
            <w:tcW w:w="6804" w:type="dxa"/>
            <w:gridSpan w:val="3"/>
            <w:tcBorders>
              <w:bottom w:val="single" w:sz="4" w:space="0" w:color="auto"/>
            </w:tcBorders>
          </w:tcPr>
          <w:p w:rsidR="00412AFB" w:rsidRPr="00993936" w:rsidRDefault="00412AFB" w:rsidP="00C8678E">
            <w:pPr>
              <w:rPr>
                <w:rFonts w:ascii="Arial" w:hAnsi="Arial" w:cs="Arial"/>
                <w:snapToGrid w:val="0"/>
                <w:lang w:val="es-ES"/>
              </w:rPr>
            </w:pPr>
            <w:r w:rsidRPr="00993936">
              <w:rPr>
                <w:rFonts w:ascii="Arial" w:hAnsi="Arial" w:cs="Arial"/>
                <w:b/>
                <w:snapToGrid w:val="0"/>
                <w:lang w:val="es-ES"/>
              </w:rPr>
              <w:t>1.er tratamiento</w:t>
            </w:r>
            <w:r w:rsidRPr="00993936">
              <w:rPr>
                <w:rFonts w:ascii="Arial" w:hAnsi="Arial" w:cs="Arial"/>
                <w:snapToGrid w:val="0"/>
                <w:lang w:val="es-ES"/>
              </w:rPr>
              <w:t>:</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&gt; 50 % de flor abierta en floración importante.</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&gt; 10 % de botones y de elementos florales con puesta y/o &gt; 5 % de elementos con daños</w:t>
            </w:r>
          </w:p>
          <w:p w:rsidR="00412AFB" w:rsidRPr="00993936" w:rsidRDefault="00412AFB" w:rsidP="00C8678E">
            <w:pPr>
              <w:rPr>
                <w:rFonts w:ascii="Arial" w:hAnsi="Arial" w:cs="Arial"/>
                <w:i/>
                <w:snapToGrid w:val="0"/>
                <w:lang w:val="es-ES"/>
              </w:rPr>
            </w:pPr>
            <w:r w:rsidRPr="00993936">
              <w:rPr>
                <w:rFonts w:ascii="Arial" w:hAnsi="Arial" w:cs="Arial"/>
                <w:snapToGrid w:val="0"/>
                <w:lang w:val="es-ES"/>
              </w:rPr>
              <w:t xml:space="preserve">Repetir el tratamiento a los 7 días si se trata con </w:t>
            </w:r>
            <w:r w:rsidRPr="00993936">
              <w:rPr>
                <w:rFonts w:ascii="Arial" w:hAnsi="Arial" w:cs="Arial"/>
                <w:i/>
                <w:snapToGrid w:val="0"/>
                <w:lang w:val="es-ES"/>
              </w:rPr>
              <w:t>Bacillus thuringiensis.</w:t>
            </w:r>
          </w:p>
          <w:p w:rsidR="00412AFB" w:rsidRPr="00993936" w:rsidRDefault="00412AFB" w:rsidP="00C8678E">
            <w:pPr>
              <w:rPr>
                <w:rFonts w:ascii="Arial" w:hAnsi="Arial" w:cs="Arial"/>
                <w:snapToGrid w:val="0"/>
                <w:lang w:val="es-ES"/>
              </w:rPr>
            </w:pPr>
            <w:r w:rsidRPr="00993936">
              <w:rPr>
                <w:rFonts w:ascii="Arial" w:hAnsi="Arial" w:cs="Arial"/>
                <w:b/>
                <w:snapToGrid w:val="0"/>
                <w:lang w:val="es-ES"/>
              </w:rPr>
              <w:t>Tratamientos posteriores</w:t>
            </w:r>
            <w:r w:rsidRPr="00993936">
              <w:rPr>
                <w:rFonts w:ascii="Arial" w:hAnsi="Arial" w:cs="Arial"/>
                <w:snapToGrid w:val="0"/>
                <w:lang w:val="es-ES"/>
              </w:rPr>
              <w:t>: elementos florales con larva viva con un 5 %.</w:t>
            </w:r>
          </w:p>
        </w:tc>
      </w:tr>
      <w:tr w:rsidR="00412AFB" w:rsidRPr="00993936" w:rsidTr="00C8678E">
        <w:tc>
          <w:tcPr>
            <w:tcW w:w="3544" w:type="dxa"/>
            <w:gridSpan w:val="3"/>
            <w:shd w:val="pct20" w:color="auto" w:fill="FFFFFF"/>
            <w:vAlign w:val="bottom"/>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6662" w:type="dxa"/>
            <w:shd w:val="pct20" w:color="auto" w:fill="FFFFFF"/>
            <w:vAlign w:val="bottom"/>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r>
      <w:tr w:rsidR="00412AFB" w:rsidRPr="00993936" w:rsidTr="00C8678E">
        <w:tc>
          <w:tcPr>
            <w:tcW w:w="3544" w:type="dxa"/>
            <w:gridSpan w:val="3"/>
            <w:vAlign w:val="bottom"/>
          </w:tcPr>
          <w:p w:rsidR="00412AFB" w:rsidRPr="00993936" w:rsidRDefault="00412AFB" w:rsidP="00C8678E">
            <w:pPr>
              <w:rPr>
                <w:rFonts w:ascii="Arial" w:hAnsi="Arial" w:cs="Arial"/>
                <w:snapToGrid w:val="0"/>
                <w:lang w:val="es-ES"/>
              </w:rPr>
            </w:pPr>
            <w:r w:rsidRPr="00993936">
              <w:rPr>
                <w:rFonts w:ascii="Arial" w:hAnsi="Arial" w:cs="Arial"/>
                <w:snapToGrid w:val="0"/>
                <w:lang w:val="es-ES"/>
              </w:rPr>
              <w:t>Utilizar placas con feromonas para detectar la máxima volada.</w:t>
            </w:r>
          </w:p>
          <w:p w:rsidR="00412AFB" w:rsidRPr="00993936" w:rsidRDefault="00412AFB" w:rsidP="00C8678E">
            <w:pPr>
              <w:rPr>
                <w:rFonts w:ascii="Arial" w:hAnsi="Arial" w:cs="Arial"/>
                <w:snapToGrid w:val="0"/>
                <w:lang w:val="es-ES"/>
              </w:rPr>
            </w:pPr>
            <w:r w:rsidRPr="00993936">
              <w:rPr>
                <w:rFonts w:ascii="Arial" w:hAnsi="Arial" w:cs="Arial"/>
                <w:snapToGrid w:val="0"/>
                <w:lang w:val="es-ES"/>
              </w:rPr>
              <w:t>Una vez registrada la primera captura de adultos, constatar presencia de daños en 4 brotes y 4 frutos del árbol.</w:t>
            </w:r>
          </w:p>
          <w:p w:rsidR="00412AFB" w:rsidRPr="00993936" w:rsidRDefault="00412AFB" w:rsidP="00C8678E">
            <w:pPr>
              <w:rPr>
                <w:rFonts w:ascii="Arial" w:hAnsi="Arial" w:cs="Arial"/>
                <w:snapToGrid w:val="0"/>
                <w:lang w:val="es-ES"/>
              </w:rPr>
            </w:pPr>
          </w:p>
        </w:tc>
        <w:tc>
          <w:tcPr>
            <w:tcW w:w="6662" w:type="dxa"/>
            <w:vAlign w:val="bottom"/>
          </w:tcPr>
          <w:p w:rsidR="00412AFB" w:rsidRPr="00993936" w:rsidRDefault="00412AFB" w:rsidP="00C8678E">
            <w:pPr>
              <w:rPr>
                <w:rFonts w:ascii="Arial" w:hAnsi="Arial" w:cs="Arial"/>
                <w:snapToGrid w:val="0"/>
                <w:lang w:val="es-ES"/>
              </w:rPr>
            </w:pPr>
            <w:r w:rsidRPr="00993936">
              <w:rPr>
                <w:rFonts w:ascii="Arial" w:hAnsi="Arial" w:cs="Arial"/>
                <w:snapToGrid w:val="0"/>
                <w:lang w:val="es-ES"/>
              </w:rPr>
              <w:t>No se han establecido umbrales, por lo que normalmente no se recomienda tratamiento.</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Barrenetas </w:t>
      </w:r>
      <w:r w:rsidRPr="00993936">
        <w:rPr>
          <w:rFonts w:ascii="Arial" w:hAnsi="Arial" w:cs="Arial"/>
          <w:i/>
          <w:snapToGrid w:val="0"/>
          <w:lang w:val="es-ES"/>
        </w:rPr>
        <w:t>(Ectomyelois ceratoniae, Cryptoblabes gnidiella)</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38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c>
          <w:tcPr>
            <w:tcW w:w="3438"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De cada árbol se observan cuatro frutos, lo que determina la presencia de frutos ocupados.</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No se han establecido umbrales, por lo que no se recomienda tratamiento.</w:t>
            </w:r>
          </w:p>
        </w:tc>
        <w:tc>
          <w:tcPr>
            <w:tcW w:w="3827" w:type="dxa"/>
          </w:tcPr>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Retirada de frutos caídos.</w:t>
            </w:r>
          </w:p>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 xml:space="preserve">Evitar la presencia de cotonet mediante sueltas de </w:t>
            </w:r>
            <w:r w:rsidRPr="00993936">
              <w:rPr>
                <w:rFonts w:ascii="Arial" w:hAnsi="Arial" w:cs="Arial"/>
                <w:i/>
                <w:snapToGrid w:val="0"/>
                <w:lang w:val="es-ES"/>
              </w:rPr>
              <w:t>Cryptolaemus sp., Leptomastix sp. o Anagyrus sp.</w:t>
            </w:r>
          </w:p>
        </w:tc>
      </w:tr>
    </w:tbl>
    <w:p w:rsidR="00412AFB" w:rsidRPr="00993936" w:rsidRDefault="00412AFB" w:rsidP="00412AFB">
      <w:pPr>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 xml:space="preserve">Mosca de la fruta </w:t>
      </w:r>
      <w:r w:rsidRPr="00993936">
        <w:rPr>
          <w:rFonts w:ascii="Arial" w:hAnsi="Arial" w:cs="Arial"/>
          <w:i/>
          <w:snapToGrid w:val="0"/>
          <w:lang w:val="es-ES"/>
        </w:rPr>
        <w:t>(Ceratitis capitata</w:t>
      </w:r>
      <w:r w:rsidRPr="00993936">
        <w:rPr>
          <w:rFonts w:ascii="Arial" w:hAnsi="Arial" w:cs="Arial"/>
          <w:snapToGrid w:val="0"/>
          <w:lang w:val="es-ES"/>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38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c>
          <w:tcPr>
            <w:tcW w:w="3438"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Medir el nivel de población mediante trampas, instalando 3 mosqueros con Trimedlure por estación de control.</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De cada árbol se observan ocho frutos de medida definitiva.</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Desde la medida definitiva hasta la recolección, tratar si el número de capturas &gt; 0,5 moscas por mosquero y día y/o presencia del 1 % de frutos picados.</w:t>
            </w:r>
          </w:p>
        </w:tc>
        <w:tc>
          <w:tcPr>
            <w:tcW w:w="3827" w:type="dxa"/>
          </w:tcPr>
          <w:p w:rsidR="00412AFB" w:rsidRPr="00993936" w:rsidRDefault="00412AFB" w:rsidP="009D1A2D">
            <w:pPr>
              <w:numPr>
                <w:ilvl w:val="0"/>
                <w:numId w:val="31"/>
              </w:numPr>
              <w:spacing w:after="0" w:line="240" w:lineRule="auto"/>
              <w:rPr>
                <w:rFonts w:ascii="Arial" w:hAnsi="Arial" w:cs="Arial"/>
                <w:snapToGrid w:val="0"/>
                <w:lang w:val="es-ES"/>
              </w:rPr>
            </w:pPr>
            <w:r w:rsidRPr="00993936">
              <w:rPr>
                <w:rFonts w:ascii="Arial" w:hAnsi="Arial" w:cs="Arial"/>
                <w:snapToGrid w:val="0"/>
                <w:lang w:val="es-ES"/>
              </w:rPr>
              <w:t>Retirada de fruta picada del suelo. Control de frutales rehenes en las inmediaciones.</w:t>
            </w:r>
          </w:p>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Colocación de trampas alimentarias, de feromonas y cromotrópicas de color amarillo.</w:t>
            </w:r>
          </w:p>
          <w:p w:rsidR="00412AFB" w:rsidRPr="00993936" w:rsidRDefault="00412AFB" w:rsidP="00C8678E">
            <w:pPr>
              <w:rPr>
                <w:rFonts w:ascii="Arial" w:hAnsi="Arial" w:cs="Arial"/>
                <w:snapToGrid w:val="0"/>
                <w:lang w:val="es-ES"/>
              </w:rPr>
            </w:pP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HORMIGAS </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38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c>
          <w:tcPr>
            <w:tcW w:w="343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Presencia de hormigas en el tronco del árbol y hormiguero alrededor.</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Actuar contra ellas solo en el caso de que haya plagas, cuyo control biológico pueda verse comprometido.</w:t>
            </w:r>
          </w:p>
        </w:tc>
        <w:tc>
          <w:tcPr>
            <w:tcW w:w="3827" w:type="dxa"/>
          </w:tcPr>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Barreras de protección para el tronco.</w:t>
            </w:r>
          </w:p>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Tratamientos localizados en los hormigueros.</w:t>
            </w:r>
          </w:p>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Control de plagas que segregan melaza.</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CARACOLES Y BABOSAS</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38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c>
          <w:tcPr>
            <w:tcW w:w="343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Observar su presencia.</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Presencia en condiciones meteorológicas favorables y con niveles elevados de plaga.</w:t>
            </w:r>
          </w:p>
        </w:tc>
        <w:tc>
          <w:tcPr>
            <w:tcW w:w="3827" w:type="dxa"/>
          </w:tcPr>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Láminas de cobre aplicadas sobre el tronco.</w:t>
            </w:r>
          </w:p>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Utilizar los productos en forma de cebos.</w:t>
            </w:r>
          </w:p>
        </w:tc>
      </w:tr>
    </w:tbl>
    <w:p w:rsidR="00412AFB" w:rsidRPr="00993936" w:rsidRDefault="00412AFB" w:rsidP="00412AFB">
      <w:pPr>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HONGOS</w:t>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Aguado </w:t>
      </w:r>
      <w:r w:rsidRPr="00993936">
        <w:rPr>
          <w:rFonts w:ascii="Arial" w:hAnsi="Arial" w:cs="Arial"/>
          <w:snapToGrid w:val="0"/>
          <w:lang w:val="es-ES"/>
        </w:rPr>
        <w:t>(</w:t>
      </w:r>
      <w:r w:rsidRPr="00993936">
        <w:rPr>
          <w:rFonts w:ascii="Arial" w:hAnsi="Arial" w:cs="Arial"/>
          <w:i/>
          <w:snapToGrid w:val="0"/>
          <w:lang w:val="es-ES"/>
        </w:rPr>
        <w:t>Phytophthora sp.</w:t>
      </w:r>
      <w:r w:rsidRPr="00993936">
        <w:rPr>
          <w:rFonts w:ascii="Arial" w:hAnsi="Arial" w:cs="Arial"/>
          <w:snapToGrid w:val="0"/>
          <w:lang w:val="es-ES"/>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38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c>
          <w:tcPr>
            <w:tcW w:w="343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De cada árbol se observan cuatro frutos de la parte baja.</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Con presencia del hongo y en condiciones ambientales favorables.</w:t>
            </w:r>
          </w:p>
          <w:p w:rsidR="00412AFB" w:rsidRPr="00993936" w:rsidRDefault="00412AFB" w:rsidP="00C8678E">
            <w:pPr>
              <w:jc w:val="both"/>
              <w:rPr>
                <w:rFonts w:ascii="Arial" w:hAnsi="Arial" w:cs="Arial"/>
                <w:snapToGrid w:val="0"/>
                <w:lang w:val="es-ES"/>
              </w:rPr>
            </w:pP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En las otoños lluviosos y en condiciones favorables, aplicación sobre la mitad inferior del árbol dentro de las 48 horas posteriores a la lluvia.</w:t>
            </w:r>
          </w:p>
        </w:tc>
        <w:tc>
          <w:tcPr>
            <w:tcW w:w="3827" w:type="dxa"/>
          </w:tcPr>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Levantar ramas y mantener, si es posible, la cobertura vegetal.</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Podredumbre del cuello o gomosis </w:t>
      </w:r>
      <w:r w:rsidRPr="00993936">
        <w:rPr>
          <w:rFonts w:ascii="Arial" w:hAnsi="Arial" w:cs="Arial"/>
          <w:snapToGrid w:val="0"/>
          <w:lang w:val="es-ES"/>
        </w:rPr>
        <w:t>(</w:t>
      </w:r>
      <w:r w:rsidRPr="00993936">
        <w:rPr>
          <w:rFonts w:ascii="Arial" w:hAnsi="Arial" w:cs="Arial"/>
          <w:i/>
          <w:snapToGrid w:val="0"/>
          <w:lang w:val="es-ES"/>
        </w:rPr>
        <w:t>Phytophthora sp.</w:t>
      </w:r>
      <w:r w:rsidRPr="00993936">
        <w:rPr>
          <w:rFonts w:ascii="Arial" w:hAnsi="Arial" w:cs="Arial"/>
          <w:snapToGrid w:val="0"/>
          <w:lang w:val="es-ES"/>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38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c>
          <w:tcPr>
            <w:tcW w:w="343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Observar las lesiones en el tronco y síntomas en las hojas.</w:t>
            </w:r>
          </w:p>
        </w:tc>
        <w:tc>
          <w:tcPr>
            <w:tcW w:w="2941" w:type="dxa"/>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Con presencia de síntomas, tratamiento en las épocas de brotación de primavera y otoño.</w:t>
            </w:r>
          </w:p>
        </w:tc>
        <w:tc>
          <w:tcPr>
            <w:tcW w:w="3827" w:type="dxa"/>
          </w:tcPr>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Aireación de cuello y raíces principales.</w:t>
            </w:r>
          </w:p>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Evitar estancamientos.</w:t>
            </w:r>
          </w:p>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Saneamiento de los chancros y protección de los cortes de poda.</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Antracnosis </w:t>
      </w:r>
      <w:r w:rsidRPr="00993936">
        <w:rPr>
          <w:rFonts w:ascii="Arial" w:hAnsi="Arial" w:cs="Arial"/>
          <w:snapToGrid w:val="0"/>
          <w:lang w:val="es-ES"/>
        </w:rPr>
        <w:t>(</w:t>
      </w:r>
      <w:r w:rsidRPr="00993936">
        <w:rPr>
          <w:rFonts w:ascii="Arial" w:hAnsi="Arial" w:cs="Arial"/>
          <w:i/>
          <w:snapToGrid w:val="0"/>
          <w:lang w:val="es-ES"/>
        </w:rPr>
        <w:t>Colletotrichum gloeosporoides</w:t>
      </w:r>
      <w:r w:rsidRPr="00993936">
        <w:rPr>
          <w:rFonts w:ascii="Arial" w:hAnsi="Arial" w:cs="Arial"/>
          <w:snapToGrid w:val="0"/>
          <w:lang w:val="es-ES"/>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6768"/>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676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r>
      <w:tr w:rsidR="00412AFB" w:rsidRPr="00993936" w:rsidTr="00C8678E">
        <w:tc>
          <w:tcPr>
            <w:tcW w:w="343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Observación de lesiones en los frutos.</w:t>
            </w:r>
          </w:p>
        </w:tc>
        <w:tc>
          <w:tcPr>
            <w:tcW w:w="676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En condiciones ambientales o cuando se prevengan favorables para el desarrollo del hongo.</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t xml:space="preserve">Alternaria </w:t>
      </w:r>
      <w:r w:rsidRPr="00993936">
        <w:rPr>
          <w:rFonts w:ascii="Arial" w:hAnsi="Arial" w:cs="Arial"/>
          <w:snapToGrid w:val="0"/>
          <w:lang w:val="es-ES"/>
        </w:rPr>
        <w:t>(</w:t>
      </w:r>
      <w:r w:rsidRPr="00993936">
        <w:rPr>
          <w:rFonts w:ascii="Arial" w:hAnsi="Arial" w:cs="Arial"/>
          <w:i/>
          <w:snapToGrid w:val="0"/>
          <w:lang w:val="es-ES"/>
        </w:rPr>
        <w:t>Alternaria alternata</w:t>
      </w:r>
      <w:r w:rsidRPr="00993936">
        <w:rPr>
          <w:rFonts w:ascii="Arial" w:hAnsi="Arial" w:cs="Arial"/>
          <w:snapToGrid w:val="0"/>
          <w:lang w:val="es-ES"/>
        </w:rPr>
        <w:t>)</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6768"/>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676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r>
      <w:tr w:rsidR="00412AFB" w:rsidRPr="00993936" w:rsidTr="00C8678E">
        <w:tc>
          <w:tcPr>
            <w:tcW w:w="343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Observación de lesiones en hojas y frutos.</w:t>
            </w:r>
          </w:p>
        </w:tc>
        <w:tc>
          <w:tcPr>
            <w:tcW w:w="676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Presencia de síntomas en primavera y otoño, en condiciones favorables y presencia de agua libre.</w:t>
            </w:r>
          </w:p>
        </w:tc>
      </w:tr>
    </w:tbl>
    <w:p w:rsidR="00412AFB" w:rsidRPr="00993936" w:rsidRDefault="00412AFB" w:rsidP="00412AFB">
      <w:pPr>
        <w:rPr>
          <w:rFonts w:ascii="Arial" w:hAnsi="Arial" w:cs="Arial"/>
          <w:b/>
          <w:snapToGrid w:val="0"/>
          <w:lang w:val="es-ES"/>
        </w:rPr>
      </w:pPr>
    </w:p>
    <w:p w:rsidR="00412AFB" w:rsidRPr="00993936" w:rsidRDefault="00412AFB" w:rsidP="00412AFB">
      <w:pPr>
        <w:rPr>
          <w:rFonts w:ascii="Arial" w:hAnsi="Arial" w:cs="Arial"/>
          <w:b/>
          <w:snapToGrid w:val="0"/>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lastRenderedPageBreak/>
        <w:t>Negrilla o fumagina</w:t>
      </w:r>
    </w:p>
    <w:tbl>
      <w:tblPr>
        <w:tblW w:w="0" w:type="auto"/>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38"/>
        <w:gridCol w:w="2941"/>
        <w:gridCol w:w="3827"/>
      </w:tblGrid>
      <w:tr w:rsidR="00412AFB" w:rsidRPr="00993936" w:rsidTr="00C8678E">
        <w:tc>
          <w:tcPr>
            <w:tcW w:w="3438"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NÚM. DE UNIDADES QUE MUESTREAR</w:t>
            </w:r>
          </w:p>
        </w:tc>
        <w:tc>
          <w:tcPr>
            <w:tcW w:w="2941" w:type="dxa"/>
            <w:shd w:val="pct20" w:color="auto" w:fill="FFFFFF"/>
            <w:vAlign w:val="center"/>
          </w:tcPr>
          <w:p w:rsidR="00412AFB" w:rsidRPr="00993936" w:rsidRDefault="00412AFB" w:rsidP="00C8678E">
            <w:pPr>
              <w:jc w:val="center"/>
              <w:rPr>
                <w:rFonts w:ascii="Arial" w:hAnsi="Arial" w:cs="Arial"/>
                <w:b/>
                <w:snapToGrid w:val="0"/>
                <w:lang w:val="es-ES"/>
              </w:rPr>
            </w:pPr>
            <w:r w:rsidRPr="00993936">
              <w:rPr>
                <w:rFonts w:ascii="Arial" w:hAnsi="Arial" w:cs="Arial"/>
                <w:b/>
                <w:snapToGrid w:val="0"/>
                <w:lang w:val="es-ES"/>
              </w:rPr>
              <w:t>UMBRALES Y/O CRITERIOS MÍNIMOS DE INTERVENCIÓN</w:t>
            </w:r>
          </w:p>
        </w:tc>
        <w:tc>
          <w:tcPr>
            <w:tcW w:w="3827" w:type="dxa"/>
            <w:shd w:val="pct20" w:color="auto" w:fill="FFFFFF"/>
            <w:vAlign w:val="center"/>
          </w:tcPr>
          <w:p w:rsidR="00412AFB" w:rsidRPr="00993936" w:rsidRDefault="00412AFB" w:rsidP="00C8678E">
            <w:pPr>
              <w:jc w:val="center"/>
              <w:rPr>
                <w:rFonts w:ascii="Arial" w:hAnsi="Arial" w:cs="Arial"/>
                <w:b/>
                <w:i/>
                <w:snapToGrid w:val="0"/>
                <w:lang w:val="es-ES"/>
              </w:rPr>
            </w:pPr>
            <w:r w:rsidRPr="00993936">
              <w:rPr>
                <w:rFonts w:ascii="Arial" w:hAnsi="Arial" w:cs="Arial"/>
                <w:b/>
                <w:i/>
                <w:snapToGrid w:val="0"/>
                <w:lang w:val="es-ES"/>
              </w:rPr>
              <w:t>RECOMENDACIONES</w:t>
            </w:r>
          </w:p>
        </w:tc>
      </w:tr>
      <w:tr w:rsidR="00412AFB" w:rsidRPr="00993936" w:rsidTr="00C8678E">
        <w:tc>
          <w:tcPr>
            <w:tcW w:w="3438"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Observación general del árbol.</w:t>
            </w:r>
          </w:p>
        </w:tc>
        <w:tc>
          <w:tcPr>
            <w:tcW w:w="2941" w:type="dxa"/>
          </w:tcPr>
          <w:p w:rsidR="00412AFB" w:rsidRPr="00993936" w:rsidRDefault="00412AFB" w:rsidP="00C8678E">
            <w:pPr>
              <w:rPr>
                <w:rFonts w:ascii="Arial" w:hAnsi="Arial" w:cs="Arial"/>
                <w:snapToGrid w:val="0"/>
                <w:lang w:val="es-ES"/>
              </w:rPr>
            </w:pPr>
            <w:r w:rsidRPr="00993936">
              <w:rPr>
                <w:rFonts w:ascii="Arial" w:hAnsi="Arial" w:cs="Arial"/>
                <w:snapToGrid w:val="0"/>
                <w:lang w:val="es-ES"/>
              </w:rPr>
              <w:t>Presencia generalizada en todo el árbol y sobre los frutos.</w:t>
            </w:r>
          </w:p>
        </w:tc>
        <w:tc>
          <w:tcPr>
            <w:tcW w:w="3827" w:type="dxa"/>
          </w:tcPr>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Eliminación de plagas productoras de melaza.</w:t>
            </w:r>
          </w:p>
          <w:p w:rsidR="00412AFB" w:rsidRPr="00993936" w:rsidRDefault="00412AFB" w:rsidP="009D1A2D">
            <w:pPr>
              <w:numPr>
                <w:ilvl w:val="0"/>
                <w:numId w:val="26"/>
              </w:numPr>
              <w:spacing w:after="0" w:line="240" w:lineRule="auto"/>
              <w:rPr>
                <w:rFonts w:ascii="Arial" w:hAnsi="Arial" w:cs="Arial"/>
                <w:snapToGrid w:val="0"/>
                <w:lang w:val="es-ES"/>
              </w:rPr>
            </w:pPr>
            <w:r w:rsidRPr="00993936">
              <w:rPr>
                <w:rFonts w:ascii="Arial" w:hAnsi="Arial" w:cs="Arial"/>
                <w:snapToGrid w:val="0"/>
                <w:lang w:val="es-ES"/>
              </w:rPr>
              <w:t>Eliminación de la negrilla sobre los frutos.</w:t>
            </w:r>
          </w:p>
        </w:tc>
      </w:tr>
    </w:tbl>
    <w:p w:rsidR="00412AFB" w:rsidRPr="00993936" w:rsidRDefault="00412AFB" w:rsidP="00412AFB">
      <w:pPr>
        <w:autoSpaceDE w:val="0"/>
        <w:autoSpaceDN w:val="0"/>
        <w:adjustRightInd w:val="0"/>
        <w:rPr>
          <w:rFonts w:ascii="Arial" w:hAnsi="Arial" w:cs="Arial"/>
          <w:snapToGrid w:val="0"/>
          <w:lang w:val="es-ES"/>
        </w:rPr>
      </w:pPr>
    </w:p>
    <w:p w:rsidR="00412AFB" w:rsidRPr="00993936" w:rsidRDefault="00412AFB" w:rsidP="00412AFB">
      <w:pPr>
        <w:jc w:val="both"/>
        <w:rPr>
          <w:rFonts w:ascii="Arial" w:hAnsi="Arial" w:cs="Arial"/>
          <w:lang w:val="es-ES"/>
        </w:rPr>
      </w:pPr>
    </w:p>
    <w:p w:rsidR="00412AFB" w:rsidRPr="00993936" w:rsidRDefault="00412AFB" w:rsidP="00412AFB">
      <w:pPr>
        <w:ind w:left="360"/>
        <w:jc w:val="both"/>
        <w:rPr>
          <w:rFonts w:ascii="Arial" w:hAnsi="Arial" w:cs="Arial"/>
          <w:lang w:val="es-ES"/>
        </w:rPr>
      </w:pPr>
      <w:r w:rsidRPr="00993936">
        <w:rPr>
          <w:rFonts w:ascii="Arial" w:hAnsi="Arial" w:cs="Arial"/>
          <w:lang w:val="es-ES"/>
        </w:rPr>
        <w:br w:type="page"/>
      </w:r>
    </w:p>
    <w:p w:rsidR="00412AFB" w:rsidRPr="00993936" w:rsidRDefault="00412AFB" w:rsidP="00412AFB">
      <w:pPr>
        <w:jc w:val="both"/>
        <w:rPr>
          <w:rFonts w:ascii="Arial" w:hAnsi="Arial" w:cs="Arial"/>
          <w:b/>
          <w:sz w:val="24"/>
          <w:szCs w:val="24"/>
          <w:lang w:val="es-ES"/>
        </w:rPr>
      </w:pPr>
      <w:r w:rsidRPr="00993936">
        <w:rPr>
          <w:rFonts w:ascii="Arial" w:hAnsi="Arial" w:cs="Arial"/>
          <w:b/>
          <w:sz w:val="24"/>
          <w:szCs w:val="24"/>
          <w:lang w:val="es-ES"/>
        </w:rPr>
        <w:lastRenderedPageBreak/>
        <w:t>Anexo IV. Norma técnica de producción integrada de forrajes</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shd w:val="clear" w:color="auto" w:fill="FFFFFF"/>
        <w:spacing w:after="30" w:line="360" w:lineRule="atLeast"/>
        <w:ind w:right="45"/>
        <w:rPr>
          <w:rFonts w:ascii="Arial" w:hAnsi="Arial" w:cs="Arial"/>
          <w:b/>
          <w:lang w:val="es-ES"/>
        </w:rPr>
      </w:pPr>
      <w:r w:rsidRPr="00993936">
        <w:rPr>
          <w:rFonts w:ascii="Arial" w:hAnsi="Arial" w:cs="Arial"/>
          <w:b/>
          <w:lang w:val="es-ES"/>
        </w:rPr>
        <w:t>CULTIVOS INCLUIDOS</w:t>
      </w:r>
    </w:p>
    <w:p w:rsidR="00412AFB" w:rsidRPr="00993936" w:rsidRDefault="00412AFB" w:rsidP="00412AFB">
      <w:pPr>
        <w:shd w:val="clear" w:color="auto" w:fill="FFFFFF"/>
        <w:spacing w:after="30" w:line="360" w:lineRule="atLeast"/>
        <w:ind w:right="45"/>
        <w:rPr>
          <w:rFonts w:ascii="Arial" w:hAnsi="Arial" w:cs="Arial"/>
          <w:lang w:val="es-ES"/>
        </w:rPr>
      </w:pPr>
      <w:r w:rsidRPr="00993936">
        <w:rPr>
          <w:rFonts w:ascii="Arial" w:hAnsi="Arial" w:cs="Arial"/>
          <w:lang w:val="es-ES"/>
        </w:rPr>
        <w:t xml:space="preserve">La norma técnica de producción integrada de forrajes, así como los anexos, es de aplicación a los cultivos siguientes: </w:t>
      </w:r>
    </w:p>
    <w:p w:rsidR="00412AFB" w:rsidRPr="00993936" w:rsidRDefault="00412AFB" w:rsidP="009D1A2D">
      <w:pPr>
        <w:pStyle w:val="Ttulo2"/>
        <w:numPr>
          <w:ilvl w:val="0"/>
          <w:numId w:val="44"/>
        </w:numPr>
        <w:jc w:val="both"/>
        <w:rPr>
          <w:rFonts w:ascii="Arial" w:eastAsiaTheme="minorHAnsi" w:hAnsi="Arial" w:cs="Arial"/>
          <w:color w:val="auto"/>
          <w:sz w:val="22"/>
          <w:szCs w:val="22"/>
          <w:lang w:val="es-ES"/>
        </w:rPr>
      </w:pPr>
      <w:r w:rsidRPr="00993936">
        <w:rPr>
          <w:rFonts w:ascii="Arial" w:eastAsiaTheme="minorHAnsi" w:hAnsi="Arial" w:cs="Arial"/>
          <w:color w:val="auto"/>
          <w:sz w:val="22"/>
          <w:szCs w:val="22"/>
          <w:lang w:val="es-ES"/>
        </w:rPr>
        <w:t>Alfalfa</w:t>
      </w:r>
    </w:p>
    <w:p w:rsidR="00412AFB" w:rsidRPr="00993936" w:rsidRDefault="00412AFB" w:rsidP="009D1A2D">
      <w:pPr>
        <w:pStyle w:val="Ttulo2"/>
        <w:numPr>
          <w:ilvl w:val="0"/>
          <w:numId w:val="44"/>
        </w:numPr>
        <w:jc w:val="both"/>
        <w:rPr>
          <w:rFonts w:ascii="Arial" w:eastAsiaTheme="minorHAnsi" w:hAnsi="Arial" w:cs="Arial"/>
          <w:color w:val="auto"/>
          <w:sz w:val="22"/>
          <w:szCs w:val="22"/>
          <w:lang w:val="es-ES"/>
        </w:rPr>
      </w:pPr>
      <w:r w:rsidRPr="00993936">
        <w:rPr>
          <w:rFonts w:ascii="Arial" w:eastAsiaTheme="minorHAnsi" w:hAnsi="Arial" w:cs="Arial"/>
          <w:color w:val="auto"/>
          <w:sz w:val="22"/>
          <w:szCs w:val="22"/>
          <w:lang w:val="es-ES"/>
        </w:rPr>
        <w:t>Raigrás</w:t>
      </w:r>
    </w:p>
    <w:p w:rsidR="00412AFB" w:rsidRPr="00993936" w:rsidRDefault="00412AFB" w:rsidP="009D1A2D">
      <w:pPr>
        <w:pStyle w:val="Ttulo2"/>
        <w:numPr>
          <w:ilvl w:val="0"/>
          <w:numId w:val="44"/>
        </w:numPr>
        <w:jc w:val="both"/>
        <w:rPr>
          <w:rFonts w:ascii="Arial" w:eastAsiaTheme="minorHAnsi" w:hAnsi="Arial" w:cs="Arial"/>
          <w:color w:val="auto"/>
          <w:sz w:val="22"/>
          <w:szCs w:val="22"/>
          <w:lang w:val="es-ES"/>
        </w:rPr>
      </w:pPr>
      <w:r w:rsidRPr="00993936">
        <w:rPr>
          <w:rFonts w:ascii="Arial" w:eastAsiaTheme="minorHAnsi" w:hAnsi="Arial" w:cs="Arial"/>
          <w:color w:val="auto"/>
          <w:sz w:val="22"/>
          <w:szCs w:val="22"/>
          <w:lang w:val="es-ES"/>
        </w:rPr>
        <w:t>Festuca</w:t>
      </w:r>
    </w:p>
    <w:p w:rsidR="00412AFB" w:rsidRPr="00993936" w:rsidRDefault="00412AFB" w:rsidP="009D1A2D">
      <w:pPr>
        <w:pStyle w:val="Ttulo2"/>
        <w:numPr>
          <w:ilvl w:val="0"/>
          <w:numId w:val="44"/>
        </w:numPr>
        <w:jc w:val="both"/>
        <w:rPr>
          <w:rFonts w:ascii="Arial" w:eastAsiaTheme="minorHAnsi" w:hAnsi="Arial" w:cs="Arial"/>
          <w:color w:val="auto"/>
          <w:sz w:val="22"/>
          <w:szCs w:val="22"/>
          <w:lang w:val="es-ES"/>
        </w:rPr>
      </w:pPr>
      <w:r w:rsidRPr="00993936">
        <w:rPr>
          <w:rFonts w:ascii="Arial" w:eastAsiaTheme="minorHAnsi" w:hAnsi="Arial" w:cs="Arial"/>
          <w:color w:val="auto"/>
          <w:sz w:val="22"/>
          <w:szCs w:val="22"/>
          <w:lang w:val="es-ES"/>
        </w:rPr>
        <w:t>Dáctilo (</w:t>
      </w:r>
      <w:r w:rsidRPr="00993936">
        <w:rPr>
          <w:rFonts w:ascii="Arial" w:eastAsiaTheme="minorHAnsi" w:hAnsi="Arial" w:cs="Arial"/>
          <w:i/>
          <w:color w:val="auto"/>
          <w:sz w:val="22"/>
          <w:szCs w:val="22"/>
          <w:lang w:val="es-ES"/>
        </w:rPr>
        <w:t>Dactylis glomerata</w:t>
      </w:r>
      <w:r w:rsidRPr="00993936">
        <w:rPr>
          <w:rFonts w:ascii="Arial" w:eastAsiaTheme="minorHAnsi" w:hAnsi="Arial" w:cs="Arial"/>
          <w:color w:val="auto"/>
          <w:sz w:val="22"/>
          <w:szCs w:val="22"/>
          <w:lang w:val="es-ES"/>
        </w:rPr>
        <w:t>)</w:t>
      </w:r>
    </w:p>
    <w:p w:rsidR="00412AFB" w:rsidRPr="00993936" w:rsidRDefault="00412AFB" w:rsidP="009D1A2D">
      <w:pPr>
        <w:pStyle w:val="Ttulo2"/>
        <w:numPr>
          <w:ilvl w:val="0"/>
          <w:numId w:val="44"/>
        </w:numPr>
        <w:jc w:val="both"/>
        <w:rPr>
          <w:rFonts w:ascii="Arial" w:eastAsiaTheme="minorHAnsi" w:hAnsi="Arial" w:cs="Arial"/>
          <w:color w:val="auto"/>
          <w:sz w:val="22"/>
          <w:szCs w:val="22"/>
          <w:lang w:val="es-ES"/>
        </w:rPr>
      </w:pPr>
      <w:r w:rsidRPr="00993936">
        <w:rPr>
          <w:rFonts w:ascii="Arial" w:eastAsiaTheme="minorHAnsi" w:hAnsi="Arial" w:cs="Arial"/>
          <w:color w:val="auto"/>
          <w:sz w:val="22"/>
          <w:szCs w:val="22"/>
          <w:lang w:val="es-ES"/>
        </w:rPr>
        <w:t>Esparceta</w:t>
      </w:r>
    </w:p>
    <w:p w:rsidR="00412AFB" w:rsidRPr="00993936" w:rsidRDefault="00412AFB" w:rsidP="009D1A2D">
      <w:pPr>
        <w:pStyle w:val="Ttulo2"/>
        <w:numPr>
          <w:ilvl w:val="0"/>
          <w:numId w:val="44"/>
        </w:numPr>
        <w:jc w:val="both"/>
        <w:rPr>
          <w:rFonts w:ascii="Arial" w:eastAsiaTheme="minorHAnsi" w:hAnsi="Arial" w:cs="Arial"/>
          <w:color w:val="auto"/>
          <w:sz w:val="22"/>
          <w:szCs w:val="22"/>
          <w:lang w:val="es-ES"/>
        </w:rPr>
      </w:pPr>
      <w:r w:rsidRPr="00993936">
        <w:rPr>
          <w:rFonts w:ascii="Arial" w:eastAsiaTheme="minorHAnsi" w:hAnsi="Arial" w:cs="Arial"/>
          <w:color w:val="auto"/>
          <w:sz w:val="22"/>
          <w:szCs w:val="22"/>
          <w:lang w:val="es-ES"/>
        </w:rPr>
        <w:t>Trébol</w:t>
      </w:r>
    </w:p>
    <w:p w:rsidR="00412AFB" w:rsidRPr="00993936" w:rsidRDefault="00412AFB" w:rsidP="009D1A2D">
      <w:pPr>
        <w:pStyle w:val="Ttulo2"/>
        <w:numPr>
          <w:ilvl w:val="0"/>
          <w:numId w:val="44"/>
        </w:numPr>
        <w:jc w:val="both"/>
        <w:rPr>
          <w:rFonts w:ascii="Arial" w:eastAsiaTheme="minorHAnsi" w:hAnsi="Arial" w:cs="Arial"/>
          <w:color w:val="auto"/>
          <w:sz w:val="22"/>
          <w:szCs w:val="22"/>
          <w:lang w:val="es-ES"/>
        </w:rPr>
      </w:pPr>
      <w:r w:rsidRPr="00993936">
        <w:rPr>
          <w:rFonts w:ascii="Arial" w:eastAsiaTheme="minorHAnsi" w:hAnsi="Arial" w:cs="Arial"/>
          <w:color w:val="auto"/>
          <w:sz w:val="22"/>
          <w:szCs w:val="22"/>
          <w:lang w:val="es-ES"/>
        </w:rPr>
        <w:t>Maíz forrajero</w:t>
      </w:r>
    </w:p>
    <w:p w:rsidR="00412AFB" w:rsidRPr="00993936" w:rsidRDefault="00412AFB" w:rsidP="009D1A2D">
      <w:pPr>
        <w:numPr>
          <w:ilvl w:val="0"/>
          <w:numId w:val="44"/>
        </w:numPr>
        <w:spacing w:after="0" w:line="240" w:lineRule="auto"/>
        <w:jc w:val="both"/>
        <w:rPr>
          <w:rFonts w:ascii="Arial" w:hAnsi="Arial" w:cs="Arial"/>
          <w:lang w:val="es-ES"/>
        </w:rPr>
      </w:pPr>
      <w:r w:rsidRPr="00993936">
        <w:rPr>
          <w:rFonts w:ascii="Arial" w:hAnsi="Arial" w:cs="Arial"/>
          <w:lang w:val="es-ES"/>
        </w:rPr>
        <w:t>Pasto del Sudán / sorgo forrajero e híbridos</w:t>
      </w:r>
    </w:p>
    <w:p w:rsidR="00412AFB" w:rsidRPr="00993936" w:rsidRDefault="00412AFB" w:rsidP="009D1A2D">
      <w:pPr>
        <w:numPr>
          <w:ilvl w:val="0"/>
          <w:numId w:val="44"/>
        </w:numPr>
        <w:spacing w:after="0" w:line="240" w:lineRule="auto"/>
        <w:jc w:val="both"/>
        <w:rPr>
          <w:rFonts w:ascii="Arial" w:hAnsi="Arial" w:cs="Arial"/>
          <w:lang w:val="es-ES"/>
        </w:rPr>
      </w:pPr>
      <w:r w:rsidRPr="00993936">
        <w:rPr>
          <w:rFonts w:ascii="Arial" w:hAnsi="Arial" w:cs="Arial"/>
          <w:lang w:val="es-ES"/>
        </w:rPr>
        <w:t>Guisante forrajero</w:t>
      </w:r>
    </w:p>
    <w:p w:rsidR="00412AFB" w:rsidRPr="00993936" w:rsidRDefault="00412AFB" w:rsidP="009D1A2D">
      <w:pPr>
        <w:numPr>
          <w:ilvl w:val="0"/>
          <w:numId w:val="44"/>
        </w:numPr>
        <w:spacing w:after="0" w:line="240" w:lineRule="auto"/>
        <w:jc w:val="both"/>
        <w:rPr>
          <w:rFonts w:ascii="Arial" w:hAnsi="Arial" w:cs="Arial"/>
          <w:lang w:val="es-ES"/>
        </w:rPr>
      </w:pPr>
      <w:r w:rsidRPr="00993936">
        <w:rPr>
          <w:rFonts w:ascii="Arial" w:hAnsi="Arial" w:cs="Arial"/>
          <w:lang w:val="es-ES"/>
        </w:rPr>
        <w:t xml:space="preserve">Veza </w:t>
      </w:r>
    </w:p>
    <w:p w:rsidR="00412AFB" w:rsidRPr="00993936" w:rsidRDefault="00412AFB" w:rsidP="009D1A2D">
      <w:pPr>
        <w:numPr>
          <w:ilvl w:val="0"/>
          <w:numId w:val="44"/>
        </w:numPr>
        <w:spacing w:after="0" w:line="240" w:lineRule="auto"/>
        <w:jc w:val="both"/>
        <w:rPr>
          <w:rFonts w:ascii="Arial" w:hAnsi="Arial" w:cs="Arial"/>
          <w:lang w:val="es-ES"/>
        </w:rPr>
      </w:pPr>
      <w:r w:rsidRPr="00993936">
        <w:rPr>
          <w:rFonts w:ascii="Arial" w:hAnsi="Arial" w:cs="Arial"/>
          <w:lang w:val="es-ES"/>
        </w:rPr>
        <w:t>Gramíneas + Leguminosas</w:t>
      </w:r>
    </w:p>
    <w:p w:rsidR="00412AFB" w:rsidRPr="00993936" w:rsidRDefault="00412AFB" w:rsidP="009D1A2D">
      <w:pPr>
        <w:numPr>
          <w:ilvl w:val="0"/>
          <w:numId w:val="44"/>
        </w:numPr>
        <w:spacing w:after="0" w:line="240" w:lineRule="auto"/>
        <w:jc w:val="both"/>
        <w:rPr>
          <w:rFonts w:ascii="Arial" w:hAnsi="Arial" w:cs="Arial"/>
          <w:lang w:val="es-ES"/>
        </w:rPr>
      </w:pPr>
      <w:r w:rsidRPr="00993936">
        <w:rPr>
          <w:rFonts w:ascii="Arial" w:hAnsi="Arial" w:cs="Arial"/>
          <w:lang w:val="es-ES"/>
        </w:rPr>
        <w:t>Otros (cereales de invierno, girasol, etc.)</w:t>
      </w:r>
    </w:p>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DEFINICIONES</w:t>
      </w:r>
    </w:p>
    <w:p w:rsidR="00412AFB" w:rsidRPr="00993936" w:rsidRDefault="00412AFB" w:rsidP="00412AFB">
      <w:pPr>
        <w:jc w:val="both"/>
        <w:rPr>
          <w:rFonts w:ascii="Arial" w:hAnsi="Arial" w:cs="Arial"/>
          <w:lang w:val="es-ES"/>
        </w:rPr>
      </w:pPr>
      <w:r w:rsidRPr="00993936">
        <w:rPr>
          <w:rFonts w:ascii="Arial" w:hAnsi="Arial" w:cs="Arial"/>
          <w:lang w:val="es-ES"/>
        </w:rPr>
        <w:t>A efectos de esta norma, se entenderá por:</w:t>
      </w:r>
    </w:p>
    <w:p w:rsidR="00412AFB" w:rsidRPr="00993936" w:rsidRDefault="00412AFB" w:rsidP="00412AFB">
      <w:pPr>
        <w:jc w:val="both"/>
        <w:rPr>
          <w:rFonts w:ascii="Arial" w:hAnsi="Arial" w:cs="Arial"/>
          <w:lang w:val="es-ES"/>
        </w:rPr>
      </w:pPr>
      <w:r w:rsidRPr="00993936">
        <w:rPr>
          <w:rFonts w:ascii="Arial" w:hAnsi="Arial" w:cs="Arial"/>
          <w:i/>
          <w:lang w:val="es-ES"/>
        </w:rPr>
        <w:t xml:space="preserve">Agrupación de producción integrada: </w:t>
      </w:r>
      <w:r w:rsidRPr="00993936">
        <w:rPr>
          <w:rFonts w:ascii="Arial" w:hAnsi="Arial" w:cs="Arial"/>
          <w:lang w:val="es-ES"/>
        </w:rPr>
        <w:t>aquella agrupación de operadores constituida en virtud de cualquier fórmula jurídica o integrada en otra agrupación previamente constituida y reconocida por la autoridad competente con el objeto de obtener productos vegetales bajo los requisitos de producción integrada para ser comercializados.</w:t>
      </w:r>
    </w:p>
    <w:p w:rsidR="00412AFB" w:rsidRPr="00993936" w:rsidRDefault="00412AFB" w:rsidP="00412AFB">
      <w:pPr>
        <w:jc w:val="both"/>
        <w:rPr>
          <w:rFonts w:ascii="Arial" w:hAnsi="Arial" w:cs="Arial"/>
          <w:lang w:val="es-ES"/>
        </w:rPr>
      </w:pPr>
      <w:r w:rsidRPr="00993936">
        <w:rPr>
          <w:rFonts w:ascii="Arial" w:hAnsi="Arial" w:cs="Arial"/>
          <w:i/>
          <w:lang w:val="es-ES"/>
        </w:rPr>
        <w:t xml:space="preserve">Análisis de peligros y puntos de control críticos (APPCC): </w:t>
      </w:r>
      <w:r w:rsidRPr="00993936">
        <w:rPr>
          <w:rFonts w:ascii="Arial" w:hAnsi="Arial" w:cs="Arial"/>
          <w:lang w:val="es-ES"/>
        </w:rPr>
        <w:t>enfoque sistemático de la base científica que permite identificar riesgos específicos y medidas para el control, con el fin de asegurar la inocuidad de los alimentos. Es un instrumento para evaluar los riesgos y establecer sistemas de control que se orienten hacia la prevención en lugar de fundamentarse en el análisis del producto final.</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 diferentes que vive en un determinado ecosistema.</w:t>
      </w:r>
    </w:p>
    <w:p w:rsidR="00412AFB" w:rsidRPr="00993936" w:rsidRDefault="00412AFB" w:rsidP="00412AFB">
      <w:pPr>
        <w:jc w:val="both"/>
        <w:rPr>
          <w:rFonts w:ascii="Arial" w:hAnsi="Arial" w:cs="Arial"/>
          <w:lang w:val="es-ES"/>
        </w:rPr>
      </w:pPr>
      <w:r w:rsidRPr="00993936">
        <w:rPr>
          <w:rFonts w:ascii="Arial" w:hAnsi="Arial" w:cs="Arial"/>
          <w:i/>
          <w:lang w:val="es-ES"/>
        </w:rPr>
        <w:t xml:space="preserve">Buenas prácticas fitosanitarias: </w:t>
      </w:r>
      <w:r w:rsidRPr="00993936">
        <w:rPr>
          <w:rFonts w:ascii="Arial" w:hAnsi="Arial" w:cs="Arial"/>
          <w:lang w:val="es-ES"/>
        </w:rPr>
        <w:t>Utilizar productos fitosanitarios y otros medios de defensa fitosanitaria bajo las condiciones de uso autorizadas.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Coeficiente de uniformidad: </w:t>
      </w:r>
      <w:r w:rsidRPr="00993936">
        <w:rPr>
          <w:rFonts w:ascii="Arial" w:hAnsi="Arial" w:cs="Arial"/>
          <w:lang w:val="es-ES"/>
        </w:rPr>
        <w:t xml:space="preserve">valor obtenido de aplicar una fórmula que indica la uniformidad en la distribución del agua aplicada por el sistema de riego. </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productos vegetales.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Control o lucha integrada: </w:t>
      </w:r>
      <w:r w:rsidRPr="00993936">
        <w:rPr>
          <w:rFonts w:ascii="Arial" w:hAnsi="Arial" w:cs="Arial"/>
          <w:lang w:val="es-ES"/>
        </w:rPr>
        <w:t>la aplicación racional de una combinación de medidas biológicas, físicas, biotecnológicas, químicas, de cultivo o de selección de vegetales, de modo que la utilización de productos fitosanitarios se limita al mínimo necesario para controlar las plagas.</w:t>
      </w:r>
    </w:p>
    <w:p w:rsidR="00412AFB" w:rsidRPr="00993936" w:rsidRDefault="00412AFB" w:rsidP="00412AFB">
      <w:pPr>
        <w:jc w:val="both"/>
        <w:rPr>
          <w:rFonts w:ascii="Arial" w:hAnsi="Arial" w:cs="Arial"/>
          <w:lang w:val="es-ES"/>
        </w:rPr>
      </w:pPr>
      <w:r w:rsidRPr="00993936">
        <w:rPr>
          <w:rFonts w:ascii="Arial" w:hAnsi="Arial" w:cs="Arial"/>
          <w:i/>
          <w:lang w:val="es-ES"/>
        </w:rPr>
        <w:lastRenderedPageBreak/>
        <w:t xml:space="preserve">Criterio de intervención: </w:t>
      </w:r>
      <w:r w:rsidRPr="00993936">
        <w:rPr>
          <w:rFonts w:ascii="Arial" w:hAnsi="Arial" w:cs="Arial"/>
          <w:lang w:val="es-ES"/>
        </w:rPr>
        <w:t>conjunto de condiciones que permiten justificar la realización de un tratamiento contra una plaga o agente patógeno.</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Cultivo: </w:t>
      </w:r>
      <w:r w:rsidRPr="00993936">
        <w:rPr>
          <w:rFonts w:ascii="Arial" w:hAnsi="Arial" w:cs="Arial"/>
          <w:lang w:val="es-ES"/>
        </w:rPr>
        <w:t>para cada especie, la totalidad de la producción que gestiona un agricultor</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i/>
          <w:lang w:val="es-ES"/>
        </w:rPr>
        <w:t xml:space="preserve">Ecosistema: </w:t>
      </w:r>
      <w:r w:rsidRPr="00993936">
        <w:rPr>
          <w:rFonts w:ascii="Arial" w:hAnsi="Arial" w:cs="Arial"/>
          <w:lang w:val="es-ES"/>
        </w:rPr>
        <w:t>sistema formado por el conjunto de seres vivos presentes en un lugar determinado y el medio ambiente que les es propio.</w:t>
      </w:r>
    </w:p>
    <w:p w:rsidR="00412AFB" w:rsidRPr="00993936" w:rsidRDefault="00412AFB" w:rsidP="00412AFB">
      <w:pPr>
        <w:jc w:val="both"/>
        <w:rPr>
          <w:rFonts w:ascii="Arial" w:hAnsi="Arial" w:cs="Arial"/>
          <w:lang w:val="es-ES"/>
        </w:rPr>
      </w:pPr>
      <w:r w:rsidRPr="00993936">
        <w:rPr>
          <w:rFonts w:ascii="Arial" w:hAnsi="Arial" w:cs="Arial"/>
          <w:i/>
          <w:lang w:val="es-ES"/>
        </w:rPr>
        <w:t xml:space="preserve">Enemigo natural: </w:t>
      </w:r>
      <w:r w:rsidRPr="00993936">
        <w:rPr>
          <w:rFonts w:ascii="Arial" w:hAnsi="Arial" w:cs="Arial"/>
          <w:lang w:val="es-ES"/>
        </w:rPr>
        <w:t>insecto o ácaro que actúa como agente de control biológico interaccionando con las plagas del cultivo, depredándolas o parasitándolas.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Entidades de certificación: </w:t>
      </w:r>
      <w:r w:rsidRPr="00993936">
        <w:rPr>
          <w:rFonts w:ascii="Arial" w:hAnsi="Arial" w:cs="Arial"/>
          <w:lang w:val="es-ES"/>
        </w:rPr>
        <w:t>son aquellas entidades acreditadas por la Entidad Nacional de Acreditación (ENAC) para realizar las funciones de control y certificación, a las que deberá someterse la producción para los productos obtenidos puedan ser diferenciados con un distintivo de garantía de producción integrada, de acuerdo con el Decreto 241/2002 (DOGC núm. 3744, de 21.10.2002) o, en su caso, las acreditadas por cualquier otro organismo acreditación firmante del acuerdo multilateral de reconocimiento de la Cooperación Europea para la Acreditación (EA).</w:t>
      </w:r>
    </w:p>
    <w:p w:rsidR="00412AFB" w:rsidRPr="00993936" w:rsidRDefault="00412AFB" w:rsidP="00412AFB">
      <w:pPr>
        <w:jc w:val="both"/>
        <w:rPr>
          <w:rFonts w:ascii="Arial" w:hAnsi="Arial" w:cs="Arial"/>
          <w:lang w:val="es-ES"/>
        </w:rPr>
      </w:pPr>
      <w:r w:rsidRPr="00993936">
        <w:rPr>
          <w:rFonts w:ascii="Arial" w:hAnsi="Arial" w:cs="Arial"/>
          <w:i/>
          <w:lang w:val="es-ES"/>
        </w:rPr>
        <w:t xml:space="preserve">Especie mejoradora: </w:t>
      </w:r>
      <w:r w:rsidRPr="00993936">
        <w:rPr>
          <w:rFonts w:ascii="Arial" w:hAnsi="Arial" w:cs="Arial"/>
          <w:lang w:val="es-ES"/>
        </w:rPr>
        <w:t>especie vegetal, normalmente gramíneas o leguminosas, que por sus características biológicas mejoran las propiedades físico-químicas del suelo durante su cultivo.</w:t>
      </w:r>
    </w:p>
    <w:p w:rsidR="00412AFB" w:rsidRPr="00993936" w:rsidRDefault="00412AFB" w:rsidP="00412AFB">
      <w:pPr>
        <w:jc w:val="both"/>
        <w:rPr>
          <w:rFonts w:ascii="Arial" w:hAnsi="Arial" w:cs="Arial"/>
          <w:lang w:val="es-ES"/>
        </w:rPr>
      </w:pPr>
      <w:r w:rsidRPr="00993936">
        <w:rPr>
          <w:rFonts w:ascii="Arial" w:hAnsi="Arial" w:cs="Arial"/>
          <w:i/>
          <w:lang w:val="es-ES"/>
        </w:rPr>
        <w:t xml:space="preserve">Etiquetado: </w:t>
      </w:r>
      <w:r w:rsidRPr="00993936">
        <w:rPr>
          <w:rFonts w:ascii="Arial" w:hAnsi="Arial" w:cs="Arial"/>
          <w:lang w:val="es-ES"/>
        </w:rPr>
        <w:t>todas las menciones, indicaciones, identificaciones de fábrica o de comercio, imágenes o signos que figuren en los envases, documentos, letreros, etiquetas, argollas o collarines que acompañen o se refieran a productos que prevé el Decreto 241/2002.</w:t>
      </w:r>
    </w:p>
    <w:p w:rsidR="00412AFB" w:rsidRPr="00993936" w:rsidRDefault="00412AFB" w:rsidP="00412AFB">
      <w:pPr>
        <w:jc w:val="both"/>
        <w:rPr>
          <w:rFonts w:ascii="Arial" w:hAnsi="Arial" w:cs="Arial"/>
          <w:lang w:val="es-ES"/>
        </w:rPr>
      </w:pPr>
      <w:r w:rsidRPr="00993936">
        <w:rPr>
          <w:rFonts w:ascii="Arial" w:hAnsi="Arial" w:cs="Arial"/>
          <w:i/>
          <w:lang w:val="es-ES"/>
        </w:rPr>
        <w:t xml:space="preserve">Explotación: </w:t>
      </w:r>
      <w:r w:rsidRPr="00993936">
        <w:rPr>
          <w:rFonts w:ascii="Arial" w:hAnsi="Arial" w:cs="Arial"/>
          <w:lang w:val="es-ES"/>
        </w:rPr>
        <w:t>conjunto de bienes productivos que dan origen a una actividad económica.</w:t>
      </w:r>
    </w:p>
    <w:p w:rsidR="00412AFB" w:rsidRPr="00993936" w:rsidRDefault="00412AFB" w:rsidP="00412AFB">
      <w:pPr>
        <w:jc w:val="both"/>
        <w:rPr>
          <w:rFonts w:ascii="Arial" w:hAnsi="Arial" w:cs="Arial"/>
          <w:lang w:val="es-ES"/>
        </w:rPr>
      </w:pPr>
      <w:r w:rsidRPr="00993936">
        <w:rPr>
          <w:rFonts w:ascii="Arial" w:hAnsi="Arial" w:cs="Arial"/>
          <w:i/>
          <w:lang w:val="es-ES"/>
        </w:rPr>
        <w:t xml:space="preserve">Forraje: </w:t>
      </w:r>
      <w:r w:rsidRPr="00993936">
        <w:rPr>
          <w:rFonts w:ascii="Arial" w:hAnsi="Arial" w:cs="Arial"/>
          <w:lang w:val="es-ES"/>
        </w:rPr>
        <w:t>parte vegetativa de las plantas que se da al ganado una vez cortada o segada bien sea en fresco o conservada.</w:t>
      </w:r>
    </w:p>
    <w:p w:rsidR="00412AFB" w:rsidRPr="00993936" w:rsidRDefault="00412AFB" w:rsidP="00412AFB">
      <w:pPr>
        <w:jc w:val="both"/>
        <w:rPr>
          <w:rFonts w:ascii="Arial" w:hAnsi="Arial" w:cs="Arial"/>
          <w:lang w:val="es-ES"/>
        </w:rPr>
      </w:pPr>
      <w:r w:rsidRPr="00993936">
        <w:rPr>
          <w:rFonts w:ascii="Arial" w:hAnsi="Arial" w:cs="Arial"/>
          <w:i/>
          <w:lang w:val="es-ES"/>
        </w:rPr>
        <w:t xml:space="preserve">Fauna auxiliar: </w:t>
      </w:r>
      <w:r w:rsidRPr="00993936">
        <w:rPr>
          <w:rFonts w:ascii="Arial" w:hAnsi="Arial" w:cs="Arial"/>
          <w:lang w:val="es-ES"/>
        </w:rPr>
        <w:t>véase enemigo natural.</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Hoja: </w:t>
      </w:r>
      <w:r w:rsidRPr="00993936">
        <w:rPr>
          <w:rFonts w:ascii="Arial" w:hAnsi="Arial" w:cs="Arial"/>
          <w:lang w:val="es-ES"/>
        </w:rPr>
        <w:t>término utilizado en la rotación de cultivos para indicar el número de cultivos que la integran.</w:t>
      </w:r>
    </w:p>
    <w:p w:rsidR="00412AFB" w:rsidRPr="00993936" w:rsidRDefault="00412AFB" w:rsidP="00412AFB">
      <w:pPr>
        <w:jc w:val="both"/>
        <w:rPr>
          <w:rFonts w:ascii="Arial" w:hAnsi="Arial" w:cs="Arial"/>
          <w:lang w:val="es-ES"/>
        </w:rPr>
      </w:pPr>
      <w:r w:rsidRPr="00993936">
        <w:rPr>
          <w:rFonts w:ascii="Arial" w:hAnsi="Arial" w:cs="Arial"/>
          <w:i/>
          <w:lang w:val="es-ES"/>
        </w:rPr>
        <w:t xml:space="preserve">Herbigación: </w:t>
      </w:r>
      <w:r w:rsidRPr="00993936">
        <w:rPr>
          <w:rFonts w:ascii="Arial" w:hAnsi="Arial" w:cs="Arial"/>
          <w:lang w:val="es-ES"/>
        </w:rPr>
        <w:t>Aplicación de herbicidas a través de las instalaciones de riego localizado.</w:t>
      </w:r>
    </w:p>
    <w:p w:rsidR="00412AFB" w:rsidRPr="00993936" w:rsidRDefault="00412AFB" w:rsidP="00412AFB">
      <w:pPr>
        <w:jc w:val="both"/>
        <w:rPr>
          <w:rFonts w:ascii="Arial" w:hAnsi="Arial" w:cs="Arial"/>
          <w:lang w:val="es-ES"/>
        </w:rPr>
      </w:pPr>
      <w:r w:rsidRPr="00993936">
        <w:rPr>
          <w:rFonts w:ascii="Arial" w:hAnsi="Arial" w:cs="Arial"/>
          <w:i/>
          <w:lang w:val="es-ES"/>
        </w:rPr>
        <w:t xml:space="preserve">Método de Merrien-Keller: </w:t>
      </w:r>
      <w:r w:rsidRPr="00993936">
        <w:rPr>
          <w:rFonts w:ascii="Arial" w:hAnsi="Arial" w:cs="Arial"/>
          <w:lang w:val="es-ES"/>
        </w:rPr>
        <w:t>método de cálculo del coeficiente de uniformidad de un sistema de riego, expresado por la siguiente fórmula:</w:t>
      </w:r>
      <w:r w:rsidR="00E03B3B" w:rsidRPr="00993936">
        <w:rPr>
          <w:rFonts w:ascii="Arial" w:hAnsi="Arial" w:cs="Arial"/>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412AFB" w:rsidRPr="00993936" w:rsidTr="00C8678E">
        <w:trPr>
          <w:cantSplit/>
        </w:trPr>
        <w:tc>
          <w:tcPr>
            <w:tcW w:w="921" w:type="dxa"/>
            <w:vMerge w:val="restart"/>
            <w:tcBorders>
              <w:top w:val="nil"/>
              <w:left w:val="nil"/>
              <w:bottom w:val="nil"/>
              <w:right w:val="nil"/>
            </w:tcBorders>
            <w:vAlign w:val="center"/>
          </w:tcPr>
          <w:p w:rsidR="00412AFB" w:rsidRPr="00993936" w:rsidRDefault="00412AFB" w:rsidP="00C8678E">
            <w:pPr>
              <w:jc w:val="both"/>
              <w:rPr>
                <w:rFonts w:ascii="Arial" w:hAnsi="Arial" w:cs="Arial"/>
                <w:lang w:val="es-ES"/>
              </w:rPr>
            </w:pPr>
            <w:r w:rsidRPr="00993936">
              <w:rPr>
                <w:rFonts w:ascii="Arial" w:hAnsi="Arial" w:cs="Arial"/>
                <w:lang w:val="es-ES"/>
              </w:rPr>
              <w:t>CU</w:t>
            </w:r>
            <w:r w:rsidR="00E03B3B" w:rsidRPr="00993936">
              <w:rPr>
                <w:rFonts w:ascii="Arial" w:hAnsi="Arial" w:cs="Arial"/>
                <w:lang w:val="es-ES"/>
              </w:rPr>
              <w:t xml:space="preserve"> </w:t>
            </w:r>
            <w:r w:rsidRPr="00993936">
              <w:rPr>
                <w:rFonts w:ascii="Arial" w:hAnsi="Arial" w:cs="Arial"/>
                <w:lang w:val="es-ES"/>
              </w:rPr>
              <w:t xml:space="preserve">= </w:t>
            </w:r>
          </w:p>
        </w:tc>
        <w:tc>
          <w:tcPr>
            <w:tcW w:w="992" w:type="dxa"/>
            <w:tcBorders>
              <w:top w:val="nil"/>
              <w:left w:val="nil"/>
              <w:bottom w:val="single" w:sz="4" w:space="0" w:color="auto"/>
              <w:right w:val="nil"/>
            </w:tcBorders>
          </w:tcPr>
          <w:p w:rsidR="00412AFB" w:rsidRPr="00993936" w:rsidRDefault="00412AFB" w:rsidP="00C8678E">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25 %</w:t>
            </w:r>
          </w:p>
        </w:tc>
        <w:tc>
          <w:tcPr>
            <w:tcW w:w="992" w:type="dxa"/>
            <w:vMerge w:val="restart"/>
            <w:tcBorders>
              <w:top w:val="nil"/>
              <w:left w:val="nil"/>
              <w:bottom w:val="nil"/>
              <w:right w:val="nil"/>
            </w:tcBorders>
            <w:vAlign w:val="center"/>
          </w:tcPr>
          <w:p w:rsidR="00412AFB" w:rsidRPr="00993936" w:rsidRDefault="00412AFB" w:rsidP="00C8678E">
            <w:pPr>
              <w:jc w:val="both"/>
              <w:rPr>
                <w:rFonts w:ascii="Arial" w:hAnsi="Arial" w:cs="Arial"/>
                <w:lang w:val="es-ES"/>
              </w:rPr>
            </w:pPr>
            <w:r w:rsidRPr="00993936">
              <w:rPr>
                <w:rFonts w:ascii="Arial" w:hAnsi="Arial" w:cs="Arial"/>
                <w:lang w:val="es-ES"/>
              </w:rPr>
              <w:t xml:space="preserve"> × 100</w:t>
            </w:r>
          </w:p>
        </w:tc>
      </w:tr>
      <w:tr w:rsidR="00412AFB" w:rsidRPr="00993936" w:rsidTr="00C8678E">
        <w:trPr>
          <w:cantSplit/>
        </w:trPr>
        <w:tc>
          <w:tcPr>
            <w:tcW w:w="921" w:type="dxa"/>
            <w:vMerge/>
            <w:tcBorders>
              <w:top w:val="nil"/>
              <w:left w:val="nil"/>
              <w:bottom w:val="nil"/>
              <w:right w:val="nil"/>
            </w:tcBorders>
          </w:tcPr>
          <w:p w:rsidR="00412AFB" w:rsidRPr="00993936" w:rsidRDefault="00412AFB" w:rsidP="00C8678E">
            <w:pPr>
              <w:jc w:val="both"/>
              <w:rPr>
                <w:rFonts w:ascii="Arial" w:hAnsi="Arial" w:cs="Arial"/>
                <w:lang w:val="es-ES"/>
              </w:rPr>
            </w:pPr>
          </w:p>
        </w:tc>
        <w:tc>
          <w:tcPr>
            <w:tcW w:w="992" w:type="dxa"/>
            <w:tcBorders>
              <w:top w:val="single" w:sz="4" w:space="0" w:color="auto"/>
              <w:left w:val="nil"/>
              <w:bottom w:val="nil"/>
              <w:right w:val="nil"/>
            </w:tcBorders>
          </w:tcPr>
          <w:p w:rsidR="00412AFB" w:rsidRPr="00993936" w:rsidRDefault="00412AFB" w:rsidP="00C8678E">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n</w:t>
            </w:r>
          </w:p>
        </w:tc>
        <w:tc>
          <w:tcPr>
            <w:tcW w:w="992" w:type="dxa"/>
            <w:vMerge/>
            <w:tcBorders>
              <w:top w:val="nil"/>
              <w:left w:val="nil"/>
              <w:bottom w:val="nil"/>
              <w:right w:val="nil"/>
            </w:tcBorders>
          </w:tcPr>
          <w:p w:rsidR="00412AFB" w:rsidRPr="00993936" w:rsidRDefault="00412AFB" w:rsidP="00C8678E">
            <w:pPr>
              <w:jc w:val="both"/>
              <w:rPr>
                <w:rFonts w:ascii="Arial" w:hAnsi="Arial" w:cs="Arial"/>
                <w:lang w:val="es-ES"/>
              </w:rPr>
            </w:pPr>
          </w:p>
        </w:tc>
      </w:tr>
    </w:tbl>
    <w:p w:rsidR="00412AFB" w:rsidRPr="00993936" w:rsidRDefault="00412AFB" w:rsidP="00412AFB">
      <w:pPr>
        <w:jc w:val="both"/>
        <w:rPr>
          <w:rFonts w:ascii="Arial" w:hAnsi="Arial" w:cs="Arial"/>
          <w:lang w:val="es-ES"/>
        </w:rPr>
      </w:pPr>
      <w:r w:rsidRPr="00993936">
        <w:rPr>
          <w:rFonts w:ascii="Arial" w:hAnsi="Arial" w:cs="Arial"/>
          <w:lang w:val="es-ES"/>
        </w:rPr>
        <w:t>donde Q</w:t>
      </w:r>
      <w:r w:rsidRPr="00993936">
        <w:rPr>
          <w:rFonts w:ascii="Arial" w:hAnsi="Arial" w:cs="Arial"/>
          <w:vertAlign w:val="subscript"/>
          <w:lang w:val="es-ES"/>
        </w:rPr>
        <w:t xml:space="preserve">25 % </w:t>
      </w:r>
      <w:r w:rsidRPr="00993936">
        <w:rPr>
          <w:rFonts w:ascii="Arial" w:hAnsi="Arial" w:cs="Arial"/>
          <w:lang w:val="es-ES"/>
        </w:rPr>
        <w:t>es la media del caudal de la descarga del 25 % de los emisores del caudal más reducido;</w:t>
      </w:r>
      <w:r w:rsidR="00E03B3B" w:rsidRPr="00993936">
        <w:rPr>
          <w:rFonts w:ascii="Arial" w:hAnsi="Arial" w:cs="Arial"/>
          <w:lang w:val="es-ES"/>
        </w:rPr>
        <w:t xml:space="preserve"> </w:t>
      </w:r>
      <w:r w:rsidRPr="00993936">
        <w:rPr>
          <w:rFonts w:ascii="Arial" w:hAnsi="Arial" w:cs="Arial"/>
          <w:lang w:val="es-ES"/>
        </w:rPr>
        <w:t>Q</w:t>
      </w:r>
      <w:r w:rsidRPr="00993936">
        <w:rPr>
          <w:rFonts w:ascii="Arial" w:hAnsi="Arial" w:cs="Arial"/>
          <w:vertAlign w:val="subscript"/>
          <w:lang w:val="es-ES"/>
        </w:rPr>
        <w:t>n</w:t>
      </w:r>
      <w:r w:rsidRPr="00993936">
        <w:rPr>
          <w:rFonts w:ascii="Arial" w:hAnsi="Arial" w:cs="Arial"/>
          <w:lang w:val="es-ES"/>
        </w:rPr>
        <w:t xml:space="preserve"> es el caudal medio de todos los emisores y n, el número de unidades o puntos de control (se recomienda que </w:t>
      </w:r>
      <w:r w:rsidR="003237E7" w:rsidRPr="00993936">
        <w:rPr>
          <w:rFonts w:ascii="Arial" w:hAnsi="Arial" w:cs="Arial"/>
          <w:lang w:val="es-ES"/>
        </w:rPr>
        <w:t>n ≥ 16</w:t>
      </w:r>
      <w:r w:rsidRPr="00993936">
        <w:rPr>
          <w:rFonts w:ascii="Arial" w:hAnsi="Arial" w:cs="Arial"/>
          <w:lang w:val="es-ES"/>
        </w:rPr>
        <w:t>). En caso de que la unidad de control tenga más de un emisor, el caudal total que hay que considerar será la suma del caudal de todos los emisores que constituyen la unidad.</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 operadora: </w:t>
      </w:r>
      <w:r w:rsidRPr="00993936">
        <w:rPr>
          <w:rFonts w:ascii="Arial" w:hAnsi="Arial" w:cs="Arial"/>
          <w:lang w:val="es-ES"/>
        </w:rPr>
        <w:t xml:space="preserve">toda persona física o jurídica que obtiene, manipula, elabora, envasa, etiqueta, almacena o comercializa productos vegetales en las condiciones que </w:t>
      </w:r>
      <w:r w:rsidRPr="00993936">
        <w:rPr>
          <w:rFonts w:ascii="Arial" w:hAnsi="Arial" w:cs="Arial"/>
          <w:lang w:val="es-ES"/>
        </w:rPr>
        <w:lastRenderedPageBreak/>
        <w:t>establece esta disposición y que, como tal, figura inscrito en el Registro del Consejo Catalán de la Producción Integrada.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 operadora individual: </w:t>
      </w:r>
      <w:r w:rsidRPr="00993936">
        <w:rPr>
          <w:rFonts w:ascii="Arial" w:hAnsi="Arial" w:cs="Arial"/>
          <w:lang w:val="es-ES"/>
        </w:rPr>
        <w:t xml:space="preserve">aquella persona operadora que no está agrupada bajo ninguna forma de agrupación de producción integrada. </w:t>
      </w:r>
    </w:p>
    <w:p w:rsidR="00412AFB" w:rsidRPr="00993936" w:rsidRDefault="00412AFB" w:rsidP="00412AFB">
      <w:pPr>
        <w:jc w:val="both"/>
        <w:rPr>
          <w:rFonts w:ascii="Arial" w:hAnsi="Arial" w:cs="Arial"/>
          <w:lang w:val="es-ES"/>
        </w:rPr>
      </w:pPr>
      <w:r w:rsidRPr="00993936">
        <w:rPr>
          <w:rFonts w:ascii="Arial" w:hAnsi="Arial" w:cs="Arial"/>
          <w:i/>
          <w:lang w:val="es-ES"/>
        </w:rPr>
        <w:t xml:space="preserve">Parcela: </w:t>
      </w:r>
      <w:r w:rsidRPr="00993936">
        <w:rPr>
          <w:rFonts w:ascii="Arial" w:hAnsi="Arial" w:cs="Arial"/>
          <w:lang w:val="es-ES"/>
        </w:rPr>
        <w:t>superficie continua de terreno geográficamente definida e inscrita en el Registro catastral a nombre de uno o más titulares, donde la persona operadora realiza las prácticas de producción integrada.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Pérdidas técnicas de nutrientes: </w:t>
      </w:r>
      <w:r w:rsidRPr="00993936">
        <w:rPr>
          <w:rFonts w:ascii="Arial" w:hAnsi="Arial" w:cs="Arial"/>
          <w:lang w:val="es-ES"/>
        </w:rPr>
        <w:t>son las que se deben a la falta de incorporación de elementos nutritivos en la planta como consecuencia de errores de homogeneidad en la aportación, extracción de vegetación adventicia, lixiviación, pérdida de asimilabilidad por antagonismos, transformación en compuestos orgánicos, precipitación o insolubilización de elementos minerales o cualquier otro factor biótico.</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Personal técnico competente: </w:t>
      </w:r>
      <w:r w:rsidRPr="00993936">
        <w:rPr>
          <w:rFonts w:ascii="Arial" w:hAnsi="Arial" w:cs="Arial"/>
          <w:lang w:val="es-ES"/>
        </w:rPr>
        <w:t>Conjunto de personas físicas que prestan servicios técnicos de asistencia a la producción integrada y que cuentan con titulación universitaria de grado medio o superior, de acuerdo con lo especificado en el artículo 11.1 del Decreto 241/2002.</w:t>
      </w:r>
    </w:p>
    <w:p w:rsidR="00412AFB" w:rsidRPr="00993936" w:rsidRDefault="00412AFB" w:rsidP="00412AFB">
      <w:pPr>
        <w:jc w:val="both"/>
        <w:rPr>
          <w:rFonts w:ascii="Arial" w:hAnsi="Arial" w:cs="Arial"/>
          <w:lang w:val="es-ES"/>
        </w:rPr>
      </w:pPr>
      <w:r w:rsidRPr="00993936">
        <w:rPr>
          <w:rFonts w:ascii="Arial" w:hAnsi="Arial" w:cs="Arial"/>
          <w:i/>
          <w:lang w:val="es-ES"/>
        </w:rPr>
        <w:t xml:space="preserve">Producción integrada: </w:t>
      </w:r>
      <w:r w:rsidRPr="00993936">
        <w:rPr>
          <w:rFonts w:ascii="Arial" w:hAnsi="Arial" w:cs="Arial"/>
          <w:lang w:val="es-ES"/>
        </w:rPr>
        <w:t>el sistema agrario de producción y obtención de alimentos de calidad, frescos o transformados, y otros productos, que prioriza la utilización de los recursos y mecanismos de regulación naturales, con el objeto de optimizar los métodos de producción, evitar las aportaciones perjudiciales al medio ambiente y asegurar a largo plazo una agricultura y una ganadería sostenibles.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Cuaderno de conservación/ poscosecha: </w:t>
      </w:r>
      <w:r w:rsidRPr="00993936">
        <w:rPr>
          <w:rFonts w:ascii="Arial" w:hAnsi="Arial" w:cs="Arial"/>
          <w:lang w:val="es-ES"/>
        </w:rPr>
        <w:t>documento donde se registran los datos relativos a las instalaciones de los productos vegetales, mediante el cual es posible hacer un seguimiento detallado de todas las operaciones de recepción, manipulado, almacenamiento, envasado y expedición de cereales</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Cuaderno de explotación: </w:t>
      </w:r>
      <w:r w:rsidRPr="00993936">
        <w:rPr>
          <w:rFonts w:ascii="Arial" w:hAnsi="Arial" w:cs="Arial"/>
          <w:lang w:val="es-ES"/>
        </w:rPr>
        <w:t>documento donde se registran los datos relativos a una parcela o agrupación de parcelas de cultivo (véase la definición de la unidad homogénea de cultivo), mediante el que es posible hacer un seguimiento detallado de todas las operaciones culturales realizadas durante el ciclo de cultivo.</w:t>
      </w:r>
    </w:p>
    <w:p w:rsidR="00412AFB" w:rsidRPr="00993936" w:rsidRDefault="00412AFB" w:rsidP="00412AFB">
      <w:pPr>
        <w:jc w:val="both"/>
        <w:rPr>
          <w:rFonts w:ascii="Arial" w:hAnsi="Arial" w:cs="Arial"/>
          <w:lang w:val="es-ES"/>
        </w:rPr>
      </w:pPr>
      <w:r w:rsidRPr="00993936">
        <w:rPr>
          <w:rFonts w:ascii="Arial" w:hAnsi="Arial" w:cs="Arial"/>
          <w:i/>
          <w:lang w:val="es-ES"/>
        </w:rPr>
        <w:t xml:space="preserve">Rotación: </w:t>
      </w:r>
      <w:r w:rsidRPr="00993936">
        <w:rPr>
          <w:rFonts w:ascii="Arial" w:hAnsi="Arial" w:cs="Arial"/>
          <w:lang w:val="es-ES"/>
        </w:rPr>
        <w:t>secuencia de cultivos realizada en una parcela en un periodo de tiempo determinado.</w:t>
      </w:r>
    </w:p>
    <w:p w:rsidR="00412AFB" w:rsidRPr="00993936" w:rsidRDefault="00412AFB" w:rsidP="00412AFB">
      <w:pPr>
        <w:jc w:val="both"/>
        <w:rPr>
          <w:rFonts w:ascii="Arial" w:hAnsi="Arial" w:cs="Arial"/>
          <w:lang w:val="es-ES"/>
        </w:rPr>
      </w:pPr>
      <w:r w:rsidRPr="00993936">
        <w:rPr>
          <w:rFonts w:ascii="Arial" w:hAnsi="Arial" w:cs="Arial"/>
          <w:i/>
          <w:lang w:val="es-ES"/>
        </w:rPr>
        <w:t xml:space="preserve">Sustancias activas: </w:t>
      </w:r>
      <w:r w:rsidRPr="00993936">
        <w:rPr>
          <w:rFonts w:ascii="Arial" w:hAnsi="Arial" w:cs="Arial"/>
          <w:lang w:val="es-ES"/>
        </w:rPr>
        <w:t>las sustancias o microorganismos, incluidos los virus, que ejercen una acción general o específica contra las plagas, incluidas las enfermedades, o en vegetales, partes de vegetales o productos vegetales.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Unidad homogénea de cultivo (UHC): </w:t>
      </w:r>
      <w:r w:rsidRPr="00993936">
        <w:rPr>
          <w:rFonts w:ascii="Arial" w:hAnsi="Arial" w:cs="Arial"/>
          <w:lang w:val="es-ES"/>
        </w:rPr>
        <w:t>para cada cultivo, es la superficie de terreno que presenta unas características similares en cuanto al tipo de suelo, el sistema de riego y el tipo de cultivo, en la que se aplican operaciones culturales y técnicas de cultivo similares, así como los mismos tratamientos fitosanitarios. En caso de agrupaciones de productores, podrán existir UHC que incluyan cultivos o partes de cultivos de varios agricultores. Para cultivos protegidos, la unidad homogénea de cultivo se encontrará dentro de un mismo recinto delimitado por un tipo de protección idéntico.</w:t>
      </w:r>
    </w:p>
    <w:p w:rsidR="00412AFB" w:rsidRPr="00993936" w:rsidRDefault="00412AFB" w:rsidP="00412AFB">
      <w:pPr>
        <w:tabs>
          <w:tab w:val="left" w:pos="1815"/>
        </w:tabs>
        <w:jc w:val="both"/>
        <w:outlineLvl w:val="0"/>
        <w:rPr>
          <w:rFonts w:ascii="Arial" w:hAnsi="Arial" w:cs="Arial"/>
          <w:lang w:val="es-ES"/>
        </w:rPr>
      </w:pPr>
    </w:p>
    <w:p w:rsidR="00412AFB" w:rsidRPr="00993936" w:rsidRDefault="00412AFB" w:rsidP="00412AFB">
      <w:pPr>
        <w:tabs>
          <w:tab w:val="left" w:pos="1815"/>
        </w:tabs>
        <w:jc w:val="both"/>
        <w:outlineLvl w:val="0"/>
        <w:rPr>
          <w:rFonts w:ascii="Arial" w:hAnsi="Arial" w:cs="Arial"/>
          <w:lang w:val="es-ES"/>
        </w:rPr>
      </w:pPr>
    </w:p>
    <w:p w:rsidR="00412AFB" w:rsidRPr="00993936" w:rsidRDefault="00412AFB" w:rsidP="00412AFB">
      <w:pPr>
        <w:tabs>
          <w:tab w:val="left" w:pos="1815"/>
        </w:tabs>
        <w:jc w:val="both"/>
        <w:outlineLvl w:val="0"/>
        <w:rPr>
          <w:rFonts w:ascii="Arial" w:hAnsi="Arial" w:cs="Arial"/>
          <w:lang w:val="es-ES"/>
        </w:rPr>
      </w:pPr>
    </w:p>
    <w:p w:rsidR="00483A9B" w:rsidRPr="00993936" w:rsidRDefault="00483A9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tabs>
          <w:tab w:val="left" w:pos="1815"/>
        </w:tabs>
        <w:jc w:val="both"/>
        <w:outlineLvl w:val="0"/>
        <w:rPr>
          <w:rFonts w:ascii="Arial" w:hAnsi="Arial" w:cs="Arial"/>
          <w:b/>
          <w:snapToGrid w:val="0"/>
          <w:lang w:val="es-ES"/>
        </w:rPr>
      </w:pPr>
      <w:r w:rsidRPr="00993936">
        <w:rPr>
          <w:rFonts w:ascii="Arial" w:hAnsi="Arial" w:cs="Arial"/>
          <w:b/>
          <w:snapToGrid w:val="0"/>
          <w:lang w:val="es-ES"/>
        </w:rPr>
        <w:lastRenderedPageBreak/>
        <w:t>I. BIODIVERSIDAD Y PRÁCTICAS DE CULTIVO</w:t>
      </w:r>
    </w:p>
    <w:p w:rsidR="00412AFB" w:rsidRPr="00993936" w:rsidRDefault="00412AFB" w:rsidP="00412AFB">
      <w:pPr>
        <w:tabs>
          <w:tab w:val="left" w:pos="1815"/>
        </w:tabs>
        <w:jc w:val="both"/>
        <w:outlineLvl w:val="0"/>
        <w:rPr>
          <w:rFonts w:ascii="Arial" w:hAnsi="Arial" w:cs="Arial"/>
          <w:snapToGrid w:val="0"/>
          <w:lang w:val="es-ES"/>
        </w:rPr>
      </w:pPr>
      <w:r w:rsidRPr="00993936">
        <w:rPr>
          <w:rFonts w:ascii="Arial" w:hAnsi="Arial" w:cs="Arial"/>
          <w:noProof/>
          <w:lang w:val="es-ES" w:eastAsia="es-ES"/>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24765</wp:posOffset>
                </wp:positionV>
                <wp:extent cx="5454015" cy="0"/>
                <wp:effectExtent l="9525" t="15240" r="13335" b="13335"/>
                <wp:wrapNone/>
                <wp:docPr id="37" name="Conector rec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54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AAA3B19" id="Conector recto 3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429.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NEGgIAADU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" strokeweight="1.5pt"/>
            </w:pict>
          </mc:Fallback>
        </mc:AlternateContent>
      </w:r>
    </w:p>
    <w:p w:rsidR="00412AFB" w:rsidRPr="00993936" w:rsidRDefault="00412AFB" w:rsidP="00412AFB">
      <w:pPr>
        <w:tabs>
          <w:tab w:val="left" w:pos="1815"/>
        </w:tabs>
        <w:jc w:val="both"/>
        <w:outlineLvl w:val="0"/>
        <w:rPr>
          <w:rFonts w:ascii="Arial" w:hAnsi="Arial" w:cs="Arial"/>
          <w:snapToGrid w:val="0"/>
          <w:lang w:val="es-ES"/>
        </w:rPr>
      </w:pPr>
      <w:r w:rsidRPr="00993936">
        <w:rPr>
          <w:rFonts w:ascii="Arial" w:hAnsi="Arial" w:cs="Arial"/>
          <w:snapToGrid w:val="0"/>
          <w:lang w:val="es-ES"/>
        </w:rPr>
        <w:t>Artículo 1</w:t>
      </w:r>
      <w:r w:rsidRPr="00993936">
        <w:rPr>
          <w:rFonts w:ascii="Arial" w:hAnsi="Arial" w:cs="Arial"/>
          <w:snapToGrid w:val="0"/>
          <w:lang w:val="es-ES"/>
        </w:rPr>
        <w:tab/>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Biodiversidad</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1.1.</w:t>
      </w:r>
      <w:r w:rsidRPr="00993936">
        <w:rPr>
          <w:rFonts w:ascii="Arial" w:hAnsi="Arial" w:cs="Arial"/>
          <w:i/>
          <w:snapToGrid w:val="0"/>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t>1.1.1 Fomentar activamente la diversidad biológica de los niveles genéticos, específicos y del ecosistema, ya que constituye un recurso natural importante de la explotación agraria.</w:t>
      </w:r>
    </w:p>
    <w:p w:rsidR="00412AFB" w:rsidRPr="00993936" w:rsidRDefault="00412AFB" w:rsidP="00412AFB">
      <w:pPr>
        <w:pStyle w:val="Textodenotaalfinal"/>
        <w:jc w:val="both"/>
        <w:rPr>
          <w:rFonts w:ascii="Arial" w:hAnsi="Arial" w:cs="Arial"/>
          <w:sz w:val="22"/>
          <w:szCs w:val="22"/>
          <w:lang w:val="es-ES"/>
        </w:rPr>
      </w:pPr>
      <w:r w:rsidRPr="00993936">
        <w:rPr>
          <w:rFonts w:ascii="Arial" w:hAnsi="Arial" w:cs="Arial"/>
          <w:sz w:val="22"/>
          <w:szCs w:val="22"/>
          <w:lang w:val="es-ES"/>
        </w:rPr>
        <w:t>1.1.2 Fomentar y conservar un entorno de la explotación agraria natural y equilibrado, con un ecosistema de plantas y animales diversificado, identificando para cada cultivo y tipo de explotación agraria los elementos importantes de las infraestructuras ecológicas que contribuyan al mantenimiento y a la mejora de la biodiversidad biológica. Cada persona operadora productora deberá impulsar la realización de, al menos, dos opciones ecológicas que contribuyan a la mejora de la biodiversidad de sus fincas, seleccionándolas, prioritariamente, de la lista que se describe a continuación. Si no fuera posible la realización de las opciones propuestas, esta persona podrá establecer una lista de alternativas, que deberán ser aprobadas por el CCPI, de las que, como mínimo, deberá practicar dos:</w:t>
      </w:r>
    </w:p>
    <w:p w:rsidR="00412AF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Establecer un área de compensación ecológica, en la que no se apliquen plaguicidas ni fertilizantes, para aumentar la biodiversidad faunística y botánica, de al menos un 5 % de la superficie total de la explotación (excluidos los bosques). Podrán considerarse dentro de estas áreas, por ejemplo: cortavientos, márgenes de caminos, de canales, de ríos o arroyos, etc.</w:t>
      </w:r>
    </w:p>
    <w:p w:rsidR="00412AFB" w:rsidRPr="00993936" w:rsidRDefault="00412AFB" w:rsidP="00412AFB">
      <w:pPr>
        <w:pStyle w:val="Textodenotaalfinal"/>
        <w:ind w:left="624"/>
        <w:jc w:val="both"/>
        <w:rPr>
          <w:rFonts w:ascii="Arial" w:hAnsi="Arial" w:cs="Arial"/>
          <w:sz w:val="22"/>
          <w:szCs w:val="22"/>
          <w:lang w:val="es-ES"/>
        </w:rPr>
      </w:pPr>
      <w:r w:rsidRPr="00993936">
        <w:rPr>
          <w:rFonts w:ascii="Arial" w:hAnsi="Arial" w:cs="Arial"/>
          <w:sz w:val="22"/>
          <w:szCs w:val="22"/>
          <w:lang w:val="es-ES"/>
        </w:rPr>
        <w:t>Se admitirá que las áreas de compensación ecológica se establezcan a nivel de organización de productores o municipal, siempre que vayan asociadas directamente a las zonas de producción.</w:t>
      </w:r>
    </w:p>
    <w:p w:rsidR="00412AF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Evitar los tratamientos fitosanitarios sobre la vegetación de los márgenes de las parcelas.</w:t>
      </w:r>
    </w:p>
    <w:p w:rsidR="00412AF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 xml:space="preserve">No aplicar herbicidas sobre la vegetación espontánea de los márgenes de las parcelas y realizar su control con medios culturales. </w:t>
      </w:r>
    </w:p>
    <w:p w:rsidR="00412AF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Favorecer el desarrollo de la vegetación espontánea de los márgenes de las parcelas, y realizar su control mediante la utilización de prácticas culturales respetuosas con la flora y fauna autóctona: utilización preferente de segadoras, minimización del uso de picadoras, evitar el paso de maquinaria con condiciones de pluviometría elevada, etc.</w:t>
      </w:r>
    </w:p>
    <w:p w:rsidR="00412AF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Dejar bandas o zonas de cultivo de forrajes sin segar en las parcelas para el establecimiento de refugios de cría para los pájaros insectívoros.</w:t>
      </w:r>
    </w:p>
    <w:p w:rsidR="00412AF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Dejar para el refugio de la fauna auxiliar en cada corte, en alfalfa y en otros cultivos similares, franjas de forraje sin segar de, al menos, dos metros de ancho. Estas franjas se establecerán en el mismo sentido que sigue habitualmente la segadora. En cada corte se segarán las franjas que se dejaron en el corte anterior y se dejarán otras franjas nuevas. Se dejarán el máximo número de franjas posible teniendo en cuenta las dimensiones de la parcela, procurando que la distancia entre dos franjas no sea superior a los 30 m. En las parcelas con riego por aspersión se dejará una franja sin cortar de, al menos, 2 m de ancho cada dos calles y a lo largo de la línea de aspersores. En los cortes sucesivos irán alternándose las franjas a uno y otro lado de la línea de aspersores. En el último corte de forraje de la campaña agrícola se podrá realizar en la totalidad de la parcela.</w:t>
      </w:r>
    </w:p>
    <w:p w:rsidR="00412AF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Establecer refugios artificiales para las aves rapaces.</w:t>
      </w:r>
    </w:p>
    <w:p w:rsidR="00483A9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 xml:space="preserve">Establecer cortavientos en los márgenes de las parcelas, especialmente en </w:t>
      </w:r>
      <w:r w:rsidRPr="00993936">
        <w:rPr>
          <w:rFonts w:ascii="Arial" w:hAnsi="Arial" w:cs="Arial"/>
          <w:sz w:val="22"/>
          <w:szCs w:val="22"/>
          <w:lang w:val="es-ES"/>
        </w:rPr>
        <w:lastRenderedPageBreak/>
        <w:t>zonas ventosas.</w:t>
      </w:r>
    </w:p>
    <w:p w:rsidR="00412AFB" w:rsidRPr="00993936" w:rsidRDefault="00412AFB" w:rsidP="009D1A2D">
      <w:pPr>
        <w:pStyle w:val="Textodenotaalfinal"/>
        <w:numPr>
          <w:ilvl w:val="0"/>
          <w:numId w:val="194"/>
        </w:numPr>
        <w:jc w:val="both"/>
        <w:rPr>
          <w:rFonts w:ascii="Arial" w:hAnsi="Arial" w:cs="Arial"/>
          <w:sz w:val="22"/>
          <w:szCs w:val="22"/>
          <w:lang w:val="es-ES"/>
        </w:rPr>
      </w:pPr>
      <w:r w:rsidRPr="00993936">
        <w:rPr>
          <w:rFonts w:ascii="Arial" w:hAnsi="Arial" w:cs="Arial"/>
          <w:sz w:val="22"/>
          <w:szCs w:val="22"/>
          <w:lang w:val="es-ES"/>
        </w:rPr>
        <w:t>Establecer refugios artificiales para murciélagos.</w:t>
      </w:r>
    </w:p>
    <w:p w:rsidR="00412AFB" w:rsidRPr="00993936" w:rsidRDefault="00412AFB" w:rsidP="00412AFB">
      <w:pPr>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1.2.1 En caso de que se implanten cortavientos, siempre que sea posible se realizarán con especies que estén bien adaptadas a la zona, procurando mantener una diversidad de estructura y composición.</w:t>
      </w:r>
    </w:p>
    <w:p w:rsidR="00412AFB" w:rsidRPr="00993936" w:rsidRDefault="00412AFB" w:rsidP="00412AFB">
      <w:pPr>
        <w:jc w:val="both"/>
        <w:rPr>
          <w:rFonts w:ascii="Arial" w:hAnsi="Arial" w:cs="Arial"/>
          <w:i/>
          <w:lang w:val="es-ES"/>
        </w:rPr>
      </w:pPr>
      <w:r w:rsidRPr="00993936">
        <w:rPr>
          <w:rFonts w:ascii="Arial" w:hAnsi="Arial" w:cs="Arial"/>
          <w:lang w:val="es-ES"/>
        </w:rPr>
        <w:t xml:space="preserve">1.3.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1.3.1 Implantar cortavientos con especies vegetales no adaptadas a la zona de cultivo.</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2</w:t>
      </w:r>
    </w:p>
    <w:p w:rsidR="00412AFB" w:rsidRPr="00993936" w:rsidRDefault="00412AFB" w:rsidP="00412AFB">
      <w:pPr>
        <w:jc w:val="both"/>
        <w:rPr>
          <w:rFonts w:ascii="Arial" w:hAnsi="Arial" w:cs="Arial"/>
          <w:b/>
          <w:lang w:val="es-ES"/>
        </w:rPr>
      </w:pPr>
      <w:r w:rsidRPr="00993936">
        <w:rPr>
          <w:rFonts w:ascii="Arial" w:hAnsi="Arial" w:cs="Arial"/>
          <w:b/>
          <w:lang w:val="es-ES"/>
        </w:rPr>
        <w:t>Aspectos agronómicos generales</w:t>
      </w:r>
    </w:p>
    <w:p w:rsidR="00412AFB" w:rsidRPr="00993936" w:rsidRDefault="00412AFB" w:rsidP="00412AFB">
      <w:pPr>
        <w:jc w:val="both"/>
        <w:rPr>
          <w:rFonts w:ascii="Arial" w:hAnsi="Arial" w:cs="Arial"/>
          <w:i/>
          <w:lang w:val="es-ES"/>
        </w:rPr>
      </w:pPr>
      <w:r w:rsidRPr="00993936">
        <w:rPr>
          <w:rFonts w:ascii="Arial" w:hAnsi="Arial" w:cs="Arial"/>
          <w:i/>
          <w:lang w:val="es-ES"/>
        </w:rPr>
        <w:t>2.1.</w:t>
      </w:r>
      <w:r w:rsidR="00247D0F" w:rsidRPr="00993936">
        <w:rPr>
          <w:rFonts w:ascii="Arial" w:hAnsi="Arial" w:cs="Arial"/>
          <w:i/>
          <w:lang w:val="es-ES"/>
        </w:rPr>
        <w:t xml:space="preserve">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2.1.1 El momento y la intensidad de las operaciones culturales deben minimizar los posibles impactos ambientales.</w:t>
      </w:r>
    </w:p>
    <w:p w:rsidR="00412AFB" w:rsidRPr="00993936" w:rsidRDefault="00412AFB" w:rsidP="00412AFB">
      <w:pPr>
        <w:pStyle w:val="Ttulo1"/>
        <w:rPr>
          <w:rFonts w:ascii="Arial" w:hAnsi="Arial" w:cs="Arial"/>
          <w:color w:val="auto"/>
          <w:sz w:val="22"/>
          <w:szCs w:val="22"/>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3</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Suelo, preparación del terreno y cultivo</w:t>
      </w:r>
    </w:p>
    <w:p w:rsidR="00412AFB" w:rsidRPr="00993936" w:rsidRDefault="00412AFB" w:rsidP="00412AFB">
      <w:pPr>
        <w:jc w:val="both"/>
        <w:rPr>
          <w:rFonts w:ascii="Arial" w:hAnsi="Arial" w:cs="Arial"/>
          <w:lang w:val="es-ES"/>
        </w:rPr>
      </w:pPr>
      <w:r w:rsidRPr="00993936">
        <w:rPr>
          <w:rFonts w:ascii="Arial" w:hAnsi="Arial" w:cs="Arial"/>
          <w:lang w:val="es-ES"/>
        </w:rPr>
        <w:t>3.1.</w:t>
      </w:r>
      <w:r w:rsidR="00247D0F" w:rsidRPr="00993936">
        <w:rPr>
          <w:rFonts w:ascii="Arial" w:hAnsi="Arial" w:cs="Arial"/>
          <w:lang w:val="es-ES"/>
        </w:rPr>
        <w:t xml:space="preserve">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3.1.1 Examinar el perfil del suelo para hacer una estimación de la textura y la capacidad de retención de agua.</w:t>
      </w:r>
    </w:p>
    <w:p w:rsidR="00412AFB" w:rsidRPr="00993936" w:rsidRDefault="00412AFB" w:rsidP="00412AFB">
      <w:pPr>
        <w:pStyle w:val="Textoindependiente"/>
        <w:rPr>
          <w:rFonts w:cs="Arial"/>
          <w:szCs w:val="22"/>
          <w:lang w:val="es-ES"/>
        </w:rPr>
      </w:pPr>
      <w:r w:rsidRPr="00993936">
        <w:rPr>
          <w:rFonts w:cs="Arial"/>
          <w:szCs w:val="22"/>
          <w:lang w:val="es-ES"/>
        </w:rPr>
        <w:t>3.1.2 Mantener y mejorar la fertilidad del suelo mediante:</w:t>
      </w:r>
    </w:p>
    <w:p w:rsidR="00412AFB" w:rsidRPr="00993936" w:rsidRDefault="00412AFB" w:rsidP="009D1A2D">
      <w:pPr>
        <w:pStyle w:val="Textoindependiente"/>
        <w:numPr>
          <w:ilvl w:val="0"/>
          <w:numId w:val="195"/>
        </w:numPr>
        <w:rPr>
          <w:rFonts w:cs="Arial"/>
          <w:szCs w:val="22"/>
          <w:lang w:val="es-ES"/>
        </w:rPr>
      </w:pPr>
      <w:bookmarkStart w:id="3" w:name="OLE_LINK4"/>
      <w:bookmarkStart w:id="4" w:name="OLE_LINK5"/>
      <w:r w:rsidRPr="00993936">
        <w:rPr>
          <w:rFonts w:cs="Arial"/>
          <w:szCs w:val="22"/>
          <w:lang w:val="es-ES"/>
        </w:rPr>
        <w:t>El conocimiento de los niveles de materia orgánica del suelo y</w:t>
      </w:r>
      <w:r w:rsidR="008E665C" w:rsidRPr="00993936">
        <w:rPr>
          <w:rFonts w:cs="Arial"/>
          <w:szCs w:val="22"/>
          <w:lang w:val="es-ES"/>
        </w:rPr>
        <w:t xml:space="preserve"> la velocidad de mineralización</w:t>
      </w:r>
      <w:r w:rsidRPr="00993936">
        <w:rPr>
          <w:rFonts w:cs="Arial"/>
          <w:szCs w:val="22"/>
          <w:lang w:val="es-ES"/>
        </w:rPr>
        <w:t xml:space="preserve">, que se estimarán de acuerdo con el tipo de suelo y con las condiciones climáticas de la zona. </w:t>
      </w:r>
      <w:bookmarkEnd w:id="3"/>
      <w:bookmarkEnd w:id="4"/>
    </w:p>
    <w:p w:rsidR="00412AFB" w:rsidRPr="00993936" w:rsidRDefault="00412AFB" w:rsidP="009D1A2D">
      <w:pPr>
        <w:numPr>
          <w:ilvl w:val="0"/>
          <w:numId w:val="195"/>
        </w:numPr>
        <w:spacing w:after="0" w:line="240" w:lineRule="auto"/>
        <w:jc w:val="both"/>
        <w:rPr>
          <w:rFonts w:ascii="Arial" w:hAnsi="Arial" w:cs="Arial"/>
          <w:lang w:val="es-ES"/>
        </w:rPr>
      </w:pPr>
      <w:r w:rsidRPr="00993936">
        <w:rPr>
          <w:rFonts w:ascii="Arial" w:hAnsi="Arial" w:cs="Arial"/>
          <w:lang w:val="es-ES"/>
        </w:rPr>
        <w:t>El mantenimiento de un nivel de materia orgánica del horizonte superficial del suelo de al menos un 1 %. Por debajo de este nivel, deberá aportarse al suelo una parte de los restos del cultivo (tallos, rastrojo, etc.). y hacer un manejo de estos de acuerdo con las indicaciones del personal técnico responsable de la producción integrada.</w:t>
      </w:r>
    </w:p>
    <w:p w:rsidR="00412AFB" w:rsidRPr="00993936" w:rsidRDefault="00412AFB" w:rsidP="009D1A2D">
      <w:pPr>
        <w:numPr>
          <w:ilvl w:val="0"/>
          <w:numId w:val="195"/>
        </w:numPr>
        <w:spacing w:after="0" w:line="240" w:lineRule="auto"/>
        <w:jc w:val="both"/>
        <w:rPr>
          <w:rFonts w:ascii="Arial" w:hAnsi="Arial" w:cs="Arial"/>
          <w:lang w:val="es-ES"/>
        </w:rPr>
      </w:pPr>
      <w:r w:rsidRPr="00993936">
        <w:rPr>
          <w:rFonts w:ascii="Arial" w:hAnsi="Arial" w:cs="Arial"/>
          <w:lang w:val="es-ES"/>
        </w:rPr>
        <w:t>La optimización de las propiedades biofísicas del suelo para evitar la compactación (p. ej.: dimensión de los agregados y estabilidad estructural, conductividad hidráulica, etc.), por lo que se evitará el paso de la maquinaria en condiciones de excesiva humedad del suelo, y sobre todo con máquinas arrastradas que tengan un nivel de carga muy elevado.</w:t>
      </w:r>
    </w:p>
    <w:p w:rsidR="00412AFB" w:rsidRPr="00993936" w:rsidRDefault="00412AFB" w:rsidP="009D1A2D">
      <w:pPr>
        <w:numPr>
          <w:ilvl w:val="0"/>
          <w:numId w:val="195"/>
        </w:numPr>
        <w:spacing w:after="0" w:line="240" w:lineRule="auto"/>
        <w:jc w:val="both"/>
        <w:rPr>
          <w:rFonts w:ascii="Arial" w:hAnsi="Arial" w:cs="Arial"/>
          <w:lang w:val="es-ES"/>
        </w:rPr>
      </w:pPr>
      <w:r w:rsidRPr="00993936">
        <w:rPr>
          <w:rFonts w:ascii="Arial" w:hAnsi="Arial" w:cs="Arial"/>
          <w:lang w:val="es-ES"/>
        </w:rPr>
        <w:t>La protección de la superficie del suelo el máximo de tiempo posible en zonas con peligro de erosión y durante los periodos sin cultivo, mediante el mantenimiento de una cubierta vegetal o los restos de cosecha.</w:t>
      </w:r>
    </w:p>
    <w:p w:rsidR="00412AFB" w:rsidRPr="00993936" w:rsidRDefault="00412AFB" w:rsidP="009D1A2D">
      <w:pPr>
        <w:numPr>
          <w:ilvl w:val="0"/>
          <w:numId w:val="195"/>
        </w:numPr>
        <w:spacing w:after="0" w:line="240" w:lineRule="auto"/>
        <w:jc w:val="both"/>
        <w:rPr>
          <w:rFonts w:ascii="Arial" w:hAnsi="Arial" w:cs="Arial"/>
          <w:lang w:val="es-ES"/>
        </w:rPr>
      </w:pPr>
      <w:r w:rsidRPr="00993936">
        <w:rPr>
          <w:rFonts w:ascii="Arial" w:hAnsi="Arial" w:cs="Arial"/>
          <w:lang w:val="es-ES"/>
        </w:rPr>
        <w:t>Las operaciones del cultivo tenderán a la mínima perturbación física o química del suelo.</w:t>
      </w:r>
    </w:p>
    <w:p w:rsidR="00412AFB" w:rsidRPr="00993936" w:rsidRDefault="00412AFB" w:rsidP="00412AFB">
      <w:pPr>
        <w:jc w:val="both"/>
        <w:rPr>
          <w:rFonts w:ascii="Arial" w:hAnsi="Arial" w:cs="Arial"/>
          <w:lang w:val="es-ES"/>
        </w:rPr>
      </w:pPr>
      <w:r w:rsidRPr="00993936">
        <w:rPr>
          <w:rFonts w:ascii="Arial" w:hAnsi="Arial" w:cs="Arial"/>
          <w:lang w:val="es-ES"/>
        </w:rPr>
        <w:t xml:space="preserve">3.1.3 Eliminar las malas hierbas y el resto de los vegetales de cultivos anteriores de una forma adecuada (usar herbicidas apropiados, emplear el tipo de maquinaria más idónea en función del estado del suelo, etc.), siempre con la suficiente antelación respecto al cultivo posterior; pueden quedarse los restos sobre el suelo siempre que </w:t>
      </w:r>
      <w:r w:rsidRPr="00993936">
        <w:rPr>
          <w:rFonts w:ascii="Arial" w:hAnsi="Arial" w:cs="Arial"/>
          <w:lang w:val="es-ES"/>
        </w:rPr>
        <w:lastRenderedPageBreak/>
        <w:t>no representen un peligro de transmisión de plagas o enfermedades de los vegetales, o en el caso de que se practique la agricultura de conservación.</w:t>
      </w:r>
    </w:p>
    <w:p w:rsidR="00412AFB" w:rsidRPr="00993936" w:rsidRDefault="00412AFB" w:rsidP="00412AFB">
      <w:pPr>
        <w:jc w:val="both"/>
        <w:rPr>
          <w:rFonts w:ascii="Arial" w:hAnsi="Arial" w:cs="Arial"/>
          <w:lang w:val="es-ES"/>
        </w:rPr>
      </w:pPr>
      <w:r w:rsidRPr="00993936">
        <w:rPr>
          <w:rFonts w:ascii="Arial" w:hAnsi="Arial" w:cs="Arial"/>
          <w:lang w:val="es-ES"/>
        </w:rPr>
        <w:t>3.1.4 Los trabajos de campo se realizarán respetando al máximo la estructura del suelo, evitando la escorrentía superficial y el encharcamiento. También se tendrá en cuenta la pendiente del suelo para su adecuada conservación, adaptando las dimensiones y características de las obras de conservación (terrazas, bancales, lomas) con el fin de evitar fenómenos de erosión. Las técnicas de cultivo utilizadas serán las adecuadas para reducir el consumo energético.</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3.2 </w:t>
      </w:r>
      <w:r w:rsidRPr="00993936">
        <w:rPr>
          <w:rFonts w:ascii="Arial" w:hAnsi="Arial" w:cs="Arial"/>
          <w:i/>
          <w:lang w:val="es-ES"/>
        </w:rPr>
        <w:t>Prohibiciones</w:t>
      </w:r>
    </w:p>
    <w:p w:rsidR="00412AFB" w:rsidRPr="00993936" w:rsidRDefault="00412AFB" w:rsidP="00412AFB">
      <w:pPr>
        <w:pStyle w:val="Textoindependiente"/>
        <w:rPr>
          <w:rFonts w:cs="Arial"/>
          <w:szCs w:val="22"/>
          <w:lang w:val="es-ES"/>
        </w:rPr>
      </w:pPr>
      <w:r w:rsidRPr="00993936">
        <w:rPr>
          <w:rFonts w:cs="Arial"/>
          <w:szCs w:val="22"/>
          <w:lang w:val="es-ES"/>
        </w:rPr>
        <w:t xml:space="preserve">3.2.1 Desinfectar químicamente el suelo. </w:t>
      </w:r>
    </w:p>
    <w:p w:rsidR="00412AFB" w:rsidRPr="00993936" w:rsidRDefault="00412AFB" w:rsidP="00412AFB">
      <w:pPr>
        <w:pStyle w:val="Textoindependiente"/>
        <w:rPr>
          <w:rFonts w:cs="Arial"/>
          <w:szCs w:val="22"/>
          <w:lang w:val="es-ES"/>
        </w:rPr>
      </w:pPr>
      <w:r w:rsidRPr="00993936">
        <w:rPr>
          <w:rFonts w:cs="Arial"/>
          <w:szCs w:val="22"/>
          <w:lang w:val="es-ES"/>
        </w:rPr>
        <w:t>3.2.2 Labrar el suelo en el sentido de la pendiente en parcelas con pendientes superiores al 10 % y también efectuar trabajos preparatorios que alteren los horizontes del suelo.</w:t>
      </w:r>
    </w:p>
    <w:p w:rsidR="00412AFB" w:rsidRPr="00993936" w:rsidRDefault="00412AFB" w:rsidP="00412AFB">
      <w:pPr>
        <w:jc w:val="both"/>
        <w:rPr>
          <w:rFonts w:ascii="Arial" w:hAnsi="Arial" w:cs="Arial"/>
          <w:lang w:val="es-ES"/>
        </w:rPr>
      </w:pPr>
      <w:r w:rsidRPr="00993936">
        <w:rPr>
          <w:rFonts w:ascii="Arial" w:hAnsi="Arial" w:cs="Arial"/>
          <w:lang w:val="es-ES"/>
        </w:rPr>
        <w:t>3.2.3 La utilización sistemática y permanente de herramientas agrícolas (cavadoras o rotavatores, discos, etc.) que destruyan la estructura del suelo y favorezcan la formación de un estrato o zona de compactación.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3.2.4 Voltear o remover el suelo con una profundidad superior a 30 cm. </w:t>
      </w:r>
    </w:p>
    <w:p w:rsidR="00412AFB" w:rsidRPr="00993936" w:rsidRDefault="00412AFB" w:rsidP="00412AFB">
      <w:pPr>
        <w:pStyle w:val="Textoindependiente"/>
        <w:outlineLvl w:val="0"/>
        <w:rPr>
          <w:rFonts w:cs="Arial"/>
          <w:szCs w:val="22"/>
          <w:lang w:val="es-ES"/>
        </w:rPr>
      </w:pPr>
      <w:r w:rsidRPr="00993936">
        <w:rPr>
          <w:rFonts w:cs="Arial"/>
          <w:szCs w:val="22"/>
          <w:lang w:val="es-ES"/>
        </w:rPr>
        <w:t xml:space="preserve">3.3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3.3.1 Se preferirán los tipos de suelos que tengan una profundidad adecuada para el desarrollo de las raíces, que estén bien drenados y de textura media. Se recomienda realizar el cultivo en suelos con las características siguientes: </w:t>
      </w:r>
    </w:p>
    <w:p w:rsidR="00412AFB" w:rsidRPr="00993936" w:rsidRDefault="00412AFB" w:rsidP="009D1A2D">
      <w:pPr>
        <w:numPr>
          <w:ilvl w:val="0"/>
          <w:numId w:val="45"/>
        </w:numPr>
        <w:spacing w:after="0" w:line="240" w:lineRule="auto"/>
        <w:jc w:val="both"/>
        <w:rPr>
          <w:rFonts w:ascii="Arial" w:hAnsi="Arial" w:cs="Arial"/>
          <w:i/>
          <w:lang w:val="es-ES"/>
        </w:rPr>
      </w:pPr>
      <w:r w:rsidRPr="00993936">
        <w:rPr>
          <w:rFonts w:ascii="Arial" w:hAnsi="Arial" w:cs="Arial"/>
          <w:i/>
          <w:lang w:val="es-ES"/>
        </w:rPr>
        <w:t>Profundidad de material impermeable superior a 60 cm. (</w:t>
      </w:r>
      <w:r w:rsidRPr="00993936">
        <w:rPr>
          <w:rFonts w:ascii="Arial" w:hAnsi="Arial" w:cs="Arial"/>
          <w:lang w:val="es-ES"/>
        </w:rPr>
        <w:t>And</w:t>
      </w:r>
      <w:r w:rsidRPr="00993936">
        <w:rPr>
          <w:rFonts w:ascii="Arial" w:hAnsi="Arial" w:cs="Arial"/>
          <w:i/>
          <w:lang w:val="es-ES"/>
        </w:rPr>
        <w:t>)</w:t>
      </w:r>
    </w:p>
    <w:p w:rsidR="00412AFB" w:rsidRPr="00993936" w:rsidRDefault="00412AFB" w:rsidP="009D1A2D">
      <w:pPr>
        <w:numPr>
          <w:ilvl w:val="0"/>
          <w:numId w:val="45"/>
        </w:numPr>
        <w:spacing w:after="0" w:line="240" w:lineRule="auto"/>
        <w:jc w:val="both"/>
        <w:rPr>
          <w:rFonts w:ascii="Arial" w:hAnsi="Arial" w:cs="Arial"/>
          <w:i/>
          <w:lang w:val="es-ES"/>
        </w:rPr>
      </w:pPr>
      <w:r w:rsidRPr="00993936">
        <w:rPr>
          <w:rFonts w:ascii="Arial" w:hAnsi="Arial" w:cs="Arial"/>
          <w:i/>
          <w:lang w:val="es-ES"/>
        </w:rPr>
        <w:t>Textura del horizonte superficial: francoarcillosa, francolimosa o más fina.</w:t>
      </w:r>
    </w:p>
    <w:p w:rsidR="00412AFB" w:rsidRPr="00993936" w:rsidRDefault="00412AFB" w:rsidP="009D1A2D">
      <w:pPr>
        <w:numPr>
          <w:ilvl w:val="0"/>
          <w:numId w:val="45"/>
        </w:numPr>
        <w:spacing w:after="0" w:line="240" w:lineRule="auto"/>
        <w:jc w:val="both"/>
        <w:rPr>
          <w:rFonts w:ascii="Arial" w:hAnsi="Arial" w:cs="Arial"/>
          <w:i/>
          <w:lang w:val="es-ES"/>
        </w:rPr>
      </w:pPr>
      <w:r w:rsidRPr="00993936">
        <w:rPr>
          <w:rFonts w:ascii="Arial" w:hAnsi="Arial" w:cs="Arial"/>
          <w:i/>
          <w:lang w:val="es-ES"/>
        </w:rPr>
        <w:t xml:space="preserve">pH superior a 7,5. </w:t>
      </w:r>
    </w:p>
    <w:p w:rsidR="00412AFB" w:rsidRPr="00993936" w:rsidRDefault="00412AFB" w:rsidP="009D1A2D">
      <w:pPr>
        <w:numPr>
          <w:ilvl w:val="0"/>
          <w:numId w:val="45"/>
        </w:numPr>
        <w:spacing w:after="0" w:line="240" w:lineRule="auto"/>
        <w:jc w:val="both"/>
        <w:rPr>
          <w:rFonts w:ascii="Arial" w:hAnsi="Arial" w:cs="Arial"/>
          <w:lang w:val="es-ES"/>
        </w:rPr>
      </w:pPr>
      <w:r w:rsidRPr="00993936">
        <w:rPr>
          <w:rFonts w:ascii="Arial" w:hAnsi="Arial" w:cs="Arial"/>
          <w:lang w:val="es-ES"/>
        </w:rPr>
        <w:t xml:space="preserve">Conductividad eléctrica (CE) en extracto de pasta saturada inferior a 5 dS/m a 25 ºC. </w:t>
      </w:r>
    </w:p>
    <w:p w:rsidR="00412AFB" w:rsidRPr="00993936" w:rsidRDefault="00412AFB" w:rsidP="009D1A2D">
      <w:pPr>
        <w:numPr>
          <w:ilvl w:val="0"/>
          <w:numId w:val="45"/>
        </w:numPr>
        <w:spacing w:after="0" w:line="240" w:lineRule="auto"/>
        <w:jc w:val="both"/>
        <w:rPr>
          <w:rFonts w:ascii="Arial" w:hAnsi="Arial" w:cs="Arial"/>
          <w:i/>
          <w:lang w:val="es-ES"/>
        </w:rPr>
      </w:pPr>
      <w:r w:rsidRPr="00993936">
        <w:rPr>
          <w:rFonts w:ascii="Arial" w:hAnsi="Arial" w:cs="Arial"/>
          <w:i/>
          <w:lang w:val="es-ES"/>
        </w:rPr>
        <w:t>Porcentaje de sodio intercambiable (PSI) inferior a 15.</w:t>
      </w:r>
    </w:p>
    <w:p w:rsidR="00412AFB" w:rsidRPr="00993936" w:rsidRDefault="00412AFB" w:rsidP="009D1A2D">
      <w:pPr>
        <w:numPr>
          <w:ilvl w:val="0"/>
          <w:numId w:val="45"/>
        </w:numPr>
        <w:spacing w:after="0" w:line="240" w:lineRule="auto"/>
        <w:jc w:val="both"/>
        <w:rPr>
          <w:rFonts w:ascii="Arial" w:hAnsi="Arial" w:cs="Arial"/>
          <w:i/>
          <w:lang w:val="es-ES"/>
        </w:rPr>
      </w:pPr>
      <w:r w:rsidRPr="00993936">
        <w:rPr>
          <w:rFonts w:ascii="Arial" w:hAnsi="Arial" w:cs="Arial"/>
          <w:i/>
          <w:lang w:val="es-ES"/>
        </w:rPr>
        <w:t>Concentración de cloruros en el extracto de saturación inferior a 1,40 ppm.</w:t>
      </w:r>
    </w:p>
    <w:p w:rsidR="00412AFB" w:rsidRPr="00993936" w:rsidRDefault="00412AFB" w:rsidP="009D1A2D">
      <w:pPr>
        <w:numPr>
          <w:ilvl w:val="0"/>
          <w:numId w:val="45"/>
        </w:numPr>
        <w:spacing w:after="0" w:line="240" w:lineRule="auto"/>
        <w:jc w:val="both"/>
        <w:rPr>
          <w:rFonts w:ascii="Arial" w:hAnsi="Arial" w:cs="Arial"/>
          <w:i/>
          <w:lang w:val="es-ES"/>
        </w:rPr>
      </w:pPr>
      <w:r w:rsidRPr="00993936">
        <w:rPr>
          <w:rFonts w:ascii="Arial" w:hAnsi="Arial" w:cs="Arial"/>
          <w:i/>
          <w:lang w:val="es-ES"/>
        </w:rPr>
        <w:t>Nivelación de las parcelas con láser a un desnivel máximo del 3 ‰, en parcelas con riego por inundación.</w:t>
      </w:r>
    </w:p>
    <w:p w:rsidR="00412AFB" w:rsidRPr="00993936" w:rsidRDefault="00412AFB" w:rsidP="00412AFB">
      <w:pPr>
        <w:pStyle w:val="Textoindependiente"/>
        <w:rPr>
          <w:rFonts w:cs="Arial"/>
          <w:szCs w:val="22"/>
          <w:lang w:val="es-ES"/>
        </w:rPr>
      </w:pPr>
      <w:r w:rsidRPr="00993936">
        <w:rPr>
          <w:rFonts w:cs="Arial"/>
          <w:szCs w:val="22"/>
          <w:lang w:val="es-ES"/>
        </w:rPr>
        <w:t xml:space="preserve">3.3.2 No cultivar en zonas con factores limitantes: encharcamientos, salinidad, capa freática alta, poca profundidad. </w:t>
      </w:r>
    </w:p>
    <w:p w:rsidR="00412AFB" w:rsidRPr="00993936" w:rsidRDefault="00412AFB" w:rsidP="00412AFB">
      <w:pPr>
        <w:pStyle w:val="Textoindependiente"/>
        <w:rPr>
          <w:rFonts w:cs="Arial"/>
          <w:szCs w:val="22"/>
          <w:lang w:val="es-ES"/>
        </w:rPr>
      </w:pPr>
      <w:r w:rsidRPr="00993936">
        <w:rPr>
          <w:rFonts w:cs="Arial"/>
          <w:szCs w:val="22"/>
          <w:lang w:val="es-ES"/>
        </w:rPr>
        <w:t>3.3.3 Lograr, mediante el sistema de cultivo y/ o las correspondientes aportaciones orgánicas, un nivel de, al menos, el 1,5 % de materia orgánica.</w:t>
      </w:r>
    </w:p>
    <w:p w:rsidR="00412AFB" w:rsidRPr="00993936" w:rsidRDefault="00412AFB" w:rsidP="00412AFB">
      <w:pPr>
        <w:pStyle w:val="Textoindependiente"/>
        <w:rPr>
          <w:rFonts w:cs="Arial"/>
          <w:szCs w:val="22"/>
          <w:lang w:val="es-ES"/>
        </w:rPr>
      </w:pPr>
      <w:r w:rsidRPr="00993936">
        <w:rPr>
          <w:rFonts w:cs="Arial"/>
          <w:szCs w:val="22"/>
          <w:lang w:val="es-ES"/>
        </w:rPr>
        <w:t>3.3.4 En zonas con elevado riesgo de erosión, cultivar el suelo en curvas de nivel o bien con terrazas, hacer la siembra directa o el cultivo de conservación.</w:t>
      </w:r>
    </w:p>
    <w:p w:rsidR="00412AFB" w:rsidRPr="00993936" w:rsidRDefault="00412AFB" w:rsidP="00412AFB">
      <w:pPr>
        <w:pStyle w:val="Textoindependiente"/>
        <w:rPr>
          <w:rFonts w:cs="Arial"/>
          <w:szCs w:val="22"/>
          <w:lang w:val="es-ES"/>
        </w:rPr>
      </w:pPr>
      <w:r w:rsidRPr="00993936">
        <w:rPr>
          <w:rFonts w:cs="Arial"/>
          <w:szCs w:val="22"/>
          <w:lang w:val="es-ES"/>
        </w:rPr>
        <w:t>3.3.5 En zonas con elevado riesgo de lavado de nitratos, y especialmente en las zonas vulnerables, mantener antes de los cultivos de primavera una cubierta vegetal apropiada con una adecuada capacidad de absorción de nitrógeno.</w:t>
      </w:r>
    </w:p>
    <w:p w:rsidR="00412AFB" w:rsidRPr="00993936" w:rsidRDefault="00412AFB" w:rsidP="00412AFB">
      <w:pPr>
        <w:tabs>
          <w:tab w:val="left" w:pos="6848"/>
        </w:tabs>
        <w:jc w:val="both"/>
        <w:rPr>
          <w:rFonts w:ascii="Arial" w:hAnsi="Arial" w:cs="Arial"/>
          <w:lang w:val="es-ES"/>
        </w:rPr>
      </w:pPr>
      <w:r w:rsidRPr="00993936">
        <w:rPr>
          <w:rFonts w:ascii="Arial" w:hAnsi="Arial" w:cs="Arial"/>
          <w:lang w:val="es-ES"/>
        </w:rPr>
        <w:t>3.3.6 La información sobre el tipo de suelo podrá ser extraída del mapa detallado de suelos de Cataluña, en caso de que exista.</w:t>
      </w:r>
    </w:p>
    <w:p w:rsidR="00412AFB" w:rsidRPr="00993936" w:rsidRDefault="00412AFB" w:rsidP="00412AFB">
      <w:pPr>
        <w:tabs>
          <w:tab w:val="left" w:pos="6848"/>
        </w:tabs>
        <w:jc w:val="both"/>
        <w:rPr>
          <w:rFonts w:ascii="Arial" w:hAnsi="Arial" w:cs="Arial"/>
          <w:lang w:val="es-ES"/>
        </w:rPr>
      </w:pPr>
      <w:r w:rsidRPr="00993936">
        <w:rPr>
          <w:rFonts w:ascii="Arial" w:hAnsi="Arial" w:cs="Arial"/>
          <w:lang w:val="es-ES"/>
        </w:rPr>
        <w:t xml:space="preserve">3.3.7 Para cultivar el suelo, alternar los trabajos de campo que hacen un volteo (gradas de discos, fresa, etc.) con las que únicamente remueven la tierra (cultivador o rotavator, </w:t>
      </w:r>
      <w:r w:rsidR="002316D2" w:rsidRPr="00993936">
        <w:rPr>
          <w:rFonts w:ascii="Arial" w:hAnsi="Arial" w:cs="Arial"/>
          <w:lang w:val="es-ES"/>
        </w:rPr>
        <w:t>chisel</w:t>
      </w:r>
      <w:r w:rsidRPr="00993936">
        <w:rPr>
          <w:rFonts w:ascii="Arial" w:hAnsi="Arial" w:cs="Arial"/>
          <w:lang w:val="es-ES"/>
        </w:rPr>
        <w:t>, subsolador, etc</w:t>
      </w:r>
      <w:r w:rsidR="00247D0F" w:rsidRPr="00993936">
        <w:rPr>
          <w:rFonts w:ascii="Arial" w:hAnsi="Arial" w:cs="Arial"/>
          <w:lang w:val="es-ES"/>
        </w:rPr>
        <w:t>.</w:t>
      </w:r>
      <w:r w:rsidRPr="00993936">
        <w:rPr>
          <w:rFonts w:ascii="Arial" w:hAnsi="Arial" w:cs="Arial"/>
          <w:lang w:val="es-ES"/>
        </w:rPr>
        <w:t xml:space="preserve">). </w:t>
      </w:r>
    </w:p>
    <w:p w:rsidR="00412AFB" w:rsidRPr="00993936" w:rsidRDefault="00412AFB" w:rsidP="00412AFB">
      <w:pPr>
        <w:pStyle w:val="Ttulo3"/>
        <w:rPr>
          <w:rFonts w:ascii="Arial" w:hAnsi="Arial" w:cs="Arial"/>
          <w:b/>
          <w:color w:val="auto"/>
          <w:szCs w:val="22"/>
          <w:lang w:val="es-ES"/>
        </w:rPr>
      </w:pPr>
    </w:p>
    <w:p w:rsidR="00412AFB" w:rsidRPr="00993936" w:rsidRDefault="00412AFB" w:rsidP="00412AFB">
      <w:pPr>
        <w:pStyle w:val="Ttulo3"/>
        <w:rPr>
          <w:rFonts w:ascii="Arial" w:hAnsi="Arial" w:cs="Arial"/>
          <w:b/>
          <w:color w:val="auto"/>
          <w:szCs w:val="22"/>
          <w:lang w:val="es-ES"/>
        </w:rPr>
      </w:pPr>
      <w:r w:rsidRPr="00993936">
        <w:rPr>
          <w:rFonts w:ascii="Arial" w:hAnsi="Arial" w:cs="Arial"/>
          <w:color w:val="auto"/>
          <w:szCs w:val="22"/>
          <w:lang w:val="es-ES"/>
        </w:rPr>
        <w:t>Artículo 4</w:t>
      </w:r>
    </w:p>
    <w:p w:rsidR="00412AFB" w:rsidRPr="00993936" w:rsidRDefault="00412AFB" w:rsidP="00412AFB">
      <w:pPr>
        <w:pStyle w:val="Ttulo3"/>
        <w:rPr>
          <w:rFonts w:ascii="Arial" w:hAnsi="Arial" w:cs="Arial"/>
          <w:b/>
          <w:color w:val="auto"/>
          <w:szCs w:val="22"/>
          <w:lang w:val="es-ES"/>
        </w:rPr>
      </w:pPr>
      <w:r w:rsidRPr="00993936">
        <w:rPr>
          <w:rFonts w:ascii="Arial" w:hAnsi="Arial" w:cs="Arial"/>
          <w:b/>
          <w:color w:val="auto"/>
          <w:szCs w:val="22"/>
          <w:lang w:val="es-ES"/>
        </w:rPr>
        <w:t>Material vegetal y siembra</w:t>
      </w:r>
    </w:p>
    <w:p w:rsidR="00412AFB" w:rsidRPr="00993936" w:rsidRDefault="00412AFB" w:rsidP="00412AFB">
      <w:pPr>
        <w:jc w:val="both"/>
        <w:rPr>
          <w:rFonts w:ascii="Arial" w:hAnsi="Arial" w:cs="Arial"/>
          <w:lang w:val="es-ES"/>
        </w:rPr>
      </w:pPr>
      <w:r w:rsidRPr="00993936">
        <w:rPr>
          <w:rFonts w:ascii="Arial" w:hAnsi="Arial" w:cs="Arial"/>
          <w:lang w:val="es-ES"/>
        </w:rPr>
        <w:t>4.1.</w:t>
      </w:r>
      <w:r w:rsidR="00247D0F" w:rsidRPr="00993936">
        <w:rPr>
          <w:rFonts w:ascii="Arial" w:hAnsi="Arial" w:cs="Arial"/>
          <w:lang w:val="es-ES"/>
        </w:rPr>
        <w:t xml:space="preserve">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4.1.1 Utilizar semillas certificadas procedentes de productores oficialmente autorizados, y conservar las facturas de compra en las que se indique el lote y una muestra de las etiquetas durante un mínimo de cuatro años. Excepcionalmente, podrá justificarse la utilización de semilla no certificada mediante un informe realizado por un miembro del personal técnico de producción integrada.</w:t>
      </w:r>
      <w:r w:rsidR="00E03B3B" w:rsidRPr="00993936">
        <w:rPr>
          <w:rFonts w:ascii="Arial" w:hAnsi="Arial" w:cs="Arial"/>
          <w:lang w:val="es-ES"/>
        </w:rPr>
        <w:t xml:space="preserve"> </w:t>
      </w:r>
    </w:p>
    <w:p w:rsidR="00412AFB" w:rsidRPr="00993936" w:rsidRDefault="00412AFB" w:rsidP="00412AFB">
      <w:pPr>
        <w:pStyle w:val="Textoindependiente"/>
        <w:rPr>
          <w:rFonts w:cs="Arial"/>
          <w:szCs w:val="22"/>
          <w:lang w:val="es-ES"/>
        </w:rPr>
      </w:pPr>
      <w:r w:rsidRPr="00993936">
        <w:rPr>
          <w:rFonts w:cs="Arial"/>
          <w:szCs w:val="22"/>
          <w:lang w:val="es-ES"/>
        </w:rPr>
        <w:t>4.1.2 Anotar en el cuaderno de explotación, para cada parcela, la variedad sembrada, la dosis y la procedencia de la semilla utilizada y, cuando sea necesario, tratamiento químico al que ha sido sometida.</w:t>
      </w:r>
    </w:p>
    <w:p w:rsidR="00412AFB" w:rsidRPr="00993936" w:rsidRDefault="00412AFB" w:rsidP="00412AFB">
      <w:pPr>
        <w:pStyle w:val="Textoindependiente"/>
        <w:rPr>
          <w:rFonts w:cs="Arial"/>
          <w:szCs w:val="22"/>
          <w:lang w:val="es-ES"/>
        </w:rPr>
      </w:pPr>
      <w:r w:rsidRPr="00993936">
        <w:rPr>
          <w:rFonts w:cs="Arial"/>
          <w:szCs w:val="22"/>
          <w:lang w:val="es-ES"/>
        </w:rPr>
        <w:t>4.1.3 Anotar en el cuaderno de explotación las fechas de siembra de cada especie y variedad, y sembrar en las fechas recomendadas para cada variedad por el miembro del personal técnico de producción integrada.</w:t>
      </w:r>
    </w:p>
    <w:p w:rsidR="00412AFB" w:rsidRPr="00993936" w:rsidRDefault="00412AFB" w:rsidP="00412AFB">
      <w:pPr>
        <w:pStyle w:val="Textoindependiente"/>
        <w:rPr>
          <w:rFonts w:cs="Arial"/>
          <w:szCs w:val="22"/>
          <w:lang w:val="es-ES"/>
        </w:rPr>
      </w:pPr>
      <w:r w:rsidRPr="00993936">
        <w:rPr>
          <w:rFonts w:cs="Arial"/>
          <w:szCs w:val="22"/>
          <w:lang w:val="es-ES"/>
        </w:rPr>
        <w:t xml:space="preserve">4.2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4.2.1 Para la producción integrada de forrajes se escogerán preferentemente las variedades más adecuadas a la zona y el periodo de cultivo, en virtud de las recomendaciones oficiales de variedades de los organismos públicos correspondientes antes de cada campaña y para cada una de las zonas productoras. </w:t>
      </w:r>
    </w:p>
    <w:p w:rsidR="00412AFB" w:rsidRPr="00993936" w:rsidRDefault="00412AFB" w:rsidP="00412AFB">
      <w:pPr>
        <w:jc w:val="both"/>
        <w:rPr>
          <w:rFonts w:ascii="Arial" w:hAnsi="Arial" w:cs="Arial"/>
          <w:lang w:val="es-ES"/>
        </w:rPr>
      </w:pPr>
      <w:r w:rsidRPr="00993936">
        <w:rPr>
          <w:rFonts w:ascii="Arial" w:hAnsi="Arial" w:cs="Arial"/>
          <w:lang w:val="es-ES"/>
        </w:rPr>
        <w:t>4.2.2 Las dosis de siembra serán las recomendadas para cada especie y se situarán dentro de los intervalos siguientes:</w:t>
      </w:r>
    </w:p>
    <w:p w:rsidR="00412AFB" w:rsidRPr="00993936" w:rsidRDefault="00412AFB" w:rsidP="00412AFB">
      <w:pPr>
        <w:jc w:val="both"/>
        <w:rPr>
          <w:rFonts w:ascii="Arial" w:hAnsi="Arial" w:cs="Arial"/>
          <w:lang w:val="es-ES"/>
        </w:rPr>
      </w:pPr>
    </w:p>
    <w:tbl>
      <w:tblPr>
        <w:tblW w:w="0" w:type="auto"/>
        <w:tblInd w:w="637" w:type="dxa"/>
        <w:tblLayout w:type="fixed"/>
        <w:tblCellMar>
          <w:left w:w="70" w:type="dxa"/>
          <w:right w:w="70" w:type="dxa"/>
        </w:tblCellMar>
        <w:tblLook w:val="0000" w:firstRow="0" w:lastRow="0" w:firstColumn="0" w:lastColumn="0" w:noHBand="0" w:noVBand="0"/>
      </w:tblPr>
      <w:tblGrid>
        <w:gridCol w:w="2977"/>
        <w:gridCol w:w="4253"/>
      </w:tblGrid>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Alfalfa</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10 a 35 kg/ha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Raigrás</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30 a 40 kg/ha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Festuca</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30 a 40 kg/ha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Dáctilo</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30 a 40 kg/ha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Esparceta</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100 a 120 kg/ha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Trébol</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30 a 40 kg/ha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Maíz forrajero</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80.000-95.000 plantas/ha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Pasto del Sudán</w:t>
            </w:r>
          </w:p>
        </w:tc>
        <w:tc>
          <w:tcPr>
            <w:tcW w:w="4253" w:type="dxa"/>
          </w:tcPr>
          <w:p w:rsidR="00412AFB" w:rsidRPr="00993936" w:rsidRDefault="00412AFB" w:rsidP="00C8678E">
            <w:pPr>
              <w:rPr>
                <w:rFonts w:ascii="Arial" w:hAnsi="Arial" w:cs="Arial"/>
                <w:lang w:val="es-ES"/>
              </w:rPr>
            </w:pPr>
            <w:r w:rsidRPr="00993936">
              <w:rPr>
                <w:rFonts w:ascii="Arial" w:hAnsi="Arial" w:cs="Arial"/>
                <w:lang w:val="es-ES"/>
              </w:rPr>
              <w:t>25 a 40 kg/ha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Guisante forrajero</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 xml:space="preserve">110-160 kg/ha </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Veza</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60 a 90 kg/ha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Asociaciones G + L</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Criterio del miembro de personal técnico de producción integrada</w:t>
            </w:r>
          </w:p>
        </w:tc>
      </w:tr>
      <w:tr w:rsidR="00412AFB" w:rsidRPr="00993936" w:rsidTr="00C8678E">
        <w:tc>
          <w:tcPr>
            <w:tcW w:w="2977" w:type="dxa"/>
          </w:tcPr>
          <w:p w:rsidR="00412AFB" w:rsidRPr="00993936" w:rsidRDefault="00412AFB" w:rsidP="00C8678E">
            <w:pPr>
              <w:numPr>
                <w:ilvl w:val="0"/>
                <w:numId w:val="9"/>
              </w:numPr>
              <w:spacing w:after="0" w:line="240" w:lineRule="auto"/>
              <w:jc w:val="both"/>
              <w:rPr>
                <w:rFonts w:ascii="Arial" w:hAnsi="Arial" w:cs="Arial"/>
                <w:lang w:val="es-ES"/>
              </w:rPr>
            </w:pPr>
            <w:r w:rsidRPr="00993936">
              <w:rPr>
                <w:rFonts w:ascii="Arial" w:hAnsi="Arial" w:cs="Arial"/>
                <w:lang w:val="es-ES"/>
              </w:rPr>
              <w:t>Otros</w:t>
            </w:r>
          </w:p>
        </w:tc>
        <w:tc>
          <w:tcPr>
            <w:tcW w:w="4253" w:type="dxa"/>
          </w:tcPr>
          <w:p w:rsidR="00412AFB" w:rsidRPr="00993936" w:rsidRDefault="00412AFB" w:rsidP="00C8678E">
            <w:pPr>
              <w:jc w:val="both"/>
              <w:rPr>
                <w:rFonts w:ascii="Arial" w:hAnsi="Arial" w:cs="Arial"/>
                <w:lang w:val="es-ES"/>
              </w:rPr>
            </w:pPr>
            <w:r w:rsidRPr="00993936">
              <w:rPr>
                <w:rFonts w:ascii="Arial" w:hAnsi="Arial" w:cs="Arial"/>
                <w:lang w:val="es-ES"/>
              </w:rPr>
              <w:t>Criterio del miembro de personal técnico de producción integrada</w:t>
            </w:r>
          </w:p>
        </w:tc>
      </w:tr>
    </w:tbl>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lastRenderedPageBreak/>
        <w:t>4.2.3 Regular la sembradora para cada variedad antes de iniciar la siembra y también la profundidad de esta para cada parcela en función de las condiciones de humedad y preparación del suelo.</w:t>
      </w:r>
    </w:p>
    <w:p w:rsidR="00412AFB" w:rsidRPr="00993936" w:rsidRDefault="00412AFB" w:rsidP="00412AFB">
      <w:pPr>
        <w:jc w:val="both"/>
        <w:rPr>
          <w:rFonts w:ascii="Arial" w:hAnsi="Arial" w:cs="Arial"/>
          <w:lang w:val="es-ES"/>
        </w:rPr>
      </w:pPr>
      <w:r w:rsidRPr="00993936">
        <w:rPr>
          <w:rFonts w:ascii="Arial" w:hAnsi="Arial" w:cs="Arial"/>
          <w:lang w:val="es-ES"/>
        </w:rPr>
        <w:t xml:space="preserve">4.2.4 En el caso de nuevas siembras de alfalfa deberá dejarse la parcela como mínimo dos años sin cultivar esta planta, intercalando un cultivo que requiera una alta demanda de nitrógeno. </w:t>
      </w:r>
    </w:p>
    <w:p w:rsidR="00412AFB" w:rsidRPr="00993936" w:rsidRDefault="00412AFB" w:rsidP="00412AFB">
      <w:pPr>
        <w:tabs>
          <w:tab w:val="left" w:pos="6848"/>
        </w:tabs>
        <w:jc w:val="both"/>
        <w:rPr>
          <w:rFonts w:ascii="Arial" w:hAnsi="Arial" w:cs="Arial"/>
          <w:lang w:val="es-ES"/>
        </w:rPr>
      </w:pPr>
    </w:p>
    <w:p w:rsidR="00412AFB" w:rsidRPr="00993936" w:rsidRDefault="00412AFB" w:rsidP="00412AFB">
      <w:pPr>
        <w:tabs>
          <w:tab w:val="left" w:pos="6848"/>
        </w:tabs>
        <w:jc w:val="both"/>
        <w:rPr>
          <w:rFonts w:ascii="Arial" w:hAnsi="Arial" w:cs="Arial"/>
          <w:lang w:val="es-ES"/>
        </w:rPr>
      </w:pPr>
      <w:r w:rsidRPr="00993936">
        <w:rPr>
          <w:rFonts w:ascii="Arial" w:hAnsi="Arial" w:cs="Arial"/>
          <w:lang w:val="es-ES"/>
        </w:rPr>
        <w:t>Artículo 5</w:t>
      </w:r>
    </w:p>
    <w:p w:rsidR="00412AFB" w:rsidRPr="00993936" w:rsidRDefault="00412AFB" w:rsidP="00412AFB">
      <w:pPr>
        <w:pStyle w:val="Ttulo3"/>
        <w:tabs>
          <w:tab w:val="left" w:pos="6848"/>
        </w:tabs>
        <w:rPr>
          <w:rFonts w:ascii="Arial" w:hAnsi="Arial" w:cs="Arial"/>
          <w:b/>
          <w:color w:val="auto"/>
          <w:sz w:val="22"/>
          <w:szCs w:val="22"/>
          <w:lang w:val="es-ES"/>
        </w:rPr>
      </w:pPr>
      <w:r w:rsidRPr="00993936">
        <w:rPr>
          <w:rFonts w:ascii="Arial" w:hAnsi="Arial" w:cs="Arial"/>
          <w:b/>
          <w:color w:val="auto"/>
          <w:sz w:val="22"/>
          <w:szCs w:val="22"/>
          <w:lang w:val="es-ES"/>
        </w:rPr>
        <w:t>Manejo del cultivo</w:t>
      </w:r>
      <w:r w:rsidR="00E03B3B" w:rsidRPr="00993936">
        <w:rPr>
          <w:rFonts w:ascii="Arial" w:hAnsi="Arial" w:cs="Arial"/>
          <w:b/>
          <w:color w:val="auto"/>
          <w:sz w:val="22"/>
          <w:szCs w:val="22"/>
          <w:lang w:val="es-ES"/>
        </w:rPr>
        <w:t xml:space="preserve"> </w:t>
      </w:r>
    </w:p>
    <w:p w:rsidR="00412AFB" w:rsidRPr="00993936" w:rsidRDefault="00412AFB" w:rsidP="00412AFB">
      <w:pPr>
        <w:tabs>
          <w:tab w:val="left" w:pos="6848"/>
        </w:tabs>
        <w:jc w:val="both"/>
        <w:rPr>
          <w:rFonts w:ascii="Arial" w:hAnsi="Arial" w:cs="Arial"/>
          <w:lang w:val="es-ES"/>
        </w:rPr>
      </w:pPr>
      <w:r w:rsidRPr="00993936">
        <w:rPr>
          <w:rFonts w:ascii="Arial" w:hAnsi="Arial" w:cs="Arial"/>
          <w:lang w:val="es-ES"/>
        </w:rPr>
        <w:t xml:space="preserve">5.1 </w:t>
      </w:r>
      <w:r w:rsidRPr="00993936">
        <w:rPr>
          <w:rFonts w:ascii="Arial" w:hAnsi="Arial" w:cs="Arial"/>
          <w:i/>
          <w:lang w:val="es-ES"/>
        </w:rPr>
        <w:t>Obligaciones</w:t>
      </w:r>
    </w:p>
    <w:p w:rsidR="00412AFB" w:rsidRPr="00993936" w:rsidRDefault="00412AFB" w:rsidP="00412AFB">
      <w:pPr>
        <w:pStyle w:val="Textoindependiente"/>
        <w:tabs>
          <w:tab w:val="left" w:pos="6848"/>
        </w:tabs>
        <w:rPr>
          <w:rFonts w:cs="Arial"/>
          <w:szCs w:val="22"/>
          <w:lang w:val="es-ES"/>
        </w:rPr>
      </w:pPr>
      <w:r w:rsidRPr="00993936">
        <w:rPr>
          <w:rFonts w:cs="Arial"/>
          <w:szCs w:val="22"/>
          <w:lang w:val="es-ES"/>
        </w:rPr>
        <w:t>5.1.1 Para las fincas de regadío, se establecerá un sistema de rotación de no menos de tres hojas o cultivo, incluyendo una leguminosa. El barbecho tendrá la misma consideración que una hoja o cultivo. Para fincas de secano, cuando no sea posible la rotación de tres hojas, previa justificación e informe del miembro del personal técnico responsable de producción integrada, podrá aplicarse una rotación de dos hojas, en la que no será obligatoria la inclusión de una leguminosa.</w:t>
      </w:r>
      <w:r w:rsidR="00E03B3B" w:rsidRPr="00993936">
        <w:rPr>
          <w:rFonts w:cs="Arial"/>
          <w:szCs w:val="22"/>
          <w:lang w:val="es-ES"/>
        </w:rPr>
        <w:t xml:space="preserve"> </w:t>
      </w:r>
    </w:p>
    <w:p w:rsidR="00412AFB" w:rsidRPr="00993936" w:rsidRDefault="00412AFB" w:rsidP="00412AFB">
      <w:pPr>
        <w:pStyle w:val="Textoindependiente"/>
        <w:rPr>
          <w:rFonts w:cs="Arial"/>
          <w:szCs w:val="22"/>
          <w:lang w:val="es-ES"/>
        </w:rPr>
      </w:pPr>
      <w:r w:rsidRPr="00993936">
        <w:rPr>
          <w:rFonts w:cs="Arial"/>
          <w:szCs w:val="22"/>
          <w:lang w:val="es-ES"/>
        </w:rPr>
        <w:t>5.1.2 En cultivos anuales, no repetir más de tres años seguidos el mismo cultivo en la misma parcela, con el objeto de evitar la proliferación de malas hierbas y enfermedades, favorecer fenómenos de resistencia a los herbicidas,</w:t>
      </w:r>
      <w:r w:rsidRPr="00993936" w:rsidDel="00E65163">
        <w:rPr>
          <w:rFonts w:cs="Arial"/>
          <w:szCs w:val="22"/>
          <w:lang w:val="es-ES"/>
        </w:rPr>
        <w:t xml:space="preserve"> </w:t>
      </w:r>
      <w:r w:rsidRPr="00993936">
        <w:rPr>
          <w:rFonts w:cs="Arial"/>
          <w:szCs w:val="22"/>
          <w:lang w:val="es-ES"/>
        </w:rPr>
        <w:t>etc.</w:t>
      </w:r>
      <w:r w:rsidR="00E03B3B" w:rsidRPr="00993936">
        <w:rPr>
          <w:rFonts w:cs="Arial"/>
          <w:szCs w:val="22"/>
          <w:lang w:val="es-ES"/>
        </w:rPr>
        <w:t xml:space="preserve"> </w:t>
      </w:r>
    </w:p>
    <w:p w:rsidR="00412AFB" w:rsidRPr="00993936" w:rsidRDefault="00412AFB" w:rsidP="00412AFB">
      <w:pPr>
        <w:jc w:val="both"/>
        <w:rPr>
          <w:rFonts w:ascii="Arial" w:hAnsi="Arial" w:cs="Arial"/>
          <w:lang w:val="es-ES"/>
        </w:rPr>
      </w:pPr>
      <w:r w:rsidRPr="00993936">
        <w:rPr>
          <w:rFonts w:ascii="Arial" w:hAnsi="Arial" w:cs="Arial"/>
          <w:lang w:val="es-ES"/>
        </w:rPr>
        <w:t>5.1.3 Indicar en el cuaderno de explotación el cultivo precedente y la gestión de los restos del cultivo anterior.</w:t>
      </w:r>
    </w:p>
    <w:p w:rsidR="00412AFB" w:rsidRPr="00993936" w:rsidRDefault="00412AFB" w:rsidP="00412AFB">
      <w:pPr>
        <w:jc w:val="both"/>
        <w:rPr>
          <w:rFonts w:ascii="Arial" w:hAnsi="Arial" w:cs="Arial"/>
          <w:lang w:val="es-ES"/>
        </w:rPr>
      </w:pPr>
      <w:r w:rsidRPr="00993936">
        <w:rPr>
          <w:rFonts w:ascii="Arial" w:hAnsi="Arial" w:cs="Arial"/>
          <w:lang w:val="es-ES"/>
        </w:rPr>
        <w:t xml:space="preserve">5.2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5.2.1 Cada cultivo forrajero plurianual (por ejemplo, alfalfa, trébol, festuca, pastos naturales o sembrados) cuenta como un cultivo u hoja.</w:t>
      </w:r>
    </w:p>
    <w:p w:rsidR="00412AFB" w:rsidRPr="00993936" w:rsidRDefault="00412AFB" w:rsidP="00412AFB">
      <w:pPr>
        <w:jc w:val="both"/>
        <w:rPr>
          <w:rFonts w:ascii="Arial" w:hAnsi="Arial" w:cs="Arial"/>
          <w:lang w:val="es-ES"/>
        </w:rPr>
      </w:pPr>
      <w:r w:rsidRPr="00993936">
        <w:rPr>
          <w:rFonts w:ascii="Arial" w:hAnsi="Arial" w:cs="Arial"/>
          <w:lang w:val="es-ES"/>
        </w:rPr>
        <w:t>5.2.2 En zonas húmedas, se recomienda la alternancia de cultivos de verano y de invierno, con el fin de minimizar el lavado de los nitratos y de facilitar el manejo de plagas, enfermedades y malas hierbas.</w:t>
      </w:r>
    </w:p>
    <w:p w:rsidR="00412AFB" w:rsidRPr="00993936" w:rsidRDefault="00412AFB" w:rsidP="00412AFB">
      <w:pPr>
        <w:jc w:val="both"/>
        <w:rPr>
          <w:rFonts w:ascii="Arial" w:hAnsi="Arial" w:cs="Arial"/>
          <w:lang w:val="es-ES"/>
        </w:rPr>
      </w:pPr>
      <w:r w:rsidRPr="00993936">
        <w:rPr>
          <w:rFonts w:ascii="Arial" w:hAnsi="Arial" w:cs="Arial"/>
          <w:lang w:val="es-ES"/>
        </w:rPr>
        <w:t>5.2.3 Para fincas de secano, mantener el barbecho con cubierta vegetal el máximo de tiempo posible para limitar la erosión y el lavado de nitratos.</w:t>
      </w:r>
    </w:p>
    <w:p w:rsidR="00412AFB" w:rsidRPr="00993936" w:rsidRDefault="00412AFB" w:rsidP="00412AFB">
      <w:pPr>
        <w:jc w:val="both"/>
        <w:rPr>
          <w:rFonts w:ascii="Arial" w:hAnsi="Arial" w:cs="Arial"/>
          <w:lang w:val="es-ES"/>
        </w:rPr>
      </w:pPr>
      <w:r w:rsidRPr="00993936">
        <w:rPr>
          <w:rFonts w:ascii="Arial" w:hAnsi="Arial" w:cs="Arial"/>
          <w:lang w:val="es-ES"/>
        </w:rPr>
        <w:t>5.2.4 Se recomienda el uso de técnicas que reduzcan o supriman el cultivo del suelo.</w:t>
      </w: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6</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Fertilización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6.1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6.1.1 El suministro de nutrientes se efectuará fundamentalmente a través del suelo.</w:t>
      </w:r>
    </w:p>
    <w:p w:rsidR="00412AFB" w:rsidRPr="00993936" w:rsidRDefault="00412AFB" w:rsidP="00412AFB">
      <w:pPr>
        <w:jc w:val="both"/>
        <w:rPr>
          <w:rFonts w:ascii="Arial" w:hAnsi="Arial" w:cs="Arial"/>
          <w:lang w:val="es-ES"/>
        </w:rPr>
      </w:pPr>
      <w:bookmarkStart w:id="5" w:name="OLE_LINK6"/>
      <w:r w:rsidRPr="00993936">
        <w:rPr>
          <w:rFonts w:ascii="Arial" w:hAnsi="Arial" w:cs="Arial"/>
          <w:lang w:val="es-ES"/>
        </w:rPr>
        <w:t xml:space="preserve">6.1.2 - </w:t>
      </w:r>
      <w:bookmarkEnd w:id="5"/>
      <w:r w:rsidRPr="00993936">
        <w:rPr>
          <w:rFonts w:ascii="Arial" w:hAnsi="Arial" w:cs="Arial"/>
          <w:lang w:val="es-ES"/>
        </w:rPr>
        <w:t>Utilizar los análisis físico y químico del suelo como base para estimar las necesidades de macronutrientes.</w:t>
      </w:r>
    </w:p>
    <w:p w:rsidR="00412AFB" w:rsidRPr="00993936" w:rsidRDefault="00412AFB" w:rsidP="00412AFB">
      <w:pPr>
        <w:pStyle w:val="Textoindependiente"/>
        <w:rPr>
          <w:rFonts w:cs="Arial"/>
          <w:szCs w:val="22"/>
          <w:lang w:val="es-ES"/>
        </w:rPr>
      </w:pPr>
      <w:r w:rsidRPr="00993936">
        <w:rPr>
          <w:rFonts w:cs="Arial"/>
          <w:szCs w:val="22"/>
          <w:lang w:val="es-ES"/>
        </w:rPr>
        <w:t>6.1.3 Cada explotación deberá realizar y disponer, de forma justificada, de análisis de suelos y del agua de riego para planificar la fertilización. Los análisis se realizarán cada cinco años.</w:t>
      </w:r>
    </w:p>
    <w:p w:rsidR="00412AFB" w:rsidRPr="00993936" w:rsidRDefault="00412AFB" w:rsidP="00412AFB">
      <w:pPr>
        <w:pStyle w:val="Textoindependiente"/>
        <w:ind w:left="705"/>
        <w:rPr>
          <w:rFonts w:cs="Arial"/>
          <w:szCs w:val="22"/>
          <w:lang w:val="es-ES"/>
        </w:rPr>
      </w:pPr>
      <w:r w:rsidRPr="00993936">
        <w:rPr>
          <w:rFonts w:cs="Arial"/>
          <w:szCs w:val="22"/>
          <w:lang w:val="es-ES"/>
        </w:rPr>
        <w:t xml:space="preserve">6.1.3.1 En el caso de que el abastecimiento del agua de riego provenga de una comunidad de regantes u otra entidad similar, el cumplimiento del requisito </w:t>
      </w:r>
      <w:r w:rsidRPr="00993936">
        <w:rPr>
          <w:rFonts w:cs="Arial"/>
          <w:szCs w:val="22"/>
          <w:lang w:val="es-ES"/>
        </w:rPr>
        <w:lastRenderedPageBreak/>
        <w:t>indicado podrá justificarse con la disposición de una analítica de agua, efectuada por alguna de las entidades indicadas, siempre que incluya los parámetros que se indican en el artículo 7.1.</w:t>
      </w:r>
    </w:p>
    <w:p w:rsidR="00412AFB" w:rsidRPr="00993936" w:rsidRDefault="00412AFB" w:rsidP="00412AFB">
      <w:pPr>
        <w:pStyle w:val="Textoindependiente"/>
        <w:ind w:left="705"/>
        <w:rPr>
          <w:rFonts w:cs="Arial"/>
          <w:szCs w:val="22"/>
          <w:lang w:val="es-ES"/>
        </w:rPr>
      </w:pPr>
      <w:r w:rsidRPr="00993936">
        <w:rPr>
          <w:rFonts w:cs="Arial"/>
          <w:szCs w:val="22"/>
          <w:lang w:val="es-ES"/>
        </w:rPr>
        <w:t>6.1.3.2 En caso de que el abastecimiento del agua de riego provenga de un pozo, los análisis se llevarán a cabo como mínimo cada dos años. Cuando los resultados de dos analíticas consecutivas del agua, realizadas en el plazo señalado, sean similares, los análisis se podrán efectuar cada cinco años.</w:t>
      </w:r>
    </w:p>
    <w:p w:rsidR="00412AFB" w:rsidRPr="00993936" w:rsidRDefault="00412AFB" w:rsidP="00412AFB">
      <w:pPr>
        <w:pStyle w:val="Textoindependiente"/>
        <w:rPr>
          <w:rFonts w:cs="Arial"/>
          <w:szCs w:val="22"/>
          <w:lang w:val="es-ES"/>
        </w:rPr>
      </w:pPr>
      <w:r w:rsidRPr="00993936">
        <w:rPr>
          <w:rFonts w:cs="Arial"/>
          <w:szCs w:val="22"/>
          <w:lang w:val="es-ES"/>
        </w:rPr>
        <w:t xml:space="preserve">El número de análisis que se efectuarán será como mínimo un análisis del suelo por unidad homogénea de cultivo. Cuando una UHC pase a formar parte del sistema de producción integrada habrá que hacer un análisis físico y químico </w:t>
      </w:r>
      <w:r w:rsidRPr="00993936">
        <w:rPr>
          <w:rFonts w:cs="Arial"/>
          <w:i/>
          <w:szCs w:val="22"/>
          <w:lang w:val="es-ES"/>
        </w:rPr>
        <w:t>con suficiente antelación para tener los resultados antes del abonado de fondo</w:t>
      </w:r>
      <w:r w:rsidRPr="00993936">
        <w:rPr>
          <w:rFonts w:cs="Arial"/>
          <w:szCs w:val="22"/>
          <w:lang w:val="es-ES"/>
        </w:rPr>
        <w:t>, siempre que no se disponga de uno realizado en un periodo de tiempo inferior a cinco años.</w:t>
      </w:r>
    </w:p>
    <w:p w:rsidR="00412AFB" w:rsidRPr="00993936" w:rsidRDefault="00412AFB" w:rsidP="00412AFB">
      <w:pPr>
        <w:pStyle w:val="Textoindependiente"/>
        <w:rPr>
          <w:rFonts w:cs="Arial"/>
          <w:szCs w:val="22"/>
          <w:lang w:val="es-ES"/>
        </w:rPr>
      </w:pPr>
      <w:r w:rsidRPr="00993936">
        <w:rPr>
          <w:rFonts w:cs="Arial"/>
          <w:szCs w:val="22"/>
          <w:lang w:val="es-ES"/>
        </w:rPr>
        <w:t xml:space="preserve">6.1.4 Todas las analíticas de suelo incluirán, al menos, la determinación de fósforo, potasio y magnesio asimilables, la materia orgánica, la prueba previa de salinidad y, si procede, el análisis de sales solubles. En la primera analítica se incluirá, además, la determinación de textura y pH. </w:t>
      </w:r>
    </w:p>
    <w:p w:rsidR="00412AFB" w:rsidRPr="00993936" w:rsidRDefault="00412AFB" w:rsidP="00412AFB">
      <w:pPr>
        <w:jc w:val="both"/>
        <w:rPr>
          <w:rFonts w:ascii="Arial" w:hAnsi="Arial" w:cs="Arial"/>
          <w:lang w:val="es-ES"/>
        </w:rPr>
      </w:pPr>
      <w:r w:rsidRPr="00993936">
        <w:rPr>
          <w:rFonts w:ascii="Arial" w:hAnsi="Arial" w:cs="Arial"/>
          <w:lang w:val="es-ES"/>
        </w:rPr>
        <w:t xml:space="preserve">6.1.5 Establecer y aplicar un programa de fertilización que considere los resultados de los análisis y tenga en cuenta, además de las extracciones del cultivo, el estado nutricional y de crecimiento, el tipo y el nivel de fertilidad del suelo, y las aportaciones realizadas por otras vías (agua y materia orgánica). </w:t>
      </w:r>
    </w:p>
    <w:p w:rsidR="00412AFB" w:rsidRPr="00993936" w:rsidRDefault="00412AFB" w:rsidP="00412AFB">
      <w:pPr>
        <w:jc w:val="both"/>
        <w:rPr>
          <w:rFonts w:ascii="Arial" w:hAnsi="Arial" w:cs="Arial"/>
          <w:lang w:val="es-ES"/>
        </w:rPr>
      </w:pPr>
      <w:r w:rsidRPr="00993936">
        <w:rPr>
          <w:rFonts w:ascii="Arial" w:hAnsi="Arial" w:cs="Arial"/>
          <w:lang w:val="es-ES"/>
        </w:rPr>
        <w:t>El programa determinará las épocas y la forma de aplicación más adecuadas para minimizar las pérdidas por lixiviación, erosión, etc.</w:t>
      </w:r>
    </w:p>
    <w:p w:rsidR="00412AFB" w:rsidRPr="00993936" w:rsidRDefault="00412AFB" w:rsidP="00412AFB">
      <w:pPr>
        <w:pStyle w:val="Textoindependiente"/>
        <w:rPr>
          <w:rFonts w:cs="Arial"/>
          <w:szCs w:val="22"/>
          <w:lang w:val="es-ES"/>
        </w:rPr>
      </w:pPr>
      <w:r w:rsidRPr="00993936">
        <w:rPr>
          <w:rFonts w:cs="Arial"/>
          <w:szCs w:val="22"/>
          <w:lang w:val="es-ES"/>
        </w:rPr>
        <w:t>6.1.6 Para los macronutrientes, se establecerá y aplicará un programa de fertilización para cada cultivo y unidad de cultivo y, asimismo, un programa general de fertilización para toda la explotación potenciando la aportación de fertilizantes naturales y reduciendo los químicos de síntesis.</w:t>
      </w:r>
    </w:p>
    <w:p w:rsidR="00412AFB" w:rsidRPr="00993936" w:rsidRDefault="00412AFB" w:rsidP="00412AFB">
      <w:pPr>
        <w:jc w:val="both"/>
        <w:rPr>
          <w:rFonts w:ascii="Arial" w:hAnsi="Arial" w:cs="Arial"/>
          <w:lang w:val="es-ES"/>
        </w:rPr>
      </w:pPr>
      <w:r w:rsidRPr="00993936">
        <w:rPr>
          <w:rFonts w:ascii="Arial" w:hAnsi="Arial" w:cs="Arial"/>
          <w:lang w:val="es-ES"/>
        </w:rPr>
        <w:t>En el programa del abonado, habrá que tener en cuenta que los fertilizantes que provienen del exterior (aguas, materias orgánicas y fertilización directa) deben compensar las extracciones de las cosechas y las pérdidas técnicas.</w:t>
      </w:r>
    </w:p>
    <w:p w:rsidR="00412AFB" w:rsidRPr="00993936" w:rsidRDefault="00412AFB" w:rsidP="00412AFB">
      <w:pPr>
        <w:jc w:val="both"/>
        <w:rPr>
          <w:rFonts w:ascii="Arial" w:hAnsi="Arial" w:cs="Arial"/>
          <w:lang w:val="es-ES"/>
        </w:rPr>
      </w:pPr>
      <w:r w:rsidRPr="00993936">
        <w:rPr>
          <w:rFonts w:ascii="Arial" w:hAnsi="Arial" w:cs="Arial"/>
          <w:lang w:val="es-ES"/>
        </w:rPr>
        <w:t xml:space="preserve">6.1.7 La fertilización nitrogenada de cobertura de las especies que requieran este elemento fertilizante se fraccionará adecuadamente. </w:t>
      </w:r>
    </w:p>
    <w:p w:rsidR="00412AFB" w:rsidRPr="00993936" w:rsidRDefault="00412AFB" w:rsidP="00412AFB">
      <w:pPr>
        <w:jc w:val="both"/>
        <w:rPr>
          <w:rFonts w:ascii="Arial" w:hAnsi="Arial" w:cs="Arial"/>
          <w:lang w:val="es-ES"/>
        </w:rPr>
      </w:pPr>
      <w:r w:rsidRPr="00993936">
        <w:rPr>
          <w:rFonts w:ascii="Arial" w:hAnsi="Arial" w:cs="Arial"/>
          <w:lang w:val="es-ES"/>
        </w:rPr>
        <w:t>6.1.8 Las aportaciones de nitrógeno se calcularán previendo el contenido inicial del suelo y las extracciones del cultivo, teniendo en cuenta todas las aportaciones (abonos orgánicos, minerales y agua de riego). En cualquier caso, se establece el máximo de aportaciones siguientes:</w:t>
      </w:r>
    </w:p>
    <w:p w:rsidR="00412AFB" w:rsidRPr="00993936" w:rsidRDefault="00412AFB" w:rsidP="00412AFB">
      <w:pPr>
        <w:jc w:val="both"/>
        <w:rPr>
          <w:rFonts w:ascii="Arial" w:hAnsi="Arial" w:cs="Arial"/>
          <w:lang w:val="es-E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3"/>
        <w:gridCol w:w="2077"/>
        <w:gridCol w:w="4599"/>
      </w:tblGrid>
      <w:tr w:rsidR="00412AFB" w:rsidRPr="00993936" w:rsidTr="00C8678E">
        <w:tc>
          <w:tcPr>
            <w:tcW w:w="1127" w:type="pct"/>
            <w:shd w:val="clear" w:color="auto" w:fill="auto"/>
          </w:tcPr>
          <w:p w:rsidR="00412AFB" w:rsidRPr="00993936" w:rsidRDefault="00412AFB" w:rsidP="00C8678E">
            <w:pPr>
              <w:jc w:val="center"/>
              <w:rPr>
                <w:rFonts w:ascii="Arial" w:hAnsi="Arial" w:cs="Arial"/>
                <w:b/>
                <w:lang w:val="es-ES"/>
              </w:rPr>
            </w:pPr>
            <w:r w:rsidRPr="00993936">
              <w:rPr>
                <w:rFonts w:ascii="Arial" w:hAnsi="Arial" w:cs="Arial"/>
                <w:b/>
                <w:lang w:val="es-ES"/>
              </w:rPr>
              <w:t>Elemento</w:t>
            </w:r>
          </w:p>
        </w:tc>
        <w:tc>
          <w:tcPr>
            <w:tcW w:w="1205" w:type="pct"/>
            <w:shd w:val="clear" w:color="auto" w:fill="auto"/>
          </w:tcPr>
          <w:p w:rsidR="00412AFB" w:rsidRPr="00993936" w:rsidRDefault="00412AFB" w:rsidP="00C8678E">
            <w:pPr>
              <w:jc w:val="center"/>
              <w:rPr>
                <w:rFonts w:ascii="Arial" w:hAnsi="Arial" w:cs="Arial"/>
                <w:b/>
                <w:lang w:val="es-ES"/>
              </w:rPr>
            </w:pPr>
            <w:r w:rsidRPr="00993936">
              <w:rPr>
                <w:rFonts w:ascii="Arial" w:hAnsi="Arial" w:cs="Arial"/>
                <w:b/>
                <w:lang w:val="es-ES"/>
              </w:rPr>
              <w:t>Máximo aportaciones</w:t>
            </w:r>
          </w:p>
          <w:p w:rsidR="00412AFB" w:rsidRPr="00993936" w:rsidRDefault="00412AFB" w:rsidP="00C8678E">
            <w:pPr>
              <w:jc w:val="center"/>
              <w:rPr>
                <w:rFonts w:ascii="Arial" w:hAnsi="Arial" w:cs="Arial"/>
                <w:b/>
                <w:lang w:val="es-ES"/>
              </w:rPr>
            </w:pPr>
            <w:r w:rsidRPr="00993936">
              <w:rPr>
                <w:rFonts w:ascii="Arial" w:hAnsi="Arial" w:cs="Arial"/>
                <w:b/>
                <w:lang w:val="es-ES"/>
              </w:rPr>
              <w:t>UF/ha y año</w:t>
            </w:r>
          </w:p>
        </w:tc>
        <w:tc>
          <w:tcPr>
            <w:tcW w:w="2668" w:type="pct"/>
            <w:shd w:val="clear" w:color="auto" w:fill="auto"/>
          </w:tcPr>
          <w:p w:rsidR="00412AFB" w:rsidRPr="00993936" w:rsidRDefault="00412AFB" w:rsidP="00C8678E">
            <w:pPr>
              <w:jc w:val="center"/>
              <w:rPr>
                <w:rFonts w:ascii="Arial" w:hAnsi="Arial" w:cs="Arial"/>
                <w:b/>
                <w:lang w:val="es-ES"/>
              </w:rPr>
            </w:pPr>
            <w:r w:rsidRPr="00993936">
              <w:rPr>
                <w:rFonts w:ascii="Arial" w:hAnsi="Arial" w:cs="Arial"/>
                <w:b/>
                <w:lang w:val="es-ES"/>
              </w:rPr>
              <w:t>Cultivos y condiciones que considerar</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25</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 /ha y año en cultivo de alfalfa</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25</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 en cultivo esparceta</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25</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 en cultivo trébol</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25</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 en cultivo veza</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 xml:space="preserve">100-150 </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 xml:space="preserve">N/ha y año en cultivo raigrás italiano </w:t>
            </w:r>
          </w:p>
        </w:tc>
      </w:tr>
      <w:tr w:rsidR="00412AFB" w:rsidRPr="00993936" w:rsidTr="00C8678E">
        <w:tc>
          <w:tcPr>
            <w:tcW w:w="1127" w:type="pct"/>
            <w:shd w:val="clear" w:color="auto" w:fill="auto"/>
            <w:vAlign w:val="center"/>
          </w:tcPr>
          <w:p w:rsidR="00412AFB" w:rsidRPr="00993936" w:rsidRDefault="00412AFB" w:rsidP="00C8678E">
            <w:pPr>
              <w:jc w:val="center"/>
              <w:rPr>
                <w:rFonts w:ascii="Arial" w:hAnsi="Arial" w:cs="Arial"/>
                <w:lang w:val="es-ES"/>
              </w:rPr>
            </w:pPr>
            <w:r w:rsidRPr="00993936">
              <w:rPr>
                <w:rFonts w:ascii="Arial" w:hAnsi="Arial" w:cs="Arial"/>
                <w:lang w:val="es-ES"/>
              </w:rPr>
              <w:lastRenderedPageBreak/>
              <w:t>Nitrógeno (N)</w:t>
            </w:r>
          </w:p>
        </w:tc>
        <w:tc>
          <w:tcPr>
            <w:tcW w:w="1205" w:type="pct"/>
            <w:shd w:val="clear" w:color="auto" w:fill="auto"/>
            <w:vAlign w:val="center"/>
          </w:tcPr>
          <w:p w:rsidR="00412AFB" w:rsidRPr="00993936" w:rsidRDefault="00412AFB" w:rsidP="00C8678E">
            <w:pPr>
              <w:jc w:val="center"/>
              <w:rPr>
                <w:rFonts w:ascii="Arial" w:hAnsi="Arial" w:cs="Arial"/>
                <w:lang w:val="es-ES"/>
              </w:rPr>
            </w:pPr>
            <w:r w:rsidRPr="00993936">
              <w:rPr>
                <w:rFonts w:ascii="Arial" w:hAnsi="Arial" w:cs="Arial"/>
                <w:lang w:val="es-ES"/>
              </w:rPr>
              <w:t>150-250</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 en cultivo festuca, dáctilo y raigrás inglés (*)</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90</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 en cultivo de gramíneas + leguminosas</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150</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 en cultivo pasto del Sudán</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250</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 en cultivo maíz forrajero en regadío</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Nitrógeno (N)</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210</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N/ha y año en cultivo maíz forrajero en secano</w:t>
            </w:r>
          </w:p>
        </w:tc>
      </w:tr>
      <w:tr w:rsidR="00412AFB" w:rsidRPr="00993936" w:rsidTr="00C8678E">
        <w:tc>
          <w:tcPr>
            <w:tcW w:w="1127"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Fósforo (P</w:t>
            </w:r>
            <w:r w:rsidRPr="00993936">
              <w:rPr>
                <w:rFonts w:ascii="Arial" w:hAnsi="Arial" w:cs="Arial"/>
                <w:vertAlign w:val="subscript"/>
                <w:lang w:val="es-ES"/>
              </w:rPr>
              <w:t>2</w:t>
            </w:r>
            <w:r w:rsidRPr="00993936">
              <w:rPr>
                <w:rFonts w:ascii="Arial" w:hAnsi="Arial" w:cs="Arial"/>
                <w:lang w:val="es-ES"/>
              </w:rPr>
              <w:t>O)</w:t>
            </w:r>
          </w:p>
        </w:tc>
        <w:tc>
          <w:tcPr>
            <w:tcW w:w="1205" w:type="pct"/>
            <w:shd w:val="clear" w:color="auto" w:fill="auto"/>
          </w:tcPr>
          <w:p w:rsidR="00412AFB" w:rsidRPr="00993936" w:rsidRDefault="00412AFB" w:rsidP="00C8678E">
            <w:pPr>
              <w:jc w:val="center"/>
              <w:rPr>
                <w:rFonts w:ascii="Arial" w:hAnsi="Arial" w:cs="Arial"/>
                <w:lang w:val="es-ES"/>
              </w:rPr>
            </w:pPr>
            <w:r w:rsidRPr="00993936">
              <w:rPr>
                <w:rFonts w:ascii="Arial" w:hAnsi="Arial" w:cs="Arial"/>
                <w:lang w:val="es-ES"/>
              </w:rPr>
              <w:t xml:space="preserve">125 </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 xml:space="preserve">Si el nivel de fósforo en el suelo es superior a 25 ppm </w:t>
            </w:r>
          </w:p>
        </w:tc>
      </w:tr>
      <w:tr w:rsidR="00412AFB" w:rsidRPr="00993936" w:rsidTr="00C8678E">
        <w:tc>
          <w:tcPr>
            <w:tcW w:w="1127" w:type="pct"/>
            <w:shd w:val="clear" w:color="auto" w:fill="auto"/>
            <w:vAlign w:val="center"/>
          </w:tcPr>
          <w:p w:rsidR="00412AFB" w:rsidRPr="00993936" w:rsidRDefault="00412AFB" w:rsidP="00C8678E">
            <w:pPr>
              <w:jc w:val="center"/>
              <w:rPr>
                <w:rFonts w:ascii="Arial" w:hAnsi="Arial" w:cs="Arial"/>
                <w:lang w:val="es-ES"/>
              </w:rPr>
            </w:pPr>
            <w:r w:rsidRPr="00993936">
              <w:rPr>
                <w:rFonts w:ascii="Arial" w:hAnsi="Arial" w:cs="Arial"/>
                <w:lang w:val="es-ES"/>
              </w:rPr>
              <w:t>Potasio (K</w:t>
            </w:r>
            <w:r w:rsidRPr="00993936">
              <w:rPr>
                <w:rFonts w:ascii="Arial" w:hAnsi="Arial" w:cs="Arial"/>
                <w:vertAlign w:val="subscript"/>
                <w:lang w:val="es-ES"/>
              </w:rPr>
              <w:t>2</w:t>
            </w:r>
            <w:r w:rsidRPr="00993936">
              <w:rPr>
                <w:rFonts w:ascii="Arial" w:hAnsi="Arial" w:cs="Arial"/>
                <w:lang w:val="es-ES"/>
              </w:rPr>
              <w:t>O)</w:t>
            </w:r>
          </w:p>
        </w:tc>
        <w:tc>
          <w:tcPr>
            <w:tcW w:w="1205" w:type="pct"/>
            <w:shd w:val="clear" w:color="auto" w:fill="auto"/>
            <w:vAlign w:val="center"/>
          </w:tcPr>
          <w:p w:rsidR="00412AFB" w:rsidRPr="00993936" w:rsidRDefault="00412AFB" w:rsidP="00C8678E">
            <w:pPr>
              <w:jc w:val="center"/>
              <w:rPr>
                <w:rFonts w:ascii="Arial" w:hAnsi="Arial" w:cs="Arial"/>
                <w:lang w:val="es-ES"/>
              </w:rPr>
            </w:pPr>
            <w:r w:rsidRPr="00993936">
              <w:rPr>
                <w:rFonts w:ascii="Arial" w:hAnsi="Arial" w:cs="Arial"/>
                <w:lang w:val="es-ES"/>
              </w:rPr>
              <w:t>200</w:t>
            </w:r>
          </w:p>
        </w:tc>
        <w:tc>
          <w:tcPr>
            <w:tcW w:w="2668" w:type="pct"/>
            <w:shd w:val="clear" w:color="auto" w:fill="auto"/>
          </w:tcPr>
          <w:p w:rsidR="00412AFB" w:rsidRPr="00993936" w:rsidRDefault="00412AFB" w:rsidP="00C8678E">
            <w:pPr>
              <w:jc w:val="both"/>
              <w:outlineLvl w:val="0"/>
              <w:rPr>
                <w:rFonts w:ascii="Arial" w:hAnsi="Arial" w:cs="Arial"/>
                <w:lang w:val="es-ES"/>
              </w:rPr>
            </w:pPr>
            <w:r w:rsidRPr="00993936">
              <w:rPr>
                <w:rFonts w:ascii="Arial" w:hAnsi="Arial" w:cs="Arial"/>
                <w:lang w:val="es-ES"/>
              </w:rPr>
              <w:t>Si el nivel de potasio en el suelo es superior a 125 ppm</w:t>
            </w:r>
          </w:p>
        </w:tc>
      </w:tr>
      <w:tr w:rsidR="00412AFB" w:rsidRPr="00993936" w:rsidTr="00C8678E">
        <w:tc>
          <w:tcPr>
            <w:tcW w:w="5000" w:type="pct"/>
            <w:gridSpan w:val="3"/>
            <w:shd w:val="clear" w:color="auto" w:fill="auto"/>
          </w:tcPr>
          <w:p w:rsidR="00412AFB" w:rsidRPr="00993936" w:rsidRDefault="00412AFB" w:rsidP="00C8678E">
            <w:pPr>
              <w:jc w:val="both"/>
              <w:rPr>
                <w:rFonts w:ascii="Arial" w:hAnsi="Arial" w:cs="Arial"/>
                <w:lang w:val="es-ES"/>
              </w:rPr>
            </w:pPr>
            <w:r w:rsidRPr="00993936">
              <w:rPr>
                <w:rFonts w:ascii="Arial" w:hAnsi="Arial" w:cs="Arial"/>
                <w:lang w:val="es-ES"/>
              </w:rPr>
              <w:t>ppm: partes por millón</w:t>
            </w:r>
          </w:p>
          <w:p w:rsidR="00412AFB" w:rsidRPr="00993936" w:rsidRDefault="00412AFB" w:rsidP="00C8678E">
            <w:pPr>
              <w:jc w:val="both"/>
              <w:rPr>
                <w:rFonts w:ascii="Arial" w:hAnsi="Arial" w:cs="Arial"/>
                <w:lang w:val="es-ES"/>
              </w:rPr>
            </w:pPr>
            <w:r w:rsidRPr="00993936">
              <w:rPr>
                <w:rFonts w:ascii="Arial" w:hAnsi="Arial" w:cs="Arial"/>
                <w:lang w:val="es-ES"/>
              </w:rPr>
              <w:t>(*) En este cultivo, cuando se haga una única siega, no se superará la dosis de 210 UF de N/ha</w:t>
            </w:r>
          </w:p>
        </w:tc>
      </w:tr>
    </w:tbl>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En el caso del nitrógeno esta cantidad podrá aumentarse hasta llegar a un máximo de 170 kg N/ha y año cuando toda la fertilización o una gran parte de ella se haga con materiales orgánicos. En cualquier caso, si la parcela está ubicada en una zona vulnerable a la contaminación por nitratos, deberán respetarse los límites de N total, N orgánico y N mineral que establece el programa de actuación en zonas vulnerables. Los oligoelementos y abonos foliares solo se aplicarán cuando un análisis previo determine su insuficiencia para los requerimientos reales del cultivo.</w:t>
      </w:r>
    </w:p>
    <w:p w:rsidR="00412AFB" w:rsidRPr="00993936" w:rsidRDefault="00412AFB" w:rsidP="00412AFB">
      <w:pPr>
        <w:pStyle w:val="Textoindependiente"/>
        <w:rPr>
          <w:rFonts w:cs="Arial"/>
          <w:szCs w:val="22"/>
          <w:lang w:val="es-ES"/>
        </w:rPr>
      </w:pPr>
      <w:r w:rsidRPr="00993936">
        <w:rPr>
          <w:rFonts w:cs="Arial"/>
          <w:szCs w:val="22"/>
          <w:lang w:val="es-ES"/>
        </w:rPr>
        <w:t>La aplicación de fertilizantes deberá revisarse a posteriori por el miembro del personal técnico responsable de producción integrada, y su conformidad figurará en el cuaderno de explotación.</w:t>
      </w:r>
    </w:p>
    <w:p w:rsidR="00412AFB" w:rsidRPr="00993936" w:rsidRDefault="00412AFB" w:rsidP="00412AFB">
      <w:pPr>
        <w:jc w:val="both"/>
        <w:rPr>
          <w:rFonts w:ascii="Arial" w:hAnsi="Arial" w:cs="Arial"/>
          <w:lang w:val="es-ES"/>
        </w:rPr>
      </w:pPr>
      <w:r w:rsidRPr="00993936">
        <w:rPr>
          <w:rFonts w:ascii="Arial" w:hAnsi="Arial" w:cs="Arial"/>
          <w:lang w:val="es-ES"/>
        </w:rPr>
        <w:t>6.1.9 Cuando se añada materia orgánica al suelo, deberán conocerse los contenidos medios aportados en 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 xml:space="preserve">5, </w:t>
      </w:r>
      <w:r w:rsidRPr="00993936">
        <w:rPr>
          <w:rFonts w:ascii="Arial" w:hAnsi="Arial" w:cs="Arial"/>
          <w:lang w:val="es-ES"/>
        </w:rPr>
        <w:t>K</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 xml:space="preserve">. </w:t>
      </w:r>
      <w:r w:rsidRPr="00993936">
        <w:rPr>
          <w:rFonts w:ascii="Arial" w:hAnsi="Arial" w:cs="Arial"/>
          <w:lang w:val="es-ES"/>
        </w:rPr>
        <w:t>Para el cálculo de los elementos fertilizantes aportados se usarán preferentemente los resultados del análisis de la materia orgánica o, en su defecto, podrán utilizarse como valores orientativos los que figuran en el Anexo 4.</w:t>
      </w:r>
    </w:p>
    <w:p w:rsidR="00412AFB" w:rsidRPr="00993936" w:rsidRDefault="00412AFB" w:rsidP="00412AFB">
      <w:pPr>
        <w:jc w:val="both"/>
        <w:rPr>
          <w:rFonts w:ascii="Arial" w:hAnsi="Arial" w:cs="Arial"/>
          <w:lang w:val="es-ES"/>
        </w:rPr>
      </w:pPr>
      <w:r w:rsidRPr="00993936">
        <w:rPr>
          <w:rFonts w:ascii="Arial" w:hAnsi="Arial" w:cs="Arial"/>
          <w:lang w:val="es-ES"/>
        </w:rPr>
        <w:t>6.1.10 Cuando se aporten materias con valor fertilizante de origen urbano o industrial, es necesario disponer de, o bien efectuar, un análisis de metales pesados ​​para certificar que no excedan los límites legales. En todo caso, esta aportación debe contener la mínima cantidad de metales pesados ​​(cadmio, cromo, cobre, plomo, zinc, níquel y mercurio), patógenos u otros productos tóxicos.</w:t>
      </w:r>
    </w:p>
    <w:p w:rsidR="00412AFB" w:rsidRPr="00993936" w:rsidRDefault="00412AFB" w:rsidP="00412AFB">
      <w:pPr>
        <w:pStyle w:val="Textoindependiente"/>
        <w:rPr>
          <w:rFonts w:cs="Arial"/>
          <w:szCs w:val="22"/>
          <w:lang w:val="es-ES"/>
        </w:rPr>
      </w:pPr>
      <w:r w:rsidRPr="00993936">
        <w:rPr>
          <w:rFonts w:cs="Arial"/>
          <w:szCs w:val="22"/>
          <w:lang w:val="es-ES"/>
        </w:rPr>
        <w:t>6.1.11 Almacenar los abonos orgánicos de manera adecuada, de forma que se reduzca el riesgo de contaminación del medio ambiente.</w:t>
      </w:r>
    </w:p>
    <w:p w:rsidR="00412AFB" w:rsidRPr="00993936" w:rsidRDefault="00412AFB" w:rsidP="00412AFB">
      <w:pPr>
        <w:jc w:val="both"/>
        <w:rPr>
          <w:rFonts w:ascii="Arial" w:hAnsi="Arial" w:cs="Arial"/>
          <w:lang w:val="es-ES"/>
        </w:rPr>
      </w:pPr>
      <w:r w:rsidRPr="00993936">
        <w:rPr>
          <w:rFonts w:ascii="Arial" w:hAnsi="Arial" w:cs="Arial"/>
          <w:lang w:val="es-ES"/>
        </w:rPr>
        <w:t>6.1.12 En caso de suelos ácidos, habrá que aplicar las enmiendas necesarias.</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6.2 </w:t>
      </w:r>
      <w:r w:rsidRPr="00993936">
        <w:rPr>
          <w:rFonts w:ascii="Arial" w:hAnsi="Arial" w:cs="Arial"/>
          <w:i/>
          <w:lang w:val="es-ES"/>
        </w:rPr>
        <w:t>Prohibiciones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lastRenderedPageBreak/>
        <w:t>6.2.1 Superar la cantidad máxima tolerable por hectárea y año de nitrógeno total, y exceder los límites nacionales e internacionales aplicables a cada territorio relativos a la contaminación por nitratos o fosfatos del agua subterránea, así como los límites que se fijan de metales pesados ​​en el Anexo 3 de esta norma, de patógenos y otros productos tóxicos.</w:t>
      </w:r>
    </w:p>
    <w:p w:rsidR="00412AFB" w:rsidRPr="00993936" w:rsidRDefault="00412AFB" w:rsidP="00412AFB">
      <w:pPr>
        <w:pStyle w:val="Textoindependiente"/>
        <w:rPr>
          <w:rFonts w:cs="Arial"/>
          <w:szCs w:val="22"/>
          <w:lang w:val="es-ES"/>
        </w:rPr>
      </w:pPr>
      <w:r w:rsidRPr="00993936">
        <w:rPr>
          <w:rFonts w:cs="Arial"/>
          <w:szCs w:val="22"/>
          <w:lang w:val="es-ES"/>
        </w:rPr>
        <w:t>6.2.2 Almacenar los fertilizantes y los fitosanitarios sin estar separados físicamente ni etiquetados correctamente.</w:t>
      </w:r>
    </w:p>
    <w:p w:rsidR="00412AFB" w:rsidRPr="00993936" w:rsidRDefault="00412AFB" w:rsidP="00412AFB">
      <w:pPr>
        <w:pStyle w:val="Textoindependiente"/>
        <w:rPr>
          <w:rFonts w:cs="Arial"/>
          <w:szCs w:val="22"/>
          <w:lang w:val="es-ES"/>
        </w:rPr>
      </w:pPr>
      <w:r w:rsidRPr="00993936">
        <w:rPr>
          <w:rFonts w:cs="Arial"/>
          <w:szCs w:val="22"/>
          <w:lang w:val="es-ES"/>
        </w:rPr>
        <w:t>6.2.3 Programar la fertilización sin tener en cuenta los resultados de los análisis de suelo y agua.</w:t>
      </w:r>
    </w:p>
    <w:p w:rsidR="00412AFB" w:rsidRPr="00993936" w:rsidRDefault="00412AFB" w:rsidP="00412AFB">
      <w:pPr>
        <w:jc w:val="both"/>
        <w:outlineLvl w:val="0"/>
        <w:rPr>
          <w:rFonts w:ascii="Arial" w:hAnsi="Arial" w:cs="Arial"/>
          <w:lang w:val="es-ES"/>
        </w:rPr>
      </w:pPr>
      <w:r w:rsidRPr="00993936">
        <w:rPr>
          <w:rFonts w:ascii="Arial" w:hAnsi="Arial" w:cs="Arial"/>
          <w:lang w:val="es-ES"/>
        </w:rPr>
        <w:t>6.2.4 Aplicar estiércoles y purines sobre los terrenos encharcados o con nieve o a menos de 50 metros de una captación de agua destinada al consumo humano.</w:t>
      </w:r>
    </w:p>
    <w:p w:rsidR="00412AFB" w:rsidRPr="00993936" w:rsidRDefault="00412AFB" w:rsidP="00412AFB">
      <w:pPr>
        <w:jc w:val="both"/>
        <w:outlineLvl w:val="0"/>
        <w:rPr>
          <w:rFonts w:ascii="Arial" w:hAnsi="Arial" w:cs="Arial"/>
          <w:lang w:val="es-ES"/>
        </w:rPr>
      </w:pPr>
      <w:r w:rsidRPr="00993936">
        <w:rPr>
          <w:rFonts w:ascii="Arial" w:hAnsi="Arial" w:cs="Arial"/>
          <w:lang w:val="es-ES"/>
        </w:rPr>
        <w:t>6.2.5 Utilizar, sin haber realizado tratamiento previo reconocido por la autoridad competente en materia de residuos, tanto barro que proceda de depuradora como residuos sólidos urbanos.</w:t>
      </w:r>
    </w:p>
    <w:p w:rsidR="00412AFB" w:rsidRPr="00993936" w:rsidRDefault="00412AFB" w:rsidP="00412AFB">
      <w:pPr>
        <w:pStyle w:val="Textoindependiente"/>
        <w:outlineLvl w:val="0"/>
        <w:rPr>
          <w:rFonts w:cs="Arial"/>
          <w:i/>
          <w:szCs w:val="22"/>
          <w:lang w:val="es-ES"/>
        </w:rPr>
      </w:pPr>
      <w:r w:rsidRPr="00993936">
        <w:rPr>
          <w:rFonts w:cs="Arial"/>
          <w:szCs w:val="22"/>
          <w:lang w:val="es-ES"/>
        </w:rPr>
        <w:t xml:space="preserve">6.3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6.3.1 Fertirrigar de forma que se minimice el lavado de nutrientes, evitando la salinización del suelo.</w:t>
      </w:r>
    </w:p>
    <w:p w:rsidR="00412AFB" w:rsidRPr="00993936" w:rsidRDefault="00412AFB" w:rsidP="00412AFB">
      <w:pPr>
        <w:jc w:val="both"/>
        <w:rPr>
          <w:rFonts w:ascii="Arial" w:hAnsi="Arial" w:cs="Arial"/>
          <w:lang w:val="es-ES"/>
        </w:rPr>
      </w:pPr>
      <w:r w:rsidRPr="00993936">
        <w:rPr>
          <w:rFonts w:ascii="Arial" w:hAnsi="Arial" w:cs="Arial"/>
          <w:lang w:val="es-ES"/>
        </w:rPr>
        <w:t>6.3.2 Utilizar herramientas de apoyo a la decisión de la fertilización, que se hayan contrastado en la zona. (p. ej.: RuralCat)</w:t>
      </w:r>
    </w:p>
    <w:p w:rsidR="00412AFB" w:rsidRPr="00993936" w:rsidRDefault="00412AFB" w:rsidP="00412AFB">
      <w:pPr>
        <w:jc w:val="both"/>
        <w:rPr>
          <w:rFonts w:ascii="Arial" w:hAnsi="Arial" w:cs="Arial"/>
          <w:lang w:val="es-ES"/>
        </w:rPr>
      </w:pPr>
      <w:r w:rsidRPr="00993936">
        <w:rPr>
          <w:rFonts w:ascii="Arial" w:hAnsi="Arial" w:cs="Arial"/>
          <w:lang w:val="es-ES"/>
        </w:rPr>
        <w:t xml:space="preserve">6.3.3 No almacenar estiércol cerca de las fuentes de agua, así como el acceso del ganado a las aguas superficiales o zonas de bombeo. </w:t>
      </w:r>
    </w:p>
    <w:p w:rsidR="00412AFB" w:rsidRPr="00993936" w:rsidRDefault="00412AFB" w:rsidP="00412AFB">
      <w:pPr>
        <w:jc w:val="both"/>
        <w:rPr>
          <w:rFonts w:ascii="Arial" w:hAnsi="Arial" w:cs="Arial"/>
          <w:i/>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7</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Riego</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7.1 </w:t>
      </w:r>
      <w:r w:rsidRPr="00993936">
        <w:rPr>
          <w:rFonts w:ascii="Arial" w:hAnsi="Arial" w:cs="Arial"/>
          <w:i/>
          <w:lang w:val="es-ES"/>
        </w:rPr>
        <w:t>Obligaciones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7.1.1 Disponer de las características analíticas de la calidad del agua de riego con el objeto de tomar una decisión sobre su utilización. El análisis químico incluirá, al menos, las determinaciones de nitratos y de conductividad, sin perjuicio de otros elementos que puedan ser de interés. Los análisis se realizarán en laboratorios autorizados. Si a causa de su origen la composición del agua es muy variable, deberán efectuarse con más frecuencia análisis del contenido de nitratos y de la conductividad. En el caso de utilizar para el riego aguas residuales depuradas, analizar la posible presencia de contaminantes microbianos, químicos o bacteriológicos para tomar una decisión sobre su uso. </w:t>
      </w:r>
    </w:p>
    <w:p w:rsidR="00412AFB" w:rsidRPr="00993936" w:rsidRDefault="00412AFB" w:rsidP="00412AFB">
      <w:pPr>
        <w:jc w:val="both"/>
        <w:rPr>
          <w:rFonts w:ascii="Arial" w:hAnsi="Arial" w:cs="Arial"/>
          <w:lang w:val="es-ES"/>
        </w:rPr>
      </w:pPr>
      <w:r w:rsidRPr="00993936">
        <w:rPr>
          <w:rFonts w:ascii="Arial" w:hAnsi="Arial" w:cs="Arial"/>
          <w:lang w:val="es-ES"/>
        </w:rPr>
        <w:t>7.1.2 Tomar las medidas necesarias para evitar las pérdidas de agua.</w:t>
      </w:r>
    </w:p>
    <w:p w:rsidR="00412AFB" w:rsidRPr="00993936" w:rsidRDefault="00412AFB" w:rsidP="00412AFB">
      <w:pPr>
        <w:pStyle w:val="Textoindependiente"/>
        <w:rPr>
          <w:rFonts w:cs="Arial"/>
          <w:szCs w:val="22"/>
          <w:lang w:val="es-ES"/>
        </w:rPr>
      </w:pPr>
      <w:r w:rsidRPr="00993936">
        <w:rPr>
          <w:rFonts w:cs="Arial"/>
          <w:szCs w:val="22"/>
          <w:lang w:val="es-ES"/>
        </w:rPr>
        <w:t>7.1.3 Establecer los volúmenes anuales necesarios de agua de riego mediante el cálculo de las necesidades del cultivo, basándose en los datos locales de la evapotranspiración, calculada mediante la información de la estación meteorológica más representativa.</w:t>
      </w:r>
    </w:p>
    <w:p w:rsidR="00412AFB" w:rsidRPr="00993936" w:rsidRDefault="00412AFB" w:rsidP="00412AFB">
      <w:pPr>
        <w:pStyle w:val="Textoindependiente"/>
        <w:rPr>
          <w:rFonts w:cs="Arial"/>
          <w:szCs w:val="22"/>
          <w:lang w:val="es-ES"/>
        </w:rPr>
      </w:pPr>
      <w:r w:rsidRPr="00993936">
        <w:rPr>
          <w:rFonts w:cs="Arial"/>
          <w:szCs w:val="22"/>
          <w:lang w:val="es-ES"/>
        </w:rPr>
        <w:t>7.1.4 Establecer los volúmenes máximos de cada riego en función del sistema, la profundidad radicular del cultivo, el estado hídrico y las características físicas del suelo. Para valores de conductividad eléctrica del agua superiores a 2,1 d /m, se utilizará una fracción de lavado complementaria a las dosis normales del riego.</w:t>
      </w:r>
    </w:p>
    <w:p w:rsidR="00412AFB" w:rsidRPr="00993936" w:rsidRDefault="00412AFB" w:rsidP="00412AFB">
      <w:pPr>
        <w:jc w:val="both"/>
        <w:rPr>
          <w:rFonts w:ascii="Arial" w:hAnsi="Arial" w:cs="Arial"/>
          <w:lang w:val="es-ES"/>
        </w:rPr>
      </w:pPr>
      <w:r w:rsidRPr="00993936">
        <w:rPr>
          <w:rFonts w:ascii="Arial" w:hAnsi="Arial" w:cs="Arial"/>
          <w:lang w:val="es-ES"/>
        </w:rPr>
        <w:t xml:space="preserve">7.1.5 Los riegos se programarán para cada parcela y/o UHC siguiendo métodos técnicamente aceptados. </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7.1.6 Al regar, se evitará la aplicación de aguas que conduzcan a una degradación del suelo por salinización y/o sodificación.</w:t>
      </w:r>
    </w:p>
    <w:p w:rsidR="00412AFB" w:rsidRPr="00993936" w:rsidRDefault="00412AFB" w:rsidP="00412AFB">
      <w:pPr>
        <w:pStyle w:val="Textoindependiente"/>
        <w:rPr>
          <w:rFonts w:cs="Arial"/>
          <w:szCs w:val="22"/>
          <w:lang w:val="es-ES"/>
        </w:rPr>
      </w:pPr>
      <w:r w:rsidRPr="00993936">
        <w:rPr>
          <w:rFonts w:cs="Arial"/>
          <w:szCs w:val="22"/>
          <w:lang w:val="es-ES"/>
        </w:rPr>
        <w:t>7.1.7 Para la programación de los riegos, se establecerá un programa que determine los volúmenes de agua a aplicar y los tiempos de riego.</w:t>
      </w:r>
    </w:p>
    <w:p w:rsidR="00412AFB" w:rsidRPr="00993936" w:rsidRDefault="00412AFB" w:rsidP="00412AFB">
      <w:pPr>
        <w:jc w:val="both"/>
        <w:rPr>
          <w:rFonts w:ascii="Arial" w:hAnsi="Arial" w:cs="Arial"/>
          <w:lang w:val="es-ES"/>
        </w:rPr>
      </w:pPr>
      <w:r w:rsidRPr="00993936">
        <w:rPr>
          <w:rFonts w:ascii="Arial" w:hAnsi="Arial" w:cs="Arial"/>
          <w:lang w:val="es-ES"/>
        </w:rPr>
        <w:t>7.1.8 Se diseñará un sistema de riego para cada parcela que garantice de forma permanente la conservación del suelo.</w:t>
      </w:r>
    </w:p>
    <w:p w:rsidR="00412AFB" w:rsidRPr="00993936" w:rsidRDefault="00412AFB" w:rsidP="00412AFB">
      <w:pPr>
        <w:pStyle w:val="Textoindependiente"/>
        <w:rPr>
          <w:rFonts w:cs="Arial"/>
          <w:szCs w:val="22"/>
          <w:lang w:val="es-ES"/>
        </w:rPr>
      </w:pPr>
      <w:r w:rsidRPr="00993936">
        <w:rPr>
          <w:rFonts w:cs="Arial"/>
          <w:szCs w:val="22"/>
          <w:lang w:val="es-ES"/>
        </w:rPr>
        <w:t>7.1.9 Se utilizarán técnicas de riego que garanticen la máxima eficiencia en el uso del agua y la optimización de los recursos hídricos, evitando las pérdidas de agua, por lo que se tendrá en cuenta que:</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Las dosis de riego se ajustarán a las necesidades de los cultivos y a la textura y las características de drenaje del suelo.</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En riego por gravedad o inundación, la longitud de las tablas y su pendiente máxima se establecerán en función del volumen de riego necesario y de las condiciones hidráulicas y de permeabilidad del terreno.</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 xml:space="preserve">En el riego a presión se justificará que el valor del coeficiente de uniformidad (CU) esté comprendido entre los valores establecidos de acuerdo con la separación entre los emisores y la pendiente del terreno. La medida del cálculo del coeficiente de uniformidad se realizará mediante el método de Merrien-Keller (Anexo 5). </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Mantener en buen estado de conservación los sistemas de distribución del agua.</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Registrar el agua de riego aplicada en el cuaderno de explotación. Si no fuera posible, se efectuará una estimación.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7.1.10 El agua para el riego se utilizará con criterios de máxima eficiencia. Deberá utilizarse algún método de programación de riegos que permita ajustar las dosis de riego a las necesidades de los cultivos y a la textura y el drenaje del suelo (RuralCat y Oficina del Regante). El agua de riego se distribuirá uniformemente en las parcelas minimizando las pérdidas que se produzcan por percolación y escorrentía. </w:t>
      </w:r>
    </w:p>
    <w:p w:rsidR="00412AFB" w:rsidRPr="00993936" w:rsidRDefault="00412AFB" w:rsidP="00412AFB">
      <w:pPr>
        <w:jc w:val="both"/>
        <w:rPr>
          <w:rFonts w:ascii="Arial" w:hAnsi="Arial" w:cs="Arial"/>
          <w:lang w:val="es-ES"/>
        </w:rPr>
      </w:pPr>
      <w:r w:rsidRPr="00993936">
        <w:rPr>
          <w:rFonts w:ascii="Arial" w:hAnsi="Arial" w:cs="Arial"/>
          <w:lang w:val="es-ES"/>
        </w:rPr>
        <w:t xml:space="preserve">7.1.11 En los sistemas de presión, hay que lograr un coeficiente de uniformidad (CU) superior al 80 %. La comprobación de este coeficiente se llevará a cabo cada tres años, en cada sector de riego, de modo que pueda asegurarse el buen funcionamiento de las instalaciones. </w:t>
      </w:r>
    </w:p>
    <w:p w:rsidR="00412AFB" w:rsidRPr="00993936" w:rsidRDefault="00412AFB" w:rsidP="00412AFB">
      <w:pPr>
        <w:jc w:val="both"/>
        <w:rPr>
          <w:rFonts w:ascii="Arial" w:hAnsi="Arial" w:cs="Arial"/>
          <w:lang w:val="es-ES"/>
        </w:rPr>
      </w:pPr>
      <w:r w:rsidRPr="00993936">
        <w:rPr>
          <w:rFonts w:ascii="Arial" w:hAnsi="Arial" w:cs="Arial"/>
          <w:lang w:val="es-ES"/>
        </w:rPr>
        <w:t>7.1.12 En el caso del riego superficial, debe exigirse una nivelación adaptada a la sistematización de la superficie que hay que regar en los módulos de riego que se utilicen y en las condiciones de infiltración. En el riego superficial, es necesario alcanzar la máxima uniformidad de distribución.</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7.2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7.2.1 Utilizar aguas caracterizadas por parámetros de calidad inadecuados para el cultivo y para el suelo.</w:t>
      </w:r>
    </w:p>
    <w:p w:rsidR="00412AFB" w:rsidRPr="00993936" w:rsidRDefault="00412AFB" w:rsidP="00412AFB">
      <w:pPr>
        <w:jc w:val="both"/>
        <w:rPr>
          <w:rFonts w:ascii="Arial" w:hAnsi="Arial" w:cs="Arial"/>
          <w:lang w:val="es-ES"/>
        </w:rPr>
      </w:pPr>
      <w:r w:rsidRPr="00993936">
        <w:rPr>
          <w:rFonts w:ascii="Arial" w:hAnsi="Arial" w:cs="Arial"/>
          <w:lang w:val="es-ES"/>
        </w:rPr>
        <w:t>7.2.2 Utilizar aguas residuales sin depuración previa o aguas que, a pesar de estar depuradas, superan los parámetros que establece la legislación vigente.</w:t>
      </w:r>
    </w:p>
    <w:p w:rsidR="00412AFB" w:rsidRPr="00993936" w:rsidRDefault="00412AFB" w:rsidP="00412AFB">
      <w:pPr>
        <w:jc w:val="both"/>
        <w:rPr>
          <w:rFonts w:ascii="Arial" w:hAnsi="Arial" w:cs="Arial"/>
          <w:lang w:val="es-ES"/>
        </w:rPr>
      </w:pPr>
      <w:r w:rsidRPr="00993936">
        <w:rPr>
          <w:rFonts w:ascii="Arial" w:hAnsi="Arial" w:cs="Arial"/>
          <w:lang w:val="es-ES"/>
        </w:rPr>
        <w:t>7.2.3 El uso de aguas de riego que superen los siguientes parámetros:</w:t>
      </w:r>
    </w:p>
    <w:p w:rsidR="00412AFB" w:rsidRPr="00993936" w:rsidRDefault="00412AFB" w:rsidP="00412AFB">
      <w:pPr>
        <w:jc w:val="both"/>
        <w:rPr>
          <w:rFonts w:ascii="Arial" w:hAnsi="Arial" w:cs="Arial"/>
          <w:lang w:val="es-ES"/>
        </w:rPr>
      </w:pPr>
      <w:r w:rsidRPr="00993936">
        <w:rPr>
          <w:rFonts w:ascii="Arial" w:hAnsi="Arial" w:cs="Arial"/>
          <w:lang w:val="es-ES"/>
        </w:rPr>
        <w:t>Conductividad (CEW) ......... 3,0 dS/m</w:t>
      </w:r>
    </w:p>
    <w:p w:rsidR="00412AFB" w:rsidRPr="00993936" w:rsidRDefault="00412AFB" w:rsidP="00D74508">
      <w:pPr>
        <w:jc w:val="both"/>
        <w:rPr>
          <w:rFonts w:ascii="Arial" w:hAnsi="Arial" w:cs="Arial"/>
          <w:lang w:val="es-ES"/>
        </w:rPr>
      </w:pPr>
      <w:r w:rsidRPr="00993936">
        <w:rPr>
          <w:rFonts w:ascii="Arial" w:hAnsi="Arial" w:cs="Arial"/>
          <w:lang w:val="es-ES"/>
        </w:rPr>
        <w:t>RAS .......................</w:t>
      </w:r>
      <w:r w:rsidR="00D74508" w:rsidRPr="00993936">
        <w:rPr>
          <w:rFonts w:ascii="Arial" w:hAnsi="Arial" w:cs="Arial"/>
          <w:lang w:val="es-ES"/>
        </w:rPr>
        <w:t>.....</w:t>
      </w:r>
      <w:r w:rsidRPr="00993936">
        <w:rPr>
          <w:rFonts w:ascii="Arial" w:hAnsi="Arial" w:cs="Arial"/>
          <w:lang w:val="es-ES"/>
        </w:rPr>
        <w:t>.....</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4</w:t>
      </w:r>
    </w:p>
    <w:p w:rsidR="00412AFB" w:rsidRPr="00993936" w:rsidRDefault="00412AFB" w:rsidP="00412AFB">
      <w:pPr>
        <w:jc w:val="both"/>
        <w:rPr>
          <w:rFonts w:ascii="Arial" w:hAnsi="Arial" w:cs="Arial"/>
          <w:lang w:val="es-ES"/>
        </w:rPr>
      </w:pPr>
      <w:r w:rsidRPr="00993936">
        <w:rPr>
          <w:rFonts w:ascii="Arial" w:hAnsi="Arial" w:cs="Arial"/>
          <w:lang w:val="es-ES"/>
        </w:rPr>
        <w:t>Boro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2 ppm</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Cloruros………………….......</w:t>
      </w:r>
      <w:r w:rsidR="00E03B3B" w:rsidRPr="00993936">
        <w:rPr>
          <w:rFonts w:ascii="Arial" w:hAnsi="Arial" w:cs="Arial"/>
          <w:lang w:val="es-ES"/>
        </w:rPr>
        <w:t xml:space="preserve"> </w:t>
      </w:r>
      <w:r w:rsidRPr="00993936">
        <w:rPr>
          <w:rFonts w:ascii="Arial" w:hAnsi="Arial" w:cs="Arial"/>
          <w:lang w:val="es-ES"/>
        </w:rPr>
        <w:t>10 mEq/l</w:t>
      </w:r>
    </w:p>
    <w:p w:rsidR="00412AFB" w:rsidRPr="00993936" w:rsidRDefault="00412AFB" w:rsidP="00D74508">
      <w:pPr>
        <w:jc w:val="both"/>
        <w:rPr>
          <w:rFonts w:ascii="Arial" w:hAnsi="Arial" w:cs="Arial"/>
          <w:lang w:val="es-ES"/>
        </w:rPr>
      </w:pPr>
      <w:r w:rsidRPr="00993936">
        <w:rPr>
          <w:rFonts w:ascii="Arial" w:hAnsi="Arial" w:cs="Arial"/>
          <w:lang w:val="es-ES"/>
        </w:rPr>
        <w:t>Sodio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9 mEq/l</w:t>
      </w:r>
    </w:p>
    <w:p w:rsidR="00412AFB" w:rsidRPr="00993936" w:rsidRDefault="00412AFB" w:rsidP="00D74508">
      <w:pPr>
        <w:jc w:val="both"/>
        <w:rPr>
          <w:rFonts w:ascii="Arial" w:hAnsi="Arial" w:cs="Arial"/>
          <w:lang w:val="es-ES"/>
        </w:rPr>
      </w:pPr>
      <w:r w:rsidRPr="00993936">
        <w:rPr>
          <w:rFonts w:ascii="Arial" w:hAnsi="Arial" w:cs="Arial"/>
          <w:lang w:val="es-ES"/>
        </w:rPr>
        <w:t>Bicarbonatos .........................</w:t>
      </w:r>
      <w:r w:rsidR="00E03B3B" w:rsidRPr="00993936">
        <w:rPr>
          <w:rFonts w:ascii="Arial" w:hAnsi="Arial" w:cs="Arial"/>
          <w:lang w:val="es-ES"/>
        </w:rPr>
        <w:t xml:space="preserve"> </w:t>
      </w:r>
      <w:r w:rsidRPr="00993936">
        <w:rPr>
          <w:rFonts w:ascii="Arial" w:hAnsi="Arial" w:cs="Arial"/>
          <w:lang w:val="es-ES"/>
        </w:rPr>
        <w:t xml:space="preserve">10 mEq/l </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7.3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7.3.1 Para utilizar el agua para el riego con criterios de máxima eficiencia, se recomienda en los sistemas de riego a presión la instalación de un caudalímetro o algún otro sistema de medición de consumo de agua, como instalar contadores en los conductos a presión o bien contar las horas de riego superficial, que permitan llevar un control preciso de las dosis de agua y de los momentos de aplicación.</w:t>
      </w:r>
    </w:p>
    <w:p w:rsidR="00412AFB" w:rsidRPr="00993936" w:rsidRDefault="00412AFB" w:rsidP="00412AFB">
      <w:pPr>
        <w:jc w:val="both"/>
        <w:rPr>
          <w:rFonts w:ascii="Arial" w:hAnsi="Arial" w:cs="Arial"/>
          <w:lang w:val="es-ES"/>
        </w:rPr>
      </w:pPr>
      <w:r w:rsidRPr="00993936">
        <w:rPr>
          <w:rFonts w:ascii="Arial" w:hAnsi="Arial" w:cs="Arial"/>
          <w:lang w:val="es-ES"/>
        </w:rPr>
        <w:t>7.3.2 En riego por gravedad, nivelar con refinadora, preferentemente con láser, cada cinco años para garantizar una correcta uniformidad de la distribución del agua.</w:t>
      </w:r>
    </w:p>
    <w:p w:rsidR="00412AFB" w:rsidRPr="00993936" w:rsidRDefault="00412AFB" w:rsidP="00412AFB">
      <w:pPr>
        <w:jc w:val="both"/>
        <w:rPr>
          <w:rFonts w:ascii="Arial" w:hAnsi="Arial" w:cs="Arial"/>
          <w:lang w:val="es-ES"/>
        </w:rPr>
      </w:pPr>
      <w:r w:rsidRPr="00993936">
        <w:rPr>
          <w:rFonts w:ascii="Arial" w:hAnsi="Arial" w:cs="Arial"/>
          <w:lang w:val="es-ES"/>
        </w:rPr>
        <w:t>7.3.3 Garantizar el suministro de agua fundamentalmente durante el espigado del cereal, dado que esta época es la que presenta más necesidades.</w:t>
      </w:r>
    </w:p>
    <w:p w:rsidR="00412AFB" w:rsidRPr="00993936" w:rsidRDefault="00412AFB" w:rsidP="00412AFB">
      <w:pPr>
        <w:jc w:val="both"/>
        <w:rPr>
          <w:rFonts w:ascii="Arial" w:hAnsi="Arial" w:cs="Arial"/>
          <w:lang w:val="es-ES"/>
        </w:rPr>
      </w:pPr>
      <w:r w:rsidRPr="00993936">
        <w:rPr>
          <w:rFonts w:ascii="Arial" w:hAnsi="Arial" w:cs="Arial"/>
          <w:lang w:val="es-ES"/>
        </w:rPr>
        <w:t>7.3.4 Procurar no regar más tarde del estado fenológico de grano lechoso.</w:t>
      </w:r>
    </w:p>
    <w:p w:rsidR="00412AFB" w:rsidRPr="00993936" w:rsidRDefault="00412AFB" w:rsidP="00412AFB">
      <w:pPr>
        <w:jc w:val="both"/>
        <w:rPr>
          <w:rFonts w:ascii="Arial" w:hAnsi="Arial" w:cs="Arial"/>
          <w:lang w:val="es-ES"/>
        </w:rPr>
      </w:pPr>
      <w:r w:rsidRPr="00993936">
        <w:rPr>
          <w:rFonts w:ascii="Arial" w:hAnsi="Arial" w:cs="Arial"/>
          <w:lang w:val="es-ES"/>
        </w:rPr>
        <w:t xml:space="preserve">7.3.5 Para evaluar el estado del agua en el suelo, se recomienda disponer de algún tipo de control de la humedad de este (tensiómetros, sondas u otros). </w:t>
      </w:r>
    </w:p>
    <w:p w:rsidR="00412AFB" w:rsidRPr="00993936" w:rsidRDefault="00412AFB" w:rsidP="00412AFB">
      <w:pPr>
        <w:jc w:val="both"/>
        <w:rPr>
          <w:rFonts w:ascii="Arial" w:hAnsi="Arial" w:cs="Arial"/>
          <w:lang w:val="es-ES"/>
        </w:rPr>
      </w:pPr>
      <w:r w:rsidRPr="00993936">
        <w:rPr>
          <w:rFonts w:ascii="Arial" w:hAnsi="Arial" w:cs="Arial"/>
          <w:lang w:val="es-ES"/>
        </w:rPr>
        <w:t>7.3.6 Establecer un plan de gestión del agua que permita optimizar su uso y reducir las pérdidas.</w:t>
      </w: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7.3.7 Evitar el riego por gravedad en suelos de textura arenosa.</w:t>
      </w:r>
    </w:p>
    <w:p w:rsidR="00412AFB" w:rsidRPr="00993936" w:rsidRDefault="00412AFB" w:rsidP="00412AFB">
      <w:pPr>
        <w:jc w:val="both"/>
        <w:rPr>
          <w:rFonts w:ascii="Arial" w:hAnsi="Arial" w:cs="Arial"/>
          <w:lang w:val="es-ES"/>
        </w:rPr>
      </w:pPr>
      <w:r w:rsidRPr="00993936">
        <w:rPr>
          <w:rFonts w:ascii="Arial" w:hAnsi="Arial" w:cs="Arial"/>
          <w:lang w:val="es-ES"/>
        </w:rPr>
        <w:t xml:space="preserve">7.3.8 En caso de riego por aspersión y de peligro de salinización, considerar la fracción de lavado (del 6-15 %). </w:t>
      </w:r>
    </w:p>
    <w:p w:rsidR="00412AFB" w:rsidRPr="00993936" w:rsidRDefault="00412AFB" w:rsidP="00412AFB">
      <w:pPr>
        <w:jc w:val="both"/>
        <w:rPr>
          <w:rFonts w:ascii="Arial" w:hAnsi="Arial" w:cs="Arial"/>
          <w:lang w:val="es-ES"/>
        </w:rPr>
      </w:pPr>
      <w:r w:rsidRPr="00993936">
        <w:rPr>
          <w:rFonts w:ascii="Arial" w:hAnsi="Arial" w:cs="Arial"/>
          <w:lang w:val="es-ES"/>
        </w:rPr>
        <w:t>Artículo 8</w:t>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Control de malas hierbas</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8.1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8.1.1 Controlar las malas hierbas, siempre que sea posible, con medios físicos, mecánicos, biológicos o con aquellos que ofrezcan el menor riesgo de emisiones de CO</w:t>
      </w:r>
      <w:r w:rsidRPr="00993936">
        <w:rPr>
          <w:rFonts w:ascii="Arial" w:hAnsi="Arial" w:cs="Arial"/>
          <w:vertAlign w:val="subscript"/>
          <w:lang w:val="es-ES"/>
        </w:rPr>
        <w:t>2</w:t>
      </w:r>
      <w:r w:rsidRPr="00993936">
        <w:rPr>
          <w:rFonts w:ascii="Arial" w:hAnsi="Arial" w:cs="Arial"/>
          <w:lang w:val="es-ES"/>
        </w:rPr>
        <w:t xml:space="preserve">. Cuando los medios señalados anteriormente no permitan un control adecuado de las malas hierbas, podrá justificarse la aplicación de alguno de los herbicidas que figuran en el Anexo 1 de esta norma. </w:t>
      </w:r>
    </w:p>
    <w:p w:rsidR="00412AFB" w:rsidRPr="00993936" w:rsidRDefault="00412AFB" w:rsidP="00412AFB">
      <w:pPr>
        <w:jc w:val="both"/>
        <w:rPr>
          <w:rFonts w:ascii="Arial" w:hAnsi="Arial" w:cs="Arial"/>
          <w:lang w:val="es-ES"/>
        </w:rPr>
      </w:pPr>
      <w:r w:rsidRPr="00993936">
        <w:rPr>
          <w:rFonts w:ascii="Arial" w:hAnsi="Arial" w:cs="Arial"/>
          <w:lang w:val="es-ES"/>
        </w:rPr>
        <w:t>Excepcionalmente, cuando en el cultivo se detecten malas hierbas no habituales o cuyo umbral y/o criterio mínimo de intervención no se haya definido, podrá actuarse en contra con cualquier otro herbicida que esté expresamente autorizado en el Registro</w:t>
      </w:r>
      <w:r w:rsidR="008B63CC" w:rsidRPr="00993936">
        <w:rPr>
          <w:rFonts w:ascii="Arial" w:hAnsi="Arial" w:cs="Arial"/>
          <w:lang w:val="es-ES"/>
        </w:rPr>
        <w:t xml:space="preserve"> </w:t>
      </w:r>
      <w:r w:rsidRPr="00993936">
        <w:rPr>
          <w:rFonts w:ascii="Arial" w:hAnsi="Arial" w:cs="Arial"/>
          <w:lang w:val="es-ES"/>
        </w:rPr>
        <w:t>oficial de productos y material fitosanitario del Ministerio de Agricultura y Pesca, Alimentación y Medio Ambiente (MAPAMA) para este cultivo y para los usos oficialmente autorizados. Esta excepción también será de aplicación para aquellos herbicidas que aparezcan en el Registro, para combatir determinadas malas hierbas y que no estén previstas por su novedad en el Anexo de herbicidas de esta norma.</w:t>
      </w:r>
    </w:p>
    <w:p w:rsidR="00412AFB" w:rsidRPr="00993936" w:rsidRDefault="00412AFB" w:rsidP="00412AFB">
      <w:pPr>
        <w:jc w:val="both"/>
        <w:rPr>
          <w:rFonts w:ascii="Arial" w:hAnsi="Arial" w:cs="Arial"/>
          <w:lang w:val="es-ES"/>
        </w:rPr>
      </w:pPr>
      <w:r w:rsidRPr="00993936">
        <w:rPr>
          <w:rFonts w:ascii="Arial" w:hAnsi="Arial" w:cs="Arial"/>
          <w:lang w:val="es-ES"/>
        </w:rPr>
        <w:t xml:space="preserve">En caso de que sea necesaria la aplicación de herbicidas, se efectuará mediante las técnicas indicadas en la etiqueta del producto. </w:t>
      </w:r>
    </w:p>
    <w:p w:rsidR="00412AFB" w:rsidRPr="00993936" w:rsidRDefault="00412AFB" w:rsidP="00412AFB">
      <w:pPr>
        <w:pStyle w:val="Textoindependiente"/>
        <w:rPr>
          <w:rFonts w:cs="Arial"/>
          <w:szCs w:val="22"/>
          <w:lang w:val="es-ES"/>
        </w:rPr>
      </w:pPr>
      <w:r w:rsidRPr="00993936">
        <w:rPr>
          <w:rFonts w:cs="Arial"/>
          <w:szCs w:val="22"/>
          <w:lang w:val="es-ES"/>
        </w:rPr>
        <w:lastRenderedPageBreak/>
        <w:t xml:space="preserve">8.1.2 En el caso de utilizar herbicidas, no repetir una materia activa más de dos años seguidos, salvo casos excepcionales, debidamente justificados por el miembro del personal técnico responsable de producción integrada. </w:t>
      </w:r>
    </w:p>
    <w:p w:rsidR="00412AFB" w:rsidRPr="00993936" w:rsidRDefault="00412AFB" w:rsidP="00412AFB">
      <w:pPr>
        <w:jc w:val="both"/>
        <w:rPr>
          <w:rFonts w:ascii="Arial" w:hAnsi="Arial" w:cs="Arial"/>
          <w:lang w:val="es-ES"/>
        </w:rPr>
      </w:pPr>
      <w:r w:rsidRPr="00993936">
        <w:rPr>
          <w:rFonts w:ascii="Arial" w:hAnsi="Arial" w:cs="Arial"/>
          <w:lang w:val="es-ES"/>
        </w:rPr>
        <w:t>8.1.3. Utilizar las materias activas herbicidas de impacto ambiental más favorable.</w:t>
      </w:r>
    </w:p>
    <w:p w:rsidR="00412AFB" w:rsidRPr="00993936" w:rsidRDefault="00412AFB" w:rsidP="00412AFB">
      <w:pPr>
        <w:pStyle w:val="Textoindependiente"/>
        <w:rPr>
          <w:rFonts w:cs="Arial"/>
          <w:szCs w:val="22"/>
          <w:lang w:val="es-ES"/>
        </w:rPr>
      </w:pPr>
      <w:r w:rsidRPr="00993936">
        <w:rPr>
          <w:rFonts w:cs="Arial"/>
          <w:szCs w:val="22"/>
          <w:lang w:val="es-ES"/>
        </w:rPr>
        <w:t xml:space="preserve">8.1.4 Las materias activas que se utilizarán serán seleccionadas de acuerdo con los criterios de menor peligrosidad para los humanos, la fauna silvestre y el medio ambiente, y por proporcionar un control efectivo de las malas hierbas. </w:t>
      </w:r>
    </w:p>
    <w:p w:rsidR="00412AFB" w:rsidRPr="00993936" w:rsidRDefault="00412AFB" w:rsidP="00412AFB">
      <w:pPr>
        <w:jc w:val="both"/>
        <w:rPr>
          <w:rFonts w:ascii="Arial" w:hAnsi="Arial" w:cs="Arial"/>
          <w:lang w:val="es-ES"/>
        </w:rPr>
      </w:pPr>
      <w:r w:rsidRPr="00993936">
        <w:rPr>
          <w:rFonts w:ascii="Arial" w:hAnsi="Arial" w:cs="Arial"/>
          <w:lang w:val="es-ES"/>
        </w:rPr>
        <w:t>8.1.5 Adoptar las medidas precisas para evitar que la deriva de las aplicaciones llegue a parcelas y/o UHC diferentes a las que pretenden tratarse.</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8.2.1 Utilizar los herbicidas no relacionados en el Anexo 1 de esta norma técnica. </w:t>
      </w:r>
    </w:p>
    <w:p w:rsidR="00412AFB" w:rsidRPr="00993936" w:rsidRDefault="00412AFB" w:rsidP="00412AFB">
      <w:pPr>
        <w:rPr>
          <w:rFonts w:ascii="Arial" w:hAnsi="Arial" w:cs="Arial"/>
          <w:lang w:val="es-ES"/>
        </w:rPr>
      </w:pPr>
      <w:r w:rsidRPr="00993936">
        <w:rPr>
          <w:rFonts w:ascii="Arial" w:hAnsi="Arial" w:cs="Arial"/>
          <w:lang w:val="es-ES"/>
        </w:rPr>
        <w:t>8.2.2 Realizar tratamientos de herbicidas con velocidades de viento superiores a 1,5 m/s.</w:t>
      </w:r>
    </w:p>
    <w:p w:rsidR="00412AFB" w:rsidRPr="00993936" w:rsidRDefault="00412AFB" w:rsidP="00412AFB">
      <w:pPr>
        <w:rPr>
          <w:rFonts w:ascii="Arial" w:hAnsi="Arial" w:cs="Arial"/>
          <w:lang w:val="es-ES"/>
        </w:rPr>
      </w:pPr>
      <w:r w:rsidRPr="00993936">
        <w:rPr>
          <w:rFonts w:ascii="Arial" w:hAnsi="Arial" w:cs="Arial"/>
          <w:lang w:val="es-ES"/>
        </w:rPr>
        <w:t>8.2.3. La utilización de herbicidas residuales en los suelos arenosos.</w:t>
      </w:r>
    </w:p>
    <w:p w:rsidR="00412AFB" w:rsidRPr="00993936" w:rsidRDefault="00412AFB" w:rsidP="00412AFB">
      <w:pPr>
        <w:jc w:val="both"/>
        <w:rPr>
          <w:rFonts w:ascii="Arial" w:hAnsi="Arial" w:cs="Arial"/>
          <w:lang w:val="es-ES"/>
        </w:rPr>
      </w:pPr>
      <w:r w:rsidRPr="00993936">
        <w:rPr>
          <w:rFonts w:ascii="Arial" w:hAnsi="Arial" w:cs="Arial"/>
          <w:lang w:val="es-ES"/>
        </w:rPr>
        <w:t>8.2.4 Tratar con herbicidas a menos de 5 m de las aguas superficiales. 8.2.5 Utilizar cualquier herbicida que, a pesar de figurar en el Anexo 1 de esta norma, se haya dado de baja del Registro oficial de productos y de material fitosanitario del Ministerio de Agricultura, Pesca, Alimentación y Medio Ambiente, (MAPAMA) con posterioridad a la publicación de la disposición que lo aprueba o que haya perdido la autorización de uso correspondiente.</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8.3.1 El control de malas hierbas se hará preferentemente mediante la adopción de medidas preventivas antes de la implantación del cultivo y la aplicación de métodos mecánicos y físicos mientras dure este.</w:t>
      </w:r>
    </w:p>
    <w:p w:rsidR="00412AFB" w:rsidRPr="00993936" w:rsidRDefault="00412AFB" w:rsidP="00412AFB">
      <w:pPr>
        <w:jc w:val="both"/>
        <w:rPr>
          <w:rFonts w:ascii="Arial" w:hAnsi="Arial" w:cs="Arial"/>
          <w:lang w:val="es-ES"/>
        </w:rPr>
      </w:pPr>
      <w:r w:rsidRPr="00993936">
        <w:rPr>
          <w:rFonts w:ascii="Arial" w:hAnsi="Arial" w:cs="Arial"/>
          <w:lang w:val="es-ES"/>
        </w:rPr>
        <w:t>8.3.2. En campos muy infestados de malezas, retrasar lo máximo posible la fecha de siembra aprovechando el nacimiento de las malas hierbas para controlarlas.</w:t>
      </w:r>
    </w:p>
    <w:p w:rsidR="00412AFB" w:rsidRPr="00993936" w:rsidRDefault="00412AFB" w:rsidP="00412AFB">
      <w:pPr>
        <w:pStyle w:val="Textoindependiente"/>
        <w:rPr>
          <w:rFonts w:cs="Arial"/>
          <w:szCs w:val="22"/>
          <w:lang w:val="es-ES"/>
        </w:rPr>
      </w:pPr>
      <w:r w:rsidRPr="00993936">
        <w:rPr>
          <w:rFonts w:cs="Arial"/>
          <w:szCs w:val="22"/>
          <w:lang w:val="es-ES"/>
        </w:rPr>
        <w:t>8.3.3 Si se utilizan herbicidas, se aplicarán preferentemente en el momento en que la mala hierba sea más sensible para utilizar el mínimo de producto posible; asimismo, hay que procurar combinarlos con métodos mecánicos de control.</w:t>
      </w:r>
    </w:p>
    <w:p w:rsidR="00412AFB" w:rsidRPr="00993936" w:rsidRDefault="00412AFB" w:rsidP="00412AFB">
      <w:pPr>
        <w:pStyle w:val="Textoindependiente"/>
        <w:rPr>
          <w:rFonts w:cs="Arial"/>
          <w:szCs w:val="22"/>
          <w:lang w:val="es-ES"/>
        </w:rPr>
      </w:pPr>
      <w:r w:rsidRPr="00993936">
        <w:rPr>
          <w:rFonts w:cs="Arial"/>
          <w:szCs w:val="22"/>
          <w:lang w:val="es-ES"/>
        </w:rPr>
        <w:t>8.3.4. Adecuar la dosis de aplicación a la especie de mala hierba que se quiera controlar, al tipo de suelo donde se aplique y a las condiciones climáticas en que se realice el tratamiento.</w:t>
      </w:r>
    </w:p>
    <w:p w:rsidR="00412AFB" w:rsidRPr="00993936" w:rsidRDefault="00412AFB" w:rsidP="00412AFB">
      <w:pPr>
        <w:pStyle w:val="Textoindependiente"/>
        <w:rPr>
          <w:rFonts w:cs="Arial"/>
          <w:szCs w:val="22"/>
          <w:lang w:val="es-ES"/>
        </w:rPr>
      </w:pPr>
      <w:r w:rsidRPr="00993936">
        <w:rPr>
          <w:rFonts w:cs="Arial"/>
          <w:szCs w:val="22"/>
          <w:lang w:val="es-ES"/>
        </w:rPr>
        <w:t>8.3.5. Evitar al máximo las mezclas de materias activas herbicidas.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8.3.6. Alternar el uso de materias activas herbicidas pertenecientes a grupos diferentes de la clasificación CPRH (Comité para la Prevención de la Resistencia a Herbicidas) tan a menudo como se pueda.</w:t>
      </w:r>
    </w:p>
    <w:p w:rsidR="00412AFB" w:rsidRPr="00993936" w:rsidRDefault="00412AFB" w:rsidP="00412AFB">
      <w:pPr>
        <w:jc w:val="both"/>
        <w:outlineLvl w:val="0"/>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9</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 xml:space="preserve">Control integrado de plagas y enfermedades </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9.1 </w:t>
      </w:r>
      <w:r w:rsidRPr="00993936">
        <w:rPr>
          <w:rFonts w:ascii="Arial" w:hAnsi="Arial" w:cs="Arial"/>
          <w:i/>
          <w:lang w:val="es-ES"/>
        </w:rPr>
        <w:t>Obligaciones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 xml:space="preserve">9.1.1 En el control de plagas y enfermedades, tendrán prioridad los métodos de lucha siguientes: </w:t>
      </w:r>
    </w:p>
    <w:p w:rsidR="00412AFB" w:rsidRPr="00993936" w:rsidRDefault="00412AFB" w:rsidP="00412AFB">
      <w:pPr>
        <w:numPr>
          <w:ilvl w:val="0"/>
          <w:numId w:val="2"/>
        </w:numPr>
        <w:tabs>
          <w:tab w:val="left" w:pos="1065"/>
        </w:tabs>
        <w:autoSpaceDE w:val="0"/>
        <w:autoSpaceDN w:val="0"/>
        <w:adjustRightInd w:val="0"/>
        <w:spacing w:after="0" w:line="240" w:lineRule="auto"/>
        <w:jc w:val="both"/>
        <w:rPr>
          <w:rFonts w:ascii="Arial" w:hAnsi="Arial" w:cs="Arial"/>
          <w:lang w:val="es-ES"/>
        </w:rPr>
      </w:pPr>
      <w:r w:rsidRPr="00993936">
        <w:rPr>
          <w:rFonts w:ascii="Arial" w:hAnsi="Arial" w:cs="Arial"/>
          <w:lang w:val="es-ES"/>
        </w:rPr>
        <w:lastRenderedPageBreak/>
        <w:t>Culturales: rotación de cultivos, trabajo del suelo, eliminación de focos de infección, fertilización equilibrada, fecha de siembra y control del riego.</w:t>
      </w:r>
    </w:p>
    <w:p w:rsidR="00412AFB" w:rsidRPr="00993936" w:rsidRDefault="00412AFB" w:rsidP="00412AFB">
      <w:pPr>
        <w:numPr>
          <w:ilvl w:val="0"/>
          <w:numId w:val="2"/>
        </w:numPr>
        <w:tabs>
          <w:tab w:val="left" w:pos="1065"/>
        </w:tabs>
        <w:autoSpaceDE w:val="0"/>
        <w:autoSpaceDN w:val="0"/>
        <w:adjustRightInd w:val="0"/>
        <w:spacing w:after="0" w:line="240" w:lineRule="auto"/>
        <w:jc w:val="both"/>
        <w:rPr>
          <w:rFonts w:ascii="Arial" w:hAnsi="Arial" w:cs="Arial"/>
          <w:lang w:val="es-ES"/>
        </w:rPr>
      </w:pPr>
      <w:r w:rsidRPr="00993936">
        <w:rPr>
          <w:rFonts w:ascii="Arial" w:hAnsi="Arial" w:cs="Arial"/>
          <w:lang w:val="es-ES"/>
        </w:rPr>
        <w:t>Biológicos: uso de biopesticidas.</w:t>
      </w:r>
    </w:p>
    <w:p w:rsidR="00412AFB" w:rsidRPr="00993936" w:rsidRDefault="00412AFB" w:rsidP="00412AFB">
      <w:pPr>
        <w:numPr>
          <w:ilvl w:val="0"/>
          <w:numId w:val="2"/>
        </w:numPr>
        <w:tabs>
          <w:tab w:val="left" w:pos="1065"/>
        </w:tabs>
        <w:autoSpaceDE w:val="0"/>
        <w:autoSpaceDN w:val="0"/>
        <w:adjustRightInd w:val="0"/>
        <w:spacing w:after="0" w:line="240" w:lineRule="auto"/>
        <w:jc w:val="both"/>
        <w:rPr>
          <w:rFonts w:ascii="Arial" w:hAnsi="Arial" w:cs="Arial"/>
          <w:lang w:val="es-ES"/>
        </w:rPr>
      </w:pPr>
      <w:r w:rsidRPr="00993936">
        <w:rPr>
          <w:rFonts w:ascii="Arial" w:hAnsi="Arial" w:cs="Arial"/>
          <w:lang w:val="es-ES"/>
        </w:rPr>
        <w:t>Biotecnológicos: Atrayentes sexuales para combatirlas mediante confusión sexual y capturas masivas de adultos, o bien mediante el uso de otro tipo de atrayentes.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La utilización de productos fitosanitarios de síntesis solo se permitirá cuando no sean aplicables los métodos señalados anteriormente y cuando se superen los niveles de tolerancia descritos en el punto 9.1.3.</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 xml:space="preserve">9.1.2 La estimación del riesgo en cada parcela se hará a través de: </w:t>
      </w:r>
      <w:r w:rsidRPr="00993936">
        <w:rPr>
          <w:rFonts w:ascii="Arial" w:hAnsi="Arial" w:cs="Arial"/>
          <w:i/>
          <w:lang w:val="es-ES"/>
        </w:rPr>
        <w:t xml:space="preserve">a) </w:t>
      </w:r>
      <w:r w:rsidRPr="00993936">
        <w:rPr>
          <w:rFonts w:ascii="Arial" w:hAnsi="Arial" w:cs="Arial"/>
          <w:lang w:val="es-ES"/>
        </w:rPr>
        <w:t xml:space="preserve">Plagas: evaluaciones de los niveles de población o intensidad de afectación, estado de desarrollo y fauna útil; </w:t>
      </w:r>
      <w:r w:rsidRPr="00993936">
        <w:rPr>
          <w:rFonts w:ascii="Arial" w:hAnsi="Arial" w:cs="Arial"/>
          <w:i/>
          <w:lang w:val="es-ES"/>
        </w:rPr>
        <w:t xml:space="preserve">b) </w:t>
      </w:r>
      <w:r w:rsidRPr="00993936">
        <w:rPr>
          <w:rFonts w:ascii="Arial" w:hAnsi="Arial" w:cs="Arial"/>
          <w:lang w:val="es-ES"/>
        </w:rPr>
        <w:t xml:space="preserve">Enfermedades: intensidad de afectación mediante la evaluación de la cantidad de enfermedad en la planta o bien el órgano afectado, examinando una muestra por unidad de control; </w:t>
      </w:r>
      <w:r w:rsidRPr="00993936">
        <w:rPr>
          <w:rFonts w:ascii="Arial" w:hAnsi="Arial" w:cs="Arial"/>
          <w:i/>
          <w:lang w:val="es-ES"/>
        </w:rPr>
        <w:t xml:space="preserve">c) </w:t>
      </w:r>
      <w:r w:rsidRPr="00993936">
        <w:rPr>
          <w:rFonts w:ascii="Arial" w:hAnsi="Arial" w:cs="Arial"/>
          <w:lang w:val="es-ES"/>
        </w:rPr>
        <w:t>Antecedentes fitosanitarios del cultivo anterior elaborados a partir de un balance de la intensidad de la enfermedad al final del ciclo de cultivo o bien del nivel poblacional de los insectos o ácaros que pueden constituir plaga.</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En todos los casos se tendrán en cuenta la fenología del cultivo y las condiciones climáticas.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9.1.3 La aplicación de medidas directas de control de plagas y enfermedades solo se efectuará cuando se superen los umbrales definidos en los anexos de control integrado de plagas y enfermedades. Cuando la plaga o enfermedad existente en el cultivo no esté descrita en el citado anexo, se actuará de acuerdo con lo que se fija el artículo 9.2.9.</w:t>
      </w:r>
    </w:p>
    <w:p w:rsidR="00412AFB" w:rsidRPr="00993936" w:rsidRDefault="00412AFB" w:rsidP="00412AFB">
      <w:pPr>
        <w:jc w:val="both"/>
        <w:rPr>
          <w:rFonts w:ascii="Arial" w:hAnsi="Arial" w:cs="Arial"/>
          <w:lang w:val="es-ES"/>
        </w:rPr>
      </w:pPr>
      <w:r w:rsidRPr="00993936">
        <w:rPr>
          <w:rFonts w:ascii="Arial" w:hAnsi="Arial" w:cs="Arial"/>
          <w:lang w:val="es-ES"/>
        </w:rPr>
        <w:t>9.1.4 En caso de que sea necesaria una intervención con productos fitosanitarios, las sustancias activas que hay que utilizar serán seleccionadas conforme a los criterios de menor peligrosidad para los humanos, la fauna y el medio ambiente; la efectividad en el control de la plaga, o la enfermedad; la selectividad (debe evitarse la toxicidad para los polinizadores y los enemigos naturales); los residuos y el riesgo de aparición de poblaciones resistentes. En cualquier caso, solo podrán utilizarse productos fitosanitarios inscritos en el Registro oficial de productos y material fitosanitario de España y que estén aprobados expresamente para los cultivos y los usos autorizados y de acuerdo con las instrucciones y/o restricciones que figuran en el Anexo 2 de esta norma.</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9.1.5 En caso de emplear para el control de plagas y enfermedades formulados comerciales a base de mezclas de sustancias activas, dada la gran cantidad existente, se consideran admitidas en producción integrada de cereales de verano, aunque no estén expresamente definidas el Anexo 2 de esta norma, todas las mezclas de formulados que incorporen dos o más sustancias activas incluidas en el mencionado anexo, siempre que la mezcla comercial esté autorizada en el Registro oficial de productos y material fitosanitario para el cultivo y para los usos oficialmente autorizados.</w:t>
      </w:r>
    </w:p>
    <w:p w:rsidR="00412AFB" w:rsidRPr="00993936" w:rsidRDefault="00412AFB" w:rsidP="00412AFB">
      <w:pPr>
        <w:jc w:val="both"/>
        <w:rPr>
          <w:rFonts w:ascii="Arial" w:hAnsi="Arial" w:cs="Arial"/>
          <w:lang w:val="es-ES"/>
        </w:rPr>
      </w:pPr>
      <w:r w:rsidRPr="00993936">
        <w:rPr>
          <w:rFonts w:ascii="Arial" w:hAnsi="Arial" w:cs="Arial"/>
          <w:lang w:val="es-ES"/>
        </w:rPr>
        <w:t>No podrán utilizarse los formulados a base de mezclas de sustancias activas que tengan alguna sustancia no dirigida contra una determinada plaga y/o enfermedad, salvo en las ocasiones en que se justifique el tratamiento simultáneo contra varios organismos nocivos.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9.1.6 Para evitar riesgos a los operarios, los consumidores y el medio ambiente, el uso y la aplicación de productos fitosanitarios se llevará a cabo respetando siempre las indicaciones reflejadas en las etiquetas correspondientes de los productos y siguiendo las recomendaciones y/o instrucciones dictadas por el responsable técnico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9.1.7 Deberán registrarse en el cuaderno de explotación todas las aplicaciones de productos químicos indicando, como mínimo la fecha, el producto, la sustancia activa, la cantidad y el volumen utilizado; estas aplicaciones deberán ser revisadas a posteriori por el miembro del personal técnico responsable de producción integrada, cuya conformidad figurará en dicho cuaderno.</w:t>
      </w:r>
    </w:p>
    <w:p w:rsidR="00412AFB" w:rsidRPr="00993936" w:rsidRDefault="00412AFB" w:rsidP="00412AFB">
      <w:pPr>
        <w:jc w:val="both"/>
        <w:rPr>
          <w:rFonts w:ascii="Arial" w:hAnsi="Arial" w:cs="Arial"/>
          <w:lang w:val="es-ES"/>
        </w:rPr>
      </w:pPr>
      <w:r w:rsidRPr="00993936">
        <w:rPr>
          <w:rFonts w:ascii="Arial" w:hAnsi="Arial" w:cs="Arial"/>
          <w:lang w:val="es-ES"/>
        </w:rPr>
        <w:t>9.1.8 Cuando se mezclen fitosanitarios, habrá que seguir los procedimientos adecuados para el manejo y la carga, según se indique en las instrucciones de la etiqueta del producto.</w:t>
      </w:r>
    </w:p>
    <w:p w:rsidR="00412AFB" w:rsidRPr="00993936" w:rsidRDefault="00412AFB" w:rsidP="00412AFB">
      <w:pPr>
        <w:pStyle w:val="Textoindependiente"/>
        <w:rPr>
          <w:rFonts w:cs="Arial"/>
          <w:szCs w:val="22"/>
          <w:lang w:val="es-ES"/>
        </w:rPr>
      </w:pPr>
      <w:r w:rsidRPr="00993936">
        <w:rPr>
          <w:rFonts w:cs="Arial"/>
          <w:szCs w:val="22"/>
          <w:lang w:val="es-ES"/>
        </w:rPr>
        <w:t>9.1.9 Con el fin de disminuir la contaminación que provenga de los restos de fitosanitarios que quedan en los envases, se realizará un triple lavado. El agua de este lavado se añadirá al tanque de aplicación.</w:t>
      </w:r>
    </w:p>
    <w:p w:rsidR="00412AFB" w:rsidRPr="00993936" w:rsidRDefault="00412AFB" w:rsidP="00412AFB">
      <w:pPr>
        <w:pStyle w:val="Textoindependiente"/>
        <w:rPr>
          <w:rFonts w:cs="Arial"/>
          <w:szCs w:val="22"/>
          <w:lang w:val="es-ES"/>
        </w:rPr>
      </w:pPr>
      <w:r w:rsidRPr="00993936">
        <w:rPr>
          <w:rFonts w:cs="Arial"/>
          <w:szCs w:val="22"/>
          <w:lang w:val="es-ES"/>
        </w:rPr>
        <w:t>9.1.10 La presencia de residuos debe minimizarse mediante la máxima ampliación posible de los plazos de seguridad.</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9.1.11 Deberá protegerse la fauna auxiliar en general y, en particular, al menos, dos especies cuya protección y aumento de sus poblaciones se consideran prioritarios para los cultivos de forrajes.</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Las especies de fauna auxiliar que pueden protegerse para los cultivos de forrajes son las siguientes:</w:t>
      </w:r>
    </w:p>
    <w:p w:rsidR="00412AFB" w:rsidRPr="00993936" w:rsidRDefault="00412AFB" w:rsidP="00412AFB">
      <w:pPr>
        <w:autoSpaceDE w:val="0"/>
        <w:autoSpaceDN w:val="0"/>
        <w:adjustRightInd w:val="0"/>
        <w:jc w:val="both"/>
        <w:rPr>
          <w:rFonts w:ascii="Arial" w:hAnsi="Arial" w:cs="Arial"/>
          <w:i/>
          <w:lang w:val="es-ES"/>
        </w:rPr>
      </w:pPr>
      <w:r w:rsidRPr="00993936">
        <w:rPr>
          <w:rFonts w:ascii="Arial" w:hAnsi="Arial" w:cs="Arial"/>
          <w:i/>
          <w:lang w:val="es-ES"/>
        </w:rPr>
        <w:t xml:space="preserve">Coccinela septempunctata, Hippodamia variegat, Scymnus spp., Propylea quatuordecimpunctata, Crhysoperla spp., Stethorus punctillum, Adonia variegata, Episyrphus balteatus, Aphidoletes aphidimyza, Araneae, Allothrombium sp., Lydella Thompsoni, Aphidiidae, Bathyplectes curculionis, Apanteles sp., Entomophthorales. (Revisado según la </w:t>
      </w:r>
      <w:r w:rsidRPr="00993936">
        <w:rPr>
          <w:rFonts w:ascii="Arial" w:hAnsi="Arial" w:cs="Arial"/>
          <w:lang w:val="es-ES"/>
        </w:rPr>
        <w:t>Guía de los enemigos naturales en diferentes cultivos en Cataluña-DARP</w:t>
      </w:r>
      <w:r w:rsidRPr="00993936">
        <w:rPr>
          <w:rFonts w:ascii="Arial" w:hAnsi="Arial" w:cs="Arial"/>
          <w:i/>
          <w:lang w:val="es-ES"/>
        </w:rPr>
        <w:t>).</w:t>
      </w:r>
    </w:p>
    <w:p w:rsidR="00412AFB" w:rsidRPr="00993936" w:rsidRDefault="00412AFB" w:rsidP="00412AFB">
      <w:pPr>
        <w:pStyle w:val="Textoindependiente"/>
        <w:rPr>
          <w:rFonts w:cs="Arial"/>
          <w:szCs w:val="22"/>
          <w:lang w:val="es-ES"/>
        </w:rPr>
      </w:pPr>
      <w:r w:rsidRPr="00993936">
        <w:rPr>
          <w:rFonts w:cs="Arial"/>
          <w:szCs w:val="22"/>
          <w:lang w:val="es-ES"/>
        </w:rPr>
        <w:t>9.1.12 El aplicador de productos fitosanitarios deberá estar cualificado específicamente, por lo que habrá de justificar que dispone de la acreditación del carné básico de aplicador de productos fitosanitarios o el carné cualificado, en caso de que le sea obligatorio de acuerdo con lo establecido en el Real Decreto 1311/2012.</w:t>
      </w:r>
    </w:p>
    <w:p w:rsidR="00412AFB" w:rsidRPr="00993936" w:rsidRDefault="00412AFB" w:rsidP="00412AFB">
      <w:pPr>
        <w:pStyle w:val="Textoindependiente"/>
        <w:autoSpaceDE w:val="0"/>
        <w:autoSpaceDN w:val="0"/>
        <w:adjustRightInd w:val="0"/>
        <w:rPr>
          <w:rFonts w:cs="Arial"/>
          <w:szCs w:val="22"/>
          <w:lang w:val="es-ES"/>
        </w:rPr>
      </w:pPr>
    </w:p>
    <w:p w:rsidR="00412AFB" w:rsidRPr="00993936" w:rsidRDefault="00412AFB" w:rsidP="00412AFB">
      <w:pPr>
        <w:pStyle w:val="Textoindependiente"/>
        <w:autoSpaceDE w:val="0"/>
        <w:autoSpaceDN w:val="0"/>
        <w:adjustRightInd w:val="0"/>
        <w:rPr>
          <w:rFonts w:cs="Arial"/>
          <w:szCs w:val="22"/>
          <w:lang w:val="es-ES"/>
        </w:rPr>
      </w:pPr>
    </w:p>
    <w:p w:rsidR="00412AFB" w:rsidRPr="00993936" w:rsidRDefault="00412AFB" w:rsidP="00412AFB">
      <w:pPr>
        <w:pStyle w:val="Textoindependiente"/>
        <w:autoSpaceDE w:val="0"/>
        <w:autoSpaceDN w:val="0"/>
        <w:adjustRightInd w:val="0"/>
        <w:rPr>
          <w:rFonts w:cs="Arial"/>
          <w:szCs w:val="22"/>
          <w:lang w:val="es-ES"/>
        </w:rPr>
      </w:pPr>
      <w:r w:rsidRPr="00993936">
        <w:rPr>
          <w:rFonts w:cs="Arial"/>
          <w:szCs w:val="22"/>
          <w:lang w:val="es-ES"/>
        </w:rPr>
        <w:t>9.</w:t>
      </w:r>
      <w:r w:rsidR="00D74508" w:rsidRPr="00993936">
        <w:rPr>
          <w:rFonts w:cs="Arial"/>
          <w:szCs w:val="22"/>
          <w:lang w:val="es-ES"/>
        </w:rPr>
        <w:t>1.</w:t>
      </w:r>
      <w:r w:rsidRPr="00993936">
        <w:rPr>
          <w:rFonts w:cs="Arial"/>
          <w:szCs w:val="22"/>
          <w:lang w:val="es-ES"/>
        </w:rPr>
        <w:t xml:space="preserve">13 La maquinaria utilizada para aplicar los productos fitosanitarios debe mantenerse en un adecuado estado de funcionamiento y someterse periódicamente a los controles e inspecciones que establece el artículo 15 de esta norma.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9.</w:t>
      </w:r>
      <w:r w:rsidR="00D74508" w:rsidRPr="00993936">
        <w:rPr>
          <w:rFonts w:ascii="Arial" w:hAnsi="Arial" w:cs="Arial"/>
          <w:sz w:val="22"/>
          <w:szCs w:val="22"/>
          <w:lang w:val="es-ES"/>
        </w:rPr>
        <w:t>1.</w:t>
      </w:r>
      <w:r w:rsidRPr="00993936">
        <w:rPr>
          <w:rFonts w:ascii="Arial" w:hAnsi="Arial" w:cs="Arial"/>
          <w:sz w:val="22"/>
          <w:szCs w:val="22"/>
          <w:lang w:val="es-ES"/>
        </w:rPr>
        <w:t>14 En caso de tratamientos fitosanitarios y con el objeto de obtener la máxima eficacia con la menor dosis posible, deben ajustarse las concentraciones de los productos, los volúmenes máximos de caldo y el caudal de aire, para evitar las sobredosificaciones y procurar que las aplicaciones no lleguen a una parcela y/o UHC diferente de la que pretende tratarse; asimismo, ha de tenerse en cuenta el estado fenológico del cultivo.</w:t>
      </w:r>
      <w:r w:rsidR="00E03B3B" w:rsidRPr="00993936">
        <w:rPr>
          <w:rFonts w:ascii="Arial" w:hAnsi="Arial" w:cs="Arial"/>
          <w:sz w:val="22"/>
          <w:szCs w:val="22"/>
          <w:lang w:val="es-ES"/>
        </w:rPr>
        <w:t xml:space="preserve">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9.1.15 Reducir el área tratada a focos o rodales con tratamientos químicos siempre que la plaga o enfermedad se encuentre bastante localizada y sea posible.</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 xml:space="preserve">9.1.16 Los volúmenes máximos de caldo en los tratamientos fitosanitarios se ajustarán a parámetros precisos, teniendo en cuenta el estado fenológico del cultivo para </w:t>
      </w:r>
      <w:r w:rsidRPr="00993936">
        <w:rPr>
          <w:rFonts w:ascii="Arial" w:hAnsi="Arial" w:cs="Arial"/>
          <w:lang w:val="es-ES"/>
        </w:rPr>
        <w:lastRenderedPageBreak/>
        <w:t>obtener la máxima eficacia con la menor dosis posible recomendada por el Registro oficial de productos y material fitosanitario.</w:t>
      </w:r>
    </w:p>
    <w:p w:rsidR="00412AFB" w:rsidRPr="00993936" w:rsidRDefault="00412AFB" w:rsidP="00412AFB">
      <w:pPr>
        <w:pStyle w:val="Estndar"/>
        <w:autoSpaceDE w:val="0"/>
        <w:autoSpaceDN w:val="0"/>
        <w:adjustRightInd w:val="0"/>
        <w:rPr>
          <w:rFonts w:ascii="Arial" w:hAnsi="Arial" w:cs="Arial"/>
          <w:snapToGrid/>
          <w:color w:val="auto"/>
          <w:szCs w:val="22"/>
        </w:rPr>
      </w:pPr>
      <w:r w:rsidRPr="00993936">
        <w:rPr>
          <w:rFonts w:ascii="Arial" w:hAnsi="Arial" w:cs="Arial"/>
          <w:snapToGrid/>
          <w:color w:val="auto"/>
          <w:szCs w:val="22"/>
        </w:rPr>
        <w:t>Además de las normas aquí establecidas, en todo caso se tendrán en cuenta para todos los cultivos los «Principios de buenas prácticas fitosanitarias» establecidas por la Organización Europea y Mediterránea para la Protección de las Plantas (OEPP/EPPO) y las directivas de dicha organización sobre la buena práctica fitosanitaria específicas para cada cultivo cuando estas directivas existan.</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9.2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9.2.1 Liberar enemigos naturales no presentes en la fauna española o cuya introducción esté prohibida por la legislación correspondiente, salvo autorización expresa de la dirección general competente en materia de agricultura.</w:t>
      </w:r>
    </w:p>
    <w:p w:rsidR="00412AFB" w:rsidRPr="00993936" w:rsidRDefault="00412AFB" w:rsidP="00412AFB">
      <w:pPr>
        <w:jc w:val="both"/>
        <w:rPr>
          <w:rFonts w:ascii="Arial" w:hAnsi="Arial" w:cs="Arial"/>
          <w:lang w:val="es-ES"/>
        </w:rPr>
      </w:pPr>
      <w:r w:rsidRPr="00993936">
        <w:rPr>
          <w:rFonts w:ascii="Arial" w:hAnsi="Arial" w:cs="Arial"/>
          <w:lang w:val="es-ES"/>
        </w:rPr>
        <w:t>9.2.2 Utilizar calendarios de tratamientos y realizar aplicaciones indiscriminadas sin la prescripción técnica.</w:t>
      </w:r>
    </w:p>
    <w:p w:rsidR="00412AFB" w:rsidRPr="00993936" w:rsidRDefault="00412AFB" w:rsidP="00412AFB">
      <w:pPr>
        <w:jc w:val="both"/>
        <w:rPr>
          <w:rFonts w:ascii="Arial" w:hAnsi="Arial" w:cs="Arial"/>
          <w:lang w:val="es-ES"/>
        </w:rPr>
      </w:pPr>
      <w:r w:rsidRPr="00993936">
        <w:rPr>
          <w:rFonts w:ascii="Arial" w:hAnsi="Arial" w:cs="Arial"/>
          <w:lang w:val="es-ES"/>
        </w:rPr>
        <w:t>9.2.3 Abandonar el control fitosanitario antes de finalizar el periodo vegetativo del cultivo, excepto en casos de fuerza mayor reconocidos por la dirección general competente en materia de agricultura.</w:t>
      </w:r>
    </w:p>
    <w:p w:rsidR="00412AFB" w:rsidRPr="00993936" w:rsidRDefault="00412AFB" w:rsidP="00412AFB">
      <w:pPr>
        <w:pStyle w:val="Textoindependiente"/>
        <w:rPr>
          <w:rFonts w:cs="Arial"/>
          <w:szCs w:val="22"/>
          <w:lang w:val="es-ES"/>
        </w:rPr>
      </w:pPr>
      <w:r w:rsidRPr="00993936">
        <w:rPr>
          <w:rFonts w:cs="Arial"/>
          <w:szCs w:val="22"/>
          <w:lang w:val="es-ES"/>
        </w:rPr>
        <w:t>9.2.4 Emplear de manera sistemática y reiterada, productos fitosanitarios no selectivos, de larga persistencia, alta volatilidad, lixiviables o con otras características negativas.</w:t>
      </w:r>
    </w:p>
    <w:p w:rsidR="00C03DD4" w:rsidRPr="00993936" w:rsidRDefault="00412AFB" w:rsidP="00412AFB">
      <w:pPr>
        <w:jc w:val="both"/>
        <w:rPr>
          <w:rFonts w:ascii="Arial" w:hAnsi="Arial" w:cs="Arial"/>
          <w:lang w:val="es-ES"/>
        </w:rPr>
      </w:pPr>
      <w:r w:rsidRPr="00993936">
        <w:rPr>
          <w:rFonts w:ascii="Arial" w:hAnsi="Arial" w:cs="Arial"/>
          <w:lang w:val="es-ES"/>
        </w:rPr>
        <w:t xml:space="preserve">9.2.5 Utilizar productos fitosanitarios a menos de 5 m de las aguas superficiales. </w:t>
      </w:r>
    </w:p>
    <w:p w:rsidR="00412AFB" w:rsidRPr="00993936" w:rsidRDefault="00412AFB" w:rsidP="00412AFB">
      <w:pPr>
        <w:jc w:val="both"/>
        <w:rPr>
          <w:rFonts w:ascii="Arial" w:hAnsi="Arial" w:cs="Arial"/>
          <w:lang w:val="es-ES"/>
        </w:rPr>
      </w:pPr>
      <w:r w:rsidRPr="00993936">
        <w:rPr>
          <w:rFonts w:ascii="Arial" w:hAnsi="Arial" w:cs="Arial"/>
          <w:lang w:val="es-ES"/>
        </w:rPr>
        <w:t>9.2.6 Realizar aplicaciones de productos fitosanitarios en condiciones meteorológicamente desfavorables para evitar la deriva de los productos.</w:t>
      </w:r>
    </w:p>
    <w:p w:rsidR="00412AFB" w:rsidRPr="00993936" w:rsidRDefault="00412AFB" w:rsidP="00412AFB">
      <w:pPr>
        <w:pStyle w:val="Textoindependiente"/>
        <w:rPr>
          <w:rFonts w:cs="Arial"/>
          <w:szCs w:val="22"/>
          <w:lang w:val="es-ES"/>
        </w:rPr>
      </w:pPr>
      <w:r w:rsidRPr="00993936">
        <w:rPr>
          <w:rFonts w:cs="Arial"/>
          <w:szCs w:val="22"/>
          <w:lang w:val="es-ES"/>
        </w:rPr>
        <w:t>9.2.7 El vertido, al agua y/o en zonas muy próximas, de productos agroquímicos sobrantes y de los líquidos procedentes de la limpieza de la maquinaria de tratamientos.</w:t>
      </w:r>
    </w:p>
    <w:p w:rsidR="00412AFB" w:rsidRPr="00993936" w:rsidRDefault="00412AFB" w:rsidP="00412AFB">
      <w:pPr>
        <w:jc w:val="both"/>
        <w:rPr>
          <w:rFonts w:ascii="Arial" w:hAnsi="Arial" w:cs="Arial"/>
          <w:lang w:val="es-ES"/>
        </w:rPr>
      </w:pPr>
      <w:r w:rsidRPr="00993936">
        <w:rPr>
          <w:rFonts w:ascii="Arial" w:hAnsi="Arial" w:cs="Arial"/>
          <w:lang w:val="es-ES"/>
        </w:rPr>
        <w:t>9.2.8 Utilizar cualquier producto autorizado por estas normas técnicas que sea dado de baja del Registro oficial de productos y material fitosanitario del Ministerio de Agricultura, Pesca, Alimentación y Medio Ambiente (MAPAMA) con posterioridad a la publicación de la disposición que lo aprueba.</w:t>
      </w:r>
    </w:p>
    <w:p w:rsidR="00412AFB" w:rsidRPr="00993936" w:rsidRDefault="00412AFB" w:rsidP="00412AFB">
      <w:pPr>
        <w:jc w:val="both"/>
        <w:rPr>
          <w:rFonts w:ascii="Arial" w:hAnsi="Arial" w:cs="Arial"/>
          <w:lang w:val="es-ES"/>
        </w:rPr>
      </w:pPr>
      <w:r w:rsidRPr="00993936">
        <w:rPr>
          <w:rFonts w:ascii="Arial" w:hAnsi="Arial" w:cs="Arial"/>
          <w:lang w:val="es-ES"/>
        </w:rPr>
        <w:t>9.2.9 Utilizar materias activas no incluidas en el Anexo 2 de esta norma técnica. Esta prohibición no es aplicable a las materias activas que tengan una autorización de uso excepcional vigente o a aquellas que aparezcan en el Registro oficial de productos y material fitosanitario, autorizadas para combatir determinadas plagas y/o enfermedades, que no estén contempladas por su novedad en los anexos de fitosanitarios de esta norma.</w:t>
      </w:r>
    </w:p>
    <w:p w:rsidR="00412AFB" w:rsidRPr="00993936" w:rsidRDefault="00412AFB" w:rsidP="00412AFB">
      <w:pPr>
        <w:jc w:val="both"/>
        <w:rPr>
          <w:rFonts w:ascii="Arial" w:hAnsi="Arial" w:cs="Arial"/>
          <w:lang w:val="es-ES"/>
        </w:rPr>
      </w:pPr>
      <w:r w:rsidRPr="00993936">
        <w:rPr>
          <w:rFonts w:ascii="Arial" w:hAnsi="Arial" w:cs="Arial"/>
          <w:lang w:val="es-ES"/>
        </w:rPr>
        <w:t xml:space="preserve">Excepcionalmente, cuando en el cultivo se detecten plagas, que, por no ser habituales, no están recogidas en el Anexo 2 de esta norma, o cuyo umbral y/o criterio mínimo de intervención no se haya definido, podrá actuarse en contra con cualquier otro fitosanitario que esté expresamente autorizado en el Registro oficial de productos y material fitosanitario del Ministerio de Agricultura, Pesca, Alimentación y Medio Ambiente (MAPAMA) para este cultivo y para los usos oficialmente autorizados. </w:t>
      </w:r>
    </w:p>
    <w:p w:rsidR="00412AFB" w:rsidRPr="00993936" w:rsidRDefault="00412AFB" w:rsidP="00412AFB">
      <w:pPr>
        <w:jc w:val="both"/>
        <w:rPr>
          <w:rFonts w:ascii="Arial" w:hAnsi="Arial" w:cs="Arial"/>
          <w:lang w:val="es-ES"/>
        </w:rPr>
      </w:pPr>
      <w:r w:rsidRPr="00993936">
        <w:rPr>
          <w:rFonts w:ascii="Arial" w:hAnsi="Arial" w:cs="Arial"/>
          <w:lang w:val="es-ES"/>
        </w:rPr>
        <w:t>9.2.10 Aplicar productos fitosanitarios de perfil toxicológico (T+) (muy tóxicos) o que en su clasificación y etiquetado presenten advertencias de riesgo con un perfil muy tóxico o mortales para la salud humana.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9.2.11 Aplicar productos fitosanitarios a menos de 50 metros de captaciones de agua de consumo humano.</w:t>
      </w:r>
    </w:p>
    <w:p w:rsidR="00412AFB" w:rsidRPr="00993936" w:rsidRDefault="00412AFB" w:rsidP="00412AFB">
      <w:pPr>
        <w:pStyle w:val="Textoindependiente"/>
        <w:rPr>
          <w:rFonts w:cs="Arial"/>
          <w:szCs w:val="22"/>
          <w:lang w:val="es-ES"/>
        </w:rPr>
      </w:pPr>
      <w:r w:rsidRPr="00993936">
        <w:rPr>
          <w:rFonts w:cs="Arial"/>
          <w:szCs w:val="22"/>
          <w:lang w:val="es-ES"/>
        </w:rPr>
        <w:t xml:space="preserve">9.2.12 Realizar tratamientos en floración con productos tóxicos para las abejas y otros insectos polinizadores. </w:t>
      </w:r>
    </w:p>
    <w:p w:rsidR="00412AFB" w:rsidRPr="00993936" w:rsidRDefault="00412AFB" w:rsidP="00412AFB">
      <w:pPr>
        <w:jc w:val="both"/>
        <w:rPr>
          <w:rFonts w:ascii="Arial" w:hAnsi="Arial" w:cs="Arial"/>
          <w:i/>
          <w:lang w:val="es-ES"/>
        </w:rPr>
      </w:pPr>
      <w:r w:rsidRPr="00993936">
        <w:rPr>
          <w:rFonts w:ascii="Arial" w:hAnsi="Arial" w:cs="Arial"/>
          <w:lang w:val="es-ES"/>
        </w:rPr>
        <w:t xml:space="preserve">9.3.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9.3.1 Realizar los tratamientos fitosanitarios con velocidades de viento inferiores a 10,8 km/h.</w:t>
      </w:r>
    </w:p>
    <w:p w:rsidR="00412AFB" w:rsidRPr="00993936" w:rsidRDefault="00412AFB" w:rsidP="00412AFB">
      <w:pPr>
        <w:jc w:val="both"/>
        <w:rPr>
          <w:rFonts w:ascii="Arial" w:hAnsi="Arial" w:cs="Arial"/>
          <w:lang w:val="es-ES"/>
        </w:rPr>
      </w:pPr>
      <w:r w:rsidRPr="00993936">
        <w:rPr>
          <w:rFonts w:ascii="Arial" w:hAnsi="Arial" w:cs="Arial"/>
          <w:lang w:val="es-ES"/>
        </w:rPr>
        <w:t>9.3.2 En el caso de tratamientos fitosanitarios, alternar sustancias activas de los diferentes grupos químicos y mecanismos de acción, por lo que no se realizarán más de dos tratamientos consecutivos con la misma sustancia activa.</w:t>
      </w:r>
    </w:p>
    <w:p w:rsidR="00412AFB" w:rsidRPr="00993936" w:rsidRDefault="00412AFB" w:rsidP="00412AFB">
      <w:pPr>
        <w:jc w:val="both"/>
        <w:rPr>
          <w:rFonts w:ascii="Arial" w:hAnsi="Arial" w:cs="Arial"/>
          <w:lang w:val="es-ES"/>
        </w:rPr>
      </w:pPr>
      <w:r w:rsidRPr="00993936">
        <w:rPr>
          <w:rFonts w:ascii="Arial" w:hAnsi="Arial" w:cs="Arial"/>
          <w:lang w:val="es-ES"/>
        </w:rPr>
        <w:t>9.3.3 No utilizar productos fitosanitarios con más de dos años desde la fecha de fabricación, a menos que la etiqueta especifique un plazo inferior.</w:t>
      </w:r>
    </w:p>
    <w:p w:rsidR="00412AFB" w:rsidRPr="00993936" w:rsidRDefault="00412AFB" w:rsidP="00412AFB">
      <w:pPr>
        <w:jc w:val="both"/>
        <w:rPr>
          <w:rFonts w:ascii="Arial" w:hAnsi="Arial" w:cs="Arial"/>
          <w:lang w:val="es-ES"/>
        </w:rPr>
      </w:pPr>
      <w:r w:rsidRPr="00993936">
        <w:rPr>
          <w:rFonts w:ascii="Arial" w:hAnsi="Arial" w:cs="Arial"/>
          <w:lang w:val="es-ES"/>
        </w:rPr>
        <w:t>9.3.4 Disponer en la explotación de zonas preparadas expresamente para llenar los cubos, lavar equipos y depositar los restos de caldos no utilizados, etc.</w:t>
      </w:r>
    </w:p>
    <w:p w:rsidR="00412AFB" w:rsidRPr="00993936" w:rsidRDefault="00412AFB" w:rsidP="00412AFB">
      <w:pPr>
        <w:autoSpaceDE w:val="0"/>
        <w:autoSpaceDN w:val="0"/>
        <w:adjustRightInd w:val="0"/>
        <w:jc w:val="both"/>
        <w:rPr>
          <w:rFonts w:ascii="Arial" w:hAnsi="Arial" w:cs="Arial"/>
          <w:lang w:val="es-ES"/>
        </w:rPr>
      </w:pPr>
      <w:r w:rsidRPr="00993936">
        <w:rPr>
          <w:rFonts w:ascii="Arial" w:hAnsi="Arial" w:cs="Arial"/>
          <w:lang w:val="es-ES"/>
        </w:rPr>
        <w:t>9.3.5 Utilizar modelos de predicción de plagas y enfermedades en caso de que existan y que se hayan contrastado en la zona de cultivo.</w:t>
      </w:r>
    </w:p>
    <w:p w:rsidR="00412AFB" w:rsidRPr="00993936" w:rsidRDefault="00412AFB" w:rsidP="00412AFB">
      <w:pPr>
        <w:jc w:val="both"/>
        <w:rPr>
          <w:rFonts w:ascii="Arial" w:hAnsi="Arial" w:cs="Arial"/>
          <w:lang w:val="es-ES"/>
        </w:rPr>
      </w:pPr>
      <w:r w:rsidRPr="00993936">
        <w:rPr>
          <w:rFonts w:ascii="Arial" w:hAnsi="Arial" w:cs="Arial"/>
          <w:lang w:val="es-ES"/>
        </w:rPr>
        <w:t>9.3.6 Hacer uso de las recomendaciones del Servicio de Sanidad Vegetal o de los organismos que por medio de sus técnicas determinen los periodos de intervención más adecuados para los controles y los tratamientos.</w:t>
      </w:r>
    </w:p>
    <w:p w:rsidR="00412AFB" w:rsidRPr="00993936" w:rsidRDefault="00412AFB" w:rsidP="00412AFB">
      <w:pPr>
        <w:jc w:val="both"/>
        <w:rPr>
          <w:rFonts w:ascii="Arial" w:hAnsi="Arial" w:cs="Arial"/>
          <w:lang w:val="es-ES"/>
        </w:rPr>
      </w:pPr>
      <w:r w:rsidRPr="00993936">
        <w:rPr>
          <w:rFonts w:ascii="Arial" w:hAnsi="Arial" w:cs="Arial"/>
          <w:lang w:val="es-ES"/>
        </w:rPr>
        <w:t>9.3.7 Confeccionar un inventario y establecer una valoración de la fauna auxiliar y los agentes nocivos,</w:t>
      </w:r>
    </w:p>
    <w:p w:rsidR="00412AFB" w:rsidRPr="00993936" w:rsidRDefault="00412AFB" w:rsidP="00412AFB">
      <w:pPr>
        <w:jc w:val="both"/>
        <w:rPr>
          <w:rFonts w:ascii="Arial" w:hAnsi="Arial" w:cs="Arial"/>
          <w:lang w:val="es-ES"/>
        </w:rPr>
      </w:pPr>
      <w:r w:rsidRPr="00993936">
        <w:rPr>
          <w:rFonts w:ascii="Arial" w:hAnsi="Arial" w:cs="Arial"/>
          <w:lang w:val="es-ES"/>
        </w:rPr>
        <w:t xml:space="preserve">9.3.8. Si los niveles de población de una plaga llegan al umbral de tratamiento y falta una semana o menos para cortar o recoger el forraje, se adelantará la fecha de corte o recolección como método alternativo de control de la plaga.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10</w:t>
      </w:r>
    </w:p>
    <w:p w:rsidR="00412AFB" w:rsidRPr="00993936" w:rsidRDefault="00412AFB" w:rsidP="00412AFB">
      <w:pPr>
        <w:pStyle w:val="Ttulo3"/>
        <w:rPr>
          <w:rFonts w:ascii="Arial" w:hAnsi="Arial" w:cs="Arial"/>
          <w:b/>
          <w:color w:val="auto"/>
          <w:szCs w:val="22"/>
          <w:lang w:val="es-ES"/>
        </w:rPr>
      </w:pPr>
      <w:r w:rsidRPr="00993936">
        <w:rPr>
          <w:rFonts w:ascii="Arial" w:hAnsi="Arial" w:cs="Arial"/>
          <w:b/>
          <w:color w:val="auto"/>
          <w:szCs w:val="22"/>
          <w:lang w:val="es-ES"/>
        </w:rPr>
        <w:t>Recolección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t>10.1.1 Limpiar y/o desinsectar la maquinaria antes de iniciar la campaña de recolección de forrajes, o en el transcurso de esta, para evitar el riesgo de traspaso de patógenos nocivos entre parcelas.</w:t>
      </w:r>
    </w:p>
    <w:p w:rsidR="00412AFB" w:rsidRPr="00993936" w:rsidRDefault="00412AFB" w:rsidP="00412AFB">
      <w:pPr>
        <w:jc w:val="both"/>
        <w:rPr>
          <w:rFonts w:ascii="Arial" w:hAnsi="Arial" w:cs="Arial"/>
          <w:lang w:val="es-ES"/>
        </w:rPr>
      </w:pPr>
      <w:r w:rsidRPr="00993936">
        <w:rPr>
          <w:rFonts w:ascii="Arial" w:hAnsi="Arial" w:cs="Arial"/>
          <w:lang w:val="es-ES"/>
        </w:rPr>
        <w:t xml:space="preserve">10.1.2 Todas las personas operadoras que deseen obtener la certificación o comercializar productos con la identificación de garantía de producción integrada deberán acogerse a un programa de autocontrol individual o colectivo, de acuerdo con lo previsto en el artículo 29 de esta norma, durante la recolección y/o elaboración para analizar la posible presencia de residuos de productos fitosanitarios, y en virtud de lo que establecen los artículos 12 (f) y 13 (g) del Decreto 241/2002, con el objetivo de garantizar que se han utilizado exclusivamente las materias activas seleccionadas en la estrategia de producción integrada, y que se cumple con lo establecido en la legislación española en relación con los límites máximos de residuos </w:t>
      </w:r>
      <w:r w:rsidRPr="00993936">
        <w:rPr>
          <w:rFonts w:ascii="Arial" w:hAnsi="Arial" w:cs="Arial"/>
          <w:i/>
          <w:lang w:val="es-ES"/>
        </w:rPr>
        <w:t xml:space="preserve">(LMR) </w:t>
      </w:r>
      <w:r w:rsidRPr="00993936">
        <w:rPr>
          <w:rFonts w:ascii="Arial" w:hAnsi="Arial" w:cs="Arial"/>
          <w:lang w:val="es-ES"/>
        </w:rPr>
        <w:t>de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10.1.3 Para producciones dirigidas a otros mercados distintos del nacional, se verificará si cumplen la legislación establecida en el lugar de destino respecto al contenido de residuos.</w:t>
      </w:r>
    </w:p>
    <w:p w:rsidR="00412AFB" w:rsidRPr="00993936" w:rsidRDefault="00412AFB" w:rsidP="00412AFB">
      <w:pPr>
        <w:jc w:val="both"/>
        <w:rPr>
          <w:rFonts w:ascii="Arial" w:hAnsi="Arial" w:cs="Arial"/>
          <w:i/>
          <w:lang w:val="es-ES"/>
        </w:rPr>
      </w:pPr>
      <w:r w:rsidRPr="00993936">
        <w:rPr>
          <w:rFonts w:ascii="Arial" w:hAnsi="Arial" w:cs="Arial"/>
          <w:i/>
          <w:lang w:val="es-ES"/>
        </w:rPr>
        <w:lastRenderedPageBreak/>
        <w:t>10.2 Prohibiciones</w:t>
      </w:r>
    </w:p>
    <w:p w:rsidR="00412AFB" w:rsidRPr="00993936" w:rsidRDefault="00412AFB" w:rsidP="00412AFB">
      <w:pPr>
        <w:jc w:val="both"/>
        <w:rPr>
          <w:rFonts w:ascii="Arial" w:hAnsi="Arial" w:cs="Arial"/>
          <w:lang w:val="es-ES"/>
        </w:rPr>
      </w:pPr>
      <w:r w:rsidRPr="00993936">
        <w:rPr>
          <w:rFonts w:ascii="Arial" w:hAnsi="Arial" w:cs="Arial"/>
          <w:lang w:val="es-ES"/>
        </w:rPr>
        <w:t>10.2.1 En alfalfa, segar el cultivo antes de veinte días después del corte anterior.</w:t>
      </w:r>
    </w:p>
    <w:p w:rsidR="00412AFB" w:rsidRPr="00993936" w:rsidRDefault="00412AFB" w:rsidP="00412AFB">
      <w:pPr>
        <w:jc w:val="both"/>
        <w:rPr>
          <w:rFonts w:ascii="Arial" w:hAnsi="Arial" w:cs="Arial"/>
          <w:lang w:val="es-ES"/>
        </w:rPr>
      </w:pPr>
      <w:r w:rsidRPr="00993936">
        <w:rPr>
          <w:rFonts w:ascii="Arial" w:hAnsi="Arial" w:cs="Arial"/>
          <w:lang w:val="es-ES"/>
        </w:rPr>
        <w:t xml:space="preserve">10.3 </w:t>
      </w:r>
      <w:r w:rsidRPr="00993936">
        <w:rPr>
          <w:rFonts w:ascii="Arial" w:hAnsi="Arial" w:cs="Arial"/>
          <w:i/>
          <w:lang w:val="es-ES"/>
        </w:rPr>
        <w:t>Recomendaciones</w:t>
      </w:r>
    </w:p>
    <w:p w:rsidR="00412AFB" w:rsidRPr="00993936" w:rsidRDefault="00412AFB" w:rsidP="00412AFB">
      <w:pPr>
        <w:pStyle w:val="Textoindependiente"/>
        <w:rPr>
          <w:rFonts w:cs="Arial"/>
          <w:szCs w:val="22"/>
          <w:lang w:val="es-ES"/>
        </w:rPr>
      </w:pPr>
      <w:r w:rsidRPr="00993936">
        <w:rPr>
          <w:rFonts w:cs="Arial"/>
          <w:szCs w:val="22"/>
          <w:lang w:val="es-ES"/>
        </w:rPr>
        <w:t>10.3.1 Para la recolección se utilizará la maquinaria adecuada.</w:t>
      </w:r>
    </w:p>
    <w:p w:rsidR="00412AFB" w:rsidRPr="00993936" w:rsidRDefault="00412AFB" w:rsidP="00412AFB">
      <w:pPr>
        <w:pStyle w:val="Textoindependiente"/>
        <w:rPr>
          <w:rFonts w:cs="Arial"/>
          <w:szCs w:val="22"/>
          <w:lang w:val="es-ES"/>
        </w:rPr>
      </w:pPr>
      <w:r w:rsidRPr="00993936">
        <w:rPr>
          <w:rFonts w:cs="Arial"/>
          <w:szCs w:val="22"/>
          <w:lang w:val="es-ES"/>
        </w:rPr>
        <w:t>10.3.2 Durante el verano, no recoger la alfalfa en las horas de máxima temperatura para evitar la pérdida de hoja.</w:t>
      </w:r>
    </w:p>
    <w:p w:rsidR="00412AFB" w:rsidRPr="00993936" w:rsidRDefault="00412AFB" w:rsidP="00412AFB">
      <w:pPr>
        <w:pStyle w:val="Textoindependiente"/>
        <w:rPr>
          <w:rFonts w:cs="Arial"/>
          <w:szCs w:val="22"/>
          <w:lang w:val="es-ES"/>
        </w:rPr>
      </w:pPr>
      <w:r w:rsidRPr="00993936">
        <w:rPr>
          <w:rFonts w:cs="Arial"/>
          <w:szCs w:val="22"/>
          <w:lang w:val="es-ES"/>
        </w:rPr>
        <w:t>10.3.3 La recogida del cultivo se programará con vistas a que el forraje haya alcanzado su máximo valor nutritivo. El miembro del personal técnico de producción integrada justificará la no aplicación de este criterio basándose en razones climatológicas o bien de carácter excepcional.</w:t>
      </w:r>
    </w:p>
    <w:p w:rsidR="00412AFB" w:rsidRPr="00993936" w:rsidRDefault="00412AFB" w:rsidP="00412AFB">
      <w:pPr>
        <w:pStyle w:val="Textoindependiente"/>
        <w:rPr>
          <w:rFonts w:cs="Arial"/>
          <w:i/>
          <w:szCs w:val="22"/>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11</w:t>
      </w:r>
    </w:p>
    <w:p w:rsidR="00412AFB" w:rsidRPr="00993936" w:rsidRDefault="00412AFB" w:rsidP="00412AFB">
      <w:pPr>
        <w:jc w:val="both"/>
        <w:rPr>
          <w:rFonts w:ascii="Arial" w:hAnsi="Arial" w:cs="Arial"/>
          <w:b/>
          <w:lang w:val="es-ES"/>
        </w:rPr>
      </w:pPr>
      <w:r w:rsidRPr="00993936">
        <w:rPr>
          <w:rFonts w:ascii="Arial" w:hAnsi="Arial" w:cs="Arial"/>
          <w:b/>
          <w:lang w:val="es-ES"/>
        </w:rPr>
        <w:t>Cuaderno de explotación</w:t>
      </w:r>
    </w:p>
    <w:p w:rsidR="00412AFB" w:rsidRPr="00993936" w:rsidRDefault="00412AFB" w:rsidP="00412AFB">
      <w:pPr>
        <w:jc w:val="both"/>
        <w:rPr>
          <w:rFonts w:ascii="Arial" w:hAnsi="Arial" w:cs="Arial"/>
          <w:i/>
          <w:lang w:val="es-ES"/>
        </w:rPr>
      </w:pPr>
      <w:r w:rsidRPr="00993936">
        <w:rPr>
          <w:rFonts w:ascii="Arial" w:hAnsi="Arial" w:cs="Arial"/>
          <w:i/>
          <w:lang w:val="es-ES"/>
        </w:rPr>
        <w:t>11.1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11.1.1 El modelo de cuaderno de explotación es único en cuanto al contenido de los datos que deben registrarse, y será aprobado por el Departamento de Agricultura, Ganadería, Pesca y Alimentación. </w:t>
      </w:r>
    </w:p>
    <w:p w:rsidR="00412AFB" w:rsidRPr="00993936" w:rsidRDefault="00412AFB" w:rsidP="00412AFB">
      <w:pPr>
        <w:jc w:val="both"/>
        <w:rPr>
          <w:rFonts w:ascii="Arial" w:hAnsi="Arial" w:cs="Arial"/>
          <w:lang w:val="es-ES"/>
        </w:rPr>
      </w:pPr>
      <w:r w:rsidRPr="00993936">
        <w:rPr>
          <w:rFonts w:ascii="Arial" w:hAnsi="Arial" w:cs="Arial"/>
          <w:lang w:val="es-ES"/>
        </w:rPr>
        <w:t>11.1.2 El productor de producción integrada, mediante su firma, se responsabilizará de la veracidad de las anotaciones realizadas en el cuaderno de explotación.</w:t>
      </w:r>
    </w:p>
    <w:p w:rsidR="00412AFB" w:rsidRPr="00993936" w:rsidRDefault="00412AFB" w:rsidP="00412AFB">
      <w:pPr>
        <w:pStyle w:val="Textoindependiente"/>
        <w:rPr>
          <w:rFonts w:cs="Arial"/>
          <w:szCs w:val="22"/>
          <w:lang w:val="es-ES"/>
        </w:rPr>
      </w:pPr>
      <w:r w:rsidRPr="00993936">
        <w:rPr>
          <w:rFonts w:cs="Arial"/>
          <w:szCs w:val="22"/>
          <w:lang w:val="es-ES"/>
        </w:rPr>
        <w:t>11.1.3 El cuaderno de explotación es obligatorio y estará siempre disponible para su inspección. Para la buena funcionalidad del sistema, las anotaciones de las operaciones habrán de realizarse en el plazo máximo de los siete días siguientes a su ejecución.</w:t>
      </w:r>
    </w:p>
    <w:p w:rsidR="00412AFB" w:rsidRPr="00993936" w:rsidRDefault="00412AFB" w:rsidP="00412AFB">
      <w:pPr>
        <w:jc w:val="both"/>
        <w:rPr>
          <w:rFonts w:ascii="Arial" w:hAnsi="Arial" w:cs="Arial"/>
          <w:lang w:val="es-ES"/>
        </w:rPr>
      </w:pPr>
      <w:r w:rsidRPr="00993936">
        <w:rPr>
          <w:rFonts w:ascii="Arial" w:hAnsi="Arial" w:cs="Arial"/>
          <w:lang w:val="es-ES"/>
        </w:rPr>
        <w:t>11.1.4 El cuaderno de explotación será controlado y supervisado periódicamente por el técnico responsable de producción integrada y, para que quede constancia de ello, se registrará la fecha y la firma en cada revisión.</w:t>
      </w:r>
    </w:p>
    <w:p w:rsidR="00412AFB" w:rsidRPr="00993936" w:rsidRDefault="00412AFB" w:rsidP="00412AFB">
      <w:pPr>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12</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 xml:space="preserve">Normas de calidad </w:t>
      </w:r>
    </w:p>
    <w:p w:rsidR="00412AFB" w:rsidRPr="00993936" w:rsidRDefault="00412AFB" w:rsidP="00412AFB">
      <w:pPr>
        <w:jc w:val="both"/>
        <w:rPr>
          <w:rFonts w:ascii="Arial" w:hAnsi="Arial" w:cs="Arial"/>
          <w:i/>
          <w:lang w:val="es-ES"/>
        </w:rPr>
      </w:pPr>
      <w:r w:rsidRPr="00993936">
        <w:rPr>
          <w:rFonts w:ascii="Arial" w:hAnsi="Arial" w:cs="Arial"/>
          <w:i/>
          <w:lang w:val="es-ES"/>
        </w:rPr>
        <w:t>12.1 Obligaciones</w:t>
      </w:r>
    </w:p>
    <w:p w:rsidR="00412AFB" w:rsidRPr="00993936" w:rsidRDefault="00412AFB" w:rsidP="00412AFB">
      <w:pPr>
        <w:jc w:val="both"/>
        <w:rPr>
          <w:rFonts w:ascii="Arial" w:hAnsi="Arial" w:cs="Arial"/>
          <w:lang w:val="es-ES"/>
        </w:rPr>
      </w:pPr>
      <w:r w:rsidRPr="00993936">
        <w:rPr>
          <w:rFonts w:ascii="Arial" w:hAnsi="Arial" w:cs="Arial"/>
          <w:lang w:val="es-ES"/>
        </w:rPr>
        <w:t>12.1.1 Todos los cultivos de forrajes amparados por la denominación producción integrada deberán tener, si procede, las características mínimas de calidad que establece la legislación vigente para que puedan ser comercializados como producción integrada.</w:t>
      </w:r>
    </w:p>
    <w:p w:rsidR="00412AFB" w:rsidRPr="00993936" w:rsidRDefault="00412AFB" w:rsidP="00412AFB">
      <w:pPr>
        <w:rPr>
          <w:rFonts w:ascii="Arial" w:hAnsi="Arial" w:cs="Arial"/>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II.</w:t>
      </w:r>
      <w:r w:rsidR="00E03B3B" w:rsidRPr="00993936">
        <w:rPr>
          <w:rFonts w:ascii="Arial" w:hAnsi="Arial" w:cs="Arial"/>
          <w:b/>
          <w:lang w:val="es-ES"/>
        </w:rPr>
        <w:t xml:space="preserve"> </w:t>
      </w:r>
      <w:r w:rsidRPr="00993936">
        <w:rPr>
          <w:rFonts w:ascii="Arial" w:hAnsi="Arial" w:cs="Arial"/>
          <w:b/>
          <w:lang w:val="es-ES"/>
        </w:rPr>
        <w:t>INSTALACIONES, EQUIPOS, PERSONAL, TRANSPORTE Y ALMACENAMIENTO</w:t>
      </w:r>
    </w:p>
    <w:p w:rsidR="00412AFB" w:rsidRPr="00993936" w:rsidRDefault="00412AFB" w:rsidP="00412AFB">
      <w:pPr>
        <w:pStyle w:val="NormalWeb"/>
        <w:spacing w:before="120" w:after="0"/>
        <w:jc w:val="both"/>
        <w:rPr>
          <w:rFonts w:ascii="Arial" w:hAnsi="Arial" w:cs="Arial"/>
          <w:sz w:val="22"/>
          <w:szCs w:val="22"/>
          <w:lang w:val="es-ES"/>
        </w:rPr>
      </w:pP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13</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Instalaciones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13.1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13.1.1 Las instalaciones, incluidos los baños, los equipos y el entorno productivo, deben estar en un estado de orden y de limpieza adecuado.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13.1.2 Todas las instalaciones han de estar ventiladas, iluminadas y con sistemas de desagües apropiados para las actividades que desarrollen.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13.1.3 Los productos químicos deben estar almacenados en un lugar que pueda cerrarse y esté debidamente señalizado. Solo podrá acceder al lugar de almacenamiento de productos químicos, así como manipularlos, el personal designado por la persona operadora.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13.1.4 Los productos químicos almacenados deben estar etiquetados correctamente y autorizados para ser usados en la industria alimentaria.</w:t>
      </w:r>
    </w:p>
    <w:p w:rsidR="00412AFB" w:rsidRPr="00993936" w:rsidRDefault="00412AFB" w:rsidP="00412AFB">
      <w:pPr>
        <w:rPr>
          <w:rFonts w:ascii="Arial" w:hAnsi="Arial" w:cs="Arial"/>
          <w:lang w:val="es-ES"/>
        </w:rPr>
      </w:pPr>
    </w:p>
    <w:p w:rsidR="00412AFB" w:rsidRPr="00993936" w:rsidRDefault="00412AFB" w:rsidP="00412AFB">
      <w:pPr>
        <w:pStyle w:val="Sangradetextonormal"/>
        <w:ind w:left="0"/>
        <w:rPr>
          <w:rFonts w:cs="Arial"/>
          <w:szCs w:val="22"/>
          <w:lang w:val="es-ES"/>
        </w:rPr>
      </w:pPr>
      <w:r w:rsidRPr="00993936">
        <w:rPr>
          <w:rFonts w:cs="Arial"/>
          <w:szCs w:val="22"/>
          <w:lang w:val="es-ES"/>
        </w:rPr>
        <w:t>Artículo 14</w:t>
      </w:r>
    </w:p>
    <w:p w:rsidR="00412AFB" w:rsidRPr="00993936" w:rsidRDefault="00412AFB" w:rsidP="00412AFB">
      <w:pPr>
        <w:pStyle w:val="Sangradetextonormal"/>
        <w:ind w:left="0"/>
        <w:rPr>
          <w:rFonts w:cs="Arial"/>
          <w:b/>
          <w:szCs w:val="22"/>
          <w:lang w:val="es-ES"/>
        </w:rPr>
      </w:pPr>
      <w:r w:rsidRPr="00993936">
        <w:rPr>
          <w:rFonts w:cs="Arial"/>
          <w:b/>
          <w:szCs w:val="22"/>
          <w:lang w:val="es-ES"/>
        </w:rPr>
        <w:t>Higiene y mantenimiento de las instalaciones y equipos</w:t>
      </w:r>
    </w:p>
    <w:p w:rsidR="00412AFB" w:rsidRPr="00993936" w:rsidRDefault="00412AFB" w:rsidP="00412AFB">
      <w:pPr>
        <w:pStyle w:val="Sangradetextonormal"/>
        <w:ind w:left="0"/>
        <w:rPr>
          <w:rFonts w:cs="Arial"/>
          <w:b/>
          <w:szCs w:val="22"/>
          <w:lang w:val="es-ES"/>
        </w:rPr>
      </w:pPr>
      <w:r w:rsidRPr="00993936">
        <w:rPr>
          <w:rFonts w:cs="Arial"/>
          <w:szCs w:val="22"/>
          <w:lang w:val="es-ES"/>
        </w:rPr>
        <w:t>14.1</w:t>
      </w:r>
      <w:r w:rsidRPr="00993936">
        <w:rPr>
          <w:rFonts w:cs="Arial"/>
          <w:i/>
          <w:szCs w:val="22"/>
          <w:lang w:val="es-ES"/>
        </w:rPr>
        <w:t xml:space="preserve"> Obligaciones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14.1.1 Cada persona operadora debe disponer de un plan general de limpieza y desinfección detallado de las instalaciones y de los equipos con el objeto de que en todo momento estén en buen estado de conservación. El plan deberá contemplar:</w:t>
      </w:r>
    </w:p>
    <w:p w:rsidR="00412AFB" w:rsidRPr="00993936" w:rsidRDefault="00412AFB" w:rsidP="009D1A2D">
      <w:pPr>
        <w:pStyle w:val="Sangradetextonormal"/>
        <w:numPr>
          <w:ilvl w:val="0"/>
          <w:numId w:val="196"/>
        </w:numPr>
        <w:jc w:val="both"/>
        <w:rPr>
          <w:rFonts w:cs="Arial"/>
          <w:szCs w:val="22"/>
          <w:lang w:val="es-ES"/>
        </w:rPr>
      </w:pPr>
      <w:r w:rsidRPr="00993936">
        <w:rPr>
          <w:rFonts w:cs="Arial"/>
          <w:szCs w:val="22"/>
          <w:lang w:val="es-ES"/>
        </w:rPr>
        <w:t>Las instalaciones se limpiarán y desinfectarán al inicio de la campaña.</w:t>
      </w:r>
    </w:p>
    <w:p w:rsidR="00412AFB" w:rsidRPr="00993936" w:rsidRDefault="00412AFB" w:rsidP="009D1A2D">
      <w:pPr>
        <w:pStyle w:val="Sangradetextonormal"/>
        <w:numPr>
          <w:ilvl w:val="0"/>
          <w:numId w:val="196"/>
        </w:numPr>
        <w:jc w:val="both"/>
        <w:rPr>
          <w:rFonts w:cs="Arial"/>
          <w:szCs w:val="22"/>
          <w:lang w:val="es-ES"/>
        </w:rPr>
      </w:pPr>
      <w:r w:rsidRPr="00993936">
        <w:rPr>
          <w:rFonts w:cs="Arial"/>
          <w:szCs w:val="22"/>
          <w:lang w:val="es-ES"/>
        </w:rPr>
        <w:t>La periodicidad de las actuaciones de limpieza.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14.1.2 Cada persona operadora dispondrá de un plan de limpieza, desinfección y desratización llevado a la práctica por un equipo con autorización legal para este fin. El plan contendrá, al menos, la siguiente información: identificación del equipo de trabajo, faenas y su frecuencia, material y productos que se emplearán y método de aplicación. Los cebos deben estar señalizados y numerados debidamente, y ha de haber un plan de señalización. </w:t>
      </w:r>
      <w:r w:rsidRPr="00993936">
        <w:rPr>
          <w:rFonts w:cs="Arial"/>
          <w:szCs w:val="22"/>
          <w:lang w:val="es-ES"/>
        </w:rPr>
        <w:tab/>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14.1.3 Evitar agujeros y ventanas no protegidas, e instalar elementos que impidan la entrada de insectos, pájaros y otros animales en las instalaciones.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14.1.4 Las instalaciones, los equipos y las herramientas estarán en buen estado de conservación mediante un adecuado plan de mantenimiento.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14.1.5 La persona operadora debe tomar las medidas necesarias para evitar el contacto de los productos y de las superficies con sustancias químicas, aguas no potables u objetos extraños.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14.1.6 Los recipientes de evacuación de residuos se destinarán en exclusiva para este fin y se limpiarán periódicamente, de acuerdo con el plan de limpieza establecido.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14.1.7 La persona operadora debe disponer de un plan de mantenimiento de las instalaciones, de los equipos y de las herramientas, para que en todo momento estén en buen estado de conservación.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14.1.8 Proceder a la desinfección total del almacén al menos una vez al año.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14.2 </w:t>
      </w:r>
      <w:r w:rsidRPr="00993936">
        <w:rPr>
          <w:rFonts w:cs="Arial"/>
          <w:i/>
          <w:szCs w:val="22"/>
          <w:lang w:val="es-ES"/>
        </w:rPr>
        <w:t>Prohibiciones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14.2.1 Utilizar carretillas elevadoras de gasoil dentro de los recintos cerrados de las instalaciones.</w:t>
      </w:r>
    </w:p>
    <w:p w:rsidR="00412AFB" w:rsidRPr="00993936" w:rsidRDefault="00412AFB" w:rsidP="00412AFB">
      <w:pPr>
        <w:pStyle w:val="Ttulo2"/>
        <w:rPr>
          <w:rFonts w:ascii="Arial" w:hAnsi="Arial" w:cs="Arial"/>
          <w:b/>
          <w:color w:val="auto"/>
          <w:sz w:val="22"/>
          <w:szCs w:val="22"/>
          <w:lang w:val="es-ES"/>
        </w:rPr>
      </w:pP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Artículo 15</w:t>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 xml:space="preserve">Equipos de tratamientos </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15.1</w:t>
      </w:r>
      <w:r w:rsidRPr="00993936">
        <w:rPr>
          <w:rFonts w:ascii="Arial" w:hAnsi="Arial" w:cs="Arial"/>
          <w:i/>
          <w:snapToGrid w:val="0"/>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15.1.1 La maquinaria utilizada para los tratamientos fitosanitarios, abonos foliares y otros similares debe estar en buen estado de funcionamiento y someterse a revisiones y calibraciones periódicas. La persona operadora debe realizar una revisión y una calibración cada año validadas por el miembro del equipo técnico responsable de producción integrada, y además, una vez cada cuatro años ha de ser inspeccionada por un centro oficial o reconocido, de conformidad con las disposiciones vigentes en la materia. La inspección se efectuará de conformidad con las normas de inspección de </w:t>
      </w:r>
      <w:r w:rsidRPr="00993936">
        <w:rPr>
          <w:rFonts w:ascii="Arial" w:hAnsi="Arial" w:cs="Arial"/>
          <w:lang w:val="es-ES"/>
        </w:rPr>
        <w:lastRenderedPageBreak/>
        <w:t>pulverizadores EN 13790/1 y 2, de seguridad UNE-EN-907 y de protección medioambiental UNE-EN 12761/1, 2 y 3.</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En caso de contratar servicios externos, la persona productora les exigirá estar al corriente de las inspecciones y las calibraciones estipuladas en la legislación vigente de aplicación.</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15.1.2 Realizar revisiones periódicas de los elementos de protección y seguridad de los equipos de tratamiento, procurando un buen mantenimiento y una calibración cuidadosa de estos.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15.1.3 Cuando los equipos no se utilicen, han de mantenerse limpios y no deben contener productos fitosanitarios.</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 xml:space="preserve">15.2 </w:t>
      </w:r>
      <w:r w:rsidRPr="00993936">
        <w:rPr>
          <w:rFonts w:ascii="Arial" w:hAnsi="Arial" w:cs="Arial"/>
          <w:i/>
          <w:snapToGrid w:val="0"/>
          <w:lang w:val="es-ES"/>
        </w:rPr>
        <w:t>Prohibiciones</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15.2.1 La utilización de equipos de tratamiento que tengan carencias graves en elementos de seguridad, protección y funcionamiento.</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 xml:space="preserve">15.3 </w:t>
      </w:r>
      <w:r w:rsidRPr="00993936">
        <w:rPr>
          <w:rFonts w:ascii="Arial" w:hAnsi="Arial" w:cs="Arial"/>
          <w:i/>
          <w:snapToGrid w:val="0"/>
          <w:lang w:val="es-ES"/>
        </w:rPr>
        <w:t>Recomendaciones</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15.3.1 Los pulverizadores nuevos corresponderán a modelos certificados del Programa de control de características de maquinaria de tratamientos del Departamento de Agricultura, Ganadería y Pesca, o por otros programas oficiales de control.</w:t>
      </w:r>
    </w:p>
    <w:p w:rsidR="00412AFB" w:rsidRPr="00993936" w:rsidRDefault="00412AFB" w:rsidP="00412AFB">
      <w:pPr>
        <w:pStyle w:val="Ttulo4"/>
        <w:rPr>
          <w:rFonts w:ascii="Arial" w:hAnsi="Arial" w:cs="Arial"/>
          <w:i w:val="0"/>
          <w:color w:val="auto"/>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16 </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Equipos de protección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16.1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16.1.1 La persona que manipule los productos fitosanitarios debe utilizar un equipo adecuado para la protección personal, de acuerdo con la legislación vigente de aplicación y las indicaciones de las etiquetas de cada producto.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16.1.2 La ropa y el equipo se almacenarán de forma que no entren en contacto con los productos fitosanitarios.</w:t>
      </w:r>
    </w:p>
    <w:p w:rsidR="00412AFB" w:rsidRPr="00993936" w:rsidRDefault="00412AFB" w:rsidP="00412AFB">
      <w:pPr>
        <w:pStyle w:val="Ttulo4"/>
        <w:rPr>
          <w:rFonts w:ascii="Arial" w:hAnsi="Arial" w:cs="Arial"/>
          <w:i w:val="0"/>
          <w:color w:val="auto"/>
          <w:lang w:val="es-ES"/>
        </w:rPr>
      </w:pPr>
    </w:p>
    <w:p w:rsidR="00412AFB" w:rsidRPr="00993936" w:rsidRDefault="00412AFB" w:rsidP="00412AFB">
      <w:pPr>
        <w:pStyle w:val="Sangradetextonormal"/>
        <w:ind w:left="0"/>
        <w:rPr>
          <w:rFonts w:cs="Arial"/>
          <w:szCs w:val="22"/>
          <w:lang w:val="es-ES"/>
        </w:rPr>
      </w:pPr>
      <w:r w:rsidRPr="00993936">
        <w:rPr>
          <w:rFonts w:cs="Arial"/>
          <w:szCs w:val="22"/>
          <w:lang w:val="es-ES"/>
        </w:rPr>
        <w:t>Artículo 17</w:t>
      </w:r>
    </w:p>
    <w:p w:rsidR="00412AFB" w:rsidRPr="00993936" w:rsidRDefault="00412AFB" w:rsidP="00412AFB">
      <w:pPr>
        <w:pStyle w:val="Sangradetextonormal"/>
        <w:ind w:left="0"/>
        <w:rPr>
          <w:rFonts w:cs="Arial"/>
          <w:b/>
          <w:szCs w:val="22"/>
          <w:lang w:val="es-ES"/>
        </w:rPr>
      </w:pPr>
      <w:r w:rsidRPr="00993936">
        <w:rPr>
          <w:rFonts w:cs="Arial"/>
          <w:b/>
          <w:szCs w:val="22"/>
          <w:lang w:val="es-ES"/>
        </w:rPr>
        <w:t xml:space="preserve">Personal </w:t>
      </w:r>
    </w:p>
    <w:p w:rsidR="00412AFB" w:rsidRPr="00993936" w:rsidRDefault="00412AFB" w:rsidP="00412AFB">
      <w:pPr>
        <w:pStyle w:val="Sangradetextonormal"/>
        <w:ind w:left="0"/>
        <w:jc w:val="both"/>
        <w:rPr>
          <w:rFonts w:cs="Arial"/>
          <w:i/>
          <w:szCs w:val="22"/>
          <w:lang w:val="es-ES"/>
        </w:rPr>
      </w:pPr>
      <w:r w:rsidRPr="00993936">
        <w:rPr>
          <w:rFonts w:cs="Arial"/>
          <w:i/>
          <w:szCs w:val="22"/>
          <w:lang w:val="es-ES"/>
        </w:rPr>
        <w:t>17.1 Obligaciones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17.1.1 Dar instrucciones al personal trabajador para que, en caso de sufrir enfermedades de transmisión alimentaria, o padecer, entre otras patologías, heridas infectadas, infecciones cutáneas o diarreas, informen a la dirección.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17.1.2 Documentar los procedimientos de actuación en caso de accidentes o de emergencias de modo que sean comprensibles para las personas afectadas.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17.1.3 Disponer de botiquines de primeros auxilios accesibles para el personal trabajador.</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17.1.4 Fomentar la formación del personal del almacén en materia de buenas prácticas de higiene y seguridad alimentarias, y conservar un registro de las actividades formativas que ha impartido la persona operadora o una entidad externa autorizada.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17.1.5 Elaborar instrucciones para el personal trabajador en las que se consideren los aspectos higiénicos que deben respetarse en cada puesto de trabajo, y de acuerdo con las características de la explotación.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17.1.6 Disponer de un plan de prevención de riesgos laborales y un plan de análisis de peligros y puntos críticos (APPCC) implantados y aprobados, si procede, por la autoridad competente. </w:t>
      </w:r>
    </w:p>
    <w:p w:rsidR="00412AFB" w:rsidRPr="00993936" w:rsidRDefault="00412AFB" w:rsidP="00412AFB">
      <w:pPr>
        <w:rPr>
          <w:rFonts w:ascii="Arial" w:hAnsi="Arial" w:cs="Arial"/>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 xml:space="preserve">Artículo 18 </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Transporte del forraje</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18.1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18.1.1 Los receptáculos y contenedores de los vehículos utilizados para transportar los cereales deben estar limpios y en condiciones adecuadas de mantenimiento, para protegerlos de la contaminación. Su forma y composición han de permitir una limpieza y una desinfección adecuadas.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18.1.2 Cuando se utilizan los receptáculos de vehículos o contenedores para transportar una carga que no sean forrajes o productos alimenticios, se procederá a una limpieza eficaz entre las cargas para evitar el riesgo de contaminación.</w:t>
      </w:r>
    </w:p>
    <w:p w:rsidR="00412AFB" w:rsidRPr="00993936" w:rsidRDefault="00412AFB" w:rsidP="00412AFB">
      <w:pPr>
        <w:pStyle w:val="Ttulo4"/>
        <w:rPr>
          <w:rFonts w:ascii="Arial" w:hAnsi="Arial" w:cs="Arial"/>
          <w:i w:val="0"/>
          <w:color w:val="auto"/>
          <w:lang w:val="es-ES"/>
        </w:rPr>
      </w:pP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Artículo 19</w:t>
      </w: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Almacenamiento de productos fitosanitarios y fertilizantes</w:t>
      </w:r>
    </w:p>
    <w:p w:rsidR="00412AFB" w:rsidRPr="00993936" w:rsidRDefault="00412AFB" w:rsidP="00412AFB">
      <w:pPr>
        <w:jc w:val="both"/>
        <w:rPr>
          <w:rFonts w:ascii="Arial" w:hAnsi="Arial" w:cs="Arial"/>
          <w:i/>
          <w:lang w:val="es-ES"/>
        </w:rPr>
      </w:pPr>
      <w:r w:rsidRPr="00993936">
        <w:rPr>
          <w:rFonts w:ascii="Arial" w:hAnsi="Arial" w:cs="Arial"/>
          <w:lang w:val="es-ES"/>
        </w:rPr>
        <w:t>19.1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19.1.1 </w:t>
      </w:r>
      <w:r w:rsidRPr="00993936">
        <w:rPr>
          <w:rFonts w:ascii="Arial" w:hAnsi="Arial" w:cs="Arial"/>
          <w:i/>
          <w:u w:val="single"/>
          <w:lang w:val="es-ES"/>
        </w:rPr>
        <w:t>Condiciones de almacenamiento</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 xml:space="preserve">19.1.1.1 Los productos fitosanitarios y fertilizantes deberán almacenarse en un lugar cerrado, separados de los </w:t>
      </w:r>
      <w:r w:rsidR="007575C3" w:rsidRPr="00993936">
        <w:rPr>
          <w:rFonts w:ascii="Arial" w:hAnsi="Arial" w:cs="Arial"/>
          <w:lang w:val="es-ES"/>
        </w:rPr>
        <w:t>cereales</w:t>
      </w:r>
      <w:r w:rsidRPr="00993936">
        <w:rPr>
          <w:rFonts w:ascii="Arial" w:hAnsi="Arial" w:cs="Arial"/>
          <w:lang w:val="es-ES"/>
        </w:rPr>
        <w:t xml:space="preserve">, para evitar cualquier riesgo de contaminación. </w:t>
      </w:r>
    </w:p>
    <w:p w:rsidR="00412AFB" w:rsidRPr="00993936" w:rsidRDefault="00412AFB" w:rsidP="00412AFB">
      <w:pPr>
        <w:jc w:val="both"/>
        <w:rPr>
          <w:rFonts w:ascii="Arial" w:hAnsi="Arial" w:cs="Arial"/>
          <w:lang w:val="es-ES"/>
        </w:rPr>
      </w:pPr>
      <w:r w:rsidRPr="00993936">
        <w:rPr>
          <w:rFonts w:ascii="Arial" w:hAnsi="Arial" w:cs="Arial"/>
          <w:lang w:val="es-ES"/>
        </w:rPr>
        <w:t>19.1.1.2 El almacén dispondrá de llave y ventilación permanente y suficiente.</w:t>
      </w:r>
    </w:p>
    <w:p w:rsidR="00412AFB" w:rsidRPr="00993936" w:rsidRDefault="00412AFB" w:rsidP="00412AFB">
      <w:pPr>
        <w:jc w:val="both"/>
        <w:rPr>
          <w:rFonts w:ascii="Arial" w:hAnsi="Arial" w:cs="Arial"/>
          <w:lang w:val="es-ES"/>
        </w:rPr>
      </w:pPr>
      <w:r w:rsidRPr="00993936">
        <w:rPr>
          <w:rFonts w:ascii="Arial" w:hAnsi="Arial" w:cs="Arial"/>
          <w:lang w:val="es-ES"/>
        </w:rPr>
        <w:t>19.1.1.3 El almacenamiento ha de disponer de medios para retener posibles derrames accidentales.</w:t>
      </w:r>
    </w:p>
    <w:p w:rsidR="00412AFB" w:rsidRPr="00993936" w:rsidRDefault="00412AFB" w:rsidP="00412AFB">
      <w:pPr>
        <w:jc w:val="both"/>
        <w:rPr>
          <w:rFonts w:ascii="Arial" w:hAnsi="Arial" w:cs="Arial"/>
          <w:lang w:val="es-ES"/>
        </w:rPr>
      </w:pPr>
      <w:r w:rsidRPr="00993936">
        <w:rPr>
          <w:rFonts w:ascii="Arial" w:hAnsi="Arial" w:cs="Arial"/>
          <w:lang w:val="es-ES"/>
        </w:rPr>
        <w:t>19.1.1.4 El lugar del almacén tiene que estar debidamente señalado, haciendo un especial hincapié en la prohibición de acceso a personas no autorizadas.</w:t>
      </w:r>
    </w:p>
    <w:p w:rsidR="00412AFB" w:rsidRPr="00993936" w:rsidRDefault="00412AFB" w:rsidP="00412AFB">
      <w:pPr>
        <w:jc w:val="both"/>
        <w:rPr>
          <w:rFonts w:ascii="Arial" w:hAnsi="Arial" w:cs="Arial"/>
          <w:lang w:val="es-ES"/>
        </w:rPr>
      </w:pPr>
      <w:r w:rsidRPr="00993936">
        <w:rPr>
          <w:rFonts w:ascii="Arial" w:hAnsi="Arial" w:cs="Arial"/>
          <w:lang w:val="es-ES"/>
        </w:rPr>
        <w:t>19.1.1.5 En el almacenamiento de productos fitosanitarios se deben tener en cuenta, además, el resto de las obligaciones que establece el artículo 40 del Real Decreto 1311/2012.</w:t>
      </w:r>
    </w:p>
    <w:p w:rsidR="00412AFB" w:rsidRPr="00993936" w:rsidRDefault="00412AFB" w:rsidP="00412AFB">
      <w:pPr>
        <w:jc w:val="both"/>
        <w:rPr>
          <w:rFonts w:ascii="Arial" w:hAnsi="Arial" w:cs="Arial"/>
          <w:lang w:val="es-ES"/>
        </w:rPr>
      </w:pPr>
      <w:r w:rsidRPr="00993936">
        <w:rPr>
          <w:rFonts w:ascii="Arial" w:hAnsi="Arial" w:cs="Arial"/>
          <w:lang w:val="es-ES"/>
        </w:rPr>
        <w:t xml:space="preserve">19.1.2 </w:t>
      </w:r>
      <w:r w:rsidRPr="00993936">
        <w:rPr>
          <w:rFonts w:ascii="Arial" w:hAnsi="Arial" w:cs="Arial"/>
          <w:i/>
          <w:u w:val="single"/>
          <w:lang w:val="es-ES"/>
        </w:rPr>
        <w:t>Almacenamiento de productos</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19.1.2.1 Los fitosanitarios deben mantenerse dentro de su envase original y sus etiquetas han de ser perfectamente legibles.</w:t>
      </w:r>
    </w:p>
    <w:p w:rsidR="00412AFB" w:rsidRPr="00993936" w:rsidRDefault="00412AFB" w:rsidP="00412AFB">
      <w:pPr>
        <w:jc w:val="both"/>
        <w:rPr>
          <w:rFonts w:ascii="Arial" w:hAnsi="Arial" w:cs="Arial"/>
          <w:lang w:val="es-ES"/>
        </w:rPr>
      </w:pPr>
      <w:r w:rsidRPr="00993936">
        <w:rPr>
          <w:rFonts w:ascii="Arial" w:hAnsi="Arial" w:cs="Arial"/>
          <w:lang w:val="es-ES"/>
        </w:rPr>
        <w:t>19.1.2.2 Los productos fitosanitarios y fertilizantes deben estar debidamente etiquetados, ordenados y separados físicamente.</w:t>
      </w:r>
    </w:p>
    <w:p w:rsidR="00412AFB" w:rsidRPr="00993936" w:rsidRDefault="00412AFB" w:rsidP="00412AFB">
      <w:pPr>
        <w:jc w:val="both"/>
        <w:rPr>
          <w:rFonts w:ascii="Arial" w:hAnsi="Arial" w:cs="Arial"/>
          <w:lang w:val="es-ES"/>
        </w:rPr>
      </w:pPr>
      <w:r w:rsidRPr="00993936">
        <w:rPr>
          <w:rFonts w:ascii="Arial" w:hAnsi="Arial" w:cs="Arial"/>
          <w:lang w:val="es-ES"/>
        </w:rPr>
        <w:t>19.1.2.3 Los fitosanitarios en polvo han de almacenarse en estantes situados por encima de los líquidos.</w:t>
      </w:r>
    </w:p>
    <w:p w:rsidR="00412AFB" w:rsidRPr="00993936" w:rsidRDefault="00412AFB" w:rsidP="00412AFB">
      <w:pPr>
        <w:jc w:val="both"/>
        <w:rPr>
          <w:rFonts w:ascii="Arial" w:hAnsi="Arial" w:cs="Arial"/>
          <w:lang w:val="es-ES"/>
        </w:rPr>
      </w:pPr>
      <w:r w:rsidRPr="00993936">
        <w:rPr>
          <w:rFonts w:ascii="Arial" w:hAnsi="Arial" w:cs="Arial"/>
          <w:lang w:val="es-ES"/>
        </w:rPr>
        <w:t>19.1.2.4 La conservación de los justificantes de las compras y gastos de los productos fitosanitarios reflejados en el cuaderno de explotación es obligatoria durante tres años.</w:t>
      </w:r>
    </w:p>
    <w:p w:rsidR="00412AFB" w:rsidRPr="00993936" w:rsidRDefault="00412AFB" w:rsidP="00412AFB">
      <w:pPr>
        <w:jc w:val="both"/>
        <w:rPr>
          <w:rFonts w:ascii="Arial" w:hAnsi="Arial" w:cs="Arial"/>
          <w:lang w:val="es-ES"/>
        </w:rPr>
      </w:pPr>
      <w:r w:rsidRPr="00993936">
        <w:rPr>
          <w:rFonts w:ascii="Arial" w:hAnsi="Arial" w:cs="Arial"/>
          <w:lang w:val="es-ES"/>
        </w:rPr>
        <w:t xml:space="preserve">19.1.2.5 En caso de existir un almacén de productos fitosanitarios y/o fertilizantes en los lugares de almacenamiento de los </w:t>
      </w:r>
      <w:r w:rsidR="00D466EE" w:rsidRPr="00993936">
        <w:rPr>
          <w:rFonts w:ascii="Arial" w:hAnsi="Arial" w:cs="Arial"/>
          <w:lang w:val="es-ES"/>
        </w:rPr>
        <w:t>cereales</w:t>
      </w:r>
      <w:r w:rsidRPr="00993936">
        <w:rPr>
          <w:rFonts w:ascii="Arial" w:hAnsi="Arial" w:cs="Arial"/>
          <w:lang w:val="es-ES"/>
        </w:rPr>
        <w:t>, se aplicarán las obligaciones de la RTS (Reglamentación técnico-sanitaria) y las del Real Decreto 1311/2012.</w:t>
      </w: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t>19.2 Recomendaciones</w:t>
      </w: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t>19.2.1 No almacenar los productos fitosanitarios ni fertilizantes en contacto con el suelo.</w:t>
      </w:r>
    </w:p>
    <w:p w:rsidR="00412AFB" w:rsidRPr="00993936" w:rsidRDefault="00412AFB" w:rsidP="00412AFB">
      <w:pPr>
        <w:jc w:val="both"/>
        <w:rPr>
          <w:rFonts w:ascii="Arial" w:hAnsi="Arial" w:cs="Arial"/>
          <w:lang w:val="es-ES"/>
        </w:rPr>
      </w:pPr>
      <w:r w:rsidRPr="00993936">
        <w:rPr>
          <w:rFonts w:ascii="Arial" w:hAnsi="Arial" w:cs="Arial"/>
          <w:lang w:val="es-ES"/>
        </w:rPr>
        <w:t>19.2.2 Emplear estantes de almacén de materiales no absorbentes.</w:t>
      </w:r>
    </w:p>
    <w:p w:rsidR="00412AFB" w:rsidRPr="00993936" w:rsidRDefault="00412AFB" w:rsidP="00412AFB">
      <w:pPr>
        <w:jc w:val="both"/>
        <w:rPr>
          <w:rFonts w:ascii="Arial" w:hAnsi="Arial" w:cs="Arial"/>
          <w:lang w:val="es-ES"/>
        </w:rPr>
      </w:pPr>
      <w:r w:rsidRPr="00993936">
        <w:rPr>
          <w:rFonts w:ascii="Arial" w:hAnsi="Arial" w:cs="Arial"/>
          <w:lang w:val="es-ES"/>
        </w:rPr>
        <w:t>19.2.3 No almacenar productos innecesariamente.</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lastRenderedPageBreak/>
        <w:t>Artículo 20</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Señalización de seguridad</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20.1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20.1.1 Utilizar las señalizaciones que prevé la legislación vigente.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20.1.2 En el almacén de productos fitosanitarios deben estar presentes, de manera accesible y legible, las normas generales de actuación en caso de intoxicación y derrame accidental, y es obligatorio disponer de los números de teléfono del Instituto de Toxicología y de otros organismos que puedan ser competentes en esta materia.</w:t>
      </w:r>
    </w:p>
    <w:p w:rsidR="00412AFB" w:rsidRPr="00993936" w:rsidRDefault="00412AFB" w:rsidP="00412AFB">
      <w:pPr>
        <w:jc w:val="both"/>
        <w:rPr>
          <w:rFonts w:ascii="Arial" w:hAnsi="Arial" w:cs="Arial"/>
          <w:lang w:val="es-ES"/>
        </w:rPr>
      </w:pPr>
    </w:p>
    <w:p w:rsidR="00412AFB" w:rsidRPr="00993936" w:rsidRDefault="00412AFB" w:rsidP="00412AFB">
      <w:pPr>
        <w:numPr>
          <w:ilvl w:val="0"/>
          <w:numId w:val="16"/>
        </w:numPr>
        <w:spacing w:after="0" w:line="240" w:lineRule="auto"/>
        <w:jc w:val="both"/>
        <w:rPr>
          <w:rFonts w:ascii="Arial" w:hAnsi="Arial" w:cs="Arial"/>
          <w:b/>
          <w:lang w:val="es-ES"/>
        </w:rPr>
      </w:pPr>
      <w:r w:rsidRPr="00993936">
        <w:rPr>
          <w:rFonts w:ascii="Arial" w:hAnsi="Arial" w:cs="Arial"/>
          <w:b/>
          <w:lang w:val="es-ES"/>
        </w:rPr>
        <w:t>ALMACENAMIENTO Y CONSERVACIÓN DE LOS FORRAJES</w:t>
      </w:r>
    </w:p>
    <w:p w:rsidR="00412AFB" w:rsidRPr="00993936" w:rsidRDefault="00412AFB" w:rsidP="00412AFB">
      <w:pPr>
        <w:jc w:val="both"/>
        <w:rPr>
          <w:rFonts w:ascii="Arial" w:hAnsi="Arial" w:cs="Arial"/>
          <w:lang w:val="es-ES"/>
        </w:rPr>
      </w:pPr>
      <w:r w:rsidRPr="00993936">
        <w:rPr>
          <w:rFonts w:ascii="Arial" w:hAnsi="Arial" w:cs="Arial"/>
          <w:noProof/>
          <w:lang w:val="es-ES" w:eastAsia="es-ES"/>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-2383790</wp:posOffset>
                </wp:positionV>
                <wp:extent cx="0" cy="114300"/>
                <wp:effectExtent l="9525" t="6985" r="9525" b="12065"/>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B80F0D" id="Conector recto 3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7.7pt" to="0,-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"/>
            </w:pict>
          </mc:Fallback>
        </mc:AlternateContent>
      </w: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 xml:space="preserve">Artículo 21 </w:t>
      </w:r>
    </w:p>
    <w:p w:rsidR="00412AFB" w:rsidRPr="00993936" w:rsidRDefault="00412AFB" w:rsidP="00412AFB">
      <w:pPr>
        <w:jc w:val="both"/>
        <w:rPr>
          <w:rFonts w:ascii="Arial" w:hAnsi="Arial" w:cs="Arial"/>
          <w:b/>
          <w:lang w:val="es-ES"/>
        </w:rPr>
      </w:pPr>
      <w:r w:rsidRPr="00993936">
        <w:rPr>
          <w:rFonts w:ascii="Arial" w:hAnsi="Arial" w:cs="Arial"/>
          <w:b/>
          <w:lang w:val="es-ES"/>
        </w:rPr>
        <w:t>Transporte y recepción en el almacén</w:t>
      </w:r>
    </w:p>
    <w:p w:rsidR="00412AFB" w:rsidRPr="00993936" w:rsidRDefault="00412AFB" w:rsidP="00412AFB">
      <w:pPr>
        <w:jc w:val="both"/>
        <w:rPr>
          <w:rFonts w:ascii="Arial" w:hAnsi="Arial" w:cs="Arial"/>
          <w:lang w:val="es-ES"/>
        </w:rPr>
      </w:pPr>
      <w:r w:rsidRPr="00993936">
        <w:rPr>
          <w:rFonts w:ascii="Arial" w:hAnsi="Arial" w:cs="Arial"/>
          <w:lang w:val="es-ES"/>
        </w:rPr>
        <w:t xml:space="preserve">21.1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21.1.1 Los vehículos que lleguen a las instalaciones deben estar en condiciones de higiene y cargados exclusivamente con forrajes.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21.1.2 Habrá una separación física, definida y señalizada, de los forrajes que proceden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21.1.3 Realizar una inspección visual de las partidas de forraje cuando lleguen a la recepción, establecer un sistema de verificación de la calidad de los productos que entran. Habrá un registro de incidencias en caso de incumplimiento. Las partidas que no cumplan los requisitos anteriores dejarán de considerarse como producción integrada.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21.1.4 Antes de cargar todos los elementos de transporte deben estar limpios, en buen estado y exentos de olores y objetos extraños.</w:t>
      </w:r>
    </w:p>
    <w:p w:rsidR="00412AFB" w:rsidRPr="00993936" w:rsidRDefault="00412AFB" w:rsidP="00412AFB">
      <w:pPr>
        <w:jc w:val="both"/>
        <w:rPr>
          <w:rFonts w:ascii="Arial" w:hAnsi="Arial" w:cs="Arial"/>
          <w:i/>
          <w:lang w:val="es-ES"/>
        </w:rPr>
      </w:pPr>
      <w:r w:rsidRPr="00993936">
        <w:rPr>
          <w:rFonts w:ascii="Arial" w:hAnsi="Arial" w:cs="Arial"/>
          <w:lang w:val="es-ES"/>
        </w:rPr>
        <w:t xml:space="preserve">21.2.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21.2.1 Almacenar productos químicos y desechos en la zona de recepción de forrajes.</w:t>
      </w:r>
    </w:p>
    <w:p w:rsidR="00412AFB" w:rsidRPr="00993936" w:rsidRDefault="00412AFB" w:rsidP="00412AFB">
      <w:pPr>
        <w:rPr>
          <w:rFonts w:ascii="Arial" w:hAnsi="Arial" w:cs="Arial"/>
          <w:lang w:val="es-ES"/>
        </w:rPr>
      </w:pPr>
    </w:p>
    <w:p w:rsidR="00412AFB" w:rsidRPr="00993936" w:rsidRDefault="00412AFB" w:rsidP="00412AFB">
      <w:pPr>
        <w:pStyle w:val="Ttulo4"/>
        <w:rPr>
          <w:rFonts w:ascii="Arial" w:hAnsi="Arial" w:cs="Arial"/>
          <w:i w:val="0"/>
          <w:color w:val="auto"/>
          <w:lang w:val="es-ES"/>
        </w:rPr>
      </w:pPr>
      <w:r w:rsidRPr="00993936">
        <w:rPr>
          <w:rFonts w:ascii="Arial" w:hAnsi="Arial" w:cs="Arial"/>
          <w:i w:val="0"/>
          <w:color w:val="auto"/>
          <w:lang w:val="es-ES"/>
        </w:rPr>
        <w:t>Artículo 22</w:t>
      </w:r>
    </w:p>
    <w:p w:rsidR="00412AFB" w:rsidRPr="00993936" w:rsidRDefault="00412AFB" w:rsidP="00412AFB">
      <w:pPr>
        <w:pStyle w:val="Ttulo4"/>
        <w:rPr>
          <w:rFonts w:ascii="Arial" w:hAnsi="Arial" w:cs="Arial"/>
          <w:b/>
          <w:i w:val="0"/>
          <w:color w:val="auto"/>
          <w:lang w:val="es-ES"/>
        </w:rPr>
      </w:pPr>
      <w:r w:rsidRPr="00993936">
        <w:rPr>
          <w:rFonts w:ascii="Arial" w:hAnsi="Arial" w:cs="Arial"/>
          <w:b/>
          <w:i w:val="0"/>
          <w:color w:val="auto"/>
          <w:lang w:val="es-ES"/>
        </w:rPr>
        <w:t>Tratamientos de posrecolección</w:t>
      </w:r>
    </w:p>
    <w:p w:rsidR="00412AFB" w:rsidRPr="00993936" w:rsidRDefault="00412AFB" w:rsidP="00412AFB">
      <w:pPr>
        <w:pStyle w:val="Ttulo4"/>
        <w:rPr>
          <w:rFonts w:ascii="Arial" w:hAnsi="Arial" w:cs="Arial"/>
          <w:color w:val="auto"/>
          <w:lang w:val="es-ES"/>
        </w:rPr>
      </w:pPr>
      <w:r w:rsidRPr="00993936">
        <w:rPr>
          <w:rFonts w:ascii="Arial" w:hAnsi="Arial" w:cs="Arial"/>
          <w:color w:val="auto"/>
          <w:lang w:val="es-ES"/>
        </w:rPr>
        <w:t>22.1 Obligaciones</w:t>
      </w:r>
    </w:p>
    <w:p w:rsidR="00412AFB" w:rsidRPr="00993936" w:rsidRDefault="00412AFB" w:rsidP="00412AFB">
      <w:pPr>
        <w:pStyle w:val="Textoindependiente"/>
        <w:rPr>
          <w:rFonts w:cs="Arial"/>
          <w:szCs w:val="22"/>
          <w:lang w:val="es-ES"/>
        </w:rPr>
      </w:pPr>
      <w:r w:rsidRPr="00993936">
        <w:rPr>
          <w:rFonts w:cs="Arial"/>
          <w:szCs w:val="22"/>
          <w:lang w:val="es-ES"/>
        </w:rPr>
        <w:t>22.1.1 Todas las aplicaciones en los tratamientos posrecolección, de hacerse, se registrarán en el cuaderno de conservación y/o poscosecha indicando en las anotaciones, como mínimo, los siguientes datos: fecha de aplicación, especie y/o variedad, la justificación del tratamiento, materia activa, producto, cantidad aplicada y la maquinaria o sistema que se ha utilizado para dicha aplicación.</w:t>
      </w:r>
    </w:p>
    <w:p w:rsidR="00412AFB" w:rsidRPr="00993936" w:rsidRDefault="00412AFB" w:rsidP="00412AFB">
      <w:pPr>
        <w:jc w:val="both"/>
        <w:rPr>
          <w:rFonts w:ascii="Arial" w:hAnsi="Arial" w:cs="Arial"/>
          <w:lang w:val="es-ES"/>
        </w:rPr>
      </w:pPr>
      <w:r w:rsidRPr="00993936">
        <w:rPr>
          <w:rFonts w:ascii="Arial" w:hAnsi="Arial" w:cs="Arial"/>
          <w:lang w:val="es-ES"/>
        </w:rPr>
        <w:t>22.1.2 En los tratamientos en posrecolección tendrán preferencia los métodos físicos, biológicos o con productos naturales frente a los productos de síntesis.</w:t>
      </w:r>
    </w:p>
    <w:p w:rsidR="00412AFB" w:rsidRPr="00993936" w:rsidRDefault="00412AFB" w:rsidP="00412AFB">
      <w:pPr>
        <w:jc w:val="both"/>
        <w:rPr>
          <w:rFonts w:ascii="Arial" w:hAnsi="Arial" w:cs="Arial"/>
          <w:lang w:val="es-ES"/>
        </w:rPr>
      </w:pPr>
      <w:r w:rsidRPr="00993936">
        <w:rPr>
          <w:rFonts w:ascii="Arial" w:hAnsi="Arial" w:cs="Arial"/>
          <w:lang w:val="es-ES"/>
        </w:rPr>
        <w:t>22.1.3 En los tratamientos con productos químicos de síntesis se utilizarán, de entre los autorizados, aquellos que tengan un perfil toxicológico más favorable y, de entre estos, aquellos cuyos límites máximos de residuos estén armonizados a nivel comunitario.</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23</w:t>
      </w:r>
    </w:p>
    <w:p w:rsidR="00412AFB" w:rsidRPr="00993936" w:rsidRDefault="00412AFB" w:rsidP="00412AFB">
      <w:pPr>
        <w:jc w:val="both"/>
        <w:rPr>
          <w:rFonts w:ascii="Arial" w:hAnsi="Arial" w:cs="Arial"/>
          <w:b/>
          <w:lang w:val="es-ES"/>
        </w:rPr>
      </w:pPr>
      <w:r w:rsidRPr="00993936">
        <w:rPr>
          <w:rFonts w:ascii="Arial" w:hAnsi="Arial" w:cs="Arial"/>
          <w:b/>
          <w:lang w:val="es-ES"/>
        </w:rPr>
        <w:lastRenderedPageBreak/>
        <w:t>Almacenamiento y conservación</w:t>
      </w:r>
    </w:p>
    <w:p w:rsidR="00412AFB" w:rsidRPr="00993936" w:rsidRDefault="00412AFB" w:rsidP="00412AFB">
      <w:pPr>
        <w:rPr>
          <w:rFonts w:ascii="Arial" w:hAnsi="Arial" w:cs="Arial"/>
          <w:lang w:val="es-ES"/>
        </w:rPr>
      </w:pPr>
      <w:r w:rsidRPr="00993936">
        <w:rPr>
          <w:rFonts w:ascii="Arial" w:hAnsi="Arial" w:cs="Arial"/>
          <w:lang w:val="es-ES"/>
        </w:rPr>
        <w:t>23.1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23.1.1 El almacenamiento ha de realizarse con procedimientos que permitan garantizar la mejor calidad posible de los forrajes.</w:t>
      </w:r>
    </w:p>
    <w:p w:rsidR="00412AFB" w:rsidRPr="00993936" w:rsidRDefault="00412AFB" w:rsidP="00412AFB">
      <w:pPr>
        <w:jc w:val="both"/>
        <w:rPr>
          <w:rFonts w:ascii="Arial" w:hAnsi="Arial" w:cs="Arial"/>
          <w:lang w:val="es-ES"/>
        </w:rPr>
      </w:pPr>
      <w:r w:rsidRPr="00993936">
        <w:rPr>
          <w:rFonts w:ascii="Arial" w:hAnsi="Arial" w:cs="Arial"/>
          <w:lang w:val="es-ES"/>
        </w:rPr>
        <w:t>23.1.2 Mantener limpias las instalaciones y limpiar, desinfectar y luchar contra los parásitos de los espacios de almacenamiento, de modo que no se produzca ningún tipo de contaminación de los forrajes.</w:t>
      </w:r>
    </w:p>
    <w:p w:rsidR="00412AFB" w:rsidRPr="00993936" w:rsidRDefault="00412AFB" w:rsidP="00412AFB">
      <w:pPr>
        <w:jc w:val="both"/>
        <w:rPr>
          <w:rFonts w:ascii="Arial" w:hAnsi="Arial" w:cs="Arial"/>
          <w:lang w:val="es-ES"/>
        </w:rPr>
      </w:pPr>
      <w:r w:rsidRPr="00993936">
        <w:rPr>
          <w:rFonts w:ascii="Arial" w:hAnsi="Arial" w:cs="Arial"/>
          <w:lang w:val="es-ES"/>
        </w:rPr>
        <w:t>23.1.3 Establecer en los almacenes una separación clara y definida entre los productos procedentes de cultivos de producción integrada y los otros productos.</w:t>
      </w:r>
    </w:p>
    <w:p w:rsidR="00412AFB" w:rsidRPr="00993936" w:rsidRDefault="00412AFB" w:rsidP="00412AFB">
      <w:pPr>
        <w:rPr>
          <w:rFonts w:ascii="Arial" w:hAnsi="Arial" w:cs="Arial"/>
          <w:lang w:val="es-ES"/>
        </w:rPr>
      </w:pPr>
      <w:r w:rsidRPr="00993936">
        <w:rPr>
          <w:rFonts w:ascii="Arial" w:hAnsi="Arial" w:cs="Arial"/>
          <w:lang w:val="es-ES"/>
        </w:rPr>
        <w:t xml:space="preserve">23.2 </w:t>
      </w:r>
      <w:r w:rsidRPr="00993936">
        <w:rPr>
          <w:rFonts w:ascii="Arial" w:hAnsi="Arial" w:cs="Arial"/>
          <w:i/>
          <w:lang w:val="es-ES"/>
        </w:rPr>
        <w:t>Prohibiciones</w:t>
      </w:r>
    </w:p>
    <w:p w:rsidR="00412AFB" w:rsidRPr="00993936" w:rsidRDefault="00412AFB" w:rsidP="00412AFB">
      <w:pPr>
        <w:pStyle w:val="Textoindependiente"/>
        <w:rPr>
          <w:rFonts w:cs="Arial"/>
          <w:szCs w:val="22"/>
          <w:lang w:val="es-ES"/>
        </w:rPr>
      </w:pPr>
      <w:r w:rsidRPr="00993936">
        <w:rPr>
          <w:rFonts w:cs="Arial"/>
          <w:szCs w:val="22"/>
          <w:lang w:val="es-ES"/>
        </w:rPr>
        <w:t>23.2.1 La utilización de productos químicos de síntesis para la desinfección del almacén, salvo causa justificada y que sea expresamente autorizada por la autoridad competente, establecida en el Decreto 241/2002.</w:t>
      </w:r>
    </w:p>
    <w:p w:rsidR="00412AFB" w:rsidRPr="00993936" w:rsidRDefault="00412AFB" w:rsidP="00412AFB">
      <w:pPr>
        <w:rPr>
          <w:rFonts w:ascii="Arial" w:hAnsi="Arial" w:cs="Arial"/>
          <w:lang w:val="es-ES"/>
        </w:rPr>
      </w:pPr>
    </w:p>
    <w:p w:rsidR="00412AFB" w:rsidRPr="00993936" w:rsidRDefault="00412AFB" w:rsidP="00412AFB">
      <w:pPr>
        <w:pStyle w:val="Textoindependiente"/>
        <w:outlineLvl w:val="0"/>
        <w:rPr>
          <w:rFonts w:cs="Arial"/>
          <w:szCs w:val="22"/>
          <w:lang w:val="es-ES"/>
        </w:rPr>
      </w:pPr>
      <w:r w:rsidRPr="00993936">
        <w:rPr>
          <w:rFonts w:cs="Arial"/>
          <w:szCs w:val="22"/>
          <w:lang w:val="es-ES"/>
        </w:rPr>
        <w:t>Artículo 24</w:t>
      </w:r>
    </w:p>
    <w:p w:rsidR="00412AFB" w:rsidRPr="00993936" w:rsidRDefault="00412AFB" w:rsidP="00412AFB">
      <w:pPr>
        <w:pStyle w:val="Textoindependiente"/>
        <w:outlineLvl w:val="0"/>
        <w:rPr>
          <w:rFonts w:cs="Arial"/>
          <w:b/>
          <w:szCs w:val="22"/>
          <w:lang w:val="es-ES"/>
        </w:rPr>
      </w:pPr>
      <w:r w:rsidRPr="00993936">
        <w:rPr>
          <w:rFonts w:cs="Arial"/>
          <w:b/>
          <w:szCs w:val="22"/>
          <w:lang w:val="es-ES"/>
        </w:rPr>
        <w:t>Cuaderno de conservación/poscosecha</w:t>
      </w:r>
    </w:p>
    <w:p w:rsidR="00412AFB" w:rsidRPr="00993936" w:rsidRDefault="00412AFB" w:rsidP="00412AFB">
      <w:pPr>
        <w:jc w:val="both"/>
        <w:rPr>
          <w:rFonts w:ascii="Arial" w:hAnsi="Arial" w:cs="Arial"/>
          <w:lang w:val="es-ES"/>
        </w:rPr>
      </w:pPr>
      <w:r w:rsidRPr="00993936">
        <w:rPr>
          <w:rFonts w:ascii="Arial" w:hAnsi="Arial" w:cs="Arial"/>
          <w:lang w:val="es-ES"/>
        </w:rPr>
        <w:t xml:space="preserve">24.1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24.1.1 El modelo de cuaderno de explotación es único en cuanto al contenido de los datos que deben registrarse, y será aprobado por el Departamento de Agricultura, Ganadería, Pesca y Alimentación. </w:t>
      </w:r>
    </w:p>
    <w:p w:rsidR="00412AFB" w:rsidRPr="00993936" w:rsidRDefault="00412AFB" w:rsidP="00412AFB">
      <w:pPr>
        <w:jc w:val="both"/>
        <w:rPr>
          <w:rFonts w:ascii="Arial" w:hAnsi="Arial" w:cs="Arial"/>
          <w:lang w:val="es-ES"/>
        </w:rPr>
      </w:pPr>
      <w:r w:rsidRPr="00993936">
        <w:rPr>
          <w:rFonts w:ascii="Arial" w:hAnsi="Arial" w:cs="Arial"/>
          <w:lang w:val="es-ES"/>
        </w:rPr>
        <w:t>24.1.2 El personal técnico responsable de conservación de productos de producción integrada se responsabilizará periódicamente, mediante su firma, de la conformidad de las anotaciones realizadas en el cuaderno de conservación para con el sistema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24.1.3 El cuaderno de conservación es obligatorio y estará siempre disponible para su inspección. Para la buena funcionalidad del sistema, las anotaciones de las operaciones deberán realizarse en el plazo máximo de los siete días siguientes a su ejecución.</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25</w:t>
      </w:r>
    </w:p>
    <w:p w:rsidR="00412AFB" w:rsidRPr="00993936" w:rsidRDefault="00412AFB" w:rsidP="00412AFB">
      <w:pPr>
        <w:jc w:val="both"/>
        <w:rPr>
          <w:rFonts w:ascii="Arial" w:hAnsi="Arial" w:cs="Arial"/>
          <w:b/>
          <w:lang w:val="es-ES"/>
        </w:rPr>
      </w:pPr>
      <w:r w:rsidRPr="00993936">
        <w:rPr>
          <w:rFonts w:ascii="Arial" w:hAnsi="Arial" w:cs="Arial"/>
          <w:b/>
          <w:lang w:val="es-ES"/>
        </w:rPr>
        <w:t xml:space="preserve">Formación del personal </w:t>
      </w:r>
    </w:p>
    <w:p w:rsidR="00412AFB" w:rsidRPr="00993936" w:rsidRDefault="00412AFB" w:rsidP="00412AFB">
      <w:pPr>
        <w:jc w:val="both"/>
        <w:rPr>
          <w:rFonts w:ascii="Arial" w:hAnsi="Arial" w:cs="Arial"/>
          <w:lang w:val="es-ES"/>
        </w:rPr>
      </w:pPr>
      <w:r w:rsidRPr="00993936">
        <w:rPr>
          <w:rFonts w:ascii="Arial" w:hAnsi="Arial" w:cs="Arial"/>
          <w:lang w:val="es-ES"/>
        </w:rPr>
        <w:t>25.1</w:t>
      </w:r>
      <w:r w:rsidRPr="00993936">
        <w:rPr>
          <w:rFonts w:ascii="Arial" w:hAnsi="Arial" w:cs="Arial"/>
          <w:i/>
          <w:lang w:val="es-ES"/>
        </w:rPr>
        <w:t xml:space="preserve"> Obligaciones</w:t>
      </w:r>
    </w:p>
    <w:p w:rsidR="00412AFB" w:rsidRPr="00993936" w:rsidRDefault="006E0CBA" w:rsidP="006E0CBA">
      <w:pPr>
        <w:jc w:val="both"/>
        <w:rPr>
          <w:rFonts w:ascii="Arial" w:hAnsi="Arial" w:cs="Arial"/>
          <w:lang w:val="es-ES"/>
        </w:rPr>
      </w:pPr>
      <w:r w:rsidRPr="00993936">
        <w:rPr>
          <w:rFonts w:ascii="Arial" w:hAnsi="Arial" w:cs="Arial"/>
          <w:lang w:val="es-ES"/>
        </w:rPr>
        <w:t xml:space="preserve">25.1.1 </w:t>
      </w:r>
      <w:r w:rsidR="00412AFB" w:rsidRPr="00993936">
        <w:rPr>
          <w:rFonts w:ascii="Arial" w:hAnsi="Arial" w:cs="Arial"/>
          <w:lang w:val="es-ES"/>
        </w:rPr>
        <w:t>La empresa deberá fomentar la formación y proporcionar la que sea necesaria al personal implicado en la aplicación de esta norma y demás partes afectadas por su actividad. Por otro lado, todos los agentes que participen en la producción integrada deben tener una formación específica al respecto.</w:t>
      </w:r>
    </w:p>
    <w:p w:rsidR="00412AFB" w:rsidRPr="00993936" w:rsidRDefault="00412AFB" w:rsidP="00412AFB">
      <w:pPr>
        <w:pStyle w:val="Sangradetextonormal"/>
        <w:ind w:left="0"/>
        <w:jc w:val="both"/>
        <w:rPr>
          <w:rFonts w:cs="Arial"/>
          <w:b/>
          <w:szCs w:val="22"/>
          <w:lang w:val="es-ES"/>
        </w:rPr>
      </w:pPr>
      <w:r w:rsidRPr="00993936">
        <w:rPr>
          <w:rFonts w:cs="Arial"/>
          <w:szCs w:val="22"/>
          <w:lang w:val="es-ES"/>
        </w:rPr>
        <w:t xml:space="preserve">25.1.1.1 </w:t>
      </w:r>
      <w:r w:rsidRPr="00993936">
        <w:rPr>
          <w:rFonts w:cs="Arial"/>
          <w:szCs w:val="22"/>
          <w:u w:val="single"/>
          <w:lang w:val="es-ES"/>
        </w:rPr>
        <w:t>Personal del almacén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La empresa ha de asegurar la formación del personal del almacén en materia de buenas prácticas de higiene y manipulado, y conservar un registro de los cursos impartidos.</w:t>
      </w:r>
    </w:p>
    <w:p w:rsidR="00412AFB" w:rsidRPr="00993936" w:rsidRDefault="00412AFB" w:rsidP="00412AFB">
      <w:pPr>
        <w:jc w:val="both"/>
        <w:rPr>
          <w:rFonts w:ascii="Arial" w:hAnsi="Arial" w:cs="Arial"/>
          <w:lang w:val="es-ES"/>
        </w:rPr>
      </w:pPr>
      <w:r w:rsidRPr="00993936">
        <w:rPr>
          <w:rFonts w:ascii="Arial" w:hAnsi="Arial" w:cs="Arial"/>
          <w:lang w:val="es-ES"/>
        </w:rPr>
        <w:t xml:space="preserve">25.1.1.2 </w:t>
      </w:r>
      <w:r w:rsidRPr="00993936">
        <w:rPr>
          <w:rFonts w:ascii="Arial" w:hAnsi="Arial" w:cs="Arial"/>
          <w:u w:val="single"/>
          <w:lang w:val="es-ES"/>
        </w:rPr>
        <w:t>Personal técnico competente</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El personal técnico competente que participe en la producción integrada debe tener una formación universitaria de acuerdo con lo establecido en el artículo 11.1 del Decreto 241/2002 y acreditar una formación específica en producción integrada en virtud de lo que se establece en el artículo 24.1 del mencionado Decreto. Esta formación, en Cataluña, se regula por la Orden ARP/69/2003, de 14 de febrero (DOGC núm. 3832, de 27.02.2003), por los que se establecen y regulan los cursos de formación en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25.1.1.3</w:t>
      </w:r>
      <w:r w:rsidR="00E03B3B" w:rsidRPr="00993936">
        <w:rPr>
          <w:rFonts w:ascii="Arial" w:hAnsi="Arial" w:cs="Arial"/>
          <w:lang w:val="es-ES"/>
        </w:rPr>
        <w:t xml:space="preserve"> </w:t>
      </w:r>
      <w:r w:rsidRPr="00993936">
        <w:rPr>
          <w:rFonts w:ascii="Arial" w:hAnsi="Arial" w:cs="Arial"/>
          <w:u w:val="single"/>
          <w:lang w:val="es-ES"/>
        </w:rPr>
        <w:t>Operadores o personas operadoras</w:t>
      </w:r>
    </w:p>
    <w:p w:rsidR="00412AFB" w:rsidRPr="00993936" w:rsidRDefault="00412AFB" w:rsidP="00412AFB">
      <w:pPr>
        <w:jc w:val="both"/>
        <w:rPr>
          <w:rFonts w:ascii="Arial" w:hAnsi="Arial" w:cs="Arial"/>
          <w:lang w:val="es-ES"/>
        </w:rPr>
      </w:pPr>
      <w:r w:rsidRPr="00993936">
        <w:rPr>
          <w:rFonts w:ascii="Arial" w:hAnsi="Arial" w:cs="Arial"/>
          <w:lang w:val="es-ES"/>
        </w:rPr>
        <w:t>Todos los miembros del personal operador de producción integrada (productores y/o elaboradores) deben tener una formación específica en producción integrada, por lo que tienen que acreditar la realización de un curso de producción integrada impartido por la Administración pública o por alguna entidad reconocida, de acuerdo con lo establecido en el Decreto 241/2002 y la Orden ARP/69/2003, de 14 de febrero (DOGC núm. 3832, de 27.02.2003), por los que se establecen y regulan los cursos de formación en producción integrada.</w:t>
      </w: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t xml:space="preserve">25.1.1.4 </w:t>
      </w:r>
      <w:r w:rsidRPr="00993936">
        <w:rPr>
          <w:rFonts w:ascii="Arial" w:hAnsi="Arial" w:cs="Arial"/>
          <w:color w:val="auto"/>
          <w:sz w:val="22"/>
          <w:szCs w:val="22"/>
          <w:u w:val="single"/>
        </w:rPr>
        <w:t>Persona encargada de manipular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La persona encargada de manipular productos fitosanitarios debe estar en posesión del carné de manipulador de nivel básico que la capacita para desarrollar su actividad, salvo las excepciones previstas en la legislación vigente.</w:t>
      </w:r>
    </w:p>
    <w:p w:rsidR="00412AFB" w:rsidRPr="00993936" w:rsidRDefault="00412AFB" w:rsidP="00412AFB">
      <w:pPr>
        <w:jc w:val="both"/>
        <w:rPr>
          <w:rFonts w:ascii="Arial" w:hAnsi="Arial" w:cs="Arial"/>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IV. IDENTIFICACIÓN, TRAZABILIDAD Y COMERCIALIZACIÓN</w:t>
      </w:r>
    </w:p>
    <w:p w:rsidR="00412AFB" w:rsidRPr="00993936" w:rsidRDefault="00412AFB" w:rsidP="00412AFB">
      <w:pPr>
        <w:pStyle w:val="Ttulo6"/>
        <w:jc w:val="both"/>
        <w:rPr>
          <w:rFonts w:ascii="Arial" w:hAnsi="Arial" w:cs="Arial"/>
          <w:color w:val="auto"/>
          <w:lang w:val="es-ES"/>
        </w:rPr>
      </w:pPr>
      <w:r w:rsidRPr="00993936">
        <w:rPr>
          <w:rFonts w:ascii="Arial" w:hAnsi="Arial" w:cs="Arial"/>
          <w:color w:val="auto"/>
          <w:lang w:val="es-ES"/>
        </w:rPr>
        <w:t xml:space="preserve"> </w:t>
      </w:r>
    </w:p>
    <w:p w:rsidR="00412AFB" w:rsidRPr="00993936" w:rsidRDefault="00412AFB" w:rsidP="00412AFB">
      <w:pPr>
        <w:pStyle w:val="Ttulo6"/>
        <w:jc w:val="both"/>
        <w:rPr>
          <w:rFonts w:ascii="Arial" w:hAnsi="Arial" w:cs="Arial"/>
          <w:b/>
          <w:color w:val="auto"/>
          <w:lang w:val="es-ES"/>
        </w:rPr>
      </w:pPr>
      <w:r w:rsidRPr="00993936">
        <w:rPr>
          <w:rFonts w:ascii="Arial" w:hAnsi="Arial" w:cs="Arial"/>
          <w:color w:val="auto"/>
          <w:lang w:val="es-ES"/>
        </w:rPr>
        <w:t>Artículo 26</w:t>
      </w:r>
    </w:p>
    <w:p w:rsidR="00412AFB" w:rsidRPr="00993936" w:rsidRDefault="00412AFB" w:rsidP="00412AFB">
      <w:pPr>
        <w:pStyle w:val="Ttulo6"/>
        <w:jc w:val="both"/>
        <w:rPr>
          <w:rFonts w:ascii="Arial" w:hAnsi="Arial" w:cs="Arial"/>
          <w:b/>
          <w:color w:val="auto"/>
          <w:lang w:val="es-ES"/>
        </w:rPr>
      </w:pPr>
      <w:r w:rsidRPr="00993936">
        <w:rPr>
          <w:rFonts w:ascii="Arial" w:hAnsi="Arial" w:cs="Arial"/>
          <w:b/>
          <w:noProof/>
          <w:color w:val="auto"/>
          <w:lang w:val="es-ES" w:eastAsia="es-ES"/>
        </w:rPr>
        <mc:AlternateContent>
          <mc:Choice Requires="wps">
            <w:drawing>
              <wp:anchor distT="0" distB="0" distL="114300" distR="114300" simplePos="0" relativeHeight="251713536" behindDoc="0" locked="0" layoutInCell="1" allowOverlap="1">
                <wp:simplePos x="0" y="0"/>
                <wp:positionH relativeFrom="column">
                  <wp:posOffset>800100</wp:posOffset>
                </wp:positionH>
                <wp:positionV relativeFrom="paragraph">
                  <wp:posOffset>-2912110</wp:posOffset>
                </wp:positionV>
                <wp:extent cx="0" cy="0"/>
                <wp:effectExtent l="9525" t="12065" r="9525" b="6985"/>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A3872D" id="Conector recto 3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705344" behindDoc="0" locked="0" layoutInCell="1" allowOverlap="1">
                <wp:simplePos x="0" y="0"/>
                <wp:positionH relativeFrom="column">
                  <wp:posOffset>5715000</wp:posOffset>
                </wp:positionH>
                <wp:positionV relativeFrom="paragraph">
                  <wp:posOffset>-3715385</wp:posOffset>
                </wp:positionV>
                <wp:extent cx="0" cy="0"/>
                <wp:effectExtent l="9525" t="8890" r="9525" b="10160"/>
                <wp:wrapNone/>
                <wp:docPr id="31" name="Conector rec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D2C074" id="Conector recto 3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697152" behindDoc="0" locked="0" layoutInCell="1" allowOverlap="1">
                <wp:simplePos x="0" y="0"/>
                <wp:positionH relativeFrom="column">
                  <wp:posOffset>2286000</wp:posOffset>
                </wp:positionH>
                <wp:positionV relativeFrom="paragraph">
                  <wp:posOffset>-3715385</wp:posOffset>
                </wp:positionV>
                <wp:extent cx="0" cy="0"/>
                <wp:effectExtent l="9525" t="8890" r="9525" b="1016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9A73955" id="Conector recto 30"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"/>
            </w:pict>
          </mc:Fallback>
        </mc:AlternateContent>
      </w:r>
      <w:r w:rsidRPr="00993936">
        <w:rPr>
          <w:rFonts w:ascii="Arial" w:hAnsi="Arial" w:cs="Arial"/>
          <w:b/>
          <w:color w:val="auto"/>
          <w:lang w:val="es-ES"/>
        </w:rPr>
        <w:t>Identificación y trazabilidad</w:t>
      </w:r>
    </w:p>
    <w:p w:rsidR="00412AFB" w:rsidRPr="00993936" w:rsidRDefault="00412AFB" w:rsidP="00412AFB">
      <w:pPr>
        <w:jc w:val="both"/>
        <w:rPr>
          <w:rFonts w:ascii="Arial" w:hAnsi="Arial" w:cs="Arial"/>
          <w:lang w:val="es-ES"/>
        </w:rPr>
      </w:pPr>
      <w:r w:rsidRPr="00993936">
        <w:rPr>
          <w:rFonts w:ascii="Arial" w:hAnsi="Arial" w:cs="Arial"/>
          <w:lang w:val="es-ES"/>
        </w:rPr>
        <w:t>26.1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26.1.1 Formalizar una declaración de responsabilidad del agricultor que permita la identificación de los productos que proceden de parcelas acogidas a la producción integrada. En un plano o croquis de la parcela y/o UHC se justificará el conocimiento de la ubicación de los diferentes lotes de semilla utilizada.</w:t>
      </w:r>
    </w:p>
    <w:p w:rsidR="00412AFB" w:rsidRPr="00993936" w:rsidRDefault="00412AFB" w:rsidP="00412AFB">
      <w:pPr>
        <w:jc w:val="both"/>
        <w:rPr>
          <w:rFonts w:ascii="Arial" w:hAnsi="Arial" w:cs="Arial"/>
          <w:lang w:val="es-ES"/>
        </w:rPr>
      </w:pPr>
      <w:r w:rsidRPr="00993936">
        <w:rPr>
          <w:rFonts w:ascii="Arial" w:hAnsi="Arial" w:cs="Arial"/>
          <w:lang w:val="es-ES"/>
        </w:rPr>
        <w:t>26.1.2 En cada centro de recepción y/o manipulación ha de haber un albarán de control de entrada, donde figure el producto, la cantidad, la parcela de origen, la unidad homogénea de cultivo y la fecha de entrada, firmado por la persona que hace la entrega.</w:t>
      </w:r>
    </w:p>
    <w:p w:rsidR="00412AFB" w:rsidRPr="00993936" w:rsidRDefault="00412AFB" w:rsidP="00412AFB">
      <w:pPr>
        <w:jc w:val="both"/>
        <w:rPr>
          <w:rFonts w:ascii="Arial" w:hAnsi="Arial" w:cs="Arial"/>
          <w:lang w:val="es-ES"/>
        </w:rPr>
      </w:pPr>
      <w:r w:rsidRPr="00993936">
        <w:rPr>
          <w:rFonts w:ascii="Arial" w:hAnsi="Arial" w:cs="Arial"/>
          <w:lang w:val="es-ES"/>
        </w:rPr>
        <w:t>26.1.3 Las personas operadoras que no tengan la totalidad de la producción de cultivo sujeta a normas de producción integrada deberán cumplir los siguientes requisitos:</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de otros orígenes. </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t>En caso de utilizar la misma línea de manipulación o confección para los dos tipos de producto, deberá quedar claramente definido el intervalo de tiempo durante el que se manipula cada tipo de producto, y ha de ser conocido por todo el personal implicado en el proceso.</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lastRenderedPageBreak/>
        <w:t>Antes de proceder a la manipulación del producto de producción integrada, las líneas de manipulación deben estar completamente limpias de productos de otros orígenes.</w:t>
      </w:r>
    </w:p>
    <w:p w:rsidR="00412AFB" w:rsidRPr="00993936" w:rsidRDefault="00412AFB" w:rsidP="00412AFB">
      <w:pPr>
        <w:jc w:val="both"/>
        <w:rPr>
          <w:rFonts w:ascii="Arial" w:hAnsi="Arial" w:cs="Arial"/>
          <w:lang w:val="es-ES"/>
        </w:rPr>
      </w:pPr>
      <w:r w:rsidRPr="00993936">
        <w:rPr>
          <w:rFonts w:ascii="Arial" w:hAnsi="Arial" w:cs="Arial"/>
          <w:lang w:val="es-ES"/>
        </w:rPr>
        <w:t>26.1.4 Los productos de producción integrada serán identificados y considerados, en cualquier momento del proceso técnico, administrativo y de comercialización, como diferentes en relación con el resto de los productos manipulados por la persona operadora.</w:t>
      </w:r>
    </w:p>
    <w:p w:rsidR="00412AFB" w:rsidRPr="00993936" w:rsidRDefault="00412AFB" w:rsidP="00412AFB">
      <w:pPr>
        <w:jc w:val="both"/>
        <w:rPr>
          <w:rFonts w:ascii="Arial" w:hAnsi="Arial" w:cs="Arial"/>
          <w:lang w:val="es-ES"/>
        </w:rPr>
      </w:pPr>
      <w:r w:rsidRPr="00993936">
        <w:rPr>
          <w:rFonts w:ascii="Arial" w:hAnsi="Arial" w:cs="Arial"/>
          <w:lang w:val="es-ES"/>
        </w:rPr>
        <w:t>26.1.5 Los remolques de campo y otros contenedores utilizados para la recolección o el transporte de forrajes de producción integrada deben estar claramente identificados para evitar la mezcla de la producción integrada con otros productos.</w:t>
      </w:r>
    </w:p>
    <w:p w:rsidR="00412AFB" w:rsidRPr="00993936" w:rsidRDefault="00412AFB" w:rsidP="00412AFB">
      <w:pPr>
        <w:jc w:val="both"/>
        <w:rPr>
          <w:rFonts w:ascii="Arial" w:hAnsi="Arial" w:cs="Arial"/>
          <w:lang w:val="es-ES"/>
        </w:rPr>
      </w:pPr>
      <w:r w:rsidRPr="00993936">
        <w:rPr>
          <w:rFonts w:ascii="Arial" w:hAnsi="Arial" w:cs="Arial"/>
          <w:lang w:val="es-ES"/>
        </w:rPr>
        <w:t xml:space="preserve">26.2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26.2.1 Comercializar, como productos amparados por esta norma, los procedentes de unidades de cultivo que no cumplan las indicaciones de cultivo que establece la normativa de producción integrada en toda su producción.</w:t>
      </w:r>
    </w:p>
    <w:p w:rsidR="00412AFB" w:rsidRPr="00993936" w:rsidRDefault="00412AFB" w:rsidP="00412AFB">
      <w:pPr>
        <w:jc w:val="both"/>
        <w:rPr>
          <w:rFonts w:ascii="Arial" w:hAnsi="Arial" w:cs="Arial"/>
          <w:lang w:val="es-ES"/>
        </w:rPr>
      </w:pPr>
      <w:r w:rsidRPr="00993936">
        <w:rPr>
          <w:rFonts w:ascii="Arial" w:hAnsi="Arial" w:cs="Arial"/>
          <w:lang w:val="es-ES"/>
        </w:rPr>
        <w:t>26.2.2 La presencia de sacos, etiquetas o marcas comerciales, de productos de producción integrada en parcelas y/o UHC que no estén acogidas a producción integrada.</w:t>
      </w:r>
    </w:p>
    <w:p w:rsidR="00412AFB" w:rsidRPr="00993936" w:rsidRDefault="00412AFB" w:rsidP="00412AFB">
      <w:pPr>
        <w:pStyle w:val="Ttulo6"/>
        <w:spacing w:before="120"/>
        <w:jc w:val="both"/>
        <w:rPr>
          <w:rFonts w:ascii="Arial" w:hAnsi="Arial" w:cs="Arial"/>
          <w:b/>
          <w:color w:val="auto"/>
          <w:lang w:val="es-ES"/>
        </w:rPr>
      </w:pPr>
      <w:r w:rsidRPr="00993936">
        <w:rPr>
          <w:rFonts w:ascii="Arial" w:hAnsi="Arial" w:cs="Arial"/>
          <w:color w:val="auto"/>
          <w:lang w:val="es-ES"/>
        </w:rPr>
        <w:t>Artículo 27</w:t>
      </w:r>
    </w:p>
    <w:p w:rsidR="00412AFB" w:rsidRPr="00993936" w:rsidRDefault="00412AFB" w:rsidP="00412AFB">
      <w:pPr>
        <w:pStyle w:val="Ttulo6"/>
        <w:jc w:val="both"/>
        <w:rPr>
          <w:rFonts w:ascii="Arial" w:hAnsi="Arial" w:cs="Arial"/>
          <w:b/>
          <w:color w:val="auto"/>
          <w:lang w:val="es-ES"/>
        </w:rPr>
      </w:pPr>
      <w:r w:rsidRPr="00993936">
        <w:rPr>
          <w:rFonts w:ascii="Arial" w:hAnsi="Arial" w:cs="Arial"/>
          <w:b/>
          <w:color w:val="auto"/>
          <w:lang w:val="es-ES"/>
        </w:rPr>
        <w:t>Control de calidad</w:t>
      </w:r>
    </w:p>
    <w:p w:rsidR="00412AFB" w:rsidRPr="00993936" w:rsidRDefault="00412AFB" w:rsidP="00412AFB">
      <w:pPr>
        <w:pStyle w:val="Encabezado"/>
        <w:tabs>
          <w:tab w:val="clear" w:pos="4252"/>
          <w:tab w:val="clear" w:pos="8504"/>
        </w:tabs>
        <w:jc w:val="both"/>
        <w:rPr>
          <w:rFonts w:ascii="Arial" w:hAnsi="Arial" w:cs="Arial"/>
          <w:i/>
          <w:lang w:val="es-ES"/>
        </w:rPr>
      </w:pPr>
      <w:r w:rsidRPr="00993936">
        <w:rPr>
          <w:rFonts w:ascii="Arial" w:hAnsi="Arial" w:cs="Arial"/>
          <w:i/>
          <w:lang w:val="es-ES"/>
        </w:rPr>
        <w:t>27.1 Obligaciones</w:t>
      </w:r>
    </w:p>
    <w:p w:rsidR="00412AFB" w:rsidRPr="00993936" w:rsidRDefault="00412AFB" w:rsidP="00412AFB">
      <w:pPr>
        <w:jc w:val="both"/>
        <w:rPr>
          <w:rFonts w:ascii="Arial" w:hAnsi="Arial" w:cs="Arial"/>
          <w:lang w:val="es-ES"/>
        </w:rPr>
      </w:pPr>
      <w:r w:rsidRPr="00993936">
        <w:rPr>
          <w:rFonts w:ascii="Arial" w:hAnsi="Arial" w:cs="Arial"/>
          <w:lang w:val="es-ES"/>
        </w:rPr>
        <w:t>27.1.1 La persona operadora debe tener definido e implantado un muestreo sistemático de la producción que sirva para comprobar que se cumplen las especificaciones de la legislación vigente referentes a la normalización comercial.</w:t>
      </w:r>
    </w:p>
    <w:p w:rsidR="00412AFB" w:rsidRPr="00993936" w:rsidRDefault="00412AFB" w:rsidP="00412AFB">
      <w:pPr>
        <w:jc w:val="both"/>
        <w:rPr>
          <w:rFonts w:ascii="Arial" w:hAnsi="Arial" w:cs="Arial"/>
          <w:lang w:val="es-ES"/>
        </w:rPr>
      </w:pPr>
      <w:r w:rsidRPr="00993936">
        <w:rPr>
          <w:rFonts w:ascii="Arial" w:hAnsi="Arial" w:cs="Arial"/>
          <w:lang w:val="es-ES"/>
        </w:rPr>
        <w:t>27.1.2 La persona operadora debe conservar los registros de los controles.</w:t>
      </w:r>
    </w:p>
    <w:p w:rsidR="00412AFB" w:rsidRPr="00993936" w:rsidRDefault="00412AFB" w:rsidP="00412AFB">
      <w:pPr>
        <w:pStyle w:val="Textoindependiente"/>
        <w:rPr>
          <w:rFonts w:cs="Arial"/>
          <w:szCs w:val="22"/>
          <w:lang w:val="es-ES"/>
        </w:rPr>
      </w:pPr>
      <w:r w:rsidRPr="00993936">
        <w:rPr>
          <w:rFonts w:cs="Arial"/>
          <w:szCs w:val="22"/>
          <w:lang w:val="es-ES"/>
        </w:rPr>
        <w:t>27.1.3 La persona operadora verificará el correcto funcionamiento del instrumental de medida.</w:t>
      </w:r>
    </w:p>
    <w:p w:rsidR="00412AFB" w:rsidRPr="00993936" w:rsidRDefault="00412AFB" w:rsidP="00412AFB">
      <w:pPr>
        <w:jc w:val="both"/>
        <w:rPr>
          <w:rFonts w:ascii="Arial" w:hAnsi="Arial" w:cs="Arial"/>
          <w:lang w:val="es-ES"/>
        </w:rPr>
      </w:pPr>
      <w:r w:rsidRPr="00993936">
        <w:rPr>
          <w:rFonts w:ascii="Arial" w:hAnsi="Arial" w:cs="Arial"/>
          <w:lang w:val="es-ES"/>
        </w:rPr>
        <w:t>27.1.4 Controlar de forma periódica la calidad y, específicamente, antes de la comercialización, teniendo en cuenta aspectos de muestreo y el tipo de determinación analítica que garantice la seguridad del consumidor.</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V. RESIDUOS</w:t>
      </w:r>
    </w:p>
    <w:p w:rsidR="00412AFB" w:rsidRPr="00993936" w:rsidRDefault="00412AFB" w:rsidP="00412AFB">
      <w:pPr>
        <w:jc w:val="both"/>
        <w:rPr>
          <w:rFonts w:ascii="Arial" w:hAnsi="Arial" w:cs="Arial"/>
          <w:lang w:val="es-ES"/>
        </w:rPr>
      </w:pPr>
      <w:r w:rsidRPr="00993936">
        <w:rPr>
          <w:rFonts w:ascii="Arial" w:hAnsi="Arial" w:cs="Arial"/>
          <w:lang w:val="es-ES"/>
        </w:rPr>
        <w:t>Artículo 28</w:t>
      </w:r>
    </w:p>
    <w:p w:rsidR="00412AFB" w:rsidRPr="00993936" w:rsidRDefault="00412AFB" w:rsidP="00412AFB">
      <w:pPr>
        <w:jc w:val="both"/>
        <w:rPr>
          <w:rFonts w:ascii="Arial" w:hAnsi="Arial" w:cs="Arial"/>
          <w:b/>
          <w:lang w:val="es-ES"/>
        </w:rPr>
      </w:pPr>
      <w:r w:rsidRPr="00993936">
        <w:rPr>
          <w:rFonts w:ascii="Arial" w:hAnsi="Arial" w:cs="Arial"/>
          <w:b/>
          <w:lang w:val="es-ES"/>
        </w:rPr>
        <w:t>Gestión de los residuos</w:t>
      </w:r>
    </w:p>
    <w:p w:rsidR="00412AFB" w:rsidRPr="00993936" w:rsidRDefault="00412AFB" w:rsidP="00412AFB">
      <w:pPr>
        <w:jc w:val="both"/>
        <w:rPr>
          <w:rFonts w:ascii="Arial" w:hAnsi="Arial" w:cs="Arial"/>
          <w:i/>
          <w:lang w:val="es-ES"/>
        </w:rPr>
      </w:pPr>
      <w:r w:rsidRPr="00993936">
        <w:rPr>
          <w:rFonts w:ascii="Arial" w:hAnsi="Arial" w:cs="Arial"/>
          <w:lang w:val="es-ES"/>
        </w:rPr>
        <w:t>28.1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28.1.1 Retirar para su reciclaje o, si procede, para hacer un vertido controlado, los restos de plásticos, sacos, mallas o cualquier otro material de las parcelas de cultivo, siempre que haya un sistema de gestión de estos residuos.</w:t>
      </w:r>
    </w:p>
    <w:p w:rsidR="00412AFB" w:rsidRPr="00993936" w:rsidRDefault="00412AFB" w:rsidP="00412AFB">
      <w:pPr>
        <w:jc w:val="both"/>
        <w:rPr>
          <w:rFonts w:ascii="Arial" w:hAnsi="Arial" w:cs="Arial"/>
          <w:lang w:val="es-ES"/>
        </w:rPr>
      </w:pPr>
      <w:r w:rsidRPr="00993936">
        <w:rPr>
          <w:rFonts w:ascii="Arial" w:hAnsi="Arial" w:cs="Arial"/>
          <w:lang w:val="es-ES"/>
        </w:rPr>
        <w:t>28.1.2 Retirar y almacenar los envases de los productos fitosanitarios y fertilizantes, una vez utilizados, hasta entregarlos a un gestor autorizado de acuerdo con el Decreto 1416/2001, de 14 de diciembre, sobre envases de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28.1.3 Gestionar los productos fitosanitarios de rechazo mediante un gestor autorizado de residuos de productos químicos o a través de una compañía proveedora o cualquier otro método seguro para el medio.</w:t>
      </w:r>
    </w:p>
    <w:p w:rsidR="00412AFB" w:rsidRPr="00993936" w:rsidRDefault="00412AFB" w:rsidP="00412AFB">
      <w:pPr>
        <w:jc w:val="both"/>
        <w:rPr>
          <w:rFonts w:ascii="Arial" w:hAnsi="Arial" w:cs="Arial"/>
          <w:lang w:val="es-ES"/>
        </w:rPr>
      </w:pPr>
      <w:r w:rsidRPr="00993936">
        <w:rPr>
          <w:rFonts w:ascii="Arial" w:hAnsi="Arial" w:cs="Arial"/>
          <w:lang w:val="es-ES"/>
        </w:rPr>
        <w:t>28.1.4 Establecer sistemas de recogida de aceites usados ​​o de todo tipo de sustancias tóxicas y peligrosas que haya en la explotación, y asignarles el destino previsto en la legislación vigente.</w:t>
      </w:r>
    </w:p>
    <w:p w:rsidR="00412AFB" w:rsidRPr="00993936" w:rsidRDefault="00412AFB" w:rsidP="00412AFB">
      <w:pPr>
        <w:jc w:val="both"/>
        <w:rPr>
          <w:rFonts w:ascii="Arial" w:hAnsi="Arial" w:cs="Arial"/>
          <w:b/>
          <w:lang w:val="es-ES"/>
        </w:rPr>
      </w:pPr>
      <w:r w:rsidRPr="00993936">
        <w:rPr>
          <w:rFonts w:ascii="Arial" w:hAnsi="Arial" w:cs="Arial"/>
          <w:lang w:val="es-ES"/>
        </w:rPr>
        <w:t xml:space="preserve">28.2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28.2.1 Abandonar restos de plástico, envases y otros residuos en el interior o en los márgenes de la parcela y/o UHC. </w:t>
      </w:r>
    </w:p>
    <w:p w:rsidR="00412AFB" w:rsidRPr="00993936" w:rsidRDefault="00412AFB" w:rsidP="00412AFB">
      <w:pPr>
        <w:jc w:val="both"/>
        <w:rPr>
          <w:rFonts w:ascii="Arial" w:hAnsi="Arial" w:cs="Arial"/>
          <w:lang w:val="es-ES"/>
        </w:rPr>
      </w:pPr>
      <w:r w:rsidRPr="00993936">
        <w:rPr>
          <w:rFonts w:ascii="Arial" w:hAnsi="Arial" w:cs="Arial"/>
          <w:lang w:val="es-ES"/>
        </w:rPr>
        <w:t>28.2.2 Destruir, mediante fuego u otros procedimientos, triturar o enterrar en la parcela y/o UHC o aledaños, los envases vacíos de los productos fitosanitarios y fertilizantes, los plásticos o las mallas de las estructuras de cultivo, excepto si se hace en lugares autorizados por la autoridad competente.</w:t>
      </w:r>
    </w:p>
    <w:p w:rsidR="00412AFB" w:rsidRPr="00993936" w:rsidRDefault="00412AFB" w:rsidP="00412AFB">
      <w:pPr>
        <w:jc w:val="both"/>
        <w:rPr>
          <w:rFonts w:ascii="Arial" w:hAnsi="Arial" w:cs="Arial"/>
          <w:lang w:val="es-ES"/>
        </w:rPr>
      </w:pPr>
      <w:r w:rsidRPr="00993936">
        <w:rPr>
          <w:rFonts w:ascii="Arial" w:hAnsi="Arial" w:cs="Arial"/>
          <w:lang w:val="es-ES"/>
        </w:rPr>
        <w:t>28.2.3 Depositar en cursos de agua, canales o embalses de agua, o dentro del perímetro de protección de captaciones de agua de consumo humano, los restos de caldo de los equipos de aplicación de productos fitosanitarios y lavarlos en esta zona.</w:t>
      </w:r>
    </w:p>
    <w:p w:rsidR="00412AFB" w:rsidRPr="00993936" w:rsidRDefault="00412AFB" w:rsidP="00412AFB">
      <w:pPr>
        <w:jc w:val="both"/>
        <w:rPr>
          <w:rFonts w:ascii="Arial" w:hAnsi="Arial" w:cs="Arial"/>
          <w:lang w:val="es-ES"/>
        </w:rPr>
      </w:pPr>
      <w:r w:rsidRPr="00993936">
        <w:rPr>
          <w:rFonts w:ascii="Arial" w:hAnsi="Arial" w:cs="Arial"/>
          <w:lang w:val="es-ES"/>
        </w:rPr>
        <w:t xml:space="preserve">28.2.4 Quemar restos vegetales de manera incontrolada, haciendo caso omiso de la normativa vigente que sea de aplicación. </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29</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de residuos de productos fitosanitarios en vegetales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29.1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29.1.1 La persona operadora debe disponer de un programa de autocontrol individual o colectivo para verificar la ausencia de residuos de productos fitosanitarios, mediante la toma de muestras correspondiente, garantizar que han sido utilizadas exclusivamente las sustancias activas autorizadas y comprobar que se cumple la normativa de aplicación y, si procede, la del estado de destino, en relación con los límites máximos de residuos de productos fitosanitarios. La planificación de la recogida de las muestras debe considerar especialmente la época de recolección y/o de manipulación.</w:t>
      </w:r>
    </w:p>
    <w:p w:rsidR="00412AFB" w:rsidRPr="00993936" w:rsidRDefault="00412AFB" w:rsidP="00412AFB">
      <w:pPr>
        <w:pStyle w:val="NormalWeb"/>
        <w:spacing w:after="0"/>
        <w:jc w:val="both"/>
        <w:rPr>
          <w:rFonts w:ascii="Arial" w:hAnsi="Arial" w:cs="Arial"/>
          <w:b/>
          <w:sz w:val="22"/>
          <w:szCs w:val="22"/>
          <w:lang w:val="es-ES"/>
        </w:rPr>
      </w:pP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 xml:space="preserve">VI. PROTECCIÓN MEDIOAMBIENTAL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30</w:t>
      </w:r>
    </w:p>
    <w:p w:rsidR="00412AFB" w:rsidRPr="00993936" w:rsidRDefault="00412AFB" w:rsidP="00412AFB">
      <w:pPr>
        <w:jc w:val="both"/>
        <w:rPr>
          <w:rFonts w:ascii="Arial" w:hAnsi="Arial" w:cs="Arial"/>
          <w:b/>
          <w:lang w:val="es-ES"/>
        </w:rPr>
      </w:pPr>
      <w:r w:rsidRPr="00993936">
        <w:rPr>
          <w:rFonts w:ascii="Arial" w:hAnsi="Arial" w:cs="Arial"/>
          <w:b/>
          <w:lang w:val="es-ES"/>
        </w:rPr>
        <w:t>Protección medioambiental</w:t>
      </w:r>
    </w:p>
    <w:p w:rsidR="00412AFB" w:rsidRPr="00993936" w:rsidRDefault="00412AFB" w:rsidP="00412AFB">
      <w:pPr>
        <w:jc w:val="both"/>
        <w:rPr>
          <w:rFonts w:ascii="Arial" w:hAnsi="Arial" w:cs="Arial"/>
          <w:i/>
          <w:lang w:val="es-ES"/>
        </w:rPr>
      </w:pPr>
      <w:r w:rsidRPr="00993936">
        <w:rPr>
          <w:rFonts w:ascii="Arial" w:hAnsi="Arial" w:cs="Arial"/>
          <w:i/>
          <w:lang w:val="es-ES"/>
        </w:rPr>
        <w:t>30.1 Obligaciones</w:t>
      </w:r>
    </w:p>
    <w:p w:rsidR="00412AFB" w:rsidRPr="00993936" w:rsidRDefault="00412AFB" w:rsidP="00412AFB">
      <w:pPr>
        <w:pStyle w:val="Textoindependiente"/>
        <w:rPr>
          <w:rFonts w:cs="Arial"/>
          <w:szCs w:val="22"/>
          <w:lang w:val="es-ES"/>
        </w:rPr>
      </w:pPr>
      <w:r w:rsidRPr="00993936">
        <w:rPr>
          <w:rFonts w:cs="Arial"/>
          <w:szCs w:val="22"/>
          <w:lang w:val="es-ES"/>
        </w:rPr>
        <w:t>30.1.1 La empresa debe cumplir con la política de conservación del entorno natural según la legislación medioambiental vigente.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30.1.2 Disponer de medidas de prevención de vertido accidental de aceites, hidrocarburos u otros productos químicos peligrosos para el medio ambiente.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30.1.3 Implantar, de no existir, medidas de ahorro en el consumo de agua y de energía en las instalaciones y los procesos.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 xml:space="preserve">VII. CONTROL Y CERTIFICACIÓN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lastRenderedPageBreak/>
        <w:t>Artículo 31</w:t>
      </w:r>
    </w:p>
    <w:p w:rsidR="00412AFB" w:rsidRPr="00993936" w:rsidRDefault="00412AFB" w:rsidP="00412AFB">
      <w:pPr>
        <w:jc w:val="both"/>
        <w:rPr>
          <w:rFonts w:ascii="Arial" w:hAnsi="Arial" w:cs="Arial"/>
          <w:b/>
          <w:lang w:val="es-ES"/>
        </w:rPr>
      </w:pPr>
      <w:r w:rsidRPr="00993936">
        <w:rPr>
          <w:rFonts w:ascii="Arial" w:hAnsi="Arial" w:cs="Arial"/>
          <w:b/>
          <w:lang w:val="es-ES"/>
        </w:rPr>
        <w:t>Tratamiento de no conformidades</w:t>
      </w:r>
    </w:p>
    <w:p w:rsidR="00412AFB" w:rsidRPr="00993936" w:rsidRDefault="00412AFB" w:rsidP="00412AFB">
      <w:pPr>
        <w:jc w:val="both"/>
        <w:rPr>
          <w:rFonts w:ascii="Arial" w:hAnsi="Arial" w:cs="Arial"/>
          <w:i/>
          <w:lang w:val="es-ES"/>
        </w:rPr>
      </w:pPr>
      <w:r w:rsidRPr="00993936">
        <w:rPr>
          <w:rFonts w:ascii="Arial" w:hAnsi="Arial" w:cs="Arial"/>
          <w:i/>
          <w:lang w:val="es-ES"/>
        </w:rPr>
        <w:t>31.1 Obligaciones</w:t>
      </w:r>
    </w:p>
    <w:p w:rsidR="00412AFB" w:rsidRPr="00993936" w:rsidRDefault="00412AFB" w:rsidP="00412AFB">
      <w:pPr>
        <w:jc w:val="both"/>
        <w:rPr>
          <w:rFonts w:ascii="Arial" w:hAnsi="Arial" w:cs="Arial"/>
          <w:lang w:val="es-ES"/>
        </w:rPr>
      </w:pPr>
      <w:r w:rsidRPr="00993936">
        <w:rPr>
          <w:rFonts w:ascii="Arial" w:hAnsi="Arial" w:cs="Arial"/>
          <w:lang w:val="es-ES"/>
        </w:rPr>
        <w:t>31.1.1 Cuando durante la realización de los controles internos o externos se detecte el incumplimiento total o parcial de alguna de las prácticas establecidas en esta norma como «obligatorias» o «prohibidas», las desviaciones detectadas deberán dejarse registradas con el epígrafe «no conformidad».</w:t>
      </w:r>
    </w:p>
    <w:p w:rsidR="00412AFB" w:rsidRPr="00993936" w:rsidRDefault="00412AFB" w:rsidP="00412AFB">
      <w:pPr>
        <w:jc w:val="both"/>
        <w:rPr>
          <w:rFonts w:ascii="Arial" w:hAnsi="Arial" w:cs="Arial"/>
          <w:lang w:val="es-ES"/>
        </w:rPr>
      </w:pPr>
      <w:r w:rsidRPr="00993936">
        <w:rPr>
          <w:rFonts w:ascii="Arial" w:hAnsi="Arial" w:cs="Arial"/>
          <w:lang w:val="es-ES"/>
        </w:rPr>
        <w:t>31.1.2 Establecer y documentar las acciones correctivas que procedan para dar el tratamiento adecuado a estas no conformidades, de forma que se eliminen sus efectos y las causas que las motivan y que se impida una repetición futura.</w:t>
      </w:r>
    </w:p>
    <w:p w:rsidR="00412AFB" w:rsidRPr="00993936" w:rsidRDefault="00412AFB" w:rsidP="00412AFB">
      <w:pPr>
        <w:jc w:val="both"/>
        <w:rPr>
          <w:rFonts w:ascii="Arial" w:hAnsi="Arial" w:cs="Arial"/>
          <w:lang w:val="es-ES"/>
        </w:rPr>
      </w:pPr>
      <w:r w:rsidRPr="00993936">
        <w:rPr>
          <w:rFonts w:ascii="Arial" w:hAnsi="Arial" w:cs="Arial"/>
          <w:lang w:val="es-ES"/>
        </w:rPr>
        <w:t>31.1.3 El operador debe realizar el seguimiento de la implantación de las acciones correctivas y comprobar su efectividad antes de proceder al cierre de las no conformidades detectadas.</w:t>
      </w:r>
    </w:p>
    <w:p w:rsidR="00412AFB" w:rsidRPr="00993936" w:rsidRDefault="00412AFB" w:rsidP="00412AFB">
      <w:pPr>
        <w:pStyle w:val="Textoindependiente"/>
        <w:rPr>
          <w:rFonts w:cs="Arial"/>
          <w:szCs w:val="22"/>
          <w:lang w:val="es-ES"/>
        </w:rPr>
      </w:pPr>
      <w:r w:rsidRPr="00993936">
        <w:rPr>
          <w:rFonts w:cs="Arial"/>
          <w:szCs w:val="22"/>
          <w:lang w:val="es-ES"/>
        </w:rPr>
        <w:t>31.1.4 Siempre que se detecten no conformidades sobre las materias primas, productos en proceso y los productos finales obtenidos de los productos vegetales de producción integrada, deberán adoptarse las medidas adecuadas de identificación, trazabilidad y segregación de estos, de modo que se manifieste claramente su estado «no conforme» y se prevenga su utilización o comercialización de forma no intencionada como productos de producción integrada.</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32</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32.1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32.1.1 El control y la certificación del sistema de la producción integrada se regirá por lo que determina la Ley 14/2003, de 13 de junio, de calidad agroalimentaria; el Decreto 285/2006, de 4 de julio, por el que se desarrolla la Ley 14/2003; el Decreto 24/2002, de 8 de octubre, por el que se regula la producción integrada en Cataluña, y la Orden </w:t>
      </w:r>
      <w:r w:rsidR="00C03DD4" w:rsidRPr="00993936">
        <w:rPr>
          <w:rFonts w:ascii="Arial" w:hAnsi="Arial" w:cs="Arial"/>
          <w:sz w:val="22"/>
          <w:szCs w:val="22"/>
          <w:lang w:val="es-ES"/>
        </w:rPr>
        <w:t>ARP/</w:t>
      </w:r>
      <w:r w:rsidRPr="00993936">
        <w:rPr>
          <w:rFonts w:ascii="Arial" w:hAnsi="Arial" w:cs="Arial"/>
          <w:sz w:val="22"/>
          <w:szCs w:val="22"/>
          <w:lang w:val="es-ES"/>
        </w:rPr>
        <w:t>208/2003, de 7 de mayo, por la que se aprueba el Reglamento de régimen interior del Consejo Catalán de la Producción Integrada.</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33</w:t>
      </w:r>
    </w:p>
    <w:p w:rsidR="00412AFB" w:rsidRPr="00993936" w:rsidRDefault="00412AFB" w:rsidP="00412AFB">
      <w:pPr>
        <w:jc w:val="both"/>
        <w:rPr>
          <w:rFonts w:ascii="Arial" w:hAnsi="Arial" w:cs="Arial"/>
          <w:b/>
          <w:lang w:val="es-ES"/>
        </w:rPr>
      </w:pPr>
      <w:r w:rsidRPr="00993936">
        <w:rPr>
          <w:rFonts w:ascii="Arial" w:hAnsi="Arial" w:cs="Arial"/>
          <w:b/>
          <w:lang w:val="es-ES"/>
        </w:rPr>
        <w:t>Distintivo de garantía de producción integrada</w:t>
      </w:r>
    </w:p>
    <w:p w:rsidR="00412AFB" w:rsidRPr="00993936" w:rsidRDefault="00412AFB" w:rsidP="00412AFB">
      <w:pPr>
        <w:jc w:val="both"/>
        <w:rPr>
          <w:rFonts w:ascii="Arial" w:hAnsi="Arial" w:cs="Arial"/>
          <w:i/>
          <w:lang w:val="es-ES"/>
        </w:rPr>
      </w:pPr>
      <w:r w:rsidRPr="00993936">
        <w:rPr>
          <w:rFonts w:ascii="Arial" w:hAnsi="Arial" w:cs="Arial"/>
          <w:lang w:val="es-ES"/>
        </w:rPr>
        <w:t>33.1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33.1.1 Solo podrán utilizar el distintivo de garantía de producción integrada de Cataluña los productos que previamente hayan cumplido los requisitos establecidos en la normativa vigente de producción integrada y que, asimismo, hayan obtenido la certificación a través de una entidad de control y certificación.</w:t>
      </w:r>
    </w:p>
    <w:p w:rsidR="00412AFB" w:rsidRPr="00993936" w:rsidRDefault="00412AFB" w:rsidP="00412AFB">
      <w:pPr>
        <w:jc w:val="both"/>
        <w:rPr>
          <w:rFonts w:ascii="Arial" w:hAnsi="Arial" w:cs="Arial"/>
          <w:lang w:val="es-ES"/>
        </w:rPr>
      </w:pPr>
      <w:r w:rsidRPr="00993936">
        <w:rPr>
          <w:rFonts w:ascii="Arial" w:hAnsi="Arial" w:cs="Arial"/>
          <w:lang w:val="es-ES"/>
        </w:rPr>
        <w:t>33.1.2 La utilización del distintivo de garantía de producción integrada en las etiquetas de los contenedores, sacos y otros lugares se ajustará al sistema establecido por el libro de estilo del Consejo Catalán de la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33.1.3 La concesión del distintivo de garantía de producción integrada será concedido por el Consejo.</w:t>
      </w:r>
    </w:p>
    <w:p w:rsidR="00412AFB" w:rsidRPr="00993936" w:rsidRDefault="00412AFB" w:rsidP="00412AFB">
      <w:pPr>
        <w:jc w:val="both"/>
        <w:rPr>
          <w:rFonts w:ascii="Arial" w:hAnsi="Arial" w:cs="Arial"/>
          <w:i/>
          <w:lang w:val="es-ES"/>
        </w:rPr>
      </w:pPr>
      <w:r w:rsidRPr="00993936">
        <w:rPr>
          <w:rFonts w:ascii="Arial" w:hAnsi="Arial" w:cs="Arial"/>
          <w:lang w:val="es-ES"/>
        </w:rPr>
        <w:t xml:space="preserve">33.2 </w:t>
      </w:r>
      <w:r w:rsidRPr="00993936">
        <w:rPr>
          <w:rFonts w:ascii="Arial" w:hAnsi="Arial" w:cs="Arial"/>
          <w:i/>
          <w:lang w:val="es-ES"/>
        </w:rPr>
        <w:t>Prohibiciones</w:t>
      </w:r>
    </w:p>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33.2.1 Utilizar el distintivo de garantía sin disponer de la preceptiva certificación.</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jc w:val="center"/>
        <w:rPr>
          <w:rFonts w:ascii="Arial" w:hAnsi="Arial" w:cs="Arial"/>
          <w:lang w:val="es-ES"/>
        </w:rPr>
      </w:pPr>
      <w:r w:rsidRPr="00993936">
        <w:rPr>
          <w:rFonts w:ascii="Arial" w:hAnsi="Arial" w:cs="Arial"/>
          <w:lang w:val="es-ES"/>
        </w:rPr>
        <w:lastRenderedPageBreak/>
        <w:t>.-.-.-.-.-.-.-.-.-.-.-.-.-.-.-.-.-.-.-.-.-.-.-.-.-.-.-.-.-.-.-.</w:t>
      </w:r>
    </w:p>
    <w:p w:rsidR="00412AFB" w:rsidRPr="00993936" w:rsidRDefault="00412AFB" w:rsidP="00412AFB">
      <w:pPr>
        <w:rPr>
          <w:rFonts w:ascii="Arial" w:hAnsi="Arial" w:cs="Arial"/>
          <w:lang w:val="es-ES"/>
        </w:rPr>
      </w:pP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p>
    <w:p w:rsidR="00412AFB" w:rsidRPr="00993936" w:rsidRDefault="00412AFB" w:rsidP="00412AFB">
      <w:pPr>
        <w:pStyle w:val="Ttulo5"/>
        <w:jc w:val="center"/>
        <w:rPr>
          <w:rFonts w:ascii="Arial" w:hAnsi="Arial" w:cs="Arial"/>
          <w:color w:val="auto"/>
          <w:u w:val="single"/>
          <w:lang w:val="es-ES"/>
        </w:rPr>
      </w:pPr>
      <w:r w:rsidRPr="00993936">
        <w:rPr>
          <w:rFonts w:ascii="Arial" w:hAnsi="Arial" w:cs="Arial"/>
          <w:color w:val="auto"/>
          <w:u w:val="single"/>
          <w:lang w:val="es-ES"/>
        </w:rPr>
        <w:br w:type="page"/>
      </w:r>
      <w:r w:rsidRPr="00993936">
        <w:rPr>
          <w:rFonts w:ascii="Arial" w:hAnsi="Arial" w:cs="Arial"/>
          <w:color w:val="auto"/>
          <w:u w:val="single"/>
          <w:lang w:val="es-ES"/>
        </w:rPr>
        <w:lastRenderedPageBreak/>
        <w:t>ANEXOS</w:t>
      </w:r>
    </w:p>
    <w:p w:rsidR="00412AFB" w:rsidRPr="00993936" w:rsidRDefault="00412AFB" w:rsidP="00412AFB">
      <w:pPr>
        <w:jc w:val="both"/>
        <w:rPr>
          <w:rFonts w:ascii="Arial" w:hAnsi="Arial" w:cs="Arial"/>
          <w:lang w:val="es-ES"/>
        </w:rPr>
      </w:pPr>
    </w:p>
    <w:p w:rsidR="00412AFB" w:rsidRPr="00993936" w:rsidRDefault="00412AFB" w:rsidP="00412AFB">
      <w:pPr>
        <w:pStyle w:val="Ttulo3"/>
        <w:rPr>
          <w:rFonts w:ascii="Arial" w:hAnsi="Arial" w:cs="Arial"/>
          <w:snapToGrid w:val="0"/>
          <w:color w:val="auto"/>
          <w:szCs w:val="22"/>
          <w:lang w:val="es-ES"/>
        </w:rPr>
      </w:pPr>
      <w:r w:rsidRPr="00993936">
        <w:rPr>
          <w:rFonts w:ascii="Arial" w:hAnsi="Arial" w:cs="Arial"/>
          <w:snapToGrid w:val="0"/>
          <w:color w:val="auto"/>
          <w:szCs w:val="22"/>
          <w:lang w:val="es-ES"/>
        </w:rPr>
        <w:t>ANEXO 1</w:t>
      </w:r>
    </w:p>
    <w:p w:rsidR="00412AFB" w:rsidRPr="00993936" w:rsidRDefault="00412AFB" w:rsidP="00412AFB">
      <w:pPr>
        <w:rPr>
          <w:rFonts w:ascii="Arial" w:hAnsi="Arial" w:cs="Arial"/>
          <w:lang w:val="es-ES"/>
        </w:rPr>
      </w:pPr>
    </w:p>
    <w:p w:rsidR="00412AFB" w:rsidRPr="00993936" w:rsidRDefault="00412AFB" w:rsidP="009D1A2D">
      <w:pPr>
        <w:pStyle w:val="Textoindependiente3"/>
        <w:numPr>
          <w:ilvl w:val="1"/>
          <w:numId w:val="46"/>
        </w:numPr>
        <w:rPr>
          <w:rFonts w:cs="Arial"/>
          <w:szCs w:val="22"/>
          <w:lang w:val="es-ES"/>
        </w:rPr>
      </w:pPr>
      <w:r w:rsidRPr="00993936">
        <w:rPr>
          <w:rFonts w:cs="Arial"/>
          <w:szCs w:val="22"/>
          <w:lang w:val="es-ES"/>
        </w:rPr>
        <w:t>Materias activas de herbicidas para la producción integrada de forrajes</w:t>
      </w:r>
    </w:p>
    <w:p w:rsidR="00412AFB" w:rsidRPr="00993936" w:rsidRDefault="00412AFB" w:rsidP="00412AFB">
      <w:pPr>
        <w:pStyle w:val="Textoindependiente3"/>
        <w:ind w:left="405"/>
        <w:rPr>
          <w:rFonts w:cs="Arial"/>
          <w:szCs w:val="22"/>
          <w:lang w:val="es-ES"/>
        </w:rPr>
      </w:pP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19"/>
        <w:gridCol w:w="4692"/>
      </w:tblGrid>
      <w:tr w:rsidR="00412AFB" w:rsidRPr="00993936" w:rsidTr="00C8678E">
        <w:trPr>
          <w:trHeight w:val="70"/>
          <w:jc w:val="center"/>
        </w:trPr>
        <w:tc>
          <w:tcPr>
            <w:tcW w:w="5000" w:type="pct"/>
            <w:gridSpan w:val="2"/>
            <w:shd w:val="pct12" w:color="auto" w:fill="FFFFFF"/>
            <w:vAlign w:val="center"/>
          </w:tcPr>
          <w:p w:rsidR="00412AFB" w:rsidRPr="00993936" w:rsidRDefault="00412AFB" w:rsidP="00671C98">
            <w:pPr>
              <w:pStyle w:val="Sinespaciado"/>
              <w:rPr>
                <w:rFonts w:ascii="Arial" w:hAnsi="Arial" w:cs="Arial"/>
                <w:snapToGrid w:val="0"/>
                <w:lang w:val="es-ES" w:eastAsia="ca-ES"/>
              </w:rPr>
            </w:pPr>
            <w:r w:rsidRPr="00993936">
              <w:rPr>
                <w:rFonts w:ascii="Arial" w:hAnsi="Arial" w:cs="Arial"/>
                <w:snapToGrid w:val="0"/>
                <w:lang w:val="es-ES" w:eastAsia="ca-ES"/>
              </w:rPr>
              <w:t>TIPO DE HERBICIDAS</w:t>
            </w:r>
            <w:r w:rsidRPr="00993936" w:rsidDel="0033267D">
              <w:rPr>
                <w:rFonts w:ascii="Arial" w:hAnsi="Arial" w:cs="Arial"/>
                <w:snapToGrid w:val="0"/>
                <w:lang w:val="es-ES" w:eastAsia="ca-ES"/>
              </w:rPr>
              <w:t xml:space="preserve"> </w:t>
            </w:r>
          </w:p>
        </w:tc>
      </w:tr>
      <w:tr w:rsidR="00412AFB" w:rsidRPr="00993936" w:rsidTr="00C8678E">
        <w:trPr>
          <w:trHeight w:val="70"/>
          <w:jc w:val="center"/>
        </w:trPr>
        <w:tc>
          <w:tcPr>
            <w:tcW w:w="2307" w:type="pct"/>
            <w:shd w:val="pct12" w:color="auto" w:fill="FFFFFF"/>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Materia activa</w:t>
            </w:r>
          </w:p>
        </w:tc>
        <w:tc>
          <w:tcPr>
            <w:tcW w:w="2693" w:type="pct"/>
            <w:shd w:val="pct12" w:color="auto" w:fill="FFFFFF"/>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Obligaciones</w:t>
            </w:r>
          </w:p>
        </w:tc>
      </w:tr>
      <w:tr w:rsidR="00412AFB" w:rsidRPr="00993936" w:rsidTr="00C8678E">
        <w:trPr>
          <w:trHeight w:val="5148"/>
          <w:jc w:val="center"/>
        </w:trPr>
        <w:tc>
          <w:tcPr>
            <w:tcW w:w="2307" w:type="pct"/>
            <w:vMerge w:val="restart"/>
          </w:tcPr>
          <w:p w:rsidR="00412AFB" w:rsidRPr="00993936" w:rsidRDefault="00412AFB" w:rsidP="00671C98">
            <w:pPr>
              <w:pStyle w:val="Sinespaciado"/>
              <w:rPr>
                <w:rFonts w:ascii="Arial" w:hAnsi="Arial" w:cs="Arial"/>
                <w:lang w:val="es-ES" w:eastAsia="ca-ES"/>
              </w:rPr>
            </w:pP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2,4-D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2,4-DB (1) (2)</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2,4-D MCPA (6)</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2,4-D Florasulam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Aclonifen (5)</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Aclonifen + Isoxaflutrol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Benfluralina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Bentazona (1) (2)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Bentazona + Imazamox (1) (5)</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Bromoxinil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Clopiralida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Dicamba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Dimetenamida-P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Diquat (1) (2) (3) (4) (5)</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Fluazifop-P-butil (5)</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Fluroxipir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Fluroxipir + Triclopir (6)</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Glifosato</w:t>
            </w:r>
            <w:r w:rsidR="00E03B3B" w:rsidRPr="00993936">
              <w:rPr>
                <w:rFonts w:ascii="Arial" w:hAnsi="Arial" w:cs="Arial"/>
                <w:lang w:val="es-ES" w:eastAsia="ca-ES"/>
              </w:rPr>
              <w:t xml:space="preserve"> </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Glifosato + MCPA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Glifosato + Piralufen-etil (1) (2) (3) (4) (5) </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Glufosinato </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Imazamox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Isoxaflutol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Linuron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MCPA (4) (6)</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MCPP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Mesotriona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Mesotriona + S-metacloro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Metribuzina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Nicosulfuron (4)</w:t>
            </w:r>
          </w:p>
          <w:p w:rsidR="00412AFB" w:rsidRPr="00993936" w:rsidRDefault="00412AFB" w:rsidP="00671C98">
            <w:pPr>
              <w:pStyle w:val="Sinespaciado"/>
              <w:rPr>
                <w:rFonts w:ascii="Arial" w:hAnsi="Arial" w:cs="Arial"/>
                <w:lang w:val="es-ES"/>
              </w:rPr>
            </w:pPr>
            <w:r w:rsidRPr="00993936">
              <w:rPr>
                <w:rFonts w:ascii="Arial" w:hAnsi="Arial" w:cs="Arial"/>
                <w:lang w:val="es-ES"/>
              </w:rPr>
              <w:t>Pendimetalina (4)</w:t>
            </w:r>
          </w:p>
          <w:p w:rsidR="00412AFB" w:rsidRPr="00993936" w:rsidRDefault="00412AFB" w:rsidP="00671C98">
            <w:pPr>
              <w:pStyle w:val="Sinespaciado"/>
              <w:rPr>
                <w:rFonts w:ascii="Arial" w:hAnsi="Arial" w:cs="Arial"/>
                <w:lang w:val="es-ES"/>
              </w:rPr>
            </w:pPr>
            <w:r w:rsidRPr="00993936">
              <w:rPr>
                <w:rFonts w:ascii="Arial" w:hAnsi="Arial" w:cs="Arial"/>
                <w:lang w:val="es-ES"/>
              </w:rPr>
              <w:t>Petoxamida (4)</w:t>
            </w:r>
          </w:p>
          <w:p w:rsidR="00412AFB" w:rsidRPr="00993936" w:rsidRDefault="00412AFB" w:rsidP="00671C98">
            <w:pPr>
              <w:pStyle w:val="Sinespaciado"/>
              <w:rPr>
                <w:rFonts w:ascii="Arial" w:hAnsi="Arial" w:cs="Arial"/>
                <w:lang w:val="es-ES"/>
              </w:rPr>
            </w:pPr>
            <w:r w:rsidRPr="00993936">
              <w:rPr>
                <w:rFonts w:ascii="Arial" w:hAnsi="Arial" w:cs="Arial"/>
                <w:lang w:val="es-ES"/>
              </w:rPr>
              <w:t>Propaquizafop (5)</w:t>
            </w:r>
          </w:p>
          <w:p w:rsidR="00412AFB" w:rsidRPr="00993936" w:rsidRDefault="00412AFB" w:rsidP="00671C98">
            <w:pPr>
              <w:pStyle w:val="Sinespaciado"/>
              <w:rPr>
                <w:rFonts w:ascii="Arial" w:hAnsi="Arial" w:cs="Arial"/>
                <w:lang w:val="es-ES"/>
              </w:rPr>
            </w:pPr>
            <w:r w:rsidRPr="00993936">
              <w:rPr>
                <w:rFonts w:ascii="Arial" w:hAnsi="Arial" w:cs="Arial"/>
                <w:lang w:val="es-ES"/>
              </w:rPr>
              <w:t>Propizamida (1)</w:t>
            </w:r>
          </w:p>
          <w:p w:rsidR="00412AFB" w:rsidRPr="00993936" w:rsidRDefault="00412AFB" w:rsidP="00671C98">
            <w:pPr>
              <w:pStyle w:val="Sinespaciado"/>
              <w:rPr>
                <w:rFonts w:ascii="Arial" w:hAnsi="Arial" w:cs="Arial"/>
                <w:lang w:val="es-ES"/>
              </w:rPr>
            </w:pPr>
            <w:r w:rsidRPr="00993936">
              <w:rPr>
                <w:rFonts w:ascii="Arial" w:hAnsi="Arial" w:cs="Arial"/>
                <w:lang w:val="es-ES"/>
              </w:rPr>
              <w:t>Quizalofp-P-etil (1) (3)</w:t>
            </w:r>
          </w:p>
          <w:p w:rsidR="00412AFB" w:rsidRPr="00993936" w:rsidRDefault="00412AFB" w:rsidP="00671C98">
            <w:pPr>
              <w:pStyle w:val="Sinespaciado"/>
              <w:rPr>
                <w:rFonts w:ascii="Arial" w:hAnsi="Arial" w:cs="Arial"/>
                <w:lang w:val="es-ES"/>
              </w:rPr>
            </w:pPr>
            <w:r w:rsidRPr="00993936">
              <w:rPr>
                <w:rFonts w:ascii="Arial" w:hAnsi="Arial" w:cs="Arial"/>
                <w:lang w:val="es-ES"/>
              </w:rPr>
              <w:t>Rimsulfuron (4)</w:t>
            </w:r>
          </w:p>
          <w:p w:rsidR="00412AFB" w:rsidRPr="00993936" w:rsidRDefault="00412AFB" w:rsidP="00671C98">
            <w:pPr>
              <w:pStyle w:val="Sinespaciado"/>
              <w:rPr>
                <w:rFonts w:ascii="Arial" w:hAnsi="Arial" w:cs="Arial"/>
                <w:lang w:val="es-ES"/>
              </w:rPr>
            </w:pPr>
            <w:r w:rsidRPr="00993936">
              <w:rPr>
                <w:rFonts w:ascii="Arial" w:hAnsi="Arial" w:cs="Arial"/>
                <w:lang w:val="es-ES"/>
              </w:rPr>
              <w:t>S-metolacloro (4)</w:t>
            </w:r>
          </w:p>
          <w:p w:rsidR="00412AFB" w:rsidRPr="00993936" w:rsidRDefault="00412AFB" w:rsidP="00671C98">
            <w:pPr>
              <w:pStyle w:val="Sinespaciado"/>
              <w:rPr>
                <w:rFonts w:ascii="Arial" w:hAnsi="Arial" w:cs="Arial"/>
                <w:lang w:val="es-ES"/>
              </w:rPr>
            </w:pPr>
            <w:r w:rsidRPr="00993936">
              <w:rPr>
                <w:rFonts w:ascii="Arial" w:hAnsi="Arial" w:cs="Arial"/>
                <w:lang w:val="es-ES"/>
              </w:rPr>
              <w:t>Sulcotriona (4)</w:t>
            </w:r>
          </w:p>
          <w:p w:rsidR="00412AFB" w:rsidRPr="00993936" w:rsidRDefault="00412AFB" w:rsidP="00671C98">
            <w:pPr>
              <w:pStyle w:val="Sinespaciado"/>
              <w:rPr>
                <w:rFonts w:ascii="Arial" w:hAnsi="Arial" w:cs="Arial"/>
                <w:lang w:val="es-ES"/>
              </w:rPr>
            </w:pPr>
            <w:r w:rsidRPr="00993936">
              <w:rPr>
                <w:rFonts w:ascii="Arial" w:hAnsi="Arial" w:cs="Arial"/>
                <w:lang w:val="es-ES"/>
              </w:rPr>
              <w:t>Tifensulfuron (1) (4)</w:t>
            </w:r>
          </w:p>
        </w:tc>
        <w:tc>
          <w:tcPr>
            <w:tcW w:w="2693" w:type="pct"/>
          </w:tcPr>
          <w:p w:rsidR="00412AFB" w:rsidRPr="00993936" w:rsidRDefault="00412AFB" w:rsidP="00671C98">
            <w:pPr>
              <w:pStyle w:val="Sinespaciado"/>
              <w:rPr>
                <w:rFonts w:ascii="Arial" w:hAnsi="Arial" w:cs="Arial"/>
                <w:snapToGrid w:val="0"/>
                <w:lang w:val="es-ES"/>
              </w:rPr>
            </w:pP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Controlar las malas hierbas, siempre que sea posible, con medios físicos, mecánicos, biológicos o con aquellos que ofrezcan el menor riesgo de emisiones de CO</w:t>
            </w:r>
            <w:r w:rsidRPr="00993936">
              <w:rPr>
                <w:rFonts w:ascii="Arial" w:hAnsi="Arial" w:cs="Arial"/>
                <w:snapToGrid w:val="0"/>
                <w:vertAlign w:val="subscript"/>
                <w:lang w:val="es-ES"/>
              </w:rPr>
              <w:t>2</w:t>
            </w:r>
            <w:r w:rsidRPr="00993936">
              <w:rPr>
                <w:rFonts w:ascii="Arial" w:hAnsi="Arial" w:cs="Arial"/>
                <w:snapToGrid w:val="0"/>
                <w:lang w:val="es-ES"/>
              </w:rPr>
              <w:t>. Cuando los medios señalados anteriormente no permitan un control adecuado de las malas hierbas, podrá justificarse la aplicación de alguno de los herbicidas que figuran en esta tabla.</w:t>
            </w:r>
          </w:p>
          <w:p w:rsidR="00412AFB" w:rsidRPr="00993936" w:rsidRDefault="00412AFB" w:rsidP="00671C98">
            <w:pPr>
              <w:pStyle w:val="Sinespaciado"/>
              <w:rPr>
                <w:rFonts w:ascii="Arial" w:hAnsi="Arial" w:cs="Arial"/>
                <w:snapToGrid w:val="0"/>
                <w:lang w:val="es-ES"/>
              </w:rPr>
            </w:pP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Las materias activas que se utilizarán serán seleccionadas de acuerdo con los criterios de menor peligrosidad para los humanos, la fauna silvestre y el medio ambiente, y por proporcionar un control efectivo de las mala hierbas.</w:t>
            </w:r>
          </w:p>
          <w:p w:rsidR="00412AFB" w:rsidRPr="00993936" w:rsidRDefault="00412AFB" w:rsidP="00671C98">
            <w:pPr>
              <w:pStyle w:val="Sinespaciado"/>
              <w:rPr>
                <w:rFonts w:ascii="Arial" w:hAnsi="Arial" w:cs="Arial"/>
                <w:lang w:val="es-ES"/>
              </w:rPr>
            </w:pPr>
          </w:p>
        </w:tc>
      </w:tr>
      <w:tr w:rsidR="00412AFB" w:rsidRPr="00993936" w:rsidTr="00C8678E">
        <w:trPr>
          <w:trHeight w:val="501"/>
          <w:jc w:val="center"/>
        </w:trPr>
        <w:tc>
          <w:tcPr>
            <w:tcW w:w="2307" w:type="pct"/>
            <w:vMerge/>
          </w:tcPr>
          <w:p w:rsidR="00412AFB" w:rsidRPr="00993936" w:rsidRDefault="00412AFB" w:rsidP="00671C98">
            <w:pPr>
              <w:pStyle w:val="Sinespaciado"/>
              <w:rPr>
                <w:rFonts w:ascii="Arial" w:hAnsi="Arial" w:cs="Arial"/>
                <w:lang w:val="es-ES" w:eastAsia="ca-ES"/>
              </w:rPr>
            </w:pPr>
          </w:p>
        </w:tc>
        <w:tc>
          <w:tcPr>
            <w:tcW w:w="2693" w:type="pct"/>
            <w:shd w:val="clear" w:color="auto" w:fill="D9D9D9"/>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Restricciones</w:t>
            </w:r>
          </w:p>
        </w:tc>
      </w:tr>
      <w:tr w:rsidR="00412AFB" w:rsidRPr="00993936" w:rsidTr="00C8678E">
        <w:trPr>
          <w:trHeight w:val="3882"/>
          <w:jc w:val="center"/>
        </w:trPr>
        <w:tc>
          <w:tcPr>
            <w:tcW w:w="2307" w:type="pct"/>
            <w:vMerge/>
          </w:tcPr>
          <w:p w:rsidR="00412AFB" w:rsidRPr="00993936" w:rsidRDefault="00412AFB" w:rsidP="00671C98">
            <w:pPr>
              <w:pStyle w:val="Sinespaciado"/>
              <w:rPr>
                <w:rFonts w:ascii="Arial" w:hAnsi="Arial" w:cs="Arial"/>
                <w:lang w:val="es-ES" w:eastAsia="ca-ES"/>
              </w:rPr>
            </w:pPr>
          </w:p>
        </w:tc>
        <w:tc>
          <w:tcPr>
            <w:tcW w:w="2693" w:type="pct"/>
          </w:tcPr>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9D1A2D">
            <w:pPr>
              <w:pStyle w:val="Sinespaciado"/>
              <w:numPr>
                <w:ilvl w:val="0"/>
                <w:numId w:val="197"/>
              </w:numPr>
              <w:rPr>
                <w:rFonts w:ascii="Arial" w:hAnsi="Arial" w:cs="Arial"/>
                <w:lang w:val="es-ES"/>
              </w:rPr>
            </w:pPr>
            <w:r w:rsidRPr="00993936">
              <w:rPr>
                <w:rFonts w:ascii="Arial" w:hAnsi="Arial" w:cs="Arial"/>
                <w:lang w:val="es-ES"/>
              </w:rPr>
              <w:t>Alfalfa</w:t>
            </w:r>
          </w:p>
          <w:p w:rsidR="00412AFB" w:rsidRPr="00993936" w:rsidRDefault="00412AFB" w:rsidP="009D1A2D">
            <w:pPr>
              <w:pStyle w:val="Sinespaciado"/>
              <w:numPr>
                <w:ilvl w:val="0"/>
                <w:numId w:val="197"/>
              </w:numPr>
              <w:rPr>
                <w:rFonts w:ascii="Arial" w:hAnsi="Arial" w:cs="Arial"/>
                <w:lang w:val="es-ES"/>
              </w:rPr>
            </w:pPr>
            <w:r w:rsidRPr="00993936">
              <w:rPr>
                <w:rFonts w:ascii="Arial" w:hAnsi="Arial" w:cs="Arial"/>
                <w:lang w:val="es-ES"/>
              </w:rPr>
              <w:t>Trébol</w:t>
            </w:r>
          </w:p>
          <w:p w:rsidR="00412AFB" w:rsidRPr="00993936" w:rsidRDefault="00412AFB" w:rsidP="009D1A2D">
            <w:pPr>
              <w:pStyle w:val="Sinespaciado"/>
              <w:numPr>
                <w:ilvl w:val="0"/>
                <w:numId w:val="197"/>
              </w:numPr>
              <w:rPr>
                <w:rFonts w:ascii="Arial" w:hAnsi="Arial" w:cs="Arial"/>
                <w:lang w:val="es-ES"/>
              </w:rPr>
            </w:pPr>
            <w:r w:rsidRPr="00993936">
              <w:rPr>
                <w:rFonts w:ascii="Arial" w:hAnsi="Arial" w:cs="Arial"/>
                <w:lang w:val="es-ES"/>
              </w:rPr>
              <w:t>Veza</w:t>
            </w:r>
          </w:p>
          <w:p w:rsidR="00412AFB" w:rsidRPr="00993936" w:rsidRDefault="00412AFB" w:rsidP="009D1A2D">
            <w:pPr>
              <w:pStyle w:val="Sinespaciado"/>
              <w:numPr>
                <w:ilvl w:val="0"/>
                <w:numId w:val="197"/>
              </w:numPr>
              <w:rPr>
                <w:rFonts w:ascii="Arial" w:hAnsi="Arial" w:cs="Arial"/>
                <w:lang w:val="es-ES"/>
              </w:rPr>
            </w:pPr>
            <w:r w:rsidRPr="00993936">
              <w:rPr>
                <w:rFonts w:ascii="Arial" w:hAnsi="Arial" w:cs="Arial"/>
                <w:lang w:val="es-ES"/>
              </w:rPr>
              <w:t>Maíz forrajero</w:t>
            </w:r>
          </w:p>
          <w:p w:rsidR="00412AFB" w:rsidRPr="00993936" w:rsidRDefault="00412AFB" w:rsidP="009D1A2D">
            <w:pPr>
              <w:pStyle w:val="Sinespaciado"/>
              <w:numPr>
                <w:ilvl w:val="0"/>
                <w:numId w:val="197"/>
              </w:numPr>
              <w:rPr>
                <w:rFonts w:ascii="Arial" w:hAnsi="Arial" w:cs="Arial"/>
                <w:lang w:val="es-ES"/>
              </w:rPr>
            </w:pPr>
            <w:r w:rsidRPr="00993936">
              <w:rPr>
                <w:rFonts w:ascii="Arial" w:hAnsi="Arial" w:cs="Arial"/>
                <w:lang w:val="es-ES"/>
              </w:rPr>
              <w:t>Guisante forrajero</w:t>
            </w:r>
          </w:p>
          <w:p w:rsidR="00412AFB" w:rsidRPr="00993936" w:rsidRDefault="00412AFB" w:rsidP="009D1A2D">
            <w:pPr>
              <w:pStyle w:val="Sinespaciado"/>
              <w:numPr>
                <w:ilvl w:val="0"/>
                <w:numId w:val="197"/>
              </w:numPr>
              <w:rPr>
                <w:rFonts w:ascii="Arial" w:hAnsi="Arial" w:cs="Arial"/>
                <w:lang w:val="es-ES"/>
              </w:rPr>
            </w:pPr>
            <w:r w:rsidRPr="00993936">
              <w:rPr>
                <w:rFonts w:ascii="Arial" w:hAnsi="Arial" w:cs="Arial"/>
                <w:lang w:val="es-ES"/>
              </w:rPr>
              <w:t>Otras gramíneas</w:t>
            </w:r>
          </w:p>
        </w:tc>
      </w:tr>
    </w:tbl>
    <w:p w:rsidR="00412AFB" w:rsidRPr="00993936" w:rsidRDefault="00412AFB" w:rsidP="009D1A2D">
      <w:pPr>
        <w:pStyle w:val="Textoindependiente3"/>
        <w:numPr>
          <w:ilvl w:val="1"/>
          <w:numId w:val="46"/>
        </w:numPr>
        <w:rPr>
          <w:rFonts w:cs="Arial"/>
          <w:szCs w:val="22"/>
          <w:lang w:val="es-ES"/>
        </w:rPr>
      </w:pPr>
      <w:r w:rsidRPr="00993936">
        <w:rPr>
          <w:rFonts w:cs="Arial"/>
          <w:szCs w:val="22"/>
          <w:lang w:val="es-ES"/>
        </w:rPr>
        <w:br w:type="page"/>
      </w:r>
      <w:r w:rsidRPr="00993936">
        <w:rPr>
          <w:rFonts w:cs="Arial"/>
          <w:szCs w:val="22"/>
          <w:lang w:val="es-ES"/>
        </w:rPr>
        <w:lastRenderedPageBreak/>
        <w:t>Materias activas de herbicidas para la producción integrada de forrajes con indicación del código de resistencia HRAC</w:t>
      </w:r>
    </w:p>
    <w:p w:rsidR="00412AFB" w:rsidRPr="00993936" w:rsidRDefault="00412AFB" w:rsidP="00412AFB">
      <w:pPr>
        <w:pStyle w:val="Textoindependiente2"/>
        <w:rPr>
          <w:rFonts w:cs="Arial"/>
          <w:sz w:val="22"/>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FUNGICIDAS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C8678E">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HRAC (*)</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2,4-D</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2,4-D + Florasulam</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O+B</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2,4-D + MCPA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2,4-DB</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Aclonifen</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F3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Aclonifen + Isoxaflutol</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F3+F2</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Benfluralina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K1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Bentazona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C3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Bentazona + Imazamox</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C3+B</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Bromoxinil</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C3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Clopiralida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O4</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Dicamba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Dimetenamida-p</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K3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Diquat</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D</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Fluazifop-P-butil</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A</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Fluroxipir + Triclopir</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Fluroxipir</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Glifosato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G</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Glifosato + MCPA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G+O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Glifosato + Piraflufen etil</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G+E</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Glufosinato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H</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Imazamox</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B</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Isoxaflutol</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F2</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Linuron</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C2</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MCPA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MCPP</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O</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Mesotriona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F2</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Metam potasio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Z</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Metribuzina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C1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Nicosulfuron</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B</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Pendimetalina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K1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Petoxamida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K3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Propaquizafop</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A</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Propizamida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K1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Quizalofop-P-etil</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A</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Rimsulfuron</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B</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S-metolacloro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K3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Sulcotriona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F2</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Tifensulfuron</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B</w:t>
            </w:r>
          </w:p>
        </w:tc>
      </w:tr>
      <w:tr w:rsidR="00412AFB" w:rsidRPr="00993936" w:rsidTr="00C8678E">
        <w:trPr>
          <w:trHeight w:val="270"/>
        </w:trPr>
        <w:tc>
          <w:tcPr>
            <w:tcW w:w="5000" w:type="pct"/>
            <w:gridSpan w:val="2"/>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(HRAC) diferentes</w:t>
            </w:r>
          </w:p>
        </w:tc>
      </w:tr>
      <w:tr w:rsidR="00412AFB" w:rsidRPr="00993936" w:rsidTr="00C8678E">
        <w:trPr>
          <w:trHeight w:val="270"/>
        </w:trPr>
        <w:tc>
          <w:tcPr>
            <w:tcW w:w="5000" w:type="pct"/>
            <w:gridSpan w:val="2"/>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Fuente: Comité de Acción de Resistencia a Herbicidas</w:t>
            </w:r>
          </w:p>
        </w:tc>
      </w:tr>
    </w:tbl>
    <w:p w:rsidR="00412AFB" w:rsidRPr="00993936" w:rsidRDefault="00412AFB" w:rsidP="00412AFB">
      <w:pPr>
        <w:autoSpaceDE w:val="0"/>
        <w:autoSpaceDN w:val="0"/>
        <w:adjustRightInd w:val="0"/>
        <w:jc w:val="both"/>
        <w:rPr>
          <w:rFonts w:ascii="Arial" w:hAnsi="Arial" w:cs="Arial"/>
          <w:b/>
          <w:lang w:val="es-ES"/>
        </w:rPr>
      </w:pPr>
    </w:p>
    <w:p w:rsidR="00412AFB" w:rsidRPr="00993936" w:rsidRDefault="00412AFB" w:rsidP="00412AFB">
      <w:pPr>
        <w:pStyle w:val="Textodebloque"/>
        <w:ind w:left="0"/>
        <w:jc w:val="both"/>
        <w:rPr>
          <w:rFonts w:cs="Arial"/>
          <w:sz w:val="22"/>
          <w:szCs w:val="22"/>
          <w:lang w:val="es-ES"/>
        </w:rPr>
        <w:sectPr w:rsidR="00412AFB" w:rsidRPr="00993936" w:rsidSect="00FE34C4">
          <w:headerReference w:type="default" r:id="rId20"/>
          <w:pgSz w:w="11906" w:h="16838"/>
          <w:pgMar w:top="1417" w:right="1701" w:bottom="1417" w:left="1701" w:header="708" w:footer="708" w:gutter="0"/>
          <w:cols w:space="708"/>
          <w:docGrid w:linePitch="360"/>
        </w:sectPr>
      </w:pPr>
    </w:p>
    <w:p w:rsidR="00412AFB" w:rsidRPr="00993936" w:rsidRDefault="00412AFB" w:rsidP="00412AFB">
      <w:pPr>
        <w:pStyle w:val="Ttulo3"/>
        <w:rPr>
          <w:rFonts w:ascii="Arial" w:hAnsi="Arial" w:cs="Arial"/>
          <w:snapToGrid w:val="0"/>
          <w:color w:val="auto"/>
          <w:szCs w:val="22"/>
          <w:lang w:val="es-ES"/>
        </w:rPr>
      </w:pPr>
    </w:p>
    <w:p w:rsidR="00412AFB" w:rsidRPr="00993936" w:rsidRDefault="00412AFB" w:rsidP="00412AFB">
      <w:pPr>
        <w:pStyle w:val="Ttulo3"/>
        <w:rPr>
          <w:rFonts w:ascii="Arial" w:hAnsi="Arial" w:cs="Arial"/>
          <w:snapToGrid w:val="0"/>
          <w:color w:val="auto"/>
          <w:szCs w:val="22"/>
          <w:lang w:val="es-ES"/>
        </w:rPr>
      </w:pPr>
      <w:r w:rsidRPr="00993936">
        <w:rPr>
          <w:rFonts w:ascii="Arial" w:hAnsi="Arial" w:cs="Arial"/>
          <w:snapToGrid w:val="0"/>
          <w:color w:val="auto"/>
          <w:szCs w:val="22"/>
          <w:lang w:val="es-ES"/>
        </w:rPr>
        <w:t>ANEXO 2</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t>2.1 Materias activas de insecticidas, acaricidas y nematocitos para la producción integrada de forrajes y criterios de intervención</w:t>
      </w:r>
    </w:p>
    <w:p w:rsidR="00412AFB" w:rsidRPr="00993936" w:rsidRDefault="00412AFB" w:rsidP="00412AFB">
      <w:pPr>
        <w:pStyle w:val="Textoindependiente2"/>
        <w:rPr>
          <w:rFonts w:cs="Arial"/>
          <w:sz w:val="22"/>
          <w:szCs w:val="22"/>
          <w:lang w:val="es-ES"/>
        </w:rPr>
      </w:pP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t>2.1.1 Alfalfa</w:t>
      </w:r>
    </w:p>
    <w:p w:rsidR="00412AFB" w:rsidRPr="00993936" w:rsidRDefault="00412AFB" w:rsidP="00412AFB">
      <w:pPr>
        <w:pStyle w:val="Encabezado"/>
        <w:tabs>
          <w:tab w:val="clear" w:pos="4252"/>
          <w:tab w:val="clear" w:pos="8504"/>
        </w:tabs>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5"/>
        <w:gridCol w:w="2055"/>
        <w:gridCol w:w="3489"/>
        <w:gridCol w:w="2778"/>
        <w:gridCol w:w="2778"/>
      </w:tblGrid>
      <w:tr w:rsidR="00412AFB" w:rsidRPr="00993936" w:rsidTr="00C8678E">
        <w:trPr>
          <w:tblHeader/>
          <w:jc w:val="center"/>
        </w:trPr>
        <w:tc>
          <w:tcPr>
            <w:tcW w:w="804"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PLAGA/ENFERMEDAD</w:t>
            </w:r>
          </w:p>
        </w:tc>
        <w:tc>
          <w:tcPr>
            <w:tcW w:w="784"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CRITERIO DE INTERVENCIÓN</w:t>
            </w:r>
          </w:p>
        </w:tc>
        <w:tc>
          <w:tcPr>
            <w:tcW w:w="1312"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MATERIA ACTIVA</w:t>
            </w:r>
          </w:p>
        </w:tc>
        <w:tc>
          <w:tcPr>
            <w:tcW w:w="1050"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MUESTREO</w:t>
            </w:r>
          </w:p>
        </w:tc>
        <w:tc>
          <w:tcPr>
            <w:tcW w:w="1050"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RESTRICCIONES</w:t>
            </w:r>
          </w:p>
        </w:tc>
      </w:tr>
      <w:tr w:rsidR="00412AFB" w:rsidRPr="00993936" w:rsidTr="00C8678E">
        <w:trPr>
          <w:cantSplit/>
          <w:trHeight w:val="1530"/>
          <w:jc w:val="center"/>
        </w:trPr>
        <w:tc>
          <w:tcPr>
            <w:tcW w:w="80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Gusano </w:t>
            </w:r>
          </w:p>
          <w:p w:rsidR="00412AFB" w:rsidRPr="00993936" w:rsidRDefault="00412AFB" w:rsidP="00671C98">
            <w:pPr>
              <w:pStyle w:val="Sinespaciado"/>
              <w:rPr>
                <w:rFonts w:ascii="Arial" w:hAnsi="Arial" w:cs="Arial"/>
                <w:i/>
                <w:lang w:val="es-ES"/>
              </w:rPr>
            </w:pPr>
            <w:r w:rsidRPr="00993936">
              <w:rPr>
                <w:rFonts w:ascii="Arial" w:hAnsi="Arial" w:cs="Arial"/>
                <w:i/>
                <w:lang w:val="es-ES"/>
              </w:rPr>
              <w:t>(Colaspidema atrum)</w:t>
            </w:r>
          </w:p>
        </w:tc>
        <w:tc>
          <w:tcPr>
            <w:tcW w:w="78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larvas</w:t>
            </w:r>
          </w:p>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12"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Alfacipermetrina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Beta-ciflutrina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Cipermetrina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Cipermetrina + Metil-</w:t>
            </w:r>
            <w:r w:rsidR="00CA0C28" w:rsidRPr="00993936">
              <w:rPr>
                <w:rFonts w:ascii="Arial" w:hAnsi="Arial" w:cs="Arial"/>
                <w:snapToGrid w:val="0"/>
                <w:lang w:val="es-ES"/>
              </w:rPr>
              <w:t>Clorpirifos</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Deltametrina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Deltametrina + Tiacloprid</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Lambda-cihalotrina (4)</w:t>
            </w:r>
          </w:p>
        </w:tc>
        <w:tc>
          <w:tcPr>
            <w:tcW w:w="105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Apreciación visual y/o pasar, como mínimo, 10 veces la manga entomológica en dos sectores de la parcela</w:t>
            </w:r>
          </w:p>
          <w:p w:rsidR="00412AFB" w:rsidRPr="00993936" w:rsidRDefault="00412AFB" w:rsidP="00671C98">
            <w:pPr>
              <w:pStyle w:val="Sinespaciado"/>
              <w:rPr>
                <w:rFonts w:ascii="Arial" w:hAnsi="Arial" w:cs="Arial"/>
                <w:lang w:val="es-ES"/>
              </w:rPr>
            </w:pPr>
          </w:p>
        </w:tc>
        <w:tc>
          <w:tcPr>
            <w:tcW w:w="1050" w:type="pct"/>
            <w:vMerge w:val="restart"/>
            <w:vAlign w:val="center"/>
          </w:tcPr>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tc>
      </w:tr>
      <w:tr w:rsidR="00412AFB" w:rsidRPr="00993936" w:rsidTr="00C8678E">
        <w:trPr>
          <w:cantSplit/>
          <w:trHeight w:val="1750"/>
          <w:jc w:val="center"/>
        </w:trPr>
        <w:tc>
          <w:tcPr>
            <w:tcW w:w="80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Gusano verde </w:t>
            </w:r>
          </w:p>
          <w:p w:rsidR="00412AFB" w:rsidRPr="00993936" w:rsidRDefault="00412AFB" w:rsidP="00671C98">
            <w:pPr>
              <w:pStyle w:val="Sinespaciado"/>
              <w:rPr>
                <w:rFonts w:ascii="Arial" w:hAnsi="Arial" w:cs="Arial"/>
                <w:i/>
                <w:lang w:val="es-ES"/>
              </w:rPr>
            </w:pPr>
            <w:r w:rsidRPr="00993936">
              <w:rPr>
                <w:rFonts w:ascii="Arial" w:hAnsi="Arial" w:cs="Arial"/>
                <w:i/>
                <w:lang w:val="es-ES"/>
              </w:rPr>
              <w:t>(Hyper postic)</w:t>
            </w:r>
          </w:p>
        </w:tc>
        <w:tc>
          <w:tcPr>
            <w:tcW w:w="78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larvas</w:t>
            </w:r>
          </w:p>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12"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Alfacipermetrina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Beta-ciflutrina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Cipermetrina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Cipermetrina + Metil-</w:t>
            </w:r>
            <w:r w:rsidR="00CA0C28" w:rsidRPr="00993936">
              <w:rPr>
                <w:rFonts w:ascii="Arial" w:hAnsi="Arial" w:cs="Arial"/>
                <w:snapToGrid w:val="0"/>
                <w:lang w:val="es-ES"/>
              </w:rPr>
              <w:t>Clorpirifos</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Deltametrina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Lambda-cihalotrina (4)</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Zeta-cipermetrina (4)</w:t>
            </w:r>
          </w:p>
        </w:tc>
        <w:tc>
          <w:tcPr>
            <w:tcW w:w="105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Apreciación visual y/o pasar, como mínimo, 10 veces la manga entomológica en dos sectores de la parcela</w:t>
            </w:r>
          </w:p>
          <w:p w:rsidR="00412AFB" w:rsidRPr="00993936" w:rsidRDefault="00412AFB" w:rsidP="00671C98">
            <w:pPr>
              <w:pStyle w:val="Sinespaciado"/>
              <w:rPr>
                <w:rFonts w:ascii="Arial" w:hAnsi="Arial" w:cs="Arial"/>
                <w:lang w:val="es-ES"/>
              </w:rPr>
            </w:pPr>
          </w:p>
        </w:tc>
        <w:tc>
          <w:tcPr>
            <w:tcW w:w="1050" w:type="pct"/>
            <w:vMerge/>
            <w:vAlign w:val="center"/>
          </w:tcPr>
          <w:p w:rsidR="00412AFB" w:rsidRPr="00993936" w:rsidRDefault="00412AFB" w:rsidP="00671C98">
            <w:pPr>
              <w:pStyle w:val="Sinespaciado"/>
              <w:rPr>
                <w:rFonts w:ascii="Arial" w:hAnsi="Arial" w:cs="Arial"/>
                <w:lang w:val="es-ES"/>
              </w:rPr>
            </w:pPr>
          </w:p>
        </w:tc>
      </w:tr>
      <w:tr w:rsidR="00412AFB" w:rsidRPr="00993936" w:rsidTr="00C8678E">
        <w:trPr>
          <w:cantSplit/>
          <w:trHeight w:val="430"/>
          <w:jc w:val="center"/>
        </w:trPr>
        <w:tc>
          <w:tcPr>
            <w:tcW w:w="80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Api</w:t>
            </w:r>
            <w:r w:rsidR="003511E6" w:rsidRPr="00993936">
              <w:rPr>
                <w:rFonts w:ascii="Arial" w:hAnsi="Arial" w:cs="Arial"/>
                <w:lang w:val="es-ES"/>
              </w:rPr>
              <w:t>ó</w:t>
            </w:r>
            <w:r w:rsidRPr="00993936">
              <w:rPr>
                <w:rFonts w:ascii="Arial" w:hAnsi="Arial" w:cs="Arial"/>
                <w:lang w:val="es-ES"/>
              </w:rPr>
              <w:t>n</w:t>
            </w:r>
          </w:p>
        </w:tc>
        <w:tc>
          <w:tcPr>
            <w:tcW w:w="78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adultos</w:t>
            </w:r>
          </w:p>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12"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Beta-ciflutrina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Deltametrina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Lambda-cihalotrina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Tau-fluvalinato (4)</w:t>
            </w:r>
          </w:p>
        </w:tc>
        <w:tc>
          <w:tcPr>
            <w:tcW w:w="105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Apreciación visual y/o pasar, como mínimo, 10 veces la manga entomológica en dos sectores de la parcela</w:t>
            </w:r>
          </w:p>
          <w:p w:rsidR="00412AFB" w:rsidRPr="00993936" w:rsidRDefault="00412AFB" w:rsidP="00671C98">
            <w:pPr>
              <w:pStyle w:val="Sinespaciado"/>
              <w:rPr>
                <w:rFonts w:ascii="Arial" w:hAnsi="Arial" w:cs="Arial"/>
                <w:lang w:val="es-ES"/>
              </w:rPr>
            </w:pPr>
          </w:p>
        </w:tc>
        <w:tc>
          <w:tcPr>
            <w:tcW w:w="1050" w:type="pct"/>
            <w:vMerge/>
            <w:vAlign w:val="center"/>
          </w:tcPr>
          <w:p w:rsidR="00412AFB" w:rsidRPr="00993936" w:rsidRDefault="00412AFB" w:rsidP="00671C98">
            <w:pPr>
              <w:pStyle w:val="Sinespaciado"/>
              <w:rPr>
                <w:rFonts w:ascii="Arial" w:hAnsi="Arial" w:cs="Arial"/>
                <w:lang w:val="es-ES"/>
              </w:rPr>
            </w:pPr>
          </w:p>
        </w:tc>
      </w:tr>
      <w:tr w:rsidR="00412AFB" w:rsidRPr="00993936" w:rsidTr="00C8678E">
        <w:trPr>
          <w:cantSplit/>
          <w:jc w:val="center"/>
        </w:trPr>
        <w:tc>
          <w:tcPr>
            <w:tcW w:w="80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lastRenderedPageBreak/>
              <w:t>Pulgones</w:t>
            </w:r>
          </w:p>
        </w:tc>
        <w:tc>
          <w:tcPr>
            <w:tcW w:w="78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Ausencia de auxiliares</w:t>
            </w:r>
          </w:p>
          <w:p w:rsidR="00412AFB" w:rsidRPr="00993936" w:rsidRDefault="00412AFB" w:rsidP="00671C98">
            <w:pPr>
              <w:pStyle w:val="Sinespaciado"/>
              <w:rPr>
                <w:rFonts w:ascii="Arial" w:hAnsi="Arial" w:cs="Arial"/>
                <w:lang w:val="es-ES"/>
              </w:rPr>
            </w:pPr>
            <w:r w:rsidRPr="00993936">
              <w:rPr>
                <w:rFonts w:ascii="Arial" w:hAnsi="Arial" w:cs="Arial"/>
                <w:lang w:val="es-ES"/>
              </w:rPr>
              <w:t>Presencia de pulgones</w:t>
            </w:r>
          </w:p>
        </w:tc>
        <w:tc>
          <w:tcPr>
            <w:tcW w:w="1312"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Acetamiprid</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Alfacipermetrina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Beta-ciflutrina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Cipermetrina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Deltametrina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Deltametrin + Tiacloprid</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 xml:space="preserve">Lambda-cihalotrina (4) </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Tau-fluvalina t (4)</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Zeta-cipermetrina (4)</w:t>
            </w:r>
          </w:p>
        </w:tc>
        <w:tc>
          <w:tcPr>
            <w:tcW w:w="105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Planta o manga entomológica</w:t>
            </w:r>
          </w:p>
        </w:tc>
        <w:tc>
          <w:tcPr>
            <w:tcW w:w="1050" w:type="pct"/>
            <w:vMerge/>
            <w:vAlign w:val="center"/>
          </w:tcPr>
          <w:p w:rsidR="00412AFB" w:rsidRPr="00993936" w:rsidRDefault="00412AFB" w:rsidP="00671C98">
            <w:pPr>
              <w:pStyle w:val="Sinespaciado"/>
              <w:rPr>
                <w:rFonts w:ascii="Arial" w:hAnsi="Arial" w:cs="Arial"/>
                <w:lang w:val="es-ES"/>
              </w:rPr>
            </w:pPr>
          </w:p>
        </w:tc>
      </w:tr>
      <w:tr w:rsidR="00412AFB" w:rsidRPr="00993936" w:rsidTr="00C8678E">
        <w:trPr>
          <w:cantSplit/>
          <w:jc w:val="center"/>
        </w:trPr>
        <w:tc>
          <w:tcPr>
            <w:tcW w:w="80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Orugas</w:t>
            </w:r>
          </w:p>
        </w:tc>
        <w:tc>
          <w:tcPr>
            <w:tcW w:w="78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larvas</w:t>
            </w:r>
          </w:p>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12"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Alfacipermetrina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 xml:space="preserve">Cipermetrina </w:t>
            </w:r>
          </w:p>
          <w:p w:rsidR="00412AFB" w:rsidRPr="00993936" w:rsidRDefault="00CA0C28" w:rsidP="00671C98">
            <w:pPr>
              <w:pStyle w:val="Sinespaciado"/>
              <w:rPr>
                <w:rFonts w:ascii="Arial" w:hAnsi="Arial" w:cs="Arial"/>
                <w:snapToGrid w:val="0"/>
                <w:lang w:val="es-ES"/>
              </w:rPr>
            </w:pPr>
            <w:r w:rsidRPr="00993936">
              <w:rPr>
                <w:rFonts w:ascii="Arial" w:hAnsi="Arial" w:cs="Arial"/>
                <w:snapToGrid w:val="0"/>
                <w:lang w:val="es-ES"/>
              </w:rPr>
              <w:t>Clorpirifos</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Deltametrina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Deltametrina + Tiacloprid</w:t>
            </w:r>
          </w:p>
        </w:tc>
        <w:tc>
          <w:tcPr>
            <w:tcW w:w="105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Apreciación visual y/o pasar, como mínimo, 10 veces la manga entomológica en dos sectores de la parcela</w:t>
            </w:r>
          </w:p>
          <w:p w:rsidR="00412AFB" w:rsidRPr="00993936" w:rsidRDefault="00412AFB" w:rsidP="00671C98">
            <w:pPr>
              <w:pStyle w:val="Sinespaciado"/>
              <w:rPr>
                <w:rFonts w:ascii="Arial" w:hAnsi="Arial" w:cs="Arial"/>
                <w:lang w:val="es-ES"/>
              </w:rPr>
            </w:pPr>
          </w:p>
        </w:tc>
        <w:tc>
          <w:tcPr>
            <w:tcW w:w="1050"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C8678E">
        <w:trPr>
          <w:cantSplit/>
          <w:jc w:val="center"/>
        </w:trPr>
        <w:tc>
          <w:tcPr>
            <w:tcW w:w="80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Sitona</w:t>
            </w:r>
          </w:p>
        </w:tc>
        <w:tc>
          <w:tcPr>
            <w:tcW w:w="784"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adultos</w:t>
            </w:r>
          </w:p>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12"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Alfacipermetrina</w:t>
            </w:r>
          </w:p>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Tau-fluvalinato (4)</w:t>
            </w:r>
          </w:p>
        </w:tc>
        <w:tc>
          <w:tcPr>
            <w:tcW w:w="105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Apreciación visual y/o pasar, como mínimo, 10 veces la manga entomológica en dos sectores de la parcela</w:t>
            </w:r>
          </w:p>
          <w:p w:rsidR="00412AFB" w:rsidRPr="00993936" w:rsidRDefault="00412AFB" w:rsidP="00671C98">
            <w:pPr>
              <w:pStyle w:val="Sinespaciado"/>
              <w:rPr>
                <w:rFonts w:ascii="Arial" w:hAnsi="Arial" w:cs="Arial"/>
                <w:lang w:val="es-ES"/>
              </w:rPr>
            </w:pPr>
          </w:p>
        </w:tc>
        <w:tc>
          <w:tcPr>
            <w:tcW w:w="1050" w:type="pct"/>
            <w:vMerge/>
            <w:vAlign w:val="center"/>
          </w:tcPr>
          <w:p w:rsidR="00412AFB" w:rsidRPr="00993936" w:rsidRDefault="00412AFB" w:rsidP="00671C98">
            <w:pPr>
              <w:pStyle w:val="Sinespaciado"/>
              <w:rPr>
                <w:rFonts w:ascii="Arial" w:hAnsi="Arial" w:cs="Arial"/>
                <w:lang w:val="es-ES"/>
              </w:rPr>
            </w:pPr>
          </w:p>
        </w:tc>
      </w:tr>
      <w:tr w:rsidR="00412AFB" w:rsidRPr="00993936" w:rsidTr="00C8678E">
        <w:trPr>
          <w:cantSplit/>
          <w:jc w:val="center"/>
        </w:trPr>
        <w:tc>
          <w:tcPr>
            <w:tcW w:w="804" w:type="pct"/>
            <w:vAlign w:val="center"/>
          </w:tcPr>
          <w:p w:rsidR="00412AFB" w:rsidRPr="00993936" w:rsidRDefault="00412AFB" w:rsidP="00671C98">
            <w:pPr>
              <w:pStyle w:val="Sinespaciado"/>
              <w:rPr>
                <w:rFonts w:ascii="Arial" w:hAnsi="Arial" w:cs="Arial"/>
                <w:i/>
                <w:lang w:val="es-ES"/>
              </w:rPr>
            </w:pPr>
            <w:r w:rsidRPr="00993936">
              <w:rPr>
                <w:rFonts w:ascii="Arial" w:hAnsi="Arial" w:cs="Arial"/>
                <w:i/>
                <w:lang w:val="es-ES"/>
              </w:rPr>
              <w:t>Dytylenchus dipsaci</w:t>
            </w:r>
          </w:p>
        </w:tc>
        <w:tc>
          <w:tcPr>
            <w:tcW w:w="784" w:type="pct"/>
            <w:vAlign w:val="center"/>
          </w:tcPr>
          <w:p w:rsidR="00412AFB" w:rsidRPr="00993936" w:rsidRDefault="00412AFB" w:rsidP="00671C98">
            <w:pPr>
              <w:pStyle w:val="Sinespaciado"/>
              <w:rPr>
                <w:rFonts w:ascii="Arial" w:hAnsi="Arial" w:cs="Arial"/>
                <w:lang w:val="es-ES"/>
              </w:rPr>
            </w:pPr>
          </w:p>
        </w:tc>
        <w:tc>
          <w:tcPr>
            <w:tcW w:w="1312" w:type="pct"/>
            <w:vAlign w:val="center"/>
          </w:tcPr>
          <w:p w:rsidR="00412AFB" w:rsidRPr="00993936" w:rsidRDefault="00412AFB" w:rsidP="00671C98">
            <w:pPr>
              <w:pStyle w:val="Sinespaciado"/>
              <w:rPr>
                <w:rFonts w:ascii="Arial" w:hAnsi="Arial" w:cs="Arial"/>
                <w:snapToGrid w:val="0"/>
                <w:lang w:val="es-ES"/>
              </w:rPr>
            </w:pPr>
          </w:p>
        </w:tc>
        <w:tc>
          <w:tcPr>
            <w:tcW w:w="1050" w:type="pct"/>
            <w:vAlign w:val="center"/>
          </w:tcPr>
          <w:p w:rsidR="00412AFB" w:rsidRPr="00993936" w:rsidRDefault="00412AFB" w:rsidP="00671C98">
            <w:pPr>
              <w:pStyle w:val="Sinespaciado"/>
              <w:rPr>
                <w:rFonts w:ascii="Arial" w:hAnsi="Arial" w:cs="Arial"/>
                <w:lang w:val="es-ES"/>
              </w:rPr>
            </w:pPr>
          </w:p>
        </w:tc>
        <w:tc>
          <w:tcPr>
            <w:tcW w:w="1050" w:type="pct"/>
            <w:vMerge/>
            <w:vAlign w:val="center"/>
          </w:tcPr>
          <w:p w:rsidR="00412AFB" w:rsidRPr="00993936" w:rsidRDefault="00412AFB" w:rsidP="00671C98">
            <w:pPr>
              <w:pStyle w:val="Sinespaciado"/>
              <w:rPr>
                <w:rFonts w:ascii="Arial" w:hAnsi="Arial" w:cs="Arial"/>
                <w:snapToGrid w:val="0"/>
                <w:lang w:val="es-ES"/>
              </w:rPr>
            </w:pPr>
          </w:p>
        </w:tc>
      </w:tr>
    </w:tbl>
    <w:p w:rsidR="00412AFB" w:rsidRPr="00993936" w:rsidRDefault="00412AFB" w:rsidP="00412AFB">
      <w:pPr>
        <w:pStyle w:val="Textoindependiente2"/>
        <w:rPr>
          <w:rFonts w:cs="Arial"/>
          <w:b/>
          <w:snapToGrid w:val="0"/>
          <w:sz w:val="22"/>
          <w:szCs w:val="22"/>
          <w:lang w:val="es-ES"/>
        </w:rPr>
      </w:pPr>
    </w:p>
    <w:p w:rsidR="00671C98" w:rsidRPr="00993936" w:rsidRDefault="00671C98">
      <w:pPr>
        <w:rPr>
          <w:rFonts w:ascii="Arial" w:eastAsia="Times New Roman" w:hAnsi="Arial" w:cs="Arial"/>
          <w:b/>
          <w:snapToGrid w:val="0"/>
          <w:lang w:val="es-ES" w:eastAsia="es-ES"/>
        </w:rPr>
      </w:pPr>
      <w:r w:rsidRPr="00993936">
        <w:rPr>
          <w:rFonts w:cs="Arial"/>
          <w:b/>
          <w:snapToGrid w:val="0"/>
          <w:lang w:val="es-ES"/>
        </w:rPr>
        <w:br w:type="page"/>
      </w: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lastRenderedPageBreak/>
        <w:t>2.1.2 Trébol</w:t>
      </w:r>
    </w:p>
    <w:p w:rsidR="00412AFB" w:rsidRPr="00993936" w:rsidRDefault="00412AFB" w:rsidP="00412AFB">
      <w:pPr>
        <w:pStyle w:val="Textoindependiente2"/>
        <w:rPr>
          <w:rFonts w:cs="Arial"/>
          <w:b/>
          <w:snapToGrid w:val="0"/>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5"/>
        <w:gridCol w:w="2056"/>
        <w:gridCol w:w="3473"/>
        <w:gridCol w:w="2768"/>
        <w:gridCol w:w="2803"/>
      </w:tblGrid>
      <w:tr w:rsidR="00412AFB" w:rsidRPr="00993936" w:rsidTr="00C8678E">
        <w:trPr>
          <w:tblHeader/>
          <w:jc w:val="center"/>
        </w:trPr>
        <w:tc>
          <w:tcPr>
            <w:tcW w:w="809"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PLAGA/ENFERMEDAD</w:t>
            </w:r>
          </w:p>
        </w:tc>
        <w:tc>
          <w:tcPr>
            <w:tcW w:w="783"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CRITERIO DE INTERVENCIÓN</w:t>
            </w:r>
          </w:p>
        </w:tc>
        <w:tc>
          <w:tcPr>
            <w:tcW w:w="1305"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MATERIA ACTIVA</w:t>
            </w:r>
          </w:p>
        </w:tc>
        <w:tc>
          <w:tcPr>
            <w:tcW w:w="1045"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MUESTREO</w:t>
            </w:r>
          </w:p>
        </w:tc>
        <w:tc>
          <w:tcPr>
            <w:tcW w:w="1058" w:type="pct"/>
            <w:shd w:val="clear" w:color="auto" w:fill="B3B3B3"/>
            <w:vAlign w:val="center"/>
          </w:tcPr>
          <w:p w:rsidR="00412AFB" w:rsidRPr="00993936" w:rsidDel="00C16E2C" w:rsidRDefault="00412AFB" w:rsidP="00671C98">
            <w:pPr>
              <w:pStyle w:val="Sinespaciado"/>
              <w:rPr>
                <w:rFonts w:ascii="Arial" w:hAnsi="Arial" w:cs="Arial"/>
                <w:lang w:val="es-ES"/>
              </w:rPr>
            </w:pPr>
            <w:r w:rsidRPr="00993936">
              <w:rPr>
                <w:rFonts w:ascii="Arial" w:hAnsi="Arial" w:cs="Arial"/>
                <w:lang w:val="es-ES"/>
              </w:rPr>
              <w:t>RESTRICCIONES</w:t>
            </w:r>
          </w:p>
        </w:tc>
      </w:tr>
      <w:tr w:rsidR="00412AFB" w:rsidRPr="00993936" w:rsidTr="00C8678E">
        <w:trPr>
          <w:cantSplit/>
          <w:trHeight w:val="233"/>
          <w:jc w:val="center"/>
        </w:trPr>
        <w:tc>
          <w:tcPr>
            <w:tcW w:w="809"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Insectos del suelo</w:t>
            </w:r>
          </w:p>
        </w:tc>
        <w:tc>
          <w:tcPr>
            <w:tcW w:w="78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05" w:type="pct"/>
            <w:vAlign w:val="center"/>
          </w:tcPr>
          <w:p w:rsidR="00412AFB" w:rsidRPr="00993936" w:rsidRDefault="00412AFB" w:rsidP="00671C98">
            <w:pPr>
              <w:pStyle w:val="Sinespaciado"/>
              <w:rPr>
                <w:rFonts w:ascii="Arial" w:hAnsi="Arial" w:cs="Arial"/>
                <w:lang w:val="es-ES" w:eastAsia="ca-ES"/>
              </w:rPr>
            </w:pPr>
          </w:p>
        </w:tc>
        <w:tc>
          <w:tcPr>
            <w:tcW w:w="1045"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C8678E">
        <w:trPr>
          <w:cantSplit/>
          <w:trHeight w:val="279"/>
          <w:jc w:val="center"/>
        </w:trPr>
        <w:tc>
          <w:tcPr>
            <w:tcW w:w="809"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Larvas de noctuidos</w:t>
            </w:r>
          </w:p>
        </w:tc>
        <w:tc>
          <w:tcPr>
            <w:tcW w:w="78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05" w:type="pct"/>
            <w:vAlign w:val="center"/>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w:t>
            </w:r>
          </w:p>
        </w:tc>
        <w:tc>
          <w:tcPr>
            <w:tcW w:w="1045"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9"/>
          <w:jc w:val="center"/>
        </w:trPr>
        <w:tc>
          <w:tcPr>
            <w:tcW w:w="809"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Ortópteros</w:t>
            </w:r>
          </w:p>
        </w:tc>
        <w:tc>
          <w:tcPr>
            <w:tcW w:w="78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05" w:type="pct"/>
            <w:vAlign w:val="center"/>
          </w:tcPr>
          <w:p w:rsidR="00412AFB" w:rsidRPr="00993936" w:rsidRDefault="00412AFB" w:rsidP="00671C98">
            <w:pPr>
              <w:pStyle w:val="Sinespaciado"/>
              <w:rPr>
                <w:rFonts w:ascii="Arial" w:hAnsi="Arial" w:cs="Arial"/>
                <w:lang w:val="es-ES" w:eastAsia="ca-ES"/>
              </w:rPr>
            </w:pP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Aceite parafínico </w:t>
            </w:r>
          </w:p>
        </w:tc>
        <w:tc>
          <w:tcPr>
            <w:tcW w:w="1045"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69"/>
          <w:jc w:val="center"/>
        </w:trPr>
        <w:tc>
          <w:tcPr>
            <w:tcW w:w="809"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Babosas</w:t>
            </w:r>
          </w:p>
        </w:tc>
        <w:tc>
          <w:tcPr>
            <w:tcW w:w="78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05" w:type="pct"/>
            <w:vAlign w:val="center"/>
          </w:tcPr>
          <w:p w:rsidR="00412AFB" w:rsidRPr="00993936" w:rsidRDefault="00412AFB" w:rsidP="00671C98">
            <w:pPr>
              <w:pStyle w:val="Sinespaciado"/>
              <w:rPr>
                <w:rFonts w:ascii="Arial" w:hAnsi="Arial" w:cs="Arial"/>
                <w:snapToGrid w:val="0"/>
                <w:lang w:val="es-ES"/>
              </w:rPr>
            </w:pPr>
          </w:p>
        </w:tc>
        <w:tc>
          <w:tcPr>
            <w:tcW w:w="1045"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69"/>
          <w:jc w:val="center"/>
        </w:trPr>
        <w:tc>
          <w:tcPr>
            <w:tcW w:w="809"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grises</w:t>
            </w:r>
          </w:p>
        </w:tc>
        <w:tc>
          <w:tcPr>
            <w:tcW w:w="78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305" w:type="pct"/>
            <w:vAlign w:val="center"/>
          </w:tcPr>
          <w:p w:rsidR="00412AFB" w:rsidRPr="00993936" w:rsidRDefault="00412AFB" w:rsidP="00671C98">
            <w:pPr>
              <w:pStyle w:val="Sinespaciado"/>
              <w:rPr>
                <w:rFonts w:ascii="Arial" w:hAnsi="Arial" w:cs="Arial"/>
                <w:snapToGrid w:val="0"/>
                <w:lang w:val="es-ES"/>
              </w:rPr>
            </w:pPr>
          </w:p>
        </w:tc>
        <w:tc>
          <w:tcPr>
            <w:tcW w:w="1045"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bl>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t>2.1.3 Guisante forrajero</w:t>
      </w:r>
    </w:p>
    <w:p w:rsidR="00412AFB" w:rsidRPr="00993936" w:rsidRDefault="00412AFB" w:rsidP="00412AFB">
      <w:pPr>
        <w:pStyle w:val="Textoindependiente2"/>
        <w:rPr>
          <w:rFonts w:cs="Arial"/>
          <w:b/>
          <w:snapToGrid w:val="0"/>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5"/>
        <w:gridCol w:w="2029"/>
        <w:gridCol w:w="3446"/>
        <w:gridCol w:w="2740"/>
        <w:gridCol w:w="2885"/>
      </w:tblGrid>
      <w:tr w:rsidR="00412AFB" w:rsidRPr="00993936" w:rsidTr="00C8678E">
        <w:trPr>
          <w:tblHeader/>
          <w:jc w:val="center"/>
        </w:trPr>
        <w:tc>
          <w:tcPr>
            <w:tcW w:w="801"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PLAGA/ENFERMEDAD</w:t>
            </w:r>
          </w:p>
        </w:tc>
        <w:tc>
          <w:tcPr>
            <w:tcW w:w="775"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CRITERIO DE INTERVENCIÓN</w:t>
            </w:r>
          </w:p>
        </w:tc>
        <w:tc>
          <w:tcPr>
            <w:tcW w:w="1297"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MATERIA ACTIVA</w:t>
            </w:r>
          </w:p>
        </w:tc>
        <w:tc>
          <w:tcPr>
            <w:tcW w:w="1037"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MUESTREO</w:t>
            </w:r>
          </w:p>
        </w:tc>
        <w:tc>
          <w:tcPr>
            <w:tcW w:w="1090"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RESTRICCIONES</w:t>
            </w: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Artrópodos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Caracoles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Carcoma</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dormideros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grises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Orugas (</w:t>
            </w:r>
            <w:r w:rsidRPr="00993936">
              <w:rPr>
                <w:rFonts w:ascii="Arial" w:hAnsi="Arial" w:cs="Arial"/>
                <w:i/>
                <w:lang w:val="es-ES" w:eastAsia="ca-ES"/>
              </w:rPr>
              <w:t>Heliotis</w:t>
            </w:r>
            <w:r w:rsidRPr="00993936">
              <w:rPr>
                <w:rFonts w:ascii="Arial" w:hAnsi="Arial" w:cs="Arial"/>
                <w:lang w:val="es-ES" w:eastAsia="ca-ES"/>
              </w:rPr>
              <w:t>)</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Bacillus thuringesis aizawai</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Bacillus thuringesis kurstaki</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671C98">
            <w:pPr>
              <w:pStyle w:val="Sinespaciado"/>
              <w:rPr>
                <w:rFonts w:ascii="Arial" w:hAnsi="Arial" w:cs="Arial"/>
                <w:lang w:val="es-ES" w:eastAsia="ca-ES"/>
              </w:rPr>
            </w:pP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restart"/>
            <w:vAlign w:val="center"/>
          </w:tcPr>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(4) Solo formulaciones que no sean de clasificación toxicológica (T)</w:t>
            </w: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w:t>
            </w:r>
            <w:r w:rsidRPr="00993936">
              <w:rPr>
                <w:rFonts w:ascii="Arial" w:hAnsi="Arial" w:cs="Arial"/>
                <w:lang w:val="es-ES"/>
              </w:rPr>
              <w:lastRenderedPageBreak/>
              <w:t xml:space="preserve">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(4) Solo formulaciones que no sean de clasificación toxicológica (T)</w:t>
            </w: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 </w:t>
            </w: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lastRenderedPageBreak/>
              <w:t xml:space="preserve">Ácaros </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Azufre</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lastRenderedPageBreak/>
              <w:t>Araña roja</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Azufre</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blancos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de alambre</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Larvas de dípteros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r w:rsidR="00412AFB" w:rsidRPr="00993936">
              <w:rPr>
                <w:rFonts w:ascii="Arial" w:hAnsi="Arial" w:cs="Arial"/>
                <w:lang w:val="es-ES" w:eastAsia="ca-ES"/>
              </w:rPr>
              <w:t xml:space="preserve"> </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Liryomiza</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Ciromazina</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Minadores de hojas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Mosca blanca</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Plusia</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Alfacipermetrina</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Bacillus thuringesis kurstaki</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Polillas </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Bacillus thuringesis kurstaki</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Spodoptera</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Alfacipermetrina</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Bacillus thuringesis kurstaki</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Trichoplusia</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Bacillus thuringesis kurstaki</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Trips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Alfacipermetrina</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lastRenderedPageBreak/>
              <w:t>Pulgones</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Alfacipermetrina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Cipermetrina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Lambda-cihalotrina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Piretrinas/piretrina</w:t>
            </w:r>
            <w:r w:rsidRPr="00993936" w:rsidDel="00B0571B">
              <w:rPr>
                <w:rFonts w:ascii="Arial" w:hAnsi="Arial" w:cs="Arial"/>
                <w:lang w:val="es-ES" w:eastAsia="ca-ES"/>
              </w:rPr>
              <w:t xml:space="preserve"> </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Pirimicarb</w:t>
            </w:r>
          </w:p>
          <w:p w:rsidR="00412AFB" w:rsidRPr="00993936" w:rsidRDefault="00412AFB" w:rsidP="00671C98">
            <w:pPr>
              <w:pStyle w:val="Sinespaciado"/>
              <w:rPr>
                <w:rFonts w:ascii="Arial" w:hAnsi="Arial" w:cs="Arial"/>
                <w:lang w:val="es-ES"/>
              </w:rPr>
            </w:pPr>
            <w:r w:rsidRPr="00993936">
              <w:rPr>
                <w:rFonts w:ascii="Arial" w:hAnsi="Arial" w:cs="Arial"/>
                <w:lang w:val="es-ES"/>
              </w:rPr>
              <w:t>Zeta-cipermetrina (4)</w:t>
            </w: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801"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lastRenderedPageBreak/>
              <w:t xml:space="preserve">Roedores </w:t>
            </w:r>
          </w:p>
        </w:tc>
        <w:tc>
          <w:tcPr>
            <w:tcW w:w="77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297" w:type="pct"/>
            <w:vAlign w:val="center"/>
          </w:tcPr>
          <w:p w:rsidR="00412AFB" w:rsidRPr="00993936" w:rsidRDefault="00412AFB" w:rsidP="00671C98">
            <w:pPr>
              <w:pStyle w:val="Sinespaciado"/>
              <w:rPr>
                <w:rFonts w:ascii="Arial" w:hAnsi="Arial" w:cs="Arial"/>
                <w:lang w:val="es-ES" w:eastAsia="ca-ES"/>
              </w:rPr>
            </w:pPr>
          </w:p>
        </w:tc>
        <w:tc>
          <w:tcPr>
            <w:tcW w:w="1037"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90" w:type="pct"/>
            <w:vMerge/>
            <w:vAlign w:val="center"/>
          </w:tcPr>
          <w:p w:rsidR="00412AFB" w:rsidRPr="00993936" w:rsidRDefault="00412AFB" w:rsidP="00671C98">
            <w:pPr>
              <w:pStyle w:val="Sinespaciado"/>
              <w:rPr>
                <w:rFonts w:ascii="Arial" w:hAnsi="Arial" w:cs="Arial"/>
                <w:snapToGrid w:val="0"/>
                <w:lang w:val="es-ES"/>
              </w:rPr>
            </w:pPr>
          </w:p>
        </w:tc>
      </w:tr>
    </w:tbl>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br w:type="page"/>
      </w:r>
      <w:r w:rsidRPr="00993936">
        <w:rPr>
          <w:rFonts w:cs="Arial"/>
          <w:b/>
          <w:snapToGrid w:val="0"/>
          <w:sz w:val="22"/>
          <w:szCs w:val="22"/>
          <w:lang w:val="es-ES"/>
        </w:rPr>
        <w:lastRenderedPageBreak/>
        <w:t>2.1.4 Veza</w:t>
      </w:r>
    </w:p>
    <w:p w:rsidR="00412AFB" w:rsidRPr="00993936" w:rsidRDefault="00412AFB" w:rsidP="00412AFB">
      <w:pPr>
        <w:pStyle w:val="Textoindependiente2"/>
        <w:rPr>
          <w:rFonts w:cs="Arial"/>
          <w:b/>
          <w:snapToGrid w:val="0"/>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126"/>
        <w:gridCol w:w="3749"/>
        <w:gridCol w:w="2541"/>
        <w:gridCol w:w="2962"/>
      </w:tblGrid>
      <w:tr w:rsidR="00412AFB" w:rsidRPr="00993936" w:rsidTr="00C8678E">
        <w:trPr>
          <w:trHeight w:val="567"/>
          <w:tblHeader/>
          <w:jc w:val="center"/>
        </w:trPr>
        <w:tc>
          <w:tcPr>
            <w:tcW w:w="809" w:type="pct"/>
            <w:shd w:val="clear" w:color="auto" w:fill="B3B3B3"/>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PLAGA/ENFERMEDAD</w:t>
            </w:r>
          </w:p>
        </w:tc>
        <w:tc>
          <w:tcPr>
            <w:tcW w:w="783" w:type="pct"/>
            <w:shd w:val="clear" w:color="auto" w:fill="B3B3B3"/>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CRITERIO DE INTERVENCIÓN</w:t>
            </w:r>
          </w:p>
        </w:tc>
        <w:tc>
          <w:tcPr>
            <w:tcW w:w="1381" w:type="pct"/>
            <w:shd w:val="clear" w:color="auto" w:fill="B3B3B3"/>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936" w:type="pct"/>
            <w:shd w:val="clear" w:color="auto" w:fill="B3B3B3"/>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MUESTREO</w:t>
            </w:r>
          </w:p>
        </w:tc>
        <w:tc>
          <w:tcPr>
            <w:tcW w:w="1091" w:type="pct"/>
            <w:shd w:val="clear" w:color="auto" w:fill="B3B3B3"/>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Api</w:t>
            </w:r>
            <w:r w:rsidR="003511E6" w:rsidRPr="00993936">
              <w:rPr>
                <w:rFonts w:ascii="Arial" w:hAnsi="Arial" w:cs="Arial"/>
                <w:b/>
                <w:lang w:val="es-ES" w:eastAsia="ca-ES"/>
              </w:rPr>
              <w:t>ó</w:t>
            </w:r>
            <w:r w:rsidRPr="00993936">
              <w:rPr>
                <w:rFonts w:ascii="Arial" w:hAnsi="Arial" w:cs="Arial"/>
                <w:b/>
                <w:lang w:val="es-ES" w:eastAsia="ca-ES"/>
              </w:rPr>
              <w:t>n</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r w:rsidRPr="00993936">
              <w:rPr>
                <w:rFonts w:ascii="Arial" w:hAnsi="Arial" w:cs="Arial"/>
                <w:lang w:val="es-ES" w:eastAsia="ca-ES"/>
              </w:rPr>
              <w:t>Spinosad</w:t>
            </w: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val="restart"/>
            <w:shd w:val="clear" w:color="auto" w:fill="auto"/>
            <w:vAlign w:val="center"/>
          </w:tcPr>
          <w:p w:rsidR="00412AFB" w:rsidRPr="00993936" w:rsidRDefault="00412AFB" w:rsidP="00C8678E">
            <w:pPr>
              <w:pStyle w:val="Default"/>
              <w:rPr>
                <w:color w:val="auto"/>
                <w:sz w:val="22"/>
                <w:szCs w:val="22"/>
                <w:lang w:val="es-ES"/>
              </w:rPr>
            </w:pPr>
            <w:r w:rsidRPr="00993936">
              <w:rPr>
                <w:color w:val="auto"/>
                <w:sz w:val="22"/>
                <w:szCs w:val="22"/>
                <w:lang w:val="es-ES"/>
              </w:rPr>
              <w:t xml:space="preserve">(1) Máximo: 1 tratamiento/año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(2) Máximo: 2 tratamientos/año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(3) Máximo: 3 tratamientos/año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(4) Solo formulaciones que no sean de clasificación toxicológica (T) </w:t>
            </w: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Artrópodos</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Caracoles</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r w:rsidRPr="00993936">
              <w:rPr>
                <w:rFonts w:ascii="Arial" w:hAnsi="Arial" w:cs="Arial"/>
                <w:lang w:val="es-ES" w:eastAsia="ca-ES"/>
              </w:rPr>
              <w:t>Metaldehído</w:t>
            </w: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Gusano</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Gusanos dormideros</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Gusanos grises</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Gusanos verdes</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Insectos del suelo</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Larvas de noctuidos</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r w:rsidRPr="00993936">
              <w:rPr>
                <w:rFonts w:ascii="Arial" w:hAnsi="Arial" w:cs="Arial"/>
                <w:lang w:val="es-ES" w:eastAsia="ca-ES"/>
              </w:rPr>
              <w:t>Alfacipermetrina</w:t>
            </w: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Babosas</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r w:rsidRPr="00993936">
              <w:rPr>
                <w:rFonts w:ascii="Arial" w:hAnsi="Arial" w:cs="Arial"/>
                <w:lang w:val="es-ES" w:eastAsia="ca-ES"/>
              </w:rPr>
              <w:t>Fosfato férrico</w:t>
            </w:r>
          </w:p>
          <w:p w:rsidR="00412AFB" w:rsidRPr="00993936" w:rsidRDefault="00412AFB" w:rsidP="00C8678E">
            <w:pPr>
              <w:rPr>
                <w:rFonts w:ascii="Arial" w:hAnsi="Arial" w:cs="Arial"/>
                <w:lang w:val="es-ES" w:eastAsia="ca-ES"/>
              </w:rPr>
            </w:pPr>
            <w:r w:rsidRPr="00993936">
              <w:rPr>
                <w:rFonts w:ascii="Arial" w:hAnsi="Arial" w:cs="Arial"/>
                <w:lang w:val="es-ES" w:eastAsia="ca-ES"/>
              </w:rPr>
              <w:t>Metaldehído</w:t>
            </w: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r w:rsidR="00412AFB" w:rsidRPr="00993936" w:rsidTr="00C8678E">
        <w:trPr>
          <w:trHeight w:val="567"/>
          <w:tblHeader/>
          <w:jc w:val="center"/>
        </w:trPr>
        <w:tc>
          <w:tcPr>
            <w:tcW w:w="809" w:type="pct"/>
            <w:shd w:val="clear" w:color="auto" w:fill="auto"/>
            <w:vAlign w:val="center"/>
          </w:tcPr>
          <w:p w:rsidR="00412AFB" w:rsidRPr="00993936" w:rsidRDefault="00412AFB" w:rsidP="00C8678E">
            <w:pPr>
              <w:rPr>
                <w:rFonts w:ascii="Arial" w:hAnsi="Arial" w:cs="Arial"/>
                <w:b/>
                <w:lang w:val="es-ES" w:eastAsia="ca-ES"/>
              </w:rPr>
            </w:pPr>
            <w:r w:rsidRPr="00993936">
              <w:rPr>
                <w:rFonts w:ascii="Arial" w:hAnsi="Arial" w:cs="Arial"/>
                <w:b/>
                <w:lang w:val="es-ES" w:eastAsia="ca-ES"/>
              </w:rPr>
              <w:t>Ortópteros</w:t>
            </w:r>
          </w:p>
        </w:tc>
        <w:tc>
          <w:tcPr>
            <w:tcW w:w="78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381" w:type="pct"/>
            <w:shd w:val="clear" w:color="auto" w:fill="auto"/>
            <w:vAlign w:val="center"/>
          </w:tcPr>
          <w:p w:rsidR="00412AFB" w:rsidRPr="00993936" w:rsidRDefault="00412AFB" w:rsidP="00C8678E">
            <w:pPr>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C8678E">
            <w:pPr>
              <w:rPr>
                <w:rFonts w:ascii="Arial" w:hAnsi="Arial" w:cs="Arial"/>
                <w:lang w:val="es-ES" w:eastAsia="ca-ES"/>
              </w:rPr>
            </w:pPr>
          </w:p>
        </w:tc>
        <w:tc>
          <w:tcPr>
            <w:tcW w:w="936"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91" w:type="pct"/>
            <w:vMerge/>
            <w:shd w:val="clear" w:color="auto" w:fill="auto"/>
            <w:vAlign w:val="center"/>
          </w:tcPr>
          <w:p w:rsidR="00412AFB" w:rsidRPr="00993936" w:rsidRDefault="00412AFB" w:rsidP="00C8678E">
            <w:pPr>
              <w:rPr>
                <w:rFonts w:ascii="Arial" w:hAnsi="Arial" w:cs="Arial"/>
                <w:b/>
                <w:lang w:val="es-ES"/>
              </w:rPr>
            </w:pPr>
          </w:p>
        </w:tc>
      </w:tr>
    </w:tbl>
    <w:p w:rsidR="00412AFB" w:rsidRPr="00993936" w:rsidRDefault="00412AFB" w:rsidP="00412AFB">
      <w:pPr>
        <w:rPr>
          <w:rFonts w:ascii="Arial" w:hAnsi="Arial" w:cs="Arial"/>
          <w:lang w:val="es-ES"/>
        </w:rPr>
      </w:pP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lastRenderedPageBreak/>
        <w:t xml:space="preserve">2.1.5 Maíz forrajero </w:t>
      </w:r>
    </w:p>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2504"/>
        <w:gridCol w:w="2849"/>
        <w:gridCol w:w="2849"/>
        <w:gridCol w:w="2849"/>
      </w:tblGrid>
      <w:tr w:rsidR="00412AFB" w:rsidRPr="00993936" w:rsidTr="00C8678E">
        <w:trPr>
          <w:tblHeader/>
          <w:jc w:val="center"/>
        </w:trPr>
        <w:tc>
          <w:tcPr>
            <w:tcW w:w="927" w:type="pct"/>
            <w:shd w:val="clear" w:color="auto" w:fill="B3B3B3"/>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PLAGA/ENFERMEDAD</w:t>
            </w:r>
          </w:p>
        </w:tc>
        <w:tc>
          <w:tcPr>
            <w:tcW w:w="923" w:type="pct"/>
            <w:shd w:val="clear" w:color="auto" w:fill="B3B3B3"/>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CRITERIO DE INTERVENCIÓN</w:t>
            </w:r>
          </w:p>
        </w:tc>
        <w:tc>
          <w:tcPr>
            <w:tcW w:w="1050" w:type="pct"/>
            <w:shd w:val="clear" w:color="auto" w:fill="B3B3B3"/>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MATERIA ACTIVA</w:t>
            </w:r>
          </w:p>
        </w:tc>
        <w:tc>
          <w:tcPr>
            <w:tcW w:w="1050" w:type="pct"/>
            <w:shd w:val="clear" w:color="auto" w:fill="B3B3B3"/>
            <w:vAlign w:val="center"/>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MUESTREO</w:t>
            </w:r>
          </w:p>
        </w:tc>
        <w:tc>
          <w:tcPr>
            <w:tcW w:w="1050" w:type="pct"/>
            <w:shd w:val="clear" w:color="auto" w:fill="B3B3B3"/>
            <w:vAlign w:val="center"/>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Height w:val="4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Ácaros tetraníquidos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Hexitiazox</w:t>
            </w: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C8678E">
        <w:trPr>
          <w:cantSplit/>
          <w:trHeight w:val="330"/>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Araña roja</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Abamectina </w:t>
            </w: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519"/>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Artrópodos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1209"/>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Barrenadores</w:t>
            </w:r>
          </w:p>
          <w:p w:rsidR="00412AFB" w:rsidRPr="00993936" w:rsidRDefault="00412AFB" w:rsidP="00671C98">
            <w:pPr>
              <w:pStyle w:val="Sinespaciado"/>
              <w:rPr>
                <w:rFonts w:ascii="Arial" w:hAnsi="Arial" w:cs="Arial"/>
                <w:lang w:val="es-ES" w:eastAsia="ca-ES"/>
              </w:rPr>
            </w:pP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Aceite parafínico </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Cipermetrina </w:t>
            </w:r>
          </w:p>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Deltametrina </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Metil-clorpirifos</w:t>
            </w: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Caracoles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Merge w:val="restar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 del alambre</w:t>
            </w:r>
          </w:p>
        </w:tc>
        <w:tc>
          <w:tcPr>
            <w:tcW w:w="923"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Merge w:val="restart"/>
            <w:vAlign w:val="center"/>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Etoprofos</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Lambda-cihalotrina</w:t>
            </w:r>
          </w:p>
          <w:p w:rsidR="00412AFB" w:rsidRPr="00993936" w:rsidRDefault="00412AFB" w:rsidP="00671C98">
            <w:pPr>
              <w:pStyle w:val="Sinespaciado"/>
              <w:rPr>
                <w:rFonts w:ascii="Arial" w:hAnsi="Arial" w:cs="Arial"/>
                <w:lang w:val="es-ES" w:eastAsia="ca-ES"/>
              </w:rPr>
            </w:pP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Merge/>
            <w:vAlign w:val="center"/>
          </w:tcPr>
          <w:p w:rsidR="00412AFB" w:rsidRPr="00993936" w:rsidRDefault="00412AFB" w:rsidP="00671C98">
            <w:pPr>
              <w:pStyle w:val="Sinespaciado"/>
              <w:rPr>
                <w:rFonts w:ascii="Arial" w:hAnsi="Arial" w:cs="Arial"/>
                <w:lang w:val="es-ES" w:eastAsia="ca-ES"/>
              </w:rPr>
            </w:pPr>
          </w:p>
        </w:tc>
        <w:tc>
          <w:tcPr>
            <w:tcW w:w="923" w:type="pct"/>
            <w:vMerge/>
            <w:vAlign w:val="center"/>
          </w:tcPr>
          <w:p w:rsidR="00412AFB" w:rsidRPr="00993936" w:rsidRDefault="00412AFB" w:rsidP="00671C98">
            <w:pPr>
              <w:pStyle w:val="Sinespaciado"/>
              <w:rPr>
                <w:rFonts w:ascii="Arial" w:hAnsi="Arial" w:cs="Arial"/>
                <w:lang w:val="es-ES" w:eastAsia="ca-ES"/>
              </w:rPr>
            </w:pPr>
          </w:p>
        </w:tc>
        <w:tc>
          <w:tcPr>
            <w:tcW w:w="1050" w:type="pct"/>
            <w:vMerge/>
            <w:vAlign w:val="center"/>
          </w:tcPr>
          <w:p w:rsidR="00412AFB" w:rsidRPr="00993936" w:rsidRDefault="00412AFB" w:rsidP="00671C98">
            <w:pPr>
              <w:pStyle w:val="Sinespaciado"/>
              <w:rPr>
                <w:rFonts w:ascii="Arial" w:hAnsi="Arial" w:cs="Arial"/>
                <w:lang w:val="es-ES" w:eastAsia="ca-ES"/>
              </w:rPr>
            </w:pP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blancos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(2)</w:t>
            </w:r>
          </w:p>
          <w:p w:rsidR="00412AFB" w:rsidRPr="00993936" w:rsidRDefault="00412AFB" w:rsidP="00671C98">
            <w:pPr>
              <w:pStyle w:val="Sinespaciado"/>
              <w:rPr>
                <w:rFonts w:ascii="Arial" w:hAnsi="Arial" w:cs="Arial"/>
                <w:lang w:val="es-ES"/>
              </w:rPr>
            </w:pPr>
            <w:r w:rsidRPr="00993936">
              <w:rPr>
                <w:rFonts w:ascii="Arial" w:hAnsi="Arial" w:cs="Arial"/>
                <w:lang w:val="es-ES"/>
              </w:rPr>
              <w:t>Lambda-cihalotrina (4)</w:t>
            </w:r>
          </w:p>
          <w:p w:rsidR="00412AFB" w:rsidRPr="00993936" w:rsidRDefault="00412AFB" w:rsidP="00671C98">
            <w:pPr>
              <w:pStyle w:val="Sinespaciado"/>
              <w:rPr>
                <w:rFonts w:ascii="Arial" w:hAnsi="Arial" w:cs="Arial"/>
                <w:lang w:val="es-ES" w:eastAsia="ca-ES"/>
              </w:rPr>
            </w:pP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dormideros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(2)</w:t>
            </w:r>
          </w:p>
          <w:p w:rsidR="00412AFB" w:rsidRPr="00993936" w:rsidRDefault="00412AFB" w:rsidP="00671C98">
            <w:pPr>
              <w:pStyle w:val="Sinespaciado"/>
              <w:rPr>
                <w:rFonts w:ascii="Arial" w:hAnsi="Arial" w:cs="Arial"/>
                <w:lang w:val="es-ES"/>
              </w:rPr>
            </w:pPr>
            <w:r w:rsidRPr="00993936">
              <w:rPr>
                <w:rFonts w:ascii="Arial" w:hAnsi="Arial" w:cs="Arial"/>
                <w:lang w:val="es-ES"/>
              </w:rPr>
              <w:t>Lambda-cihalotrina (4)</w:t>
            </w:r>
          </w:p>
          <w:p w:rsidR="00412AFB" w:rsidRPr="00993936" w:rsidRDefault="00412AFB" w:rsidP="00671C98">
            <w:pPr>
              <w:pStyle w:val="Sinespaciado"/>
              <w:rPr>
                <w:rFonts w:ascii="Arial" w:hAnsi="Arial" w:cs="Arial"/>
                <w:lang w:val="es-ES" w:eastAsia="ca-ES"/>
              </w:rPr>
            </w:pP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840"/>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grises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Etoprofos</w:t>
            </w:r>
          </w:p>
          <w:p w:rsidR="00412AFB" w:rsidRPr="00993936" w:rsidRDefault="00412AFB" w:rsidP="00671C98">
            <w:pPr>
              <w:pStyle w:val="Sinespaciado"/>
              <w:rPr>
                <w:rFonts w:ascii="Arial" w:hAnsi="Arial" w:cs="Arial"/>
                <w:lang w:val="es-ES"/>
              </w:rPr>
            </w:pPr>
            <w:r w:rsidRPr="00993936">
              <w:rPr>
                <w:rFonts w:ascii="Arial" w:hAnsi="Arial" w:cs="Arial"/>
                <w:lang w:val="es-ES"/>
              </w:rPr>
              <w:t>Lambda-cihalotrina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Metil-clorpirifos</w:t>
            </w: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1446"/>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lastRenderedPageBreak/>
              <w:t>Orugas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Cipermetrina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Clorantraniliprol</w:t>
            </w:r>
          </w:p>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Beta-ciflutrina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Spinosad</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Lambda-cihalotrina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 Lambda-cihalotrina + Clorantraniliprol</w:t>
            </w:r>
          </w:p>
          <w:p w:rsidR="00412AFB" w:rsidRPr="00993936" w:rsidRDefault="00412AFB" w:rsidP="00671C98">
            <w:pPr>
              <w:pStyle w:val="Sinespaciado"/>
              <w:rPr>
                <w:rFonts w:ascii="Arial" w:hAnsi="Arial" w:cs="Arial"/>
                <w:lang w:val="es-ES" w:eastAsia="ca-ES"/>
              </w:rPr>
            </w:pP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1021"/>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Heliotis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Cipermetrina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Clorantraniliprol</w:t>
            </w:r>
          </w:p>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Spinosad</w:t>
            </w:r>
          </w:p>
          <w:p w:rsidR="00412AFB" w:rsidRPr="00993936" w:rsidRDefault="00412AFB" w:rsidP="00671C98">
            <w:pPr>
              <w:pStyle w:val="Sinespaciado"/>
              <w:rPr>
                <w:rFonts w:ascii="Arial" w:hAnsi="Arial" w:cs="Arial"/>
                <w:lang w:val="es-ES"/>
              </w:rPr>
            </w:pPr>
            <w:r w:rsidRPr="00993936">
              <w:rPr>
                <w:rFonts w:ascii="Arial" w:hAnsi="Arial" w:cs="Arial"/>
                <w:lang w:val="es-ES"/>
              </w:rPr>
              <w:t>Lambda-cihalotrina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Lambda-cihalotrina + Clorantraniliprol </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Metil-clorpirifos</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670"/>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Insectos del suelo</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412AFB" w:rsidP="00671C98">
            <w:pPr>
              <w:pStyle w:val="Sinespaciado"/>
              <w:rPr>
                <w:rFonts w:ascii="Arial" w:hAnsi="Arial" w:cs="Arial"/>
                <w:lang w:val="es-ES"/>
              </w:rPr>
            </w:pPr>
            <w:r w:rsidRPr="00993936">
              <w:rPr>
                <w:rFonts w:ascii="Arial" w:hAnsi="Arial" w:cs="Arial"/>
                <w:lang w:val="es-ES"/>
              </w:rPr>
              <w:t>Lambda-cihalotrina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Teflutrin</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Larvas de dípteros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(2)</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Larvas de noctuidos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(2)</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Babosas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412AFB" w:rsidP="00671C98">
            <w:pPr>
              <w:pStyle w:val="Sinespaciado"/>
              <w:rPr>
                <w:rFonts w:ascii="Arial" w:hAnsi="Arial" w:cs="Arial"/>
                <w:lang w:val="es-ES" w:eastAsia="ca-ES"/>
              </w:rPr>
            </w:pP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Nematodos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Etoprofos</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670"/>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Ortópteros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(1)</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98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Pulgones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Alfacipermetrina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671C98">
            <w:pPr>
              <w:pStyle w:val="Sinespaciado"/>
              <w:rPr>
                <w:rFonts w:ascii="Arial" w:hAnsi="Arial" w:cs="Arial"/>
                <w:lang w:val="es-ES"/>
              </w:rPr>
            </w:pPr>
            <w:r w:rsidRPr="00993936">
              <w:rPr>
                <w:rFonts w:ascii="Arial" w:hAnsi="Arial" w:cs="Arial"/>
                <w:lang w:val="es-ES"/>
              </w:rPr>
              <w:t>Lambda-cihalotrina (4)</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lastRenderedPageBreak/>
              <w:t>Tigre del plátano</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412AFB" w:rsidP="00671C98">
            <w:pPr>
              <w:pStyle w:val="Sinespaciado"/>
              <w:rPr>
                <w:rFonts w:ascii="Arial" w:hAnsi="Arial" w:cs="Arial"/>
                <w:lang w:val="es-ES"/>
              </w:rPr>
            </w:pPr>
            <w:r w:rsidRPr="00993936">
              <w:rPr>
                <w:rFonts w:ascii="Arial" w:hAnsi="Arial" w:cs="Arial"/>
                <w:lang w:val="es-ES"/>
              </w:rPr>
              <w:t>Lambda-cihalotrina (4)</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98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Chinche del trigo</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671C98">
            <w:pPr>
              <w:pStyle w:val="Sinespaciado"/>
              <w:rPr>
                <w:rFonts w:ascii="Arial" w:hAnsi="Arial" w:cs="Arial"/>
                <w:lang w:val="es-ES"/>
              </w:rPr>
            </w:pPr>
            <w:r w:rsidRPr="00993936">
              <w:rPr>
                <w:rFonts w:ascii="Arial" w:hAnsi="Arial" w:cs="Arial"/>
                <w:lang w:val="es-ES"/>
              </w:rPr>
              <w:t>Lambda-cihalotrina (4)</w:t>
            </w: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Chinches</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p w:rsidR="00412AFB" w:rsidRPr="00993936" w:rsidRDefault="00412AFB" w:rsidP="00671C98">
            <w:pPr>
              <w:pStyle w:val="Sinespaciado"/>
              <w:rPr>
                <w:rFonts w:ascii="Arial" w:hAnsi="Arial" w:cs="Arial"/>
                <w:lang w:val="es-ES" w:eastAsia="ca-ES"/>
              </w:rPr>
            </w:pPr>
          </w:p>
        </w:tc>
        <w:tc>
          <w:tcPr>
            <w:tcW w:w="1050" w:type="pct"/>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Rosquilla negra</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bottom"/>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(2)</w:t>
            </w: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tcPr>
          <w:p w:rsidR="00412AFB" w:rsidRPr="00993936" w:rsidRDefault="00412AFB" w:rsidP="00671C98">
            <w:pPr>
              <w:pStyle w:val="Sinespaciado"/>
              <w:rPr>
                <w:rFonts w:ascii="Arial" w:hAnsi="Arial" w:cs="Arial"/>
                <w:snapToGrid w:val="0"/>
                <w:lang w:val="es-ES"/>
              </w:rPr>
            </w:pPr>
          </w:p>
        </w:tc>
      </w:tr>
    </w:tbl>
    <w:p w:rsidR="00671C98" w:rsidRPr="00993936" w:rsidRDefault="00671C98" w:rsidP="00412AFB">
      <w:pPr>
        <w:pStyle w:val="Textoindependiente2"/>
        <w:rPr>
          <w:rFonts w:cs="Arial"/>
          <w:b/>
          <w:snapToGrid w:val="0"/>
          <w:sz w:val="22"/>
          <w:szCs w:val="22"/>
          <w:lang w:val="es-ES"/>
        </w:rPr>
      </w:pPr>
    </w:p>
    <w:p w:rsidR="00412AFB" w:rsidRPr="00993936" w:rsidRDefault="00412AFB" w:rsidP="00671C98">
      <w:pPr>
        <w:pStyle w:val="Sinespaciado"/>
        <w:rPr>
          <w:rFonts w:ascii="Arial" w:hAnsi="Arial" w:cs="Arial"/>
          <w:b/>
          <w:snapToGrid w:val="0"/>
          <w:lang w:val="es-ES"/>
        </w:rPr>
      </w:pPr>
      <w:r w:rsidRPr="00993936">
        <w:rPr>
          <w:rFonts w:ascii="Arial" w:hAnsi="Arial" w:cs="Arial"/>
          <w:b/>
          <w:snapToGrid w:val="0"/>
          <w:lang w:val="es-ES"/>
        </w:rPr>
        <w:t>2.1.6 Otras gramíneas forrajeras (raigrás, festuca, dáctilo, pasto del Sudán y otros)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3"/>
        <w:gridCol w:w="2476"/>
        <w:gridCol w:w="2821"/>
        <w:gridCol w:w="2821"/>
        <w:gridCol w:w="2954"/>
      </w:tblGrid>
      <w:tr w:rsidR="00412AFB" w:rsidRPr="00993936" w:rsidTr="00671C98">
        <w:trPr>
          <w:tblHeader/>
          <w:jc w:val="center"/>
        </w:trPr>
        <w:tc>
          <w:tcPr>
            <w:tcW w:w="922"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PLAGA/ENFERMEDAD</w:t>
            </w:r>
          </w:p>
        </w:tc>
        <w:tc>
          <w:tcPr>
            <w:tcW w:w="912"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CRITERIO DE INTERVENCIÓN</w:t>
            </w:r>
          </w:p>
        </w:tc>
        <w:tc>
          <w:tcPr>
            <w:tcW w:w="1039"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MATERIA ACTIVA</w:t>
            </w:r>
          </w:p>
        </w:tc>
        <w:tc>
          <w:tcPr>
            <w:tcW w:w="1039"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MUESTREO</w:t>
            </w:r>
          </w:p>
        </w:tc>
        <w:tc>
          <w:tcPr>
            <w:tcW w:w="1089" w:type="pct"/>
            <w:shd w:val="clear" w:color="auto" w:fill="B3B3B3"/>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RESTRICCIONES</w:t>
            </w:r>
          </w:p>
        </w:tc>
      </w:tr>
      <w:tr w:rsidR="00412AFB" w:rsidRPr="00993936" w:rsidTr="00671C98">
        <w:trPr>
          <w:cantSplit/>
          <w:trHeight w:val="550"/>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Artrópodos</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412AFB" w:rsidP="00671C98">
            <w:pPr>
              <w:pStyle w:val="Sinespaciado"/>
              <w:rPr>
                <w:rFonts w:ascii="Arial" w:hAnsi="Arial" w:cs="Arial"/>
                <w:lang w:val="es-ES" w:eastAsia="ca-ES"/>
              </w:rPr>
            </w:pP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671C98">
        <w:trPr>
          <w:cantSplit/>
          <w:trHeight w:val="327"/>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Caracoles</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412AFB" w:rsidP="00671C98">
            <w:pPr>
              <w:pStyle w:val="Sinespaciado"/>
              <w:rPr>
                <w:rFonts w:ascii="Arial" w:hAnsi="Arial" w:cs="Arial"/>
                <w:lang w:val="es-ES" w:eastAsia="ca-ES"/>
              </w:rPr>
            </w:pP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327"/>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dormideros</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327"/>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Gusanos grises</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327"/>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Orugas defoliadoras</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412AFB" w:rsidP="00671C98">
            <w:pPr>
              <w:pStyle w:val="Sinespaciado"/>
              <w:rPr>
                <w:rFonts w:ascii="Arial" w:hAnsi="Arial" w:cs="Arial"/>
                <w:lang w:val="es-ES" w:eastAsia="ca-ES"/>
              </w:rPr>
            </w:pP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670"/>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Insectos del suelo</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412AFB" w:rsidP="00671C98">
            <w:pPr>
              <w:pStyle w:val="Sinespaciado"/>
              <w:rPr>
                <w:rFonts w:ascii="Arial" w:hAnsi="Arial" w:cs="Arial"/>
                <w:lang w:val="es-ES" w:eastAsia="ca-ES"/>
              </w:rPr>
            </w:pP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327"/>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Larvas de noctuidos</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(2)</w:t>
            </w: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568"/>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Langosta</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327"/>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Babosas</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412AFB" w:rsidP="00671C98">
            <w:pPr>
              <w:pStyle w:val="Sinespaciado"/>
              <w:rPr>
                <w:rFonts w:ascii="Arial" w:hAnsi="Arial" w:cs="Arial"/>
                <w:lang w:val="es-ES" w:eastAsia="ca-ES"/>
              </w:rPr>
            </w:pP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652"/>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Ortópteros</w:t>
            </w:r>
          </w:p>
          <w:p w:rsidR="00412AFB" w:rsidRPr="00993936" w:rsidRDefault="00412AFB" w:rsidP="00671C98">
            <w:pPr>
              <w:pStyle w:val="Sinespaciado"/>
              <w:rPr>
                <w:rFonts w:ascii="Arial" w:hAnsi="Arial" w:cs="Arial"/>
                <w:lang w:val="es-ES" w:eastAsia="ca-ES"/>
              </w:rPr>
            </w:pP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Aceite parafínico</w:t>
            </w:r>
          </w:p>
          <w:p w:rsidR="00412AFB" w:rsidRPr="00993936" w:rsidRDefault="00412AFB" w:rsidP="00671C98">
            <w:pPr>
              <w:pStyle w:val="Sinespaciado"/>
              <w:rPr>
                <w:rFonts w:ascii="Arial" w:hAnsi="Arial" w:cs="Arial"/>
                <w:lang w:val="es-ES" w:eastAsia="ca-ES"/>
              </w:rPr>
            </w:pP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349"/>
          <w:jc w:val="center"/>
        </w:trPr>
        <w:tc>
          <w:tcPr>
            <w:tcW w:w="922"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Tipula</w:t>
            </w:r>
          </w:p>
        </w:tc>
        <w:tc>
          <w:tcPr>
            <w:tcW w:w="912"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39" w:type="pct"/>
            <w:vAlign w:val="center"/>
          </w:tcPr>
          <w:p w:rsidR="00412AFB" w:rsidRPr="00993936" w:rsidRDefault="00CA0C28" w:rsidP="00671C98">
            <w:pPr>
              <w:pStyle w:val="Sinespaciado"/>
              <w:rPr>
                <w:rFonts w:ascii="Arial" w:hAnsi="Arial" w:cs="Arial"/>
                <w:lang w:val="es-ES"/>
              </w:rPr>
            </w:pPr>
            <w:r w:rsidRPr="00993936">
              <w:rPr>
                <w:rFonts w:ascii="Arial" w:hAnsi="Arial" w:cs="Arial"/>
                <w:lang w:val="es-ES"/>
              </w:rPr>
              <w:t>Clorpirifos</w:t>
            </w:r>
            <w:r w:rsidR="00412AFB" w:rsidRPr="00993936">
              <w:rPr>
                <w:rFonts w:ascii="Arial" w:hAnsi="Arial" w:cs="Arial"/>
                <w:lang w:val="es-ES"/>
              </w:rPr>
              <w:t xml:space="preserve"> (1)</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tc>
        <w:tc>
          <w:tcPr>
            <w:tcW w:w="103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89" w:type="pct"/>
            <w:vMerge/>
            <w:vAlign w:val="center"/>
          </w:tcPr>
          <w:p w:rsidR="00412AFB" w:rsidRPr="00993936" w:rsidRDefault="00412AFB" w:rsidP="00671C98">
            <w:pPr>
              <w:pStyle w:val="Sinespaciado"/>
              <w:rPr>
                <w:rFonts w:ascii="Arial" w:hAnsi="Arial" w:cs="Arial"/>
                <w:snapToGrid w:val="0"/>
                <w:lang w:val="es-ES"/>
              </w:rPr>
            </w:pPr>
          </w:p>
        </w:tc>
      </w:tr>
    </w:tbl>
    <w:p w:rsidR="00412AFB" w:rsidRPr="00993936" w:rsidRDefault="00412AFB" w:rsidP="00412AFB">
      <w:pPr>
        <w:pStyle w:val="Textodebloque"/>
        <w:ind w:left="0"/>
        <w:jc w:val="both"/>
        <w:rPr>
          <w:rFonts w:cs="Arial"/>
          <w:sz w:val="22"/>
          <w:szCs w:val="22"/>
          <w:lang w:val="es-ES"/>
        </w:rPr>
        <w:sectPr w:rsidR="00412AFB" w:rsidRPr="00993936" w:rsidSect="00FE34C4">
          <w:pgSz w:w="16838" w:h="11906" w:orient="landscape"/>
          <w:pgMar w:top="1418" w:right="1985" w:bottom="1418" w:left="1418" w:header="709" w:footer="709" w:gutter="0"/>
          <w:cols w:space="708"/>
          <w:docGrid w:linePitch="299"/>
        </w:sectPr>
      </w:pPr>
    </w:p>
    <w:p w:rsidR="00412AFB" w:rsidRPr="00993936" w:rsidRDefault="00412AFB" w:rsidP="00412AFB">
      <w:pPr>
        <w:tabs>
          <w:tab w:val="left" w:pos="3750"/>
        </w:tabs>
        <w:rPr>
          <w:rFonts w:ascii="Arial" w:hAnsi="Arial" w:cs="Arial"/>
          <w:b/>
          <w:lang w:val="es-ES"/>
        </w:rPr>
      </w:pPr>
      <w:r w:rsidRPr="00993936">
        <w:rPr>
          <w:rFonts w:ascii="Arial" w:hAnsi="Arial" w:cs="Arial"/>
          <w:b/>
          <w:lang w:val="es-ES"/>
        </w:rPr>
        <w:lastRenderedPageBreak/>
        <w:t>2.1.7 Materias activas de insecticidas para la producción integrada de forrajes con indicación del código de resistencia IRAC</w:t>
      </w:r>
    </w:p>
    <w:p w:rsidR="00412AFB" w:rsidRPr="00993936" w:rsidRDefault="00412AFB" w:rsidP="00412AFB">
      <w:pPr>
        <w:pStyle w:val="Textoindependiente2"/>
        <w:rPr>
          <w:rFonts w:cs="Arial"/>
          <w:sz w:val="22"/>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75"/>
        <w:gridCol w:w="4575"/>
      </w:tblGrid>
      <w:tr w:rsidR="00412AFB" w:rsidRPr="00993936" w:rsidTr="00C8678E">
        <w:trPr>
          <w:trHeight w:val="393"/>
        </w:trPr>
        <w:tc>
          <w:tcPr>
            <w:tcW w:w="5000" w:type="pct"/>
            <w:gridSpan w:val="2"/>
            <w:shd w:val="solid" w:color="C0C0C0" w:fill="auto"/>
            <w:vAlign w:val="center"/>
          </w:tcPr>
          <w:p w:rsidR="00412AFB" w:rsidRPr="00993936" w:rsidRDefault="00412AFB" w:rsidP="00671C98">
            <w:pPr>
              <w:pStyle w:val="Sinespaciado"/>
              <w:jc w:val="center"/>
              <w:rPr>
                <w:rFonts w:ascii="Arial" w:hAnsi="Arial" w:cs="Arial"/>
                <w:b/>
                <w:lang w:val="es-ES" w:eastAsia="ca-ES"/>
              </w:rPr>
            </w:pPr>
            <w:r w:rsidRPr="00993936">
              <w:rPr>
                <w:rFonts w:ascii="Arial" w:hAnsi="Arial" w:cs="Arial"/>
                <w:b/>
                <w:lang w:val="es-ES" w:eastAsia="ca-ES"/>
              </w:rPr>
              <w:t>TIPO DE INSECTICIDAS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671C98">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00" w:type="pct"/>
            <w:shd w:val="solid" w:color="C0C0C0" w:fill="auto"/>
          </w:tcPr>
          <w:p w:rsidR="00412AFB" w:rsidRPr="00993936" w:rsidRDefault="00412AFB" w:rsidP="00671C98">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671C98">
            <w:pPr>
              <w:pStyle w:val="Sinespaciado"/>
              <w:jc w:val="center"/>
              <w:rPr>
                <w:rFonts w:ascii="Arial" w:hAnsi="Arial" w:cs="Arial"/>
                <w:b/>
                <w:lang w:val="es-ES" w:eastAsia="ca-ES"/>
              </w:rPr>
            </w:pPr>
          </w:p>
        </w:tc>
        <w:tc>
          <w:tcPr>
            <w:tcW w:w="2500" w:type="pct"/>
            <w:shd w:val="solid" w:color="C0C0C0" w:fill="auto"/>
          </w:tcPr>
          <w:p w:rsidR="00412AFB" w:rsidRPr="00993936" w:rsidRDefault="00412AFB" w:rsidP="00671C98">
            <w:pPr>
              <w:pStyle w:val="Sinespaciado"/>
              <w:jc w:val="center"/>
              <w:rPr>
                <w:rFonts w:ascii="Arial" w:hAnsi="Arial" w:cs="Arial"/>
                <w:b/>
                <w:lang w:val="es-ES" w:eastAsia="ca-ES"/>
              </w:rPr>
            </w:pPr>
            <w:r w:rsidRPr="00993936">
              <w:rPr>
                <w:rFonts w:ascii="Arial" w:hAnsi="Arial" w:cs="Arial"/>
                <w:b/>
                <w:lang w:val="es-ES" w:eastAsia="ca-ES"/>
              </w:rPr>
              <w:t>IRAC (*)</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6</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Acetamiprid</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Alfacipermetrina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Azadiractina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UN</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Bacillus thuringiensis aizawai</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11A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Bacillus thuringiensis kurstaki</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11A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Beta-ciflutrina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Cipermetrina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Cipermetrina + Metil-cloripirifós</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3A+1B</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Ciromazina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17</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Clorantraniliprol</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28</w:t>
            </w:r>
          </w:p>
        </w:tc>
      </w:tr>
      <w:tr w:rsidR="00412AFB" w:rsidRPr="00993936" w:rsidTr="00C8678E">
        <w:trPr>
          <w:trHeight w:val="260"/>
        </w:trPr>
        <w:tc>
          <w:tcPr>
            <w:tcW w:w="2500" w:type="pct"/>
            <w:shd w:val="solid" w:color="FFFFFF" w:fill="auto"/>
          </w:tcPr>
          <w:p w:rsidR="00412AFB" w:rsidRPr="00993936" w:rsidRDefault="00CA0C28" w:rsidP="00671C98">
            <w:pPr>
              <w:pStyle w:val="Sinespaciado"/>
              <w:rPr>
                <w:rFonts w:ascii="Arial" w:hAnsi="Arial" w:cs="Arial"/>
                <w:lang w:val="es-ES" w:eastAsia="ca-ES"/>
              </w:rPr>
            </w:pPr>
            <w:r w:rsidRPr="00993936">
              <w:rPr>
                <w:rFonts w:ascii="Arial" w:hAnsi="Arial" w:cs="Arial"/>
                <w:lang w:val="es-ES" w:eastAsia="ca-ES"/>
              </w:rPr>
              <w:t>Clorpirifos</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Deltametrina + Tiacloprid</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 + 4A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Spinosad</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5</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Etoprofos</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Lambda-cihalotrina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Lambda-cihalotrina + Clorantraniliprol</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3A+28</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Metam-sodio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8F</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Metil-clorpirifos</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NC</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Piretrinas/piretrina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Pirimicarb</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Spinosad</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5</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Tau-fluvalinato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Teflutrin</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Zeta-cipermetrina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70"/>
        </w:trPr>
        <w:tc>
          <w:tcPr>
            <w:tcW w:w="5000" w:type="pct"/>
            <w:gridSpan w:val="2"/>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412AFB" w:rsidRPr="00993936" w:rsidTr="00C8678E">
        <w:trPr>
          <w:trHeight w:val="270"/>
        </w:trPr>
        <w:tc>
          <w:tcPr>
            <w:tcW w:w="5000" w:type="pct"/>
            <w:gridSpan w:val="2"/>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Fuente: Comité de Acción de Resistencia a Insecticidas</w:t>
            </w:r>
          </w:p>
        </w:tc>
      </w:tr>
    </w:tbl>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tabs>
          <w:tab w:val="left" w:pos="3750"/>
        </w:tabs>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2.1.8 Materias activas de acaricidas para la producción integrada de forrajes con indicación del código de resistencia IRAC</w:t>
      </w:r>
    </w:p>
    <w:p w:rsidR="00412AFB" w:rsidRPr="00993936" w:rsidRDefault="00412AFB" w:rsidP="00412AFB">
      <w:pPr>
        <w:pStyle w:val="Textoindependiente2"/>
        <w:rPr>
          <w:rFonts w:cs="Arial"/>
          <w:sz w:val="22"/>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75"/>
        <w:gridCol w:w="4575"/>
      </w:tblGrid>
      <w:tr w:rsidR="00412AFB" w:rsidRPr="00993936" w:rsidTr="00C8678E">
        <w:trPr>
          <w:trHeight w:val="393"/>
        </w:trPr>
        <w:tc>
          <w:tcPr>
            <w:tcW w:w="5000" w:type="pct"/>
            <w:gridSpan w:val="2"/>
            <w:shd w:val="solid" w:color="C0C0C0" w:fill="auto"/>
            <w:vAlign w:val="center"/>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INSECTICIDAS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C8678E">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IRAC (*)</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6</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Azadiractina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UN</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NC</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Azufre</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M2</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a Insecticidas</w:t>
            </w:r>
          </w:p>
        </w:tc>
      </w:tr>
    </w:tbl>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sectPr w:rsidR="00412AFB" w:rsidRPr="00993936" w:rsidSect="00FE34C4">
          <w:pgSz w:w="11906" w:h="16838"/>
          <w:pgMar w:top="1985" w:right="1418" w:bottom="1418" w:left="1418" w:header="709" w:footer="709" w:gutter="0"/>
          <w:cols w:space="708"/>
          <w:docGrid w:linePitch="299"/>
        </w:sectPr>
      </w:pPr>
    </w:p>
    <w:p w:rsidR="00412AFB" w:rsidRPr="00993936" w:rsidRDefault="00412AFB" w:rsidP="00412AFB">
      <w:pPr>
        <w:pStyle w:val="Textodebloque"/>
        <w:ind w:left="0"/>
        <w:jc w:val="both"/>
        <w:rPr>
          <w:rFonts w:cs="Arial"/>
          <w:b/>
          <w:snapToGrid w:val="0"/>
          <w:sz w:val="22"/>
          <w:szCs w:val="22"/>
          <w:lang w:val="es-ES"/>
        </w:rPr>
      </w:pPr>
      <w:r w:rsidRPr="00993936">
        <w:rPr>
          <w:rFonts w:cs="Arial"/>
          <w:b/>
          <w:snapToGrid w:val="0"/>
          <w:sz w:val="22"/>
          <w:szCs w:val="22"/>
          <w:lang w:val="es-ES"/>
        </w:rPr>
        <w:lastRenderedPageBreak/>
        <w:t>2.2 Materias activas de fungicidas para la producción integrada de forrajes</w:t>
      </w: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t>2.2.1 Alfalfa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3"/>
        <w:gridCol w:w="2723"/>
        <w:gridCol w:w="1575"/>
        <w:gridCol w:w="3011"/>
        <w:gridCol w:w="2973"/>
      </w:tblGrid>
      <w:tr w:rsidR="00412AFB" w:rsidRPr="00993936" w:rsidTr="00671C98">
        <w:trPr>
          <w:tblHeader/>
          <w:jc w:val="center"/>
        </w:trPr>
        <w:tc>
          <w:tcPr>
            <w:tcW w:w="1213"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PLAGA/ENFERMEDAD</w:t>
            </w:r>
          </w:p>
        </w:tc>
        <w:tc>
          <w:tcPr>
            <w:tcW w:w="1003"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UMBRAL DE TOLERANCIA</w:t>
            </w:r>
          </w:p>
        </w:tc>
        <w:tc>
          <w:tcPr>
            <w:tcW w:w="580"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MATERIA ACTIVA</w:t>
            </w:r>
          </w:p>
        </w:tc>
        <w:tc>
          <w:tcPr>
            <w:tcW w:w="1109"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MUESTREO</w:t>
            </w:r>
          </w:p>
        </w:tc>
        <w:tc>
          <w:tcPr>
            <w:tcW w:w="1095" w:type="pct"/>
            <w:shd w:val="clear" w:color="auto" w:fill="B3B3B3"/>
          </w:tcPr>
          <w:p w:rsidR="00412AFB" w:rsidRPr="00993936" w:rsidRDefault="00412AFB" w:rsidP="00671C98">
            <w:pPr>
              <w:pStyle w:val="Sinespaciado"/>
              <w:rPr>
                <w:rFonts w:ascii="Arial" w:hAnsi="Arial" w:cs="Arial"/>
                <w:lang w:val="es-ES"/>
              </w:rPr>
            </w:pPr>
            <w:r w:rsidRPr="00993936">
              <w:rPr>
                <w:rFonts w:ascii="Arial" w:hAnsi="Arial" w:cs="Arial"/>
                <w:lang w:val="es-ES"/>
              </w:rPr>
              <w:t>RESTRICCIONES</w:t>
            </w:r>
          </w:p>
        </w:tc>
      </w:tr>
      <w:tr w:rsidR="00412AFB" w:rsidRPr="00993936" w:rsidTr="00671C98">
        <w:trPr>
          <w:cantSplit/>
          <w:trHeight w:val="215"/>
          <w:jc w:val="center"/>
        </w:trPr>
        <w:tc>
          <w:tcPr>
            <w:tcW w:w="1213" w:type="pct"/>
            <w:vAlign w:val="center"/>
          </w:tcPr>
          <w:p w:rsidR="00412AFB" w:rsidRPr="00993936" w:rsidRDefault="00412AFB" w:rsidP="00671C98">
            <w:pPr>
              <w:pStyle w:val="Sinespaciado"/>
              <w:rPr>
                <w:rFonts w:ascii="Arial" w:hAnsi="Arial" w:cs="Arial"/>
                <w:b/>
                <w:lang w:val="es-ES"/>
              </w:rPr>
            </w:pPr>
            <w:r w:rsidRPr="00993936">
              <w:rPr>
                <w:rFonts w:ascii="Arial" w:hAnsi="Arial" w:cs="Arial"/>
                <w:b/>
                <w:lang w:val="es-ES"/>
              </w:rPr>
              <w:t>Roya</w:t>
            </w:r>
          </w:p>
          <w:p w:rsidR="00412AFB" w:rsidRPr="00993936" w:rsidRDefault="00412AFB" w:rsidP="00671C98">
            <w:pPr>
              <w:pStyle w:val="Sinespaciado"/>
              <w:rPr>
                <w:rFonts w:ascii="Arial" w:hAnsi="Arial" w:cs="Arial"/>
                <w:i/>
                <w:lang w:val="es-ES"/>
              </w:rPr>
            </w:pPr>
            <w:r w:rsidRPr="00993936">
              <w:rPr>
                <w:rFonts w:ascii="Arial" w:hAnsi="Arial" w:cs="Arial"/>
                <w:i/>
                <w:lang w:val="es-ES"/>
              </w:rPr>
              <w:t>(Uromyces striatus)</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20 matas escogidas al azar</w:t>
            </w:r>
          </w:p>
        </w:tc>
        <w:tc>
          <w:tcPr>
            <w:tcW w:w="1095"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671C98">
        <w:trPr>
          <w:cantSplit/>
          <w:trHeight w:val="261"/>
          <w:jc w:val="center"/>
        </w:trPr>
        <w:tc>
          <w:tcPr>
            <w:tcW w:w="1213" w:type="pct"/>
            <w:vAlign w:val="center"/>
          </w:tcPr>
          <w:p w:rsidR="00412AFB" w:rsidRPr="00993936" w:rsidRDefault="00412AFB" w:rsidP="00671C98">
            <w:pPr>
              <w:pStyle w:val="Sinespaciado"/>
              <w:rPr>
                <w:rFonts w:ascii="Arial" w:hAnsi="Arial" w:cs="Arial"/>
                <w:b/>
                <w:lang w:val="es-ES"/>
              </w:rPr>
            </w:pPr>
            <w:r w:rsidRPr="00993936">
              <w:rPr>
                <w:rFonts w:ascii="Arial" w:hAnsi="Arial" w:cs="Arial"/>
                <w:b/>
                <w:lang w:val="es-ES"/>
              </w:rPr>
              <w:t xml:space="preserve">Viruela de la alfalfa </w:t>
            </w:r>
          </w:p>
          <w:p w:rsidR="00412AFB" w:rsidRPr="00993936" w:rsidRDefault="00412AFB" w:rsidP="00671C98">
            <w:pPr>
              <w:pStyle w:val="Sinespaciado"/>
              <w:rPr>
                <w:rFonts w:ascii="Arial" w:hAnsi="Arial" w:cs="Arial"/>
                <w:i/>
                <w:lang w:val="es-ES"/>
              </w:rPr>
            </w:pPr>
            <w:r w:rsidRPr="00993936">
              <w:rPr>
                <w:rFonts w:ascii="Arial" w:hAnsi="Arial" w:cs="Arial"/>
                <w:i/>
                <w:lang w:val="es-ES"/>
              </w:rPr>
              <w:t>(Pseudopeziza Medicagini)</w:t>
            </w:r>
          </w:p>
          <w:p w:rsidR="00412AFB" w:rsidRPr="00993936" w:rsidRDefault="00412AFB" w:rsidP="00671C98">
            <w:pPr>
              <w:pStyle w:val="Sinespaciado"/>
              <w:rPr>
                <w:rFonts w:ascii="Arial" w:hAnsi="Arial" w:cs="Arial"/>
                <w:i/>
                <w:lang w:val="es-ES"/>
              </w:rPr>
            </w:pPr>
            <w:r w:rsidRPr="00993936">
              <w:rPr>
                <w:rFonts w:ascii="Arial" w:hAnsi="Arial" w:cs="Arial"/>
                <w:i/>
                <w:lang w:val="es-ES"/>
              </w:rPr>
              <w:t>Leptosphaerulina medicago</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20 matas escogidas al azar</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trHeight w:val="137"/>
          <w:jc w:val="center"/>
        </w:trPr>
        <w:tc>
          <w:tcPr>
            <w:tcW w:w="1213" w:type="pct"/>
            <w:vAlign w:val="center"/>
          </w:tcPr>
          <w:p w:rsidR="00412AFB" w:rsidRPr="00993936" w:rsidRDefault="00412AFB" w:rsidP="00671C98">
            <w:pPr>
              <w:pStyle w:val="Sinespaciado"/>
              <w:rPr>
                <w:rFonts w:ascii="Arial" w:hAnsi="Arial" w:cs="Arial"/>
                <w:b/>
                <w:lang w:val="es-ES"/>
              </w:rPr>
            </w:pPr>
            <w:r w:rsidRPr="00993936">
              <w:rPr>
                <w:rFonts w:ascii="Arial" w:hAnsi="Arial" w:cs="Arial"/>
                <w:b/>
                <w:lang w:val="es-ES"/>
              </w:rPr>
              <w:t xml:space="preserve">Mildeu </w:t>
            </w:r>
          </w:p>
          <w:p w:rsidR="00412AFB" w:rsidRPr="00993936" w:rsidRDefault="00412AFB" w:rsidP="00671C98">
            <w:pPr>
              <w:pStyle w:val="Sinespaciado"/>
              <w:rPr>
                <w:rFonts w:ascii="Arial" w:hAnsi="Arial" w:cs="Arial"/>
                <w:i/>
                <w:lang w:val="es-ES"/>
              </w:rPr>
            </w:pPr>
            <w:r w:rsidRPr="00993936">
              <w:rPr>
                <w:rFonts w:ascii="Arial" w:hAnsi="Arial" w:cs="Arial"/>
                <w:i/>
                <w:lang w:val="es-ES"/>
              </w:rPr>
              <w:t>(Peronosporatrifoliorum)</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20 matas escogidas al azar</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jc w:val="center"/>
        </w:trPr>
        <w:tc>
          <w:tcPr>
            <w:tcW w:w="1213" w:type="pct"/>
            <w:vAlign w:val="center"/>
          </w:tcPr>
          <w:p w:rsidR="00412AFB" w:rsidRPr="00993936" w:rsidRDefault="00412AFB" w:rsidP="00671C98">
            <w:pPr>
              <w:pStyle w:val="Sinespaciado"/>
              <w:rPr>
                <w:rFonts w:ascii="Arial" w:hAnsi="Arial" w:cs="Arial"/>
                <w:b/>
                <w:lang w:val="es-ES"/>
              </w:rPr>
            </w:pPr>
            <w:r w:rsidRPr="00993936">
              <w:rPr>
                <w:rFonts w:ascii="Arial" w:hAnsi="Arial" w:cs="Arial"/>
                <w:b/>
                <w:lang w:val="es-ES"/>
              </w:rPr>
              <w:t>Mal vinoso</w:t>
            </w:r>
          </w:p>
          <w:p w:rsidR="00412AFB" w:rsidRPr="00993936" w:rsidRDefault="00412AFB" w:rsidP="00671C98">
            <w:pPr>
              <w:pStyle w:val="Sinespaciado"/>
              <w:rPr>
                <w:rFonts w:ascii="Arial" w:hAnsi="Arial" w:cs="Arial"/>
                <w:i/>
                <w:lang w:val="es-ES"/>
              </w:rPr>
            </w:pPr>
            <w:r w:rsidRPr="00993936">
              <w:rPr>
                <w:rFonts w:ascii="Arial" w:hAnsi="Arial" w:cs="Arial"/>
                <w:i/>
                <w:lang w:val="es-ES"/>
              </w:rPr>
              <w:t>Rhizoctonia violacea</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20 matas escogidas al azar. Suele presentarse en rodales. Muestrear rodales</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jc w:val="center"/>
        </w:trPr>
        <w:tc>
          <w:tcPr>
            <w:tcW w:w="1213" w:type="pct"/>
            <w:vAlign w:val="center"/>
          </w:tcPr>
          <w:p w:rsidR="00412AFB" w:rsidRPr="00993936" w:rsidRDefault="00671C98" w:rsidP="00671C98">
            <w:pPr>
              <w:pStyle w:val="Sinespaciado"/>
              <w:rPr>
                <w:rFonts w:ascii="Arial" w:hAnsi="Arial" w:cs="Arial"/>
                <w:b/>
                <w:lang w:val="es-ES"/>
              </w:rPr>
            </w:pPr>
            <w:r w:rsidRPr="00993936">
              <w:rPr>
                <w:rFonts w:ascii="Arial" w:hAnsi="Arial" w:cs="Arial"/>
                <w:b/>
                <w:lang w:val="es-ES"/>
              </w:rPr>
              <w:t>Oidio</w:t>
            </w:r>
          </w:p>
          <w:p w:rsidR="00412AFB" w:rsidRPr="00993936" w:rsidRDefault="00412AFB" w:rsidP="00671C98">
            <w:pPr>
              <w:pStyle w:val="Sinespaciado"/>
              <w:rPr>
                <w:rFonts w:ascii="Arial" w:hAnsi="Arial" w:cs="Arial"/>
                <w:i/>
                <w:lang w:val="es-ES"/>
              </w:rPr>
            </w:pPr>
            <w:r w:rsidRPr="00993936">
              <w:rPr>
                <w:rFonts w:ascii="Arial" w:hAnsi="Arial" w:cs="Arial"/>
                <w:i/>
                <w:lang w:val="es-ES"/>
              </w:rPr>
              <w:t>Erysiphe poligoni</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 xml:space="preserve">20 matas escogidas al azar. </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jc w:val="center"/>
        </w:trPr>
        <w:tc>
          <w:tcPr>
            <w:tcW w:w="1213" w:type="pct"/>
            <w:vAlign w:val="center"/>
          </w:tcPr>
          <w:p w:rsidR="00412AFB" w:rsidRPr="00993936" w:rsidRDefault="00412AFB" w:rsidP="00671C98">
            <w:pPr>
              <w:pStyle w:val="Sinespaciado"/>
              <w:rPr>
                <w:rFonts w:ascii="Arial" w:hAnsi="Arial" w:cs="Arial"/>
                <w:b/>
                <w:lang w:val="es-ES"/>
              </w:rPr>
            </w:pPr>
            <w:r w:rsidRPr="00993936">
              <w:rPr>
                <w:rFonts w:ascii="Arial" w:hAnsi="Arial" w:cs="Arial"/>
                <w:b/>
                <w:lang w:val="es-ES"/>
              </w:rPr>
              <w:t>Estemfiliosi</w:t>
            </w:r>
            <w:r w:rsidR="00671C98" w:rsidRPr="00993936">
              <w:rPr>
                <w:rFonts w:ascii="Arial" w:hAnsi="Arial" w:cs="Arial"/>
                <w:b/>
                <w:lang w:val="es-ES"/>
              </w:rPr>
              <w:t>s</w:t>
            </w:r>
          </w:p>
          <w:p w:rsidR="00412AFB" w:rsidRPr="00993936" w:rsidRDefault="00412AFB" w:rsidP="00671C98">
            <w:pPr>
              <w:pStyle w:val="Sinespaciado"/>
              <w:rPr>
                <w:rFonts w:ascii="Arial" w:hAnsi="Arial" w:cs="Arial"/>
                <w:i/>
                <w:lang w:val="es-ES"/>
              </w:rPr>
            </w:pPr>
            <w:r w:rsidRPr="00993936">
              <w:rPr>
                <w:rFonts w:ascii="Arial" w:hAnsi="Arial" w:cs="Arial"/>
                <w:i/>
                <w:lang w:val="es-ES"/>
              </w:rPr>
              <w:t>Stemphylium sp.</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 xml:space="preserve">20 matas escogidas al azar. </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jc w:val="center"/>
        </w:trPr>
        <w:tc>
          <w:tcPr>
            <w:tcW w:w="1213" w:type="pct"/>
            <w:vAlign w:val="center"/>
          </w:tcPr>
          <w:p w:rsidR="00412AFB" w:rsidRPr="00993936" w:rsidRDefault="00412AFB" w:rsidP="00671C98">
            <w:pPr>
              <w:pStyle w:val="Sinespaciado"/>
              <w:rPr>
                <w:rFonts w:ascii="Arial" w:hAnsi="Arial" w:cs="Arial"/>
                <w:i/>
                <w:lang w:val="es-ES"/>
              </w:rPr>
            </w:pPr>
            <w:r w:rsidRPr="00993936">
              <w:rPr>
                <w:rFonts w:ascii="Arial" w:hAnsi="Arial" w:cs="Arial"/>
                <w:i/>
                <w:lang w:val="es-ES"/>
              </w:rPr>
              <w:t>Cercosporiosi</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 xml:space="preserve">20 matas escogidas al azar. </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jc w:val="center"/>
        </w:trPr>
        <w:tc>
          <w:tcPr>
            <w:tcW w:w="1213" w:type="pct"/>
            <w:vAlign w:val="center"/>
          </w:tcPr>
          <w:p w:rsidR="00412AFB" w:rsidRPr="00993936" w:rsidRDefault="00412AFB" w:rsidP="00671C98">
            <w:pPr>
              <w:pStyle w:val="Sinespaciado"/>
              <w:rPr>
                <w:rFonts w:ascii="Arial" w:hAnsi="Arial" w:cs="Arial"/>
                <w:i/>
                <w:lang w:val="es-ES"/>
              </w:rPr>
            </w:pPr>
            <w:r w:rsidRPr="00993936">
              <w:rPr>
                <w:rFonts w:ascii="Arial" w:hAnsi="Arial" w:cs="Arial"/>
                <w:i/>
                <w:lang w:val="es-ES"/>
              </w:rPr>
              <w:t>Verticillium alboatrum</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 xml:space="preserve">20 matas escogidas al azar. </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jc w:val="center"/>
        </w:trPr>
        <w:tc>
          <w:tcPr>
            <w:tcW w:w="1213" w:type="pct"/>
            <w:vAlign w:val="center"/>
          </w:tcPr>
          <w:p w:rsidR="00412AFB" w:rsidRPr="00993936" w:rsidRDefault="00412AFB" w:rsidP="00671C98">
            <w:pPr>
              <w:pStyle w:val="Sinespaciado"/>
              <w:rPr>
                <w:rFonts w:ascii="Arial" w:hAnsi="Arial" w:cs="Arial"/>
                <w:b/>
                <w:lang w:val="es-ES"/>
              </w:rPr>
            </w:pPr>
            <w:r w:rsidRPr="00993936">
              <w:rPr>
                <w:rFonts w:ascii="Arial" w:hAnsi="Arial" w:cs="Arial"/>
                <w:b/>
                <w:lang w:val="es-ES"/>
              </w:rPr>
              <w:t>Podredumbre del cuello y corona</w:t>
            </w:r>
          </w:p>
          <w:p w:rsidR="00412AFB" w:rsidRPr="00993936" w:rsidRDefault="00412AFB" w:rsidP="00671C98">
            <w:pPr>
              <w:pStyle w:val="Sinespaciado"/>
              <w:rPr>
                <w:rFonts w:ascii="Arial" w:hAnsi="Arial" w:cs="Arial"/>
                <w:i/>
                <w:lang w:val="es-ES"/>
              </w:rPr>
            </w:pPr>
            <w:r w:rsidRPr="00993936">
              <w:rPr>
                <w:rFonts w:ascii="Arial" w:hAnsi="Arial" w:cs="Arial"/>
                <w:i/>
                <w:lang w:val="es-ES"/>
              </w:rPr>
              <w:t>Phytophthora megasperma</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 xml:space="preserve">20 matas escogidas al azar. </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jc w:val="center"/>
        </w:trPr>
        <w:tc>
          <w:tcPr>
            <w:tcW w:w="1213" w:type="pct"/>
            <w:vAlign w:val="center"/>
          </w:tcPr>
          <w:p w:rsidR="00412AFB" w:rsidRPr="00993936" w:rsidRDefault="00412AFB" w:rsidP="00671C98">
            <w:pPr>
              <w:pStyle w:val="Sinespaciado"/>
              <w:rPr>
                <w:rFonts w:ascii="Arial" w:hAnsi="Arial" w:cs="Arial"/>
                <w:b/>
                <w:lang w:val="es-ES"/>
              </w:rPr>
            </w:pPr>
            <w:r w:rsidRPr="00993936">
              <w:rPr>
                <w:rFonts w:ascii="Arial" w:hAnsi="Arial" w:cs="Arial"/>
                <w:b/>
                <w:lang w:val="es-ES"/>
              </w:rPr>
              <w:t>Bacteriosis</w:t>
            </w:r>
          </w:p>
          <w:p w:rsidR="00412AFB" w:rsidRPr="00993936" w:rsidRDefault="00412AFB" w:rsidP="00671C98">
            <w:pPr>
              <w:pStyle w:val="Sinespaciado"/>
              <w:rPr>
                <w:rFonts w:ascii="Arial" w:hAnsi="Arial" w:cs="Arial"/>
                <w:i/>
                <w:lang w:val="es-ES"/>
              </w:rPr>
            </w:pPr>
            <w:r w:rsidRPr="00993936">
              <w:rPr>
                <w:rFonts w:ascii="Arial" w:hAnsi="Arial" w:cs="Arial"/>
                <w:i/>
                <w:lang w:val="es-ES"/>
              </w:rPr>
              <w:t>Clavibacter michiganensis sp.</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20 matas escogidas al azar</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671C98">
        <w:trPr>
          <w:cantSplit/>
          <w:jc w:val="center"/>
        </w:trPr>
        <w:tc>
          <w:tcPr>
            <w:tcW w:w="1213" w:type="pct"/>
            <w:vAlign w:val="center"/>
          </w:tcPr>
          <w:p w:rsidR="00412AFB" w:rsidRPr="00993936" w:rsidRDefault="00412AFB" w:rsidP="00671C98">
            <w:pPr>
              <w:pStyle w:val="Sinespaciado"/>
              <w:rPr>
                <w:rFonts w:ascii="Arial" w:hAnsi="Arial" w:cs="Arial"/>
                <w:b/>
                <w:lang w:val="es-ES"/>
              </w:rPr>
            </w:pPr>
            <w:r w:rsidRPr="00993936">
              <w:rPr>
                <w:rFonts w:ascii="Arial" w:hAnsi="Arial" w:cs="Arial"/>
                <w:b/>
                <w:lang w:val="es-ES"/>
              </w:rPr>
              <w:t>Virosis</w:t>
            </w:r>
          </w:p>
          <w:p w:rsidR="00412AFB" w:rsidRPr="00993936" w:rsidRDefault="00412AFB" w:rsidP="00671C98">
            <w:pPr>
              <w:pStyle w:val="Sinespaciado"/>
              <w:rPr>
                <w:rFonts w:ascii="Arial" w:hAnsi="Arial" w:cs="Arial"/>
                <w:lang w:val="es-ES"/>
              </w:rPr>
            </w:pPr>
            <w:r w:rsidRPr="00993936">
              <w:rPr>
                <w:rFonts w:ascii="Arial" w:hAnsi="Arial" w:cs="Arial"/>
                <w:lang w:val="es-ES"/>
              </w:rPr>
              <w:t>Alfalfa mosaico virus AMV</w:t>
            </w:r>
          </w:p>
          <w:p w:rsidR="00412AFB" w:rsidRPr="00993936" w:rsidRDefault="00412AFB" w:rsidP="00671C98">
            <w:pPr>
              <w:pStyle w:val="Sinespaciado"/>
              <w:rPr>
                <w:rFonts w:ascii="Arial" w:hAnsi="Arial" w:cs="Arial"/>
                <w:lang w:val="es-ES"/>
              </w:rPr>
            </w:pPr>
            <w:r w:rsidRPr="00993936">
              <w:rPr>
                <w:rFonts w:ascii="Arial" w:hAnsi="Arial" w:cs="Arial"/>
                <w:lang w:val="es-ES"/>
              </w:rPr>
              <w:t>Alfalfa enation virus</w:t>
            </w:r>
          </w:p>
        </w:tc>
        <w:tc>
          <w:tcPr>
            <w:tcW w:w="100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síntomas</w:t>
            </w:r>
          </w:p>
        </w:tc>
        <w:tc>
          <w:tcPr>
            <w:tcW w:w="58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w:t>
            </w:r>
          </w:p>
        </w:tc>
        <w:tc>
          <w:tcPr>
            <w:tcW w:w="1109"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20 matas escogidas al azar</w:t>
            </w:r>
          </w:p>
        </w:tc>
        <w:tc>
          <w:tcPr>
            <w:tcW w:w="1095" w:type="pct"/>
            <w:vMerge/>
            <w:vAlign w:val="center"/>
          </w:tcPr>
          <w:p w:rsidR="00412AFB" w:rsidRPr="00993936" w:rsidRDefault="00412AFB" w:rsidP="00671C98">
            <w:pPr>
              <w:pStyle w:val="Sinespaciado"/>
              <w:rPr>
                <w:rFonts w:ascii="Arial" w:hAnsi="Arial" w:cs="Arial"/>
                <w:snapToGrid w:val="0"/>
                <w:lang w:val="es-ES"/>
              </w:rPr>
            </w:pPr>
          </w:p>
        </w:tc>
      </w:tr>
    </w:tbl>
    <w:p w:rsidR="00412AFB" w:rsidRPr="00993936" w:rsidRDefault="00412AFB" w:rsidP="00412AFB">
      <w:pPr>
        <w:pStyle w:val="Encabezado"/>
        <w:tabs>
          <w:tab w:val="clear" w:pos="4252"/>
          <w:tab w:val="clear" w:pos="8504"/>
        </w:tabs>
        <w:rPr>
          <w:rFonts w:ascii="Arial" w:hAnsi="Arial" w:cs="Arial"/>
          <w:lang w:val="es-ES"/>
        </w:rPr>
      </w:pPr>
    </w:p>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lastRenderedPageBreak/>
        <w:t>2.2.2 Trébol</w:t>
      </w:r>
    </w:p>
    <w:p w:rsidR="00412AFB" w:rsidRPr="00993936" w:rsidRDefault="00412AFB" w:rsidP="00412AFB">
      <w:pPr>
        <w:pStyle w:val="Textoindependiente2"/>
        <w:rPr>
          <w:rFonts w:cs="Arial"/>
          <w:b/>
          <w:snapToGrid w:val="0"/>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2504"/>
        <w:gridCol w:w="2849"/>
        <w:gridCol w:w="2849"/>
        <w:gridCol w:w="2849"/>
      </w:tblGrid>
      <w:tr w:rsidR="00412AFB" w:rsidRPr="00993936" w:rsidTr="00C8678E">
        <w:trPr>
          <w:tblHeader/>
          <w:jc w:val="center"/>
        </w:trPr>
        <w:tc>
          <w:tcPr>
            <w:tcW w:w="927" w:type="pct"/>
            <w:shd w:val="clear" w:color="auto" w:fill="B3B3B3"/>
          </w:tcPr>
          <w:p w:rsidR="00412AFB" w:rsidRPr="00993936" w:rsidRDefault="00412AFB" w:rsidP="00C8678E">
            <w:pPr>
              <w:jc w:val="center"/>
              <w:rPr>
                <w:rFonts w:ascii="Arial" w:hAnsi="Arial" w:cs="Arial"/>
                <w:b/>
                <w:lang w:val="es-ES"/>
              </w:rPr>
            </w:pPr>
            <w:r w:rsidRPr="00993936">
              <w:rPr>
                <w:rFonts w:ascii="Arial" w:hAnsi="Arial" w:cs="Arial"/>
                <w:b/>
                <w:lang w:val="es-ES"/>
              </w:rPr>
              <w:t>PLAGA/ENFERMEDAD</w:t>
            </w:r>
          </w:p>
        </w:tc>
        <w:tc>
          <w:tcPr>
            <w:tcW w:w="923" w:type="pct"/>
            <w:shd w:val="clear" w:color="auto" w:fill="B3B3B3"/>
          </w:tcPr>
          <w:p w:rsidR="00412AFB" w:rsidRPr="00993936" w:rsidRDefault="00412AFB" w:rsidP="00C8678E">
            <w:pPr>
              <w:jc w:val="center"/>
              <w:rPr>
                <w:rFonts w:ascii="Arial" w:hAnsi="Arial" w:cs="Arial"/>
                <w:b/>
                <w:lang w:val="es-ES"/>
              </w:rPr>
            </w:pPr>
            <w:r w:rsidRPr="00993936">
              <w:rPr>
                <w:rFonts w:ascii="Arial" w:hAnsi="Arial" w:cs="Arial"/>
                <w:b/>
                <w:lang w:val="es-ES"/>
              </w:rPr>
              <w:t>UMBRAL DE TOLERANCIA</w:t>
            </w:r>
          </w:p>
        </w:tc>
        <w:tc>
          <w:tcPr>
            <w:tcW w:w="1050" w:type="pct"/>
            <w:shd w:val="clear" w:color="auto" w:fill="B3B3B3"/>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050" w:type="pct"/>
            <w:shd w:val="clear" w:color="auto" w:fill="B3B3B3"/>
          </w:tcPr>
          <w:p w:rsidR="00412AFB" w:rsidRPr="00993936" w:rsidRDefault="00412AFB" w:rsidP="00C8678E">
            <w:pPr>
              <w:jc w:val="center"/>
              <w:rPr>
                <w:rFonts w:ascii="Arial" w:hAnsi="Arial" w:cs="Arial"/>
                <w:b/>
                <w:lang w:val="es-ES"/>
              </w:rPr>
            </w:pPr>
            <w:r w:rsidRPr="00993936">
              <w:rPr>
                <w:rFonts w:ascii="Arial" w:hAnsi="Arial" w:cs="Arial"/>
                <w:b/>
                <w:lang w:val="es-ES"/>
              </w:rPr>
              <w:t>MUESTREO</w:t>
            </w:r>
          </w:p>
        </w:tc>
        <w:tc>
          <w:tcPr>
            <w:tcW w:w="1050" w:type="pct"/>
            <w:shd w:val="clear" w:color="auto" w:fill="B3B3B3"/>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Height w:val="269"/>
          <w:jc w:val="center"/>
        </w:trPr>
        <w:tc>
          <w:tcPr>
            <w:tcW w:w="927" w:type="pct"/>
            <w:vAlign w:val="center"/>
          </w:tcPr>
          <w:p w:rsidR="00412AFB" w:rsidRPr="00993936" w:rsidRDefault="00671C98" w:rsidP="00C8678E">
            <w:pPr>
              <w:rPr>
                <w:rFonts w:ascii="Arial" w:hAnsi="Arial" w:cs="Arial"/>
                <w:b/>
                <w:lang w:val="es-ES" w:eastAsia="ca-ES"/>
              </w:rPr>
            </w:pPr>
            <w:r w:rsidRPr="00993936">
              <w:rPr>
                <w:rFonts w:ascii="Arial" w:hAnsi="Arial" w:cs="Arial"/>
                <w:b/>
                <w:lang w:val="es-ES" w:eastAsia="ca-ES"/>
              </w:rPr>
              <w:t>Oidio</w:t>
            </w:r>
          </w:p>
        </w:tc>
        <w:tc>
          <w:tcPr>
            <w:tcW w:w="923" w:type="pct"/>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C8678E">
            <w:pPr>
              <w:widowControl w:val="0"/>
              <w:rPr>
                <w:rFonts w:ascii="Arial" w:hAnsi="Arial" w:cs="Arial"/>
                <w:lang w:val="es-ES" w:eastAsia="ca-ES"/>
              </w:rPr>
            </w:pPr>
            <w:r w:rsidRPr="00993936">
              <w:rPr>
                <w:rFonts w:ascii="Arial" w:hAnsi="Arial" w:cs="Arial"/>
                <w:lang w:val="es-ES" w:eastAsia="ca-ES"/>
              </w:rPr>
              <w:t>Azufre + Oxicloruro de cobre</w:t>
            </w:r>
          </w:p>
        </w:tc>
        <w:tc>
          <w:tcPr>
            <w:tcW w:w="1050" w:type="pct"/>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Apreciación visual</w:t>
            </w:r>
          </w:p>
        </w:tc>
        <w:tc>
          <w:tcPr>
            <w:tcW w:w="1050" w:type="pct"/>
            <w:vAlign w:val="center"/>
          </w:tcPr>
          <w:p w:rsidR="00412AFB" w:rsidRPr="00993936" w:rsidRDefault="00412AFB" w:rsidP="00C8678E">
            <w:pPr>
              <w:pStyle w:val="Default"/>
              <w:rPr>
                <w:color w:val="auto"/>
                <w:sz w:val="22"/>
                <w:szCs w:val="22"/>
                <w:lang w:val="es-ES"/>
              </w:rPr>
            </w:pPr>
            <w:r w:rsidRPr="00993936">
              <w:rPr>
                <w:color w:val="auto"/>
                <w:sz w:val="22"/>
                <w:szCs w:val="22"/>
                <w:lang w:val="es-ES"/>
              </w:rPr>
              <w:t xml:space="preserve">(1) Máximo: 1 tratamiento/año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(2) Máximo: 2 tratamientos/año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(3) Máximo: 3 tratamientos/año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(4) Solo formulaciones que no sean de clasificación toxicológica (T) </w:t>
            </w:r>
          </w:p>
        </w:tc>
      </w:tr>
    </w:tbl>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t>2.2.3 Guisante forrajero</w:t>
      </w:r>
    </w:p>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2541"/>
        <w:gridCol w:w="2826"/>
        <w:gridCol w:w="2823"/>
        <w:gridCol w:w="2861"/>
      </w:tblGrid>
      <w:tr w:rsidR="00412AFB" w:rsidRPr="00993936" w:rsidTr="00C8678E">
        <w:trPr>
          <w:cantSplit/>
          <w:trHeight w:val="273"/>
          <w:tblHeader/>
          <w:jc w:val="center"/>
        </w:trPr>
        <w:tc>
          <w:tcPr>
            <w:tcW w:w="913" w:type="pct"/>
            <w:shd w:val="clear" w:color="auto" w:fill="BFBFBF"/>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PLAGA/ENFERMEDAD</w:t>
            </w:r>
          </w:p>
        </w:tc>
        <w:tc>
          <w:tcPr>
            <w:tcW w:w="940" w:type="pct"/>
            <w:shd w:val="clear" w:color="auto" w:fill="BFBFBF"/>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UMBRAL DE TOLERANCIA</w:t>
            </w:r>
          </w:p>
        </w:tc>
        <w:tc>
          <w:tcPr>
            <w:tcW w:w="1045" w:type="pct"/>
            <w:shd w:val="clear" w:color="auto" w:fill="BFBFBF"/>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MATERIA ACTIVA</w:t>
            </w:r>
          </w:p>
        </w:tc>
        <w:tc>
          <w:tcPr>
            <w:tcW w:w="1044" w:type="pct"/>
            <w:shd w:val="clear" w:color="auto" w:fill="BFBFBF"/>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MUESTREO</w:t>
            </w:r>
          </w:p>
        </w:tc>
        <w:tc>
          <w:tcPr>
            <w:tcW w:w="1058" w:type="pct"/>
            <w:shd w:val="clear" w:color="auto" w:fill="BFBFBF"/>
          </w:tcPr>
          <w:p w:rsidR="00412AFB" w:rsidRPr="00993936" w:rsidRDefault="00412AFB" w:rsidP="00671C98">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Alternariosi</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Alternaria alternata</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Hidróxido cúprico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Oxicloruro de cobre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Óxido cuproso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cuprocálcico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tribásico de cobre</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lastRenderedPageBreak/>
              <w:t>Antracnosis</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Colletotrichum gloeosporioides</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Hidróxico cúprico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 + Oxicloruro de cobre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 + Sulfato cuprocálcico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Metil-tiofanato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Oxicloruro de cobre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Oxicloruro de cobre + Sulfato cuprocálcico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Óxido cuproso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cuprocálcico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tribásico de cobre</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Bacteriosis</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Hidróxido cúprico (4)</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Oxicloruro de cobre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Óxido cuproso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cuprocálcico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tribásico de cobre</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Botritis</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Botrytis cinerea</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Azoxistrobina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Iprodiona</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Metil-tiofanato</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Fusariosis</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 xml:space="preserve">Fusarium oxysporum </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Fusarium spp.</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Ditianona</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Hongos del suelo</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Metam potasio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Metam sodio</w:t>
            </w:r>
          </w:p>
          <w:p w:rsidR="00412AFB" w:rsidRPr="00993936" w:rsidRDefault="00412AFB" w:rsidP="00671C98">
            <w:pPr>
              <w:pStyle w:val="Sinespaciado"/>
              <w:rPr>
                <w:rFonts w:ascii="Arial" w:hAnsi="Arial" w:cs="Arial"/>
                <w:lang w:val="es-ES" w:eastAsia="ca-ES"/>
              </w:rPr>
            </w:pP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lastRenderedPageBreak/>
              <w:t>Mildeu</w:t>
            </w:r>
          </w:p>
          <w:p w:rsidR="00412AFB" w:rsidRPr="00993936" w:rsidRDefault="00412AFB" w:rsidP="00671C98">
            <w:pPr>
              <w:pStyle w:val="Sinespaciado"/>
              <w:rPr>
                <w:rFonts w:ascii="Arial" w:hAnsi="Arial" w:cs="Arial"/>
                <w:i/>
                <w:lang w:val="es-ES" w:eastAsia="ca-ES"/>
              </w:rPr>
            </w:pPr>
            <w:r w:rsidRPr="00993936">
              <w:rPr>
                <w:rFonts w:ascii="Arial" w:hAnsi="Arial" w:cs="Arial"/>
                <w:i/>
                <w:lang w:val="es-ES" w:eastAsia="ca-ES"/>
              </w:rPr>
              <w:t>Peronospora viciae</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 + Oxicloruro de cobre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 + Sulfato cuprocálcico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Oxicloruro de cobre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Oxicloruro de cobre + Sulfato cuprocálcico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Óxido cuproso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cuprocálcico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tribásico de cobre</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Nematodos</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Metam potasio</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Metam-sodio</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913" w:type="pct"/>
            <w:vAlign w:val="center"/>
          </w:tcPr>
          <w:p w:rsidR="00412AFB" w:rsidRPr="00993936" w:rsidRDefault="00671C98" w:rsidP="00671C98">
            <w:pPr>
              <w:pStyle w:val="Sinespaciado"/>
              <w:rPr>
                <w:rFonts w:ascii="Arial" w:hAnsi="Arial" w:cs="Arial"/>
                <w:lang w:val="es-ES" w:eastAsia="ca-ES"/>
              </w:rPr>
            </w:pPr>
            <w:r w:rsidRPr="00993936">
              <w:rPr>
                <w:rFonts w:ascii="Arial" w:hAnsi="Arial" w:cs="Arial"/>
                <w:lang w:val="es-ES" w:eastAsia="ca-ES"/>
              </w:rPr>
              <w:t>Oidio</w:t>
            </w:r>
          </w:p>
          <w:p w:rsidR="00412AFB" w:rsidRPr="00993936" w:rsidRDefault="00412AFB" w:rsidP="00671C98">
            <w:pPr>
              <w:pStyle w:val="Sinespaciado"/>
              <w:rPr>
                <w:rFonts w:ascii="Arial" w:hAnsi="Arial" w:cs="Arial"/>
                <w:i/>
                <w:lang w:val="es-ES" w:eastAsia="ca-ES"/>
              </w:rPr>
            </w:pP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Azoxistrobin</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Azufre + Oxicloruro de cobre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Azufre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Bupirimat</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Rhizoctoniosi</w:t>
            </w:r>
          </w:p>
          <w:p w:rsidR="00412AFB" w:rsidRPr="00993936" w:rsidRDefault="00412AFB" w:rsidP="00671C98">
            <w:pPr>
              <w:pStyle w:val="Sinespaciado"/>
              <w:rPr>
                <w:rFonts w:ascii="Arial" w:hAnsi="Arial" w:cs="Arial"/>
                <w:i/>
                <w:lang w:val="es-ES" w:eastAsia="ca-ES"/>
              </w:rPr>
            </w:pP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Pencicuró</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273"/>
          <w:jc w:val="center"/>
        </w:trPr>
        <w:tc>
          <w:tcPr>
            <w:tcW w:w="913"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Roya</w:t>
            </w:r>
          </w:p>
        </w:tc>
        <w:tc>
          <w:tcPr>
            <w:tcW w:w="940"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45"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Azoxistrobina</w:t>
            </w:r>
          </w:p>
        </w:tc>
        <w:tc>
          <w:tcPr>
            <w:tcW w:w="1044"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8" w:type="pct"/>
            <w:vMerge/>
            <w:vAlign w:val="center"/>
          </w:tcPr>
          <w:p w:rsidR="00412AFB" w:rsidRPr="00993936" w:rsidRDefault="00412AFB" w:rsidP="00671C98">
            <w:pPr>
              <w:pStyle w:val="Sinespaciado"/>
              <w:rPr>
                <w:rFonts w:ascii="Arial" w:hAnsi="Arial" w:cs="Arial"/>
                <w:snapToGrid w:val="0"/>
                <w:lang w:val="es-ES"/>
              </w:rPr>
            </w:pPr>
          </w:p>
        </w:tc>
      </w:tr>
    </w:tbl>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br w:type="page"/>
      </w: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lastRenderedPageBreak/>
        <w:t>2.2.4 Veza</w:t>
      </w:r>
    </w:p>
    <w:p w:rsidR="00412AFB" w:rsidRPr="00993936" w:rsidRDefault="00412AFB" w:rsidP="00412AFB">
      <w:pPr>
        <w:pStyle w:val="Textoindependiente2"/>
        <w:rPr>
          <w:rFonts w:cs="Arial"/>
          <w:b/>
          <w:snapToGrid w:val="0"/>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2504"/>
        <w:gridCol w:w="2849"/>
        <w:gridCol w:w="2851"/>
        <w:gridCol w:w="2847"/>
      </w:tblGrid>
      <w:tr w:rsidR="00412AFB" w:rsidRPr="00993936" w:rsidTr="00C8678E">
        <w:trPr>
          <w:tblHeader/>
          <w:jc w:val="center"/>
        </w:trPr>
        <w:tc>
          <w:tcPr>
            <w:tcW w:w="927"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PLAGA/ENFERMEDAD</w:t>
            </w:r>
          </w:p>
        </w:tc>
        <w:tc>
          <w:tcPr>
            <w:tcW w:w="923"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UMBRAL DE TOLERANCIA</w:t>
            </w:r>
          </w:p>
        </w:tc>
        <w:tc>
          <w:tcPr>
            <w:tcW w:w="1050"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051"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MUESTREO</w:t>
            </w:r>
          </w:p>
        </w:tc>
        <w:tc>
          <w:tcPr>
            <w:tcW w:w="1049"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tblHeader/>
          <w:jc w:val="center"/>
        </w:trPr>
        <w:tc>
          <w:tcPr>
            <w:tcW w:w="927" w:type="pct"/>
            <w:shd w:val="clear" w:color="auto" w:fill="auto"/>
            <w:vAlign w:val="center"/>
          </w:tcPr>
          <w:p w:rsidR="00412AFB" w:rsidRPr="00993936" w:rsidRDefault="00671C98" w:rsidP="00C8678E">
            <w:pPr>
              <w:rPr>
                <w:rFonts w:ascii="Arial" w:hAnsi="Arial" w:cs="Arial"/>
                <w:b/>
                <w:lang w:val="es-ES" w:eastAsia="ca-ES"/>
              </w:rPr>
            </w:pPr>
            <w:r w:rsidRPr="00993936">
              <w:rPr>
                <w:rFonts w:ascii="Arial" w:hAnsi="Arial" w:cs="Arial"/>
                <w:b/>
                <w:lang w:val="es-ES" w:eastAsia="ca-ES"/>
              </w:rPr>
              <w:t>Oidio</w:t>
            </w:r>
          </w:p>
        </w:tc>
        <w:tc>
          <w:tcPr>
            <w:tcW w:w="923" w:type="pct"/>
            <w:shd w:val="clear" w:color="auto" w:fill="auto"/>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050" w:type="pct"/>
            <w:shd w:val="clear" w:color="auto" w:fill="auto"/>
            <w:vAlign w:val="center"/>
          </w:tcPr>
          <w:p w:rsidR="00412AFB" w:rsidRPr="00993936" w:rsidRDefault="00412AFB" w:rsidP="00C8678E">
            <w:pPr>
              <w:rPr>
                <w:rFonts w:ascii="Arial" w:hAnsi="Arial" w:cs="Arial"/>
                <w:lang w:val="es-ES" w:eastAsia="ca-ES"/>
              </w:rPr>
            </w:pPr>
            <w:r w:rsidRPr="00993936">
              <w:rPr>
                <w:rFonts w:ascii="Arial" w:hAnsi="Arial" w:cs="Arial"/>
                <w:lang w:val="es-ES" w:eastAsia="ca-ES"/>
              </w:rPr>
              <w:t>Azufre + Oxicloruro de cobre</w:t>
            </w:r>
          </w:p>
        </w:tc>
        <w:tc>
          <w:tcPr>
            <w:tcW w:w="1051" w:type="pct"/>
            <w:vAlign w:val="center"/>
          </w:tcPr>
          <w:p w:rsidR="00412AFB" w:rsidRPr="00993936" w:rsidRDefault="00412AFB" w:rsidP="00C8678E">
            <w:pPr>
              <w:rPr>
                <w:rFonts w:ascii="Arial" w:hAnsi="Arial" w:cs="Arial"/>
                <w:snapToGrid w:val="0"/>
                <w:lang w:val="es-ES"/>
              </w:rPr>
            </w:pPr>
            <w:r w:rsidRPr="00993936">
              <w:rPr>
                <w:rFonts w:ascii="Arial" w:hAnsi="Arial" w:cs="Arial"/>
                <w:snapToGrid w:val="0"/>
                <w:lang w:val="es-ES"/>
              </w:rPr>
              <w:t>Apreciación visual</w:t>
            </w:r>
          </w:p>
        </w:tc>
        <w:tc>
          <w:tcPr>
            <w:tcW w:w="1049" w:type="pct"/>
            <w:shd w:val="clear" w:color="auto" w:fill="auto"/>
            <w:vAlign w:val="center"/>
          </w:tcPr>
          <w:p w:rsidR="00412AFB" w:rsidRPr="00993936" w:rsidRDefault="00412AFB" w:rsidP="00C8678E">
            <w:pPr>
              <w:pStyle w:val="Default"/>
              <w:rPr>
                <w:color w:val="auto"/>
                <w:sz w:val="22"/>
                <w:szCs w:val="22"/>
                <w:lang w:val="es-ES"/>
              </w:rPr>
            </w:pPr>
            <w:r w:rsidRPr="00993936">
              <w:rPr>
                <w:color w:val="auto"/>
                <w:sz w:val="22"/>
                <w:szCs w:val="22"/>
                <w:lang w:val="es-ES"/>
              </w:rPr>
              <w:t xml:space="preserve">(1) Máximo: 1 tratamiento/año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(2) Máximo: 2 tratamientos/año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(3) Máximo: 3 tratamientos/año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(4) Solo formulaciones que no sean de clasificación toxicológica (T) </w:t>
            </w:r>
          </w:p>
        </w:tc>
      </w:tr>
    </w:tbl>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p>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t xml:space="preserve">2.2.5 Maíz forrajero </w:t>
      </w:r>
    </w:p>
    <w:p w:rsidR="00412AFB" w:rsidRPr="00993936" w:rsidRDefault="00412AFB" w:rsidP="00412AFB">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6"/>
        <w:gridCol w:w="2506"/>
        <w:gridCol w:w="2851"/>
        <w:gridCol w:w="2851"/>
        <w:gridCol w:w="2851"/>
      </w:tblGrid>
      <w:tr w:rsidR="00412AFB" w:rsidRPr="00993936" w:rsidTr="00C8678E">
        <w:trPr>
          <w:tblHeader/>
          <w:jc w:val="center"/>
        </w:trPr>
        <w:tc>
          <w:tcPr>
            <w:tcW w:w="927" w:type="pct"/>
            <w:shd w:val="pct12" w:color="auto" w:fill="FFFFFF"/>
          </w:tcPr>
          <w:p w:rsidR="00412AFB" w:rsidRPr="00993936" w:rsidRDefault="00412AFB" w:rsidP="00671C98">
            <w:pPr>
              <w:pStyle w:val="Sinespaciado"/>
              <w:rPr>
                <w:rFonts w:ascii="Arial" w:hAnsi="Arial" w:cs="Arial"/>
                <w:lang w:val="es-ES"/>
              </w:rPr>
            </w:pPr>
            <w:r w:rsidRPr="00993936">
              <w:rPr>
                <w:rFonts w:ascii="Arial" w:hAnsi="Arial" w:cs="Arial"/>
                <w:lang w:val="es-ES"/>
              </w:rPr>
              <w:t>PLAGA/ENFERMEDAD</w:t>
            </w:r>
          </w:p>
        </w:tc>
        <w:tc>
          <w:tcPr>
            <w:tcW w:w="923" w:type="pct"/>
            <w:shd w:val="pct12" w:color="auto" w:fill="FFFFFF"/>
          </w:tcPr>
          <w:p w:rsidR="00412AFB" w:rsidRPr="00993936" w:rsidRDefault="00412AFB" w:rsidP="00671C98">
            <w:pPr>
              <w:pStyle w:val="Sinespaciado"/>
              <w:rPr>
                <w:rFonts w:ascii="Arial" w:hAnsi="Arial" w:cs="Arial"/>
                <w:lang w:val="es-ES"/>
              </w:rPr>
            </w:pPr>
            <w:r w:rsidRPr="00993936">
              <w:rPr>
                <w:rFonts w:ascii="Arial" w:hAnsi="Arial" w:cs="Arial"/>
                <w:lang w:val="es-ES"/>
              </w:rPr>
              <w:t>UMBRAL DE TOLERANCIA</w:t>
            </w:r>
          </w:p>
        </w:tc>
        <w:tc>
          <w:tcPr>
            <w:tcW w:w="1050" w:type="pct"/>
            <w:shd w:val="pct12" w:color="auto" w:fill="FFFFFF"/>
          </w:tcPr>
          <w:p w:rsidR="00412AFB" w:rsidRPr="00993936" w:rsidRDefault="00412AFB" w:rsidP="00671C98">
            <w:pPr>
              <w:pStyle w:val="Sinespaciado"/>
              <w:rPr>
                <w:rFonts w:ascii="Arial" w:hAnsi="Arial" w:cs="Arial"/>
                <w:lang w:val="es-ES"/>
              </w:rPr>
            </w:pPr>
            <w:r w:rsidRPr="00993936">
              <w:rPr>
                <w:rFonts w:ascii="Arial" w:hAnsi="Arial" w:cs="Arial"/>
                <w:lang w:val="es-ES"/>
              </w:rPr>
              <w:t>MATERIA ACTIVA</w:t>
            </w:r>
          </w:p>
        </w:tc>
        <w:tc>
          <w:tcPr>
            <w:tcW w:w="1050" w:type="pct"/>
            <w:shd w:val="pct12" w:color="auto" w:fill="FFFFFF"/>
          </w:tcPr>
          <w:p w:rsidR="00412AFB" w:rsidRPr="00993936" w:rsidRDefault="00412AFB" w:rsidP="00671C98">
            <w:pPr>
              <w:pStyle w:val="Sinespaciado"/>
              <w:rPr>
                <w:rFonts w:ascii="Arial" w:hAnsi="Arial" w:cs="Arial"/>
                <w:lang w:val="es-ES"/>
              </w:rPr>
            </w:pPr>
            <w:r w:rsidRPr="00993936">
              <w:rPr>
                <w:rFonts w:ascii="Arial" w:hAnsi="Arial" w:cs="Arial"/>
                <w:lang w:val="es-ES"/>
              </w:rPr>
              <w:t>MUESTREO</w:t>
            </w:r>
          </w:p>
        </w:tc>
        <w:tc>
          <w:tcPr>
            <w:tcW w:w="1050" w:type="pct"/>
            <w:shd w:val="pct12" w:color="auto" w:fill="FFFFFF"/>
          </w:tcPr>
          <w:p w:rsidR="00412AFB" w:rsidRPr="00993936" w:rsidRDefault="00412AFB" w:rsidP="00671C98">
            <w:pPr>
              <w:pStyle w:val="Sinespaciado"/>
              <w:rPr>
                <w:rFonts w:ascii="Arial" w:hAnsi="Arial" w:cs="Arial"/>
                <w:lang w:val="es-ES"/>
              </w:rPr>
            </w:pPr>
            <w:r w:rsidRPr="00993936">
              <w:rPr>
                <w:rFonts w:ascii="Arial" w:hAnsi="Arial" w:cs="Arial"/>
                <w:lang w:val="es-ES"/>
              </w:rPr>
              <w:t>RESTRICCIONES</w:t>
            </w:r>
          </w:p>
        </w:tc>
      </w:tr>
      <w:tr w:rsidR="00412AFB" w:rsidRPr="00993936" w:rsidTr="00C8678E">
        <w:trPr>
          <w:cantSplit/>
          <w:trHeight w:val="772"/>
          <w:jc w:val="center"/>
        </w:trPr>
        <w:tc>
          <w:tcPr>
            <w:tcW w:w="927" w:type="pct"/>
            <w:vAlign w:val="center"/>
          </w:tcPr>
          <w:p w:rsidR="00412AFB" w:rsidRPr="00993936" w:rsidRDefault="00671C98" w:rsidP="00671C98">
            <w:pPr>
              <w:pStyle w:val="Sinespaciado"/>
              <w:rPr>
                <w:rFonts w:ascii="Arial" w:hAnsi="Arial" w:cs="Arial"/>
                <w:lang w:val="es-ES" w:eastAsia="ca-ES"/>
              </w:rPr>
            </w:pPr>
            <w:r w:rsidRPr="00993936">
              <w:rPr>
                <w:rFonts w:ascii="Arial" w:hAnsi="Arial" w:cs="Arial"/>
                <w:lang w:val="es-ES" w:eastAsia="ca-ES"/>
              </w:rPr>
              <w:t>Oidio</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Azufre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xml:space="preserve">Azufre + Oxicloruro de cobre </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Ciproconazole</w:t>
            </w: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restar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 xml:space="preserve">(1) Máximo: 1 tratamiento/año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(2) Máximo: 2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(3) Máximo: 3 tratamientos/año </w:t>
            </w:r>
          </w:p>
          <w:p w:rsidR="00412AFB" w:rsidRPr="00993936" w:rsidRDefault="00412AFB" w:rsidP="00671C98">
            <w:pPr>
              <w:pStyle w:val="Sinespaciado"/>
              <w:rPr>
                <w:rFonts w:ascii="Arial" w:hAnsi="Arial" w:cs="Arial"/>
                <w:lang w:val="es-ES"/>
              </w:rPr>
            </w:pPr>
            <w:r w:rsidRPr="00993936">
              <w:rPr>
                <w:rFonts w:ascii="Arial" w:hAnsi="Arial" w:cs="Arial"/>
                <w:lang w:val="es-ES"/>
              </w:rPr>
              <w:t xml:space="preserve">(4) Solo formulaciones que no sean de clasificación toxicológica (T) </w:t>
            </w: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Roya</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Ciproconazole</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w:t>
            </w:r>
          </w:p>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Epoxiconazole + Piraclostrobina</w:t>
            </w: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r w:rsidR="00412AFB" w:rsidRPr="00993936" w:rsidTr="00C8678E">
        <w:trPr>
          <w:cantSplit/>
          <w:trHeight w:val="327"/>
          <w:jc w:val="center"/>
        </w:trPr>
        <w:tc>
          <w:tcPr>
            <w:tcW w:w="927"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Septoria</w:t>
            </w:r>
          </w:p>
        </w:tc>
        <w:tc>
          <w:tcPr>
            <w:tcW w:w="923" w:type="pct"/>
            <w:vAlign w:val="center"/>
          </w:tcPr>
          <w:p w:rsidR="00412AFB" w:rsidRPr="00993936" w:rsidRDefault="00412AFB" w:rsidP="00671C98">
            <w:pPr>
              <w:pStyle w:val="Sinespaciado"/>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w:t>
            </w:r>
          </w:p>
          <w:p w:rsidR="00412AFB" w:rsidRPr="00993936" w:rsidRDefault="00412AFB" w:rsidP="00671C98">
            <w:pPr>
              <w:pStyle w:val="Sinespaciado"/>
              <w:rPr>
                <w:rFonts w:ascii="Arial" w:hAnsi="Arial" w:cs="Arial"/>
                <w:lang w:val="es-ES" w:eastAsia="ca-ES"/>
              </w:rPr>
            </w:pPr>
          </w:p>
        </w:tc>
        <w:tc>
          <w:tcPr>
            <w:tcW w:w="1050" w:type="pct"/>
            <w:vAlign w:val="center"/>
          </w:tcPr>
          <w:p w:rsidR="00412AFB" w:rsidRPr="00993936" w:rsidRDefault="00412AFB" w:rsidP="00671C98">
            <w:pPr>
              <w:pStyle w:val="Sinespaciado"/>
              <w:rPr>
                <w:rFonts w:ascii="Arial" w:hAnsi="Arial" w:cs="Arial"/>
                <w:snapToGrid w:val="0"/>
                <w:lang w:val="es-ES"/>
              </w:rPr>
            </w:pPr>
            <w:r w:rsidRPr="00993936">
              <w:rPr>
                <w:rFonts w:ascii="Arial" w:hAnsi="Arial" w:cs="Arial"/>
                <w:snapToGrid w:val="0"/>
                <w:lang w:val="es-ES"/>
              </w:rPr>
              <w:t>Apreciación visual</w:t>
            </w:r>
          </w:p>
        </w:tc>
        <w:tc>
          <w:tcPr>
            <w:tcW w:w="1050" w:type="pct"/>
            <w:vMerge/>
            <w:vAlign w:val="center"/>
          </w:tcPr>
          <w:p w:rsidR="00412AFB" w:rsidRPr="00993936" w:rsidRDefault="00412AFB" w:rsidP="00671C98">
            <w:pPr>
              <w:pStyle w:val="Sinespaciado"/>
              <w:rPr>
                <w:rFonts w:ascii="Arial" w:hAnsi="Arial" w:cs="Arial"/>
                <w:snapToGrid w:val="0"/>
                <w:lang w:val="es-ES"/>
              </w:rPr>
            </w:pPr>
          </w:p>
        </w:tc>
      </w:tr>
    </w:tbl>
    <w:p w:rsidR="00412AFB" w:rsidRPr="00993936" w:rsidRDefault="00412AFB" w:rsidP="00412AFB">
      <w:pPr>
        <w:pStyle w:val="Textoindependiente2"/>
        <w:rPr>
          <w:rFonts w:cs="Arial"/>
          <w:b/>
          <w:snapToGrid w:val="0"/>
          <w:sz w:val="22"/>
          <w:szCs w:val="22"/>
          <w:lang w:val="es-ES"/>
        </w:rPr>
      </w:pPr>
      <w:r w:rsidRPr="00993936">
        <w:rPr>
          <w:rFonts w:cs="Arial"/>
          <w:b/>
          <w:snapToGrid w:val="0"/>
          <w:sz w:val="22"/>
          <w:szCs w:val="22"/>
          <w:lang w:val="es-ES"/>
        </w:rPr>
        <w:br w:type="page"/>
      </w:r>
      <w:r w:rsidRPr="00993936">
        <w:rPr>
          <w:rFonts w:cs="Arial"/>
          <w:b/>
          <w:snapToGrid w:val="0"/>
          <w:sz w:val="22"/>
          <w:szCs w:val="22"/>
          <w:lang w:val="es-ES"/>
        </w:rPr>
        <w:lastRenderedPageBreak/>
        <w:t>2.2.6 Otras gramíneas forrajeras (raigrás, festuca, dáctilo y otros)</w:t>
      </w:r>
    </w:p>
    <w:p w:rsidR="00412AFB" w:rsidRPr="00993936" w:rsidRDefault="00412AFB" w:rsidP="00412AFB">
      <w:pPr>
        <w:pStyle w:val="Textoindependiente2"/>
        <w:rPr>
          <w:rFonts w:cs="Arial"/>
          <w:b/>
          <w:snapToGrid w:val="0"/>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2504"/>
        <w:gridCol w:w="2849"/>
        <w:gridCol w:w="2849"/>
        <w:gridCol w:w="2849"/>
      </w:tblGrid>
      <w:tr w:rsidR="00412AFB" w:rsidRPr="00993936" w:rsidTr="00C8678E">
        <w:trPr>
          <w:tblHeader/>
          <w:jc w:val="center"/>
        </w:trPr>
        <w:tc>
          <w:tcPr>
            <w:tcW w:w="927"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PLAGA/ENFERMEDAD</w:t>
            </w:r>
          </w:p>
        </w:tc>
        <w:tc>
          <w:tcPr>
            <w:tcW w:w="923"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UMBRAL DE TOLERANCIA</w:t>
            </w:r>
          </w:p>
        </w:tc>
        <w:tc>
          <w:tcPr>
            <w:tcW w:w="1050"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050"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MUESTREO</w:t>
            </w:r>
          </w:p>
        </w:tc>
        <w:tc>
          <w:tcPr>
            <w:tcW w:w="1050"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Height w:val="327"/>
          <w:jc w:val="center"/>
        </w:trPr>
        <w:tc>
          <w:tcPr>
            <w:tcW w:w="927" w:type="pct"/>
            <w:vAlign w:val="center"/>
          </w:tcPr>
          <w:p w:rsidR="00412AFB" w:rsidRPr="00993936" w:rsidRDefault="00671C98" w:rsidP="00C8678E">
            <w:pPr>
              <w:rPr>
                <w:rFonts w:ascii="Arial" w:hAnsi="Arial" w:cs="Arial"/>
                <w:b/>
                <w:lang w:val="es-ES" w:eastAsia="ca-ES"/>
              </w:rPr>
            </w:pPr>
            <w:r w:rsidRPr="00993936">
              <w:rPr>
                <w:rFonts w:ascii="Arial" w:hAnsi="Arial" w:cs="Arial"/>
                <w:b/>
                <w:lang w:val="es-ES" w:eastAsia="ca-ES"/>
              </w:rPr>
              <w:t>Oidio</w:t>
            </w:r>
          </w:p>
        </w:tc>
        <w:tc>
          <w:tcPr>
            <w:tcW w:w="923" w:type="pct"/>
            <w:vAlign w:val="center"/>
          </w:tcPr>
          <w:p w:rsidR="00412AFB" w:rsidRPr="00993936" w:rsidRDefault="00412AFB" w:rsidP="00C8678E">
            <w:pPr>
              <w:rPr>
                <w:rFonts w:ascii="Arial" w:hAnsi="Arial" w:cs="Arial"/>
                <w:lang w:val="es-ES"/>
              </w:rPr>
            </w:pPr>
            <w:r w:rsidRPr="00993936">
              <w:rPr>
                <w:rFonts w:ascii="Arial" w:hAnsi="Arial" w:cs="Arial"/>
                <w:lang w:val="es-ES"/>
              </w:rPr>
              <w:t>Presencia de daños</w:t>
            </w:r>
          </w:p>
        </w:tc>
        <w:tc>
          <w:tcPr>
            <w:tcW w:w="1050" w:type="pct"/>
            <w:vAlign w:val="center"/>
          </w:tcPr>
          <w:p w:rsidR="00412AFB" w:rsidRPr="00993936" w:rsidRDefault="00412AFB" w:rsidP="00C8678E">
            <w:pPr>
              <w:rPr>
                <w:rFonts w:ascii="Arial" w:hAnsi="Arial" w:cs="Arial"/>
                <w:lang w:val="es-ES" w:eastAsia="ca-ES"/>
              </w:rPr>
            </w:pPr>
            <w:r w:rsidRPr="00993936">
              <w:rPr>
                <w:rFonts w:ascii="Arial" w:hAnsi="Arial" w:cs="Arial"/>
                <w:lang w:val="es-ES" w:eastAsia="ca-ES"/>
              </w:rPr>
              <w:t xml:space="preserve">Azufre + Oxicloruro de cobre </w:t>
            </w:r>
          </w:p>
        </w:tc>
        <w:tc>
          <w:tcPr>
            <w:tcW w:w="1050" w:type="pct"/>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Apreciación visual</w:t>
            </w:r>
          </w:p>
        </w:tc>
        <w:tc>
          <w:tcPr>
            <w:tcW w:w="1050" w:type="pct"/>
            <w:vAlign w:val="center"/>
          </w:tcPr>
          <w:p w:rsidR="00412AFB" w:rsidRPr="00993936" w:rsidRDefault="00412AFB" w:rsidP="00C8678E">
            <w:pPr>
              <w:pStyle w:val="Default"/>
              <w:rPr>
                <w:color w:val="auto"/>
                <w:sz w:val="22"/>
                <w:szCs w:val="22"/>
                <w:lang w:val="es-ES"/>
              </w:rPr>
            </w:pPr>
            <w:r w:rsidRPr="00993936">
              <w:rPr>
                <w:color w:val="auto"/>
                <w:sz w:val="22"/>
                <w:szCs w:val="22"/>
                <w:lang w:val="es-ES"/>
              </w:rPr>
              <w:t xml:space="preserve">(1) Máximo: 1 tratamiento/año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(2) Máximo: 2 tratamientos/año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(3) Máximo: 3 tratamientos/año </w:t>
            </w:r>
          </w:p>
          <w:p w:rsidR="00412AFB" w:rsidRPr="00993936" w:rsidRDefault="00412AFB" w:rsidP="00C8678E">
            <w:pPr>
              <w:pStyle w:val="Default"/>
              <w:rPr>
                <w:color w:val="auto"/>
                <w:sz w:val="22"/>
                <w:szCs w:val="22"/>
                <w:lang w:val="es-ES"/>
              </w:rPr>
            </w:pPr>
            <w:r w:rsidRPr="00993936">
              <w:rPr>
                <w:color w:val="auto"/>
                <w:sz w:val="22"/>
                <w:szCs w:val="22"/>
                <w:lang w:val="es-ES"/>
              </w:rPr>
              <w:t xml:space="preserve">(4) Solo formulaciones que no sean de clasificación toxicológica (T) </w:t>
            </w:r>
          </w:p>
        </w:tc>
      </w:tr>
    </w:tbl>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sectPr w:rsidR="00412AFB" w:rsidRPr="00993936" w:rsidSect="00FE34C4">
          <w:pgSz w:w="16838" w:h="11906" w:orient="landscape"/>
          <w:pgMar w:top="1418" w:right="1985" w:bottom="1418" w:left="1418" w:header="709" w:footer="709" w:gutter="0"/>
          <w:cols w:space="708"/>
          <w:docGrid w:linePitch="299"/>
        </w:sect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lastRenderedPageBreak/>
        <w:t>2.2.7 Materias activas de fungicidas para la producción integrada de forrajes con indicación del código de resistencia FRAC</w:t>
      </w:r>
    </w:p>
    <w:p w:rsidR="00412AFB" w:rsidRPr="00993936" w:rsidRDefault="00412AFB" w:rsidP="00412AFB">
      <w:pPr>
        <w:pStyle w:val="Textoindependiente2"/>
        <w:rPr>
          <w:rFonts w:cs="Arial"/>
          <w:sz w:val="22"/>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671C98">
            <w:pPr>
              <w:pStyle w:val="Sinespaciado"/>
              <w:jc w:val="center"/>
              <w:rPr>
                <w:rFonts w:ascii="Arial" w:hAnsi="Arial" w:cs="Arial"/>
                <w:b/>
                <w:lang w:val="es-ES" w:eastAsia="ca-ES"/>
              </w:rPr>
            </w:pPr>
            <w:r w:rsidRPr="00993936">
              <w:rPr>
                <w:rFonts w:ascii="Arial" w:hAnsi="Arial" w:cs="Arial"/>
                <w:b/>
                <w:lang w:val="es-ES" w:eastAsia="ca-ES"/>
              </w:rPr>
              <w:t>TIPO DE FUNGICIDAS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671C98">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00" w:type="pct"/>
            <w:shd w:val="solid" w:color="C0C0C0" w:fill="auto"/>
          </w:tcPr>
          <w:p w:rsidR="00412AFB" w:rsidRPr="00993936" w:rsidRDefault="00412AFB" w:rsidP="00671C98">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671C98">
            <w:pPr>
              <w:pStyle w:val="Sinespaciado"/>
              <w:jc w:val="center"/>
              <w:rPr>
                <w:rFonts w:ascii="Arial" w:hAnsi="Arial" w:cs="Arial"/>
                <w:b/>
                <w:lang w:val="es-ES" w:eastAsia="ca-ES"/>
              </w:rPr>
            </w:pPr>
          </w:p>
        </w:tc>
        <w:tc>
          <w:tcPr>
            <w:tcW w:w="2500" w:type="pct"/>
            <w:shd w:val="solid" w:color="C0C0C0" w:fill="auto"/>
          </w:tcPr>
          <w:p w:rsidR="00412AFB" w:rsidRPr="00993936" w:rsidRDefault="00412AFB" w:rsidP="00671C98">
            <w:pPr>
              <w:pStyle w:val="Sinespaciado"/>
              <w:jc w:val="center"/>
              <w:rPr>
                <w:rFonts w:ascii="Arial" w:hAnsi="Arial" w:cs="Arial"/>
                <w:b/>
                <w:lang w:val="es-ES" w:eastAsia="ca-ES"/>
              </w:rPr>
            </w:pPr>
            <w:r w:rsidRPr="00993936">
              <w:rPr>
                <w:rFonts w:ascii="Arial" w:hAnsi="Arial" w:cs="Arial"/>
                <w:b/>
                <w:lang w:val="es-ES" w:eastAsia="ca-ES"/>
              </w:rPr>
              <w:t>FRAC (*)</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Azoxistrobina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C3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Bupirimat</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8</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Ciproconazole</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Ditianona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M9</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Epoxiconazole + Piraclostrobina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3+11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Hidróxido cúprico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Iprodiona</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E3</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M3+B1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 + Oxicloruro de cobre</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M3+M1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Mancozeb + Sulfato cuprocálcico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M3+M1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Metam potasio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8F</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Metam-sodio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8F</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Metil-tiofanato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NC</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Oxicloruro de cobre</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Oxicloruro de cobre + Sulfato cuprocálcico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M1+M1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Óxido cuproso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Pencicuró</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B4</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Azufre</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M2</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cuprocálcico</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Sulfato tribásico de cobre</w:t>
            </w:r>
          </w:p>
        </w:tc>
        <w:tc>
          <w:tcPr>
            <w:tcW w:w="2500" w:type="pct"/>
            <w:shd w:val="solid" w:color="FFFFFF" w:fill="auto"/>
          </w:tcPr>
          <w:p w:rsidR="00412AFB" w:rsidRPr="00993936" w:rsidRDefault="00412AFB" w:rsidP="00671C98">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5000" w:type="pct"/>
            <w:gridSpan w:val="2"/>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412AFB" w:rsidRPr="00993936" w:rsidTr="00C8678E">
        <w:trPr>
          <w:trHeight w:val="270"/>
        </w:trPr>
        <w:tc>
          <w:tcPr>
            <w:tcW w:w="5000" w:type="pct"/>
            <w:gridSpan w:val="2"/>
            <w:shd w:val="solid" w:color="FFFFFF" w:fill="auto"/>
          </w:tcPr>
          <w:p w:rsidR="00412AFB" w:rsidRPr="00993936" w:rsidRDefault="00412AFB" w:rsidP="00671C98">
            <w:pPr>
              <w:pStyle w:val="Sinespaciado"/>
              <w:rPr>
                <w:rFonts w:ascii="Arial" w:hAnsi="Arial" w:cs="Arial"/>
                <w:lang w:val="es-ES" w:eastAsia="ca-ES"/>
              </w:rPr>
            </w:pPr>
            <w:r w:rsidRPr="00993936">
              <w:rPr>
                <w:rFonts w:ascii="Arial" w:hAnsi="Arial" w:cs="Arial"/>
                <w:lang w:val="es-ES" w:eastAsia="ca-ES"/>
              </w:rPr>
              <w:t>(*) Fuente: Comité de Acción de Resistencia a Fungicidas</w:t>
            </w:r>
          </w:p>
        </w:tc>
      </w:tr>
    </w:tbl>
    <w:p w:rsidR="00412AFB" w:rsidRPr="00993936" w:rsidRDefault="00412AFB" w:rsidP="00412AFB">
      <w:pPr>
        <w:rPr>
          <w:rFonts w:ascii="Arial" w:hAnsi="Arial" w:cs="Arial"/>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pStyle w:val="Textodebloque"/>
        <w:ind w:left="0"/>
        <w:jc w:val="both"/>
        <w:rPr>
          <w:rFonts w:cs="Arial"/>
          <w:sz w:val="22"/>
          <w:szCs w:val="22"/>
          <w:lang w:val="es-ES"/>
        </w:rPr>
      </w:pPr>
    </w:p>
    <w:p w:rsidR="00671C98" w:rsidRPr="00993936" w:rsidRDefault="00671C98">
      <w:pPr>
        <w:rPr>
          <w:rFonts w:ascii="Arial" w:eastAsiaTheme="majorEastAsia" w:hAnsi="Arial" w:cs="Arial"/>
          <w:b/>
          <w:lang w:val="es-ES"/>
        </w:rPr>
      </w:pPr>
      <w:r w:rsidRPr="00993936">
        <w:rPr>
          <w:rFonts w:ascii="Arial" w:hAnsi="Arial" w:cs="Arial"/>
          <w:b/>
          <w:lang w:val="es-ES"/>
        </w:rPr>
        <w:br w:type="page"/>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lastRenderedPageBreak/>
        <w:t>ANEXO 3</w:t>
      </w:r>
    </w:p>
    <w:p w:rsidR="00412AFB" w:rsidRPr="00993936" w:rsidRDefault="00412AFB" w:rsidP="00412AFB">
      <w:pPr>
        <w:pStyle w:val="Textoindependiente"/>
        <w:rPr>
          <w:rFonts w:cs="Arial"/>
          <w:b/>
          <w:szCs w:val="22"/>
          <w:lang w:val="es-ES"/>
        </w:rPr>
      </w:pPr>
    </w:p>
    <w:p w:rsidR="00412AFB" w:rsidRPr="00993936" w:rsidRDefault="00412AFB" w:rsidP="00412AFB">
      <w:pPr>
        <w:pStyle w:val="Textoindependiente"/>
        <w:rPr>
          <w:rFonts w:cs="Arial"/>
          <w:b/>
          <w:szCs w:val="22"/>
          <w:lang w:val="es-ES"/>
        </w:rPr>
      </w:pPr>
      <w:r w:rsidRPr="00993936">
        <w:rPr>
          <w:rFonts w:cs="Arial"/>
          <w:b/>
          <w:szCs w:val="22"/>
          <w:lang w:val="es-ES"/>
        </w:rPr>
        <w:t>3.1 Lista de metales pesados y valores máximos que aplicar al suelo</w:t>
      </w:r>
    </w:p>
    <w:p w:rsidR="00412AFB" w:rsidRPr="00993936" w:rsidRDefault="00412AFB" w:rsidP="00412AFB">
      <w:pPr>
        <w:jc w:val="both"/>
        <w:rPr>
          <w:rFonts w:ascii="Arial" w:hAnsi="Arial" w:cs="Arial"/>
          <w:lang w:val="es-ES"/>
        </w:rPr>
      </w:pPr>
      <w:r w:rsidRPr="00993936">
        <w:rPr>
          <w:rFonts w:ascii="Arial" w:hAnsi="Arial" w:cs="Arial"/>
          <w:lang w:val="es-ES"/>
        </w:rPr>
        <w:t>Los materiales con valor fertilizante aportados al suelo no deben contener metales pesados ​​en valores superiores a los siguientes:</w:t>
      </w:r>
    </w:p>
    <w:p w:rsidR="00412AFB" w:rsidRPr="00993936" w:rsidRDefault="00412AFB" w:rsidP="00412AFB">
      <w:pPr>
        <w:jc w:val="both"/>
        <w:rPr>
          <w:rFonts w:ascii="Arial" w:hAnsi="Arial" w:cs="Arial"/>
          <w:snapToGrid w:val="0"/>
          <w:lang w:val="es-ES"/>
        </w:rPr>
      </w:pPr>
    </w:p>
    <w:tbl>
      <w:tblPr>
        <w:tblW w:w="8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294"/>
        <w:gridCol w:w="4338"/>
      </w:tblGrid>
      <w:tr w:rsidR="00671C98" w:rsidRPr="00993936" w:rsidTr="00671C98">
        <w:trPr>
          <w:trHeight w:val="400"/>
          <w:jc w:val="center"/>
        </w:trPr>
        <w:tc>
          <w:tcPr>
            <w:tcW w:w="4294" w:type="dxa"/>
            <w:shd w:val="clear" w:color="auto" w:fill="D9D9D9" w:themeFill="background1" w:themeFillShade="D9"/>
            <w:vAlign w:val="center"/>
          </w:tcPr>
          <w:p w:rsidR="00671C98" w:rsidRPr="00993936" w:rsidRDefault="00671C98" w:rsidP="00671C98">
            <w:pPr>
              <w:widowControl w:val="0"/>
              <w:jc w:val="center"/>
              <w:rPr>
                <w:rFonts w:ascii="Arial" w:hAnsi="Arial" w:cs="Arial"/>
                <w:b/>
                <w:snapToGrid w:val="0"/>
                <w:lang w:val="es-ES"/>
              </w:rPr>
            </w:pPr>
            <w:r w:rsidRPr="00993936">
              <w:rPr>
                <w:rFonts w:ascii="Arial" w:hAnsi="Arial" w:cs="Arial"/>
                <w:b/>
                <w:snapToGrid w:val="0"/>
                <w:lang w:val="es-ES"/>
              </w:rPr>
              <w:t>Metal pesado</w:t>
            </w:r>
          </w:p>
        </w:tc>
        <w:tc>
          <w:tcPr>
            <w:tcW w:w="4338" w:type="dxa"/>
            <w:shd w:val="clear" w:color="auto" w:fill="D9D9D9" w:themeFill="background1" w:themeFillShade="D9"/>
            <w:vAlign w:val="center"/>
          </w:tcPr>
          <w:p w:rsidR="00671C98" w:rsidRPr="00993936" w:rsidRDefault="00671C98" w:rsidP="00671C98">
            <w:pPr>
              <w:widowControl w:val="0"/>
              <w:jc w:val="center"/>
              <w:rPr>
                <w:rFonts w:ascii="Arial" w:hAnsi="Arial" w:cs="Arial"/>
                <w:b/>
                <w:snapToGrid w:val="0"/>
                <w:lang w:val="es-ES"/>
              </w:rPr>
            </w:pPr>
            <w:r w:rsidRPr="00993936">
              <w:rPr>
                <w:rFonts w:ascii="Arial" w:hAnsi="Arial" w:cs="Arial"/>
                <w:b/>
                <w:snapToGrid w:val="0"/>
                <w:lang w:val="es-ES"/>
              </w:rPr>
              <w:t xml:space="preserve">Valores </w:t>
            </w:r>
          </w:p>
        </w:tc>
      </w:tr>
      <w:tr w:rsidR="00671C98" w:rsidRPr="00993936" w:rsidTr="00671C98">
        <w:trPr>
          <w:trHeight w:val="400"/>
          <w:jc w:val="center"/>
        </w:trPr>
        <w:tc>
          <w:tcPr>
            <w:tcW w:w="4294" w:type="dxa"/>
            <w:vAlign w:val="center"/>
          </w:tcPr>
          <w:p w:rsidR="00671C98" w:rsidRPr="00993936" w:rsidRDefault="00671C98" w:rsidP="00671C98">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 xml:space="preserve"> Cadmio</w:t>
            </w:r>
          </w:p>
        </w:tc>
        <w:tc>
          <w:tcPr>
            <w:tcW w:w="4338"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3 mg/kg de materia seca</w:t>
            </w:r>
          </w:p>
        </w:tc>
      </w:tr>
      <w:tr w:rsidR="00671C98" w:rsidRPr="00993936" w:rsidTr="00671C98">
        <w:trPr>
          <w:trHeight w:val="400"/>
          <w:jc w:val="center"/>
        </w:trPr>
        <w:tc>
          <w:tcPr>
            <w:tcW w:w="4294"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Cobre</w:t>
            </w:r>
          </w:p>
        </w:tc>
        <w:tc>
          <w:tcPr>
            <w:tcW w:w="4338"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400 mg/kg de materia seca</w:t>
            </w:r>
          </w:p>
        </w:tc>
      </w:tr>
      <w:tr w:rsidR="00671C98" w:rsidRPr="00993936" w:rsidTr="00671C98">
        <w:trPr>
          <w:trHeight w:val="400"/>
          <w:jc w:val="center"/>
        </w:trPr>
        <w:tc>
          <w:tcPr>
            <w:tcW w:w="4294"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Níquel </w:t>
            </w:r>
          </w:p>
        </w:tc>
        <w:tc>
          <w:tcPr>
            <w:tcW w:w="4338"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100 mg/kg de materia seca</w:t>
            </w:r>
          </w:p>
        </w:tc>
      </w:tr>
      <w:tr w:rsidR="00671C98" w:rsidRPr="00993936" w:rsidTr="00671C98">
        <w:trPr>
          <w:trHeight w:val="400"/>
          <w:jc w:val="center"/>
        </w:trPr>
        <w:tc>
          <w:tcPr>
            <w:tcW w:w="4294"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Plomo</w:t>
            </w:r>
          </w:p>
        </w:tc>
        <w:tc>
          <w:tcPr>
            <w:tcW w:w="4338"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200 mg/kg de materia seca</w:t>
            </w:r>
          </w:p>
        </w:tc>
      </w:tr>
      <w:tr w:rsidR="00671C98" w:rsidRPr="00993936" w:rsidTr="00671C98">
        <w:trPr>
          <w:trHeight w:val="400"/>
          <w:jc w:val="center"/>
        </w:trPr>
        <w:tc>
          <w:tcPr>
            <w:tcW w:w="4294"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Zinc </w:t>
            </w:r>
          </w:p>
        </w:tc>
        <w:tc>
          <w:tcPr>
            <w:tcW w:w="4338"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1.000 mg/kg de materia seca</w:t>
            </w:r>
          </w:p>
        </w:tc>
      </w:tr>
      <w:tr w:rsidR="00671C98" w:rsidRPr="00993936" w:rsidTr="00671C98">
        <w:trPr>
          <w:trHeight w:val="400"/>
          <w:jc w:val="center"/>
        </w:trPr>
        <w:tc>
          <w:tcPr>
            <w:tcW w:w="4294"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Mercurio</w:t>
            </w:r>
          </w:p>
        </w:tc>
        <w:tc>
          <w:tcPr>
            <w:tcW w:w="4338"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2,5 mg/kg de materia seca</w:t>
            </w:r>
          </w:p>
        </w:tc>
      </w:tr>
      <w:tr w:rsidR="00671C98" w:rsidRPr="00993936" w:rsidTr="00671C98">
        <w:trPr>
          <w:trHeight w:val="400"/>
          <w:jc w:val="center"/>
        </w:trPr>
        <w:tc>
          <w:tcPr>
            <w:tcW w:w="4294"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Cromo </w:t>
            </w:r>
          </w:p>
        </w:tc>
        <w:tc>
          <w:tcPr>
            <w:tcW w:w="4338" w:type="dxa"/>
            <w:vAlign w:val="center"/>
          </w:tcPr>
          <w:p w:rsidR="00671C98" w:rsidRPr="00993936" w:rsidRDefault="00671C98" w:rsidP="00671C98">
            <w:pPr>
              <w:widowControl w:val="0"/>
              <w:rPr>
                <w:rFonts w:ascii="Arial" w:hAnsi="Arial" w:cs="Arial"/>
                <w:snapToGrid w:val="0"/>
                <w:lang w:val="es-ES"/>
              </w:rPr>
            </w:pPr>
            <w:r w:rsidRPr="00993936">
              <w:rPr>
                <w:rFonts w:ascii="Arial" w:hAnsi="Arial" w:cs="Arial"/>
                <w:snapToGrid w:val="0"/>
                <w:lang w:val="es-ES"/>
              </w:rPr>
              <w:t xml:space="preserve"> 300 mg/kg de materia seca</w:t>
            </w:r>
          </w:p>
        </w:tc>
      </w:tr>
    </w:tbl>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mg/kg: miligramo por kilo</w:t>
      </w:r>
    </w:p>
    <w:p w:rsidR="00412AFB" w:rsidRPr="00993936" w:rsidRDefault="00412AFB" w:rsidP="00412AFB">
      <w:pPr>
        <w:pStyle w:val="Ttulo3"/>
        <w:rPr>
          <w:rFonts w:ascii="Arial" w:hAnsi="Arial" w:cs="Arial"/>
          <w:color w:val="auto"/>
          <w:szCs w:val="22"/>
          <w:lang w:val="es-ES"/>
        </w:rPr>
      </w:pPr>
    </w:p>
    <w:p w:rsidR="00412AFB" w:rsidRPr="00993936" w:rsidRDefault="00412AFB" w:rsidP="00412AFB">
      <w:pPr>
        <w:rPr>
          <w:rFonts w:ascii="Arial" w:hAnsi="Arial" w:cs="Arial"/>
          <w:lang w:val="es-ES"/>
        </w:rPr>
      </w:pPr>
      <w:r w:rsidRPr="00993936">
        <w:rPr>
          <w:rFonts w:ascii="Arial" w:hAnsi="Arial" w:cs="Arial"/>
          <w:lang w:val="es-ES"/>
        </w:rPr>
        <w:br w:type="page"/>
      </w:r>
    </w:p>
    <w:p w:rsidR="00412AFB" w:rsidRPr="00993936" w:rsidRDefault="00412AFB" w:rsidP="00412AFB">
      <w:pPr>
        <w:pStyle w:val="Ttulo3"/>
        <w:rPr>
          <w:rFonts w:ascii="Arial" w:hAnsi="Arial" w:cs="Arial"/>
          <w:color w:val="auto"/>
          <w:szCs w:val="22"/>
          <w:lang w:val="es-ES"/>
        </w:rPr>
      </w:pPr>
      <w:r w:rsidRPr="00993936">
        <w:rPr>
          <w:rFonts w:ascii="Arial" w:hAnsi="Arial" w:cs="Arial"/>
          <w:color w:val="auto"/>
          <w:szCs w:val="22"/>
          <w:lang w:val="es-ES"/>
        </w:rPr>
        <w:lastRenderedPageBreak/>
        <w:t>ANEXO 4</w:t>
      </w:r>
    </w:p>
    <w:p w:rsidR="00412AFB" w:rsidRPr="00993936" w:rsidRDefault="00412AFB" w:rsidP="00412AFB">
      <w:pPr>
        <w:rPr>
          <w:rFonts w:ascii="Arial" w:hAnsi="Arial" w:cs="Arial"/>
          <w:lang w:val="es-ES"/>
        </w:rPr>
      </w:pPr>
    </w:p>
    <w:p w:rsidR="00412AFB" w:rsidRPr="00993936" w:rsidRDefault="00412AFB" w:rsidP="00412AFB">
      <w:pPr>
        <w:pStyle w:val="Ttulo3"/>
        <w:rPr>
          <w:rFonts w:ascii="Arial" w:hAnsi="Arial" w:cs="Arial"/>
          <w:color w:val="auto"/>
          <w:szCs w:val="22"/>
          <w:lang w:val="es-ES"/>
        </w:rPr>
      </w:pPr>
      <w:r w:rsidRPr="00993936">
        <w:rPr>
          <w:rFonts w:ascii="Arial" w:hAnsi="Arial" w:cs="Arial"/>
          <w:color w:val="auto"/>
          <w:szCs w:val="22"/>
          <w:lang w:val="es-ES"/>
        </w:rPr>
        <w:t>4.1 Tabla orientativa del contenido de nutrientes de algunos abonos orgánicos</w:t>
      </w:r>
    </w:p>
    <w:p w:rsidR="00412AFB" w:rsidRPr="00993936" w:rsidRDefault="00412AFB" w:rsidP="00412AFB">
      <w:pPr>
        <w:pStyle w:val="Ttulo3"/>
        <w:rPr>
          <w:rFonts w:ascii="Arial" w:hAnsi="Arial" w:cs="Arial"/>
          <w:color w:val="auto"/>
          <w:szCs w:val="22"/>
          <w:lang w:val="es-ES"/>
        </w:rPr>
      </w:pPr>
      <w:r w:rsidRPr="00993936">
        <w:rPr>
          <w:rFonts w:ascii="Arial" w:hAnsi="Arial" w:cs="Arial"/>
          <w:color w:val="auto"/>
          <w:szCs w:val="22"/>
          <w:lang w:val="es-ES"/>
        </w:rPr>
        <w:t xml:space="preserve"> </w:t>
      </w:r>
    </w:p>
    <w:tbl>
      <w:tblPr>
        <w:tblW w:w="5000" w:type="pct"/>
        <w:tblCellMar>
          <w:left w:w="70" w:type="dxa"/>
          <w:right w:w="70" w:type="dxa"/>
        </w:tblCellMar>
        <w:tblLook w:val="0000" w:firstRow="0" w:lastRow="0" w:firstColumn="0" w:lastColumn="0" w:noHBand="0" w:noVBand="0"/>
      </w:tblPr>
      <w:tblGrid>
        <w:gridCol w:w="972"/>
        <w:gridCol w:w="1019"/>
        <w:gridCol w:w="3502"/>
        <w:gridCol w:w="1253"/>
        <w:gridCol w:w="949"/>
        <w:gridCol w:w="949"/>
      </w:tblGrid>
      <w:tr w:rsidR="00412AFB" w:rsidRPr="00993936" w:rsidTr="00394AEA">
        <w:trPr>
          <w:trHeight w:val="555"/>
        </w:trPr>
        <w:tc>
          <w:tcPr>
            <w:tcW w:w="569" w:type="pct"/>
            <w:tcBorders>
              <w:top w:val="single" w:sz="8" w:space="0" w:color="auto"/>
              <w:left w:val="single" w:sz="8" w:space="0" w:color="auto"/>
              <w:bottom w:val="single" w:sz="8" w:space="0" w:color="auto"/>
              <w:right w:val="single" w:sz="8" w:space="0" w:color="auto"/>
            </w:tcBorders>
            <w:shd w:val="clear" w:color="auto" w:fill="D9D9D9"/>
            <w:vAlign w:val="center"/>
          </w:tcPr>
          <w:p w:rsidR="00412AFB" w:rsidRPr="00993936" w:rsidRDefault="00412AFB" w:rsidP="00671C98">
            <w:pPr>
              <w:pStyle w:val="Sinespaciado"/>
              <w:rPr>
                <w:rFonts w:ascii="Arial" w:hAnsi="Arial" w:cs="Arial"/>
              </w:rPr>
            </w:pPr>
            <w:r w:rsidRPr="00993936">
              <w:rPr>
                <w:rFonts w:ascii="Arial" w:hAnsi="Arial" w:cs="Arial"/>
              </w:rPr>
              <w:t>Ganado</w:t>
            </w:r>
          </w:p>
        </w:tc>
        <w:tc>
          <w:tcPr>
            <w:tcW w:w="762" w:type="pct"/>
            <w:tcBorders>
              <w:top w:val="single" w:sz="8" w:space="0" w:color="auto"/>
              <w:left w:val="nil"/>
              <w:bottom w:val="single" w:sz="8" w:space="0" w:color="auto"/>
              <w:right w:val="single" w:sz="8" w:space="0" w:color="auto"/>
            </w:tcBorders>
            <w:shd w:val="clear" w:color="auto" w:fill="D9D9D9"/>
            <w:vAlign w:val="center"/>
          </w:tcPr>
          <w:p w:rsidR="00412AFB" w:rsidRPr="00993936" w:rsidRDefault="00412AFB" w:rsidP="00671C98">
            <w:pPr>
              <w:pStyle w:val="Sinespaciado"/>
              <w:rPr>
                <w:rFonts w:ascii="Arial" w:hAnsi="Arial" w:cs="Arial"/>
              </w:rPr>
            </w:pPr>
            <w:r w:rsidRPr="00993936">
              <w:rPr>
                <w:rFonts w:ascii="Arial" w:hAnsi="Arial" w:cs="Arial"/>
              </w:rPr>
              <w:t>Tipo</w:t>
            </w:r>
          </w:p>
        </w:tc>
        <w:tc>
          <w:tcPr>
            <w:tcW w:w="1878" w:type="pct"/>
            <w:tcBorders>
              <w:top w:val="single" w:sz="8" w:space="0" w:color="auto"/>
              <w:left w:val="nil"/>
              <w:bottom w:val="single" w:sz="8" w:space="0" w:color="auto"/>
              <w:right w:val="nil"/>
            </w:tcBorders>
            <w:shd w:val="clear" w:color="auto" w:fill="D9D9D9"/>
            <w:vAlign w:val="center"/>
          </w:tcPr>
          <w:p w:rsidR="00412AFB" w:rsidRPr="00993936" w:rsidRDefault="00412AFB" w:rsidP="00671C98">
            <w:pPr>
              <w:pStyle w:val="Sinespaciado"/>
              <w:rPr>
                <w:rFonts w:ascii="Arial" w:hAnsi="Arial" w:cs="Arial"/>
              </w:rPr>
            </w:pPr>
            <w:r w:rsidRPr="00993936">
              <w:rPr>
                <w:rFonts w:ascii="Arial" w:hAnsi="Arial" w:cs="Arial"/>
              </w:rPr>
              <w:t>Fase / Sistema productivo</w:t>
            </w:r>
          </w:p>
        </w:tc>
        <w:tc>
          <w:tcPr>
            <w:tcW w:w="682" w:type="pct"/>
            <w:tcBorders>
              <w:top w:val="single" w:sz="8" w:space="0" w:color="auto"/>
              <w:left w:val="single" w:sz="8" w:space="0" w:color="auto"/>
              <w:bottom w:val="single" w:sz="8" w:space="0" w:color="auto"/>
              <w:right w:val="single" w:sz="8" w:space="0" w:color="auto"/>
            </w:tcBorders>
            <w:shd w:val="clear" w:color="auto" w:fill="D9D9D9"/>
            <w:vAlign w:val="center"/>
          </w:tcPr>
          <w:p w:rsidR="00412AFB" w:rsidRPr="00993936" w:rsidRDefault="00412AFB" w:rsidP="00671C98">
            <w:pPr>
              <w:pStyle w:val="Sinespaciado"/>
              <w:rPr>
                <w:rFonts w:ascii="Arial" w:hAnsi="Arial" w:cs="Arial"/>
              </w:rPr>
            </w:pPr>
            <w:r w:rsidRPr="00993936">
              <w:rPr>
                <w:rFonts w:ascii="Arial" w:hAnsi="Arial" w:cs="Arial"/>
              </w:rPr>
              <w:t xml:space="preserve">kg </w:t>
            </w:r>
          </w:p>
          <w:p w:rsidR="00412AFB" w:rsidRPr="00993936" w:rsidRDefault="00412AFB" w:rsidP="00671C98">
            <w:pPr>
              <w:pStyle w:val="Sinespaciado"/>
              <w:rPr>
                <w:rFonts w:ascii="Arial" w:hAnsi="Arial" w:cs="Arial"/>
              </w:rPr>
            </w:pPr>
            <w:r w:rsidRPr="00993936">
              <w:rPr>
                <w:rFonts w:ascii="Arial" w:hAnsi="Arial" w:cs="Arial"/>
              </w:rPr>
              <w:t xml:space="preserve">N/m3 </w:t>
            </w:r>
          </w:p>
          <w:p w:rsidR="00412AFB" w:rsidRPr="00993936" w:rsidRDefault="00412AFB" w:rsidP="00671C98">
            <w:pPr>
              <w:pStyle w:val="Sinespaciado"/>
              <w:rPr>
                <w:rFonts w:ascii="Arial" w:hAnsi="Arial" w:cs="Arial"/>
              </w:rPr>
            </w:pPr>
            <w:r w:rsidRPr="00993936">
              <w:rPr>
                <w:rFonts w:ascii="Arial" w:hAnsi="Arial" w:cs="Arial"/>
              </w:rPr>
              <w:t>o tonelada</w:t>
            </w:r>
          </w:p>
        </w:tc>
        <w:tc>
          <w:tcPr>
            <w:tcW w:w="555" w:type="pct"/>
            <w:tcBorders>
              <w:top w:val="single" w:sz="8" w:space="0" w:color="auto"/>
              <w:left w:val="nil"/>
              <w:bottom w:val="single" w:sz="8" w:space="0" w:color="auto"/>
              <w:right w:val="single" w:sz="8" w:space="0" w:color="auto"/>
            </w:tcBorders>
            <w:shd w:val="clear" w:color="auto" w:fill="D9D9D9"/>
            <w:vAlign w:val="center"/>
          </w:tcPr>
          <w:p w:rsidR="00412AFB" w:rsidRPr="00993936" w:rsidRDefault="00412AFB" w:rsidP="00671C98">
            <w:pPr>
              <w:pStyle w:val="Sinespaciado"/>
              <w:rPr>
                <w:rFonts w:ascii="Arial" w:hAnsi="Arial" w:cs="Arial"/>
              </w:rPr>
            </w:pPr>
            <w:r w:rsidRPr="00993936">
              <w:rPr>
                <w:rFonts w:ascii="Arial" w:hAnsi="Arial" w:cs="Arial"/>
              </w:rPr>
              <w:t>kg P2O5/ m3 o tonelada</w:t>
            </w:r>
          </w:p>
        </w:tc>
        <w:tc>
          <w:tcPr>
            <w:tcW w:w="555" w:type="pct"/>
            <w:tcBorders>
              <w:top w:val="single" w:sz="8" w:space="0" w:color="auto"/>
              <w:left w:val="nil"/>
              <w:bottom w:val="single" w:sz="8" w:space="0" w:color="auto"/>
              <w:right w:val="single" w:sz="8" w:space="0" w:color="auto"/>
            </w:tcBorders>
            <w:shd w:val="clear" w:color="auto" w:fill="D9D9D9"/>
            <w:vAlign w:val="center"/>
          </w:tcPr>
          <w:p w:rsidR="00412AFB" w:rsidRPr="00993936" w:rsidRDefault="00412AFB" w:rsidP="00671C98">
            <w:pPr>
              <w:pStyle w:val="Sinespaciado"/>
              <w:rPr>
                <w:rFonts w:ascii="Arial" w:hAnsi="Arial" w:cs="Arial"/>
              </w:rPr>
            </w:pPr>
            <w:r w:rsidRPr="00993936">
              <w:rPr>
                <w:rFonts w:ascii="Arial" w:hAnsi="Arial" w:cs="Arial"/>
              </w:rPr>
              <w:t>kg K2O / m3 o tonelada</w:t>
            </w:r>
          </w:p>
        </w:tc>
      </w:tr>
      <w:tr w:rsidR="00412AFB" w:rsidRPr="00993936" w:rsidTr="00394AEA">
        <w:trPr>
          <w:trHeight w:val="300"/>
        </w:trPr>
        <w:tc>
          <w:tcPr>
            <w:tcW w:w="569" w:type="pct"/>
            <w:vMerge w:val="restart"/>
            <w:tcBorders>
              <w:top w:val="nil"/>
              <w:left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Porcino</w:t>
            </w:r>
          </w:p>
        </w:tc>
        <w:tc>
          <w:tcPr>
            <w:tcW w:w="762" w:type="pct"/>
            <w:vMerge w:val="restart"/>
            <w:tcBorders>
              <w:top w:val="nil"/>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Purín</w:t>
            </w: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Engorde</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5,7</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3,6</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4,2</w:t>
            </w:r>
          </w:p>
        </w:tc>
      </w:tr>
      <w:tr w:rsidR="00412AFB" w:rsidRPr="00993936" w:rsidTr="00394AEA">
        <w:trPr>
          <w:trHeight w:val="300"/>
        </w:trPr>
        <w:tc>
          <w:tcPr>
            <w:tcW w:w="569" w:type="pct"/>
            <w:vMerge/>
            <w:tcBorders>
              <w:left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Reproductora</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2,9</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2,1</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1,8</w:t>
            </w:r>
          </w:p>
        </w:tc>
      </w:tr>
      <w:tr w:rsidR="00412AFB" w:rsidRPr="00993936" w:rsidTr="00394AEA">
        <w:trPr>
          <w:trHeight w:val="300"/>
        </w:trPr>
        <w:tc>
          <w:tcPr>
            <w:tcW w:w="569" w:type="pct"/>
            <w:vMerge/>
            <w:tcBorders>
              <w:left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Lechones (6-20 kg)</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3,4</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2,6</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1,7</w:t>
            </w:r>
          </w:p>
        </w:tc>
      </w:tr>
      <w:tr w:rsidR="00412AFB" w:rsidRPr="00993936" w:rsidTr="00394AEA">
        <w:trPr>
          <w:trHeight w:val="300"/>
        </w:trPr>
        <w:tc>
          <w:tcPr>
            <w:tcW w:w="569" w:type="pct"/>
            <w:vMerge/>
            <w:tcBorders>
              <w:left w:val="single" w:sz="8" w:space="0" w:color="auto"/>
              <w:bottom w:val="nil"/>
              <w:right w:val="nil"/>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single" w:sz="8" w:space="0" w:color="auto"/>
              <w:bottom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Ciclo cerrado</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3,4</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2,4</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2,5</w:t>
            </w:r>
          </w:p>
        </w:tc>
      </w:tr>
      <w:tr w:rsidR="00412AFB" w:rsidRPr="00993936" w:rsidTr="00394AEA">
        <w:trPr>
          <w:trHeight w:val="300"/>
        </w:trPr>
        <w:tc>
          <w:tcPr>
            <w:tcW w:w="569"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Vacuno</w:t>
            </w:r>
          </w:p>
        </w:tc>
        <w:tc>
          <w:tcPr>
            <w:tcW w:w="762" w:type="pct"/>
            <w:vMerge w:val="restart"/>
            <w:tcBorders>
              <w:top w:val="single" w:sz="8" w:space="0" w:color="auto"/>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Purín</w:t>
            </w:r>
          </w:p>
        </w:tc>
        <w:tc>
          <w:tcPr>
            <w:tcW w:w="1878" w:type="pct"/>
            <w:tcBorders>
              <w:top w:val="single" w:sz="8" w:space="0" w:color="auto"/>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Vaca de leche</w:t>
            </w:r>
          </w:p>
        </w:tc>
        <w:tc>
          <w:tcPr>
            <w:tcW w:w="682" w:type="pct"/>
            <w:tcBorders>
              <w:top w:val="single" w:sz="8" w:space="0" w:color="auto"/>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3,3</w:t>
            </w:r>
          </w:p>
        </w:tc>
        <w:tc>
          <w:tcPr>
            <w:tcW w:w="555" w:type="pct"/>
            <w:tcBorders>
              <w:top w:val="single" w:sz="8" w:space="0" w:color="auto"/>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1,5</w:t>
            </w:r>
          </w:p>
        </w:tc>
        <w:tc>
          <w:tcPr>
            <w:tcW w:w="555" w:type="pct"/>
            <w:tcBorders>
              <w:top w:val="single" w:sz="8" w:space="0" w:color="auto"/>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3,4</w:t>
            </w:r>
          </w:p>
        </w:tc>
      </w:tr>
      <w:tr w:rsidR="00412AFB" w:rsidRPr="00993936" w:rsidTr="00394AEA">
        <w:trPr>
          <w:trHeight w:val="300"/>
        </w:trPr>
        <w:tc>
          <w:tcPr>
            <w:tcW w:w="569"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bottom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Engorde de terneros</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5,2</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1,7</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3,6</w:t>
            </w:r>
          </w:p>
        </w:tc>
      </w:tr>
      <w:tr w:rsidR="00412AFB" w:rsidRPr="00993936" w:rsidTr="00394AEA">
        <w:trPr>
          <w:trHeight w:val="300"/>
        </w:trPr>
        <w:tc>
          <w:tcPr>
            <w:tcW w:w="569"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val="restart"/>
            <w:tcBorders>
              <w:top w:val="single" w:sz="8" w:space="0" w:color="auto"/>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Estiércol</w:t>
            </w:r>
          </w:p>
          <w:p w:rsidR="00412AFB" w:rsidRPr="00993936" w:rsidRDefault="00412AFB" w:rsidP="00671C98">
            <w:pPr>
              <w:pStyle w:val="Sinespaciado"/>
              <w:rPr>
                <w:rFonts w:ascii="Arial" w:hAnsi="Arial" w:cs="Arial"/>
              </w:rPr>
            </w:pPr>
          </w:p>
        </w:tc>
        <w:tc>
          <w:tcPr>
            <w:tcW w:w="1878" w:type="pct"/>
            <w:tcBorders>
              <w:top w:val="single" w:sz="8" w:space="0" w:color="auto"/>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Vaca de leche</w:t>
            </w:r>
          </w:p>
        </w:tc>
        <w:tc>
          <w:tcPr>
            <w:tcW w:w="682" w:type="pct"/>
            <w:tcBorders>
              <w:top w:val="single" w:sz="8" w:space="0" w:color="auto"/>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5,5</w:t>
            </w:r>
          </w:p>
        </w:tc>
        <w:tc>
          <w:tcPr>
            <w:tcW w:w="555" w:type="pct"/>
            <w:tcBorders>
              <w:top w:val="single" w:sz="8" w:space="0" w:color="auto"/>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2,0</w:t>
            </w:r>
          </w:p>
        </w:tc>
        <w:tc>
          <w:tcPr>
            <w:tcW w:w="555" w:type="pct"/>
            <w:tcBorders>
              <w:top w:val="single" w:sz="8" w:space="0" w:color="auto"/>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7,9</w:t>
            </w:r>
          </w:p>
        </w:tc>
      </w:tr>
      <w:tr w:rsidR="00412AFB" w:rsidRPr="00993936" w:rsidTr="00394AEA">
        <w:trPr>
          <w:trHeight w:val="300"/>
        </w:trPr>
        <w:tc>
          <w:tcPr>
            <w:tcW w:w="569"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Vaca de carne</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3,0</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2,0</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5,0</w:t>
            </w:r>
          </w:p>
        </w:tc>
      </w:tr>
      <w:tr w:rsidR="00412AFB" w:rsidRPr="00993936" w:rsidTr="00394AEA">
        <w:trPr>
          <w:trHeight w:val="300"/>
        </w:trPr>
        <w:tc>
          <w:tcPr>
            <w:tcW w:w="569" w:type="pct"/>
            <w:vMerge/>
            <w:tcBorders>
              <w:left w:val="single" w:sz="8" w:space="0" w:color="auto"/>
              <w:bottom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bottom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Ternero de engorde</w:t>
            </w:r>
          </w:p>
        </w:tc>
        <w:tc>
          <w:tcPr>
            <w:tcW w:w="682" w:type="pct"/>
            <w:tcBorders>
              <w:top w:val="nil"/>
              <w:left w:val="nil"/>
              <w:bottom w:val="single" w:sz="8" w:space="0" w:color="auto"/>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6,0</w:t>
            </w:r>
          </w:p>
        </w:tc>
        <w:tc>
          <w:tcPr>
            <w:tcW w:w="555" w:type="pct"/>
            <w:tcBorders>
              <w:top w:val="nil"/>
              <w:left w:val="nil"/>
              <w:bottom w:val="single" w:sz="8" w:space="0" w:color="auto"/>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5,0</w:t>
            </w:r>
          </w:p>
        </w:tc>
        <w:tc>
          <w:tcPr>
            <w:tcW w:w="555" w:type="pct"/>
            <w:tcBorders>
              <w:top w:val="nil"/>
              <w:left w:val="nil"/>
              <w:bottom w:val="single" w:sz="8" w:space="0" w:color="auto"/>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6,0</w:t>
            </w:r>
          </w:p>
        </w:tc>
      </w:tr>
      <w:tr w:rsidR="00412AFB" w:rsidRPr="00993936" w:rsidTr="00394AEA">
        <w:trPr>
          <w:trHeight w:val="300"/>
        </w:trPr>
        <w:tc>
          <w:tcPr>
            <w:tcW w:w="569"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Aves</w:t>
            </w:r>
          </w:p>
        </w:tc>
        <w:tc>
          <w:tcPr>
            <w:tcW w:w="762" w:type="pct"/>
            <w:vMerge w:val="restart"/>
            <w:tcBorders>
              <w:top w:val="nil"/>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Gallinaza</w:t>
            </w: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Pavo</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32,41/24,92</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25,8</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20,0</w:t>
            </w:r>
          </w:p>
        </w:tc>
      </w:tr>
      <w:tr w:rsidR="00412AFB" w:rsidRPr="00993936" w:rsidTr="00394AEA">
        <w:trPr>
          <w:trHeight w:val="300"/>
        </w:trPr>
        <w:tc>
          <w:tcPr>
            <w:tcW w:w="569"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Pollo de engorde</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29,61/22,82</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21,1</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17,7</w:t>
            </w:r>
          </w:p>
        </w:tc>
      </w:tr>
      <w:tr w:rsidR="00412AFB" w:rsidRPr="00993936" w:rsidTr="00394AEA">
        <w:trPr>
          <w:trHeight w:val="300"/>
        </w:trPr>
        <w:tc>
          <w:tcPr>
            <w:tcW w:w="569"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Gallina ponedora</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16,31/12,52</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10,4</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8,0</w:t>
            </w:r>
          </w:p>
        </w:tc>
      </w:tr>
      <w:tr w:rsidR="00412AFB" w:rsidRPr="00993936" w:rsidTr="00394AEA">
        <w:trPr>
          <w:trHeight w:val="300"/>
        </w:trPr>
        <w:tc>
          <w:tcPr>
            <w:tcW w:w="569"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Gallina reproductora</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22,61/17,42</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33,9</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23,6</w:t>
            </w:r>
          </w:p>
        </w:tc>
      </w:tr>
      <w:tr w:rsidR="00412AFB" w:rsidRPr="00993936" w:rsidTr="00394AEA">
        <w:trPr>
          <w:trHeight w:val="300"/>
        </w:trPr>
        <w:tc>
          <w:tcPr>
            <w:tcW w:w="569" w:type="pct"/>
            <w:vMerge/>
            <w:tcBorders>
              <w:left w:val="single" w:sz="8" w:space="0" w:color="auto"/>
              <w:bottom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bottom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Gallina de reposición</w:t>
            </w:r>
          </w:p>
        </w:tc>
        <w:tc>
          <w:tcPr>
            <w:tcW w:w="682" w:type="pct"/>
            <w:tcBorders>
              <w:top w:val="nil"/>
              <w:left w:val="nil"/>
              <w:bottom w:val="single" w:sz="8" w:space="0" w:color="auto"/>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25,41/19,52</w:t>
            </w:r>
          </w:p>
        </w:tc>
        <w:tc>
          <w:tcPr>
            <w:tcW w:w="555" w:type="pct"/>
            <w:tcBorders>
              <w:top w:val="nil"/>
              <w:left w:val="nil"/>
              <w:bottom w:val="single" w:sz="8" w:space="0" w:color="auto"/>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45,8</w:t>
            </w:r>
          </w:p>
        </w:tc>
        <w:tc>
          <w:tcPr>
            <w:tcW w:w="555" w:type="pct"/>
            <w:tcBorders>
              <w:top w:val="nil"/>
              <w:left w:val="nil"/>
              <w:bottom w:val="single" w:sz="8" w:space="0" w:color="auto"/>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25,5</w:t>
            </w:r>
          </w:p>
        </w:tc>
      </w:tr>
      <w:tr w:rsidR="00412AFB" w:rsidRPr="00993936" w:rsidTr="00394AEA">
        <w:trPr>
          <w:trHeight w:val="300"/>
        </w:trPr>
        <w:tc>
          <w:tcPr>
            <w:tcW w:w="569"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Ovino-caprino</w:t>
            </w:r>
          </w:p>
        </w:tc>
        <w:tc>
          <w:tcPr>
            <w:tcW w:w="762" w:type="pct"/>
            <w:vMerge w:val="restart"/>
            <w:tcBorders>
              <w:top w:val="nil"/>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Estiércol</w:t>
            </w: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Oveja de carne</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9,4</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5,0</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10,0</w:t>
            </w:r>
          </w:p>
        </w:tc>
      </w:tr>
      <w:tr w:rsidR="00412AFB" w:rsidRPr="00993936" w:rsidTr="00394AEA">
        <w:trPr>
          <w:trHeight w:val="300"/>
        </w:trPr>
        <w:tc>
          <w:tcPr>
            <w:tcW w:w="569"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Oveja de leche</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8,1</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3,2</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8,6</w:t>
            </w:r>
          </w:p>
        </w:tc>
      </w:tr>
      <w:tr w:rsidR="00412AFB" w:rsidRPr="00993936" w:rsidTr="00394AEA">
        <w:trPr>
          <w:trHeight w:val="300"/>
        </w:trPr>
        <w:tc>
          <w:tcPr>
            <w:tcW w:w="569" w:type="pct"/>
            <w:vMerge/>
            <w:tcBorders>
              <w:left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vMerge/>
            <w:tcBorders>
              <w:left w:val="nil"/>
              <w:bottom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1878" w:type="pct"/>
            <w:tcBorders>
              <w:top w:val="nil"/>
              <w:left w:val="nil"/>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Cabra</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9,4</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5,0</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9,0</w:t>
            </w:r>
          </w:p>
        </w:tc>
      </w:tr>
      <w:tr w:rsidR="00412AFB" w:rsidRPr="00993936" w:rsidTr="00394AEA">
        <w:trPr>
          <w:trHeight w:val="300"/>
        </w:trPr>
        <w:tc>
          <w:tcPr>
            <w:tcW w:w="569" w:type="pct"/>
            <w:vMerge/>
            <w:tcBorders>
              <w:left w:val="single" w:sz="8" w:space="0" w:color="auto"/>
              <w:bottom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p>
        </w:tc>
        <w:tc>
          <w:tcPr>
            <w:tcW w:w="762" w:type="pct"/>
            <w:tcBorders>
              <w:top w:val="nil"/>
              <w:left w:val="nil"/>
              <w:bottom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Purín</w:t>
            </w:r>
          </w:p>
        </w:tc>
        <w:tc>
          <w:tcPr>
            <w:tcW w:w="1878" w:type="pct"/>
            <w:tcBorders>
              <w:top w:val="single" w:sz="8" w:space="0" w:color="auto"/>
              <w:left w:val="nil"/>
              <w:bottom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Oveja de leche</w:t>
            </w:r>
          </w:p>
        </w:tc>
        <w:tc>
          <w:tcPr>
            <w:tcW w:w="682" w:type="pct"/>
            <w:tcBorders>
              <w:top w:val="single" w:sz="8" w:space="0" w:color="auto"/>
              <w:left w:val="nil"/>
              <w:bottom w:val="single" w:sz="8" w:space="0" w:color="auto"/>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7,3</w:t>
            </w:r>
          </w:p>
        </w:tc>
        <w:tc>
          <w:tcPr>
            <w:tcW w:w="555" w:type="pct"/>
            <w:tcBorders>
              <w:top w:val="single" w:sz="8" w:space="0" w:color="auto"/>
              <w:left w:val="nil"/>
              <w:bottom w:val="single" w:sz="8" w:space="0" w:color="auto"/>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3,4</w:t>
            </w:r>
          </w:p>
        </w:tc>
        <w:tc>
          <w:tcPr>
            <w:tcW w:w="555" w:type="pct"/>
            <w:tcBorders>
              <w:top w:val="single" w:sz="8" w:space="0" w:color="auto"/>
              <w:left w:val="nil"/>
              <w:bottom w:val="single" w:sz="8" w:space="0" w:color="auto"/>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7,1</w:t>
            </w:r>
          </w:p>
        </w:tc>
      </w:tr>
      <w:tr w:rsidR="00412AFB" w:rsidRPr="00993936" w:rsidTr="00394AEA">
        <w:trPr>
          <w:trHeight w:val="300"/>
        </w:trPr>
        <w:tc>
          <w:tcPr>
            <w:tcW w:w="569" w:type="pct"/>
            <w:tcBorders>
              <w:top w:val="nil"/>
              <w:left w:val="single" w:sz="8" w:space="0" w:color="auto"/>
              <w:bottom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Equino</w:t>
            </w:r>
          </w:p>
        </w:tc>
        <w:tc>
          <w:tcPr>
            <w:tcW w:w="76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Estiércol</w:t>
            </w:r>
          </w:p>
        </w:tc>
        <w:tc>
          <w:tcPr>
            <w:tcW w:w="1878" w:type="pct"/>
            <w:tcBorders>
              <w:top w:val="nil"/>
              <w:left w:val="single" w:sz="8" w:space="0" w:color="auto"/>
              <w:bottom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Caballo</w:t>
            </w:r>
          </w:p>
        </w:tc>
        <w:tc>
          <w:tcPr>
            <w:tcW w:w="682" w:type="pct"/>
            <w:tcBorders>
              <w:top w:val="nil"/>
              <w:left w:val="nil"/>
              <w:bottom w:val="single" w:sz="8" w:space="0" w:color="auto"/>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5,7</w:t>
            </w:r>
          </w:p>
        </w:tc>
        <w:tc>
          <w:tcPr>
            <w:tcW w:w="555" w:type="pct"/>
            <w:tcBorders>
              <w:top w:val="nil"/>
              <w:left w:val="nil"/>
              <w:bottom w:val="single" w:sz="8" w:space="0" w:color="auto"/>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2,1</w:t>
            </w:r>
          </w:p>
        </w:tc>
        <w:tc>
          <w:tcPr>
            <w:tcW w:w="555" w:type="pct"/>
            <w:tcBorders>
              <w:top w:val="nil"/>
              <w:left w:val="nil"/>
              <w:bottom w:val="single" w:sz="8" w:space="0" w:color="auto"/>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8,2</w:t>
            </w:r>
          </w:p>
        </w:tc>
      </w:tr>
      <w:tr w:rsidR="00412AFB" w:rsidRPr="00993936" w:rsidTr="00394AEA">
        <w:trPr>
          <w:trHeight w:val="300"/>
        </w:trPr>
        <w:tc>
          <w:tcPr>
            <w:tcW w:w="569" w:type="pct"/>
            <w:tcBorders>
              <w:top w:val="single" w:sz="8" w:space="0" w:color="auto"/>
              <w:left w:val="single" w:sz="8" w:space="0" w:color="auto"/>
              <w:bottom w:val="nil"/>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Cunícola</w:t>
            </w:r>
          </w:p>
        </w:tc>
        <w:tc>
          <w:tcPr>
            <w:tcW w:w="762" w:type="pct"/>
            <w:tcBorders>
              <w:top w:val="single" w:sz="8" w:space="0" w:color="auto"/>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Estiércol</w:t>
            </w:r>
          </w:p>
        </w:tc>
        <w:tc>
          <w:tcPr>
            <w:tcW w:w="1878" w:type="pct"/>
            <w:tcBorders>
              <w:top w:val="nil"/>
              <w:left w:val="single" w:sz="8" w:space="0" w:color="auto"/>
              <w:bottom w:val="nil"/>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Conejo</w:t>
            </w:r>
          </w:p>
        </w:tc>
        <w:tc>
          <w:tcPr>
            <w:tcW w:w="682"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8,4</w:t>
            </w:r>
          </w:p>
        </w:tc>
        <w:tc>
          <w:tcPr>
            <w:tcW w:w="555" w:type="pct"/>
            <w:tcBorders>
              <w:top w:val="nil"/>
              <w:left w:val="nil"/>
              <w:bottom w:val="nil"/>
              <w:right w:val="nil"/>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10,3</w:t>
            </w:r>
          </w:p>
        </w:tc>
        <w:tc>
          <w:tcPr>
            <w:tcW w:w="555" w:type="pct"/>
            <w:tcBorders>
              <w:top w:val="nil"/>
              <w:left w:val="nil"/>
              <w:bottom w:val="nil"/>
              <w:right w:val="single" w:sz="8" w:space="0" w:color="auto"/>
            </w:tcBorders>
            <w:shd w:val="clear" w:color="auto" w:fill="FFFFFF"/>
          </w:tcPr>
          <w:p w:rsidR="00412AFB" w:rsidRPr="00993936" w:rsidRDefault="00412AFB" w:rsidP="00671C98">
            <w:pPr>
              <w:pStyle w:val="Sinespaciado"/>
              <w:rPr>
                <w:rFonts w:ascii="Arial" w:hAnsi="Arial" w:cs="Arial"/>
              </w:rPr>
            </w:pPr>
            <w:r w:rsidRPr="00993936">
              <w:rPr>
                <w:rFonts w:ascii="Arial" w:hAnsi="Arial" w:cs="Arial"/>
              </w:rPr>
              <w:t>9,5</w:t>
            </w:r>
          </w:p>
        </w:tc>
      </w:tr>
      <w:tr w:rsidR="00412AFB" w:rsidRPr="00993936" w:rsidTr="00394AEA">
        <w:trPr>
          <w:trHeight w:val="300"/>
        </w:trPr>
        <w:tc>
          <w:tcPr>
            <w:tcW w:w="1331" w:type="pct"/>
            <w:gridSpan w:val="2"/>
            <w:vMerge w:val="restart"/>
            <w:tcBorders>
              <w:top w:val="single" w:sz="8" w:space="0" w:color="auto"/>
              <w:left w:val="single" w:sz="8" w:space="0" w:color="auto"/>
              <w:right w:val="nil"/>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Otros*</w:t>
            </w:r>
          </w:p>
          <w:p w:rsidR="00412AFB" w:rsidRPr="00993936" w:rsidRDefault="00412AFB" w:rsidP="00671C98">
            <w:pPr>
              <w:pStyle w:val="Sinespaciado"/>
              <w:rPr>
                <w:rFonts w:ascii="Arial" w:hAnsi="Arial" w:cs="Arial"/>
              </w:rPr>
            </w:pPr>
            <w:r w:rsidRPr="00993936">
              <w:rPr>
                <w:rFonts w:ascii="Arial" w:hAnsi="Arial" w:cs="Arial"/>
              </w:rPr>
              <w:t> </w:t>
            </w:r>
          </w:p>
        </w:tc>
        <w:tc>
          <w:tcPr>
            <w:tcW w:w="1878" w:type="pct"/>
            <w:tcBorders>
              <w:top w:val="single" w:sz="8" w:space="0" w:color="auto"/>
              <w:left w:val="single" w:sz="8" w:space="0" w:color="auto"/>
              <w:bottom w:val="nil"/>
              <w:right w:val="nil"/>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Compuesto de estiércol</w:t>
            </w:r>
          </w:p>
        </w:tc>
        <w:tc>
          <w:tcPr>
            <w:tcW w:w="682" w:type="pct"/>
            <w:tcBorders>
              <w:top w:val="single" w:sz="8" w:space="0" w:color="auto"/>
              <w:left w:val="nil"/>
              <w:bottom w:val="nil"/>
              <w:right w:val="nil"/>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12,0</w:t>
            </w:r>
          </w:p>
        </w:tc>
        <w:tc>
          <w:tcPr>
            <w:tcW w:w="555" w:type="pct"/>
            <w:tcBorders>
              <w:top w:val="single" w:sz="8" w:space="0" w:color="auto"/>
              <w:left w:val="nil"/>
              <w:bottom w:val="nil"/>
              <w:right w:val="nil"/>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15,6</w:t>
            </w:r>
          </w:p>
        </w:tc>
        <w:tc>
          <w:tcPr>
            <w:tcW w:w="555" w:type="pct"/>
            <w:tcBorders>
              <w:top w:val="single" w:sz="8" w:space="0" w:color="auto"/>
              <w:left w:val="nil"/>
              <w:bottom w:val="nil"/>
              <w:right w:val="single" w:sz="8" w:space="0" w:color="auto"/>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12,5</w:t>
            </w:r>
          </w:p>
        </w:tc>
      </w:tr>
      <w:tr w:rsidR="00412AFB" w:rsidRPr="00993936" w:rsidTr="00394AEA">
        <w:trPr>
          <w:trHeight w:val="300"/>
        </w:trPr>
        <w:tc>
          <w:tcPr>
            <w:tcW w:w="1331" w:type="pct"/>
            <w:gridSpan w:val="2"/>
            <w:vMerge/>
            <w:tcBorders>
              <w:left w:val="single" w:sz="8" w:space="0" w:color="auto"/>
              <w:right w:val="nil"/>
            </w:tcBorders>
            <w:shd w:val="clear" w:color="auto" w:fill="FFFFFF"/>
            <w:noWrap/>
            <w:vAlign w:val="bottom"/>
          </w:tcPr>
          <w:p w:rsidR="00412AFB" w:rsidRPr="00993936" w:rsidRDefault="00412AFB" w:rsidP="00671C98">
            <w:pPr>
              <w:pStyle w:val="Sinespaciado"/>
              <w:rPr>
                <w:rFonts w:ascii="Arial" w:hAnsi="Arial" w:cs="Arial"/>
              </w:rPr>
            </w:pPr>
          </w:p>
        </w:tc>
        <w:tc>
          <w:tcPr>
            <w:tcW w:w="1878" w:type="pct"/>
            <w:tcBorders>
              <w:top w:val="nil"/>
              <w:left w:val="single" w:sz="8" w:space="0" w:color="auto"/>
              <w:bottom w:val="nil"/>
              <w:right w:val="nil"/>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Compuesto de lodos de depuradora</w:t>
            </w:r>
          </w:p>
        </w:tc>
        <w:tc>
          <w:tcPr>
            <w:tcW w:w="682" w:type="pct"/>
            <w:tcBorders>
              <w:top w:val="nil"/>
              <w:left w:val="nil"/>
              <w:bottom w:val="nil"/>
              <w:right w:val="nil"/>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18,8</w:t>
            </w:r>
          </w:p>
        </w:tc>
        <w:tc>
          <w:tcPr>
            <w:tcW w:w="555" w:type="pct"/>
            <w:tcBorders>
              <w:top w:val="nil"/>
              <w:left w:val="nil"/>
              <w:bottom w:val="nil"/>
              <w:right w:val="nil"/>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23,3</w:t>
            </w:r>
          </w:p>
        </w:tc>
        <w:tc>
          <w:tcPr>
            <w:tcW w:w="555" w:type="pct"/>
            <w:tcBorders>
              <w:top w:val="nil"/>
              <w:left w:val="nil"/>
              <w:bottom w:val="nil"/>
              <w:right w:val="single" w:sz="8" w:space="0" w:color="auto"/>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6,2</w:t>
            </w:r>
          </w:p>
        </w:tc>
      </w:tr>
      <w:tr w:rsidR="00412AFB" w:rsidRPr="00993936" w:rsidTr="00394AEA">
        <w:trPr>
          <w:trHeight w:val="300"/>
        </w:trPr>
        <w:tc>
          <w:tcPr>
            <w:tcW w:w="1331" w:type="pct"/>
            <w:gridSpan w:val="2"/>
            <w:vMerge/>
            <w:tcBorders>
              <w:left w:val="single" w:sz="8" w:space="0" w:color="auto"/>
              <w:bottom w:val="single" w:sz="8" w:space="0" w:color="auto"/>
              <w:right w:val="nil"/>
            </w:tcBorders>
            <w:shd w:val="clear" w:color="auto" w:fill="FFFFFF"/>
            <w:noWrap/>
            <w:vAlign w:val="bottom"/>
          </w:tcPr>
          <w:p w:rsidR="00412AFB" w:rsidRPr="00993936" w:rsidRDefault="00412AFB" w:rsidP="00671C98">
            <w:pPr>
              <w:pStyle w:val="Sinespaciado"/>
              <w:rPr>
                <w:rFonts w:ascii="Arial" w:hAnsi="Arial" w:cs="Arial"/>
              </w:rPr>
            </w:pPr>
          </w:p>
        </w:tc>
        <w:tc>
          <w:tcPr>
            <w:tcW w:w="1878" w:type="pct"/>
            <w:tcBorders>
              <w:top w:val="nil"/>
              <w:left w:val="single" w:sz="8" w:space="0" w:color="auto"/>
              <w:bottom w:val="single" w:sz="8" w:space="0" w:color="auto"/>
              <w:right w:val="nil"/>
            </w:tcBorders>
            <w:shd w:val="clear" w:color="auto" w:fill="FFFFFF"/>
            <w:noWrap/>
            <w:vAlign w:val="center"/>
          </w:tcPr>
          <w:p w:rsidR="00412AFB" w:rsidRPr="00993936" w:rsidRDefault="00412AFB" w:rsidP="00671C98">
            <w:pPr>
              <w:pStyle w:val="Sinespaciado"/>
              <w:rPr>
                <w:rFonts w:ascii="Arial" w:hAnsi="Arial" w:cs="Arial"/>
              </w:rPr>
            </w:pPr>
            <w:r w:rsidRPr="00993936">
              <w:rPr>
                <w:rFonts w:ascii="Arial" w:hAnsi="Arial" w:cs="Arial"/>
              </w:rPr>
              <w:t>Lodos de depuradora**</w:t>
            </w:r>
          </w:p>
        </w:tc>
        <w:tc>
          <w:tcPr>
            <w:tcW w:w="682" w:type="pct"/>
            <w:tcBorders>
              <w:top w:val="nil"/>
              <w:left w:val="nil"/>
              <w:bottom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10,5</w:t>
            </w:r>
          </w:p>
        </w:tc>
        <w:tc>
          <w:tcPr>
            <w:tcW w:w="555" w:type="pct"/>
            <w:tcBorders>
              <w:top w:val="nil"/>
              <w:left w:val="nil"/>
              <w:bottom w:val="single" w:sz="8" w:space="0" w:color="auto"/>
              <w:right w:val="nil"/>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13,0</w:t>
            </w:r>
          </w:p>
        </w:tc>
        <w:tc>
          <w:tcPr>
            <w:tcW w:w="555" w:type="pct"/>
            <w:tcBorders>
              <w:top w:val="nil"/>
              <w:left w:val="nil"/>
              <w:bottom w:val="single" w:sz="8" w:space="0" w:color="auto"/>
              <w:right w:val="single" w:sz="8" w:space="0" w:color="auto"/>
            </w:tcBorders>
            <w:shd w:val="clear" w:color="auto" w:fill="FFFFFF"/>
            <w:vAlign w:val="center"/>
          </w:tcPr>
          <w:p w:rsidR="00412AFB" w:rsidRPr="00993936" w:rsidRDefault="00412AFB" w:rsidP="00671C98">
            <w:pPr>
              <w:pStyle w:val="Sinespaciado"/>
              <w:rPr>
                <w:rFonts w:ascii="Arial" w:hAnsi="Arial" w:cs="Arial"/>
              </w:rPr>
            </w:pPr>
            <w:r w:rsidRPr="00993936">
              <w:rPr>
                <w:rFonts w:ascii="Arial" w:hAnsi="Arial" w:cs="Arial"/>
              </w:rPr>
              <w:t>1,2</w:t>
            </w:r>
          </w:p>
        </w:tc>
      </w:tr>
    </w:tbl>
    <w:p w:rsidR="00412AFB" w:rsidRPr="00993936" w:rsidRDefault="00412AFB" w:rsidP="00412AFB">
      <w:pPr>
        <w:rPr>
          <w:rFonts w:ascii="Arial" w:hAnsi="Arial" w:cs="Arial"/>
          <w:lang w:val="es-ES"/>
        </w:rPr>
      </w:pPr>
    </w:p>
    <w:p w:rsidR="00412AFB" w:rsidRPr="00993936" w:rsidRDefault="00412AFB" w:rsidP="00394AEA">
      <w:pPr>
        <w:pStyle w:val="Sinespaciado"/>
        <w:jc w:val="both"/>
        <w:rPr>
          <w:rFonts w:ascii="Arial" w:hAnsi="Arial" w:cs="Arial"/>
          <w:lang w:val="es-ES"/>
        </w:rPr>
      </w:pPr>
      <w:r w:rsidRPr="00993936">
        <w:rPr>
          <w:rFonts w:ascii="Arial" w:hAnsi="Arial" w:cs="Arial"/>
          <w:lang w:val="es-ES"/>
        </w:rPr>
        <w:t>* Estos materiales están sujetos a una variabilidad asociada a las materias primas utilizadas en cada planta.</w:t>
      </w:r>
    </w:p>
    <w:p w:rsidR="00412AFB" w:rsidRPr="00993936" w:rsidRDefault="00412AFB" w:rsidP="00394AEA">
      <w:pPr>
        <w:pStyle w:val="Sinespaciado"/>
        <w:jc w:val="both"/>
        <w:rPr>
          <w:rFonts w:ascii="Arial" w:hAnsi="Arial" w:cs="Arial"/>
          <w:lang w:val="es-ES"/>
        </w:rPr>
      </w:pPr>
      <w:r w:rsidRPr="00993936">
        <w:rPr>
          <w:rFonts w:ascii="Arial" w:hAnsi="Arial" w:cs="Arial"/>
          <w:lang w:val="es-ES"/>
        </w:rPr>
        <w:t>** Solo pueden utilizarse lodos de depuradora que hayan sido previamente tratados.</w:t>
      </w:r>
    </w:p>
    <w:p w:rsidR="00412AFB" w:rsidRPr="00993936" w:rsidRDefault="00412AFB" w:rsidP="00394AEA">
      <w:pPr>
        <w:pStyle w:val="Sinespaciado"/>
        <w:jc w:val="both"/>
        <w:rPr>
          <w:rFonts w:ascii="Arial" w:hAnsi="Arial" w:cs="Arial"/>
          <w:lang w:val="es-ES" w:eastAsia="ca-ES"/>
        </w:rPr>
      </w:pPr>
      <w:r w:rsidRPr="00993936">
        <w:rPr>
          <w:rFonts w:ascii="Arial" w:hAnsi="Arial" w:cs="Arial"/>
          <w:vertAlign w:val="superscript"/>
          <w:lang w:val="es-ES" w:eastAsia="ca-ES"/>
        </w:rPr>
        <w:t xml:space="preserve">1 </w:t>
      </w:r>
      <w:r w:rsidRPr="00993936">
        <w:rPr>
          <w:rFonts w:ascii="Arial" w:hAnsi="Arial" w:cs="Arial"/>
          <w:lang w:val="es-ES"/>
        </w:rPr>
        <w:t>Muestra recogida de la nave, excepto en el caso de ponedoras que se ha recogido de la cinta transportadora.</w:t>
      </w:r>
    </w:p>
    <w:p w:rsidR="00412AFB" w:rsidRPr="00993936" w:rsidRDefault="00412AFB" w:rsidP="00394AEA">
      <w:pPr>
        <w:pStyle w:val="Sinespaciado"/>
        <w:jc w:val="both"/>
        <w:rPr>
          <w:rFonts w:ascii="Arial" w:hAnsi="Arial" w:cs="Arial"/>
          <w:lang w:val="es-ES"/>
        </w:rPr>
      </w:pPr>
      <w:r w:rsidRPr="00993936">
        <w:rPr>
          <w:rFonts w:ascii="Arial" w:hAnsi="Arial" w:cs="Arial"/>
          <w:vertAlign w:val="superscript"/>
          <w:lang w:val="es-ES" w:eastAsia="ca-ES"/>
        </w:rPr>
        <w:t xml:space="preserve">2 </w:t>
      </w:r>
      <w:r w:rsidRPr="00993936">
        <w:rPr>
          <w:rFonts w:ascii="Arial" w:hAnsi="Arial" w:cs="Arial"/>
          <w:lang w:val="es-ES"/>
        </w:rPr>
        <w:t>Muestra recogida del estercolero.</w:t>
      </w:r>
    </w:p>
    <w:p w:rsidR="00412AFB" w:rsidRPr="00993936" w:rsidRDefault="00412AFB" w:rsidP="00412AFB">
      <w:pPr>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br w:type="page"/>
      </w:r>
      <w:r w:rsidRPr="00993936">
        <w:rPr>
          <w:rFonts w:ascii="Arial" w:hAnsi="Arial" w:cs="Arial"/>
          <w:lang w:val="es-ES"/>
        </w:rPr>
        <w:lastRenderedPageBreak/>
        <w:t xml:space="preserve"> </w:t>
      </w:r>
    </w:p>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ANEXO 5</w:t>
      </w:r>
    </w:p>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6.1 Método Merrien-Keller para el cálculo del coeficiente de uniformidad de un sistema de riego</w:t>
      </w:r>
    </w:p>
    <w:p w:rsidR="00412AFB" w:rsidRPr="00993936" w:rsidRDefault="00412AFB" w:rsidP="00412AFB">
      <w:pPr>
        <w:jc w:val="both"/>
        <w:rPr>
          <w:rFonts w:ascii="Arial" w:hAnsi="Arial" w:cs="Arial"/>
          <w:b/>
          <w:lang w:val="es-ES"/>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412AFB" w:rsidRPr="00993936" w:rsidTr="00C8678E">
        <w:tc>
          <w:tcPr>
            <w:tcW w:w="496" w:type="dxa"/>
            <w:vMerge w:val="restart"/>
            <w:vAlign w:val="center"/>
          </w:tcPr>
          <w:p w:rsidR="00412AFB" w:rsidRPr="00993936" w:rsidRDefault="00412AFB" w:rsidP="00C8678E">
            <w:pPr>
              <w:rPr>
                <w:rFonts w:ascii="Arial" w:hAnsi="Arial" w:cs="Arial"/>
                <w:lang w:val="es-ES"/>
              </w:rPr>
            </w:pPr>
            <w:r w:rsidRPr="00993936">
              <w:rPr>
                <w:rFonts w:ascii="Arial" w:hAnsi="Arial" w:cs="Arial"/>
                <w:noProof/>
                <w:lang w:val="es-ES" w:eastAsia="es-ES"/>
              </w:rPr>
              <mc:AlternateContent>
                <mc:Choice Requires="wps">
                  <w:drawing>
                    <wp:anchor distT="0" distB="0" distL="114300" distR="114300" simplePos="0" relativeHeight="251754496" behindDoc="0" locked="0" layoutInCell="1" allowOverlap="1">
                      <wp:simplePos x="0" y="0"/>
                      <wp:positionH relativeFrom="column">
                        <wp:posOffset>522605</wp:posOffset>
                      </wp:positionH>
                      <wp:positionV relativeFrom="paragraph">
                        <wp:posOffset>231140</wp:posOffset>
                      </wp:positionV>
                      <wp:extent cx="365760" cy="0"/>
                      <wp:effectExtent l="8255" t="12065" r="6985" b="6985"/>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06607D7" id="Conector recto 2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8.2pt" to="69.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XyGgIAADM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"/>
                  </w:pict>
                </mc:Fallback>
              </mc:AlternateContent>
            </w:r>
            <w:r w:rsidRPr="00993936">
              <w:rPr>
                <w:rFonts w:ascii="Arial" w:hAnsi="Arial" w:cs="Arial"/>
                <w:lang w:val="es-ES"/>
              </w:rPr>
              <w:t>CU</w:t>
            </w:r>
          </w:p>
        </w:tc>
        <w:tc>
          <w:tcPr>
            <w:tcW w:w="283" w:type="dxa"/>
          </w:tcPr>
          <w:p w:rsidR="00412AFB" w:rsidRPr="00993936" w:rsidRDefault="00412AFB" w:rsidP="00C8678E">
            <w:pPr>
              <w:jc w:val="both"/>
              <w:rPr>
                <w:rFonts w:ascii="Arial" w:hAnsi="Arial" w:cs="Arial"/>
                <w:lang w:val="es-ES"/>
              </w:rPr>
            </w:pPr>
          </w:p>
        </w:tc>
        <w:tc>
          <w:tcPr>
            <w:tcW w:w="709" w:type="dxa"/>
          </w:tcPr>
          <w:p w:rsidR="00412AFB" w:rsidRPr="00993936" w:rsidRDefault="00412AFB" w:rsidP="00C8678E">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25 %</w:t>
            </w:r>
          </w:p>
        </w:tc>
        <w:tc>
          <w:tcPr>
            <w:tcW w:w="283" w:type="dxa"/>
          </w:tcPr>
          <w:p w:rsidR="00412AFB" w:rsidRPr="00993936" w:rsidRDefault="00412AFB" w:rsidP="00C8678E">
            <w:pPr>
              <w:jc w:val="both"/>
              <w:rPr>
                <w:rFonts w:ascii="Arial" w:hAnsi="Arial" w:cs="Arial"/>
                <w:lang w:val="es-ES"/>
              </w:rPr>
            </w:pPr>
          </w:p>
        </w:tc>
        <w:tc>
          <w:tcPr>
            <w:tcW w:w="4804"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r w:rsidR="00412AFB" w:rsidRPr="00993936" w:rsidTr="00C8678E">
        <w:trPr>
          <w:trHeight w:val="184"/>
        </w:trPr>
        <w:tc>
          <w:tcPr>
            <w:tcW w:w="496" w:type="dxa"/>
            <w:vMerge/>
          </w:tcPr>
          <w:p w:rsidR="00412AFB" w:rsidRPr="00993936" w:rsidRDefault="00412AFB" w:rsidP="00C8678E">
            <w:pPr>
              <w:jc w:val="both"/>
              <w:rPr>
                <w:rFonts w:ascii="Arial" w:hAnsi="Arial" w:cs="Arial"/>
                <w:lang w:val="es-ES"/>
              </w:rPr>
            </w:pPr>
          </w:p>
        </w:tc>
        <w:tc>
          <w:tcPr>
            <w:tcW w:w="283"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709" w:type="dxa"/>
          </w:tcPr>
          <w:p w:rsidR="00412AFB" w:rsidRPr="00993936" w:rsidRDefault="00412AFB" w:rsidP="00C8678E">
            <w:pPr>
              <w:rPr>
                <w:rFonts w:ascii="Arial" w:hAnsi="Arial" w:cs="Arial"/>
                <w:lang w:val="es-ES"/>
              </w:rPr>
            </w:pPr>
          </w:p>
        </w:tc>
        <w:tc>
          <w:tcPr>
            <w:tcW w:w="283" w:type="dxa"/>
          </w:tcPr>
          <w:p w:rsidR="00412AFB" w:rsidRPr="00993936" w:rsidRDefault="00412AFB" w:rsidP="00C8678E">
            <w:pPr>
              <w:jc w:val="both"/>
              <w:rPr>
                <w:rFonts w:ascii="Arial" w:hAnsi="Arial" w:cs="Arial"/>
                <w:lang w:val="es-ES"/>
              </w:rPr>
            </w:pPr>
            <w:r w:rsidRPr="00993936">
              <w:rPr>
                <w:rFonts w:ascii="Arial" w:hAnsi="Arial" w:cs="Arial"/>
                <w:lang w:val="es-ES"/>
              </w:rPr>
              <w:t>x</w:t>
            </w:r>
          </w:p>
        </w:tc>
        <w:tc>
          <w:tcPr>
            <w:tcW w:w="4804" w:type="dxa"/>
          </w:tcPr>
          <w:p w:rsidR="00412AFB" w:rsidRPr="00993936" w:rsidRDefault="00412AFB" w:rsidP="00C8678E">
            <w:pPr>
              <w:jc w:val="both"/>
              <w:rPr>
                <w:rFonts w:ascii="Arial" w:hAnsi="Arial" w:cs="Arial"/>
                <w:lang w:val="es-ES"/>
              </w:rPr>
            </w:pPr>
            <w:r w:rsidRPr="00993936">
              <w:rPr>
                <w:rFonts w:ascii="Arial" w:hAnsi="Arial" w:cs="Arial"/>
                <w:lang w:val="es-ES"/>
              </w:rPr>
              <w:t>100</w:t>
            </w: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r w:rsidR="00412AFB" w:rsidRPr="00993936" w:rsidTr="00C8678E">
        <w:tc>
          <w:tcPr>
            <w:tcW w:w="496" w:type="dxa"/>
            <w:vMerge/>
          </w:tcPr>
          <w:p w:rsidR="00412AFB" w:rsidRPr="00993936" w:rsidRDefault="00412AFB" w:rsidP="00C8678E">
            <w:pPr>
              <w:jc w:val="both"/>
              <w:rPr>
                <w:rFonts w:ascii="Arial" w:hAnsi="Arial" w:cs="Arial"/>
                <w:lang w:val="es-ES"/>
              </w:rPr>
            </w:pPr>
          </w:p>
        </w:tc>
        <w:tc>
          <w:tcPr>
            <w:tcW w:w="283" w:type="dxa"/>
          </w:tcPr>
          <w:p w:rsidR="00412AFB" w:rsidRPr="00993936" w:rsidRDefault="00412AFB" w:rsidP="00C8678E">
            <w:pPr>
              <w:jc w:val="both"/>
              <w:rPr>
                <w:rFonts w:ascii="Arial" w:hAnsi="Arial" w:cs="Arial"/>
                <w:lang w:val="es-ES"/>
              </w:rPr>
            </w:pPr>
          </w:p>
        </w:tc>
        <w:tc>
          <w:tcPr>
            <w:tcW w:w="709" w:type="dxa"/>
          </w:tcPr>
          <w:p w:rsidR="00412AFB" w:rsidRPr="00993936" w:rsidRDefault="00412AFB" w:rsidP="00C8678E">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3" w:type="dxa"/>
          </w:tcPr>
          <w:p w:rsidR="00412AFB" w:rsidRPr="00993936" w:rsidRDefault="00412AFB" w:rsidP="00C8678E">
            <w:pPr>
              <w:jc w:val="both"/>
              <w:rPr>
                <w:rFonts w:ascii="Arial" w:hAnsi="Arial" w:cs="Arial"/>
                <w:lang w:val="es-ES"/>
              </w:rPr>
            </w:pPr>
          </w:p>
        </w:tc>
        <w:tc>
          <w:tcPr>
            <w:tcW w:w="4804"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bl>
    <w:p w:rsidR="00412AFB" w:rsidRPr="00993936" w:rsidRDefault="00412AFB" w:rsidP="00412AFB">
      <w:pPr>
        <w:jc w:val="both"/>
        <w:rPr>
          <w:rFonts w:ascii="Arial" w:hAnsi="Arial" w:cs="Arial"/>
          <w:b/>
          <w:snapToGrid w:val="0"/>
          <w:lang w:val="es-E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412AFB" w:rsidRPr="00993936" w:rsidTr="00C8678E">
        <w:tc>
          <w:tcPr>
            <w:tcW w:w="779" w:type="dxa"/>
          </w:tcPr>
          <w:p w:rsidR="00412AFB" w:rsidRPr="00993936" w:rsidRDefault="00412AFB" w:rsidP="00C8678E">
            <w:pPr>
              <w:jc w:val="both"/>
              <w:rPr>
                <w:rFonts w:ascii="Arial" w:hAnsi="Arial" w:cs="Arial"/>
                <w:lang w:val="es-ES"/>
              </w:rPr>
            </w:pPr>
            <w:r w:rsidRPr="00993936">
              <w:rPr>
                <w:rFonts w:ascii="Arial" w:hAnsi="Arial" w:cs="Arial"/>
                <w:lang w:val="es-ES"/>
              </w:rPr>
              <w:t>CU</w:t>
            </w:r>
          </w:p>
        </w:tc>
        <w:tc>
          <w:tcPr>
            <w:tcW w:w="284"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8147" w:type="dxa"/>
          </w:tcPr>
          <w:p w:rsidR="00412AFB" w:rsidRPr="00993936" w:rsidRDefault="00412AFB" w:rsidP="00C8678E">
            <w:pPr>
              <w:jc w:val="both"/>
              <w:rPr>
                <w:rFonts w:ascii="Arial" w:hAnsi="Arial" w:cs="Arial"/>
                <w:lang w:val="es-ES"/>
              </w:rPr>
            </w:pPr>
            <w:r w:rsidRPr="00993936">
              <w:rPr>
                <w:rFonts w:ascii="Arial" w:hAnsi="Arial" w:cs="Arial"/>
                <w:lang w:val="es-ES"/>
              </w:rPr>
              <w:t>Coeficiente de uniformidad.</w:t>
            </w:r>
          </w:p>
        </w:tc>
      </w:tr>
      <w:tr w:rsidR="00412AFB" w:rsidRPr="00993936" w:rsidTr="00C8678E">
        <w:tc>
          <w:tcPr>
            <w:tcW w:w="779" w:type="dxa"/>
          </w:tcPr>
          <w:p w:rsidR="00412AFB" w:rsidRPr="00993936" w:rsidRDefault="00412AFB" w:rsidP="00C8678E">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25 %</w:t>
            </w:r>
          </w:p>
        </w:tc>
        <w:tc>
          <w:tcPr>
            <w:tcW w:w="284"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8147" w:type="dxa"/>
          </w:tcPr>
          <w:p w:rsidR="00412AFB" w:rsidRPr="00993936" w:rsidRDefault="00412AFB" w:rsidP="00C8678E">
            <w:pPr>
              <w:jc w:val="both"/>
              <w:outlineLvl w:val="0"/>
              <w:rPr>
                <w:rFonts w:ascii="Arial" w:hAnsi="Arial" w:cs="Arial"/>
                <w:lang w:val="es-ES"/>
              </w:rPr>
            </w:pPr>
            <w:r w:rsidRPr="00993936">
              <w:rPr>
                <w:rFonts w:ascii="Arial" w:hAnsi="Arial" w:cs="Arial"/>
                <w:lang w:val="es-ES"/>
              </w:rPr>
              <w:t>Media aritmética del caudal de descarga del 25 % de los emisores con caudal más reducido.</w:t>
            </w:r>
          </w:p>
        </w:tc>
      </w:tr>
      <w:tr w:rsidR="00412AFB" w:rsidRPr="00993936" w:rsidTr="00C8678E">
        <w:tc>
          <w:tcPr>
            <w:tcW w:w="779" w:type="dxa"/>
          </w:tcPr>
          <w:p w:rsidR="00412AFB" w:rsidRPr="00993936" w:rsidRDefault="00412AFB" w:rsidP="00C8678E">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4"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8147" w:type="dxa"/>
          </w:tcPr>
          <w:p w:rsidR="00412AFB" w:rsidRPr="00993936" w:rsidRDefault="00412AFB" w:rsidP="00C8678E">
            <w:pPr>
              <w:jc w:val="both"/>
              <w:rPr>
                <w:rFonts w:ascii="Arial" w:hAnsi="Arial" w:cs="Arial"/>
                <w:lang w:val="es-ES"/>
              </w:rPr>
            </w:pPr>
            <w:r w:rsidRPr="00993936">
              <w:rPr>
                <w:rFonts w:ascii="Arial" w:hAnsi="Arial" w:cs="Arial"/>
                <w:lang w:val="es-ES"/>
              </w:rPr>
              <w:t>Caudal medio de todos los emisores.</w:t>
            </w:r>
          </w:p>
        </w:tc>
      </w:tr>
      <w:tr w:rsidR="00412AFB" w:rsidRPr="00993936" w:rsidTr="00C8678E">
        <w:tc>
          <w:tcPr>
            <w:tcW w:w="779" w:type="dxa"/>
          </w:tcPr>
          <w:p w:rsidR="00412AFB" w:rsidRPr="00993936" w:rsidRDefault="00412AFB" w:rsidP="00C8678E">
            <w:pPr>
              <w:jc w:val="both"/>
              <w:rPr>
                <w:rFonts w:ascii="Arial" w:hAnsi="Arial" w:cs="Arial"/>
                <w:lang w:val="es-ES"/>
              </w:rPr>
            </w:pPr>
            <w:r w:rsidRPr="00993936">
              <w:rPr>
                <w:rFonts w:ascii="Arial" w:hAnsi="Arial" w:cs="Arial"/>
                <w:lang w:val="es-ES"/>
              </w:rPr>
              <w:t>n</w:t>
            </w:r>
          </w:p>
        </w:tc>
        <w:tc>
          <w:tcPr>
            <w:tcW w:w="284"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8147" w:type="dxa"/>
          </w:tcPr>
          <w:p w:rsidR="00412AFB" w:rsidRPr="00993936" w:rsidRDefault="00412AFB" w:rsidP="00C8678E">
            <w:pPr>
              <w:jc w:val="both"/>
              <w:rPr>
                <w:rFonts w:ascii="Arial" w:hAnsi="Arial" w:cs="Arial"/>
                <w:lang w:val="es-ES"/>
              </w:rPr>
            </w:pPr>
            <w:r w:rsidRPr="00993936">
              <w:rPr>
                <w:rFonts w:ascii="Arial" w:hAnsi="Arial" w:cs="Arial"/>
                <w:lang w:val="es-ES"/>
              </w:rPr>
              <w:t xml:space="preserve">Número de unidades o puntos de control (Se recomienda que </w:t>
            </w:r>
            <w:r w:rsidR="003237E7" w:rsidRPr="00993936">
              <w:rPr>
                <w:rFonts w:ascii="Arial" w:hAnsi="Arial" w:cs="Arial"/>
                <w:lang w:val="es-ES"/>
              </w:rPr>
              <w:t>n ≥ 16</w:t>
            </w:r>
            <w:r w:rsidRPr="00993936">
              <w:rPr>
                <w:rFonts w:ascii="Arial" w:hAnsi="Arial" w:cs="Arial"/>
                <w:lang w:val="es-ES"/>
              </w:rPr>
              <w:t>). En caso de que la unidad de control tenga más de un emisor, el caudal total que hay que considerar será la suma del caudal de todos los emisores que constituyen la unidad.</w:t>
            </w:r>
          </w:p>
        </w:tc>
      </w:tr>
    </w:tbl>
    <w:p w:rsidR="00412AFB" w:rsidRPr="00993936" w:rsidRDefault="00412AFB" w:rsidP="00412AFB">
      <w:pPr>
        <w:pStyle w:val="Ttulo4"/>
        <w:rPr>
          <w:rFonts w:ascii="Arial" w:hAnsi="Arial" w:cs="Arial"/>
          <w:b/>
          <w:i w:val="0"/>
          <w:color w:val="auto"/>
          <w:lang w:val="es-ES"/>
        </w:rPr>
      </w:pPr>
    </w:p>
    <w:p w:rsidR="00412AFB" w:rsidRPr="00993936" w:rsidRDefault="00412AFB" w:rsidP="00412AFB">
      <w:pPr>
        <w:pStyle w:val="Ttulo4"/>
        <w:rPr>
          <w:rFonts w:ascii="Arial" w:hAnsi="Arial" w:cs="Arial"/>
          <w:b/>
          <w:i w:val="0"/>
          <w:color w:val="auto"/>
          <w:lang w:val="es-ES"/>
        </w:rPr>
      </w:pPr>
    </w:p>
    <w:p w:rsidR="00412AFB" w:rsidRPr="00993936" w:rsidRDefault="00412AFB" w:rsidP="00412AFB">
      <w:pPr>
        <w:rPr>
          <w:rFonts w:ascii="Arial" w:hAnsi="Arial" w:cs="Arial"/>
          <w:lang w:val="es-ES"/>
        </w:rPr>
      </w:pPr>
    </w:p>
    <w:p w:rsidR="00412AFB" w:rsidRPr="00993936" w:rsidRDefault="00412AFB" w:rsidP="00412AFB">
      <w:pPr>
        <w:jc w:val="center"/>
        <w:rPr>
          <w:rFonts w:ascii="Arial" w:hAnsi="Arial" w:cs="Arial"/>
          <w:lang w:val="es-ES"/>
        </w:rPr>
      </w:pPr>
    </w:p>
    <w:p w:rsidR="00412AFB" w:rsidRPr="00993936" w:rsidRDefault="00412AFB" w:rsidP="00412AFB">
      <w:pPr>
        <w:pStyle w:val="Textodebloque"/>
        <w:ind w:left="0"/>
        <w:jc w:val="both"/>
        <w:rPr>
          <w:rFonts w:cs="Arial"/>
          <w:sz w:val="22"/>
          <w:szCs w:val="22"/>
          <w:lang w:val="es-ES"/>
        </w:rPr>
      </w:pPr>
    </w:p>
    <w:p w:rsidR="00412AFB" w:rsidRPr="00993936" w:rsidRDefault="00412AFB" w:rsidP="00412AFB">
      <w:pPr>
        <w:jc w:val="both"/>
        <w:rPr>
          <w:rFonts w:ascii="Arial" w:hAnsi="Arial" w:cs="Arial"/>
          <w:lang w:val="es-ES"/>
        </w:rPr>
      </w:pPr>
    </w:p>
    <w:p w:rsidR="00412AFB" w:rsidRPr="00993936" w:rsidRDefault="00412AFB" w:rsidP="009D1A2D">
      <w:pPr>
        <w:pStyle w:val="Prrafodelista"/>
        <w:numPr>
          <w:ilvl w:val="0"/>
          <w:numId w:val="24"/>
        </w:numPr>
        <w:jc w:val="both"/>
        <w:rPr>
          <w:rFonts w:ascii="Arial" w:hAnsi="Arial" w:cs="Arial"/>
          <w:lang w:val="es-ES"/>
        </w:rPr>
      </w:pPr>
      <w:r w:rsidRPr="00993936">
        <w:rPr>
          <w:rFonts w:ascii="Arial" w:hAnsi="Arial" w:cs="Arial"/>
          <w:lang w:val="es-ES"/>
        </w:rPr>
        <w:br w:type="page"/>
      </w:r>
    </w:p>
    <w:p w:rsidR="00412AFB" w:rsidRPr="00993936" w:rsidRDefault="00412AFB" w:rsidP="00412AFB">
      <w:pPr>
        <w:jc w:val="both"/>
        <w:rPr>
          <w:rFonts w:ascii="Arial" w:hAnsi="Arial" w:cs="Arial"/>
          <w:b/>
          <w:sz w:val="24"/>
          <w:szCs w:val="24"/>
          <w:lang w:val="es-ES"/>
        </w:rPr>
      </w:pPr>
      <w:r w:rsidRPr="00993936">
        <w:rPr>
          <w:rFonts w:ascii="Arial" w:hAnsi="Arial" w:cs="Arial"/>
          <w:b/>
          <w:sz w:val="24"/>
          <w:szCs w:val="24"/>
          <w:lang w:val="es-ES"/>
        </w:rPr>
        <w:lastRenderedPageBreak/>
        <w:t>Anexo V. Norma técnica de producción integrada de fruta de pepita</w:t>
      </w:r>
    </w:p>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Definiciones</w:t>
      </w:r>
      <w:r w:rsidRPr="00993936">
        <w:rPr>
          <w:rFonts w:ascii="Arial" w:hAnsi="Arial" w:cs="Arial"/>
          <w:b/>
          <w:lang w:val="es-ES"/>
        </w:rPr>
        <w:tab/>
      </w:r>
    </w:p>
    <w:p w:rsidR="00412AFB" w:rsidRPr="00993936" w:rsidRDefault="00412AFB" w:rsidP="00412AFB">
      <w:pPr>
        <w:jc w:val="both"/>
        <w:rPr>
          <w:rFonts w:ascii="Arial" w:hAnsi="Arial" w:cs="Arial"/>
          <w:lang w:val="es-ES"/>
        </w:rPr>
      </w:pPr>
      <w:r w:rsidRPr="00993936">
        <w:rPr>
          <w:rFonts w:ascii="Arial" w:hAnsi="Arial" w:cs="Arial"/>
          <w:lang w:val="es-ES"/>
        </w:rPr>
        <w:t>A efectos de esta norma, se entenderá por:</w:t>
      </w:r>
    </w:p>
    <w:p w:rsidR="00412AFB" w:rsidRPr="00993936" w:rsidRDefault="00412AFB" w:rsidP="00412AFB">
      <w:pPr>
        <w:jc w:val="both"/>
        <w:rPr>
          <w:rFonts w:ascii="Arial" w:hAnsi="Arial" w:cs="Arial"/>
          <w:lang w:val="es-ES"/>
        </w:rPr>
      </w:pPr>
      <w:r w:rsidRPr="00993936">
        <w:rPr>
          <w:rFonts w:ascii="Arial" w:hAnsi="Arial" w:cs="Arial"/>
          <w:i/>
          <w:lang w:val="es-ES"/>
        </w:rPr>
        <w:t xml:space="preserve">Agrupación de producción integrada: </w:t>
      </w:r>
      <w:r w:rsidRPr="00993936">
        <w:rPr>
          <w:rFonts w:ascii="Arial" w:hAnsi="Arial" w:cs="Arial"/>
          <w:lang w:val="es-ES"/>
        </w:rPr>
        <w:t>aquella agrupación de personas operadoras constituida en virtud de cualquier fórmula jurídica o integrada en otra agrupación previamente constituida y reconocida por la autoridad competente con el objeto de obtener productos vegetales bajo los requisitos de producción integrada para ser comercializados.</w:t>
      </w:r>
    </w:p>
    <w:p w:rsidR="00412AFB" w:rsidRPr="00993936" w:rsidRDefault="00412AFB" w:rsidP="00412AFB">
      <w:pPr>
        <w:jc w:val="both"/>
        <w:rPr>
          <w:rFonts w:ascii="Arial" w:hAnsi="Arial" w:cs="Arial"/>
          <w:lang w:val="es-ES"/>
        </w:rPr>
      </w:pPr>
      <w:r w:rsidRPr="00993936">
        <w:rPr>
          <w:rFonts w:ascii="Arial" w:hAnsi="Arial" w:cs="Arial"/>
          <w:i/>
          <w:lang w:val="es-ES"/>
        </w:rPr>
        <w:t xml:space="preserve">Análisis de peligros y puntos de control críticos (APPCC): </w:t>
      </w:r>
      <w:r w:rsidR="00671C98" w:rsidRPr="00993936">
        <w:rPr>
          <w:rFonts w:ascii="Arial" w:hAnsi="Arial" w:cs="Arial"/>
          <w:lang w:val="es-ES"/>
        </w:rPr>
        <w:t xml:space="preserve">enfoque sistemático de </w:t>
      </w:r>
      <w:r w:rsidRPr="00993936">
        <w:rPr>
          <w:rFonts w:ascii="Arial" w:hAnsi="Arial" w:cs="Arial"/>
          <w:lang w:val="es-ES"/>
        </w:rPr>
        <w:t xml:space="preserve"> base científica que permite identificar riesgos específicos y medidas para el control, con el fin de asegurar la inocuidad de los alimentos. Es un instrumento para evaluar los riesgos y establecer sistemas de control que se orienten hacia la prevención en lugar de fundamentarse en el análisis del producto final.</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 diferentes que vive en un determinado ecosistema.</w:t>
      </w:r>
    </w:p>
    <w:p w:rsidR="00412AFB" w:rsidRPr="00993936" w:rsidRDefault="00412AFB" w:rsidP="00412AFB">
      <w:pPr>
        <w:jc w:val="both"/>
        <w:rPr>
          <w:rFonts w:ascii="Arial" w:hAnsi="Arial" w:cs="Arial"/>
          <w:lang w:val="es-ES"/>
        </w:rPr>
      </w:pPr>
      <w:r w:rsidRPr="00993936">
        <w:rPr>
          <w:rFonts w:ascii="Arial" w:hAnsi="Arial" w:cs="Arial"/>
          <w:i/>
          <w:lang w:val="es-ES"/>
        </w:rPr>
        <w:t xml:space="preserve">Buenas prácticas fitosanitarias: </w:t>
      </w:r>
      <w:r w:rsidRPr="00993936">
        <w:rPr>
          <w:rFonts w:ascii="Arial" w:hAnsi="Arial" w:cs="Arial"/>
          <w:lang w:val="es-ES"/>
        </w:rPr>
        <w:t>utilizar productos fitosanitarios y de otros medios de defensa fitosanitaria bajo las condiciones de uso autorizadas.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Central hortofrutícola: </w:t>
      </w:r>
      <w:r w:rsidRPr="00993936">
        <w:rPr>
          <w:rFonts w:ascii="Arial" w:hAnsi="Arial" w:cs="Arial"/>
          <w:lang w:val="es-ES"/>
        </w:rPr>
        <w:t>instalación o conjunto de instalaciones donde se reciben, manipulan, almacenan, envasan y expiden frutas y hortalizas.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Coeficiente de uniformidad: </w:t>
      </w:r>
      <w:r w:rsidRPr="00993936">
        <w:rPr>
          <w:rFonts w:ascii="Arial" w:hAnsi="Arial" w:cs="Arial"/>
          <w:lang w:val="es-ES"/>
        </w:rPr>
        <w:t xml:space="preserve">valor obtenido de aplicar una fórmula que indica la uniformidad en la distribución del agua aplicada por el sistema de riego. </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productos vegetales.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Control o lucha integrada: </w:t>
      </w:r>
      <w:r w:rsidRPr="00993936">
        <w:rPr>
          <w:rFonts w:ascii="Arial" w:hAnsi="Arial" w:cs="Arial"/>
          <w:lang w:val="es-ES"/>
        </w:rPr>
        <w:t>la aplicación racional de una combinación de medidas biológicas, físicas, biotecnológicas, químicas, de cultivo o de selección de vegetales, de modo que la utilización de productos fitosanitarios se limita al mínimo necesario para controlar las plagas.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Criterio de intervención: </w:t>
      </w:r>
      <w:r w:rsidRPr="00993936">
        <w:rPr>
          <w:rFonts w:ascii="Arial" w:hAnsi="Arial" w:cs="Arial"/>
          <w:lang w:val="es-ES"/>
        </w:rPr>
        <w:t>conjunto de condiciones que permiten justificar la realización de un tratamiento contra una plaga o agente patógeno.</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Cultivo: </w:t>
      </w:r>
      <w:r w:rsidRPr="00993936">
        <w:rPr>
          <w:rFonts w:ascii="Arial" w:hAnsi="Arial" w:cs="Arial"/>
          <w:lang w:val="es-ES"/>
        </w:rPr>
        <w:t>para cada especie, la totalidad de la producción que gestiona un agricultor</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i/>
          <w:lang w:val="es-ES"/>
        </w:rPr>
        <w:t xml:space="preserve">Ecosistema: </w:t>
      </w:r>
      <w:r w:rsidRPr="00993936">
        <w:rPr>
          <w:rFonts w:ascii="Arial" w:hAnsi="Arial" w:cs="Arial"/>
          <w:lang w:val="es-ES"/>
        </w:rPr>
        <w:t>sistema formado por el conjunto de seres vivos presentes en un lugar determinado y el medio ambiente que les es propio.</w:t>
      </w:r>
    </w:p>
    <w:p w:rsidR="00412AFB" w:rsidRPr="00993936" w:rsidRDefault="00412AFB" w:rsidP="00412AFB">
      <w:pPr>
        <w:jc w:val="both"/>
        <w:rPr>
          <w:rFonts w:ascii="Arial" w:hAnsi="Arial" w:cs="Arial"/>
          <w:lang w:val="es-ES"/>
        </w:rPr>
      </w:pPr>
      <w:r w:rsidRPr="00993936">
        <w:rPr>
          <w:rFonts w:ascii="Arial" w:hAnsi="Arial" w:cs="Arial"/>
          <w:i/>
          <w:lang w:val="es-ES"/>
        </w:rPr>
        <w:t xml:space="preserve">Enemigo natural: </w:t>
      </w:r>
      <w:r w:rsidRPr="00993936">
        <w:rPr>
          <w:rFonts w:ascii="Arial" w:hAnsi="Arial" w:cs="Arial"/>
          <w:lang w:val="es-ES"/>
        </w:rPr>
        <w:t>insecto o ácaro que actúa como agente de control biológico interaccionando con las plagas del cultivo, depredándolas o parasitándolas.</w:t>
      </w:r>
    </w:p>
    <w:p w:rsidR="00412AFB" w:rsidRPr="00993936" w:rsidRDefault="00412AFB" w:rsidP="00412AFB">
      <w:pPr>
        <w:jc w:val="both"/>
        <w:rPr>
          <w:rFonts w:ascii="Arial" w:hAnsi="Arial" w:cs="Arial"/>
          <w:lang w:val="es-ES"/>
        </w:rPr>
      </w:pPr>
      <w:r w:rsidRPr="00993936">
        <w:rPr>
          <w:rFonts w:ascii="Arial" w:hAnsi="Arial" w:cs="Arial"/>
          <w:i/>
          <w:lang w:val="es-ES"/>
        </w:rPr>
        <w:t xml:space="preserve">Entidades de certificación: </w:t>
      </w:r>
      <w:r w:rsidRPr="00993936">
        <w:rPr>
          <w:rFonts w:ascii="Arial" w:hAnsi="Arial" w:cs="Arial"/>
          <w:lang w:val="es-ES"/>
        </w:rPr>
        <w:t xml:space="preserve">son aquellas entidades acreditadas por la Entidad Nacional de Acreditación (ENAC) para realizar las funciones de control y certificación, a las que deberá someterse la producción para los productos obtenidos puedan ser diferenciados con un distintivo de garantía de producción integrada, de acuerdo con el Decreto 241/2002 (DOGC núm. 3744, de 21.10.2002) o, en su caso, las acreditadas </w:t>
      </w:r>
      <w:r w:rsidRPr="00993936">
        <w:rPr>
          <w:rFonts w:ascii="Arial" w:hAnsi="Arial" w:cs="Arial"/>
          <w:lang w:val="es-ES"/>
        </w:rPr>
        <w:lastRenderedPageBreak/>
        <w:t>por cualquier otro organismo acreditación firmante del acuerdo multilateral de reconocimiento de la Cooperación Europea para la Acreditación (EA).</w:t>
      </w:r>
    </w:p>
    <w:p w:rsidR="00412AFB" w:rsidRPr="00993936" w:rsidRDefault="00412AFB" w:rsidP="00412AFB">
      <w:pPr>
        <w:jc w:val="both"/>
        <w:rPr>
          <w:rFonts w:ascii="Arial" w:hAnsi="Arial" w:cs="Arial"/>
          <w:lang w:val="es-ES"/>
        </w:rPr>
      </w:pPr>
      <w:r w:rsidRPr="00993936">
        <w:rPr>
          <w:rFonts w:ascii="Arial" w:hAnsi="Arial" w:cs="Arial"/>
          <w:i/>
          <w:lang w:val="es-ES"/>
        </w:rPr>
        <w:t xml:space="preserve">Especie mejoradora: </w:t>
      </w:r>
      <w:r w:rsidRPr="00993936">
        <w:rPr>
          <w:rFonts w:ascii="Arial" w:hAnsi="Arial" w:cs="Arial"/>
          <w:lang w:val="es-ES"/>
        </w:rPr>
        <w:t>especie vegetal, normalmente gramíneas o leguminosas, que por sus características biológicas mejoran las propiedades físico-químicas del suelo durante su cultivo.</w:t>
      </w:r>
    </w:p>
    <w:p w:rsidR="00412AFB" w:rsidRPr="00993936" w:rsidRDefault="00412AFB" w:rsidP="00412AFB">
      <w:pPr>
        <w:jc w:val="both"/>
        <w:rPr>
          <w:rFonts w:ascii="Arial" w:hAnsi="Arial" w:cs="Arial"/>
          <w:lang w:val="es-ES"/>
        </w:rPr>
      </w:pPr>
      <w:r w:rsidRPr="00993936">
        <w:rPr>
          <w:rFonts w:ascii="Arial" w:hAnsi="Arial" w:cs="Arial"/>
          <w:i/>
          <w:lang w:val="es-ES"/>
        </w:rPr>
        <w:t xml:space="preserve">Etiquetado: </w:t>
      </w:r>
      <w:r w:rsidRPr="00993936">
        <w:rPr>
          <w:rFonts w:ascii="Arial" w:hAnsi="Arial" w:cs="Arial"/>
          <w:lang w:val="es-ES"/>
        </w:rPr>
        <w:t>todas las menciones, indicaciones, identificaciones de fábrica o de comercio, imágenes o signos que figuren en los envases, documentos, letreros, etiquetas, argollas o collarines que acompañen o se refieran a productos que prevé el Decreto 241/2002.</w:t>
      </w:r>
    </w:p>
    <w:p w:rsidR="00412AFB" w:rsidRPr="00993936" w:rsidRDefault="00412AFB" w:rsidP="00412AFB">
      <w:pPr>
        <w:jc w:val="both"/>
        <w:rPr>
          <w:rFonts w:ascii="Arial" w:hAnsi="Arial" w:cs="Arial"/>
          <w:lang w:val="es-ES"/>
        </w:rPr>
      </w:pPr>
      <w:r w:rsidRPr="00993936">
        <w:rPr>
          <w:rFonts w:ascii="Arial" w:hAnsi="Arial" w:cs="Arial"/>
          <w:i/>
          <w:lang w:val="es-ES"/>
        </w:rPr>
        <w:t xml:space="preserve">Explotación: </w:t>
      </w:r>
      <w:r w:rsidRPr="00993936">
        <w:rPr>
          <w:rFonts w:ascii="Arial" w:hAnsi="Arial" w:cs="Arial"/>
          <w:lang w:val="es-ES"/>
        </w:rPr>
        <w:t>conjunto de bienes productivos que dan origen a una actividad económica.</w:t>
      </w:r>
    </w:p>
    <w:p w:rsidR="00412AFB" w:rsidRPr="00993936" w:rsidRDefault="00412AFB" w:rsidP="00412AFB">
      <w:pPr>
        <w:jc w:val="both"/>
        <w:rPr>
          <w:rFonts w:ascii="Arial" w:hAnsi="Arial" w:cs="Arial"/>
          <w:lang w:val="es-ES"/>
        </w:rPr>
      </w:pPr>
      <w:r w:rsidRPr="00993936">
        <w:rPr>
          <w:rFonts w:ascii="Arial" w:hAnsi="Arial" w:cs="Arial"/>
          <w:i/>
          <w:lang w:val="es-ES"/>
        </w:rPr>
        <w:t xml:space="preserve">Fauna auxiliar: </w:t>
      </w:r>
      <w:r w:rsidRPr="00993936">
        <w:rPr>
          <w:rFonts w:ascii="Arial" w:hAnsi="Arial" w:cs="Arial"/>
          <w:lang w:val="es-ES"/>
        </w:rPr>
        <w:t>véase enemigo natural</w:t>
      </w:r>
    </w:p>
    <w:p w:rsidR="00412AFB" w:rsidRPr="00993936" w:rsidRDefault="00412AFB" w:rsidP="00412AFB">
      <w:pPr>
        <w:jc w:val="both"/>
        <w:rPr>
          <w:rFonts w:ascii="Arial" w:hAnsi="Arial" w:cs="Arial"/>
          <w:lang w:val="es-ES"/>
        </w:rPr>
      </w:pPr>
      <w:r w:rsidRPr="00993936">
        <w:rPr>
          <w:rFonts w:ascii="Arial" w:hAnsi="Arial" w:cs="Arial"/>
          <w:i/>
          <w:lang w:val="es-ES"/>
        </w:rPr>
        <w:t xml:space="preserve">Fertirrigación: </w:t>
      </w:r>
      <w:r w:rsidRPr="00993936">
        <w:rPr>
          <w:rFonts w:ascii="Arial" w:hAnsi="Arial" w:cs="Arial"/>
          <w:lang w:val="es-ES"/>
        </w:rPr>
        <w:t>técnica de aplicación de abonos químicos en disolución acuosa mediante el agua de riego.</w:t>
      </w:r>
    </w:p>
    <w:p w:rsidR="00412AFB" w:rsidRPr="00993936" w:rsidRDefault="00412AFB" w:rsidP="00412AFB">
      <w:pPr>
        <w:jc w:val="both"/>
        <w:rPr>
          <w:rFonts w:ascii="Arial" w:hAnsi="Arial" w:cs="Arial"/>
          <w:lang w:val="es-ES"/>
        </w:rPr>
      </w:pPr>
      <w:r w:rsidRPr="00993936">
        <w:rPr>
          <w:rFonts w:ascii="Arial" w:hAnsi="Arial" w:cs="Arial"/>
          <w:i/>
          <w:lang w:val="es-ES"/>
        </w:rPr>
        <w:t xml:space="preserve">Fruta para consumir en fresco: </w:t>
      </w:r>
      <w:r w:rsidRPr="00993936">
        <w:rPr>
          <w:rFonts w:ascii="Arial" w:hAnsi="Arial" w:cs="Arial"/>
          <w:lang w:val="es-ES"/>
        </w:rPr>
        <w:t xml:space="preserve">aquella que se comercializa en fresco, lo que supone que después de ser recolectada no ha sufrido procesado, a excepción de las operaciones de limpieza, pelado, cortado y/o envasado. </w:t>
      </w:r>
    </w:p>
    <w:p w:rsidR="00412AFB" w:rsidRPr="00993936" w:rsidRDefault="00412AFB" w:rsidP="00412AFB">
      <w:pPr>
        <w:jc w:val="both"/>
        <w:rPr>
          <w:rFonts w:ascii="Arial" w:hAnsi="Arial" w:cs="Arial"/>
          <w:lang w:val="es-ES"/>
        </w:rPr>
      </w:pPr>
      <w:r w:rsidRPr="00993936">
        <w:rPr>
          <w:rFonts w:ascii="Arial" w:hAnsi="Arial" w:cs="Arial"/>
          <w:i/>
          <w:lang w:val="es-ES"/>
        </w:rPr>
        <w:t xml:space="preserve">Herbigación: </w:t>
      </w:r>
      <w:r w:rsidRPr="00993936">
        <w:rPr>
          <w:rFonts w:ascii="Arial" w:hAnsi="Arial" w:cs="Arial"/>
          <w:lang w:val="es-ES"/>
        </w:rPr>
        <w:t>Aplicación de herbicidas a través de las instalaciones de riego localizado.</w:t>
      </w:r>
    </w:p>
    <w:p w:rsidR="00412AFB" w:rsidRPr="00993936" w:rsidRDefault="00412AFB" w:rsidP="00412AFB">
      <w:pPr>
        <w:jc w:val="both"/>
        <w:rPr>
          <w:rFonts w:ascii="Arial" w:hAnsi="Arial" w:cs="Arial"/>
          <w:lang w:val="es-ES"/>
        </w:rPr>
      </w:pPr>
      <w:r w:rsidRPr="00993936">
        <w:rPr>
          <w:rFonts w:ascii="Arial" w:hAnsi="Arial" w:cs="Arial"/>
          <w:i/>
          <w:lang w:val="es-ES"/>
        </w:rPr>
        <w:t xml:space="preserve">Método de Merrien-Keller: </w:t>
      </w:r>
      <w:r w:rsidRPr="00993936">
        <w:rPr>
          <w:rFonts w:ascii="Arial" w:hAnsi="Arial" w:cs="Arial"/>
          <w:lang w:val="es-ES"/>
        </w:rPr>
        <w:t>método de cálculo del coeficiente de uniformidad de un sistema de riego, expresado por la siguiente fórmula:</w:t>
      </w:r>
      <w:r w:rsidR="00E03B3B" w:rsidRPr="00993936">
        <w:rPr>
          <w:rFonts w:ascii="Arial" w:hAnsi="Arial" w:cs="Arial"/>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412AFB" w:rsidRPr="00993936" w:rsidTr="00C8678E">
        <w:trPr>
          <w:cantSplit/>
        </w:trPr>
        <w:tc>
          <w:tcPr>
            <w:tcW w:w="921" w:type="dxa"/>
            <w:vMerge w:val="restart"/>
            <w:tcBorders>
              <w:top w:val="nil"/>
              <w:left w:val="nil"/>
              <w:bottom w:val="nil"/>
              <w:right w:val="nil"/>
            </w:tcBorders>
            <w:vAlign w:val="center"/>
          </w:tcPr>
          <w:p w:rsidR="00412AFB" w:rsidRPr="00993936" w:rsidRDefault="00412AFB" w:rsidP="00C8678E">
            <w:pPr>
              <w:jc w:val="both"/>
              <w:rPr>
                <w:rFonts w:ascii="Arial" w:hAnsi="Arial" w:cs="Arial"/>
                <w:lang w:val="es-ES"/>
              </w:rPr>
            </w:pPr>
            <w:r w:rsidRPr="00993936">
              <w:rPr>
                <w:rFonts w:ascii="Arial" w:hAnsi="Arial" w:cs="Arial"/>
                <w:lang w:val="es-ES"/>
              </w:rPr>
              <w:t>CU</w:t>
            </w:r>
            <w:r w:rsidR="00E03B3B" w:rsidRPr="00993936">
              <w:rPr>
                <w:rFonts w:ascii="Arial" w:hAnsi="Arial" w:cs="Arial"/>
                <w:lang w:val="es-ES"/>
              </w:rPr>
              <w:t xml:space="preserve"> </w:t>
            </w:r>
            <w:r w:rsidRPr="00993936">
              <w:rPr>
                <w:rFonts w:ascii="Arial" w:hAnsi="Arial" w:cs="Arial"/>
                <w:lang w:val="es-ES"/>
              </w:rPr>
              <w:t xml:space="preserve">= </w:t>
            </w:r>
          </w:p>
        </w:tc>
        <w:tc>
          <w:tcPr>
            <w:tcW w:w="992" w:type="dxa"/>
            <w:tcBorders>
              <w:top w:val="nil"/>
              <w:left w:val="nil"/>
              <w:bottom w:val="single" w:sz="4" w:space="0" w:color="auto"/>
              <w:right w:val="nil"/>
            </w:tcBorders>
          </w:tcPr>
          <w:p w:rsidR="00412AFB" w:rsidRPr="00993936" w:rsidRDefault="00412AFB" w:rsidP="00C8678E">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25 %</w:t>
            </w:r>
          </w:p>
        </w:tc>
        <w:tc>
          <w:tcPr>
            <w:tcW w:w="992" w:type="dxa"/>
            <w:vMerge w:val="restart"/>
            <w:tcBorders>
              <w:top w:val="nil"/>
              <w:left w:val="nil"/>
              <w:bottom w:val="nil"/>
              <w:right w:val="nil"/>
            </w:tcBorders>
            <w:vAlign w:val="center"/>
          </w:tcPr>
          <w:p w:rsidR="00412AFB" w:rsidRPr="00993936" w:rsidRDefault="00412AFB" w:rsidP="00C8678E">
            <w:pPr>
              <w:jc w:val="both"/>
              <w:rPr>
                <w:rFonts w:ascii="Arial" w:hAnsi="Arial" w:cs="Arial"/>
                <w:lang w:val="es-ES"/>
              </w:rPr>
            </w:pPr>
            <w:r w:rsidRPr="00993936">
              <w:rPr>
                <w:rFonts w:ascii="Arial" w:hAnsi="Arial" w:cs="Arial"/>
                <w:lang w:val="es-ES"/>
              </w:rPr>
              <w:t xml:space="preserve"> × 100</w:t>
            </w:r>
          </w:p>
        </w:tc>
      </w:tr>
      <w:tr w:rsidR="00412AFB" w:rsidRPr="00993936" w:rsidTr="00C8678E">
        <w:trPr>
          <w:cantSplit/>
        </w:trPr>
        <w:tc>
          <w:tcPr>
            <w:tcW w:w="921" w:type="dxa"/>
            <w:vMerge/>
            <w:tcBorders>
              <w:top w:val="nil"/>
              <w:left w:val="nil"/>
              <w:bottom w:val="nil"/>
              <w:right w:val="nil"/>
            </w:tcBorders>
          </w:tcPr>
          <w:p w:rsidR="00412AFB" w:rsidRPr="00993936" w:rsidRDefault="00412AFB" w:rsidP="00C8678E">
            <w:pPr>
              <w:jc w:val="both"/>
              <w:rPr>
                <w:rFonts w:ascii="Arial" w:hAnsi="Arial" w:cs="Arial"/>
                <w:lang w:val="es-ES"/>
              </w:rPr>
            </w:pPr>
          </w:p>
        </w:tc>
        <w:tc>
          <w:tcPr>
            <w:tcW w:w="992" w:type="dxa"/>
            <w:tcBorders>
              <w:top w:val="single" w:sz="4" w:space="0" w:color="auto"/>
              <w:left w:val="nil"/>
              <w:bottom w:val="nil"/>
              <w:right w:val="nil"/>
            </w:tcBorders>
          </w:tcPr>
          <w:p w:rsidR="00412AFB" w:rsidRPr="00993936" w:rsidRDefault="00412AFB" w:rsidP="00C8678E">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n</w:t>
            </w:r>
          </w:p>
        </w:tc>
        <w:tc>
          <w:tcPr>
            <w:tcW w:w="992" w:type="dxa"/>
            <w:vMerge/>
            <w:tcBorders>
              <w:top w:val="nil"/>
              <w:left w:val="nil"/>
              <w:bottom w:val="nil"/>
              <w:right w:val="nil"/>
            </w:tcBorders>
          </w:tcPr>
          <w:p w:rsidR="00412AFB" w:rsidRPr="00993936" w:rsidRDefault="00412AFB" w:rsidP="00C8678E">
            <w:pPr>
              <w:jc w:val="both"/>
              <w:rPr>
                <w:rFonts w:ascii="Arial" w:hAnsi="Arial" w:cs="Arial"/>
                <w:lang w:val="es-ES"/>
              </w:rPr>
            </w:pPr>
          </w:p>
        </w:tc>
      </w:tr>
    </w:tbl>
    <w:p w:rsidR="00412AFB" w:rsidRPr="00993936" w:rsidRDefault="00412AFB" w:rsidP="00412AFB">
      <w:pPr>
        <w:jc w:val="both"/>
        <w:rPr>
          <w:rFonts w:ascii="Arial" w:hAnsi="Arial" w:cs="Arial"/>
          <w:lang w:val="es-ES"/>
        </w:rPr>
      </w:pPr>
      <w:r w:rsidRPr="00993936">
        <w:rPr>
          <w:rFonts w:ascii="Arial" w:hAnsi="Arial" w:cs="Arial"/>
          <w:lang w:val="es-ES"/>
        </w:rPr>
        <w:t>donde Q</w:t>
      </w:r>
      <w:r w:rsidRPr="00993936">
        <w:rPr>
          <w:rFonts w:ascii="Arial" w:hAnsi="Arial" w:cs="Arial"/>
          <w:vertAlign w:val="subscript"/>
          <w:lang w:val="es-ES"/>
        </w:rPr>
        <w:t xml:space="preserve">25 % </w:t>
      </w:r>
      <w:r w:rsidRPr="00993936">
        <w:rPr>
          <w:rFonts w:ascii="Arial" w:hAnsi="Arial" w:cs="Arial"/>
          <w:lang w:val="es-ES"/>
        </w:rPr>
        <w:t>es la media del caudal de la descarga del 25 % de los emisores del caudal más reducido; Q</w:t>
      </w:r>
      <w:r w:rsidRPr="00993936">
        <w:rPr>
          <w:rFonts w:ascii="Arial" w:hAnsi="Arial" w:cs="Arial"/>
          <w:vertAlign w:val="subscript"/>
          <w:lang w:val="es-ES"/>
        </w:rPr>
        <w:t>n</w:t>
      </w:r>
      <w:r w:rsidRPr="00993936">
        <w:rPr>
          <w:rFonts w:ascii="Arial" w:hAnsi="Arial" w:cs="Arial"/>
          <w:lang w:val="es-ES"/>
        </w:rPr>
        <w:t xml:space="preserve"> es el caudal medio de todos los emisores y n, el número de unidades o puntos de control (se recomienda que </w:t>
      </w:r>
      <w:r w:rsidR="003237E7" w:rsidRPr="00993936">
        <w:rPr>
          <w:rFonts w:ascii="Arial" w:hAnsi="Arial" w:cs="Arial"/>
          <w:lang w:val="es-ES"/>
        </w:rPr>
        <w:t>n ≥ 16</w:t>
      </w:r>
      <w:r w:rsidRPr="00993936">
        <w:rPr>
          <w:rFonts w:ascii="Arial" w:hAnsi="Arial" w:cs="Arial"/>
          <w:lang w:val="es-ES"/>
        </w:rPr>
        <w:t>). En caso de que la unidad de control tenga más de un emisor, el caudal total que hay que considerar será la suma del caudal de todos los emisores que constituyen la unidad.</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 operadora: </w:t>
      </w:r>
      <w:r w:rsidRPr="00993936">
        <w:rPr>
          <w:rFonts w:ascii="Arial" w:hAnsi="Arial" w:cs="Arial"/>
          <w:lang w:val="es-ES"/>
        </w:rPr>
        <w:t>toda persona física o jurídica que obtiene, manipula, elabora, envasa, etiqueta, almacena o comercializa productos vegetales en las condiciones que establece esta disposición y que, como tal, figura inscrito en el Registro del Consejo Catalán de la Producción Integrada.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 operadora individual: </w:t>
      </w:r>
      <w:r w:rsidRPr="00993936">
        <w:rPr>
          <w:rFonts w:ascii="Arial" w:hAnsi="Arial" w:cs="Arial"/>
          <w:lang w:val="es-ES"/>
        </w:rPr>
        <w:t xml:space="preserve">aquella persona operadora que no está agrupada bajo ninguna forma de agrupación de producción integrada. </w:t>
      </w:r>
    </w:p>
    <w:p w:rsidR="00412AFB" w:rsidRPr="00993936" w:rsidRDefault="00412AFB" w:rsidP="00412AFB">
      <w:pPr>
        <w:jc w:val="both"/>
        <w:rPr>
          <w:rFonts w:ascii="Arial" w:hAnsi="Arial" w:cs="Arial"/>
          <w:lang w:val="es-ES"/>
        </w:rPr>
      </w:pPr>
      <w:r w:rsidRPr="00993936">
        <w:rPr>
          <w:rFonts w:ascii="Arial" w:hAnsi="Arial" w:cs="Arial"/>
          <w:i/>
          <w:lang w:val="es-ES"/>
        </w:rPr>
        <w:t xml:space="preserve">Organismo de control biológico: </w:t>
      </w:r>
      <w:r w:rsidRPr="00993936">
        <w:rPr>
          <w:rFonts w:ascii="Arial" w:hAnsi="Arial" w:cs="Arial"/>
          <w:lang w:val="es-ES"/>
        </w:rPr>
        <w:t>enemigo natural antagonista o competidor u otra entidad biótica capaz de reproducirse, utilizado para el control de plagas, con excepción de los microorganismos y virus contenidos en la definición de sustancia activa.</w:t>
      </w:r>
    </w:p>
    <w:p w:rsidR="00412AFB" w:rsidRPr="00993936" w:rsidRDefault="00412AFB" w:rsidP="00412AFB">
      <w:pPr>
        <w:jc w:val="both"/>
        <w:rPr>
          <w:rFonts w:ascii="Arial" w:hAnsi="Arial" w:cs="Arial"/>
          <w:lang w:val="es-ES"/>
        </w:rPr>
      </w:pPr>
      <w:r w:rsidRPr="00993936">
        <w:rPr>
          <w:rFonts w:ascii="Arial" w:hAnsi="Arial" w:cs="Arial"/>
          <w:i/>
          <w:lang w:val="es-ES"/>
        </w:rPr>
        <w:t xml:space="preserve">Parcela: </w:t>
      </w:r>
      <w:r w:rsidRPr="00993936">
        <w:rPr>
          <w:rFonts w:ascii="Arial" w:hAnsi="Arial" w:cs="Arial"/>
          <w:lang w:val="es-ES"/>
        </w:rPr>
        <w:t>superficie continua de terreno geográficamente definida e inscrita en el Registro catastral a nombre de uno o más titulares, donde la persona operadora realiza las prácticas de producción integrada.</w:t>
      </w:r>
    </w:p>
    <w:p w:rsidR="00412AFB" w:rsidRPr="00993936" w:rsidRDefault="00412AFB" w:rsidP="00412AFB">
      <w:pPr>
        <w:jc w:val="both"/>
        <w:rPr>
          <w:rFonts w:ascii="Arial" w:hAnsi="Arial" w:cs="Arial"/>
          <w:lang w:val="es-ES"/>
        </w:rPr>
      </w:pPr>
      <w:r w:rsidRPr="00993936">
        <w:rPr>
          <w:rFonts w:ascii="Arial" w:hAnsi="Arial" w:cs="Arial"/>
          <w:i/>
          <w:lang w:val="es-ES"/>
        </w:rPr>
        <w:lastRenderedPageBreak/>
        <w:t xml:space="preserve">Pérdidas técnicas de nutrientes: </w:t>
      </w:r>
      <w:r w:rsidRPr="00993936">
        <w:rPr>
          <w:rFonts w:ascii="Arial" w:hAnsi="Arial" w:cs="Arial"/>
          <w:lang w:val="es-ES"/>
        </w:rPr>
        <w:t>son las que se deben a la falta de incorporación de elementos nutritivos en la planta como consecuencia de errores de homogeneidad en la aportación, extracción de vegetación adventicia, lixiviación, pérdida de asimilabilidad por antagonismos, transformación en compuestos orgánicos, precipitación o insolubilización de elementos minerales o cualquier otro factor biótico.</w:t>
      </w:r>
    </w:p>
    <w:p w:rsidR="00412AFB" w:rsidRPr="00993936" w:rsidRDefault="00412AFB" w:rsidP="00412AFB">
      <w:pPr>
        <w:jc w:val="both"/>
        <w:rPr>
          <w:rFonts w:ascii="Arial" w:hAnsi="Arial" w:cs="Arial"/>
          <w:lang w:val="es-ES"/>
        </w:rPr>
      </w:pPr>
      <w:r w:rsidRPr="00993936">
        <w:rPr>
          <w:rFonts w:ascii="Arial" w:hAnsi="Arial" w:cs="Arial"/>
          <w:i/>
          <w:lang w:val="es-ES"/>
        </w:rPr>
        <w:t xml:space="preserve">Personal técnico competente: </w:t>
      </w:r>
      <w:r w:rsidRPr="00993936">
        <w:rPr>
          <w:rFonts w:ascii="Arial" w:hAnsi="Arial" w:cs="Arial"/>
          <w:lang w:val="es-ES"/>
        </w:rPr>
        <w:t>Conjunto de personas físicas que prestan servicios técnicos de asistencia a la producción integrada y que cuentan con titulación universitaria de grado medio o superior, de acuerdo con lo especificado en el artículo 11.1 del Decreto 241/2002.</w:t>
      </w:r>
    </w:p>
    <w:p w:rsidR="00412AFB" w:rsidRPr="00993936" w:rsidRDefault="00412AFB" w:rsidP="00412AFB">
      <w:pPr>
        <w:jc w:val="both"/>
        <w:rPr>
          <w:rFonts w:ascii="Arial" w:hAnsi="Arial" w:cs="Arial"/>
          <w:lang w:val="es-ES"/>
        </w:rPr>
      </w:pPr>
      <w:r w:rsidRPr="00993936">
        <w:rPr>
          <w:rFonts w:ascii="Arial" w:hAnsi="Arial" w:cs="Arial"/>
          <w:i/>
          <w:lang w:val="es-ES"/>
        </w:rPr>
        <w:t xml:space="preserve">Producción integrada: </w:t>
      </w:r>
      <w:r w:rsidRPr="00993936">
        <w:rPr>
          <w:rFonts w:ascii="Arial" w:hAnsi="Arial" w:cs="Arial"/>
          <w:lang w:val="es-ES"/>
        </w:rPr>
        <w:t>el sistema agrario de producción y obtención de alimentos de calidad, frescos o transformados, y otros productos, que prioriza la utilización de los recursos y mecanismos de regulación naturales, con el objeto de optimizar los métodos de producción, evitar las aportaciones perjudiciales al medio ambiente y asegurar a largo plazo una agricultura y una ganadería sostenibles.</w:t>
      </w:r>
      <w:r w:rsidRPr="00993936" w:rsidDel="007F4AB2">
        <w:rPr>
          <w:rFonts w:ascii="Arial" w:hAnsi="Arial" w:cs="Arial"/>
          <w:lang w:val="es-ES"/>
        </w:rPr>
        <w:t xml:space="preserve"> </w:t>
      </w:r>
    </w:p>
    <w:p w:rsidR="00412AFB" w:rsidRPr="00993936" w:rsidRDefault="00412AFB" w:rsidP="00412AFB">
      <w:pPr>
        <w:jc w:val="both"/>
        <w:rPr>
          <w:rFonts w:ascii="Arial" w:hAnsi="Arial" w:cs="Arial"/>
          <w:lang w:val="es-ES"/>
        </w:rPr>
      </w:pPr>
      <w:r w:rsidRPr="00993936">
        <w:rPr>
          <w:rFonts w:ascii="Arial" w:hAnsi="Arial" w:cs="Arial"/>
          <w:i/>
          <w:lang w:val="es-ES"/>
        </w:rPr>
        <w:t xml:space="preserve">Cuaderno de conservación/ poscosecha: </w:t>
      </w:r>
      <w:r w:rsidRPr="00993936">
        <w:rPr>
          <w:rFonts w:ascii="Arial" w:hAnsi="Arial" w:cs="Arial"/>
          <w:lang w:val="es-ES"/>
        </w:rPr>
        <w:t>documento donde se registran los datos relativos a las instalaciones de los productos vegetales, mediante el cual es posible hacer un seguimiento detallado de todas las operaciones de recepción, manipulado, almacenamiento, envasado y expedición de frutas y hortalizas</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Cuaderno de explotación: </w:t>
      </w:r>
      <w:r w:rsidRPr="00993936">
        <w:rPr>
          <w:rFonts w:ascii="Arial" w:hAnsi="Arial" w:cs="Arial"/>
          <w:lang w:val="es-ES"/>
        </w:rPr>
        <w:t>documento donde se registran los datos relativos a una parcela o agrupación de parcelas de cultivo (véase la definición de la unidad homogénea de cultivo), mediante el que es posible hacer un seguimiento detallado de todas las operaciones culturales realizadas durante el ciclo de cultivo.</w:t>
      </w:r>
    </w:p>
    <w:p w:rsidR="00412AFB" w:rsidRPr="00993936" w:rsidRDefault="00412AFB" w:rsidP="00412AFB">
      <w:pPr>
        <w:jc w:val="both"/>
        <w:rPr>
          <w:rFonts w:ascii="Arial" w:hAnsi="Arial" w:cs="Arial"/>
          <w:lang w:val="es-ES"/>
        </w:rPr>
      </w:pPr>
      <w:r w:rsidRPr="00993936">
        <w:rPr>
          <w:rFonts w:ascii="Arial" w:hAnsi="Arial" w:cs="Arial"/>
          <w:i/>
          <w:lang w:val="es-ES"/>
        </w:rPr>
        <w:t xml:space="preserve">Sustancias activas: </w:t>
      </w:r>
      <w:r w:rsidRPr="00993936">
        <w:rPr>
          <w:rFonts w:ascii="Arial" w:hAnsi="Arial" w:cs="Arial"/>
          <w:lang w:val="es-ES"/>
        </w:rPr>
        <w:t>las sustancias o microorganismos, incluidos los virus, que ejercen una acción general o específica contra las plagas, incluidas las enfermedades, o en vegetales, partes de vegetales o productos vegetales.</w:t>
      </w:r>
    </w:p>
    <w:p w:rsidR="00412AFB" w:rsidRPr="00993936" w:rsidRDefault="00412AFB" w:rsidP="00412AFB">
      <w:pPr>
        <w:jc w:val="both"/>
        <w:rPr>
          <w:rFonts w:ascii="Arial" w:hAnsi="Arial" w:cs="Arial"/>
          <w:lang w:val="es-ES"/>
        </w:rPr>
      </w:pPr>
      <w:r w:rsidRPr="00993936">
        <w:rPr>
          <w:rFonts w:ascii="Arial" w:hAnsi="Arial" w:cs="Arial"/>
          <w:i/>
          <w:lang w:val="es-ES"/>
        </w:rPr>
        <w:t xml:space="preserve">Unidad homogénea de cultivo (UHC): </w:t>
      </w:r>
      <w:r w:rsidRPr="00993936">
        <w:rPr>
          <w:rFonts w:ascii="Arial" w:hAnsi="Arial" w:cs="Arial"/>
          <w:lang w:val="es-ES"/>
        </w:rPr>
        <w:t>para cada cultivo, es la superficie de terreno que presenta unas características similares en cuanto al tipo de suelo, el sistema de riego y el tipo de cultivo, en la que se aplican operaciones culturales y técnicas de cultivo similares, así como los mismos tratamientos fitosanitarios. En el caso de agrupaciones de productores, podrán existir UHC que incluyan cultivos o partes de cultivos de varios agricultores. Para cultivos protegidos, la unidad homogénea de cultivo se encontrará dentro de un mismo recinto delimitado por un tipo de protección idéntico.</w:t>
      </w:r>
    </w:p>
    <w:p w:rsidR="00412AFB" w:rsidRPr="00993936" w:rsidRDefault="00412AFB" w:rsidP="00412AFB">
      <w:pPr>
        <w:jc w:val="both"/>
        <w:rPr>
          <w:rFonts w:ascii="Arial" w:hAnsi="Arial" w:cs="Arial"/>
          <w:lang w:val="es-ES"/>
        </w:rPr>
      </w:pPr>
      <w:r w:rsidRPr="00993936">
        <w:rPr>
          <w:rFonts w:ascii="Arial" w:hAnsi="Arial" w:cs="Arial"/>
          <w:i/>
          <w:lang w:val="es-ES"/>
        </w:rPr>
        <w:t xml:space="preserve">Venta directa: </w:t>
      </w:r>
      <w:r w:rsidRPr="00993936">
        <w:rPr>
          <w:rFonts w:ascii="Arial" w:hAnsi="Arial" w:cs="Arial"/>
          <w:lang w:val="es-ES"/>
        </w:rPr>
        <w:t>venta realizada por las propias personas operadoras de su producto fresco, envasado y etiquetado en la propia explotación, tanto al consumidor como al asentador, comerciante o mayorista.</w:t>
      </w:r>
    </w:p>
    <w:p w:rsidR="00412AFB" w:rsidRPr="00993936" w:rsidRDefault="00412AFB" w:rsidP="00412AFB">
      <w:pPr>
        <w:tabs>
          <w:tab w:val="left" w:pos="1815"/>
        </w:tabs>
        <w:jc w:val="both"/>
        <w:outlineLvl w:val="0"/>
        <w:rPr>
          <w:rFonts w:ascii="Arial" w:hAnsi="Arial" w:cs="Arial"/>
          <w:b/>
          <w:lang w:val="es-ES"/>
        </w:rPr>
      </w:pPr>
    </w:p>
    <w:p w:rsidR="00412AFB" w:rsidRPr="00993936" w:rsidRDefault="00412AFB" w:rsidP="00412AFB">
      <w:pPr>
        <w:tabs>
          <w:tab w:val="left" w:pos="1815"/>
        </w:tabs>
        <w:jc w:val="both"/>
        <w:outlineLvl w:val="0"/>
        <w:rPr>
          <w:rFonts w:ascii="Arial" w:hAnsi="Arial" w:cs="Arial"/>
          <w:b/>
          <w:lang w:val="es-ES"/>
        </w:rPr>
      </w:pPr>
    </w:p>
    <w:p w:rsidR="00412AFB" w:rsidRPr="00993936" w:rsidRDefault="00412AFB" w:rsidP="00412AFB">
      <w:pPr>
        <w:tabs>
          <w:tab w:val="left" w:pos="1815"/>
        </w:tabs>
        <w:jc w:val="both"/>
        <w:outlineLvl w:val="0"/>
        <w:rPr>
          <w:rFonts w:ascii="Arial" w:hAnsi="Arial" w:cs="Arial"/>
          <w:b/>
          <w:snapToGrid w:val="0"/>
          <w:lang w:val="es-ES"/>
        </w:rPr>
      </w:pPr>
      <w:r w:rsidRPr="00993936">
        <w:rPr>
          <w:rFonts w:ascii="Arial" w:hAnsi="Arial" w:cs="Arial"/>
          <w:b/>
          <w:snapToGrid w:val="0"/>
          <w:lang w:val="es-ES"/>
        </w:rPr>
        <w:t>I.</w:t>
      </w:r>
      <w:r w:rsidR="00E03B3B" w:rsidRPr="00993936">
        <w:rPr>
          <w:rFonts w:ascii="Arial" w:hAnsi="Arial" w:cs="Arial"/>
          <w:b/>
          <w:snapToGrid w:val="0"/>
          <w:lang w:val="es-ES"/>
        </w:rPr>
        <w:t xml:space="preserve"> </w:t>
      </w:r>
      <w:r w:rsidRPr="00993936">
        <w:rPr>
          <w:rFonts w:ascii="Arial" w:hAnsi="Arial" w:cs="Arial"/>
          <w:b/>
          <w:snapToGrid w:val="0"/>
          <w:lang w:val="es-ES"/>
        </w:rPr>
        <w:t>BIODIVERSIDAD Y PRÁCTICAS DE CULTIVO</w:t>
      </w:r>
    </w:p>
    <w:p w:rsidR="00412AFB" w:rsidRPr="00993936" w:rsidRDefault="00412AFB" w:rsidP="00412AFB">
      <w:pPr>
        <w:tabs>
          <w:tab w:val="left" w:pos="1815"/>
        </w:tabs>
        <w:jc w:val="both"/>
        <w:outlineLvl w:val="0"/>
        <w:rPr>
          <w:rFonts w:ascii="Arial" w:hAnsi="Arial" w:cs="Arial"/>
          <w:snapToGrid w:val="0"/>
          <w:lang w:val="es-ES"/>
        </w:rPr>
      </w:pPr>
    </w:p>
    <w:p w:rsidR="00412AFB" w:rsidRPr="00993936" w:rsidRDefault="00412AFB" w:rsidP="00412AFB">
      <w:pPr>
        <w:tabs>
          <w:tab w:val="left" w:pos="1815"/>
        </w:tabs>
        <w:jc w:val="both"/>
        <w:outlineLvl w:val="0"/>
        <w:rPr>
          <w:rFonts w:ascii="Arial" w:hAnsi="Arial" w:cs="Arial"/>
          <w:snapToGrid w:val="0"/>
          <w:lang w:val="es-ES"/>
        </w:rPr>
      </w:pPr>
      <w:r w:rsidRPr="00993936">
        <w:rPr>
          <w:rFonts w:ascii="Arial" w:hAnsi="Arial" w:cs="Arial"/>
          <w:snapToGrid w:val="0"/>
          <w:lang w:val="es-ES"/>
        </w:rPr>
        <w:t>Artículo 1</w:t>
      </w:r>
      <w:r w:rsidRPr="00993936">
        <w:rPr>
          <w:rFonts w:ascii="Arial" w:hAnsi="Arial" w:cs="Arial"/>
          <w:snapToGrid w:val="0"/>
          <w:lang w:val="es-ES"/>
        </w:rPr>
        <w:tab/>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Biodiversidad</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1.1.</w:t>
      </w:r>
      <w:r w:rsidR="007006E6" w:rsidRPr="00993936">
        <w:rPr>
          <w:rFonts w:ascii="Arial" w:hAnsi="Arial" w:cs="Arial"/>
          <w:snapToGrid w:val="0"/>
          <w:lang w:val="es-ES"/>
        </w:rPr>
        <w:t xml:space="preserve"> </w:t>
      </w:r>
      <w:r w:rsidRPr="00993936">
        <w:rPr>
          <w:rFonts w:ascii="Arial" w:hAnsi="Arial" w:cs="Arial"/>
          <w:i/>
          <w:snapToGrid w:val="0"/>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lastRenderedPageBreak/>
        <w:t>1.1.1 Fomentar activamente la diversidad biológica de los niveles genéticos, específicos y del ecosistema, ya que constituye un recurso natural importante de la explotación agraria.</w:t>
      </w:r>
    </w:p>
    <w:p w:rsidR="00412AFB" w:rsidRPr="00993936" w:rsidRDefault="00412AFB" w:rsidP="00412AFB">
      <w:pPr>
        <w:pStyle w:val="Textodenotaalfinal"/>
        <w:jc w:val="both"/>
        <w:rPr>
          <w:rFonts w:ascii="Arial" w:hAnsi="Arial" w:cs="Arial"/>
          <w:sz w:val="22"/>
          <w:szCs w:val="22"/>
          <w:lang w:val="es-ES"/>
        </w:rPr>
      </w:pPr>
      <w:r w:rsidRPr="00993936">
        <w:rPr>
          <w:rFonts w:ascii="Arial" w:hAnsi="Arial" w:cs="Arial"/>
          <w:sz w:val="22"/>
          <w:szCs w:val="22"/>
          <w:lang w:val="es-ES"/>
        </w:rPr>
        <w:t xml:space="preserve">1.1.2 Fomentar y conservar un entorno de la explotación agraria natural y equilibrado, con un ecosistema de plantas y animales diversificado, identificando para cada cultivo y tipo de explotación agraria los elementos importantes de las infraestructuras ecológicas que contribuyan al mantenimiento y a la mejora de la biodiversidad biológica. Cada persona operadora productora deberá impulsar la realización de, al menos, dos opciones ecológicas que contribuyan a la mejora de la biodiversidad de sus plantaciones, seleccionándolas, prioritariamente, de la lista que se describe a continuación. Si no fuera posible la realización de las opciones propuestas, la persona operadora podrá establecer una lista de alternativas, que deberán ser aprobadas por el Consejo Catalán de la Producción Integrada (CCPI), de las que, como mínimo, deberá poner en práctica dos: </w:t>
      </w:r>
    </w:p>
    <w:p w:rsidR="00412AFB" w:rsidRPr="00993936" w:rsidRDefault="00412AFB" w:rsidP="009D1A2D">
      <w:pPr>
        <w:pStyle w:val="Textodenotaalfinal"/>
        <w:numPr>
          <w:ilvl w:val="0"/>
          <w:numId w:val="198"/>
        </w:numPr>
        <w:jc w:val="both"/>
        <w:rPr>
          <w:rFonts w:ascii="Arial" w:hAnsi="Arial" w:cs="Arial"/>
          <w:sz w:val="22"/>
          <w:szCs w:val="22"/>
          <w:lang w:val="es-ES"/>
        </w:rPr>
      </w:pPr>
      <w:r w:rsidRPr="00993936">
        <w:rPr>
          <w:rFonts w:ascii="Arial" w:hAnsi="Arial" w:cs="Arial"/>
          <w:sz w:val="22"/>
          <w:szCs w:val="22"/>
          <w:lang w:val="es-ES"/>
        </w:rPr>
        <w:t>Establecer un área de compensación ecológica, en la que no se apliquen plaguicidas ni fertilizantes, para aumentar la biodiversidad faunística y botánica, de al menos un 5 % de la superficie total de la explotación (excluidos los bosques). Podrán considerarse dentro de estas áreas, por ejemplo: cortavientos, márgenes de caminos, de canales, de ríos o arroyos, etc.</w:t>
      </w:r>
    </w:p>
    <w:p w:rsidR="00412AFB" w:rsidRPr="00993936" w:rsidRDefault="00412AFB" w:rsidP="00412AFB">
      <w:pPr>
        <w:pStyle w:val="Textodenotaalfinal"/>
        <w:ind w:left="708"/>
        <w:jc w:val="both"/>
        <w:rPr>
          <w:rFonts w:ascii="Arial" w:hAnsi="Arial" w:cs="Arial"/>
          <w:sz w:val="22"/>
          <w:szCs w:val="22"/>
          <w:lang w:val="es-ES"/>
        </w:rPr>
      </w:pPr>
      <w:r w:rsidRPr="00993936">
        <w:rPr>
          <w:rFonts w:ascii="Arial" w:hAnsi="Arial" w:cs="Arial"/>
          <w:sz w:val="22"/>
          <w:szCs w:val="22"/>
          <w:lang w:val="es-ES"/>
        </w:rPr>
        <w:t>Se admitirá que las áreas de compensación ecológica se establezcan a nivel de organización de productores o municipal, siempre que vayan asociadas directamente a las zonas de producción.</w:t>
      </w:r>
    </w:p>
    <w:p w:rsidR="00412AFB" w:rsidRPr="00993936" w:rsidRDefault="00412AFB" w:rsidP="009D1A2D">
      <w:pPr>
        <w:pStyle w:val="Textodenotaalfinal"/>
        <w:numPr>
          <w:ilvl w:val="0"/>
          <w:numId w:val="198"/>
        </w:numPr>
        <w:ind w:left="714" w:hanging="357"/>
        <w:jc w:val="both"/>
        <w:rPr>
          <w:rFonts w:ascii="Arial" w:hAnsi="Arial" w:cs="Arial"/>
          <w:sz w:val="22"/>
          <w:szCs w:val="22"/>
          <w:lang w:val="es-ES"/>
        </w:rPr>
      </w:pPr>
      <w:r w:rsidRPr="00993936">
        <w:rPr>
          <w:rFonts w:ascii="Arial" w:hAnsi="Arial" w:cs="Arial"/>
          <w:sz w:val="22"/>
          <w:szCs w:val="22"/>
          <w:lang w:val="es-ES"/>
        </w:rPr>
        <w:t>Establecer o mantener una cubierta vegetal del suelo.</w:t>
      </w:r>
    </w:p>
    <w:p w:rsidR="00412AFB" w:rsidRPr="00993936" w:rsidRDefault="00412AFB" w:rsidP="009D1A2D">
      <w:pPr>
        <w:pStyle w:val="Textodenotaalfinal"/>
        <w:numPr>
          <w:ilvl w:val="0"/>
          <w:numId w:val="198"/>
        </w:numPr>
        <w:ind w:left="714" w:hanging="357"/>
        <w:jc w:val="both"/>
        <w:rPr>
          <w:rFonts w:ascii="Arial" w:hAnsi="Arial" w:cs="Arial"/>
          <w:sz w:val="22"/>
          <w:szCs w:val="22"/>
          <w:lang w:val="es-ES"/>
        </w:rPr>
      </w:pPr>
      <w:r w:rsidRPr="00993936">
        <w:rPr>
          <w:rFonts w:ascii="Arial" w:hAnsi="Arial" w:cs="Arial"/>
          <w:sz w:val="22"/>
          <w:szCs w:val="22"/>
          <w:lang w:val="es-ES"/>
        </w:rPr>
        <w:t>No aplicar herbicidas en las plantaciones durante el periodo de otoño-invierno.</w:t>
      </w:r>
    </w:p>
    <w:p w:rsidR="00412AFB" w:rsidRPr="00993936" w:rsidRDefault="00412AFB" w:rsidP="009D1A2D">
      <w:pPr>
        <w:pStyle w:val="Textodenotaalfinal"/>
        <w:numPr>
          <w:ilvl w:val="0"/>
          <w:numId w:val="198"/>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los pájaros insectívoros.</w:t>
      </w:r>
    </w:p>
    <w:p w:rsidR="00412AFB" w:rsidRPr="00993936" w:rsidRDefault="00412AFB" w:rsidP="009D1A2D">
      <w:pPr>
        <w:pStyle w:val="Textodenotaalfinal"/>
        <w:numPr>
          <w:ilvl w:val="0"/>
          <w:numId w:val="198"/>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los insectos que favorezcan la polinización.</w:t>
      </w:r>
    </w:p>
    <w:p w:rsidR="00412AFB" w:rsidRPr="00993936" w:rsidRDefault="00412AFB" w:rsidP="009D1A2D">
      <w:pPr>
        <w:pStyle w:val="Textodenotaalfinal"/>
        <w:numPr>
          <w:ilvl w:val="0"/>
          <w:numId w:val="198"/>
        </w:numPr>
        <w:ind w:left="714" w:hanging="357"/>
        <w:jc w:val="both"/>
        <w:rPr>
          <w:rFonts w:ascii="Arial" w:hAnsi="Arial" w:cs="Arial"/>
          <w:sz w:val="22"/>
          <w:szCs w:val="22"/>
          <w:lang w:val="es-ES"/>
        </w:rPr>
      </w:pPr>
      <w:r w:rsidRPr="00993936">
        <w:rPr>
          <w:rFonts w:ascii="Arial" w:hAnsi="Arial" w:cs="Arial"/>
          <w:sz w:val="22"/>
          <w:szCs w:val="22"/>
          <w:lang w:val="es-ES"/>
        </w:rPr>
        <w:t>No aplicar productos fitosanitarios ni herbicidas sobre la vegetación espontánea de los márgenes de las parcelas y realizar su control con medios culturales.</w:t>
      </w:r>
    </w:p>
    <w:p w:rsidR="00412AFB" w:rsidRPr="00993936" w:rsidRDefault="00412AFB" w:rsidP="009D1A2D">
      <w:pPr>
        <w:pStyle w:val="Textodenotaalfinal"/>
        <w:numPr>
          <w:ilvl w:val="0"/>
          <w:numId w:val="198"/>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las aves rapaces.</w:t>
      </w:r>
    </w:p>
    <w:p w:rsidR="00412AFB" w:rsidRPr="00993936" w:rsidRDefault="00412AFB" w:rsidP="009D1A2D">
      <w:pPr>
        <w:pStyle w:val="Textodenotaalfinal"/>
        <w:numPr>
          <w:ilvl w:val="0"/>
          <w:numId w:val="198"/>
        </w:numPr>
        <w:ind w:left="714" w:hanging="357"/>
        <w:jc w:val="both"/>
        <w:rPr>
          <w:rFonts w:ascii="Arial" w:hAnsi="Arial" w:cs="Arial"/>
          <w:sz w:val="22"/>
          <w:szCs w:val="22"/>
          <w:lang w:val="es-ES"/>
        </w:rPr>
      </w:pPr>
      <w:r w:rsidRPr="00993936">
        <w:rPr>
          <w:rFonts w:ascii="Arial" w:hAnsi="Arial" w:cs="Arial"/>
          <w:sz w:val="22"/>
          <w:szCs w:val="22"/>
          <w:lang w:val="es-ES"/>
        </w:rPr>
        <w:t>Establecer cortavientos en los márgenes de las parcelas, especialmente en zonas ventosas.</w:t>
      </w:r>
    </w:p>
    <w:p w:rsidR="00412AFB" w:rsidRPr="00993936" w:rsidRDefault="00412AFB" w:rsidP="009D1A2D">
      <w:pPr>
        <w:pStyle w:val="Textodenotaalfinal"/>
        <w:numPr>
          <w:ilvl w:val="0"/>
          <w:numId w:val="198"/>
        </w:numPr>
        <w:ind w:left="714" w:hanging="357"/>
        <w:jc w:val="both"/>
        <w:rPr>
          <w:rFonts w:ascii="Arial" w:hAnsi="Arial" w:cs="Arial"/>
          <w:sz w:val="22"/>
          <w:szCs w:val="22"/>
          <w:lang w:val="es-ES"/>
        </w:rPr>
      </w:pPr>
      <w:r w:rsidRPr="00993936">
        <w:rPr>
          <w:rFonts w:ascii="Arial" w:hAnsi="Arial" w:cs="Arial"/>
          <w:sz w:val="22"/>
          <w:szCs w:val="22"/>
          <w:lang w:val="es-ES"/>
        </w:rPr>
        <w:t>Proporcionar alimentos a los adultos de los enemigos naturales mediante plantas con flores.</w:t>
      </w:r>
    </w:p>
    <w:p w:rsidR="00412AFB" w:rsidRPr="00993936" w:rsidRDefault="00412AFB" w:rsidP="00412AFB">
      <w:pPr>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1.2.1 En caso de que se implanten cortavientos, siempre que sea posible se realizarán con especies autóctonas, procurando mantener una diversidad de estructura y composición.</w:t>
      </w:r>
    </w:p>
    <w:p w:rsidR="00412AFB" w:rsidRPr="00993936" w:rsidRDefault="00412AFB" w:rsidP="00412AFB">
      <w:pPr>
        <w:jc w:val="both"/>
        <w:rPr>
          <w:rFonts w:ascii="Arial" w:hAnsi="Arial" w:cs="Arial"/>
          <w:lang w:val="es-ES"/>
        </w:rPr>
      </w:pPr>
      <w:r w:rsidRPr="00993936">
        <w:rPr>
          <w:rFonts w:ascii="Arial" w:hAnsi="Arial" w:cs="Arial"/>
          <w:lang w:val="es-ES"/>
        </w:rPr>
        <w:br w:type="page"/>
      </w:r>
    </w:p>
    <w:p w:rsidR="00412AFB" w:rsidRPr="00993936" w:rsidRDefault="00412AFB" w:rsidP="00412AFB">
      <w:pPr>
        <w:jc w:val="both"/>
        <w:rPr>
          <w:rFonts w:ascii="Arial" w:hAnsi="Arial" w:cs="Arial"/>
          <w:lang w:val="es-ES"/>
        </w:rPr>
      </w:pPr>
      <w:r w:rsidRPr="00993936">
        <w:rPr>
          <w:rFonts w:ascii="Arial" w:hAnsi="Arial" w:cs="Arial"/>
          <w:lang w:val="es-ES"/>
        </w:rPr>
        <w:lastRenderedPageBreak/>
        <w:t>Artículo 2</w:t>
      </w:r>
    </w:p>
    <w:p w:rsidR="00412AFB" w:rsidRPr="00993936" w:rsidRDefault="00412AFB" w:rsidP="00412AFB">
      <w:pPr>
        <w:jc w:val="both"/>
        <w:rPr>
          <w:rFonts w:ascii="Arial" w:hAnsi="Arial" w:cs="Arial"/>
          <w:b/>
          <w:lang w:val="es-ES"/>
        </w:rPr>
      </w:pPr>
      <w:r w:rsidRPr="00993936">
        <w:rPr>
          <w:rFonts w:ascii="Arial" w:hAnsi="Arial" w:cs="Arial"/>
          <w:b/>
          <w:lang w:val="es-ES"/>
        </w:rPr>
        <w:t>Aspectos agronómicos generales</w:t>
      </w:r>
    </w:p>
    <w:p w:rsidR="00412AFB" w:rsidRPr="00993936" w:rsidRDefault="00412AFB" w:rsidP="00412AFB">
      <w:pPr>
        <w:jc w:val="both"/>
        <w:rPr>
          <w:rFonts w:ascii="Arial" w:hAnsi="Arial" w:cs="Arial"/>
          <w:lang w:val="es-ES"/>
        </w:rPr>
      </w:pPr>
      <w:r w:rsidRPr="00993936">
        <w:rPr>
          <w:rFonts w:ascii="Arial" w:hAnsi="Arial" w:cs="Arial"/>
          <w:lang w:val="es-ES"/>
        </w:rPr>
        <w:t xml:space="preserve">2.1.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2.1.1 El momento y la intensidad de las operaciones culturales deben minimizar los posibles impactos ambientales.</w:t>
      </w:r>
    </w:p>
    <w:p w:rsidR="00412AFB" w:rsidRPr="00993936" w:rsidRDefault="00412AFB" w:rsidP="00412AFB">
      <w:pPr>
        <w:jc w:val="both"/>
        <w:rPr>
          <w:rFonts w:ascii="Arial" w:hAnsi="Arial" w:cs="Arial"/>
          <w:lang w:val="es-ES"/>
        </w:rPr>
      </w:pPr>
      <w:r w:rsidRPr="00993936">
        <w:rPr>
          <w:rFonts w:ascii="Arial" w:hAnsi="Arial" w:cs="Arial"/>
          <w:lang w:val="es-ES"/>
        </w:rPr>
        <w:t>2.1.2 En cultivos leñosos, el sistema de cultivo incluye el sistema de formación y debe respetar el estado fisiológico óptimo de las plantas.</w:t>
      </w: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3</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Suelo, preparación del terreno y cultivo</w:t>
      </w:r>
    </w:p>
    <w:p w:rsidR="00412AFB" w:rsidRPr="00993936" w:rsidRDefault="00412AFB" w:rsidP="00412AFB">
      <w:pPr>
        <w:jc w:val="both"/>
        <w:rPr>
          <w:rFonts w:ascii="Arial" w:hAnsi="Arial" w:cs="Arial"/>
          <w:lang w:val="es-ES"/>
        </w:rPr>
      </w:pPr>
      <w:r w:rsidRPr="00993936">
        <w:rPr>
          <w:rFonts w:ascii="Arial" w:hAnsi="Arial" w:cs="Arial"/>
          <w:lang w:val="es-ES"/>
        </w:rPr>
        <w:t>3.1.</w:t>
      </w:r>
      <w:r w:rsidR="007006E6" w:rsidRPr="00993936">
        <w:rPr>
          <w:rFonts w:ascii="Arial" w:hAnsi="Arial" w:cs="Arial"/>
          <w:lang w:val="es-ES"/>
        </w:rPr>
        <w:t xml:space="preserve">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3.1.1 En las nuevas plantaciones se realizará una caracterización del suelo mediante el examen directo y su análisis. Con este fin, se excavarán zanjas en el suelo para obtener información sobre la profundidad, textura, estructura, acidez, alcalinidad, capacidad de retención de agua y posibles problemas de salinidad, permeabilidad y encharcamientos. Las zanjas se excavarán por zonas homogéneas, que no deberán ser necesariamente coincidentes con las unidades de control. No será necesario realizar esta práctica si la información puede obtenerse a través de los mapas de suelos existentes.</w:t>
      </w:r>
    </w:p>
    <w:p w:rsidR="00412AFB" w:rsidRPr="00993936" w:rsidRDefault="00412AFB" w:rsidP="00412AFB">
      <w:pPr>
        <w:jc w:val="both"/>
        <w:rPr>
          <w:rFonts w:ascii="Arial" w:hAnsi="Arial" w:cs="Arial"/>
          <w:lang w:val="es-ES"/>
        </w:rPr>
      </w:pPr>
      <w:r w:rsidRPr="00993936">
        <w:rPr>
          <w:rFonts w:ascii="Arial" w:hAnsi="Arial" w:cs="Arial"/>
          <w:lang w:val="es-ES"/>
        </w:rPr>
        <w:t>En plantaciones establecidas se efectuarán análisis del suelo, excepto en el caso de que se disponga de datos recientes.</w:t>
      </w:r>
    </w:p>
    <w:p w:rsidR="00412AFB" w:rsidRPr="00993936" w:rsidRDefault="00412AFB" w:rsidP="00412AFB">
      <w:pPr>
        <w:pStyle w:val="Textoindependiente"/>
        <w:rPr>
          <w:rFonts w:cs="Arial"/>
          <w:szCs w:val="22"/>
          <w:lang w:val="es-ES"/>
        </w:rPr>
      </w:pPr>
      <w:r w:rsidRPr="00993936">
        <w:rPr>
          <w:rFonts w:cs="Arial"/>
          <w:szCs w:val="22"/>
          <w:lang w:val="es-ES"/>
        </w:rPr>
        <w:t>3.1.2 En las nuevas plantaciones, eliminar los tocones y restos de cultivos leñosos anteriores.</w:t>
      </w:r>
    </w:p>
    <w:p w:rsidR="00412AFB" w:rsidRPr="00993936" w:rsidRDefault="00412AFB" w:rsidP="00412AFB">
      <w:pPr>
        <w:jc w:val="both"/>
        <w:rPr>
          <w:rFonts w:ascii="Arial" w:hAnsi="Arial" w:cs="Arial"/>
          <w:lang w:val="es-ES"/>
        </w:rPr>
      </w:pPr>
      <w:r w:rsidRPr="00993936">
        <w:rPr>
          <w:rFonts w:ascii="Arial" w:hAnsi="Arial" w:cs="Arial"/>
          <w:lang w:val="es-ES"/>
        </w:rPr>
        <w:t>3.1.3 En nuevas plantaciones, la disposición de las filas de árboles será la que minimice la erosión y, de ser necesario, se adoptarán medidas de conservación de suelos.</w:t>
      </w:r>
    </w:p>
    <w:p w:rsidR="00412AFB" w:rsidRPr="00993936" w:rsidRDefault="00412AFB" w:rsidP="00412AFB">
      <w:pPr>
        <w:pStyle w:val="Textoindependiente"/>
        <w:rPr>
          <w:rFonts w:cs="Arial"/>
          <w:szCs w:val="22"/>
          <w:lang w:val="es-ES"/>
        </w:rPr>
      </w:pPr>
      <w:r w:rsidRPr="00993936">
        <w:rPr>
          <w:rFonts w:cs="Arial"/>
          <w:szCs w:val="22"/>
          <w:lang w:val="es-ES"/>
        </w:rPr>
        <w:t>3.1.4 Mantener y mejorar la fertilidad del suelo mediante:</w:t>
      </w:r>
    </w:p>
    <w:p w:rsidR="00412AFB" w:rsidRPr="00993936" w:rsidRDefault="00412AFB" w:rsidP="009D1A2D">
      <w:pPr>
        <w:pStyle w:val="Textoindependiente"/>
        <w:numPr>
          <w:ilvl w:val="0"/>
          <w:numId w:val="199"/>
        </w:numPr>
        <w:rPr>
          <w:rFonts w:cs="Arial"/>
          <w:szCs w:val="22"/>
          <w:lang w:val="es-ES"/>
        </w:rPr>
      </w:pPr>
      <w:r w:rsidRPr="00993936">
        <w:rPr>
          <w:rFonts w:cs="Arial"/>
          <w:szCs w:val="22"/>
          <w:lang w:val="es-ES"/>
        </w:rPr>
        <w:t xml:space="preserve">El conocimiento de los niveles de materia orgánica del suelo y la velocidad de mineralización, que se estimarán de acuerdo con el tipo de suelo y con las condiciones climáticas de la zona. </w:t>
      </w:r>
    </w:p>
    <w:p w:rsidR="00412AFB" w:rsidRPr="00993936" w:rsidRDefault="00412AFB" w:rsidP="009D1A2D">
      <w:pPr>
        <w:pStyle w:val="Textoindependiente"/>
        <w:numPr>
          <w:ilvl w:val="0"/>
          <w:numId w:val="199"/>
        </w:numPr>
        <w:ind w:left="720" w:hanging="360"/>
        <w:rPr>
          <w:rFonts w:cs="Arial"/>
          <w:szCs w:val="22"/>
          <w:lang w:val="es-ES"/>
        </w:rPr>
      </w:pPr>
      <w:r w:rsidRPr="00993936">
        <w:rPr>
          <w:rFonts w:cs="Arial"/>
          <w:szCs w:val="22"/>
          <w:lang w:val="es-ES"/>
        </w:rPr>
        <w:t>El mantenimiento de un nivel de materia orgánica del horizonte superficial del suelo de al menos un 1 %. Por debajo de este nivel deberá aportarse materia orgánica y proceder a su manejo, de acuerdo con las indicaciones del personal técnico responsable de producción integrada.</w:t>
      </w:r>
    </w:p>
    <w:p w:rsidR="00412AFB" w:rsidRPr="00993936" w:rsidRDefault="00412AFB" w:rsidP="009D1A2D">
      <w:pPr>
        <w:numPr>
          <w:ilvl w:val="0"/>
          <w:numId w:val="199"/>
        </w:numPr>
        <w:spacing w:after="0" w:line="240" w:lineRule="auto"/>
        <w:ind w:left="720" w:hanging="360"/>
        <w:jc w:val="both"/>
        <w:rPr>
          <w:rFonts w:ascii="Arial" w:hAnsi="Arial" w:cs="Arial"/>
          <w:lang w:val="es-ES"/>
        </w:rPr>
      </w:pPr>
      <w:r w:rsidRPr="00993936">
        <w:rPr>
          <w:rFonts w:ascii="Arial" w:hAnsi="Arial" w:cs="Arial"/>
          <w:lang w:val="es-ES"/>
        </w:rPr>
        <w:t>La optimización de las propiedades biofísicas del suelo para evitar la compactación minimizando el paso de la maquinaria en condiciones de excesiva humedad del suelo.</w:t>
      </w:r>
    </w:p>
    <w:p w:rsidR="00412AFB" w:rsidRPr="00993936" w:rsidRDefault="00412AFB" w:rsidP="009D1A2D">
      <w:pPr>
        <w:numPr>
          <w:ilvl w:val="0"/>
          <w:numId w:val="199"/>
        </w:numPr>
        <w:spacing w:after="0" w:line="240" w:lineRule="auto"/>
        <w:ind w:left="720" w:hanging="360"/>
        <w:jc w:val="both"/>
        <w:rPr>
          <w:rFonts w:ascii="Arial" w:hAnsi="Arial" w:cs="Arial"/>
          <w:lang w:val="es-ES"/>
        </w:rPr>
      </w:pPr>
      <w:r w:rsidRPr="00993936">
        <w:rPr>
          <w:rFonts w:ascii="Arial" w:hAnsi="Arial" w:cs="Arial"/>
          <w:lang w:val="es-ES"/>
        </w:rPr>
        <w:t>El mantenimiento de la protección del suelo durante el máximo de tiempo posible mediante la conservación de una cubierta vegetal, preferentemente a base de vegetación espontánea.</w:t>
      </w:r>
    </w:p>
    <w:p w:rsidR="00412AFB" w:rsidRPr="00993936" w:rsidRDefault="00412AFB" w:rsidP="009D1A2D">
      <w:pPr>
        <w:numPr>
          <w:ilvl w:val="0"/>
          <w:numId w:val="199"/>
        </w:numPr>
        <w:spacing w:after="0" w:line="240" w:lineRule="auto"/>
        <w:ind w:left="720" w:hanging="360"/>
        <w:jc w:val="both"/>
        <w:rPr>
          <w:rFonts w:ascii="Arial" w:hAnsi="Arial" w:cs="Arial"/>
          <w:lang w:val="es-ES"/>
        </w:rPr>
      </w:pPr>
      <w:r w:rsidRPr="00993936">
        <w:rPr>
          <w:rFonts w:ascii="Arial" w:hAnsi="Arial" w:cs="Arial"/>
          <w:lang w:val="es-ES"/>
        </w:rPr>
        <w:t>La mínima perturbación física o química del suelo.</w:t>
      </w:r>
    </w:p>
    <w:p w:rsidR="00412AFB" w:rsidRPr="00993936" w:rsidRDefault="00412AFB" w:rsidP="00412AFB">
      <w:pPr>
        <w:spacing w:before="120"/>
        <w:jc w:val="both"/>
        <w:rPr>
          <w:rFonts w:ascii="Arial" w:hAnsi="Arial" w:cs="Arial"/>
          <w:lang w:val="es-ES"/>
        </w:rPr>
      </w:pPr>
      <w:r w:rsidRPr="00993936">
        <w:rPr>
          <w:rFonts w:ascii="Arial" w:hAnsi="Arial" w:cs="Arial"/>
          <w:lang w:val="es-ES"/>
        </w:rPr>
        <w:t xml:space="preserve">3.1.5 Los trabajos de campo se realizarán respetando al máximo la estructura del suelo, evitando la escorrentía superficial y el encharcamiento. También se tendrá en cuenta la pendiente del suelo para su adecuada conservación, adaptando las dimensiones y características de las obras de conservación (terrazas, bancales, </w:t>
      </w:r>
      <w:r w:rsidRPr="00993936">
        <w:rPr>
          <w:rFonts w:ascii="Arial" w:hAnsi="Arial" w:cs="Arial"/>
          <w:lang w:val="es-ES"/>
        </w:rPr>
        <w:lastRenderedPageBreak/>
        <w:t>lomas) con el fin de evitar fenómenos de erosión. Las técnicas de cultivo utilizadas serán las adecuadas para reducir el consumo energético.</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3.2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3.2.1 Desinfectar químicamente el suelo.</w:t>
      </w:r>
    </w:p>
    <w:p w:rsidR="00412AFB" w:rsidRPr="00993936" w:rsidRDefault="00412AFB" w:rsidP="00412AFB">
      <w:pPr>
        <w:pStyle w:val="Textoindependiente"/>
        <w:rPr>
          <w:rFonts w:cs="Arial"/>
          <w:szCs w:val="22"/>
          <w:lang w:val="es-ES"/>
        </w:rPr>
      </w:pPr>
      <w:r w:rsidRPr="00993936">
        <w:rPr>
          <w:rFonts w:cs="Arial"/>
          <w:szCs w:val="22"/>
          <w:lang w:val="es-ES"/>
        </w:rPr>
        <w:t>3.2.2 Trabajar el suelo en el sentido de la pendiente en parcelas con pendientes superiores al 10 % y también efectuar trabajos preparatorios que alteren los horizontes del suelo.</w:t>
      </w:r>
    </w:p>
    <w:p w:rsidR="00412AFB" w:rsidRPr="00993936" w:rsidRDefault="00412AFB" w:rsidP="00412AFB">
      <w:pPr>
        <w:jc w:val="both"/>
        <w:rPr>
          <w:rFonts w:ascii="Arial" w:hAnsi="Arial" w:cs="Arial"/>
          <w:lang w:val="es-ES"/>
        </w:rPr>
      </w:pPr>
      <w:r w:rsidRPr="00993936">
        <w:rPr>
          <w:rFonts w:ascii="Arial" w:hAnsi="Arial" w:cs="Arial"/>
          <w:lang w:val="es-ES"/>
        </w:rPr>
        <w:t>3.2.3 La utilización sistemática y permanente de herramientas agrícolas (cavadoras, discos, etc.) que destruyan la estructura del suelo y favorezcan la formación de un estrato o zona de compactación.</w:t>
      </w:r>
    </w:p>
    <w:p w:rsidR="00412AFB" w:rsidRPr="00993936" w:rsidRDefault="00412AFB" w:rsidP="00412AFB">
      <w:pPr>
        <w:pStyle w:val="Textoindependiente"/>
        <w:outlineLvl w:val="0"/>
        <w:rPr>
          <w:rFonts w:cs="Arial"/>
          <w:i/>
          <w:szCs w:val="22"/>
          <w:lang w:val="es-ES"/>
        </w:rPr>
      </w:pPr>
      <w:r w:rsidRPr="00993936">
        <w:rPr>
          <w:rFonts w:cs="Arial"/>
          <w:szCs w:val="22"/>
          <w:lang w:val="es-ES"/>
        </w:rPr>
        <w:t xml:space="preserve">3.3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3.3.1 Se preferirán los tipos de suelos que tengan una profundidad adecuada para el desarrollo de las raíces, que estén bien drenados y de textura media. La conductividad eléctrica (CE) debe ser menor de 1,5 dS/m a 25 ºC.</w:t>
      </w:r>
    </w:p>
    <w:p w:rsidR="00412AFB" w:rsidRPr="00993936" w:rsidRDefault="00412AFB" w:rsidP="00412AFB">
      <w:pPr>
        <w:pStyle w:val="Textoindependiente"/>
        <w:rPr>
          <w:rFonts w:cs="Arial"/>
          <w:szCs w:val="22"/>
          <w:lang w:val="es-ES"/>
        </w:rPr>
      </w:pPr>
      <w:r w:rsidRPr="00993936">
        <w:rPr>
          <w:rFonts w:cs="Arial"/>
          <w:szCs w:val="22"/>
          <w:lang w:val="es-ES"/>
        </w:rPr>
        <w:t>3.3.2 En caso de que sea necesario realizar la desinfección del suelo, utilizar técnicas de solarización.</w:t>
      </w:r>
    </w:p>
    <w:p w:rsidR="00412AFB" w:rsidRPr="00993936" w:rsidRDefault="00412AFB" w:rsidP="00412AFB">
      <w:pPr>
        <w:jc w:val="both"/>
        <w:rPr>
          <w:rFonts w:ascii="Arial" w:hAnsi="Arial" w:cs="Arial"/>
          <w:lang w:val="es-ES"/>
        </w:rPr>
      </w:pPr>
      <w:r w:rsidRPr="00993936">
        <w:rPr>
          <w:rFonts w:ascii="Arial" w:hAnsi="Arial" w:cs="Arial"/>
          <w:lang w:val="es-ES"/>
        </w:rPr>
        <w:t>3.3.3 La información sobre el tipo de suelo podrá ser extraída del mapa detallado de suelos de Cataluña, en caso de que exista.</w:t>
      </w:r>
    </w:p>
    <w:p w:rsidR="00412AFB" w:rsidRPr="00993936" w:rsidRDefault="00412AFB" w:rsidP="00412AFB">
      <w:pPr>
        <w:pStyle w:val="Textoindependiente"/>
        <w:rPr>
          <w:rFonts w:cs="Arial"/>
          <w:szCs w:val="22"/>
          <w:lang w:val="es-ES"/>
        </w:rPr>
      </w:pPr>
      <w:r w:rsidRPr="00993936">
        <w:rPr>
          <w:rFonts w:cs="Arial"/>
          <w:szCs w:val="22"/>
          <w:lang w:val="es-ES"/>
        </w:rPr>
        <w:t xml:space="preserve">3.3.4 No realizar el cultivo en zonas con factores limitantes: encharcamientos, salinidad, capa freática alta, poca profundidad. </w:t>
      </w:r>
    </w:p>
    <w:p w:rsidR="00412AFB" w:rsidRPr="00993936" w:rsidRDefault="00412AFB" w:rsidP="00412AFB">
      <w:pPr>
        <w:pStyle w:val="Textoindependiente"/>
        <w:rPr>
          <w:rFonts w:cs="Arial"/>
          <w:szCs w:val="22"/>
          <w:lang w:val="es-ES"/>
        </w:rPr>
      </w:pPr>
    </w:p>
    <w:p w:rsidR="00412AFB" w:rsidRPr="00993936" w:rsidRDefault="00412AFB" w:rsidP="00412AFB">
      <w:pPr>
        <w:pStyle w:val="Textoindependiente"/>
        <w:rPr>
          <w:rFonts w:cs="Arial"/>
          <w:szCs w:val="22"/>
          <w:lang w:val="es-ES"/>
        </w:rPr>
      </w:pPr>
      <w:r w:rsidRPr="00993936">
        <w:rPr>
          <w:rFonts w:cs="Arial"/>
          <w:szCs w:val="22"/>
          <w:lang w:val="es-ES"/>
        </w:rPr>
        <w:t>Artículo 4</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 xml:space="preserve">Material vegetal </w:t>
      </w:r>
    </w:p>
    <w:p w:rsidR="00412AFB" w:rsidRPr="00993936" w:rsidRDefault="00412AFB" w:rsidP="00412AFB">
      <w:pPr>
        <w:jc w:val="both"/>
        <w:rPr>
          <w:rFonts w:ascii="Arial" w:hAnsi="Arial" w:cs="Arial"/>
          <w:lang w:val="es-ES"/>
        </w:rPr>
      </w:pPr>
      <w:r w:rsidRPr="00993936">
        <w:rPr>
          <w:rFonts w:ascii="Arial" w:hAnsi="Arial" w:cs="Arial"/>
          <w:lang w:val="es-ES"/>
        </w:rPr>
        <w:t>Para realizar la producción integrada de fruta de pepita se admiten todas las variedades y los portainjertos que hay en las actuales plantaciones.</w:t>
      </w:r>
    </w:p>
    <w:p w:rsidR="00412AFB" w:rsidRPr="00993936" w:rsidRDefault="00412AFB" w:rsidP="00412AFB">
      <w:pPr>
        <w:pStyle w:val="Textoindependiente"/>
        <w:rPr>
          <w:rFonts w:cs="Arial"/>
          <w:szCs w:val="22"/>
          <w:lang w:val="es-ES"/>
        </w:rPr>
      </w:pPr>
      <w:r w:rsidRPr="00993936">
        <w:rPr>
          <w:rFonts w:cs="Arial"/>
          <w:szCs w:val="22"/>
          <w:lang w:val="es-ES"/>
        </w:rPr>
        <w:t>En las nuevas plantaciones, se escogerán las variedades y los portainjertos más adecuados para la zona de cultivo.</w:t>
      </w:r>
    </w:p>
    <w:p w:rsidR="00412AFB" w:rsidRPr="00993936" w:rsidRDefault="00412AFB" w:rsidP="00412AFB">
      <w:pPr>
        <w:jc w:val="both"/>
        <w:outlineLvl w:val="0"/>
        <w:rPr>
          <w:rFonts w:ascii="Arial" w:hAnsi="Arial" w:cs="Arial"/>
          <w:lang w:val="es-ES"/>
        </w:rPr>
      </w:pPr>
      <w:r w:rsidRPr="00993936">
        <w:rPr>
          <w:rFonts w:ascii="Arial" w:hAnsi="Arial" w:cs="Arial"/>
          <w:lang w:val="es-ES"/>
        </w:rPr>
        <w:t>4.1.</w:t>
      </w:r>
      <w:r w:rsidR="007006E6" w:rsidRPr="00993936">
        <w:rPr>
          <w:rFonts w:ascii="Arial" w:hAnsi="Arial" w:cs="Arial"/>
          <w:lang w:val="es-ES"/>
        </w:rPr>
        <w:t xml:space="preserve">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4.1.1 En las nuevas plantaciones, el material vegetal deberá:</w:t>
      </w:r>
    </w:p>
    <w:p w:rsidR="00412AFB" w:rsidRPr="00993936" w:rsidRDefault="00412AFB" w:rsidP="00412AFB">
      <w:pPr>
        <w:numPr>
          <w:ilvl w:val="0"/>
          <w:numId w:val="14"/>
        </w:numPr>
        <w:spacing w:after="0" w:line="240" w:lineRule="auto"/>
        <w:jc w:val="both"/>
        <w:rPr>
          <w:rFonts w:ascii="Arial" w:hAnsi="Arial" w:cs="Arial"/>
          <w:lang w:val="es-ES"/>
        </w:rPr>
      </w:pPr>
      <w:r w:rsidRPr="00993936">
        <w:rPr>
          <w:rFonts w:ascii="Arial" w:hAnsi="Arial" w:cs="Arial"/>
          <w:lang w:val="es-ES"/>
        </w:rPr>
        <w:t>Proceder de proveedores oficialmente autorizados y estar certificado, de haberlo, por el Servicio de Ordenación Agrícola u otros organismos oficiales reconocidos.</w:t>
      </w:r>
    </w:p>
    <w:p w:rsidR="00412AFB" w:rsidRPr="00993936" w:rsidRDefault="00412AFB" w:rsidP="00412AFB">
      <w:pPr>
        <w:numPr>
          <w:ilvl w:val="0"/>
          <w:numId w:val="14"/>
        </w:numPr>
        <w:spacing w:after="0" w:line="240" w:lineRule="auto"/>
        <w:jc w:val="both"/>
        <w:rPr>
          <w:rFonts w:ascii="Arial" w:hAnsi="Arial" w:cs="Arial"/>
          <w:lang w:val="es-ES"/>
        </w:rPr>
      </w:pPr>
      <w:r w:rsidRPr="00993936">
        <w:rPr>
          <w:rFonts w:ascii="Arial" w:hAnsi="Arial" w:cs="Arial"/>
          <w:lang w:val="es-ES"/>
        </w:rPr>
        <w:t>Cumplir los requisitos de autenticidad varietal y de sanidad que establece el Reglamento 929/1995, de 9 de junio, de control y certificación de planteles de frutales.</w:t>
      </w:r>
    </w:p>
    <w:p w:rsidR="00412AFB" w:rsidRPr="00993936" w:rsidRDefault="00412AFB" w:rsidP="00412AFB">
      <w:pPr>
        <w:numPr>
          <w:ilvl w:val="0"/>
          <w:numId w:val="14"/>
        </w:numPr>
        <w:spacing w:after="0" w:line="240" w:lineRule="auto"/>
        <w:jc w:val="both"/>
        <w:rPr>
          <w:rFonts w:ascii="Arial" w:hAnsi="Arial" w:cs="Arial"/>
          <w:lang w:val="es-ES"/>
        </w:rPr>
      </w:pPr>
      <w:r w:rsidRPr="00993936">
        <w:rPr>
          <w:rFonts w:ascii="Arial" w:hAnsi="Arial" w:cs="Arial"/>
          <w:lang w:val="es-ES"/>
        </w:rPr>
        <w:t>Ir acompañado del preceptivo pasaporte fitosanitario que garantice el cumplimiento de las disposiciones establecidas en el Real Decreto 2071/1993 y demás normas vigentes, sobre medidas contra la introducción y difusión en el territorio nacional y de la Comunidad Europea de organismos nocivos para los vegetales o productos vegetales.</w:t>
      </w:r>
    </w:p>
    <w:p w:rsidR="00412AFB" w:rsidRPr="00993936" w:rsidRDefault="00412AFB" w:rsidP="00412AFB">
      <w:pPr>
        <w:jc w:val="both"/>
        <w:rPr>
          <w:rFonts w:ascii="Arial" w:hAnsi="Arial" w:cs="Arial"/>
          <w:lang w:val="es-ES"/>
        </w:rPr>
      </w:pPr>
      <w:r w:rsidRPr="00993936">
        <w:rPr>
          <w:rFonts w:ascii="Arial" w:hAnsi="Arial" w:cs="Arial"/>
          <w:lang w:val="es-ES"/>
        </w:rPr>
        <w:t>4.1.2 En las plantaciones de cultivos leñosos, los patrones se adaptarán a las condiciones edáficas y no serán sensibles a las fisiopatías habituales de la zona o a otras fisiopatías que tengan una repercusión comercial importante.</w:t>
      </w:r>
    </w:p>
    <w:p w:rsidR="00412AFB" w:rsidRPr="00993936" w:rsidRDefault="00412AFB" w:rsidP="00412AFB">
      <w:pPr>
        <w:jc w:val="both"/>
        <w:rPr>
          <w:rFonts w:ascii="Arial" w:hAnsi="Arial" w:cs="Arial"/>
          <w:lang w:val="es-ES"/>
        </w:rPr>
      </w:pPr>
      <w:r w:rsidRPr="00993936">
        <w:rPr>
          <w:rFonts w:ascii="Arial" w:hAnsi="Arial" w:cs="Arial"/>
          <w:lang w:val="es-ES"/>
        </w:rPr>
        <w:t xml:space="preserve">4.1.3 Todas las variedades deben estar inscritas en el Catálogo común de variedades de especies de plantas hortícolas de la Unión Europea y/o en la lista española de variedades comerciales de plantas. </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4.1.4 Eliminar antes de la plantación todo el material vegetal que presente síntomas de enfermedad o un crecimiento anormal.</w:t>
      </w:r>
    </w:p>
    <w:p w:rsidR="00412AFB" w:rsidRPr="00993936" w:rsidRDefault="00412AFB" w:rsidP="00412AFB">
      <w:pPr>
        <w:pStyle w:val="Textoindependiente"/>
        <w:rPr>
          <w:rFonts w:cs="Arial"/>
          <w:szCs w:val="22"/>
          <w:lang w:val="es-ES"/>
        </w:rPr>
      </w:pPr>
      <w:r w:rsidRPr="00993936">
        <w:rPr>
          <w:rFonts w:cs="Arial"/>
          <w:szCs w:val="22"/>
          <w:lang w:val="es-ES"/>
        </w:rPr>
        <w:t>4.1.5 El material de plantación, variedades, densidad de plantación y ciclo de cultivo se adaptarán a las condiciones locales, con el objeto de conseguir un producto de calidad con las mínimas intervenciones posibles.</w:t>
      </w:r>
    </w:p>
    <w:p w:rsidR="00412AFB" w:rsidRPr="00993936" w:rsidRDefault="00412AFB" w:rsidP="00412AFB">
      <w:pPr>
        <w:jc w:val="both"/>
        <w:rPr>
          <w:rFonts w:ascii="Arial" w:hAnsi="Arial" w:cs="Arial"/>
          <w:lang w:val="es-ES"/>
        </w:rPr>
      </w:pPr>
      <w:r w:rsidRPr="00993936">
        <w:rPr>
          <w:rFonts w:ascii="Arial" w:hAnsi="Arial" w:cs="Arial"/>
          <w:lang w:val="es-ES"/>
        </w:rPr>
        <w:t>4.1.6 Utilizar, si las hay, variedades resistentes o tolerantes a alguna de las enfermedades importantes de la especie y adaptadas a las condiciones locales, salvo una justificación técnica expresa.</w:t>
      </w:r>
    </w:p>
    <w:p w:rsidR="00412AFB" w:rsidRPr="00993936" w:rsidRDefault="00412AFB" w:rsidP="00412AFB">
      <w:pPr>
        <w:jc w:val="both"/>
        <w:rPr>
          <w:rFonts w:ascii="Arial" w:hAnsi="Arial" w:cs="Arial"/>
          <w:lang w:val="es-ES"/>
        </w:rPr>
      </w:pPr>
      <w:r w:rsidRPr="00993936">
        <w:rPr>
          <w:rFonts w:ascii="Arial" w:hAnsi="Arial" w:cs="Arial"/>
          <w:lang w:val="es-ES"/>
        </w:rPr>
        <w:t xml:space="preserve">4.1.7 En las parcelas de cultivos leñosos, para incorporarse al programa de producción integrada, se controlará previamente la incidencia de problemas fitopatológicos, virosis o problemas fúngicos, que se harán constar en el cuaderno de explotación. </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4.2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4.2.1 El uso de patrones, combinaciones injerto-patrón o variedades particularmente sensibles a determinadas enfermedades de especial incidencia o relevancia establecidas por la Dirección General competente en materia de agricultura.</w:t>
      </w:r>
    </w:p>
    <w:p w:rsidR="00412AFB" w:rsidRPr="00993936" w:rsidRDefault="00412AFB" w:rsidP="00412AFB">
      <w:pPr>
        <w:jc w:val="both"/>
        <w:rPr>
          <w:rFonts w:ascii="Arial" w:hAnsi="Arial" w:cs="Arial"/>
          <w:lang w:val="es-ES"/>
        </w:rPr>
      </w:pPr>
      <w:r w:rsidRPr="00993936">
        <w:rPr>
          <w:rFonts w:ascii="Arial" w:hAnsi="Arial" w:cs="Arial"/>
          <w:lang w:val="es-ES"/>
        </w:rPr>
        <w:t xml:space="preserve">4.3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4.3.1 Se escogerán preferentemente las variedades más adecuadas a la zona y el periodo de cultivo, con el objeto de conseguir un fruto de calidad con las mínimas intervenciones posibles. </w:t>
      </w:r>
    </w:p>
    <w:p w:rsidR="00412AFB" w:rsidRPr="00993936" w:rsidRDefault="00412AFB" w:rsidP="00412AFB">
      <w:pPr>
        <w:jc w:val="both"/>
        <w:rPr>
          <w:rFonts w:ascii="Arial" w:hAnsi="Arial" w:cs="Arial"/>
          <w:lang w:val="es-ES"/>
        </w:rPr>
      </w:pPr>
      <w:r w:rsidRPr="00993936">
        <w:rPr>
          <w:rFonts w:ascii="Arial" w:hAnsi="Arial" w:cs="Arial"/>
          <w:lang w:val="es-ES"/>
        </w:rPr>
        <w:t>4.3.2 Conocer el grado de susceptibilidad de la variedad o las variedades elegidas de plagas y enfermedades.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5</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Características de la plantación</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5.1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5.1.1 La distancia entre árboles debe permitir el adecuado desarrollo de la combinación variedad-portainjerto elegida y asegurar que cada árbol dispone del suficiente espacio a lo largo de su vida, sin necesidad de llevar a cabo podas fuertes.</w:t>
      </w:r>
    </w:p>
    <w:p w:rsidR="00412AFB" w:rsidRPr="00993936" w:rsidRDefault="00412AFB" w:rsidP="00412AFB">
      <w:pPr>
        <w:jc w:val="both"/>
        <w:rPr>
          <w:rFonts w:ascii="Arial" w:hAnsi="Arial" w:cs="Arial"/>
          <w:lang w:val="es-ES"/>
        </w:rPr>
      </w:pPr>
      <w:r w:rsidRPr="00993936">
        <w:rPr>
          <w:rFonts w:ascii="Arial" w:hAnsi="Arial" w:cs="Arial"/>
          <w:lang w:val="es-ES"/>
        </w:rPr>
        <w:t>5.1.2 Plantar polinizadores en las nuevas plantaciones que se establezcan para la obtención de una fruta de calidad.</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5.2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5.2.1 En plantaciones adultas que no tengan polinizadores, establecer agentes polinizantes para regularizar su producción y la obtención de una fruta de calidad. Los polinizadores deberán distribuirse uniformemente y en una proporción mínima del 20</w:t>
      </w:r>
      <w:r w:rsidR="007006E6" w:rsidRPr="00993936">
        <w:rPr>
          <w:rFonts w:ascii="Arial" w:hAnsi="Arial" w:cs="Arial"/>
          <w:lang w:val="es-ES"/>
        </w:rPr>
        <w:t> </w:t>
      </w:r>
      <w:r w:rsidRPr="00993936">
        <w:rPr>
          <w:rFonts w:ascii="Arial" w:hAnsi="Arial" w:cs="Arial"/>
          <w:lang w:val="es-ES"/>
        </w:rPr>
        <w:t>% sobre el total de los árboles de la plantación cuando se dispongan en hileras. Cuando se establezca otra distribución, la distancia entre polinizadores no superará los 18 m.</w:t>
      </w:r>
    </w:p>
    <w:p w:rsidR="00412AFB" w:rsidRPr="00993936" w:rsidRDefault="00412AFB" w:rsidP="00412AFB">
      <w:pPr>
        <w:pStyle w:val="Textoindependiente"/>
        <w:rPr>
          <w:rFonts w:cs="Arial"/>
          <w:szCs w:val="22"/>
          <w:lang w:val="es-ES"/>
        </w:rPr>
      </w:pPr>
      <w:r w:rsidRPr="00993936">
        <w:rPr>
          <w:rFonts w:cs="Arial"/>
          <w:szCs w:val="22"/>
          <w:lang w:val="es-ES"/>
        </w:rPr>
        <w:t>5.2.2 Orientar las filas de la plantación, a ser posible, de norte a sur, para conseguir frutos de maduración y coloración uniformes.</w:t>
      </w: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lastRenderedPageBreak/>
        <w:t>Artículo 6</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Manejo de la plantación y manejo del fruto</w:t>
      </w:r>
    </w:p>
    <w:p w:rsidR="00412AFB" w:rsidRPr="00993936" w:rsidRDefault="00412AFB" w:rsidP="00412AFB">
      <w:pPr>
        <w:jc w:val="both"/>
        <w:rPr>
          <w:rFonts w:ascii="Arial" w:hAnsi="Arial" w:cs="Arial"/>
          <w:b/>
          <w:lang w:val="es-ES"/>
        </w:rPr>
      </w:pPr>
      <w:r w:rsidRPr="00993936">
        <w:rPr>
          <w:rFonts w:ascii="Arial" w:hAnsi="Arial" w:cs="Arial"/>
          <w:b/>
          <w:lang w:val="es-ES"/>
        </w:rPr>
        <w:t>6.1. Fitorreguladores</w:t>
      </w:r>
    </w:p>
    <w:p w:rsidR="00412AFB" w:rsidRPr="00993936" w:rsidRDefault="00412AFB" w:rsidP="00412AFB">
      <w:pPr>
        <w:jc w:val="both"/>
        <w:rPr>
          <w:rFonts w:ascii="Arial" w:hAnsi="Arial" w:cs="Arial"/>
          <w:lang w:val="es-ES"/>
        </w:rPr>
      </w:pPr>
      <w:r w:rsidRPr="00993936">
        <w:rPr>
          <w:rFonts w:ascii="Arial" w:hAnsi="Arial" w:cs="Arial"/>
          <w:lang w:val="es-ES"/>
        </w:rPr>
        <w:t>6.1.1.</w:t>
      </w:r>
      <w:r w:rsidR="007006E6" w:rsidRPr="00993936">
        <w:rPr>
          <w:rFonts w:ascii="Arial" w:hAnsi="Arial" w:cs="Arial"/>
          <w:lang w:val="es-ES"/>
        </w:rPr>
        <w:t xml:space="preserve"> </w:t>
      </w:r>
      <w:r w:rsidRPr="00993936">
        <w:rPr>
          <w:rFonts w:ascii="Arial" w:hAnsi="Arial" w:cs="Arial"/>
          <w:i/>
          <w:lang w:val="es-ES"/>
        </w:rPr>
        <w:t xml:space="preserve">Prohibiciones </w:t>
      </w:r>
    </w:p>
    <w:p w:rsidR="00412AFB" w:rsidRPr="00993936" w:rsidRDefault="00412AFB" w:rsidP="00412AFB">
      <w:pPr>
        <w:jc w:val="both"/>
        <w:rPr>
          <w:rFonts w:ascii="Arial" w:hAnsi="Arial" w:cs="Arial"/>
          <w:lang w:val="es-ES"/>
        </w:rPr>
      </w:pPr>
      <w:r w:rsidRPr="00993936">
        <w:rPr>
          <w:rFonts w:ascii="Arial" w:hAnsi="Arial" w:cs="Arial"/>
          <w:lang w:val="es-ES"/>
        </w:rPr>
        <w:t>6.1.1.1 Queda prohibida la utilización de productos, modificadores de la forma del fruto, colorantes y maduradores de los frutos.</w:t>
      </w:r>
    </w:p>
    <w:p w:rsidR="00412AFB" w:rsidRPr="00993936" w:rsidRDefault="00412AFB" w:rsidP="00412AFB">
      <w:pPr>
        <w:jc w:val="both"/>
        <w:rPr>
          <w:rFonts w:ascii="Arial" w:hAnsi="Arial" w:cs="Arial"/>
          <w:lang w:val="es-ES"/>
        </w:rPr>
      </w:pPr>
      <w:r w:rsidRPr="00993936">
        <w:rPr>
          <w:rFonts w:ascii="Arial" w:hAnsi="Arial" w:cs="Arial"/>
          <w:lang w:val="es-ES"/>
        </w:rPr>
        <w:t xml:space="preserve">6.1.2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6.1.2.1 Como norma de carácter general, se implantarán árboles que tiendan, de forma natural, a un equilibrio vegetativo y productivo. En estos debe ser posible, por una parte, una conducción armónica de la plantación que respete la tendencia natural de la planta, y por otra, que permita la consecución de los procesos de cuajado, desarrollo, crecimiento y maduración del fruto, minimizando las intervenciones con fitorreguladores. </w:t>
      </w:r>
    </w:p>
    <w:p w:rsidR="00412AFB" w:rsidRPr="00993936" w:rsidRDefault="00412AFB" w:rsidP="00412AFB">
      <w:pPr>
        <w:jc w:val="both"/>
        <w:rPr>
          <w:rFonts w:ascii="Arial" w:hAnsi="Arial" w:cs="Arial"/>
          <w:lang w:val="es-ES"/>
        </w:rPr>
      </w:pPr>
      <w:r w:rsidRPr="00993936">
        <w:rPr>
          <w:rFonts w:ascii="Arial" w:hAnsi="Arial" w:cs="Arial"/>
          <w:lang w:val="es-ES"/>
        </w:rPr>
        <w:t>Para el logro del equilibrio vegetativo y productivo, se escogerá cuidadosamente el material vegetal más adecuado en relación con las condiciones de cada finca en particular, tomando en consideración los factores edafoclimáticos y las técnicas productivas (poda, riego, abonado) que queremos emplear.</w:t>
      </w:r>
    </w:p>
    <w:p w:rsidR="00412AFB" w:rsidRPr="00993936" w:rsidRDefault="00412AFB" w:rsidP="00412AFB">
      <w:pPr>
        <w:jc w:val="both"/>
        <w:rPr>
          <w:rFonts w:ascii="Arial" w:hAnsi="Arial" w:cs="Arial"/>
          <w:lang w:val="es-ES"/>
        </w:rPr>
      </w:pPr>
      <w:r w:rsidRPr="00993936">
        <w:rPr>
          <w:rFonts w:ascii="Arial" w:hAnsi="Arial" w:cs="Arial"/>
          <w:lang w:val="es-ES"/>
        </w:rPr>
        <w:t>En este aspecto, se evitará, en lo posible, la implantación de plantaciones que por motivos varietales o de condiciones edafoclimáticas de la parcela tengan fuertemente condicionado su cultivo a la utilización de productos fitorreguladores.</w:t>
      </w:r>
    </w:p>
    <w:p w:rsidR="00412AFB" w:rsidRPr="00993936" w:rsidRDefault="00412AFB" w:rsidP="00412AFB">
      <w:pPr>
        <w:jc w:val="both"/>
        <w:rPr>
          <w:rFonts w:ascii="Arial" w:hAnsi="Arial" w:cs="Arial"/>
          <w:lang w:val="es-ES"/>
        </w:rPr>
      </w:pPr>
      <w:r w:rsidRPr="00993936">
        <w:rPr>
          <w:rFonts w:ascii="Arial" w:hAnsi="Arial" w:cs="Arial"/>
          <w:lang w:val="es-ES"/>
        </w:rPr>
        <w:t>En las plantaciones establecidas de antemano, y donde ya no sea factible la optimización de algunos de los factores mencionados anteriormente, habrá que basar el logro del equilibrio vegetativo y productivo, en lo posible, en operaciones culturales, y, cuando estas no sean suficientes, en la utilización de productos fitorreguladores.</w:t>
      </w:r>
      <w:r w:rsidR="00E03B3B" w:rsidRPr="00993936">
        <w:rPr>
          <w:rFonts w:ascii="Arial" w:hAnsi="Arial" w:cs="Arial"/>
          <w:lang w:val="es-ES"/>
        </w:rPr>
        <w:t xml:space="preserve"> </w:t>
      </w:r>
    </w:p>
    <w:p w:rsidR="00412AFB" w:rsidRPr="00993936" w:rsidRDefault="00412AFB" w:rsidP="00412AFB">
      <w:pPr>
        <w:jc w:val="both"/>
        <w:rPr>
          <w:rFonts w:ascii="Arial" w:hAnsi="Arial" w:cs="Arial"/>
          <w:lang w:val="es-ES"/>
        </w:rPr>
      </w:pPr>
      <w:r w:rsidRPr="00993936">
        <w:rPr>
          <w:rFonts w:ascii="Arial" w:hAnsi="Arial" w:cs="Arial"/>
          <w:lang w:val="es-ES"/>
        </w:rPr>
        <w:t>Quedan autorizados, con la debida justificación, los tratamientos con productos (naturales o sintéticos) a base de fitohormonas que se encuentren de forma natural en la planta (giberelinas, auxinas, citoquininas, etc.) y sus mezclas.</w:t>
      </w:r>
    </w:p>
    <w:p w:rsidR="00412AFB" w:rsidRPr="00993936" w:rsidRDefault="00412AFB" w:rsidP="00412AFB">
      <w:pPr>
        <w:jc w:val="both"/>
        <w:rPr>
          <w:rFonts w:ascii="Arial" w:hAnsi="Arial" w:cs="Arial"/>
          <w:lang w:val="es-ES"/>
        </w:rPr>
      </w:pPr>
      <w:r w:rsidRPr="00993936">
        <w:rPr>
          <w:rFonts w:ascii="Arial" w:hAnsi="Arial" w:cs="Arial"/>
          <w:lang w:val="es-ES"/>
        </w:rPr>
        <w:t xml:space="preserve">De manera particular, en los casos en que por cuestiones de viabilidad económica de las explotaciones sea necesaria una intervención, para cada uno de los momentos críticos del proceso productivo (cuajado, clareo, periodo de susceptibilidad al </w:t>
      </w:r>
      <w:r w:rsidRPr="00993936">
        <w:rPr>
          <w:rFonts w:ascii="Arial" w:hAnsi="Arial" w:cs="Arial"/>
          <w:i/>
          <w:lang w:val="es-ES"/>
        </w:rPr>
        <w:t>russeting</w:t>
      </w:r>
      <w:r w:rsidRPr="00993936">
        <w:rPr>
          <w:rFonts w:ascii="Arial" w:hAnsi="Arial" w:cs="Arial"/>
          <w:lang w:val="es-ES"/>
        </w:rPr>
        <w:t xml:space="preserve"> —rugosidad—, caída fisiológica...), así como el control de crecimiento vegetativo, se autoriza el uso de sustancias fitorreguladores legalmente autorizadas.</w:t>
      </w:r>
    </w:p>
    <w:p w:rsidR="00412AFB" w:rsidRPr="00993936" w:rsidRDefault="00412AFB" w:rsidP="00412AFB">
      <w:pPr>
        <w:jc w:val="both"/>
        <w:rPr>
          <w:rFonts w:ascii="Arial" w:hAnsi="Arial" w:cs="Arial"/>
          <w:lang w:val="es-ES"/>
        </w:rPr>
      </w:pPr>
      <w:r w:rsidRPr="00993936">
        <w:rPr>
          <w:rFonts w:ascii="Arial" w:hAnsi="Arial" w:cs="Arial"/>
          <w:lang w:val="es-ES"/>
        </w:rPr>
        <w:t>Para realizar tratamientos con fitorreguladores, habrá que disponer en todos los casos de la autorización expresa del miembro del personal técnico responsable de producción integrada.</w:t>
      </w:r>
    </w:p>
    <w:p w:rsidR="00412AFB" w:rsidRPr="00993936" w:rsidRDefault="00412AFB" w:rsidP="00412AFB">
      <w:pPr>
        <w:jc w:val="both"/>
        <w:outlineLvl w:val="0"/>
        <w:rPr>
          <w:rFonts w:ascii="Arial" w:hAnsi="Arial" w:cs="Arial"/>
          <w:b/>
          <w:lang w:val="es-ES"/>
        </w:rPr>
      </w:pPr>
    </w:p>
    <w:p w:rsidR="00412AFB" w:rsidRPr="00993936" w:rsidRDefault="00412AFB" w:rsidP="00412AFB">
      <w:pPr>
        <w:jc w:val="both"/>
        <w:outlineLvl w:val="0"/>
        <w:rPr>
          <w:rFonts w:ascii="Arial" w:hAnsi="Arial" w:cs="Arial"/>
          <w:b/>
          <w:lang w:val="es-ES"/>
        </w:rPr>
      </w:pPr>
      <w:r w:rsidRPr="00993936">
        <w:rPr>
          <w:rFonts w:ascii="Arial" w:hAnsi="Arial" w:cs="Arial"/>
          <w:b/>
          <w:lang w:val="es-ES"/>
        </w:rPr>
        <w:t>6.2 Aclareo</w:t>
      </w:r>
    </w:p>
    <w:p w:rsidR="00412AFB" w:rsidRPr="00993936" w:rsidRDefault="00412AFB" w:rsidP="00412AFB">
      <w:pPr>
        <w:jc w:val="both"/>
        <w:rPr>
          <w:rFonts w:ascii="Arial" w:hAnsi="Arial" w:cs="Arial"/>
          <w:lang w:val="es-ES"/>
        </w:rPr>
      </w:pPr>
      <w:r w:rsidRPr="00993936">
        <w:rPr>
          <w:rFonts w:ascii="Arial" w:hAnsi="Arial" w:cs="Arial"/>
          <w:lang w:val="es-ES"/>
        </w:rPr>
        <w:t xml:space="preserve">6.2.1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6.2.1.1 El aclareo tiene como propósito la eliminación de los excesos de producción con una doble finalidad: obtener calibres comercialmente aceptables y estabilizar las producciones anuales dentro del ciclo productivo de la plantación.</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Dentro de la producción integrada, se aceptará tanto el aclareo manual como el químico.</w:t>
      </w:r>
    </w:p>
    <w:p w:rsidR="00412AFB" w:rsidRPr="00993936" w:rsidRDefault="00412AFB" w:rsidP="00412AFB">
      <w:pPr>
        <w:jc w:val="both"/>
        <w:rPr>
          <w:rFonts w:ascii="Arial" w:hAnsi="Arial" w:cs="Arial"/>
          <w:lang w:val="es-ES"/>
        </w:rPr>
      </w:pPr>
      <w:r w:rsidRPr="00993936">
        <w:rPr>
          <w:rFonts w:ascii="Arial" w:hAnsi="Arial" w:cs="Arial"/>
          <w:lang w:val="es-ES"/>
        </w:rPr>
        <w:t>En el aclareo químico, se aceptan los productos legalmente autorizados a base de auxinas y símil-auxinas de síntesis, previstos en esta norma.</w:t>
      </w:r>
      <w:r w:rsidR="00E03B3B" w:rsidRPr="00993936">
        <w:rPr>
          <w:rFonts w:ascii="Arial" w:hAnsi="Arial" w:cs="Arial"/>
          <w:lang w:val="es-ES"/>
        </w:rPr>
        <w:t xml:space="preserve"> </w:t>
      </w:r>
    </w:p>
    <w:p w:rsidR="00412AFB" w:rsidRPr="00993936" w:rsidRDefault="00412AFB" w:rsidP="00412AFB">
      <w:pPr>
        <w:jc w:val="both"/>
        <w:rPr>
          <w:rFonts w:ascii="Arial" w:hAnsi="Arial" w:cs="Arial"/>
          <w:lang w:val="es-ES"/>
        </w:rPr>
      </w:pPr>
      <w:bookmarkStart w:id="6" w:name="OLE_LINK2"/>
    </w:p>
    <w:p w:rsidR="00412AFB" w:rsidRPr="00993936" w:rsidRDefault="00412AFB" w:rsidP="00412AFB">
      <w:pPr>
        <w:jc w:val="both"/>
        <w:outlineLvl w:val="0"/>
        <w:rPr>
          <w:rFonts w:ascii="Arial" w:hAnsi="Arial" w:cs="Arial"/>
          <w:b/>
          <w:lang w:val="es-ES"/>
        </w:rPr>
      </w:pPr>
      <w:r w:rsidRPr="00993936">
        <w:rPr>
          <w:rFonts w:ascii="Arial" w:hAnsi="Arial" w:cs="Arial"/>
          <w:b/>
          <w:lang w:val="es-ES"/>
        </w:rPr>
        <w:t>6.3 Cuajado</w:t>
      </w:r>
    </w:p>
    <w:bookmarkEnd w:id="6"/>
    <w:p w:rsidR="00412AFB" w:rsidRPr="00993936" w:rsidRDefault="00412AFB" w:rsidP="00412AFB">
      <w:pPr>
        <w:jc w:val="both"/>
        <w:rPr>
          <w:rFonts w:ascii="Arial" w:hAnsi="Arial" w:cs="Arial"/>
          <w:lang w:val="es-ES"/>
        </w:rPr>
      </w:pPr>
      <w:r w:rsidRPr="00993936">
        <w:rPr>
          <w:rFonts w:ascii="Arial" w:hAnsi="Arial" w:cs="Arial"/>
          <w:lang w:val="es-ES"/>
        </w:rPr>
        <w:t xml:space="preserve">6.3.1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6.3.1.1 Será necesario diseñar las plantaciones para alcanzar de forma natural unos índices de cuajado que garanticen unos niveles de cosecha aceptables. </w:t>
      </w:r>
    </w:p>
    <w:p w:rsidR="00412AFB" w:rsidRPr="00993936" w:rsidRDefault="00412AFB" w:rsidP="00412AFB">
      <w:pPr>
        <w:pStyle w:val="Textoindependiente"/>
        <w:rPr>
          <w:rFonts w:cs="Arial"/>
          <w:szCs w:val="22"/>
          <w:lang w:val="es-ES"/>
        </w:rPr>
      </w:pPr>
      <w:r w:rsidRPr="00993936">
        <w:rPr>
          <w:rFonts w:cs="Arial"/>
          <w:szCs w:val="22"/>
          <w:lang w:val="es-ES"/>
        </w:rPr>
        <w:t>En los casos en que, por condiciones desfavorables para la polinización o cuajado —ya sean de origen climático o inherentes a la propia plantación—, sean necesarias, podrán realizarse intervenciones con los productos favorecedores del cuajado previstos en esta norma.</w:t>
      </w:r>
      <w:r w:rsidR="00E03B3B" w:rsidRPr="00993936">
        <w:rPr>
          <w:rFonts w:cs="Arial"/>
          <w:szCs w:val="22"/>
          <w:lang w:val="es-ES"/>
        </w:rPr>
        <w:t xml:space="preserve"> </w:t>
      </w:r>
    </w:p>
    <w:p w:rsidR="00412AFB" w:rsidRPr="00993936" w:rsidRDefault="00412AFB" w:rsidP="00412AFB">
      <w:pPr>
        <w:jc w:val="both"/>
        <w:rPr>
          <w:rFonts w:ascii="Arial" w:hAnsi="Arial" w:cs="Arial"/>
          <w:b/>
          <w:lang w:val="es-ES"/>
        </w:rPr>
      </w:pPr>
    </w:p>
    <w:p w:rsidR="00412AFB" w:rsidRPr="00993936" w:rsidRDefault="00412AFB" w:rsidP="00962CCD">
      <w:pPr>
        <w:pStyle w:val="Ttulo8"/>
        <w:rPr>
          <w:rFonts w:ascii="Arial" w:hAnsi="Arial" w:cs="Arial"/>
          <w:b/>
          <w:color w:val="auto"/>
          <w:sz w:val="22"/>
          <w:szCs w:val="22"/>
          <w:lang w:val="es-ES"/>
        </w:rPr>
      </w:pPr>
      <w:r w:rsidRPr="00993936">
        <w:rPr>
          <w:rFonts w:ascii="Arial" w:hAnsi="Arial" w:cs="Arial"/>
          <w:b/>
          <w:color w:val="auto"/>
          <w:sz w:val="22"/>
          <w:szCs w:val="22"/>
          <w:lang w:val="es-ES"/>
        </w:rPr>
        <w:t xml:space="preserve">6.4 </w:t>
      </w:r>
      <w:r w:rsidRPr="00993936">
        <w:rPr>
          <w:rFonts w:ascii="Arial" w:hAnsi="Arial" w:cs="Arial"/>
          <w:b/>
          <w:i/>
          <w:color w:val="auto"/>
          <w:sz w:val="22"/>
          <w:szCs w:val="22"/>
          <w:lang w:val="es-ES"/>
        </w:rPr>
        <w:t>Russeting</w:t>
      </w:r>
    </w:p>
    <w:p w:rsidR="00412AFB" w:rsidRPr="00993936" w:rsidRDefault="00412AFB" w:rsidP="00412AFB">
      <w:pPr>
        <w:jc w:val="both"/>
        <w:rPr>
          <w:rFonts w:ascii="Arial" w:hAnsi="Arial" w:cs="Arial"/>
          <w:lang w:val="es-ES"/>
        </w:rPr>
      </w:pPr>
      <w:r w:rsidRPr="00993936">
        <w:rPr>
          <w:rFonts w:ascii="Arial" w:hAnsi="Arial" w:cs="Arial"/>
          <w:lang w:val="es-ES"/>
        </w:rPr>
        <w:t xml:space="preserve">6.4.1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6.4.1.1 Cuando el objetivo sea la obtención de cosechas libres de </w:t>
      </w:r>
      <w:r w:rsidRPr="00993936">
        <w:rPr>
          <w:rFonts w:ascii="Arial" w:hAnsi="Arial" w:cs="Arial"/>
          <w:i/>
          <w:lang w:val="es-ES"/>
        </w:rPr>
        <w:t>russeting</w:t>
      </w:r>
      <w:r w:rsidRPr="00993936">
        <w:rPr>
          <w:rFonts w:ascii="Arial" w:hAnsi="Arial" w:cs="Arial"/>
          <w:lang w:val="es-ES"/>
        </w:rPr>
        <w:t xml:space="preserve"> se aplicarán medidas de preplantación que deben tener en cuenta la susceptibilidad varietal y los factores edafoclimáticos, sobre todo de microclima, de las parcelas en las que se va a plantar.</w:t>
      </w:r>
    </w:p>
    <w:p w:rsidR="00412AFB" w:rsidRPr="00993936" w:rsidRDefault="00412AFB" w:rsidP="00412AFB">
      <w:pPr>
        <w:jc w:val="both"/>
        <w:rPr>
          <w:rFonts w:ascii="Arial" w:hAnsi="Arial" w:cs="Arial"/>
          <w:lang w:val="es-ES"/>
        </w:rPr>
      </w:pPr>
      <w:r w:rsidRPr="00993936">
        <w:rPr>
          <w:rFonts w:ascii="Arial" w:hAnsi="Arial" w:cs="Arial"/>
          <w:lang w:val="es-ES"/>
        </w:rPr>
        <w:t xml:space="preserve">Si se dan condiciones climáticas favorables a la aparición de </w:t>
      </w:r>
      <w:r w:rsidRPr="00993936">
        <w:rPr>
          <w:rFonts w:ascii="Arial" w:hAnsi="Arial" w:cs="Arial"/>
          <w:i/>
          <w:lang w:val="es-ES"/>
        </w:rPr>
        <w:t>russeting</w:t>
      </w:r>
      <w:r w:rsidR="007006E6" w:rsidRPr="00993936">
        <w:rPr>
          <w:rFonts w:ascii="Arial" w:hAnsi="Arial" w:cs="Arial"/>
          <w:i/>
          <w:lang w:val="es-ES"/>
        </w:rPr>
        <w:t xml:space="preserve"> </w:t>
      </w:r>
      <w:r w:rsidRPr="00993936">
        <w:rPr>
          <w:rFonts w:ascii="Arial" w:hAnsi="Arial" w:cs="Arial"/>
          <w:lang w:val="es-ES"/>
        </w:rPr>
        <w:t>podrán realizarse intervenciones con los productos que combatan este problema previstos en esta norma.</w:t>
      </w:r>
      <w:r w:rsidR="00E03B3B" w:rsidRPr="00993936">
        <w:rPr>
          <w:rFonts w:ascii="Arial" w:hAnsi="Arial" w:cs="Arial"/>
          <w:lang w:val="es-ES"/>
        </w:rPr>
        <w:t xml:space="preserve"> </w:t>
      </w:r>
    </w:p>
    <w:p w:rsidR="00412AFB" w:rsidRPr="00993936" w:rsidRDefault="00412AFB" w:rsidP="00412AFB">
      <w:pPr>
        <w:jc w:val="both"/>
        <w:rPr>
          <w:rFonts w:ascii="Arial" w:hAnsi="Arial" w:cs="Arial"/>
          <w:b/>
          <w:lang w:val="es-ES"/>
        </w:rPr>
      </w:pPr>
    </w:p>
    <w:p w:rsidR="00412AFB" w:rsidRPr="00993936" w:rsidRDefault="00412AFB" w:rsidP="00412AFB">
      <w:pPr>
        <w:jc w:val="both"/>
        <w:outlineLvl w:val="0"/>
        <w:rPr>
          <w:rFonts w:ascii="Arial" w:hAnsi="Arial" w:cs="Arial"/>
          <w:b/>
          <w:lang w:val="es-ES"/>
        </w:rPr>
      </w:pPr>
      <w:r w:rsidRPr="00993936">
        <w:rPr>
          <w:rFonts w:ascii="Arial" w:hAnsi="Arial" w:cs="Arial"/>
          <w:b/>
          <w:lang w:val="es-ES"/>
        </w:rPr>
        <w:t>6.5 Control de vigor</w:t>
      </w:r>
    </w:p>
    <w:p w:rsidR="00412AFB" w:rsidRPr="00993936" w:rsidRDefault="00412AFB" w:rsidP="00412AFB">
      <w:pPr>
        <w:jc w:val="both"/>
        <w:rPr>
          <w:rFonts w:ascii="Arial" w:hAnsi="Arial" w:cs="Arial"/>
          <w:lang w:val="es-ES"/>
        </w:rPr>
      </w:pPr>
      <w:r w:rsidRPr="00993936">
        <w:rPr>
          <w:rFonts w:ascii="Arial" w:hAnsi="Arial" w:cs="Arial"/>
          <w:lang w:val="es-ES"/>
        </w:rPr>
        <w:t xml:space="preserve">6.5.1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6.5.1.1 El control de vigor se realizará preferentemente combinando la poda con la racionalización del resto de las técnicas productivas, especialmente por lo que se refiere al riego y la fertilización.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En los casos en que no sea posible el control con estas medidas y, en consecuencia, puedan derivarse situaciones de desequilibrios vegetativos que después puedan incidir sobre la producción, podrán aplicarse productos reguladores del crecimiento del grupo de los inhibidores de las giberelinas previstos en esta norma.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6.6 Poda</w:t>
      </w:r>
    </w:p>
    <w:p w:rsidR="00412AFB" w:rsidRPr="00993936" w:rsidRDefault="00412AFB" w:rsidP="00412AFB">
      <w:pPr>
        <w:jc w:val="both"/>
        <w:rPr>
          <w:rFonts w:ascii="Arial" w:hAnsi="Arial" w:cs="Arial"/>
          <w:lang w:val="es-ES"/>
        </w:rPr>
      </w:pPr>
      <w:r w:rsidRPr="00993936">
        <w:rPr>
          <w:rFonts w:ascii="Arial" w:hAnsi="Arial" w:cs="Arial"/>
          <w:lang w:val="es-ES"/>
        </w:rPr>
        <w:t xml:space="preserve">6.6.1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6.6.1.1 La poda se llevará a cabo con un planteamiento técnico, teniendo en cuenta los principios fundamentales que rigen esta práctica, para maximizar su eficacia y rentabilidad.</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6.6.1.2 El sistema de poda ha de respetar el estado fisiológico óptimo del árbol, permitir un buen aireado y una buena penetración de la luz y de los tratamientos; asimismo, debe mantener una adecuada relación hojas/frutos. El exceso de vigor se corregirá preferentemente mediante prácticas culturales, además de la poda.</w:t>
      </w:r>
    </w:p>
    <w:p w:rsidR="00412AFB" w:rsidRPr="00993936" w:rsidRDefault="00412AFB" w:rsidP="00412AFB">
      <w:pPr>
        <w:jc w:val="both"/>
        <w:rPr>
          <w:rFonts w:ascii="Arial" w:hAnsi="Arial" w:cs="Arial"/>
          <w:lang w:val="es-ES"/>
        </w:rPr>
      </w:pPr>
      <w:r w:rsidRPr="00993936">
        <w:rPr>
          <w:rFonts w:ascii="Arial" w:hAnsi="Arial" w:cs="Arial"/>
          <w:lang w:val="es-ES"/>
        </w:rPr>
        <w:t>6.6.1.3 La poda en verde se llevará a cabo con instrumentos cortantes, como tijeras, cuchillos y otros, salvo los pinzamientos, que podrán realizarse manualmente.</w:t>
      </w:r>
    </w:p>
    <w:p w:rsidR="00412AFB" w:rsidRPr="00993936" w:rsidRDefault="00412AFB" w:rsidP="00412AFB">
      <w:pPr>
        <w:jc w:val="both"/>
        <w:rPr>
          <w:rFonts w:ascii="Arial" w:hAnsi="Arial" w:cs="Arial"/>
          <w:lang w:val="es-ES"/>
        </w:rPr>
      </w:pPr>
      <w:r w:rsidRPr="00993936">
        <w:rPr>
          <w:rFonts w:ascii="Arial" w:hAnsi="Arial" w:cs="Arial"/>
          <w:lang w:val="es-ES"/>
        </w:rPr>
        <w:t>6.6.1.4 Desinfectar o sustituir los guantes y los instrumentos de poda cuando se cambie de parcela o de variedad, en caso de haber riesgo de propagación de problemas fitosanitarios.</w:t>
      </w:r>
      <w:r w:rsidRPr="00993936" w:rsidDel="004C0492">
        <w:rPr>
          <w:rFonts w:ascii="Arial" w:hAnsi="Arial" w:cs="Arial"/>
          <w:lang w:val="es-ES"/>
        </w:rPr>
        <w:t xml:space="preserve"> </w:t>
      </w:r>
    </w:p>
    <w:p w:rsidR="00412AFB" w:rsidRPr="00993936" w:rsidRDefault="00412AFB" w:rsidP="00412AFB">
      <w:pPr>
        <w:jc w:val="both"/>
        <w:rPr>
          <w:rFonts w:ascii="Arial" w:hAnsi="Arial" w:cs="Arial"/>
          <w:lang w:val="es-ES"/>
        </w:rPr>
      </w:pPr>
      <w:r w:rsidRPr="00993936">
        <w:rPr>
          <w:rFonts w:ascii="Arial" w:hAnsi="Arial" w:cs="Arial"/>
          <w:lang w:val="es-ES"/>
        </w:rPr>
        <w:t>6.6.1.5 El equilibrio de los árboles deberá controlarse de manera prioritaria con medidas culturales, como la fertilización, un adecuado suministro de agua, la poda de verano y/o la regulación del número de frutos cuajados. Cuando a través de estas técnicas no sea posible mantener el equilibrio, podrá justificarse la utilización de fitorreguladores de síntesis para controlar el crecimiento del árbol.</w:t>
      </w:r>
    </w:p>
    <w:p w:rsidR="00412AFB" w:rsidRPr="00993936" w:rsidRDefault="00412AFB" w:rsidP="00412AFB">
      <w:pPr>
        <w:jc w:val="both"/>
        <w:rPr>
          <w:rFonts w:ascii="Arial" w:hAnsi="Arial" w:cs="Arial"/>
          <w:lang w:val="es-ES"/>
        </w:rPr>
      </w:pPr>
      <w:r w:rsidRPr="00993936">
        <w:rPr>
          <w:rFonts w:ascii="Arial" w:hAnsi="Arial" w:cs="Arial"/>
          <w:lang w:val="es-ES"/>
        </w:rPr>
        <w:t xml:space="preserve">6.6.2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6.6.2.1 Quemar de forma incontrolada los restos de poda.</w:t>
      </w:r>
    </w:p>
    <w:p w:rsidR="00412AFB" w:rsidRPr="00993936" w:rsidRDefault="00412AFB" w:rsidP="00412AFB">
      <w:pPr>
        <w:jc w:val="both"/>
        <w:rPr>
          <w:rFonts w:ascii="Arial" w:hAnsi="Arial" w:cs="Arial"/>
          <w:lang w:val="es-ES"/>
        </w:rPr>
      </w:pPr>
      <w:r w:rsidRPr="00993936">
        <w:rPr>
          <w:rFonts w:ascii="Arial" w:hAnsi="Arial" w:cs="Arial"/>
          <w:lang w:val="es-ES"/>
        </w:rPr>
        <w:t xml:space="preserve">6.6.2.2 Abandonar los restos de poda, no procesados, en la parcela o en sus márgenes. </w:t>
      </w:r>
    </w:p>
    <w:p w:rsidR="00412AFB" w:rsidRPr="00993936" w:rsidRDefault="00412AFB" w:rsidP="00412AFB">
      <w:pPr>
        <w:jc w:val="both"/>
        <w:rPr>
          <w:rFonts w:ascii="Arial" w:hAnsi="Arial" w:cs="Arial"/>
          <w:lang w:val="es-ES"/>
        </w:rPr>
      </w:pPr>
      <w:r w:rsidRPr="00993936">
        <w:rPr>
          <w:rFonts w:ascii="Arial" w:hAnsi="Arial" w:cs="Arial"/>
          <w:lang w:val="es-ES"/>
        </w:rPr>
        <w:t xml:space="preserve">6.6.3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6.6.3.1 Trocear y triturar los restos de poda.</w:t>
      </w:r>
    </w:p>
    <w:p w:rsidR="00412AFB" w:rsidRPr="00993936" w:rsidRDefault="00412AFB" w:rsidP="00412AFB">
      <w:pPr>
        <w:jc w:val="both"/>
        <w:outlineLvl w:val="0"/>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7</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Fertilización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7.1 </w:t>
      </w:r>
      <w:r w:rsidRPr="00993936">
        <w:rPr>
          <w:rFonts w:ascii="Arial" w:hAnsi="Arial" w:cs="Arial"/>
          <w:i/>
          <w:lang w:val="es-ES"/>
        </w:rPr>
        <w:t>Obligaciones</w:t>
      </w:r>
    </w:p>
    <w:p w:rsidR="00412AFB" w:rsidRPr="00993936" w:rsidRDefault="00412AFB" w:rsidP="00412AFB">
      <w:pPr>
        <w:jc w:val="both"/>
        <w:rPr>
          <w:rFonts w:ascii="Arial" w:hAnsi="Arial" w:cs="Arial"/>
          <w:i/>
          <w:lang w:val="es-ES"/>
        </w:rPr>
      </w:pPr>
      <w:r w:rsidRPr="00993936">
        <w:rPr>
          <w:rFonts w:ascii="Arial" w:hAnsi="Arial" w:cs="Arial"/>
          <w:lang w:val="es-ES"/>
        </w:rPr>
        <w:t>7.1.1 En las nuevas plantaciones, previamente a la plantación, se realizarán análisis del suelo y del agua de riego. Los resultados de estos análisis determinarán la fertilización de fondo previa a la plantación. Los análisis efectuarán de nuevo cada cinco años</w:t>
      </w:r>
      <w:r w:rsidRPr="00993936">
        <w:rPr>
          <w:rFonts w:ascii="Arial" w:hAnsi="Arial" w:cs="Arial"/>
          <w:i/>
          <w:lang w:val="es-ES"/>
        </w:rPr>
        <w:t>.</w:t>
      </w:r>
    </w:p>
    <w:p w:rsidR="00412AFB" w:rsidRPr="00993936" w:rsidRDefault="00412AFB" w:rsidP="00412AFB">
      <w:pPr>
        <w:pStyle w:val="Textoindependiente"/>
        <w:rPr>
          <w:rFonts w:cs="Arial"/>
          <w:szCs w:val="22"/>
          <w:lang w:val="es-ES"/>
        </w:rPr>
      </w:pPr>
      <w:r w:rsidRPr="00993936">
        <w:rPr>
          <w:rFonts w:cs="Arial"/>
          <w:szCs w:val="22"/>
          <w:lang w:val="es-ES"/>
        </w:rPr>
        <w:t>7.1.2 En plantaciones establecidas, cada explotación deberá realizar y disponer, de forma justificada, de análisis de suelos y del agua de riego para planificar la fertilización. Los análisis se realizarán cada cinco años.</w:t>
      </w:r>
    </w:p>
    <w:p w:rsidR="00412AFB" w:rsidRPr="00993936" w:rsidRDefault="00412AFB" w:rsidP="00412AFB">
      <w:pPr>
        <w:pStyle w:val="Textoindependiente"/>
        <w:ind w:left="705"/>
        <w:rPr>
          <w:rFonts w:cs="Arial"/>
          <w:szCs w:val="22"/>
          <w:lang w:val="es-ES"/>
        </w:rPr>
      </w:pPr>
      <w:r w:rsidRPr="00993936">
        <w:rPr>
          <w:rFonts w:cs="Arial"/>
          <w:szCs w:val="22"/>
          <w:lang w:val="es-ES"/>
        </w:rPr>
        <w:t>7.1.2.1 En caso de que el abastecimiento del agua de riego provenga de una comunidad de regantes u otra entidad similar, el cumplimiento del requisito indicado podrá justificarse con la disposición de una analítica de agua, efectuada por alguna de las entidades indicadas, siempre que incluya los parámetros que se indican en el artículo 9.1.</w:t>
      </w:r>
    </w:p>
    <w:p w:rsidR="00412AFB" w:rsidRPr="00993936" w:rsidRDefault="00412AFB" w:rsidP="00412AFB">
      <w:pPr>
        <w:pStyle w:val="Textoindependiente"/>
        <w:ind w:left="705"/>
        <w:rPr>
          <w:rFonts w:cs="Arial"/>
          <w:szCs w:val="22"/>
          <w:lang w:val="es-ES"/>
        </w:rPr>
      </w:pPr>
      <w:r w:rsidRPr="00993936">
        <w:rPr>
          <w:rFonts w:cs="Arial"/>
          <w:szCs w:val="22"/>
          <w:lang w:val="es-ES"/>
        </w:rPr>
        <w:t>7.1.2.2 En caso de que el abastecimiento del agua de riego provenga de un pozo, los análisis se llevarán a cabo como mínimo cada dos años. Cuando los resultados de dos analíticas consecutivas del agua, realizadas en el plazo señalado, sean similares estas podrán realizarse cada cinco años.</w:t>
      </w:r>
    </w:p>
    <w:p w:rsidR="00412AFB" w:rsidRPr="00993936" w:rsidRDefault="00412AFB" w:rsidP="00412AFB">
      <w:pPr>
        <w:pStyle w:val="Textoindependiente"/>
        <w:rPr>
          <w:rFonts w:cs="Arial"/>
          <w:szCs w:val="22"/>
          <w:lang w:val="es-ES"/>
        </w:rPr>
      </w:pPr>
      <w:r w:rsidRPr="00993936">
        <w:rPr>
          <w:rFonts w:cs="Arial"/>
          <w:szCs w:val="22"/>
          <w:lang w:val="es-ES"/>
        </w:rPr>
        <w:t>El número de análisis que se efectuarán será como mínimo un análisis del suelo por unidad homogénea de cultivo. Cuando se integre una UHC al sistema de producción integrada deberá realizarse un análisis físico y químico siempre que no se disponga de uno efectuado en un periodo de tiempo inferior a cinco años.</w:t>
      </w:r>
    </w:p>
    <w:p w:rsidR="00412AFB" w:rsidRPr="00993936" w:rsidRDefault="00412AFB" w:rsidP="00412AFB">
      <w:pPr>
        <w:pStyle w:val="Textoindependiente"/>
        <w:rPr>
          <w:rFonts w:cs="Arial"/>
          <w:szCs w:val="22"/>
          <w:lang w:val="es-ES"/>
        </w:rPr>
      </w:pPr>
      <w:r w:rsidRPr="00993936">
        <w:rPr>
          <w:rFonts w:cs="Arial"/>
          <w:szCs w:val="22"/>
          <w:lang w:val="es-ES"/>
        </w:rPr>
        <w:lastRenderedPageBreak/>
        <w:t xml:space="preserve">7.1.3 Todas las analíticas de suelo incluirán, al menos, la determinación de fósforo, potasio y magnesio asimilables, la materia orgánica, la prueba previa de salinidad y, si procede, el análisis de sales solubles. En la primera analítica se incluirá, además, la determinación de textura y pH, y en caso de establecer una nueva plantación, la determinación de carbonatos y cal activa. </w:t>
      </w:r>
    </w:p>
    <w:p w:rsidR="00412AFB" w:rsidRPr="00993936" w:rsidRDefault="00412AFB" w:rsidP="00412AFB">
      <w:pPr>
        <w:jc w:val="both"/>
        <w:rPr>
          <w:rFonts w:ascii="Arial" w:hAnsi="Arial" w:cs="Arial"/>
          <w:lang w:val="es-ES"/>
        </w:rPr>
      </w:pPr>
      <w:r w:rsidRPr="00993936">
        <w:rPr>
          <w:rFonts w:ascii="Arial" w:hAnsi="Arial" w:cs="Arial"/>
          <w:lang w:val="es-ES"/>
        </w:rPr>
        <w:t>7.1.4 A partir del tercer año de la plantación se hará un seguimiento de su estado nutritivo mediante análisis foliares realizados cada año entre finales de primavera y verano. El análisis de las hojas servirá para conocer la respuesta de la planta al programa de fertilización, corregir las desviaciones que puedan producirse y validar los programas de abono. Cada explotación deberá disponer de análisis foliares. El número de análisis foliares que habrá que realizar anualmente será, como mínimo, de un análisis por UHC. En cada UHC se analizarán, al menos, los nutrientes mayoritarios (N, P, K, Ca y Mg). Si hay síntomas de deficiencia o se utilizan fertilizantes con oligoelementos, deberán incluirse los microelementos en los análisis, al menos Fe, Mn, Cu y Zn o bien aquellos de los que se requiera la aportación.</w:t>
      </w:r>
    </w:p>
    <w:p w:rsidR="00412AFB" w:rsidRPr="00993936" w:rsidRDefault="00412AFB" w:rsidP="00412AFB">
      <w:pPr>
        <w:jc w:val="both"/>
        <w:rPr>
          <w:rFonts w:ascii="Arial" w:hAnsi="Arial" w:cs="Arial"/>
          <w:lang w:val="es-ES"/>
        </w:rPr>
      </w:pPr>
      <w:r w:rsidRPr="00993936">
        <w:rPr>
          <w:rFonts w:ascii="Arial" w:hAnsi="Arial" w:cs="Arial"/>
          <w:lang w:val="es-ES"/>
        </w:rPr>
        <w:t>7.1.5 Las aplicaciones de abonos foliares y oligoelementos requerirán siempre de la disposición de un análisis foliar. Solo se recurrirá a la fertilización foliar cuando el técnico responsable de producción integrada la considere necesaria y siempre en función de las necesidades y exigencias del cultivo.</w:t>
      </w:r>
    </w:p>
    <w:p w:rsidR="00412AFB" w:rsidRPr="00993936" w:rsidRDefault="00412AFB" w:rsidP="00412AFB">
      <w:pPr>
        <w:jc w:val="both"/>
        <w:rPr>
          <w:rFonts w:ascii="Arial" w:hAnsi="Arial" w:cs="Arial"/>
          <w:lang w:val="es-ES"/>
        </w:rPr>
      </w:pPr>
      <w:r w:rsidRPr="00993936">
        <w:rPr>
          <w:rFonts w:ascii="Arial" w:hAnsi="Arial" w:cs="Arial"/>
          <w:lang w:val="es-ES"/>
        </w:rPr>
        <w:t>7.1.6 El suministro de nutrientes se efectuará fundamentalmente a través del sistema radicular.</w:t>
      </w:r>
    </w:p>
    <w:p w:rsidR="00412AFB" w:rsidRPr="00993936" w:rsidRDefault="00412AFB" w:rsidP="00412AFB">
      <w:pPr>
        <w:jc w:val="both"/>
        <w:rPr>
          <w:rFonts w:ascii="Arial" w:hAnsi="Arial" w:cs="Arial"/>
          <w:lang w:val="es-ES"/>
        </w:rPr>
      </w:pPr>
      <w:r w:rsidRPr="00993936">
        <w:rPr>
          <w:rFonts w:ascii="Arial" w:hAnsi="Arial" w:cs="Arial"/>
          <w:lang w:val="es-ES"/>
        </w:rPr>
        <w:t xml:space="preserve">7.1.7 Utilizar los análisis físico y químico del suelo como base para estimar las necesidades de macronutrientes, a excepción del nitrógeno. </w:t>
      </w:r>
    </w:p>
    <w:p w:rsidR="00412AFB" w:rsidRPr="00993936" w:rsidRDefault="00412AFB" w:rsidP="00412AFB">
      <w:pPr>
        <w:jc w:val="both"/>
        <w:rPr>
          <w:rFonts w:ascii="Arial" w:hAnsi="Arial" w:cs="Arial"/>
          <w:lang w:val="es-ES"/>
        </w:rPr>
      </w:pPr>
      <w:r w:rsidRPr="00993936">
        <w:rPr>
          <w:rFonts w:ascii="Arial" w:hAnsi="Arial" w:cs="Arial"/>
          <w:lang w:val="es-ES"/>
        </w:rPr>
        <w:t xml:space="preserve">7.1.8 Diseñar y aplicar un programa de fertilización de macronutrientes para cada cultivo y unidad homogénea de cultivo que considere los resultados de los análisis y tenga en cuenta, además de las extracciones del cultivo, el estado nutricional y de crecimiento, el tipo y nivel de fertilidad del suelo, y las aportaciones realizadas por otras vías (agua y materia orgánica). El programa determinará las épocas y la forma de aplicación más adecuadas para minimizar las pérdidas por lixiviación, erosión, etc., potenciando la aportación de fertilizantes naturales y reduciendo los químicos de síntesis. </w:t>
      </w:r>
    </w:p>
    <w:p w:rsidR="00412AFB" w:rsidRPr="00993936" w:rsidRDefault="00412AFB" w:rsidP="00412AFB">
      <w:pPr>
        <w:jc w:val="both"/>
        <w:rPr>
          <w:rFonts w:ascii="Arial" w:hAnsi="Arial" w:cs="Arial"/>
          <w:lang w:val="es-ES"/>
        </w:rPr>
      </w:pPr>
      <w:r w:rsidRPr="00993936">
        <w:rPr>
          <w:rFonts w:ascii="Arial" w:hAnsi="Arial" w:cs="Arial"/>
          <w:lang w:val="es-ES"/>
        </w:rPr>
        <w:t>7.1.9 La programación ha de tener en cuenta que los fertilizantes que provienen del exterior (aguas, materias orgánicas y fertilización directa) deben compensar las extracciones de las cosechas y las pérdidas técnicas. El plan determinará las épocas y la forma de aplicación más adecuadas, según la extracción periódica del cultivo, para minimizar las pérdidas por lixiviación, volatilización, desnitrificación, erosión, etc.</w:t>
      </w:r>
    </w:p>
    <w:p w:rsidR="00412AFB" w:rsidRPr="00993936" w:rsidRDefault="00412AFB" w:rsidP="00412AFB">
      <w:pPr>
        <w:jc w:val="both"/>
        <w:outlineLvl w:val="0"/>
        <w:rPr>
          <w:rFonts w:ascii="Arial" w:hAnsi="Arial" w:cs="Arial"/>
          <w:lang w:val="es-ES"/>
        </w:rPr>
      </w:pPr>
      <w:r w:rsidRPr="00993936">
        <w:rPr>
          <w:rFonts w:ascii="Arial" w:hAnsi="Arial" w:cs="Arial"/>
          <w:lang w:val="es-ES"/>
        </w:rPr>
        <w:t>7.1.10 Considerando las aportaciones de las diferentes entradas (deyecciones ganaderas, aguas de riego, abonos minerales y otras), se establece el máximo de aportaciones siguientes:</w:t>
      </w:r>
    </w:p>
    <w:p w:rsidR="00412AFB" w:rsidRPr="00993936" w:rsidRDefault="00412AFB" w:rsidP="00412AFB">
      <w:pPr>
        <w:jc w:val="both"/>
        <w:outlineLvl w:val="0"/>
        <w:rPr>
          <w:rFonts w:ascii="Arial" w:hAnsi="Arial" w:cs="Arial"/>
          <w:lang w:val="es-ES"/>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2153"/>
        <w:gridCol w:w="4939"/>
      </w:tblGrid>
      <w:tr w:rsidR="00412AFB" w:rsidRPr="00993936" w:rsidTr="00C8678E">
        <w:tc>
          <w:tcPr>
            <w:tcW w:w="886" w:type="pct"/>
            <w:shd w:val="clear" w:color="auto" w:fill="auto"/>
            <w:vAlign w:val="center"/>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Elemento</w:t>
            </w:r>
          </w:p>
        </w:tc>
        <w:tc>
          <w:tcPr>
            <w:tcW w:w="1249" w:type="pct"/>
            <w:shd w:val="clear" w:color="auto" w:fill="auto"/>
            <w:vAlign w:val="center"/>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Máximo aportaciones</w:t>
            </w:r>
          </w:p>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UF/ha y año</w:t>
            </w:r>
          </w:p>
        </w:tc>
        <w:tc>
          <w:tcPr>
            <w:tcW w:w="2865" w:type="pct"/>
            <w:shd w:val="clear" w:color="auto" w:fill="auto"/>
            <w:vAlign w:val="center"/>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Cultivos y condiciones que considerar</w:t>
            </w:r>
          </w:p>
        </w:tc>
      </w:tr>
      <w:tr w:rsidR="00412AFB" w:rsidRPr="00993936" w:rsidTr="00C8678E">
        <w:tc>
          <w:tcPr>
            <w:tcW w:w="886" w:type="pct"/>
            <w:shd w:val="clear" w:color="auto" w:fill="auto"/>
          </w:tcPr>
          <w:p w:rsidR="00412AFB" w:rsidRPr="00993936" w:rsidRDefault="00E03B3B" w:rsidP="007876F3">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Nitrógeno (N)</w:t>
            </w:r>
          </w:p>
        </w:tc>
        <w:tc>
          <w:tcPr>
            <w:tcW w:w="1249"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80</w:t>
            </w:r>
          </w:p>
        </w:tc>
        <w:tc>
          <w:tcPr>
            <w:tcW w:w="2865"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Manzanos</w:t>
            </w:r>
          </w:p>
        </w:tc>
      </w:tr>
      <w:tr w:rsidR="00412AFB" w:rsidRPr="00993936" w:rsidTr="00C8678E">
        <w:tc>
          <w:tcPr>
            <w:tcW w:w="886" w:type="pct"/>
            <w:shd w:val="clear" w:color="auto" w:fill="auto"/>
          </w:tcPr>
          <w:p w:rsidR="00412AFB" w:rsidRPr="00993936" w:rsidRDefault="00E03B3B" w:rsidP="007876F3">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Nitrógeno (N)</w:t>
            </w:r>
          </w:p>
        </w:tc>
        <w:tc>
          <w:tcPr>
            <w:tcW w:w="1249"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70</w:t>
            </w:r>
          </w:p>
        </w:tc>
        <w:tc>
          <w:tcPr>
            <w:tcW w:w="2865"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Variedades de pera tempranas</w:t>
            </w:r>
          </w:p>
        </w:tc>
      </w:tr>
      <w:tr w:rsidR="00412AFB" w:rsidRPr="00993936" w:rsidTr="00C8678E">
        <w:tc>
          <w:tcPr>
            <w:tcW w:w="886" w:type="pct"/>
            <w:shd w:val="clear" w:color="auto" w:fill="auto"/>
          </w:tcPr>
          <w:p w:rsidR="00412AFB" w:rsidRPr="00993936" w:rsidRDefault="00E03B3B" w:rsidP="007876F3">
            <w:pPr>
              <w:pStyle w:val="Sinespaciado"/>
              <w:rPr>
                <w:rFonts w:ascii="Arial" w:hAnsi="Arial" w:cs="Arial"/>
                <w:lang w:val="es-ES"/>
              </w:rPr>
            </w:pPr>
            <w:r w:rsidRPr="00993936">
              <w:rPr>
                <w:rFonts w:ascii="Arial" w:hAnsi="Arial" w:cs="Arial"/>
                <w:lang w:val="es-ES"/>
              </w:rPr>
              <w:lastRenderedPageBreak/>
              <w:t xml:space="preserve"> </w:t>
            </w:r>
            <w:r w:rsidR="00412AFB" w:rsidRPr="00993936">
              <w:rPr>
                <w:rFonts w:ascii="Arial" w:hAnsi="Arial" w:cs="Arial"/>
                <w:lang w:val="es-ES"/>
              </w:rPr>
              <w:t>Nitrógeno (N)</w:t>
            </w:r>
          </w:p>
        </w:tc>
        <w:tc>
          <w:tcPr>
            <w:tcW w:w="1249"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100</w:t>
            </w:r>
          </w:p>
        </w:tc>
        <w:tc>
          <w:tcPr>
            <w:tcW w:w="2865"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Variedades de pera de campaña media y tardía </w:t>
            </w:r>
          </w:p>
        </w:tc>
      </w:tr>
      <w:tr w:rsidR="00412AFB" w:rsidRPr="00993936" w:rsidTr="00C8678E">
        <w:tc>
          <w:tcPr>
            <w:tcW w:w="886" w:type="pct"/>
            <w:shd w:val="clear" w:color="auto" w:fill="auto"/>
          </w:tcPr>
          <w:p w:rsidR="00412AFB" w:rsidRPr="00993936" w:rsidRDefault="00E03B3B" w:rsidP="007876F3">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Fósforo (P</w:t>
            </w:r>
            <w:r w:rsidR="00412AFB" w:rsidRPr="00993936">
              <w:rPr>
                <w:rFonts w:ascii="Arial" w:hAnsi="Arial" w:cs="Arial"/>
                <w:vertAlign w:val="subscript"/>
                <w:lang w:val="es-ES"/>
              </w:rPr>
              <w:t>2</w:t>
            </w:r>
            <w:r w:rsidR="00412AFB" w:rsidRPr="00993936">
              <w:rPr>
                <w:rFonts w:ascii="Arial" w:hAnsi="Arial" w:cs="Arial"/>
                <w:lang w:val="es-ES"/>
              </w:rPr>
              <w:t>O)</w:t>
            </w:r>
          </w:p>
        </w:tc>
        <w:tc>
          <w:tcPr>
            <w:tcW w:w="1249"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250</w:t>
            </w:r>
          </w:p>
        </w:tc>
        <w:tc>
          <w:tcPr>
            <w:tcW w:w="2865"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Si el nivel de fósforo en el suelo es superior a 25 ppm </w:t>
            </w:r>
          </w:p>
        </w:tc>
      </w:tr>
      <w:tr w:rsidR="00412AFB" w:rsidRPr="00993936" w:rsidTr="00C8678E">
        <w:tc>
          <w:tcPr>
            <w:tcW w:w="886" w:type="pct"/>
            <w:shd w:val="clear" w:color="auto" w:fill="auto"/>
          </w:tcPr>
          <w:p w:rsidR="00412AFB" w:rsidRPr="00993936" w:rsidRDefault="00E03B3B" w:rsidP="007876F3">
            <w:pPr>
              <w:pStyle w:val="Sinespaciado"/>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Potasio (K</w:t>
            </w:r>
            <w:r w:rsidR="00412AFB" w:rsidRPr="00993936">
              <w:rPr>
                <w:rFonts w:ascii="Arial" w:hAnsi="Arial" w:cs="Arial"/>
                <w:vertAlign w:val="subscript"/>
                <w:lang w:val="es-ES"/>
              </w:rPr>
              <w:t>2</w:t>
            </w:r>
            <w:r w:rsidR="00412AFB" w:rsidRPr="00993936">
              <w:rPr>
                <w:rFonts w:ascii="Arial" w:hAnsi="Arial" w:cs="Arial"/>
                <w:lang w:val="es-ES"/>
              </w:rPr>
              <w:t>O)</w:t>
            </w:r>
          </w:p>
        </w:tc>
        <w:tc>
          <w:tcPr>
            <w:tcW w:w="1249"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300</w:t>
            </w:r>
          </w:p>
        </w:tc>
        <w:tc>
          <w:tcPr>
            <w:tcW w:w="2865" w:type="pct"/>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Si el nivel de potasio en el suelo es superior a 125 ppm</w:t>
            </w:r>
          </w:p>
        </w:tc>
      </w:tr>
      <w:tr w:rsidR="00412AFB" w:rsidRPr="00993936" w:rsidTr="00C8678E">
        <w:tc>
          <w:tcPr>
            <w:tcW w:w="5000" w:type="pct"/>
            <w:gridSpan w:val="3"/>
            <w:shd w:val="clear" w:color="auto" w:fill="auto"/>
          </w:tcPr>
          <w:p w:rsidR="00412AFB" w:rsidRPr="00993936" w:rsidRDefault="00412AFB" w:rsidP="007876F3">
            <w:pPr>
              <w:pStyle w:val="Sinespaciado"/>
              <w:rPr>
                <w:rFonts w:ascii="Arial" w:hAnsi="Arial" w:cs="Arial"/>
                <w:lang w:val="es-ES"/>
              </w:rPr>
            </w:pPr>
            <w:r w:rsidRPr="00993936">
              <w:rPr>
                <w:rFonts w:ascii="Arial" w:hAnsi="Arial" w:cs="Arial"/>
                <w:lang w:val="es-ES"/>
              </w:rPr>
              <w:t>ppm: partes por millón</w:t>
            </w:r>
          </w:p>
        </w:tc>
      </w:tr>
    </w:tbl>
    <w:p w:rsidR="00412AFB" w:rsidRPr="00993936" w:rsidRDefault="00412AFB" w:rsidP="00412AFB">
      <w:pPr>
        <w:jc w:val="both"/>
        <w:outlineLvl w:val="0"/>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En el caso del nitrógeno, las cantidades anteriores podrán aumentarse hasta llegar a un máximo de 130 kg N/ha y año cuando toda la fertilización o una gran parte de ella se haga con fertilizantes orgánicos. </w:t>
      </w:r>
    </w:p>
    <w:p w:rsidR="00412AFB" w:rsidRPr="00993936" w:rsidRDefault="00412AFB" w:rsidP="00412AFB">
      <w:pPr>
        <w:jc w:val="both"/>
        <w:rPr>
          <w:rFonts w:ascii="Arial" w:hAnsi="Arial" w:cs="Arial"/>
          <w:lang w:val="es-ES"/>
        </w:rPr>
      </w:pPr>
      <w:r w:rsidRPr="00993936">
        <w:rPr>
          <w:rFonts w:ascii="Arial" w:hAnsi="Arial" w:cs="Arial"/>
          <w:lang w:val="es-ES"/>
        </w:rPr>
        <w:t>La aplicación de microelementos se reducirá al mínimo posible y solo se aplicarán cuando un análisis previo, o su sintomatología evidente, determine su insuficiencia para los requerimientos reales del cultivo.</w:t>
      </w:r>
    </w:p>
    <w:p w:rsidR="00412AFB" w:rsidRPr="00993936" w:rsidRDefault="00412AFB" w:rsidP="00412AFB">
      <w:pPr>
        <w:pStyle w:val="Textoindependiente"/>
        <w:rPr>
          <w:rFonts w:cs="Arial"/>
          <w:szCs w:val="22"/>
          <w:lang w:val="es-ES"/>
        </w:rPr>
      </w:pPr>
      <w:r w:rsidRPr="00993936">
        <w:rPr>
          <w:rFonts w:cs="Arial"/>
          <w:szCs w:val="22"/>
          <w:lang w:val="es-ES"/>
        </w:rPr>
        <w:t>La aplicación de fertilizantes deberá revisarse a posteriori por el miembro del personal técnico responsable de producción integrada, y su conformidad figurará en el cuaderno de explotación.</w:t>
      </w:r>
    </w:p>
    <w:p w:rsidR="00412AFB" w:rsidRPr="00993936" w:rsidRDefault="00412AFB" w:rsidP="00412AFB">
      <w:pPr>
        <w:jc w:val="both"/>
        <w:rPr>
          <w:rFonts w:ascii="Arial" w:hAnsi="Arial" w:cs="Arial"/>
          <w:lang w:val="es-ES"/>
        </w:rPr>
      </w:pPr>
      <w:r w:rsidRPr="00993936">
        <w:rPr>
          <w:rFonts w:ascii="Arial" w:hAnsi="Arial" w:cs="Arial"/>
          <w:lang w:val="es-ES"/>
        </w:rPr>
        <w:t>7.1.11 Fraccionar la fertilización nitrogenada en regadío, especialmente en zonas vulnerables, y elegir el tipo de abono más adecuado en función del manejo del agua de riego, de la pluviometría, del tipo de suelo, de la época de del año y de la problemática específica de la plantación.</w:t>
      </w:r>
    </w:p>
    <w:p w:rsidR="00412AFB" w:rsidRPr="00993936" w:rsidRDefault="00412AFB" w:rsidP="00412AFB">
      <w:pPr>
        <w:jc w:val="both"/>
        <w:rPr>
          <w:rFonts w:ascii="Arial" w:hAnsi="Arial" w:cs="Arial"/>
          <w:lang w:val="es-ES"/>
        </w:rPr>
      </w:pPr>
      <w:r w:rsidRPr="00993936">
        <w:rPr>
          <w:rFonts w:ascii="Arial" w:hAnsi="Arial" w:cs="Arial"/>
          <w:lang w:val="es-ES"/>
        </w:rPr>
        <w:t>7.1.12 Cuando se añada materia orgánica al suelo, deberán conocerse los contenidos medios aportados en 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 xml:space="preserve">5, </w:t>
      </w:r>
      <w:r w:rsidRPr="00993936">
        <w:rPr>
          <w:rFonts w:ascii="Arial" w:hAnsi="Arial" w:cs="Arial"/>
          <w:lang w:val="es-ES"/>
        </w:rPr>
        <w:t>K</w:t>
      </w:r>
      <w:r w:rsidRPr="00993936">
        <w:rPr>
          <w:rFonts w:ascii="Arial" w:hAnsi="Arial" w:cs="Arial"/>
          <w:vertAlign w:val="subscript"/>
          <w:lang w:val="es-ES"/>
        </w:rPr>
        <w:t>2</w:t>
      </w:r>
      <w:r w:rsidRPr="00993936">
        <w:rPr>
          <w:rFonts w:ascii="Arial" w:hAnsi="Arial" w:cs="Arial"/>
          <w:lang w:val="es-ES"/>
        </w:rPr>
        <w:t>O. Para el cálculo de los elementos fertilizantes aportados se usarán preferentemente los resultados del análisis de la materia orgánica o, en su defecto, podrán utilizarse como valores orientativos los que figuran en el Anexo 10.</w:t>
      </w:r>
    </w:p>
    <w:p w:rsidR="00412AFB" w:rsidRPr="00993936" w:rsidRDefault="00412AFB" w:rsidP="00412AFB">
      <w:pPr>
        <w:jc w:val="both"/>
        <w:rPr>
          <w:rFonts w:ascii="Arial" w:hAnsi="Arial" w:cs="Arial"/>
          <w:lang w:val="es-ES"/>
        </w:rPr>
      </w:pPr>
      <w:r w:rsidRPr="00993936">
        <w:rPr>
          <w:rFonts w:ascii="Arial" w:hAnsi="Arial" w:cs="Arial"/>
          <w:lang w:val="es-ES"/>
        </w:rPr>
        <w:t>7.1.13 Cuando se aporten materias con valor fertilizante de origen urbano o industrial, es necesario disponer de, o bien efectuar, un análisis de metales pesados ​​para certificar que no excedan los límites legales establecidos y tener en cuenta el programa de actuaciones para la gestión de los lodos de depuración de aguas residuales urbanas de Cataluña. En todo caso, esta aportación debe contener la mínima cantidad de metales pesados ​​(cadmio, cromo, cobre, plomo, zinc, níquel y mercurio), patógenos u otros productos tóxicos.</w:t>
      </w:r>
    </w:p>
    <w:p w:rsidR="00412AFB" w:rsidRPr="00993936" w:rsidRDefault="00412AFB" w:rsidP="00412AFB">
      <w:pPr>
        <w:pStyle w:val="Textoindependiente"/>
        <w:rPr>
          <w:rFonts w:cs="Arial"/>
          <w:szCs w:val="22"/>
          <w:lang w:val="es-ES"/>
        </w:rPr>
      </w:pPr>
      <w:r w:rsidRPr="00993936">
        <w:rPr>
          <w:rFonts w:cs="Arial"/>
          <w:szCs w:val="22"/>
          <w:lang w:val="es-ES"/>
        </w:rPr>
        <w:t>7.1.14 Almacenar los abonos orgánicos de manera adecuada, de forma que se reduzca el riesgo de contaminación del medio ambiente.</w:t>
      </w:r>
    </w:p>
    <w:p w:rsidR="00412AFB" w:rsidRPr="00993936" w:rsidRDefault="00412AFB" w:rsidP="00412AFB">
      <w:pPr>
        <w:jc w:val="both"/>
        <w:rPr>
          <w:rFonts w:ascii="Arial" w:hAnsi="Arial" w:cs="Arial"/>
          <w:lang w:val="es-ES"/>
        </w:rPr>
      </w:pPr>
      <w:r w:rsidRPr="00993936">
        <w:rPr>
          <w:rFonts w:ascii="Arial" w:hAnsi="Arial" w:cs="Arial"/>
          <w:lang w:val="es-ES"/>
        </w:rPr>
        <w:t>7.1.15 Realizar las enmiendas necesarias siempre que el pH del suelo se aparte sustancialmente de un nivel de pH comprendido entre 6,5 y 8,9, o cuando las características físicas o químicas del suelo así lo aconsejen. En todo caso, las enmiendas deberán ser técnicamente justificadas de acuerdo con un análisis del suelo y con las necesidades reales de la variedad y la especie cultivadas.</w:t>
      </w:r>
    </w:p>
    <w:p w:rsidR="00412AFB" w:rsidRPr="00993936" w:rsidRDefault="00412AFB" w:rsidP="00412AFB">
      <w:pPr>
        <w:jc w:val="both"/>
        <w:rPr>
          <w:rFonts w:ascii="Arial" w:hAnsi="Arial" w:cs="Arial"/>
          <w:lang w:val="es-ES"/>
        </w:rPr>
      </w:pPr>
      <w:r w:rsidRPr="00993936">
        <w:rPr>
          <w:rFonts w:ascii="Arial" w:hAnsi="Arial" w:cs="Arial"/>
          <w:lang w:val="es-ES"/>
        </w:rPr>
        <w:t>7.1.16 Conseguir, mediante un manejo adecuado, un nivel de pH comprendido entre 6,5 y 8,9.</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7.2 </w:t>
      </w:r>
      <w:r w:rsidRPr="00993936">
        <w:rPr>
          <w:rFonts w:ascii="Arial" w:hAnsi="Arial" w:cs="Arial"/>
          <w:i/>
          <w:lang w:val="es-ES"/>
        </w:rPr>
        <w:t>Prohibiciones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7.2.1 Superar la cantidad máxima tolerable por hectárea y año de nitrógeno total, fósforo y potasio, y exceder los límites nacionales e internacionales aplicables a cada territorio relativos a la contaminación por nitratos o fosfatos del agua subterránea, así </w:t>
      </w:r>
      <w:r w:rsidRPr="00993936">
        <w:rPr>
          <w:rFonts w:ascii="Arial" w:hAnsi="Arial" w:cs="Arial"/>
          <w:lang w:val="es-ES"/>
        </w:rPr>
        <w:lastRenderedPageBreak/>
        <w:t>como los límites que se fijan de metales pesados ​​en el Anexo 8 de esta norma, de patógenos y otros productos tóxicos.</w:t>
      </w:r>
    </w:p>
    <w:p w:rsidR="00412AFB" w:rsidRPr="00993936" w:rsidRDefault="00412AFB" w:rsidP="00412AFB">
      <w:pPr>
        <w:pStyle w:val="Textoindependiente"/>
        <w:rPr>
          <w:rFonts w:cs="Arial"/>
          <w:szCs w:val="22"/>
          <w:lang w:val="es-ES"/>
        </w:rPr>
      </w:pPr>
      <w:r w:rsidRPr="00993936">
        <w:rPr>
          <w:rFonts w:cs="Arial"/>
          <w:szCs w:val="22"/>
          <w:lang w:val="es-ES"/>
        </w:rPr>
        <w:t>7.2.2 Almacenar los fertilizantes y los fitosanitarios sin estar separados físicamente ni etiquetados correctamente.</w:t>
      </w:r>
    </w:p>
    <w:p w:rsidR="00412AFB" w:rsidRPr="00993936" w:rsidRDefault="00412AFB" w:rsidP="00412AFB">
      <w:pPr>
        <w:pStyle w:val="Textoindependiente"/>
        <w:rPr>
          <w:rFonts w:cs="Arial"/>
          <w:szCs w:val="22"/>
          <w:lang w:val="es-ES"/>
        </w:rPr>
      </w:pPr>
      <w:r w:rsidRPr="00993936">
        <w:rPr>
          <w:rFonts w:cs="Arial"/>
          <w:szCs w:val="22"/>
          <w:lang w:val="es-ES"/>
        </w:rPr>
        <w:t>7.2.3 Hacer una programación de la fertilización sin tener en cuenta los resultados de los análisis de suelo, y/ u hojas y agua.</w:t>
      </w:r>
    </w:p>
    <w:p w:rsidR="00412AFB" w:rsidRPr="00993936" w:rsidRDefault="00412AFB" w:rsidP="00412AFB">
      <w:pPr>
        <w:jc w:val="both"/>
        <w:outlineLvl w:val="0"/>
        <w:rPr>
          <w:rFonts w:ascii="Arial" w:hAnsi="Arial" w:cs="Arial"/>
          <w:lang w:val="es-ES"/>
        </w:rPr>
      </w:pPr>
      <w:r w:rsidRPr="00993936">
        <w:rPr>
          <w:rFonts w:ascii="Arial" w:hAnsi="Arial" w:cs="Arial"/>
          <w:lang w:val="es-ES"/>
        </w:rPr>
        <w:t>7.2.4 Aplicar estiércoles y purines sobre los terrenos encharcados o con nieve y a menos de 50 metros de una captación de agua destinada al consumo humano.</w:t>
      </w:r>
    </w:p>
    <w:p w:rsidR="00412AFB" w:rsidRPr="00993936" w:rsidRDefault="00412AFB" w:rsidP="00412AFB">
      <w:pPr>
        <w:jc w:val="both"/>
        <w:outlineLvl w:val="0"/>
        <w:rPr>
          <w:rFonts w:ascii="Arial" w:hAnsi="Arial" w:cs="Arial"/>
          <w:lang w:val="es-ES"/>
        </w:rPr>
      </w:pPr>
      <w:r w:rsidRPr="00993936">
        <w:rPr>
          <w:rFonts w:ascii="Arial" w:hAnsi="Arial" w:cs="Arial"/>
          <w:lang w:val="es-ES"/>
        </w:rPr>
        <w:t>7.2.5 Utilizar, sin haber realizado tratamiento previo reconocido por la dirección general competente en materia de agricultura, tanto barro que proceda de depuradora como residuos sólidos urbanos.</w:t>
      </w:r>
    </w:p>
    <w:p w:rsidR="00412AFB" w:rsidRPr="00993936" w:rsidRDefault="00412AFB" w:rsidP="00412AFB">
      <w:pPr>
        <w:jc w:val="both"/>
        <w:outlineLvl w:val="0"/>
        <w:rPr>
          <w:rFonts w:ascii="Arial" w:hAnsi="Arial" w:cs="Arial"/>
          <w:lang w:val="es-ES"/>
        </w:rPr>
      </w:pPr>
      <w:r w:rsidRPr="00993936">
        <w:rPr>
          <w:rFonts w:ascii="Arial" w:hAnsi="Arial" w:cs="Arial"/>
          <w:lang w:val="es-ES"/>
        </w:rPr>
        <w:t>7.2.6 Utilizar purines y estiércoles directamente sobre plantaciones ya establecidas y en donde estos productos entren en contacto directo con los órganos comestibles.</w:t>
      </w:r>
    </w:p>
    <w:p w:rsidR="00412AFB" w:rsidRPr="00993936" w:rsidRDefault="00412AFB" w:rsidP="00412AFB">
      <w:pPr>
        <w:pStyle w:val="Textoindependiente"/>
        <w:outlineLvl w:val="0"/>
        <w:rPr>
          <w:rFonts w:cs="Arial"/>
          <w:i/>
          <w:szCs w:val="22"/>
          <w:lang w:val="es-ES"/>
        </w:rPr>
      </w:pPr>
      <w:r w:rsidRPr="00993936">
        <w:rPr>
          <w:rFonts w:cs="Arial"/>
          <w:szCs w:val="22"/>
          <w:lang w:val="es-ES"/>
        </w:rPr>
        <w:t xml:space="preserve">7.3 </w:t>
      </w:r>
      <w:r w:rsidRPr="00993936">
        <w:rPr>
          <w:rFonts w:cs="Arial"/>
          <w:i/>
          <w:szCs w:val="22"/>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7.3.1 Realizar la fertirrigación de forma que se minimice el lavado de nutrientes, evitando la salinización del suelo.</w:t>
      </w:r>
    </w:p>
    <w:p w:rsidR="00412AFB" w:rsidRPr="00993936" w:rsidRDefault="00412AFB" w:rsidP="00412AFB">
      <w:pPr>
        <w:pStyle w:val="Textoindependiente3"/>
        <w:rPr>
          <w:rFonts w:cs="Arial"/>
          <w:b w:val="0"/>
          <w:szCs w:val="22"/>
          <w:lang w:val="es-ES"/>
        </w:rPr>
      </w:pPr>
      <w:r w:rsidRPr="00993936">
        <w:rPr>
          <w:rFonts w:cs="Arial"/>
          <w:b w:val="0"/>
          <w:szCs w:val="22"/>
          <w:lang w:val="es-ES"/>
        </w:rPr>
        <w:t>7.3.2 En el caso de carencias o desequilibrios, se hará un seguimiento analítico del cultivo (hojas o frutos) para comprobar que el programa de fertilización adoptado es el adecuado, y se efectuarán las correcciones necesarias en este programa. Para la interpretación de estos análisis, se tendrán en cuenta los valores que figuran en el Anexo 9 de esta norma.</w:t>
      </w:r>
    </w:p>
    <w:p w:rsidR="00412AFB" w:rsidRPr="00993936" w:rsidRDefault="00412AFB" w:rsidP="00412AFB">
      <w:pPr>
        <w:jc w:val="both"/>
        <w:rPr>
          <w:rFonts w:ascii="Arial" w:hAnsi="Arial" w:cs="Arial"/>
          <w:lang w:val="es-ES"/>
        </w:rPr>
      </w:pPr>
      <w:r w:rsidRPr="00993936">
        <w:rPr>
          <w:rFonts w:ascii="Arial" w:hAnsi="Arial" w:cs="Arial"/>
          <w:lang w:val="es-ES"/>
        </w:rPr>
        <w:t>7.3.3 Las aportaciones al suelo de quelatos u otras formulaciones de micronutrientes se limitarán a las situaciones en que los análisis o la experiencia contrastada demuestren que son imprescindibles para una adecuada producción. Específicamente, se permite la aplicación de quelatos para controlar la clorosis férrica en suelos con un contenido de carbonatos superior al 15 %.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8</w:t>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Control de malas hierbas</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8.1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8.1.1 En caso de frutales cultivados en secano o con riegos de apoyo, se diseñará un sistema de cultivo que favorezca la conservación de los suelos y el aprovechamiento del agua, utilizando, entre otras prácticas agrícolas, los bancales, las zanjas y el cultivo en curvas de nivel. El manejo del suelo tiene como propósito incrementar la infiltración y disminuir la evapotranspiración.</w:t>
      </w:r>
    </w:p>
    <w:p w:rsidR="00412AFB" w:rsidRPr="00993936" w:rsidRDefault="00412AFB" w:rsidP="00412AFB">
      <w:pPr>
        <w:jc w:val="both"/>
        <w:rPr>
          <w:rFonts w:ascii="Arial" w:hAnsi="Arial" w:cs="Arial"/>
          <w:lang w:val="es-ES"/>
        </w:rPr>
      </w:pPr>
      <w:r w:rsidRPr="00993936">
        <w:rPr>
          <w:rFonts w:ascii="Arial" w:hAnsi="Arial" w:cs="Arial"/>
          <w:lang w:val="es-ES"/>
        </w:rPr>
        <w:t>8.1.2 Mantener una cubierta vegetal del suelo, preferentemente a base de flora espontánea o bien sembrada, para mejorar su fertilidad, reducir las pérdidas de nutrientes y disminuir el riesgo de erosión. El manejo de esta cubierta se hará preferentemente mediante la siega.</w:t>
      </w:r>
    </w:p>
    <w:p w:rsidR="00412AFB" w:rsidRPr="00993936" w:rsidRDefault="00412AFB" w:rsidP="00412AFB">
      <w:pPr>
        <w:jc w:val="both"/>
        <w:rPr>
          <w:rFonts w:ascii="Arial" w:hAnsi="Arial" w:cs="Arial"/>
          <w:lang w:val="es-ES"/>
        </w:rPr>
      </w:pPr>
      <w:r w:rsidRPr="00993936">
        <w:rPr>
          <w:rFonts w:ascii="Arial" w:hAnsi="Arial" w:cs="Arial"/>
          <w:lang w:val="es-ES"/>
        </w:rPr>
        <w:t>8.1.3 Controlar las malas hierbas, siempre que sea posible, con medios físicos, mecánicos, biológicos o con aquellos que ofrezcan el menor riesgo de emisiones de CO</w:t>
      </w:r>
      <w:r w:rsidRPr="00993936">
        <w:rPr>
          <w:rFonts w:ascii="Arial" w:hAnsi="Arial" w:cs="Arial"/>
          <w:vertAlign w:val="subscript"/>
          <w:lang w:val="es-ES"/>
        </w:rPr>
        <w:t>2</w:t>
      </w:r>
      <w:r w:rsidRPr="00993936">
        <w:rPr>
          <w:rFonts w:ascii="Arial" w:hAnsi="Arial" w:cs="Arial"/>
          <w:lang w:val="es-ES"/>
        </w:rPr>
        <w:t xml:space="preserve">. Cuando los medios señalados anteriormente no permitan un control adecuado de las malas hierbas, podrá justificarse la aplicación de alguno de los herbicidas que figuran en el Anexo 2 de esta norma. </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Excepcionalmente, cuando en el cultivo se detecten malas hierbas no habituales o cuyo umbral y/o criterio mínimo de intervención no se haya definido, podrá actuarse en contra con cualquier otro herbicida que esté expresamente autorizado en el Registro oficial de productos y material fitosanitario del Ministerio de Agricultura y Pesca, Alimentación y Medio Ambiente (MAPAMA) para este cultivo y para los usos oficialmente autorizados. Esta excepción también será de aplicación para aquellos herbicidas que aparezcan en dicho registro, para combatir determinadas malas hierbas que no estén contempladas por su novedad en el anexo de herbicidas de esta norma.</w:t>
      </w:r>
    </w:p>
    <w:p w:rsidR="00412AFB" w:rsidRPr="00993936" w:rsidRDefault="00412AFB" w:rsidP="00412AFB">
      <w:pPr>
        <w:jc w:val="both"/>
        <w:rPr>
          <w:rFonts w:ascii="Arial" w:hAnsi="Arial" w:cs="Arial"/>
          <w:lang w:val="es-ES"/>
        </w:rPr>
      </w:pPr>
      <w:r w:rsidRPr="00993936">
        <w:rPr>
          <w:rFonts w:ascii="Arial" w:hAnsi="Arial" w:cs="Arial"/>
          <w:lang w:val="es-ES"/>
        </w:rPr>
        <w:t xml:space="preserve">De ser necesaria la aplicación de herbicidas, esta se llevará a cabo mediante las técnicas recomendadas en la etiqueta del producto. </w:t>
      </w:r>
    </w:p>
    <w:p w:rsidR="00412AFB" w:rsidRPr="00993936" w:rsidRDefault="00412AFB" w:rsidP="00412AFB">
      <w:pPr>
        <w:jc w:val="both"/>
        <w:rPr>
          <w:rFonts w:ascii="Arial" w:hAnsi="Arial" w:cs="Arial"/>
          <w:lang w:val="es-ES"/>
        </w:rPr>
      </w:pPr>
      <w:r w:rsidRPr="00993936">
        <w:rPr>
          <w:rFonts w:ascii="Arial" w:hAnsi="Arial" w:cs="Arial"/>
          <w:lang w:val="es-ES"/>
        </w:rPr>
        <w:t>8.1.4 En el supuesto de que se utilicen herbicidas, su aplicación se limitará a la línea de plantación y afectará, como máximo, al 30 % del total de la superficie comprendida entre las filas de árboles. El tratamiento herbicida se hará, preferentemente, en el momento en que la mala hierba sea más sensible para utilizar las dosis mínimas eficaces.</w:t>
      </w:r>
    </w:p>
    <w:p w:rsidR="00412AFB" w:rsidRPr="00993936" w:rsidRDefault="00412AFB" w:rsidP="00412AFB">
      <w:pPr>
        <w:pStyle w:val="Textoindependiente"/>
        <w:rPr>
          <w:rFonts w:cs="Arial"/>
          <w:szCs w:val="22"/>
          <w:lang w:val="es-ES"/>
        </w:rPr>
      </w:pPr>
      <w:r w:rsidRPr="00993936">
        <w:rPr>
          <w:rFonts w:cs="Arial"/>
          <w:szCs w:val="22"/>
          <w:lang w:val="es-ES"/>
        </w:rPr>
        <w:t>8.1.5 Las materias activas que se utilizarán serán seleccionadas de acuerdo con los criterios de menor peligrosidad para los humanos, la fauna silvestre y el medio ambiente, y por proporcionar un control efectivo de las malas hierbas. En cualquier caso, solo podrán utilizarse los herbicidas inscritos en el Registro oficial de productos y de material fitosanitario del Ministerio de Agricultura y Pesca, Alimentación y Medio Ambiente (MAPAMA) y aprobados expresamente para los cultivos autorizados que figuran en el Anexo 2.</w:t>
      </w:r>
    </w:p>
    <w:p w:rsidR="00412AFB" w:rsidRPr="00993936" w:rsidRDefault="00412AFB" w:rsidP="00412AFB">
      <w:pPr>
        <w:pStyle w:val="Textoindependiente"/>
        <w:rPr>
          <w:rFonts w:cs="Arial"/>
          <w:szCs w:val="22"/>
          <w:lang w:val="es-ES"/>
        </w:rPr>
      </w:pPr>
      <w:r w:rsidRPr="00993936">
        <w:rPr>
          <w:rFonts w:cs="Arial"/>
          <w:szCs w:val="22"/>
          <w:lang w:val="es-ES"/>
        </w:rPr>
        <w:t>8.1.6 La maquinaria utilizada para aplicar los productos herbicidas debe mantenerse en un adecuado estado de funcionamiento y someterse periódicamente a los controles que establece el artículo 16 de esta norma.</w:t>
      </w:r>
    </w:p>
    <w:p w:rsidR="00412AFB" w:rsidRPr="00993936" w:rsidRDefault="00412AFB" w:rsidP="00412AFB">
      <w:pPr>
        <w:pStyle w:val="Textoindependiente"/>
        <w:rPr>
          <w:rFonts w:cs="Arial"/>
          <w:szCs w:val="22"/>
          <w:lang w:val="es-ES"/>
        </w:rPr>
      </w:pPr>
      <w:r w:rsidRPr="00993936">
        <w:rPr>
          <w:rFonts w:cs="Arial"/>
          <w:szCs w:val="22"/>
          <w:lang w:val="es-ES"/>
        </w:rPr>
        <w:t>Los volúmenes máximos de caldo en los tratamientos herbicidas se ajustarán a los parámetros precisos, teniendo en cuenta el estado de desarrollo del cultivo para obtener la máxima eficacia con la menor dosis.</w:t>
      </w:r>
    </w:p>
    <w:p w:rsidR="00412AFB" w:rsidRPr="00993936" w:rsidRDefault="00412AFB" w:rsidP="00412AFB">
      <w:pPr>
        <w:jc w:val="both"/>
        <w:rPr>
          <w:rFonts w:ascii="Arial" w:hAnsi="Arial" w:cs="Arial"/>
          <w:lang w:val="es-ES"/>
        </w:rPr>
      </w:pPr>
      <w:r w:rsidRPr="00993936">
        <w:rPr>
          <w:rFonts w:ascii="Arial" w:hAnsi="Arial" w:cs="Arial"/>
          <w:lang w:val="es-ES"/>
        </w:rPr>
        <w:t>8.1.7 Adoptar las medidas precisas para evitar que la deriva de las aplicaciones llegue a parcelas y/o UHC diferentes a las que pretenden tratarse.</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412AFB" w:rsidRPr="00993936" w:rsidRDefault="006E0CBA" w:rsidP="00412AFB">
      <w:pPr>
        <w:jc w:val="both"/>
        <w:rPr>
          <w:rFonts w:ascii="Arial" w:hAnsi="Arial" w:cs="Arial"/>
          <w:lang w:val="es-ES"/>
        </w:rPr>
      </w:pPr>
      <w:r w:rsidRPr="00993936">
        <w:rPr>
          <w:rFonts w:ascii="Arial" w:hAnsi="Arial" w:cs="Arial"/>
          <w:lang w:val="es-ES"/>
        </w:rPr>
        <w:t xml:space="preserve">8.2.1 </w:t>
      </w:r>
      <w:r w:rsidR="00412AFB" w:rsidRPr="00993936">
        <w:rPr>
          <w:rFonts w:ascii="Arial" w:hAnsi="Arial" w:cs="Arial"/>
          <w:lang w:val="es-ES"/>
        </w:rPr>
        <w:t>La utilización de herbicidas residuales en los suelos arenosos.</w:t>
      </w:r>
    </w:p>
    <w:p w:rsidR="00412AFB" w:rsidRPr="00993936" w:rsidRDefault="00412AFB" w:rsidP="00412AFB">
      <w:pPr>
        <w:jc w:val="both"/>
        <w:rPr>
          <w:rFonts w:ascii="Arial" w:hAnsi="Arial" w:cs="Arial"/>
          <w:lang w:val="es-ES"/>
        </w:rPr>
      </w:pPr>
      <w:r w:rsidRPr="00993936">
        <w:rPr>
          <w:rFonts w:ascii="Arial" w:hAnsi="Arial" w:cs="Arial"/>
          <w:lang w:val="es-ES"/>
        </w:rPr>
        <w:t>8.2.2 Dejar, en regadío, una zona desherbada entre hileras de árboles igual o superior al 30 % del total de la superficie comprendida entre las filas de árboles.</w:t>
      </w:r>
    </w:p>
    <w:p w:rsidR="007006E6" w:rsidRPr="00993936" w:rsidRDefault="00412AFB" w:rsidP="00412AFB">
      <w:pPr>
        <w:jc w:val="both"/>
        <w:rPr>
          <w:rFonts w:ascii="Arial" w:hAnsi="Arial" w:cs="Arial"/>
          <w:lang w:val="es-ES"/>
        </w:rPr>
      </w:pPr>
      <w:r w:rsidRPr="00993936">
        <w:rPr>
          <w:rFonts w:ascii="Arial" w:hAnsi="Arial" w:cs="Arial"/>
          <w:lang w:val="es-ES"/>
        </w:rPr>
        <w:t>8.2.3 Utilizar herbicidas a menos de 5 metros de las aguas superficiales.</w:t>
      </w:r>
      <w:r w:rsidRPr="00993936" w:rsidDel="00E97F0D">
        <w:rPr>
          <w:rFonts w:ascii="Arial" w:hAnsi="Arial" w:cs="Arial"/>
          <w:lang w:val="es-ES"/>
        </w:rPr>
        <w:t xml:space="preserve"> </w:t>
      </w:r>
    </w:p>
    <w:p w:rsidR="00412AFB" w:rsidRPr="00993936" w:rsidRDefault="00412AFB" w:rsidP="00412AFB">
      <w:pPr>
        <w:jc w:val="both"/>
        <w:rPr>
          <w:rFonts w:ascii="Arial" w:hAnsi="Arial" w:cs="Arial"/>
          <w:lang w:val="es-ES"/>
        </w:rPr>
      </w:pPr>
      <w:r w:rsidRPr="00993936">
        <w:rPr>
          <w:rFonts w:ascii="Arial" w:hAnsi="Arial" w:cs="Arial"/>
          <w:lang w:val="es-ES"/>
        </w:rPr>
        <w:t>8.2.4 Utilizar cualquier herbicida que, a pesar de figurar en el Anexo 2 de esta norma, se haya dado de baja del Registro oficial de productos y de material fitosanitario del Ministerio de Agricultura, Pesca, Alimentación y Medio Ambiente (MAPAMA) con posterioridad a la publicación de la disposición que lo aprueba o que haya perdido la autorización de uso correspondiente.</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8.3.1 En caso de que las malas hierbas estén controladas en la superficie de suelo entre árboles, para tal fin se utilizarán preferentemente métodos como el acolchado (cobertura con materia inerte), la cobertura con los restos del material vegetal segado, o bien métodos mecánicos como la siega o el cultivo. </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8.3.2 En secano, podrá mantenerse el suelo libre de hierbas en los periodos en que puedan competir por el agua con el cultivo.</w:t>
      </w:r>
    </w:p>
    <w:p w:rsidR="00412AFB" w:rsidRPr="00993936" w:rsidRDefault="00412AFB" w:rsidP="00412AFB">
      <w:pPr>
        <w:jc w:val="both"/>
        <w:rPr>
          <w:rFonts w:ascii="Arial" w:hAnsi="Arial" w:cs="Arial"/>
          <w:lang w:val="es-ES"/>
        </w:rPr>
      </w:pPr>
      <w:r w:rsidRPr="00993936">
        <w:rPr>
          <w:rFonts w:ascii="Arial" w:hAnsi="Arial" w:cs="Arial"/>
          <w:lang w:val="es-ES"/>
        </w:rPr>
        <w:t>8.3.3 Controlar las malas hierbas empleando técnicas de control integrado.</w:t>
      </w:r>
    </w:p>
    <w:p w:rsidR="00412AFB" w:rsidRPr="00993936" w:rsidRDefault="00412AFB" w:rsidP="00412AFB">
      <w:pPr>
        <w:jc w:val="both"/>
        <w:outlineLvl w:val="0"/>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9</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Riego</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9.1 </w:t>
      </w:r>
      <w:r w:rsidRPr="00993936">
        <w:rPr>
          <w:rFonts w:ascii="Arial" w:hAnsi="Arial" w:cs="Arial"/>
          <w:i/>
          <w:lang w:val="es-ES"/>
        </w:rPr>
        <w:t>Obligaciones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9.1.1 Disponer de las características analíticas de la calidad del agua de riego con el objeto de tomar una decisión sobre su utilización. El análisis químico incluirá al menos las determinaciones de nitratos y de conductividad, sin perjuicio de otros elementos que puedan ser de interés. Los análisis se realizarán en laboratorios autorizados.</w:t>
      </w:r>
    </w:p>
    <w:p w:rsidR="00412AFB" w:rsidRPr="00993936" w:rsidRDefault="00412AFB" w:rsidP="00412AFB">
      <w:pPr>
        <w:jc w:val="both"/>
        <w:rPr>
          <w:rFonts w:ascii="Arial" w:hAnsi="Arial" w:cs="Arial"/>
          <w:lang w:val="es-ES"/>
        </w:rPr>
      </w:pPr>
      <w:r w:rsidRPr="00993936">
        <w:rPr>
          <w:rFonts w:ascii="Arial" w:hAnsi="Arial" w:cs="Arial"/>
          <w:lang w:val="es-ES"/>
        </w:rPr>
        <w:t>9.1.2 Analizar el agua de riego cada cinco años en un laboratorio reconocido por la Administración. Si a causa de su origen la composición del agua es muy variable, deberán efectuarse con más frecuencia análisis del contenido de nitratos y de la conductividad. En el caso de utilizar para el riego aguas residuales depuradas, que puedan entrar en contacto directo con los órganos vegetales consumibles, analizar la posible presencia de contaminantes microbianos, químicos o bacteriológicos para tomar una decisión sobre su uso.</w:t>
      </w:r>
    </w:p>
    <w:p w:rsidR="00412AFB" w:rsidRPr="00993936" w:rsidRDefault="00412AFB" w:rsidP="00412AFB">
      <w:pPr>
        <w:jc w:val="both"/>
        <w:rPr>
          <w:rFonts w:ascii="Arial" w:hAnsi="Arial" w:cs="Arial"/>
          <w:lang w:val="es-ES"/>
        </w:rPr>
      </w:pPr>
      <w:r w:rsidRPr="00993936">
        <w:rPr>
          <w:rFonts w:ascii="Arial" w:hAnsi="Arial" w:cs="Arial"/>
          <w:lang w:val="es-ES"/>
        </w:rPr>
        <w:t>9.1.3 Tomar las medidas necesarias para evitar las pérdidas de agua.</w:t>
      </w:r>
    </w:p>
    <w:p w:rsidR="00412AFB" w:rsidRPr="00993936" w:rsidRDefault="00412AFB" w:rsidP="00412AFB">
      <w:pPr>
        <w:pStyle w:val="Textoindependiente"/>
        <w:rPr>
          <w:rFonts w:cs="Arial"/>
          <w:szCs w:val="22"/>
          <w:lang w:val="es-ES"/>
        </w:rPr>
      </w:pPr>
      <w:r w:rsidRPr="00993936">
        <w:rPr>
          <w:rFonts w:cs="Arial"/>
          <w:szCs w:val="22"/>
          <w:lang w:val="es-ES"/>
        </w:rPr>
        <w:t>9.1.4 En cultivos al aire libre, establecer los volúmenes anuales necesarios mediante el cálculo de las necesidades del cultivo, de acuerdo con los datos locales de la evapotranspiración calculada mediante los datos de la estación meteorológica más representativa.</w:t>
      </w:r>
    </w:p>
    <w:p w:rsidR="00412AFB" w:rsidRPr="00993936" w:rsidRDefault="00412AFB" w:rsidP="00412AFB">
      <w:pPr>
        <w:pStyle w:val="Textoindependiente"/>
        <w:rPr>
          <w:rFonts w:cs="Arial"/>
          <w:szCs w:val="22"/>
          <w:lang w:val="es-ES"/>
        </w:rPr>
      </w:pPr>
      <w:r w:rsidRPr="00993936">
        <w:rPr>
          <w:rFonts w:cs="Arial"/>
          <w:szCs w:val="22"/>
          <w:lang w:val="es-ES"/>
        </w:rPr>
        <w:t>9.1.5 Establecer los volúmenes máximos de cada riego en función del sistema, la profundidad radicular del cultivo, el estado hídrico y las características físicas del suelo. Para valores de conductividad eléctrica del agua superiores a 2,1 dS/m, se utilizará una fracción de lavado complementaria a las dosis normales del riego.</w:t>
      </w:r>
    </w:p>
    <w:p w:rsidR="00412AFB" w:rsidRPr="00993936" w:rsidRDefault="00412AFB" w:rsidP="00412AFB">
      <w:pPr>
        <w:pStyle w:val="Textoindependiente"/>
        <w:rPr>
          <w:rFonts w:cs="Arial"/>
          <w:szCs w:val="22"/>
          <w:lang w:val="es-ES"/>
        </w:rPr>
      </w:pPr>
      <w:r w:rsidRPr="00993936">
        <w:rPr>
          <w:rFonts w:cs="Arial"/>
          <w:szCs w:val="22"/>
          <w:lang w:val="es-ES"/>
        </w:rPr>
        <w:t xml:space="preserve">9.1.6 Los riegos se programarán para cada parcela y/o UHC siguiendo métodos técnicamente aceptados. </w:t>
      </w:r>
    </w:p>
    <w:p w:rsidR="00412AFB" w:rsidRPr="00993936" w:rsidRDefault="00412AFB" w:rsidP="00412AFB">
      <w:pPr>
        <w:jc w:val="both"/>
        <w:rPr>
          <w:rFonts w:ascii="Arial" w:hAnsi="Arial" w:cs="Arial"/>
          <w:lang w:val="es-ES"/>
        </w:rPr>
      </w:pPr>
      <w:r w:rsidRPr="00993936">
        <w:rPr>
          <w:rFonts w:ascii="Arial" w:hAnsi="Arial" w:cs="Arial"/>
          <w:lang w:val="es-ES"/>
        </w:rPr>
        <w:t>9.1.7 Al regar, se evitará la aplicación de aguas que conduzcan a una degradación del suelo por salinización y/o sodificación.</w:t>
      </w:r>
    </w:p>
    <w:p w:rsidR="00412AFB" w:rsidRPr="00993936" w:rsidRDefault="00412AFB" w:rsidP="006E0CBA">
      <w:pPr>
        <w:pStyle w:val="Textoindependiente"/>
        <w:rPr>
          <w:rFonts w:cs="Arial"/>
          <w:szCs w:val="22"/>
          <w:lang w:val="es-ES"/>
        </w:rPr>
      </w:pPr>
      <w:r w:rsidRPr="00993936">
        <w:rPr>
          <w:rFonts w:cs="Arial"/>
          <w:szCs w:val="22"/>
          <w:lang w:val="es-ES"/>
        </w:rPr>
        <w:t>9.1.8 Para la programación de los riegos, se establecerá un programa que determine los volúmenes de agua a aplicar y los tiempos de riego.</w:t>
      </w:r>
    </w:p>
    <w:p w:rsidR="00412AFB" w:rsidRPr="00993936" w:rsidRDefault="00412AFB" w:rsidP="00412AFB">
      <w:pPr>
        <w:jc w:val="both"/>
        <w:rPr>
          <w:rFonts w:ascii="Arial" w:hAnsi="Arial" w:cs="Arial"/>
          <w:lang w:val="es-ES"/>
        </w:rPr>
      </w:pPr>
      <w:r w:rsidRPr="00993936">
        <w:rPr>
          <w:rFonts w:ascii="Arial" w:hAnsi="Arial" w:cs="Arial"/>
          <w:lang w:val="es-ES"/>
        </w:rPr>
        <w:t>9.1.9 Se diseñará un sistema de riego para cada parcela que garantice de forma permanente la conservación del suelo.</w:t>
      </w:r>
    </w:p>
    <w:p w:rsidR="00412AFB" w:rsidRPr="00993936" w:rsidRDefault="00412AFB" w:rsidP="00412AFB">
      <w:pPr>
        <w:pStyle w:val="Textoindependiente"/>
        <w:rPr>
          <w:rFonts w:cs="Arial"/>
          <w:szCs w:val="22"/>
          <w:lang w:val="es-ES"/>
        </w:rPr>
      </w:pPr>
      <w:r w:rsidRPr="00993936">
        <w:rPr>
          <w:rFonts w:cs="Arial"/>
          <w:szCs w:val="22"/>
          <w:lang w:val="es-ES"/>
        </w:rPr>
        <w:t>9.1.10 Se utilizarán técnicas de riego que garanticen la máxima eficiencia en el uso del agua y la optimización de los recursos hídricos, evitando las pérdidas de agua, por lo que se tendrá en cuenta que:</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Las dosis de riego se ajustarán a las necesidades de los cultivos y a la textura y las características de drenaje del suelo.</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En riego por gravedad o inundación, la longitud de las tablas y su pendiente máxima se establecerán en función del volumen de riego necesario y de las condiciones hidráulicas y de permeabilidad del terreno.</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 xml:space="preserve">En el riego a presión se justificará que el valor del coeficiente de uniformidad (CU) esté comprendido entre los valores establecidos de acuerdo con la separación entre los emisores y la pendiente del terreno. </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lastRenderedPageBreak/>
        <w:t xml:space="preserve">La medida del cálculo del coeficiente de uniformidad se realizará mediante el método de Merrien-Keller (Anexo 11). </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Mantener en buen estado de conservación los sistemas de distribución del agua.</w:t>
      </w:r>
    </w:p>
    <w:p w:rsidR="00412AFB" w:rsidRPr="00993936" w:rsidRDefault="00412AFB" w:rsidP="00412AFB">
      <w:pPr>
        <w:numPr>
          <w:ilvl w:val="0"/>
          <w:numId w:val="13"/>
        </w:numPr>
        <w:spacing w:after="0" w:line="240" w:lineRule="auto"/>
        <w:jc w:val="both"/>
        <w:rPr>
          <w:rFonts w:ascii="Arial" w:hAnsi="Arial" w:cs="Arial"/>
          <w:lang w:val="es-ES"/>
        </w:rPr>
      </w:pPr>
      <w:r w:rsidRPr="00993936">
        <w:rPr>
          <w:rFonts w:ascii="Arial" w:hAnsi="Arial" w:cs="Arial"/>
          <w:lang w:val="es-ES"/>
        </w:rPr>
        <w:t>Registrar el agua de riego aplicada en el cuaderno de explotación. Si no fuera posible, se efectuará una estimación.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9.1.11 El agua para el riego se utilizará con criterios de máxima eficiencia. Deberá utilizarse algún método de programación de riegos que permita ajustar las dosis de riego a las necesidades de los cultivos y a la textura y el drenaje del suelo. El agua de riego se distribuirá uniformemente en las parcelas minimizando las pérdidas que se produzcan por percolación y escorrentía. </w:t>
      </w:r>
    </w:p>
    <w:p w:rsidR="00412AFB" w:rsidRPr="00993936" w:rsidRDefault="00412AFB" w:rsidP="00412AFB">
      <w:pPr>
        <w:jc w:val="both"/>
        <w:rPr>
          <w:rFonts w:ascii="Arial" w:hAnsi="Arial" w:cs="Arial"/>
          <w:lang w:val="es-ES"/>
        </w:rPr>
      </w:pPr>
      <w:r w:rsidRPr="00993936">
        <w:rPr>
          <w:rFonts w:ascii="Arial" w:hAnsi="Arial" w:cs="Arial"/>
          <w:lang w:val="es-ES"/>
        </w:rPr>
        <w:t xml:space="preserve">9.1.12 En los sistemas de presión, hay que lograr un coeficiente de uniformidad (CU) superior al 80 %. La comprobación de este coeficiente se llevará a cabo cada tres años, en cada sector de riego, de modo que pueda asegurarse el buen funcionamiento de las instalaciones. </w:t>
      </w:r>
    </w:p>
    <w:p w:rsidR="00412AFB" w:rsidRPr="00993936" w:rsidRDefault="00412AFB" w:rsidP="00412AFB">
      <w:pPr>
        <w:jc w:val="both"/>
        <w:rPr>
          <w:rFonts w:ascii="Arial" w:hAnsi="Arial" w:cs="Arial"/>
          <w:lang w:val="es-ES"/>
        </w:rPr>
      </w:pPr>
      <w:r w:rsidRPr="00993936">
        <w:rPr>
          <w:rFonts w:ascii="Arial" w:hAnsi="Arial" w:cs="Arial"/>
          <w:lang w:val="es-ES"/>
        </w:rPr>
        <w:t>9.1.13 En el caso del riego superficial, debe exigirse una nivelación cuidadosa en el momento de realizar una nueva plantación y, a la vez, una adaptación de la sistematización de la superficie que hay que regar a los módulos de riego que se utilicen y a las condiciones de infiltración. En el riego superficial, es necesario alcanzar la máxima uniformidad de distribución.</w:t>
      </w:r>
    </w:p>
    <w:p w:rsidR="00412AFB" w:rsidRPr="00993936" w:rsidRDefault="00412AFB" w:rsidP="00412AFB">
      <w:pPr>
        <w:jc w:val="both"/>
        <w:outlineLvl w:val="0"/>
        <w:rPr>
          <w:rFonts w:ascii="Arial" w:hAnsi="Arial" w:cs="Arial"/>
          <w:lang w:val="es-ES"/>
        </w:rPr>
      </w:pPr>
      <w:r w:rsidRPr="00993936">
        <w:rPr>
          <w:rFonts w:ascii="Arial" w:hAnsi="Arial" w:cs="Arial"/>
          <w:lang w:val="es-ES"/>
        </w:rPr>
        <w:t>9.2 Prohibiciones</w:t>
      </w:r>
    </w:p>
    <w:p w:rsidR="00412AFB" w:rsidRPr="00993936" w:rsidRDefault="00412AFB" w:rsidP="00412AFB">
      <w:pPr>
        <w:jc w:val="both"/>
        <w:rPr>
          <w:rFonts w:ascii="Arial" w:hAnsi="Arial" w:cs="Arial"/>
          <w:lang w:val="es-ES"/>
        </w:rPr>
      </w:pPr>
      <w:r w:rsidRPr="00993936">
        <w:rPr>
          <w:rFonts w:ascii="Arial" w:hAnsi="Arial" w:cs="Arial"/>
          <w:lang w:val="es-ES"/>
        </w:rPr>
        <w:t>9.2.1 La utilización de aguas residuales sin depuración previa.</w:t>
      </w:r>
    </w:p>
    <w:p w:rsidR="00412AFB" w:rsidRPr="00993936" w:rsidRDefault="00412AFB" w:rsidP="00412AFB">
      <w:pPr>
        <w:jc w:val="both"/>
        <w:rPr>
          <w:rFonts w:ascii="Arial" w:hAnsi="Arial" w:cs="Arial"/>
          <w:lang w:val="es-ES"/>
        </w:rPr>
      </w:pPr>
      <w:r w:rsidRPr="00993936">
        <w:rPr>
          <w:rFonts w:ascii="Arial" w:hAnsi="Arial" w:cs="Arial"/>
          <w:lang w:val="es-ES"/>
        </w:rPr>
        <w:t>9.2.2 Utilizar aguas caracterizadas por parámetros de calidad inadecuados para el cultivo y para el suelo.</w:t>
      </w:r>
    </w:p>
    <w:p w:rsidR="00412AFB" w:rsidRPr="00993936" w:rsidRDefault="00412AFB" w:rsidP="00412AFB">
      <w:pPr>
        <w:jc w:val="both"/>
        <w:rPr>
          <w:rFonts w:ascii="Arial" w:hAnsi="Arial" w:cs="Arial"/>
          <w:lang w:val="es-ES"/>
        </w:rPr>
      </w:pPr>
      <w:r w:rsidRPr="00993936">
        <w:rPr>
          <w:rFonts w:ascii="Arial" w:hAnsi="Arial" w:cs="Arial"/>
          <w:lang w:val="es-ES"/>
        </w:rPr>
        <w:t>9.2.3 Utilizar aguas residuales sin depuración previa o aguas que, a pesar de estar depuradas, superan los parámetros que establece la legislación vigente.</w:t>
      </w:r>
    </w:p>
    <w:p w:rsidR="00412AFB" w:rsidRPr="00993936" w:rsidRDefault="00412AFB" w:rsidP="006E0CBA">
      <w:pPr>
        <w:jc w:val="both"/>
        <w:rPr>
          <w:rFonts w:ascii="Arial" w:hAnsi="Arial" w:cs="Arial"/>
          <w:lang w:val="es-ES"/>
        </w:rPr>
      </w:pPr>
      <w:r w:rsidRPr="00993936">
        <w:rPr>
          <w:rFonts w:ascii="Arial" w:hAnsi="Arial" w:cs="Arial"/>
          <w:lang w:val="es-ES"/>
        </w:rPr>
        <w:t>9.2.4. El uso de aguas de riego que superen los siguientes parámetros:</w:t>
      </w:r>
    </w:p>
    <w:p w:rsidR="00412AFB" w:rsidRPr="00993936" w:rsidRDefault="00412AFB" w:rsidP="007876F3">
      <w:pPr>
        <w:ind w:left="708"/>
        <w:jc w:val="both"/>
        <w:rPr>
          <w:rFonts w:ascii="Arial" w:hAnsi="Arial" w:cs="Arial"/>
          <w:lang w:val="es-ES"/>
        </w:rPr>
      </w:pPr>
      <w:r w:rsidRPr="00993936">
        <w:rPr>
          <w:rFonts w:ascii="Arial" w:hAnsi="Arial" w:cs="Arial"/>
          <w:lang w:val="es-ES"/>
        </w:rPr>
        <w:t>Conductividad (CEW) ......... 3,0 dS/m</w:t>
      </w:r>
    </w:p>
    <w:p w:rsidR="00412AFB" w:rsidRPr="00993936" w:rsidRDefault="00412AFB" w:rsidP="007876F3">
      <w:pPr>
        <w:ind w:left="708"/>
        <w:jc w:val="both"/>
        <w:rPr>
          <w:rFonts w:ascii="Arial" w:hAnsi="Arial" w:cs="Arial"/>
          <w:lang w:val="es-ES"/>
        </w:rPr>
      </w:pPr>
      <w:r w:rsidRPr="00993936">
        <w:rPr>
          <w:rFonts w:ascii="Arial" w:hAnsi="Arial" w:cs="Arial"/>
          <w:lang w:val="es-ES"/>
        </w:rPr>
        <w:t>RAS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4</w:t>
      </w:r>
    </w:p>
    <w:p w:rsidR="00412AFB" w:rsidRPr="00993936" w:rsidRDefault="00412AFB" w:rsidP="007876F3">
      <w:pPr>
        <w:ind w:left="708"/>
        <w:jc w:val="both"/>
        <w:rPr>
          <w:rFonts w:ascii="Arial" w:hAnsi="Arial" w:cs="Arial"/>
          <w:lang w:val="es-ES"/>
        </w:rPr>
      </w:pPr>
      <w:r w:rsidRPr="00993936">
        <w:rPr>
          <w:rFonts w:ascii="Arial" w:hAnsi="Arial" w:cs="Arial"/>
          <w:lang w:val="es-ES"/>
        </w:rPr>
        <w:t>Boro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2 ppm</w:t>
      </w:r>
    </w:p>
    <w:p w:rsidR="00412AFB" w:rsidRPr="00993936" w:rsidRDefault="00412AFB" w:rsidP="007876F3">
      <w:pPr>
        <w:ind w:left="708"/>
        <w:jc w:val="both"/>
        <w:rPr>
          <w:rFonts w:ascii="Arial" w:hAnsi="Arial" w:cs="Arial"/>
          <w:lang w:val="es-ES"/>
        </w:rPr>
      </w:pPr>
      <w:r w:rsidRPr="00993936">
        <w:rPr>
          <w:rFonts w:ascii="Arial" w:hAnsi="Arial" w:cs="Arial"/>
          <w:lang w:val="es-ES"/>
        </w:rPr>
        <w:t>Cloruros………………….......</w:t>
      </w:r>
      <w:r w:rsidR="00E03B3B" w:rsidRPr="00993936">
        <w:rPr>
          <w:rFonts w:ascii="Arial" w:hAnsi="Arial" w:cs="Arial"/>
          <w:lang w:val="es-ES"/>
        </w:rPr>
        <w:t xml:space="preserve"> </w:t>
      </w:r>
      <w:r w:rsidRPr="00993936">
        <w:rPr>
          <w:rFonts w:ascii="Arial" w:hAnsi="Arial" w:cs="Arial"/>
          <w:lang w:val="es-ES"/>
        </w:rPr>
        <w:t>10 mEq/l</w:t>
      </w:r>
    </w:p>
    <w:p w:rsidR="00412AFB" w:rsidRPr="00993936" w:rsidRDefault="00412AFB" w:rsidP="007876F3">
      <w:pPr>
        <w:ind w:left="708"/>
        <w:jc w:val="both"/>
        <w:rPr>
          <w:rFonts w:ascii="Arial" w:hAnsi="Arial" w:cs="Arial"/>
          <w:lang w:val="es-ES"/>
        </w:rPr>
      </w:pPr>
      <w:r w:rsidRPr="00993936">
        <w:rPr>
          <w:rFonts w:ascii="Arial" w:hAnsi="Arial" w:cs="Arial"/>
          <w:lang w:val="es-ES"/>
        </w:rPr>
        <w:t>Sodio ........................</w:t>
      </w:r>
      <w:r w:rsidR="00D74508" w:rsidRPr="00993936">
        <w:rPr>
          <w:rFonts w:ascii="Arial" w:hAnsi="Arial" w:cs="Arial"/>
          <w:lang w:val="es-ES"/>
        </w:rPr>
        <w:t>....</w:t>
      </w:r>
      <w:r w:rsidRPr="00993936">
        <w:rPr>
          <w:rFonts w:ascii="Arial" w:hAnsi="Arial" w:cs="Arial"/>
          <w:lang w:val="es-ES"/>
        </w:rPr>
        <w:t>........</w:t>
      </w:r>
      <w:r w:rsidR="00E03B3B" w:rsidRPr="00993936">
        <w:rPr>
          <w:rFonts w:ascii="Arial" w:hAnsi="Arial" w:cs="Arial"/>
          <w:lang w:val="es-ES"/>
        </w:rPr>
        <w:t xml:space="preserve"> </w:t>
      </w:r>
      <w:r w:rsidRPr="00993936">
        <w:rPr>
          <w:rFonts w:ascii="Arial" w:hAnsi="Arial" w:cs="Arial"/>
          <w:lang w:val="es-ES"/>
        </w:rPr>
        <w:t>9 mEq/l</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9.3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9.3.1 Para utilizar el agua para el riego con criterios de máxima eficiencia, se recomienda en los sistemas de riego a presión la instalación de un caudalímetro o algún otro sistema de medición de consumo de agua, como instalar contadores en los conductos a presión o bien contar las horas de riego superficial, que permitan llevar un control preciso de las dosis de agua y de los momentos de aplicación.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9.3.2 Para evaluar el estado del agua en el suelo, se recomienda disponer de algún tipo de control de la humedad del suelo (tensiómetros, sondas u otros). </w:t>
      </w:r>
    </w:p>
    <w:p w:rsidR="00412AFB" w:rsidRPr="00993936" w:rsidRDefault="00412AFB" w:rsidP="00412AFB">
      <w:pPr>
        <w:jc w:val="both"/>
        <w:rPr>
          <w:rFonts w:ascii="Arial" w:hAnsi="Arial" w:cs="Arial"/>
          <w:lang w:val="es-ES"/>
        </w:rPr>
      </w:pPr>
      <w:r w:rsidRPr="00993936">
        <w:rPr>
          <w:rFonts w:ascii="Arial" w:hAnsi="Arial" w:cs="Arial"/>
          <w:lang w:val="es-ES"/>
        </w:rPr>
        <w:t xml:space="preserve">9.3.3 Que el material utilizado en las instalaciones nuevas de microirrigación corresponda a los modelos de emisores, tubos emisores y difusores certificados por el </w:t>
      </w:r>
      <w:r w:rsidRPr="00993936">
        <w:rPr>
          <w:rFonts w:ascii="Arial" w:hAnsi="Arial" w:cs="Arial"/>
          <w:lang w:val="es-ES"/>
        </w:rPr>
        <w:lastRenderedPageBreak/>
        <w:t>programa de control de características de material de microirrigación del Departamento de Agricultura, Ganadería y Pesca (Orden de 2 de mayo de 1995, DOGC núm. 2050, de 15.5.1995) o por otros programas oficiales.</w:t>
      </w:r>
    </w:p>
    <w:p w:rsidR="00412AFB" w:rsidRPr="00993936" w:rsidRDefault="00412AFB" w:rsidP="00412AFB">
      <w:pPr>
        <w:jc w:val="both"/>
        <w:rPr>
          <w:rFonts w:ascii="Arial" w:hAnsi="Arial" w:cs="Arial"/>
          <w:lang w:val="es-ES"/>
        </w:rPr>
      </w:pPr>
      <w:r w:rsidRPr="00993936">
        <w:rPr>
          <w:rFonts w:ascii="Arial" w:hAnsi="Arial" w:cs="Arial"/>
          <w:lang w:val="es-ES"/>
        </w:rPr>
        <w:t>9.3.4 Establecer un plan de gestión del agua que permita optimizar su uso y reducir las pérdidas.</w:t>
      </w: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9.3.5 Evitar el riego por gravedad en suelos de textura arenosa.</w:t>
      </w:r>
    </w:p>
    <w:p w:rsidR="00412AFB" w:rsidRPr="00993936" w:rsidRDefault="00412AFB" w:rsidP="00412AFB">
      <w:pPr>
        <w:jc w:val="both"/>
        <w:rPr>
          <w:rFonts w:ascii="Arial" w:hAnsi="Arial" w:cs="Arial"/>
          <w:lang w:val="es-ES"/>
        </w:rPr>
      </w:pPr>
      <w:r w:rsidRPr="00993936">
        <w:rPr>
          <w:rFonts w:ascii="Arial" w:hAnsi="Arial" w:cs="Arial"/>
          <w:lang w:val="es-ES"/>
        </w:rPr>
        <w:t>9.3.6 Utilizar el riego por goteo cuando sea posible.</w:t>
      </w: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10</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 xml:space="preserve">Control integrado de plagas y enfermedades </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10.1.1 Para controlar plagas y enfermedades deben priorizarse, siempre que sea posible, los métodos biológicos, biotecnológicos, culturales, físicos y genéticos frente a los métodos químicos. </w:t>
      </w:r>
    </w:p>
    <w:p w:rsidR="00412AFB" w:rsidRPr="00993936" w:rsidRDefault="00412AFB" w:rsidP="00412AFB">
      <w:pPr>
        <w:pStyle w:val="Textoindependiente"/>
        <w:rPr>
          <w:rFonts w:cs="Arial"/>
          <w:szCs w:val="22"/>
          <w:lang w:val="es-ES"/>
        </w:rPr>
      </w:pPr>
      <w:r w:rsidRPr="00993936">
        <w:rPr>
          <w:rFonts w:cs="Arial"/>
          <w:szCs w:val="22"/>
          <w:lang w:val="es-ES"/>
        </w:rPr>
        <w:t>10.1.2 La estimación del riesgo en cada parcela y/o UHC se hará mediante evaluaciones de los niveles de población calculados mediante sistemas de muestreo, estado de desarrollo de las plagas, enfermedades y fauna útil, fenología del cultivo y condiciones climáticas. La aplicación de medidas directas de control de plagas y enfermedades solo se efectuará cuando los niveles de población o las condiciones ambientales superen los correspondientes umbrales y/o criterios mínimos de intervención que figuran en el Anexo 4 de esta norma, y, en caso de enfermedades, cuando la estimación del riesgo así lo indique.</w:t>
      </w:r>
    </w:p>
    <w:p w:rsidR="00412AFB" w:rsidRPr="00993936" w:rsidRDefault="00412AFB" w:rsidP="00412AFB">
      <w:pPr>
        <w:pStyle w:val="Textoindependiente"/>
        <w:rPr>
          <w:rFonts w:cs="Arial"/>
          <w:szCs w:val="22"/>
          <w:lang w:val="es-ES"/>
        </w:rPr>
      </w:pPr>
      <w:r w:rsidRPr="00993936">
        <w:rPr>
          <w:rFonts w:cs="Arial"/>
          <w:szCs w:val="22"/>
          <w:lang w:val="es-ES"/>
        </w:rPr>
        <w:t xml:space="preserve">Los niveles de población de cada fitoparásito se estimarán mediante trampas equipadas con atrayente sexual y/o trampas alimentarias colocadas a razón de 1 por cada 4 ha, y controladas por el productor o por el miembro del personal técnico responsable de producción integrada mediante un control visual de daños o de presencia de parásitos a nivel de parcela. Con esta finalidad, se entiende por parcela la plantación homogénea en cuanto a edad, patrón, variedad (principal + polinizador), sistema de poda y sistema de riego, con una superficie no mayor de 4 hectáreas, por lo que, si la extensión es superior, deberá dividirse en unidades de control inferiores a dicha superficie. </w:t>
      </w:r>
    </w:p>
    <w:p w:rsidR="00412AFB" w:rsidRPr="00993936" w:rsidRDefault="00412AFB" w:rsidP="00412AFB">
      <w:pPr>
        <w:jc w:val="both"/>
        <w:rPr>
          <w:rFonts w:ascii="Arial" w:hAnsi="Arial" w:cs="Arial"/>
          <w:lang w:val="es-ES"/>
        </w:rPr>
      </w:pPr>
      <w:r w:rsidRPr="00993936">
        <w:rPr>
          <w:rFonts w:ascii="Arial" w:hAnsi="Arial" w:cs="Arial"/>
          <w:lang w:val="es-ES"/>
        </w:rPr>
        <w:t>En el caso de agrupaciones de productores, el número de trampas que hay que colocar será determinado por el personal técnico responsable de producción integrada en función del número y la distribución de las plantaciones, de manera que se garantice un sistema de control fiable y representativo de la zona que se quiera controlar. En este caso, cada agrupación de productores deberá disponer de un plano de situación de las trampas, con indicación de sus modelos y el tipo de parásitos que hay que controlar y también de la relación de fincas —hectáreas y nombres de los productores incluidos— junto con la descripción del plan de control.</w:t>
      </w:r>
    </w:p>
    <w:p w:rsidR="00412AFB" w:rsidRPr="00993936" w:rsidRDefault="00412AFB" w:rsidP="00412AFB">
      <w:pPr>
        <w:jc w:val="both"/>
        <w:rPr>
          <w:rFonts w:ascii="Arial" w:hAnsi="Arial" w:cs="Arial"/>
          <w:lang w:val="es-ES"/>
        </w:rPr>
      </w:pPr>
      <w:r w:rsidRPr="00993936">
        <w:rPr>
          <w:rFonts w:ascii="Arial" w:hAnsi="Arial" w:cs="Arial"/>
          <w:lang w:val="es-ES"/>
        </w:rPr>
        <w:t xml:space="preserve">Los criterios que se utilicen para la justificación de los posibles tratamientos fitosanitarios deberán estar previstos en el Programa de control integrado de plagas y enfermedades (CIP) previstos en esta norma. </w:t>
      </w:r>
    </w:p>
    <w:p w:rsidR="00412AFB" w:rsidRPr="00993936" w:rsidRDefault="00412AFB" w:rsidP="00412AFB">
      <w:pPr>
        <w:jc w:val="both"/>
        <w:rPr>
          <w:rFonts w:ascii="Arial" w:hAnsi="Arial" w:cs="Arial"/>
          <w:lang w:val="es-ES"/>
        </w:rPr>
      </w:pPr>
      <w:r w:rsidRPr="00993936">
        <w:rPr>
          <w:rFonts w:ascii="Arial" w:hAnsi="Arial" w:cs="Arial"/>
          <w:lang w:val="es-ES"/>
        </w:rPr>
        <w:t xml:space="preserve">10.1.3 En caso de que sea necesaria una intervención con productos fitosanitarios, las sustancias activas que hay que utilizar serán seleccionadas de acuerdo con los criterios de menor peligrosidad para los humanos, la fauna y el medio ambiente; la efectividad en el control de la plaga, o la enfermedad; la selectividad (debe evitarse la </w:t>
      </w:r>
      <w:r w:rsidRPr="00993936">
        <w:rPr>
          <w:rFonts w:ascii="Arial" w:hAnsi="Arial" w:cs="Arial"/>
          <w:lang w:val="es-ES"/>
        </w:rPr>
        <w:lastRenderedPageBreak/>
        <w:t>toxicidad para los polinizadores y los enemigos naturales); los residuos y el riesgo de aparición de poblaciones resistentes. En cualquier caso, solo podrán utilizarse productos fitosanitarios inscritos en el Registro oficial de productos y material fitosanitario de España y que estén aprobados expresamente para los cultivos y los usos autorizados y de acuerdo con las instrucciones y/o restricciones que figuran en el Anexo 3 de esta norma.</w:t>
      </w:r>
    </w:p>
    <w:p w:rsidR="00412AFB" w:rsidRPr="00993936" w:rsidRDefault="00412AFB" w:rsidP="00412AFB">
      <w:pPr>
        <w:jc w:val="both"/>
        <w:rPr>
          <w:rFonts w:ascii="Arial" w:hAnsi="Arial" w:cs="Arial"/>
          <w:lang w:val="es-ES"/>
        </w:rPr>
      </w:pPr>
      <w:r w:rsidRPr="00993936">
        <w:rPr>
          <w:rFonts w:ascii="Arial" w:hAnsi="Arial" w:cs="Arial"/>
          <w:lang w:val="es-ES"/>
        </w:rPr>
        <w:t>10.1.4 En caso de emplear para el control de plagas y enfermedades formulados comerciales a base de mezclas de sustancias activas, dada la gran cantidad existente, se consideran admitidas en producción integrada de cereales de verano, aunque no estén expresamente definidas el Anexo 3 de esta norma, todas las mezclas de formulados que incorporen dos o más sustancias activas incluidas en el mencionado anexo, siempre que la mezcla comercial esté autorizada en el Registro oficial de productos y material fitosanitario para el cultivo y para los usos oficialmente autorizados.</w:t>
      </w:r>
    </w:p>
    <w:p w:rsidR="00412AFB" w:rsidRPr="00993936" w:rsidRDefault="00412AFB" w:rsidP="00412AFB">
      <w:pPr>
        <w:jc w:val="both"/>
        <w:rPr>
          <w:rFonts w:ascii="Arial" w:hAnsi="Arial" w:cs="Arial"/>
          <w:lang w:val="es-ES"/>
        </w:rPr>
      </w:pPr>
      <w:r w:rsidRPr="00993936">
        <w:rPr>
          <w:rFonts w:ascii="Arial" w:hAnsi="Arial" w:cs="Arial"/>
          <w:lang w:val="es-ES"/>
        </w:rPr>
        <w:t>No podrán utilizarse los formulados a base de mezclas de sustancias activas que tengan alguna sustancia no dirigida contra una determinada plaga y/o enfermedad, salvo en las ocasiones en que se justifique el tratamiento simultáneo contra varios organismos nocivos.</w:t>
      </w:r>
    </w:p>
    <w:p w:rsidR="00412AFB" w:rsidRPr="00993936" w:rsidRDefault="00412AFB" w:rsidP="00412AFB">
      <w:pPr>
        <w:jc w:val="both"/>
        <w:rPr>
          <w:rFonts w:ascii="Arial" w:hAnsi="Arial" w:cs="Arial"/>
          <w:lang w:val="es-ES"/>
        </w:rPr>
      </w:pPr>
      <w:r w:rsidRPr="00993936">
        <w:rPr>
          <w:rFonts w:ascii="Arial" w:hAnsi="Arial" w:cs="Arial"/>
          <w:lang w:val="es-ES"/>
        </w:rPr>
        <w:t>10.1.5 Para evitar riesgos a los operarios, los consumidores y el medio ambiente, el uso y la aplicación de productos fitosanitarios se llevará a cabo respetando siempre las indicaciones reflejadas en las etiquetas correspondientes de los productos y siguiendo las recomendaciones y/o instrucciones dictadas por el responsable técnico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10.1.6 Deberán registrarse en el cuaderno de explotación todas las aplicaciones de productos químicos indicando, como mínimo la fecha, el producto, la sustancia activa, la cantidad y el volumen utilizado; estas aplicaciones deberán ser revisadas a posteriori por el miembro del personal técnico responsable de producción integrada, cuya conformidad figurará en dicho cuaderno.</w:t>
      </w:r>
    </w:p>
    <w:p w:rsidR="00412AFB" w:rsidRPr="00993936" w:rsidRDefault="00412AFB" w:rsidP="00412AFB">
      <w:pPr>
        <w:jc w:val="both"/>
        <w:rPr>
          <w:rFonts w:ascii="Arial" w:hAnsi="Arial" w:cs="Arial"/>
          <w:lang w:val="es-ES"/>
        </w:rPr>
      </w:pPr>
      <w:r w:rsidRPr="00993936">
        <w:rPr>
          <w:rFonts w:ascii="Arial" w:hAnsi="Arial" w:cs="Arial"/>
          <w:lang w:val="es-ES"/>
        </w:rPr>
        <w:t>10.1.7 Cuando se mezclen fitosanitarios, habrá que seguir los procedimientos adecuados para el manejo y la carga, según se indique en las instrucciones de la etiqueta del producto.</w:t>
      </w:r>
    </w:p>
    <w:p w:rsidR="00412AFB" w:rsidRPr="00993936" w:rsidRDefault="00412AFB" w:rsidP="00412AFB">
      <w:pPr>
        <w:jc w:val="both"/>
        <w:rPr>
          <w:rFonts w:ascii="Arial" w:hAnsi="Arial" w:cs="Arial"/>
          <w:lang w:val="es-ES"/>
        </w:rPr>
      </w:pPr>
      <w:r w:rsidRPr="00993936">
        <w:rPr>
          <w:rFonts w:ascii="Arial" w:hAnsi="Arial" w:cs="Arial"/>
          <w:lang w:val="es-ES"/>
        </w:rPr>
        <w:t>10.1.8 Para condiciones de recogida continua de fruta durante un periodo largo de tiempo, deberá tenerse un plan para la protección vegetal que no comprometa los intervalos de recolección. El plan deberá considerar el establecimiento de marcadores de campo que permitan diferenciar las parcelas y variedades que son para la recolección del resto del cultivo.</w:t>
      </w:r>
    </w:p>
    <w:p w:rsidR="00412AFB" w:rsidRPr="00993936" w:rsidRDefault="00412AFB" w:rsidP="00412AFB">
      <w:pPr>
        <w:pStyle w:val="Textoindependiente"/>
        <w:rPr>
          <w:rFonts w:cs="Arial"/>
          <w:szCs w:val="22"/>
          <w:lang w:val="es-ES"/>
        </w:rPr>
      </w:pPr>
      <w:r w:rsidRPr="00993936">
        <w:rPr>
          <w:rFonts w:cs="Arial"/>
          <w:szCs w:val="22"/>
          <w:lang w:val="es-ES"/>
        </w:rPr>
        <w:t>10.1.9 Con el fin de disminuir la contaminación que provenga de los restos de fitosanitarios que quedan en los envases, se realizará un triple lavado. El agua de este lavado se añadirá al tanque de aplicación.</w:t>
      </w:r>
    </w:p>
    <w:p w:rsidR="00412AFB" w:rsidRPr="00993936" w:rsidRDefault="00412AFB" w:rsidP="00412AFB">
      <w:pPr>
        <w:pStyle w:val="Textoindependiente"/>
        <w:rPr>
          <w:rFonts w:cs="Arial"/>
          <w:szCs w:val="22"/>
          <w:lang w:val="es-ES"/>
        </w:rPr>
      </w:pPr>
      <w:r w:rsidRPr="00993936">
        <w:rPr>
          <w:rFonts w:cs="Arial"/>
          <w:szCs w:val="22"/>
          <w:lang w:val="es-ES"/>
        </w:rPr>
        <w:t>10.1.10 La presencia de residuos debe minimizarse mediante la máxima ampliación posible de los plazos de seguridad.</w:t>
      </w:r>
    </w:p>
    <w:p w:rsidR="00412AFB" w:rsidRPr="00993936" w:rsidRDefault="00412AFB" w:rsidP="00412AFB">
      <w:pPr>
        <w:jc w:val="both"/>
        <w:rPr>
          <w:rFonts w:ascii="Arial" w:hAnsi="Arial" w:cs="Arial"/>
          <w:lang w:val="es-ES"/>
        </w:rPr>
      </w:pPr>
      <w:r w:rsidRPr="00993936">
        <w:rPr>
          <w:rFonts w:ascii="Arial" w:hAnsi="Arial" w:cs="Arial"/>
          <w:lang w:val="es-ES"/>
        </w:rPr>
        <w:t xml:space="preserve">10.1.11 Proteger la fauna auxiliar en general y, en particular, al menos, dos especies cuya protección y aumento de poblaciones se considere prioritaria para cada cultivo. Las especies de fauna auxiliar que pueden protegerse en fruta de pepita son las siguientes: </w:t>
      </w:r>
    </w:p>
    <w:p w:rsidR="00412AFB" w:rsidRPr="00993936" w:rsidRDefault="00412AFB" w:rsidP="00412AFB">
      <w:pPr>
        <w:jc w:val="both"/>
        <w:rPr>
          <w:rFonts w:ascii="Arial" w:hAnsi="Arial" w:cs="Arial"/>
          <w:i/>
          <w:lang w:val="es-ES"/>
        </w:rPr>
      </w:pPr>
      <w:r w:rsidRPr="00993936">
        <w:rPr>
          <w:rFonts w:ascii="Arial" w:hAnsi="Arial" w:cs="Arial"/>
          <w:i/>
          <w:lang w:val="es-ES"/>
        </w:rPr>
        <w:t xml:space="preserve">Amblyseius andersoni, Chrysoperla carnea, Coccinella septempunctata, Anthocoris nemoralis, Orius sp., Hymenoptera eulophidae, Trechnites psyllae, Encarsia perniciosi, </w:t>
      </w:r>
      <w:r w:rsidRPr="00993936">
        <w:rPr>
          <w:rFonts w:ascii="Arial" w:hAnsi="Arial" w:cs="Arial"/>
          <w:i/>
          <w:lang w:val="es-ES"/>
        </w:rPr>
        <w:lastRenderedPageBreak/>
        <w:t>Forficula sp., Aphelinus mali, Aphidiidae, Syrphidae, Pilophorus perplexus, Hymenoptera, Leskia aurea y Aphidoletes aphidimyza.</w:t>
      </w:r>
    </w:p>
    <w:p w:rsidR="00412AFB" w:rsidRPr="00993936" w:rsidRDefault="00412AFB" w:rsidP="00412AFB">
      <w:pPr>
        <w:jc w:val="both"/>
        <w:rPr>
          <w:rFonts w:ascii="Arial" w:hAnsi="Arial" w:cs="Arial"/>
          <w:lang w:val="es-ES"/>
        </w:rPr>
      </w:pPr>
      <w:r w:rsidRPr="00993936">
        <w:rPr>
          <w:rFonts w:ascii="Arial" w:hAnsi="Arial" w:cs="Arial"/>
          <w:lang w:val="es-ES"/>
        </w:rPr>
        <w:t>10.1.12 El aplicador de productos fitosanitarios deberá estar cualificado específicamente, por lo que habrá de justificar que dispone de la acreditación del carné básico de aplicador de productos fitosanitarios o el carné cualificado, en caso de que le sea obligatorio de acuerdo con lo establecido en el Real Decreto 1311/2012.</w:t>
      </w:r>
    </w:p>
    <w:p w:rsidR="00412AFB" w:rsidRPr="00993936" w:rsidRDefault="00412AFB" w:rsidP="00412AFB">
      <w:pPr>
        <w:pStyle w:val="Textoindependiente"/>
        <w:rPr>
          <w:rFonts w:cs="Arial"/>
          <w:szCs w:val="22"/>
          <w:lang w:val="es-ES"/>
        </w:rPr>
      </w:pPr>
      <w:r w:rsidRPr="00993936">
        <w:rPr>
          <w:rFonts w:cs="Arial"/>
          <w:szCs w:val="22"/>
          <w:lang w:val="es-ES"/>
        </w:rPr>
        <w:t xml:space="preserve">1.10.13 La maquinaria utilizada para aplicar los productos fitosanitarios debe mantenerse en un adecuado estado de funcionamiento y someterse periódicamente a los controles e inspecciones que establece el artículo 16 de esta norma.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1.10.14 En caso de tratamientos fitosanitarios y con el objeto de obtener la máxima eficacia con la menor dosis posible, deben ajustarse las concentraciones de los productos, los volúmenes máximos de caldo y el caudal de aire, para evitar las sobredosificaciones y procurar que las aplicaciones no lleguen a una parcela y/o UHC diferente de la que pretende tratarse; asimismo, ha de tenerse en cuenta el estado fenológico del cultivo.</w:t>
      </w:r>
      <w:r w:rsidR="00E03B3B" w:rsidRPr="00993936">
        <w:rPr>
          <w:rFonts w:ascii="Arial" w:hAnsi="Arial" w:cs="Arial"/>
          <w:sz w:val="22"/>
          <w:szCs w:val="22"/>
          <w:lang w:val="es-ES"/>
        </w:rPr>
        <w:t xml:space="preserve">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10.1.15 Reducir el área tratada a focos o rodales con tratamientos químicos siempre que la plaga o enfermedad se encuentre bastante localizada y sea posible.</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10.2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10.2.1 Liberar enemigos naturales no presentes en la fauna española o cuya introducción esté prohibida por la legislación correspondiente, salvo autorización expresa de la dirección general competente en materia de agricultura.</w:t>
      </w:r>
    </w:p>
    <w:p w:rsidR="00412AFB" w:rsidRPr="00993936" w:rsidRDefault="00412AFB" w:rsidP="00412AFB">
      <w:pPr>
        <w:jc w:val="both"/>
        <w:rPr>
          <w:rFonts w:ascii="Arial" w:hAnsi="Arial" w:cs="Arial"/>
          <w:lang w:val="es-ES"/>
        </w:rPr>
      </w:pPr>
      <w:r w:rsidRPr="00993936">
        <w:rPr>
          <w:rFonts w:ascii="Arial" w:hAnsi="Arial" w:cs="Arial"/>
          <w:lang w:val="es-ES"/>
        </w:rPr>
        <w:t>10.2.2 Utilizar calendarios de tratamientos y realizar aplicaciones indiscriminadas sin la prescripción técnica.</w:t>
      </w:r>
    </w:p>
    <w:p w:rsidR="00412AFB" w:rsidRPr="00993936" w:rsidRDefault="00412AFB" w:rsidP="00412AFB">
      <w:pPr>
        <w:jc w:val="both"/>
        <w:rPr>
          <w:rFonts w:ascii="Arial" w:hAnsi="Arial" w:cs="Arial"/>
          <w:lang w:val="es-ES"/>
        </w:rPr>
      </w:pPr>
      <w:r w:rsidRPr="00993936">
        <w:rPr>
          <w:rFonts w:ascii="Arial" w:hAnsi="Arial" w:cs="Arial"/>
          <w:lang w:val="es-ES"/>
        </w:rPr>
        <w:t>10.2.3 Abandonar el control fitosanitario antes de finalizar el periodo vegetativo del cultivo, excepto en casos de fuerza mayor reconocidos por la dirección general competente en materia de agricultura.</w:t>
      </w:r>
    </w:p>
    <w:p w:rsidR="00412AFB" w:rsidRPr="00993936" w:rsidRDefault="00412AFB" w:rsidP="00412AFB">
      <w:pPr>
        <w:pStyle w:val="Textoindependiente"/>
        <w:rPr>
          <w:rFonts w:cs="Arial"/>
          <w:szCs w:val="22"/>
          <w:lang w:val="es-ES"/>
        </w:rPr>
      </w:pPr>
      <w:r w:rsidRPr="00993936">
        <w:rPr>
          <w:rFonts w:cs="Arial"/>
          <w:szCs w:val="22"/>
          <w:lang w:val="es-ES"/>
        </w:rPr>
        <w:t>10.2.4 Emplear de manera sistemática y reiterada productos fitosanitarios no selectivos, de larga persistencia, alta volatilidad, lixiviables o con otras características negativas.</w:t>
      </w:r>
    </w:p>
    <w:p w:rsidR="00412AFB" w:rsidRPr="00993936" w:rsidRDefault="00412AFB" w:rsidP="00412AFB">
      <w:pPr>
        <w:jc w:val="both"/>
        <w:rPr>
          <w:rFonts w:ascii="Arial" w:hAnsi="Arial" w:cs="Arial"/>
          <w:lang w:val="es-ES"/>
        </w:rPr>
      </w:pPr>
      <w:r w:rsidRPr="00993936">
        <w:rPr>
          <w:rFonts w:ascii="Arial" w:hAnsi="Arial" w:cs="Arial"/>
          <w:lang w:val="es-ES"/>
        </w:rPr>
        <w:t xml:space="preserve">10.2.5 Utilizar productos fitosanitarios a menos de cinco metros de las aguas superficiales. </w:t>
      </w:r>
    </w:p>
    <w:p w:rsidR="00412AFB" w:rsidRPr="00993936" w:rsidRDefault="00412AFB" w:rsidP="00412AFB">
      <w:pPr>
        <w:jc w:val="both"/>
        <w:rPr>
          <w:rFonts w:ascii="Arial" w:hAnsi="Arial" w:cs="Arial"/>
          <w:lang w:val="es-ES"/>
        </w:rPr>
      </w:pPr>
      <w:r w:rsidRPr="00993936">
        <w:rPr>
          <w:rFonts w:ascii="Arial" w:hAnsi="Arial" w:cs="Arial"/>
          <w:lang w:val="es-ES"/>
        </w:rPr>
        <w:t>10.2.6 En cultivos al aire libre, realizar aplicaciones de productos fitosanitarios en condiciones meteorológicamente desfavorables para evitar la deriva de los productos.</w:t>
      </w:r>
    </w:p>
    <w:p w:rsidR="00412AFB" w:rsidRPr="00993936" w:rsidRDefault="00412AFB" w:rsidP="00412AFB">
      <w:pPr>
        <w:pStyle w:val="Textoindependiente"/>
        <w:rPr>
          <w:rFonts w:cs="Arial"/>
          <w:szCs w:val="22"/>
          <w:lang w:val="es-ES"/>
        </w:rPr>
      </w:pPr>
      <w:r w:rsidRPr="00993936">
        <w:rPr>
          <w:rFonts w:cs="Arial"/>
          <w:szCs w:val="22"/>
          <w:lang w:val="es-ES"/>
        </w:rPr>
        <w:t>10.2.7 El vertido, al agua y/o en zonas muy próximas, de productos agroquímicos sobrantes y de los líquidos procedentes de la limpieza de la maquinaria de tratamientos.</w:t>
      </w:r>
    </w:p>
    <w:p w:rsidR="00412AFB" w:rsidRPr="00993936" w:rsidRDefault="00412AFB" w:rsidP="00412AFB">
      <w:pPr>
        <w:jc w:val="both"/>
        <w:rPr>
          <w:rFonts w:ascii="Arial" w:hAnsi="Arial" w:cs="Arial"/>
          <w:lang w:val="es-ES"/>
        </w:rPr>
      </w:pPr>
      <w:r w:rsidRPr="00993936">
        <w:rPr>
          <w:rFonts w:ascii="Arial" w:hAnsi="Arial" w:cs="Arial"/>
          <w:lang w:val="es-ES"/>
        </w:rPr>
        <w:t>10.2.8 Utilizar cualquier producto autorizado por estas normas técnicas que sea dado de baja del Registro oficial de productos y material fitosanitario del Ministerio de Agricultura, Pesca, Alimentación y Medio Ambiente (MAPAMA) con posterioridad a la publicación de la disposición que lo aprueba.</w:t>
      </w:r>
    </w:p>
    <w:p w:rsidR="00412AFB" w:rsidRPr="00993936" w:rsidRDefault="00412AFB" w:rsidP="00412AFB">
      <w:pPr>
        <w:jc w:val="both"/>
        <w:rPr>
          <w:rFonts w:ascii="Arial" w:hAnsi="Arial" w:cs="Arial"/>
          <w:lang w:val="es-ES"/>
        </w:rPr>
      </w:pPr>
      <w:r w:rsidRPr="00993936">
        <w:rPr>
          <w:rFonts w:ascii="Arial" w:hAnsi="Arial" w:cs="Arial"/>
          <w:lang w:val="es-ES"/>
        </w:rPr>
        <w:t>10.2.9 Utilizar materias activas no incluidas en el Anexo 3 de esta norma técnica. Esta prohibición no es aplicable a las materias activas que tengan una autorización de uso excepcional vigente o a aquellas que aparezcan en el Registro oficial de productos y material fitosanitario, autorizadas para combatir determinadas plagas y/o enfermedades, que no estén contempladas por su novedad en los anexos de fitosanitarios de esta norma.</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 xml:space="preserve">Excepcionalmente, cuando en el cultivo se detecten plagas, que, por no ser habituales, no están reflejadas en el Anexo 3 de esta norma o cuyo umbral y/o criterio mínimo de intervención no se haya definido, podrá actuarse en contra con cualquier otro fitosanitario que esté expresamente autorizado en el Registro oficial de productos y material fitosanitario del Ministerio de Agricultura, Pesca, Alimentación y Medio Ambiente (MAPAMA) para este cultivo y para los usos oficialmente autorizados. </w:t>
      </w:r>
    </w:p>
    <w:p w:rsidR="00412AFB" w:rsidRPr="00993936" w:rsidRDefault="00412AFB" w:rsidP="00412AFB">
      <w:pPr>
        <w:jc w:val="both"/>
        <w:rPr>
          <w:rFonts w:ascii="Arial" w:hAnsi="Arial" w:cs="Arial"/>
          <w:lang w:val="es-ES"/>
        </w:rPr>
      </w:pPr>
      <w:r w:rsidRPr="00993936">
        <w:rPr>
          <w:rFonts w:ascii="Arial" w:hAnsi="Arial" w:cs="Arial"/>
          <w:lang w:val="es-ES"/>
        </w:rPr>
        <w:t xml:space="preserve">10.2.10 Aplicar productos fitosanitarios de perfil toxicológico (T+) (muy tóxicos) o que en su clasificación y etiquetado presenten advertencias de riesgo con un perfil muy tóxico o mortales para la salud humana.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10.2.11 Aplicar productos fitosanitarios a menos de 50 metros de captaciones de agua de consumo humano.</w:t>
      </w:r>
    </w:p>
    <w:p w:rsidR="00412AFB" w:rsidRPr="00993936" w:rsidRDefault="00412AFB" w:rsidP="00412AFB">
      <w:pPr>
        <w:jc w:val="both"/>
        <w:rPr>
          <w:rFonts w:ascii="Arial" w:hAnsi="Arial" w:cs="Arial"/>
          <w:lang w:val="es-ES"/>
        </w:rPr>
      </w:pPr>
      <w:r w:rsidRPr="00993936">
        <w:rPr>
          <w:rFonts w:ascii="Arial" w:hAnsi="Arial" w:cs="Arial"/>
          <w:lang w:val="es-ES"/>
        </w:rPr>
        <w:t xml:space="preserve">10.3.-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10.3.1 Realizar los tratamientos fitosanitarios con velocidades de viento inferiores a 10,8 km/h.</w:t>
      </w:r>
    </w:p>
    <w:p w:rsidR="00412AFB" w:rsidRPr="00993936" w:rsidRDefault="00412AFB" w:rsidP="00412AFB">
      <w:pPr>
        <w:pStyle w:val="Textoindependiente"/>
        <w:rPr>
          <w:rFonts w:cs="Arial"/>
          <w:szCs w:val="22"/>
          <w:lang w:val="es-ES"/>
        </w:rPr>
      </w:pPr>
      <w:r w:rsidRPr="00993936">
        <w:rPr>
          <w:rFonts w:cs="Arial"/>
          <w:szCs w:val="22"/>
          <w:lang w:val="es-ES"/>
        </w:rPr>
        <w:t>10.3.2 En el caso de tratamientos fitosanitarios, alternar sustancias activas de los diferentes grupos químicos y mecanismos de acción, por lo que no se realizarán más de dos tratamientos consecutivos con la misma sustancia activa.</w:t>
      </w:r>
    </w:p>
    <w:p w:rsidR="00412AFB" w:rsidRPr="00993936" w:rsidRDefault="00412AFB" w:rsidP="00412AFB">
      <w:pPr>
        <w:jc w:val="both"/>
        <w:rPr>
          <w:rFonts w:ascii="Arial" w:hAnsi="Arial" w:cs="Arial"/>
          <w:lang w:val="es-ES"/>
        </w:rPr>
      </w:pPr>
      <w:r w:rsidRPr="00993936">
        <w:rPr>
          <w:rFonts w:ascii="Arial" w:hAnsi="Arial" w:cs="Arial"/>
          <w:lang w:val="es-ES"/>
        </w:rPr>
        <w:t>10.3.3 No utilizar productos fitosanitarios con más de dos años desde la fecha de fabricación, a menos que la etiqueta especifique un plazo inferior.</w:t>
      </w:r>
    </w:p>
    <w:p w:rsidR="00412AFB" w:rsidRPr="00993936" w:rsidRDefault="00412AFB" w:rsidP="00412AFB">
      <w:pPr>
        <w:jc w:val="both"/>
        <w:rPr>
          <w:rFonts w:ascii="Arial" w:hAnsi="Arial" w:cs="Arial"/>
          <w:lang w:val="es-ES"/>
        </w:rPr>
      </w:pPr>
      <w:r w:rsidRPr="00993936">
        <w:rPr>
          <w:rFonts w:ascii="Arial" w:hAnsi="Arial" w:cs="Arial"/>
          <w:lang w:val="es-ES"/>
        </w:rPr>
        <w:t>10.3.4 Disponer en la explotación de zonas preparadas expresamente para llenar los cubos, lavar equipos y depositar los restos de caldos no utilizados, etc.</w:t>
      </w:r>
    </w:p>
    <w:p w:rsidR="00412AFB" w:rsidRPr="00993936" w:rsidRDefault="00412AFB" w:rsidP="00412AFB">
      <w:pPr>
        <w:jc w:val="both"/>
        <w:rPr>
          <w:rFonts w:ascii="Arial" w:hAnsi="Arial" w:cs="Arial"/>
          <w:lang w:val="es-ES"/>
        </w:rPr>
      </w:pPr>
      <w:r w:rsidRPr="00993936">
        <w:rPr>
          <w:rFonts w:ascii="Arial" w:hAnsi="Arial" w:cs="Arial"/>
          <w:lang w:val="es-ES"/>
        </w:rPr>
        <w:t>10.3.5 Utilizar modelos de predicción de plagas y enfermedades, en caso de que existan y que se hayan contrastado en la zona de cultivo.</w:t>
      </w: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11</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Recolección</w:t>
      </w:r>
    </w:p>
    <w:p w:rsidR="00412AFB" w:rsidRPr="00993936" w:rsidRDefault="00412AFB" w:rsidP="00412AFB">
      <w:pPr>
        <w:jc w:val="both"/>
        <w:outlineLvl w:val="0"/>
        <w:rPr>
          <w:rFonts w:ascii="Arial" w:hAnsi="Arial" w:cs="Arial"/>
          <w:b/>
          <w:lang w:val="es-ES"/>
        </w:rPr>
      </w:pPr>
      <w:r w:rsidRPr="00993936">
        <w:rPr>
          <w:rFonts w:ascii="Arial" w:hAnsi="Arial" w:cs="Arial"/>
          <w:lang w:val="es-ES"/>
        </w:rPr>
        <w:t xml:space="preserve">11.1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11.1.1 Realizar la recolección en las fechas y condiciones adecuadas para evitar lesiones a los productos vegetales que reduzcan su calidad y propicien infecciones de patógenos causantes de podredumbres.</w:t>
      </w:r>
    </w:p>
    <w:p w:rsidR="00412AFB" w:rsidRPr="00993936" w:rsidRDefault="00412AFB" w:rsidP="00412AFB">
      <w:pPr>
        <w:jc w:val="both"/>
        <w:rPr>
          <w:rFonts w:ascii="Arial" w:hAnsi="Arial" w:cs="Arial"/>
          <w:lang w:val="es-ES"/>
        </w:rPr>
      </w:pPr>
      <w:r w:rsidRPr="00993936">
        <w:rPr>
          <w:rFonts w:ascii="Arial" w:hAnsi="Arial" w:cs="Arial"/>
          <w:lang w:val="es-ES"/>
        </w:rPr>
        <w:t>11.1.2 Se eliminarán los frutos que presenten síntomas con presencia de patógenos causantes de podredumbres.</w:t>
      </w:r>
    </w:p>
    <w:p w:rsidR="00412AFB" w:rsidRPr="00993936" w:rsidRDefault="00412AFB" w:rsidP="00412AFB">
      <w:pPr>
        <w:pStyle w:val="Textoindependiente"/>
        <w:rPr>
          <w:rFonts w:cs="Arial"/>
          <w:szCs w:val="22"/>
          <w:lang w:val="es-ES"/>
        </w:rPr>
      </w:pPr>
      <w:r w:rsidRPr="00993936">
        <w:rPr>
          <w:rFonts w:cs="Arial"/>
          <w:szCs w:val="22"/>
          <w:lang w:val="es-ES"/>
        </w:rPr>
        <w:t xml:space="preserve">11.1.3 Recolectar los frutos en un estado de madurez que permita alcanzar las exigencias de la calidad comercial. </w:t>
      </w:r>
    </w:p>
    <w:p w:rsidR="00412AFB" w:rsidRPr="00993936" w:rsidRDefault="00412AFB" w:rsidP="00412AFB">
      <w:pPr>
        <w:jc w:val="both"/>
        <w:rPr>
          <w:rFonts w:ascii="Arial" w:hAnsi="Arial" w:cs="Arial"/>
          <w:lang w:val="es-ES"/>
        </w:rPr>
      </w:pPr>
      <w:r w:rsidRPr="00993936">
        <w:rPr>
          <w:rFonts w:ascii="Arial" w:hAnsi="Arial" w:cs="Arial"/>
          <w:lang w:val="es-ES"/>
        </w:rPr>
        <w:t>11.1.4 La fruta entrará en el almacén durante las primeras 24 horas desde su recolección.</w:t>
      </w:r>
    </w:p>
    <w:p w:rsidR="00412AFB" w:rsidRPr="00993936" w:rsidRDefault="00412AFB" w:rsidP="00412AFB">
      <w:pPr>
        <w:pStyle w:val="Textoindependiente"/>
        <w:rPr>
          <w:rFonts w:cs="Arial"/>
          <w:szCs w:val="22"/>
          <w:lang w:val="es-ES"/>
        </w:rPr>
      </w:pPr>
      <w:r w:rsidRPr="00993936">
        <w:rPr>
          <w:rFonts w:cs="Arial"/>
          <w:szCs w:val="22"/>
          <w:lang w:val="es-ES"/>
        </w:rPr>
        <w:t>11.1.5 Cuando los productos recolectados no sean trasladados al almacén manipulador el mismo día de la recolección, deberán colocarse en un abrigadero o bajo unas condiciones que eviten la incidencia directa de los agentes atmosféricos y en un lugar con la máxima ventilación, hasta el momento de su envío al almacén manipulador. En caso de que su manipulación se realice en el campo y cuando haya algún riesgo de contaminación, el embalaje deberá retirarse durante la noche.</w:t>
      </w:r>
    </w:p>
    <w:p w:rsidR="00412AFB" w:rsidRPr="00993936" w:rsidRDefault="00412AFB" w:rsidP="00412AFB">
      <w:pPr>
        <w:pStyle w:val="Textoindependiente"/>
        <w:rPr>
          <w:rFonts w:cs="Arial"/>
          <w:szCs w:val="22"/>
          <w:lang w:val="es-ES"/>
        </w:rPr>
      </w:pPr>
      <w:r w:rsidRPr="00993936">
        <w:rPr>
          <w:rFonts w:cs="Arial"/>
          <w:szCs w:val="22"/>
          <w:lang w:val="es-ES"/>
        </w:rPr>
        <w:t>11.1.6 Mantener el equipo de recolección en condiciones adecuadas de utilización.</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 xml:space="preserve">11.1.7 Todas las personas operadoras que deseen obtener la certificación o comercializar productos con la identificación de garantía de producción integrada deberán acogerse a un programa de autocontrol individual o colectivo, de acuerdo con lo previsto en el artículo 35 de esta norma, durante la recolección y/o elaboración para analizar la posible presencia de residuos de productos fitosanitarios, </w:t>
      </w:r>
      <w:r w:rsidRPr="00993936">
        <w:rPr>
          <w:rFonts w:ascii="Arial" w:hAnsi="Arial" w:cs="Arial"/>
          <w:i/>
          <w:lang w:val="es-ES"/>
        </w:rPr>
        <w:t xml:space="preserve">y </w:t>
      </w:r>
      <w:r w:rsidRPr="00993936">
        <w:rPr>
          <w:rFonts w:ascii="Arial" w:hAnsi="Arial" w:cs="Arial"/>
          <w:lang w:val="es-ES"/>
        </w:rPr>
        <w:t xml:space="preserve">en virtud de lo que establecen los artículos 12 (f) y 13 (g) del Decreto 241/2002, con el objetivo de garantizar que se han utilizado exclusivamente las materias activas seleccionadas en la estrategia de producción integrada, y que se cumple con lo establecido en la legislación española en relación con los límites máximos de residuos </w:t>
      </w:r>
      <w:r w:rsidRPr="00993936">
        <w:rPr>
          <w:rFonts w:ascii="Arial" w:hAnsi="Arial" w:cs="Arial"/>
          <w:i/>
          <w:lang w:val="es-ES"/>
        </w:rPr>
        <w:t xml:space="preserve">(LMR) </w:t>
      </w:r>
      <w:r w:rsidRPr="00993936">
        <w:rPr>
          <w:rFonts w:ascii="Arial" w:hAnsi="Arial" w:cs="Arial"/>
          <w:lang w:val="es-ES"/>
        </w:rPr>
        <w:t>de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11.1.8 Para producciones dirigidas a otros mercados distintos del nacional, se verificará si cumplen la legislación establecida en el lugar de destino respecto al contenido de residuos.</w:t>
      </w:r>
    </w:p>
    <w:p w:rsidR="00412AFB" w:rsidRPr="00993936" w:rsidRDefault="00412AFB" w:rsidP="00412AFB">
      <w:pPr>
        <w:pStyle w:val="Textoindependiente"/>
        <w:rPr>
          <w:rFonts w:cs="Arial"/>
          <w:szCs w:val="22"/>
          <w:lang w:val="es-ES"/>
        </w:rPr>
      </w:pPr>
      <w:r w:rsidRPr="00993936">
        <w:rPr>
          <w:rFonts w:cs="Arial"/>
          <w:szCs w:val="22"/>
          <w:lang w:val="es-ES"/>
        </w:rPr>
        <w:t>11.1.9 Las personas operadoras deberán recibir instrucciones básicas sobre higiene y deberán conocer la obligación de comunicar cualquier enfermedad contagiosa que pueda incapacitarlas para realizar este trabajo.</w:t>
      </w:r>
    </w:p>
    <w:p w:rsidR="00412AFB" w:rsidRPr="00993936" w:rsidRDefault="00412AFB" w:rsidP="00412AFB">
      <w:pPr>
        <w:pStyle w:val="Textoindependiente"/>
        <w:rPr>
          <w:rFonts w:cs="Arial"/>
          <w:szCs w:val="22"/>
          <w:lang w:val="es-ES"/>
        </w:rPr>
      </w:pPr>
      <w:r w:rsidRPr="00993936">
        <w:rPr>
          <w:rFonts w:cs="Arial"/>
          <w:szCs w:val="22"/>
          <w:lang w:val="es-ES"/>
        </w:rPr>
        <w:t>11.1.10 Almacenar los embalajes de forma que se evite la contaminación por plagas y/o enfermedades.</w:t>
      </w:r>
    </w:p>
    <w:p w:rsidR="00412AFB" w:rsidRPr="00993936" w:rsidRDefault="00412AFB" w:rsidP="00412AFB">
      <w:pPr>
        <w:jc w:val="both"/>
        <w:rPr>
          <w:rFonts w:ascii="Arial" w:hAnsi="Arial" w:cs="Arial"/>
          <w:lang w:val="es-ES"/>
        </w:rPr>
      </w:pPr>
      <w:r w:rsidRPr="00993936">
        <w:rPr>
          <w:rFonts w:ascii="Arial" w:hAnsi="Arial" w:cs="Arial"/>
          <w:lang w:val="es-ES"/>
        </w:rPr>
        <w:t>11.1.11 Controlar que los envases reciclables estén limpios y no tengan materiales extraños que puedan perjudicar el producto y/o la salud del consumidor.</w:t>
      </w:r>
    </w:p>
    <w:p w:rsidR="00412AFB" w:rsidRPr="00993936" w:rsidRDefault="00412AFB" w:rsidP="00412AFB">
      <w:pPr>
        <w:jc w:val="both"/>
        <w:rPr>
          <w:rFonts w:ascii="Arial" w:hAnsi="Arial" w:cs="Arial"/>
          <w:lang w:val="es-ES"/>
        </w:rPr>
      </w:pPr>
      <w:r w:rsidRPr="00993936">
        <w:rPr>
          <w:rFonts w:ascii="Arial" w:hAnsi="Arial" w:cs="Arial"/>
          <w:lang w:val="es-ES"/>
        </w:rPr>
        <w:t>11.1.12 Los envases de campo deberán llevar una identificación inequívoca de la parcela de procedencia, de la variedad y del tipo de producción.</w:t>
      </w:r>
      <w:r w:rsidR="00E03B3B" w:rsidRPr="00993936">
        <w:rPr>
          <w:rFonts w:ascii="Arial" w:hAnsi="Arial" w:cs="Arial"/>
          <w:lang w:val="es-ES"/>
        </w:rPr>
        <w:t xml:space="preserve"> </w:t>
      </w:r>
    </w:p>
    <w:p w:rsidR="00412AFB" w:rsidRPr="00993936" w:rsidRDefault="00412AFB" w:rsidP="00412AFB">
      <w:pPr>
        <w:pStyle w:val="Encabezado"/>
        <w:tabs>
          <w:tab w:val="clear" w:pos="4252"/>
          <w:tab w:val="clear" w:pos="8504"/>
        </w:tabs>
        <w:outlineLvl w:val="0"/>
        <w:rPr>
          <w:rFonts w:ascii="Arial" w:hAnsi="Arial" w:cs="Arial"/>
          <w:lang w:val="es-ES"/>
        </w:rPr>
      </w:pPr>
      <w:r w:rsidRPr="00993936">
        <w:rPr>
          <w:rFonts w:ascii="Arial" w:hAnsi="Arial" w:cs="Arial"/>
          <w:lang w:val="es-ES"/>
        </w:rPr>
        <w:t xml:space="preserve">11.2 </w:t>
      </w:r>
      <w:r w:rsidRPr="00993936">
        <w:rPr>
          <w:rFonts w:ascii="Arial" w:hAnsi="Arial" w:cs="Arial"/>
          <w:i/>
          <w:lang w:val="es-ES"/>
        </w:rPr>
        <w:t>Prohibiciones</w:t>
      </w:r>
    </w:p>
    <w:p w:rsidR="00412AFB" w:rsidRPr="00993936" w:rsidRDefault="00412AFB" w:rsidP="00412AFB">
      <w:pPr>
        <w:pStyle w:val="Textoindependiente"/>
        <w:rPr>
          <w:rFonts w:cs="Arial"/>
          <w:szCs w:val="22"/>
          <w:lang w:val="es-ES"/>
        </w:rPr>
      </w:pPr>
      <w:r w:rsidRPr="00993936">
        <w:rPr>
          <w:rFonts w:cs="Arial"/>
          <w:szCs w:val="22"/>
          <w:lang w:val="es-ES"/>
        </w:rPr>
        <w:t>11.2.1 Dejar fruta abandonada en la parcela si representa un peligro de propagación de plagas o de enfermedades vegetales.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11.2.2 Efectuar la recolección cuando los productos vegetales estén mojados a causa de la lluvia. No será de aplicación esta prohibición en condiciones de humedad relativa elevada a causa de la niebla, rocío u otros agentes meteorológicos.</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11.3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11.3.1 Realizar la recolección en un momento adecuado para cada variedad y tipo de presentación.</w:t>
      </w:r>
    </w:p>
    <w:p w:rsidR="00412AFB" w:rsidRPr="00993936" w:rsidRDefault="00412AFB" w:rsidP="00412AFB">
      <w:pPr>
        <w:pStyle w:val="Textoindependiente"/>
        <w:rPr>
          <w:rFonts w:cs="Arial"/>
          <w:szCs w:val="22"/>
          <w:lang w:val="es-ES"/>
        </w:rPr>
      </w:pPr>
      <w:r w:rsidRPr="00993936">
        <w:rPr>
          <w:rFonts w:cs="Arial"/>
          <w:szCs w:val="22"/>
          <w:lang w:val="es-ES"/>
        </w:rPr>
        <w:t>11.3.2 Recogida preferentemente durante las primeras horas de la mañana, evitando en lo posible las horas de calor más intenso.</w:t>
      </w:r>
    </w:p>
    <w:p w:rsidR="00412AFB" w:rsidRPr="00993936" w:rsidRDefault="00412AFB" w:rsidP="00412AFB">
      <w:pPr>
        <w:pStyle w:val="Textoindependiente"/>
        <w:rPr>
          <w:rFonts w:cs="Arial"/>
          <w:szCs w:val="22"/>
          <w:lang w:val="es-ES"/>
        </w:rPr>
      </w:pPr>
      <w:r w:rsidRPr="00993936">
        <w:rPr>
          <w:rFonts w:cs="Arial"/>
          <w:szCs w:val="22"/>
          <w:lang w:val="es-ES"/>
        </w:rPr>
        <w:t>11.3.3 Realizar el traslado de la fruta al centro manipulador con las mejores condiciones y con los medios más rápidos, para conseguir que su proceso de enfriamiento comience lo antes posible.</w:t>
      </w:r>
    </w:p>
    <w:p w:rsidR="00412AFB" w:rsidRPr="00993936" w:rsidRDefault="00412AFB" w:rsidP="00412AFB">
      <w:pPr>
        <w:jc w:val="both"/>
        <w:rPr>
          <w:rFonts w:ascii="Arial" w:hAnsi="Arial" w:cs="Arial"/>
          <w:lang w:val="es-ES"/>
        </w:rPr>
      </w:pPr>
      <w:r w:rsidRPr="00993936">
        <w:rPr>
          <w:rFonts w:ascii="Arial" w:hAnsi="Arial" w:cs="Arial"/>
          <w:lang w:val="es-ES"/>
        </w:rPr>
        <w:t>11.3.4 Disponer de los instrumentos adecuados que permitan evaluar el grado de madurez del producto.</w:t>
      </w: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11.3.5 Utilizar los valores de los índices de refractrometría y penetromía que figuran en el Anexo 5 de esta norma para determinar el inicio de cosecha.</w:t>
      </w:r>
    </w:p>
    <w:p w:rsidR="00412AFB" w:rsidRPr="00993936" w:rsidRDefault="00412AFB" w:rsidP="00412AFB">
      <w:pPr>
        <w:pStyle w:val="Textoindependiente"/>
        <w:rPr>
          <w:rFonts w:cs="Arial"/>
          <w:szCs w:val="22"/>
          <w:lang w:val="es-ES"/>
        </w:rPr>
      </w:pPr>
      <w:r w:rsidRPr="00993936">
        <w:rPr>
          <w:rFonts w:cs="Arial"/>
          <w:szCs w:val="22"/>
          <w:lang w:val="es-ES"/>
        </w:rPr>
        <w:t>11.3.6 Utilizar agua potable para el lavado en el campo de los productos vegetales que vayan destinados a la comercialización.</w:t>
      </w:r>
    </w:p>
    <w:p w:rsidR="007876F3" w:rsidRPr="00993936" w:rsidRDefault="007876F3" w:rsidP="00412AFB">
      <w:pPr>
        <w:jc w:val="both"/>
        <w:outlineLvl w:val="0"/>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12</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Cuaderno de explotación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12.1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 xml:space="preserve">12.1.1 El modelo de cuaderno de explotación es único en cuanto al contenido de los datos que deben registrarse, y será aprobado por el Departamento de Agricultura, Ganadería, Pesca y Alimentación. </w:t>
      </w:r>
    </w:p>
    <w:p w:rsidR="00412AFB" w:rsidRPr="00993936" w:rsidRDefault="00412AFB" w:rsidP="00412AFB">
      <w:pPr>
        <w:jc w:val="both"/>
        <w:rPr>
          <w:rFonts w:ascii="Arial" w:hAnsi="Arial" w:cs="Arial"/>
          <w:lang w:val="es-ES"/>
        </w:rPr>
      </w:pPr>
      <w:r w:rsidRPr="00993936">
        <w:rPr>
          <w:rFonts w:ascii="Arial" w:hAnsi="Arial" w:cs="Arial"/>
          <w:lang w:val="es-ES"/>
        </w:rPr>
        <w:t>12.1.2 El productor de producción integrada, mediante su firma, se responsabilizará de la veracidad de las anotaciones realizadas en el cuaderno de explotación.</w:t>
      </w:r>
    </w:p>
    <w:p w:rsidR="00412AFB" w:rsidRPr="00993936" w:rsidRDefault="00412AFB" w:rsidP="00412AFB">
      <w:pPr>
        <w:pStyle w:val="Textoindependiente"/>
        <w:rPr>
          <w:rFonts w:cs="Arial"/>
          <w:szCs w:val="22"/>
          <w:lang w:val="es-ES"/>
        </w:rPr>
      </w:pPr>
      <w:r w:rsidRPr="00993936">
        <w:rPr>
          <w:rFonts w:cs="Arial"/>
          <w:szCs w:val="22"/>
          <w:lang w:val="es-ES"/>
        </w:rPr>
        <w:t>12.1.3 El cuaderno de explotación es obligatorio y estará siempre disponible para su inspección. Para la buena funcionalidad del sistema, las anotaciones de las operaciones habrán de realizarse en el plazo máximo de los siete días siguientes a su ejecución.</w:t>
      </w:r>
    </w:p>
    <w:p w:rsidR="00412AFB" w:rsidRPr="00993936" w:rsidRDefault="00412AFB" w:rsidP="00412AFB">
      <w:pPr>
        <w:jc w:val="both"/>
        <w:rPr>
          <w:rFonts w:ascii="Arial" w:hAnsi="Arial" w:cs="Arial"/>
          <w:lang w:val="es-ES"/>
        </w:rPr>
      </w:pPr>
      <w:r w:rsidRPr="00993936">
        <w:rPr>
          <w:rFonts w:ascii="Arial" w:hAnsi="Arial" w:cs="Arial"/>
          <w:lang w:val="es-ES"/>
        </w:rPr>
        <w:t>12.1.4 El cuaderno de explotación será controlado y supervisado periódicamente por el técnico responsable de producción integrada y, para que quede constancia de ello, se registrará la fecha y la firma en cada revisión.</w:t>
      </w:r>
    </w:p>
    <w:p w:rsidR="00412AFB" w:rsidRPr="00993936" w:rsidRDefault="00412AFB" w:rsidP="00412AFB">
      <w:pPr>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13</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Normas de calidad</w:t>
      </w:r>
    </w:p>
    <w:p w:rsidR="00412AFB" w:rsidRPr="00993936" w:rsidRDefault="00412AFB" w:rsidP="00412AFB">
      <w:pPr>
        <w:jc w:val="both"/>
        <w:rPr>
          <w:rFonts w:ascii="Arial" w:hAnsi="Arial" w:cs="Arial"/>
          <w:lang w:val="es-ES"/>
        </w:rPr>
      </w:pPr>
      <w:r w:rsidRPr="00993936">
        <w:rPr>
          <w:rFonts w:ascii="Arial" w:hAnsi="Arial" w:cs="Arial"/>
          <w:lang w:val="es-ES"/>
        </w:rPr>
        <w:t xml:space="preserve">13.1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13.1.1 Las categorías de fruta de pepita amparadas por la denominación producción integrada serán todas aquellas establecidas de acuerdo con las características que define la normativa vigente, relativas a normas de calidad y otros aspectos referentes a la comercialización.</w:t>
      </w:r>
    </w:p>
    <w:p w:rsidR="00412AFB" w:rsidRPr="00993936" w:rsidRDefault="00412AFB" w:rsidP="00412AFB">
      <w:pPr>
        <w:jc w:val="both"/>
        <w:rPr>
          <w:rFonts w:ascii="Arial" w:hAnsi="Arial" w:cs="Arial"/>
          <w:lang w:val="es-ES"/>
        </w:rPr>
      </w:pPr>
      <w:r w:rsidRPr="00993936">
        <w:rPr>
          <w:rFonts w:ascii="Arial" w:hAnsi="Arial" w:cs="Arial"/>
          <w:lang w:val="es-ES"/>
        </w:rPr>
        <w:t xml:space="preserve">Cada variedad tendrá unas características mínimas de calidad interna y externa para que pueda ser comercializada como fruta de producción integrada. </w:t>
      </w:r>
    </w:p>
    <w:p w:rsidR="00412AFB" w:rsidRPr="00993936" w:rsidRDefault="00412AFB" w:rsidP="00412AFB">
      <w:pPr>
        <w:rPr>
          <w:rFonts w:ascii="Arial" w:hAnsi="Arial" w:cs="Arial"/>
          <w:b/>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II.</w:t>
      </w:r>
      <w:r w:rsidR="00E03B3B" w:rsidRPr="00993936">
        <w:rPr>
          <w:rFonts w:ascii="Arial" w:hAnsi="Arial" w:cs="Arial"/>
          <w:b/>
          <w:lang w:val="es-ES"/>
        </w:rPr>
        <w:t xml:space="preserve"> </w:t>
      </w:r>
      <w:r w:rsidRPr="00993936">
        <w:rPr>
          <w:rFonts w:ascii="Arial" w:hAnsi="Arial" w:cs="Arial"/>
          <w:b/>
          <w:lang w:val="es-ES"/>
        </w:rPr>
        <w:t>INSTALACIONES, EQUIPOS, PERSONAL, TRANSPORTE Y ALMACENAMIENTO</w:t>
      </w:r>
    </w:p>
    <w:p w:rsidR="00412AFB" w:rsidRPr="00993936" w:rsidRDefault="00412AFB" w:rsidP="00412AFB">
      <w:pPr>
        <w:pStyle w:val="NormalWeb"/>
        <w:spacing w:before="120" w:after="0"/>
        <w:jc w:val="both"/>
        <w:rPr>
          <w:rFonts w:ascii="Arial" w:hAnsi="Arial" w:cs="Arial"/>
          <w:sz w:val="22"/>
          <w:szCs w:val="22"/>
          <w:lang w:val="es-ES"/>
        </w:rPr>
      </w:pP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14</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Instalaciones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14.1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14.1.1 Las instalaciones, incluidos los baños, los equipos y el entorno productivo, deben estar en un estado de orden y de limpieza adecuado.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14.1.2 Todas las instalaciones han de estar ventiladas, iluminadas y con sistemas de desagües apropiados para las actividades que desarrollen.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14.1.3 Habrá zonas diferentes para el almacenamiento de productos y para los envases vacíos.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14.1.4 Los productos químicos deben estar almacenados en un lugar que pueda cerrarse y esté debidamente señalizado. Solo podrá acceder al lugar de almacenamiento de productos químicos, así como manipularlos, el personal designado por la persona operadora.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14.1.5 Los productos químicos almacenados deben estar etiquetados correctamente y autorizados para ser usados en la industria alimentaria.</w:t>
      </w:r>
    </w:p>
    <w:p w:rsidR="00412AFB" w:rsidRPr="00993936" w:rsidRDefault="00412AFB" w:rsidP="00412AFB">
      <w:pPr>
        <w:pStyle w:val="Sangradetextonormal"/>
        <w:rPr>
          <w:rFonts w:cs="Arial"/>
          <w:szCs w:val="22"/>
          <w:lang w:val="es-ES"/>
        </w:rPr>
      </w:pPr>
    </w:p>
    <w:p w:rsidR="00412AFB" w:rsidRPr="00993936" w:rsidRDefault="00412AFB" w:rsidP="00412AFB">
      <w:pPr>
        <w:pStyle w:val="Sangradetextonormal"/>
        <w:ind w:left="0"/>
        <w:rPr>
          <w:rFonts w:cs="Arial"/>
          <w:szCs w:val="22"/>
          <w:lang w:val="es-ES"/>
        </w:rPr>
      </w:pPr>
      <w:r w:rsidRPr="00993936">
        <w:rPr>
          <w:rFonts w:cs="Arial"/>
          <w:szCs w:val="22"/>
          <w:lang w:val="es-ES"/>
        </w:rPr>
        <w:t>Artículo 15</w:t>
      </w:r>
    </w:p>
    <w:p w:rsidR="00412AFB" w:rsidRPr="00993936" w:rsidRDefault="00412AFB" w:rsidP="00412AFB">
      <w:pPr>
        <w:pStyle w:val="Sangradetextonormal"/>
        <w:ind w:left="0"/>
        <w:rPr>
          <w:rFonts w:cs="Arial"/>
          <w:b/>
          <w:szCs w:val="22"/>
          <w:lang w:val="es-ES"/>
        </w:rPr>
      </w:pPr>
      <w:r w:rsidRPr="00993936">
        <w:rPr>
          <w:rFonts w:cs="Arial"/>
          <w:b/>
          <w:szCs w:val="22"/>
          <w:lang w:val="es-ES"/>
        </w:rPr>
        <w:t>Higiene y mantenimiento de las instalaciones y equipos</w:t>
      </w:r>
    </w:p>
    <w:p w:rsidR="00412AFB" w:rsidRPr="00993936" w:rsidRDefault="00412AFB" w:rsidP="00412AFB">
      <w:pPr>
        <w:pStyle w:val="Sangradetextonormal"/>
        <w:ind w:left="0"/>
        <w:rPr>
          <w:rFonts w:cs="Arial"/>
          <w:b/>
          <w:szCs w:val="22"/>
          <w:lang w:val="es-ES"/>
        </w:rPr>
      </w:pPr>
      <w:r w:rsidRPr="00993936">
        <w:rPr>
          <w:rFonts w:cs="Arial"/>
          <w:szCs w:val="22"/>
          <w:lang w:val="es-ES"/>
        </w:rPr>
        <w:t xml:space="preserve">15.1 </w:t>
      </w:r>
      <w:r w:rsidRPr="00993936">
        <w:rPr>
          <w:rFonts w:cs="Arial"/>
          <w:i/>
          <w:szCs w:val="22"/>
          <w:lang w:val="es-ES"/>
        </w:rPr>
        <w:t xml:space="preserve">Obligaciones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lastRenderedPageBreak/>
        <w:t>15.1.1 Cada persona operadora debe disponer de un plan general de limpieza y de desinfección detallado de las instalaciones, los equipos, las líneas de manipulación, el almacenamiento, el envasado y las cámaras frigoríficas, con el objeto de que en todo momento estén en buen estado de conservación. El plan deberá contemplar:</w:t>
      </w:r>
    </w:p>
    <w:p w:rsidR="00412AFB" w:rsidRPr="00993936" w:rsidRDefault="00412AFB" w:rsidP="009D1A2D">
      <w:pPr>
        <w:pStyle w:val="Sangradetextonormal"/>
        <w:numPr>
          <w:ilvl w:val="0"/>
          <w:numId w:val="196"/>
        </w:numPr>
        <w:jc w:val="both"/>
        <w:rPr>
          <w:rFonts w:cs="Arial"/>
          <w:szCs w:val="22"/>
          <w:lang w:val="es-ES"/>
        </w:rPr>
      </w:pPr>
      <w:r w:rsidRPr="00993936">
        <w:rPr>
          <w:rFonts w:cs="Arial"/>
          <w:szCs w:val="22"/>
          <w:lang w:val="es-ES"/>
        </w:rPr>
        <w:t>Las instalaciones y la maquinaria de la línea de confección se limpiarán y desinfectarán al inicio de la campaña y al menos una vez al mes en el periodo de funcionamiento.</w:t>
      </w:r>
    </w:p>
    <w:p w:rsidR="00412AFB" w:rsidRPr="00993936" w:rsidRDefault="00412AFB" w:rsidP="009D1A2D">
      <w:pPr>
        <w:numPr>
          <w:ilvl w:val="0"/>
          <w:numId w:val="196"/>
        </w:numPr>
        <w:spacing w:after="0" w:line="240" w:lineRule="auto"/>
        <w:jc w:val="both"/>
        <w:rPr>
          <w:rFonts w:ascii="Arial" w:hAnsi="Arial" w:cs="Arial"/>
          <w:lang w:val="es-ES"/>
        </w:rPr>
      </w:pPr>
      <w:r w:rsidRPr="00993936">
        <w:rPr>
          <w:rFonts w:ascii="Arial" w:hAnsi="Arial" w:cs="Arial"/>
          <w:lang w:val="es-ES"/>
        </w:rPr>
        <w:t>Los envases se limpiarán y desinfectarán al menos una vez al año.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15.1.2 Cada persona operadora dispondrá de un plan de limpieza, desinfección y desratización llevado a la práctica por un equipo con autorización legal para este fin. El plan contendrá, al menos, la siguiente información: identificación del equipo de trabajo, faenas y su frecuencia, material y productos que se emplearán y método de aplicación. Los cebos deben estar señalizados y numerados debidamente, y ha de haber un plan de señalización. </w:t>
      </w:r>
      <w:r w:rsidRPr="00993936">
        <w:rPr>
          <w:rFonts w:cs="Arial"/>
          <w:szCs w:val="22"/>
          <w:lang w:val="es-ES"/>
        </w:rPr>
        <w:tab/>
      </w:r>
    </w:p>
    <w:p w:rsidR="00412AFB" w:rsidRPr="00993936" w:rsidRDefault="00412AFB" w:rsidP="00412AFB">
      <w:pPr>
        <w:pStyle w:val="Sangradetextonormal"/>
        <w:ind w:left="0"/>
        <w:jc w:val="both"/>
        <w:rPr>
          <w:rFonts w:cs="Arial"/>
          <w:szCs w:val="22"/>
          <w:lang w:val="es-ES"/>
        </w:rPr>
      </w:pPr>
      <w:r w:rsidRPr="00993936">
        <w:rPr>
          <w:rFonts w:cs="Arial"/>
          <w:szCs w:val="22"/>
          <w:lang w:val="es-ES"/>
        </w:rPr>
        <w:t>15.1.3 Evitar agujeros y ventanas e instalar elementos que impidan la entrada de insectos, pájaros y otros animales en las instalaciones.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15.1.4 Las instalaciones, los equipos y las herramientas estarán en buen estado de conservación mediante un adecuado plan de mantenimiento. </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15.1.5 La persona operadora debe tomar las medidas necesarias para evitar el contacto de los productos hortícolas y de las superficies con sustancias químicas, aguas no potables u objetos extraños.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15.1.6 Los recipientes de evacuación de residuos se destinarán en exclusiva para este fin y se limpiarán periódicamente, de acuerdo con el plan de limpieza establecido.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15.1.7 La persona operadora debe disponer de un plan de mantenimiento de las instalaciones, de los equipos y de las herramientas, para que en todo momento estén en buen estado de conservación.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15.1.8 Proceder a la desinfección total de la central al menos una vez al año.</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15.2 </w:t>
      </w:r>
      <w:r w:rsidRPr="00993936">
        <w:rPr>
          <w:rFonts w:cs="Arial"/>
          <w:i/>
          <w:szCs w:val="22"/>
          <w:lang w:val="es-ES"/>
        </w:rPr>
        <w:t>Prohibiciones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15.2.1 Utilizar carretillas elevadoras de gasoil dentro de la central.</w:t>
      </w:r>
    </w:p>
    <w:p w:rsidR="00412AFB" w:rsidRPr="00993936" w:rsidRDefault="00412AFB" w:rsidP="00412AFB">
      <w:pPr>
        <w:pStyle w:val="Ttulo2"/>
        <w:rPr>
          <w:rFonts w:ascii="Arial" w:hAnsi="Arial" w:cs="Arial"/>
          <w:color w:val="auto"/>
          <w:sz w:val="22"/>
          <w:szCs w:val="22"/>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Artículo 16</w:t>
      </w: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 xml:space="preserve">Equipos de tratamientos </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 xml:space="preserve">16.1 </w:t>
      </w:r>
      <w:r w:rsidRPr="00993936">
        <w:rPr>
          <w:rFonts w:ascii="Arial" w:hAnsi="Arial" w:cs="Arial"/>
          <w:i/>
          <w:snapToGrid w:val="0"/>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16.1.1 La maquinaria utilizada para los tratamientos fitosanitarios, abonos foliares y otros similares debe estar en buen estado de funcionamiento y someterse a revisiones y calibraciones periódicas. La persona operadora debe realizar una revisión y una calibración cada año validados por el miembro del equipo técnico responsable de producción integrada, y además, una vez cada cuatro años ha de ser inspeccionada por un centro oficial o reconocido, de conformidad con las disposiciones vigentes en la materia. La inspección se efectuará de conformidad con las normas de inspección de pulverizadores EN 13790/1 y 2, de seguridad UNE-EN-907 y de protección medioambiental UNE-EN 12761/1, 2 y 3.</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En caso de contratar servicios externos, la persona productora les exigirá estar al corriente de las inspecciones y las calibraciones estipuladas en la legislación vigente de aplicación.</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16.1.2 Antes de cada tratamiento será necesario regular la máquina en función del estado de la plantación o cultivo y de la plaga o enfermedad que hay que combatir.</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16.1.3 Utilizar maquinaria correctamente adaptada a la aplicación de herbicidas en la línea de la plantación.</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lastRenderedPageBreak/>
        <w:t>16.1.4 Realizar revisiones periódicas de los elementos de protección y seguridad de los equipos de tratamiento, procurando un buen mantenimiento y una calibración cuidadosa de estos.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16.1.5 Cuando los equipos no se utilicen, han de mantenerse limpios y no deben contener productos fitosanitarios.</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 xml:space="preserve">16.2 </w:t>
      </w:r>
      <w:r w:rsidRPr="00993936">
        <w:rPr>
          <w:rFonts w:ascii="Arial" w:hAnsi="Arial" w:cs="Arial"/>
          <w:i/>
          <w:snapToGrid w:val="0"/>
          <w:lang w:val="es-ES"/>
        </w:rPr>
        <w:t>Prohibiciones</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16.2.1 La utilización de equipos de tratamiento que tengan carencias graves en elementos de seguridad, protección y funcionamiento.</w:t>
      </w:r>
    </w:p>
    <w:p w:rsidR="00412AFB" w:rsidRPr="00993936" w:rsidRDefault="00412AFB" w:rsidP="00412AFB">
      <w:pPr>
        <w:jc w:val="both"/>
        <w:outlineLvl w:val="0"/>
        <w:rPr>
          <w:rFonts w:ascii="Arial" w:hAnsi="Arial" w:cs="Arial"/>
          <w:snapToGrid w:val="0"/>
          <w:lang w:val="es-ES"/>
        </w:rPr>
      </w:pPr>
      <w:r w:rsidRPr="00993936">
        <w:rPr>
          <w:rFonts w:ascii="Arial" w:hAnsi="Arial" w:cs="Arial"/>
          <w:snapToGrid w:val="0"/>
          <w:lang w:val="es-ES"/>
        </w:rPr>
        <w:t xml:space="preserve">16.3 </w:t>
      </w:r>
      <w:r w:rsidRPr="00993936">
        <w:rPr>
          <w:rFonts w:ascii="Arial" w:hAnsi="Arial" w:cs="Arial"/>
          <w:i/>
          <w:snapToGrid w:val="0"/>
          <w:lang w:val="es-ES"/>
        </w:rPr>
        <w:t>Recomendaciones</w:t>
      </w:r>
    </w:p>
    <w:p w:rsidR="00412AFB" w:rsidRPr="00993936" w:rsidRDefault="00412AFB" w:rsidP="00412AFB">
      <w:pPr>
        <w:jc w:val="both"/>
        <w:rPr>
          <w:rFonts w:ascii="Arial" w:hAnsi="Arial" w:cs="Arial"/>
          <w:snapToGrid w:val="0"/>
          <w:lang w:val="es-ES"/>
        </w:rPr>
      </w:pPr>
      <w:r w:rsidRPr="00993936">
        <w:rPr>
          <w:rFonts w:ascii="Arial" w:hAnsi="Arial" w:cs="Arial"/>
          <w:snapToGrid w:val="0"/>
          <w:lang w:val="es-ES"/>
        </w:rPr>
        <w:t>16.3.1 Los pulverizadores nuevos corresponderán a modelos certificados del Programa de control de características de maquinaria de tratamientos del Departamento de Agricultura, Ganadería y Pesca, o por otros programas oficiales de control.</w:t>
      </w: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17 </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Equipos de protección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17.1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17.1.1 La persona que manipule los productos fitosanitarios debe utilizar un equipo adecuado para la protección personal, de acuerdo con la legislación vigente de aplicación y las indicaciones de las etiquetas de cada producto.</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17.1.2 La ropa y el equipo se almacenarán de forma que no entren en contacto con los productos fitosanitarios.</w:t>
      </w:r>
    </w:p>
    <w:p w:rsidR="00412AFB" w:rsidRPr="00993936" w:rsidRDefault="00412AFB" w:rsidP="00412AFB">
      <w:pPr>
        <w:jc w:val="both"/>
        <w:rPr>
          <w:rFonts w:ascii="Arial" w:hAnsi="Arial" w:cs="Arial"/>
          <w:lang w:val="es-ES"/>
        </w:rPr>
      </w:pPr>
    </w:p>
    <w:p w:rsidR="00412AFB" w:rsidRPr="00993936" w:rsidRDefault="00412AFB" w:rsidP="00412AFB">
      <w:pPr>
        <w:pStyle w:val="Sangradetextonormal"/>
        <w:ind w:left="0"/>
        <w:rPr>
          <w:rFonts w:cs="Arial"/>
          <w:szCs w:val="22"/>
          <w:lang w:val="es-ES"/>
        </w:rPr>
      </w:pPr>
      <w:r w:rsidRPr="00993936">
        <w:rPr>
          <w:rFonts w:cs="Arial"/>
          <w:szCs w:val="22"/>
          <w:lang w:val="es-ES"/>
        </w:rPr>
        <w:t>Artículo 18</w:t>
      </w:r>
    </w:p>
    <w:p w:rsidR="00412AFB" w:rsidRPr="00993936" w:rsidRDefault="00412AFB" w:rsidP="00412AFB">
      <w:pPr>
        <w:pStyle w:val="Sangradetextonormal"/>
        <w:ind w:left="0"/>
        <w:rPr>
          <w:rFonts w:cs="Arial"/>
          <w:b/>
          <w:szCs w:val="22"/>
          <w:lang w:val="es-ES"/>
        </w:rPr>
      </w:pPr>
      <w:r w:rsidRPr="00993936">
        <w:rPr>
          <w:rFonts w:cs="Arial"/>
          <w:b/>
          <w:szCs w:val="22"/>
          <w:lang w:val="es-ES"/>
        </w:rPr>
        <w:t xml:space="preserve">Personal </w:t>
      </w:r>
    </w:p>
    <w:p w:rsidR="00412AFB" w:rsidRPr="00993936" w:rsidRDefault="00412AFB" w:rsidP="00412AFB">
      <w:pPr>
        <w:pStyle w:val="Sangradetextonormal"/>
        <w:ind w:left="0"/>
        <w:jc w:val="both"/>
        <w:rPr>
          <w:rFonts w:cs="Arial"/>
          <w:i/>
          <w:szCs w:val="22"/>
          <w:lang w:val="es-ES"/>
        </w:rPr>
      </w:pPr>
      <w:r w:rsidRPr="00993936">
        <w:rPr>
          <w:rFonts w:cs="Arial"/>
          <w:i/>
          <w:szCs w:val="22"/>
          <w:lang w:val="es-ES"/>
        </w:rPr>
        <w:t>18.1 Obligaciones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18.1.1 Dar instrucciones al personal trabajador para que, en caso de sufrir enfermedades de transmisión alimentaria, o padecer, entre otras patologías, heridas infectadas, infecciones cutáneas o diarreas, informen a la dirección.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18.1.2 Documentar los procedimientos de actuación en caso de accidentes o de emergencias de modo que sean comprensibles para las personas afectadas.</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18.1.3 Disponer de botiquines de primeros auxilios accesibles para el personal trabajador.</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18.1.4 Fomentar la formación del personal del almacén en materia de buenas prácticas de higiene y seguridad alimentarias, y conservar un registro de las actividades formativas que ha impartido la persona operadora o una entidad externa autorizada.</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18.1.5 Elaborar instrucciones para el personal trabajador en las que se consideren los aspectos higiénicos que deben respetarse en cada puesto de trabajo, y de acuerdo con las características de la explotación.</w:t>
      </w:r>
    </w:p>
    <w:p w:rsidR="00412AFB" w:rsidRPr="00993936" w:rsidRDefault="00412AFB" w:rsidP="00412AFB">
      <w:pPr>
        <w:pStyle w:val="Sangradetextonormal"/>
        <w:ind w:left="0"/>
        <w:jc w:val="both"/>
        <w:rPr>
          <w:rFonts w:cs="Arial"/>
          <w:szCs w:val="22"/>
          <w:lang w:val="es-ES"/>
        </w:rPr>
      </w:pPr>
      <w:r w:rsidRPr="00993936">
        <w:rPr>
          <w:rFonts w:cs="Arial"/>
          <w:szCs w:val="22"/>
          <w:lang w:val="es-ES"/>
        </w:rPr>
        <w:t xml:space="preserve">18.1.6 Disponer de un plan de prevención de riesgos laborales y un plan de análisis de peligros y puntos críticos (APPCC) implantados y aprobados, si procede, por la autoridad competente. </w:t>
      </w: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19 </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Transporte del producto vegetal y contenedores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19.1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19.1.1 Los receptáculos y contenedores de los vehículos utilizados para transportar los productos vegetales deben estar limpios y en condiciones adecuadas de </w:t>
      </w:r>
      <w:r w:rsidRPr="00993936">
        <w:rPr>
          <w:rFonts w:ascii="Arial" w:hAnsi="Arial" w:cs="Arial"/>
          <w:sz w:val="22"/>
          <w:szCs w:val="22"/>
          <w:lang w:val="es-ES"/>
        </w:rPr>
        <w:lastRenderedPageBreak/>
        <w:t>mantenimiento, para protegerlos de la contaminación. Su forma y composición debe permitir una limpieza y una desinfección adecuadas.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19.1.2 Cuando se emplean los receptáculos y contenedores de los vehículos para transportar una carga que no sean productos vegetales o alimenticios, se procederá a una limpieza eficaz entre las distintas cargas para evitar el riesgo de contaminación.</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19.1.3 Conservar limpios los cajones y recipientes utilizados para transportar y recolectar los productos vegetales y desinfectarlos cuando sea necesario.</w:t>
      </w: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Artículo 20</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Almacenamiento de productos fitosanitarios y fertilizantes</w:t>
      </w:r>
    </w:p>
    <w:p w:rsidR="00412AFB" w:rsidRPr="00993936" w:rsidRDefault="00412AFB" w:rsidP="00412AFB">
      <w:pPr>
        <w:jc w:val="both"/>
        <w:rPr>
          <w:rFonts w:ascii="Arial" w:hAnsi="Arial" w:cs="Arial"/>
          <w:i/>
          <w:lang w:val="es-ES"/>
        </w:rPr>
      </w:pPr>
      <w:r w:rsidRPr="00993936">
        <w:rPr>
          <w:rFonts w:ascii="Arial" w:hAnsi="Arial" w:cs="Arial"/>
          <w:lang w:val="es-ES"/>
        </w:rPr>
        <w:t xml:space="preserve">20.1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20.1.1 </w:t>
      </w:r>
      <w:r w:rsidRPr="00993936">
        <w:rPr>
          <w:rFonts w:ascii="Arial" w:hAnsi="Arial" w:cs="Arial"/>
          <w:i/>
          <w:u w:val="single"/>
          <w:lang w:val="es-ES"/>
        </w:rPr>
        <w:t>Condiciones de almacenamiento</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 xml:space="preserve">20.1.1.1 Los productos fitosanitarios y fertilizantes habrán de almacenarse en un lugar cerrado, separados del material vegetal y los productos frescos, para evitar cualquier riesgo de contaminación. </w:t>
      </w:r>
    </w:p>
    <w:p w:rsidR="00412AFB" w:rsidRPr="00993936" w:rsidRDefault="00412AFB" w:rsidP="00412AFB">
      <w:pPr>
        <w:jc w:val="both"/>
        <w:rPr>
          <w:rFonts w:ascii="Arial" w:hAnsi="Arial" w:cs="Arial"/>
          <w:lang w:val="es-ES"/>
        </w:rPr>
      </w:pPr>
      <w:r w:rsidRPr="00993936">
        <w:rPr>
          <w:rFonts w:ascii="Arial" w:hAnsi="Arial" w:cs="Arial"/>
          <w:lang w:val="es-ES"/>
        </w:rPr>
        <w:t>20.1.1.2 El almacén dispondrá de llave y ventilación permanente y suficiente.</w:t>
      </w:r>
    </w:p>
    <w:p w:rsidR="00412AFB" w:rsidRPr="00993936" w:rsidRDefault="00412AFB" w:rsidP="00412AFB">
      <w:pPr>
        <w:jc w:val="both"/>
        <w:rPr>
          <w:rFonts w:ascii="Arial" w:hAnsi="Arial" w:cs="Arial"/>
          <w:lang w:val="es-ES"/>
        </w:rPr>
      </w:pPr>
      <w:r w:rsidRPr="00993936">
        <w:rPr>
          <w:rFonts w:ascii="Arial" w:hAnsi="Arial" w:cs="Arial"/>
          <w:lang w:val="es-ES"/>
        </w:rPr>
        <w:t>20.1.1.3 El almacenamiento ha de disponer de medios para retener posibles derrames accidentales.</w:t>
      </w:r>
    </w:p>
    <w:p w:rsidR="00412AFB" w:rsidRPr="00993936" w:rsidRDefault="00412AFB" w:rsidP="00412AFB">
      <w:pPr>
        <w:jc w:val="both"/>
        <w:rPr>
          <w:rFonts w:ascii="Arial" w:hAnsi="Arial" w:cs="Arial"/>
          <w:lang w:val="es-ES"/>
        </w:rPr>
      </w:pPr>
      <w:r w:rsidRPr="00993936">
        <w:rPr>
          <w:rFonts w:ascii="Arial" w:hAnsi="Arial" w:cs="Arial"/>
          <w:lang w:val="es-ES"/>
        </w:rPr>
        <w:t>20.1.1.4 El lugar del almacén tiene que estar debidamente señalado, haciendo un especial hincapié en la prohibición de acceso a personas no autorizadas.</w:t>
      </w:r>
    </w:p>
    <w:p w:rsidR="00412AFB" w:rsidRPr="00993936" w:rsidRDefault="00412AFB" w:rsidP="00412AFB">
      <w:pPr>
        <w:jc w:val="both"/>
        <w:rPr>
          <w:rFonts w:ascii="Arial" w:hAnsi="Arial" w:cs="Arial"/>
          <w:lang w:val="es-ES"/>
        </w:rPr>
      </w:pPr>
      <w:r w:rsidRPr="00993936">
        <w:rPr>
          <w:rFonts w:ascii="Arial" w:hAnsi="Arial" w:cs="Arial"/>
          <w:lang w:val="es-ES"/>
        </w:rPr>
        <w:t>20.1.1.5 En el almacenamiento de productos fitosanitarios se deben tener en cuenta, además, el resto de las obligaciones que establece el artículo 40 del Real Decreto 1311/2012.</w:t>
      </w:r>
    </w:p>
    <w:p w:rsidR="00412AFB" w:rsidRPr="00993936" w:rsidRDefault="00412AFB" w:rsidP="00412AFB">
      <w:pPr>
        <w:jc w:val="both"/>
        <w:rPr>
          <w:rFonts w:ascii="Arial" w:hAnsi="Arial" w:cs="Arial"/>
          <w:lang w:val="es-ES"/>
        </w:rPr>
      </w:pPr>
      <w:r w:rsidRPr="00993936">
        <w:rPr>
          <w:rFonts w:ascii="Arial" w:hAnsi="Arial" w:cs="Arial"/>
          <w:lang w:val="es-ES"/>
        </w:rPr>
        <w:t xml:space="preserve">20.1.2 </w:t>
      </w:r>
      <w:r w:rsidRPr="00993936">
        <w:rPr>
          <w:rFonts w:ascii="Arial" w:hAnsi="Arial" w:cs="Arial"/>
          <w:i/>
          <w:u w:val="single"/>
          <w:lang w:val="es-ES"/>
        </w:rPr>
        <w:t>Almacenamiento de productos</w:t>
      </w:r>
      <w:r w:rsidRPr="00993936">
        <w:rPr>
          <w:rFonts w:ascii="Arial" w:hAnsi="Arial" w:cs="Arial"/>
          <w:i/>
          <w:lang w:val="es-ES"/>
        </w:rPr>
        <w:t>:</w:t>
      </w:r>
    </w:p>
    <w:p w:rsidR="00412AFB" w:rsidRPr="00993936" w:rsidRDefault="00412AFB" w:rsidP="00412AFB">
      <w:pPr>
        <w:jc w:val="both"/>
        <w:rPr>
          <w:rFonts w:ascii="Arial" w:hAnsi="Arial" w:cs="Arial"/>
          <w:lang w:val="es-ES"/>
        </w:rPr>
      </w:pPr>
      <w:r w:rsidRPr="00993936">
        <w:rPr>
          <w:rFonts w:ascii="Arial" w:hAnsi="Arial" w:cs="Arial"/>
          <w:lang w:val="es-ES"/>
        </w:rPr>
        <w:t>20.1.2.1 Los fitosanitarios deben mantenerse dentro de su envase original y sus etiquetas han de ser perfectamente legibles.</w:t>
      </w:r>
    </w:p>
    <w:p w:rsidR="00412AFB" w:rsidRPr="00993936" w:rsidRDefault="00412AFB" w:rsidP="00412AFB">
      <w:pPr>
        <w:jc w:val="both"/>
        <w:rPr>
          <w:rFonts w:ascii="Arial" w:hAnsi="Arial" w:cs="Arial"/>
          <w:lang w:val="es-ES"/>
        </w:rPr>
      </w:pPr>
      <w:r w:rsidRPr="00993936">
        <w:rPr>
          <w:rFonts w:ascii="Arial" w:hAnsi="Arial" w:cs="Arial"/>
          <w:lang w:val="es-ES"/>
        </w:rPr>
        <w:t>20.1.2.2 Los productos fitosanitarios y fertilizantes deben estar debidamente etiquetados, ordenados y separados físicamente.</w:t>
      </w:r>
    </w:p>
    <w:p w:rsidR="00412AFB" w:rsidRPr="00993936" w:rsidRDefault="00412AFB" w:rsidP="00412AFB">
      <w:pPr>
        <w:jc w:val="both"/>
        <w:rPr>
          <w:rFonts w:ascii="Arial" w:hAnsi="Arial" w:cs="Arial"/>
          <w:lang w:val="es-ES"/>
        </w:rPr>
      </w:pPr>
      <w:r w:rsidRPr="00993936">
        <w:rPr>
          <w:rFonts w:ascii="Arial" w:hAnsi="Arial" w:cs="Arial"/>
          <w:lang w:val="es-ES"/>
        </w:rPr>
        <w:t>20.1.2.3 Los fitosanitarios en polvo han de almacenarse en estantes situados por encima de los líquidos.</w:t>
      </w:r>
    </w:p>
    <w:p w:rsidR="00412AFB" w:rsidRPr="00993936" w:rsidRDefault="00412AFB" w:rsidP="00412AFB">
      <w:pPr>
        <w:jc w:val="both"/>
        <w:rPr>
          <w:rFonts w:ascii="Arial" w:hAnsi="Arial" w:cs="Arial"/>
          <w:lang w:val="es-ES"/>
        </w:rPr>
      </w:pPr>
      <w:r w:rsidRPr="00993936">
        <w:rPr>
          <w:rFonts w:ascii="Arial" w:hAnsi="Arial" w:cs="Arial"/>
          <w:lang w:val="es-ES"/>
        </w:rPr>
        <w:t>20.1.2.4 La conservación de los justificantes de las compras y gastos de los productos fitosanitarios reflejados en el cuaderno de explotación es obligatoria durante tres años.</w:t>
      </w:r>
    </w:p>
    <w:p w:rsidR="00412AFB" w:rsidRPr="00993936" w:rsidRDefault="00412AFB" w:rsidP="00412AFB">
      <w:pPr>
        <w:jc w:val="both"/>
        <w:rPr>
          <w:rFonts w:ascii="Arial" w:hAnsi="Arial" w:cs="Arial"/>
          <w:lang w:val="es-ES"/>
        </w:rPr>
      </w:pPr>
      <w:r w:rsidRPr="00993936">
        <w:rPr>
          <w:rFonts w:ascii="Arial" w:hAnsi="Arial" w:cs="Arial"/>
          <w:lang w:val="es-ES"/>
        </w:rPr>
        <w:t>20.1.2.5 En caso de haber almacén de productos fitosanitarios y/o fertilizantes en la central hortofrutícola, se aplicarán las obligaciones de la RTS (Reglamentación técnico-sanitaria) y las del Real Decreto 1311/2012.</w:t>
      </w: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t xml:space="preserve">20.2 </w:t>
      </w:r>
      <w:r w:rsidRPr="00993936">
        <w:rPr>
          <w:rFonts w:ascii="Arial" w:hAnsi="Arial" w:cs="Arial"/>
          <w:i/>
          <w:color w:val="auto"/>
          <w:sz w:val="22"/>
          <w:szCs w:val="22"/>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20.2.1 No almacenar los productos fitosanitarios ni fertilizantes en contacto con el suelo.</w:t>
      </w:r>
    </w:p>
    <w:p w:rsidR="00412AFB" w:rsidRPr="00993936" w:rsidRDefault="00412AFB" w:rsidP="00412AFB">
      <w:pPr>
        <w:tabs>
          <w:tab w:val="left" w:pos="3686"/>
        </w:tabs>
        <w:jc w:val="both"/>
        <w:rPr>
          <w:rFonts w:ascii="Arial" w:hAnsi="Arial" w:cs="Arial"/>
          <w:lang w:val="es-ES"/>
        </w:rPr>
      </w:pPr>
      <w:r w:rsidRPr="00993936">
        <w:rPr>
          <w:rFonts w:ascii="Arial" w:hAnsi="Arial" w:cs="Arial"/>
          <w:lang w:val="es-ES"/>
        </w:rPr>
        <w:t>20.2.2 Emplear estantes de almacén de materiales no absorbentes.</w:t>
      </w:r>
    </w:p>
    <w:p w:rsidR="00412AFB" w:rsidRPr="00993936" w:rsidRDefault="00412AFB" w:rsidP="00412AFB">
      <w:pPr>
        <w:tabs>
          <w:tab w:val="left" w:pos="3686"/>
        </w:tabs>
        <w:jc w:val="both"/>
        <w:rPr>
          <w:rFonts w:ascii="Arial" w:hAnsi="Arial" w:cs="Arial"/>
          <w:lang w:val="es-ES"/>
        </w:rPr>
      </w:pPr>
      <w:r w:rsidRPr="00993936">
        <w:rPr>
          <w:rFonts w:ascii="Arial" w:hAnsi="Arial" w:cs="Arial"/>
          <w:lang w:val="es-ES"/>
        </w:rPr>
        <w:t>20.2.3 No almacenar productos innecesariamente.</w:t>
      </w: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21</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Señalización de seguridad</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lastRenderedPageBreak/>
        <w:t>21.1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21.1.1 Utilizar las señalizaciones que prevé la legislación vigente.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21.1.2 En el almacén de productos fitosanitarios deben estar presentes, de manera accesible y legible, las normas generales de actuación en caso de intoxicación y derrame accidental, y es obligatorio disponer de los números de teléfono del Instituto de Toxicología y de otros organismos que puedan ser competentes en esta materia.</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p>
    <w:p w:rsidR="00412AFB" w:rsidRPr="00993936" w:rsidRDefault="00412AFB" w:rsidP="00412AFB">
      <w:pPr>
        <w:numPr>
          <w:ilvl w:val="0"/>
          <w:numId w:val="16"/>
        </w:numPr>
        <w:spacing w:after="0" w:line="240" w:lineRule="auto"/>
        <w:jc w:val="both"/>
        <w:rPr>
          <w:rFonts w:ascii="Arial" w:hAnsi="Arial" w:cs="Arial"/>
          <w:b/>
          <w:lang w:val="es-ES"/>
        </w:rPr>
      </w:pPr>
      <w:r w:rsidRPr="00993936">
        <w:rPr>
          <w:rFonts w:ascii="Arial" w:hAnsi="Arial" w:cs="Arial"/>
          <w:b/>
          <w:lang w:val="es-ES"/>
        </w:rPr>
        <w:t xml:space="preserve">CENTRAL E INDUSTRIA DE TRANSFORMACIÓN Y/O DE ELABORACIÓN Y/O DE CONSERVACIÓN </w:t>
      </w:r>
    </w:p>
    <w:p w:rsidR="00412AFB" w:rsidRPr="00993936" w:rsidRDefault="00412AFB" w:rsidP="00412AFB">
      <w:pPr>
        <w:jc w:val="both"/>
        <w:rPr>
          <w:rFonts w:ascii="Arial" w:hAnsi="Arial" w:cs="Arial"/>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Artículo 22</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Central e industria de transformación y/o de elaboración y/o conservación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22.1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22.1.1 Estar inscrita en el Registro sanitario de industrias y productos alimentarios de Cataluña.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22.1.2 Disponer de un plan de prevención de riesgos laborales y de un plan de análisis de peligros y puntos de control críticos (APPCC) implantados y aprobados por los organismos competentes en la materia.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22.1.3 En caso de haber almacenamiento de productos fitosanitarios y/o fertilizantes en la central o la industria de transformación, se aplicarán las obligaciones establecidas en los artículos 7 y 20 de esta norma. </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22.1.4 Aplicar métodos o técnicas que permitan mantener intacta la calidad del producto, conservar su integridad y asegurar su respiración, si favorecen la conservación de las características organolépticas.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22.1.5 Todas las máquinas, los recipientes, los elementos de transporte, los envases y los lugares de almacenamiento deben reunir las siguientes condiciones: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22.1.6 No transmitir a los productos con los que entren en contacto sustancias tóxicas o que puedan contaminar, ni originar reacciones químicas perjudiciales.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22.1.7 No alterar las características de composición y los caracteres organolépticos de los productos.</w:t>
      </w:r>
    </w:p>
    <w:p w:rsidR="00412AFB" w:rsidRPr="00993936" w:rsidRDefault="00412AFB" w:rsidP="00412AFB">
      <w:pPr>
        <w:pStyle w:val="Textoindependiente"/>
        <w:outlineLvl w:val="0"/>
        <w:rPr>
          <w:rFonts w:cs="Arial"/>
          <w:szCs w:val="22"/>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 xml:space="preserve">Artículo 23 </w:t>
      </w:r>
    </w:p>
    <w:p w:rsidR="00412AFB" w:rsidRPr="00993936" w:rsidRDefault="00412AFB" w:rsidP="00412AFB">
      <w:pPr>
        <w:jc w:val="both"/>
        <w:rPr>
          <w:rFonts w:ascii="Arial" w:hAnsi="Arial" w:cs="Arial"/>
          <w:b/>
          <w:lang w:val="es-ES"/>
        </w:rPr>
      </w:pPr>
      <w:r w:rsidRPr="00993936">
        <w:rPr>
          <w:rFonts w:ascii="Arial" w:hAnsi="Arial" w:cs="Arial"/>
          <w:b/>
          <w:lang w:val="es-ES"/>
        </w:rPr>
        <w:t>Transporte y recepción en la central hortofrutícola</w:t>
      </w:r>
    </w:p>
    <w:p w:rsidR="00412AFB" w:rsidRPr="00993936" w:rsidRDefault="00412AFB" w:rsidP="00412AFB">
      <w:pPr>
        <w:jc w:val="both"/>
        <w:rPr>
          <w:rFonts w:ascii="Arial" w:hAnsi="Arial" w:cs="Arial"/>
          <w:lang w:val="es-ES"/>
        </w:rPr>
      </w:pPr>
      <w:r w:rsidRPr="00993936">
        <w:rPr>
          <w:rFonts w:ascii="Arial" w:hAnsi="Arial" w:cs="Arial"/>
          <w:lang w:val="es-ES"/>
        </w:rPr>
        <w:t>23.1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23.1.1 Los vehículos que lleguen a las instalaciones deben estar en condiciones de higiene adecuadas y cargados exclusivamente con productos vegetales.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23.1.2 Habrá una separación física, definida y señalizada, de los productos vegetales que proceden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23.1.3 Realizar una inspección visual de las partidas de productos vegetales cuando lleguen a la recepción, establecer un sistema de verificación de la calidad de los productos que entran. Habrá un registro de incidencias en caso de incumplimiento. Las partidas que no cumplan los requisitos anteriores dejarán de considerarse como de producción integrada.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23.1.4 Antes de cargar todos los elementos de transporte deben estar limpios, en buen estado y exentos de olores y objetos extraños.</w:t>
      </w:r>
    </w:p>
    <w:p w:rsidR="00412AFB" w:rsidRPr="00993936" w:rsidRDefault="00412AFB" w:rsidP="00412AFB">
      <w:pPr>
        <w:jc w:val="both"/>
        <w:rPr>
          <w:rFonts w:ascii="Arial" w:hAnsi="Arial" w:cs="Arial"/>
          <w:i/>
          <w:lang w:val="es-ES"/>
        </w:rPr>
      </w:pPr>
      <w:r w:rsidRPr="00993936">
        <w:rPr>
          <w:rFonts w:ascii="Arial" w:hAnsi="Arial" w:cs="Arial"/>
          <w:lang w:val="es-ES"/>
        </w:rPr>
        <w:t xml:space="preserve">23.2.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23.2.1 Almacenar productos químicos y desechos en la zona de recepción de productos vegetales.</w:t>
      </w:r>
    </w:p>
    <w:p w:rsidR="00412AFB" w:rsidRPr="00993936" w:rsidRDefault="00412AFB" w:rsidP="00412AFB">
      <w:pPr>
        <w:pStyle w:val="Textoindependiente"/>
        <w:outlineLvl w:val="0"/>
        <w:rPr>
          <w:rFonts w:cs="Arial"/>
          <w:szCs w:val="22"/>
          <w:lang w:val="es-ES"/>
        </w:rPr>
      </w:pPr>
    </w:p>
    <w:p w:rsidR="00412AFB" w:rsidRPr="00993936" w:rsidRDefault="00412AFB" w:rsidP="00412AFB">
      <w:pPr>
        <w:pStyle w:val="Ttulo4"/>
        <w:rPr>
          <w:rFonts w:ascii="Arial" w:hAnsi="Arial" w:cs="Arial"/>
          <w:i w:val="0"/>
          <w:color w:val="auto"/>
          <w:lang w:val="es-ES"/>
        </w:rPr>
      </w:pPr>
      <w:r w:rsidRPr="00993936">
        <w:rPr>
          <w:rFonts w:ascii="Arial" w:hAnsi="Arial" w:cs="Arial"/>
          <w:i w:val="0"/>
          <w:color w:val="auto"/>
          <w:lang w:val="es-ES"/>
        </w:rPr>
        <w:t>Artículo 24</w:t>
      </w:r>
    </w:p>
    <w:p w:rsidR="00412AFB" w:rsidRPr="00993936" w:rsidRDefault="00412AFB" w:rsidP="00412AFB">
      <w:pPr>
        <w:pStyle w:val="Ttulo4"/>
        <w:rPr>
          <w:rFonts w:ascii="Arial" w:hAnsi="Arial" w:cs="Arial"/>
          <w:b/>
          <w:i w:val="0"/>
          <w:color w:val="auto"/>
          <w:lang w:val="es-ES"/>
        </w:rPr>
      </w:pPr>
      <w:r w:rsidRPr="00993936">
        <w:rPr>
          <w:rFonts w:ascii="Arial" w:hAnsi="Arial" w:cs="Arial"/>
          <w:b/>
          <w:i w:val="0"/>
          <w:color w:val="auto"/>
          <w:lang w:val="es-ES"/>
        </w:rPr>
        <w:t xml:space="preserve">Tratamientos de posrecolección y lavado </w:t>
      </w:r>
    </w:p>
    <w:p w:rsidR="00412AFB" w:rsidRPr="00993936" w:rsidRDefault="00412AFB" w:rsidP="00412AFB">
      <w:pPr>
        <w:pStyle w:val="Ttulo4"/>
        <w:rPr>
          <w:rFonts w:ascii="Arial" w:hAnsi="Arial" w:cs="Arial"/>
          <w:color w:val="auto"/>
          <w:lang w:val="es-ES"/>
        </w:rPr>
      </w:pPr>
      <w:r w:rsidRPr="00993936">
        <w:rPr>
          <w:rFonts w:ascii="Arial" w:hAnsi="Arial" w:cs="Arial"/>
          <w:color w:val="auto"/>
          <w:lang w:val="es-ES"/>
        </w:rPr>
        <w:t>24.1 Obligaciones</w:t>
      </w:r>
    </w:p>
    <w:p w:rsidR="00412AFB" w:rsidRPr="00993936" w:rsidRDefault="00412AFB" w:rsidP="00412AFB">
      <w:pPr>
        <w:pStyle w:val="Ttulo4"/>
        <w:jc w:val="both"/>
        <w:rPr>
          <w:rFonts w:ascii="Arial" w:hAnsi="Arial" w:cs="Arial"/>
          <w:color w:val="auto"/>
          <w:lang w:val="es-ES"/>
        </w:rPr>
      </w:pPr>
      <w:r w:rsidRPr="00993936">
        <w:rPr>
          <w:rFonts w:ascii="Arial" w:hAnsi="Arial" w:cs="Arial"/>
          <w:color w:val="auto"/>
          <w:lang w:val="es-ES"/>
        </w:rPr>
        <w:t>24.1.1 Anteponer los métodos físicos o productos naturales a los productos de síntesis. Los métodos químicos solo se permitirán cuando esté técnicamente justificado. En este supuesto solo se pueden utilizar materias activas autorizadas para producción integrada, con los mismos criterios señalados para los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 xml:space="preserve">24.1.2 Los tratamientos en posrecolección solo se permiten en variedades destinadas a la conservación frigorífica durante un periodo superior a noventa días, excepto para la variedad Granny Smith. Los productos que pueden utilizarse son los que figuran especificados en el Anexo 6 ​​de esta norma. </w:t>
      </w:r>
    </w:p>
    <w:p w:rsidR="00412AFB" w:rsidRPr="00993936" w:rsidRDefault="00412AFB" w:rsidP="00412AFB">
      <w:pPr>
        <w:jc w:val="both"/>
        <w:rPr>
          <w:rFonts w:ascii="Arial" w:hAnsi="Arial" w:cs="Arial"/>
          <w:lang w:val="es-ES"/>
        </w:rPr>
      </w:pPr>
      <w:r w:rsidRPr="00993936">
        <w:rPr>
          <w:rFonts w:ascii="Arial" w:hAnsi="Arial" w:cs="Arial"/>
          <w:lang w:val="es-ES"/>
        </w:rPr>
        <w:t>24.1.3 Para tratar con productos químicos de síntesis se utilizarán, entre los autorizados en producción integrada, los que tengan un perfil toxicológico más favorable y, de entre estos, aquellos cuyos límites máximos de residuos estén armonizados a nivel comunitario.</w:t>
      </w:r>
    </w:p>
    <w:p w:rsidR="00412AFB" w:rsidRPr="00993936" w:rsidRDefault="00412AFB" w:rsidP="00412AFB">
      <w:pPr>
        <w:pStyle w:val="Textoindependiente"/>
        <w:rPr>
          <w:rFonts w:cs="Arial"/>
          <w:szCs w:val="22"/>
          <w:lang w:val="es-ES"/>
        </w:rPr>
      </w:pPr>
      <w:r w:rsidRPr="00993936">
        <w:rPr>
          <w:rFonts w:cs="Arial"/>
          <w:szCs w:val="22"/>
          <w:lang w:val="es-ES"/>
        </w:rPr>
        <w:t>24.1.4 Todas las aplicaciones en los tratamientos posrecolección se registrarán en el cuaderno de conservación y/o poscosecha/posrecolección, indicando en las anotaciones, como mínimo, los siguientes datos: fecha de aplicación, especie y/o variedad, la justificación de la aplicación, producto, sustancia activa y cantidad aplicada, y el sistema que se ha utilizado para dicha aplicación.</w:t>
      </w:r>
    </w:p>
    <w:p w:rsidR="00412AFB" w:rsidRPr="00993936" w:rsidRDefault="00412AFB" w:rsidP="00412AFB">
      <w:pPr>
        <w:jc w:val="both"/>
        <w:rPr>
          <w:rFonts w:ascii="Arial" w:hAnsi="Arial" w:cs="Arial"/>
          <w:lang w:val="es-ES"/>
        </w:rPr>
      </w:pPr>
      <w:r w:rsidRPr="00993936">
        <w:rPr>
          <w:rFonts w:ascii="Arial" w:hAnsi="Arial" w:cs="Arial"/>
          <w:lang w:val="es-ES"/>
        </w:rPr>
        <w:t>24.1.5 En los tratamientos de posrecolección con productos químicos se emplearán las materias activas especificadas en el Anexo 6 ​​de esta norma.</w:t>
      </w:r>
    </w:p>
    <w:p w:rsidR="00412AFB" w:rsidRPr="00993936" w:rsidRDefault="00412AFB" w:rsidP="00412AFB">
      <w:pPr>
        <w:jc w:val="both"/>
        <w:rPr>
          <w:rFonts w:ascii="Arial" w:hAnsi="Arial" w:cs="Arial"/>
          <w:lang w:val="es-ES"/>
        </w:rPr>
      </w:pPr>
      <w:r w:rsidRPr="00993936">
        <w:rPr>
          <w:rFonts w:ascii="Arial" w:hAnsi="Arial" w:cs="Arial"/>
          <w:lang w:val="es-ES"/>
        </w:rPr>
        <w:t>24.1.6 La manipulación de los productos deberá hacerse por series completas separadas físicamente o en el tiempo de operaciones de productos no obtenidos bajo normas de producción integrada, con el objeto de evitar superposiciones y contaminaciones, y asegurar la trazabilidad.</w:t>
      </w:r>
    </w:p>
    <w:p w:rsidR="00412AFB" w:rsidRPr="00993936" w:rsidRDefault="00412AFB" w:rsidP="00412AFB">
      <w:pPr>
        <w:jc w:val="both"/>
        <w:rPr>
          <w:rFonts w:ascii="Arial" w:hAnsi="Arial" w:cs="Arial"/>
          <w:lang w:val="es-ES"/>
        </w:rPr>
      </w:pPr>
      <w:r w:rsidRPr="00993936">
        <w:rPr>
          <w:rFonts w:ascii="Arial" w:hAnsi="Arial" w:cs="Arial"/>
          <w:lang w:val="es-ES"/>
        </w:rPr>
        <w:t>24.1.7 Cuando se haga recircular el agua del lavado de los productos, debe filtrarse y tratarse de manera que no comprometa la salubridad.</w:t>
      </w:r>
    </w:p>
    <w:p w:rsidR="00412AFB" w:rsidRPr="00993936" w:rsidRDefault="00412AFB" w:rsidP="00412AFB">
      <w:pPr>
        <w:outlineLvl w:val="0"/>
        <w:rPr>
          <w:rFonts w:ascii="Arial" w:hAnsi="Arial" w:cs="Arial"/>
          <w:i/>
          <w:lang w:val="es-ES"/>
        </w:rPr>
      </w:pPr>
      <w:r w:rsidRPr="00993936">
        <w:rPr>
          <w:rFonts w:ascii="Arial" w:hAnsi="Arial" w:cs="Arial"/>
          <w:lang w:val="es-ES"/>
        </w:rPr>
        <w:t xml:space="preserve">24.2 </w:t>
      </w:r>
      <w:r w:rsidRPr="00993936">
        <w:rPr>
          <w:rFonts w:ascii="Arial" w:hAnsi="Arial" w:cs="Arial"/>
          <w:i/>
          <w:lang w:val="es-ES"/>
        </w:rPr>
        <w:t>Prohibiciones</w:t>
      </w:r>
    </w:p>
    <w:p w:rsidR="00412AFB" w:rsidRPr="00993936" w:rsidRDefault="00412AFB" w:rsidP="00412AFB">
      <w:pPr>
        <w:pStyle w:val="Piedepgina"/>
        <w:tabs>
          <w:tab w:val="clear" w:pos="4252"/>
          <w:tab w:val="clear" w:pos="8504"/>
        </w:tabs>
        <w:jc w:val="both"/>
        <w:rPr>
          <w:rFonts w:ascii="Arial" w:hAnsi="Arial" w:cs="Arial"/>
          <w:lang w:val="es-ES"/>
        </w:rPr>
      </w:pPr>
      <w:r w:rsidRPr="00993936">
        <w:rPr>
          <w:rFonts w:ascii="Arial" w:hAnsi="Arial" w:cs="Arial"/>
          <w:lang w:val="es-ES"/>
        </w:rPr>
        <w:t>24.2.1 Utilizar para el lavado de los productos vegetales aguas no potables, de acuerdo con la normativa vigente, y para el resto de los usos, las que superen los parámetros establecidos en la normativa de aplicación.</w:t>
      </w:r>
    </w:p>
    <w:p w:rsidR="00412AFB" w:rsidRPr="00993936" w:rsidRDefault="00412AFB" w:rsidP="00412AFB">
      <w:pPr>
        <w:pStyle w:val="Piedepgina"/>
        <w:tabs>
          <w:tab w:val="clear" w:pos="4252"/>
          <w:tab w:val="clear" w:pos="8504"/>
        </w:tabs>
        <w:jc w:val="both"/>
        <w:rPr>
          <w:rFonts w:ascii="Arial" w:hAnsi="Arial" w:cs="Arial"/>
          <w:lang w:val="es-ES"/>
        </w:rPr>
      </w:pPr>
      <w:r w:rsidRPr="00993936">
        <w:rPr>
          <w:rFonts w:ascii="Arial" w:hAnsi="Arial" w:cs="Arial"/>
          <w:lang w:val="es-ES"/>
        </w:rPr>
        <w:t>24.2.2 El uso de aditivos y coadyuvantes tecnológicos diferentes a los que autoriza esta norma técnica.</w:t>
      </w:r>
    </w:p>
    <w:p w:rsidR="00412AFB" w:rsidRPr="00993936" w:rsidRDefault="00412AFB" w:rsidP="00412AFB">
      <w:pPr>
        <w:jc w:val="both"/>
        <w:rPr>
          <w:rFonts w:ascii="Arial" w:hAnsi="Arial" w:cs="Arial"/>
          <w:lang w:val="es-ES"/>
        </w:rPr>
      </w:pPr>
      <w:r w:rsidRPr="00993936">
        <w:rPr>
          <w:rFonts w:ascii="Arial" w:hAnsi="Arial" w:cs="Arial"/>
          <w:lang w:val="es-ES"/>
        </w:rPr>
        <w:t xml:space="preserve">24.3 </w:t>
      </w:r>
      <w:r w:rsidRPr="00993936">
        <w:rPr>
          <w:rFonts w:ascii="Arial" w:hAnsi="Arial" w:cs="Arial"/>
          <w:i/>
          <w:lang w:val="es-ES"/>
        </w:rPr>
        <w:t>Recomendaciones</w:t>
      </w:r>
    </w:p>
    <w:p w:rsidR="00412AFB" w:rsidRPr="00993936" w:rsidRDefault="00412AFB" w:rsidP="00412AFB">
      <w:pPr>
        <w:jc w:val="both"/>
        <w:rPr>
          <w:rFonts w:ascii="Arial" w:hAnsi="Arial" w:cs="Arial"/>
          <w:lang w:val="es-ES"/>
        </w:rPr>
      </w:pPr>
      <w:r w:rsidRPr="00993936">
        <w:rPr>
          <w:rFonts w:ascii="Arial" w:hAnsi="Arial" w:cs="Arial"/>
          <w:lang w:val="es-ES"/>
        </w:rPr>
        <w:t>24.3.1 Se procurará no aplicar los productos especificados en el Anexo 6 de esta norma más de una vez sobre la misma fruta.</w:t>
      </w:r>
    </w:p>
    <w:p w:rsidR="00412AFB" w:rsidRPr="00993936" w:rsidRDefault="00412AFB" w:rsidP="00412AFB">
      <w:pPr>
        <w:pStyle w:val="Textoindependiente"/>
        <w:outlineLvl w:val="0"/>
        <w:rPr>
          <w:rFonts w:cs="Arial"/>
          <w:szCs w:val="22"/>
          <w:lang w:val="es-ES"/>
        </w:rPr>
      </w:pP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Artículo 25</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Proceso de transformación y elaboración del producto vegetal</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25.1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25.1.1 Todos los productos vegetales que se utilicen para la elaboración del producto transformado deberán cumplir las condiciones establecidas por esta norma.</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25.1.2 Los tratamientos que se realicen y los coadyuvantes que se utilicen deben estar autorizados e incluidos en los anexos de esta norma.</w:t>
      </w:r>
    </w:p>
    <w:p w:rsidR="00412AFB" w:rsidRPr="00993936" w:rsidRDefault="00412AFB" w:rsidP="00412AFB">
      <w:pPr>
        <w:jc w:val="both"/>
        <w:outlineLvl w:val="0"/>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26</w:t>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t>Conservación</w:t>
      </w:r>
    </w:p>
    <w:p w:rsidR="00412AFB" w:rsidRPr="00993936" w:rsidRDefault="00412AFB" w:rsidP="00412AFB">
      <w:pPr>
        <w:jc w:val="both"/>
        <w:outlineLvl w:val="0"/>
        <w:rPr>
          <w:rFonts w:ascii="Arial" w:hAnsi="Arial" w:cs="Arial"/>
          <w:i/>
          <w:lang w:val="es-ES"/>
        </w:rPr>
      </w:pPr>
      <w:r w:rsidRPr="00993936">
        <w:rPr>
          <w:rFonts w:ascii="Arial" w:hAnsi="Arial" w:cs="Arial"/>
          <w:i/>
          <w:lang w:val="es-ES"/>
        </w:rPr>
        <w:t>26.1 Obligaciones</w:t>
      </w:r>
    </w:p>
    <w:p w:rsidR="00412AFB" w:rsidRPr="00993936" w:rsidRDefault="00412AFB" w:rsidP="00412AFB">
      <w:pPr>
        <w:jc w:val="both"/>
        <w:rPr>
          <w:rFonts w:ascii="Arial" w:hAnsi="Arial" w:cs="Arial"/>
          <w:lang w:val="es-ES"/>
        </w:rPr>
      </w:pPr>
      <w:r w:rsidRPr="00993936">
        <w:rPr>
          <w:rFonts w:ascii="Arial" w:hAnsi="Arial" w:cs="Arial"/>
          <w:lang w:val="es-ES"/>
        </w:rPr>
        <w:t>26.1.1 Utilizar métodos de conservación que mantengan una alta calidad interna y externa.</w:t>
      </w:r>
    </w:p>
    <w:p w:rsidR="00412AFB" w:rsidRPr="00993936" w:rsidRDefault="00412AFB" w:rsidP="00412AFB">
      <w:pPr>
        <w:jc w:val="both"/>
        <w:rPr>
          <w:rFonts w:ascii="Arial" w:hAnsi="Arial" w:cs="Arial"/>
          <w:lang w:val="es-ES"/>
        </w:rPr>
      </w:pPr>
      <w:r w:rsidRPr="00993936">
        <w:rPr>
          <w:rFonts w:ascii="Arial" w:hAnsi="Arial" w:cs="Arial"/>
          <w:lang w:val="es-ES"/>
        </w:rPr>
        <w:t>26.1.2 Controlar periódicamente la calidad y, específicamente, antes de la comercialización, teniendo en cuenta aspectos de muestreo y tipo de determinación analítica y también los límites de residuos que garanticen la seguridad del consumidor.</w:t>
      </w:r>
    </w:p>
    <w:p w:rsidR="00412AFB" w:rsidRPr="00993936" w:rsidRDefault="00412AFB" w:rsidP="00412AFB">
      <w:pPr>
        <w:pStyle w:val="Textoindependiente"/>
        <w:rPr>
          <w:rFonts w:cs="Arial"/>
          <w:szCs w:val="22"/>
          <w:lang w:val="es-ES"/>
        </w:rPr>
      </w:pPr>
      <w:r w:rsidRPr="00993936">
        <w:rPr>
          <w:rFonts w:cs="Arial"/>
          <w:szCs w:val="22"/>
          <w:lang w:val="es-ES"/>
        </w:rPr>
        <w:t>26.1.3 Conservar el registro de cada cámara frigorífica donde se almacenen los productos, relativos a temperatura, resultados de análisis de atmósfera, y entradas y salidas de fruta.</w:t>
      </w:r>
    </w:p>
    <w:p w:rsidR="00412AFB" w:rsidRPr="00993936" w:rsidRDefault="00412AFB" w:rsidP="00412AFB">
      <w:pPr>
        <w:jc w:val="both"/>
        <w:rPr>
          <w:rFonts w:ascii="Arial" w:hAnsi="Arial" w:cs="Arial"/>
          <w:lang w:val="es-ES"/>
        </w:rPr>
      </w:pPr>
      <w:r w:rsidRPr="00993936">
        <w:rPr>
          <w:rFonts w:ascii="Arial" w:hAnsi="Arial" w:cs="Arial"/>
          <w:lang w:val="es-ES"/>
        </w:rPr>
        <w:t>26.1.4 La duración de conservación de los frutos estará en función del sistema de conservación utilizado y de la evolución de los frutos.</w:t>
      </w:r>
    </w:p>
    <w:p w:rsidR="00412AFB" w:rsidRPr="00993936" w:rsidRDefault="00412AFB" w:rsidP="00412AFB">
      <w:pPr>
        <w:jc w:val="both"/>
        <w:rPr>
          <w:rFonts w:ascii="Arial" w:hAnsi="Arial" w:cs="Arial"/>
          <w:lang w:val="es-ES"/>
        </w:rPr>
      </w:pPr>
      <w:r w:rsidRPr="00993936">
        <w:rPr>
          <w:rFonts w:ascii="Arial" w:hAnsi="Arial" w:cs="Arial"/>
          <w:lang w:val="es-ES"/>
        </w:rPr>
        <w:t>26.1.5 En las cámaras frigoríficas los palés guardarán una distancia entre sí y entre las paredes para una ventilación correcta.</w:t>
      </w:r>
    </w:p>
    <w:p w:rsidR="00412AFB" w:rsidRPr="00993936" w:rsidRDefault="00412AFB" w:rsidP="00412AFB">
      <w:pPr>
        <w:jc w:val="both"/>
        <w:rPr>
          <w:rFonts w:ascii="Arial" w:hAnsi="Arial" w:cs="Arial"/>
          <w:lang w:val="es-ES"/>
        </w:rPr>
      </w:pPr>
      <w:r w:rsidRPr="00993936">
        <w:rPr>
          <w:rFonts w:ascii="Arial" w:hAnsi="Arial" w:cs="Arial"/>
          <w:lang w:val="es-ES"/>
        </w:rPr>
        <w:t>26.1.6 En caso de realizar tratamientos de conservación, hay que adecuarlos a la situación y al destino del producto, principalmente para aquellos que se someten a una conservación prolongada.</w:t>
      </w:r>
    </w:p>
    <w:p w:rsidR="00412AFB" w:rsidRPr="00993936" w:rsidRDefault="00412AFB" w:rsidP="00412AFB">
      <w:pPr>
        <w:jc w:val="both"/>
        <w:rPr>
          <w:rFonts w:ascii="Arial" w:hAnsi="Arial" w:cs="Arial"/>
          <w:lang w:val="es-ES"/>
        </w:rPr>
      </w:pPr>
      <w:r w:rsidRPr="00993936">
        <w:rPr>
          <w:rFonts w:ascii="Arial" w:hAnsi="Arial" w:cs="Arial"/>
          <w:lang w:val="es-ES"/>
        </w:rPr>
        <w:t>26.1.7 Se utilizarán métodos de conservación autorizados, que tengan la menor toxicidad posible y sean preferentemente métodos físicos o con productos naturales, antes que de síntesis.</w:t>
      </w:r>
    </w:p>
    <w:p w:rsidR="00412AFB" w:rsidRPr="00993936" w:rsidRDefault="00412AFB" w:rsidP="00412AFB">
      <w:pPr>
        <w:jc w:val="both"/>
        <w:outlineLvl w:val="0"/>
        <w:rPr>
          <w:rFonts w:ascii="Arial" w:hAnsi="Arial" w:cs="Arial"/>
          <w:lang w:val="es-ES"/>
        </w:rPr>
      </w:pPr>
    </w:p>
    <w:p w:rsidR="00412AFB" w:rsidRPr="00993936" w:rsidRDefault="00412AFB" w:rsidP="00412AFB">
      <w:pPr>
        <w:jc w:val="both"/>
        <w:outlineLvl w:val="0"/>
        <w:rPr>
          <w:rFonts w:ascii="Arial" w:hAnsi="Arial" w:cs="Arial"/>
          <w:lang w:val="es-ES"/>
        </w:rPr>
      </w:pPr>
      <w:r w:rsidRPr="00993936">
        <w:rPr>
          <w:rFonts w:ascii="Arial" w:hAnsi="Arial" w:cs="Arial"/>
          <w:lang w:val="es-ES"/>
        </w:rPr>
        <w:t>Artículo 27</w:t>
      </w:r>
    </w:p>
    <w:p w:rsidR="00412AFB" w:rsidRPr="00993936" w:rsidRDefault="00412AFB" w:rsidP="00412AFB">
      <w:pPr>
        <w:jc w:val="both"/>
        <w:outlineLvl w:val="0"/>
        <w:rPr>
          <w:rFonts w:ascii="Arial" w:hAnsi="Arial" w:cs="Arial"/>
          <w:b/>
          <w:lang w:val="es-ES"/>
        </w:rPr>
      </w:pPr>
      <w:r w:rsidRPr="00993936">
        <w:rPr>
          <w:rFonts w:ascii="Arial" w:hAnsi="Arial" w:cs="Arial"/>
          <w:b/>
          <w:lang w:val="es-ES"/>
        </w:rPr>
        <w:t>Almacenamiento de los productos</w:t>
      </w:r>
    </w:p>
    <w:p w:rsidR="00412AFB" w:rsidRPr="00993936" w:rsidRDefault="00412AFB" w:rsidP="00412AFB">
      <w:pPr>
        <w:rPr>
          <w:rFonts w:ascii="Arial" w:hAnsi="Arial" w:cs="Arial"/>
          <w:i/>
          <w:lang w:val="es-ES"/>
        </w:rPr>
      </w:pPr>
      <w:r w:rsidRPr="00993936">
        <w:rPr>
          <w:rFonts w:ascii="Arial" w:hAnsi="Arial" w:cs="Arial"/>
          <w:lang w:val="es-ES"/>
        </w:rPr>
        <w:t xml:space="preserve">27.1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27.1.1 Almacenar los productos siguiendo los procedimientos que garanticen la mejor calidad posible.</w:t>
      </w:r>
    </w:p>
    <w:p w:rsidR="00412AFB" w:rsidRPr="00993936" w:rsidRDefault="00412AFB" w:rsidP="00412AFB">
      <w:pPr>
        <w:pStyle w:val="Textoindependiente"/>
        <w:rPr>
          <w:rFonts w:cs="Arial"/>
          <w:szCs w:val="22"/>
          <w:lang w:val="es-ES"/>
        </w:rPr>
      </w:pPr>
      <w:r w:rsidRPr="00993936">
        <w:rPr>
          <w:rFonts w:cs="Arial"/>
          <w:szCs w:val="22"/>
          <w:lang w:val="es-ES"/>
        </w:rPr>
        <w:t>27.1.2 Eliminar todos los frutos que presenten síntomas de presencia de patógenos causantes de podredumbres.</w:t>
      </w:r>
    </w:p>
    <w:p w:rsidR="00412AFB" w:rsidRPr="00993936" w:rsidRDefault="00412AFB" w:rsidP="00412AFB">
      <w:pPr>
        <w:jc w:val="both"/>
        <w:rPr>
          <w:rFonts w:ascii="Arial" w:hAnsi="Arial" w:cs="Arial"/>
          <w:lang w:val="es-ES"/>
        </w:rPr>
      </w:pPr>
      <w:r w:rsidRPr="00993936">
        <w:rPr>
          <w:rFonts w:ascii="Arial" w:hAnsi="Arial" w:cs="Arial"/>
          <w:lang w:val="es-ES"/>
        </w:rPr>
        <w:t>27.1.3 Realizar la limpieza, la desinfección y la lucha contra los parásitos de los lugares del almacenamiento de modo que no se produzca ningún tipo de contaminación de los productos.</w:t>
      </w:r>
    </w:p>
    <w:p w:rsidR="00412AFB" w:rsidRPr="00993936" w:rsidRDefault="00412AFB" w:rsidP="00412AFB">
      <w:pPr>
        <w:jc w:val="both"/>
        <w:rPr>
          <w:rFonts w:ascii="Arial" w:hAnsi="Arial" w:cs="Arial"/>
          <w:lang w:val="es-ES"/>
        </w:rPr>
      </w:pPr>
      <w:r w:rsidRPr="00993936">
        <w:rPr>
          <w:rFonts w:ascii="Arial" w:hAnsi="Arial" w:cs="Arial"/>
          <w:lang w:val="es-ES"/>
        </w:rPr>
        <w:t>27.1.4 Establecer en los almacenes una separación clara y definida entre los productos procedentes de cultivos de producción integrada y otros productos convencionales, e indicar en un croquis su situación dentro de cada almacén. Las cajas y palés habrán de estar identificados debidamente y colocados de modo que pueda verse con claridad la identificación, lo que facilitará el recuento.</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27.1.5 Mantener limpios los recipientes y cajas utilizados en el almacenamiento de los productos vegetales. Como norma general, todos los elementos que puedan afectar a la condición del producto se limpiarán cuando se inicie la utilización y se desinfectarán cuando sea conveniente, en cualquier caso al menos una vez al año.</w:t>
      </w:r>
    </w:p>
    <w:p w:rsidR="00412AFB" w:rsidRPr="00993936" w:rsidRDefault="00412AFB" w:rsidP="00412AFB">
      <w:pPr>
        <w:jc w:val="both"/>
        <w:outlineLvl w:val="0"/>
        <w:rPr>
          <w:rFonts w:ascii="Arial" w:hAnsi="Arial" w:cs="Arial"/>
          <w:i/>
          <w:lang w:val="es-ES"/>
        </w:rPr>
      </w:pPr>
      <w:r w:rsidRPr="00993936">
        <w:rPr>
          <w:rFonts w:ascii="Arial" w:hAnsi="Arial" w:cs="Arial"/>
          <w:lang w:val="es-ES"/>
        </w:rPr>
        <w:t xml:space="preserve">27.2 </w:t>
      </w:r>
      <w:r w:rsidRPr="00993936">
        <w:rPr>
          <w:rFonts w:ascii="Arial" w:hAnsi="Arial" w:cs="Arial"/>
          <w:i/>
          <w:lang w:val="es-ES"/>
        </w:rPr>
        <w:t>Prohibiciones</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27.2.1 El uso de productos químicos de síntesis para la lucha contra las plagas y parásitos del almacén, salvo en los casos que estén justificados técnicamente, donde se utilizarán sustancias activas autorizadas en producción integrada. </w:t>
      </w:r>
    </w:p>
    <w:p w:rsidR="00412AFB" w:rsidRPr="00993936" w:rsidRDefault="00412AFB" w:rsidP="00412AFB">
      <w:pPr>
        <w:jc w:val="both"/>
        <w:outlineLvl w:val="0"/>
        <w:rPr>
          <w:rFonts w:ascii="Arial" w:hAnsi="Arial" w:cs="Arial"/>
          <w:lang w:val="es-ES"/>
        </w:rPr>
      </w:pPr>
      <w:r w:rsidRPr="00993936">
        <w:rPr>
          <w:rFonts w:ascii="Arial" w:hAnsi="Arial" w:cs="Arial"/>
          <w:lang w:val="es-ES"/>
        </w:rPr>
        <w:t>27.2.2 Almacenar productos químicos o desechos en la zona de almacenamiento de los productos envasados.</w:t>
      </w:r>
    </w:p>
    <w:p w:rsidR="00412AFB" w:rsidRPr="00993936" w:rsidRDefault="00412AFB" w:rsidP="00412AFB">
      <w:pPr>
        <w:jc w:val="both"/>
        <w:rPr>
          <w:rFonts w:ascii="Arial" w:hAnsi="Arial" w:cs="Arial"/>
          <w:lang w:val="es-ES"/>
        </w:rPr>
      </w:pPr>
    </w:p>
    <w:p w:rsidR="00412AFB" w:rsidRPr="00993936" w:rsidRDefault="00412AFB" w:rsidP="00412AFB">
      <w:pPr>
        <w:pStyle w:val="Ttulo3"/>
        <w:rPr>
          <w:rFonts w:ascii="Arial" w:hAnsi="Arial" w:cs="Arial"/>
          <w:color w:val="auto"/>
          <w:szCs w:val="22"/>
          <w:lang w:val="es-ES"/>
        </w:rPr>
      </w:pPr>
      <w:r w:rsidRPr="00993936">
        <w:rPr>
          <w:rFonts w:ascii="Arial" w:hAnsi="Arial" w:cs="Arial"/>
          <w:color w:val="auto"/>
          <w:szCs w:val="22"/>
          <w:lang w:val="es-ES"/>
        </w:rPr>
        <w:t>Artículo 28</w:t>
      </w:r>
    </w:p>
    <w:p w:rsidR="00412AFB" w:rsidRPr="00993936" w:rsidRDefault="00412AFB" w:rsidP="00412AFB">
      <w:pPr>
        <w:pStyle w:val="Ttulo3"/>
        <w:rPr>
          <w:rFonts w:ascii="Arial" w:hAnsi="Arial" w:cs="Arial"/>
          <w:b/>
          <w:color w:val="auto"/>
          <w:szCs w:val="22"/>
          <w:lang w:val="es-ES"/>
        </w:rPr>
      </w:pPr>
      <w:r w:rsidRPr="00993936">
        <w:rPr>
          <w:rFonts w:ascii="Arial" w:hAnsi="Arial" w:cs="Arial"/>
          <w:b/>
          <w:color w:val="auto"/>
          <w:szCs w:val="22"/>
          <w:lang w:val="es-ES"/>
        </w:rPr>
        <w:t>Envasado</w:t>
      </w:r>
    </w:p>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28.1</w:t>
      </w:r>
      <w:r w:rsidRPr="00993936">
        <w:rPr>
          <w:rFonts w:ascii="Arial" w:hAnsi="Arial" w:cs="Arial"/>
          <w:i/>
          <w:lang w:val="es-ES"/>
        </w:rPr>
        <w:t xml:space="preserve"> Obligaciones</w:t>
      </w:r>
    </w:p>
    <w:p w:rsidR="00412AFB" w:rsidRPr="00993936" w:rsidRDefault="00412AFB" w:rsidP="00412AFB">
      <w:pPr>
        <w:jc w:val="both"/>
        <w:rPr>
          <w:rFonts w:ascii="Arial" w:hAnsi="Arial" w:cs="Arial"/>
          <w:lang w:val="es-ES"/>
        </w:rPr>
      </w:pPr>
      <w:r w:rsidRPr="00993936">
        <w:rPr>
          <w:rFonts w:ascii="Arial" w:hAnsi="Arial" w:cs="Arial"/>
          <w:lang w:val="es-ES"/>
        </w:rPr>
        <w:t>28.1.1 Todas las máquinas, recipientes, elementos de transporte, envases provisionales y lugares de almacenamiento deben reunir las siguientes condiciones:</w:t>
      </w:r>
    </w:p>
    <w:p w:rsidR="00412AFB" w:rsidRPr="00993936" w:rsidRDefault="00412AFB" w:rsidP="009D1A2D">
      <w:pPr>
        <w:numPr>
          <w:ilvl w:val="0"/>
          <w:numId w:val="25"/>
        </w:numPr>
        <w:tabs>
          <w:tab w:val="clear" w:pos="1494"/>
          <w:tab w:val="num" w:pos="1068"/>
        </w:tabs>
        <w:spacing w:after="0" w:line="240" w:lineRule="auto"/>
        <w:ind w:left="1048"/>
        <w:jc w:val="both"/>
        <w:rPr>
          <w:rFonts w:ascii="Arial" w:hAnsi="Arial" w:cs="Arial"/>
          <w:lang w:val="es-ES"/>
        </w:rPr>
      </w:pPr>
      <w:r w:rsidRPr="00993936">
        <w:rPr>
          <w:rFonts w:ascii="Arial" w:hAnsi="Arial" w:cs="Arial"/>
          <w:lang w:val="es-ES"/>
        </w:rPr>
        <w:t>No transmitir a los productos con los que entren en contacto sustancias tóxicas o que puedan contaminar u originar reacciones químicas perjudiciales.</w:t>
      </w:r>
    </w:p>
    <w:p w:rsidR="00412AFB" w:rsidRPr="00993936" w:rsidRDefault="00412AFB" w:rsidP="009D1A2D">
      <w:pPr>
        <w:numPr>
          <w:ilvl w:val="0"/>
          <w:numId w:val="25"/>
        </w:numPr>
        <w:tabs>
          <w:tab w:val="clear" w:pos="1494"/>
          <w:tab w:val="num" w:pos="1068"/>
        </w:tabs>
        <w:spacing w:after="0" w:line="240" w:lineRule="auto"/>
        <w:ind w:left="1048"/>
        <w:jc w:val="both"/>
        <w:rPr>
          <w:rFonts w:ascii="Arial" w:hAnsi="Arial" w:cs="Arial"/>
          <w:lang w:val="es-ES"/>
        </w:rPr>
      </w:pPr>
      <w:r w:rsidRPr="00993936">
        <w:rPr>
          <w:rFonts w:ascii="Arial" w:hAnsi="Arial" w:cs="Arial"/>
          <w:lang w:val="es-ES"/>
        </w:rPr>
        <w:t>No alterar las características de composición y organolépticas de los productos.</w:t>
      </w:r>
    </w:p>
    <w:p w:rsidR="00412AFB" w:rsidRPr="00993936" w:rsidRDefault="00412AFB" w:rsidP="009D1A2D">
      <w:pPr>
        <w:numPr>
          <w:ilvl w:val="0"/>
          <w:numId w:val="25"/>
        </w:numPr>
        <w:tabs>
          <w:tab w:val="clear" w:pos="1494"/>
          <w:tab w:val="num" w:pos="1068"/>
        </w:tabs>
        <w:spacing w:after="0" w:line="240" w:lineRule="auto"/>
        <w:ind w:left="1048"/>
        <w:jc w:val="both"/>
        <w:rPr>
          <w:rFonts w:ascii="Arial" w:hAnsi="Arial" w:cs="Arial"/>
          <w:lang w:val="es-ES"/>
        </w:rPr>
      </w:pPr>
      <w:r w:rsidRPr="00993936">
        <w:rPr>
          <w:rFonts w:ascii="Arial" w:hAnsi="Arial" w:cs="Arial"/>
          <w:lang w:val="es-ES"/>
        </w:rPr>
        <w:t>Realizar la limpieza con métodos y productos autorizados igual que el control de los roedores e insectos.</w:t>
      </w:r>
    </w:p>
    <w:p w:rsidR="00412AFB" w:rsidRPr="00993936" w:rsidRDefault="00412AFB" w:rsidP="00412AFB">
      <w:pPr>
        <w:jc w:val="both"/>
        <w:rPr>
          <w:rFonts w:ascii="Arial" w:hAnsi="Arial" w:cs="Arial"/>
          <w:lang w:val="es-ES"/>
        </w:rPr>
      </w:pPr>
      <w:r w:rsidRPr="00993936">
        <w:rPr>
          <w:rFonts w:ascii="Arial" w:hAnsi="Arial" w:cs="Arial"/>
          <w:lang w:val="es-ES"/>
        </w:rPr>
        <w:t>28.1.2 Las operaciones de envasado deberán efectuarse por series completas, separadas físicamente o en el tiempo, de operaciones de productos convencionales.</w:t>
      </w:r>
    </w:p>
    <w:p w:rsidR="00412AFB" w:rsidRPr="00993936" w:rsidRDefault="00412AFB" w:rsidP="00412AFB">
      <w:pPr>
        <w:jc w:val="both"/>
        <w:rPr>
          <w:rFonts w:ascii="Arial" w:hAnsi="Arial" w:cs="Arial"/>
          <w:lang w:val="es-ES"/>
        </w:rPr>
      </w:pPr>
      <w:r w:rsidRPr="00993936">
        <w:rPr>
          <w:rFonts w:ascii="Arial" w:hAnsi="Arial" w:cs="Arial"/>
          <w:lang w:val="es-ES"/>
        </w:rPr>
        <w:t>28.1.3 Las personas operadoras que realizan envasado de productos certificados de producción integrada y convencionales deben avisar al órgano o entidad de control. La comunicación se efectuará a principios de campaña, con antelación suficiente y antes del inicio de las operaciones de los productos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28.1.4 Las personas manipuladoras de alimentos deberán tener una formación específica al respecto o justificar que están en proceso de obtenerla de acuerdo con lo establecido en la normativa legal vigente, por la que se establecen las normas relativas a la manipulación de alimentos.</w:t>
      </w:r>
    </w:p>
    <w:p w:rsidR="00412AFB" w:rsidRPr="00993936" w:rsidRDefault="00412AFB" w:rsidP="00412AFB">
      <w:pPr>
        <w:jc w:val="both"/>
        <w:rPr>
          <w:rFonts w:ascii="Arial" w:hAnsi="Arial" w:cs="Arial"/>
          <w:lang w:val="es-ES"/>
        </w:rPr>
      </w:pPr>
      <w:r w:rsidRPr="00993936">
        <w:rPr>
          <w:rFonts w:ascii="Arial" w:hAnsi="Arial" w:cs="Arial"/>
          <w:lang w:val="es-ES"/>
        </w:rPr>
        <w:t>28.1.5 La zona de almacenamiento de envases y materiales de envasado estará claramente diferenciada de la zona de manipulación.</w:t>
      </w:r>
    </w:p>
    <w:p w:rsidR="00412AFB" w:rsidRPr="00993936" w:rsidRDefault="00412AFB" w:rsidP="00412AFB">
      <w:pPr>
        <w:jc w:val="both"/>
        <w:outlineLvl w:val="0"/>
        <w:rPr>
          <w:rFonts w:ascii="Arial" w:hAnsi="Arial" w:cs="Arial"/>
          <w:lang w:val="es-ES"/>
        </w:rPr>
      </w:pPr>
      <w:r w:rsidRPr="00993936">
        <w:rPr>
          <w:rFonts w:ascii="Arial" w:hAnsi="Arial" w:cs="Arial"/>
          <w:lang w:val="es-ES"/>
        </w:rPr>
        <w:t xml:space="preserve">28.2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28.2.1 La mezcla de variedades durante el proceso de lavado, selección y calibrado.</w:t>
      </w:r>
    </w:p>
    <w:p w:rsidR="00412AFB" w:rsidRPr="00993936" w:rsidRDefault="00412AFB" w:rsidP="00412AFB">
      <w:pPr>
        <w:pStyle w:val="Textoindependiente"/>
        <w:rPr>
          <w:rFonts w:cs="Arial"/>
          <w:szCs w:val="22"/>
          <w:lang w:val="es-ES"/>
        </w:rPr>
      </w:pPr>
      <w:r w:rsidRPr="00993936">
        <w:rPr>
          <w:rFonts w:cs="Arial"/>
          <w:szCs w:val="22"/>
          <w:lang w:val="es-ES"/>
        </w:rPr>
        <w:t>28.2.2 La utilización de aguas no potables para el lavado de los frutos.</w:t>
      </w:r>
    </w:p>
    <w:p w:rsidR="00412AFB" w:rsidRPr="00993936" w:rsidRDefault="00412AFB" w:rsidP="00412AFB">
      <w:pPr>
        <w:jc w:val="both"/>
        <w:rPr>
          <w:rFonts w:ascii="Arial" w:hAnsi="Arial" w:cs="Arial"/>
          <w:lang w:val="es-ES"/>
        </w:rPr>
      </w:pP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t>Artículo 29</w:t>
      </w:r>
    </w:p>
    <w:p w:rsidR="00412AFB" w:rsidRPr="00993936" w:rsidRDefault="00412AFB" w:rsidP="00412AFB">
      <w:pPr>
        <w:pStyle w:val="Ttulo1"/>
        <w:rPr>
          <w:rFonts w:ascii="Arial" w:hAnsi="Arial" w:cs="Arial"/>
          <w:b/>
          <w:color w:val="auto"/>
          <w:sz w:val="22"/>
          <w:szCs w:val="22"/>
        </w:rPr>
      </w:pPr>
      <w:r w:rsidRPr="00993936">
        <w:rPr>
          <w:rFonts w:ascii="Arial" w:hAnsi="Arial" w:cs="Arial"/>
          <w:b/>
          <w:color w:val="auto"/>
          <w:sz w:val="22"/>
          <w:szCs w:val="22"/>
        </w:rPr>
        <w:t>Expedición</w:t>
      </w:r>
    </w:p>
    <w:p w:rsidR="00412AFB" w:rsidRPr="00993936" w:rsidRDefault="00412AFB" w:rsidP="00412AFB">
      <w:pPr>
        <w:jc w:val="both"/>
        <w:rPr>
          <w:rFonts w:ascii="Arial" w:hAnsi="Arial" w:cs="Arial"/>
          <w:i/>
          <w:lang w:val="es-ES"/>
        </w:rPr>
      </w:pPr>
      <w:r w:rsidRPr="00993936">
        <w:rPr>
          <w:rFonts w:ascii="Arial" w:hAnsi="Arial" w:cs="Arial"/>
          <w:i/>
          <w:lang w:val="es-ES"/>
        </w:rPr>
        <w:t>29.1 Obligaciones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29.1.1 Antes de cargar todos los elementos de transporte deben estar limpios, en buen estado y exentos de olores y objetos extraños.</w:t>
      </w:r>
    </w:p>
    <w:p w:rsidR="00412AFB" w:rsidRPr="00993936" w:rsidRDefault="00412AFB" w:rsidP="00412AFB">
      <w:pPr>
        <w:jc w:val="both"/>
        <w:rPr>
          <w:rFonts w:ascii="Arial" w:hAnsi="Arial" w:cs="Arial"/>
          <w:lang w:val="es-ES"/>
        </w:rPr>
      </w:pPr>
      <w:r w:rsidRPr="00993936">
        <w:rPr>
          <w:rFonts w:ascii="Arial" w:hAnsi="Arial" w:cs="Arial"/>
          <w:lang w:val="es-ES"/>
        </w:rPr>
        <w:t>29.1.2 El producto debe ser transportado a la temperatura estipulada por la persona operadora y reflejada en el contrato de transporte.</w:t>
      </w:r>
    </w:p>
    <w:p w:rsidR="00412AFB" w:rsidRPr="00993936" w:rsidRDefault="00412AFB" w:rsidP="00412AFB">
      <w:pPr>
        <w:pStyle w:val="Textoindependiente"/>
        <w:outlineLvl w:val="0"/>
        <w:rPr>
          <w:rFonts w:cs="Arial"/>
          <w:szCs w:val="22"/>
          <w:lang w:val="es-ES"/>
        </w:rPr>
      </w:pPr>
    </w:p>
    <w:p w:rsidR="00412AFB" w:rsidRPr="00993936" w:rsidRDefault="00412AFB" w:rsidP="00412AFB">
      <w:pPr>
        <w:pStyle w:val="Textoindependiente"/>
        <w:outlineLvl w:val="0"/>
        <w:rPr>
          <w:rFonts w:cs="Arial"/>
          <w:szCs w:val="22"/>
          <w:lang w:val="es-ES"/>
        </w:rPr>
      </w:pPr>
    </w:p>
    <w:p w:rsidR="00412AFB" w:rsidRPr="00993936" w:rsidRDefault="00412AFB" w:rsidP="00412AFB">
      <w:pPr>
        <w:pStyle w:val="Textoindependiente"/>
        <w:outlineLvl w:val="0"/>
        <w:rPr>
          <w:rFonts w:cs="Arial"/>
          <w:szCs w:val="22"/>
          <w:lang w:val="es-ES"/>
        </w:rPr>
      </w:pPr>
      <w:r w:rsidRPr="00993936">
        <w:rPr>
          <w:rFonts w:cs="Arial"/>
          <w:szCs w:val="22"/>
          <w:lang w:val="es-ES"/>
        </w:rPr>
        <w:t>Artículo 30</w:t>
      </w:r>
    </w:p>
    <w:p w:rsidR="00412AFB" w:rsidRPr="00993936" w:rsidRDefault="00412AFB" w:rsidP="00412AFB">
      <w:pPr>
        <w:pStyle w:val="Textoindependiente"/>
        <w:outlineLvl w:val="0"/>
        <w:rPr>
          <w:rFonts w:cs="Arial"/>
          <w:b/>
          <w:szCs w:val="22"/>
          <w:lang w:val="es-ES"/>
        </w:rPr>
      </w:pPr>
      <w:r w:rsidRPr="00993936">
        <w:rPr>
          <w:rFonts w:cs="Arial"/>
          <w:b/>
          <w:szCs w:val="22"/>
          <w:lang w:val="es-ES"/>
        </w:rPr>
        <w:t>Cuaderno de conservación/poscosecha</w:t>
      </w:r>
    </w:p>
    <w:p w:rsidR="00412AFB" w:rsidRPr="00993936" w:rsidRDefault="00412AFB" w:rsidP="00412AFB">
      <w:pPr>
        <w:jc w:val="both"/>
        <w:rPr>
          <w:rFonts w:ascii="Arial" w:hAnsi="Arial" w:cs="Arial"/>
          <w:lang w:val="es-ES"/>
        </w:rPr>
      </w:pPr>
      <w:r w:rsidRPr="00993936">
        <w:rPr>
          <w:rFonts w:ascii="Arial" w:hAnsi="Arial" w:cs="Arial"/>
          <w:lang w:val="es-ES"/>
        </w:rPr>
        <w:t xml:space="preserve">30.1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30.1.1 El modelo de cuaderno de explotación es único en cuanto al contenido de los datos que deben registrarse, y será aprobado por el Departamento de Agricultura, Ganadería, Pesca y Alimentación.</w:t>
      </w:r>
    </w:p>
    <w:p w:rsidR="00412AFB" w:rsidRPr="00993936" w:rsidRDefault="00412AFB" w:rsidP="00412AFB">
      <w:pPr>
        <w:jc w:val="both"/>
        <w:rPr>
          <w:rFonts w:ascii="Arial" w:hAnsi="Arial" w:cs="Arial"/>
          <w:lang w:val="es-ES"/>
        </w:rPr>
      </w:pPr>
      <w:r w:rsidRPr="00993936">
        <w:rPr>
          <w:rFonts w:ascii="Arial" w:hAnsi="Arial" w:cs="Arial"/>
          <w:lang w:val="es-ES"/>
        </w:rPr>
        <w:t>30.1.2 El personal técnico responsable de conservación de productos de producción integrada se responsabilizará periódicamente, mediante su firma, de la conformidad de las anotaciones realizadas en el cuaderno de conservación para con el sistema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30.1.3 El cuaderno de conservación es obligatorio y estará siempre disponible para su inspección. Para la buena funcionalidad del sistema, las anotaciones de las operaciones deberán realizarse en el plazo máximo de los siete días siguientes a su ejecución.</w:t>
      </w:r>
    </w:p>
    <w:p w:rsidR="00412AFB" w:rsidRPr="00993936" w:rsidRDefault="00412AFB" w:rsidP="00412AFB">
      <w:pPr>
        <w:pStyle w:val="Ttulo2"/>
        <w:rPr>
          <w:rFonts w:ascii="Arial" w:hAnsi="Arial" w:cs="Arial"/>
          <w:color w:val="auto"/>
          <w:sz w:val="22"/>
          <w:szCs w:val="22"/>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31</w:t>
      </w:r>
    </w:p>
    <w:p w:rsidR="00412AFB" w:rsidRPr="00993936" w:rsidRDefault="00412AFB" w:rsidP="00412AFB">
      <w:pPr>
        <w:jc w:val="both"/>
        <w:rPr>
          <w:rFonts w:ascii="Arial" w:hAnsi="Arial" w:cs="Arial"/>
          <w:b/>
          <w:lang w:val="es-ES"/>
        </w:rPr>
      </w:pPr>
      <w:r w:rsidRPr="00993936">
        <w:rPr>
          <w:rFonts w:ascii="Arial" w:hAnsi="Arial" w:cs="Arial"/>
          <w:b/>
          <w:lang w:val="es-ES"/>
        </w:rPr>
        <w:t xml:space="preserve">Formación del personal </w:t>
      </w:r>
    </w:p>
    <w:p w:rsidR="00412AFB" w:rsidRPr="00993936" w:rsidRDefault="00412AFB" w:rsidP="00412AFB">
      <w:pPr>
        <w:jc w:val="both"/>
        <w:rPr>
          <w:rFonts w:ascii="Arial" w:hAnsi="Arial" w:cs="Arial"/>
          <w:lang w:val="es-ES"/>
        </w:rPr>
      </w:pPr>
      <w:r w:rsidRPr="00993936">
        <w:rPr>
          <w:rFonts w:ascii="Arial" w:hAnsi="Arial" w:cs="Arial"/>
          <w:lang w:val="es-ES"/>
        </w:rPr>
        <w:t xml:space="preserve">31.1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La empresa deberá fomentar la formación y proporcionar la que sea necesaria al personal implicado en la aplicación de esta norma y demás partes afectadas por su actividad. Por otro lado, todos los agentes que participen en la producción integrada deben tener una formación específica al respecto.</w:t>
      </w:r>
    </w:p>
    <w:p w:rsidR="00412AFB" w:rsidRPr="00993936" w:rsidRDefault="00412AFB" w:rsidP="00412AFB">
      <w:pPr>
        <w:pStyle w:val="Sangradetextonormal"/>
        <w:ind w:left="0"/>
        <w:rPr>
          <w:rFonts w:cs="Arial"/>
          <w:b/>
          <w:szCs w:val="22"/>
          <w:lang w:val="es-ES"/>
        </w:rPr>
      </w:pPr>
      <w:r w:rsidRPr="00993936">
        <w:rPr>
          <w:rFonts w:cs="Arial"/>
          <w:szCs w:val="22"/>
          <w:lang w:val="es-ES"/>
        </w:rPr>
        <w:t xml:space="preserve">31.1.1 </w:t>
      </w:r>
      <w:r w:rsidRPr="00993936">
        <w:rPr>
          <w:rFonts w:cs="Arial"/>
          <w:szCs w:val="22"/>
          <w:u w:val="single"/>
          <w:lang w:val="es-ES"/>
        </w:rPr>
        <w:t>Personal de la central hortofrutícola</w:t>
      </w:r>
      <w:r w:rsidRPr="00993936">
        <w:rPr>
          <w:rFonts w:cs="Arial"/>
          <w:b/>
          <w:szCs w:val="22"/>
          <w:lang w:val="es-ES"/>
        </w:rPr>
        <w:t xml:space="preserve"> </w:t>
      </w:r>
    </w:p>
    <w:p w:rsidR="00412AFB" w:rsidRPr="00993936" w:rsidRDefault="00412AFB" w:rsidP="00412AFB">
      <w:pPr>
        <w:pStyle w:val="Sangradetextonormal"/>
        <w:ind w:left="0"/>
        <w:rPr>
          <w:rFonts w:cs="Arial"/>
          <w:szCs w:val="22"/>
          <w:lang w:val="es-ES"/>
        </w:rPr>
      </w:pPr>
      <w:r w:rsidRPr="00993936">
        <w:rPr>
          <w:rFonts w:cs="Arial"/>
          <w:szCs w:val="22"/>
          <w:lang w:val="es-ES"/>
        </w:rPr>
        <w:t>La empresa debe asegurar la formación del personal de la central hortofrutícola en materia de buenas prácticas de higiene y manipulado, conservando un registro de los cursos impartidos.</w:t>
      </w:r>
    </w:p>
    <w:p w:rsidR="00412AFB" w:rsidRPr="00993936" w:rsidRDefault="00412AFB" w:rsidP="00412AFB">
      <w:pPr>
        <w:jc w:val="both"/>
        <w:rPr>
          <w:rFonts w:ascii="Arial" w:hAnsi="Arial" w:cs="Arial"/>
          <w:lang w:val="es-ES"/>
        </w:rPr>
      </w:pPr>
      <w:r w:rsidRPr="00993936">
        <w:rPr>
          <w:rFonts w:ascii="Arial" w:hAnsi="Arial" w:cs="Arial"/>
          <w:lang w:val="es-ES"/>
        </w:rPr>
        <w:t xml:space="preserve">31.1.2 </w:t>
      </w:r>
      <w:r w:rsidRPr="00993936">
        <w:rPr>
          <w:rFonts w:ascii="Arial" w:hAnsi="Arial" w:cs="Arial"/>
          <w:u w:val="single"/>
          <w:lang w:val="es-ES"/>
        </w:rPr>
        <w:t>Personal técnico competente</w:t>
      </w:r>
    </w:p>
    <w:p w:rsidR="00412AFB" w:rsidRPr="00993936" w:rsidRDefault="00412AFB" w:rsidP="00412AFB">
      <w:pPr>
        <w:jc w:val="both"/>
        <w:rPr>
          <w:rFonts w:ascii="Arial" w:hAnsi="Arial" w:cs="Arial"/>
          <w:lang w:val="es-ES"/>
        </w:rPr>
      </w:pPr>
      <w:r w:rsidRPr="00993936">
        <w:rPr>
          <w:rFonts w:ascii="Arial" w:hAnsi="Arial" w:cs="Arial"/>
          <w:lang w:val="es-ES"/>
        </w:rPr>
        <w:t>El personal técnico competente que participe en la producción integrada debe tener una formación universitaria de acuerdo con lo establecido en el artículo 11.1 del Decreto 241/2002 y acreditar una formación específica en producción integrada en virtud de lo que se establece en el artículo 24.1 del mencionado Decreto. Esta formación, en Cataluña, se regula por la Orden ARP/69/2003, de 14 de febrero (DOGC núm. 3832, de 27.02.2003), por los que se establecen y regulan los cursos de formación en producción integrada.</w:t>
      </w:r>
    </w:p>
    <w:p w:rsidR="00412AFB" w:rsidRPr="00993936" w:rsidRDefault="00412AFB" w:rsidP="00412AFB">
      <w:pPr>
        <w:jc w:val="both"/>
        <w:rPr>
          <w:rFonts w:ascii="Arial" w:hAnsi="Arial" w:cs="Arial"/>
          <w:i/>
          <w:lang w:val="es-ES"/>
        </w:rPr>
      </w:pPr>
      <w:r w:rsidRPr="00993936">
        <w:rPr>
          <w:rFonts w:ascii="Arial" w:hAnsi="Arial" w:cs="Arial"/>
          <w:lang w:val="es-ES"/>
        </w:rPr>
        <w:t xml:space="preserve">31.1.3 </w:t>
      </w:r>
      <w:r w:rsidRPr="00993936">
        <w:rPr>
          <w:rFonts w:ascii="Arial" w:hAnsi="Arial" w:cs="Arial"/>
          <w:u w:val="single"/>
          <w:lang w:val="es-ES"/>
        </w:rPr>
        <w:t xml:space="preserve">Operadores </w:t>
      </w:r>
      <w:r w:rsidRPr="00993936">
        <w:rPr>
          <w:rFonts w:ascii="Arial" w:hAnsi="Arial" w:cs="Arial"/>
          <w:i/>
          <w:u w:val="single"/>
          <w:lang w:val="es-ES"/>
        </w:rPr>
        <w:t>o personas operadoras</w:t>
      </w:r>
    </w:p>
    <w:p w:rsidR="00412AFB" w:rsidRPr="00993936" w:rsidRDefault="00412AFB" w:rsidP="00412AFB">
      <w:pPr>
        <w:jc w:val="both"/>
        <w:rPr>
          <w:rFonts w:ascii="Arial" w:hAnsi="Arial" w:cs="Arial"/>
          <w:lang w:val="es-ES"/>
        </w:rPr>
      </w:pPr>
      <w:r w:rsidRPr="00993936">
        <w:rPr>
          <w:rFonts w:ascii="Arial" w:hAnsi="Arial" w:cs="Arial"/>
          <w:lang w:val="es-ES"/>
        </w:rPr>
        <w:t xml:space="preserve">Todos los miembros del personal operador de producción integrada (productores y/o elaboradores) deben tener una formación específica en producción integrada, por lo que tienen que acreditar la realización de un curso de producción integrada impartido </w:t>
      </w:r>
      <w:r w:rsidRPr="00993936">
        <w:rPr>
          <w:rFonts w:ascii="Arial" w:hAnsi="Arial" w:cs="Arial"/>
          <w:lang w:val="es-ES"/>
        </w:rPr>
        <w:lastRenderedPageBreak/>
        <w:t>por la Administración pública o por alguna entidad reconocida, de acuerdo con lo establecido en el Decreto 241/2002 y la Orden ARP/69/2003, de 14 de febrero (DOGC núm. 3832, de 27.02.2003), por los que se establecen y regulan los cursos de formación en producción integrada.</w:t>
      </w:r>
    </w:p>
    <w:p w:rsidR="00412AFB" w:rsidRPr="00993936" w:rsidRDefault="00412AFB" w:rsidP="00412AFB">
      <w:pPr>
        <w:pStyle w:val="Ttulo1"/>
        <w:rPr>
          <w:rFonts w:ascii="Arial" w:hAnsi="Arial" w:cs="Arial"/>
          <w:color w:val="auto"/>
          <w:sz w:val="22"/>
          <w:szCs w:val="22"/>
        </w:rPr>
      </w:pPr>
      <w:r w:rsidRPr="00993936">
        <w:rPr>
          <w:rFonts w:ascii="Arial" w:hAnsi="Arial" w:cs="Arial"/>
          <w:color w:val="auto"/>
          <w:sz w:val="22"/>
          <w:szCs w:val="22"/>
        </w:rPr>
        <w:t xml:space="preserve">31.1.4 </w:t>
      </w:r>
      <w:r w:rsidRPr="00993936">
        <w:rPr>
          <w:rFonts w:ascii="Arial" w:hAnsi="Arial" w:cs="Arial"/>
          <w:color w:val="auto"/>
          <w:sz w:val="22"/>
          <w:szCs w:val="22"/>
          <w:u w:val="single"/>
        </w:rPr>
        <w:t>Persona encargada de manipular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La persona encargada de manipular productos fitosanitarios debe estar en posesión del carné de manipulador de nivel básico que la capacita para desarrollar su actividad, salvo las excepciones previstas en la legislación vigente.</w:t>
      </w:r>
    </w:p>
    <w:p w:rsidR="00412AFB" w:rsidRPr="00993936" w:rsidRDefault="00412AFB" w:rsidP="00412AFB">
      <w:pPr>
        <w:pStyle w:val="Ttulo2"/>
        <w:rPr>
          <w:rFonts w:ascii="Arial" w:hAnsi="Arial" w:cs="Arial"/>
          <w:color w:val="auto"/>
          <w:sz w:val="22"/>
          <w:szCs w:val="22"/>
          <w:lang w:val="es-ES"/>
        </w:rPr>
      </w:pPr>
    </w:p>
    <w:p w:rsidR="00412AFB" w:rsidRPr="00993936" w:rsidRDefault="00412AFB" w:rsidP="00412AFB">
      <w:pPr>
        <w:rPr>
          <w:rFonts w:ascii="Arial" w:hAnsi="Arial" w:cs="Arial"/>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IV. IDENTIFICACIÓN, TRAZABILIDAD Y COMERCIALIZACIÓN</w:t>
      </w:r>
    </w:p>
    <w:p w:rsidR="00412AFB" w:rsidRPr="00993936" w:rsidRDefault="00412AFB" w:rsidP="00412AFB">
      <w:pPr>
        <w:pStyle w:val="Ttulo6"/>
        <w:jc w:val="both"/>
        <w:rPr>
          <w:rFonts w:ascii="Arial" w:hAnsi="Arial" w:cs="Arial"/>
          <w:color w:val="auto"/>
          <w:lang w:val="es-ES"/>
        </w:rPr>
      </w:pPr>
      <w:r w:rsidRPr="00993936">
        <w:rPr>
          <w:rFonts w:ascii="Arial" w:hAnsi="Arial" w:cs="Arial"/>
          <w:color w:val="auto"/>
          <w:lang w:val="es-ES"/>
        </w:rPr>
        <w:t xml:space="preserve"> </w:t>
      </w:r>
    </w:p>
    <w:p w:rsidR="00412AFB" w:rsidRPr="00993936" w:rsidRDefault="00412AFB" w:rsidP="00412AFB">
      <w:pPr>
        <w:pStyle w:val="Ttulo6"/>
        <w:jc w:val="both"/>
        <w:rPr>
          <w:rFonts w:ascii="Arial" w:hAnsi="Arial" w:cs="Arial"/>
          <w:b/>
          <w:color w:val="auto"/>
          <w:lang w:val="es-ES"/>
        </w:rPr>
      </w:pPr>
      <w:r w:rsidRPr="00993936">
        <w:rPr>
          <w:rFonts w:ascii="Arial" w:hAnsi="Arial" w:cs="Arial"/>
          <w:color w:val="auto"/>
          <w:lang w:val="es-ES"/>
        </w:rPr>
        <w:t>Artículo 32</w:t>
      </w:r>
    </w:p>
    <w:p w:rsidR="00412AFB" w:rsidRPr="00993936" w:rsidRDefault="00412AFB" w:rsidP="00412AFB">
      <w:pPr>
        <w:pStyle w:val="Ttulo6"/>
        <w:jc w:val="both"/>
        <w:rPr>
          <w:rFonts w:ascii="Arial" w:hAnsi="Arial" w:cs="Arial"/>
          <w:b/>
          <w:color w:val="auto"/>
          <w:lang w:val="es-ES"/>
        </w:rPr>
      </w:pPr>
      <w:r w:rsidRPr="00993936">
        <w:rPr>
          <w:rFonts w:ascii="Arial" w:hAnsi="Arial" w:cs="Arial"/>
          <w:b/>
          <w:noProof/>
          <w:color w:val="auto"/>
          <w:lang w:val="es-ES" w:eastAsia="es-ES"/>
        </w:rPr>
        <mc:AlternateContent>
          <mc:Choice Requires="wps">
            <w:drawing>
              <wp:anchor distT="0" distB="0" distL="114300" distR="114300" simplePos="0" relativeHeight="251795456" behindDoc="0" locked="0" layoutInCell="1" allowOverlap="1">
                <wp:simplePos x="0" y="0"/>
                <wp:positionH relativeFrom="column">
                  <wp:posOffset>800100</wp:posOffset>
                </wp:positionH>
                <wp:positionV relativeFrom="paragraph">
                  <wp:posOffset>-2912110</wp:posOffset>
                </wp:positionV>
                <wp:extent cx="0" cy="0"/>
                <wp:effectExtent l="9525" t="12065" r="9525" b="6985"/>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6B67835" id="Conector recto 2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9.3pt" to="63pt,-2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787264" behindDoc="0" locked="0" layoutInCell="1" allowOverlap="1">
                <wp:simplePos x="0" y="0"/>
                <wp:positionH relativeFrom="column">
                  <wp:posOffset>5715000</wp:posOffset>
                </wp:positionH>
                <wp:positionV relativeFrom="paragraph">
                  <wp:posOffset>-3715385</wp:posOffset>
                </wp:positionV>
                <wp:extent cx="0" cy="0"/>
                <wp:effectExtent l="9525" t="8890" r="9525" b="10160"/>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BFB0D87" id="Conector recto 2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92.55pt" to="45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p3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"/>
            </w:pict>
          </mc:Fallback>
        </mc:AlternateContent>
      </w:r>
      <w:r w:rsidRPr="00993936">
        <w:rPr>
          <w:rFonts w:ascii="Arial" w:hAnsi="Arial" w:cs="Arial"/>
          <w:b/>
          <w:noProof/>
          <w:color w:val="auto"/>
          <w:lang w:val="es-ES" w:eastAsia="es-ES"/>
        </w:rPr>
        <mc:AlternateContent>
          <mc:Choice Requires="wps">
            <w:drawing>
              <wp:anchor distT="0" distB="0" distL="114300" distR="114300" simplePos="0" relativeHeight="251779072" behindDoc="0" locked="0" layoutInCell="1" allowOverlap="1">
                <wp:simplePos x="0" y="0"/>
                <wp:positionH relativeFrom="column">
                  <wp:posOffset>2286000</wp:posOffset>
                </wp:positionH>
                <wp:positionV relativeFrom="paragraph">
                  <wp:posOffset>-3715385</wp:posOffset>
                </wp:positionV>
                <wp:extent cx="0" cy="0"/>
                <wp:effectExtent l="9525" t="8890" r="9525" b="1016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16A2BBC" id="Conector recto 19"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292.55pt" to="180pt,-2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ZLEwIAAC4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"/>
            </w:pict>
          </mc:Fallback>
        </mc:AlternateContent>
      </w:r>
      <w:r w:rsidRPr="00993936">
        <w:rPr>
          <w:rFonts w:ascii="Arial" w:hAnsi="Arial" w:cs="Arial"/>
          <w:b/>
          <w:color w:val="auto"/>
          <w:lang w:val="es-ES"/>
        </w:rPr>
        <w:t>Identificación y trazabilidad</w:t>
      </w:r>
    </w:p>
    <w:p w:rsidR="00412AFB" w:rsidRPr="00993936" w:rsidRDefault="00412AFB" w:rsidP="00412AFB">
      <w:pPr>
        <w:jc w:val="both"/>
        <w:rPr>
          <w:rFonts w:ascii="Arial" w:hAnsi="Arial" w:cs="Arial"/>
          <w:lang w:val="es-ES"/>
        </w:rPr>
      </w:pPr>
      <w:r w:rsidRPr="00993936">
        <w:rPr>
          <w:rFonts w:ascii="Arial" w:hAnsi="Arial" w:cs="Arial"/>
          <w:lang w:val="es-ES"/>
        </w:rPr>
        <w:t xml:space="preserve">32.1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32.1.1 Formalizar una declaración de responsabilidad del agricultor que permita la identificación de los productos que proceden de parcelas acogidas a la producción integrada. En un plano o croquis de la parcela y/o UHC se justificará el conocimiento de la ubicación de los diferentes lotes del material vegetal utilizado.</w:t>
      </w:r>
    </w:p>
    <w:p w:rsidR="00412AFB" w:rsidRPr="00993936" w:rsidRDefault="00412AFB" w:rsidP="00412AFB">
      <w:pPr>
        <w:jc w:val="both"/>
        <w:rPr>
          <w:rFonts w:ascii="Arial" w:hAnsi="Arial" w:cs="Arial"/>
          <w:lang w:val="es-ES"/>
        </w:rPr>
      </w:pPr>
      <w:r w:rsidRPr="00993936">
        <w:rPr>
          <w:rFonts w:ascii="Arial" w:hAnsi="Arial" w:cs="Arial"/>
          <w:lang w:val="es-ES"/>
        </w:rPr>
        <w:t>32.1.2 En cada centro de recepción y/o manipulación ha de haber un albarán de control de entrada, donde figure el producto, la cantidad, la parcela de origen, la unidad homogénea de cultivo y la fecha de entrada, firmado por la persona que hace la entrega.</w:t>
      </w:r>
    </w:p>
    <w:p w:rsidR="00412AFB" w:rsidRPr="00993936" w:rsidRDefault="00412AFB" w:rsidP="00412AFB">
      <w:pPr>
        <w:jc w:val="both"/>
        <w:rPr>
          <w:rFonts w:ascii="Arial" w:hAnsi="Arial" w:cs="Arial"/>
          <w:lang w:val="es-ES"/>
        </w:rPr>
      </w:pPr>
      <w:r w:rsidRPr="00993936">
        <w:rPr>
          <w:rFonts w:ascii="Arial" w:hAnsi="Arial" w:cs="Arial"/>
          <w:lang w:val="es-ES"/>
        </w:rPr>
        <w:t>32.1.3 Las personas operadoras que no tengan la totalidad de la producción de cultivo sujeta a normas de producción integrada deberán cumplir los siguientes requisitos</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de otros orígenes. </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t>En caso de utilizar la misma línea de manipulación o confección para los dos tipos de producto, deberá quedar claramente definido el intervalo de tiempo durante el que se manipula cada tipo de producto, y ha de ser conocido por todo el personal implicado en el proceso.</w:t>
      </w:r>
    </w:p>
    <w:p w:rsidR="00412AFB" w:rsidRPr="00993936" w:rsidRDefault="00412AFB" w:rsidP="009D1A2D">
      <w:pPr>
        <w:numPr>
          <w:ilvl w:val="0"/>
          <w:numId w:val="192"/>
        </w:numPr>
        <w:spacing w:after="0" w:line="240" w:lineRule="auto"/>
        <w:jc w:val="both"/>
        <w:rPr>
          <w:rFonts w:ascii="Arial" w:hAnsi="Arial" w:cs="Arial"/>
          <w:lang w:val="es-ES"/>
        </w:rPr>
      </w:pPr>
      <w:r w:rsidRPr="00993936">
        <w:rPr>
          <w:rFonts w:ascii="Arial" w:hAnsi="Arial" w:cs="Arial"/>
          <w:lang w:val="es-ES"/>
        </w:rPr>
        <w:t>Antes de proceder a la manipulación del producto de producción integrada, las líneas de manipulación deben estar completamente limpias de productos de otros orígenes.</w:t>
      </w:r>
    </w:p>
    <w:p w:rsidR="00412AFB" w:rsidRPr="00993936" w:rsidRDefault="00412AFB" w:rsidP="00412AFB">
      <w:pPr>
        <w:jc w:val="both"/>
        <w:rPr>
          <w:rFonts w:ascii="Arial" w:hAnsi="Arial" w:cs="Arial"/>
          <w:lang w:val="es-ES"/>
        </w:rPr>
      </w:pPr>
      <w:r w:rsidRPr="00993936">
        <w:rPr>
          <w:rFonts w:ascii="Arial" w:hAnsi="Arial" w:cs="Arial"/>
          <w:lang w:val="es-ES"/>
        </w:rPr>
        <w:t>32.1.4 Los productos de producción integrada serán identificados y considerados, en cualquier momento del proceso técnico, administrativo y de comercialización, como diferentes en relación con el resto de los productos manipulados por la persona operadora.</w:t>
      </w:r>
    </w:p>
    <w:p w:rsidR="00412AFB" w:rsidRPr="00993936" w:rsidRDefault="00412AFB" w:rsidP="00412AFB">
      <w:pPr>
        <w:jc w:val="both"/>
        <w:rPr>
          <w:rFonts w:ascii="Arial" w:hAnsi="Arial" w:cs="Arial"/>
          <w:lang w:val="es-ES"/>
        </w:rPr>
      </w:pPr>
      <w:r w:rsidRPr="00993936">
        <w:rPr>
          <w:rFonts w:ascii="Arial" w:hAnsi="Arial" w:cs="Arial"/>
          <w:lang w:val="es-ES"/>
        </w:rPr>
        <w:t>32.1.5 Las cajas de campo y otros envases utilizados para la recolección o el transporte de productos de producción integrada deben estar claramente diferenciados de los empleados para otros productos.</w:t>
      </w:r>
    </w:p>
    <w:p w:rsidR="00412AFB" w:rsidRPr="00993936" w:rsidRDefault="00412AFB" w:rsidP="00412AFB">
      <w:pPr>
        <w:jc w:val="both"/>
        <w:rPr>
          <w:rFonts w:ascii="Arial" w:hAnsi="Arial" w:cs="Arial"/>
          <w:lang w:val="es-ES"/>
        </w:rPr>
      </w:pPr>
      <w:r w:rsidRPr="00993936">
        <w:rPr>
          <w:rFonts w:ascii="Arial" w:hAnsi="Arial" w:cs="Arial"/>
          <w:lang w:val="es-ES"/>
        </w:rPr>
        <w:t xml:space="preserve">32.2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32.2.1 Comercializar, como productos amparados por esta norma, los procedentes de unidades de cultivo que no cumplan las indicaciones de cultivo que establece la normativa de producción integrada en toda su producción.</w:t>
      </w:r>
    </w:p>
    <w:p w:rsidR="00412AFB" w:rsidRPr="00993936" w:rsidRDefault="00412AFB" w:rsidP="00412AFB">
      <w:pPr>
        <w:jc w:val="both"/>
        <w:rPr>
          <w:rFonts w:ascii="Arial" w:hAnsi="Arial" w:cs="Arial"/>
          <w:lang w:val="es-ES"/>
        </w:rPr>
      </w:pPr>
      <w:r w:rsidRPr="00993936">
        <w:rPr>
          <w:rFonts w:ascii="Arial" w:hAnsi="Arial" w:cs="Arial"/>
          <w:lang w:val="es-ES"/>
        </w:rPr>
        <w:t>32.2.2 La presencia de cajas, etiquetas o marcas comerciales de productos de producción integrada en parcelas y/o UHC que no estén acogidas a producción integrada.</w:t>
      </w:r>
    </w:p>
    <w:p w:rsidR="00412AFB" w:rsidRPr="00993936" w:rsidRDefault="00412AFB" w:rsidP="00412AFB">
      <w:pPr>
        <w:pStyle w:val="Ttulo6"/>
        <w:spacing w:before="120"/>
        <w:jc w:val="both"/>
        <w:rPr>
          <w:rFonts w:ascii="Arial" w:hAnsi="Arial" w:cs="Arial"/>
          <w:color w:val="auto"/>
          <w:lang w:val="es-ES"/>
        </w:rPr>
      </w:pPr>
    </w:p>
    <w:p w:rsidR="00412AFB" w:rsidRPr="00993936" w:rsidRDefault="00412AFB" w:rsidP="00412AFB">
      <w:pPr>
        <w:pStyle w:val="Ttulo6"/>
        <w:spacing w:before="120"/>
        <w:jc w:val="both"/>
        <w:rPr>
          <w:rFonts w:ascii="Arial" w:hAnsi="Arial" w:cs="Arial"/>
          <w:b/>
          <w:color w:val="auto"/>
          <w:lang w:val="es-ES"/>
        </w:rPr>
      </w:pPr>
      <w:r w:rsidRPr="00993936">
        <w:rPr>
          <w:rFonts w:ascii="Arial" w:hAnsi="Arial" w:cs="Arial"/>
          <w:color w:val="auto"/>
          <w:lang w:val="es-ES"/>
        </w:rPr>
        <w:t>Artículo 33</w:t>
      </w:r>
    </w:p>
    <w:p w:rsidR="00412AFB" w:rsidRPr="00993936" w:rsidRDefault="00412AFB" w:rsidP="00412AFB">
      <w:pPr>
        <w:pStyle w:val="Ttulo6"/>
        <w:jc w:val="both"/>
        <w:rPr>
          <w:rFonts w:ascii="Arial" w:hAnsi="Arial" w:cs="Arial"/>
          <w:b/>
          <w:color w:val="auto"/>
          <w:lang w:val="es-ES"/>
        </w:rPr>
      </w:pPr>
      <w:r w:rsidRPr="00993936">
        <w:rPr>
          <w:rFonts w:ascii="Arial" w:hAnsi="Arial" w:cs="Arial"/>
          <w:b/>
          <w:color w:val="auto"/>
          <w:lang w:val="es-ES"/>
        </w:rPr>
        <w:t>Control de calidad</w:t>
      </w:r>
    </w:p>
    <w:p w:rsidR="00412AFB" w:rsidRPr="00993936" w:rsidRDefault="00412AFB" w:rsidP="00412AFB">
      <w:pPr>
        <w:pStyle w:val="Encabezado"/>
        <w:tabs>
          <w:tab w:val="clear" w:pos="4252"/>
          <w:tab w:val="clear" w:pos="8504"/>
        </w:tabs>
        <w:jc w:val="both"/>
        <w:rPr>
          <w:rFonts w:ascii="Arial" w:hAnsi="Arial" w:cs="Arial"/>
          <w:i/>
          <w:lang w:val="es-ES"/>
        </w:rPr>
      </w:pPr>
      <w:r w:rsidRPr="00993936">
        <w:rPr>
          <w:rFonts w:ascii="Arial" w:hAnsi="Arial" w:cs="Arial"/>
          <w:i/>
          <w:lang w:val="es-ES"/>
        </w:rPr>
        <w:t>33.1 Obligaciones</w:t>
      </w:r>
    </w:p>
    <w:p w:rsidR="00412AFB" w:rsidRPr="00993936" w:rsidRDefault="00412AFB" w:rsidP="00412AFB">
      <w:pPr>
        <w:jc w:val="both"/>
        <w:rPr>
          <w:rFonts w:ascii="Arial" w:hAnsi="Arial" w:cs="Arial"/>
          <w:lang w:val="es-ES"/>
        </w:rPr>
      </w:pPr>
      <w:r w:rsidRPr="00993936">
        <w:rPr>
          <w:rFonts w:ascii="Arial" w:hAnsi="Arial" w:cs="Arial"/>
          <w:lang w:val="es-ES"/>
        </w:rPr>
        <w:t>33.1.1 La persona operadora debe tener definido e implantado un muestreo sistemático de la producción que sirva para comprobar que se cumplen las especificaciones de la legislación vigente referentes a la normalización comercial. Los parámetros que hay que comprobar son los especificados para cada producto en la legislación vigente de calidad de frutas y hortalizas (categoría, calibre, color, peso, etc.).</w:t>
      </w:r>
    </w:p>
    <w:p w:rsidR="00412AFB" w:rsidRPr="00993936" w:rsidRDefault="00412AFB" w:rsidP="00412AFB">
      <w:pPr>
        <w:jc w:val="both"/>
        <w:rPr>
          <w:rFonts w:ascii="Arial" w:hAnsi="Arial" w:cs="Arial"/>
          <w:lang w:val="es-ES"/>
        </w:rPr>
      </w:pPr>
      <w:r w:rsidRPr="00993936">
        <w:rPr>
          <w:rFonts w:ascii="Arial" w:hAnsi="Arial" w:cs="Arial"/>
          <w:lang w:val="es-ES"/>
        </w:rPr>
        <w:t>33.1.2 La persona operadora debe conservar los registros de los controles.</w:t>
      </w:r>
    </w:p>
    <w:p w:rsidR="00412AFB" w:rsidRPr="00993936" w:rsidRDefault="00412AFB" w:rsidP="00412AFB">
      <w:pPr>
        <w:pStyle w:val="Textoindependiente"/>
        <w:rPr>
          <w:rFonts w:cs="Arial"/>
          <w:szCs w:val="22"/>
          <w:lang w:val="es-ES"/>
        </w:rPr>
      </w:pPr>
      <w:r w:rsidRPr="00993936">
        <w:rPr>
          <w:rFonts w:cs="Arial"/>
          <w:szCs w:val="22"/>
          <w:lang w:val="es-ES"/>
        </w:rPr>
        <w:t>33.1.3 La persona operadora verificará el correcto funcionamiento del instrumental de medida.</w:t>
      </w:r>
    </w:p>
    <w:p w:rsidR="00412AFB" w:rsidRPr="00993936" w:rsidRDefault="00412AFB" w:rsidP="00412AFB">
      <w:pPr>
        <w:jc w:val="both"/>
        <w:rPr>
          <w:rFonts w:ascii="Arial" w:hAnsi="Arial" w:cs="Arial"/>
          <w:lang w:val="es-ES"/>
        </w:rPr>
      </w:pPr>
      <w:r w:rsidRPr="00993936">
        <w:rPr>
          <w:rFonts w:ascii="Arial" w:hAnsi="Arial" w:cs="Arial"/>
          <w:lang w:val="es-ES"/>
        </w:rPr>
        <w:t>33.1.4 Controlar de forma periódica la calidad y, específicamente, antes de la comercialización, teniendo en cuenta aspectos de muestreo y el tipo de determinación analítica que garantice la seguridad del consumidor.</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V. RESIDUOS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34</w:t>
      </w:r>
    </w:p>
    <w:p w:rsidR="00412AFB" w:rsidRPr="00993936" w:rsidRDefault="00412AFB" w:rsidP="00412AFB">
      <w:pPr>
        <w:jc w:val="both"/>
        <w:rPr>
          <w:rFonts w:ascii="Arial" w:hAnsi="Arial" w:cs="Arial"/>
          <w:b/>
          <w:lang w:val="es-ES"/>
        </w:rPr>
      </w:pPr>
      <w:r w:rsidRPr="00993936">
        <w:rPr>
          <w:rFonts w:ascii="Arial" w:hAnsi="Arial" w:cs="Arial"/>
          <w:b/>
          <w:lang w:val="es-ES"/>
        </w:rPr>
        <w:t>Gestión de los residuos</w:t>
      </w:r>
    </w:p>
    <w:p w:rsidR="00412AFB" w:rsidRPr="00993936" w:rsidRDefault="00412AFB" w:rsidP="00412AFB">
      <w:pPr>
        <w:jc w:val="both"/>
        <w:rPr>
          <w:rFonts w:ascii="Arial" w:hAnsi="Arial" w:cs="Arial"/>
          <w:i/>
          <w:lang w:val="es-ES"/>
        </w:rPr>
      </w:pPr>
      <w:r w:rsidRPr="00993936">
        <w:rPr>
          <w:rFonts w:ascii="Arial" w:hAnsi="Arial" w:cs="Arial"/>
          <w:lang w:val="es-ES"/>
        </w:rPr>
        <w:t xml:space="preserve">34.1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34.1.1 Reciclar adecuadamente los sustratos inertes, siempre que sea agronómicamente aconsejable.</w:t>
      </w:r>
    </w:p>
    <w:p w:rsidR="00412AFB" w:rsidRPr="00993936" w:rsidRDefault="00412AFB" w:rsidP="00412AFB">
      <w:pPr>
        <w:jc w:val="both"/>
        <w:rPr>
          <w:rFonts w:ascii="Arial" w:hAnsi="Arial" w:cs="Arial"/>
          <w:lang w:val="es-ES"/>
        </w:rPr>
      </w:pPr>
      <w:r w:rsidRPr="00993936">
        <w:rPr>
          <w:rFonts w:ascii="Arial" w:hAnsi="Arial" w:cs="Arial"/>
          <w:lang w:val="es-ES"/>
        </w:rPr>
        <w:t>34.1.2 Retirar para su reciclaje o, si procede, para hacer un vertido controlado, los plásticos de almohadillados, malla o cualquier otro material utilizado en las estructuras del cultivo, siempre que haya un sistema de gestión de estos residuos.</w:t>
      </w:r>
    </w:p>
    <w:p w:rsidR="00412AFB" w:rsidRPr="00993936" w:rsidRDefault="00412AFB" w:rsidP="00412AFB">
      <w:pPr>
        <w:jc w:val="both"/>
        <w:rPr>
          <w:rFonts w:ascii="Arial" w:hAnsi="Arial" w:cs="Arial"/>
          <w:lang w:val="es-ES"/>
        </w:rPr>
      </w:pPr>
      <w:r w:rsidRPr="00993936">
        <w:rPr>
          <w:rFonts w:ascii="Arial" w:hAnsi="Arial" w:cs="Arial"/>
          <w:lang w:val="es-ES"/>
        </w:rPr>
        <w:t>34.1.3 Retirar y almacenar los envases de los productos fitosanitarios y fertilizantes, una vez utilizados, hasta entregarlos a un gestor autorizado, de acuerdo con el Decreto 1416/2001, de 14 de diciembre, sobre envases de productos fitosanitarios.</w:t>
      </w:r>
    </w:p>
    <w:p w:rsidR="00412AFB" w:rsidRPr="00993936" w:rsidRDefault="00412AFB" w:rsidP="00412AFB">
      <w:pPr>
        <w:jc w:val="both"/>
        <w:rPr>
          <w:rFonts w:ascii="Arial" w:hAnsi="Arial" w:cs="Arial"/>
          <w:lang w:val="es-ES"/>
        </w:rPr>
      </w:pPr>
      <w:r w:rsidRPr="00993936">
        <w:rPr>
          <w:rFonts w:ascii="Arial" w:hAnsi="Arial" w:cs="Arial"/>
          <w:lang w:val="es-ES"/>
        </w:rPr>
        <w:t>34.1.4 Gestionar los productos fitosanitarios de rechazo mediante un gestor autorizado de residuos de productos químicos o a través de una compañía proveedora o cualquier otro método seguro para el medio.</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34.1.5 Establecer sistemas de recogida de aceites usados o de todo tipo de sustancias tóxicas y peligrosas que haya en la explotación, y asignarles el destino previsto en la legislación vigente.</w:t>
      </w:r>
    </w:p>
    <w:p w:rsidR="00412AFB" w:rsidRPr="00993936" w:rsidRDefault="00412AFB" w:rsidP="00412AFB">
      <w:pPr>
        <w:jc w:val="both"/>
        <w:rPr>
          <w:rFonts w:ascii="Arial" w:hAnsi="Arial" w:cs="Arial"/>
          <w:b/>
          <w:lang w:val="es-ES"/>
        </w:rPr>
      </w:pPr>
      <w:r w:rsidRPr="00993936">
        <w:rPr>
          <w:rFonts w:ascii="Arial" w:hAnsi="Arial" w:cs="Arial"/>
          <w:lang w:val="es-ES"/>
        </w:rPr>
        <w:t xml:space="preserve">34.2 </w:t>
      </w:r>
      <w:r w:rsidRPr="00993936">
        <w:rPr>
          <w:rFonts w:ascii="Arial" w:hAnsi="Arial" w:cs="Arial"/>
          <w:i/>
          <w:lang w:val="es-ES"/>
        </w:rPr>
        <w:t>Prohibiciones</w:t>
      </w:r>
    </w:p>
    <w:p w:rsidR="00412AFB" w:rsidRPr="00993936" w:rsidRDefault="00412AFB" w:rsidP="00412AFB">
      <w:pPr>
        <w:jc w:val="both"/>
        <w:rPr>
          <w:rFonts w:ascii="Arial" w:hAnsi="Arial" w:cs="Arial"/>
          <w:lang w:val="es-ES"/>
        </w:rPr>
      </w:pPr>
      <w:r w:rsidRPr="00993936">
        <w:rPr>
          <w:rFonts w:ascii="Arial" w:hAnsi="Arial" w:cs="Arial"/>
          <w:lang w:val="es-ES"/>
        </w:rPr>
        <w:t xml:space="preserve">34.2.1 Abandonar restos de plástico, envases y otros residuos en el interior o en los márgenes de la parcela y/o UHC. </w:t>
      </w:r>
    </w:p>
    <w:p w:rsidR="00412AFB" w:rsidRPr="00993936" w:rsidRDefault="00412AFB" w:rsidP="00412AFB">
      <w:pPr>
        <w:jc w:val="both"/>
        <w:rPr>
          <w:rFonts w:ascii="Arial" w:hAnsi="Arial" w:cs="Arial"/>
          <w:lang w:val="es-ES"/>
        </w:rPr>
      </w:pPr>
      <w:r w:rsidRPr="00993936">
        <w:rPr>
          <w:rFonts w:ascii="Arial" w:hAnsi="Arial" w:cs="Arial"/>
          <w:lang w:val="es-ES"/>
        </w:rPr>
        <w:t>34.2.2 Utilizar plásticos o mallas de las estructuras de cultivo, una vez retirados, para otros usos que supongan un riesgo para el cultivo, las personas o la fauna.</w:t>
      </w:r>
    </w:p>
    <w:p w:rsidR="00412AFB" w:rsidRPr="00993936" w:rsidRDefault="00412AFB" w:rsidP="00412AFB">
      <w:pPr>
        <w:jc w:val="both"/>
        <w:rPr>
          <w:rFonts w:ascii="Arial" w:hAnsi="Arial" w:cs="Arial"/>
          <w:lang w:val="es-ES"/>
        </w:rPr>
      </w:pPr>
      <w:r w:rsidRPr="00993936">
        <w:rPr>
          <w:rFonts w:ascii="Arial" w:hAnsi="Arial" w:cs="Arial"/>
          <w:lang w:val="es-ES"/>
        </w:rPr>
        <w:t>34.2.3 Destruir, mediante fuego u otros procedimientos, triturar o enterrar en la parcela y/o UHC o aledaños, los envases vacíos de los productos fitosanitarios y fertilizantes, los plásticos o las mallas de las estructuras de cultivo, excepto si se hace en lugares autorizados por la autoridad competente.</w:t>
      </w:r>
    </w:p>
    <w:p w:rsidR="00412AFB" w:rsidRPr="00993936" w:rsidRDefault="00412AFB" w:rsidP="00412AFB">
      <w:pPr>
        <w:jc w:val="both"/>
        <w:rPr>
          <w:rFonts w:ascii="Arial" w:hAnsi="Arial" w:cs="Arial"/>
          <w:lang w:val="es-ES"/>
        </w:rPr>
      </w:pPr>
      <w:r w:rsidRPr="00993936">
        <w:rPr>
          <w:rFonts w:ascii="Arial" w:hAnsi="Arial" w:cs="Arial"/>
          <w:lang w:val="es-ES"/>
        </w:rPr>
        <w:t>34.2.4 Depositar en cursos de agua, canales o embalses de agua, o dentro del perímetro de protección de captaciones de agua de consumo humano, los restos de caldo de los equipos de aplicación de productos fitosanitarios y lavarlos en esta zona.</w:t>
      </w:r>
    </w:p>
    <w:p w:rsidR="00412AFB" w:rsidRPr="00993936" w:rsidRDefault="00412AFB" w:rsidP="00412AFB">
      <w:pPr>
        <w:jc w:val="both"/>
        <w:rPr>
          <w:rFonts w:ascii="Arial" w:hAnsi="Arial" w:cs="Arial"/>
          <w:lang w:val="es-ES"/>
        </w:rPr>
      </w:pPr>
      <w:r w:rsidRPr="00993936">
        <w:rPr>
          <w:rFonts w:ascii="Arial" w:hAnsi="Arial" w:cs="Arial"/>
          <w:lang w:val="es-ES"/>
        </w:rPr>
        <w:t xml:space="preserve">34.2.5 Quemar restos vegetales de manera incontrolada, haciendo caso omiso de la normativa vigente que sea de aplicación. </w:t>
      </w:r>
    </w:p>
    <w:p w:rsidR="00412AFB" w:rsidRPr="00993936" w:rsidRDefault="00412AFB" w:rsidP="00412AFB">
      <w:pPr>
        <w:jc w:val="both"/>
        <w:rPr>
          <w:rFonts w:ascii="Arial" w:hAnsi="Arial" w:cs="Arial"/>
          <w:lang w:val="es-ES"/>
        </w:rPr>
      </w:pPr>
    </w:p>
    <w:p w:rsidR="00412AFB" w:rsidRPr="00993936" w:rsidRDefault="00412AFB" w:rsidP="00412A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35</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de residuos de productos fitosanitarios en vegetales</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35.1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35.1.1 La persona operadora debe disponer de un programa de autocontrol individual o colectivo para verificar la ausencia de residuos de productos fitosanitarios, mediante la toma de muestras correspondiente, garantizar que han sido utilizadas exclusivamente las sustancias activas autorizadas y comprobar que se cumple la normativa de aplicación y, si procede, la del estado de destino, en relación con los límites máximos de residuos de productos fitosanitarios. La planificación de la recogida de las muestras debe considerar especialmente la época de recolección y/o de manipulación.</w:t>
      </w: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NormalWeb"/>
        <w:spacing w:after="0"/>
        <w:jc w:val="both"/>
        <w:rPr>
          <w:rFonts w:ascii="Arial" w:hAnsi="Arial" w:cs="Arial"/>
          <w:sz w:val="22"/>
          <w:szCs w:val="22"/>
          <w:lang w:val="es-ES"/>
        </w:rPr>
      </w:pP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 xml:space="preserve">VI. PROTECCIÓN MEDIOAMBIENTAL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36</w:t>
      </w:r>
    </w:p>
    <w:p w:rsidR="00412AFB" w:rsidRPr="00993936" w:rsidRDefault="00412AFB" w:rsidP="00412AFB">
      <w:pPr>
        <w:jc w:val="both"/>
        <w:rPr>
          <w:rFonts w:ascii="Arial" w:hAnsi="Arial" w:cs="Arial"/>
          <w:b/>
          <w:lang w:val="es-ES"/>
        </w:rPr>
      </w:pPr>
      <w:r w:rsidRPr="00993936">
        <w:rPr>
          <w:rFonts w:ascii="Arial" w:hAnsi="Arial" w:cs="Arial"/>
          <w:b/>
          <w:lang w:val="es-ES"/>
        </w:rPr>
        <w:t>Protección medioambiental</w:t>
      </w:r>
    </w:p>
    <w:p w:rsidR="00412AFB" w:rsidRPr="00993936" w:rsidRDefault="00412AFB" w:rsidP="00412AFB">
      <w:pPr>
        <w:jc w:val="both"/>
        <w:rPr>
          <w:rFonts w:ascii="Arial" w:hAnsi="Arial" w:cs="Arial"/>
          <w:lang w:val="es-ES"/>
        </w:rPr>
      </w:pPr>
      <w:r w:rsidRPr="00993936">
        <w:rPr>
          <w:rFonts w:ascii="Arial" w:hAnsi="Arial" w:cs="Arial"/>
          <w:lang w:val="es-ES"/>
        </w:rPr>
        <w:t xml:space="preserve">36.1 </w:t>
      </w:r>
      <w:r w:rsidRPr="00993936">
        <w:rPr>
          <w:rFonts w:ascii="Arial" w:hAnsi="Arial" w:cs="Arial"/>
          <w:i/>
          <w:lang w:val="es-ES"/>
        </w:rPr>
        <w:t>Obligaciones</w:t>
      </w:r>
    </w:p>
    <w:p w:rsidR="00412AFB" w:rsidRPr="00993936" w:rsidRDefault="00412AFB" w:rsidP="00412AFB">
      <w:pPr>
        <w:pStyle w:val="Textoindependiente"/>
        <w:rPr>
          <w:rFonts w:cs="Arial"/>
          <w:szCs w:val="22"/>
          <w:lang w:val="es-ES"/>
        </w:rPr>
      </w:pPr>
      <w:r w:rsidRPr="00993936">
        <w:rPr>
          <w:rFonts w:cs="Arial"/>
          <w:szCs w:val="22"/>
          <w:lang w:val="es-ES"/>
        </w:rPr>
        <w:t>36.1.1 La empresa ha de cumplir con la política de conservación del entorno natural según la legislación medioambiental vigente.</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36.1.2 Disponer de medidas de prevención de vertido accidental de aceites, hidrocarburos u otros productos químicos peligrosos para el medio ambiente.</w:t>
      </w:r>
    </w:p>
    <w:p w:rsidR="00412AFB" w:rsidRPr="00993936" w:rsidRDefault="00412AFB" w:rsidP="00412AFB">
      <w:pPr>
        <w:jc w:val="both"/>
        <w:rPr>
          <w:rFonts w:ascii="Arial" w:hAnsi="Arial" w:cs="Arial"/>
          <w:lang w:val="es-ES"/>
        </w:rPr>
      </w:pPr>
      <w:r w:rsidRPr="00993936">
        <w:rPr>
          <w:rFonts w:ascii="Arial" w:hAnsi="Arial" w:cs="Arial"/>
          <w:lang w:val="es-ES"/>
        </w:rPr>
        <w:t>36.1.3 Implantar, de no existir, medidas de ahorro en el consumo de agua y de energía en las instalaciones y los procesos.</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lastRenderedPageBreak/>
        <w:t xml:space="preserve">VII. CONTROL Y CERTIFICACIÓN </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37</w:t>
      </w:r>
    </w:p>
    <w:p w:rsidR="00412AFB" w:rsidRPr="00993936" w:rsidRDefault="00412AFB" w:rsidP="00412AFB">
      <w:pPr>
        <w:jc w:val="both"/>
        <w:rPr>
          <w:rFonts w:ascii="Arial" w:hAnsi="Arial" w:cs="Arial"/>
          <w:b/>
          <w:lang w:val="es-ES"/>
        </w:rPr>
      </w:pPr>
      <w:r w:rsidRPr="00993936">
        <w:rPr>
          <w:rFonts w:ascii="Arial" w:hAnsi="Arial" w:cs="Arial"/>
          <w:b/>
          <w:lang w:val="es-ES"/>
        </w:rPr>
        <w:t>Tratamiento de no conformidades</w:t>
      </w:r>
    </w:p>
    <w:p w:rsidR="00412AFB" w:rsidRPr="00993936" w:rsidRDefault="00412AFB" w:rsidP="00412AFB">
      <w:pPr>
        <w:jc w:val="both"/>
        <w:rPr>
          <w:rFonts w:ascii="Arial" w:hAnsi="Arial" w:cs="Arial"/>
          <w:i/>
          <w:lang w:val="es-ES"/>
        </w:rPr>
      </w:pPr>
      <w:r w:rsidRPr="00993936">
        <w:rPr>
          <w:rFonts w:ascii="Arial" w:hAnsi="Arial" w:cs="Arial"/>
          <w:i/>
          <w:lang w:val="es-ES"/>
        </w:rPr>
        <w:t>37.1 Obligaciones</w:t>
      </w:r>
    </w:p>
    <w:p w:rsidR="00412AFB" w:rsidRPr="00993936" w:rsidRDefault="00412AFB" w:rsidP="00412AFB">
      <w:pPr>
        <w:jc w:val="both"/>
        <w:rPr>
          <w:rFonts w:ascii="Arial" w:hAnsi="Arial" w:cs="Arial"/>
          <w:lang w:val="es-ES"/>
        </w:rPr>
      </w:pPr>
      <w:r w:rsidRPr="00993936">
        <w:rPr>
          <w:rFonts w:ascii="Arial" w:hAnsi="Arial" w:cs="Arial"/>
          <w:lang w:val="es-ES"/>
        </w:rPr>
        <w:t>37.1.1 Cuando durante la realización de los controles internos o externos se detecte el incumplimiento total o parcial de alguna de las prácticas establecidas en esta norma como «obligatorias» o «prohibidas», las desviaciones detectadas deberán dejarse registradas con el epígrafe «no conformidad».</w:t>
      </w:r>
    </w:p>
    <w:p w:rsidR="00412AFB" w:rsidRPr="00993936" w:rsidRDefault="00412AFB" w:rsidP="00412AFB">
      <w:pPr>
        <w:jc w:val="both"/>
        <w:rPr>
          <w:rFonts w:ascii="Arial" w:hAnsi="Arial" w:cs="Arial"/>
          <w:lang w:val="es-ES"/>
        </w:rPr>
      </w:pPr>
      <w:r w:rsidRPr="00993936">
        <w:rPr>
          <w:rFonts w:ascii="Arial" w:hAnsi="Arial" w:cs="Arial"/>
          <w:lang w:val="es-ES"/>
        </w:rPr>
        <w:t>37.1.2 Establecer y documentar las acciones correctivas que procedan para dar el tratamiento adecuado a estas no conformidades, de forma que se eliminen sus efectos y las causas que las motivan y se impida una repetición futura.</w:t>
      </w:r>
    </w:p>
    <w:p w:rsidR="00412AFB" w:rsidRPr="00993936" w:rsidRDefault="00412AFB" w:rsidP="00412AFB">
      <w:pPr>
        <w:jc w:val="both"/>
        <w:rPr>
          <w:rFonts w:ascii="Arial" w:hAnsi="Arial" w:cs="Arial"/>
          <w:lang w:val="es-ES"/>
        </w:rPr>
      </w:pPr>
      <w:r w:rsidRPr="00993936">
        <w:rPr>
          <w:rFonts w:ascii="Arial" w:hAnsi="Arial" w:cs="Arial"/>
          <w:lang w:val="es-ES"/>
        </w:rPr>
        <w:t>37.1.3 El operador debe realizar el seguimiento de la implantación de las acciones correctivas y comprobar su efectividad antes de proceder al cierre de las no conformidades detectadas.</w:t>
      </w:r>
    </w:p>
    <w:p w:rsidR="00412AFB" w:rsidRPr="00993936" w:rsidRDefault="00412AFB" w:rsidP="00412AFB">
      <w:pPr>
        <w:pStyle w:val="Textoindependiente"/>
        <w:rPr>
          <w:rFonts w:cs="Arial"/>
          <w:szCs w:val="22"/>
          <w:lang w:val="es-ES"/>
        </w:rPr>
      </w:pPr>
      <w:r w:rsidRPr="00993936">
        <w:rPr>
          <w:rFonts w:cs="Arial"/>
          <w:szCs w:val="22"/>
          <w:lang w:val="es-ES"/>
        </w:rPr>
        <w:t>37.1.4 Siempre que se detecten no conformidades sobre las materias primas, productos en proceso y los productos finales obtenidos de los productos vegetales de producción integrada, deberán adoptarse las medidas adecuadas de identificación, trazabilidad y segregación de estos, de modo que se manifieste claramente su estado «no conforme» y se prevenga su utilización o comercialización de forma no intencionada como productos de producción integrada.</w:t>
      </w:r>
    </w:p>
    <w:p w:rsidR="00412AFB" w:rsidRPr="00993936" w:rsidRDefault="00412AFB" w:rsidP="00412AFB">
      <w:pPr>
        <w:pStyle w:val="Textoindependiente"/>
        <w:rPr>
          <w:rFonts w:cs="Arial"/>
          <w:szCs w:val="22"/>
          <w:lang w:val="es-ES"/>
        </w:rPr>
      </w:pPr>
    </w:p>
    <w:p w:rsidR="00412AFB" w:rsidRPr="00993936" w:rsidRDefault="00412AFB" w:rsidP="00412AFB">
      <w:pPr>
        <w:pStyle w:val="Textoindependiente"/>
        <w:rPr>
          <w:rFonts w:cs="Arial"/>
          <w:szCs w:val="22"/>
          <w:lang w:val="es-ES"/>
        </w:rPr>
      </w:pPr>
      <w:r w:rsidRPr="00993936">
        <w:rPr>
          <w:rFonts w:cs="Arial"/>
          <w:szCs w:val="22"/>
          <w:lang w:val="es-ES"/>
        </w:rPr>
        <w:t>Artículo 38</w:t>
      </w:r>
    </w:p>
    <w:p w:rsidR="00412AFB" w:rsidRPr="00993936" w:rsidRDefault="00412AFB" w:rsidP="00412A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412AFB" w:rsidRPr="00993936" w:rsidRDefault="00412AFB" w:rsidP="00412AFB">
      <w:pPr>
        <w:pStyle w:val="NormalWeb"/>
        <w:spacing w:after="0"/>
        <w:jc w:val="both"/>
        <w:rPr>
          <w:rFonts w:ascii="Arial" w:hAnsi="Arial" w:cs="Arial"/>
          <w:i/>
          <w:sz w:val="22"/>
          <w:szCs w:val="22"/>
          <w:lang w:val="es-ES"/>
        </w:rPr>
      </w:pPr>
      <w:r w:rsidRPr="00993936">
        <w:rPr>
          <w:rFonts w:ascii="Arial" w:hAnsi="Arial" w:cs="Arial"/>
          <w:i/>
          <w:sz w:val="22"/>
          <w:szCs w:val="22"/>
          <w:lang w:val="es-ES"/>
        </w:rPr>
        <w:t>38.1 Obligaciones</w:t>
      </w:r>
    </w:p>
    <w:p w:rsidR="00412AFB" w:rsidRPr="00993936" w:rsidRDefault="00412AFB" w:rsidP="00412AFB">
      <w:pPr>
        <w:pStyle w:val="NormalWeb"/>
        <w:spacing w:after="0"/>
        <w:jc w:val="both"/>
        <w:rPr>
          <w:rFonts w:ascii="Arial" w:hAnsi="Arial" w:cs="Arial"/>
          <w:sz w:val="22"/>
          <w:szCs w:val="22"/>
          <w:lang w:val="es-ES"/>
        </w:rPr>
      </w:pPr>
      <w:r w:rsidRPr="00993936">
        <w:rPr>
          <w:rFonts w:ascii="Arial" w:hAnsi="Arial" w:cs="Arial"/>
          <w:sz w:val="22"/>
          <w:szCs w:val="22"/>
          <w:lang w:val="es-ES"/>
        </w:rPr>
        <w:t>38.1.1 El control y la certificación del sistema de la producción integrada se regirá por lo que determina la Ley 14/2003, de 13 de junio, de calidad agroalimentaria; el Decreto 285/2006, de 4 de julio, por el que se desarrolla la Ley 14/2003; el Decreto 241/2002, de 8 de octubre, por el que se regula la producción integrada en Cataluña y la Orden ARP/208/2003, de 7 de mayo, por la que se aprueba el Reglamento de régimen interior del Consejo Catalán de la Producción Integrada.</w:t>
      </w:r>
    </w:p>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Artículo 39</w:t>
      </w:r>
    </w:p>
    <w:p w:rsidR="00412AFB" w:rsidRPr="00993936" w:rsidRDefault="00412AFB" w:rsidP="00412AFB">
      <w:pPr>
        <w:jc w:val="both"/>
        <w:rPr>
          <w:rFonts w:ascii="Arial" w:hAnsi="Arial" w:cs="Arial"/>
          <w:b/>
          <w:lang w:val="es-ES"/>
        </w:rPr>
      </w:pPr>
      <w:r w:rsidRPr="00993936">
        <w:rPr>
          <w:rFonts w:ascii="Arial" w:hAnsi="Arial" w:cs="Arial"/>
          <w:b/>
          <w:lang w:val="es-ES"/>
        </w:rPr>
        <w:t>Distintivo de garantía de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 xml:space="preserve">39.1 </w:t>
      </w:r>
      <w:r w:rsidRPr="00993936">
        <w:rPr>
          <w:rFonts w:ascii="Arial" w:hAnsi="Arial" w:cs="Arial"/>
          <w:i/>
          <w:lang w:val="es-ES"/>
        </w:rPr>
        <w:t>Obligaciones</w:t>
      </w:r>
    </w:p>
    <w:p w:rsidR="00412AFB" w:rsidRPr="00993936" w:rsidRDefault="00412AFB" w:rsidP="00412AFB">
      <w:pPr>
        <w:jc w:val="both"/>
        <w:rPr>
          <w:rFonts w:ascii="Arial" w:hAnsi="Arial" w:cs="Arial"/>
          <w:lang w:val="es-ES"/>
        </w:rPr>
      </w:pPr>
      <w:r w:rsidRPr="00993936">
        <w:rPr>
          <w:rFonts w:ascii="Arial" w:hAnsi="Arial" w:cs="Arial"/>
          <w:lang w:val="es-ES"/>
        </w:rPr>
        <w:t>39.1.1 Solo podrán utilizar el distintivo de garantía de producción integrada de Cataluña los productos que previamente hayan cumplido los requisitos establecidos en la normativa vigente de producción integrada y que, asimismo, hayan obtenido la certificación a través de una entidad de control y certificación.</w:t>
      </w:r>
    </w:p>
    <w:p w:rsidR="00412AFB" w:rsidRPr="00993936" w:rsidRDefault="00412AFB" w:rsidP="00412AFB">
      <w:pPr>
        <w:jc w:val="both"/>
        <w:rPr>
          <w:rFonts w:ascii="Arial" w:hAnsi="Arial" w:cs="Arial"/>
          <w:lang w:val="es-ES"/>
        </w:rPr>
      </w:pPr>
      <w:r w:rsidRPr="00993936">
        <w:rPr>
          <w:rFonts w:ascii="Arial" w:hAnsi="Arial" w:cs="Arial"/>
          <w:lang w:val="es-ES"/>
        </w:rPr>
        <w:t>39.1.2 La utilización del distintivo de garantía de producción integrada, en las etiquetas de los envases, frutos y otros lugares, se ajustará al sistema establecido por el libro de estilo del Consejo Catalán de la Producción Integrada.</w:t>
      </w:r>
    </w:p>
    <w:p w:rsidR="00412AFB" w:rsidRPr="00993936" w:rsidRDefault="00412AFB" w:rsidP="00412AFB">
      <w:pPr>
        <w:jc w:val="both"/>
        <w:rPr>
          <w:rFonts w:ascii="Arial" w:hAnsi="Arial" w:cs="Arial"/>
          <w:lang w:val="es-ES"/>
        </w:rPr>
      </w:pPr>
      <w:r w:rsidRPr="00993936">
        <w:rPr>
          <w:rFonts w:ascii="Arial" w:hAnsi="Arial" w:cs="Arial"/>
          <w:lang w:val="es-ES"/>
        </w:rPr>
        <w:t>39.1.3 La concesión del distintivo de garantía de producción integrada será concedido por el Consejo.</w:t>
      </w:r>
    </w:p>
    <w:p w:rsidR="00412AFB" w:rsidRPr="00993936" w:rsidRDefault="00412AFB" w:rsidP="00412AFB">
      <w:pPr>
        <w:jc w:val="both"/>
        <w:rPr>
          <w:rFonts w:ascii="Arial" w:hAnsi="Arial" w:cs="Arial"/>
          <w:lang w:val="es-ES"/>
        </w:rPr>
      </w:pPr>
      <w:r w:rsidRPr="00993936">
        <w:rPr>
          <w:rFonts w:ascii="Arial" w:hAnsi="Arial" w:cs="Arial"/>
          <w:lang w:val="es-ES"/>
        </w:rPr>
        <w:lastRenderedPageBreak/>
        <w:t xml:space="preserve">39.2 </w:t>
      </w:r>
      <w:r w:rsidRPr="00993936">
        <w:rPr>
          <w:rFonts w:ascii="Arial" w:hAnsi="Arial" w:cs="Arial"/>
          <w:i/>
          <w:lang w:val="es-ES"/>
        </w:rPr>
        <w:t>Prohibiciones</w:t>
      </w:r>
    </w:p>
    <w:p w:rsidR="00412AFB" w:rsidRPr="00993936" w:rsidRDefault="00412AFB" w:rsidP="00412AFB">
      <w:pPr>
        <w:pStyle w:val="Encabezado"/>
        <w:tabs>
          <w:tab w:val="clear" w:pos="4252"/>
          <w:tab w:val="clear" w:pos="8504"/>
        </w:tabs>
        <w:rPr>
          <w:rFonts w:ascii="Arial" w:hAnsi="Arial" w:cs="Arial"/>
          <w:lang w:val="es-ES"/>
        </w:rPr>
      </w:pPr>
      <w:r w:rsidRPr="00993936">
        <w:rPr>
          <w:rFonts w:ascii="Arial" w:hAnsi="Arial" w:cs="Arial"/>
          <w:lang w:val="es-ES"/>
        </w:rPr>
        <w:t>39.2.1 Utilizar del distintivo de garantía sin disponer de la preceptiva certificación.</w:t>
      </w:r>
    </w:p>
    <w:p w:rsidR="00412AFB" w:rsidRPr="00993936" w:rsidRDefault="00412AFB" w:rsidP="00412AFB">
      <w:pPr>
        <w:jc w:val="center"/>
        <w:rPr>
          <w:rFonts w:ascii="Arial" w:hAnsi="Arial" w:cs="Arial"/>
          <w:lang w:val="es-ES"/>
        </w:rPr>
      </w:pPr>
      <w:r w:rsidRPr="00993936">
        <w:rPr>
          <w:rFonts w:ascii="Arial" w:hAnsi="Arial" w:cs="Arial"/>
          <w:lang w:val="es-ES"/>
        </w:rPr>
        <w:t>.-.-.-.-.-.-.-.-.-.-.-.-.-.-.-.-.-.-.-.-.-.</w:t>
      </w:r>
    </w:p>
    <w:p w:rsidR="00412AFB" w:rsidRPr="00993936" w:rsidRDefault="00412AFB" w:rsidP="00412AFB">
      <w:pPr>
        <w:jc w:val="center"/>
        <w:rPr>
          <w:rFonts w:ascii="Arial" w:hAnsi="Arial" w:cs="Arial"/>
          <w:b/>
          <w:u w:val="single"/>
          <w:lang w:val="es-ES"/>
        </w:rPr>
      </w:pPr>
      <w:r w:rsidRPr="00993936">
        <w:rPr>
          <w:rFonts w:ascii="Arial" w:hAnsi="Arial" w:cs="Arial"/>
          <w:b/>
          <w:u w:val="single"/>
          <w:lang w:val="es-ES"/>
        </w:rPr>
        <w:br w:type="page"/>
      </w:r>
    </w:p>
    <w:p w:rsidR="00412AFB" w:rsidRPr="00993936" w:rsidRDefault="00412AFB" w:rsidP="00412AFB">
      <w:pPr>
        <w:rPr>
          <w:rFonts w:ascii="Arial" w:hAnsi="Arial" w:cs="Arial"/>
          <w:b/>
          <w:lang w:val="es-ES"/>
        </w:rPr>
      </w:pPr>
      <w:r w:rsidRPr="00993936">
        <w:rPr>
          <w:rFonts w:ascii="Arial" w:hAnsi="Arial" w:cs="Arial"/>
          <w:b/>
          <w:lang w:val="es-ES"/>
        </w:rPr>
        <w:lastRenderedPageBreak/>
        <w:t>ANEXO 1</w:t>
      </w: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 xml:space="preserve">1.1. Materias activas de fitorreguladores y de prevención de la fisiopatía del </w:t>
      </w:r>
      <w:r w:rsidRPr="00993936">
        <w:rPr>
          <w:rFonts w:ascii="Arial" w:hAnsi="Arial" w:cs="Arial"/>
          <w:b/>
          <w:i/>
          <w:snapToGrid w:val="0"/>
          <w:lang w:val="es-ES"/>
        </w:rPr>
        <w:t>russeting</w:t>
      </w:r>
      <w:r w:rsidRPr="00993936">
        <w:rPr>
          <w:rFonts w:ascii="Arial" w:hAnsi="Arial" w:cs="Arial"/>
          <w:b/>
          <w:snapToGrid w:val="0"/>
          <w:lang w:val="es-ES"/>
        </w:rPr>
        <w:t xml:space="preserve"> para la producción integrada de fruta de pepita.</w:t>
      </w: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1.1.1. Manzanas</w:t>
      </w:r>
    </w:p>
    <w:p w:rsidR="00412AFB" w:rsidRPr="00993936" w:rsidRDefault="00412AFB" w:rsidP="00412AFB">
      <w:pPr>
        <w:pStyle w:val="Ttulo3"/>
        <w:rPr>
          <w:rFonts w:ascii="Arial" w:hAnsi="Arial" w:cs="Arial"/>
          <w:b/>
          <w:snapToGrid w:val="0"/>
          <w:color w:val="auto"/>
          <w:szCs w:val="22"/>
          <w:lang w:val="es-ES"/>
        </w:rPr>
      </w:pPr>
      <w:r w:rsidRPr="00993936">
        <w:rPr>
          <w:rFonts w:ascii="Arial" w:hAnsi="Arial" w:cs="Arial"/>
          <w:snapToGrid w:val="0"/>
          <w:color w:val="auto"/>
          <w:szCs w:val="22"/>
          <w:lang w:val="es-ES"/>
        </w:rPr>
        <w:t xml:space="preserve">1.1.1.1. Materias activas de fitorreguladores para prevenir la fisiopatía del </w:t>
      </w:r>
      <w:r w:rsidRPr="00993936">
        <w:rPr>
          <w:rFonts w:ascii="Arial" w:hAnsi="Arial" w:cs="Arial"/>
          <w:i/>
          <w:snapToGrid w:val="0"/>
          <w:color w:val="auto"/>
          <w:szCs w:val="22"/>
          <w:lang w:val="es-ES"/>
        </w:rPr>
        <w:t>russeting</w:t>
      </w:r>
      <w:r w:rsidRPr="00993936">
        <w:rPr>
          <w:rFonts w:ascii="Arial" w:hAnsi="Arial" w:cs="Arial"/>
          <w:snapToGrid w:val="0"/>
          <w:color w:val="auto"/>
          <w:szCs w:val="22"/>
          <w:lang w:val="es-ES"/>
        </w:rPr>
        <w:t>.</w:t>
      </w:r>
    </w:p>
    <w:p w:rsidR="00412AFB" w:rsidRPr="00993936" w:rsidRDefault="00412AFB" w:rsidP="00412AFB">
      <w:pPr>
        <w:pStyle w:val="Textoindependiente2"/>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0"/>
        <w:gridCol w:w="3686"/>
        <w:gridCol w:w="3469"/>
      </w:tblGrid>
      <w:tr w:rsidR="00412AFB" w:rsidRPr="00993936" w:rsidTr="00C8678E">
        <w:trPr>
          <w:jc w:val="center"/>
        </w:trPr>
        <w:tc>
          <w:tcPr>
            <w:tcW w:w="1770" w:type="dxa"/>
            <w:shd w:val="pct12" w:color="auto" w:fill="FFFFFF"/>
          </w:tcPr>
          <w:p w:rsidR="00412AFB" w:rsidRPr="00993936" w:rsidRDefault="00412AFB" w:rsidP="00C8678E">
            <w:pPr>
              <w:pStyle w:val="Textoindependiente2"/>
              <w:jc w:val="center"/>
              <w:rPr>
                <w:rFonts w:cs="Arial"/>
                <w:sz w:val="22"/>
                <w:szCs w:val="22"/>
                <w:lang w:val="es-ES"/>
              </w:rPr>
            </w:pPr>
            <w:r w:rsidRPr="00993936">
              <w:rPr>
                <w:rFonts w:cs="Arial"/>
                <w:sz w:val="22"/>
                <w:szCs w:val="22"/>
                <w:lang w:val="es-ES"/>
              </w:rPr>
              <w:t>EFECTO</w:t>
            </w:r>
          </w:p>
        </w:tc>
        <w:tc>
          <w:tcPr>
            <w:tcW w:w="3686" w:type="dxa"/>
            <w:shd w:val="pct12" w:color="auto" w:fill="FFFFFF"/>
          </w:tcPr>
          <w:p w:rsidR="00412AFB" w:rsidRPr="00993936" w:rsidRDefault="00412AFB" w:rsidP="00C8678E">
            <w:pPr>
              <w:pStyle w:val="Textoindependiente2"/>
              <w:jc w:val="center"/>
              <w:rPr>
                <w:rFonts w:cs="Arial"/>
                <w:sz w:val="22"/>
                <w:szCs w:val="22"/>
                <w:lang w:val="es-ES"/>
              </w:rPr>
            </w:pPr>
            <w:r w:rsidRPr="00993936">
              <w:rPr>
                <w:rFonts w:cs="Arial"/>
                <w:sz w:val="22"/>
                <w:szCs w:val="22"/>
                <w:lang w:val="es-ES"/>
              </w:rPr>
              <w:t>MATERIA ACTIVA</w:t>
            </w:r>
          </w:p>
        </w:tc>
        <w:tc>
          <w:tcPr>
            <w:tcW w:w="3469" w:type="dxa"/>
            <w:shd w:val="pct12" w:color="auto" w:fill="FFFFFF"/>
          </w:tcPr>
          <w:p w:rsidR="00412AFB" w:rsidRPr="00993936" w:rsidRDefault="00412AFB" w:rsidP="00C8678E">
            <w:pPr>
              <w:pStyle w:val="Textoindependiente2"/>
              <w:jc w:val="center"/>
              <w:rPr>
                <w:rFonts w:cs="Arial"/>
                <w:sz w:val="22"/>
                <w:szCs w:val="22"/>
                <w:lang w:val="es-ES"/>
              </w:rPr>
            </w:pPr>
            <w:r w:rsidRPr="00993936">
              <w:rPr>
                <w:rFonts w:cs="Arial"/>
                <w:sz w:val="22"/>
                <w:szCs w:val="22"/>
                <w:lang w:val="es-ES"/>
              </w:rPr>
              <w:t>OBSERVACIONES</w:t>
            </w:r>
          </w:p>
        </w:tc>
      </w:tr>
      <w:tr w:rsidR="00412AFB" w:rsidRPr="00993936" w:rsidTr="00C8678E">
        <w:trPr>
          <w:cantSplit/>
          <w:jc w:val="center"/>
        </w:trPr>
        <w:tc>
          <w:tcPr>
            <w:tcW w:w="1770" w:type="dxa"/>
            <w:vAlign w:val="center"/>
          </w:tcPr>
          <w:p w:rsidR="00412AFB" w:rsidRPr="00993936" w:rsidRDefault="00412AFB" w:rsidP="00C8678E">
            <w:pPr>
              <w:pStyle w:val="Textoindependiente2"/>
              <w:rPr>
                <w:rFonts w:cs="Arial"/>
                <w:b/>
                <w:i/>
                <w:sz w:val="22"/>
                <w:szCs w:val="22"/>
                <w:lang w:val="es-ES"/>
              </w:rPr>
            </w:pPr>
            <w:r w:rsidRPr="00993936">
              <w:rPr>
                <w:rFonts w:cs="Arial"/>
                <w:b/>
                <w:i/>
                <w:sz w:val="22"/>
                <w:szCs w:val="22"/>
                <w:lang w:val="es-ES"/>
              </w:rPr>
              <w:t>Antirusseting</w:t>
            </w:r>
          </w:p>
        </w:tc>
        <w:tc>
          <w:tcPr>
            <w:tcW w:w="3686" w:type="dxa"/>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6-Benciladenina + Giberelinas A4/A7</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Giberelinas A4/A7</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Azufre (3)</w:t>
            </w:r>
          </w:p>
          <w:p w:rsidR="00412AFB" w:rsidRPr="00993936" w:rsidRDefault="00412AFB" w:rsidP="00C8678E">
            <w:pPr>
              <w:pStyle w:val="Textoindependiente2"/>
              <w:rPr>
                <w:rFonts w:cs="Arial"/>
                <w:b/>
                <w:sz w:val="22"/>
                <w:szCs w:val="22"/>
                <w:lang w:val="es-ES"/>
              </w:rPr>
            </w:pPr>
          </w:p>
        </w:tc>
        <w:tc>
          <w:tcPr>
            <w:tcW w:w="3469" w:type="dxa"/>
            <w:vMerge w:val="restart"/>
            <w:vAlign w:val="center"/>
          </w:tcPr>
          <w:p w:rsidR="00412AFB" w:rsidRPr="00993936" w:rsidRDefault="00412AFB" w:rsidP="009D1A2D">
            <w:pPr>
              <w:pStyle w:val="Textoindependiente2"/>
              <w:numPr>
                <w:ilvl w:val="0"/>
                <w:numId w:val="47"/>
              </w:numPr>
              <w:jc w:val="both"/>
              <w:rPr>
                <w:rFonts w:cs="Arial"/>
                <w:b/>
                <w:sz w:val="22"/>
                <w:szCs w:val="22"/>
                <w:lang w:val="es-ES"/>
              </w:rPr>
            </w:pPr>
            <w:r w:rsidRPr="00993936">
              <w:rPr>
                <w:rFonts w:cs="Arial"/>
                <w:b/>
                <w:sz w:val="22"/>
                <w:szCs w:val="22"/>
                <w:lang w:val="es-ES"/>
              </w:rPr>
              <w:t>Aplicado antes de la cosecha para evitar la caída prematura de los frutos.</w:t>
            </w:r>
          </w:p>
          <w:p w:rsidR="00412AFB" w:rsidRPr="00993936" w:rsidRDefault="00412AFB" w:rsidP="009D1A2D">
            <w:pPr>
              <w:pStyle w:val="Textoindependiente2"/>
              <w:numPr>
                <w:ilvl w:val="0"/>
                <w:numId w:val="47"/>
              </w:numPr>
              <w:jc w:val="both"/>
              <w:rPr>
                <w:rFonts w:cs="Arial"/>
                <w:b/>
                <w:sz w:val="22"/>
                <w:szCs w:val="22"/>
                <w:lang w:val="es-ES"/>
              </w:rPr>
            </w:pPr>
            <w:r w:rsidRPr="00993936">
              <w:rPr>
                <w:rFonts w:cs="Arial"/>
                <w:b/>
                <w:sz w:val="22"/>
                <w:szCs w:val="22"/>
                <w:lang w:val="es-ES"/>
              </w:rPr>
              <w:t>Aplicado durante el periodo floral y posfloral para evitar purgas y mal cuajado.</w:t>
            </w:r>
          </w:p>
          <w:p w:rsidR="00412AFB" w:rsidRPr="00993936" w:rsidRDefault="00412AFB" w:rsidP="009D1A2D">
            <w:pPr>
              <w:pStyle w:val="Textoindependiente2"/>
              <w:numPr>
                <w:ilvl w:val="0"/>
                <w:numId w:val="47"/>
              </w:numPr>
              <w:jc w:val="both"/>
              <w:rPr>
                <w:rFonts w:cs="Arial"/>
                <w:b/>
                <w:sz w:val="22"/>
                <w:szCs w:val="22"/>
                <w:lang w:val="es-ES"/>
              </w:rPr>
            </w:pPr>
            <w:r w:rsidRPr="00993936">
              <w:rPr>
                <w:rFonts w:cs="Arial"/>
                <w:b/>
                <w:sz w:val="22"/>
                <w:szCs w:val="22"/>
                <w:lang w:val="es-ES"/>
              </w:rPr>
              <w:t>Solo AUTORIZADO por variedades del grupo Golden</w:t>
            </w:r>
          </w:p>
          <w:p w:rsidR="00412AFB" w:rsidRPr="00993936" w:rsidRDefault="00412AFB" w:rsidP="00C8678E">
            <w:pPr>
              <w:pStyle w:val="Textoindependiente2"/>
              <w:rPr>
                <w:rFonts w:cs="Arial"/>
                <w:b/>
                <w:sz w:val="22"/>
                <w:szCs w:val="22"/>
                <w:lang w:val="es-ES"/>
              </w:rPr>
            </w:pPr>
          </w:p>
          <w:p w:rsidR="00412AFB" w:rsidRPr="00993936" w:rsidRDefault="00412AFB" w:rsidP="00C8678E">
            <w:pPr>
              <w:pStyle w:val="Textoindependiente2"/>
              <w:rPr>
                <w:rFonts w:cs="Arial"/>
                <w:b/>
                <w:sz w:val="22"/>
                <w:szCs w:val="22"/>
                <w:lang w:val="es-ES"/>
              </w:rPr>
            </w:pPr>
            <w:r w:rsidRPr="00993936">
              <w:rPr>
                <w:rFonts w:cs="Arial"/>
                <w:b/>
                <w:sz w:val="22"/>
                <w:szCs w:val="22"/>
                <w:lang w:val="es-ES"/>
              </w:rPr>
              <w:t>(*) El LMR coincide con LD</w:t>
            </w:r>
          </w:p>
          <w:p w:rsidR="00412AFB" w:rsidRPr="00993936" w:rsidRDefault="00412AFB" w:rsidP="00C8678E">
            <w:pPr>
              <w:pStyle w:val="Textoindependiente2"/>
              <w:rPr>
                <w:rFonts w:cs="Arial"/>
                <w:b/>
                <w:sz w:val="22"/>
                <w:szCs w:val="22"/>
                <w:lang w:val="es-ES"/>
              </w:rPr>
            </w:pPr>
          </w:p>
        </w:tc>
      </w:tr>
      <w:tr w:rsidR="00412AFB" w:rsidRPr="00993936" w:rsidTr="00C8678E">
        <w:trPr>
          <w:cantSplit/>
          <w:jc w:val="center"/>
        </w:trPr>
        <w:tc>
          <w:tcPr>
            <w:tcW w:w="1770" w:type="dxa"/>
            <w:vAlign w:val="center"/>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Aclareo</w:t>
            </w:r>
          </w:p>
        </w:tc>
        <w:tc>
          <w:tcPr>
            <w:tcW w:w="3686" w:type="dxa"/>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ANA</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ANA-Amida</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6-Benziladenina</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Metamitrona</w:t>
            </w:r>
          </w:p>
          <w:p w:rsidR="00412AFB" w:rsidRPr="00993936" w:rsidRDefault="00412AFB" w:rsidP="00C8678E">
            <w:pPr>
              <w:pStyle w:val="Textoindependiente2"/>
              <w:rPr>
                <w:rFonts w:cs="Arial"/>
                <w:b/>
                <w:sz w:val="22"/>
                <w:szCs w:val="22"/>
                <w:lang w:val="es-ES"/>
              </w:rPr>
            </w:pPr>
          </w:p>
        </w:tc>
        <w:tc>
          <w:tcPr>
            <w:tcW w:w="3469" w:type="dxa"/>
            <w:vMerge/>
            <w:vAlign w:val="center"/>
          </w:tcPr>
          <w:p w:rsidR="00412AFB" w:rsidRPr="00993936" w:rsidRDefault="00412AFB" w:rsidP="00C8678E">
            <w:pPr>
              <w:pStyle w:val="Textoindependiente2"/>
              <w:rPr>
                <w:rFonts w:cs="Arial"/>
                <w:b/>
                <w:sz w:val="22"/>
                <w:szCs w:val="22"/>
                <w:lang w:val="es-ES"/>
              </w:rPr>
            </w:pPr>
          </w:p>
        </w:tc>
      </w:tr>
      <w:tr w:rsidR="00412AFB" w:rsidRPr="00993936" w:rsidTr="00C8678E">
        <w:trPr>
          <w:cantSplit/>
          <w:jc w:val="center"/>
        </w:trPr>
        <w:tc>
          <w:tcPr>
            <w:tcW w:w="1770" w:type="dxa"/>
            <w:vAlign w:val="center"/>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Anticaída</w:t>
            </w:r>
          </w:p>
        </w:tc>
        <w:tc>
          <w:tcPr>
            <w:tcW w:w="3686" w:type="dxa"/>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ANA (1)</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ANA ANA-Amida (2)</w:t>
            </w:r>
          </w:p>
          <w:p w:rsidR="00412AFB" w:rsidRPr="00993936" w:rsidRDefault="00412AFB" w:rsidP="00C8678E">
            <w:pPr>
              <w:pStyle w:val="Textoindependiente2"/>
              <w:rPr>
                <w:rFonts w:cs="Arial"/>
                <w:b/>
                <w:sz w:val="22"/>
                <w:szCs w:val="22"/>
                <w:lang w:val="es-ES"/>
              </w:rPr>
            </w:pPr>
          </w:p>
        </w:tc>
        <w:tc>
          <w:tcPr>
            <w:tcW w:w="3469" w:type="dxa"/>
            <w:vMerge/>
            <w:vAlign w:val="center"/>
          </w:tcPr>
          <w:p w:rsidR="00412AFB" w:rsidRPr="00993936" w:rsidRDefault="00412AFB" w:rsidP="00C8678E">
            <w:pPr>
              <w:pStyle w:val="Textoindependiente2"/>
              <w:rPr>
                <w:rFonts w:cs="Arial"/>
                <w:b/>
                <w:sz w:val="22"/>
                <w:szCs w:val="22"/>
                <w:lang w:val="es-ES"/>
              </w:rPr>
            </w:pPr>
          </w:p>
        </w:tc>
      </w:tr>
      <w:tr w:rsidR="00412AFB" w:rsidRPr="00993936" w:rsidTr="00C8678E">
        <w:trPr>
          <w:cantSplit/>
          <w:jc w:val="center"/>
        </w:trPr>
        <w:tc>
          <w:tcPr>
            <w:tcW w:w="1770" w:type="dxa"/>
          </w:tcPr>
          <w:p w:rsidR="00412AFB" w:rsidRPr="00993936" w:rsidRDefault="00412AFB" w:rsidP="00C8678E">
            <w:pPr>
              <w:pStyle w:val="Textoindependiente2"/>
              <w:rPr>
                <w:rFonts w:cs="Arial"/>
                <w:b/>
                <w:sz w:val="22"/>
                <w:szCs w:val="22"/>
                <w:lang w:val="es-ES"/>
              </w:rPr>
            </w:pPr>
          </w:p>
          <w:p w:rsidR="00412AFB" w:rsidRPr="00993936" w:rsidRDefault="00412AFB" w:rsidP="00C8678E">
            <w:pPr>
              <w:pStyle w:val="Textoindependiente2"/>
              <w:rPr>
                <w:rFonts w:cs="Arial"/>
                <w:b/>
                <w:sz w:val="22"/>
                <w:szCs w:val="22"/>
                <w:lang w:val="es-ES"/>
              </w:rPr>
            </w:pPr>
            <w:r w:rsidRPr="00993936">
              <w:rPr>
                <w:rFonts w:cs="Arial"/>
                <w:b/>
                <w:sz w:val="22"/>
                <w:szCs w:val="22"/>
                <w:lang w:val="es-ES"/>
              </w:rPr>
              <w:t>Control de vigor</w:t>
            </w:r>
          </w:p>
        </w:tc>
        <w:tc>
          <w:tcPr>
            <w:tcW w:w="3686" w:type="dxa"/>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Prohexadiona de calcio (*)</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 xml:space="preserve">Paclobutrazol </w:t>
            </w:r>
          </w:p>
          <w:p w:rsidR="00412AFB" w:rsidRPr="00993936" w:rsidRDefault="00412AFB" w:rsidP="00C8678E">
            <w:pPr>
              <w:pStyle w:val="Textoindependiente2"/>
              <w:rPr>
                <w:rFonts w:cs="Arial"/>
                <w:b/>
                <w:sz w:val="22"/>
                <w:szCs w:val="22"/>
                <w:lang w:val="es-ES"/>
              </w:rPr>
            </w:pPr>
          </w:p>
        </w:tc>
        <w:tc>
          <w:tcPr>
            <w:tcW w:w="3469" w:type="dxa"/>
            <w:vMerge/>
          </w:tcPr>
          <w:p w:rsidR="00412AFB" w:rsidRPr="00993936" w:rsidRDefault="00412AFB" w:rsidP="00C8678E">
            <w:pPr>
              <w:pStyle w:val="Textoindependiente2"/>
              <w:rPr>
                <w:rFonts w:cs="Arial"/>
                <w:b/>
                <w:sz w:val="22"/>
                <w:szCs w:val="22"/>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962CCD">
      <w:pPr>
        <w:jc w:val="both"/>
        <w:rPr>
          <w:rFonts w:ascii="Arial" w:hAnsi="Arial" w:cs="Arial"/>
          <w:b/>
          <w:snapToGrid w:val="0"/>
          <w:lang w:val="es-ES"/>
        </w:rPr>
      </w:pPr>
      <w:r w:rsidRPr="00993936">
        <w:rPr>
          <w:rFonts w:ascii="Arial" w:hAnsi="Arial" w:cs="Arial"/>
          <w:b/>
          <w:snapToGrid w:val="0"/>
          <w:lang w:val="es-ES"/>
        </w:rPr>
        <w:t>1.1.2. Peras</w:t>
      </w:r>
    </w:p>
    <w:p w:rsidR="00412AFB" w:rsidRPr="00993936" w:rsidRDefault="00412AFB" w:rsidP="00412AFB">
      <w:pPr>
        <w:jc w:val="both"/>
        <w:rPr>
          <w:rFonts w:ascii="Arial" w:hAnsi="Arial" w:cs="Arial"/>
          <w:b/>
          <w:snapToGrid w:val="0"/>
          <w:lang w:val="es-ES"/>
        </w:rPr>
      </w:pPr>
    </w:p>
    <w:p w:rsidR="00412AFB" w:rsidRPr="00993936" w:rsidRDefault="00412AFB" w:rsidP="00962CCD">
      <w:pPr>
        <w:jc w:val="both"/>
        <w:rPr>
          <w:rFonts w:ascii="Arial" w:hAnsi="Arial" w:cs="Arial"/>
          <w:b/>
          <w:snapToGrid w:val="0"/>
          <w:lang w:val="es-ES"/>
        </w:rPr>
      </w:pPr>
      <w:r w:rsidRPr="00993936">
        <w:rPr>
          <w:rFonts w:ascii="Arial" w:hAnsi="Arial" w:cs="Arial"/>
          <w:b/>
          <w:snapToGrid w:val="0"/>
          <w:lang w:val="es-ES"/>
        </w:rPr>
        <w:t>1.1.2.1. Materias activas de fitorreguladores</w:t>
      </w:r>
    </w:p>
    <w:p w:rsidR="00412AFB" w:rsidRPr="00993936" w:rsidRDefault="00412AFB" w:rsidP="00412AFB">
      <w:pPr>
        <w:pStyle w:val="Ttulo2"/>
        <w:rPr>
          <w:rFonts w:ascii="Arial" w:hAnsi="Arial" w:cs="Arial"/>
          <w:snapToGrid w:val="0"/>
          <w:color w:val="auto"/>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2"/>
        <w:gridCol w:w="3686"/>
        <w:gridCol w:w="3480"/>
      </w:tblGrid>
      <w:tr w:rsidR="00412AFB" w:rsidRPr="00993936" w:rsidTr="00C8678E">
        <w:trPr>
          <w:jc w:val="center"/>
        </w:trPr>
        <w:tc>
          <w:tcPr>
            <w:tcW w:w="1782" w:type="dxa"/>
            <w:shd w:val="pct12" w:color="auto" w:fill="FFFFFF"/>
          </w:tcPr>
          <w:p w:rsidR="00412AFB" w:rsidRPr="00993936" w:rsidRDefault="00412AFB" w:rsidP="00C8678E">
            <w:pPr>
              <w:pStyle w:val="Textoindependiente2"/>
              <w:jc w:val="center"/>
              <w:rPr>
                <w:rFonts w:cs="Arial"/>
                <w:sz w:val="22"/>
                <w:szCs w:val="22"/>
                <w:lang w:val="es-ES"/>
              </w:rPr>
            </w:pPr>
            <w:r w:rsidRPr="00993936">
              <w:rPr>
                <w:rFonts w:cs="Arial"/>
                <w:sz w:val="22"/>
                <w:szCs w:val="22"/>
                <w:lang w:val="es-ES"/>
              </w:rPr>
              <w:t>EFECTO</w:t>
            </w:r>
          </w:p>
        </w:tc>
        <w:tc>
          <w:tcPr>
            <w:tcW w:w="3686" w:type="dxa"/>
            <w:shd w:val="pct12" w:color="auto" w:fill="FFFFFF"/>
          </w:tcPr>
          <w:p w:rsidR="00412AFB" w:rsidRPr="00993936" w:rsidRDefault="00412AFB" w:rsidP="00C8678E">
            <w:pPr>
              <w:pStyle w:val="Textoindependiente2"/>
              <w:jc w:val="center"/>
              <w:rPr>
                <w:rFonts w:cs="Arial"/>
                <w:sz w:val="22"/>
                <w:szCs w:val="22"/>
                <w:lang w:val="es-ES"/>
              </w:rPr>
            </w:pPr>
            <w:r w:rsidRPr="00993936">
              <w:rPr>
                <w:rFonts w:cs="Arial"/>
                <w:sz w:val="22"/>
                <w:szCs w:val="22"/>
                <w:lang w:val="es-ES"/>
              </w:rPr>
              <w:t>MATERIA ACTIVA</w:t>
            </w:r>
          </w:p>
        </w:tc>
        <w:tc>
          <w:tcPr>
            <w:tcW w:w="3480" w:type="dxa"/>
            <w:shd w:val="pct12" w:color="auto" w:fill="FFFFFF"/>
          </w:tcPr>
          <w:p w:rsidR="00412AFB" w:rsidRPr="00993936" w:rsidRDefault="00412AFB" w:rsidP="00C8678E">
            <w:pPr>
              <w:pStyle w:val="Textoindependiente2"/>
              <w:jc w:val="center"/>
              <w:rPr>
                <w:rFonts w:cs="Arial"/>
                <w:sz w:val="22"/>
                <w:szCs w:val="22"/>
                <w:lang w:val="es-ES"/>
              </w:rPr>
            </w:pPr>
            <w:r w:rsidRPr="00993936">
              <w:rPr>
                <w:rFonts w:cs="Arial"/>
                <w:sz w:val="22"/>
                <w:szCs w:val="22"/>
                <w:lang w:val="es-ES"/>
              </w:rPr>
              <w:t>OBSERVACIONES</w:t>
            </w:r>
          </w:p>
        </w:tc>
      </w:tr>
      <w:tr w:rsidR="00412AFB" w:rsidRPr="00993936" w:rsidTr="00C8678E">
        <w:trPr>
          <w:cantSplit/>
          <w:jc w:val="center"/>
        </w:trPr>
        <w:tc>
          <w:tcPr>
            <w:tcW w:w="1782" w:type="dxa"/>
            <w:vAlign w:val="center"/>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Cuajado</w:t>
            </w:r>
          </w:p>
        </w:tc>
        <w:tc>
          <w:tcPr>
            <w:tcW w:w="3686" w:type="dxa"/>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6-Benciladenina + Giberelinas A4/A7</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Ácido giberélico (*) (3)</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Ácido giberélico + MCPA ácido</w:t>
            </w:r>
          </w:p>
        </w:tc>
        <w:tc>
          <w:tcPr>
            <w:tcW w:w="3480" w:type="dxa"/>
            <w:vMerge w:val="restart"/>
            <w:vAlign w:val="center"/>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 Dosis máxima 5 g de ma/ha y año. En caso de heladas, la cantidad máxima puede incrementar en 5 g de ma/ha y año</w:t>
            </w:r>
          </w:p>
          <w:p w:rsidR="00412AFB" w:rsidRPr="00993936" w:rsidRDefault="00412AFB" w:rsidP="00C8678E">
            <w:pPr>
              <w:pStyle w:val="Textoindependiente2"/>
              <w:rPr>
                <w:rFonts w:cs="Arial"/>
                <w:b/>
                <w:sz w:val="22"/>
                <w:szCs w:val="22"/>
                <w:lang w:val="es-ES"/>
              </w:rPr>
            </w:pPr>
          </w:p>
          <w:p w:rsidR="00412AFB" w:rsidRPr="00993936" w:rsidRDefault="00412AFB" w:rsidP="009D1A2D">
            <w:pPr>
              <w:pStyle w:val="Textoindependiente2"/>
              <w:numPr>
                <w:ilvl w:val="0"/>
                <w:numId w:val="48"/>
              </w:numPr>
              <w:jc w:val="both"/>
              <w:rPr>
                <w:rFonts w:cs="Arial"/>
                <w:b/>
                <w:sz w:val="22"/>
                <w:szCs w:val="22"/>
                <w:lang w:val="es-ES"/>
              </w:rPr>
            </w:pPr>
            <w:r w:rsidRPr="00993936">
              <w:rPr>
                <w:rFonts w:cs="Arial"/>
                <w:b/>
                <w:sz w:val="22"/>
                <w:szCs w:val="22"/>
                <w:lang w:val="es-ES"/>
              </w:rPr>
              <w:t>Aplicado antes de la cosecha para evitar la caída prematura de frutos</w:t>
            </w:r>
          </w:p>
          <w:p w:rsidR="00412AFB" w:rsidRPr="00993936" w:rsidRDefault="00412AFB" w:rsidP="009D1A2D">
            <w:pPr>
              <w:pStyle w:val="Textoindependiente2"/>
              <w:numPr>
                <w:ilvl w:val="0"/>
                <w:numId w:val="48"/>
              </w:numPr>
              <w:jc w:val="both"/>
              <w:rPr>
                <w:rFonts w:cs="Arial"/>
                <w:b/>
                <w:sz w:val="22"/>
                <w:szCs w:val="22"/>
                <w:lang w:val="es-ES"/>
              </w:rPr>
            </w:pPr>
            <w:r w:rsidRPr="00993936">
              <w:rPr>
                <w:rFonts w:cs="Arial"/>
                <w:b/>
                <w:sz w:val="22"/>
                <w:szCs w:val="22"/>
                <w:lang w:val="es-ES"/>
              </w:rPr>
              <w:t>Aplicado durante el periodo floral y posfloral para evitar purgas y mal cuajado</w:t>
            </w:r>
          </w:p>
          <w:p w:rsidR="00412AFB" w:rsidRPr="00993936" w:rsidRDefault="00412AFB" w:rsidP="009D1A2D">
            <w:pPr>
              <w:pStyle w:val="Textoindependiente2"/>
              <w:numPr>
                <w:ilvl w:val="0"/>
                <w:numId w:val="48"/>
              </w:numPr>
              <w:rPr>
                <w:rFonts w:cs="Arial"/>
                <w:b/>
                <w:sz w:val="22"/>
                <w:szCs w:val="22"/>
                <w:lang w:val="es-ES"/>
              </w:rPr>
            </w:pPr>
            <w:r w:rsidRPr="00993936">
              <w:rPr>
                <w:rFonts w:cs="Arial"/>
                <w:b/>
                <w:sz w:val="22"/>
                <w:szCs w:val="22"/>
                <w:lang w:val="es-ES"/>
              </w:rPr>
              <w:t>Solo variedad blanquilla</w:t>
            </w:r>
            <w:r w:rsidRPr="00993936">
              <w:rPr>
                <w:rFonts w:cs="Arial"/>
                <w:b/>
                <w:sz w:val="22"/>
                <w:szCs w:val="22"/>
                <w:lang w:val="es-ES"/>
              </w:rPr>
              <w:br/>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 El LMR coincide con LD</w:t>
            </w:r>
          </w:p>
        </w:tc>
      </w:tr>
      <w:tr w:rsidR="00412AFB" w:rsidRPr="00993936" w:rsidTr="00C8678E">
        <w:trPr>
          <w:cantSplit/>
          <w:jc w:val="center"/>
        </w:trPr>
        <w:tc>
          <w:tcPr>
            <w:tcW w:w="1782" w:type="dxa"/>
            <w:vAlign w:val="center"/>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Anticaída</w:t>
            </w:r>
          </w:p>
        </w:tc>
        <w:tc>
          <w:tcPr>
            <w:tcW w:w="3686" w:type="dxa"/>
          </w:tcPr>
          <w:p w:rsidR="00412AFB" w:rsidRPr="00993936" w:rsidRDefault="00412AFB" w:rsidP="00C8678E">
            <w:pPr>
              <w:pStyle w:val="Textoindependiente2"/>
              <w:rPr>
                <w:rFonts w:cs="Arial"/>
                <w:b/>
                <w:sz w:val="22"/>
                <w:szCs w:val="22"/>
                <w:lang w:val="es-ES"/>
              </w:rPr>
            </w:pPr>
            <w:r w:rsidRPr="00993936">
              <w:rPr>
                <w:rFonts w:cs="Arial"/>
                <w:b/>
                <w:sz w:val="22"/>
                <w:szCs w:val="22"/>
                <w:lang w:val="es-ES"/>
              </w:rPr>
              <w:t>Ácido giberélico (*) (2) (3)</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ANA (1)</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ANA ANA-Amida (2)</w:t>
            </w:r>
          </w:p>
          <w:p w:rsidR="00412AFB" w:rsidRPr="00993936" w:rsidRDefault="00412AFB" w:rsidP="00C8678E">
            <w:pPr>
              <w:pStyle w:val="Textoindependiente2"/>
              <w:rPr>
                <w:rFonts w:cs="Arial"/>
                <w:b/>
                <w:sz w:val="22"/>
                <w:szCs w:val="22"/>
                <w:lang w:val="es-ES"/>
              </w:rPr>
            </w:pPr>
          </w:p>
        </w:tc>
        <w:tc>
          <w:tcPr>
            <w:tcW w:w="3480" w:type="dxa"/>
            <w:vMerge/>
            <w:vAlign w:val="center"/>
          </w:tcPr>
          <w:p w:rsidR="00412AFB" w:rsidRPr="00993936" w:rsidRDefault="00412AFB" w:rsidP="00C8678E">
            <w:pPr>
              <w:pStyle w:val="Textoindependiente2"/>
              <w:rPr>
                <w:rFonts w:cs="Arial"/>
                <w:b/>
                <w:sz w:val="22"/>
                <w:szCs w:val="22"/>
                <w:lang w:val="es-ES"/>
              </w:rPr>
            </w:pPr>
          </w:p>
        </w:tc>
      </w:tr>
      <w:tr w:rsidR="00412AFB" w:rsidRPr="00993936" w:rsidTr="00C8678E">
        <w:trPr>
          <w:cantSplit/>
          <w:jc w:val="center"/>
        </w:trPr>
        <w:tc>
          <w:tcPr>
            <w:tcW w:w="1782" w:type="dxa"/>
          </w:tcPr>
          <w:p w:rsidR="00412AFB" w:rsidRPr="00993936" w:rsidRDefault="00412AFB" w:rsidP="00C8678E">
            <w:pPr>
              <w:pStyle w:val="Textoindependiente2"/>
              <w:rPr>
                <w:rFonts w:cs="Arial"/>
                <w:b/>
                <w:sz w:val="22"/>
                <w:szCs w:val="22"/>
                <w:lang w:val="es-ES"/>
              </w:rPr>
            </w:pPr>
          </w:p>
          <w:p w:rsidR="00412AFB" w:rsidRPr="00993936" w:rsidRDefault="00412AFB" w:rsidP="00C8678E">
            <w:pPr>
              <w:pStyle w:val="Textoindependiente2"/>
              <w:rPr>
                <w:rFonts w:cs="Arial"/>
                <w:b/>
                <w:sz w:val="22"/>
                <w:szCs w:val="22"/>
                <w:lang w:val="es-ES"/>
              </w:rPr>
            </w:pPr>
            <w:r w:rsidRPr="00993936">
              <w:rPr>
                <w:rFonts w:cs="Arial"/>
                <w:b/>
                <w:sz w:val="22"/>
                <w:szCs w:val="22"/>
                <w:lang w:val="es-ES"/>
              </w:rPr>
              <w:t>Control de vigor</w:t>
            </w:r>
          </w:p>
        </w:tc>
        <w:tc>
          <w:tcPr>
            <w:tcW w:w="3686" w:type="dxa"/>
          </w:tcPr>
          <w:p w:rsidR="00412AFB" w:rsidRPr="00993936" w:rsidRDefault="00412AFB" w:rsidP="00C8678E">
            <w:pPr>
              <w:pStyle w:val="Textoindependiente2"/>
              <w:rPr>
                <w:rFonts w:cs="Arial"/>
                <w:b/>
                <w:sz w:val="22"/>
                <w:szCs w:val="22"/>
                <w:lang w:val="es-ES"/>
              </w:rPr>
            </w:pPr>
          </w:p>
          <w:p w:rsidR="00412AFB" w:rsidRPr="00993936" w:rsidRDefault="00412AFB" w:rsidP="00C8678E">
            <w:pPr>
              <w:pStyle w:val="Textoindependiente2"/>
              <w:rPr>
                <w:rFonts w:cs="Arial"/>
                <w:b/>
                <w:sz w:val="22"/>
                <w:szCs w:val="22"/>
                <w:lang w:val="es-ES"/>
              </w:rPr>
            </w:pPr>
            <w:r w:rsidRPr="00993936">
              <w:rPr>
                <w:rFonts w:cs="Arial"/>
                <w:b/>
                <w:sz w:val="22"/>
                <w:szCs w:val="22"/>
                <w:lang w:val="es-ES"/>
              </w:rPr>
              <w:t>Prohexadiona de calcio (*)</w:t>
            </w:r>
          </w:p>
          <w:p w:rsidR="00412AFB" w:rsidRPr="00993936" w:rsidRDefault="00412AFB" w:rsidP="00C8678E">
            <w:pPr>
              <w:pStyle w:val="Textoindependiente2"/>
              <w:rPr>
                <w:rFonts w:cs="Arial"/>
                <w:b/>
                <w:sz w:val="22"/>
                <w:szCs w:val="22"/>
                <w:lang w:val="es-ES"/>
              </w:rPr>
            </w:pPr>
            <w:r w:rsidRPr="00993936">
              <w:rPr>
                <w:rFonts w:cs="Arial"/>
                <w:b/>
                <w:sz w:val="22"/>
                <w:szCs w:val="22"/>
                <w:lang w:val="es-ES"/>
              </w:rPr>
              <w:t xml:space="preserve">Paclobutrazol </w:t>
            </w:r>
          </w:p>
        </w:tc>
        <w:tc>
          <w:tcPr>
            <w:tcW w:w="3480" w:type="dxa"/>
            <w:vMerge/>
          </w:tcPr>
          <w:p w:rsidR="00412AFB" w:rsidRPr="00993936" w:rsidRDefault="00412AFB" w:rsidP="00C8678E">
            <w:pPr>
              <w:pStyle w:val="Textoindependiente2"/>
              <w:rPr>
                <w:rFonts w:cs="Arial"/>
                <w:b/>
                <w:sz w:val="22"/>
                <w:szCs w:val="22"/>
                <w:lang w:val="es-ES"/>
              </w:rPr>
            </w:pPr>
          </w:p>
        </w:tc>
      </w:tr>
    </w:tbl>
    <w:p w:rsidR="00412AFB" w:rsidRPr="00993936" w:rsidRDefault="00412AFB" w:rsidP="00412AFB">
      <w:pPr>
        <w:rPr>
          <w:rFonts w:ascii="Arial" w:hAnsi="Arial" w:cs="Arial"/>
          <w:b/>
          <w:lang w:val="es-ES"/>
        </w:rPr>
      </w:pPr>
    </w:p>
    <w:p w:rsidR="00412AFB" w:rsidRPr="00993936" w:rsidRDefault="00412AFB" w:rsidP="00412AFB">
      <w:pPr>
        <w:rPr>
          <w:rFonts w:ascii="Arial" w:hAnsi="Arial" w:cs="Arial"/>
          <w:b/>
          <w:lang w:val="es-ES"/>
        </w:rPr>
      </w:pPr>
      <w:r w:rsidRPr="00993936">
        <w:rPr>
          <w:rFonts w:ascii="Arial" w:hAnsi="Arial" w:cs="Arial"/>
          <w:b/>
          <w:lang w:val="es-ES"/>
        </w:rPr>
        <w:br w:type="page"/>
      </w:r>
    </w:p>
    <w:p w:rsidR="00412AFB" w:rsidRPr="00993936" w:rsidRDefault="00412AFB" w:rsidP="00412AFB">
      <w:pPr>
        <w:rPr>
          <w:rFonts w:ascii="Arial" w:hAnsi="Arial" w:cs="Arial"/>
          <w:b/>
          <w:lang w:val="es-ES"/>
        </w:rPr>
      </w:pPr>
      <w:r w:rsidRPr="00993936">
        <w:rPr>
          <w:rFonts w:ascii="Arial" w:hAnsi="Arial" w:cs="Arial"/>
          <w:b/>
          <w:lang w:val="es-ES"/>
        </w:rPr>
        <w:lastRenderedPageBreak/>
        <w:t>ANEXO 2</w:t>
      </w:r>
    </w:p>
    <w:p w:rsidR="00412AFB" w:rsidRPr="00993936" w:rsidRDefault="00412AFB" w:rsidP="00412AFB">
      <w:pPr>
        <w:pStyle w:val="Textoindependiente2"/>
        <w:rPr>
          <w:rFonts w:cs="Arial"/>
          <w:sz w:val="22"/>
          <w:szCs w:val="22"/>
          <w:lang w:val="es-ES"/>
        </w:rPr>
      </w:pPr>
      <w:r w:rsidRPr="00993936">
        <w:rPr>
          <w:rFonts w:cs="Arial"/>
          <w:sz w:val="22"/>
          <w:szCs w:val="22"/>
          <w:lang w:val="es-ES"/>
        </w:rPr>
        <w:t>2.1. Materias activas de herbicidas para la producción integrada de fruta de pepita</w:t>
      </w:r>
    </w:p>
    <w:p w:rsidR="00412AFB" w:rsidRPr="00993936" w:rsidRDefault="00412AFB" w:rsidP="00412AFB">
      <w:pPr>
        <w:pStyle w:val="Textoindependiente2"/>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83"/>
        <w:gridCol w:w="4605"/>
      </w:tblGrid>
      <w:tr w:rsidR="00412AFB" w:rsidRPr="00993936" w:rsidTr="00C8678E">
        <w:trPr>
          <w:cantSplit/>
          <w:jc w:val="center"/>
        </w:trPr>
        <w:tc>
          <w:tcPr>
            <w:tcW w:w="9088" w:type="dxa"/>
            <w:gridSpan w:val="2"/>
            <w:tcBorders>
              <w:bottom w:val="nil"/>
            </w:tcBorders>
            <w:shd w:val="pct12" w:color="auto" w:fill="FFFFFF"/>
            <w:vAlign w:val="center"/>
          </w:tcPr>
          <w:p w:rsidR="00412AFB" w:rsidRPr="00993936" w:rsidRDefault="00412AFB" w:rsidP="00C8678E">
            <w:pPr>
              <w:jc w:val="center"/>
              <w:rPr>
                <w:rFonts w:ascii="Arial" w:hAnsi="Arial" w:cs="Arial"/>
                <w:b/>
                <w:snapToGrid w:val="0"/>
                <w:lang w:val="es-ES" w:eastAsia="ca-ES"/>
              </w:rPr>
            </w:pPr>
            <w:r w:rsidRPr="00993936">
              <w:rPr>
                <w:rFonts w:ascii="Arial" w:hAnsi="Arial" w:cs="Arial"/>
                <w:b/>
                <w:snapToGrid w:val="0"/>
                <w:lang w:val="es-ES" w:eastAsia="ca-ES"/>
              </w:rPr>
              <w:t xml:space="preserve">TIPO DE HERBICIDAS </w:t>
            </w:r>
          </w:p>
          <w:p w:rsidR="00412AFB" w:rsidRPr="00993936" w:rsidRDefault="00412AFB" w:rsidP="00C8678E">
            <w:pPr>
              <w:jc w:val="center"/>
              <w:rPr>
                <w:rFonts w:ascii="Arial" w:hAnsi="Arial" w:cs="Arial"/>
                <w:b/>
                <w:snapToGrid w:val="0"/>
                <w:lang w:val="es-ES" w:eastAsia="ca-ES"/>
              </w:rPr>
            </w:pPr>
          </w:p>
        </w:tc>
      </w:tr>
      <w:tr w:rsidR="00412AFB" w:rsidRPr="00993936" w:rsidTr="00C8678E">
        <w:trPr>
          <w:cantSplit/>
          <w:jc w:val="center"/>
        </w:trPr>
        <w:tc>
          <w:tcPr>
            <w:tcW w:w="4483" w:type="dxa"/>
            <w:tcBorders>
              <w:bottom w:val="nil"/>
            </w:tcBorders>
            <w:shd w:val="pct12" w:color="auto" w:fill="FFFFFF"/>
            <w:vAlign w:val="center"/>
          </w:tcPr>
          <w:p w:rsidR="00412AFB" w:rsidRPr="00993936" w:rsidRDefault="00412AFB" w:rsidP="00C8678E">
            <w:pPr>
              <w:widowControl w:val="0"/>
              <w:jc w:val="center"/>
              <w:rPr>
                <w:rFonts w:ascii="Arial" w:hAnsi="Arial" w:cs="Arial"/>
                <w:b/>
                <w:lang w:val="es-ES"/>
              </w:rPr>
            </w:pPr>
            <w:r w:rsidRPr="00993936">
              <w:rPr>
                <w:rFonts w:ascii="Arial" w:hAnsi="Arial" w:cs="Arial"/>
                <w:b/>
                <w:lang w:val="es-ES"/>
              </w:rPr>
              <w:t>Materia activa</w:t>
            </w:r>
          </w:p>
        </w:tc>
        <w:tc>
          <w:tcPr>
            <w:tcW w:w="4605" w:type="dxa"/>
            <w:shd w:val="pct12" w:color="auto" w:fill="FFFFFF"/>
          </w:tcPr>
          <w:p w:rsidR="00412AFB" w:rsidRPr="00993936" w:rsidRDefault="00412AFB" w:rsidP="00C8678E">
            <w:pPr>
              <w:pStyle w:val="Ttulo6"/>
              <w:rPr>
                <w:rFonts w:ascii="Arial" w:hAnsi="Arial" w:cs="Arial"/>
                <w:color w:val="auto"/>
                <w:lang w:val="es-ES"/>
              </w:rPr>
            </w:pPr>
            <w:r w:rsidRPr="00993936">
              <w:rPr>
                <w:rFonts w:ascii="Arial" w:hAnsi="Arial" w:cs="Arial"/>
                <w:color w:val="auto"/>
                <w:lang w:val="es-ES"/>
              </w:rPr>
              <w:t>Obligaciones</w:t>
            </w:r>
          </w:p>
        </w:tc>
      </w:tr>
      <w:tr w:rsidR="00412AFB" w:rsidRPr="00993936" w:rsidTr="00C8678E">
        <w:trPr>
          <w:cantSplit/>
          <w:trHeight w:val="5263"/>
          <w:jc w:val="center"/>
        </w:trPr>
        <w:tc>
          <w:tcPr>
            <w:tcW w:w="4483" w:type="dxa"/>
            <w:vMerge w:val="restart"/>
            <w:shd w:val="clear" w:color="auto" w:fill="FFFFFF"/>
            <w:vAlign w:val="center"/>
          </w:tcPr>
          <w:p w:rsidR="00412AFB" w:rsidRPr="00993936" w:rsidRDefault="00412AFB" w:rsidP="00C8678E">
            <w:pPr>
              <w:jc w:val="both"/>
              <w:rPr>
                <w:rFonts w:ascii="Arial" w:hAnsi="Arial" w:cs="Arial"/>
                <w:lang w:val="es-ES"/>
              </w:rPr>
            </w:pPr>
            <w:r w:rsidRPr="00993936">
              <w:rPr>
                <w:rFonts w:ascii="Arial" w:hAnsi="Arial" w:cs="Arial"/>
                <w:lang w:val="es-ES"/>
              </w:rPr>
              <w:t>2,4-D + Glifosato</w:t>
            </w:r>
          </w:p>
          <w:p w:rsidR="00412AFB" w:rsidRPr="00993936" w:rsidRDefault="00412AFB" w:rsidP="00C8678E">
            <w:pPr>
              <w:jc w:val="both"/>
              <w:rPr>
                <w:rFonts w:ascii="Arial" w:hAnsi="Arial" w:cs="Arial"/>
                <w:lang w:val="es-ES"/>
              </w:rPr>
            </w:pPr>
            <w:r w:rsidRPr="00993936">
              <w:rPr>
                <w:rFonts w:ascii="Arial" w:hAnsi="Arial" w:cs="Arial"/>
                <w:lang w:val="es-ES"/>
              </w:rPr>
              <w:t>Ácido pelargónico</w:t>
            </w:r>
          </w:p>
          <w:p w:rsidR="00412AFB" w:rsidRPr="00993936" w:rsidRDefault="00412AFB" w:rsidP="00C8678E">
            <w:pPr>
              <w:jc w:val="both"/>
              <w:rPr>
                <w:rFonts w:ascii="Arial" w:hAnsi="Arial" w:cs="Arial"/>
                <w:lang w:val="es-ES"/>
              </w:rPr>
            </w:pPr>
            <w:r w:rsidRPr="00993936">
              <w:rPr>
                <w:rFonts w:ascii="Arial" w:hAnsi="Arial" w:cs="Arial"/>
                <w:lang w:val="es-ES"/>
              </w:rPr>
              <w:t>Ácido pelargónico + Glifosato (1)</w:t>
            </w:r>
          </w:p>
          <w:p w:rsidR="00412AFB" w:rsidRPr="00993936" w:rsidRDefault="00412AFB" w:rsidP="00C8678E">
            <w:pPr>
              <w:rPr>
                <w:rFonts w:ascii="Arial" w:hAnsi="Arial" w:cs="Arial"/>
                <w:lang w:val="es-ES"/>
              </w:rPr>
            </w:pPr>
            <w:r w:rsidRPr="00993936">
              <w:rPr>
                <w:rFonts w:ascii="Arial" w:hAnsi="Arial" w:cs="Arial"/>
                <w:lang w:val="es-ES"/>
              </w:rPr>
              <w:t>Carfentrazona etil</w:t>
            </w:r>
          </w:p>
          <w:p w:rsidR="00412AFB" w:rsidRPr="00993936" w:rsidRDefault="00412AFB" w:rsidP="00C8678E">
            <w:pPr>
              <w:jc w:val="both"/>
              <w:rPr>
                <w:rFonts w:ascii="Arial" w:hAnsi="Arial" w:cs="Arial"/>
                <w:lang w:val="es-ES"/>
              </w:rPr>
            </w:pPr>
            <w:r w:rsidRPr="00993936">
              <w:rPr>
                <w:rFonts w:ascii="Arial" w:hAnsi="Arial" w:cs="Arial"/>
                <w:lang w:val="es-ES"/>
              </w:rPr>
              <w:t>Diflufenican</w:t>
            </w:r>
          </w:p>
          <w:p w:rsidR="00412AFB" w:rsidRPr="00993936" w:rsidRDefault="00412AFB" w:rsidP="00C8678E">
            <w:pPr>
              <w:pStyle w:val="Textoindependiente"/>
              <w:rPr>
                <w:rFonts w:cs="Arial"/>
                <w:szCs w:val="22"/>
                <w:lang w:val="es-ES"/>
              </w:rPr>
            </w:pPr>
            <w:r w:rsidRPr="00993936">
              <w:rPr>
                <w:rFonts w:cs="Arial"/>
                <w:szCs w:val="22"/>
                <w:lang w:val="es-ES"/>
              </w:rPr>
              <w:t>Diflufenican + Oxifluorfen (1)</w:t>
            </w:r>
          </w:p>
          <w:p w:rsidR="00412AFB" w:rsidRPr="00993936" w:rsidRDefault="00412AFB" w:rsidP="00C8678E">
            <w:pPr>
              <w:jc w:val="both"/>
              <w:rPr>
                <w:rFonts w:ascii="Arial" w:hAnsi="Arial" w:cs="Arial"/>
                <w:lang w:val="es-ES"/>
              </w:rPr>
            </w:pPr>
            <w:r w:rsidRPr="00993936">
              <w:rPr>
                <w:rFonts w:ascii="Arial" w:hAnsi="Arial" w:cs="Arial"/>
                <w:lang w:val="es-ES"/>
              </w:rPr>
              <w:t>Diquat</w:t>
            </w:r>
          </w:p>
          <w:p w:rsidR="00412AFB" w:rsidRPr="00993936" w:rsidRDefault="00412AFB" w:rsidP="00C8678E">
            <w:pPr>
              <w:pStyle w:val="Textoindependiente"/>
              <w:rPr>
                <w:rFonts w:cs="Arial"/>
                <w:szCs w:val="22"/>
                <w:lang w:val="es-ES"/>
              </w:rPr>
            </w:pPr>
            <w:r w:rsidRPr="00993936">
              <w:rPr>
                <w:rFonts w:cs="Arial"/>
                <w:szCs w:val="22"/>
                <w:lang w:val="es-ES"/>
              </w:rPr>
              <w:t xml:space="preserve">Fluazifop-P-butil </w:t>
            </w:r>
          </w:p>
          <w:p w:rsidR="00412AFB" w:rsidRPr="00993936" w:rsidRDefault="00412AFB" w:rsidP="00C8678E">
            <w:pPr>
              <w:pStyle w:val="Textoindependiente"/>
              <w:rPr>
                <w:rFonts w:cs="Arial"/>
                <w:szCs w:val="22"/>
                <w:lang w:val="es-ES"/>
              </w:rPr>
            </w:pPr>
            <w:r w:rsidRPr="00993936">
              <w:rPr>
                <w:rFonts w:cs="Arial"/>
                <w:szCs w:val="22"/>
                <w:lang w:val="es-ES"/>
              </w:rPr>
              <w:t>Fluroxipir</w:t>
            </w:r>
          </w:p>
          <w:p w:rsidR="00412AFB" w:rsidRPr="00993936" w:rsidRDefault="00412AFB" w:rsidP="00C8678E">
            <w:pPr>
              <w:pStyle w:val="Textoindependiente"/>
              <w:rPr>
                <w:rFonts w:cs="Arial"/>
                <w:szCs w:val="22"/>
                <w:lang w:val="es-ES"/>
              </w:rPr>
            </w:pPr>
            <w:r w:rsidRPr="00993936">
              <w:rPr>
                <w:rFonts w:cs="Arial"/>
                <w:szCs w:val="22"/>
                <w:lang w:val="es-ES"/>
              </w:rPr>
              <w:t>Glifosato (*)</w:t>
            </w:r>
          </w:p>
          <w:p w:rsidR="00412AFB" w:rsidRPr="00993936" w:rsidRDefault="00412AFB" w:rsidP="00C8678E">
            <w:pPr>
              <w:pStyle w:val="Textoindependiente"/>
              <w:rPr>
                <w:rFonts w:cs="Arial"/>
                <w:szCs w:val="22"/>
                <w:lang w:val="es-ES"/>
              </w:rPr>
            </w:pPr>
            <w:r w:rsidRPr="00993936">
              <w:rPr>
                <w:rFonts w:cs="Arial"/>
                <w:szCs w:val="22"/>
                <w:lang w:val="es-ES"/>
              </w:rPr>
              <w:t xml:space="preserve">Glifosato (*) + Diflufenican (1) </w:t>
            </w:r>
          </w:p>
          <w:p w:rsidR="00412AFB" w:rsidRPr="00993936" w:rsidRDefault="00412AFB" w:rsidP="00C8678E">
            <w:pPr>
              <w:pStyle w:val="Textoindependiente"/>
              <w:rPr>
                <w:rFonts w:cs="Arial"/>
                <w:szCs w:val="22"/>
                <w:lang w:val="es-ES"/>
              </w:rPr>
            </w:pPr>
            <w:r w:rsidRPr="00993936">
              <w:rPr>
                <w:rFonts w:cs="Arial"/>
                <w:szCs w:val="22"/>
                <w:lang w:val="es-ES"/>
              </w:rPr>
              <w:t xml:space="preserve">Glifosato (*) + MCPA (1) </w:t>
            </w:r>
          </w:p>
          <w:p w:rsidR="00412AFB" w:rsidRPr="00993936" w:rsidRDefault="00412AFB" w:rsidP="00C8678E">
            <w:pPr>
              <w:pStyle w:val="Textoindependiente"/>
              <w:rPr>
                <w:rFonts w:cs="Arial"/>
                <w:szCs w:val="22"/>
                <w:lang w:val="es-ES"/>
              </w:rPr>
            </w:pPr>
            <w:r w:rsidRPr="00993936">
              <w:rPr>
                <w:rFonts w:cs="Arial"/>
                <w:szCs w:val="22"/>
                <w:lang w:val="es-ES"/>
              </w:rPr>
              <w:t>Glifosato + Oxifluorfen (1)</w:t>
            </w:r>
          </w:p>
          <w:p w:rsidR="00412AFB" w:rsidRPr="00993936" w:rsidRDefault="00412AFB" w:rsidP="00C8678E">
            <w:pPr>
              <w:pStyle w:val="Textoindependiente"/>
              <w:rPr>
                <w:rFonts w:cs="Arial"/>
                <w:szCs w:val="22"/>
                <w:lang w:val="es-ES"/>
              </w:rPr>
            </w:pPr>
            <w:r w:rsidRPr="00993936">
              <w:rPr>
                <w:rFonts w:cs="Arial"/>
                <w:szCs w:val="22"/>
                <w:lang w:val="es-ES"/>
              </w:rPr>
              <w:t>Glifosato + Piraflufen etil (1)</w:t>
            </w:r>
          </w:p>
          <w:p w:rsidR="00412AFB" w:rsidRPr="00993936" w:rsidRDefault="00412AFB" w:rsidP="00C8678E">
            <w:pPr>
              <w:pStyle w:val="Textoindependiente"/>
              <w:rPr>
                <w:rFonts w:cs="Arial"/>
                <w:szCs w:val="22"/>
                <w:lang w:val="es-ES"/>
              </w:rPr>
            </w:pPr>
            <w:r w:rsidRPr="00993936">
              <w:rPr>
                <w:rFonts w:cs="Arial"/>
                <w:szCs w:val="22"/>
                <w:lang w:val="es-ES"/>
              </w:rPr>
              <w:t>Glufosinato (*)</w:t>
            </w:r>
          </w:p>
          <w:p w:rsidR="00412AFB" w:rsidRPr="00993936" w:rsidRDefault="00412AFB" w:rsidP="00C8678E">
            <w:pPr>
              <w:pStyle w:val="Textoindependiente"/>
              <w:rPr>
                <w:rFonts w:cs="Arial"/>
                <w:szCs w:val="22"/>
                <w:lang w:val="es-ES"/>
              </w:rPr>
            </w:pPr>
            <w:r w:rsidRPr="00993936">
              <w:rPr>
                <w:rFonts w:cs="Arial"/>
                <w:szCs w:val="22"/>
                <w:lang w:val="es-ES"/>
              </w:rPr>
              <w:t>Isoxaben</w:t>
            </w:r>
            <w:r w:rsidR="00E03B3B" w:rsidRPr="00993936">
              <w:rPr>
                <w:rFonts w:cs="Arial"/>
                <w:szCs w:val="22"/>
                <w:lang w:val="es-ES"/>
              </w:rPr>
              <w:t xml:space="preserve"> </w:t>
            </w:r>
          </w:p>
          <w:p w:rsidR="00412AFB" w:rsidRPr="00993936" w:rsidRDefault="00412AFB" w:rsidP="00C8678E">
            <w:pPr>
              <w:pStyle w:val="Textoindependiente"/>
              <w:rPr>
                <w:rFonts w:cs="Arial"/>
                <w:szCs w:val="22"/>
                <w:lang w:val="es-ES"/>
              </w:rPr>
            </w:pPr>
            <w:r w:rsidRPr="00993936">
              <w:rPr>
                <w:rFonts w:cs="Arial"/>
                <w:szCs w:val="22"/>
                <w:lang w:val="es-ES"/>
              </w:rPr>
              <w:t>MCPA</w:t>
            </w:r>
          </w:p>
          <w:p w:rsidR="00412AFB" w:rsidRPr="00993936" w:rsidRDefault="00412AFB" w:rsidP="00C8678E">
            <w:pPr>
              <w:pStyle w:val="Textoindependiente"/>
              <w:rPr>
                <w:rFonts w:cs="Arial"/>
                <w:szCs w:val="22"/>
                <w:lang w:val="es-ES"/>
              </w:rPr>
            </w:pPr>
            <w:r w:rsidRPr="00993936">
              <w:rPr>
                <w:rFonts w:cs="Arial"/>
                <w:szCs w:val="22"/>
                <w:lang w:val="es-ES"/>
              </w:rPr>
              <w:t>Napropamida</w:t>
            </w:r>
          </w:p>
          <w:p w:rsidR="00412AFB" w:rsidRPr="00993936" w:rsidRDefault="00412AFB" w:rsidP="00C8678E">
            <w:pPr>
              <w:jc w:val="both"/>
              <w:rPr>
                <w:rFonts w:ascii="Arial" w:hAnsi="Arial" w:cs="Arial"/>
                <w:lang w:val="es-ES"/>
              </w:rPr>
            </w:pPr>
            <w:r w:rsidRPr="00993936">
              <w:rPr>
                <w:rFonts w:ascii="Arial" w:hAnsi="Arial" w:cs="Arial"/>
                <w:lang w:val="es-ES"/>
              </w:rPr>
              <w:t xml:space="preserve">Oxifluorfen </w:t>
            </w:r>
          </w:p>
          <w:p w:rsidR="00412AFB" w:rsidRPr="00993936" w:rsidRDefault="00412AFB" w:rsidP="00C8678E">
            <w:pPr>
              <w:jc w:val="both"/>
              <w:rPr>
                <w:rFonts w:ascii="Arial" w:hAnsi="Arial" w:cs="Arial"/>
                <w:lang w:val="es-ES"/>
              </w:rPr>
            </w:pPr>
            <w:r w:rsidRPr="00993936">
              <w:rPr>
                <w:rFonts w:ascii="Arial" w:hAnsi="Arial" w:cs="Arial"/>
                <w:lang w:val="es-ES"/>
              </w:rPr>
              <w:t>Pendimetalina (*)</w:t>
            </w:r>
          </w:p>
          <w:p w:rsidR="00412AFB" w:rsidRPr="00993936" w:rsidRDefault="00412AFB" w:rsidP="00C8678E">
            <w:pPr>
              <w:pStyle w:val="Textoindependiente"/>
              <w:rPr>
                <w:rFonts w:cs="Arial"/>
                <w:szCs w:val="22"/>
                <w:lang w:val="es-ES"/>
              </w:rPr>
            </w:pPr>
            <w:r w:rsidRPr="00993936">
              <w:rPr>
                <w:rFonts w:cs="Arial"/>
                <w:szCs w:val="22"/>
                <w:lang w:val="es-ES"/>
              </w:rPr>
              <w:t>Piraflufen-etil</w:t>
            </w:r>
          </w:p>
          <w:p w:rsidR="00412AFB" w:rsidRPr="00993936" w:rsidRDefault="00412AFB" w:rsidP="00C8678E">
            <w:pPr>
              <w:pStyle w:val="Textoindependiente"/>
              <w:rPr>
                <w:rFonts w:cs="Arial"/>
                <w:szCs w:val="22"/>
                <w:lang w:val="es-ES"/>
              </w:rPr>
            </w:pPr>
            <w:r w:rsidRPr="00993936">
              <w:rPr>
                <w:rFonts w:cs="Arial"/>
                <w:szCs w:val="22"/>
                <w:lang w:val="es-ES"/>
              </w:rPr>
              <w:t>Propaquizafop</w:t>
            </w:r>
          </w:p>
          <w:p w:rsidR="00412AFB" w:rsidRPr="00993936" w:rsidRDefault="00412AFB" w:rsidP="00C8678E">
            <w:pPr>
              <w:jc w:val="both"/>
              <w:rPr>
                <w:rFonts w:ascii="Arial" w:hAnsi="Arial" w:cs="Arial"/>
                <w:lang w:val="es-ES"/>
              </w:rPr>
            </w:pPr>
            <w:r w:rsidRPr="00993936">
              <w:rPr>
                <w:rFonts w:ascii="Arial" w:hAnsi="Arial" w:cs="Arial"/>
                <w:lang w:val="es-ES"/>
              </w:rPr>
              <w:t>Quizalofop-P-etil (*)</w:t>
            </w:r>
          </w:p>
        </w:tc>
        <w:tc>
          <w:tcPr>
            <w:tcW w:w="4605" w:type="dxa"/>
            <w:shd w:val="clear" w:color="auto" w:fill="FFFFFF"/>
          </w:tcPr>
          <w:p w:rsidR="00412AFB" w:rsidRPr="00993936" w:rsidRDefault="00412AFB" w:rsidP="009D1A2D">
            <w:pPr>
              <w:pStyle w:val="Prrafodelista"/>
              <w:widowControl w:val="0"/>
              <w:numPr>
                <w:ilvl w:val="0"/>
                <w:numId w:val="23"/>
              </w:numPr>
              <w:spacing w:after="0" w:line="240" w:lineRule="auto"/>
              <w:jc w:val="both"/>
              <w:rPr>
                <w:rFonts w:ascii="Arial" w:hAnsi="Arial" w:cs="Arial"/>
                <w:snapToGrid w:val="0"/>
                <w:lang w:val="es-ES"/>
              </w:rPr>
            </w:pPr>
            <w:r w:rsidRPr="00993936">
              <w:rPr>
                <w:rFonts w:ascii="Arial" w:hAnsi="Arial" w:cs="Arial"/>
                <w:snapToGrid w:val="0"/>
                <w:lang w:val="es-ES"/>
              </w:rPr>
              <w:t>Controlar las malas hierbas, siempre que sea posible, con medios físicos, mecánicos, biológicos o con aquellos que ofrezcan el menor riesgo de emisiones de CO</w:t>
            </w:r>
            <w:r w:rsidRPr="00993936">
              <w:rPr>
                <w:rFonts w:ascii="Arial" w:hAnsi="Arial" w:cs="Arial"/>
                <w:snapToGrid w:val="0"/>
                <w:vertAlign w:val="subscript"/>
                <w:lang w:val="es-ES"/>
              </w:rPr>
              <w:t>2</w:t>
            </w:r>
            <w:r w:rsidRPr="00993936">
              <w:rPr>
                <w:rFonts w:ascii="Arial" w:hAnsi="Arial" w:cs="Arial"/>
                <w:snapToGrid w:val="0"/>
                <w:lang w:val="es-ES"/>
              </w:rPr>
              <w:t>. Cuando los medios señalados anteriormente no permitan un control adecuado de las malas hierbas, podrá justificarse la aplicación de alguno de los herbicidas que figuran en esta tabla.</w:t>
            </w:r>
          </w:p>
          <w:p w:rsidR="00412AFB" w:rsidRPr="00993936" w:rsidRDefault="00412AFB" w:rsidP="00C8678E">
            <w:pPr>
              <w:pStyle w:val="Prrafodelista"/>
              <w:widowControl w:val="0"/>
              <w:jc w:val="both"/>
              <w:rPr>
                <w:rFonts w:ascii="Arial" w:hAnsi="Arial" w:cs="Arial"/>
                <w:snapToGrid w:val="0"/>
                <w:lang w:val="es-ES"/>
              </w:rPr>
            </w:pPr>
          </w:p>
          <w:p w:rsidR="00412AFB" w:rsidRPr="00993936" w:rsidRDefault="00412AFB" w:rsidP="009D1A2D">
            <w:pPr>
              <w:pStyle w:val="Prrafodelista"/>
              <w:widowControl w:val="0"/>
              <w:numPr>
                <w:ilvl w:val="0"/>
                <w:numId w:val="23"/>
              </w:numPr>
              <w:spacing w:after="0" w:line="240" w:lineRule="auto"/>
              <w:jc w:val="both"/>
              <w:rPr>
                <w:rFonts w:ascii="Arial" w:hAnsi="Arial" w:cs="Arial"/>
                <w:snapToGrid w:val="0"/>
                <w:lang w:val="es-ES"/>
              </w:rPr>
            </w:pPr>
            <w:r w:rsidRPr="00993936">
              <w:rPr>
                <w:rFonts w:ascii="Arial" w:hAnsi="Arial" w:cs="Arial"/>
                <w:snapToGrid w:val="0"/>
                <w:lang w:val="es-ES"/>
              </w:rPr>
              <w:t>Las materias activas que se utilizarán serán seleccionadas de acuerdo con los criterios de menor peligrosidad para los humanos, la fauna silvestre y el medio ambiente, y por proporcionar un control efectivo de las mala hierbas.</w:t>
            </w:r>
          </w:p>
          <w:p w:rsidR="00412AFB" w:rsidRPr="00993936" w:rsidRDefault="00412AFB" w:rsidP="00C8678E">
            <w:pPr>
              <w:pStyle w:val="Prrafodelista"/>
              <w:widowControl w:val="0"/>
              <w:jc w:val="both"/>
              <w:rPr>
                <w:rFonts w:ascii="Arial" w:hAnsi="Arial" w:cs="Arial"/>
                <w:lang w:val="es-ES"/>
              </w:rPr>
            </w:pPr>
          </w:p>
        </w:tc>
      </w:tr>
      <w:tr w:rsidR="00412AFB" w:rsidRPr="00993936" w:rsidTr="00C8678E">
        <w:trPr>
          <w:cantSplit/>
          <w:trHeight w:val="413"/>
          <w:jc w:val="center"/>
        </w:trPr>
        <w:tc>
          <w:tcPr>
            <w:tcW w:w="4483" w:type="dxa"/>
            <w:vMerge/>
            <w:shd w:val="clear" w:color="auto" w:fill="FFFFFF"/>
            <w:vAlign w:val="center"/>
          </w:tcPr>
          <w:p w:rsidR="00412AFB" w:rsidRPr="00993936" w:rsidRDefault="00412AFB" w:rsidP="00C8678E">
            <w:pPr>
              <w:jc w:val="both"/>
              <w:rPr>
                <w:rFonts w:ascii="Arial" w:hAnsi="Arial" w:cs="Arial"/>
                <w:lang w:val="es-ES"/>
              </w:rPr>
            </w:pPr>
          </w:p>
        </w:tc>
        <w:tc>
          <w:tcPr>
            <w:tcW w:w="4605" w:type="dxa"/>
            <w:shd w:val="clear" w:color="auto" w:fill="D9D9D9"/>
            <w:vAlign w:val="center"/>
          </w:tcPr>
          <w:p w:rsidR="00412AFB" w:rsidRPr="00993936" w:rsidRDefault="00412AFB" w:rsidP="00C8678E">
            <w:pPr>
              <w:widowControl w:val="0"/>
              <w:jc w:val="center"/>
              <w:rPr>
                <w:rFonts w:ascii="Arial" w:hAnsi="Arial" w:cs="Arial"/>
                <w:b/>
                <w:snapToGrid w:val="0"/>
                <w:lang w:val="es-ES" w:eastAsia="ca-ES"/>
              </w:rPr>
            </w:pPr>
            <w:r w:rsidRPr="00993936">
              <w:rPr>
                <w:rFonts w:ascii="Arial" w:hAnsi="Arial" w:cs="Arial"/>
                <w:b/>
                <w:snapToGrid w:val="0"/>
                <w:lang w:val="es-ES" w:eastAsia="ca-ES"/>
              </w:rPr>
              <w:t>Restricciones</w:t>
            </w:r>
          </w:p>
        </w:tc>
      </w:tr>
      <w:tr w:rsidR="00412AFB" w:rsidRPr="00993936" w:rsidTr="00C8678E">
        <w:trPr>
          <w:cantSplit/>
          <w:trHeight w:val="2695"/>
          <w:jc w:val="center"/>
        </w:trPr>
        <w:tc>
          <w:tcPr>
            <w:tcW w:w="4483" w:type="dxa"/>
            <w:vMerge/>
            <w:vAlign w:val="center"/>
          </w:tcPr>
          <w:p w:rsidR="00412AFB" w:rsidRPr="00993936" w:rsidRDefault="00412AFB" w:rsidP="00C8678E">
            <w:pPr>
              <w:jc w:val="both"/>
              <w:rPr>
                <w:rFonts w:ascii="Arial" w:hAnsi="Arial" w:cs="Arial"/>
                <w:b/>
                <w:snapToGrid w:val="0"/>
                <w:lang w:val="es-ES"/>
              </w:rPr>
            </w:pPr>
          </w:p>
        </w:tc>
        <w:tc>
          <w:tcPr>
            <w:tcW w:w="4605" w:type="dxa"/>
            <w:shd w:val="clear" w:color="auto" w:fill="FFFFFF"/>
          </w:tcPr>
          <w:p w:rsidR="00412AFB" w:rsidRPr="00993936" w:rsidRDefault="00412AFB" w:rsidP="00C8678E">
            <w:pPr>
              <w:widowControl w:val="0"/>
              <w:rPr>
                <w:rFonts w:ascii="Arial" w:hAnsi="Arial" w:cs="Arial"/>
                <w:snapToGrid w:val="0"/>
                <w:lang w:val="es-ES"/>
              </w:rPr>
            </w:pPr>
          </w:p>
          <w:p w:rsidR="00412AFB" w:rsidRPr="00993936" w:rsidRDefault="00412AFB" w:rsidP="00C8678E">
            <w:pPr>
              <w:widowControl w:val="0"/>
              <w:numPr>
                <w:ilvl w:val="0"/>
                <w:numId w:val="20"/>
              </w:numPr>
              <w:spacing w:after="0" w:line="240" w:lineRule="auto"/>
              <w:rPr>
                <w:rFonts w:ascii="Arial" w:hAnsi="Arial" w:cs="Arial"/>
                <w:snapToGrid w:val="0"/>
                <w:lang w:val="es-ES"/>
              </w:rPr>
            </w:pPr>
            <w:r w:rsidRPr="00993936">
              <w:rPr>
                <w:rFonts w:ascii="Arial" w:hAnsi="Arial" w:cs="Arial"/>
                <w:snapToGrid w:val="0"/>
                <w:lang w:val="es-ES"/>
              </w:rPr>
              <w:t>Solo formulaciones comerciales registradas</w:t>
            </w:r>
          </w:p>
          <w:p w:rsidR="00412AFB" w:rsidRPr="00993936" w:rsidRDefault="00412AFB" w:rsidP="00C8678E">
            <w:pPr>
              <w:widowControl w:val="0"/>
              <w:numPr>
                <w:ilvl w:val="0"/>
                <w:numId w:val="20"/>
              </w:numPr>
              <w:spacing w:after="0" w:line="240" w:lineRule="auto"/>
              <w:rPr>
                <w:rFonts w:ascii="Arial" w:hAnsi="Arial" w:cs="Arial"/>
                <w:snapToGrid w:val="0"/>
                <w:lang w:val="es-ES"/>
              </w:rPr>
            </w:pPr>
            <w:r w:rsidRPr="00993936">
              <w:rPr>
                <w:rFonts w:ascii="Arial" w:hAnsi="Arial" w:cs="Arial"/>
                <w:snapToGrid w:val="0"/>
                <w:lang w:val="es-ES"/>
              </w:rPr>
              <w:t>Solo en manzano</w:t>
            </w:r>
          </w:p>
          <w:p w:rsidR="00412AFB" w:rsidRPr="00993936" w:rsidRDefault="00412AFB" w:rsidP="00C8678E">
            <w:pPr>
              <w:widowControl w:val="0"/>
              <w:rPr>
                <w:rFonts w:ascii="Arial" w:hAnsi="Arial" w:cs="Arial"/>
                <w:snapToGrid w:val="0"/>
                <w:lang w:val="es-ES"/>
              </w:rPr>
            </w:pPr>
          </w:p>
          <w:p w:rsidR="00412AFB" w:rsidRPr="00993936" w:rsidRDefault="00412AFB" w:rsidP="00C8678E">
            <w:pPr>
              <w:widowControl w:val="0"/>
              <w:jc w:val="both"/>
              <w:outlineLvl w:val="0"/>
              <w:rPr>
                <w:rFonts w:ascii="Arial" w:hAnsi="Arial" w:cs="Arial"/>
                <w:snapToGrid w:val="0"/>
                <w:lang w:val="es-ES"/>
              </w:rPr>
            </w:pPr>
            <w:r w:rsidRPr="00993936">
              <w:rPr>
                <w:rFonts w:ascii="Arial" w:hAnsi="Arial" w:cs="Arial"/>
                <w:snapToGrid w:val="0"/>
                <w:lang w:val="es-ES"/>
              </w:rPr>
              <w:t xml:space="preserve">(*) </w:t>
            </w:r>
            <w:bookmarkStart w:id="7" w:name="OLE_LINK7"/>
            <w:r w:rsidRPr="00993936">
              <w:rPr>
                <w:rFonts w:ascii="Arial" w:hAnsi="Arial" w:cs="Arial"/>
                <w:snapToGrid w:val="0"/>
                <w:lang w:val="es-ES"/>
              </w:rPr>
              <w:t>El LMR coincide con LD</w:t>
            </w:r>
            <w:bookmarkEnd w:id="7"/>
          </w:p>
          <w:p w:rsidR="00412AFB" w:rsidRPr="00993936" w:rsidRDefault="00412AFB" w:rsidP="00C8678E">
            <w:pPr>
              <w:widowControl w:val="0"/>
              <w:jc w:val="both"/>
              <w:outlineLvl w:val="0"/>
              <w:rPr>
                <w:rFonts w:ascii="Arial" w:hAnsi="Arial" w:cs="Arial"/>
                <w:snapToGrid w:val="0"/>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pStyle w:val="Textoindependiente2"/>
        <w:rPr>
          <w:rFonts w:cs="Arial"/>
          <w:sz w:val="22"/>
          <w:szCs w:val="22"/>
          <w:lang w:val="es-ES"/>
        </w:rPr>
      </w:pPr>
      <w:r w:rsidRPr="00993936">
        <w:rPr>
          <w:rFonts w:cs="Arial"/>
          <w:sz w:val="22"/>
          <w:szCs w:val="22"/>
          <w:lang w:val="es-ES"/>
        </w:rPr>
        <w:br w:type="page"/>
      </w:r>
      <w:r w:rsidRPr="00993936">
        <w:rPr>
          <w:rFonts w:cs="Arial"/>
          <w:sz w:val="22"/>
          <w:szCs w:val="22"/>
          <w:lang w:val="es-ES"/>
        </w:rPr>
        <w:lastRenderedPageBreak/>
        <w:t>2.2 Materias activas de herbicidas para la producción integrada de fruta de pepita con indicación del código de resistencia HRAC</w:t>
      </w:r>
    </w:p>
    <w:p w:rsidR="00412AFB" w:rsidRPr="00993936" w:rsidRDefault="00412AFB" w:rsidP="00412AFB">
      <w:pPr>
        <w:pStyle w:val="Textoindependiente2"/>
        <w:rPr>
          <w:rFonts w:cs="Arial"/>
          <w:sz w:val="22"/>
          <w:szCs w:val="22"/>
          <w:lang w:val="es-ES"/>
        </w:rPr>
      </w:pPr>
    </w:p>
    <w:p w:rsidR="00412AFB" w:rsidRPr="00993936" w:rsidRDefault="00412AFB" w:rsidP="00412AFB">
      <w:pPr>
        <w:pStyle w:val="Textoindependiente2"/>
        <w:rPr>
          <w:rFonts w:cs="Arial"/>
          <w:sz w:val="22"/>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HERBICIDAS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C8678E">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HRAC (*)</w:t>
            </w:r>
          </w:p>
        </w:tc>
      </w:tr>
      <w:tr w:rsidR="00412AFB" w:rsidRPr="00993936" w:rsidTr="00C8678E">
        <w:trPr>
          <w:trHeight w:val="270"/>
        </w:trPr>
        <w:tc>
          <w:tcPr>
            <w:tcW w:w="2500" w:type="pct"/>
            <w:shd w:val="solid" w:color="FFFFFF" w:fill="auto"/>
          </w:tcPr>
          <w:p w:rsidR="00412AFB" w:rsidRPr="00993936" w:rsidRDefault="00412AFB" w:rsidP="00C8678E">
            <w:pPr>
              <w:jc w:val="both"/>
              <w:rPr>
                <w:rFonts w:ascii="Arial" w:hAnsi="Arial" w:cs="Arial"/>
                <w:lang w:val="es-ES"/>
              </w:rPr>
            </w:pPr>
            <w:r w:rsidRPr="00993936">
              <w:rPr>
                <w:rFonts w:ascii="Arial" w:hAnsi="Arial" w:cs="Arial"/>
                <w:lang w:val="es-ES"/>
              </w:rPr>
              <w:t>2,4-D + Glifosato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O+G</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Ácido pelargónico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Z</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Ácido pelargónico + Glifosato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Z+G</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Carfentrazona etil</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E</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Diflufenican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F1</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Diflufenican + Glifosato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F1+G</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Diflufenican + Oxifluorfen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F1+E</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Diquat</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D</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Fluazifop-P-butil</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A</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Fluroxipir</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O</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Glifosato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G</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Glifosato + MCPA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G+O</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Glifosato + Oxifluorfen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G+E</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Glifosato + Piraflufen etil</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G+E</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Glufosinato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H</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Isoxaben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L</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MCPA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O</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Napropamida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K3</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Oxifluorfen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E</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Pendimetalina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K1</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Piraflufen-etil</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E</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Piriproxifen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7C</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Propaquizafop</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A</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Quizalofop-P-etil</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A</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(HRAC) diferentes</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a Herbicidas</w:t>
            </w:r>
          </w:p>
        </w:tc>
      </w:tr>
    </w:tbl>
    <w:p w:rsidR="00412AFB" w:rsidRPr="00993936" w:rsidRDefault="00412AFB" w:rsidP="00412AFB">
      <w:pPr>
        <w:rPr>
          <w:rFonts w:ascii="Arial" w:hAnsi="Arial" w:cs="Arial"/>
          <w:b/>
          <w:lang w:val="es-ES"/>
        </w:rPr>
        <w:sectPr w:rsidR="00412AFB" w:rsidRPr="00993936">
          <w:pgSz w:w="11906" w:h="16838"/>
          <w:pgMar w:top="1417" w:right="1701" w:bottom="1417" w:left="1701" w:header="708" w:footer="708" w:gutter="0"/>
          <w:cols w:space="708"/>
          <w:docGrid w:linePitch="360"/>
        </w:sectPr>
      </w:pPr>
    </w:p>
    <w:p w:rsidR="00412AFB" w:rsidRPr="00993936" w:rsidRDefault="00412AFB" w:rsidP="007876F3">
      <w:pPr>
        <w:pStyle w:val="Sinespaciado"/>
        <w:rPr>
          <w:rFonts w:ascii="Arial" w:hAnsi="Arial" w:cs="Arial"/>
          <w:b/>
          <w:lang w:val="es-ES"/>
        </w:rPr>
      </w:pPr>
      <w:r w:rsidRPr="00993936">
        <w:rPr>
          <w:rFonts w:ascii="Arial" w:hAnsi="Arial" w:cs="Arial"/>
          <w:b/>
          <w:lang w:val="es-ES"/>
        </w:rPr>
        <w:lastRenderedPageBreak/>
        <w:t>ANEXO 3</w:t>
      </w:r>
    </w:p>
    <w:p w:rsidR="00412AFB" w:rsidRPr="00993936" w:rsidRDefault="00412AFB" w:rsidP="007876F3">
      <w:pPr>
        <w:pStyle w:val="Sinespaciado"/>
        <w:rPr>
          <w:rFonts w:ascii="Arial" w:hAnsi="Arial" w:cs="Arial"/>
          <w:b/>
          <w:snapToGrid w:val="0"/>
          <w:lang w:val="es-ES"/>
        </w:rPr>
      </w:pPr>
      <w:r w:rsidRPr="00993936">
        <w:rPr>
          <w:rFonts w:ascii="Arial" w:hAnsi="Arial" w:cs="Arial"/>
          <w:b/>
          <w:snapToGrid w:val="0"/>
          <w:lang w:val="es-ES"/>
        </w:rPr>
        <w:t>3.1. Materias activas de insecticidas para la producción integrada de fruta de pepita.</w:t>
      </w:r>
    </w:p>
    <w:p w:rsidR="00412AFB" w:rsidRPr="00993936" w:rsidRDefault="00412AFB" w:rsidP="007876F3">
      <w:pPr>
        <w:pStyle w:val="Sinespaciado"/>
        <w:rPr>
          <w:rFonts w:ascii="Arial" w:hAnsi="Arial" w:cs="Arial"/>
          <w:b/>
          <w:snapToGrid w:val="0"/>
          <w:lang w:val="es-ES"/>
        </w:rPr>
      </w:pPr>
      <w:r w:rsidRPr="00993936">
        <w:rPr>
          <w:rFonts w:ascii="Arial" w:hAnsi="Arial" w:cs="Arial"/>
          <w:b/>
          <w:snapToGrid w:val="0"/>
          <w:lang w:val="es-ES"/>
        </w:rPr>
        <w:t>3.1.1. Manzanas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0"/>
        <w:gridCol w:w="2724"/>
        <w:gridCol w:w="3279"/>
        <w:gridCol w:w="3561"/>
      </w:tblGrid>
      <w:tr w:rsidR="00412AFB" w:rsidRPr="00993936" w:rsidTr="007876F3">
        <w:trPr>
          <w:jc w:val="center"/>
        </w:trPr>
        <w:tc>
          <w:tcPr>
            <w:tcW w:w="1619"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PLAGA</w:t>
            </w:r>
          </w:p>
        </w:tc>
        <w:tc>
          <w:tcPr>
            <w:tcW w:w="963"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UMBRAL DE TOLERANCIA</w:t>
            </w:r>
          </w:p>
        </w:tc>
        <w:tc>
          <w:tcPr>
            <w:tcW w:w="1159"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259"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7876F3">
        <w:trPr>
          <w:cantSplit/>
          <w:jc w:val="center"/>
        </w:trPr>
        <w:tc>
          <w:tcPr>
            <w:tcW w:w="1619" w:type="pct"/>
            <w:vMerge w:val="restart"/>
            <w:vAlign w:val="center"/>
          </w:tcPr>
          <w:p w:rsidR="00412AFB" w:rsidRPr="00993936" w:rsidRDefault="00412AFB" w:rsidP="00C8678E">
            <w:pPr>
              <w:pStyle w:val="Ttulo1"/>
              <w:rPr>
                <w:rFonts w:ascii="Arial" w:hAnsi="Arial" w:cs="Arial"/>
                <w:b/>
                <w:color w:val="auto"/>
                <w:sz w:val="22"/>
                <w:szCs w:val="22"/>
              </w:rPr>
            </w:pPr>
            <w:r w:rsidRPr="00993936">
              <w:rPr>
                <w:rFonts w:ascii="Arial" w:hAnsi="Arial" w:cs="Arial"/>
                <w:b/>
                <w:color w:val="auto"/>
                <w:sz w:val="22"/>
                <w:szCs w:val="22"/>
              </w:rPr>
              <w:t>Piojo de San José</w:t>
            </w:r>
          </w:p>
          <w:p w:rsidR="00412AFB" w:rsidRPr="00993936" w:rsidRDefault="00412AFB" w:rsidP="00C8678E">
            <w:pPr>
              <w:pStyle w:val="Ttulo9"/>
              <w:rPr>
                <w:rFonts w:ascii="Arial" w:hAnsi="Arial" w:cs="Arial"/>
                <w:i w:val="0"/>
                <w:color w:val="auto"/>
                <w:sz w:val="22"/>
                <w:szCs w:val="22"/>
                <w:lang w:val="es-ES"/>
              </w:rPr>
            </w:pPr>
            <w:r w:rsidRPr="00993936">
              <w:rPr>
                <w:rFonts w:ascii="Arial" w:hAnsi="Arial" w:cs="Arial"/>
                <w:color w:val="auto"/>
                <w:sz w:val="22"/>
                <w:szCs w:val="22"/>
                <w:lang w:val="es-ES"/>
              </w:rPr>
              <w:t>Comstockaspis perniciosa</w:t>
            </w:r>
          </w:p>
        </w:tc>
        <w:tc>
          <w:tcPr>
            <w:tcW w:w="963" w:type="pct"/>
            <w:vAlign w:val="center"/>
          </w:tcPr>
          <w:p w:rsidR="00412AFB" w:rsidRPr="00993936" w:rsidRDefault="00412AFB" w:rsidP="00C8678E">
            <w:pPr>
              <w:rPr>
                <w:rFonts w:ascii="Arial" w:hAnsi="Arial" w:cs="Arial"/>
                <w:lang w:val="es-ES"/>
              </w:rPr>
            </w:pPr>
            <w:r w:rsidRPr="00993936">
              <w:rPr>
                <w:rFonts w:ascii="Arial" w:hAnsi="Arial" w:cs="Arial"/>
                <w:lang w:val="es-ES"/>
              </w:rPr>
              <w:t xml:space="preserve">Tratamientos de invierno: Presencia </w:t>
            </w:r>
          </w:p>
        </w:tc>
        <w:tc>
          <w:tcPr>
            <w:tcW w:w="1159" w:type="pct"/>
            <w:vAlign w:val="center"/>
          </w:tcPr>
          <w:p w:rsidR="00412AFB" w:rsidRPr="00993936" w:rsidRDefault="00412AFB" w:rsidP="00C8678E">
            <w:pPr>
              <w:spacing w:after="0" w:line="240" w:lineRule="auto"/>
              <w:rPr>
                <w:rFonts w:ascii="Arial" w:hAnsi="Arial" w:cs="Arial"/>
                <w:lang w:val="es-ES"/>
              </w:rPr>
            </w:pPr>
            <w:r w:rsidRPr="00993936">
              <w:rPr>
                <w:rFonts w:ascii="Arial" w:hAnsi="Arial" w:cs="Arial"/>
                <w:lang w:val="es-ES"/>
              </w:rPr>
              <w:t xml:space="preserve">Azadiractina </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 xml:space="preserve">Fenoxicarb </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Aceite parafínico</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Polisulfuro de calcio</w:t>
            </w:r>
          </w:p>
        </w:tc>
        <w:tc>
          <w:tcPr>
            <w:tcW w:w="1259" w:type="pct"/>
            <w:vMerge w:val="restart"/>
            <w:vAlign w:val="center"/>
          </w:tcPr>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Máximo: 1 tratamiento/año</w:t>
            </w:r>
          </w:p>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Máximo: 2 tratamientos/año</w:t>
            </w:r>
          </w:p>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Máximo: 3 tratamientos/año</w:t>
            </w:r>
          </w:p>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Tratamiento localizado con aceite parafínico</w:t>
            </w:r>
          </w:p>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Solo formulaciones autorizadas</w:t>
            </w:r>
          </w:p>
          <w:p w:rsidR="00412AFB" w:rsidRPr="00993936" w:rsidRDefault="00412AFB" w:rsidP="009D1A2D">
            <w:pPr>
              <w:numPr>
                <w:ilvl w:val="0"/>
                <w:numId w:val="49"/>
              </w:numPr>
              <w:spacing w:after="0" w:line="240" w:lineRule="auto"/>
              <w:rPr>
                <w:rFonts w:ascii="Arial" w:hAnsi="Arial" w:cs="Arial"/>
                <w:lang w:val="es-ES"/>
              </w:rPr>
            </w:pPr>
            <w:r w:rsidRPr="00993936">
              <w:rPr>
                <w:rFonts w:ascii="Arial" w:hAnsi="Arial" w:cs="Arial"/>
                <w:lang w:val="es-ES"/>
              </w:rPr>
              <w:t>Solo desde el estadio F2 a cuajado con dosis autorizada</w:t>
            </w:r>
          </w:p>
          <w:p w:rsidR="00412AFB" w:rsidRPr="00993936" w:rsidRDefault="00412AFB" w:rsidP="00C8678E">
            <w:pPr>
              <w:rPr>
                <w:rFonts w:ascii="Arial" w:hAnsi="Arial" w:cs="Arial"/>
                <w:lang w:val="es-ES"/>
              </w:rPr>
            </w:pPr>
          </w:p>
          <w:p w:rsidR="00412AFB" w:rsidRPr="00993936" w:rsidRDefault="00412AFB" w:rsidP="00C8678E">
            <w:pPr>
              <w:rPr>
                <w:rFonts w:ascii="Arial" w:hAnsi="Arial" w:cs="Arial"/>
                <w:lang w:val="es-ES"/>
              </w:rPr>
            </w:pPr>
          </w:p>
        </w:tc>
      </w:tr>
      <w:tr w:rsidR="00412AFB" w:rsidRPr="00993936" w:rsidTr="007876F3">
        <w:trPr>
          <w:cantSplit/>
          <w:jc w:val="center"/>
        </w:trPr>
        <w:tc>
          <w:tcPr>
            <w:tcW w:w="1619" w:type="pct"/>
            <w:vMerge/>
            <w:vAlign w:val="center"/>
          </w:tcPr>
          <w:p w:rsidR="00412AFB" w:rsidRPr="00993936" w:rsidRDefault="00412AFB" w:rsidP="00C8678E">
            <w:pPr>
              <w:rPr>
                <w:rFonts w:ascii="Arial" w:hAnsi="Arial" w:cs="Arial"/>
                <w:lang w:val="es-ES"/>
              </w:rPr>
            </w:pPr>
          </w:p>
        </w:tc>
        <w:tc>
          <w:tcPr>
            <w:tcW w:w="963" w:type="pct"/>
            <w:vAlign w:val="center"/>
          </w:tcPr>
          <w:p w:rsidR="00412AFB" w:rsidRPr="00993936" w:rsidRDefault="00412AFB" w:rsidP="00C8678E">
            <w:pPr>
              <w:rPr>
                <w:rFonts w:ascii="Arial" w:hAnsi="Arial" w:cs="Arial"/>
                <w:lang w:val="es-ES"/>
              </w:rPr>
            </w:pPr>
            <w:r w:rsidRPr="00993936">
              <w:rPr>
                <w:rFonts w:ascii="Arial" w:hAnsi="Arial" w:cs="Arial"/>
                <w:lang w:val="es-ES"/>
              </w:rPr>
              <w:t xml:space="preserve">En prefloración: Presencia </w:t>
            </w:r>
          </w:p>
        </w:tc>
        <w:tc>
          <w:tcPr>
            <w:tcW w:w="1159" w:type="pct"/>
            <w:vAlign w:val="center"/>
          </w:tcPr>
          <w:p w:rsidR="00412AFB" w:rsidRPr="00993936" w:rsidRDefault="00412AFB" w:rsidP="00C8678E">
            <w:pPr>
              <w:spacing w:after="0" w:line="240" w:lineRule="auto"/>
              <w:rPr>
                <w:rFonts w:ascii="Arial" w:hAnsi="Arial" w:cs="Arial"/>
                <w:lang w:val="es-ES"/>
              </w:rPr>
            </w:pPr>
            <w:r w:rsidRPr="00993936">
              <w:rPr>
                <w:rFonts w:ascii="Arial" w:hAnsi="Arial" w:cs="Arial"/>
                <w:lang w:val="es-ES"/>
              </w:rPr>
              <w:t>Aceite parafínico</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Piriproxifen (8)</w:t>
            </w:r>
          </w:p>
        </w:tc>
        <w:tc>
          <w:tcPr>
            <w:tcW w:w="1259" w:type="pct"/>
            <w:vMerge/>
            <w:vAlign w:val="center"/>
          </w:tcPr>
          <w:p w:rsidR="00412AFB" w:rsidRPr="00993936" w:rsidRDefault="00412AFB" w:rsidP="00C8678E">
            <w:pPr>
              <w:rPr>
                <w:rFonts w:ascii="Arial" w:hAnsi="Arial" w:cs="Arial"/>
                <w:lang w:val="es-ES"/>
              </w:rPr>
            </w:pPr>
          </w:p>
        </w:tc>
      </w:tr>
      <w:tr w:rsidR="00412AFB" w:rsidRPr="00993936" w:rsidTr="007876F3">
        <w:trPr>
          <w:cantSplit/>
          <w:jc w:val="center"/>
        </w:trPr>
        <w:tc>
          <w:tcPr>
            <w:tcW w:w="1619" w:type="pct"/>
            <w:vMerge/>
            <w:vAlign w:val="center"/>
          </w:tcPr>
          <w:p w:rsidR="00412AFB" w:rsidRPr="00993936" w:rsidRDefault="00412AFB" w:rsidP="00C8678E">
            <w:pPr>
              <w:rPr>
                <w:rFonts w:ascii="Arial" w:hAnsi="Arial" w:cs="Arial"/>
                <w:lang w:val="es-ES"/>
              </w:rPr>
            </w:pPr>
          </w:p>
        </w:tc>
        <w:tc>
          <w:tcPr>
            <w:tcW w:w="963" w:type="pct"/>
            <w:vAlign w:val="center"/>
          </w:tcPr>
          <w:p w:rsidR="00412AFB" w:rsidRPr="00993936" w:rsidRDefault="00412AFB" w:rsidP="00C8678E">
            <w:pPr>
              <w:rPr>
                <w:rFonts w:ascii="Arial" w:hAnsi="Arial" w:cs="Arial"/>
                <w:lang w:val="es-ES"/>
              </w:rPr>
            </w:pPr>
            <w:r w:rsidRPr="00993936">
              <w:rPr>
                <w:rFonts w:ascii="Arial" w:hAnsi="Arial" w:cs="Arial"/>
                <w:lang w:val="es-ES"/>
              </w:rPr>
              <w:t>En 1.ª generación: &gt; 2 % de árboles ocupados por formas móviles</w:t>
            </w:r>
          </w:p>
        </w:tc>
        <w:tc>
          <w:tcPr>
            <w:tcW w:w="1159" w:type="pct"/>
            <w:vAlign w:val="center"/>
          </w:tcPr>
          <w:p w:rsidR="00412AFB" w:rsidRPr="00993936" w:rsidRDefault="00412AFB" w:rsidP="00C8678E">
            <w:pPr>
              <w:spacing w:after="0" w:line="240" w:lineRule="auto"/>
              <w:rPr>
                <w:rFonts w:ascii="Arial" w:hAnsi="Arial" w:cs="Arial"/>
                <w:lang w:val="es-ES"/>
              </w:rPr>
            </w:pPr>
            <w:r w:rsidRPr="00993936">
              <w:rPr>
                <w:rFonts w:ascii="Arial" w:hAnsi="Arial" w:cs="Arial"/>
                <w:lang w:val="es-ES"/>
              </w:rPr>
              <w:t>Buprofezin</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Deltametrina</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 xml:space="preserve">Metil-clorpirifos </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Spirotetramat</w:t>
            </w:r>
          </w:p>
        </w:tc>
        <w:tc>
          <w:tcPr>
            <w:tcW w:w="1259" w:type="pct"/>
            <w:vMerge/>
            <w:vAlign w:val="center"/>
          </w:tcPr>
          <w:p w:rsidR="00412AFB" w:rsidRPr="00993936" w:rsidRDefault="00412AFB" w:rsidP="00C8678E">
            <w:pPr>
              <w:rPr>
                <w:rFonts w:ascii="Arial" w:hAnsi="Arial" w:cs="Arial"/>
                <w:lang w:val="es-ES"/>
              </w:rPr>
            </w:pPr>
          </w:p>
        </w:tc>
      </w:tr>
      <w:tr w:rsidR="00412AFB" w:rsidRPr="00993936" w:rsidTr="007876F3">
        <w:trPr>
          <w:cantSplit/>
          <w:jc w:val="center"/>
        </w:trPr>
        <w:tc>
          <w:tcPr>
            <w:tcW w:w="1619" w:type="pct"/>
            <w:vAlign w:val="center"/>
          </w:tcPr>
          <w:p w:rsidR="00412AFB" w:rsidRPr="00993936" w:rsidRDefault="00412AFB" w:rsidP="007876F3">
            <w:pPr>
              <w:pStyle w:val="Ttulo1"/>
              <w:rPr>
                <w:rFonts w:ascii="Arial" w:hAnsi="Arial" w:cs="Arial"/>
                <w:b/>
                <w:color w:val="auto"/>
                <w:sz w:val="22"/>
                <w:szCs w:val="22"/>
                <w:lang w:val="es-ES"/>
              </w:rPr>
            </w:pPr>
            <w:r w:rsidRPr="00993936">
              <w:rPr>
                <w:rFonts w:ascii="Arial" w:hAnsi="Arial" w:cs="Arial"/>
                <w:b/>
                <w:color w:val="auto"/>
                <w:sz w:val="22"/>
                <w:szCs w:val="22"/>
              </w:rPr>
              <w:t>Orugas roedoras de la piel:</w:t>
            </w:r>
            <w:r w:rsidR="007876F3" w:rsidRPr="00993936">
              <w:rPr>
                <w:rFonts w:ascii="Arial" w:hAnsi="Arial" w:cs="Arial"/>
                <w:b/>
                <w:color w:val="auto"/>
                <w:sz w:val="22"/>
                <w:szCs w:val="22"/>
                <w:lang w:val="es-ES"/>
              </w:rPr>
              <w:t>Capua</w:t>
            </w:r>
          </w:p>
          <w:p w:rsidR="007876F3" w:rsidRPr="00993936" w:rsidRDefault="007876F3" w:rsidP="007876F3">
            <w:pPr>
              <w:rPr>
                <w:lang w:val="es-ES"/>
              </w:rPr>
            </w:pP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 xml:space="preserve">Adoxophyes orana </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 xml:space="preserve">Cacoecimorpha pronubana </w:t>
            </w:r>
          </w:p>
          <w:p w:rsidR="00412AFB" w:rsidRPr="00993936" w:rsidRDefault="00412AFB" w:rsidP="00C8678E">
            <w:pPr>
              <w:rPr>
                <w:rFonts w:ascii="Arial" w:hAnsi="Arial" w:cs="Arial"/>
                <w:i/>
                <w:snapToGrid w:val="0"/>
                <w:lang w:val="es-ES"/>
              </w:rPr>
            </w:pPr>
            <w:r w:rsidRPr="00993936">
              <w:rPr>
                <w:rFonts w:ascii="Arial" w:hAnsi="Arial" w:cs="Arial"/>
                <w:i/>
                <w:snapToGrid w:val="0"/>
                <w:lang w:val="es-ES"/>
              </w:rPr>
              <w:t xml:space="preserve">Pandemis heparana </w:t>
            </w:r>
          </w:p>
        </w:tc>
        <w:tc>
          <w:tcPr>
            <w:tcW w:w="963" w:type="pct"/>
            <w:vAlign w:val="center"/>
          </w:tcPr>
          <w:p w:rsidR="00412AFB" w:rsidRPr="00993936" w:rsidRDefault="00412AFB" w:rsidP="00C8678E">
            <w:pPr>
              <w:rPr>
                <w:rFonts w:ascii="Arial" w:hAnsi="Arial" w:cs="Arial"/>
                <w:lang w:val="es-ES"/>
              </w:rPr>
            </w:pPr>
            <w:r w:rsidRPr="00993936">
              <w:rPr>
                <w:rFonts w:ascii="Arial" w:hAnsi="Arial" w:cs="Arial"/>
                <w:lang w:val="es-ES"/>
              </w:rPr>
              <w:t>En prefloración: presencia</w:t>
            </w:r>
          </w:p>
          <w:p w:rsidR="00412AFB" w:rsidRPr="00993936" w:rsidRDefault="00412AFB" w:rsidP="00C8678E">
            <w:pPr>
              <w:rPr>
                <w:rFonts w:ascii="Arial" w:hAnsi="Arial" w:cs="Arial"/>
                <w:lang w:val="es-ES"/>
              </w:rPr>
            </w:pPr>
            <w:r w:rsidRPr="00993936">
              <w:rPr>
                <w:rFonts w:ascii="Arial" w:hAnsi="Arial" w:cs="Arial"/>
                <w:lang w:val="es-ES"/>
              </w:rPr>
              <w:t>En periodo vegetativo: 15-25 adultos/trampa/semana por una de las plagas y 15-25 adultos/ trampa/semana para capturas conjuntas de una especie</w:t>
            </w:r>
          </w:p>
        </w:tc>
        <w:tc>
          <w:tcPr>
            <w:tcW w:w="1159" w:type="pct"/>
            <w:vAlign w:val="center"/>
          </w:tcPr>
          <w:p w:rsidR="00412AFB" w:rsidRPr="00993936" w:rsidRDefault="00412AFB" w:rsidP="00C8678E">
            <w:pPr>
              <w:spacing w:after="0" w:line="240" w:lineRule="auto"/>
              <w:rPr>
                <w:rFonts w:ascii="Arial" w:hAnsi="Arial" w:cs="Arial"/>
                <w:lang w:val="es-ES"/>
              </w:rPr>
            </w:pPr>
            <w:r w:rsidRPr="00993936">
              <w:rPr>
                <w:rFonts w:ascii="Arial" w:hAnsi="Arial" w:cs="Arial"/>
                <w:lang w:val="es-ES"/>
              </w:rPr>
              <w:t>Acetamiprid</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 xml:space="preserve">Azadiractina </w:t>
            </w:r>
          </w:p>
          <w:p w:rsidR="00412AFB" w:rsidRPr="00993936" w:rsidRDefault="00412AFB" w:rsidP="00C8678E">
            <w:pPr>
              <w:spacing w:after="0" w:line="240" w:lineRule="auto"/>
              <w:rPr>
                <w:rFonts w:ascii="Arial" w:hAnsi="Arial" w:cs="Arial"/>
                <w:i/>
                <w:lang w:val="es-ES"/>
              </w:rPr>
            </w:pPr>
            <w:r w:rsidRPr="00993936">
              <w:rPr>
                <w:rFonts w:ascii="Arial" w:hAnsi="Arial" w:cs="Arial"/>
                <w:i/>
                <w:lang w:val="es-ES"/>
              </w:rPr>
              <w:t>Bacillus thuringiensis kurstaki</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Beta-ciflutrina</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Clorantraniliprol</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 xml:space="preserve">Deltametrina </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Esfenvalerat</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Fenoxicarb</w:t>
            </w:r>
            <w:r w:rsidR="00E03B3B" w:rsidRPr="00993936">
              <w:rPr>
                <w:rFonts w:ascii="Arial" w:hAnsi="Arial" w:cs="Arial"/>
                <w:lang w:val="es-ES"/>
              </w:rPr>
              <w:t xml:space="preserve"> </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Fosmet (1) (9)</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Lambda-cihalotrina (4) (1)</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 xml:space="preserve">Metil-clorpirifos </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Metoxifenocida</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Tebufenocida (2)</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Triflumuron</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Zeta-cipermetrina</w:t>
            </w:r>
          </w:p>
        </w:tc>
        <w:tc>
          <w:tcPr>
            <w:tcW w:w="1259" w:type="pct"/>
            <w:vMerge/>
            <w:vAlign w:val="center"/>
          </w:tcPr>
          <w:p w:rsidR="00412AFB" w:rsidRPr="00993936" w:rsidRDefault="00412AFB" w:rsidP="00C8678E">
            <w:pPr>
              <w:rPr>
                <w:rFonts w:ascii="Arial" w:hAnsi="Arial" w:cs="Arial"/>
                <w:lang w:val="es-ES"/>
              </w:rPr>
            </w:pPr>
          </w:p>
        </w:tc>
      </w:tr>
    </w:tbl>
    <w:p w:rsidR="00412AFB" w:rsidRPr="00993936" w:rsidRDefault="00412AFB" w:rsidP="00412AFB">
      <w:pPr>
        <w:jc w:val="both"/>
        <w:rPr>
          <w:rFonts w:ascii="Arial" w:hAnsi="Arial" w:cs="Arial"/>
          <w:b/>
          <w:snapToGrid w:val="0"/>
          <w:lang w:val="es-ES"/>
        </w:rPr>
      </w:pP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5"/>
        <w:gridCol w:w="3293"/>
        <w:gridCol w:w="249"/>
        <w:gridCol w:w="3636"/>
        <w:gridCol w:w="3534"/>
      </w:tblGrid>
      <w:tr w:rsidR="00412AFB" w:rsidRPr="00993936" w:rsidTr="007876F3">
        <w:trPr>
          <w:cantSplit/>
          <w:jc w:val="center"/>
        </w:trPr>
        <w:tc>
          <w:tcPr>
            <w:tcW w:w="1214" w:type="pct"/>
            <w:shd w:val="pct12" w:color="auto" w:fill="FFFFFF"/>
            <w:vAlign w:val="center"/>
          </w:tcPr>
          <w:p w:rsidR="00412AFB" w:rsidRPr="00993936" w:rsidRDefault="00412AFB" w:rsidP="007876F3">
            <w:pPr>
              <w:pStyle w:val="Sinespaciado"/>
              <w:rPr>
                <w:rFonts w:ascii="Arial" w:hAnsi="Arial" w:cs="Arial"/>
                <w:b/>
                <w:sz w:val="20"/>
                <w:szCs w:val="20"/>
                <w:lang w:val="es-ES"/>
              </w:rPr>
            </w:pPr>
            <w:r w:rsidRPr="00993936">
              <w:rPr>
                <w:rFonts w:ascii="Arial" w:hAnsi="Arial" w:cs="Arial"/>
                <w:b/>
                <w:snapToGrid w:val="0"/>
                <w:sz w:val="20"/>
                <w:szCs w:val="20"/>
                <w:lang w:val="es-ES"/>
              </w:rPr>
              <w:lastRenderedPageBreak/>
              <w:br w:type="page"/>
              <w:t xml:space="preserve"> </w:t>
            </w:r>
            <w:r w:rsidRPr="00993936">
              <w:rPr>
                <w:rFonts w:ascii="Arial" w:hAnsi="Arial" w:cs="Arial"/>
                <w:b/>
                <w:sz w:val="20"/>
                <w:szCs w:val="20"/>
                <w:lang w:val="es-ES"/>
              </w:rPr>
              <w:t>PLAGA</w:t>
            </w:r>
          </w:p>
        </w:tc>
        <w:tc>
          <w:tcPr>
            <w:tcW w:w="1252" w:type="pct"/>
            <w:gridSpan w:val="2"/>
            <w:shd w:val="pct12" w:color="auto" w:fill="FFFFFF"/>
            <w:vAlign w:val="center"/>
          </w:tcPr>
          <w:p w:rsidR="00412AFB" w:rsidRPr="00993936" w:rsidRDefault="00412AFB" w:rsidP="007876F3">
            <w:pPr>
              <w:pStyle w:val="Sinespaciado"/>
              <w:rPr>
                <w:rFonts w:ascii="Arial" w:hAnsi="Arial" w:cs="Arial"/>
                <w:b/>
                <w:sz w:val="20"/>
                <w:szCs w:val="20"/>
                <w:lang w:val="es-ES"/>
              </w:rPr>
            </w:pPr>
            <w:r w:rsidRPr="00993936">
              <w:rPr>
                <w:rFonts w:ascii="Arial" w:hAnsi="Arial" w:cs="Arial"/>
                <w:b/>
                <w:sz w:val="20"/>
                <w:szCs w:val="20"/>
                <w:lang w:val="es-ES"/>
              </w:rPr>
              <w:t>UMBRAL DE TOLERANCIA</w:t>
            </w:r>
          </w:p>
        </w:tc>
        <w:tc>
          <w:tcPr>
            <w:tcW w:w="1285" w:type="pct"/>
            <w:shd w:val="pct12" w:color="auto" w:fill="FFFFFF"/>
            <w:vAlign w:val="center"/>
          </w:tcPr>
          <w:p w:rsidR="00412AFB" w:rsidRPr="00993936" w:rsidRDefault="00412AFB" w:rsidP="007876F3">
            <w:pPr>
              <w:pStyle w:val="Sinespaciado"/>
              <w:rPr>
                <w:rFonts w:ascii="Arial" w:hAnsi="Arial" w:cs="Arial"/>
                <w:b/>
                <w:sz w:val="20"/>
                <w:szCs w:val="20"/>
                <w:lang w:val="es-ES"/>
              </w:rPr>
            </w:pPr>
            <w:r w:rsidRPr="00993936">
              <w:rPr>
                <w:rFonts w:ascii="Arial" w:hAnsi="Arial" w:cs="Arial"/>
                <w:b/>
                <w:sz w:val="20"/>
                <w:szCs w:val="20"/>
                <w:lang w:val="es-ES"/>
              </w:rPr>
              <w:t>MATERIA ACTIVA</w:t>
            </w:r>
          </w:p>
        </w:tc>
        <w:tc>
          <w:tcPr>
            <w:tcW w:w="1249" w:type="pct"/>
            <w:shd w:val="pct12" w:color="auto" w:fill="FFFFFF"/>
            <w:vAlign w:val="center"/>
          </w:tcPr>
          <w:p w:rsidR="00412AFB" w:rsidRPr="00993936" w:rsidRDefault="00412AFB" w:rsidP="007876F3">
            <w:pPr>
              <w:pStyle w:val="Sinespaciado"/>
              <w:rPr>
                <w:rFonts w:ascii="Arial" w:hAnsi="Arial" w:cs="Arial"/>
                <w:b/>
                <w:sz w:val="20"/>
                <w:szCs w:val="20"/>
                <w:lang w:val="es-ES"/>
              </w:rPr>
            </w:pPr>
            <w:r w:rsidRPr="00993936">
              <w:rPr>
                <w:rFonts w:ascii="Arial" w:hAnsi="Arial" w:cs="Arial"/>
                <w:b/>
                <w:sz w:val="20"/>
                <w:szCs w:val="20"/>
                <w:lang w:val="es-ES"/>
              </w:rPr>
              <w:t>RESTRICCIONES</w:t>
            </w:r>
          </w:p>
        </w:tc>
      </w:tr>
      <w:tr w:rsidR="00412AFB" w:rsidRPr="00993936" w:rsidTr="007876F3">
        <w:trPr>
          <w:cantSplit/>
          <w:jc w:val="center"/>
        </w:trPr>
        <w:tc>
          <w:tcPr>
            <w:tcW w:w="1214" w:type="pct"/>
            <w:vAlign w:val="center"/>
          </w:tcPr>
          <w:p w:rsidR="00412AFB" w:rsidRPr="00993936" w:rsidRDefault="00412AFB" w:rsidP="007876F3">
            <w:pPr>
              <w:pStyle w:val="Sinespaciado"/>
              <w:rPr>
                <w:rFonts w:ascii="Arial" w:hAnsi="Arial" w:cs="Arial"/>
                <w:sz w:val="20"/>
                <w:szCs w:val="20"/>
              </w:rPr>
            </w:pPr>
            <w:r w:rsidRPr="00993936">
              <w:rPr>
                <w:rFonts w:ascii="Arial" w:hAnsi="Arial" w:cs="Arial"/>
                <w:sz w:val="20"/>
                <w:szCs w:val="20"/>
              </w:rPr>
              <w:t>Minadores de hoja</w:t>
            </w:r>
          </w:p>
          <w:p w:rsidR="00412AFB" w:rsidRPr="00993936" w:rsidRDefault="00412AFB" w:rsidP="007876F3">
            <w:pPr>
              <w:pStyle w:val="Sinespaciado"/>
              <w:rPr>
                <w:rFonts w:ascii="Arial" w:hAnsi="Arial" w:cs="Arial"/>
                <w:i/>
                <w:snapToGrid w:val="0"/>
                <w:sz w:val="20"/>
                <w:szCs w:val="20"/>
                <w:lang w:val="es-ES"/>
              </w:rPr>
            </w:pPr>
            <w:r w:rsidRPr="00993936">
              <w:rPr>
                <w:rFonts w:ascii="Arial" w:hAnsi="Arial" w:cs="Arial"/>
                <w:i/>
                <w:snapToGrid w:val="0"/>
                <w:sz w:val="20"/>
                <w:szCs w:val="20"/>
                <w:lang w:val="es-ES"/>
              </w:rPr>
              <w:t xml:space="preserve">Phyllonorycter blancardella </w:t>
            </w:r>
          </w:p>
          <w:p w:rsidR="00412AFB" w:rsidRPr="00993936" w:rsidRDefault="00412AFB" w:rsidP="007876F3">
            <w:pPr>
              <w:pStyle w:val="Sinespaciado"/>
              <w:rPr>
                <w:rFonts w:ascii="Arial" w:hAnsi="Arial" w:cs="Arial"/>
                <w:i/>
                <w:snapToGrid w:val="0"/>
                <w:sz w:val="20"/>
                <w:szCs w:val="20"/>
                <w:lang w:val="es-ES"/>
              </w:rPr>
            </w:pPr>
            <w:r w:rsidRPr="00993936">
              <w:rPr>
                <w:rFonts w:ascii="Arial" w:hAnsi="Arial" w:cs="Arial"/>
                <w:i/>
                <w:snapToGrid w:val="0"/>
                <w:sz w:val="20"/>
                <w:szCs w:val="20"/>
                <w:lang w:val="es-ES"/>
              </w:rPr>
              <w:t xml:space="preserve">Phyllonorycter corylifoliella </w:t>
            </w:r>
          </w:p>
          <w:p w:rsidR="00412AFB" w:rsidRPr="00993936" w:rsidRDefault="00412AFB" w:rsidP="007876F3">
            <w:pPr>
              <w:pStyle w:val="Sinespaciado"/>
              <w:rPr>
                <w:rFonts w:ascii="Arial" w:hAnsi="Arial" w:cs="Arial"/>
                <w:i/>
                <w:snapToGrid w:val="0"/>
                <w:sz w:val="20"/>
                <w:szCs w:val="20"/>
                <w:lang w:val="es-ES"/>
              </w:rPr>
            </w:pPr>
            <w:r w:rsidRPr="00993936">
              <w:rPr>
                <w:rFonts w:ascii="Arial" w:hAnsi="Arial" w:cs="Arial"/>
                <w:i/>
                <w:snapToGrid w:val="0"/>
                <w:sz w:val="20"/>
                <w:szCs w:val="20"/>
                <w:lang w:val="es-ES"/>
              </w:rPr>
              <w:t xml:space="preserve">leucoptera malifoliella </w:t>
            </w:r>
          </w:p>
          <w:p w:rsidR="00412AFB" w:rsidRPr="00993936" w:rsidRDefault="00412AFB" w:rsidP="007876F3">
            <w:pPr>
              <w:pStyle w:val="Sinespaciado"/>
              <w:rPr>
                <w:rFonts w:ascii="Arial" w:hAnsi="Arial" w:cs="Arial"/>
                <w:snapToGrid w:val="0"/>
                <w:sz w:val="20"/>
                <w:szCs w:val="20"/>
                <w:lang w:val="es-ES"/>
              </w:rPr>
            </w:pPr>
          </w:p>
          <w:p w:rsidR="00412AFB" w:rsidRPr="00993936" w:rsidRDefault="00412AFB" w:rsidP="007876F3">
            <w:pPr>
              <w:pStyle w:val="Sinespaciado"/>
              <w:rPr>
                <w:rFonts w:ascii="Arial" w:hAnsi="Arial" w:cs="Arial"/>
                <w:sz w:val="20"/>
                <w:szCs w:val="20"/>
                <w:lang w:val="es-ES"/>
              </w:rPr>
            </w:pPr>
          </w:p>
        </w:tc>
        <w:tc>
          <w:tcPr>
            <w:tcW w:w="1252" w:type="pct"/>
            <w:gridSpan w:val="2"/>
            <w:vMerge w:val="restart"/>
            <w:vAlign w:val="center"/>
          </w:tcPr>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50 o más minas de larvas no parasitadas por árbol o 100 capturas/semana en trampa de feromona</w:t>
            </w:r>
          </w:p>
        </w:tc>
        <w:tc>
          <w:tcPr>
            <w:tcW w:w="1285" w:type="pct"/>
            <w:vAlign w:val="center"/>
          </w:tcPr>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Acetamiprid</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Azadiractina</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Beta-ciflutrina</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 xml:space="preserve">Clorantraniliprol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Diflubenzuron</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Deltametrina (10)</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Imidacloprid (2)</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Lambda-cihalotrina (10) (1)</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Aceite parafínico</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Zeta-cipermetrina (10)</w:t>
            </w:r>
          </w:p>
        </w:tc>
        <w:tc>
          <w:tcPr>
            <w:tcW w:w="1249" w:type="pct"/>
            <w:vMerge w:val="restart"/>
            <w:vAlign w:val="center"/>
          </w:tcPr>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Máximo: 1 tratamiento/año</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Máximo: 2 tratamientos/año</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Máximo: 3 tratamientos/año</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Solo formulaciones que no sean de clasificación toxicológica (T)</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 xml:space="preserve">Máximo: 1 tratamiento/año grupo METI a dosis mínima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 xml:space="preserve">Máximo: 2 tratamientos/año entre todas las bencilo-ureas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Tratamiento localizado con aceite parafínico</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Materia activa utilizada mediante el método de la quimioesterilización</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Solo desde el estadio F2 a cuajado con dosis autorizada</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Utilizar solo cuando el resto de las materias activas sin restricciones no hayan sido efectivas</w:t>
            </w:r>
          </w:p>
          <w:p w:rsidR="00412AFB" w:rsidRPr="00993936" w:rsidRDefault="00412AFB" w:rsidP="007876F3">
            <w:pPr>
              <w:pStyle w:val="Sinespaciado"/>
              <w:rPr>
                <w:rFonts w:ascii="Arial" w:hAnsi="Arial" w:cs="Arial"/>
                <w:sz w:val="20"/>
                <w:szCs w:val="20"/>
                <w:lang w:val="es-ES"/>
              </w:rPr>
            </w:pPr>
          </w:p>
          <w:p w:rsidR="00412AFB" w:rsidRPr="00993936" w:rsidRDefault="00412AFB" w:rsidP="007876F3">
            <w:pPr>
              <w:pStyle w:val="Sinespaciado"/>
              <w:rPr>
                <w:rFonts w:ascii="Arial" w:hAnsi="Arial" w:cs="Arial"/>
                <w:sz w:val="20"/>
                <w:szCs w:val="20"/>
                <w:lang w:val="es-ES"/>
              </w:rPr>
            </w:pPr>
          </w:p>
          <w:p w:rsidR="00412AFB" w:rsidRPr="00993936" w:rsidRDefault="00412AFB" w:rsidP="007876F3">
            <w:pPr>
              <w:pStyle w:val="Sinespaciado"/>
              <w:rPr>
                <w:rFonts w:ascii="Arial" w:hAnsi="Arial" w:cs="Arial"/>
                <w:sz w:val="20"/>
                <w:szCs w:val="20"/>
                <w:lang w:val="es-ES"/>
              </w:rPr>
            </w:pPr>
          </w:p>
          <w:p w:rsidR="00412AFB" w:rsidRPr="00993936" w:rsidRDefault="00412AFB" w:rsidP="007876F3">
            <w:pPr>
              <w:pStyle w:val="Sinespaciado"/>
              <w:rPr>
                <w:rFonts w:ascii="Arial" w:hAnsi="Arial" w:cs="Arial"/>
                <w:sz w:val="20"/>
                <w:szCs w:val="20"/>
                <w:lang w:val="es-ES"/>
              </w:rPr>
            </w:pPr>
          </w:p>
          <w:p w:rsidR="00412AFB" w:rsidRPr="00993936" w:rsidRDefault="00412AFB" w:rsidP="007876F3">
            <w:pPr>
              <w:pStyle w:val="Sinespaciado"/>
              <w:rPr>
                <w:rFonts w:ascii="Arial" w:hAnsi="Arial" w:cs="Arial"/>
                <w:sz w:val="20"/>
                <w:szCs w:val="20"/>
                <w:lang w:val="es-ES"/>
              </w:rPr>
            </w:pPr>
          </w:p>
          <w:p w:rsidR="00412AFB" w:rsidRPr="00993936" w:rsidRDefault="00412AFB" w:rsidP="007876F3">
            <w:pPr>
              <w:pStyle w:val="Sinespaciado"/>
              <w:rPr>
                <w:rFonts w:ascii="Arial" w:hAnsi="Arial" w:cs="Arial"/>
                <w:sz w:val="20"/>
                <w:szCs w:val="20"/>
                <w:lang w:val="es-ES"/>
              </w:rPr>
            </w:pPr>
          </w:p>
          <w:p w:rsidR="00412AFB" w:rsidRPr="00993936" w:rsidRDefault="00412AFB" w:rsidP="007876F3">
            <w:pPr>
              <w:pStyle w:val="Sinespaciado"/>
              <w:rPr>
                <w:rFonts w:ascii="Arial" w:hAnsi="Arial" w:cs="Arial"/>
                <w:sz w:val="20"/>
                <w:szCs w:val="20"/>
                <w:lang w:val="es-ES"/>
              </w:rPr>
            </w:pPr>
          </w:p>
          <w:p w:rsidR="00412AFB" w:rsidRPr="00993936" w:rsidRDefault="00412AFB" w:rsidP="007876F3">
            <w:pPr>
              <w:pStyle w:val="Sinespaciado"/>
              <w:rPr>
                <w:rFonts w:ascii="Arial" w:hAnsi="Arial" w:cs="Arial"/>
                <w:sz w:val="20"/>
                <w:szCs w:val="20"/>
                <w:lang w:val="es-ES"/>
              </w:rPr>
            </w:pPr>
          </w:p>
        </w:tc>
      </w:tr>
      <w:tr w:rsidR="00412AFB" w:rsidRPr="00993936" w:rsidTr="007876F3">
        <w:trPr>
          <w:cantSplit/>
          <w:trHeight w:val="407"/>
          <w:jc w:val="center"/>
        </w:trPr>
        <w:tc>
          <w:tcPr>
            <w:tcW w:w="1214" w:type="pct"/>
            <w:vAlign w:val="center"/>
          </w:tcPr>
          <w:p w:rsidR="007876F3"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 xml:space="preserve">Minadores de hoja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(1.ª generación)</w:t>
            </w:r>
          </w:p>
        </w:tc>
        <w:tc>
          <w:tcPr>
            <w:tcW w:w="1252" w:type="pct"/>
            <w:gridSpan w:val="2"/>
            <w:vMerge/>
            <w:vAlign w:val="center"/>
          </w:tcPr>
          <w:p w:rsidR="00412AFB" w:rsidRPr="00993936" w:rsidRDefault="00412AFB" w:rsidP="007876F3">
            <w:pPr>
              <w:pStyle w:val="Sinespaciado"/>
              <w:rPr>
                <w:rFonts w:ascii="Arial" w:hAnsi="Arial" w:cs="Arial"/>
                <w:sz w:val="20"/>
                <w:szCs w:val="20"/>
                <w:lang w:val="es-ES"/>
              </w:rPr>
            </w:pPr>
          </w:p>
        </w:tc>
        <w:tc>
          <w:tcPr>
            <w:tcW w:w="1285" w:type="pct"/>
            <w:vAlign w:val="center"/>
          </w:tcPr>
          <w:p w:rsidR="00412AFB" w:rsidRPr="00993936" w:rsidRDefault="00412AFB" w:rsidP="007876F3">
            <w:pPr>
              <w:pStyle w:val="Sinespaciado"/>
              <w:rPr>
                <w:rFonts w:ascii="Arial" w:hAnsi="Arial" w:cs="Arial"/>
                <w:snapToGrid w:val="0"/>
                <w:sz w:val="20"/>
                <w:szCs w:val="20"/>
                <w:lang w:val="es-ES"/>
              </w:rPr>
            </w:pPr>
          </w:p>
        </w:tc>
        <w:tc>
          <w:tcPr>
            <w:tcW w:w="1249" w:type="pct"/>
            <w:vMerge/>
            <w:vAlign w:val="center"/>
          </w:tcPr>
          <w:p w:rsidR="00412AFB" w:rsidRPr="00993936" w:rsidRDefault="00412AFB" w:rsidP="007876F3">
            <w:pPr>
              <w:pStyle w:val="Sinespaciado"/>
              <w:rPr>
                <w:rFonts w:ascii="Arial" w:hAnsi="Arial" w:cs="Arial"/>
                <w:sz w:val="20"/>
                <w:szCs w:val="20"/>
                <w:lang w:val="es-ES"/>
              </w:rPr>
            </w:pPr>
          </w:p>
        </w:tc>
      </w:tr>
      <w:tr w:rsidR="00412AFB" w:rsidRPr="00993936" w:rsidTr="007876F3">
        <w:trPr>
          <w:cantSplit/>
          <w:jc w:val="center"/>
        </w:trPr>
        <w:tc>
          <w:tcPr>
            <w:tcW w:w="1214" w:type="pct"/>
            <w:vAlign w:val="center"/>
          </w:tcPr>
          <w:p w:rsidR="00412AFB" w:rsidRPr="00993936" w:rsidRDefault="00412AFB" w:rsidP="007876F3">
            <w:pPr>
              <w:pStyle w:val="Sinespaciado"/>
              <w:rPr>
                <w:rFonts w:ascii="Arial" w:hAnsi="Arial" w:cs="Arial"/>
                <w:sz w:val="20"/>
                <w:szCs w:val="20"/>
              </w:rPr>
            </w:pPr>
            <w:r w:rsidRPr="00993936">
              <w:rPr>
                <w:rFonts w:ascii="Arial" w:hAnsi="Arial" w:cs="Arial"/>
                <w:sz w:val="20"/>
                <w:szCs w:val="20"/>
              </w:rPr>
              <w:t>Pulgones</w:t>
            </w:r>
          </w:p>
          <w:p w:rsidR="00412AFB" w:rsidRPr="00993936" w:rsidRDefault="00412AFB" w:rsidP="007876F3">
            <w:pPr>
              <w:pStyle w:val="Sinespaciado"/>
              <w:rPr>
                <w:rFonts w:ascii="Arial" w:hAnsi="Arial" w:cs="Arial"/>
                <w:i/>
                <w:snapToGrid w:val="0"/>
                <w:sz w:val="20"/>
                <w:szCs w:val="20"/>
                <w:lang w:val="es-ES"/>
              </w:rPr>
            </w:pPr>
            <w:r w:rsidRPr="00993936">
              <w:rPr>
                <w:rFonts w:ascii="Arial" w:hAnsi="Arial" w:cs="Arial"/>
                <w:i/>
                <w:snapToGrid w:val="0"/>
                <w:sz w:val="20"/>
                <w:szCs w:val="20"/>
                <w:lang w:val="es-ES"/>
              </w:rPr>
              <w:t xml:space="preserve">Aphis pomi </w:t>
            </w:r>
          </w:p>
          <w:p w:rsidR="00412AFB" w:rsidRPr="00993936" w:rsidRDefault="00412AFB" w:rsidP="007876F3">
            <w:pPr>
              <w:pStyle w:val="Sinespaciado"/>
              <w:rPr>
                <w:rFonts w:ascii="Arial" w:hAnsi="Arial" w:cs="Arial"/>
                <w:i/>
                <w:snapToGrid w:val="0"/>
                <w:sz w:val="20"/>
                <w:szCs w:val="20"/>
                <w:lang w:val="es-ES"/>
              </w:rPr>
            </w:pPr>
            <w:r w:rsidRPr="00993936">
              <w:rPr>
                <w:rFonts w:ascii="Arial" w:hAnsi="Arial" w:cs="Arial"/>
                <w:i/>
                <w:snapToGrid w:val="0"/>
                <w:sz w:val="20"/>
                <w:szCs w:val="20"/>
                <w:lang w:val="es-ES"/>
              </w:rPr>
              <w:t xml:space="preserve">Dysaphis plantaginea </w:t>
            </w:r>
          </w:p>
        </w:tc>
        <w:tc>
          <w:tcPr>
            <w:tcW w:w="1252" w:type="pct"/>
            <w:gridSpan w:val="2"/>
            <w:vAlign w:val="center"/>
          </w:tcPr>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Hasta un tamaño de fruto de 25 mm: presencia</w:t>
            </w:r>
          </w:p>
        </w:tc>
        <w:tc>
          <w:tcPr>
            <w:tcW w:w="1285" w:type="pct"/>
            <w:vAlign w:val="center"/>
          </w:tcPr>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Acetamiprid (2)</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Azadiractina</w:t>
            </w:r>
            <w:r w:rsidR="00E03B3B" w:rsidRPr="00993936">
              <w:rPr>
                <w:rFonts w:ascii="Arial" w:hAnsi="Arial" w:cs="Arial"/>
                <w:sz w:val="20"/>
                <w:szCs w:val="20"/>
                <w:lang w:val="es-ES"/>
              </w:rPr>
              <w:t xml:space="preserve">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Cipermetrina</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Clotianidina</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Deltametrina (10)</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Deltametrina + Tiacloprid</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Esfenvalerat</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Etofenprox</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Flonicamid (3)</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Imidacloprid (2)</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Lambda-cihalotrina (10) (1)</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Lambda-cihalotrina + Tiametoxam</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 xml:space="preserve">Metil-clorpirifos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Aceite parafínico</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Pimetrozina</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 xml:space="preserve">Pirimicarb (1)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Spirotetramat</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 xml:space="preserve">Tau-fluvalinato (4)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 xml:space="preserve">Tiacloprid (2) </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Tiametoxam (2)</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Zeta-cipermetrina</w:t>
            </w:r>
          </w:p>
        </w:tc>
        <w:tc>
          <w:tcPr>
            <w:tcW w:w="1249" w:type="pct"/>
            <w:vMerge/>
            <w:vAlign w:val="center"/>
          </w:tcPr>
          <w:p w:rsidR="00412AFB" w:rsidRPr="00993936" w:rsidRDefault="00412AFB" w:rsidP="007876F3">
            <w:pPr>
              <w:pStyle w:val="Sinespaciado"/>
              <w:rPr>
                <w:rFonts w:ascii="Arial" w:hAnsi="Arial" w:cs="Arial"/>
                <w:sz w:val="20"/>
                <w:szCs w:val="20"/>
                <w:lang w:val="es-ES"/>
              </w:rPr>
            </w:pPr>
          </w:p>
        </w:tc>
      </w:tr>
      <w:tr w:rsidR="00412AFB" w:rsidRPr="00993936" w:rsidTr="007876F3">
        <w:trPr>
          <w:cantSplit/>
          <w:trHeight w:val="597"/>
          <w:jc w:val="center"/>
        </w:trPr>
        <w:tc>
          <w:tcPr>
            <w:tcW w:w="1214" w:type="pct"/>
            <w:vAlign w:val="center"/>
          </w:tcPr>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Pulgón lanoso</w:t>
            </w:r>
          </w:p>
          <w:p w:rsidR="00412AFB" w:rsidRPr="00993936" w:rsidRDefault="00412AFB" w:rsidP="007876F3">
            <w:pPr>
              <w:pStyle w:val="Sinespaciado"/>
              <w:rPr>
                <w:rFonts w:ascii="Arial" w:hAnsi="Arial" w:cs="Arial"/>
                <w:i/>
                <w:sz w:val="20"/>
                <w:szCs w:val="20"/>
                <w:lang w:val="es-ES"/>
              </w:rPr>
            </w:pPr>
            <w:r w:rsidRPr="00993936">
              <w:rPr>
                <w:rFonts w:ascii="Arial" w:hAnsi="Arial" w:cs="Arial"/>
                <w:i/>
                <w:sz w:val="20"/>
                <w:szCs w:val="20"/>
                <w:lang w:val="es-ES"/>
              </w:rPr>
              <w:t>Eriosoma lanigerum</w:t>
            </w:r>
          </w:p>
        </w:tc>
        <w:tc>
          <w:tcPr>
            <w:tcW w:w="1252" w:type="pct"/>
            <w:gridSpan w:val="2"/>
            <w:vAlign w:val="center"/>
          </w:tcPr>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Presencia</w:t>
            </w:r>
          </w:p>
        </w:tc>
        <w:tc>
          <w:tcPr>
            <w:tcW w:w="1285" w:type="pct"/>
            <w:vAlign w:val="center"/>
          </w:tcPr>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Metil-clorpirifos</w:t>
            </w:r>
          </w:p>
          <w:p w:rsidR="00412AFB" w:rsidRPr="00993936" w:rsidRDefault="00412AFB" w:rsidP="007876F3">
            <w:pPr>
              <w:pStyle w:val="Sinespaciado"/>
              <w:rPr>
                <w:rFonts w:ascii="Arial" w:hAnsi="Arial" w:cs="Arial"/>
                <w:sz w:val="20"/>
                <w:szCs w:val="20"/>
                <w:lang w:val="es-ES"/>
              </w:rPr>
            </w:pPr>
            <w:r w:rsidRPr="00993936">
              <w:rPr>
                <w:rFonts w:ascii="Arial" w:hAnsi="Arial" w:cs="Arial"/>
                <w:sz w:val="20"/>
                <w:szCs w:val="20"/>
                <w:lang w:val="es-ES"/>
              </w:rPr>
              <w:t>Pirimicarb (2)</w:t>
            </w:r>
          </w:p>
        </w:tc>
        <w:tc>
          <w:tcPr>
            <w:tcW w:w="1249" w:type="pct"/>
            <w:vMerge/>
          </w:tcPr>
          <w:p w:rsidR="00412AFB" w:rsidRPr="00993936" w:rsidRDefault="00412AFB" w:rsidP="007876F3">
            <w:pPr>
              <w:pStyle w:val="Sinespaciado"/>
              <w:rPr>
                <w:rFonts w:ascii="Arial" w:hAnsi="Arial" w:cs="Arial"/>
                <w:sz w:val="20"/>
                <w:szCs w:val="20"/>
                <w:lang w:val="es-ES"/>
              </w:rPr>
            </w:pPr>
          </w:p>
        </w:tc>
      </w:tr>
      <w:tr w:rsidR="00412AFB" w:rsidRPr="00993936" w:rsidTr="007876F3">
        <w:trPr>
          <w:jc w:val="center"/>
        </w:trPr>
        <w:tc>
          <w:tcPr>
            <w:tcW w:w="1214" w:type="pct"/>
            <w:shd w:val="pct12" w:color="auto" w:fill="FFFFFF"/>
            <w:vAlign w:val="center"/>
          </w:tcPr>
          <w:p w:rsidR="00412AFB" w:rsidRPr="00993936" w:rsidRDefault="00412AFB" w:rsidP="007876F3">
            <w:pPr>
              <w:pStyle w:val="Sinespaciado"/>
              <w:rPr>
                <w:rFonts w:ascii="Arial" w:hAnsi="Arial" w:cs="Arial"/>
                <w:b/>
                <w:sz w:val="20"/>
                <w:lang w:val="es-ES"/>
              </w:rPr>
            </w:pPr>
            <w:r w:rsidRPr="00993936">
              <w:rPr>
                <w:rFonts w:ascii="Arial" w:hAnsi="Arial" w:cs="Arial"/>
                <w:b/>
                <w:sz w:val="20"/>
                <w:lang w:val="es-ES"/>
              </w:rPr>
              <w:lastRenderedPageBreak/>
              <w:t>PLAGA</w:t>
            </w:r>
          </w:p>
        </w:tc>
        <w:tc>
          <w:tcPr>
            <w:tcW w:w="1164" w:type="pct"/>
            <w:shd w:val="pct12" w:color="auto" w:fill="FFFFFF"/>
            <w:vAlign w:val="center"/>
          </w:tcPr>
          <w:p w:rsidR="00412AFB" w:rsidRPr="00993936" w:rsidRDefault="00412AFB" w:rsidP="007876F3">
            <w:pPr>
              <w:pStyle w:val="Sinespaciado"/>
              <w:rPr>
                <w:rFonts w:ascii="Arial" w:hAnsi="Arial" w:cs="Arial"/>
                <w:b/>
                <w:sz w:val="20"/>
                <w:lang w:val="es-ES"/>
              </w:rPr>
            </w:pPr>
            <w:r w:rsidRPr="00993936">
              <w:rPr>
                <w:rFonts w:ascii="Arial" w:hAnsi="Arial" w:cs="Arial"/>
                <w:b/>
                <w:sz w:val="20"/>
                <w:lang w:val="es-ES"/>
              </w:rPr>
              <w:t>UMBRAL DE TOLERANCIA</w:t>
            </w:r>
          </w:p>
        </w:tc>
        <w:tc>
          <w:tcPr>
            <w:tcW w:w="1373" w:type="pct"/>
            <w:gridSpan w:val="2"/>
            <w:shd w:val="pct12" w:color="auto" w:fill="FFFFFF"/>
            <w:vAlign w:val="center"/>
          </w:tcPr>
          <w:p w:rsidR="00412AFB" w:rsidRPr="00993936" w:rsidRDefault="00412AFB" w:rsidP="007876F3">
            <w:pPr>
              <w:pStyle w:val="Sinespaciado"/>
              <w:rPr>
                <w:rFonts w:ascii="Arial" w:hAnsi="Arial" w:cs="Arial"/>
                <w:b/>
                <w:sz w:val="20"/>
                <w:lang w:val="es-ES"/>
              </w:rPr>
            </w:pPr>
            <w:r w:rsidRPr="00993936">
              <w:rPr>
                <w:rFonts w:ascii="Arial" w:hAnsi="Arial" w:cs="Arial"/>
                <w:b/>
                <w:sz w:val="20"/>
                <w:lang w:val="es-ES"/>
              </w:rPr>
              <w:t>MATERIA ACTIVA</w:t>
            </w:r>
          </w:p>
        </w:tc>
        <w:tc>
          <w:tcPr>
            <w:tcW w:w="1249" w:type="pct"/>
            <w:shd w:val="pct12" w:color="auto" w:fill="FFFFFF"/>
          </w:tcPr>
          <w:p w:rsidR="00412AFB" w:rsidRPr="00993936" w:rsidRDefault="00412AFB" w:rsidP="007876F3">
            <w:pPr>
              <w:pStyle w:val="Sinespaciado"/>
              <w:rPr>
                <w:rFonts w:ascii="Arial" w:hAnsi="Arial" w:cs="Arial"/>
                <w:b/>
                <w:sz w:val="20"/>
                <w:lang w:val="es-ES"/>
              </w:rPr>
            </w:pPr>
            <w:r w:rsidRPr="00993936">
              <w:rPr>
                <w:rFonts w:ascii="Arial" w:hAnsi="Arial" w:cs="Arial"/>
                <w:b/>
                <w:sz w:val="20"/>
                <w:lang w:val="es-ES"/>
              </w:rPr>
              <w:t xml:space="preserve">RESTRICCIONES </w:t>
            </w:r>
          </w:p>
        </w:tc>
      </w:tr>
      <w:tr w:rsidR="00412AFB" w:rsidRPr="00993936" w:rsidTr="007876F3">
        <w:trPr>
          <w:trHeight w:val="240"/>
          <w:jc w:val="center"/>
        </w:trPr>
        <w:tc>
          <w:tcPr>
            <w:tcW w:w="1214" w:type="pct"/>
            <w:vAlign w:val="center"/>
          </w:tcPr>
          <w:p w:rsidR="00412AFB" w:rsidRPr="00993936" w:rsidRDefault="00412AFB" w:rsidP="007876F3">
            <w:pPr>
              <w:pStyle w:val="Sinespaciado"/>
              <w:rPr>
                <w:rFonts w:ascii="Arial" w:hAnsi="Arial" w:cs="Arial"/>
                <w:sz w:val="20"/>
              </w:rPr>
            </w:pPr>
            <w:r w:rsidRPr="00993936">
              <w:rPr>
                <w:rFonts w:ascii="Arial" w:hAnsi="Arial" w:cs="Arial"/>
                <w:sz w:val="20"/>
              </w:rPr>
              <w:t>Mosca de la fruta</w:t>
            </w:r>
          </w:p>
          <w:p w:rsidR="00412AFB" w:rsidRPr="00993936" w:rsidRDefault="00412AFB" w:rsidP="007876F3">
            <w:pPr>
              <w:pStyle w:val="Sinespaciado"/>
              <w:rPr>
                <w:rFonts w:ascii="Arial" w:hAnsi="Arial" w:cs="Arial"/>
                <w:i/>
                <w:sz w:val="20"/>
                <w:lang w:val="es-ES"/>
              </w:rPr>
            </w:pPr>
            <w:r w:rsidRPr="00993936">
              <w:rPr>
                <w:rFonts w:ascii="Arial" w:hAnsi="Arial" w:cs="Arial"/>
                <w:sz w:val="20"/>
                <w:lang w:val="es-ES"/>
              </w:rPr>
              <w:t>Ceratitis capitata</w:t>
            </w:r>
          </w:p>
        </w:tc>
        <w:tc>
          <w:tcPr>
            <w:tcW w:w="1164" w:type="pct"/>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1. Si se hace captura masiva o atracción y muerte:</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A partir de 5 adultos/trampa y día</w:t>
            </w:r>
          </w:p>
          <w:p w:rsidR="00412AFB" w:rsidRPr="00993936" w:rsidRDefault="00412AFB" w:rsidP="007876F3">
            <w:pPr>
              <w:pStyle w:val="Sinespaciado"/>
              <w:rPr>
                <w:rFonts w:ascii="Arial" w:hAnsi="Arial" w:cs="Arial"/>
                <w:sz w:val="20"/>
                <w:lang w:val="es-ES"/>
              </w:rPr>
            </w:pPr>
          </w:p>
          <w:p w:rsidR="00412AFB" w:rsidRPr="00993936" w:rsidRDefault="00412AFB" w:rsidP="007876F3">
            <w:pPr>
              <w:pStyle w:val="Sinespaciado"/>
              <w:rPr>
                <w:rFonts w:ascii="Arial" w:hAnsi="Arial" w:cs="Arial"/>
                <w:sz w:val="20"/>
                <w:lang w:val="es-ES"/>
              </w:rPr>
            </w:pP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2. Si no se hace captura masiva o atracción y muerte:</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A partir de 1 adulto/trampa y día</w:t>
            </w:r>
          </w:p>
          <w:p w:rsidR="00412AFB" w:rsidRPr="00993936" w:rsidRDefault="00412AFB" w:rsidP="007876F3">
            <w:pPr>
              <w:pStyle w:val="Sinespaciado"/>
              <w:rPr>
                <w:rFonts w:ascii="Arial" w:hAnsi="Arial" w:cs="Arial"/>
                <w:sz w:val="20"/>
                <w:lang w:val="es-ES"/>
              </w:rPr>
            </w:pPr>
          </w:p>
        </w:tc>
        <w:tc>
          <w:tcPr>
            <w:tcW w:w="1373" w:type="pct"/>
            <w:gridSpan w:val="2"/>
            <w:tcBorders>
              <w:right w:val="single" w:sz="4" w:space="0" w:color="auto"/>
            </w:tcBorders>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Azadiractina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Beta-ciflutrina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Deltametrina + Tiacloprid </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Lambda-cihalotrina (1)</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Método de atracción y muerte</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Método de captura masiva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Deltametrina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Proteína hidrolizada</w:t>
            </w:r>
          </w:p>
        </w:tc>
        <w:tc>
          <w:tcPr>
            <w:tcW w:w="1249" w:type="pct"/>
            <w:tcBorders>
              <w:top w:val="nil"/>
              <w:left w:val="single" w:sz="4" w:space="0" w:color="auto"/>
              <w:bottom w:val="nil"/>
              <w:right w:val="single" w:sz="4" w:space="0" w:color="auto"/>
            </w:tcBorders>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Máximo: 1 tratamiento/año</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Máximo: 2 tratamientos/año</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Máximo: 3 tratamientos/año</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Solo formulaciones que no sean de clasificación toxicológica (T)</w:t>
            </w:r>
          </w:p>
          <w:p w:rsidR="00412AFB" w:rsidRPr="00993936" w:rsidRDefault="00412AFB" w:rsidP="007876F3">
            <w:pPr>
              <w:pStyle w:val="Sinespaciado"/>
              <w:rPr>
                <w:rFonts w:ascii="Arial" w:hAnsi="Arial" w:cs="Arial"/>
                <w:sz w:val="20"/>
                <w:lang w:val="es-ES"/>
              </w:rPr>
            </w:pPr>
          </w:p>
        </w:tc>
      </w:tr>
      <w:tr w:rsidR="00412AFB" w:rsidRPr="00993936" w:rsidTr="007876F3">
        <w:trPr>
          <w:jc w:val="center"/>
        </w:trPr>
        <w:tc>
          <w:tcPr>
            <w:tcW w:w="1214" w:type="pct"/>
            <w:vAlign w:val="center"/>
          </w:tcPr>
          <w:p w:rsidR="00412AFB" w:rsidRPr="00993936" w:rsidRDefault="00412AFB" w:rsidP="007876F3">
            <w:pPr>
              <w:pStyle w:val="Sinespaciado"/>
              <w:rPr>
                <w:rFonts w:ascii="Arial" w:hAnsi="Arial" w:cs="Arial"/>
                <w:sz w:val="20"/>
              </w:rPr>
            </w:pPr>
            <w:r w:rsidRPr="00993936">
              <w:rPr>
                <w:rFonts w:ascii="Arial" w:hAnsi="Arial" w:cs="Arial"/>
                <w:sz w:val="20"/>
              </w:rPr>
              <w:t xml:space="preserve">Grafolita </w:t>
            </w:r>
          </w:p>
          <w:p w:rsidR="00412AFB" w:rsidRPr="00993936" w:rsidRDefault="00412AFB" w:rsidP="007876F3">
            <w:pPr>
              <w:pStyle w:val="Sinespaciado"/>
              <w:rPr>
                <w:rFonts w:ascii="Arial" w:hAnsi="Arial" w:cs="Arial"/>
                <w:i/>
                <w:sz w:val="20"/>
                <w:lang w:val="es-ES"/>
              </w:rPr>
            </w:pPr>
            <w:r w:rsidRPr="00993936">
              <w:rPr>
                <w:rFonts w:ascii="Arial" w:hAnsi="Arial" w:cs="Arial"/>
                <w:i/>
                <w:sz w:val="20"/>
                <w:lang w:val="es-ES"/>
              </w:rPr>
              <w:t>Cydia molesta</w:t>
            </w:r>
          </w:p>
        </w:tc>
        <w:tc>
          <w:tcPr>
            <w:tcW w:w="1164" w:type="pct"/>
            <w:vAlign w:val="center"/>
          </w:tcPr>
          <w:p w:rsidR="00412AFB" w:rsidRPr="00993936" w:rsidRDefault="00412AFB" w:rsidP="007876F3">
            <w:pPr>
              <w:pStyle w:val="Sinespaciado"/>
              <w:rPr>
                <w:rFonts w:ascii="Arial" w:hAnsi="Arial" w:cs="Arial"/>
                <w:sz w:val="20"/>
                <w:lang w:val="es-ES"/>
              </w:rPr>
            </w:pPr>
          </w:p>
        </w:tc>
        <w:tc>
          <w:tcPr>
            <w:tcW w:w="1373" w:type="pct"/>
            <w:gridSpan w:val="2"/>
            <w:tcBorders>
              <w:right w:val="single" w:sz="4" w:space="0" w:color="auto"/>
            </w:tcBorders>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Deltametrina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Método de confusión sexual</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Triflumuron</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Virus de la granulosis de la carpocapsa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Zeta-cipermetrina</w:t>
            </w:r>
          </w:p>
        </w:tc>
        <w:tc>
          <w:tcPr>
            <w:tcW w:w="1249" w:type="pct"/>
            <w:tcBorders>
              <w:top w:val="nil"/>
              <w:left w:val="single" w:sz="4" w:space="0" w:color="auto"/>
              <w:bottom w:val="single" w:sz="4" w:space="0" w:color="auto"/>
              <w:right w:val="single" w:sz="4" w:space="0" w:color="auto"/>
            </w:tcBorders>
            <w:vAlign w:val="center"/>
          </w:tcPr>
          <w:p w:rsidR="00412AFB" w:rsidRPr="00993936" w:rsidRDefault="00412AFB" w:rsidP="007876F3">
            <w:pPr>
              <w:pStyle w:val="Sinespaciado"/>
              <w:rPr>
                <w:rFonts w:ascii="Arial" w:hAnsi="Arial" w:cs="Arial"/>
                <w:sz w:val="20"/>
                <w:lang w:val="es-ES"/>
              </w:rPr>
            </w:pPr>
          </w:p>
        </w:tc>
      </w:tr>
    </w:tbl>
    <w:p w:rsidR="00412AFB" w:rsidRPr="00993936" w:rsidRDefault="00412AFB" w:rsidP="007876F3">
      <w:pPr>
        <w:pStyle w:val="Sinespaciado"/>
        <w:rPr>
          <w:rFonts w:ascii="Arial" w:hAnsi="Arial" w:cs="Arial"/>
          <w:sz w:val="20"/>
          <w:lang w:val="es-ES"/>
        </w:rPr>
      </w:pPr>
    </w:p>
    <w:tbl>
      <w:tblPr>
        <w:tblW w:w="50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34"/>
        <w:gridCol w:w="34"/>
        <w:gridCol w:w="3261"/>
        <w:gridCol w:w="26"/>
        <w:gridCol w:w="3858"/>
        <w:gridCol w:w="23"/>
        <w:gridCol w:w="3511"/>
        <w:gridCol w:w="68"/>
      </w:tblGrid>
      <w:tr w:rsidR="007876F3" w:rsidRPr="00993936" w:rsidTr="007876F3">
        <w:trPr>
          <w:gridAfter w:val="1"/>
          <w:wAfter w:w="23" w:type="pct"/>
          <w:jc w:val="center"/>
        </w:trPr>
        <w:tc>
          <w:tcPr>
            <w:tcW w:w="1208" w:type="pct"/>
            <w:shd w:val="pct12" w:color="auto" w:fill="FFFFFF"/>
            <w:vAlign w:val="center"/>
          </w:tcPr>
          <w:p w:rsidR="007876F3" w:rsidRPr="00993936" w:rsidRDefault="007876F3" w:rsidP="00567C10">
            <w:pPr>
              <w:pStyle w:val="Sinespaciado"/>
              <w:rPr>
                <w:rFonts w:ascii="Arial" w:hAnsi="Arial" w:cs="Arial"/>
                <w:b/>
                <w:sz w:val="20"/>
                <w:lang w:val="es-ES"/>
              </w:rPr>
            </w:pPr>
            <w:r w:rsidRPr="00993936">
              <w:rPr>
                <w:rFonts w:ascii="Arial" w:hAnsi="Arial" w:cs="Arial"/>
                <w:b/>
                <w:sz w:val="20"/>
                <w:lang w:val="es-ES"/>
              </w:rPr>
              <w:t>PLAGA</w:t>
            </w:r>
          </w:p>
        </w:tc>
        <w:tc>
          <w:tcPr>
            <w:tcW w:w="1159" w:type="pct"/>
            <w:gridSpan w:val="2"/>
            <w:shd w:val="pct12" w:color="auto" w:fill="FFFFFF"/>
            <w:vAlign w:val="center"/>
          </w:tcPr>
          <w:p w:rsidR="007876F3" w:rsidRPr="00993936" w:rsidRDefault="007876F3" w:rsidP="00567C10">
            <w:pPr>
              <w:pStyle w:val="Sinespaciado"/>
              <w:rPr>
                <w:rFonts w:ascii="Arial" w:hAnsi="Arial" w:cs="Arial"/>
                <w:b/>
                <w:sz w:val="20"/>
                <w:lang w:val="es-ES"/>
              </w:rPr>
            </w:pPr>
            <w:r w:rsidRPr="00993936">
              <w:rPr>
                <w:rFonts w:ascii="Arial" w:hAnsi="Arial" w:cs="Arial"/>
                <w:b/>
                <w:sz w:val="20"/>
                <w:lang w:val="es-ES"/>
              </w:rPr>
              <w:t>UMBRAL DE TOLERANCIA</w:t>
            </w:r>
          </w:p>
        </w:tc>
        <w:tc>
          <w:tcPr>
            <w:tcW w:w="1366" w:type="pct"/>
            <w:gridSpan w:val="2"/>
            <w:shd w:val="pct12" w:color="auto" w:fill="FFFFFF"/>
            <w:vAlign w:val="center"/>
          </w:tcPr>
          <w:p w:rsidR="007876F3" w:rsidRPr="00993936" w:rsidRDefault="007876F3" w:rsidP="00567C10">
            <w:pPr>
              <w:pStyle w:val="Sinespaciado"/>
              <w:rPr>
                <w:rFonts w:ascii="Arial" w:hAnsi="Arial" w:cs="Arial"/>
                <w:b/>
                <w:sz w:val="20"/>
                <w:lang w:val="es-ES"/>
              </w:rPr>
            </w:pPr>
            <w:r w:rsidRPr="00993936">
              <w:rPr>
                <w:rFonts w:ascii="Arial" w:hAnsi="Arial" w:cs="Arial"/>
                <w:b/>
                <w:sz w:val="20"/>
                <w:lang w:val="es-ES"/>
              </w:rPr>
              <w:t>MATERIA ACTIVA</w:t>
            </w:r>
          </w:p>
        </w:tc>
        <w:tc>
          <w:tcPr>
            <w:tcW w:w="1243" w:type="pct"/>
            <w:gridSpan w:val="2"/>
            <w:shd w:val="pct12" w:color="auto" w:fill="FFFFFF"/>
          </w:tcPr>
          <w:p w:rsidR="007876F3" w:rsidRPr="00993936" w:rsidRDefault="007876F3" w:rsidP="00567C10">
            <w:pPr>
              <w:pStyle w:val="Sinespaciado"/>
              <w:rPr>
                <w:rFonts w:ascii="Arial" w:hAnsi="Arial" w:cs="Arial"/>
                <w:b/>
                <w:sz w:val="20"/>
                <w:lang w:val="es-ES"/>
              </w:rPr>
            </w:pPr>
            <w:r w:rsidRPr="00993936">
              <w:rPr>
                <w:rFonts w:ascii="Arial" w:hAnsi="Arial" w:cs="Arial"/>
                <w:b/>
                <w:sz w:val="20"/>
                <w:lang w:val="es-ES"/>
              </w:rPr>
              <w:t xml:space="preserve">RESTRICCIONES </w:t>
            </w:r>
          </w:p>
        </w:tc>
      </w:tr>
      <w:tr w:rsidR="00412AFB" w:rsidRPr="00993936" w:rsidTr="007876F3">
        <w:trPr>
          <w:jc w:val="center"/>
        </w:trPr>
        <w:tc>
          <w:tcPr>
            <w:tcW w:w="1220" w:type="pct"/>
            <w:gridSpan w:val="2"/>
            <w:vAlign w:val="center"/>
          </w:tcPr>
          <w:p w:rsidR="00412AFB" w:rsidRPr="00993936" w:rsidRDefault="00412AFB" w:rsidP="007876F3">
            <w:pPr>
              <w:pStyle w:val="Sinespaciado"/>
              <w:rPr>
                <w:rFonts w:ascii="Arial" w:hAnsi="Arial" w:cs="Arial"/>
                <w:sz w:val="20"/>
              </w:rPr>
            </w:pPr>
            <w:r w:rsidRPr="00993936">
              <w:rPr>
                <w:rFonts w:ascii="Arial" w:hAnsi="Arial" w:cs="Arial"/>
                <w:sz w:val="20"/>
              </w:rPr>
              <w:t>Carpocapsa</w:t>
            </w:r>
          </w:p>
          <w:p w:rsidR="00412AFB" w:rsidRPr="00993936" w:rsidRDefault="00412AFB" w:rsidP="007876F3">
            <w:pPr>
              <w:pStyle w:val="Sinespaciado"/>
              <w:rPr>
                <w:rFonts w:ascii="Arial" w:hAnsi="Arial" w:cs="Arial"/>
                <w:i/>
                <w:sz w:val="20"/>
                <w:lang w:val="es-ES"/>
              </w:rPr>
            </w:pPr>
            <w:r w:rsidRPr="00993936">
              <w:rPr>
                <w:rFonts w:ascii="Arial" w:hAnsi="Arial" w:cs="Arial"/>
                <w:sz w:val="20"/>
                <w:lang w:val="es-ES"/>
              </w:rPr>
              <w:t>Cydia pomonella</w:t>
            </w:r>
          </w:p>
        </w:tc>
        <w:tc>
          <w:tcPr>
            <w:tcW w:w="1156" w:type="pct"/>
            <w:gridSpan w:val="2"/>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1.ª generación: 2-3 adultos/trampa/semana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2.ª y 3.ª generación: 1-2 adultos/trampa/semana</w:t>
            </w:r>
          </w:p>
          <w:p w:rsidR="00412AFB" w:rsidRPr="00993936" w:rsidRDefault="00412AFB" w:rsidP="007876F3">
            <w:pPr>
              <w:pStyle w:val="Sinespaciado"/>
              <w:rPr>
                <w:rFonts w:ascii="Arial" w:hAnsi="Arial" w:cs="Arial"/>
                <w:sz w:val="20"/>
                <w:lang w:val="es-ES"/>
              </w:rPr>
            </w:pPr>
          </w:p>
        </w:tc>
        <w:tc>
          <w:tcPr>
            <w:tcW w:w="1365" w:type="pct"/>
            <w:gridSpan w:val="2"/>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Acetamiprid</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Acrinatrín</w:t>
            </w:r>
            <w:r w:rsidR="00E03B3B" w:rsidRPr="00993936">
              <w:rPr>
                <w:rFonts w:ascii="Arial" w:hAnsi="Arial" w:cs="Arial"/>
                <w:sz w:val="20"/>
                <w:lang w:val="es-ES"/>
              </w:rPr>
              <w:t xml:space="preserve"> </w:t>
            </w:r>
          </w:p>
          <w:p w:rsidR="00412AFB" w:rsidRPr="00993936" w:rsidRDefault="00412AFB" w:rsidP="007876F3">
            <w:pPr>
              <w:pStyle w:val="Sinespaciado"/>
              <w:rPr>
                <w:rFonts w:ascii="Arial" w:hAnsi="Arial" w:cs="Arial"/>
                <w:i/>
                <w:sz w:val="20"/>
                <w:lang w:val="es-ES"/>
              </w:rPr>
            </w:pPr>
            <w:r w:rsidRPr="00993936">
              <w:rPr>
                <w:rFonts w:ascii="Arial" w:hAnsi="Arial" w:cs="Arial"/>
                <w:i/>
                <w:sz w:val="20"/>
                <w:lang w:val="es-ES"/>
              </w:rPr>
              <w:t>Bacillus thuringiensis kurstaki</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Beta-ciflutrina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Cipermetrina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Deltametrina </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Diflubenzuron (6)</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Dodecadien</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Clorantraniliprol </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Esfenvalerat</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Etofenprox</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Fenoxicarb</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Fosmet (2) </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indoxacarb</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Lambda-cihalotrina (1)</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Metil-clorpirifos </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Método de confusión sexual</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Metoxifenocida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Spinosad</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lastRenderedPageBreak/>
              <w:t xml:space="preserve">Tebufenocida (2) </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Tiacloprid (2)</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Triflumuron</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Virus de la granulosis de la carpocapsa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Zeta-cipermetrina</w:t>
            </w:r>
          </w:p>
        </w:tc>
        <w:tc>
          <w:tcPr>
            <w:tcW w:w="1260" w:type="pct"/>
            <w:gridSpan w:val="2"/>
            <w:vMerge w:val="restart"/>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lastRenderedPageBreak/>
              <w:t>Máximo: 1 tratamiento/año</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Máximo: 2 tratamientos/año</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Máximo: 3 tratamientos/año</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Solo formulaciones que no sean de clasificación toxicológica (T)</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Máximo: 1 tratamiento/año grupo METI a dosis mínima </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Máximo: 2 tratamientos/año entre todas las bencilo-ureas </w:t>
            </w:r>
          </w:p>
          <w:p w:rsidR="00412AFB" w:rsidRPr="00993936" w:rsidRDefault="00412AFB" w:rsidP="007876F3">
            <w:pPr>
              <w:pStyle w:val="Sinespaciado"/>
              <w:rPr>
                <w:rFonts w:ascii="Arial" w:hAnsi="Arial" w:cs="Arial"/>
                <w:sz w:val="20"/>
                <w:lang w:val="es-ES"/>
              </w:rPr>
            </w:pPr>
          </w:p>
        </w:tc>
      </w:tr>
      <w:tr w:rsidR="00412AFB" w:rsidRPr="00993936" w:rsidTr="007876F3">
        <w:trPr>
          <w:jc w:val="center"/>
        </w:trPr>
        <w:tc>
          <w:tcPr>
            <w:tcW w:w="1220" w:type="pct"/>
            <w:gridSpan w:val="2"/>
            <w:vAlign w:val="center"/>
          </w:tcPr>
          <w:p w:rsidR="00412AFB" w:rsidRPr="00993936" w:rsidRDefault="00412AFB" w:rsidP="007876F3">
            <w:pPr>
              <w:pStyle w:val="Sinespaciado"/>
              <w:rPr>
                <w:rFonts w:ascii="Arial" w:hAnsi="Arial" w:cs="Arial"/>
                <w:sz w:val="20"/>
              </w:rPr>
            </w:pPr>
            <w:r w:rsidRPr="00993936">
              <w:rPr>
                <w:rFonts w:ascii="Arial" w:hAnsi="Arial" w:cs="Arial"/>
                <w:sz w:val="20"/>
              </w:rPr>
              <w:lastRenderedPageBreak/>
              <w:t>Barrenadores de madera:</w:t>
            </w:r>
          </w:p>
          <w:p w:rsidR="00412AFB" w:rsidRPr="00993936" w:rsidRDefault="00412AFB" w:rsidP="007876F3">
            <w:pPr>
              <w:pStyle w:val="Sinespaciado"/>
              <w:rPr>
                <w:rFonts w:ascii="Arial" w:hAnsi="Arial" w:cs="Arial"/>
                <w:i/>
                <w:sz w:val="20"/>
                <w:lang w:val="es-ES"/>
              </w:rPr>
            </w:pPr>
            <w:r w:rsidRPr="00993936">
              <w:rPr>
                <w:rFonts w:ascii="Arial" w:hAnsi="Arial" w:cs="Arial"/>
                <w:sz w:val="20"/>
                <w:lang w:val="es-ES"/>
              </w:rPr>
              <w:t>Sesia</w:t>
            </w:r>
            <w:r w:rsidR="00E03B3B" w:rsidRPr="00993936">
              <w:rPr>
                <w:rFonts w:ascii="Arial" w:hAnsi="Arial" w:cs="Arial"/>
                <w:sz w:val="20"/>
                <w:lang w:val="es-ES"/>
              </w:rPr>
              <w:t xml:space="preserve"> </w:t>
            </w:r>
          </w:p>
          <w:p w:rsidR="00412AFB" w:rsidRPr="00993936" w:rsidRDefault="00412AFB" w:rsidP="007876F3">
            <w:pPr>
              <w:pStyle w:val="Sinespaciado"/>
              <w:rPr>
                <w:rFonts w:ascii="Arial" w:hAnsi="Arial" w:cs="Arial"/>
                <w:i/>
                <w:sz w:val="20"/>
                <w:lang w:val="es-ES"/>
              </w:rPr>
            </w:pPr>
            <w:r w:rsidRPr="00993936">
              <w:rPr>
                <w:rFonts w:ascii="Arial" w:hAnsi="Arial" w:cs="Arial"/>
                <w:sz w:val="20"/>
                <w:lang w:val="es-ES"/>
              </w:rPr>
              <w:t xml:space="preserve">Synanthedon myopaeformis </w:t>
            </w:r>
          </w:p>
          <w:p w:rsidR="00412AFB" w:rsidRPr="00993936" w:rsidRDefault="00412AFB" w:rsidP="007876F3">
            <w:pPr>
              <w:pStyle w:val="Sinespaciado"/>
              <w:rPr>
                <w:rFonts w:ascii="Arial" w:hAnsi="Arial" w:cs="Arial"/>
                <w:i/>
                <w:sz w:val="20"/>
                <w:lang w:val="es-ES"/>
              </w:rPr>
            </w:pPr>
            <w:r w:rsidRPr="00993936">
              <w:rPr>
                <w:rFonts w:ascii="Arial" w:hAnsi="Arial" w:cs="Arial"/>
                <w:sz w:val="20"/>
                <w:lang w:val="es-ES"/>
              </w:rPr>
              <w:t xml:space="preserve">Zeuzera </w:t>
            </w:r>
          </w:p>
          <w:p w:rsidR="00412AFB" w:rsidRPr="00993936" w:rsidRDefault="00412AFB" w:rsidP="007876F3">
            <w:pPr>
              <w:pStyle w:val="Sinespaciado"/>
              <w:rPr>
                <w:rFonts w:ascii="Arial" w:hAnsi="Arial" w:cs="Arial"/>
                <w:i/>
                <w:sz w:val="20"/>
                <w:lang w:val="es-ES"/>
              </w:rPr>
            </w:pPr>
            <w:r w:rsidRPr="00993936">
              <w:rPr>
                <w:rFonts w:ascii="Arial" w:hAnsi="Arial" w:cs="Arial"/>
                <w:sz w:val="20"/>
                <w:lang w:val="es-ES"/>
              </w:rPr>
              <w:t>Zeuzera pyrina</w:t>
            </w:r>
          </w:p>
          <w:p w:rsidR="00412AFB" w:rsidRPr="00993936" w:rsidRDefault="00412AFB" w:rsidP="007876F3">
            <w:pPr>
              <w:pStyle w:val="Sinespaciado"/>
              <w:rPr>
                <w:rFonts w:ascii="Arial" w:hAnsi="Arial" w:cs="Arial"/>
                <w:sz w:val="20"/>
                <w:lang w:val="es-ES"/>
              </w:rPr>
            </w:pPr>
          </w:p>
        </w:tc>
        <w:tc>
          <w:tcPr>
            <w:tcW w:w="1156" w:type="pct"/>
            <w:gridSpan w:val="2"/>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Presencia </w:t>
            </w:r>
          </w:p>
        </w:tc>
        <w:tc>
          <w:tcPr>
            <w:tcW w:w="1365" w:type="pct"/>
            <w:gridSpan w:val="2"/>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 xml:space="preserve">Azadiractina </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Deltametrina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Diflubenzuron (6)</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Esfenvalerat</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Método de captura masiva (sesia)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Método de confusión sexual (zeuzera)</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Triflumuron</w:t>
            </w:r>
          </w:p>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Zeta-cipermetrina</w:t>
            </w:r>
          </w:p>
        </w:tc>
        <w:tc>
          <w:tcPr>
            <w:tcW w:w="1260" w:type="pct"/>
            <w:gridSpan w:val="2"/>
            <w:vMerge/>
            <w:vAlign w:val="center"/>
          </w:tcPr>
          <w:p w:rsidR="00412AFB" w:rsidRPr="00993936" w:rsidRDefault="00412AFB" w:rsidP="007876F3">
            <w:pPr>
              <w:pStyle w:val="Sinespaciado"/>
              <w:rPr>
                <w:rFonts w:ascii="Arial" w:hAnsi="Arial" w:cs="Arial"/>
                <w:sz w:val="20"/>
                <w:lang w:val="es-ES"/>
              </w:rPr>
            </w:pPr>
          </w:p>
        </w:tc>
      </w:tr>
      <w:tr w:rsidR="00412AFB" w:rsidRPr="00993936" w:rsidTr="007876F3">
        <w:trPr>
          <w:jc w:val="center"/>
        </w:trPr>
        <w:tc>
          <w:tcPr>
            <w:tcW w:w="1220" w:type="pct"/>
            <w:gridSpan w:val="2"/>
            <w:vAlign w:val="center"/>
          </w:tcPr>
          <w:p w:rsidR="00412AFB" w:rsidRPr="00993936" w:rsidRDefault="00412AFB" w:rsidP="007876F3">
            <w:pPr>
              <w:pStyle w:val="Sinespaciado"/>
              <w:rPr>
                <w:rFonts w:ascii="Arial" w:hAnsi="Arial" w:cs="Arial"/>
                <w:i/>
                <w:sz w:val="20"/>
              </w:rPr>
            </w:pPr>
            <w:r w:rsidRPr="00993936">
              <w:rPr>
                <w:rFonts w:ascii="Arial" w:hAnsi="Arial" w:cs="Arial"/>
                <w:i/>
                <w:sz w:val="20"/>
              </w:rPr>
              <w:t>Pseudococus viburnum</w:t>
            </w:r>
          </w:p>
        </w:tc>
        <w:tc>
          <w:tcPr>
            <w:tcW w:w="1156" w:type="pct"/>
            <w:gridSpan w:val="2"/>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Presencia</w:t>
            </w:r>
          </w:p>
        </w:tc>
        <w:tc>
          <w:tcPr>
            <w:tcW w:w="1365" w:type="pct"/>
            <w:gridSpan w:val="2"/>
            <w:vAlign w:val="center"/>
          </w:tcPr>
          <w:p w:rsidR="00412AFB" w:rsidRPr="00993936" w:rsidRDefault="00412AFB" w:rsidP="007876F3">
            <w:pPr>
              <w:pStyle w:val="Sinespaciado"/>
              <w:rPr>
                <w:rFonts w:ascii="Arial" w:hAnsi="Arial" w:cs="Arial"/>
                <w:sz w:val="20"/>
                <w:lang w:val="es-ES"/>
              </w:rPr>
            </w:pPr>
            <w:r w:rsidRPr="00993936">
              <w:rPr>
                <w:rFonts w:ascii="Arial" w:hAnsi="Arial" w:cs="Arial"/>
                <w:sz w:val="20"/>
                <w:lang w:val="es-ES"/>
              </w:rPr>
              <w:t>Spirotetramat</w:t>
            </w:r>
          </w:p>
        </w:tc>
        <w:tc>
          <w:tcPr>
            <w:tcW w:w="1260" w:type="pct"/>
            <w:gridSpan w:val="2"/>
            <w:vMerge/>
            <w:vAlign w:val="center"/>
          </w:tcPr>
          <w:p w:rsidR="00412AFB" w:rsidRPr="00993936" w:rsidRDefault="00412AFB" w:rsidP="007876F3">
            <w:pPr>
              <w:pStyle w:val="Sinespaciado"/>
              <w:rPr>
                <w:rFonts w:ascii="Arial" w:hAnsi="Arial" w:cs="Arial"/>
                <w:sz w:val="20"/>
                <w:lang w:val="es-ES"/>
              </w:rPr>
            </w:pPr>
          </w:p>
        </w:tc>
      </w:tr>
    </w:tbl>
    <w:p w:rsidR="00412AFB" w:rsidRPr="00993936" w:rsidRDefault="00412AFB" w:rsidP="007876F3">
      <w:pPr>
        <w:pStyle w:val="Sinespaciado"/>
        <w:rPr>
          <w:rFonts w:ascii="Arial" w:hAnsi="Arial" w:cs="Arial"/>
          <w:i/>
          <w:sz w:val="2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lastRenderedPageBreak/>
        <w:t>3.1.2. Peras</w:t>
      </w:r>
    </w:p>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3544"/>
        <w:gridCol w:w="3833"/>
        <w:gridCol w:w="3578"/>
      </w:tblGrid>
      <w:tr w:rsidR="00412AFB" w:rsidRPr="00993936" w:rsidTr="00C8678E">
        <w:trPr>
          <w:jc w:val="center"/>
        </w:trPr>
        <w:tc>
          <w:tcPr>
            <w:tcW w:w="1127" w:type="pct"/>
            <w:shd w:val="pct12" w:color="auto" w:fill="FFFFFF"/>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PLAGA</w:t>
            </w:r>
          </w:p>
        </w:tc>
        <w:tc>
          <w:tcPr>
            <w:tcW w:w="1253" w:type="pct"/>
            <w:shd w:val="pct12" w:color="auto" w:fill="FFFFFF"/>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UMBRAL DE TOLERANCIA</w:t>
            </w:r>
          </w:p>
        </w:tc>
        <w:tc>
          <w:tcPr>
            <w:tcW w:w="1355" w:type="pct"/>
            <w:shd w:val="pct12" w:color="auto" w:fill="FFFFFF"/>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MATERIA ACTIVA</w:t>
            </w:r>
          </w:p>
        </w:tc>
        <w:tc>
          <w:tcPr>
            <w:tcW w:w="1265" w:type="pct"/>
            <w:shd w:val="pct12" w:color="auto" w:fill="FFFFFF"/>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127" w:type="pct"/>
            <w:vMerge w:val="restart"/>
            <w:vAlign w:val="center"/>
          </w:tcPr>
          <w:p w:rsidR="00412AFB" w:rsidRPr="00993936" w:rsidRDefault="00412AFB" w:rsidP="007876F3">
            <w:pPr>
              <w:pStyle w:val="Sinespaciado"/>
              <w:rPr>
                <w:rFonts w:ascii="Arial" w:hAnsi="Arial" w:cs="Arial"/>
              </w:rPr>
            </w:pPr>
            <w:r w:rsidRPr="00993936">
              <w:rPr>
                <w:rFonts w:ascii="Arial" w:hAnsi="Arial" w:cs="Arial"/>
              </w:rPr>
              <w:t>Piojo de San José</w:t>
            </w:r>
          </w:p>
          <w:p w:rsidR="00412AFB" w:rsidRPr="00993936" w:rsidRDefault="00412AFB" w:rsidP="007876F3">
            <w:pPr>
              <w:pStyle w:val="Sinespaciado"/>
              <w:rPr>
                <w:rFonts w:ascii="Arial" w:hAnsi="Arial" w:cs="Arial"/>
                <w:i/>
                <w:snapToGrid w:val="0"/>
                <w:lang w:val="es-ES"/>
              </w:rPr>
            </w:pPr>
            <w:r w:rsidRPr="00993936">
              <w:rPr>
                <w:rFonts w:ascii="Arial" w:hAnsi="Arial" w:cs="Arial"/>
                <w:snapToGrid w:val="0"/>
                <w:lang w:val="es-ES"/>
              </w:rPr>
              <w:t>Comstockaspis perniciosa</w:t>
            </w:r>
          </w:p>
        </w:tc>
        <w:tc>
          <w:tcPr>
            <w:tcW w:w="12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Tratamientos de invierno: Presencia </w:t>
            </w:r>
          </w:p>
        </w:tc>
        <w:tc>
          <w:tcPr>
            <w:tcW w:w="1355"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Fenoxicarb </w:t>
            </w:r>
          </w:p>
          <w:p w:rsidR="00412AFB" w:rsidRPr="00993936" w:rsidRDefault="00412AFB" w:rsidP="007876F3">
            <w:pPr>
              <w:pStyle w:val="Sinespaciado"/>
              <w:rPr>
                <w:rFonts w:ascii="Arial" w:hAnsi="Arial" w:cs="Arial"/>
                <w:lang w:val="es-ES"/>
              </w:rPr>
            </w:pPr>
            <w:r w:rsidRPr="00993936">
              <w:rPr>
                <w:rFonts w:ascii="Arial" w:hAnsi="Arial" w:cs="Arial"/>
                <w:lang w:val="es-ES"/>
              </w:rPr>
              <w:t>Aceite parafínico</w:t>
            </w:r>
          </w:p>
          <w:p w:rsidR="00412AFB" w:rsidRPr="00993936" w:rsidRDefault="00412AFB" w:rsidP="007876F3">
            <w:pPr>
              <w:pStyle w:val="Sinespaciado"/>
              <w:rPr>
                <w:rFonts w:ascii="Arial" w:hAnsi="Arial" w:cs="Arial"/>
                <w:lang w:val="es-ES"/>
              </w:rPr>
            </w:pPr>
            <w:r w:rsidRPr="00993936">
              <w:rPr>
                <w:rFonts w:ascii="Arial" w:hAnsi="Arial" w:cs="Arial"/>
                <w:lang w:val="es-ES"/>
              </w:rPr>
              <w:t>Polisulfuro de calcio</w:t>
            </w:r>
          </w:p>
        </w:tc>
        <w:tc>
          <w:tcPr>
            <w:tcW w:w="1265" w:type="pct"/>
            <w:vMerge w:val="restar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Máximo: 1 tratamiento/año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2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3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7876F3">
            <w:pPr>
              <w:pStyle w:val="Sinespaciado"/>
              <w:rPr>
                <w:rFonts w:ascii="Arial" w:hAnsi="Arial" w:cs="Arial"/>
                <w:lang w:val="es-ES"/>
              </w:rPr>
            </w:pPr>
            <w:r w:rsidRPr="00993936">
              <w:rPr>
                <w:rFonts w:ascii="Arial" w:hAnsi="Arial" w:cs="Arial"/>
                <w:lang w:val="es-ES"/>
              </w:rPr>
              <w:t>Tratamiento localizado con aceite parafínico</w:t>
            </w:r>
          </w:p>
          <w:p w:rsidR="00412AFB" w:rsidRPr="00993936" w:rsidRDefault="00412AFB" w:rsidP="007876F3">
            <w:pPr>
              <w:pStyle w:val="Sinespaciado"/>
              <w:rPr>
                <w:rFonts w:ascii="Arial" w:hAnsi="Arial" w:cs="Arial"/>
                <w:lang w:val="es-ES"/>
              </w:rPr>
            </w:pPr>
            <w:r w:rsidRPr="00993936">
              <w:rPr>
                <w:rFonts w:ascii="Arial" w:hAnsi="Arial" w:cs="Arial"/>
                <w:lang w:val="es-ES"/>
              </w:rPr>
              <w:t>Solo desde el estadio F2 hasta cuajado con dosis autorizada</w:t>
            </w: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p>
        </w:tc>
      </w:tr>
      <w:tr w:rsidR="00412AFB" w:rsidRPr="00993936" w:rsidTr="00C8678E">
        <w:trPr>
          <w:cantSplit/>
          <w:jc w:val="center"/>
        </w:trPr>
        <w:tc>
          <w:tcPr>
            <w:tcW w:w="1127" w:type="pct"/>
            <w:vMerge/>
            <w:vAlign w:val="center"/>
          </w:tcPr>
          <w:p w:rsidR="00412AFB" w:rsidRPr="00993936" w:rsidRDefault="00412AFB" w:rsidP="007876F3">
            <w:pPr>
              <w:pStyle w:val="Sinespaciado"/>
              <w:rPr>
                <w:rFonts w:ascii="Arial" w:hAnsi="Arial" w:cs="Arial"/>
                <w:lang w:val="es-ES"/>
              </w:rPr>
            </w:pPr>
          </w:p>
        </w:tc>
        <w:tc>
          <w:tcPr>
            <w:tcW w:w="12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En prefloración: Presencia </w:t>
            </w:r>
          </w:p>
        </w:tc>
        <w:tc>
          <w:tcPr>
            <w:tcW w:w="1355"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Azadiractina </w:t>
            </w:r>
          </w:p>
          <w:p w:rsidR="00412AFB" w:rsidRPr="00993936" w:rsidRDefault="00412AFB" w:rsidP="007876F3">
            <w:pPr>
              <w:pStyle w:val="Sinespaciado"/>
              <w:rPr>
                <w:rFonts w:ascii="Arial" w:hAnsi="Arial" w:cs="Arial"/>
                <w:lang w:val="es-ES"/>
              </w:rPr>
            </w:pPr>
            <w:r w:rsidRPr="00993936">
              <w:rPr>
                <w:rFonts w:ascii="Arial" w:hAnsi="Arial" w:cs="Arial"/>
                <w:lang w:val="es-ES"/>
              </w:rPr>
              <w:t>Aceite parafínico</w:t>
            </w:r>
          </w:p>
          <w:p w:rsidR="00412AFB" w:rsidRPr="00993936" w:rsidRDefault="00412AFB" w:rsidP="007876F3">
            <w:pPr>
              <w:pStyle w:val="Sinespaciado"/>
              <w:rPr>
                <w:rFonts w:ascii="Arial" w:hAnsi="Arial" w:cs="Arial"/>
                <w:lang w:val="es-ES"/>
              </w:rPr>
            </w:pPr>
            <w:r w:rsidRPr="00993936">
              <w:rPr>
                <w:rFonts w:ascii="Arial" w:hAnsi="Arial" w:cs="Arial"/>
                <w:lang w:val="es-ES"/>
              </w:rPr>
              <w:t>Piriproxifen</w:t>
            </w:r>
          </w:p>
        </w:tc>
        <w:tc>
          <w:tcPr>
            <w:tcW w:w="1265" w:type="pct"/>
            <w:vMerge/>
            <w:vAlign w:val="center"/>
          </w:tcPr>
          <w:p w:rsidR="00412AFB" w:rsidRPr="00993936" w:rsidRDefault="00412AFB" w:rsidP="007876F3">
            <w:pPr>
              <w:pStyle w:val="Sinespaciado"/>
              <w:rPr>
                <w:rFonts w:ascii="Arial" w:hAnsi="Arial" w:cs="Arial"/>
                <w:lang w:val="es-ES"/>
              </w:rPr>
            </w:pPr>
          </w:p>
        </w:tc>
      </w:tr>
      <w:tr w:rsidR="00412AFB" w:rsidRPr="00993936" w:rsidTr="00C8678E">
        <w:trPr>
          <w:cantSplit/>
          <w:jc w:val="center"/>
        </w:trPr>
        <w:tc>
          <w:tcPr>
            <w:tcW w:w="1127" w:type="pct"/>
            <w:vMerge/>
            <w:vAlign w:val="center"/>
          </w:tcPr>
          <w:p w:rsidR="00412AFB" w:rsidRPr="00993936" w:rsidRDefault="00412AFB" w:rsidP="007876F3">
            <w:pPr>
              <w:pStyle w:val="Sinespaciado"/>
              <w:rPr>
                <w:rFonts w:ascii="Arial" w:hAnsi="Arial" w:cs="Arial"/>
                <w:lang w:val="es-ES"/>
              </w:rPr>
            </w:pPr>
          </w:p>
        </w:tc>
        <w:tc>
          <w:tcPr>
            <w:tcW w:w="12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en 1.ª generación: &gt; 2 % de árboles ocupados por formas móviles</w:t>
            </w:r>
          </w:p>
        </w:tc>
        <w:tc>
          <w:tcPr>
            <w:tcW w:w="1355"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Buprofezin</w:t>
            </w:r>
          </w:p>
          <w:p w:rsidR="00412AFB" w:rsidRPr="00993936" w:rsidRDefault="00412AFB" w:rsidP="007876F3">
            <w:pPr>
              <w:pStyle w:val="Sinespaciado"/>
              <w:rPr>
                <w:rFonts w:ascii="Arial" w:hAnsi="Arial" w:cs="Arial"/>
                <w:lang w:val="es-ES"/>
              </w:rPr>
            </w:pPr>
            <w:r w:rsidRPr="00993936">
              <w:rPr>
                <w:rFonts w:ascii="Arial" w:hAnsi="Arial" w:cs="Arial"/>
                <w:lang w:val="es-ES"/>
              </w:rPr>
              <w:t>Deltametrina</w:t>
            </w:r>
          </w:p>
          <w:p w:rsidR="00412AFB" w:rsidRPr="00993936" w:rsidRDefault="00412AFB" w:rsidP="007876F3">
            <w:pPr>
              <w:pStyle w:val="Sinespaciado"/>
              <w:rPr>
                <w:rFonts w:ascii="Arial" w:hAnsi="Arial" w:cs="Arial"/>
                <w:lang w:val="es-ES"/>
              </w:rPr>
            </w:pPr>
            <w:r w:rsidRPr="00993936">
              <w:rPr>
                <w:rFonts w:ascii="Arial" w:hAnsi="Arial" w:cs="Arial"/>
                <w:lang w:val="es-ES"/>
              </w:rPr>
              <w:t>Metil-clorpirifos</w:t>
            </w:r>
          </w:p>
          <w:p w:rsidR="00412AFB" w:rsidRPr="00993936" w:rsidRDefault="00412AFB" w:rsidP="007876F3">
            <w:pPr>
              <w:pStyle w:val="Sinespaciado"/>
              <w:rPr>
                <w:rFonts w:ascii="Arial" w:hAnsi="Arial" w:cs="Arial"/>
                <w:lang w:val="es-ES"/>
              </w:rPr>
            </w:pPr>
            <w:r w:rsidRPr="00993936">
              <w:rPr>
                <w:rFonts w:ascii="Arial" w:hAnsi="Arial" w:cs="Arial"/>
                <w:lang w:val="es-ES"/>
              </w:rPr>
              <w:t>Spirotetramat</w:t>
            </w:r>
          </w:p>
        </w:tc>
        <w:tc>
          <w:tcPr>
            <w:tcW w:w="1265" w:type="pct"/>
            <w:vMerge/>
            <w:vAlign w:val="center"/>
          </w:tcPr>
          <w:p w:rsidR="00412AFB" w:rsidRPr="00993936" w:rsidRDefault="00412AFB" w:rsidP="007876F3">
            <w:pPr>
              <w:pStyle w:val="Sinespaciado"/>
              <w:rPr>
                <w:rFonts w:ascii="Arial" w:hAnsi="Arial" w:cs="Arial"/>
                <w:lang w:val="es-ES"/>
              </w:rPr>
            </w:pPr>
          </w:p>
        </w:tc>
      </w:tr>
      <w:tr w:rsidR="00412AFB" w:rsidRPr="00993936" w:rsidTr="00C8678E">
        <w:trPr>
          <w:cantSplit/>
          <w:jc w:val="center"/>
        </w:trPr>
        <w:tc>
          <w:tcPr>
            <w:tcW w:w="1127" w:type="pct"/>
            <w:vAlign w:val="center"/>
          </w:tcPr>
          <w:p w:rsidR="00412AFB" w:rsidRPr="00993936" w:rsidRDefault="00412AFB" w:rsidP="007876F3">
            <w:pPr>
              <w:pStyle w:val="Sinespaciado"/>
              <w:rPr>
                <w:rFonts w:ascii="Arial" w:hAnsi="Arial" w:cs="Arial"/>
              </w:rPr>
            </w:pPr>
            <w:r w:rsidRPr="00993936">
              <w:rPr>
                <w:rFonts w:ascii="Arial" w:hAnsi="Arial" w:cs="Arial"/>
              </w:rPr>
              <w:t>Orugas roedoras de la piel:</w:t>
            </w: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snapToGrid w:val="0"/>
                <w:lang w:val="es-ES"/>
              </w:rPr>
            </w:pPr>
            <w:r w:rsidRPr="00993936">
              <w:rPr>
                <w:rFonts w:ascii="Arial" w:hAnsi="Arial" w:cs="Arial"/>
                <w:snapToGrid w:val="0"/>
                <w:lang w:val="es-ES"/>
              </w:rPr>
              <w:t>Capua</w:t>
            </w:r>
            <w:r w:rsidR="006043F1" w:rsidRPr="00993936">
              <w:rPr>
                <w:rFonts w:ascii="Arial" w:hAnsi="Arial" w:cs="Arial"/>
                <w:snapToGrid w:val="0"/>
                <w:lang w:val="es-ES"/>
              </w:rPr>
              <w:t>:</w:t>
            </w:r>
            <w:r w:rsidRPr="00993936">
              <w:rPr>
                <w:rFonts w:ascii="Arial" w:hAnsi="Arial" w:cs="Arial"/>
                <w:snapToGrid w:val="0"/>
                <w:lang w:val="es-ES"/>
              </w:rPr>
              <w:t xml:space="preserve"> </w:t>
            </w:r>
          </w:p>
          <w:p w:rsidR="00412AFB" w:rsidRPr="00993936" w:rsidRDefault="00412AFB" w:rsidP="007876F3">
            <w:pPr>
              <w:pStyle w:val="Sinespaciado"/>
              <w:rPr>
                <w:rFonts w:ascii="Arial" w:hAnsi="Arial" w:cs="Arial"/>
                <w:i/>
                <w:snapToGrid w:val="0"/>
                <w:lang w:val="es-ES"/>
              </w:rPr>
            </w:pPr>
            <w:r w:rsidRPr="00993936">
              <w:rPr>
                <w:rFonts w:ascii="Arial" w:hAnsi="Arial" w:cs="Arial"/>
                <w:i/>
                <w:snapToGrid w:val="0"/>
                <w:lang w:val="es-ES"/>
              </w:rPr>
              <w:t>Adoxophyes orana</w:t>
            </w:r>
          </w:p>
          <w:p w:rsidR="00412AFB" w:rsidRPr="00993936" w:rsidRDefault="00412AFB" w:rsidP="007876F3">
            <w:pPr>
              <w:pStyle w:val="Sinespaciado"/>
              <w:rPr>
                <w:rFonts w:ascii="Arial" w:hAnsi="Arial" w:cs="Arial"/>
                <w:i/>
                <w:snapToGrid w:val="0"/>
                <w:lang w:val="es-ES"/>
              </w:rPr>
            </w:pPr>
            <w:r w:rsidRPr="00993936">
              <w:rPr>
                <w:rFonts w:ascii="Arial" w:hAnsi="Arial" w:cs="Arial"/>
                <w:i/>
                <w:snapToGrid w:val="0"/>
                <w:lang w:val="es-ES"/>
              </w:rPr>
              <w:t>Cacoecimorpha pronubana</w:t>
            </w:r>
          </w:p>
          <w:p w:rsidR="00412AFB" w:rsidRPr="00993936" w:rsidRDefault="00412AFB" w:rsidP="007876F3">
            <w:pPr>
              <w:pStyle w:val="Sinespaciado"/>
              <w:rPr>
                <w:rFonts w:ascii="Arial" w:hAnsi="Arial" w:cs="Arial"/>
                <w:i/>
                <w:snapToGrid w:val="0"/>
                <w:lang w:val="es-ES"/>
              </w:rPr>
            </w:pPr>
            <w:r w:rsidRPr="00993936">
              <w:rPr>
                <w:rFonts w:ascii="Arial" w:hAnsi="Arial" w:cs="Arial"/>
                <w:i/>
                <w:snapToGrid w:val="0"/>
                <w:lang w:val="es-ES"/>
              </w:rPr>
              <w:t>Pandemis heparana</w:t>
            </w:r>
          </w:p>
          <w:p w:rsidR="00412AFB" w:rsidRPr="00993936" w:rsidRDefault="00412AFB" w:rsidP="007876F3">
            <w:pPr>
              <w:pStyle w:val="Sinespaciado"/>
              <w:rPr>
                <w:rFonts w:ascii="Arial" w:hAnsi="Arial" w:cs="Arial"/>
                <w:lang w:val="es-ES"/>
              </w:rPr>
            </w:pPr>
          </w:p>
        </w:tc>
        <w:tc>
          <w:tcPr>
            <w:tcW w:w="12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En prefloración: presencia</w:t>
            </w:r>
          </w:p>
          <w:p w:rsidR="00412AFB" w:rsidRPr="00993936" w:rsidRDefault="00412AFB" w:rsidP="007876F3">
            <w:pPr>
              <w:pStyle w:val="Sinespaciado"/>
              <w:rPr>
                <w:rFonts w:ascii="Arial" w:hAnsi="Arial" w:cs="Arial"/>
                <w:lang w:val="es-ES"/>
              </w:rPr>
            </w:pPr>
            <w:r w:rsidRPr="00993936">
              <w:rPr>
                <w:rFonts w:ascii="Arial" w:hAnsi="Arial" w:cs="Arial"/>
                <w:lang w:val="es-ES"/>
              </w:rPr>
              <w:t>En periodo vegetativo: 15-25 adultos/trampa/semana para una de las plagas y 15-25 adultos/trampa/semana para capturas conjuntas de una especie</w:t>
            </w:r>
          </w:p>
        </w:tc>
        <w:tc>
          <w:tcPr>
            <w:tcW w:w="1355"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Acetamiprid</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Azadiractina </w:t>
            </w:r>
          </w:p>
          <w:p w:rsidR="00412AFB" w:rsidRPr="00993936" w:rsidRDefault="00412AFB" w:rsidP="007876F3">
            <w:pPr>
              <w:pStyle w:val="Sinespaciado"/>
              <w:rPr>
                <w:rFonts w:ascii="Arial" w:hAnsi="Arial" w:cs="Arial"/>
                <w:i/>
                <w:lang w:val="es-ES"/>
              </w:rPr>
            </w:pPr>
            <w:r w:rsidRPr="00993936">
              <w:rPr>
                <w:rFonts w:ascii="Arial" w:hAnsi="Arial" w:cs="Arial"/>
                <w:i/>
                <w:lang w:val="es-ES"/>
              </w:rPr>
              <w:t>Bacillus thuringiensis kurstaki</w:t>
            </w:r>
          </w:p>
          <w:p w:rsidR="00412AFB" w:rsidRPr="00993936" w:rsidRDefault="00412AFB" w:rsidP="007876F3">
            <w:pPr>
              <w:pStyle w:val="Sinespaciado"/>
              <w:rPr>
                <w:rFonts w:ascii="Arial" w:hAnsi="Arial" w:cs="Arial"/>
                <w:lang w:val="es-ES"/>
              </w:rPr>
            </w:pPr>
            <w:r w:rsidRPr="00993936">
              <w:rPr>
                <w:rFonts w:ascii="Arial" w:hAnsi="Arial" w:cs="Arial"/>
                <w:lang w:val="es-ES"/>
              </w:rPr>
              <w:t>Beta-ciflutrina</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Clorantraniliprol </w:t>
            </w:r>
          </w:p>
          <w:p w:rsidR="00412AFB" w:rsidRPr="00993936" w:rsidRDefault="00412AFB" w:rsidP="007876F3">
            <w:pPr>
              <w:pStyle w:val="Sinespaciado"/>
              <w:rPr>
                <w:rFonts w:ascii="Arial" w:hAnsi="Arial" w:cs="Arial"/>
                <w:lang w:val="es-ES"/>
              </w:rPr>
            </w:pPr>
            <w:r w:rsidRPr="00993936">
              <w:rPr>
                <w:rFonts w:ascii="Arial" w:hAnsi="Arial" w:cs="Arial"/>
                <w:lang w:val="es-ES"/>
              </w:rPr>
              <w:t>Esfenvalerat</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Deltametrina </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Fenoxicarb </w:t>
            </w:r>
          </w:p>
          <w:p w:rsidR="00412AFB" w:rsidRPr="00993936" w:rsidRDefault="00412AFB" w:rsidP="007876F3">
            <w:pPr>
              <w:pStyle w:val="Sinespaciado"/>
              <w:rPr>
                <w:rFonts w:ascii="Arial" w:hAnsi="Arial" w:cs="Arial"/>
                <w:lang w:val="es-ES"/>
              </w:rPr>
            </w:pPr>
            <w:r w:rsidRPr="00993936">
              <w:rPr>
                <w:rFonts w:ascii="Arial" w:hAnsi="Arial" w:cs="Arial"/>
                <w:lang w:val="es-ES"/>
              </w:rPr>
              <w:t>Fosmet (1) (8)</w:t>
            </w:r>
          </w:p>
          <w:p w:rsidR="00412AFB" w:rsidRPr="00993936" w:rsidRDefault="00412AFB" w:rsidP="007876F3">
            <w:pPr>
              <w:pStyle w:val="Sinespaciado"/>
              <w:rPr>
                <w:rFonts w:ascii="Arial" w:hAnsi="Arial" w:cs="Arial"/>
                <w:lang w:val="es-ES"/>
              </w:rPr>
            </w:pPr>
            <w:r w:rsidRPr="00993936">
              <w:rPr>
                <w:rFonts w:ascii="Arial" w:hAnsi="Arial" w:cs="Arial"/>
                <w:lang w:val="es-ES"/>
              </w:rPr>
              <w:t>indoxacarb</w:t>
            </w:r>
          </w:p>
          <w:p w:rsidR="00412AFB" w:rsidRPr="00993936" w:rsidRDefault="00412AFB" w:rsidP="007876F3">
            <w:pPr>
              <w:pStyle w:val="Sinespaciado"/>
              <w:rPr>
                <w:rFonts w:ascii="Arial" w:hAnsi="Arial" w:cs="Arial"/>
                <w:lang w:val="es-ES"/>
              </w:rPr>
            </w:pPr>
            <w:r w:rsidRPr="00993936">
              <w:rPr>
                <w:rFonts w:ascii="Arial" w:hAnsi="Arial" w:cs="Arial"/>
                <w:lang w:val="es-ES"/>
              </w:rPr>
              <w:t>Lambda-cihalotrina (1)</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Metil-clorpirifos </w:t>
            </w:r>
          </w:p>
          <w:p w:rsidR="00412AFB" w:rsidRPr="00993936" w:rsidRDefault="00412AFB" w:rsidP="007876F3">
            <w:pPr>
              <w:pStyle w:val="Sinespaciado"/>
              <w:rPr>
                <w:rFonts w:ascii="Arial" w:hAnsi="Arial" w:cs="Arial"/>
                <w:lang w:val="es-ES"/>
              </w:rPr>
            </w:pPr>
            <w:r w:rsidRPr="00993936">
              <w:rPr>
                <w:rFonts w:ascii="Arial" w:hAnsi="Arial" w:cs="Arial"/>
                <w:lang w:val="es-ES"/>
              </w:rPr>
              <w:t>Metoxifenocida</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Tebufenocida (2) </w:t>
            </w:r>
          </w:p>
          <w:p w:rsidR="00412AFB" w:rsidRPr="00993936" w:rsidRDefault="00412AFB" w:rsidP="007876F3">
            <w:pPr>
              <w:pStyle w:val="Sinespaciado"/>
              <w:rPr>
                <w:rFonts w:ascii="Arial" w:hAnsi="Arial" w:cs="Arial"/>
                <w:lang w:val="es-ES"/>
              </w:rPr>
            </w:pPr>
            <w:r w:rsidRPr="00993936">
              <w:rPr>
                <w:rFonts w:ascii="Arial" w:hAnsi="Arial" w:cs="Arial"/>
                <w:lang w:val="es-ES"/>
              </w:rPr>
              <w:t>Triflumuron</w:t>
            </w:r>
          </w:p>
          <w:p w:rsidR="00412AFB" w:rsidRPr="00993936" w:rsidRDefault="00412AFB" w:rsidP="007876F3">
            <w:pPr>
              <w:pStyle w:val="Sinespaciado"/>
              <w:rPr>
                <w:rFonts w:ascii="Arial" w:hAnsi="Arial" w:cs="Arial"/>
                <w:lang w:val="es-ES"/>
              </w:rPr>
            </w:pPr>
            <w:r w:rsidRPr="00993936">
              <w:rPr>
                <w:rFonts w:ascii="Arial" w:hAnsi="Arial" w:cs="Arial"/>
                <w:lang w:val="es-ES"/>
              </w:rPr>
              <w:t>Zeta-cipermetrina</w:t>
            </w:r>
          </w:p>
        </w:tc>
        <w:tc>
          <w:tcPr>
            <w:tcW w:w="1265" w:type="pct"/>
            <w:vMerge/>
            <w:vAlign w:val="center"/>
          </w:tcPr>
          <w:p w:rsidR="00412AFB" w:rsidRPr="00993936" w:rsidRDefault="00412AFB" w:rsidP="007876F3">
            <w:pPr>
              <w:pStyle w:val="Sinespaciado"/>
              <w:rPr>
                <w:rFonts w:ascii="Arial" w:hAnsi="Arial" w:cs="Arial"/>
                <w:lang w:val="es-ES"/>
              </w:rPr>
            </w:pPr>
          </w:p>
        </w:tc>
      </w:tr>
    </w:tbl>
    <w:p w:rsidR="00412AFB" w:rsidRPr="00993936" w:rsidRDefault="00412AFB" w:rsidP="00412AFB">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8"/>
        <w:gridCol w:w="3197"/>
        <w:gridCol w:w="3737"/>
        <w:gridCol w:w="3822"/>
      </w:tblGrid>
      <w:tr w:rsidR="00412AFB" w:rsidRPr="00993936" w:rsidTr="00C8678E">
        <w:trPr>
          <w:cantSplit/>
          <w:tblHeader/>
          <w:jc w:val="center"/>
        </w:trPr>
        <w:tc>
          <w:tcPr>
            <w:tcW w:w="1198" w:type="pct"/>
            <w:shd w:val="pct12" w:color="auto" w:fill="FFFFFF"/>
          </w:tcPr>
          <w:p w:rsidR="00412AFB" w:rsidRPr="00993936" w:rsidRDefault="00412AFB" w:rsidP="007876F3">
            <w:pPr>
              <w:pStyle w:val="Sinespaciado"/>
              <w:rPr>
                <w:rFonts w:ascii="Arial" w:hAnsi="Arial" w:cs="Arial"/>
                <w:lang w:val="es-ES"/>
              </w:rPr>
            </w:pPr>
            <w:r w:rsidRPr="00993936">
              <w:rPr>
                <w:rFonts w:ascii="Arial" w:hAnsi="Arial" w:cs="Arial"/>
                <w:lang w:val="es-ES"/>
              </w:rPr>
              <w:br w:type="page"/>
              <w:t>PLAGA</w:t>
            </w:r>
          </w:p>
        </w:tc>
        <w:tc>
          <w:tcPr>
            <w:tcW w:w="1130" w:type="pct"/>
            <w:shd w:val="pct12" w:color="auto" w:fill="FFFFFF"/>
          </w:tcPr>
          <w:p w:rsidR="00412AFB" w:rsidRPr="00993936" w:rsidRDefault="00412AFB" w:rsidP="007876F3">
            <w:pPr>
              <w:pStyle w:val="Sinespaciado"/>
              <w:rPr>
                <w:rFonts w:ascii="Arial" w:hAnsi="Arial" w:cs="Arial"/>
                <w:lang w:val="es-ES"/>
              </w:rPr>
            </w:pPr>
            <w:r w:rsidRPr="00993936">
              <w:rPr>
                <w:rFonts w:ascii="Arial" w:hAnsi="Arial" w:cs="Arial"/>
                <w:lang w:val="es-ES"/>
              </w:rPr>
              <w:t>UMBRAL DE TOLERANCIA</w:t>
            </w:r>
          </w:p>
        </w:tc>
        <w:tc>
          <w:tcPr>
            <w:tcW w:w="1321" w:type="pct"/>
            <w:shd w:val="pct12" w:color="auto" w:fill="FFFFFF"/>
          </w:tcPr>
          <w:p w:rsidR="00412AFB" w:rsidRPr="00993936" w:rsidRDefault="00412AFB" w:rsidP="007876F3">
            <w:pPr>
              <w:pStyle w:val="Sinespaciado"/>
              <w:rPr>
                <w:rFonts w:ascii="Arial" w:hAnsi="Arial" w:cs="Arial"/>
                <w:lang w:val="es-ES"/>
              </w:rPr>
            </w:pPr>
            <w:r w:rsidRPr="00993936">
              <w:rPr>
                <w:rFonts w:ascii="Arial" w:hAnsi="Arial" w:cs="Arial"/>
                <w:lang w:val="es-ES"/>
              </w:rPr>
              <w:t>MATERIA ACTIVA</w:t>
            </w:r>
          </w:p>
        </w:tc>
        <w:tc>
          <w:tcPr>
            <w:tcW w:w="1351" w:type="pct"/>
            <w:shd w:val="pct12" w:color="auto" w:fill="FFFFFF"/>
          </w:tcPr>
          <w:p w:rsidR="00412AFB" w:rsidRPr="00993936" w:rsidRDefault="00412AFB" w:rsidP="007876F3">
            <w:pPr>
              <w:pStyle w:val="Sinespaciado"/>
              <w:rPr>
                <w:rFonts w:ascii="Arial" w:hAnsi="Arial" w:cs="Arial"/>
                <w:lang w:val="es-ES"/>
              </w:rPr>
            </w:pPr>
            <w:r w:rsidRPr="00993936">
              <w:rPr>
                <w:rFonts w:ascii="Arial" w:hAnsi="Arial" w:cs="Arial"/>
                <w:lang w:val="es-ES"/>
              </w:rPr>
              <w:t>RESTRICCIONES</w:t>
            </w:r>
          </w:p>
        </w:tc>
      </w:tr>
      <w:tr w:rsidR="00412AFB" w:rsidRPr="00993936" w:rsidTr="00C8678E">
        <w:trPr>
          <w:cantSplit/>
          <w:jc w:val="center"/>
        </w:trPr>
        <w:tc>
          <w:tcPr>
            <w:tcW w:w="1198" w:type="pct"/>
            <w:vMerge w:val="restart"/>
            <w:vAlign w:val="center"/>
          </w:tcPr>
          <w:p w:rsidR="00412AFB" w:rsidRPr="00993936" w:rsidRDefault="00412AFB" w:rsidP="007876F3">
            <w:pPr>
              <w:pStyle w:val="Sinespaciado"/>
              <w:rPr>
                <w:rFonts w:ascii="Arial" w:hAnsi="Arial" w:cs="Arial"/>
              </w:rPr>
            </w:pPr>
            <w:r w:rsidRPr="00993936">
              <w:rPr>
                <w:rFonts w:ascii="Arial" w:hAnsi="Arial" w:cs="Arial"/>
              </w:rPr>
              <w:lastRenderedPageBreak/>
              <w:t>Psila</w:t>
            </w:r>
          </w:p>
          <w:p w:rsidR="00412AFB" w:rsidRPr="00993936" w:rsidRDefault="00412AFB" w:rsidP="007876F3">
            <w:pPr>
              <w:pStyle w:val="Sinespaciado"/>
              <w:rPr>
                <w:rFonts w:ascii="Arial" w:hAnsi="Arial" w:cs="Arial"/>
                <w:i/>
                <w:lang w:val="es-ES"/>
              </w:rPr>
            </w:pPr>
            <w:r w:rsidRPr="00993936">
              <w:rPr>
                <w:rFonts w:ascii="Arial" w:hAnsi="Arial" w:cs="Arial"/>
                <w:lang w:val="es-ES"/>
              </w:rPr>
              <w:t>Cacopsylla pyri</w:t>
            </w:r>
          </w:p>
        </w:tc>
        <w:tc>
          <w:tcPr>
            <w:tcW w:w="1130"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Adultos hibernantes</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&gt; 10 adultos por golpeo (40 veces) </w:t>
            </w:r>
          </w:p>
        </w:tc>
        <w:tc>
          <w:tcPr>
            <w:tcW w:w="1321"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Acetamiprid</w:t>
            </w:r>
          </w:p>
          <w:p w:rsidR="00412AFB" w:rsidRPr="00993936" w:rsidRDefault="00412AFB" w:rsidP="007876F3">
            <w:pPr>
              <w:pStyle w:val="Sinespaciado"/>
              <w:rPr>
                <w:rFonts w:ascii="Arial" w:hAnsi="Arial" w:cs="Arial"/>
                <w:lang w:val="es-ES"/>
              </w:rPr>
            </w:pPr>
            <w:r w:rsidRPr="00993936">
              <w:rPr>
                <w:rFonts w:ascii="Arial" w:hAnsi="Arial" w:cs="Arial"/>
                <w:lang w:val="es-ES"/>
              </w:rPr>
              <w:t>Acrinatrín</w:t>
            </w:r>
            <w:r w:rsidR="00E03B3B" w:rsidRPr="00993936">
              <w:rPr>
                <w:rFonts w:ascii="Arial" w:hAnsi="Arial" w:cs="Arial"/>
                <w:lang w:val="es-ES"/>
              </w:rPr>
              <w:t xml:space="preserve"> </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Beta-ciflutrina </w:t>
            </w:r>
          </w:p>
          <w:p w:rsidR="00412AFB" w:rsidRPr="00993936" w:rsidRDefault="00412AFB" w:rsidP="007876F3">
            <w:pPr>
              <w:pStyle w:val="Sinespaciado"/>
              <w:rPr>
                <w:rFonts w:ascii="Arial" w:hAnsi="Arial" w:cs="Arial"/>
                <w:lang w:val="es-ES"/>
              </w:rPr>
            </w:pPr>
            <w:r w:rsidRPr="00993936">
              <w:rPr>
                <w:rFonts w:ascii="Arial" w:hAnsi="Arial" w:cs="Arial"/>
                <w:lang w:val="es-ES"/>
              </w:rPr>
              <w:t>Caolín</w:t>
            </w:r>
          </w:p>
          <w:p w:rsidR="00412AFB" w:rsidRPr="00993936" w:rsidRDefault="00412AFB" w:rsidP="007876F3">
            <w:pPr>
              <w:pStyle w:val="Sinespaciado"/>
              <w:rPr>
                <w:rFonts w:ascii="Arial" w:hAnsi="Arial" w:cs="Arial"/>
                <w:lang w:val="es-ES"/>
              </w:rPr>
            </w:pPr>
            <w:r w:rsidRPr="00993936">
              <w:rPr>
                <w:rFonts w:ascii="Arial" w:hAnsi="Arial" w:cs="Arial"/>
                <w:lang w:val="es-ES"/>
              </w:rPr>
              <w:t>Cipermetrina</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Deltametrina </w:t>
            </w:r>
          </w:p>
          <w:p w:rsidR="00412AFB" w:rsidRPr="00993936" w:rsidRDefault="00412AFB" w:rsidP="007876F3">
            <w:pPr>
              <w:pStyle w:val="Sinespaciado"/>
              <w:rPr>
                <w:rFonts w:ascii="Arial" w:hAnsi="Arial" w:cs="Arial"/>
                <w:lang w:val="es-ES"/>
              </w:rPr>
            </w:pPr>
            <w:r w:rsidRPr="00993936">
              <w:rPr>
                <w:rFonts w:ascii="Arial" w:hAnsi="Arial" w:cs="Arial"/>
                <w:lang w:val="es-ES"/>
              </w:rPr>
              <w:t>Diflubenzuron</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Esfenvalerat </w:t>
            </w:r>
          </w:p>
          <w:p w:rsidR="00412AFB" w:rsidRPr="00993936" w:rsidRDefault="00412AFB" w:rsidP="007876F3">
            <w:pPr>
              <w:pStyle w:val="Sinespaciado"/>
              <w:rPr>
                <w:rFonts w:ascii="Arial" w:hAnsi="Arial" w:cs="Arial"/>
                <w:lang w:val="es-ES"/>
              </w:rPr>
            </w:pPr>
            <w:r w:rsidRPr="00993936">
              <w:rPr>
                <w:rFonts w:ascii="Arial" w:hAnsi="Arial" w:cs="Arial"/>
                <w:lang w:val="es-ES"/>
              </w:rPr>
              <w:t>Fosmet (1) (8)</w:t>
            </w:r>
          </w:p>
          <w:p w:rsidR="00412AFB" w:rsidRPr="00993936" w:rsidRDefault="00412AFB" w:rsidP="007876F3">
            <w:pPr>
              <w:pStyle w:val="Sinespaciado"/>
              <w:rPr>
                <w:rFonts w:ascii="Arial" w:hAnsi="Arial" w:cs="Arial"/>
                <w:lang w:val="es-ES"/>
              </w:rPr>
            </w:pPr>
            <w:r w:rsidRPr="00993936">
              <w:rPr>
                <w:rFonts w:ascii="Arial" w:hAnsi="Arial" w:cs="Arial"/>
                <w:lang w:val="es-ES"/>
              </w:rPr>
              <w:t>Fenpiroximato</w:t>
            </w:r>
          </w:p>
          <w:p w:rsidR="00412AFB" w:rsidRPr="00993936" w:rsidRDefault="00412AFB" w:rsidP="007876F3">
            <w:pPr>
              <w:pStyle w:val="Sinespaciado"/>
              <w:rPr>
                <w:rFonts w:ascii="Arial" w:hAnsi="Arial" w:cs="Arial"/>
                <w:lang w:val="es-ES"/>
              </w:rPr>
            </w:pPr>
            <w:r w:rsidRPr="00993936">
              <w:rPr>
                <w:rFonts w:ascii="Arial" w:hAnsi="Arial" w:cs="Arial"/>
                <w:lang w:val="es-ES"/>
              </w:rPr>
              <w:t>Metil-clorpirifos</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Tau-fluvalinato (4) </w:t>
            </w:r>
          </w:p>
        </w:tc>
        <w:tc>
          <w:tcPr>
            <w:tcW w:w="1351" w:type="pct"/>
            <w:vMerge w:val="restar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Máximo: 1 tratamiento/año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2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3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7876F3">
            <w:pPr>
              <w:pStyle w:val="Sinespaciado"/>
              <w:rPr>
                <w:rFonts w:ascii="Arial" w:hAnsi="Arial" w:cs="Arial"/>
                <w:lang w:val="es-ES"/>
              </w:rPr>
            </w:pPr>
            <w:r w:rsidRPr="00993936">
              <w:rPr>
                <w:rFonts w:ascii="Arial" w:hAnsi="Arial" w:cs="Arial"/>
                <w:lang w:val="es-ES"/>
              </w:rPr>
              <w:t>Tratamiento localizado con aceite parafínico</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Solo desde el estadio F2 a cuajado </w:t>
            </w:r>
            <w:r w:rsidRPr="00993936">
              <w:rPr>
                <w:rFonts w:ascii="Arial" w:hAnsi="Arial" w:cs="Arial"/>
                <w:lang w:val="es-ES"/>
              </w:rPr>
              <w:lastRenderedPageBreak/>
              <w:t>con dosis autorizada</w:t>
            </w: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snapToGrid w:val="0"/>
                <w:lang w:val="es-ES"/>
              </w:rPr>
            </w:pPr>
            <w:r w:rsidRPr="00993936">
              <w:rPr>
                <w:rFonts w:ascii="Arial" w:hAnsi="Arial" w:cs="Arial"/>
                <w:snapToGrid w:val="0"/>
                <w:lang w:val="es-ES"/>
              </w:rPr>
              <w:t>(**) El LMR coincide con LD</w:t>
            </w:r>
          </w:p>
        </w:tc>
      </w:tr>
      <w:tr w:rsidR="00412AFB" w:rsidRPr="00993936" w:rsidTr="00C8678E">
        <w:trPr>
          <w:cantSplit/>
          <w:trHeight w:val="1099"/>
          <w:jc w:val="center"/>
        </w:trPr>
        <w:tc>
          <w:tcPr>
            <w:tcW w:w="1198" w:type="pct"/>
            <w:vMerge/>
            <w:vAlign w:val="center"/>
          </w:tcPr>
          <w:p w:rsidR="00412AFB" w:rsidRPr="00993936" w:rsidRDefault="00412AFB" w:rsidP="007876F3">
            <w:pPr>
              <w:pStyle w:val="Sinespaciado"/>
              <w:rPr>
                <w:rFonts w:ascii="Arial" w:hAnsi="Arial" w:cs="Arial"/>
                <w:lang w:val="es-ES"/>
              </w:rPr>
            </w:pPr>
          </w:p>
        </w:tc>
        <w:tc>
          <w:tcPr>
            <w:tcW w:w="1130"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Periodo vegetativo</w:t>
            </w:r>
          </w:p>
          <w:p w:rsidR="00412AFB" w:rsidRPr="00993936" w:rsidRDefault="00412AFB" w:rsidP="007876F3">
            <w:pPr>
              <w:pStyle w:val="Sinespaciado"/>
              <w:rPr>
                <w:rFonts w:ascii="Arial" w:hAnsi="Arial" w:cs="Arial"/>
                <w:lang w:val="es-ES"/>
              </w:rPr>
            </w:pPr>
            <w:r w:rsidRPr="00993936">
              <w:rPr>
                <w:rFonts w:ascii="Arial" w:hAnsi="Arial" w:cs="Arial"/>
                <w:lang w:val="es-ES"/>
              </w:rPr>
              <w:t>10 % de brotes ocupados</w:t>
            </w:r>
          </w:p>
        </w:tc>
        <w:tc>
          <w:tcPr>
            <w:tcW w:w="1321" w:type="pct"/>
          </w:tcPr>
          <w:p w:rsidR="00412AFB" w:rsidRPr="00993936" w:rsidRDefault="00412AFB" w:rsidP="007876F3">
            <w:pPr>
              <w:pStyle w:val="Sinespaciado"/>
              <w:rPr>
                <w:rFonts w:ascii="Arial" w:hAnsi="Arial" w:cs="Arial"/>
                <w:lang w:val="es-ES"/>
              </w:rPr>
            </w:pPr>
            <w:r w:rsidRPr="00993936">
              <w:rPr>
                <w:rFonts w:ascii="Arial" w:hAnsi="Arial" w:cs="Arial"/>
                <w:lang w:val="es-ES"/>
              </w:rPr>
              <w:t>Abamectina (4) (**)</w:t>
            </w:r>
          </w:p>
          <w:p w:rsidR="00412AFB" w:rsidRPr="00993936" w:rsidRDefault="00412AFB" w:rsidP="007876F3">
            <w:pPr>
              <w:pStyle w:val="Sinespaciado"/>
              <w:rPr>
                <w:rFonts w:ascii="Arial" w:hAnsi="Arial" w:cs="Arial"/>
                <w:lang w:val="es-ES"/>
              </w:rPr>
            </w:pPr>
            <w:r w:rsidRPr="00993936">
              <w:rPr>
                <w:rFonts w:ascii="Arial" w:hAnsi="Arial" w:cs="Arial"/>
                <w:lang w:val="es-ES"/>
              </w:rPr>
              <w:t>Acrinatín</w:t>
            </w:r>
            <w:r w:rsidR="00E03B3B" w:rsidRPr="00993936">
              <w:rPr>
                <w:rFonts w:ascii="Arial" w:hAnsi="Arial" w:cs="Arial"/>
                <w:lang w:val="es-ES"/>
              </w:rPr>
              <w:t xml:space="preserve"> </w:t>
            </w:r>
          </w:p>
          <w:p w:rsidR="00412AFB" w:rsidRPr="00993936" w:rsidRDefault="00412AFB" w:rsidP="007876F3">
            <w:pPr>
              <w:pStyle w:val="Sinespaciado"/>
              <w:rPr>
                <w:rFonts w:ascii="Arial" w:hAnsi="Arial" w:cs="Arial"/>
                <w:lang w:val="es-ES"/>
              </w:rPr>
            </w:pPr>
            <w:r w:rsidRPr="00993936">
              <w:rPr>
                <w:rFonts w:ascii="Arial" w:hAnsi="Arial" w:cs="Arial"/>
                <w:lang w:val="es-ES"/>
              </w:rPr>
              <w:t>Azadiractina</w:t>
            </w:r>
          </w:p>
          <w:p w:rsidR="00412AFB" w:rsidRPr="00993936" w:rsidRDefault="00412AFB" w:rsidP="007876F3">
            <w:pPr>
              <w:pStyle w:val="Sinespaciado"/>
              <w:rPr>
                <w:rFonts w:ascii="Arial" w:hAnsi="Arial" w:cs="Arial"/>
                <w:i/>
                <w:lang w:val="es-ES"/>
              </w:rPr>
            </w:pPr>
            <w:r w:rsidRPr="00993936">
              <w:rPr>
                <w:rFonts w:ascii="Arial" w:hAnsi="Arial" w:cs="Arial"/>
                <w:i/>
                <w:lang w:val="es-ES"/>
              </w:rPr>
              <w:t>Beauveria bassiana</w:t>
            </w:r>
          </w:p>
          <w:p w:rsidR="00412AFB" w:rsidRPr="00993936" w:rsidRDefault="00412AFB" w:rsidP="007876F3">
            <w:pPr>
              <w:pStyle w:val="Sinespaciado"/>
              <w:rPr>
                <w:rFonts w:ascii="Arial" w:hAnsi="Arial" w:cs="Arial"/>
                <w:lang w:val="es-ES"/>
              </w:rPr>
            </w:pPr>
            <w:r w:rsidRPr="00993936">
              <w:rPr>
                <w:rFonts w:ascii="Arial" w:hAnsi="Arial" w:cs="Arial"/>
                <w:lang w:val="es-ES"/>
              </w:rPr>
              <w:t>Beta-ciflutrina</w:t>
            </w:r>
          </w:p>
          <w:p w:rsidR="00412AFB" w:rsidRPr="00993936" w:rsidRDefault="00412AFB" w:rsidP="007876F3">
            <w:pPr>
              <w:pStyle w:val="Sinespaciado"/>
              <w:rPr>
                <w:rFonts w:ascii="Arial" w:hAnsi="Arial" w:cs="Arial"/>
                <w:lang w:val="es-ES"/>
              </w:rPr>
            </w:pPr>
            <w:r w:rsidRPr="00993936">
              <w:rPr>
                <w:rFonts w:ascii="Arial" w:hAnsi="Arial" w:cs="Arial"/>
                <w:lang w:val="es-ES"/>
              </w:rPr>
              <w:t>Deltametrina + Tiacloprid</w:t>
            </w:r>
          </w:p>
          <w:p w:rsidR="00412AFB" w:rsidRPr="00993936" w:rsidRDefault="00412AFB" w:rsidP="007876F3">
            <w:pPr>
              <w:pStyle w:val="Sinespaciado"/>
              <w:rPr>
                <w:rFonts w:ascii="Arial" w:hAnsi="Arial" w:cs="Arial"/>
                <w:lang w:val="es-ES"/>
              </w:rPr>
            </w:pPr>
            <w:r w:rsidRPr="00993936">
              <w:rPr>
                <w:rFonts w:ascii="Arial" w:hAnsi="Arial" w:cs="Arial"/>
                <w:lang w:val="es-ES"/>
              </w:rPr>
              <w:t>Diflubenzuron</w:t>
            </w:r>
          </w:p>
          <w:p w:rsidR="00412AFB" w:rsidRPr="00993936" w:rsidRDefault="00412AFB" w:rsidP="007876F3">
            <w:pPr>
              <w:pStyle w:val="Sinespaciado"/>
              <w:rPr>
                <w:rFonts w:ascii="Arial" w:hAnsi="Arial" w:cs="Arial"/>
                <w:lang w:val="es-ES"/>
              </w:rPr>
            </w:pPr>
            <w:r w:rsidRPr="00993936">
              <w:rPr>
                <w:rFonts w:ascii="Arial" w:hAnsi="Arial" w:cs="Arial"/>
                <w:lang w:val="es-ES"/>
              </w:rPr>
              <w:t>Espinetoram (autorizado hasta 08.12.2017)</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Fenoxicarb </w:t>
            </w:r>
          </w:p>
          <w:p w:rsidR="00412AFB" w:rsidRPr="00993936" w:rsidRDefault="00412AFB" w:rsidP="007876F3">
            <w:pPr>
              <w:pStyle w:val="Sinespaciado"/>
              <w:rPr>
                <w:rFonts w:ascii="Arial" w:hAnsi="Arial" w:cs="Arial"/>
                <w:lang w:val="es-ES"/>
              </w:rPr>
            </w:pPr>
            <w:r w:rsidRPr="00993936">
              <w:rPr>
                <w:rFonts w:ascii="Arial" w:hAnsi="Arial" w:cs="Arial"/>
                <w:lang w:val="es-ES"/>
              </w:rPr>
              <w:t>Fenpiroximato</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Fosmet (1) (8) </w:t>
            </w:r>
          </w:p>
          <w:p w:rsidR="00412AFB" w:rsidRPr="00993936" w:rsidRDefault="00412AFB" w:rsidP="007876F3">
            <w:pPr>
              <w:pStyle w:val="Sinespaciado"/>
              <w:rPr>
                <w:rFonts w:ascii="Arial" w:hAnsi="Arial" w:cs="Arial"/>
                <w:lang w:val="es-ES"/>
              </w:rPr>
            </w:pPr>
            <w:r w:rsidRPr="00993936">
              <w:rPr>
                <w:rFonts w:ascii="Arial" w:hAnsi="Arial" w:cs="Arial"/>
                <w:lang w:val="es-ES"/>
              </w:rPr>
              <w:t>Imidacloprid (2)</w:t>
            </w:r>
          </w:p>
          <w:p w:rsidR="00412AFB" w:rsidRPr="00993936" w:rsidRDefault="00412AFB" w:rsidP="007876F3">
            <w:pPr>
              <w:pStyle w:val="Sinespaciado"/>
              <w:rPr>
                <w:rFonts w:ascii="Arial" w:hAnsi="Arial" w:cs="Arial"/>
                <w:lang w:val="es-ES"/>
              </w:rPr>
            </w:pPr>
            <w:r w:rsidRPr="00993936">
              <w:rPr>
                <w:rFonts w:ascii="Arial" w:hAnsi="Arial" w:cs="Arial"/>
                <w:lang w:val="es-ES"/>
              </w:rPr>
              <w:t>Lambda-cihalotrina</w:t>
            </w:r>
          </w:p>
          <w:p w:rsidR="00412AFB" w:rsidRPr="00993936" w:rsidRDefault="00412AFB" w:rsidP="007876F3">
            <w:pPr>
              <w:pStyle w:val="Sinespaciado"/>
              <w:rPr>
                <w:rFonts w:ascii="Arial" w:hAnsi="Arial" w:cs="Arial"/>
                <w:lang w:val="es-ES"/>
              </w:rPr>
            </w:pPr>
            <w:r w:rsidRPr="00993936">
              <w:rPr>
                <w:rFonts w:ascii="Arial" w:hAnsi="Arial" w:cs="Arial"/>
                <w:lang w:val="es-ES"/>
              </w:rPr>
              <w:t>Lambda-cihalotrina + Tiametoxam</w:t>
            </w:r>
          </w:p>
          <w:p w:rsidR="00412AFB" w:rsidRPr="00993936" w:rsidRDefault="00412AFB" w:rsidP="007876F3">
            <w:pPr>
              <w:pStyle w:val="Sinespaciado"/>
              <w:rPr>
                <w:rFonts w:ascii="Arial" w:hAnsi="Arial" w:cs="Arial"/>
                <w:lang w:val="es-ES"/>
              </w:rPr>
            </w:pPr>
            <w:r w:rsidRPr="00993936">
              <w:rPr>
                <w:rFonts w:ascii="Arial" w:hAnsi="Arial" w:cs="Arial"/>
                <w:lang w:val="es-ES"/>
              </w:rPr>
              <w:t>Aceite parafínico</w:t>
            </w:r>
          </w:p>
          <w:p w:rsidR="00412AFB" w:rsidRPr="00993936" w:rsidRDefault="00412AFB" w:rsidP="007876F3">
            <w:pPr>
              <w:pStyle w:val="Sinespaciado"/>
              <w:rPr>
                <w:rFonts w:ascii="Arial" w:hAnsi="Arial" w:cs="Arial"/>
                <w:lang w:val="es-ES"/>
              </w:rPr>
            </w:pPr>
            <w:r w:rsidRPr="00993936">
              <w:rPr>
                <w:rFonts w:ascii="Arial" w:hAnsi="Arial" w:cs="Arial"/>
                <w:lang w:val="es-ES"/>
              </w:rPr>
              <w:t>Spirotetramat</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Tau-fluvalinato (4) </w:t>
            </w:r>
          </w:p>
          <w:p w:rsidR="00412AFB" w:rsidRPr="00993936" w:rsidRDefault="00412AFB" w:rsidP="007876F3">
            <w:pPr>
              <w:pStyle w:val="Sinespaciado"/>
              <w:rPr>
                <w:rFonts w:ascii="Arial" w:hAnsi="Arial" w:cs="Arial"/>
                <w:lang w:val="es-ES"/>
              </w:rPr>
            </w:pPr>
            <w:r w:rsidRPr="00993936">
              <w:rPr>
                <w:rFonts w:ascii="Arial" w:hAnsi="Arial" w:cs="Arial"/>
                <w:lang w:val="es-ES"/>
              </w:rPr>
              <w:t>Tiacloprid (2)</w:t>
            </w:r>
          </w:p>
          <w:p w:rsidR="00412AFB" w:rsidRPr="00993936" w:rsidRDefault="00412AFB" w:rsidP="007876F3">
            <w:pPr>
              <w:pStyle w:val="Sinespaciado"/>
              <w:rPr>
                <w:rFonts w:ascii="Arial" w:hAnsi="Arial" w:cs="Arial"/>
                <w:lang w:val="es-ES"/>
              </w:rPr>
            </w:pPr>
            <w:r w:rsidRPr="00993936">
              <w:rPr>
                <w:rFonts w:ascii="Arial" w:hAnsi="Arial" w:cs="Arial"/>
                <w:lang w:val="es-ES"/>
              </w:rPr>
              <w:t>Tiametoxam</w:t>
            </w:r>
          </w:p>
          <w:p w:rsidR="00412AFB" w:rsidRPr="00993936" w:rsidRDefault="00412AFB" w:rsidP="007876F3">
            <w:pPr>
              <w:pStyle w:val="Sinespaciado"/>
              <w:rPr>
                <w:rFonts w:ascii="Arial" w:hAnsi="Arial" w:cs="Arial"/>
                <w:lang w:val="es-ES"/>
              </w:rPr>
            </w:pPr>
            <w:r w:rsidRPr="00993936">
              <w:rPr>
                <w:rFonts w:ascii="Arial" w:hAnsi="Arial" w:cs="Arial"/>
                <w:lang w:val="es-ES"/>
              </w:rPr>
              <w:t>Triflumuron</w:t>
            </w:r>
          </w:p>
        </w:tc>
        <w:tc>
          <w:tcPr>
            <w:tcW w:w="1351" w:type="pct"/>
            <w:vMerge/>
          </w:tcPr>
          <w:p w:rsidR="00412AFB" w:rsidRPr="00993936" w:rsidRDefault="00412AFB" w:rsidP="007876F3">
            <w:pPr>
              <w:pStyle w:val="Sinespaciado"/>
              <w:rPr>
                <w:rFonts w:ascii="Arial" w:hAnsi="Arial" w:cs="Arial"/>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8"/>
        <w:gridCol w:w="3197"/>
        <w:gridCol w:w="3737"/>
        <w:gridCol w:w="3822"/>
      </w:tblGrid>
      <w:tr w:rsidR="00412AFB" w:rsidRPr="00993936" w:rsidTr="00C8678E">
        <w:trPr>
          <w:cantSplit/>
          <w:tblHeader/>
          <w:jc w:val="center"/>
        </w:trPr>
        <w:tc>
          <w:tcPr>
            <w:tcW w:w="1198" w:type="pct"/>
            <w:shd w:val="pct12" w:color="auto" w:fill="FFFFFF"/>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PLAGA</w:t>
            </w:r>
          </w:p>
        </w:tc>
        <w:tc>
          <w:tcPr>
            <w:tcW w:w="1130" w:type="pct"/>
            <w:shd w:val="pct12" w:color="auto" w:fill="FFFFFF"/>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UMBRAL DE TOLERANCIA</w:t>
            </w:r>
          </w:p>
        </w:tc>
        <w:tc>
          <w:tcPr>
            <w:tcW w:w="1321" w:type="pct"/>
            <w:shd w:val="pct12" w:color="auto" w:fill="FFFFFF"/>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MATERIA ACTIVA</w:t>
            </w:r>
          </w:p>
        </w:tc>
        <w:tc>
          <w:tcPr>
            <w:tcW w:w="1351" w:type="pct"/>
            <w:shd w:val="pct12" w:color="auto" w:fill="FFFFFF"/>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Height w:val="1099"/>
          <w:jc w:val="center"/>
        </w:trPr>
        <w:tc>
          <w:tcPr>
            <w:tcW w:w="1198" w:type="pct"/>
            <w:vAlign w:val="center"/>
          </w:tcPr>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rPr>
            </w:pPr>
            <w:r w:rsidRPr="00993936">
              <w:rPr>
                <w:rFonts w:ascii="Arial" w:hAnsi="Arial" w:cs="Arial"/>
              </w:rPr>
              <w:t>Pulgones</w:t>
            </w:r>
          </w:p>
          <w:p w:rsidR="00412AFB" w:rsidRPr="00993936" w:rsidRDefault="00412AFB" w:rsidP="007876F3">
            <w:pPr>
              <w:pStyle w:val="Sinespaciado"/>
              <w:rPr>
                <w:rFonts w:ascii="Arial" w:hAnsi="Arial" w:cs="Arial"/>
                <w:i/>
                <w:lang w:val="es-ES"/>
              </w:rPr>
            </w:pPr>
            <w:r w:rsidRPr="00993936">
              <w:rPr>
                <w:rFonts w:ascii="Arial" w:hAnsi="Arial" w:cs="Arial"/>
                <w:i/>
                <w:lang w:val="es-ES"/>
              </w:rPr>
              <w:t>Aphis pomi</w:t>
            </w:r>
          </w:p>
          <w:p w:rsidR="00412AFB" w:rsidRPr="00993936" w:rsidRDefault="00412AFB" w:rsidP="007876F3">
            <w:pPr>
              <w:pStyle w:val="Sinespaciado"/>
              <w:rPr>
                <w:rFonts w:ascii="Arial" w:hAnsi="Arial" w:cs="Arial"/>
                <w:i/>
                <w:lang w:val="es-ES"/>
              </w:rPr>
            </w:pPr>
            <w:r w:rsidRPr="00993936">
              <w:rPr>
                <w:rFonts w:ascii="Arial" w:hAnsi="Arial" w:cs="Arial"/>
                <w:i/>
                <w:lang w:val="es-ES"/>
              </w:rPr>
              <w:t>Dysaphis plantaginea</w:t>
            </w:r>
          </w:p>
          <w:p w:rsidR="00412AFB" w:rsidRPr="00993936" w:rsidRDefault="00412AFB" w:rsidP="007876F3">
            <w:pPr>
              <w:pStyle w:val="Sinespaciado"/>
              <w:rPr>
                <w:rFonts w:ascii="Arial" w:hAnsi="Arial" w:cs="Arial"/>
                <w:i/>
                <w:lang w:val="es-ES"/>
              </w:rPr>
            </w:pPr>
            <w:r w:rsidRPr="00993936">
              <w:rPr>
                <w:rFonts w:ascii="Arial" w:hAnsi="Arial" w:cs="Arial"/>
                <w:i/>
                <w:lang w:val="es-ES"/>
              </w:rPr>
              <w:t>Macrosiphum euphorbiae</w:t>
            </w:r>
          </w:p>
          <w:p w:rsidR="00412AFB" w:rsidRPr="00993936" w:rsidRDefault="00412AFB" w:rsidP="007876F3">
            <w:pPr>
              <w:pStyle w:val="Sinespaciado"/>
              <w:rPr>
                <w:rFonts w:ascii="Arial" w:hAnsi="Arial" w:cs="Arial"/>
                <w:i/>
                <w:lang w:val="es-ES"/>
              </w:rPr>
            </w:pPr>
            <w:r w:rsidRPr="00993936">
              <w:rPr>
                <w:rFonts w:ascii="Arial" w:hAnsi="Arial" w:cs="Arial"/>
                <w:i/>
                <w:lang w:val="es-ES"/>
              </w:rPr>
              <w:t>Aphis fabae</w:t>
            </w:r>
          </w:p>
          <w:p w:rsidR="00412AFB" w:rsidRPr="00993936" w:rsidRDefault="00412AFB" w:rsidP="007876F3">
            <w:pPr>
              <w:pStyle w:val="Sinespaciado"/>
              <w:rPr>
                <w:rFonts w:ascii="Arial" w:hAnsi="Arial" w:cs="Arial"/>
                <w:i/>
                <w:lang w:val="es-ES"/>
              </w:rPr>
            </w:pPr>
            <w:r w:rsidRPr="00993936">
              <w:rPr>
                <w:rFonts w:ascii="Arial" w:hAnsi="Arial" w:cs="Arial"/>
                <w:lang w:val="es-ES"/>
              </w:rPr>
              <w:t>Aphis spiraecola</w:t>
            </w:r>
          </w:p>
          <w:p w:rsidR="00412AFB" w:rsidRPr="00993936" w:rsidRDefault="00412AFB" w:rsidP="007876F3">
            <w:pPr>
              <w:pStyle w:val="Sinespaciado"/>
              <w:rPr>
                <w:rFonts w:ascii="Arial" w:hAnsi="Arial" w:cs="Arial"/>
                <w:i/>
                <w:lang w:val="es-ES"/>
              </w:rPr>
            </w:pPr>
            <w:r w:rsidRPr="00993936">
              <w:rPr>
                <w:rFonts w:ascii="Arial" w:hAnsi="Arial" w:cs="Arial"/>
                <w:i/>
                <w:lang w:val="es-ES"/>
              </w:rPr>
              <w:t>Aphis gossypii</w:t>
            </w:r>
          </w:p>
        </w:tc>
        <w:tc>
          <w:tcPr>
            <w:tcW w:w="1130"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Hasta un tamaño de fruto de 25 mm: presencia</w:t>
            </w:r>
          </w:p>
        </w:tc>
        <w:tc>
          <w:tcPr>
            <w:tcW w:w="1321" w:type="pct"/>
          </w:tcPr>
          <w:p w:rsidR="00412AFB" w:rsidRPr="00993936" w:rsidRDefault="00412AFB" w:rsidP="007876F3">
            <w:pPr>
              <w:pStyle w:val="Sinespaciado"/>
              <w:rPr>
                <w:rFonts w:ascii="Arial" w:hAnsi="Arial" w:cs="Arial"/>
                <w:lang w:val="es-ES"/>
              </w:rPr>
            </w:pPr>
            <w:r w:rsidRPr="00993936">
              <w:rPr>
                <w:rFonts w:ascii="Arial" w:hAnsi="Arial" w:cs="Arial"/>
                <w:lang w:val="es-ES"/>
              </w:rPr>
              <w:t>Acetamiprid (2)</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Azadiractina </w:t>
            </w:r>
          </w:p>
          <w:p w:rsidR="00412AFB" w:rsidRPr="00993936" w:rsidRDefault="00412AFB" w:rsidP="007876F3">
            <w:pPr>
              <w:pStyle w:val="Sinespaciado"/>
              <w:rPr>
                <w:rFonts w:ascii="Arial" w:hAnsi="Arial" w:cs="Arial"/>
                <w:lang w:val="es-ES"/>
              </w:rPr>
            </w:pPr>
            <w:r w:rsidRPr="00993936">
              <w:rPr>
                <w:rFonts w:ascii="Arial" w:hAnsi="Arial" w:cs="Arial"/>
                <w:lang w:val="es-ES"/>
              </w:rPr>
              <w:t>Cipermetrina</w:t>
            </w:r>
          </w:p>
          <w:p w:rsidR="00412AFB" w:rsidRPr="00993936" w:rsidRDefault="00412AFB" w:rsidP="007876F3">
            <w:pPr>
              <w:pStyle w:val="Sinespaciado"/>
              <w:rPr>
                <w:rFonts w:ascii="Arial" w:hAnsi="Arial" w:cs="Arial"/>
                <w:lang w:val="es-ES"/>
              </w:rPr>
            </w:pPr>
            <w:r w:rsidRPr="00993936">
              <w:rPr>
                <w:rFonts w:ascii="Arial" w:hAnsi="Arial" w:cs="Arial"/>
                <w:lang w:val="es-ES"/>
              </w:rPr>
              <w:t>Clotianidina</w:t>
            </w:r>
          </w:p>
          <w:p w:rsidR="00412AFB" w:rsidRPr="00993936" w:rsidRDefault="00412AFB" w:rsidP="007876F3">
            <w:pPr>
              <w:pStyle w:val="Sinespaciado"/>
              <w:rPr>
                <w:rFonts w:ascii="Arial" w:hAnsi="Arial" w:cs="Arial"/>
                <w:lang w:val="es-ES"/>
              </w:rPr>
            </w:pPr>
            <w:r w:rsidRPr="00993936">
              <w:rPr>
                <w:rFonts w:ascii="Arial" w:hAnsi="Arial" w:cs="Arial"/>
                <w:lang w:val="es-ES"/>
              </w:rPr>
              <w:t>Deltametrina</w:t>
            </w:r>
          </w:p>
          <w:p w:rsidR="00412AFB" w:rsidRPr="00993936" w:rsidRDefault="00412AFB" w:rsidP="007876F3">
            <w:pPr>
              <w:pStyle w:val="Sinespaciado"/>
              <w:rPr>
                <w:rFonts w:ascii="Arial" w:hAnsi="Arial" w:cs="Arial"/>
                <w:lang w:val="es-ES"/>
              </w:rPr>
            </w:pPr>
            <w:r w:rsidRPr="00993936">
              <w:rPr>
                <w:rFonts w:ascii="Arial" w:hAnsi="Arial" w:cs="Arial"/>
                <w:lang w:val="es-ES"/>
              </w:rPr>
              <w:t>Deltametrina + Tiacloprid</w:t>
            </w:r>
          </w:p>
          <w:p w:rsidR="00412AFB" w:rsidRPr="00993936" w:rsidRDefault="00412AFB" w:rsidP="007876F3">
            <w:pPr>
              <w:pStyle w:val="Sinespaciado"/>
              <w:rPr>
                <w:rFonts w:ascii="Arial" w:hAnsi="Arial" w:cs="Arial"/>
                <w:lang w:val="es-ES"/>
              </w:rPr>
            </w:pPr>
            <w:r w:rsidRPr="00993936">
              <w:rPr>
                <w:rFonts w:ascii="Arial" w:hAnsi="Arial" w:cs="Arial"/>
                <w:lang w:val="es-ES"/>
              </w:rPr>
              <w:t>Esfenvalerat</w:t>
            </w:r>
          </w:p>
          <w:p w:rsidR="00412AFB" w:rsidRPr="00993936" w:rsidRDefault="00412AFB" w:rsidP="007876F3">
            <w:pPr>
              <w:pStyle w:val="Sinespaciado"/>
              <w:rPr>
                <w:rFonts w:ascii="Arial" w:hAnsi="Arial" w:cs="Arial"/>
                <w:lang w:val="es-ES"/>
              </w:rPr>
            </w:pPr>
            <w:r w:rsidRPr="00993936">
              <w:rPr>
                <w:rFonts w:ascii="Arial" w:hAnsi="Arial" w:cs="Arial"/>
                <w:lang w:val="es-ES"/>
              </w:rPr>
              <w:t>Etofenprox</w:t>
            </w:r>
          </w:p>
          <w:p w:rsidR="00412AFB" w:rsidRPr="00993936" w:rsidRDefault="00412AFB" w:rsidP="007876F3">
            <w:pPr>
              <w:pStyle w:val="Sinespaciado"/>
              <w:rPr>
                <w:rFonts w:ascii="Arial" w:hAnsi="Arial" w:cs="Arial"/>
                <w:lang w:val="es-ES"/>
              </w:rPr>
            </w:pPr>
            <w:r w:rsidRPr="00993936">
              <w:rPr>
                <w:rFonts w:ascii="Arial" w:hAnsi="Arial" w:cs="Arial"/>
                <w:lang w:val="es-ES"/>
              </w:rPr>
              <w:t>Flonicamid (3)</w:t>
            </w:r>
          </w:p>
          <w:p w:rsidR="00412AFB" w:rsidRPr="00993936" w:rsidRDefault="00412AFB" w:rsidP="007876F3">
            <w:pPr>
              <w:pStyle w:val="Sinespaciado"/>
              <w:rPr>
                <w:rFonts w:ascii="Arial" w:hAnsi="Arial" w:cs="Arial"/>
                <w:lang w:val="es-ES"/>
              </w:rPr>
            </w:pPr>
            <w:r w:rsidRPr="00993936">
              <w:rPr>
                <w:rFonts w:ascii="Arial" w:hAnsi="Arial" w:cs="Arial"/>
                <w:lang w:val="es-ES"/>
              </w:rPr>
              <w:t>Imidacloprid (2)</w:t>
            </w:r>
          </w:p>
          <w:p w:rsidR="00412AFB" w:rsidRPr="00993936" w:rsidRDefault="00412AFB" w:rsidP="007876F3">
            <w:pPr>
              <w:pStyle w:val="Sinespaciado"/>
              <w:rPr>
                <w:rFonts w:ascii="Arial" w:hAnsi="Arial" w:cs="Arial"/>
                <w:lang w:val="es-ES"/>
              </w:rPr>
            </w:pPr>
            <w:r w:rsidRPr="00993936">
              <w:rPr>
                <w:rFonts w:ascii="Arial" w:hAnsi="Arial" w:cs="Arial"/>
                <w:lang w:val="es-ES"/>
              </w:rPr>
              <w:t>Lambda-cihalotrina (1)</w:t>
            </w:r>
          </w:p>
          <w:p w:rsidR="00412AFB" w:rsidRPr="00993936" w:rsidRDefault="00412AFB" w:rsidP="007876F3">
            <w:pPr>
              <w:pStyle w:val="Sinespaciado"/>
              <w:rPr>
                <w:rFonts w:ascii="Arial" w:hAnsi="Arial" w:cs="Arial"/>
                <w:lang w:val="es-ES"/>
              </w:rPr>
            </w:pPr>
            <w:r w:rsidRPr="00993936">
              <w:rPr>
                <w:rFonts w:ascii="Arial" w:hAnsi="Arial" w:cs="Arial"/>
                <w:lang w:val="es-ES"/>
              </w:rPr>
              <w:t>Lambda-cihalotrina + Tiametoxam</w:t>
            </w:r>
          </w:p>
          <w:p w:rsidR="00412AFB" w:rsidRPr="00993936" w:rsidRDefault="00412AFB" w:rsidP="007876F3">
            <w:pPr>
              <w:pStyle w:val="Sinespaciado"/>
              <w:rPr>
                <w:rFonts w:ascii="Arial" w:hAnsi="Arial" w:cs="Arial"/>
                <w:lang w:val="es-ES"/>
              </w:rPr>
            </w:pPr>
            <w:r w:rsidRPr="00993936">
              <w:rPr>
                <w:rFonts w:ascii="Arial" w:hAnsi="Arial" w:cs="Arial"/>
                <w:lang w:val="es-ES"/>
              </w:rPr>
              <w:t>Metil-clorpirifos</w:t>
            </w:r>
          </w:p>
          <w:p w:rsidR="00412AFB" w:rsidRPr="00993936" w:rsidRDefault="00412AFB" w:rsidP="007876F3">
            <w:pPr>
              <w:pStyle w:val="Sinespaciado"/>
              <w:rPr>
                <w:rFonts w:ascii="Arial" w:hAnsi="Arial" w:cs="Arial"/>
                <w:lang w:val="es-ES"/>
              </w:rPr>
            </w:pPr>
            <w:r w:rsidRPr="00993936">
              <w:rPr>
                <w:rFonts w:ascii="Arial" w:hAnsi="Arial" w:cs="Arial"/>
                <w:lang w:val="es-ES"/>
              </w:rPr>
              <w:t>Aceite parafínico</w:t>
            </w:r>
          </w:p>
          <w:p w:rsidR="00412AFB" w:rsidRPr="00993936" w:rsidRDefault="00412AFB" w:rsidP="007876F3">
            <w:pPr>
              <w:pStyle w:val="Sinespaciado"/>
              <w:rPr>
                <w:rFonts w:ascii="Arial" w:hAnsi="Arial" w:cs="Arial"/>
                <w:lang w:val="es-ES"/>
              </w:rPr>
            </w:pPr>
            <w:r w:rsidRPr="00993936">
              <w:rPr>
                <w:rFonts w:ascii="Arial" w:hAnsi="Arial" w:cs="Arial"/>
                <w:lang w:val="es-ES"/>
              </w:rPr>
              <w:t>Pimetrozina</w:t>
            </w:r>
          </w:p>
          <w:p w:rsidR="00412AFB" w:rsidRPr="00993936" w:rsidRDefault="00412AFB" w:rsidP="007876F3">
            <w:pPr>
              <w:pStyle w:val="Sinespaciado"/>
              <w:rPr>
                <w:rFonts w:ascii="Arial" w:hAnsi="Arial" w:cs="Arial"/>
                <w:lang w:val="es-ES"/>
              </w:rPr>
            </w:pPr>
            <w:r w:rsidRPr="00993936">
              <w:rPr>
                <w:rFonts w:ascii="Arial" w:hAnsi="Arial" w:cs="Arial"/>
                <w:lang w:val="es-ES"/>
              </w:rPr>
              <w:t>Pirimicarb (1)</w:t>
            </w:r>
          </w:p>
          <w:p w:rsidR="00412AFB" w:rsidRPr="00993936" w:rsidRDefault="00412AFB" w:rsidP="007876F3">
            <w:pPr>
              <w:pStyle w:val="Sinespaciado"/>
              <w:rPr>
                <w:rFonts w:ascii="Arial" w:hAnsi="Arial" w:cs="Arial"/>
                <w:lang w:val="es-ES"/>
              </w:rPr>
            </w:pPr>
            <w:r w:rsidRPr="00993936">
              <w:rPr>
                <w:rFonts w:ascii="Arial" w:hAnsi="Arial" w:cs="Arial"/>
                <w:lang w:val="es-ES"/>
              </w:rPr>
              <w:t>Spirotetramat</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Tau-fluvalinato (4) </w:t>
            </w:r>
          </w:p>
          <w:p w:rsidR="00412AFB" w:rsidRPr="00993936" w:rsidRDefault="00412AFB" w:rsidP="007876F3">
            <w:pPr>
              <w:pStyle w:val="Sinespaciado"/>
              <w:rPr>
                <w:rFonts w:ascii="Arial" w:hAnsi="Arial" w:cs="Arial"/>
                <w:lang w:val="es-ES"/>
              </w:rPr>
            </w:pPr>
            <w:r w:rsidRPr="00993936">
              <w:rPr>
                <w:rFonts w:ascii="Arial" w:hAnsi="Arial" w:cs="Arial"/>
                <w:lang w:val="es-ES"/>
              </w:rPr>
              <w:t>Tiacloprid (2)</w:t>
            </w:r>
          </w:p>
          <w:p w:rsidR="00412AFB" w:rsidRPr="00993936" w:rsidRDefault="00412AFB" w:rsidP="007876F3">
            <w:pPr>
              <w:pStyle w:val="Sinespaciado"/>
              <w:rPr>
                <w:rFonts w:ascii="Arial" w:hAnsi="Arial" w:cs="Arial"/>
                <w:lang w:val="es-ES"/>
              </w:rPr>
            </w:pPr>
            <w:r w:rsidRPr="00993936">
              <w:rPr>
                <w:rFonts w:ascii="Arial" w:hAnsi="Arial" w:cs="Arial"/>
                <w:lang w:val="es-ES"/>
              </w:rPr>
              <w:t>Tiametoxam</w:t>
            </w:r>
          </w:p>
          <w:p w:rsidR="00412AFB" w:rsidRPr="00993936" w:rsidRDefault="00412AFB" w:rsidP="007876F3">
            <w:pPr>
              <w:pStyle w:val="Sinespaciado"/>
              <w:rPr>
                <w:rFonts w:ascii="Arial" w:hAnsi="Arial" w:cs="Arial"/>
                <w:lang w:val="es-ES"/>
              </w:rPr>
            </w:pPr>
            <w:r w:rsidRPr="00993936">
              <w:rPr>
                <w:rFonts w:ascii="Arial" w:hAnsi="Arial" w:cs="Arial"/>
                <w:lang w:val="es-ES"/>
              </w:rPr>
              <w:t>Zeta-cipermetrina</w:t>
            </w:r>
          </w:p>
        </w:tc>
        <w:tc>
          <w:tcPr>
            <w:tcW w:w="1351" w:type="pct"/>
            <w:vMerge w:val="restar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Máximo: 1 tratamiento/año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2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3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p>
        </w:tc>
      </w:tr>
      <w:tr w:rsidR="00412AFB" w:rsidRPr="00993936" w:rsidTr="00C8678E">
        <w:trPr>
          <w:cantSplit/>
          <w:jc w:val="center"/>
        </w:trPr>
        <w:tc>
          <w:tcPr>
            <w:tcW w:w="1198" w:type="pct"/>
            <w:vAlign w:val="center"/>
          </w:tcPr>
          <w:p w:rsidR="00412AFB" w:rsidRPr="00993936" w:rsidRDefault="00412AFB" w:rsidP="007876F3">
            <w:pPr>
              <w:pStyle w:val="Sinespaciado"/>
              <w:rPr>
                <w:rFonts w:ascii="Arial" w:hAnsi="Arial" w:cs="Arial"/>
              </w:rPr>
            </w:pPr>
            <w:r w:rsidRPr="00993936">
              <w:rPr>
                <w:rFonts w:ascii="Arial" w:hAnsi="Arial" w:cs="Arial"/>
              </w:rPr>
              <w:t>Mosca de la fruta</w:t>
            </w:r>
          </w:p>
          <w:p w:rsidR="00412AFB" w:rsidRPr="00993936" w:rsidRDefault="00412AFB" w:rsidP="007876F3">
            <w:pPr>
              <w:pStyle w:val="Sinespaciado"/>
              <w:rPr>
                <w:rFonts w:ascii="Arial" w:hAnsi="Arial" w:cs="Arial"/>
                <w:i/>
                <w:lang w:val="es-ES"/>
              </w:rPr>
            </w:pPr>
            <w:r w:rsidRPr="00993936">
              <w:rPr>
                <w:rFonts w:ascii="Arial" w:hAnsi="Arial" w:cs="Arial"/>
                <w:lang w:val="es-ES"/>
              </w:rPr>
              <w:t>Ceratitis capitata</w:t>
            </w:r>
          </w:p>
        </w:tc>
        <w:tc>
          <w:tcPr>
            <w:tcW w:w="1130"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1. Mediante métodos alternativos:</w:t>
            </w:r>
          </w:p>
          <w:p w:rsidR="00412AFB" w:rsidRPr="00993936" w:rsidRDefault="00412AFB" w:rsidP="007876F3">
            <w:pPr>
              <w:pStyle w:val="Sinespaciado"/>
              <w:rPr>
                <w:rFonts w:ascii="Arial" w:hAnsi="Arial" w:cs="Arial"/>
                <w:lang w:val="es-ES"/>
              </w:rPr>
            </w:pPr>
            <w:r w:rsidRPr="00993936">
              <w:rPr>
                <w:rFonts w:ascii="Arial" w:hAnsi="Arial" w:cs="Arial"/>
                <w:lang w:val="es-ES"/>
              </w:rPr>
              <w:t>- A partir de 5 adultos/trampa y día</w:t>
            </w: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r w:rsidRPr="00993936">
              <w:rPr>
                <w:rFonts w:ascii="Arial" w:hAnsi="Arial" w:cs="Arial"/>
                <w:lang w:val="es-ES"/>
              </w:rPr>
              <w:t>2. Sin métodos alternativos:</w:t>
            </w:r>
          </w:p>
          <w:p w:rsidR="00412AFB" w:rsidRPr="00993936" w:rsidRDefault="00412AFB" w:rsidP="007876F3">
            <w:pPr>
              <w:pStyle w:val="Sinespaciado"/>
              <w:rPr>
                <w:rFonts w:ascii="Arial" w:hAnsi="Arial" w:cs="Arial"/>
                <w:lang w:val="es-ES"/>
              </w:rPr>
            </w:pPr>
            <w:r w:rsidRPr="00993936">
              <w:rPr>
                <w:rFonts w:ascii="Arial" w:hAnsi="Arial" w:cs="Arial"/>
                <w:lang w:val="es-ES"/>
              </w:rPr>
              <w:t>- A partir de 1 adulto/trampa y día</w:t>
            </w:r>
          </w:p>
          <w:p w:rsidR="00412AFB" w:rsidRPr="00993936" w:rsidRDefault="00412AFB" w:rsidP="007876F3">
            <w:pPr>
              <w:pStyle w:val="Sinespaciado"/>
              <w:rPr>
                <w:rFonts w:ascii="Arial" w:hAnsi="Arial" w:cs="Arial"/>
                <w:lang w:val="es-ES"/>
              </w:rPr>
            </w:pPr>
          </w:p>
        </w:tc>
        <w:tc>
          <w:tcPr>
            <w:tcW w:w="1321" w:type="pct"/>
            <w:vAlign w:val="center"/>
          </w:tcPr>
          <w:p w:rsidR="00412AFB" w:rsidRPr="00993936" w:rsidRDefault="00412AFB" w:rsidP="007876F3">
            <w:pPr>
              <w:pStyle w:val="Sinespaciado"/>
              <w:rPr>
                <w:rFonts w:ascii="Arial" w:hAnsi="Arial" w:cs="Arial"/>
                <w:snapToGrid w:val="0"/>
                <w:lang w:val="es-ES"/>
              </w:rPr>
            </w:pPr>
            <w:r w:rsidRPr="00993936">
              <w:rPr>
                <w:rFonts w:ascii="Arial" w:hAnsi="Arial" w:cs="Arial"/>
                <w:snapToGrid w:val="0"/>
                <w:lang w:val="es-ES"/>
              </w:rPr>
              <w:t>Azadiractin</w:t>
            </w:r>
          </w:p>
          <w:p w:rsidR="00412AFB" w:rsidRPr="00993936" w:rsidRDefault="00412AFB" w:rsidP="007876F3">
            <w:pPr>
              <w:pStyle w:val="Sinespaciado"/>
              <w:rPr>
                <w:rFonts w:ascii="Arial" w:hAnsi="Arial" w:cs="Arial"/>
                <w:lang w:val="es-ES"/>
              </w:rPr>
            </w:pPr>
            <w:r w:rsidRPr="00993936">
              <w:rPr>
                <w:rFonts w:ascii="Arial" w:hAnsi="Arial" w:cs="Arial"/>
                <w:lang w:val="es-ES"/>
              </w:rPr>
              <w:t>Beta-ciflutrina</w:t>
            </w:r>
          </w:p>
          <w:p w:rsidR="00412AFB" w:rsidRPr="00993936" w:rsidRDefault="00412AFB" w:rsidP="007876F3">
            <w:pPr>
              <w:pStyle w:val="Sinespaciado"/>
              <w:rPr>
                <w:rFonts w:ascii="Arial" w:hAnsi="Arial" w:cs="Arial"/>
                <w:snapToGrid w:val="0"/>
                <w:lang w:val="es-ES"/>
              </w:rPr>
            </w:pPr>
            <w:r w:rsidRPr="00993936">
              <w:rPr>
                <w:rFonts w:ascii="Arial" w:hAnsi="Arial" w:cs="Arial"/>
                <w:snapToGrid w:val="0"/>
                <w:lang w:val="es-ES"/>
              </w:rPr>
              <w:t>Deltametrina + Tiacloprid</w:t>
            </w:r>
          </w:p>
          <w:p w:rsidR="00412AFB" w:rsidRPr="00993936" w:rsidRDefault="00412AFB" w:rsidP="007876F3">
            <w:pPr>
              <w:pStyle w:val="Sinespaciado"/>
              <w:rPr>
                <w:rFonts w:ascii="Arial" w:hAnsi="Arial" w:cs="Arial"/>
                <w:lang w:val="es-ES"/>
              </w:rPr>
            </w:pPr>
            <w:r w:rsidRPr="00993936">
              <w:rPr>
                <w:rFonts w:ascii="Arial" w:hAnsi="Arial" w:cs="Arial"/>
                <w:lang w:val="es-ES"/>
              </w:rPr>
              <w:t>Lambda-cihalotrina (1)</w:t>
            </w:r>
          </w:p>
          <w:p w:rsidR="00412AFB" w:rsidRPr="00993936" w:rsidRDefault="00412AFB" w:rsidP="007876F3">
            <w:pPr>
              <w:pStyle w:val="Sinespaciado"/>
              <w:rPr>
                <w:rFonts w:ascii="Arial" w:hAnsi="Arial" w:cs="Arial"/>
                <w:lang w:val="es-ES"/>
              </w:rPr>
            </w:pPr>
            <w:r w:rsidRPr="00993936">
              <w:rPr>
                <w:rFonts w:ascii="Arial" w:hAnsi="Arial" w:cs="Arial"/>
                <w:lang w:val="es-ES"/>
              </w:rPr>
              <w:t>Método de captura masiva</w:t>
            </w:r>
          </w:p>
          <w:p w:rsidR="00412AFB" w:rsidRPr="00993936" w:rsidRDefault="00412AFB" w:rsidP="007876F3">
            <w:pPr>
              <w:pStyle w:val="Sinespaciado"/>
              <w:rPr>
                <w:rFonts w:ascii="Arial" w:hAnsi="Arial" w:cs="Arial"/>
                <w:snapToGrid w:val="0"/>
                <w:lang w:val="es-ES"/>
              </w:rPr>
            </w:pPr>
            <w:r w:rsidRPr="00993936">
              <w:rPr>
                <w:rFonts w:ascii="Arial" w:hAnsi="Arial" w:cs="Arial"/>
                <w:snapToGrid w:val="0"/>
                <w:lang w:val="es-ES"/>
              </w:rPr>
              <w:t>Proteína hidrolizada</w:t>
            </w:r>
          </w:p>
          <w:p w:rsidR="00412AFB" w:rsidRPr="00993936" w:rsidRDefault="00412AFB" w:rsidP="007876F3">
            <w:pPr>
              <w:pStyle w:val="Sinespaciado"/>
              <w:rPr>
                <w:rFonts w:ascii="Arial" w:hAnsi="Arial" w:cs="Arial"/>
                <w:lang w:val="es-ES"/>
              </w:rPr>
            </w:pPr>
            <w:r w:rsidRPr="00993936">
              <w:rPr>
                <w:rFonts w:ascii="Arial" w:hAnsi="Arial" w:cs="Arial"/>
                <w:lang w:val="es-ES"/>
              </w:rPr>
              <w:t>Método de la quimioesterilización</w:t>
            </w:r>
          </w:p>
          <w:p w:rsidR="00412AFB" w:rsidRPr="00993936" w:rsidRDefault="00412AFB" w:rsidP="007876F3">
            <w:pPr>
              <w:pStyle w:val="Sinespaciado"/>
              <w:rPr>
                <w:rFonts w:ascii="Arial" w:hAnsi="Arial" w:cs="Arial"/>
                <w:lang w:val="es-ES"/>
              </w:rPr>
            </w:pPr>
            <w:r w:rsidRPr="00993936">
              <w:rPr>
                <w:rFonts w:ascii="Arial" w:hAnsi="Arial" w:cs="Arial"/>
                <w:lang w:val="es-ES"/>
              </w:rPr>
              <w:t>Deltametrina</w:t>
            </w:r>
          </w:p>
          <w:p w:rsidR="00412AFB" w:rsidRPr="00993936" w:rsidRDefault="00412AFB" w:rsidP="007876F3">
            <w:pPr>
              <w:pStyle w:val="Sinespaciado"/>
              <w:rPr>
                <w:rFonts w:ascii="Arial" w:hAnsi="Arial" w:cs="Arial"/>
                <w:lang w:val="es-ES"/>
              </w:rPr>
            </w:pPr>
          </w:p>
        </w:tc>
        <w:tc>
          <w:tcPr>
            <w:tcW w:w="1351" w:type="pct"/>
            <w:vMerge/>
          </w:tcPr>
          <w:p w:rsidR="00412AFB" w:rsidRPr="00993936" w:rsidRDefault="00412AFB" w:rsidP="007876F3">
            <w:pPr>
              <w:pStyle w:val="Sinespaciado"/>
              <w:rPr>
                <w:rFonts w:ascii="Arial" w:hAnsi="Arial" w:cs="Arial"/>
                <w:lang w:val="es-ES"/>
              </w:rPr>
            </w:pPr>
          </w:p>
        </w:tc>
      </w:tr>
    </w:tbl>
    <w:p w:rsidR="00412AFB" w:rsidRPr="00993936" w:rsidRDefault="00412AFB" w:rsidP="00412AFB">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58"/>
        <w:gridCol w:w="3131"/>
        <w:gridCol w:w="3994"/>
        <w:gridCol w:w="3561"/>
      </w:tblGrid>
      <w:tr w:rsidR="00412AFB" w:rsidRPr="00993936" w:rsidTr="00C8678E">
        <w:trPr>
          <w:cantSplit/>
          <w:jc w:val="center"/>
        </w:trPr>
        <w:tc>
          <w:tcPr>
            <w:tcW w:w="1222" w:type="pct"/>
            <w:shd w:val="pct12" w:color="auto" w:fill="FFFFFF"/>
            <w:vAlign w:val="center"/>
          </w:tcPr>
          <w:p w:rsidR="00412AFB" w:rsidRPr="00993936" w:rsidRDefault="00412AFB" w:rsidP="007876F3">
            <w:pPr>
              <w:pStyle w:val="Sinespaciado"/>
              <w:rPr>
                <w:rFonts w:ascii="Arial" w:hAnsi="Arial" w:cs="Arial"/>
                <w:b/>
                <w:lang w:val="es-ES"/>
              </w:rPr>
            </w:pPr>
            <w:r w:rsidRPr="00993936">
              <w:rPr>
                <w:rFonts w:ascii="Arial" w:hAnsi="Arial" w:cs="Arial"/>
                <w:b/>
                <w:lang w:val="es-ES"/>
              </w:rPr>
              <w:lastRenderedPageBreak/>
              <w:t>PLAGA</w:t>
            </w:r>
          </w:p>
        </w:tc>
        <w:tc>
          <w:tcPr>
            <w:tcW w:w="1107" w:type="pct"/>
            <w:shd w:val="pct12" w:color="auto" w:fill="FFFFFF"/>
            <w:vAlign w:val="center"/>
          </w:tcPr>
          <w:p w:rsidR="00412AFB" w:rsidRPr="00993936" w:rsidRDefault="00412AFB" w:rsidP="007876F3">
            <w:pPr>
              <w:pStyle w:val="Sinespaciado"/>
              <w:rPr>
                <w:rFonts w:ascii="Arial" w:hAnsi="Arial" w:cs="Arial"/>
                <w:b/>
                <w:lang w:val="es-ES"/>
              </w:rPr>
            </w:pPr>
            <w:r w:rsidRPr="00993936">
              <w:rPr>
                <w:rFonts w:ascii="Arial" w:hAnsi="Arial" w:cs="Arial"/>
                <w:b/>
                <w:lang w:val="es-ES"/>
              </w:rPr>
              <w:t>UMBRAL DE TOLERANCIA</w:t>
            </w:r>
          </w:p>
        </w:tc>
        <w:tc>
          <w:tcPr>
            <w:tcW w:w="1412" w:type="pct"/>
            <w:shd w:val="pct12" w:color="auto" w:fill="FFFFFF"/>
            <w:vAlign w:val="center"/>
          </w:tcPr>
          <w:p w:rsidR="00412AFB" w:rsidRPr="00993936" w:rsidRDefault="00412AFB" w:rsidP="007876F3">
            <w:pPr>
              <w:pStyle w:val="Sinespaciado"/>
              <w:rPr>
                <w:rFonts w:ascii="Arial" w:hAnsi="Arial" w:cs="Arial"/>
                <w:b/>
                <w:lang w:val="es-ES"/>
              </w:rPr>
            </w:pPr>
            <w:r w:rsidRPr="00993936">
              <w:rPr>
                <w:rFonts w:ascii="Arial" w:hAnsi="Arial" w:cs="Arial"/>
                <w:b/>
                <w:lang w:val="es-ES"/>
              </w:rPr>
              <w:t>MATERIA ACTIVA</w:t>
            </w:r>
          </w:p>
        </w:tc>
        <w:tc>
          <w:tcPr>
            <w:tcW w:w="1259" w:type="pct"/>
            <w:shd w:val="pct12" w:color="auto" w:fill="FFFFFF"/>
          </w:tcPr>
          <w:p w:rsidR="00412AFB" w:rsidRPr="00993936" w:rsidRDefault="00412AFB" w:rsidP="007876F3">
            <w:pPr>
              <w:pStyle w:val="Sinespaciado"/>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222" w:type="pct"/>
            <w:vAlign w:val="center"/>
          </w:tcPr>
          <w:p w:rsidR="00412AFB" w:rsidRPr="00993936" w:rsidRDefault="00412AFB" w:rsidP="007876F3">
            <w:pPr>
              <w:pStyle w:val="Sinespaciado"/>
              <w:rPr>
                <w:rFonts w:ascii="Arial" w:hAnsi="Arial" w:cs="Arial"/>
              </w:rPr>
            </w:pPr>
            <w:r w:rsidRPr="00993936">
              <w:rPr>
                <w:rFonts w:ascii="Arial" w:hAnsi="Arial" w:cs="Arial"/>
              </w:rPr>
              <w:t>Carpocapsa</w:t>
            </w:r>
          </w:p>
          <w:p w:rsidR="00412AFB" w:rsidRPr="00993936" w:rsidRDefault="00412AFB" w:rsidP="007876F3">
            <w:pPr>
              <w:pStyle w:val="Sinespaciado"/>
              <w:rPr>
                <w:rFonts w:ascii="Arial" w:hAnsi="Arial" w:cs="Arial"/>
                <w:i/>
                <w:lang w:val="es-ES"/>
              </w:rPr>
            </w:pPr>
            <w:r w:rsidRPr="00993936">
              <w:rPr>
                <w:rFonts w:ascii="Arial" w:hAnsi="Arial" w:cs="Arial"/>
                <w:lang w:val="es-ES"/>
              </w:rPr>
              <w:t>Cydia pomonella</w:t>
            </w:r>
          </w:p>
        </w:tc>
        <w:tc>
          <w:tcPr>
            <w:tcW w:w="1107"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1.ª generación: 2-3 adultos/trampa/semana</w:t>
            </w: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r w:rsidRPr="00993936">
              <w:rPr>
                <w:rFonts w:ascii="Arial" w:hAnsi="Arial" w:cs="Arial"/>
                <w:lang w:val="es-ES"/>
              </w:rPr>
              <w:t>2.ª y 3.ª generación: 1-2 adultos/trampa/semana</w:t>
            </w:r>
          </w:p>
          <w:p w:rsidR="00412AFB" w:rsidRPr="00993936" w:rsidRDefault="00412AFB" w:rsidP="007876F3">
            <w:pPr>
              <w:pStyle w:val="Sinespaciado"/>
              <w:rPr>
                <w:rFonts w:ascii="Arial" w:hAnsi="Arial" w:cs="Arial"/>
                <w:lang w:val="es-ES"/>
              </w:rPr>
            </w:pPr>
          </w:p>
        </w:tc>
        <w:tc>
          <w:tcPr>
            <w:tcW w:w="1412"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Acetamiprid</w:t>
            </w:r>
          </w:p>
          <w:p w:rsidR="00412AFB" w:rsidRPr="00993936" w:rsidRDefault="00412AFB" w:rsidP="007876F3">
            <w:pPr>
              <w:pStyle w:val="Sinespaciado"/>
              <w:rPr>
                <w:rFonts w:ascii="Arial" w:hAnsi="Arial" w:cs="Arial"/>
                <w:lang w:val="es-ES"/>
              </w:rPr>
            </w:pPr>
            <w:r w:rsidRPr="00993936">
              <w:rPr>
                <w:rFonts w:ascii="Arial" w:hAnsi="Arial" w:cs="Arial"/>
                <w:lang w:val="es-ES"/>
              </w:rPr>
              <w:t>Azadiractin</w:t>
            </w:r>
          </w:p>
          <w:p w:rsidR="00412AFB" w:rsidRPr="00993936" w:rsidRDefault="00412AFB" w:rsidP="007876F3">
            <w:pPr>
              <w:pStyle w:val="Sinespaciado"/>
              <w:rPr>
                <w:rFonts w:ascii="Arial" w:hAnsi="Arial" w:cs="Arial"/>
                <w:i/>
                <w:lang w:val="es-ES"/>
              </w:rPr>
            </w:pPr>
            <w:r w:rsidRPr="00993936">
              <w:rPr>
                <w:rFonts w:ascii="Arial" w:hAnsi="Arial" w:cs="Arial"/>
                <w:i/>
                <w:lang w:val="es-ES"/>
              </w:rPr>
              <w:t>Bacillus thuringiensis kurstaki</w:t>
            </w:r>
          </w:p>
          <w:p w:rsidR="00412AFB" w:rsidRPr="00993936" w:rsidRDefault="00412AFB" w:rsidP="007876F3">
            <w:pPr>
              <w:pStyle w:val="Sinespaciado"/>
              <w:rPr>
                <w:rFonts w:ascii="Arial" w:hAnsi="Arial" w:cs="Arial"/>
                <w:lang w:val="es-ES"/>
              </w:rPr>
            </w:pPr>
            <w:r w:rsidRPr="00993936">
              <w:rPr>
                <w:rFonts w:ascii="Arial" w:hAnsi="Arial" w:cs="Arial"/>
                <w:lang w:val="es-ES"/>
              </w:rPr>
              <w:t>Beta-ciflutrina</w:t>
            </w:r>
          </w:p>
          <w:p w:rsidR="00412AFB" w:rsidRPr="00993936" w:rsidRDefault="00412AFB" w:rsidP="007876F3">
            <w:pPr>
              <w:pStyle w:val="Sinespaciado"/>
              <w:rPr>
                <w:rFonts w:ascii="Arial" w:hAnsi="Arial" w:cs="Arial"/>
                <w:lang w:val="es-ES"/>
              </w:rPr>
            </w:pPr>
            <w:r w:rsidRPr="00993936">
              <w:rPr>
                <w:rFonts w:ascii="Arial" w:hAnsi="Arial" w:cs="Arial"/>
                <w:lang w:val="es-ES"/>
              </w:rPr>
              <w:t>Cipermetrina</w:t>
            </w:r>
          </w:p>
          <w:p w:rsidR="00412AFB" w:rsidRPr="00993936" w:rsidRDefault="00412AFB" w:rsidP="007876F3">
            <w:pPr>
              <w:pStyle w:val="Sinespaciado"/>
              <w:rPr>
                <w:rFonts w:ascii="Arial" w:hAnsi="Arial" w:cs="Arial"/>
                <w:lang w:val="es-ES"/>
              </w:rPr>
            </w:pPr>
            <w:r w:rsidRPr="00993936">
              <w:rPr>
                <w:rFonts w:ascii="Arial" w:hAnsi="Arial" w:cs="Arial"/>
                <w:lang w:val="es-ES"/>
              </w:rPr>
              <w:t>Clorantraniliprol</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Deltametrina </w:t>
            </w:r>
          </w:p>
          <w:p w:rsidR="00412AFB" w:rsidRPr="00993936" w:rsidRDefault="00412AFB" w:rsidP="007876F3">
            <w:pPr>
              <w:pStyle w:val="Sinespaciado"/>
              <w:rPr>
                <w:rFonts w:ascii="Arial" w:hAnsi="Arial" w:cs="Arial"/>
                <w:lang w:val="es-ES"/>
              </w:rPr>
            </w:pPr>
            <w:r w:rsidRPr="00993936">
              <w:rPr>
                <w:rFonts w:ascii="Arial" w:hAnsi="Arial" w:cs="Arial"/>
                <w:lang w:val="es-ES"/>
              </w:rPr>
              <w:t>E, E-8,10-Dodecadien-1-OL</w:t>
            </w:r>
          </w:p>
          <w:p w:rsidR="00412AFB" w:rsidRPr="00993936" w:rsidRDefault="00412AFB" w:rsidP="007876F3">
            <w:pPr>
              <w:pStyle w:val="Sinespaciado"/>
              <w:rPr>
                <w:rFonts w:ascii="Arial" w:hAnsi="Arial" w:cs="Arial"/>
                <w:lang w:val="es-ES"/>
              </w:rPr>
            </w:pPr>
            <w:r w:rsidRPr="00993936">
              <w:rPr>
                <w:rFonts w:ascii="Arial" w:hAnsi="Arial" w:cs="Arial"/>
                <w:lang w:val="es-ES"/>
              </w:rPr>
              <w:t>Diflubenzuron (6)</w:t>
            </w:r>
          </w:p>
          <w:p w:rsidR="00412AFB" w:rsidRPr="00993936" w:rsidRDefault="00412AFB" w:rsidP="007876F3">
            <w:pPr>
              <w:pStyle w:val="Sinespaciado"/>
              <w:rPr>
                <w:rFonts w:ascii="Arial" w:hAnsi="Arial" w:cs="Arial"/>
                <w:lang w:val="es-ES"/>
              </w:rPr>
            </w:pPr>
            <w:r w:rsidRPr="00993936">
              <w:rPr>
                <w:rFonts w:ascii="Arial" w:hAnsi="Arial" w:cs="Arial"/>
                <w:lang w:val="es-ES"/>
              </w:rPr>
              <w:t>Esfenvalerat</w:t>
            </w:r>
          </w:p>
          <w:p w:rsidR="00412AFB" w:rsidRPr="00993936" w:rsidRDefault="00412AFB" w:rsidP="007876F3">
            <w:pPr>
              <w:pStyle w:val="Sinespaciado"/>
              <w:rPr>
                <w:rFonts w:ascii="Arial" w:hAnsi="Arial" w:cs="Arial"/>
                <w:lang w:val="es-ES"/>
              </w:rPr>
            </w:pPr>
            <w:r w:rsidRPr="00993936">
              <w:rPr>
                <w:rFonts w:ascii="Arial" w:hAnsi="Arial" w:cs="Arial"/>
                <w:lang w:val="es-ES"/>
              </w:rPr>
              <w:t>Spinosad</w:t>
            </w:r>
          </w:p>
          <w:p w:rsidR="00412AFB" w:rsidRPr="00993936" w:rsidRDefault="00412AFB" w:rsidP="007876F3">
            <w:pPr>
              <w:pStyle w:val="Sinespaciado"/>
              <w:rPr>
                <w:rFonts w:ascii="Arial" w:hAnsi="Arial" w:cs="Arial"/>
                <w:lang w:val="es-ES"/>
              </w:rPr>
            </w:pPr>
            <w:r w:rsidRPr="00993936">
              <w:rPr>
                <w:rFonts w:ascii="Arial" w:hAnsi="Arial" w:cs="Arial"/>
                <w:lang w:val="es-ES"/>
              </w:rPr>
              <w:t>Etofenprox</w:t>
            </w:r>
          </w:p>
          <w:p w:rsidR="00412AFB" w:rsidRPr="00993936" w:rsidRDefault="00412AFB" w:rsidP="007876F3">
            <w:pPr>
              <w:pStyle w:val="Sinespaciado"/>
              <w:rPr>
                <w:rFonts w:ascii="Arial" w:hAnsi="Arial" w:cs="Arial"/>
                <w:lang w:val="es-ES"/>
              </w:rPr>
            </w:pPr>
            <w:r w:rsidRPr="00993936">
              <w:rPr>
                <w:rFonts w:ascii="Arial" w:hAnsi="Arial" w:cs="Arial"/>
                <w:lang w:val="es-ES"/>
              </w:rPr>
              <w:t>Fenoxicarb</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Fosmet (1) </w:t>
            </w:r>
          </w:p>
          <w:p w:rsidR="00412AFB" w:rsidRPr="00993936" w:rsidRDefault="00412AFB" w:rsidP="007876F3">
            <w:pPr>
              <w:pStyle w:val="Sinespaciado"/>
              <w:rPr>
                <w:rFonts w:ascii="Arial" w:hAnsi="Arial" w:cs="Arial"/>
                <w:lang w:val="es-ES"/>
              </w:rPr>
            </w:pPr>
            <w:r w:rsidRPr="00993936">
              <w:rPr>
                <w:rFonts w:ascii="Arial" w:hAnsi="Arial" w:cs="Arial"/>
                <w:lang w:val="es-ES"/>
              </w:rPr>
              <w:t>Lambda-cihalotrina (1)</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Metil-clorpirifos </w:t>
            </w:r>
          </w:p>
          <w:p w:rsidR="00412AFB" w:rsidRPr="00993936" w:rsidRDefault="00412AFB" w:rsidP="007876F3">
            <w:pPr>
              <w:pStyle w:val="Sinespaciado"/>
              <w:rPr>
                <w:rFonts w:ascii="Arial" w:hAnsi="Arial" w:cs="Arial"/>
                <w:lang w:val="es-ES"/>
              </w:rPr>
            </w:pPr>
            <w:r w:rsidRPr="00993936">
              <w:rPr>
                <w:rFonts w:ascii="Arial" w:hAnsi="Arial" w:cs="Arial"/>
                <w:lang w:val="es-ES"/>
              </w:rPr>
              <w:t>Método de confusión sexual</w:t>
            </w:r>
          </w:p>
          <w:p w:rsidR="00412AFB" w:rsidRPr="00993936" w:rsidRDefault="00412AFB" w:rsidP="007876F3">
            <w:pPr>
              <w:pStyle w:val="Sinespaciado"/>
              <w:rPr>
                <w:rFonts w:ascii="Arial" w:hAnsi="Arial" w:cs="Arial"/>
                <w:lang w:val="es-ES"/>
              </w:rPr>
            </w:pPr>
            <w:r w:rsidRPr="00993936">
              <w:rPr>
                <w:rFonts w:ascii="Arial" w:hAnsi="Arial" w:cs="Arial"/>
                <w:lang w:val="es-ES"/>
              </w:rPr>
              <w:t>Metoxifenocida</w:t>
            </w:r>
          </w:p>
          <w:p w:rsidR="00412AFB" w:rsidRPr="00993936" w:rsidRDefault="00412AFB" w:rsidP="007876F3">
            <w:pPr>
              <w:pStyle w:val="Sinespaciado"/>
              <w:rPr>
                <w:rFonts w:ascii="Arial" w:hAnsi="Arial" w:cs="Arial"/>
                <w:lang w:val="es-ES"/>
              </w:rPr>
            </w:pPr>
            <w:r w:rsidRPr="00993936">
              <w:rPr>
                <w:rFonts w:ascii="Arial" w:hAnsi="Arial" w:cs="Arial"/>
                <w:lang w:val="es-ES"/>
              </w:rPr>
              <w:t>Aceite parafínico</w:t>
            </w:r>
          </w:p>
          <w:p w:rsidR="00412AFB" w:rsidRPr="00993936" w:rsidRDefault="00412AFB" w:rsidP="007876F3">
            <w:pPr>
              <w:pStyle w:val="Sinespaciado"/>
              <w:rPr>
                <w:rFonts w:ascii="Arial" w:hAnsi="Arial" w:cs="Arial"/>
                <w:lang w:val="es-ES"/>
              </w:rPr>
            </w:pPr>
            <w:r w:rsidRPr="00993936">
              <w:rPr>
                <w:rFonts w:ascii="Arial" w:hAnsi="Arial" w:cs="Arial"/>
                <w:lang w:val="es-ES"/>
              </w:rPr>
              <w:t>Tebufenocida (2)</w:t>
            </w:r>
          </w:p>
          <w:p w:rsidR="00412AFB" w:rsidRPr="00993936" w:rsidRDefault="00412AFB" w:rsidP="007876F3">
            <w:pPr>
              <w:pStyle w:val="Sinespaciado"/>
              <w:rPr>
                <w:rFonts w:ascii="Arial" w:hAnsi="Arial" w:cs="Arial"/>
                <w:lang w:val="es-ES"/>
              </w:rPr>
            </w:pPr>
            <w:r w:rsidRPr="00993936">
              <w:rPr>
                <w:rFonts w:ascii="Arial" w:hAnsi="Arial" w:cs="Arial"/>
                <w:lang w:val="es-ES"/>
              </w:rPr>
              <w:t>Tiacloprid (2)</w:t>
            </w:r>
          </w:p>
          <w:p w:rsidR="00412AFB" w:rsidRPr="00993936" w:rsidRDefault="00412AFB" w:rsidP="007876F3">
            <w:pPr>
              <w:pStyle w:val="Sinespaciado"/>
              <w:rPr>
                <w:rFonts w:ascii="Arial" w:hAnsi="Arial" w:cs="Arial"/>
                <w:lang w:val="es-ES"/>
              </w:rPr>
            </w:pPr>
            <w:r w:rsidRPr="00993936">
              <w:rPr>
                <w:rFonts w:ascii="Arial" w:hAnsi="Arial" w:cs="Arial"/>
                <w:lang w:val="es-ES"/>
              </w:rPr>
              <w:t>Triflumuron</w:t>
            </w:r>
          </w:p>
          <w:p w:rsidR="00412AFB" w:rsidRPr="00993936" w:rsidRDefault="00412AFB" w:rsidP="007876F3">
            <w:pPr>
              <w:pStyle w:val="Sinespaciado"/>
              <w:rPr>
                <w:rFonts w:ascii="Arial" w:hAnsi="Arial" w:cs="Arial"/>
                <w:lang w:val="es-ES"/>
              </w:rPr>
            </w:pPr>
            <w:r w:rsidRPr="00993936">
              <w:rPr>
                <w:rFonts w:ascii="Arial" w:hAnsi="Arial" w:cs="Arial"/>
                <w:lang w:val="es-ES"/>
              </w:rPr>
              <w:t>Virus de la granulosis de la carpocapsa</w:t>
            </w:r>
          </w:p>
          <w:p w:rsidR="00412AFB" w:rsidRPr="00993936" w:rsidRDefault="00412AFB" w:rsidP="007876F3">
            <w:pPr>
              <w:pStyle w:val="Sinespaciado"/>
              <w:rPr>
                <w:rFonts w:ascii="Arial" w:hAnsi="Arial" w:cs="Arial"/>
                <w:lang w:val="es-ES"/>
              </w:rPr>
            </w:pPr>
            <w:r w:rsidRPr="00993936">
              <w:rPr>
                <w:rFonts w:ascii="Arial" w:hAnsi="Arial" w:cs="Arial"/>
                <w:lang w:val="es-ES"/>
              </w:rPr>
              <w:t>Zeta-cipermetrina</w:t>
            </w:r>
          </w:p>
        </w:tc>
        <w:tc>
          <w:tcPr>
            <w:tcW w:w="1259"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Máximo: 1 tratamiento/año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2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3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7876F3">
            <w:pPr>
              <w:pStyle w:val="Sinespaciado"/>
              <w:rPr>
                <w:rFonts w:ascii="Arial" w:hAnsi="Arial" w:cs="Arial"/>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3.1.2. Peras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75"/>
        <w:gridCol w:w="3352"/>
        <w:gridCol w:w="3827"/>
        <w:gridCol w:w="3590"/>
      </w:tblGrid>
      <w:tr w:rsidR="00412AFB" w:rsidRPr="00993936" w:rsidTr="00C8678E">
        <w:trPr>
          <w:cantSplit/>
          <w:jc w:val="center"/>
        </w:trPr>
        <w:tc>
          <w:tcPr>
            <w:tcW w:w="1193" w:type="pct"/>
            <w:shd w:val="pct12" w:color="auto" w:fill="FFFFFF"/>
            <w:vAlign w:val="center"/>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PLAGA</w:t>
            </w:r>
          </w:p>
        </w:tc>
        <w:tc>
          <w:tcPr>
            <w:tcW w:w="1185" w:type="pct"/>
            <w:shd w:val="pct12" w:color="auto" w:fill="FFFFFF"/>
            <w:vAlign w:val="center"/>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UMBRAL DE TOLERANCIA</w:t>
            </w:r>
          </w:p>
        </w:tc>
        <w:tc>
          <w:tcPr>
            <w:tcW w:w="1353" w:type="pct"/>
            <w:shd w:val="pct12" w:color="auto" w:fill="FFFFFF"/>
            <w:vAlign w:val="center"/>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MATERIA ACTIVA</w:t>
            </w:r>
          </w:p>
        </w:tc>
        <w:tc>
          <w:tcPr>
            <w:tcW w:w="1269" w:type="pct"/>
            <w:shd w:val="pct12" w:color="auto" w:fill="FFFFFF"/>
            <w:vAlign w:val="center"/>
          </w:tcPr>
          <w:p w:rsidR="00412AFB" w:rsidRPr="00993936" w:rsidRDefault="00412AFB" w:rsidP="007876F3">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193" w:type="pct"/>
            <w:vAlign w:val="center"/>
          </w:tcPr>
          <w:p w:rsidR="00412AFB" w:rsidRPr="00993936" w:rsidRDefault="00412AFB" w:rsidP="007876F3">
            <w:pPr>
              <w:pStyle w:val="Sinespaciado"/>
              <w:rPr>
                <w:rFonts w:ascii="Arial" w:hAnsi="Arial" w:cs="Arial"/>
              </w:rPr>
            </w:pPr>
            <w:r w:rsidRPr="00993936">
              <w:rPr>
                <w:rFonts w:ascii="Arial" w:hAnsi="Arial" w:cs="Arial"/>
              </w:rPr>
              <w:t>Perrisia</w:t>
            </w:r>
          </w:p>
          <w:p w:rsidR="00412AFB" w:rsidRPr="00993936" w:rsidRDefault="00412AFB" w:rsidP="007876F3">
            <w:pPr>
              <w:pStyle w:val="Sinespaciado"/>
              <w:rPr>
                <w:rFonts w:ascii="Arial" w:hAnsi="Arial" w:cs="Arial"/>
                <w:i/>
                <w:lang w:val="es-ES"/>
              </w:rPr>
            </w:pPr>
            <w:r w:rsidRPr="00993936">
              <w:rPr>
                <w:rFonts w:ascii="Arial" w:hAnsi="Arial" w:cs="Arial"/>
                <w:i/>
                <w:lang w:val="es-ES"/>
              </w:rPr>
              <w:t>Dasyneura pyri</w:t>
            </w:r>
          </w:p>
        </w:tc>
        <w:tc>
          <w:tcPr>
            <w:tcW w:w="1185"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10 % de brotes atacados (plantación joven)</w:t>
            </w:r>
          </w:p>
          <w:p w:rsidR="00412AFB" w:rsidRPr="00993936" w:rsidRDefault="00412AFB" w:rsidP="007876F3">
            <w:pPr>
              <w:pStyle w:val="Sinespaciado"/>
              <w:rPr>
                <w:rFonts w:ascii="Arial" w:hAnsi="Arial" w:cs="Arial"/>
                <w:lang w:val="es-ES"/>
              </w:rPr>
            </w:pPr>
            <w:r w:rsidRPr="00993936">
              <w:rPr>
                <w:rFonts w:ascii="Arial" w:hAnsi="Arial" w:cs="Arial"/>
                <w:lang w:val="es-ES"/>
              </w:rPr>
              <w:t>50 % de brotes atacados (plantación adulta)</w:t>
            </w:r>
          </w:p>
        </w:tc>
        <w:tc>
          <w:tcPr>
            <w:tcW w:w="13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Deltametrina</w:t>
            </w:r>
          </w:p>
        </w:tc>
        <w:tc>
          <w:tcPr>
            <w:tcW w:w="1269" w:type="pct"/>
            <w:vMerge w:val="restar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Máximo: 1 tratamiento/año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2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Máximo: 3 tratamientos/año</w:t>
            </w:r>
          </w:p>
          <w:p w:rsidR="00412AFB" w:rsidRPr="00993936" w:rsidRDefault="00412AFB" w:rsidP="007876F3">
            <w:pPr>
              <w:pStyle w:val="Sinespaciad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7876F3">
            <w:pPr>
              <w:pStyle w:val="Sinespaciado"/>
              <w:rPr>
                <w:rFonts w:ascii="Arial" w:hAnsi="Arial" w:cs="Arial"/>
                <w:lang w:val="es-ES"/>
              </w:rPr>
            </w:pPr>
          </w:p>
          <w:p w:rsidR="00412AFB" w:rsidRPr="00993936" w:rsidRDefault="00412AFB" w:rsidP="007876F3">
            <w:pPr>
              <w:pStyle w:val="Sinespaciado"/>
              <w:rPr>
                <w:rFonts w:ascii="Arial" w:hAnsi="Arial" w:cs="Arial"/>
                <w:lang w:val="es-ES"/>
              </w:rPr>
            </w:pPr>
          </w:p>
        </w:tc>
      </w:tr>
      <w:tr w:rsidR="00412AFB" w:rsidRPr="00993936" w:rsidTr="00C8678E">
        <w:trPr>
          <w:cantSplit/>
          <w:jc w:val="center"/>
        </w:trPr>
        <w:tc>
          <w:tcPr>
            <w:tcW w:w="1193" w:type="pct"/>
            <w:vAlign w:val="center"/>
          </w:tcPr>
          <w:p w:rsidR="00412AFB" w:rsidRPr="00993936" w:rsidRDefault="00412AFB" w:rsidP="007876F3">
            <w:pPr>
              <w:pStyle w:val="Sinespaciado"/>
              <w:rPr>
                <w:rFonts w:ascii="Arial" w:hAnsi="Arial" w:cs="Arial"/>
              </w:rPr>
            </w:pPr>
            <w:r w:rsidRPr="00993936">
              <w:rPr>
                <w:rFonts w:ascii="Arial" w:hAnsi="Arial" w:cs="Arial"/>
              </w:rPr>
              <w:t>Filoxera</w:t>
            </w:r>
          </w:p>
          <w:p w:rsidR="00412AFB" w:rsidRPr="00993936" w:rsidRDefault="00412AFB" w:rsidP="007876F3">
            <w:pPr>
              <w:pStyle w:val="Sinespaciado"/>
              <w:rPr>
                <w:rFonts w:ascii="Arial" w:hAnsi="Arial" w:cs="Arial"/>
                <w:i/>
                <w:lang w:val="es-ES"/>
              </w:rPr>
            </w:pPr>
            <w:r w:rsidRPr="00993936">
              <w:rPr>
                <w:rFonts w:ascii="Arial" w:hAnsi="Arial" w:cs="Arial"/>
                <w:i/>
                <w:lang w:val="es-ES"/>
              </w:rPr>
              <w:t>Aphanostigma pyri</w:t>
            </w:r>
          </w:p>
        </w:tc>
        <w:tc>
          <w:tcPr>
            <w:tcW w:w="1185"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Presencia </w:t>
            </w:r>
          </w:p>
        </w:tc>
        <w:tc>
          <w:tcPr>
            <w:tcW w:w="13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Imidacloprid (2)</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Metil-clorpirifos </w:t>
            </w:r>
          </w:p>
        </w:tc>
        <w:tc>
          <w:tcPr>
            <w:tcW w:w="1269" w:type="pct"/>
            <w:vMerge/>
            <w:vAlign w:val="center"/>
          </w:tcPr>
          <w:p w:rsidR="00412AFB" w:rsidRPr="00993936" w:rsidRDefault="00412AFB" w:rsidP="007876F3">
            <w:pPr>
              <w:pStyle w:val="Sinespaciado"/>
              <w:rPr>
                <w:rFonts w:ascii="Arial" w:hAnsi="Arial" w:cs="Arial"/>
                <w:lang w:val="es-ES"/>
              </w:rPr>
            </w:pPr>
          </w:p>
        </w:tc>
      </w:tr>
      <w:tr w:rsidR="00412AFB" w:rsidRPr="00993936" w:rsidTr="00C8678E">
        <w:trPr>
          <w:cantSplit/>
          <w:jc w:val="center"/>
        </w:trPr>
        <w:tc>
          <w:tcPr>
            <w:tcW w:w="1193" w:type="pct"/>
            <w:vAlign w:val="center"/>
          </w:tcPr>
          <w:p w:rsidR="00412AFB" w:rsidRPr="00993936" w:rsidRDefault="00412AFB" w:rsidP="007876F3">
            <w:pPr>
              <w:pStyle w:val="Sinespaciado"/>
              <w:rPr>
                <w:rFonts w:ascii="Arial" w:hAnsi="Arial" w:cs="Arial"/>
              </w:rPr>
            </w:pPr>
            <w:r w:rsidRPr="00993936">
              <w:rPr>
                <w:rFonts w:ascii="Arial" w:hAnsi="Arial" w:cs="Arial"/>
              </w:rPr>
              <w:t>Hoplocampa</w:t>
            </w:r>
          </w:p>
          <w:p w:rsidR="00412AFB" w:rsidRPr="00993936" w:rsidRDefault="00412AFB" w:rsidP="007876F3">
            <w:pPr>
              <w:pStyle w:val="Sinespaciado"/>
              <w:rPr>
                <w:rFonts w:ascii="Arial" w:hAnsi="Arial" w:cs="Arial"/>
                <w:i/>
                <w:lang w:val="es-ES"/>
              </w:rPr>
            </w:pPr>
            <w:r w:rsidRPr="00993936">
              <w:rPr>
                <w:rFonts w:ascii="Arial" w:hAnsi="Arial" w:cs="Arial"/>
                <w:i/>
                <w:lang w:val="es-ES"/>
              </w:rPr>
              <w:t>Hoplocampa brevis</w:t>
            </w:r>
          </w:p>
        </w:tc>
        <w:tc>
          <w:tcPr>
            <w:tcW w:w="1185"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Por presencia en trampa cromática o antecedentes de la finca </w:t>
            </w:r>
          </w:p>
        </w:tc>
        <w:tc>
          <w:tcPr>
            <w:tcW w:w="13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Deltametrina</w:t>
            </w:r>
          </w:p>
          <w:p w:rsidR="00412AFB" w:rsidRPr="00993936" w:rsidRDefault="00412AFB" w:rsidP="007876F3">
            <w:pPr>
              <w:pStyle w:val="Sinespaciado"/>
              <w:rPr>
                <w:rFonts w:ascii="Arial" w:hAnsi="Arial" w:cs="Arial"/>
                <w:lang w:val="es-ES"/>
              </w:rPr>
            </w:pPr>
            <w:r w:rsidRPr="00993936">
              <w:rPr>
                <w:rFonts w:ascii="Arial" w:hAnsi="Arial" w:cs="Arial"/>
                <w:lang w:val="es-ES"/>
              </w:rPr>
              <w:t>Beta-ciflutrina</w:t>
            </w:r>
          </w:p>
        </w:tc>
        <w:tc>
          <w:tcPr>
            <w:tcW w:w="1269" w:type="pct"/>
            <w:vMerge/>
            <w:vAlign w:val="center"/>
          </w:tcPr>
          <w:p w:rsidR="00412AFB" w:rsidRPr="00993936" w:rsidRDefault="00412AFB" w:rsidP="007876F3">
            <w:pPr>
              <w:pStyle w:val="Sinespaciado"/>
              <w:rPr>
                <w:rFonts w:ascii="Arial" w:hAnsi="Arial" w:cs="Arial"/>
                <w:lang w:val="es-ES"/>
              </w:rPr>
            </w:pPr>
          </w:p>
        </w:tc>
      </w:tr>
      <w:tr w:rsidR="00412AFB" w:rsidRPr="00993936" w:rsidTr="00C8678E">
        <w:trPr>
          <w:cantSplit/>
          <w:trHeight w:val="1157"/>
          <w:jc w:val="center"/>
        </w:trPr>
        <w:tc>
          <w:tcPr>
            <w:tcW w:w="1193" w:type="pct"/>
            <w:vAlign w:val="center"/>
          </w:tcPr>
          <w:p w:rsidR="00412AFB" w:rsidRPr="00993936" w:rsidRDefault="00412AFB" w:rsidP="007876F3">
            <w:pPr>
              <w:pStyle w:val="Sinespaciado"/>
              <w:rPr>
                <w:rFonts w:ascii="Arial" w:hAnsi="Arial" w:cs="Arial"/>
              </w:rPr>
            </w:pPr>
            <w:r w:rsidRPr="00993936">
              <w:rPr>
                <w:rFonts w:ascii="Arial" w:hAnsi="Arial" w:cs="Arial"/>
              </w:rPr>
              <w:t>Barrenadores de madera:</w:t>
            </w:r>
          </w:p>
          <w:p w:rsidR="00412AFB" w:rsidRPr="00993936" w:rsidRDefault="00412AFB" w:rsidP="007876F3">
            <w:pPr>
              <w:pStyle w:val="Sinespaciado"/>
              <w:rPr>
                <w:rFonts w:ascii="Arial" w:hAnsi="Arial" w:cs="Arial"/>
              </w:rPr>
            </w:pPr>
            <w:r w:rsidRPr="00993936">
              <w:rPr>
                <w:rFonts w:ascii="Arial" w:hAnsi="Arial" w:cs="Arial"/>
              </w:rPr>
              <w:t>Cósido</w:t>
            </w:r>
          </w:p>
          <w:p w:rsidR="00412AFB" w:rsidRPr="00993936" w:rsidRDefault="00412AFB" w:rsidP="007876F3">
            <w:pPr>
              <w:pStyle w:val="Sinespaciado"/>
              <w:rPr>
                <w:rFonts w:ascii="Arial" w:hAnsi="Arial" w:cs="Arial"/>
                <w:i/>
                <w:lang w:val="es-ES"/>
              </w:rPr>
            </w:pPr>
            <w:r w:rsidRPr="00993936">
              <w:rPr>
                <w:rFonts w:ascii="Arial" w:hAnsi="Arial" w:cs="Arial"/>
                <w:lang w:val="es-ES"/>
              </w:rPr>
              <w:t xml:space="preserve">Cossus cossus </w:t>
            </w:r>
          </w:p>
          <w:p w:rsidR="00412AFB" w:rsidRPr="00993936" w:rsidRDefault="00412AFB" w:rsidP="007876F3">
            <w:pPr>
              <w:pStyle w:val="Sinespaciado"/>
              <w:rPr>
                <w:rFonts w:ascii="Arial" w:hAnsi="Arial" w:cs="Arial"/>
              </w:rPr>
            </w:pPr>
            <w:r w:rsidRPr="00993936">
              <w:rPr>
                <w:rFonts w:ascii="Arial" w:hAnsi="Arial" w:cs="Arial"/>
              </w:rPr>
              <w:t xml:space="preserve">Sesia </w:t>
            </w:r>
          </w:p>
          <w:p w:rsidR="00412AFB" w:rsidRPr="00993936" w:rsidRDefault="00412AFB" w:rsidP="007876F3">
            <w:pPr>
              <w:pStyle w:val="Sinespaciado"/>
              <w:rPr>
                <w:rFonts w:ascii="Arial" w:hAnsi="Arial" w:cs="Arial"/>
                <w:i/>
                <w:lang w:val="es-ES"/>
              </w:rPr>
            </w:pPr>
            <w:r w:rsidRPr="00993936">
              <w:rPr>
                <w:rFonts w:ascii="Arial" w:hAnsi="Arial" w:cs="Arial"/>
                <w:lang w:val="es-ES"/>
              </w:rPr>
              <w:t>Synanthedon myopaeformis</w:t>
            </w:r>
          </w:p>
          <w:p w:rsidR="00412AFB" w:rsidRPr="00993936" w:rsidRDefault="00412AFB" w:rsidP="007876F3">
            <w:pPr>
              <w:pStyle w:val="Sinespaciado"/>
              <w:rPr>
                <w:rFonts w:ascii="Arial" w:hAnsi="Arial" w:cs="Arial"/>
              </w:rPr>
            </w:pPr>
            <w:r w:rsidRPr="00993936">
              <w:rPr>
                <w:rFonts w:ascii="Arial" w:hAnsi="Arial" w:cs="Arial"/>
              </w:rPr>
              <w:t xml:space="preserve">Zeuzera </w:t>
            </w:r>
          </w:p>
          <w:p w:rsidR="00412AFB" w:rsidRPr="00993936" w:rsidRDefault="00412AFB" w:rsidP="007876F3">
            <w:pPr>
              <w:pStyle w:val="Sinespaciado"/>
              <w:rPr>
                <w:rFonts w:ascii="Arial" w:hAnsi="Arial" w:cs="Arial"/>
                <w:i/>
                <w:lang w:val="es-ES"/>
              </w:rPr>
            </w:pPr>
            <w:r w:rsidRPr="00993936">
              <w:rPr>
                <w:rFonts w:ascii="Arial" w:hAnsi="Arial" w:cs="Arial"/>
                <w:lang w:val="es-ES"/>
              </w:rPr>
              <w:t>Zeuzera pyrina</w:t>
            </w:r>
          </w:p>
        </w:tc>
        <w:tc>
          <w:tcPr>
            <w:tcW w:w="1185"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 xml:space="preserve">Presencia </w:t>
            </w:r>
          </w:p>
        </w:tc>
        <w:tc>
          <w:tcPr>
            <w:tcW w:w="13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Acetamiprid</w:t>
            </w:r>
          </w:p>
          <w:p w:rsidR="00412AFB" w:rsidRPr="00993936" w:rsidRDefault="00412AFB" w:rsidP="007876F3">
            <w:pPr>
              <w:pStyle w:val="Sinespaciado"/>
              <w:rPr>
                <w:rFonts w:ascii="Arial" w:hAnsi="Arial" w:cs="Arial"/>
                <w:lang w:val="es-ES"/>
              </w:rPr>
            </w:pPr>
            <w:r w:rsidRPr="00993936">
              <w:rPr>
                <w:rFonts w:ascii="Arial" w:hAnsi="Arial" w:cs="Arial"/>
                <w:lang w:val="es-ES"/>
              </w:rPr>
              <w:t xml:space="preserve">Azadiractina </w:t>
            </w:r>
          </w:p>
          <w:p w:rsidR="00412AFB" w:rsidRPr="00993936" w:rsidRDefault="00412AFB" w:rsidP="007876F3">
            <w:pPr>
              <w:pStyle w:val="Sinespaciado"/>
              <w:rPr>
                <w:rFonts w:ascii="Arial" w:hAnsi="Arial" w:cs="Arial"/>
                <w:lang w:val="es-ES"/>
              </w:rPr>
            </w:pPr>
            <w:r w:rsidRPr="00993936">
              <w:rPr>
                <w:rFonts w:ascii="Arial" w:hAnsi="Arial" w:cs="Arial"/>
                <w:lang w:val="es-ES"/>
              </w:rPr>
              <w:t>Deltametrina</w:t>
            </w:r>
          </w:p>
          <w:p w:rsidR="00412AFB" w:rsidRPr="00993936" w:rsidRDefault="00412AFB" w:rsidP="007876F3">
            <w:pPr>
              <w:pStyle w:val="Sinespaciado"/>
              <w:rPr>
                <w:rFonts w:ascii="Arial" w:hAnsi="Arial" w:cs="Arial"/>
                <w:lang w:val="es-ES"/>
              </w:rPr>
            </w:pPr>
            <w:r w:rsidRPr="00993936">
              <w:rPr>
                <w:rFonts w:ascii="Arial" w:hAnsi="Arial" w:cs="Arial"/>
                <w:lang w:val="es-ES"/>
              </w:rPr>
              <w:t>Diflubenzuron (6)</w:t>
            </w:r>
          </w:p>
          <w:p w:rsidR="00412AFB" w:rsidRPr="00993936" w:rsidRDefault="00412AFB" w:rsidP="007876F3">
            <w:pPr>
              <w:pStyle w:val="Sinespaciado"/>
              <w:rPr>
                <w:rFonts w:ascii="Arial" w:hAnsi="Arial" w:cs="Arial"/>
                <w:lang w:val="es-ES"/>
              </w:rPr>
            </w:pPr>
            <w:r w:rsidRPr="00993936">
              <w:rPr>
                <w:rFonts w:ascii="Arial" w:hAnsi="Arial" w:cs="Arial"/>
                <w:lang w:val="es-ES"/>
              </w:rPr>
              <w:t>Esfenvalerat</w:t>
            </w:r>
          </w:p>
          <w:p w:rsidR="00412AFB" w:rsidRPr="00993936" w:rsidRDefault="00412AFB" w:rsidP="007876F3">
            <w:pPr>
              <w:pStyle w:val="Sinespaciado"/>
              <w:rPr>
                <w:rFonts w:ascii="Arial" w:hAnsi="Arial" w:cs="Arial"/>
                <w:lang w:val="es-ES"/>
              </w:rPr>
            </w:pPr>
            <w:r w:rsidRPr="00993936">
              <w:rPr>
                <w:rFonts w:ascii="Arial" w:hAnsi="Arial" w:cs="Arial"/>
                <w:lang w:val="es-ES"/>
              </w:rPr>
              <w:t>Método de captura masiva (Sesia)</w:t>
            </w:r>
          </w:p>
          <w:p w:rsidR="00412AFB" w:rsidRPr="00993936" w:rsidRDefault="00412AFB" w:rsidP="007876F3">
            <w:pPr>
              <w:pStyle w:val="Sinespaciado"/>
              <w:rPr>
                <w:rFonts w:ascii="Arial" w:hAnsi="Arial" w:cs="Arial"/>
                <w:lang w:val="es-ES"/>
              </w:rPr>
            </w:pPr>
            <w:r w:rsidRPr="00993936">
              <w:rPr>
                <w:rFonts w:ascii="Arial" w:hAnsi="Arial" w:cs="Arial"/>
                <w:lang w:val="es-ES"/>
              </w:rPr>
              <w:t>Triflumuron</w:t>
            </w:r>
          </w:p>
          <w:p w:rsidR="00412AFB" w:rsidRPr="00993936" w:rsidRDefault="00412AFB" w:rsidP="007876F3">
            <w:pPr>
              <w:pStyle w:val="Sinespaciado"/>
              <w:rPr>
                <w:rFonts w:ascii="Arial" w:hAnsi="Arial" w:cs="Arial"/>
                <w:lang w:val="es-ES"/>
              </w:rPr>
            </w:pPr>
            <w:r w:rsidRPr="00993936">
              <w:rPr>
                <w:rFonts w:ascii="Arial" w:hAnsi="Arial" w:cs="Arial"/>
                <w:lang w:val="es-ES"/>
              </w:rPr>
              <w:t>Zeta-cipermetrina</w:t>
            </w:r>
          </w:p>
        </w:tc>
        <w:tc>
          <w:tcPr>
            <w:tcW w:w="1269" w:type="pct"/>
            <w:vMerge/>
            <w:vAlign w:val="center"/>
          </w:tcPr>
          <w:p w:rsidR="00412AFB" w:rsidRPr="00993936" w:rsidRDefault="00412AFB" w:rsidP="007876F3">
            <w:pPr>
              <w:pStyle w:val="Sinespaciado"/>
              <w:rPr>
                <w:rFonts w:ascii="Arial" w:hAnsi="Arial" w:cs="Arial"/>
                <w:lang w:val="es-ES"/>
              </w:rPr>
            </w:pPr>
          </w:p>
        </w:tc>
      </w:tr>
      <w:tr w:rsidR="00412AFB" w:rsidRPr="00993936" w:rsidTr="00C8678E">
        <w:trPr>
          <w:cantSplit/>
          <w:trHeight w:val="1157"/>
          <w:jc w:val="center"/>
        </w:trPr>
        <w:tc>
          <w:tcPr>
            <w:tcW w:w="1193" w:type="pct"/>
            <w:vAlign w:val="center"/>
          </w:tcPr>
          <w:p w:rsidR="00412AFB" w:rsidRPr="00993936" w:rsidRDefault="00412AFB" w:rsidP="007876F3">
            <w:pPr>
              <w:pStyle w:val="Sinespaciado"/>
              <w:rPr>
                <w:rFonts w:ascii="Arial" w:hAnsi="Arial" w:cs="Arial"/>
              </w:rPr>
            </w:pPr>
            <w:r w:rsidRPr="00993936">
              <w:rPr>
                <w:rFonts w:ascii="Arial" w:hAnsi="Arial" w:cs="Arial"/>
              </w:rPr>
              <w:t xml:space="preserve">Grafolita </w:t>
            </w:r>
          </w:p>
          <w:p w:rsidR="00412AFB" w:rsidRPr="00993936" w:rsidRDefault="00412AFB" w:rsidP="007876F3">
            <w:pPr>
              <w:pStyle w:val="Sinespaciado"/>
              <w:rPr>
                <w:rFonts w:ascii="Arial" w:hAnsi="Arial" w:cs="Arial"/>
                <w:i/>
              </w:rPr>
            </w:pPr>
            <w:r w:rsidRPr="00993936">
              <w:rPr>
                <w:rFonts w:ascii="Arial" w:hAnsi="Arial" w:cs="Arial"/>
                <w:i/>
              </w:rPr>
              <w:t>Cydia molesta</w:t>
            </w:r>
          </w:p>
        </w:tc>
        <w:tc>
          <w:tcPr>
            <w:tcW w:w="1185" w:type="pct"/>
            <w:vAlign w:val="center"/>
          </w:tcPr>
          <w:p w:rsidR="00412AFB" w:rsidRPr="00993936" w:rsidRDefault="00412AFB" w:rsidP="007876F3">
            <w:pPr>
              <w:pStyle w:val="Sinespaciado"/>
              <w:rPr>
                <w:rFonts w:ascii="Arial" w:hAnsi="Arial" w:cs="Arial"/>
                <w:lang w:val="es-ES"/>
              </w:rPr>
            </w:pPr>
          </w:p>
        </w:tc>
        <w:tc>
          <w:tcPr>
            <w:tcW w:w="1353" w:type="pct"/>
            <w:vAlign w:val="center"/>
          </w:tcPr>
          <w:p w:rsidR="00412AFB" w:rsidRPr="00993936" w:rsidRDefault="00412AFB" w:rsidP="007876F3">
            <w:pPr>
              <w:pStyle w:val="Sinespaciado"/>
              <w:rPr>
                <w:rFonts w:ascii="Arial" w:hAnsi="Arial" w:cs="Arial"/>
                <w:lang w:val="es-ES"/>
              </w:rPr>
            </w:pPr>
            <w:r w:rsidRPr="00993936">
              <w:rPr>
                <w:rFonts w:ascii="Arial" w:hAnsi="Arial" w:cs="Arial"/>
                <w:lang w:val="es-ES"/>
              </w:rPr>
              <w:t>Azadiractina</w:t>
            </w:r>
          </w:p>
          <w:p w:rsidR="00412AFB" w:rsidRPr="00993936" w:rsidRDefault="00412AFB" w:rsidP="007876F3">
            <w:pPr>
              <w:pStyle w:val="Sinespaciado"/>
              <w:rPr>
                <w:rFonts w:ascii="Arial" w:hAnsi="Arial" w:cs="Arial"/>
                <w:lang w:val="es-ES"/>
              </w:rPr>
            </w:pPr>
            <w:r w:rsidRPr="00993936">
              <w:rPr>
                <w:rFonts w:ascii="Arial" w:hAnsi="Arial" w:cs="Arial"/>
                <w:lang w:val="es-ES"/>
              </w:rPr>
              <w:t>Diflubenzuron</w:t>
            </w:r>
          </w:p>
          <w:p w:rsidR="00412AFB" w:rsidRPr="00993936" w:rsidRDefault="00412AFB" w:rsidP="007876F3">
            <w:pPr>
              <w:pStyle w:val="Sinespaciado"/>
              <w:rPr>
                <w:rFonts w:ascii="Arial" w:hAnsi="Arial" w:cs="Arial"/>
                <w:lang w:val="es-ES"/>
              </w:rPr>
            </w:pPr>
            <w:r w:rsidRPr="00993936">
              <w:rPr>
                <w:rFonts w:ascii="Arial" w:hAnsi="Arial" w:cs="Arial"/>
                <w:lang w:val="es-ES"/>
              </w:rPr>
              <w:t>Esfenvalerat</w:t>
            </w:r>
          </w:p>
          <w:p w:rsidR="00412AFB" w:rsidRPr="00993936" w:rsidRDefault="00412AFB" w:rsidP="007876F3">
            <w:pPr>
              <w:pStyle w:val="Sinespaciado"/>
              <w:rPr>
                <w:rFonts w:ascii="Arial" w:hAnsi="Arial" w:cs="Arial"/>
                <w:lang w:val="es-ES"/>
              </w:rPr>
            </w:pPr>
            <w:r w:rsidRPr="00993936">
              <w:rPr>
                <w:rFonts w:ascii="Arial" w:hAnsi="Arial" w:cs="Arial"/>
                <w:lang w:val="es-ES"/>
              </w:rPr>
              <w:t>Fosmet</w:t>
            </w:r>
          </w:p>
          <w:p w:rsidR="00412AFB" w:rsidRPr="00993936" w:rsidRDefault="00412AFB" w:rsidP="007876F3">
            <w:pPr>
              <w:pStyle w:val="Sinespaciado"/>
              <w:rPr>
                <w:rFonts w:ascii="Arial" w:hAnsi="Arial" w:cs="Arial"/>
                <w:lang w:val="es-ES"/>
              </w:rPr>
            </w:pPr>
            <w:r w:rsidRPr="00993936">
              <w:rPr>
                <w:rFonts w:ascii="Arial" w:hAnsi="Arial" w:cs="Arial"/>
                <w:lang w:val="es-ES"/>
              </w:rPr>
              <w:t>Lambda-cihalotrina</w:t>
            </w:r>
          </w:p>
          <w:p w:rsidR="00412AFB" w:rsidRPr="00993936" w:rsidRDefault="00412AFB" w:rsidP="007876F3">
            <w:pPr>
              <w:pStyle w:val="Sinespaciado"/>
              <w:rPr>
                <w:rFonts w:ascii="Arial" w:hAnsi="Arial" w:cs="Arial"/>
                <w:lang w:val="es-ES"/>
              </w:rPr>
            </w:pPr>
            <w:r w:rsidRPr="00993936">
              <w:rPr>
                <w:rFonts w:ascii="Arial" w:hAnsi="Arial" w:cs="Arial"/>
                <w:lang w:val="es-ES"/>
              </w:rPr>
              <w:t>Método de confusión sexual</w:t>
            </w:r>
          </w:p>
          <w:p w:rsidR="00412AFB" w:rsidRPr="00993936" w:rsidRDefault="00412AFB" w:rsidP="007876F3">
            <w:pPr>
              <w:pStyle w:val="Sinespaciado"/>
              <w:rPr>
                <w:rFonts w:ascii="Arial" w:hAnsi="Arial" w:cs="Arial"/>
                <w:lang w:val="es-ES"/>
              </w:rPr>
            </w:pPr>
            <w:r w:rsidRPr="00993936">
              <w:rPr>
                <w:rFonts w:ascii="Arial" w:hAnsi="Arial" w:cs="Arial"/>
                <w:lang w:val="es-ES"/>
              </w:rPr>
              <w:t>Virus de la granulosa de la carpocapsa</w:t>
            </w:r>
          </w:p>
          <w:p w:rsidR="00412AFB" w:rsidRPr="00993936" w:rsidRDefault="00412AFB" w:rsidP="007876F3">
            <w:pPr>
              <w:pStyle w:val="Sinespaciado"/>
              <w:rPr>
                <w:rFonts w:ascii="Arial" w:hAnsi="Arial" w:cs="Arial"/>
                <w:lang w:val="es-ES"/>
              </w:rPr>
            </w:pPr>
            <w:r w:rsidRPr="00993936">
              <w:rPr>
                <w:rFonts w:ascii="Arial" w:hAnsi="Arial" w:cs="Arial"/>
                <w:lang w:val="es-ES"/>
              </w:rPr>
              <w:t>Zeta-cipermetrina</w:t>
            </w:r>
          </w:p>
          <w:p w:rsidR="00412AFB" w:rsidRPr="00993936" w:rsidRDefault="00412AFB" w:rsidP="007876F3">
            <w:pPr>
              <w:pStyle w:val="Sinespaciado"/>
              <w:rPr>
                <w:rFonts w:ascii="Arial" w:hAnsi="Arial" w:cs="Arial"/>
                <w:snapToGrid w:val="0"/>
                <w:lang w:val="es-ES"/>
              </w:rPr>
            </w:pPr>
          </w:p>
        </w:tc>
        <w:tc>
          <w:tcPr>
            <w:tcW w:w="1269" w:type="pct"/>
            <w:vMerge/>
            <w:vAlign w:val="center"/>
          </w:tcPr>
          <w:p w:rsidR="00412AFB" w:rsidRPr="00993936" w:rsidRDefault="00412AFB" w:rsidP="007876F3">
            <w:pPr>
              <w:pStyle w:val="Sinespaciado"/>
              <w:rPr>
                <w:rFonts w:ascii="Arial" w:hAnsi="Arial" w:cs="Arial"/>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b/>
          <w:lang w:val="es-ES"/>
        </w:rPr>
      </w:pPr>
    </w:p>
    <w:p w:rsidR="00412AFB" w:rsidRPr="00993936" w:rsidRDefault="00412AFB" w:rsidP="00412AFB">
      <w:pPr>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3.1.3. Membrillero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2"/>
        <w:gridCol w:w="3429"/>
        <w:gridCol w:w="4048"/>
        <w:gridCol w:w="3525"/>
      </w:tblGrid>
      <w:tr w:rsidR="00412AFB" w:rsidRPr="00993936" w:rsidTr="00C8678E">
        <w:trPr>
          <w:trHeight w:val="278"/>
        </w:trPr>
        <w:tc>
          <w:tcPr>
            <w:tcW w:w="1111" w:type="pct"/>
            <w:shd w:val="pct12" w:color="auto" w:fill="FFFFFF"/>
          </w:tcPr>
          <w:p w:rsidR="00412AFB" w:rsidRPr="00993936" w:rsidRDefault="00412AFB" w:rsidP="009D1A2D">
            <w:pPr>
              <w:pStyle w:val="Sinespaciado"/>
              <w:jc w:val="center"/>
              <w:rPr>
                <w:rFonts w:ascii="Arial" w:hAnsi="Arial" w:cs="Arial"/>
                <w:b/>
                <w:sz w:val="20"/>
                <w:lang w:val="es-ES"/>
              </w:rPr>
            </w:pPr>
            <w:r w:rsidRPr="00993936">
              <w:rPr>
                <w:rFonts w:ascii="Arial" w:hAnsi="Arial" w:cs="Arial"/>
                <w:b/>
                <w:sz w:val="20"/>
                <w:lang w:val="es-ES"/>
              </w:rPr>
              <w:t>PLAGA</w:t>
            </w:r>
          </w:p>
        </w:tc>
        <w:tc>
          <w:tcPr>
            <w:tcW w:w="1212" w:type="pct"/>
            <w:shd w:val="pct12" w:color="auto" w:fill="FFFFFF"/>
          </w:tcPr>
          <w:p w:rsidR="00412AFB" w:rsidRPr="00993936" w:rsidRDefault="00412AFB" w:rsidP="009D1A2D">
            <w:pPr>
              <w:pStyle w:val="Sinespaciado"/>
              <w:jc w:val="center"/>
              <w:rPr>
                <w:rFonts w:ascii="Arial" w:hAnsi="Arial" w:cs="Arial"/>
                <w:b/>
                <w:sz w:val="20"/>
                <w:lang w:val="es-ES"/>
              </w:rPr>
            </w:pPr>
            <w:r w:rsidRPr="00993936">
              <w:rPr>
                <w:rFonts w:ascii="Arial" w:hAnsi="Arial" w:cs="Arial"/>
                <w:b/>
                <w:sz w:val="20"/>
                <w:lang w:val="es-ES"/>
              </w:rPr>
              <w:t>UMBRAL DE TOLERANCIA</w:t>
            </w:r>
          </w:p>
        </w:tc>
        <w:tc>
          <w:tcPr>
            <w:tcW w:w="1431" w:type="pct"/>
            <w:shd w:val="pct12" w:color="auto" w:fill="FFFFFF"/>
          </w:tcPr>
          <w:p w:rsidR="00412AFB" w:rsidRPr="00993936" w:rsidRDefault="00412AFB" w:rsidP="009D1A2D">
            <w:pPr>
              <w:pStyle w:val="Sinespaciado"/>
              <w:jc w:val="center"/>
              <w:rPr>
                <w:rFonts w:ascii="Arial" w:hAnsi="Arial" w:cs="Arial"/>
                <w:b/>
                <w:sz w:val="20"/>
                <w:lang w:val="es-ES"/>
              </w:rPr>
            </w:pPr>
            <w:r w:rsidRPr="00993936">
              <w:rPr>
                <w:rFonts w:ascii="Arial" w:hAnsi="Arial" w:cs="Arial"/>
                <w:b/>
                <w:sz w:val="20"/>
                <w:lang w:val="es-ES"/>
              </w:rPr>
              <w:t>MATERIA ACTIVA</w:t>
            </w:r>
          </w:p>
        </w:tc>
        <w:tc>
          <w:tcPr>
            <w:tcW w:w="1246" w:type="pct"/>
            <w:shd w:val="pct12" w:color="auto" w:fill="FFFFFF"/>
          </w:tcPr>
          <w:p w:rsidR="00412AFB" w:rsidRPr="00993936" w:rsidRDefault="00412AFB" w:rsidP="009D1A2D">
            <w:pPr>
              <w:pStyle w:val="Sinespaciado"/>
              <w:jc w:val="center"/>
              <w:rPr>
                <w:rFonts w:ascii="Arial" w:hAnsi="Arial" w:cs="Arial"/>
                <w:b/>
                <w:sz w:val="20"/>
                <w:lang w:val="es-ES"/>
              </w:rPr>
            </w:pPr>
            <w:r w:rsidRPr="00993936">
              <w:rPr>
                <w:rFonts w:ascii="Arial" w:hAnsi="Arial" w:cs="Arial"/>
                <w:b/>
                <w:sz w:val="20"/>
                <w:lang w:val="es-ES"/>
              </w:rPr>
              <w:t>RESTRICCIONES</w:t>
            </w:r>
          </w:p>
        </w:tc>
      </w:tr>
      <w:tr w:rsidR="00412AFB" w:rsidRPr="00993936" w:rsidTr="00C8678E">
        <w:trPr>
          <w:cantSplit/>
          <w:trHeight w:val="282"/>
        </w:trPr>
        <w:tc>
          <w:tcPr>
            <w:tcW w:w="1111" w:type="pct"/>
            <w:vMerge w:val="restart"/>
          </w:tcPr>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rPr>
            </w:pPr>
            <w:r w:rsidRPr="00993936">
              <w:rPr>
                <w:rFonts w:ascii="Arial" w:hAnsi="Arial" w:cs="Arial"/>
                <w:sz w:val="20"/>
              </w:rPr>
              <w:t>Piojo de San José</w:t>
            </w:r>
          </w:p>
          <w:p w:rsidR="00412AFB" w:rsidRPr="00993936" w:rsidRDefault="00412AFB" w:rsidP="009D1A2D">
            <w:pPr>
              <w:pStyle w:val="Sinespaciado"/>
              <w:rPr>
                <w:rFonts w:ascii="Arial" w:hAnsi="Arial" w:cs="Arial"/>
                <w:i/>
                <w:snapToGrid w:val="0"/>
                <w:sz w:val="20"/>
                <w:lang w:val="es-ES"/>
              </w:rPr>
            </w:pPr>
            <w:r w:rsidRPr="00993936">
              <w:rPr>
                <w:rFonts w:ascii="Arial" w:hAnsi="Arial" w:cs="Arial"/>
                <w:i/>
                <w:snapToGrid w:val="0"/>
                <w:sz w:val="20"/>
                <w:lang w:val="es-ES"/>
              </w:rPr>
              <w:t>Comstockaspis perniciosa</w:t>
            </w:r>
          </w:p>
          <w:p w:rsidR="00412AFB" w:rsidRPr="00993936" w:rsidRDefault="00412AFB" w:rsidP="009D1A2D">
            <w:pPr>
              <w:pStyle w:val="Sinespaciado"/>
              <w:rPr>
                <w:rFonts w:ascii="Arial" w:hAnsi="Arial" w:cs="Arial"/>
                <w:i/>
                <w:sz w:val="20"/>
                <w:lang w:val="es-ES"/>
              </w:rPr>
            </w:pPr>
          </w:p>
          <w:p w:rsidR="00412AFB" w:rsidRPr="00993936" w:rsidRDefault="00412AFB" w:rsidP="009D1A2D">
            <w:pPr>
              <w:pStyle w:val="Sinespaciado"/>
              <w:rPr>
                <w:rFonts w:ascii="Arial" w:hAnsi="Arial" w:cs="Arial"/>
                <w:sz w:val="20"/>
                <w:lang w:val="es-ES"/>
              </w:rPr>
            </w:pPr>
          </w:p>
        </w:tc>
        <w:tc>
          <w:tcPr>
            <w:tcW w:w="1212" w:type="pct"/>
          </w:tcPr>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Tratamientos de invierno / presencia</w:t>
            </w:r>
          </w:p>
        </w:tc>
        <w:tc>
          <w:tcPr>
            <w:tcW w:w="1431" w:type="pct"/>
            <w:vAlign w:val="center"/>
          </w:tcPr>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Azadiractina </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Fenoxicarb </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Fosmet (1) (8)</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Polisulfuro de calcio</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Aceite parafínico</w:t>
            </w:r>
          </w:p>
        </w:tc>
        <w:tc>
          <w:tcPr>
            <w:tcW w:w="1246" w:type="pct"/>
            <w:vMerge w:val="restart"/>
            <w:vAlign w:val="center"/>
          </w:tcPr>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Máximo: 1 tratamiento/año</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Máximo: 2 tratamientos/año</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Máximo: 3 tratamientos/año</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Solo formulaciones que no sean de clasificación toxicológica (T)</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Máximo: 1 tratamiento/año grupo METI a dosis mínima </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Máximo: 2 tratamientos/año entre todas las bencilo-ureas </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Tratamiento localizado con aceite parafínico.</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Solo desde el estadio F2 a cuajado con dosis autorizada</w:t>
            </w:r>
          </w:p>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p>
        </w:tc>
      </w:tr>
      <w:tr w:rsidR="00412AFB" w:rsidRPr="00993936" w:rsidTr="00C8678E">
        <w:trPr>
          <w:cantSplit/>
        </w:trPr>
        <w:tc>
          <w:tcPr>
            <w:tcW w:w="1111" w:type="pct"/>
            <w:vMerge/>
          </w:tcPr>
          <w:p w:rsidR="00412AFB" w:rsidRPr="00993936" w:rsidRDefault="00412AFB" w:rsidP="009D1A2D">
            <w:pPr>
              <w:pStyle w:val="Sinespaciado"/>
              <w:rPr>
                <w:rFonts w:ascii="Arial" w:hAnsi="Arial" w:cs="Arial"/>
                <w:sz w:val="20"/>
                <w:lang w:val="es-ES"/>
              </w:rPr>
            </w:pPr>
          </w:p>
        </w:tc>
        <w:tc>
          <w:tcPr>
            <w:tcW w:w="1212" w:type="pct"/>
          </w:tcPr>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En prefloración / presencia</w:t>
            </w:r>
          </w:p>
        </w:tc>
        <w:tc>
          <w:tcPr>
            <w:tcW w:w="1431" w:type="pct"/>
          </w:tcPr>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Metil-clorpirifos</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Aceite parafínico</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Piriproxifen</w:t>
            </w:r>
          </w:p>
        </w:tc>
        <w:tc>
          <w:tcPr>
            <w:tcW w:w="1246" w:type="pct"/>
            <w:vMerge/>
          </w:tcPr>
          <w:p w:rsidR="00412AFB" w:rsidRPr="00993936" w:rsidRDefault="00412AFB" w:rsidP="009D1A2D">
            <w:pPr>
              <w:pStyle w:val="Sinespaciado"/>
              <w:rPr>
                <w:rFonts w:ascii="Arial" w:hAnsi="Arial" w:cs="Arial"/>
                <w:sz w:val="20"/>
                <w:lang w:val="es-ES"/>
              </w:rPr>
            </w:pPr>
          </w:p>
        </w:tc>
      </w:tr>
      <w:tr w:rsidR="00412AFB" w:rsidRPr="00993936" w:rsidTr="00C8678E">
        <w:trPr>
          <w:cantSplit/>
          <w:trHeight w:val="220"/>
        </w:trPr>
        <w:tc>
          <w:tcPr>
            <w:tcW w:w="1111" w:type="pct"/>
            <w:vMerge/>
          </w:tcPr>
          <w:p w:rsidR="00412AFB" w:rsidRPr="00993936" w:rsidRDefault="00412AFB" w:rsidP="009D1A2D">
            <w:pPr>
              <w:pStyle w:val="Sinespaciado"/>
              <w:rPr>
                <w:rFonts w:ascii="Arial" w:hAnsi="Arial" w:cs="Arial"/>
                <w:sz w:val="20"/>
                <w:lang w:val="es-ES"/>
              </w:rPr>
            </w:pPr>
          </w:p>
        </w:tc>
        <w:tc>
          <w:tcPr>
            <w:tcW w:w="1212" w:type="pct"/>
          </w:tcPr>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En 1.ª generación: &gt; 2 % de árboles </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Ocupados por formas móviles</w:t>
            </w:r>
          </w:p>
        </w:tc>
        <w:tc>
          <w:tcPr>
            <w:tcW w:w="1431" w:type="pct"/>
          </w:tcPr>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Buprofezin</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Deltametrina</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Fosmet (1) (8)</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Metil-clorpirifos</w:t>
            </w:r>
          </w:p>
        </w:tc>
        <w:tc>
          <w:tcPr>
            <w:tcW w:w="1246" w:type="pct"/>
            <w:vMerge/>
          </w:tcPr>
          <w:p w:rsidR="00412AFB" w:rsidRPr="00993936" w:rsidRDefault="00412AFB" w:rsidP="009D1A2D">
            <w:pPr>
              <w:pStyle w:val="Sinespaciado"/>
              <w:rPr>
                <w:rFonts w:ascii="Arial" w:hAnsi="Arial" w:cs="Arial"/>
                <w:sz w:val="20"/>
                <w:lang w:val="es-ES"/>
              </w:rPr>
            </w:pPr>
          </w:p>
        </w:tc>
      </w:tr>
      <w:tr w:rsidR="00412AFB" w:rsidRPr="00993936" w:rsidTr="00C8678E">
        <w:trPr>
          <w:cantSplit/>
        </w:trPr>
        <w:tc>
          <w:tcPr>
            <w:tcW w:w="1111" w:type="pct"/>
          </w:tcPr>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Carpocapsa</w:t>
            </w:r>
          </w:p>
          <w:p w:rsidR="00412AFB" w:rsidRPr="00993936" w:rsidRDefault="00412AFB" w:rsidP="009D1A2D">
            <w:pPr>
              <w:pStyle w:val="Sinespaciado"/>
              <w:rPr>
                <w:rFonts w:ascii="Arial" w:hAnsi="Arial" w:cs="Arial"/>
                <w:i/>
                <w:sz w:val="20"/>
                <w:lang w:val="es-ES"/>
              </w:rPr>
            </w:pPr>
            <w:r w:rsidRPr="00993936">
              <w:rPr>
                <w:rFonts w:ascii="Arial" w:hAnsi="Arial" w:cs="Arial"/>
                <w:i/>
                <w:sz w:val="20"/>
                <w:lang w:val="es-ES"/>
              </w:rPr>
              <w:t>Cydia pomonella</w:t>
            </w:r>
          </w:p>
          <w:p w:rsidR="00412AFB" w:rsidRPr="00993936" w:rsidRDefault="00412AFB" w:rsidP="009D1A2D">
            <w:pPr>
              <w:pStyle w:val="Sinespaciado"/>
              <w:rPr>
                <w:rFonts w:ascii="Arial" w:hAnsi="Arial" w:cs="Arial"/>
                <w:sz w:val="20"/>
                <w:lang w:val="es-ES"/>
              </w:rPr>
            </w:pPr>
          </w:p>
        </w:tc>
        <w:tc>
          <w:tcPr>
            <w:tcW w:w="1212" w:type="pct"/>
          </w:tcPr>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1.ª generación 2-3 adultos / trampa y semana</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2.ª y 3.ª generación 1-2 adultos / trampa y semana</w:t>
            </w:r>
          </w:p>
        </w:tc>
        <w:tc>
          <w:tcPr>
            <w:tcW w:w="1431" w:type="pct"/>
          </w:tcPr>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Acetamiprid</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Azadiractina </w:t>
            </w:r>
          </w:p>
          <w:p w:rsidR="00412AFB" w:rsidRPr="00993936" w:rsidRDefault="00412AFB" w:rsidP="009D1A2D">
            <w:pPr>
              <w:pStyle w:val="Sinespaciado"/>
              <w:rPr>
                <w:rFonts w:ascii="Arial" w:hAnsi="Arial" w:cs="Arial"/>
                <w:i/>
                <w:sz w:val="20"/>
                <w:lang w:val="es-ES"/>
              </w:rPr>
            </w:pPr>
            <w:r w:rsidRPr="00993936">
              <w:rPr>
                <w:rFonts w:ascii="Arial" w:hAnsi="Arial" w:cs="Arial"/>
                <w:i/>
                <w:sz w:val="20"/>
                <w:lang w:val="es-ES"/>
              </w:rPr>
              <w:t>Bacillus thuringiensis kurstaki</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Beta-ciflutrina</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Cipermetrina</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Deltametrina </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Diflubenzuron (6)</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Dodecadien</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Esfenvalerat</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Spinosad</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Etofenprox</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Fenoxicarb </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Fosmet (1) (8)</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Lambda-cihalotrina (1)</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Metil-clorpirifos</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 xml:space="preserve">Tebufenocida (2) </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Triflumuron</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Virus de la granulosis de la carpocapsa</w:t>
            </w:r>
          </w:p>
          <w:p w:rsidR="00412AFB" w:rsidRPr="00993936" w:rsidRDefault="00412AFB" w:rsidP="009D1A2D">
            <w:pPr>
              <w:pStyle w:val="Sinespaciado"/>
              <w:rPr>
                <w:rFonts w:ascii="Arial" w:hAnsi="Arial" w:cs="Arial"/>
                <w:sz w:val="20"/>
                <w:lang w:val="es-ES"/>
              </w:rPr>
            </w:pPr>
            <w:r w:rsidRPr="00993936">
              <w:rPr>
                <w:rFonts w:ascii="Arial" w:hAnsi="Arial" w:cs="Arial"/>
                <w:sz w:val="20"/>
                <w:lang w:val="es-ES"/>
              </w:rPr>
              <w:t>Zeta-cipermetrina</w:t>
            </w:r>
          </w:p>
        </w:tc>
        <w:tc>
          <w:tcPr>
            <w:tcW w:w="1246" w:type="pct"/>
            <w:vMerge/>
          </w:tcPr>
          <w:p w:rsidR="00412AFB" w:rsidRPr="00993936" w:rsidRDefault="00412AFB" w:rsidP="009D1A2D">
            <w:pPr>
              <w:pStyle w:val="Sinespaciado"/>
              <w:rPr>
                <w:rFonts w:ascii="Arial" w:hAnsi="Arial" w:cs="Arial"/>
                <w:sz w:val="20"/>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3.1.3. Membrillero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2"/>
        <w:gridCol w:w="3573"/>
        <w:gridCol w:w="3907"/>
        <w:gridCol w:w="3522"/>
      </w:tblGrid>
      <w:tr w:rsidR="00412AFB" w:rsidRPr="00993936" w:rsidTr="009D1A2D">
        <w:tc>
          <w:tcPr>
            <w:tcW w:w="1111" w:type="pct"/>
            <w:shd w:val="pct12" w:color="auto" w:fill="FFFFFF"/>
          </w:tcPr>
          <w:p w:rsidR="00412AFB" w:rsidRPr="00993936" w:rsidRDefault="00412AFB" w:rsidP="009D1A2D">
            <w:pPr>
              <w:pStyle w:val="Sinespaciado"/>
              <w:rPr>
                <w:rFonts w:ascii="Arial" w:hAnsi="Arial" w:cs="Arial"/>
                <w:b/>
                <w:lang w:val="es-ES"/>
              </w:rPr>
            </w:pPr>
            <w:r w:rsidRPr="00993936">
              <w:rPr>
                <w:rFonts w:ascii="Arial" w:hAnsi="Arial" w:cs="Arial"/>
                <w:b/>
                <w:lang w:val="es-ES"/>
              </w:rPr>
              <w:t>PLAGA</w:t>
            </w:r>
          </w:p>
        </w:tc>
        <w:tc>
          <w:tcPr>
            <w:tcW w:w="1263" w:type="pct"/>
            <w:shd w:val="pct12" w:color="auto" w:fill="FFFFFF"/>
          </w:tcPr>
          <w:p w:rsidR="00412AFB" w:rsidRPr="00993936" w:rsidRDefault="00412AFB" w:rsidP="009D1A2D">
            <w:pPr>
              <w:pStyle w:val="Sinespaciado"/>
              <w:rPr>
                <w:rFonts w:ascii="Arial" w:hAnsi="Arial" w:cs="Arial"/>
                <w:b/>
                <w:lang w:val="es-ES"/>
              </w:rPr>
            </w:pPr>
            <w:r w:rsidRPr="00993936">
              <w:rPr>
                <w:rFonts w:ascii="Arial" w:hAnsi="Arial" w:cs="Arial"/>
                <w:b/>
                <w:lang w:val="es-ES"/>
              </w:rPr>
              <w:t>UMBRAL DE TOLERANCIA</w:t>
            </w:r>
          </w:p>
        </w:tc>
        <w:tc>
          <w:tcPr>
            <w:tcW w:w="1381" w:type="pct"/>
            <w:shd w:val="pct12" w:color="auto" w:fill="FFFFFF"/>
          </w:tcPr>
          <w:p w:rsidR="00412AFB" w:rsidRPr="00993936" w:rsidRDefault="00412AFB" w:rsidP="009D1A2D">
            <w:pPr>
              <w:pStyle w:val="Sinespaciado"/>
              <w:rPr>
                <w:rFonts w:ascii="Arial" w:hAnsi="Arial" w:cs="Arial"/>
                <w:b/>
                <w:lang w:val="es-ES"/>
              </w:rPr>
            </w:pPr>
            <w:r w:rsidRPr="00993936">
              <w:rPr>
                <w:rFonts w:ascii="Arial" w:hAnsi="Arial" w:cs="Arial"/>
                <w:b/>
                <w:lang w:val="es-ES"/>
              </w:rPr>
              <w:t>MATERIA ACTIVA</w:t>
            </w:r>
          </w:p>
        </w:tc>
        <w:tc>
          <w:tcPr>
            <w:tcW w:w="1245" w:type="pct"/>
            <w:shd w:val="pct12" w:color="auto" w:fill="FFFFFF"/>
          </w:tcPr>
          <w:p w:rsidR="00412AFB" w:rsidRPr="00993936" w:rsidRDefault="00412AFB" w:rsidP="009D1A2D">
            <w:pPr>
              <w:pStyle w:val="Sinespaciado"/>
              <w:rPr>
                <w:rFonts w:ascii="Arial" w:hAnsi="Arial" w:cs="Arial"/>
                <w:b/>
                <w:lang w:val="es-ES"/>
              </w:rPr>
            </w:pPr>
            <w:r w:rsidRPr="00993936">
              <w:rPr>
                <w:rFonts w:ascii="Arial" w:hAnsi="Arial" w:cs="Arial"/>
                <w:b/>
                <w:lang w:val="es-ES"/>
              </w:rPr>
              <w:t>RESTRICCIONES</w:t>
            </w:r>
          </w:p>
        </w:tc>
      </w:tr>
      <w:tr w:rsidR="00412AFB" w:rsidRPr="00993936" w:rsidTr="009D1A2D">
        <w:trPr>
          <w:cantSplit/>
        </w:trPr>
        <w:tc>
          <w:tcPr>
            <w:tcW w:w="1111" w:type="pct"/>
          </w:tcPr>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r w:rsidRPr="00993936">
              <w:rPr>
                <w:rFonts w:ascii="Arial" w:hAnsi="Arial" w:cs="Arial"/>
                <w:lang w:val="es-ES"/>
              </w:rPr>
              <w:t>Pulgones</w:t>
            </w:r>
          </w:p>
          <w:p w:rsidR="00412AFB" w:rsidRPr="00993936" w:rsidRDefault="00412AFB" w:rsidP="009D1A2D">
            <w:pPr>
              <w:pStyle w:val="Sinespaciado"/>
              <w:rPr>
                <w:rFonts w:ascii="Arial" w:hAnsi="Arial" w:cs="Arial"/>
                <w:i/>
                <w:lang w:val="es-ES"/>
              </w:rPr>
            </w:pPr>
            <w:r w:rsidRPr="00993936">
              <w:rPr>
                <w:rFonts w:ascii="Arial" w:hAnsi="Arial" w:cs="Arial"/>
                <w:i/>
                <w:lang w:val="es-ES"/>
              </w:rPr>
              <w:t>Aphis sp.</w:t>
            </w:r>
          </w:p>
        </w:tc>
        <w:tc>
          <w:tcPr>
            <w:tcW w:w="1263" w:type="pct"/>
          </w:tcPr>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r w:rsidRPr="00993936">
              <w:rPr>
                <w:rFonts w:ascii="Arial" w:hAnsi="Arial" w:cs="Arial"/>
                <w:lang w:val="es-ES"/>
              </w:rPr>
              <w:t>5 % de árboles ocupados</w:t>
            </w:r>
          </w:p>
        </w:tc>
        <w:tc>
          <w:tcPr>
            <w:tcW w:w="1381" w:type="pct"/>
          </w:tcPr>
          <w:p w:rsidR="00412AFB" w:rsidRPr="00993936" w:rsidRDefault="00412AFB" w:rsidP="009D1A2D">
            <w:pPr>
              <w:pStyle w:val="Sinespaciado"/>
              <w:rPr>
                <w:rFonts w:ascii="Arial" w:hAnsi="Arial" w:cs="Arial"/>
                <w:lang w:val="es-ES"/>
              </w:rPr>
            </w:pPr>
            <w:r w:rsidRPr="00993936">
              <w:rPr>
                <w:rFonts w:ascii="Arial" w:hAnsi="Arial" w:cs="Arial"/>
                <w:lang w:val="es-ES"/>
              </w:rPr>
              <w:t>Acetamiprid (2)</w:t>
            </w:r>
          </w:p>
          <w:p w:rsidR="00412AFB" w:rsidRPr="00993936" w:rsidRDefault="00412AFB" w:rsidP="009D1A2D">
            <w:pPr>
              <w:pStyle w:val="Sinespaciado"/>
              <w:rPr>
                <w:rFonts w:ascii="Arial" w:hAnsi="Arial" w:cs="Arial"/>
                <w:lang w:val="es-ES"/>
              </w:rPr>
            </w:pPr>
            <w:r w:rsidRPr="00993936">
              <w:rPr>
                <w:rFonts w:ascii="Arial" w:hAnsi="Arial" w:cs="Arial"/>
                <w:lang w:val="es-ES"/>
              </w:rPr>
              <w:t>Azadiractina</w:t>
            </w:r>
          </w:p>
          <w:p w:rsidR="00412AFB" w:rsidRPr="00993936" w:rsidRDefault="00412AFB" w:rsidP="009D1A2D">
            <w:pPr>
              <w:pStyle w:val="Sinespaciado"/>
              <w:rPr>
                <w:rFonts w:ascii="Arial" w:hAnsi="Arial" w:cs="Arial"/>
                <w:lang w:val="es-ES"/>
              </w:rPr>
            </w:pPr>
            <w:r w:rsidRPr="00993936">
              <w:rPr>
                <w:rFonts w:ascii="Arial" w:hAnsi="Arial" w:cs="Arial"/>
                <w:lang w:val="es-ES"/>
              </w:rPr>
              <w:t>Cipermetrina</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Deltametrina </w:t>
            </w:r>
          </w:p>
          <w:p w:rsidR="00412AFB" w:rsidRPr="00993936" w:rsidRDefault="00412AFB" w:rsidP="009D1A2D">
            <w:pPr>
              <w:pStyle w:val="Sinespaciado"/>
              <w:rPr>
                <w:rFonts w:ascii="Arial" w:hAnsi="Arial" w:cs="Arial"/>
                <w:lang w:val="es-ES"/>
              </w:rPr>
            </w:pPr>
            <w:r w:rsidRPr="00993936">
              <w:rPr>
                <w:rFonts w:ascii="Arial" w:hAnsi="Arial" w:cs="Arial"/>
                <w:lang w:val="es-ES"/>
              </w:rPr>
              <w:t>Esfenvalerat</w:t>
            </w:r>
          </w:p>
          <w:p w:rsidR="00412AFB" w:rsidRPr="00993936" w:rsidRDefault="00412AFB" w:rsidP="009D1A2D">
            <w:pPr>
              <w:pStyle w:val="Sinespaciado"/>
              <w:rPr>
                <w:rFonts w:ascii="Arial" w:hAnsi="Arial" w:cs="Arial"/>
                <w:lang w:val="es-ES"/>
              </w:rPr>
            </w:pPr>
            <w:r w:rsidRPr="00993936">
              <w:rPr>
                <w:rFonts w:ascii="Arial" w:hAnsi="Arial" w:cs="Arial"/>
                <w:lang w:val="es-ES"/>
              </w:rPr>
              <w:t>Etofenprox</w:t>
            </w:r>
          </w:p>
          <w:p w:rsidR="00412AFB" w:rsidRPr="00993936" w:rsidRDefault="00412AFB" w:rsidP="009D1A2D">
            <w:pPr>
              <w:pStyle w:val="Sinespaciado"/>
              <w:rPr>
                <w:rFonts w:ascii="Arial" w:hAnsi="Arial" w:cs="Arial"/>
                <w:lang w:val="es-ES"/>
              </w:rPr>
            </w:pPr>
            <w:r w:rsidRPr="00993936">
              <w:rPr>
                <w:rFonts w:ascii="Arial" w:hAnsi="Arial" w:cs="Arial"/>
                <w:lang w:val="es-ES"/>
              </w:rPr>
              <w:t>Imidacloprid (2)</w:t>
            </w:r>
          </w:p>
          <w:p w:rsidR="00412AFB" w:rsidRPr="00993936" w:rsidRDefault="00412AFB" w:rsidP="009D1A2D">
            <w:pPr>
              <w:pStyle w:val="Sinespaciado"/>
              <w:rPr>
                <w:rFonts w:ascii="Arial" w:hAnsi="Arial" w:cs="Arial"/>
                <w:lang w:val="es-ES"/>
              </w:rPr>
            </w:pPr>
            <w:r w:rsidRPr="00993936">
              <w:rPr>
                <w:rFonts w:ascii="Arial" w:hAnsi="Arial" w:cs="Arial"/>
                <w:lang w:val="es-ES"/>
              </w:rPr>
              <w:t>Lambda-cihalotrina (1)</w:t>
            </w:r>
          </w:p>
          <w:p w:rsidR="00412AFB" w:rsidRPr="00993936" w:rsidRDefault="00412AFB" w:rsidP="009D1A2D">
            <w:pPr>
              <w:pStyle w:val="Sinespaciado"/>
              <w:rPr>
                <w:rFonts w:ascii="Arial" w:hAnsi="Arial" w:cs="Arial"/>
                <w:lang w:val="es-ES"/>
              </w:rPr>
            </w:pPr>
            <w:r w:rsidRPr="00993936">
              <w:rPr>
                <w:rFonts w:ascii="Arial" w:hAnsi="Arial" w:cs="Arial"/>
                <w:lang w:val="es-ES"/>
              </w:rPr>
              <w:t>Metil-clorpirifos</w:t>
            </w:r>
          </w:p>
          <w:p w:rsidR="00412AFB" w:rsidRPr="00993936" w:rsidRDefault="00412AFB" w:rsidP="009D1A2D">
            <w:pPr>
              <w:pStyle w:val="Sinespaciado"/>
              <w:rPr>
                <w:rFonts w:ascii="Arial" w:hAnsi="Arial" w:cs="Arial"/>
                <w:lang w:val="es-ES"/>
              </w:rPr>
            </w:pPr>
            <w:r w:rsidRPr="00993936">
              <w:rPr>
                <w:rFonts w:ascii="Arial" w:hAnsi="Arial" w:cs="Arial"/>
                <w:lang w:val="es-ES"/>
              </w:rPr>
              <w:t>Aceite parafínico</w:t>
            </w:r>
          </w:p>
          <w:p w:rsidR="00412AFB" w:rsidRPr="00993936" w:rsidRDefault="00412AFB" w:rsidP="009D1A2D">
            <w:pPr>
              <w:pStyle w:val="Sinespaciado"/>
              <w:rPr>
                <w:rFonts w:ascii="Arial" w:hAnsi="Arial" w:cs="Arial"/>
                <w:lang w:val="es-ES"/>
              </w:rPr>
            </w:pPr>
            <w:r w:rsidRPr="00993936">
              <w:rPr>
                <w:rFonts w:ascii="Arial" w:hAnsi="Arial" w:cs="Arial"/>
                <w:lang w:val="es-ES"/>
              </w:rPr>
              <w:t>Pirimicarb (2)</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Tau-fluvalinato (4) </w:t>
            </w:r>
          </w:p>
          <w:p w:rsidR="00412AFB" w:rsidRPr="00993936" w:rsidRDefault="00412AFB" w:rsidP="009D1A2D">
            <w:pPr>
              <w:pStyle w:val="Sinespaciado"/>
              <w:rPr>
                <w:rFonts w:ascii="Arial" w:hAnsi="Arial" w:cs="Arial"/>
                <w:lang w:val="es-ES"/>
              </w:rPr>
            </w:pPr>
            <w:r w:rsidRPr="00993936">
              <w:rPr>
                <w:rFonts w:ascii="Arial" w:hAnsi="Arial" w:cs="Arial"/>
                <w:lang w:val="es-ES"/>
              </w:rPr>
              <w:t>Zeta-cipermetrina</w:t>
            </w:r>
          </w:p>
        </w:tc>
        <w:tc>
          <w:tcPr>
            <w:tcW w:w="1245" w:type="pct"/>
            <w:vMerge w:val="restart"/>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Máximo: 1 tratamiento/año</w:t>
            </w:r>
          </w:p>
          <w:p w:rsidR="00412AFB" w:rsidRPr="00993936" w:rsidRDefault="00412AFB" w:rsidP="009D1A2D">
            <w:pPr>
              <w:pStyle w:val="Sinespaciado"/>
              <w:rPr>
                <w:rFonts w:ascii="Arial" w:hAnsi="Arial" w:cs="Arial"/>
                <w:lang w:val="es-ES"/>
              </w:rPr>
            </w:pPr>
            <w:r w:rsidRPr="00993936">
              <w:rPr>
                <w:rFonts w:ascii="Arial" w:hAnsi="Arial" w:cs="Arial"/>
                <w:lang w:val="es-ES"/>
              </w:rPr>
              <w:t>Máximo: 2 tratamientos/año</w:t>
            </w:r>
          </w:p>
          <w:p w:rsidR="00412AFB" w:rsidRPr="00993936" w:rsidRDefault="00412AFB" w:rsidP="009D1A2D">
            <w:pPr>
              <w:pStyle w:val="Sinespaciado"/>
              <w:rPr>
                <w:rFonts w:ascii="Arial" w:hAnsi="Arial" w:cs="Arial"/>
                <w:lang w:val="es-ES"/>
              </w:rPr>
            </w:pPr>
            <w:r w:rsidRPr="00993936">
              <w:rPr>
                <w:rFonts w:ascii="Arial" w:hAnsi="Arial" w:cs="Arial"/>
                <w:lang w:val="es-ES"/>
              </w:rPr>
              <w:t>Máximo: 3 tratamientos/año</w:t>
            </w:r>
          </w:p>
          <w:p w:rsidR="00412AFB" w:rsidRPr="00993936" w:rsidRDefault="00412AFB" w:rsidP="009D1A2D">
            <w:pPr>
              <w:pStyle w:val="Sinespaciad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tc>
      </w:tr>
      <w:tr w:rsidR="00412AFB" w:rsidRPr="00993936" w:rsidTr="009D1A2D">
        <w:trPr>
          <w:cantSplit/>
        </w:trPr>
        <w:tc>
          <w:tcPr>
            <w:tcW w:w="1111" w:type="pct"/>
          </w:tcPr>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r w:rsidRPr="00993936">
              <w:rPr>
                <w:rFonts w:ascii="Arial" w:hAnsi="Arial" w:cs="Arial"/>
                <w:lang w:val="es-ES"/>
              </w:rPr>
              <w:t>Grafolita</w:t>
            </w:r>
          </w:p>
          <w:p w:rsidR="00412AFB" w:rsidRPr="00993936" w:rsidRDefault="00412AFB" w:rsidP="009D1A2D">
            <w:pPr>
              <w:pStyle w:val="Sinespaciado"/>
              <w:rPr>
                <w:rFonts w:ascii="Arial" w:hAnsi="Arial" w:cs="Arial"/>
                <w:i/>
                <w:lang w:val="es-ES"/>
              </w:rPr>
            </w:pPr>
            <w:r w:rsidRPr="00993936">
              <w:rPr>
                <w:rFonts w:ascii="Arial" w:hAnsi="Arial" w:cs="Arial"/>
                <w:i/>
                <w:lang w:val="es-ES"/>
              </w:rPr>
              <w:t>Cydia molesta</w:t>
            </w:r>
          </w:p>
        </w:tc>
        <w:tc>
          <w:tcPr>
            <w:tcW w:w="1263" w:type="pct"/>
          </w:tcPr>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r w:rsidRPr="00993936">
              <w:rPr>
                <w:rFonts w:ascii="Arial" w:hAnsi="Arial" w:cs="Arial"/>
                <w:lang w:val="es-ES"/>
              </w:rPr>
              <w:t>20-25 capturas/trampa/semana</w:t>
            </w:r>
          </w:p>
        </w:tc>
        <w:tc>
          <w:tcPr>
            <w:tcW w:w="1381" w:type="pct"/>
          </w:tcPr>
          <w:p w:rsidR="00412AFB" w:rsidRPr="00993936" w:rsidRDefault="00412AFB" w:rsidP="009D1A2D">
            <w:pPr>
              <w:pStyle w:val="Sinespaciado"/>
              <w:rPr>
                <w:rFonts w:ascii="Arial" w:hAnsi="Arial" w:cs="Arial"/>
                <w:lang w:val="es-ES"/>
              </w:rPr>
            </w:pPr>
            <w:r w:rsidRPr="00993936">
              <w:rPr>
                <w:rFonts w:ascii="Arial" w:hAnsi="Arial" w:cs="Arial"/>
                <w:lang w:val="es-ES"/>
              </w:rPr>
              <w:t xml:space="preserve">Azadiractina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Deltametrina </w:t>
            </w:r>
          </w:p>
          <w:p w:rsidR="00412AFB" w:rsidRPr="00993936" w:rsidRDefault="00412AFB" w:rsidP="009D1A2D">
            <w:pPr>
              <w:pStyle w:val="Sinespaciado"/>
              <w:rPr>
                <w:rFonts w:ascii="Arial" w:hAnsi="Arial" w:cs="Arial"/>
                <w:lang w:val="es-ES"/>
              </w:rPr>
            </w:pPr>
            <w:r w:rsidRPr="00993936">
              <w:rPr>
                <w:rFonts w:ascii="Arial" w:hAnsi="Arial" w:cs="Arial"/>
                <w:lang w:val="es-ES"/>
              </w:rPr>
              <w:t>Diflubenzuron (6)</w:t>
            </w:r>
          </w:p>
          <w:p w:rsidR="00412AFB" w:rsidRPr="00993936" w:rsidRDefault="00412AFB" w:rsidP="009D1A2D">
            <w:pPr>
              <w:pStyle w:val="Sinespaciado"/>
              <w:rPr>
                <w:rFonts w:ascii="Arial" w:hAnsi="Arial" w:cs="Arial"/>
                <w:lang w:val="es-ES"/>
              </w:rPr>
            </w:pPr>
            <w:r w:rsidRPr="00993936">
              <w:rPr>
                <w:rFonts w:ascii="Arial" w:hAnsi="Arial" w:cs="Arial"/>
                <w:lang w:val="es-ES"/>
              </w:rPr>
              <w:t>Esfenvalerat</w:t>
            </w:r>
          </w:p>
          <w:p w:rsidR="00412AFB" w:rsidRPr="00993936" w:rsidRDefault="00412AFB" w:rsidP="009D1A2D">
            <w:pPr>
              <w:pStyle w:val="Sinespaciado"/>
              <w:rPr>
                <w:rFonts w:ascii="Arial" w:hAnsi="Arial" w:cs="Arial"/>
                <w:lang w:val="es-ES"/>
              </w:rPr>
            </w:pPr>
            <w:r w:rsidRPr="00993936">
              <w:rPr>
                <w:rFonts w:ascii="Arial" w:hAnsi="Arial" w:cs="Arial"/>
                <w:lang w:val="es-ES"/>
              </w:rPr>
              <w:t>Lambda-cihalotrina (1)</w:t>
            </w:r>
          </w:p>
          <w:p w:rsidR="00412AFB" w:rsidRPr="00993936" w:rsidRDefault="00412AFB" w:rsidP="009D1A2D">
            <w:pPr>
              <w:pStyle w:val="Sinespaciado"/>
              <w:rPr>
                <w:rFonts w:ascii="Arial" w:hAnsi="Arial" w:cs="Arial"/>
                <w:lang w:val="es-ES"/>
              </w:rPr>
            </w:pPr>
            <w:r w:rsidRPr="00993936">
              <w:rPr>
                <w:rFonts w:ascii="Arial" w:hAnsi="Arial" w:cs="Arial"/>
                <w:lang w:val="es-ES"/>
              </w:rPr>
              <w:t>Triflumuron</w:t>
            </w:r>
          </w:p>
          <w:p w:rsidR="00412AFB" w:rsidRPr="00993936" w:rsidRDefault="00412AFB" w:rsidP="009D1A2D">
            <w:pPr>
              <w:pStyle w:val="Sinespaciado"/>
              <w:rPr>
                <w:rFonts w:ascii="Arial" w:hAnsi="Arial" w:cs="Arial"/>
                <w:lang w:val="es-ES"/>
              </w:rPr>
            </w:pPr>
            <w:r w:rsidRPr="00993936">
              <w:rPr>
                <w:rFonts w:ascii="Arial" w:hAnsi="Arial" w:cs="Arial"/>
                <w:lang w:val="es-ES"/>
              </w:rPr>
              <w:t>Virus de la granulosis de la carpocapsa</w:t>
            </w:r>
          </w:p>
          <w:p w:rsidR="00412AFB" w:rsidRPr="00993936" w:rsidRDefault="00412AFB" w:rsidP="009D1A2D">
            <w:pPr>
              <w:pStyle w:val="Sinespaciado"/>
              <w:rPr>
                <w:rFonts w:ascii="Arial" w:hAnsi="Arial" w:cs="Arial"/>
                <w:lang w:val="es-ES"/>
              </w:rPr>
            </w:pPr>
            <w:r w:rsidRPr="00993936">
              <w:rPr>
                <w:rFonts w:ascii="Arial" w:hAnsi="Arial" w:cs="Arial"/>
                <w:lang w:val="es-ES"/>
              </w:rPr>
              <w:t>Zeta-cipermetrina</w:t>
            </w:r>
          </w:p>
        </w:tc>
        <w:tc>
          <w:tcPr>
            <w:tcW w:w="1245" w:type="pct"/>
            <w:vMerge/>
          </w:tcPr>
          <w:p w:rsidR="00412AFB" w:rsidRPr="00993936" w:rsidRDefault="00412AFB" w:rsidP="009D1A2D">
            <w:pPr>
              <w:pStyle w:val="Sinespaciado"/>
              <w:rPr>
                <w:rFonts w:ascii="Arial" w:hAnsi="Arial" w:cs="Arial"/>
                <w:lang w:val="es-ES"/>
              </w:rPr>
            </w:pPr>
          </w:p>
        </w:tc>
      </w:tr>
      <w:tr w:rsidR="00412AFB" w:rsidRPr="00993936" w:rsidTr="009D1A2D">
        <w:trPr>
          <w:cantSplit/>
        </w:trPr>
        <w:tc>
          <w:tcPr>
            <w:tcW w:w="1111" w:type="pct"/>
          </w:tcPr>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r w:rsidRPr="00993936">
              <w:rPr>
                <w:rFonts w:ascii="Arial" w:hAnsi="Arial" w:cs="Arial"/>
                <w:lang w:val="es-ES"/>
              </w:rPr>
              <w:t>Mosca de la fruta</w:t>
            </w:r>
          </w:p>
          <w:p w:rsidR="00412AFB" w:rsidRPr="00993936" w:rsidRDefault="00412AFB" w:rsidP="009D1A2D">
            <w:pPr>
              <w:pStyle w:val="Sinespaciado"/>
              <w:rPr>
                <w:rFonts w:ascii="Arial" w:hAnsi="Arial" w:cs="Arial"/>
                <w:i/>
                <w:lang w:val="es-ES"/>
              </w:rPr>
            </w:pPr>
            <w:r w:rsidRPr="00993936">
              <w:rPr>
                <w:rFonts w:ascii="Arial" w:hAnsi="Arial" w:cs="Arial"/>
                <w:i/>
                <w:lang w:val="es-ES"/>
              </w:rPr>
              <w:t>Ceratitis capitata</w:t>
            </w:r>
          </w:p>
        </w:tc>
        <w:tc>
          <w:tcPr>
            <w:tcW w:w="1263" w:type="pct"/>
          </w:tcPr>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p>
          <w:p w:rsidR="00412AFB" w:rsidRPr="00993936" w:rsidRDefault="00412AFB" w:rsidP="009D1A2D">
            <w:pPr>
              <w:pStyle w:val="Sinespaciado"/>
              <w:rPr>
                <w:rFonts w:ascii="Arial" w:hAnsi="Arial" w:cs="Arial"/>
                <w:lang w:val="es-ES"/>
              </w:rPr>
            </w:pPr>
            <w:r w:rsidRPr="00993936">
              <w:rPr>
                <w:rFonts w:ascii="Arial" w:hAnsi="Arial" w:cs="Arial"/>
                <w:lang w:val="es-ES"/>
              </w:rPr>
              <w:t>Presencia en fruta o capturas en dos controles consecutivos con trampa de feromona</w:t>
            </w:r>
          </w:p>
        </w:tc>
        <w:tc>
          <w:tcPr>
            <w:tcW w:w="1381" w:type="pct"/>
          </w:tcPr>
          <w:p w:rsidR="00412AFB" w:rsidRPr="00993936" w:rsidRDefault="00412AFB" w:rsidP="009D1A2D">
            <w:pPr>
              <w:pStyle w:val="Sinespaciado"/>
              <w:rPr>
                <w:rFonts w:ascii="Arial" w:hAnsi="Arial" w:cs="Arial"/>
                <w:lang w:val="es-ES"/>
              </w:rPr>
            </w:pPr>
            <w:r w:rsidRPr="00993936">
              <w:rPr>
                <w:rFonts w:ascii="Arial" w:hAnsi="Arial" w:cs="Arial"/>
                <w:lang w:val="es-ES"/>
              </w:rPr>
              <w:t xml:space="preserve">Azadiractina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Beta-ciflutrina </w:t>
            </w:r>
          </w:p>
          <w:p w:rsidR="00412AFB" w:rsidRPr="00993936" w:rsidRDefault="00412AFB" w:rsidP="009D1A2D">
            <w:pPr>
              <w:pStyle w:val="Sinespaciado"/>
              <w:rPr>
                <w:rFonts w:ascii="Arial" w:hAnsi="Arial" w:cs="Arial"/>
                <w:lang w:val="es-ES"/>
              </w:rPr>
            </w:pPr>
            <w:r w:rsidRPr="00993936">
              <w:rPr>
                <w:rFonts w:ascii="Arial" w:hAnsi="Arial" w:cs="Arial"/>
                <w:lang w:val="es-ES"/>
              </w:rPr>
              <w:t>Lambda-cihalotrina (1)</w:t>
            </w:r>
          </w:p>
          <w:p w:rsidR="00412AFB" w:rsidRPr="00993936" w:rsidRDefault="00412AFB" w:rsidP="009D1A2D">
            <w:pPr>
              <w:pStyle w:val="Sinespaciado"/>
              <w:rPr>
                <w:rFonts w:ascii="Arial" w:hAnsi="Arial" w:cs="Arial"/>
                <w:lang w:val="es-ES"/>
              </w:rPr>
            </w:pPr>
            <w:r w:rsidRPr="00993936">
              <w:rPr>
                <w:rFonts w:ascii="Arial" w:hAnsi="Arial" w:cs="Arial"/>
                <w:lang w:val="es-ES"/>
              </w:rPr>
              <w:t>Método de captura masiva</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Proteínas hidrolizadas </w:t>
            </w:r>
          </w:p>
          <w:p w:rsidR="00412AFB" w:rsidRPr="00993936" w:rsidRDefault="00412AFB" w:rsidP="009D1A2D">
            <w:pPr>
              <w:pStyle w:val="Sinespaciado"/>
              <w:rPr>
                <w:rFonts w:ascii="Arial" w:hAnsi="Arial" w:cs="Arial"/>
                <w:lang w:val="es-ES"/>
              </w:rPr>
            </w:pPr>
          </w:p>
        </w:tc>
        <w:tc>
          <w:tcPr>
            <w:tcW w:w="1245" w:type="pct"/>
            <w:vMerge/>
          </w:tcPr>
          <w:p w:rsidR="00412AFB" w:rsidRPr="00993936" w:rsidRDefault="00412AFB" w:rsidP="009D1A2D">
            <w:pPr>
              <w:pStyle w:val="Sinespaciado"/>
              <w:rPr>
                <w:rFonts w:ascii="Arial" w:hAnsi="Arial" w:cs="Arial"/>
                <w:lang w:val="es-ES"/>
              </w:rPr>
            </w:pPr>
          </w:p>
        </w:tc>
      </w:tr>
    </w:tbl>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3.1.3. Membrillero (continuación)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2"/>
        <w:gridCol w:w="3429"/>
        <w:gridCol w:w="4048"/>
        <w:gridCol w:w="3525"/>
      </w:tblGrid>
      <w:tr w:rsidR="00412AFB" w:rsidRPr="00993936" w:rsidTr="00C8678E">
        <w:tc>
          <w:tcPr>
            <w:tcW w:w="1111"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PLAGA</w:t>
            </w:r>
          </w:p>
        </w:tc>
        <w:tc>
          <w:tcPr>
            <w:tcW w:w="1212"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UMBRAL DE TOLERANCIA</w:t>
            </w:r>
          </w:p>
        </w:tc>
        <w:tc>
          <w:tcPr>
            <w:tcW w:w="1431"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246"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c>
          <w:tcPr>
            <w:tcW w:w="1111" w:type="pct"/>
            <w:vAlign w:val="center"/>
          </w:tcPr>
          <w:p w:rsidR="00412AFB" w:rsidRPr="00993936" w:rsidRDefault="00412AFB" w:rsidP="00C8678E">
            <w:pPr>
              <w:pStyle w:val="Ttulo1"/>
              <w:rPr>
                <w:rFonts w:ascii="Arial" w:hAnsi="Arial" w:cs="Arial"/>
                <w:color w:val="auto"/>
                <w:sz w:val="22"/>
                <w:szCs w:val="22"/>
              </w:rPr>
            </w:pPr>
            <w:r w:rsidRPr="00993936">
              <w:rPr>
                <w:rFonts w:ascii="Arial" w:hAnsi="Arial" w:cs="Arial"/>
                <w:color w:val="auto"/>
                <w:sz w:val="22"/>
                <w:szCs w:val="22"/>
              </w:rPr>
              <w:t>Barrenador de madera</w:t>
            </w:r>
          </w:p>
          <w:p w:rsidR="00412AFB" w:rsidRPr="00993936" w:rsidRDefault="00412AFB" w:rsidP="00C8678E">
            <w:pPr>
              <w:pStyle w:val="Ttulo9"/>
              <w:rPr>
                <w:rFonts w:ascii="Arial" w:hAnsi="Arial" w:cs="Arial"/>
                <w:color w:val="auto"/>
                <w:szCs w:val="22"/>
                <w:lang w:val="es-ES"/>
              </w:rPr>
            </w:pPr>
            <w:r w:rsidRPr="00993936">
              <w:rPr>
                <w:rFonts w:ascii="Arial" w:hAnsi="Arial" w:cs="Arial"/>
                <w:color w:val="auto"/>
                <w:szCs w:val="22"/>
                <w:lang w:val="es-ES"/>
              </w:rPr>
              <w:t>Zeuzera pyrina</w:t>
            </w:r>
          </w:p>
        </w:tc>
        <w:tc>
          <w:tcPr>
            <w:tcW w:w="1212" w:type="pct"/>
            <w:vAlign w:val="center"/>
          </w:tcPr>
          <w:p w:rsidR="00412AFB" w:rsidRPr="00993936" w:rsidRDefault="00412AFB" w:rsidP="00C8678E">
            <w:pPr>
              <w:rPr>
                <w:rFonts w:ascii="Arial" w:hAnsi="Arial" w:cs="Arial"/>
                <w:lang w:val="es-ES"/>
              </w:rPr>
            </w:pPr>
            <w:r w:rsidRPr="00993936">
              <w:rPr>
                <w:rFonts w:ascii="Arial" w:hAnsi="Arial" w:cs="Arial"/>
                <w:lang w:val="es-ES"/>
              </w:rPr>
              <w:t>Presencia</w:t>
            </w:r>
          </w:p>
        </w:tc>
        <w:tc>
          <w:tcPr>
            <w:tcW w:w="1431" w:type="pct"/>
            <w:vAlign w:val="center"/>
          </w:tcPr>
          <w:p w:rsidR="00412AFB" w:rsidRPr="00993936" w:rsidRDefault="00412AFB" w:rsidP="00C8678E">
            <w:pPr>
              <w:spacing w:after="0" w:line="240" w:lineRule="auto"/>
              <w:rPr>
                <w:rFonts w:ascii="Arial" w:hAnsi="Arial" w:cs="Arial"/>
                <w:lang w:val="es-ES"/>
              </w:rPr>
            </w:pPr>
            <w:r w:rsidRPr="00993936">
              <w:rPr>
                <w:rFonts w:ascii="Arial" w:hAnsi="Arial" w:cs="Arial"/>
                <w:lang w:val="es-ES"/>
              </w:rPr>
              <w:t>Acetamiprid</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 xml:space="preserve">Deltametrina </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Diflubenzuron (6)</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 xml:space="preserve">Método de confusión sexual </w:t>
            </w:r>
          </w:p>
          <w:p w:rsidR="00412AFB" w:rsidRPr="00993936" w:rsidRDefault="00412AFB" w:rsidP="00C8678E">
            <w:pPr>
              <w:tabs>
                <w:tab w:val="center" w:pos="1954"/>
              </w:tabs>
              <w:spacing w:after="0" w:line="240" w:lineRule="auto"/>
              <w:rPr>
                <w:rFonts w:ascii="Arial" w:hAnsi="Arial" w:cs="Arial"/>
                <w:lang w:val="es-ES"/>
              </w:rPr>
            </w:pPr>
            <w:r w:rsidRPr="00993936">
              <w:rPr>
                <w:rFonts w:ascii="Arial" w:hAnsi="Arial" w:cs="Arial"/>
                <w:lang w:val="es-ES"/>
              </w:rPr>
              <w:t>Triflumuron</w:t>
            </w:r>
          </w:p>
          <w:p w:rsidR="00412AFB" w:rsidRPr="00993936" w:rsidRDefault="00412AFB" w:rsidP="00C8678E">
            <w:pPr>
              <w:spacing w:after="0" w:line="240" w:lineRule="auto"/>
              <w:rPr>
                <w:rFonts w:ascii="Arial" w:hAnsi="Arial" w:cs="Arial"/>
                <w:lang w:val="es-ES"/>
              </w:rPr>
            </w:pPr>
            <w:r w:rsidRPr="00993936">
              <w:rPr>
                <w:rFonts w:ascii="Arial" w:hAnsi="Arial" w:cs="Arial"/>
                <w:lang w:val="es-ES"/>
              </w:rPr>
              <w:t>Zeta-cipermetrina</w:t>
            </w:r>
          </w:p>
        </w:tc>
        <w:tc>
          <w:tcPr>
            <w:tcW w:w="1246" w:type="pct"/>
          </w:tcPr>
          <w:p w:rsidR="00412AFB" w:rsidRPr="00993936" w:rsidRDefault="00412AFB" w:rsidP="009D1A2D">
            <w:pPr>
              <w:numPr>
                <w:ilvl w:val="0"/>
                <w:numId w:val="50"/>
              </w:numPr>
              <w:spacing w:after="0" w:line="240" w:lineRule="auto"/>
              <w:rPr>
                <w:rFonts w:ascii="Arial" w:hAnsi="Arial" w:cs="Arial"/>
                <w:lang w:val="es-ES"/>
              </w:rPr>
            </w:pPr>
            <w:r w:rsidRPr="00993936">
              <w:rPr>
                <w:rFonts w:ascii="Arial" w:hAnsi="Arial" w:cs="Arial"/>
                <w:lang w:val="es-ES"/>
              </w:rPr>
              <w:t>Máximo: 1 tratamiento/año</w:t>
            </w:r>
          </w:p>
          <w:p w:rsidR="00412AFB" w:rsidRPr="00993936" w:rsidRDefault="00412AFB" w:rsidP="009D1A2D">
            <w:pPr>
              <w:numPr>
                <w:ilvl w:val="0"/>
                <w:numId w:val="50"/>
              </w:numPr>
              <w:spacing w:after="0" w:line="240" w:lineRule="auto"/>
              <w:rPr>
                <w:rFonts w:ascii="Arial" w:hAnsi="Arial" w:cs="Arial"/>
                <w:lang w:val="es-ES"/>
              </w:rPr>
            </w:pPr>
            <w:r w:rsidRPr="00993936">
              <w:rPr>
                <w:rFonts w:ascii="Arial" w:hAnsi="Arial" w:cs="Arial"/>
                <w:lang w:val="es-ES"/>
              </w:rPr>
              <w:t>Máximo: 2 tratamientos/año</w:t>
            </w:r>
          </w:p>
          <w:p w:rsidR="00412AFB" w:rsidRPr="00993936" w:rsidRDefault="00412AFB" w:rsidP="009D1A2D">
            <w:pPr>
              <w:numPr>
                <w:ilvl w:val="0"/>
                <w:numId w:val="50"/>
              </w:numPr>
              <w:spacing w:after="0" w:line="240" w:lineRule="auto"/>
              <w:rPr>
                <w:rFonts w:ascii="Arial" w:hAnsi="Arial" w:cs="Arial"/>
                <w:lang w:val="es-ES"/>
              </w:rPr>
            </w:pPr>
            <w:r w:rsidRPr="00993936">
              <w:rPr>
                <w:rFonts w:ascii="Arial" w:hAnsi="Arial" w:cs="Arial"/>
                <w:lang w:val="es-ES"/>
              </w:rPr>
              <w:t>Máximo: 3 tratamientos/año</w:t>
            </w:r>
          </w:p>
          <w:p w:rsidR="00412AFB" w:rsidRPr="00993936" w:rsidRDefault="00412AFB" w:rsidP="009D1A2D">
            <w:pPr>
              <w:numPr>
                <w:ilvl w:val="0"/>
                <w:numId w:val="50"/>
              </w:numPr>
              <w:spacing w:after="0" w:line="240" w:lineRule="aut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9D1A2D">
            <w:pPr>
              <w:numPr>
                <w:ilvl w:val="0"/>
                <w:numId w:val="50"/>
              </w:numPr>
              <w:spacing w:after="0" w:line="240" w:lineRule="aut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9D1A2D">
            <w:pPr>
              <w:numPr>
                <w:ilvl w:val="0"/>
                <w:numId w:val="50"/>
              </w:numPr>
              <w:spacing w:after="0" w:line="240" w:lineRule="aut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C8678E">
            <w:pPr>
              <w:ind w:left="360"/>
              <w:rPr>
                <w:rFonts w:ascii="Arial" w:hAnsi="Arial" w:cs="Arial"/>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b/>
          <w:lang w:val="es-ES"/>
        </w:rPr>
      </w:pPr>
    </w:p>
    <w:p w:rsidR="00412AFB" w:rsidRPr="00993936" w:rsidRDefault="00412AFB" w:rsidP="00412AFB">
      <w:pPr>
        <w:rPr>
          <w:rFonts w:ascii="Arial" w:hAnsi="Arial" w:cs="Arial"/>
          <w:b/>
          <w:lang w:val="es-ES"/>
        </w:rPr>
      </w:pPr>
      <w:r w:rsidRPr="00993936">
        <w:rPr>
          <w:rFonts w:ascii="Arial" w:hAnsi="Arial" w:cs="Arial"/>
          <w:b/>
          <w:lang w:val="es-ES"/>
        </w:rPr>
        <w:br w:type="page"/>
      </w:r>
    </w:p>
    <w:p w:rsidR="00412AFB" w:rsidRPr="00993936" w:rsidRDefault="00412AFB" w:rsidP="00412AFB">
      <w:pPr>
        <w:rPr>
          <w:rFonts w:ascii="Arial" w:hAnsi="Arial" w:cs="Arial"/>
          <w:b/>
          <w:lang w:val="es-ES"/>
        </w:rPr>
        <w:sectPr w:rsidR="00412AFB" w:rsidRPr="00993936" w:rsidSect="00FE34C4">
          <w:pgSz w:w="16838" w:h="11906" w:orient="landscape"/>
          <w:pgMar w:top="1701" w:right="1417" w:bottom="1701" w:left="1417" w:header="708" w:footer="708" w:gutter="0"/>
          <w:cols w:space="708"/>
          <w:docGrid w:linePitch="360"/>
        </w:sectPr>
      </w:pPr>
    </w:p>
    <w:p w:rsidR="00412AFB" w:rsidRPr="00993936" w:rsidRDefault="00412AFB" w:rsidP="00412AFB">
      <w:pPr>
        <w:pStyle w:val="Textoindependiente2"/>
        <w:rPr>
          <w:rFonts w:cs="Arial"/>
          <w:sz w:val="22"/>
          <w:szCs w:val="22"/>
          <w:lang w:val="es-ES"/>
        </w:rPr>
      </w:pPr>
      <w:r w:rsidRPr="00993936">
        <w:rPr>
          <w:rFonts w:cs="Arial"/>
          <w:sz w:val="22"/>
          <w:szCs w:val="22"/>
          <w:lang w:val="es-ES"/>
        </w:rPr>
        <w:lastRenderedPageBreak/>
        <w:t>3.1.4 Materias activas de insecticidas para la producción integrada de fruta de pepita con indicación del código de resistencia IRAC</w:t>
      </w:r>
    </w:p>
    <w:p w:rsidR="00412AFB" w:rsidRPr="00993936" w:rsidRDefault="00412AFB" w:rsidP="00412AFB">
      <w:pPr>
        <w:pStyle w:val="Textoindependiente2"/>
        <w:rPr>
          <w:rFonts w:cs="Arial"/>
          <w:sz w:val="22"/>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TIPO DE INSECTICIDAS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00" w:type="pct"/>
            <w:shd w:val="solid" w:color="C0C0C0" w:fill="auto"/>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9D1A2D">
            <w:pPr>
              <w:pStyle w:val="Sinespaciado"/>
              <w:jc w:val="center"/>
              <w:rPr>
                <w:rFonts w:ascii="Arial" w:hAnsi="Arial" w:cs="Arial"/>
                <w:b/>
                <w:lang w:val="es-ES" w:eastAsia="ca-ES"/>
              </w:rPr>
            </w:pPr>
          </w:p>
        </w:tc>
        <w:tc>
          <w:tcPr>
            <w:tcW w:w="2500" w:type="pct"/>
            <w:shd w:val="solid" w:color="C0C0C0" w:fill="auto"/>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IRAC (*)</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6</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Acetamiprid</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Acrinatrín</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Azadiractina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UN</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i/>
                <w:lang w:val="es-ES" w:eastAsia="ca-ES"/>
              </w:rPr>
            </w:pPr>
            <w:r w:rsidRPr="00993936">
              <w:rPr>
                <w:rFonts w:ascii="Arial" w:hAnsi="Arial" w:cs="Arial"/>
                <w:i/>
                <w:lang w:val="es-ES" w:eastAsia="ca-ES"/>
              </w:rPr>
              <w:t>Bacillus thuringiensis kurstaki</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11A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Beta-ciflutrina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Buprofezin</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16</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Ciflufenamida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C4</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Cipermetrina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Clofentezina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Clorantraniliprol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28</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Clotianidina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Deltametrina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Deltametrina + Tiacloprid</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 + 4A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Diflubenzuron</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15</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Esfenvalerat</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Spinosad</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5</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Spiromesifén</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23</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Etofenprox</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Fenoxicarb</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7B</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Fenpiroximato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21B</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Flonicamid</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29</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Fosmet</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Imidacloprid</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indoxacarb</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22A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Lambda-cihalotrina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Lambda-cihalotrina + Tiametoxam</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3A + 4A</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Metil-clorpirifos</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1B</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Metoxifenocida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18</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Miclobutanil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Milbemectina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6</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Pimetrozina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9B</w:t>
            </w:r>
          </w:p>
        </w:tc>
      </w:tr>
      <w:tr w:rsidR="00412AFB" w:rsidRPr="00993936" w:rsidTr="00C8678E">
        <w:trPr>
          <w:trHeight w:val="26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Pirimicarb</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1A</w:t>
            </w:r>
          </w:p>
        </w:tc>
      </w:tr>
      <w:tr w:rsidR="00412AFB" w:rsidRPr="00993936" w:rsidTr="00C8678E">
        <w:trPr>
          <w:trHeight w:val="270"/>
        </w:trPr>
        <w:tc>
          <w:tcPr>
            <w:tcW w:w="5000" w:type="pct"/>
            <w:gridSpan w:val="2"/>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412AFB" w:rsidRPr="00993936" w:rsidTr="00C8678E">
        <w:trPr>
          <w:trHeight w:val="270"/>
        </w:trPr>
        <w:tc>
          <w:tcPr>
            <w:tcW w:w="5000" w:type="pct"/>
            <w:gridSpan w:val="2"/>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 Fuente: Comité de Acción de Resistencia a Insecticidas</w:t>
            </w:r>
          </w:p>
        </w:tc>
      </w:tr>
    </w:tbl>
    <w:p w:rsidR="00412AFB" w:rsidRPr="00993936" w:rsidRDefault="00412AFB" w:rsidP="00412AFB">
      <w:pPr>
        <w:rPr>
          <w:rFonts w:ascii="Arial" w:hAnsi="Arial" w:cs="Arial"/>
          <w:lang w:val="es-ES"/>
        </w:rPr>
      </w:pPr>
    </w:p>
    <w:p w:rsidR="00412AFB" w:rsidRPr="00993936" w:rsidRDefault="00412AFB" w:rsidP="00412AFB">
      <w:pPr>
        <w:pStyle w:val="Textoindependiente2"/>
        <w:rPr>
          <w:rFonts w:cs="Arial"/>
          <w:sz w:val="22"/>
          <w:szCs w:val="22"/>
          <w:lang w:val="es-ES"/>
        </w:rPr>
      </w:pPr>
      <w:r w:rsidRPr="00993936">
        <w:rPr>
          <w:rFonts w:cs="Arial"/>
          <w:sz w:val="22"/>
          <w:szCs w:val="22"/>
          <w:lang w:val="es-ES"/>
        </w:rPr>
        <w:br w:type="page"/>
      </w:r>
      <w:r w:rsidRPr="00993936">
        <w:rPr>
          <w:rFonts w:cs="Arial"/>
          <w:sz w:val="22"/>
          <w:szCs w:val="22"/>
          <w:lang w:val="es-ES"/>
        </w:rPr>
        <w:lastRenderedPageBreak/>
        <w:t>3.1.4 (Continuación) Materias activas de fungicidas para la producción integrada de fruta de pepita con indicación del código de resistencia FRAC</w:t>
      </w:r>
    </w:p>
    <w:p w:rsidR="00412AFB" w:rsidRPr="00993936" w:rsidRDefault="00412AFB" w:rsidP="00412AFB">
      <w:pPr>
        <w:rPr>
          <w:rFonts w:ascii="Arial" w:hAnsi="Arial"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INSECTICIDAS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C8678E">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IRAC (*)</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Piriproxifen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7C</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Spirotetramat</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23</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Tau-fluvalinato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Tebufenocida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18</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Tiacloprid</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Tiametoxam</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4A</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Triflumuron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15</w:t>
            </w:r>
          </w:p>
        </w:tc>
      </w:tr>
      <w:tr w:rsidR="00412AFB" w:rsidRPr="00993936" w:rsidTr="00C8678E">
        <w:trPr>
          <w:trHeight w:val="26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Zeta-cipermetrina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a Insecticidas</w:t>
            </w:r>
          </w:p>
        </w:tc>
      </w:tr>
    </w:tbl>
    <w:p w:rsidR="00412AFB" w:rsidRPr="00993936" w:rsidRDefault="00412AFB" w:rsidP="00412AFB">
      <w:pPr>
        <w:rPr>
          <w:rFonts w:ascii="Arial" w:hAnsi="Arial" w:cs="Arial"/>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3.2.- Materias activas de acaricidas para la producción integrada de fruta de pepita</w:t>
      </w: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3.2.1. Manzanas</w:t>
      </w:r>
    </w:p>
    <w:p w:rsidR="00412AFB" w:rsidRPr="00993936" w:rsidRDefault="00412AFB" w:rsidP="00412AFB">
      <w:pPr>
        <w:jc w:val="both"/>
        <w:rPr>
          <w:rFonts w:ascii="Arial" w:hAnsi="Arial" w:cs="Arial"/>
          <w:b/>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3"/>
        <w:gridCol w:w="3459"/>
        <w:gridCol w:w="3122"/>
      </w:tblGrid>
      <w:tr w:rsidR="00412AFB" w:rsidRPr="00993936" w:rsidTr="00C8678E">
        <w:trPr>
          <w:jc w:val="center"/>
        </w:trPr>
        <w:tc>
          <w:tcPr>
            <w:tcW w:w="1193" w:type="pct"/>
            <w:shd w:val="pct12" w:color="auto" w:fill="FFFFFF"/>
          </w:tcPr>
          <w:p w:rsidR="00412AFB" w:rsidRPr="00993936" w:rsidRDefault="00412AFB" w:rsidP="009D1A2D">
            <w:pPr>
              <w:jc w:val="center"/>
              <w:rPr>
                <w:rFonts w:ascii="Arial" w:hAnsi="Arial" w:cs="Arial"/>
                <w:b/>
                <w:lang w:val="es-ES"/>
              </w:rPr>
            </w:pPr>
            <w:r w:rsidRPr="00993936">
              <w:rPr>
                <w:rFonts w:ascii="Arial" w:hAnsi="Arial" w:cs="Arial"/>
                <w:b/>
                <w:lang w:val="es-ES"/>
              </w:rPr>
              <w:t>PLAGA</w:t>
            </w:r>
          </w:p>
        </w:tc>
        <w:tc>
          <w:tcPr>
            <w:tcW w:w="2001" w:type="pct"/>
            <w:shd w:val="pct12" w:color="auto" w:fill="FFFFFF"/>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MATERIA ACTIVA</w:t>
            </w:r>
          </w:p>
        </w:tc>
        <w:tc>
          <w:tcPr>
            <w:tcW w:w="1806" w:type="pct"/>
            <w:shd w:val="pct12" w:color="auto" w:fill="FFFFFF"/>
          </w:tcPr>
          <w:p w:rsidR="00412AFB" w:rsidRPr="00993936" w:rsidRDefault="00412AFB" w:rsidP="009D1A2D">
            <w:pPr>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193" w:type="pct"/>
            <w:vAlign w:val="center"/>
          </w:tcPr>
          <w:p w:rsidR="00412AFB" w:rsidRPr="00993936" w:rsidRDefault="00412AFB" w:rsidP="00C8678E">
            <w:pPr>
              <w:pStyle w:val="Textoindependiente"/>
              <w:rPr>
                <w:rFonts w:cs="Arial"/>
                <w:b/>
                <w:szCs w:val="22"/>
                <w:lang w:val="es-ES"/>
              </w:rPr>
            </w:pPr>
            <w:r w:rsidRPr="00993936">
              <w:rPr>
                <w:rFonts w:cs="Arial"/>
                <w:b/>
                <w:szCs w:val="22"/>
                <w:lang w:val="es-ES"/>
              </w:rPr>
              <w:t>Araña</w:t>
            </w:r>
          </w:p>
          <w:p w:rsidR="00412AFB" w:rsidRPr="00993936" w:rsidRDefault="00412AFB" w:rsidP="00C8678E">
            <w:pPr>
              <w:pStyle w:val="Textoindependiente"/>
              <w:rPr>
                <w:rFonts w:cs="Arial"/>
                <w:szCs w:val="22"/>
                <w:lang w:val="es-ES"/>
              </w:rPr>
            </w:pPr>
            <w:r w:rsidRPr="00993936">
              <w:rPr>
                <w:rFonts w:cs="Arial"/>
                <w:szCs w:val="22"/>
                <w:lang w:val="es-ES"/>
              </w:rPr>
              <w:t>Contra tetraníquidos</w:t>
            </w:r>
          </w:p>
        </w:tc>
        <w:tc>
          <w:tcPr>
            <w:tcW w:w="2001" w:type="pct"/>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Abamectina (2) (4)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Acrinatrín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Azadiractina </w:t>
            </w:r>
          </w:p>
          <w:p w:rsidR="00412AFB" w:rsidRPr="00993936" w:rsidRDefault="00412AFB" w:rsidP="009D1A2D">
            <w:pPr>
              <w:pStyle w:val="Sinespaciado"/>
              <w:rPr>
                <w:rFonts w:ascii="Arial" w:hAnsi="Arial" w:cs="Arial"/>
                <w:i/>
                <w:snapToGrid w:val="0"/>
                <w:lang w:val="es-ES"/>
              </w:rPr>
            </w:pPr>
            <w:r w:rsidRPr="00993936">
              <w:rPr>
                <w:rFonts w:ascii="Arial" w:hAnsi="Arial" w:cs="Arial"/>
                <w:i/>
                <w:snapToGrid w:val="0"/>
                <w:lang w:val="es-ES"/>
              </w:rPr>
              <w:t>Beauveria bassiana</w:t>
            </w:r>
          </w:p>
          <w:p w:rsidR="00412AFB" w:rsidRPr="00993936" w:rsidRDefault="00412AFB" w:rsidP="009D1A2D">
            <w:pPr>
              <w:pStyle w:val="Sinespaciado"/>
              <w:rPr>
                <w:rFonts w:ascii="Arial" w:hAnsi="Arial" w:cs="Arial"/>
                <w:lang w:val="es-ES"/>
              </w:rPr>
            </w:pPr>
            <w:r w:rsidRPr="00993936">
              <w:rPr>
                <w:rFonts w:ascii="Arial" w:hAnsi="Arial" w:cs="Arial"/>
                <w:lang w:val="es-ES"/>
              </w:rPr>
              <w:t>Clofentezina</w:t>
            </w:r>
          </w:p>
          <w:p w:rsidR="00412AFB" w:rsidRPr="00993936" w:rsidRDefault="00412AFB" w:rsidP="009D1A2D">
            <w:pPr>
              <w:pStyle w:val="Sinespaciado"/>
              <w:rPr>
                <w:rFonts w:ascii="Arial" w:hAnsi="Arial" w:cs="Arial"/>
                <w:lang w:val="es-ES"/>
              </w:rPr>
            </w:pPr>
            <w:r w:rsidRPr="00993936">
              <w:rPr>
                <w:rFonts w:ascii="Arial" w:hAnsi="Arial" w:cs="Arial"/>
                <w:lang w:val="es-ES"/>
              </w:rPr>
              <w:t>Etoxazol (**)</w:t>
            </w:r>
          </w:p>
          <w:p w:rsidR="00412AFB" w:rsidRPr="00993936" w:rsidRDefault="00412AFB" w:rsidP="009D1A2D">
            <w:pPr>
              <w:pStyle w:val="Sinespaciado"/>
              <w:rPr>
                <w:rFonts w:ascii="Arial" w:hAnsi="Arial" w:cs="Arial"/>
                <w:lang w:val="es-ES"/>
              </w:rPr>
            </w:pPr>
            <w:r w:rsidRPr="00993936">
              <w:rPr>
                <w:rFonts w:ascii="Arial" w:hAnsi="Arial" w:cs="Arial"/>
                <w:lang w:val="es-ES"/>
              </w:rPr>
              <w:t>Fenpiroximato (5)</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Hexitiazox </w:t>
            </w:r>
          </w:p>
          <w:p w:rsidR="00412AFB" w:rsidRPr="00993936" w:rsidRDefault="00412AFB" w:rsidP="009D1A2D">
            <w:pPr>
              <w:pStyle w:val="Sinespaciado"/>
              <w:rPr>
                <w:rFonts w:ascii="Arial" w:hAnsi="Arial" w:cs="Arial"/>
                <w:lang w:val="es-ES"/>
              </w:rPr>
            </w:pPr>
            <w:r w:rsidRPr="00993936">
              <w:rPr>
                <w:rFonts w:ascii="Arial" w:hAnsi="Arial" w:cs="Arial"/>
                <w:lang w:val="es-ES"/>
              </w:rPr>
              <w:t>Milbemectina (2)</w:t>
            </w:r>
          </w:p>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Aceite parafínico</w:t>
            </w:r>
          </w:p>
          <w:p w:rsidR="00412AFB" w:rsidRPr="00993936" w:rsidRDefault="00412AFB" w:rsidP="009D1A2D">
            <w:pPr>
              <w:pStyle w:val="Sinespaciado"/>
              <w:rPr>
                <w:rFonts w:ascii="Arial" w:hAnsi="Arial" w:cs="Arial"/>
                <w:lang w:val="es-ES"/>
              </w:rPr>
            </w:pPr>
            <w:r w:rsidRPr="00993936">
              <w:rPr>
                <w:rFonts w:ascii="Arial" w:hAnsi="Arial" w:cs="Arial"/>
                <w:lang w:val="es-ES"/>
              </w:rPr>
              <w:t>Polisulfuro de calcio</w:t>
            </w:r>
          </w:p>
          <w:p w:rsidR="00412AFB" w:rsidRPr="00993936" w:rsidRDefault="00412AFB" w:rsidP="009D1A2D">
            <w:pPr>
              <w:pStyle w:val="Sinespaciado"/>
              <w:rPr>
                <w:rFonts w:ascii="Arial" w:hAnsi="Arial" w:cs="Arial"/>
                <w:lang w:val="es-ES"/>
              </w:rPr>
            </w:pPr>
            <w:r w:rsidRPr="00993936">
              <w:rPr>
                <w:rFonts w:ascii="Arial" w:hAnsi="Arial" w:cs="Arial"/>
                <w:lang w:val="es-ES"/>
              </w:rPr>
              <w:t>Azufre</w:t>
            </w:r>
          </w:p>
        </w:tc>
        <w:tc>
          <w:tcPr>
            <w:tcW w:w="1806" w:type="pct"/>
            <w:vMerge w:val="restart"/>
            <w:vAlign w:val="center"/>
          </w:tcPr>
          <w:p w:rsidR="00412AFB" w:rsidRPr="00993936" w:rsidRDefault="00412AFB" w:rsidP="009D1A2D">
            <w:pPr>
              <w:numPr>
                <w:ilvl w:val="0"/>
                <w:numId w:val="51"/>
              </w:numPr>
              <w:spacing w:after="0" w:line="240" w:lineRule="auto"/>
              <w:rPr>
                <w:rFonts w:ascii="Arial" w:hAnsi="Arial" w:cs="Arial"/>
                <w:lang w:val="es-ES"/>
              </w:rPr>
            </w:pPr>
            <w:r w:rsidRPr="00993936">
              <w:rPr>
                <w:rFonts w:ascii="Arial" w:hAnsi="Arial" w:cs="Arial"/>
                <w:lang w:val="es-ES"/>
              </w:rPr>
              <w:t>Máximo: 1 tratamiento/año</w:t>
            </w:r>
          </w:p>
          <w:p w:rsidR="00412AFB" w:rsidRPr="00993936" w:rsidRDefault="00412AFB" w:rsidP="009D1A2D">
            <w:pPr>
              <w:numPr>
                <w:ilvl w:val="0"/>
                <w:numId w:val="51"/>
              </w:numPr>
              <w:spacing w:after="0" w:line="240" w:lineRule="auto"/>
              <w:rPr>
                <w:rFonts w:ascii="Arial" w:hAnsi="Arial" w:cs="Arial"/>
                <w:lang w:val="es-ES"/>
              </w:rPr>
            </w:pPr>
            <w:r w:rsidRPr="00993936">
              <w:rPr>
                <w:rFonts w:ascii="Arial" w:hAnsi="Arial" w:cs="Arial"/>
                <w:lang w:val="es-ES"/>
              </w:rPr>
              <w:t>Máximo: 2 tratamientos/año</w:t>
            </w:r>
          </w:p>
          <w:p w:rsidR="00412AFB" w:rsidRPr="00993936" w:rsidRDefault="00412AFB" w:rsidP="009D1A2D">
            <w:pPr>
              <w:numPr>
                <w:ilvl w:val="0"/>
                <w:numId w:val="51"/>
              </w:numPr>
              <w:spacing w:after="0" w:line="240" w:lineRule="auto"/>
              <w:rPr>
                <w:rFonts w:ascii="Arial" w:hAnsi="Arial" w:cs="Arial"/>
                <w:lang w:val="es-ES"/>
              </w:rPr>
            </w:pPr>
            <w:r w:rsidRPr="00993936">
              <w:rPr>
                <w:rFonts w:ascii="Arial" w:hAnsi="Arial" w:cs="Arial"/>
                <w:lang w:val="es-ES"/>
              </w:rPr>
              <w:t>Máximo: 3 tratamientos/año</w:t>
            </w:r>
          </w:p>
          <w:p w:rsidR="00412AFB" w:rsidRPr="00993936" w:rsidRDefault="00412AFB" w:rsidP="009D1A2D">
            <w:pPr>
              <w:numPr>
                <w:ilvl w:val="0"/>
                <w:numId w:val="51"/>
              </w:numPr>
              <w:spacing w:after="0" w:line="240" w:lineRule="aut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9D1A2D">
            <w:pPr>
              <w:numPr>
                <w:ilvl w:val="0"/>
                <w:numId w:val="51"/>
              </w:numPr>
              <w:spacing w:after="0" w:line="240" w:lineRule="aut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9D1A2D">
            <w:pPr>
              <w:numPr>
                <w:ilvl w:val="0"/>
                <w:numId w:val="51"/>
              </w:numPr>
              <w:spacing w:after="0" w:line="240" w:lineRule="aut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r w:rsidRPr="00993936">
              <w:rPr>
                <w:rFonts w:cs="Arial"/>
                <w:szCs w:val="22"/>
                <w:lang w:val="es-ES"/>
              </w:rPr>
              <w:t>(**) El LMR coincide con el LD</w:t>
            </w:r>
          </w:p>
        </w:tc>
      </w:tr>
      <w:tr w:rsidR="00412AFB" w:rsidRPr="00993936" w:rsidTr="00C8678E">
        <w:trPr>
          <w:cantSplit/>
          <w:jc w:val="center"/>
        </w:trPr>
        <w:tc>
          <w:tcPr>
            <w:tcW w:w="1193"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Contra erinosis</w:t>
            </w:r>
          </w:p>
        </w:tc>
        <w:tc>
          <w:tcPr>
            <w:tcW w:w="2001" w:type="pct"/>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Azadiractina</w:t>
            </w:r>
            <w:r w:rsidR="00E03B3B" w:rsidRPr="00993936">
              <w:rPr>
                <w:rFonts w:ascii="Arial" w:hAnsi="Arial" w:cs="Arial"/>
                <w:lang w:val="es-ES"/>
              </w:rPr>
              <w:t xml:space="preserve"> </w:t>
            </w:r>
          </w:p>
          <w:p w:rsidR="00412AFB" w:rsidRPr="00993936" w:rsidRDefault="00412AFB" w:rsidP="009D1A2D">
            <w:pPr>
              <w:pStyle w:val="Sinespaciado"/>
              <w:rPr>
                <w:rFonts w:ascii="Arial" w:hAnsi="Arial" w:cs="Arial"/>
                <w:lang w:val="es-ES"/>
              </w:rPr>
            </w:pPr>
            <w:r w:rsidRPr="00993936">
              <w:rPr>
                <w:rFonts w:ascii="Arial" w:hAnsi="Arial" w:cs="Arial"/>
                <w:lang w:val="es-ES"/>
              </w:rPr>
              <w:t>Polisulfuro de calcio</w:t>
            </w:r>
          </w:p>
          <w:p w:rsidR="00412AFB" w:rsidRPr="00993936" w:rsidRDefault="00412AFB" w:rsidP="009D1A2D">
            <w:pPr>
              <w:pStyle w:val="Sinespaciado"/>
              <w:rPr>
                <w:rFonts w:ascii="Arial" w:hAnsi="Arial" w:cs="Arial"/>
                <w:lang w:val="es-ES"/>
              </w:rPr>
            </w:pPr>
            <w:r w:rsidRPr="00993936">
              <w:rPr>
                <w:rFonts w:ascii="Arial" w:hAnsi="Arial" w:cs="Arial"/>
                <w:lang w:val="es-ES"/>
              </w:rPr>
              <w:t>Azufre</w:t>
            </w:r>
          </w:p>
        </w:tc>
        <w:tc>
          <w:tcPr>
            <w:tcW w:w="1806" w:type="pct"/>
            <w:vMerge/>
          </w:tcPr>
          <w:p w:rsidR="00412AFB" w:rsidRPr="00993936" w:rsidRDefault="00412AFB" w:rsidP="00C8678E">
            <w:pPr>
              <w:pStyle w:val="Textoindependiente"/>
              <w:rPr>
                <w:rFonts w:cs="Arial"/>
                <w:b/>
                <w:szCs w:val="22"/>
                <w:lang w:val="es-ES"/>
              </w:rPr>
            </w:pPr>
          </w:p>
        </w:tc>
      </w:tr>
    </w:tbl>
    <w:p w:rsidR="00412AFB" w:rsidRPr="00993936" w:rsidRDefault="00412AFB" w:rsidP="00412AFB">
      <w:pPr>
        <w:pStyle w:val="Textoindependiente"/>
        <w:rPr>
          <w:rFonts w:cs="Arial"/>
          <w:b/>
          <w:szCs w:val="22"/>
          <w:lang w:val="es-ES"/>
        </w:rPr>
      </w:pPr>
    </w:p>
    <w:p w:rsidR="00412AFB" w:rsidRPr="00993936" w:rsidRDefault="00412AFB" w:rsidP="00412AFB">
      <w:pPr>
        <w:pStyle w:val="Textoindependiente"/>
        <w:rPr>
          <w:rFonts w:cs="Arial"/>
          <w:b/>
          <w:szCs w:val="22"/>
          <w:lang w:val="es-ES"/>
        </w:rPr>
      </w:pPr>
    </w:p>
    <w:p w:rsidR="00412AFB" w:rsidRPr="00993936" w:rsidRDefault="00962CCD" w:rsidP="00412AFB">
      <w:pPr>
        <w:jc w:val="both"/>
        <w:rPr>
          <w:rFonts w:ascii="Arial" w:hAnsi="Arial" w:cs="Arial"/>
          <w:b/>
          <w:snapToGrid w:val="0"/>
          <w:lang w:val="es-ES"/>
        </w:rPr>
      </w:pPr>
      <w:r w:rsidRPr="00993936">
        <w:rPr>
          <w:rFonts w:ascii="Arial" w:hAnsi="Arial" w:cs="Arial"/>
          <w:b/>
          <w:snapToGrid w:val="0"/>
          <w:lang w:val="es-ES"/>
        </w:rPr>
        <w:t>3.2.2.</w:t>
      </w:r>
      <w:r w:rsidR="00412AFB" w:rsidRPr="00993936">
        <w:rPr>
          <w:rFonts w:ascii="Arial" w:hAnsi="Arial" w:cs="Arial"/>
          <w:b/>
          <w:snapToGrid w:val="0"/>
          <w:lang w:val="es-ES"/>
        </w:rPr>
        <w:t xml:space="preserve"> Peras</w:t>
      </w:r>
    </w:p>
    <w:p w:rsidR="00412AFB" w:rsidRPr="00993936" w:rsidRDefault="00412AFB" w:rsidP="00412AFB">
      <w:pPr>
        <w:jc w:val="both"/>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2"/>
        <w:gridCol w:w="3458"/>
        <w:gridCol w:w="3124"/>
      </w:tblGrid>
      <w:tr w:rsidR="00412AFB" w:rsidRPr="00993936" w:rsidTr="00C8678E">
        <w:trPr>
          <w:jc w:val="center"/>
        </w:trPr>
        <w:tc>
          <w:tcPr>
            <w:tcW w:w="1193"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PLAGA</w:t>
            </w:r>
          </w:p>
        </w:tc>
        <w:tc>
          <w:tcPr>
            <w:tcW w:w="2000"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807"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193" w:type="pct"/>
            <w:vAlign w:val="center"/>
          </w:tcPr>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r w:rsidRPr="00993936">
              <w:rPr>
                <w:rFonts w:cs="Arial"/>
                <w:szCs w:val="22"/>
                <w:lang w:val="es-ES"/>
              </w:rPr>
              <w:t>Contra ácaros en general</w:t>
            </w:r>
          </w:p>
          <w:p w:rsidR="00412AFB" w:rsidRPr="00993936" w:rsidRDefault="00412AFB" w:rsidP="00C8678E">
            <w:pPr>
              <w:pStyle w:val="Textoindependiente"/>
              <w:rPr>
                <w:rFonts w:cs="Arial"/>
                <w:szCs w:val="22"/>
                <w:lang w:val="es-ES"/>
              </w:rPr>
            </w:pPr>
            <w:r w:rsidRPr="00993936">
              <w:rPr>
                <w:rFonts w:cs="Arial"/>
                <w:szCs w:val="22"/>
                <w:lang w:val="es-ES"/>
              </w:rPr>
              <w:t>Tetraníquidos</w:t>
            </w:r>
          </w:p>
        </w:tc>
        <w:tc>
          <w:tcPr>
            <w:tcW w:w="2000"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Abamectina (2) (4)(**)</w:t>
            </w:r>
          </w:p>
          <w:p w:rsidR="00412AFB" w:rsidRPr="00993936" w:rsidRDefault="00412AFB" w:rsidP="00C8678E">
            <w:pPr>
              <w:pStyle w:val="Textoindependiente"/>
              <w:rPr>
                <w:rFonts w:cs="Arial"/>
                <w:szCs w:val="22"/>
                <w:lang w:val="es-ES"/>
              </w:rPr>
            </w:pPr>
            <w:r w:rsidRPr="00993936">
              <w:rPr>
                <w:rFonts w:cs="Arial"/>
                <w:szCs w:val="22"/>
                <w:lang w:val="es-ES"/>
              </w:rPr>
              <w:t>Acrinatín</w:t>
            </w:r>
            <w:r w:rsidR="00E03B3B" w:rsidRPr="00993936">
              <w:rPr>
                <w:rFonts w:cs="Arial"/>
                <w:szCs w:val="22"/>
                <w:lang w:val="es-ES"/>
              </w:rPr>
              <w:t xml:space="preserve"> </w:t>
            </w:r>
          </w:p>
          <w:p w:rsidR="00412AFB" w:rsidRPr="00993936" w:rsidRDefault="00412AFB" w:rsidP="00C8678E">
            <w:pPr>
              <w:pStyle w:val="Textoindependiente"/>
              <w:rPr>
                <w:rFonts w:cs="Arial"/>
                <w:szCs w:val="22"/>
                <w:lang w:val="es-ES"/>
              </w:rPr>
            </w:pPr>
            <w:r w:rsidRPr="00993936">
              <w:rPr>
                <w:rFonts w:cs="Arial"/>
                <w:szCs w:val="22"/>
                <w:lang w:val="es-ES"/>
              </w:rPr>
              <w:t xml:space="preserve">Azadiractina </w:t>
            </w:r>
          </w:p>
          <w:p w:rsidR="00412AFB" w:rsidRPr="00993936" w:rsidRDefault="00412AFB" w:rsidP="00C8678E">
            <w:pPr>
              <w:pStyle w:val="Textoindependiente"/>
              <w:rPr>
                <w:rFonts w:cs="Arial"/>
                <w:szCs w:val="22"/>
                <w:lang w:val="es-ES"/>
              </w:rPr>
            </w:pPr>
            <w:r w:rsidRPr="00993936">
              <w:rPr>
                <w:rFonts w:cs="Arial"/>
                <w:szCs w:val="22"/>
                <w:lang w:val="es-ES"/>
              </w:rPr>
              <w:t>Clofentezina</w:t>
            </w:r>
          </w:p>
          <w:p w:rsidR="00412AFB" w:rsidRPr="00993936" w:rsidRDefault="00412AFB" w:rsidP="00C8678E">
            <w:pPr>
              <w:pStyle w:val="Textoindependiente"/>
              <w:rPr>
                <w:rFonts w:cs="Arial"/>
                <w:szCs w:val="22"/>
                <w:lang w:val="es-ES"/>
              </w:rPr>
            </w:pPr>
            <w:r w:rsidRPr="00993936">
              <w:rPr>
                <w:rFonts w:cs="Arial"/>
                <w:szCs w:val="22"/>
                <w:lang w:val="es-ES"/>
              </w:rPr>
              <w:t>Spirodiclofen</w:t>
            </w:r>
          </w:p>
          <w:p w:rsidR="00412AFB" w:rsidRPr="00993936" w:rsidRDefault="00412AFB" w:rsidP="00C8678E">
            <w:pPr>
              <w:pStyle w:val="Textoindependiente"/>
              <w:rPr>
                <w:rFonts w:cs="Arial"/>
                <w:szCs w:val="22"/>
                <w:lang w:val="es-ES"/>
              </w:rPr>
            </w:pPr>
            <w:r w:rsidRPr="00993936">
              <w:rPr>
                <w:rFonts w:cs="Arial"/>
                <w:szCs w:val="22"/>
                <w:lang w:val="es-ES"/>
              </w:rPr>
              <w:t>Fenpiroximato (5)</w:t>
            </w:r>
          </w:p>
          <w:p w:rsidR="00412AFB" w:rsidRPr="00993936" w:rsidRDefault="00412AFB" w:rsidP="00C8678E">
            <w:pPr>
              <w:pStyle w:val="Textoindependiente"/>
              <w:jc w:val="left"/>
              <w:rPr>
                <w:rFonts w:cs="Arial"/>
                <w:szCs w:val="22"/>
                <w:lang w:val="es-ES"/>
              </w:rPr>
            </w:pPr>
            <w:r w:rsidRPr="00993936">
              <w:rPr>
                <w:rFonts w:cs="Arial"/>
                <w:szCs w:val="22"/>
                <w:lang w:val="es-ES"/>
              </w:rPr>
              <w:t>Hexitiazox</w:t>
            </w:r>
            <w:r w:rsidR="00E03B3B" w:rsidRPr="00993936">
              <w:rPr>
                <w:rFonts w:cs="Arial"/>
                <w:szCs w:val="22"/>
                <w:lang w:val="es-ES"/>
              </w:rPr>
              <w:t xml:space="preserve"> </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Aceite parafínico </w:t>
            </w:r>
          </w:p>
          <w:p w:rsidR="00412AFB" w:rsidRPr="00993936" w:rsidRDefault="00412AFB" w:rsidP="00C8678E">
            <w:pPr>
              <w:pStyle w:val="Textoindependiente"/>
              <w:rPr>
                <w:rFonts w:cs="Arial"/>
                <w:szCs w:val="22"/>
                <w:lang w:val="es-ES"/>
              </w:rPr>
            </w:pPr>
            <w:r w:rsidRPr="00993936">
              <w:rPr>
                <w:rFonts w:cs="Arial"/>
                <w:szCs w:val="22"/>
                <w:lang w:val="es-ES"/>
              </w:rPr>
              <w:t>Polisulfuro de calcio</w:t>
            </w:r>
          </w:p>
          <w:p w:rsidR="00412AFB" w:rsidRPr="00993936" w:rsidRDefault="00412AFB" w:rsidP="00C8678E">
            <w:pPr>
              <w:pStyle w:val="Textoindependiente"/>
              <w:jc w:val="left"/>
              <w:rPr>
                <w:rFonts w:cs="Arial"/>
                <w:szCs w:val="22"/>
                <w:lang w:val="es-ES"/>
              </w:rPr>
            </w:pPr>
            <w:r w:rsidRPr="00993936">
              <w:rPr>
                <w:rFonts w:cs="Arial"/>
                <w:szCs w:val="22"/>
                <w:lang w:val="es-ES"/>
              </w:rPr>
              <w:t>Azufre</w:t>
            </w:r>
          </w:p>
        </w:tc>
        <w:tc>
          <w:tcPr>
            <w:tcW w:w="1807" w:type="pct"/>
            <w:vMerge w:val="restart"/>
            <w:vAlign w:val="center"/>
          </w:tcPr>
          <w:p w:rsidR="00412AFB" w:rsidRPr="00993936" w:rsidRDefault="00412AFB" w:rsidP="009D1A2D">
            <w:pPr>
              <w:numPr>
                <w:ilvl w:val="0"/>
                <w:numId w:val="52"/>
              </w:numPr>
              <w:spacing w:after="0" w:line="240" w:lineRule="auto"/>
              <w:rPr>
                <w:rFonts w:ascii="Arial" w:hAnsi="Arial" w:cs="Arial"/>
                <w:lang w:val="es-ES"/>
              </w:rPr>
            </w:pPr>
            <w:r w:rsidRPr="00993936">
              <w:rPr>
                <w:rFonts w:ascii="Arial" w:hAnsi="Arial" w:cs="Arial"/>
                <w:lang w:val="es-ES"/>
              </w:rPr>
              <w:t>Máximo: 1 tratamiento/año</w:t>
            </w:r>
          </w:p>
          <w:p w:rsidR="00412AFB" w:rsidRPr="00993936" w:rsidRDefault="00412AFB" w:rsidP="009D1A2D">
            <w:pPr>
              <w:numPr>
                <w:ilvl w:val="0"/>
                <w:numId w:val="52"/>
              </w:numPr>
              <w:spacing w:after="0" w:line="240" w:lineRule="auto"/>
              <w:rPr>
                <w:rFonts w:ascii="Arial" w:hAnsi="Arial" w:cs="Arial"/>
                <w:lang w:val="es-ES"/>
              </w:rPr>
            </w:pPr>
            <w:r w:rsidRPr="00993936">
              <w:rPr>
                <w:rFonts w:ascii="Arial" w:hAnsi="Arial" w:cs="Arial"/>
                <w:lang w:val="es-ES"/>
              </w:rPr>
              <w:t>Máximo: 2 tratamientos/año</w:t>
            </w:r>
          </w:p>
          <w:p w:rsidR="00412AFB" w:rsidRPr="00993936" w:rsidRDefault="00412AFB" w:rsidP="009D1A2D">
            <w:pPr>
              <w:numPr>
                <w:ilvl w:val="0"/>
                <w:numId w:val="52"/>
              </w:numPr>
              <w:spacing w:after="0" w:line="240" w:lineRule="auto"/>
              <w:rPr>
                <w:rFonts w:ascii="Arial" w:hAnsi="Arial" w:cs="Arial"/>
                <w:lang w:val="es-ES"/>
              </w:rPr>
            </w:pPr>
            <w:r w:rsidRPr="00993936">
              <w:rPr>
                <w:rFonts w:ascii="Arial" w:hAnsi="Arial" w:cs="Arial"/>
                <w:lang w:val="es-ES"/>
              </w:rPr>
              <w:t>Máximo: 3 tratamientos/año</w:t>
            </w:r>
          </w:p>
          <w:p w:rsidR="00412AFB" w:rsidRPr="00993936" w:rsidRDefault="00412AFB" w:rsidP="009D1A2D">
            <w:pPr>
              <w:numPr>
                <w:ilvl w:val="0"/>
                <w:numId w:val="52"/>
              </w:numPr>
              <w:spacing w:after="0" w:line="240" w:lineRule="aut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9D1A2D">
            <w:pPr>
              <w:numPr>
                <w:ilvl w:val="0"/>
                <w:numId w:val="52"/>
              </w:numPr>
              <w:spacing w:after="0" w:line="240" w:lineRule="aut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9D1A2D">
            <w:pPr>
              <w:numPr>
                <w:ilvl w:val="0"/>
                <w:numId w:val="52"/>
              </w:numPr>
              <w:spacing w:after="0" w:line="240" w:lineRule="aut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r w:rsidRPr="00993936">
              <w:rPr>
                <w:rFonts w:cs="Arial"/>
                <w:szCs w:val="22"/>
                <w:lang w:val="es-ES"/>
              </w:rPr>
              <w:t>(**) El LMR coincide con LD</w:t>
            </w:r>
          </w:p>
        </w:tc>
      </w:tr>
      <w:tr w:rsidR="00412AFB" w:rsidRPr="00993936" w:rsidTr="00C8678E">
        <w:trPr>
          <w:cantSplit/>
          <w:jc w:val="center"/>
        </w:trPr>
        <w:tc>
          <w:tcPr>
            <w:tcW w:w="1193"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Contra erinosis</w:t>
            </w:r>
          </w:p>
        </w:tc>
        <w:tc>
          <w:tcPr>
            <w:tcW w:w="2000" w:type="pct"/>
            <w:vAlign w:val="center"/>
          </w:tcPr>
          <w:p w:rsidR="00412AFB" w:rsidRPr="00993936" w:rsidRDefault="00412AFB" w:rsidP="00C8678E">
            <w:pPr>
              <w:pStyle w:val="Textoindependiente"/>
              <w:rPr>
                <w:rFonts w:cs="Arial"/>
                <w:szCs w:val="22"/>
                <w:lang w:val="es-ES" w:eastAsia="ca-ES"/>
              </w:rPr>
            </w:pPr>
            <w:r w:rsidRPr="00993936">
              <w:rPr>
                <w:rFonts w:cs="Arial"/>
                <w:szCs w:val="22"/>
                <w:lang w:val="es-ES" w:eastAsia="ca-ES"/>
              </w:rPr>
              <w:t>Abamectina (2) (4) (**)</w:t>
            </w:r>
          </w:p>
          <w:p w:rsidR="00412AFB" w:rsidRPr="00993936" w:rsidRDefault="00412AFB" w:rsidP="00C8678E">
            <w:pPr>
              <w:pStyle w:val="Textoindependiente"/>
              <w:rPr>
                <w:rFonts w:cs="Arial"/>
                <w:szCs w:val="22"/>
                <w:lang w:val="es-ES" w:eastAsia="ca-ES"/>
              </w:rPr>
            </w:pPr>
            <w:r w:rsidRPr="00993936">
              <w:rPr>
                <w:rFonts w:cs="Arial"/>
                <w:szCs w:val="22"/>
                <w:lang w:val="es-ES" w:eastAsia="ca-ES"/>
              </w:rPr>
              <w:t xml:space="preserve">Azadiractina </w:t>
            </w:r>
          </w:p>
          <w:p w:rsidR="00412AFB" w:rsidRPr="00993936" w:rsidRDefault="00412AFB" w:rsidP="00C8678E">
            <w:pPr>
              <w:pStyle w:val="Textoindependiente"/>
              <w:rPr>
                <w:rFonts w:cs="Arial"/>
                <w:szCs w:val="22"/>
                <w:lang w:val="es-ES"/>
              </w:rPr>
            </w:pPr>
            <w:r w:rsidRPr="00993936">
              <w:rPr>
                <w:rFonts w:cs="Arial"/>
                <w:szCs w:val="22"/>
                <w:lang w:val="es-ES"/>
              </w:rPr>
              <w:t>Spirodiclofen</w:t>
            </w:r>
          </w:p>
          <w:p w:rsidR="00412AFB" w:rsidRPr="00993936" w:rsidRDefault="00412AFB" w:rsidP="00C8678E">
            <w:pPr>
              <w:pStyle w:val="Textoindependiente"/>
              <w:rPr>
                <w:rFonts w:cs="Arial"/>
                <w:szCs w:val="22"/>
                <w:lang w:val="es-ES" w:eastAsia="ca-ES"/>
              </w:rPr>
            </w:pPr>
            <w:r w:rsidRPr="00993936">
              <w:rPr>
                <w:rFonts w:cs="Arial"/>
                <w:szCs w:val="22"/>
                <w:lang w:val="es-ES" w:eastAsia="ca-ES"/>
              </w:rPr>
              <w:t>Fenpiroximato</w:t>
            </w:r>
          </w:p>
          <w:p w:rsidR="00412AFB" w:rsidRPr="00993936" w:rsidRDefault="00412AFB" w:rsidP="00C8678E">
            <w:pPr>
              <w:pStyle w:val="Textoindependiente"/>
              <w:rPr>
                <w:rFonts w:cs="Arial"/>
                <w:szCs w:val="22"/>
                <w:lang w:val="es-ES" w:eastAsia="ca-ES"/>
              </w:rPr>
            </w:pPr>
          </w:p>
          <w:p w:rsidR="00412AFB" w:rsidRPr="00993936" w:rsidRDefault="00412AFB" w:rsidP="00C8678E">
            <w:pPr>
              <w:pStyle w:val="Textoindependiente"/>
              <w:rPr>
                <w:rFonts w:cs="Arial"/>
                <w:szCs w:val="22"/>
                <w:lang w:val="es-ES"/>
              </w:rPr>
            </w:pPr>
            <w:r w:rsidRPr="00993936">
              <w:rPr>
                <w:rFonts w:cs="Arial"/>
                <w:szCs w:val="22"/>
                <w:lang w:val="es-ES"/>
              </w:rPr>
              <w:t>Polisulfuro de calcio</w:t>
            </w:r>
          </w:p>
          <w:p w:rsidR="00412AFB" w:rsidRPr="00993936" w:rsidRDefault="00412AFB" w:rsidP="00C8678E">
            <w:pPr>
              <w:pStyle w:val="Textoindependiente"/>
              <w:rPr>
                <w:rFonts w:cs="Arial"/>
                <w:szCs w:val="22"/>
                <w:lang w:val="es-ES"/>
              </w:rPr>
            </w:pPr>
            <w:r w:rsidRPr="00993936">
              <w:rPr>
                <w:rFonts w:cs="Arial"/>
                <w:szCs w:val="22"/>
                <w:lang w:val="es-ES"/>
              </w:rPr>
              <w:t>Azufre</w:t>
            </w:r>
          </w:p>
        </w:tc>
        <w:tc>
          <w:tcPr>
            <w:tcW w:w="1807" w:type="pct"/>
            <w:vMerge/>
          </w:tcPr>
          <w:p w:rsidR="00412AFB" w:rsidRPr="00993936" w:rsidRDefault="00412AFB" w:rsidP="00C8678E">
            <w:pPr>
              <w:pStyle w:val="Textoindependiente"/>
              <w:rPr>
                <w:rFonts w:cs="Arial"/>
                <w:b/>
                <w:szCs w:val="22"/>
                <w:lang w:val="es-ES"/>
              </w:rPr>
            </w:pPr>
          </w:p>
        </w:tc>
      </w:tr>
    </w:tbl>
    <w:p w:rsidR="00412AFB" w:rsidRPr="00993936" w:rsidRDefault="00412AFB" w:rsidP="00412AFB">
      <w:pPr>
        <w:spacing w:before="120"/>
        <w:jc w:val="both"/>
        <w:rPr>
          <w:rFonts w:ascii="Arial" w:hAnsi="Arial" w:cs="Arial"/>
          <w:b/>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t>3.2.3.- Membrillero</w:t>
      </w:r>
    </w:p>
    <w:p w:rsidR="00412AFB" w:rsidRPr="00993936" w:rsidRDefault="00412AFB" w:rsidP="00412AFB">
      <w:pPr>
        <w:spacing w:before="120"/>
        <w:jc w:val="both"/>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3"/>
        <w:gridCol w:w="3212"/>
        <w:gridCol w:w="3259"/>
      </w:tblGrid>
      <w:tr w:rsidR="00412AFB" w:rsidRPr="00993936" w:rsidTr="00C8678E">
        <w:trPr>
          <w:jc w:val="center"/>
        </w:trPr>
        <w:tc>
          <w:tcPr>
            <w:tcW w:w="1257"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PLAGA</w:t>
            </w:r>
          </w:p>
        </w:tc>
        <w:tc>
          <w:tcPr>
            <w:tcW w:w="1858"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885" w:type="pct"/>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jc w:val="center"/>
        </w:trPr>
        <w:tc>
          <w:tcPr>
            <w:tcW w:w="1257"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Contra ácaros en general</w:t>
            </w:r>
          </w:p>
          <w:p w:rsidR="00412AFB" w:rsidRPr="00993936" w:rsidRDefault="00412AFB" w:rsidP="00C8678E">
            <w:pPr>
              <w:pStyle w:val="Textoindependiente"/>
              <w:rPr>
                <w:rFonts w:cs="Arial"/>
                <w:szCs w:val="22"/>
                <w:lang w:val="es-ES"/>
              </w:rPr>
            </w:pPr>
            <w:r w:rsidRPr="00993936">
              <w:rPr>
                <w:rFonts w:cs="Arial"/>
                <w:szCs w:val="22"/>
                <w:lang w:val="es-ES"/>
              </w:rPr>
              <w:t>Tetraníquidos</w:t>
            </w:r>
          </w:p>
        </w:tc>
        <w:tc>
          <w:tcPr>
            <w:tcW w:w="1858"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 xml:space="preserve">Acrinatín </w:t>
            </w:r>
          </w:p>
          <w:p w:rsidR="00412AFB" w:rsidRPr="00993936" w:rsidRDefault="00412AFB" w:rsidP="00C8678E">
            <w:pPr>
              <w:pStyle w:val="Textoindependiente"/>
              <w:rPr>
                <w:rFonts w:cs="Arial"/>
                <w:szCs w:val="22"/>
                <w:lang w:val="es-ES"/>
              </w:rPr>
            </w:pPr>
            <w:r w:rsidRPr="00993936">
              <w:rPr>
                <w:rFonts w:cs="Arial"/>
                <w:szCs w:val="22"/>
                <w:lang w:val="es-ES"/>
              </w:rPr>
              <w:t xml:space="preserve">Azadiractina </w:t>
            </w:r>
          </w:p>
          <w:p w:rsidR="00412AFB" w:rsidRPr="00993936" w:rsidRDefault="00412AFB" w:rsidP="00C8678E">
            <w:pPr>
              <w:pStyle w:val="Textoindependiente"/>
              <w:rPr>
                <w:rFonts w:cs="Arial"/>
                <w:szCs w:val="22"/>
                <w:lang w:val="es-ES"/>
              </w:rPr>
            </w:pPr>
            <w:r w:rsidRPr="00993936">
              <w:rPr>
                <w:rFonts w:cs="Arial"/>
                <w:szCs w:val="22"/>
                <w:lang w:val="es-ES"/>
              </w:rPr>
              <w:t>Clofentezina</w:t>
            </w:r>
          </w:p>
          <w:p w:rsidR="00412AFB" w:rsidRPr="00993936" w:rsidRDefault="00412AFB" w:rsidP="00C8678E">
            <w:pPr>
              <w:pStyle w:val="Textoindependiente"/>
              <w:rPr>
                <w:rFonts w:cs="Arial"/>
                <w:szCs w:val="22"/>
                <w:lang w:val="es-ES"/>
              </w:rPr>
            </w:pPr>
            <w:r w:rsidRPr="00993936">
              <w:rPr>
                <w:rFonts w:cs="Arial"/>
                <w:szCs w:val="22"/>
                <w:lang w:val="es-ES"/>
              </w:rPr>
              <w:t>Fenpiroximato (5)</w:t>
            </w:r>
          </w:p>
          <w:p w:rsidR="00412AFB" w:rsidRPr="00993936" w:rsidRDefault="00412AFB" w:rsidP="00C8678E">
            <w:pPr>
              <w:pStyle w:val="Textoindependiente"/>
              <w:rPr>
                <w:rFonts w:cs="Arial"/>
                <w:szCs w:val="22"/>
                <w:lang w:val="es-ES"/>
              </w:rPr>
            </w:pPr>
            <w:r w:rsidRPr="00993936">
              <w:rPr>
                <w:rFonts w:cs="Arial"/>
                <w:szCs w:val="22"/>
                <w:lang w:val="es-ES"/>
              </w:rPr>
              <w:t>Hexitiazox</w:t>
            </w:r>
            <w:r w:rsidR="00E03B3B" w:rsidRPr="00993936">
              <w:rPr>
                <w:rFonts w:cs="Arial"/>
                <w:szCs w:val="22"/>
                <w:lang w:val="es-ES"/>
              </w:rPr>
              <w:t xml:space="preserve"> </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Aceite parafínico </w:t>
            </w:r>
          </w:p>
          <w:p w:rsidR="00412AFB" w:rsidRPr="00993936" w:rsidRDefault="00412AFB" w:rsidP="00C8678E">
            <w:pPr>
              <w:pStyle w:val="Textoindependiente"/>
              <w:rPr>
                <w:rFonts w:cs="Arial"/>
                <w:szCs w:val="22"/>
                <w:lang w:val="es-ES"/>
              </w:rPr>
            </w:pPr>
            <w:r w:rsidRPr="00993936">
              <w:rPr>
                <w:rFonts w:cs="Arial"/>
                <w:szCs w:val="22"/>
                <w:lang w:val="es-ES"/>
              </w:rPr>
              <w:t>Polisulfuro de calcio</w:t>
            </w:r>
          </w:p>
          <w:p w:rsidR="00412AFB" w:rsidRPr="00993936" w:rsidRDefault="00412AFB" w:rsidP="00C8678E">
            <w:pPr>
              <w:pStyle w:val="Textoindependiente"/>
              <w:rPr>
                <w:rFonts w:cs="Arial"/>
                <w:szCs w:val="22"/>
                <w:lang w:val="es-ES"/>
              </w:rPr>
            </w:pPr>
            <w:r w:rsidRPr="00993936">
              <w:rPr>
                <w:rFonts w:cs="Arial"/>
                <w:szCs w:val="22"/>
                <w:lang w:val="es-ES"/>
              </w:rPr>
              <w:t>Azufre</w:t>
            </w:r>
          </w:p>
        </w:tc>
        <w:tc>
          <w:tcPr>
            <w:tcW w:w="1885" w:type="pct"/>
            <w:vMerge w:val="restart"/>
            <w:vAlign w:val="center"/>
          </w:tcPr>
          <w:p w:rsidR="00412AFB" w:rsidRPr="00993936" w:rsidRDefault="00412AFB" w:rsidP="009D1A2D">
            <w:pPr>
              <w:numPr>
                <w:ilvl w:val="0"/>
                <w:numId w:val="53"/>
              </w:numPr>
              <w:spacing w:after="0" w:line="240" w:lineRule="auto"/>
              <w:rPr>
                <w:rFonts w:ascii="Arial" w:hAnsi="Arial" w:cs="Arial"/>
                <w:lang w:val="es-ES"/>
              </w:rPr>
            </w:pPr>
            <w:r w:rsidRPr="00993936">
              <w:rPr>
                <w:rFonts w:ascii="Arial" w:hAnsi="Arial" w:cs="Arial"/>
                <w:lang w:val="es-ES"/>
              </w:rPr>
              <w:t>Máximo: 1 tratamiento/año</w:t>
            </w:r>
          </w:p>
          <w:p w:rsidR="00412AFB" w:rsidRPr="00993936" w:rsidRDefault="00412AFB" w:rsidP="009D1A2D">
            <w:pPr>
              <w:numPr>
                <w:ilvl w:val="0"/>
                <w:numId w:val="53"/>
              </w:numPr>
              <w:spacing w:after="0" w:line="240" w:lineRule="auto"/>
              <w:rPr>
                <w:rFonts w:ascii="Arial" w:hAnsi="Arial" w:cs="Arial"/>
                <w:lang w:val="es-ES"/>
              </w:rPr>
            </w:pPr>
            <w:r w:rsidRPr="00993936">
              <w:rPr>
                <w:rFonts w:ascii="Arial" w:hAnsi="Arial" w:cs="Arial"/>
                <w:lang w:val="es-ES"/>
              </w:rPr>
              <w:t>Máximo: 2 tratamientos/año</w:t>
            </w:r>
          </w:p>
          <w:p w:rsidR="00412AFB" w:rsidRPr="00993936" w:rsidRDefault="00412AFB" w:rsidP="009D1A2D">
            <w:pPr>
              <w:numPr>
                <w:ilvl w:val="0"/>
                <w:numId w:val="53"/>
              </w:numPr>
              <w:spacing w:after="0" w:line="240" w:lineRule="auto"/>
              <w:rPr>
                <w:rFonts w:ascii="Arial" w:hAnsi="Arial" w:cs="Arial"/>
                <w:lang w:val="es-ES"/>
              </w:rPr>
            </w:pPr>
            <w:r w:rsidRPr="00993936">
              <w:rPr>
                <w:rFonts w:ascii="Arial" w:hAnsi="Arial" w:cs="Arial"/>
                <w:lang w:val="es-ES"/>
              </w:rPr>
              <w:t>Máximo: 3 tratamientos/año</w:t>
            </w:r>
          </w:p>
          <w:p w:rsidR="00412AFB" w:rsidRPr="00993936" w:rsidRDefault="00412AFB" w:rsidP="009D1A2D">
            <w:pPr>
              <w:numPr>
                <w:ilvl w:val="0"/>
                <w:numId w:val="53"/>
              </w:numPr>
              <w:spacing w:after="0" w:line="240" w:lineRule="aut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9D1A2D">
            <w:pPr>
              <w:numPr>
                <w:ilvl w:val="0"/>
                <w:numId w:val="53"/>
              </w:numPr>
              <w:spacing w:after="0" w:line="240" w:lineRule="aut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p>
        </w:tc>
      </w:tr>
      <w:tr w:rsidR="00412AFB" w:rsidRPr="00993936" w:rsidTr="00C8678E">
        <w:trPr>
          <w:cantSplit/>
          <w:jc w:val="center"/>
        </w:trPr>
        <w:tc>
          <w:tcPr>
            <w:tcW w:w="1257"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Contra erinosis</w:t>
            </w:r>
          </w:p>
        </w:tc>
        <w:tc>
          <w:tcPr>
            <w:tcW w:w="1858"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 xml:space="preserve">Azadiractina </w:t>
            </w:r>
          </w:p>
          <w:p w:rsidR="00412AFB" w:rsidRPr="00993936" w:rsidRDefault="00412AFB" w:rsidP="00C8678E">
            <w:pPr>
              <w:pStyle w:val="Textoindependiente"/>
              <w:rPr>
                <w:rFonts w:cs="Arial"/>
                <w:szCs w:val="22"/>
                <w:lang w:val="es-ES"/>
              </w:rPr>
            </w:pPr>
            <w:r w:rsidRPr="00993936">
              <w:rPr>
                <w:rFonts w:cs="Arial"/>
                <w:szCs w:val="22"/>
                <w:lang w:val="es-ES"/>
              </w:rPr>
              <w:t>Polisulfuro de calcio</w:t>
            </w:r>
          </w:p>
          <w:p w:rsidR="00412AFB" w:rsidRPr="00993936" w:rsidRDefault="00412AFB" w:rsidP="00C8678E">
            <w:pPr>
              <w:pStyle w:val="Textoindependiente"/>
              <w:rPr>
                <w:rFonts w:cs="Arial"/>
                <w:szCs w:val="22"/>
                <w:lang w:val="es-ES"/>
              </w:rPr>
            </w:pPr>
            <w:r w:rsidRPr="00993936">
              <w:rPr>
                <w:rFonts w:cs="Arial"/>
                <w:szCs w:val="22"/>
                <w:lang w:val="es-ES"/>
              </w:rPr>
              <w:t>Azufre</w:t>
            </w:r>
          </w:p>
        </w:tc>
        <w:tc>
          <w:tcPr>
            <w:tcW w:w="1885" w:type="pct"/>
            <w:vMerge/>
          </w:tcPr>
          <w:p w:rsidR="00412AFB" w:rsidRPr="00993936" w:rsidRDefault="00412AFB" w:rsidP="00C8678E">
            <w:pPr>
              <w:pStyle w:val="Textoindependiente"/>
              <w:rPr>
                <w:rFonts w:cs="Arial"/>
                <w:b/>
                <w:szCs w:val="22"/>
                <w:lang w:val="es-ES"/>
              </w:rPr>
            </w:pPr>
          </w:p>
        </w:tc>
      </w:tr>
      <w:tr w:rsidR="00412AFB" w:rsidRPr="00993936" w:rsidTr="00C8678E">
        <w:trPr>
          <w:cantSplit/>
          <w:jc w:val="center"/>
        </w:trPr>
        <w:tc>
          <w:tcPr>
            <w:tcW w:w="1257"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Araña roja</w:t>
            </w:r>
          </w:p>
        </w:tc>
        <w:tc>
          <w:tcPr>
            <w:tcW w:w="1858" w:type="pct"/>
            <w:vAlign w:val="center"/>
          </w:tcPr>
          <w:p w:rsidR="00412AFB" w:rsidRPr="00993936" w:rsidRDefault="00412AFB" w:rsidP="00C8678E">
            <w:pPr>
              <w:pStyle w:val="Textoindependiente"/>
              <w:rPr>
                <w:rFonts w:cs="Arial"/>
                <w:szCs w:val="22"/>
                <w:lang w:val="es-ES"/>
              </w:rPr>
            </w:pPr>
            <w:r w:rsidRPr="00993936">
              <w:rPr>
                <w:rFonts w:cs="Arial"/>
                <w:szCs w:val="22"/>
                <w:lang w:val="es-ES"/>
              </w:rPr>
              <w:t xml:space="preserve">Acrinatín </w:t>
            </w:r>
          </w:p>
          <w:p w:rsidR="00412AFB" w:rsidRPr="00993936" w:rsidRDefault="00412AFB" w:rsidP="00C8678E">
            <w:pPr>
              <w:pStyle w:val="Textoindependiente"/>
              <w:rPr>
                <w:rFonts w:cs="Arial"/>
                <w:szCs w:val="22"/>
                <w:lang w:val="es-ES"/>
              </w:rPr>
            </w:pPr>
            <w:r w:rsidRPr="00993936">
              <w:rPr>
                <w:rFonts w:cs="Arial"/>
                <w:szCs w:val="22"/>
                <w:lang w:val="es-ES"/>
              </w:rPr>
              <w:t>Clofentezina</w:t>
            </w:r>
          </w:p>
          <w:p w:rsidR="00412AFB" w:rsidRPr="00993936" w:rsidRDefault="00412AFB" w:rsidP="00C8678E">
            <w:pPr>
              <w:pStyle w:val="Textoindependiente"/>
              <w:jc w:val="left"/>
              <w:rPr>
                <w:rFonts w:cs="Arial"/>
                <w:szCs w:val="22"/>
                <w:lang w:val="es-ES"/>
              </w:rPr>
            </w:pPr>
            <w:r w:rsidRPr="00993936">
              <w:rPr>
                <w:rFonts w:cs="Arial"/>
                <w:szCs w:val="22"/>
                <w:lang w:val="es-ES"/>
              </w:rPr>
              <w:t>Fenpiroximato (5)</w:t>
            </w:r>
          </w:p>
          <w:p w:rsidR="00412AFB" w:rsidRPr="00993936" w:rsidRDefault="00412AFB" w:rsidP="00C8678E">
            <w:pPr>
              <w:pStyle w:val="Textoindependiente"/>
              <w:rPr>
                <w:rFonts w:cs="Arial"/>
                <w:szCs w:val="22"/>
                <w:lang w:val="es-ES"/>
              </w:rPr>
            </w:pPr>
            <w:r w:rsidRPr="00993936">
              <w:rPr>
                <w:rFonts w:cs="Arial"/>
                <w:szCs w:val="22"/>
                <w:lang w:val="es-ES"/>
              </w:rPr>
              <w:t>Hexitiazox</w:t>
            </w:r>
            <w:r w:rsidR="00E03B3B" w:rsidRPr="00993936">
              <w:rPr>
                <w:rFonts w:cs="Arial"/>
                <w:szCs w:val="22"/>
                <w:lang w:val="es-ES"/>
              </w:rPr>
              <w:t xml:space="preserve"> </w:t>
            </w:r>
          </w:p>
          <w:p w:rsidR="00412AFB" w:rsidRPr="00993936" w:rsidRDefault="00412AFB" w:rsidP="00C8678E">
            <w:pPr>
              <w:pStyle w:val="Textoindependiente"/>
              <w:rPr>
                <w:rFonts w:cs="Arial"/>
                <w:szCs w:val="22"/>
                <w:lang w:val="es-ES"/>
              </w:rPr>
            </w:pPr>
          </w:p>
        </w:tc>
        <w:tc>
          <w:tcPr>
            <w:tcW w:w="1885" w:type="pct"/>
            <w:vMerge/>
          </w:tcPr>
          <w:p w:rsidR="00412AFB" w:rsidRPr="00993936" w:rsidRDefault="00412AFB" w:rsidP="00C8678E">
            <w:pPr>
              <w:pStyle w:val="Textoindependiente"/>
              <w:rPr>
                <w:rFonts w:cs="Arial"/>
                <w:b/>
                <w:szCs w:val="22"/>
                <w:lang w:val="es-ES"/>
              </w:rPr>
            </w:pPr>
          </w:p>
        </w:tc>
      </w:tr>
    </w:tbl>
    <w:p w:rsidR="00412AFB" w:rsidRPr="00993936" w:rsidRDefault="00412AFB" w:rsidP="00412AFB">
      <w:pPr>
        <w:spacing w:before="120"/>
        <w:jc w:val="both"/>
        <w:rPr>
          <w:rFonts w:ascii="Arial" w:hAnsi="Arial" w:cs="Arial"/>
          <w:b/>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3.2.4 Materias activas de acaricidas para la producción integrada de fruta de pepita con indicación del código de resistencia IRAC</w:t>
      </w:r>
    </w:p>
    <w:p w:rsidR="00412AFB" w:rsidRPr="00993936" w:rsidRDefault="00412AFB" w:rsidP="00412AFB">
      <w:pPr>
        <w:pStyle w:val="Textoindependiente2"/>
        <w:rPr>
          <w:rFonts w:cs="Arial"/>
          <w:sz w:val="22"/>
          <w:szCs w:val="22"/>
          <w:lang w:val="es-ES"/>
        </w:rPr>
      </w:pPr>
    </w:p>
    <w:p w:rsidR="00412AFB" w:rsidRPr="00993936" w:rsidRDefault="00412AFB" w:rsidP="00412AFB">
      <w:pPr>
        <w:pStyle w:val="Textoindependiente2"/>
        <w:rPr>
          <w:rFonts w:cs="Arial"/>
          <w:sz w:val="22"/>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TIPOS DE ACARICIDAS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C8678E">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p>
        </w:tc>
        <w:tc>
          <w:tcPr>
            <w:tcW w:w="2500" w:type="pct"/>
            <w:shd w:val="solid" w:color="C0C0C0" w:fill="auto"/>
          </w:tcPr>
          <w:p w:rsidR="00412AFB" w:rsidRPr="00993936" w:rsidRDefault="00412AFB" w:rsidP="00C8678E">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IRAC (*)</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6</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Acrinatrín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Azadiractina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UN</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i/>
                <w:lang w:val="es-ES" w:eastAsia="ca-ES"/>
              </w:rPr>
            </w:pPr>
            <w:r w:rsidRPr="00993936">
              <w:rPr>
                <w:rFonts w:ascii="Arial" w:hAnsi="Arial" w:cs="Arial"/>
                <w:i/>
                <w:lang w:val="es-ES" w:eastAsia="ca-ES"/>
              </w:rPr>
              <w:t>Beauveria bassiana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Clofentezina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Spiromesifén</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23</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Etoxazol</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10B</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Fenpiroximato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21B</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Milbemectina</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6</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NC</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Polisulfuro de calcio</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w:t>
            </w:r>
          </w:p>
        </w:tc>
      </w:tr>
      <w:tr w:rsidR="00412AFB" w:rsidRPr="00993936" w:rsidTr="00C8678E">
        <w:trPr>
          <w:trHeight w:val="270"/>
        </w:trPr>
        <w:tc>
          <w:tcPr>
            <w:tcW w:w="2500" w:type="pct"/>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Azufre</w:t>
            </w:r>
          </w:p>
        </w:tc>
        <w:tc>
          <w:tcPr>
            <w:tcW w:w="2500" w:type="pct"/>
            <w:shd w:val="solid" w:color="FFFFFF" w:fill="auto"/>
          </w:tcPr>
          <w:p w:rsidR="00412AFB" w:rsidRPr="00993936" w:rsidRDefault="00412AFB" w:rsidP="00C8678E">
            <w:pPr>
              <w:autoSpaceDE w:val="0"/>
              <w:autoSpaceDN w:val="0"/>
              <w:adjustRightInd w:val="0"/>
              <w:jc w:val="center"/>
              <w:rPr>
                <w:rFonts w:ascii="Arial" w:hAnsi="Arial" w:cs="Arial"/>
                <w:lang w:val="es-ES" w:eastAsia="ca-ES"/>
              </w:rPr>
            </w:pPr>
            <w:r w:rsidRPr="00993936">
              <w:rPr>
                <w:rFonts w:ascii="Arial" w:hAnsi="Arial" w:cs="Arial"/>
                <w:lang w:val="es-ES" w:eastAsia="ca-ES"/>
              </w:rPr>
              <w:t>M2</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412AFB" w:rsidRPr="00993936" w:rsidTr="00C8678E">
        <w:trPr>
          <w:trHeight w:val="270"/>
        </w:trPr>
        <w:tc>
          <w:tcPr>
            <w:tcW w:w="5000" w:type="pct"/>
            <w:gridSpan w:val="2"/>
            <w:shd w:val="solid" w:color="FFFFFF" w:fill="auto"/>
          </w:tcPr>
          <w:p w:rsidR="00412AFB" w:rsidRPr="00993936" w:rsidRDefault="00412AFB" w:rsidP="00C8678E">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a Insecticidas</w:t>
            </w:r>
          </w:p>
        </w:tc>
      </w:tr>
    </w:tbl>
    <w:p w:rsidR="00412AFB" w:rsidRPr="00993936" w:rsidRDefault="00412AFB" w:rsidP="00412AFB">
      <w:pPr>
        <w:jc w:val="both"/>
        <w:rPr>
          <w:rFonts w:ascii="Arial" w:hAnsi="Arial" w:cs="Arial"/>
          <w:lang w:val="es-ES"/>
        </w:rPr>
      </w:pPr>
    </w:p>
    <w:p w:rsidR="00412AFB" w:rsidRPr="00993936" w:rsidRDefault="00412AFB" w:rsidP="00412AFB">
      <w:pPr>
        <w:spacing w:before="120"/>
        <w:jc w:val="both"/>
        <w:rPr>
          <w:rFonts w:ascii="Arial" w:hAnsi="Arial" w:cs="Arial"/>
          <w:b/>
          <w:lang w:val="es-ES"/>
        </w:rPr>
      </w:pPr>
    </w:p>
    <w:p w:rsidR="00412AFB" w:rsidRPr="00993936" w:rsidRDefault="00412AFB" w:rsidP="00412AFB">
      <w:pPr>
        <w:rPr>
          <w:rFonts w:ascii="Arial" w:hAnsi="Arial" w:cs="Arial"/>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3.3. Materias activas de fungicidas para la producción integrada de fruta de pepita</w:t>
      </w: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3.3.1.- Manzanas</w:t>
      </w:r>
    </w:p>
    <w:p w:rsidR="00412AFB" w:rsidRPr="00993936" w:rsidRDefault="00412AFB" w:rsidP="00412AFB">
      <w:pPr>
        <w:jc w:val="both"/>
        <w:rPr>
          <w:rFonts w:ascii="Arial" w:hAnsi="Arial" w:cs="Arial"/>
          <w:b/>
          <w:snapToGrid w:val="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4"/>
        <w:gridCol w:w="3326"/>
        <w:gridCol w:w="3124"/>
      </w:tblGrid>
      <w:tr w:rsidR="00412AFB" w:rsidRPr="00993936" w:rsidTr="00C8678E">
        <w:trPr>
          <w:tblHeader/>
        </w:trPr>
        <w:tc>
          <w:tcPr>
            <w:tcW w:w="1269" w:type="pct"/>
            <w:shd w:val="pct12" w:color="auto" w:fill="FFFFFF"/>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ENFERMEDAD</w:t>
            </w:r>
          </w:p>
        </w:tc>
        <w:tc>
          <w:tcPr>
            <w:tcW w:w="1924" w:type="pct"/>
            <w:shd w:val="pct12" w:color="auto" w:fill="FFFFFF"/>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807" w:type="pct"/>
            <w:shd w:val="pct12" w:color="auto" w:fill="FFFFFF"/>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Height w:val="3968"/>
        </w:trPr>
        <w:tc>
          <w:tcPr>
            <w:tcW w:w="1269" w:type="pct"/>
          </w:tcPr>
          <w:p w:rsidR="00412AFB" w:rsidRPr="00993936" w:rsidRDefault="00671C98" w:rsidP="00C8678E">
            <w:pPr>
              <w:pStyle w:val="Ttulo2"/>
              <w:rPr>
                <w:rFonts w:ascii="Arial" w:hAnsi="Arial" w:cs="Arial"/>
                <w:snapToGrid w:val="0"/>
                <w:color w:val="auto"/>
                <w:sz w:val="22"/>
                <w:szCs w:val="22"/>
                <w:lang w:val="es-ES"/>
              </w:rPr>
            </w:pPr>
            <w:r w:rsidRPr="00993936">
              <w:rPr>
                <w:rFonts w:ascii="Arial" w:hAnsi="Arial" w:cs="Arial"/>
                <w:snapToGrid w:val="0"/>
                <w:color w:val="auto"/>
                <w:sz w:val="22"/>
                <w:szCs w:val="22"/>
                <w:lang w:val="es-ES"/>
              </w:rPr>
              <w:t>Oidio</w:t>
            </w:r>
          </w:p>
          <w:p w:rsidR="00412AFB" w:rsidRPr="00993936" w:rsidRDefault="00412AFB" w:rsidP="00C8678E">
            <w:pPr>
              <w:pStyle w:val="Ttulo9"/>
              <w:rPr>
                <w:rFonts w:ascii="Arial" w:hAnsi="Arial" w:cs="Arial"/>
                <w:color w:val="auto"/>
                <w:szCs w:val="22"/>
                <w:lang w:val="es-ES"/>
              </w:rPr>
            </w:pPr>
            <w:r w:rsidRPr="00993936">
              <w:rPr>
                <w:rFonts w:ascii="Arial" w:hAnsi="Arial" w:cs="Arial"/>
                <w:color w:val="auto"/>
                <w:szCs w:val="22"/>
                <w:lang w:val="es-ES"/>
              </w:rPr>
              <w:t>Podosphaera leucotricha</w:t>
            </w:r>
          </w:p>
          <w:p w:rsidR="00412AFB" w:rsidRPr="00993936" w:rsidRDefault="00412AFB" w:rsidP="00C8678E">
            <w:pPr>
              <w:rPr>
                <w:rFonts w:ascii="Arial" w:hAnsi="Arial" w:cs="Arial"/>
                <w:i/>
                <w:lang w:val="es-ES"/>
              </w:rPr>
            </w:pPr>
            <w:r w:rsidRPr="00993936">
              <w:rPr>
                <w:rFonts w:ascii="Arial" w:hAnsi="Arial" w:cs="Arial"/>
                <w:i/>
                <w:lang w:val="es-ES"/>
              </w:rPr>
              <w:t>Oidium farinosum</w:t>
            </w:r>
          </w:p>
        </w:tc>
        <w:tc>
          <w:tcPr>
            <w:tcW w:w="1924" w:type="pct"/>
          </w:tcPr>
          <w:p w:rsidR="00412AFB" w:rsidRPr="00993936" w:rsidRDefault="00412AFB" w:rsidP="00C8678E">
            <w:pPr>
              <w:pStyle w:val="Textoindependiente"/>
              <w:jc w:val="left"/>
              <w:rPr>
                <w:rFonts w:cs="Arial"/>
                <w:szCs w:val="22"/>
                <w:lang w:val="es-ES"/>
              </w:rPr>
            </w:pPr>
            <w:r w:rsidRPr="00993936">
              <w:rPr>
                <w:rFonts w:cs="Arial"/>
                <w:szCs w:val="22"/>
                <w:lang w:val="es-ES"/>
              </w:rPr>
              <w:t>Boscalida + Piraclostrobin (2)</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Bupirimat </w:t>
            </w:r>
          </w:p>
          <w:p w:rsidR="00412AFB" w:rsidRPr="00993936" w:rsidRDefault="00412AFB" w:rsidP="00C8678E">
            <w:pPr>
              <w:pStyle w:val="Textoindependiente"/>
              <w:jc w:val="left"/>
              <w:rPr>
                <w:rFonts w:cs="Arial"/>
                <w:szCs w:val="22"/>
                <w:lang w:val="es-ES"/>
              </w:rPr>
            </w:pPr>
            <w:r w:rsidRPr="00993936">
              <w:rPr>
                <w:rFonts w:cs="Arial"/>
                <w:szCs w:val="22"/>
                <w:lang w:val="es-ES"/>
              </w:rPr>
              <w:t>Ciflufenamida</w:t>
            </w:r>
          </w:p>
          <w:p w:rsidR="00412AFB" w:rsidRPr="00993936" w:rsidRDefault="00412AFB" w:rsidP="00C8678E">
            <w:pPr>
              <w:pStyle w:val="Textoindependiente"/>
              <w:tabs>
                <w:tab w:val="left" w:pos="1954"/>
              </w:tabs>
              <w:jc w:val="left"/>
              <w:rPr>
                <w:rFonts w:cs="Arial"/>
                <w:szCs w:val="22"/>
                <w:lang w:val="es-ES"/>
              </w:rPr>
            </w:pPr>
            <w:r w:rsidRPr="00993936">
              <w:rPr>
                <w:rFonts w:cs="Arial"/>
                <w:szCs w:val="22"/>
                <w:lang w:val="es-ES"/>
              </w:rPr>
              <w:t>Ciproconazole</w:t>
            </w:r>
            <w:r w:rsidR="00E03B3B" w:rsidRPr="00993936">
              <w:rPr>
                <w:rFonts w:cs="Arial"/>
                <w:szCs w:val="22"/>
                <w:lang w:val="es-ES"/>
              </w:rPr>
              <w:t xml:space="preserve"> </w:t>
            </w:r>
          </w:p>
          <w:p w:rsidR="00412AFB" w:rsidRPr="00993936" w:rsidRDefault="00412AFB" w:rsidP="00C8678E">
            <w:pPr>
              <w:pStyle w:val="Textoindependiente"/>
              <w:tabs>
                <w:tab w:val="left" w:pos="1954"/>
              </w:tabs>
              <w:jc w:val="left"/>
              <w:rPr>
                <w:rFonts w:cs="Arial"/>
                <w:szCs w:val="22"/>
                <w:lang w:val="es-ES"/>
              </w:rPr>
            </w:pPr>
            <w:r w:rsidRPr="00993936">
              <w:rPr>
                <w:rFonts w:cs="Arial"/>
                <w:szCs w:val="22"/>
                <w:lang w:val="es-ES"/>
              </w:rPr>
              <w:t>Clortalonil + Tetraconazole</w:t>
            </w:r>
          </w:p>
          <w:p w:rsidR="00412AFB" w:rsidRPr="00993936" w:rsidRDefault="00412AFB" w:rsidP="00C8678E">
            <w:pPr>
              <w:pStyle w:val="Textoindependiente"/>
              <w:tabs>
                <w:tab w:val="left" w:pos="1954"/>
              </w:tabs>
              <w:jc w:val="left"/>
              <w:rPr>
                <w:rFonts w:cs="Arial"/>
                <w:szCs w:val="22"/>
                <w:lang w:val="es-ES"/>
              </w:rPr>
            </w:pPr>
            <w:r w:rsidRPr="00993936">
              <w:rPr>
                <w:rFonts w:cs="Arial"/>
                <w:szCs w:val="22"/>
                <w:lang w:val="es-ES"/>
              </w:rPr>
              <w:t>Difenoconazole</w:t>
            </w:r>
          </w:p>
          <w:p w:rsidR="00412AFB" w:rsidRPr="00993936" w:rsidRDefault="00412AFB" w:rsidP="00962CCD">
            <w:pPr>
              <w:pStyle w:val="Textoindependiente"/>
              <w:tabs>
                <w:tab w:val="left" w:pos="1954"/>
              </w:tabs>
              <w:jc w:val="left"/>
              <w:rPr>
                <w:rFonts w:cs="Arial"/>
                <w:szCs w:val="22"/>
                <w:lang w:val="es-ES"/>
              </w:rPr>
            </w:pPr>
            <w:r w:rsidRPr="00993936">
              <w:rPr>
                <w:rFonts w:cs="Arial"/>
                <w:szCs w:val="22"/>
                <w:lang w:val="es-ES"/>
              </w:rPr>
              <w:t xml:space="preserve">Fluopiram </w:t>
            </w:r>
            <w:r w:rsidR="00962CCD" w:rsidRPr="00993936">
              <w:rPr>
                <w:rFonts w:cs="Arial"/>
                <w:szCs w:val="22"/>
                <w:lang w:val="es-ES"/>
              </w:rPr>
              <w:t>+</w:t>
            </w:r>
            <w:r w:rsidRPr="00993936">
              <w:rPr>
                <w:rFonts w:cs="Arial"/>
                <w:szCs w:val="22"/>
                <w:lang w:val="es-ES"/>
              </w:rPr>
              <w:t xml:space="preserve"> Tebuconazole</w:t>
            </w:r>
          </w:p>
          <w:p w:rsidR="00412AFB" w:rsidRPr="00993936" w:rsidRDefault="00412AFB" w:rsidP="00C8678E">
            <w:pPr>
              <w:pStyle w:val="Textoindependiente"/>
              <w:jc w:val="left"/>
              <w:rPr>
                <w:rFonts w:cs="Arial"/>
                <w:szCs w:val="22"/>
                <w:lang w:val="es-ES"/>
              </w:rPr>
            </w:pPr>
            <w:r w:rsidRPr="00993936">
              <w:rPr>
                <w:rFonts w:cs="Arial"/>
                <w:szCs w:val="22"/>
                <w:lang w:val="es-ES"/>
              </w:rPr>
              <w:t>Flutriafol (**)</w:t>
            </w:r>
            <w:r w:rsidR="00E03B3B" w:rsidRPr="00993936">
              <w:rPr>
                <w:rFonts w:cs="Arial"/>
                <w:szCs w:val="22"/>
                <w:lang w:val="es-ES"/>
              </w:rPr>
              <w:t xml:space="preserve"> </w:t>
            </w:r>
          </w:p>
          <w:p w:rsidR="00412AFB" w:rsidRPr="00993936" w:rsidRDefault="00412AFB" w:rsidP="00C8678E">
            <w:pPr>
              <w:pStyle w:val="Textoindependiente"/>
              <w:jc w:val="left"/>
              <w:rPr>
                <w:rFonts w:cs="Arial"/>
                <w:szCs w:val="22"/>
                <w:lang w:val="es-ES"/>
              </w:rPr>
            </w:pPr>
            <w:r w:rsidRPr="00993936">
              <w:rPr>
                <w:rFonts w:cs="Arial"/>
                <w:szCs w:val="22"/>
                <w:lang w:val="es-ES"/>
              </w:rPr>
              <w:t>Hexaconazole</w:t>
            </w:r>
          </w:p>
          <w:p w:rsidR="00412AFB" w:rsidRPr="00993936" w:rsidRDefault="00412AFB" w:rsidP="00C8678E">
            <w:pPr>
              <w:pStyle w:val="Textoindependiente"/>
              <w:jc w:val="left"/>
              <w:rPr>
                <w:rFonts w:cs="Arial"/>
                <w:szCs w:val="22"/>
                <w:lang w:val="es-ES"/>
              </w:rPr>
            </w:pPr>
            <w:r w:rsidRPr="00993936">
              <w:rPr>
                <w:rFonts w:cs="Arial"/>
                <w:szCs w:val="22"/>
                <w:lang w:val="es-ES"/>
              </w:rPr>
              <w:t>Kresoxim-metil (3)</w:t>
            </w:r>
          </w:p>
          <w:p w:rsidR="00412AFB" w:rsidRPr="00993936" w:rsidRDefault="00412AFB" w:rsidP="00C8678E">
            <w:pPr>
              <w:pStyle w:val="Textoindependiente"/>
              <w:jc w:val="left"/>
              <w:rPr>
                <w:rFonts w:cs="Arial"/>
                <w:szCs w:val="22"/>
                <w:lang w:val="es-ES"/>
              </w:rPr>
            </w:pPr>
            <w:r w:rsidRPr="00993936">
              <w:rPr>
                <w:rFonts w:cs="Arial"/>
                <w:szCs w:val="22"/>
                <w:lang w:val="es-ES"/>
              </w:rPr>
              <w:t>Mancozeb + Metil-tiofanato (^)</w:t>
            </w:r>
          </w:p>
          <w:p w:rsidR="00412AFB" w:rsidRPr="00993936" w:rsidRDefault="00412AFB" w:rsidP="00C8678E">
            <w:pPr>
              <w:pStyle w:val="Textoindependiente"/>
              <w:jc w:val="left"/>
              <w:rPr>
                <w:rFonts w:cs="Arial"/>
                <w:szCs w:val="22"/>
                <w:lang w:val="es-ES"/>
              </w:rPr>
            </w:pPr>
            <w:r w:rsidRPr="00993936">
              <w:rPr>
                <w:rFonts w:cs="Arial"/>
                <w:szCs w:val="22"/>
                <w:lang w:val="es-ES"/>
              </w:rPr>
              <w:t>Metil-tiofanato (^)</w:t>
            </w:r>
          </w:p>
          <w:p w:rsidR="00412AFB" w:rsidRPr="00993936" w:rsidRDefault="00412AFB" w:rsidP="00C8678E">
            <w:pPr>
              <w:pStyle w:val="Textoindependiente"/>
              <w:tabs>
                <w:tab w:val="left" w:pos="1710"/>
              </w:tabs>
              <w:jc w:val="left"/>
              <w:rPr>
                <w:rFonts w:cs="Arial"/>
                <w:szCs w:val="22"/>
                <w:lang w:val="es-ES"/>
              </w:rPr>
            </w:pPr>
            <w:r w:rsidRPr="00993936">
              <w:rPr>
                <w:rFonts w:cs="Arial"/>
                <w:szCs w:val="22"/>
                <w:lang w:val="es-ES"/>
              </w:rPr>
              <w:t>Miclobutanil</w:t>
            </w:r>
            <w:r w:rsidR="00E03B3B" w:rsidRPr="00993936">
              <w:rPr>
                <w:rFonts w:cs="Arial"/>
                <w:szCs w:val="22"/>
                <w:lang w:val="es-ES"/>
              </w:rPr>
              <w:t xml:space="preserve"> </w:t>
            </w:r>
          </w:p>
          <w:p w:rsidR="00412AFB" w:rsidRPr="00993936" w:rsidRDefault="00412AFB" w:rsidP="00C8678E">
            <w:pPr>
              <w:pStyle w:val="Textoindependiente"/>
              <w:jc w:val="left"/>
              <w:rPr>
                <w:rFonts w:cs="Arial"/>
                <w:szCs w:val="22"/>
                <w:lang w:val="es-ES"/>
              </w:rPr>
            </w:pPr>
            <w:r w:rsidRPr="00993936">
              <w:rPr>
                <w:rFonts w:cs="Arial"/>
                <w:szCs w:val="22"/>
                <w:lang w:val="es-ES"/>
              </w:rPr>
              <w:t>Penconazole</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Polisulfuro de calcio </w:t>
            </w:r>
          </w:p>
          <w:p w:rsidR="00412AFB" w:rsidRPr="00993936" w:rsidRDefault="00412AFB" w:rsidP="00C8678E">
            <w:pPr>
              <w:pStyle w:val="Textoindependiente"/>
              <w:jc w:val="left"/>
              <w:rPr>
                <w:rFonts w:cs="Arial"/>
                <w:szCs w:val="22"/>
                <w:lang w:val="es-ES"/>
              </w:rPr>
            </w:pPr>
            <w:r w:rsidRPr="00993936">
              <w:rPr>
                <w:rFonts w:cs="Arial"/>
                <w:szCs w:val="22"/>
                <w:lang w:val="es-ES"/>
              </w:rPr>
              <w:t>Quinoxifen</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Azufre </w:t>
            </w:r>
          </w:p>
          <w:p w:rsidR="00412AFB" w:rsidRPr="00993936" w:rsidRDefault="00412AFB" w:rsidP="00C8678E">
            <w:pPr>
              <w:pStyle w:val="Textoindependiente"/>
              <w:jc w:val="left"/>
              <w:rPr>
                <w:rFonts w:cs="Arial"/>
                <w:szCs w:val="22"/>
                <w:lang w:val="es-ES"/>
              </w:rPr>
            </w:pPr>
            <w:r w:rsidRPr="00993936">
              <w:rPr>
                <w:rFonts w:cs="Arial"/>
                <w:szCs w:val="22"/>
                <w:lang w:val="es-ES"/>
              </w:rPr>
              <w:t>Azufre + Ciproconazole</w:t>
            </w:r>
          </w:p>
          <w:p w:rsidR="00412AFB" w:rsidRPr="00993936" w:rsidRDefault="00412AFB" w:rsidP="00C8678E">
            <w:pPr>
              <w:pStyle w:val="Textoindependiente"/>
              <w:jc w:val="left"/>
              <w:rPr>
                <w:rFonts w:cs="Arial"/>
                <w:szCs w:val="22"/>
                <w:lang w:val="es-ES"/>
              </w:rPr>
            </w:pPr>
            <w:r w:rsidRPr="00993936">
              <w:rPr>
                <w:rFonts w:cs="Arial"/>
                <w:szCs w:val="22"/>
                <w:lang w:val="es-ES"/>
              </w:rPr>
              <w:t>Azufre + Oxicloruro de cobre</w:t>
            </w:r>
          </w:p>
          <w:p w:rsidR="00412AFB" w:rsidRPr="00993936" w:rsidRDefault="00412AFB" w:rsidP="00C8678E">
            <w:pPr>
              <w:pStyle w:val="Textoindependiente"/>
              <w:jc w:val="left"/>
              <w:rPr>
                <w:rFonts w:cs="Arial"/>
                <w:szCs w:val="22"/>
                <w:lang w:val="es-ES"/>
              </w:rPr>
            </w:pPr>
            <w:r w:rsidRPr="00993936">
              <w:rPr>
                <w:rFonts w:cs="Arial"/>
                <w:szCs w:val="22"/>
                <w:lang w:val="es-ES"/>
              </w:rPr>
              <w:t>Tebuconazole</w:t>
            </w:r>
          </w:p>
          <w:p w:rsidR="00412AFB" w:rsidRPr="00993936" w:rsidRDefault="00412AFB" w:rsidP="00C8678E">
            <w:pPr>
              <w:pStyle w:val="Textoindependiente"/>
              <w:jc w:val="left"/>
              <w:rPr>
                <w:rFonts w:cs="Arial"/>
                <w:szCs w:val="22"/>
                <w:lang w:val="es-ES"/>
              </w:rPr>
            </w:pPr>
            <w:r w:rsidRPr="00993936">
              <w:rPr>
                <w:rFonts w:cs="Arial"/>
                <w:szCs w:val="22"/>
                <w:lang w:val="es-ES"/>
              </w:rPr>
              <w:t>Tetraconazole (**)</w:t>
            </w:r>
          </w:p>
          <w:p w:rsidR="00412AFB" w:rsidRPr="00993936" w:rsidRDefault="00412AFB" w:rsidP="00C8678E">
            <w:pPr>
              <w:pStyle w:val="Textoindependiente"/>
              <w:jc w:val="left"/>
              <w:rPr>
                <w:rFonts w:cs="Arial"/>
                <w:szCs w:val="22"/>
                <w:lang w:val="es-ES"/>
              </w:rPr>
            </w:pPr>
            <w:r w:rsidRPr="00993936">
              <w:rPr>
                <w:rFonts w:cs="Arial"/>
                <w:szCs w:val="22"/>
                <w:lang w:val="es-ES"/>
              </w:rPr>
              <w:t>Triadimenol (**)</w:t>
            </w:r>
          </w:p>
          <w:p w:rsidR="00412AFB" w:rsidRPr="00993936" w:rsidRDefault="00412AFB" w:rsidP="00C8678E">
            <w:pPr>
              <w:pStyle w:val="Textoindependiente"/>
              <w:jc w:val="left"/>
              <w:rPr>
                <w:rFonts w:cs="Arial"/>
                <w:szCs w:val="22"/>
                <w:lang w:val="es-ES"/>
              </w:rPr>
            </w:pPr>
            <w:r w:rsidRPr="00993936">
              <w:rPr>
                <w:rFonts w:cs="Arial"/>
                <w:szCs w:val="22"/>
                <w:lang w:val="es-ES"/>
              </w:rPr>
              <w:t>Trifloxistrobina</w:t>
            </w:r>
          </w:p>
        </w:tc>
        <w:tc>
          <w:tcPr>
            <w:tcW w:w="1807" w:type="pct"/>
            <w:vMerge w:val="restart"/>
            <w:vAlign w:val="center"/>
          </w:tcPr>
          <w:p w:rsidR="00412AFB" w:rsidRPr="00993936" w:rsidRDefault="00412AFB" w:rsidP="009D1A2D">
            <w:pPr>
              <w:numPr>
                <w:ilvl w:val="0"/>
                <w:numId w:val="54"/>
              </w:numPr>
              <w:spacing w:after="0" w:line="240" w:lineRule="auto"/>
              <w:rPr>
                <w:rFonts w:ascii="Arial" w:hAnsi="Arial" w:cs="Arial"/>
                <w:lang w:val="es-ES"/>
              </w:rPr>
            </w:pPr>
            <w:r w:rsidRPr="00993936">
              <w:rPr>
                <w:rFonts w:ascii="Arial" w:hAnsi="Arial" w:cs="Arial"/>
                <w:lang w:val="es-ES"/>
              </w:rPr>
              <w:t>Máximo: 1 tratamiento/año</w:t>
            </w:r>
          </w:p>
          <w:p w:rsidR="00412AFB" w:rsidRPr="00993936" w:rsidRDefault="00412AFB" w:rsidP="009D1A2D">
            <w:pPr>
              <w:numPr>
                <w:ilvl w:val="0"/>
                <w:numId w:val="54"/>
              </w:numPr>
              <w:spacing w:after="0" w:line="240" w:lineRule="auto"/>
              <w:rPr>
                <w:rFonts w:ascii="Arial" w:hAnsi="Arial" w:cs="Arial"/>
                <w:lang w:val="es-ES"/>
              </w:rPr>
            </w:pPr>
            <w:r w:rsidRPr="00993936">
              <w:rPr>
                <w:rFonts w:ascii="Arial" w:hAnsi="Arial" w:cs="Arial"/>
                <w:lang w:val="es-ES"/>
              </w:rPr>
              <w:t>Máximo: 2 tratamientos/año</w:t>
            </w:r>
          </w:p>
          <w:p w:rsidR="00412AFB" w:rsidRPr="00993936" w:rsidRDefault="00412AFB" w:rsidP="009D1A2D">
            <w:pPr>
              <w:numPr>
                <w:ilvl w:val="0"/>
                <w:numId w:val="54"/>
              </w:numPr>
              <w:spacing w:after="0" w:line="240" w:lineRule="auto"/>
              <w:rPr>
                <w:rFonts w:ascii="Arial" w:hAnsi="Arial" w:cs="Arial"/>
                <w:lang w:val="es-ES"/>
              </w:rPr>
            </w:pPr>
            <w:r w:rsidRPr="00993936">
              <w:rPr>
                <w:rFonts w:ascii="Arial" w:hAnsi="Arial" w:cs="Arial"/>
                <w:lang w:val="es-ES"/>
              </w:rPr>
              <w:t>Máximo 3 tratamientos/año</w:t>
            </w:r>
          </w:p>
          <w:p w:rsidR="00412AFB" w:rsidRPr="00993936" w:rsidRDefault="00412AFB" w:rsidP="009D1A2D">
            <w:pPr>
              <w:numPr>
                <w:ilvl w:val="0"/>
                <w:numId w:val="54"/>
              </w:numPr>
              <w:spacing w:after="0" w:line="240" w:lineRule="aut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C8678E">
            <w:pPr>
              <w:jc w:val="both"/>
              <w:rPr>
                <w:rFonts w:ascii="Arial" w:hAnsi="Arial" w:cs="Arial"/>
                <w:snapToGrid w:val="0"/>
                <w:lang w:val="es-ES"/>
              </w:rPr>
            </w:pPr>
          </w:p>
          <w:p w:rsidR="00412AFB" w:rsidRPr="00993936" w:rsidRDefault="00412AFB" w:rsidP="00C8678E">
            <w:pPr>
              <w:jc w:val="both"/>
              <w:rPr>
                <w:rFonts w:ascii="Arial" w:hAnsi="Arial" w:cs="Arial"/>
                <w:snapToGrid w:val="0"/>
                <w:lang w:val="es-ES"/>
              </w:rPr>
            </w:pPr>
          </w:p>
          <w:p w:rsidR="00412AFB" w:rsidRPr="00993936" w:rsidRDefault="00412AFB" w:rsidP="00C8678E">
            <w:pPr>
              <w:jc w:val="both"/>
              <w:rPr>
                <w:rFonts w:ascii="Arial" w:hAnsi="Arial" w:cs="Arial"/>
                <w:lang w:val="es-ES"/>
              </w:rPr>
            </w:pPr>
            <w:r w:rsidRPr="00993936">
              <w:rPr>
                <w:rFonts w:ascii="Arial" w:hAnsi="Arial" w:cs="Arial"/>
                <w:lang w:val="es-ES"/>
              </w:rPr>
              <w:t>(*) A partir de la fecha límite de autorización de la materia activa, el LMR (límite máximo de residuos) baja al LD ​​(límite de detección)</w:t>
            </w:r>
          </w:p>
          <w:p w:rsidR="00412AFB" w:rsidRPr="00993936" w:rsidRDefault="00412AFB" w:rsidP="00C8678E">
            <w:pPr>
              <w:jc w:val="both"/>
              <w:rPr>
                <w:rFonts w:ascii="Arial" w:hAnsi="Arial" w:cs="Arial"/>
                <w:lang w:val="es-ES"/>
              </w:rPr>
            </w:pPr>
          </w:p>
          <w:p w:rsidR="00412AFB" w:rsidRPr="00993936" w:rsidRDefault="00412AFB" w:rsidP="00C8678E">
            <w:pPr>
              <w:jc w:val="both"/>
              <w:rPr>
                <w:rFonts w:ascii="Arial" w:hAnsi="Arial" w:cs="Arial"/>
                <w:lang w:val="es-ES"/>
              </w:rPr>
            </w:pPr>
            <w:r w:rsidRPr="00993936">
              <w:rPr>
                <w:rFonts w:ascii="Arial" w:hAnsi="Arial" w:cs="Arial"/>
                <w:lang w:val="es-ES"/>
              </w:rPr>
              <w:t>(**) El LMR coincide con LD</w:t>
            </w:r>
          </w:p>
          <w:p w:rsidR="00412AFB" w:rsidRPr="00993936" w:rsidRDefault="00412AFB" w:rsidP="00C8678E">
            <w:pPr>
              <w:jc w:val="both"/>
              <w:rPr>
                <w:rFonts w:ascii="Arial" w:hAnsi="Arial" w:cs="Arial"/>
                <w:lang w:val="es-ES"/>
              </w:rPr>
            </w:pPr>
            <w:r w:rsidRPr="00993936">
              <w:rPr>
                <w:rFonts w:ascii="Arial" w:hAnsi="Arial" w:cs="Arial"/>
                <w:lang w:val="es-ES"/>
              </w:rPr>
              <w:t>(^) La materia activa metil-tiofanato se degrada en carbendazima</w:t>
            </w:r>
          </w:p>
          <w:p w:rsidR="00412AFB" w:rsidRPr="00993936" w:rsidRDefault="00412AFB" w:rsidP="00C8678E">
            <w:pPr>
              <w:jc w:val="both"/>
              <w:rPr>
                <w:rFonts w:ascii="Arial" w:hAnsi="Arial" w:cs="Arial"/>
                <w:lang w:val="es-ES"/>
              </w:rPr>
            </w:pPr>
          </w:p>
        </w:tc>
      </w:tr>
      <w:tr w:rsidR="00412AFB" w:rsidRPr="00993936" w:rsidTr="00C8678E">
        <w:trPr>
          <w:cantSplit/>
          <w:trHeight w:val="1335"/>
        </w:trPr>
        <w:tc>
          <w:tcPr>
            <w:tcW w:w="1269" w:type="pct"/>
            <w:vMerge w:val="restart"/>
          </w:tcPr>
          <w:p w:rsidR="00412AFB" w:rsidRPr="00993936" w:rsidRDefault="00412AFB" w:rsidP="00C8678E">
            <w:pPr>
              <w:pStyle w:val="Ttulo2"/>
              <w:rPr>
                <w:rFonts w:ascii="Arial" w:hAnsi="Arial" w:cs="Arial"/>
                <w:snapToGrid w:val="0"/>
                <w:color w:val="auto"/>
                <w:sz w:val="22"/>
                <w:szCs w:val="22"/>
                <w:lang w:val="es-ES"/>
              </w:rPr>
            </w:pPr>
            <w:r w:rsidRPr="00993936">
              <w:rPr>
                <w:rFonts w:ascii="Arial" w:hAnsi="Arial" w:cs="Arial"/>
                <w:snapToGrid w:val="0"/>
                <w:color w:val="auto"/>
                <w:sz w:val="22"/>
                <w:szCs w:val="22"/>
                <w:lang w:val="es-ES"/>
              </w:rPr>
              <w:t>Moteado</w:t>
            </w:r>
          </w:p>
          <w:p w:rsidR="00412AFB" w:rsidRPr="00993936" w:rsidRDefault="00412AFB" w:rsidP="00C8678E">
            <w:pPr>
              <w:pStyle w:val="Ttulo7"/>
              <w:rPr>
                <w:rFonts w:ascii="Arial" w:hAnsi="Arial" w:cs="Arial"/>
                <w:snapToGrid w:val="0"/>
                <w:color w:val="auto"/>
                <w:lang w:val="es-ES"/>
              </w:rPr>
            </w:pPr>
            <w:r w:rsidRPr="00993936">
              <w:rPr>
                <w:rFonts w:ascii="Arial" w:hAnsi="Arial" w:cs="Arial"/>
                <w:snapToGrid w:val="0"/>
                <w:color w:val="auto"/>
                <w:lang w:val="es-ES"/>
              </w:rPr>
              <w:t>Venturia inaequalis</w:t>
            </w:r>
          </w:p>
        </w:tc>
        <w:tc>
          <w:tcPr>
            <w:tcW w:w="1924" w:type="pct"/>
            <w:vMerge w:val="restart"/>
          </w:tcPr>
          <w:p w:rsidR="00412AFB" w:rsidRPr="00993936" w:rsidRDefault="00412AFB" w:rsidP="00C8678E">
            <w:pPr>
              <w:pStyle w:val="Textoindependiente"/>
              <w:jc w:val="left"/>
              <w:rPr>
                <w:rFonts w:cs="Arial"/>
                <w:i/>
                <w:szCs w:val="22"/>
                <w:lang w:val="es-ES"/>
              </w:rPr>
            </w:pPr>
            <w:r w:rsidRPr="00993936">
              <w:rPr>
                <w:rFonts w:cs="Arial"/>
                <w:i/>
                <w:szCs w:val="22"/>
                <w:lang w:val="es-ES"/>
              </w:rPr>
              <w:t>Bacillus subtilis</w:t>
            </w:r>
          </w:p>
          <w:p w:rsidR="00412AFB" w:rsidRPr="00993936" w:rsidRDefault="00412AFB" w:rsidP="00C8678E">
            <w:pPr>
              <w:pStyle w:val="Textoindependiente"/>
              <w:jc w:val="left"/>
              <w:rPr>
                <w:rFonts w:cs="Arial"/>
                <w:szCs w:val="22"/>
                <w:lang w:val="es-ES"/>
              </w:rPr>
            </w:pPr>
            <w:r w:rsidRPr="00993936">
              <w:rPr>
                <w:rFonts w:cs="Arial"/>
                <w:szCs w:val="22"/>
                <w:lang w:val="es-ES"/>
              </w:rPr>
              <w:t>Boscalida + Piraclostrobin (2)</w:t>
            </w:r>
          </w:p>
          <w:p w:rsidR="00412AFB" w:rsidRPr="00993936" w:rsidRDefault="00412AFB" w:rsidP="00C8678E">
            <w:pPr>
              <w:pStyle w:val="Textoindependiente"/>
              <w:tabs>
                <w:tab w:val="center" w:pos="1430"/>
              </w:tabs>
              <w:jc w:val="left"/>
              <w:rPr>
                <w:rFonts w:cs="Arial"/>
                <w:szCs w:val="22"/>
                <w:lang w:val="es-ES"/>
              </w:rPr>
            </w:pPr>
            <w:r w:rsidRPr="00993936">
              <w:rPr>
                <w:rFonts w:cs="Arial"/>
                <w:szCs w:val="22"/>
                <w:lang w:val="es-ES"/>
              </w:rPr>
              <w:t xml:space="preserve">Captan </w:t>
            </w:r>
          </w:p>
          <w:p w:rsidR="00412AFB" w:rsidRPr="00993936" w:rsidRDefault="00412AFB" w:rsidP="00C8678E">
            <w:pPr>
              <w:pStyle w:val="Textoindependiente"/>
              <w:tabs>
                <w:tab w:val="center" w:pos="1430"/>
              </w:tabs>
              <w:jc w:val="left"/>
              <w:rPr>
                <w:rFonts w:cs="Arial"/>
                <w:szCs w:val="22"/>
                <w:lang w:val="es-ES"/>
              </w:rPr>
            </w:pPr>
            <w:r w:rsidRPr="00993936">
              <w:rPr>
                <w:rFonts w:cs="Arial"/>
                <w:szCs w:val="22"/>
                <w:lang w:val="es-ES"/>
              </w:rPr>
              <w:t>Captan + Trifloxistrobina</w:t>
            </w:r>
          </w:p>
          <w:p w:rsidR="00412AFB" w:rsidRPr="00993936" w:rsidRDefault="00412AFB" w:rsidP="00C8678E">
            <w:pPr>
              <w:pStyle w:val="Textoindependiente"/>
              <w:tabs>
                <w:tab w:val="center" w:pos="1430"/>
              </w:tabs>
              <w:jc w:val="left"/>
              <w:rPr>
                <w:rFonts w:cs="Arial"/>
                <w:szCs w:val="22"/>
                <w:lang w:val="es-ES"/>
              </w:rPr>
            </w:pPr>
            <w:r w:rsidRPr="00993936">
              <w:rPr>
                <w:rFonts w:cs="Arial"/>
                <w:szCs w:val="22"/>
                <w:lang w:val="es-ES"/>
              </w:rPr>
              <w:t>Carbamato de hidrógeno de potasio</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Ciproconazole </w:t>
            </w:r>
          </w:p>
          <w:p w:rsidR="00412AFB" w:rsidRPr="00993936" w:rsidRDefault="00412AFB" w:rsidP="00C8678E">
            <w:pPr>
              <w:pStyle w:val="Textoindependiente"/>
              <w:jc w:val="left"/>
              <w:rPr>
                <w:rFonts w:cs="Arial"/>
                <w:szCs w:val="22"/>
                <w:lang w:val="es-ES"/>
              </w:rPr>
            </w:pPr>
            <w:r w:rsidRPr="00993936">
              <w:rPr>
                <w:rFonts w:cs="Arial"/>
                <w:szCs w:val="22"/>
                <w:lang w:val="es-ES"/>
              </w:rPr>
              <w:t>Ciprodinil</w:t>
            </w:r>
          </w:p>
          <w:p w:rsidR="00412AFB" w:rsidRPr="00993936" w:rsidRDefault="00412AFB" w:rsidP="00C8678E">
            <w:pPr>
              <w:pStyle w:val="Textoindependiente"/>
              <w:jc w:val="left"/>
              <w:rPr>
                <w:rFonts w:cs="Arial"/>
                <w:szCs w:val="22"/>
                <w:lang w:val="es-ES"/>
              </w:rPr>
            </w:pPr>
            <w:r w:rsidRPr="00993936">
              <w:rPr>
                <w:rFonts w:cs="Arial"/>
                <w:szCs w:val="22"/>
                <w:lang w:val="es-ES"/>
              </w:rPr>
              <w:t>Ciprodinil + Fludioxonil</w:t>
            </w:r>
          </w:p>
          <w:p w:rsidR="00412AFB" w:rsidRPr="00993936" w:rsidRDefault="00412AFB" w:rsidP="00C8678E">
            <w:pPr>
              <w:pStyle w:val="Textoindependiente"/>
              <w:jc w:val="left"/>
              <w:rPr>
                <w:rFonts w:cs="Arial"/>
                <w:szCs w:val="22"/>
                <w:lang w:val="es-ES"/>
              </w:rPr>
            </w:pPr>
            <w:r w:rsidRPr="00993936">
              <w:rPr>
                <w:rFonts w:cs="Arial"/>
                <w:szCs w:val="22"/>
                <w:lang w:val="es-ES"/>
              </w:rPr>
              <w:t>Clortalonil (4)</w:t>
            </w:r>
          </w:p>
          <w:p w:rsidR="00412AFB" w:rsidRPr="00993936" w:rsidRDefault="00412AFB" w:rsidP="00C8678E">
            <w:pPr>
              <w:pStyle w:val="Textoindependiente"/>
              <w:jc w:val="left"/>
              <w:rPr>
                <w:rFonts w:cs="Arial"/>
                <w:szCs w:val="22"/>
                <w:lang w:val="es-ES"/>
              </w:rPr>
            </w:pPr>
            <w:r w:rsidRPr="00993936">
              <w:rPr>
                <w:rFonts w:cs="Arial"/>
                <w:szCs w:val="22"/>
                <w:lang w:val="es-ES"/>
              </w:rPr>
              <w:t>Clortalonil + Tetraconazole</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Difenoconazole </w:t>
            </w:r>
          </w:p>
          <w:p w:rsidR="00412AFB" w:rsidRPr="00993936" w:rsidRDefault="00412AFB" w:rsidP="00C8678E">
            <w:pPr>
              <w:pStyle w:val="Textoindependiente"/>
              <w:tabs>
                <w:tab w:val="center" w:pos="1430"/>
              </w:tabs>
              <w:jc w:val="left"/>
              <w:rPr>
                <w:rFonts w:cs="Arial"/>
                <w:szCs w:val="22"/>
                <w:lang w:val="es-ES"/>
              </w:rPr>
            </w:pPr>
            <w:r w:rsidRPr="00993936">
              <w:rPr>
                <w:rFonts w:cs="Arial"/>
                <w:szCs w:val="22"/>
                <w:lang w:val="es-ES"/>
              </w:rPr>
              <w:t>Ditianona</w:t>
            </w:r>
            <w:r w:rsidR="00E03B3B" w:rsidRPr="00993936">
              <w:rPr>
                <w:rFonts w:cs="Arial"/>
                <w:szCs w:val="22"/>
                <w:lang w:val="es-ES"/>
              </w:rPr>
              <w:t xml:space="preserve"> </w:t>
            </w:r>
          </w:p>
          <w:p w:rsidR="00412AFB" w:rsidRPr="00993936" w:rsidRDefault="00412AFB" w:rsidP="00C8678E">
            <w:pPr>
              <w:pStyle w:val="Textoindependiente"/>
              <w:tabs>
                <w:tab w:val="center" w:pos="1430"/>
              </w:tabs>
              <w:jc w:val="left"/>
              <w:rPr>
                <w:rFonts w:cs="Arial"/>
                <w:szCs w:val="22"/>
                <w:lang w:val="es-ES"/>
              </w:rPr>
            </w:pPr>
            <w:r w:rsidRPr="00993936">
              <w:rPr>
                <w:rFonts w:cs="Arial"/>
                <w:szCs w:val="22"/>
                <w:lang w:val="es-ES"/>
              </w:rPr>
              <w:t xml:space="preserve">Ditianona + Pirimetanil </w:t>
            </w:r>
          </w:p>
          <w:p w:rsidR="00412AFB" w:rsidRPr="00993936" w:rsidRDefault="00412AFB" w:rsidP="00C8678E">
            <w:pPr>
              <w:pStyle w:val="Textoindependiente"/>
              <w:tabs>
                <w:tab w:val="center" w:pos="1430"/>
              </w:tabs>
              <w:jc w:val="left"/>
              <w:rPr>
                <w:rFonts w:cs="Arial"/>
                <w:szCs w:val="22"/>
                <w:lang w:val="es-ES"/>
              </w:rPr>
            </w:pPr>
            <w:r w:rsidRPr="00993936">
              <w:rPr>
                <w:rFonts w:cs="Arial"/>
                <w:szCs w:val="22"/>
                <w:lang w:val="es-ES"/>
              </w:rPr>
              <w:t>Dodina (4)</w:t>
            </w:r>
            <w:r w:rsidR="00E03B3B" w:rsidRPr="00993936">
              <w:rPr>
                <w:rFonts w:cs="Arial"/>
                <w:szCs w:val="22"/>
                <w:lang w:val="es-ES"/>
              </w:rPr>
              <w:t xml:space="preserve"> </w:t>
            </w:r>
          </w:p>
          <w:p w:rsidR="00412AFB" w:rsidRPr="00993936" w:rsidRDefault="00412AFB" w:rsidP="00C8678E">
            <w:pPr>
              <w:pStyle w:val="Textoindependiente"/>
              <w:tabs>
                <w:tab w:val="left" w:pos="1430"/>
              </w:tabs>
              <w:jc w:val="left"/>
              <w:rPr>
                <w:rFonts w:cs="Arial"/>
                <w:szCs w:val="22"/>
                <w:lang w:val="es-ES"/>
              </w:rPr>
            </w:pPr>
            <w:r w:rsidRPr="00993936">
              <w:rPr>
                <w:rFonts w:cs="Arial"/>
                <w:szCs w:val="22"/>
                <w:lang w:val="es-ES"/>
              </w:rPr>
              <w:lastRenderedPageBreak/>
              <w:t>Fenbuconazole</w:t>
            </w:r>
            <w:r w:rsidR="00E03B3B" w:rsidRPr="00993936">
              <w:rPr>
                <w:rFonts w:cs="Arial"/>
                <w:szCs w:val="22"/>
                <w:lang w:val="es-ES"/>
              </w:rPr>
              <w:t xml:space="preserve"> </w:t>
            </w:r>
          </w:p>
          <w:p w:rsidR="00412AFB" w:rsidRPr="00993936" w:rsidRDefault="00962CCD" w:rsidP="00C8678E">
            <w:pPr>
              <w:pStyle w:val="Textoindependiente"/>
              <w:tabs>
                <w:tab w:val="left" w:pos="1954"/>
              </w:tabs>
              <w:jc w:val="left"/>
              <w:rPr>
                <w:rFonts w:cs="Arial"/>
                <w:szCs w:val="22"/>
                <w:lang w:val="es-ES"/>
              </w:rPr>
            </w:pPr>
            <w:r w:rsidRPr="00993936">
              <w:rPr>
                <w:rFonts w:cs="Arial"/>
                <w:szCs w:val="22"/>
                <w:lang w:val="es-ES"/>
              </w:rPr>
              <w:t>Fluopiram +</w:t>
            </w:r>
            <w:r w:rsidR="00412AFB" w:rsidRPr="00993936">
              <w:rPr>
                <w:rFonts w:cs="Arial"/>
                <w:szCs w:val="22"/>
                <w:lang w:val="es-ES"/>
              </w:rPr>
              <w:t xml:space="preserve"> Tebuconazole</w:t>
            </w:r>
          </w:p>
          <w:p w:rsidR="00412AFB" w:rsidRPr="00993936" w:rsidRDefault="00412AFB" w:rsidP="00C8678E">
            <w:pPr>
              <w:pStyle w:val="Textoindependiente"/>
              <w:jc w:val="left"/>
              <w:rPr>
                <w:rFonts w:cs="Arial"/>
                <w:szCs w:val="22"/>
                <w:lang w:val="es-ES"/>
              </w:rPr>
            </w:pPr>
            <w:r w:rsidRPr="00993936">
              <w:rPr>
                <w:rFonts w:cs="Arial"/>
                <w:szCs w:val="22"/>
                <w:lang w:val="es-ES"/>
              </w:rPr>
              <w:t>Flutriafol (**)</w:t>
            </w:r>
          </w:p>
          <w:p w:rsidR="00412AFB" w:rsidRPr="00993936" w:rsidRDefault="00412AFB" w:rsidP="00C8678E">
            <w:pPr>
              <w:pStyle w:val="Textoindependiente"/>
              <w:jc w:val="left"/>
              <w:rPr>
                <w:rFonts w:cs="Arial"/>
                <w:szCs w:val="22"/>
                <w:lang w:val="es-ES"/>
              </w:rPr>
            </w:pPr>
            <w:r w:rsidRPr="00993936">
              <w:rPr>
                <w:rFonts w:cs="Arial"/>
                <w:szCs w:val="22"/>
                <w:lang w:val="es-ES"/>
              </w:rPr>
              <w:t>Folpet + Sulfato cuprocálcico</w:t>
            </w:r>
          </w:p>
          <w:p w:rsidR="00412AFB" w:rsidRPr="00993936" w:rsidRDefault="00412AFB" w:rsidP="00C8678E">
            <w:pPr>
              <w:pStyle w:val="Textoindependiente"/>
              <w:jc w:val="left"/>
              <w:rPr>
                <w:rFonts w:cs="Arial"/>
                <w:szCs w:val="22"/>
                <w:lang w:val="es-ES"/>
              </w:rPr>
            </w:pPr>
            <w:r w:rsidRPr="00993936">
              <w:rPr>
                <w:rFonts w:cs="Arial"/>
                <w:szCs w:val="22"/>
                <w:lang w:val="es-ES"/>
              </w:rPr>
              <w:t>Hexaconazole</w:t>
            </w:r>
          </w:p>
          <w:p w:rsidR="00412AFB" w:rsidRPr="00993936" w:rsidRDefault="00412AFB" w:rsidP="00C8678E">
            <w:pPr>
              <w:pStyle w:val="Textoindependiente"/>
              <w:jc w:val="left"/>
              <w:rPr>
                <w:rFonts w:cs="Arial"/>
                <w:szCs w:val="22"/>
                <w:lang w:val="es-ES"/>
              </w:rPr>
            </w:pPr>
            <w:r w:rsidRPr="00993936">
              <w:rPr>
                <w:rFonts w:cs="Arial"/>
                <w:szCs w:val="22"/>
                <w:lang w:val="es-ES"/>
              </w:rPr>
              <w:t>Hidróxido cúprico (4)</w:t>
            </w:r>
          </w:p>
          <w:p w:rsidR="00412AFB" w:rsidRPr="00993936" w:rsidRDefault="00412AFB" w:rsidP="00C8678E">
            <w:pPr>
              <w:pStyle w:val="Textoindependiente"/>
              <w:jc w:val="left"/>
              <w:rPr>
                <w:rFonts w:cs="Arial"/>
                <w:szCs w:val="22"/>
                <w:lang w:val="es-ES"/>
              </w:rPr>
            </w:pPr>
            <w:r w:rsidRPr="00993936">
              <w:rPr>
                <w:rFonts w:cs="Arial"/>
                <w:szCs w:val="22"/>
                <w:lang w:val="es-ES"/>
              </w:rPr>
              <w:t>Hidróxido cúprico + Oxicloruro de cobre</w:t>
            </w:r>
          </w:p>
          <w:p w:rsidR="00412AFB" w:rsidRPr="00993936" w:rsidRDefault="00412AFB" w:rsidP="00C8678E">
            <w:pPr>
              <w:pStyle w:val="Textoindependiente"/>
              <w:jc w:val="left"/>
              <w:rPr>
                <w:rFonts w:cs="Arial"/>
                <w:szCs w:val="22"/>
                <w:lang w:val="es-ES"/>
              </w:rPr>
            </w:pPr>
            <w:r w:rsidRPr="00993936">
              <w:rPr>
                <w:rFonts w:cs="Arial"/>
                <w:szCs w:val="22"/>
                <w:lang w:val="es-ES"/>
              </w:rPr>
              <w:t>Laminarín</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Metil-kresoxim (3) </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Mancozeb </w:t>
            </w:r>
          </w:p>
          <w:p w:rsidR="00412AFB" w:rsidRPr="00993936" w:rsidRDefault="00412AFB" w:rsidP="00C8678E">
            <w:pPr>
              <w:pStyle w:val="Textoindependiente"/>
              <w:jc w:val="left"/>
              <w:rPr>
                <w:rFonts w:cs="Arial"/>
                <w:szCs w:val="22"/>
                <w:lang w:val="es-ES"/>
              </w:rPr>
            </w:pPr>
            <w:r w:rsidRPr="00993936">
              <w:rPr>
                <w:rFonts w:cs="Arial"/>
                <w:szCs w:val="22"/>
                <w:lang w:val="es-ES"/>
              </w:rPr>
              <w:t>Mancozeb + Oxicloruro de cobre</w:t>
            </w:r>
          </w:p>
          <w:p w:rsidR="00412AFB" w:rsidRPr="00993936" w:rsidRDefault="00412AFB" w:rsidP="00C8678E">
            <w:pPr>
              <w:pStyle w:val="Textoindependiente"/>
              <w:jc w:val="left"/>
              <w:rPr>
                <w:rFonts w:cs="Arial"/>
                <w:szCs w:val="22"/>
                <w:lang w:val="es-ES"/>
              </w:rPr>
            </w:pPr>
            <w:r w:rsidRPr="00993936">
              <w:rPr>
                <w:rFonts w:cs="Arial"/>
                <w:szCs w:val="22"/>
                <w:lang w:val="es-ES"/>
              </w:rPr>
              <w:t>Mancozeb + Metil-tiofanato (^)</w:t>
            </w:r>
          </w:p>
          <w:p w:rsidR="00412AFB" w:rsidRPr="00993936" w:rsidRDefault="00412AFB" w:rsidP="00C8678E">
            <w:pPr>
              <w:pStyle w:val="Textoindependiente"/>
              <w:jc w:val="left"/>
              <w:rPr>
                <w:rFonts w:cs="Arial"/>
                <w:szCs w:val="22"/>
                <w:lang w:val="es-ES"/>
              </w:rPr>
            </w:pPr>
            <w:r w:rsidRPr="00993936">
              <w:rPr>
                <w:rFonts w:cs="Arial"/>
                <w:szCs w:val="22"/>
                <w:lang w:val="es-ES"/>
              </w:rPr>
              <w:t>Mancozeb + Sulfato cuprocálcico</w:t>
            </w:r>
          </w:p>
          <w:p w:rsidR="00412AFB" w:rsidRPr="00993936" w:rsidRDefault="00412AFB" w:rsidP="00C8678E">
            <w:pPr>
              <w:pStyle w:val="Textoindependiente"/>
              <w:jc w:val="left"/>
              <w:rPr>
                <w:rFonts w:cs="Arial"/>
                <w:szCs w:val="22"/>
                <w:lang w:val="es-ES"/>
              </w:rPr>
            </w:pPr>
            <w:r w:rsidRPr="00993936">
              <w:rPr>
                <w:rFonts w:cs="Arial"/>
                <w:szCs w:val="22"/>
                <w:lang w:val="es-ES"/>
              </w:rPr>
              <w:t>Maneb</w:t>
            </w:r>
          </w:p>
          <w:p w:rsidR="00412AFB" w:rsidRPr="00993936" w:rsidRDefault="00412AFB" w:rsidP="00C8678E">
            <w:pPr>
              <w:pStyle w:val="Textoindependiente"/>
              <w:jc w:val="left"/>
              <w:rPr>
                <w:rFonts w:cs="Arial"/>
                <w:szCs w:val="22"/>
                <w:lang w:val="es-ES"/>
              </w:rPr>
            </w:pPr>
            <w:r w:rsidRPr="00993936">
              <w:rPr>
                <w:rFonts w:cs="Arial"/>
                <w:szCs w:val="22"/>
                <w:lang w:val="es-ES"/>
              </w:rPr>
              <w:t>Metil-tiofanato (^)</w:t>
            </w:r>
          </w:p>
          <w:p w:rsidR="00412AFB" w:rsidRPr="00993936" w:rsidRDefault="00412AFB" w:rsidP="00C8678E">
            <w:pPr>
              <w:pStyle w:val="Textoindependiente"/>
              <w:jc w:val="left"/>
              <w:rPr>
                <w:rFonts w:cs="Arial"/>
                <w:szCs w:val="22"/>
                <w:lang w:val="es-ES"/>
              </w:rPr>
            </w:pPr>
            <w:r w:rsidRPr="00993936">
              <w:rPr>
                <w:rFonts w:cs="Arial"/>
                <w:szCs w:val="22"/>
                <w:lang w:val="es-ES"/>
              </w:rPr>
              <w:t>Metiram (1)</w:t>
            </w:r>
          </w:p>
          <w:p w:rsidR="00412AFB" w:rsidRPr="00993936" w:rsidRDefault="00412AFB" w:rsidP="00C8678E">
            <w:pPr>
              <w:pStyle w:val="Textoindependiente"/>
              <w:jc w:val="left"/>
              <w:rPr>
                <w:rFonts w:cs="Arial"/>
                <w:szCs w:val="22"/>
                <w:lang w:val="es-ES"/>
              </w:rPr>
            </w:pPr>
            <w:r w:rsidRPr="00993936">
              <w:rPr>
                <w:rFonts w:cs="Arial"/>
                <w:szCs w:val="22"/>
                <w:lang w:val="es-ES"/>
              </w:rPr>
              <w:t>Miclobutanil</w:t>
            </w:r>
            <w:r w:rsidR="00E03B3B" w:rsidRPr="00993936">
              <w:rPr>
                <w:rFonts w:cs="Arial"/>
                <w:szCs w:val="22"/>
                <w:lang w:val="es-ES"/>
              </w:rPr>
              <w:t xml:space="preserve"> </w:t>
            </w:r>
          </w:p>
          <w:p w:rsidR="00412AFB" w:rsidRPr="00993936" w:rsidRDefault="00412AFB" w:rsidP="00C8678E">
            <w:pPr>
              <w:pStyle w:val="Textoindependiente"/>
              <w:jc w:val="left"/>
              <w:rPr>
                <w:rFonts w:cs="Arial"/>
                <w:szCs w:val="22"/>
                <w:lang w:val="es-ES"/>
              </w:rPr>
            </w:pPr>
            <w:r w:rsidRPr="00993936">
              <w:rPr>
                <w:rFonts w:cs="Arial"/>
                <w:szCs w:val="22"/>
                <w:lang w:val="es-ES"/>
              </w:rPr>
              <w:t>Oxicloruro de cobre + Propineb</w:t>
            </w:r>
          </w:p>
          <w:p w:rsidR="00412AFB" w:rsidRPr="00993936" w:rsidRDefault="00412AFB" w:rsidP="00C8678E">
            <w:pPr>
              <w:pStyle w:val="Textoindependiente"/>
              <w:jc w:val="left"/>
              <w:rPr>
                <w:rFonts w:cs="Arial"/>
                <w:szCs w:val="22"/>
                <w:lang w:val="es-ES"/>
              </w:rPr>
            </w:pPr>
            <w:r w:rsidRPr="00993936">
              <w:rPr>
                <w:rFonts w:cs="Arial"/>
                <w:szCs w:val="22"/>
                <w:lang w:val="es-ES"/>
              </w:rPr>
              <w:t>Oxicloruro de cobre</w:t>
            </w:r>
          </w:p>
          <w:p w:rsidR="00412AFB" w:rsidRPr="00993936" w:rsidRDefault="00412AFB" w:rsidP="00C8678E">
            <w:pPr>
              <w:pStyle w:val="Textoindependiente"/>
              <w:jc w:val="left"/>
              <w:rPr>
                <w:rFonts w:cs="Arial"/>
                <w:szCs w:val="22"/>
                <w:lang w:val="es-ES"/>
              </w:rPr>
            </w:pPr>
            <w:r w:rsidRPr="00993936">
              <w:rPr>
                <w:rFonts w:cs="Arial"/>
                <w:szCs w:val="22"/>
                <w:lang w:val="es-ES"/>
              </w:rPr>
              <w:t>Oxicloruro de cobre + Sulfato cuprocálcico</w:t>
            </w:r>
          </w:p>
          <w:p w:rsidR="00412AFB" w:rsidRPr="00993936" w:rsidRDefault="00412AFB" w:rsidP="00C8678E">
            <w:pPr>
              <w:pStyle w:val="Textoindependiente"/>
              <w:jc w:val="left"/>
              <w:rPr>
                <w:rFonts w:cs="Arial"/>
                <w:szCs w:val="22"/>
                <w:lang w:val="es-ES"/>
              </w:rPr>
            </w:pPr>
            <w:r w:rsidRPr="00993936">
              <w:rPr>
                <w:rFonts w:cs="Arial"/>
                <w:szCs w:val="22"/>
                <w:lang w:val="es-ES"/>
              </w:rPr>
              <w:t>Óxido cuproso</w:t>
            </w:r>
            <w:r w:rsidR="00E03B3B" w:rsidRPr="00993936">
              <w:rPr>
                <w:rFonts w:cs="Arial"/>
                <w:szCs w:val="22"/>
                <w:lang w:val="es-ES"/>
              </w:rPr>
              <w:t xml:space="preserve"> </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Azufre + Miclobutanil </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Azufre + Ciproconazole </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Sulfato cuprocálcico </w:t>
            </w:r>
          </w:p>
          <w:p w:rsidR="00412AFB" w:rsidRPr="00993936" w:rsidRDefault="00412AFB" w:rsidP="00C8678E">
            <w:pPr>
              <w:pStyle w:val="Textoindependiente"/>
              <w:jc w:val="left"/>
              <w:rPr>
                <w:rFonts w:cs="Arial"/>
                <w:szCs w:val="22"/>
                <w:lang w:val="es-ES"/>
              </w:rPr>
            </w:pPr>
            <w:r w:rsidRPr="00993936">
              <w:rPr>
                <w:rFonts w:cs="Arial"/>
                <w:szCs w:val="22"/>
                <w:lang w:val="es-ES"/>
              </w:rPr>
              <w:t>Sulfato tribásico de cobre</w:t>
            </w:r>
            <w:r w:rsidR="00E03B3B" w:rsidRPr="00993936">
              <w:rPr>
                <w:rFonts w:cs="Arial"/>
                <w:szCs w:val="22"/>
                <w:lang w:val="es-ES"/>
              </w:rPr>
              <w:t xml:space="preserve"> </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Tebuconazole </w:t>
            </w:r>
          </w:p>
          <w:p w:rsidR="00412AFB" w:rsidRPr="00993936" w:rsidRDefault="00412AFB" w:rsidP="00C8678E">
            <w:pPr>
              <w:pStyle w:val="Textoindependiente"/>
              <w:jc w:val="left"/>
              <w:rPr>
                <w:rFonts w:cs="Arial"/>
                <w:szCs w:val="22"/>
                <w:lang w:val="es-ES"/>
              </w:rPr>
            </w:pPr>
            <w:r w:rsidRPr="00993936">
              <w:rPr>
                <w:rFonts w:cs="Arial"/>
                <w:szCs w:val="22"/>
                <w:lang w:val="es-ES"/>
              </w:rPr>
              <w:t>Tetraconazole (**)</w:t>
            </w:r>
          </w:p>
          <w:p w:rsidR="00412AFB" w:rsidRPr="00993936" w:rsidRDefault="00412AFB" w:rsidP="00C8678E">
            <w:pPr>
              <w:pStyle w:val="Textoindependiente"/>
              <w:jc w:val="left"/>
              <w:rPr>
                <w:rFonts w:cs="Arial"/>
                <w:szCs w:val="22"/>
                <w:lang w:val="es-ES"/>
              </w:rPr>
            </w:pPr>
            <w:r w:rsidRPr="00993936">
              <w:rPr>
                <w:rFonts w:cs="Arial"/>
                <w:szCs w:val="22"/>
                <w:lang w:val="es-ES"/>
              </w:rPr>
              <w:t>Tiram</w:t>
            </w:r>
          </w:p>
          <w:p w:rsidR="00412AFB" w:rsidRPr="00993936" w:rsidRDefault="00412AFB" w:rsidP="00C8678E">
            <w:pPr>
              <w:pStyle w:val="Textoindependiente"/>
              <w:jc w:val="left"/>
              <w:rPr>
                <w:rFonts w:cs="Arial"/>
                <w:szCs w:val="22"/>
                <w:lang w:val="es-ES"/>
              </w:rPr>
            </w:pPr>
            <w:r w:rsidRPr="00993936">
              <w:rPr>
                <w:rFonts w:cs="Arial"/>
                <w:szCs w:val="22"/>
                <w:lang w:val="es-ES"/>
              </w:rPr>
              <w:t>Trifloxistrobina</w:t>
            </w:r>
          </w:p>
        </w:tc>
        <w:tc>
          <w:tcPr>
            <w:tcW w:w="1807" w:type="pct"/>
            <w:vMerge/>
          </w:tcPr>
          <w:p w:rsidR="00412AFB" w:rsidRPr="00993936" w:rsidRDefault="00412AFB" w:rsidP="00C8678E">
            <w:pPr>
              <w:jc w:val="both"/>
              <w:rPr>
                <w:rFonts w:ascii="Arial" w:hAnsi="Arial" w:cs="Arial"/>
                <w:b/>
                <w:snapToGrid w:val="0"/>
                <w:lang w:val="es-ES"/>
              </w:rPr>
            </w:pPr>
          </w:p>
        </w:tc>
      </w:tr>
      <w:tr w:rsidR="00412AFB" w:rsidRPr="00993936" w:rsidTr="00C8678E">
        <w:trPr>
          <w:cantSplit/>
          <w:trHeight w:val="1335"/>
        </w:trPr>
        <w:tc>
          <w:tcPr>
            <w:tcW w:w="1269" w:type="pct"/>
            <w:vMerge/>
          </w:tcPr>
          <w:p w:rsidR="00412AFB" w:rsidRPr="00993936" w:rsidRDefault="00412AFB" w:rsidP="00C8678E">
            <w:pPr>
              <w:jc w:val="both"/>
              <w:rPr>
                <w:rFonts w:ascii="Arial" w:hAnsi="Arial" w:cs="Arial"/>
                <w:snapToGrid w:val="0"/>
                <w:lang w:val="es-ES"/>
              </w:rPr>
            </w:pPr>
          </w:p>
        </w:tc>
        <w:tc>
          <w:tcPr>
            <w:tcW w:w="1924" w:type="pct"/>
            <w:vMerge/>
          </w:tcPr>
          <w:p w:rsidR="00412AFB" w:rsidRPr="00993936" w:rsidRDefault="00412AFB" w:rsidP="00C8678E">
            <w:pPr>
              <w:pStyle w:val="Textoindependiente"/>
              <w:rPr>
                <w:rFonts w:cs="Arial"/>
                <w:szCs w:val="22"/>
                <w:lang w:val="es-ES"/>
              </w:rPr>
            </w:pPr>
          </w:p>
        </w:tc>
        <w:tc>
          <w:tcPr>
            <w:tcW w:w="1807" w:type="pct"/>
            <w:vMerge/>
          </w:tcPr>
          <w:p w:rsidR="00412AFB" w:rsidRPr="00993936" w:rsidRDefault="00412AFB" w:rsidP="00C8678E">
            <w:pPr>
              <w:jc w:val="both"/>
              <w:rPr>
                <w:rFonts w:ascii="Arial" w:hAnsi="Arial" w:cs="Arial"/>
                <w:b/>
                <w:snapToGrid w:val="0"/>
                <w:lang w:val="es-ES"/>
              </w:rPr>
            </w:pPr>
          </w:p>
        </w:tc>
      </w:tr>
      <w:tr w:rsidR="00412AFB" w:rsidRPr="00993936" w:rsidTr="00C8678E">
        <w:trPr>
          <w:cantSplit/>
          <w:trHeight w:val="1335"/>
        </w:trPr>
        <w:tc>
          <w:tcPr>
            <w:tcW w:w="1269" w:type="pct"/>
            <w:vMerge/>
          </w:tcPr>
          <w:p w:rsidR="00412AFB" w:rsidRPr="00993936" w:rsidRDefault="00412AFB" w:rsidP="00C8678E">
            <w:pPr>
              <w:jc w:val="both"/>
              <w:rPr>
                <w:rFonts w:ascii="Arial" w:hAnsi="Arial" w:cs="Arial"/>
                <w:snapToGrid w:val="0"/>
                <w:lang w:val="es-ES"/>
              </w:rPr>
            </w:pPr>
          </w:p>
        </w:tc>
        <w:tc>
          <w:tcPr>
            <w:tcW w:w="1924" w:type="pct"/>
            <w:vMerge/>
          </w:tcPr>
          <w:p w:rsidR="00412AFB" w:rsidRPr="00993936" w:rsidRDefault="00412AFB" w:rsidP="00C8678E">
            <w:pPr>
              <w:pStyle w:val="Textoindependiente"/>
              <w:rPr>
                <w:rFonts w:cs="Arial"/>
                <w:szCs w:val="22"/>
                <w:lang w:val="es-ES"/>
              </w:rPr>
            </w:pPr>
          </w:p>
        </w:tc>
        <w:tc>
          <w:tcPr>
            <w:tcW w:w="1807" w:type="pct"/>
            <w:vMerge/>
          </w:tcPr>
          <w:p w:rsidR="00412AFB" w:rsidRPr="00993936" w:rsidRDefault="00412AFB" w:rsidP="00C8678E">
            <w:pPr>
              <w:jc w:val="both"/>
              <w:rPr>
                <w:rFonts w:ascii="Arial" w:hAnsi="Arial" w:cs="Arial"/>
                <w:b/>
                <w:snapToGrid w:val="0"/>
                <w:lang w:val="es-ES"/>
              </w:rPr>
            </w:pPr>
          </w:p>
        </w:tc>
      </w:tr>
      <w:tr w:rsidR="00412AFB" w:rsidRPr="00993936" w:rsidTr="00C8678E">
        <w:trPr>
          <w:cantSplit/>
          <w:trHeight w:val="1335"/>
        </w:trPr>
        <w:tc>
          <w:tcPr>
            <w:tcW w:w="1269" w:type="pct"/>
            <w:vMerge/>
          </w:tcPr>
          <w:p w:rsidR="00412AFB" w:rsidRPr="00993936" w:rsidRDefault="00412AFB" w:rsidP="00C8678E">
            <w:pPr>
              <w:jc w:val="both"/>
              <w:rPr>
                <w:rFonts w:ascii="Arial" w:hAnsi="Arial" w:cs="Arial"/>
                <w:snapToGrid w:val="0"/>
                <w:lang w:val="es-ES"/>
              </w:rPr>
            </w:pPr>
          </w:p>
        </w:tc>
        <w:tc>
          <w:tcPr>
            <w:tcW w:w="1924" w:type="pct"/>
            <w:vMerge/>
          </w:tcPr>
          <w:p w:rsidR="00412AFB" w:rsidRPr="00993936" w:rsidRDefault="00412AFB" w:rsidP="00C8678E">
            <w:pPr>
              <w:pStyle w:val="Textoindependiente"/>
              <w:rPr>
                <w:rFonts w:cs="Arial"/>
                <w:szCs w:val="22"/>
                <w:lang w:val="es-ES"/>
              </w:rPr>
            </w:pPr>
          </w:p>
        </w:tc>
        <w:tc>
          <w:tcPr>
            <w:tcW w:w="1807" w:type="pct"/>
            <w:vMerge/>
          </w:tcPr>
          <w:p w:rsidR="00412AFB" w:rsidRPr="00993936" w:rsidRDefault="00412AFB" w:rsidP="00C8678E">
            <w:pPr>
              <w:jc w:val="both"/>
              <w:rPr>
                <w:rFonts w:ascii="Arial" w:hAnsi="Arial" w:cs="Arial"/>
                <w:b/>
                <w:snapToGrid w:val="0"/>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3.3.1. Manzanas (continuación)</w:t>
      </w:r>
    </w:p>
    <w:p w:rsidR="00412AFB" w:rsidRPr="00993936" w:rsidRDefault="00412AFB" w:rsidP="00412AFB">
      <w:pPr>
        <w:jc w:val="both"/>
        <w:rPr>
          <w:rFonts w:ascii="Arial" w:hAnsi="Arial" w:cs="Arial"/>
          <w:b/>
          <w:snapToGrid w:val="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5"/>
        <w:gridCol w:w="3191"/>
        <w:gridCol w:w="2858"/>
      </w:tblGrid>
      <w:tr w:rsidR="00412AFB" w:rsidRPr="00993936" w:rsidTr="00C8678E">
        <w:trPr>
          <w:cantSplit/>
        </w:trPr>
        <w:tc>
          <w:tcPr>
            <w:tcW w:w="1501" w:type="pct"/>
            <w:shd w:val="pct12" w:color="auto" w:fill="FFFFFF"/>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ENFERMEDAD</w:t>
            </w:r>
          </w:p>
        </w:tc>
        <w:tc>
          <w:tcPr>
            <w:tcW w:w="1846" w:type="pct"/>
            <w:shd w:val="pct12" w:color="auto" w:fill="FFFFFF"/>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MATERIA ACTIVA</w:t>
            </w:r>
          </w:p>
        </w:tc>
        <w:tc>
          <w:tcPr>
            <w:tcW w:w="1653" w:type="pct"/>
            <w:shd w:val="pct12" w:color="auto" w:fill="FFFFFF"/>
            <w:vAlign w:val="center"/>
          </w:tcPr>
          <w:p w:rsidR="00412AFB" w:rsidRPr="00993936" w:rsidRDefault="00412AFB" w:rsidP="00C8678E">
            <w:pPr>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Pr>
        <w:tc>
          <w:tcPr>
            <w:tcW w:w="1501" w:type="pct"/>
            <w:vAlign w:val="center"/>
          </w:tcPr>
          <w:p w:rsidR="00412AFB" w:rsidRPr="00993936" w:rsidRDefault="00412AFB" w:rsidP="00C8678E">
            <w:pPr>
              <w:pStyle w:val="Ttulo2"/>
              <w:rPr>
                <w:rFonts w:ascii="Arial" w:hAnsi="Arial" w:cs="Arial"/>
                <w:snapToGrid w:val="0"/>
                <w:color w:val="auto"/>
                <w:sz w:val="22"/>
                <w:szCs w:val="22"/>
                <w:lang w:val="es-ES"/>
              </w:rPr>
            </w:pPr>
            <w:r w:rsidRPr="00993936">
              <w:rPr>
                <w:rFonts w:ascii="Arial" w:hAnsi="Arial" w:cs="Arial"/>
                <w:snapToGrid w:val="0"/>
                <w:color w:val="auto"/>
                <w:sz w:val="22"/>
                <w:szCs w:val="22"/>
                <w:lang w:val="es-ES"/>
              </w:rPr>
              <w:t>Podredumbre del cuello</w:t>
            </w:r>
          </w:p>
          <w:p w:rsidR="00412AFB" w:rsidRPr="00993936" w:rsidRDefault="00412AFB" w:rsidP="00C8678E">
            <w:pPr>
              <w:pStyle w:val="Ttulo2"/>
              <w:rPr>
                <w:rFonts w:ascii="Arial" w:hAnsi="Arial" w:cs="Arial"/>
                <w:b/>
                <w:i/>
                <w:snapToGrid w:val="0"/>
                <w:color w:val="auto"/>
                <w:sz w:val="22"/>
                <w:szCs w:val="22"/>
                <w:lang w:val="es-ES"/>
              </w:rPr>
            </w:pPr>
            <w:r w:rsidRPr="00993936">
              <w:rPr>
                <w:rFonts w:ascii="Arial" w:hAnsi="Arial" w:cs="Arial"/>
                <w:b/>
                <w:i/>
                <w:snapToGrid w:val="0"/>
                <w:color w:val="auto"/>
                <w:sz w:val="22"/>
                <w:szCs w:val="22"/>
                <w:lang w:val="es-ES"/>
              </w:rPr>
              <w:t>Phythoptora cactorum</w:t>
            </w:r>
          </w:p>
        </w:tc>
        <w:tc>
          <w:tcPr>
            <w:tcW w:w="1846" w:type="pct"/>
            <w:vAlign w:val="center"/>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Fosetil-Al </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Metalaxil-M</w:t>
            </w:r>
          </w:p>
        </w:tc>
        <w:tc>
          <w:tcPr>
            <w:tcW w:w="1653" w:type="pct"/>
            <w:vMerge w:val="restart"/>
            <w:vAlign w:val="center"/>
          </w:tcPr>
          <w:p w:rsidR="00412AFB" w:rsidRPr="00993936" w:rsidRDefault="00412AFB" w:rsidP="009D1A2D">
            <w:pPr>
              <w:numPr>
                <w:ilvl w:val="0"/>
                <w:numId w:val="55"/>
              </w:numPr>
              <w:spacing w:after="0" w:line="240" w:lineRule="auto"/>
              <w:rPr>
                <w:rFonts w:ascii="Arial" w:hAnsi="Arial" w:cs="Arial"/>
                <w:lang w:val="es-ES"/>
              </w:rPr>
            </w:pPr>
            <w:r w:rsidRPr="00993936">
              <w:rPr>
                <w:rFonts w:ascii="Arial" w:hAnsi="Arial" w:cs="Arial"/>
                <w:lang w:val="es-ES"/>
              </w:rPr>
              <w:t>Máximo: 1 tratamiento/año</w:t>
            </w:r>
          </w:p>
          <w:p w:rsidR="00412AFB" w:rsidRPr="00993936" w:rsidRDefault="00412AFB" w:rsidP="009D1A2D">
            <w:pPr>
              <w:numPr>
                <w:ilvl w:val="0"/>
                <w:numId w:val="55"/>
              </w:numPr>
              <w:spacing w:after="0" w:line="240" w:lineRule="auto"/>
              <w:rPr>
                <w:rFonts w:ascii="Arial" w:hAnsi="Arial" w:cs="Arial"/>
                <w:lang w:val="es-ES"/>
              </w:rPr>
            </w:pPr>
            <w:r w:rsidRPr="00993936">
              <w:rPr>
                <w:rFonts w:ascii="Arial" w:hAnsi="Arial" w:cs="Arial"/>
                <w:lang w:val="es-ES"/>
              </w:rPr>
              <w:t>Máximo: 2 tratamientos/año</w:t>
            </w:r>
          </w:p>
          <w:p w:rsidR="00412AFB" w:rsidRPr="00993936" w:rsidRDefault="00412AFB" w:rsidP="009D1A2D">
            <w:pPr>
              <w:numPr>
                <w:ilvl w:val="0"/>
                <w:numId w:val="55"/>
              </w:numPr>
              <w:spacing w:after="0" w:line="240" w:lineRule="auto"/>
              <w:rPr>
                <w:rFonts w:ascii="Arial" w:hAnsi="Arial" w:cs="Arial"/>
                <w:lang w:val="es-ES"/>
              </w:rPr>
            </w:pPr>
            <w:r w:rsidRPr="00993936">
              <w:rPr>
                <w:rFonts w:ascii="Arial" w:hAnsi="Arial" w:cs="Arial"/>
                <w:lang w:val="es-ES"/>
              </w:rPr>
              <w:t>Máximo: 3 tratamientos/año</w:t>
            </w:r>
          </w:p>
          <w:p w:rsidR="00412AFB" w:rsidRPr="00993936" w:rsidRDefault="00412AFB" w:rsidP="009D1A2D">
            <w:pPr>
              <w:numPr>
                <w:ilvl w:val="0"/>
                <w:numId w:val="55"/>
              </w:numPr>
              <w:spacing w:after="0" w:line="240" w:lineRule="aut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C8678E">
            <w:pPr>
              <w:pStyle w:val="Textoindependiente"/>
              <w:rPr>
                <w:rFonts w:cs="Arial"/>
                <w:szCs w:val="22"/>
                <w:lang w:val="es-ES"/>
              </w:rPr>
            </w:pPr>
          </w:p>
          <w:p w:rsidR="00412AFB" w:rsidRPr="00993936" w:rsidRDefault="00412AFB" w:rsidP="00C8678E">
            <w:pPr>
              <w:rPr>
                <w:rFonts w:ascii="Arial" w:hAnsi="Arial" w:cs="Arial"/>
                <w:lang w:val="es-ES"/>
              </w:rPr>
            </w:pPr>
          </w:p>
        </w:tc>
      </w:tr>
      <w:tr w:rsidR="00412AFB" w:rsidRPr="00993936" w:rsidTr="00C8678E">
        <w:trPr>
          <w:cantSplit/>
        </w:trPr>
        <w:tc>
          <w:tcPr>
            <w:tcW w:w="1501" w:type="pct"/>
            <w:vAlign w:val="center"/>
          </w:tcPr>
          <w:p w:rsidR="00412AFB" w:rsidRPr="00993936" w:rsidRDefault="00412AFB" w:rsidP="00C8678E">
            <w:pPr>
              <w:pStyle w:val="Ttulo2"/>
              <w:rPr>
                <w:rFonts w:ascii="Arial" w:hAnsi="Arial" w:cs="Arial"/>
                <w:snapToGrid w:val="0"/>
                <w:color w:val="auto"/>
                <w:sz w:val="22"/>
                <w:szCs w:val="22"/>
                <w:lang w:val="es-ES"/>
              </w:rPr>
            </w:pPr>
            <w:r w:rsidRPr="00993936">
              <w:rPr>
                <w:rFonts w:ascii="Arial" w:hAnsi="Arial" w:cs="Arial"/>
                <w:snapToGrid w:val="0"/>
                <w:color w:val="auto"/>
                <w:sz w:val="22"/>
                <w:szCs w:val="22"/>
                <w:lang w:val="es-ES"/>
              </w:rPr>
              <w:t>Bacteriosis</w:t>
            </w:r>
          </w:p>
        </w:tc>
        <w:tc>
          <w:tcPr>
            <w:tcW w:w="1846" w:type="pct"/>
            <w:vAlign w:val="center"/>
          </w:tcPr>
          <w:p w:rsidR="00412AFB" w:rsidRPr="00993936" w:rsidRDefault="00412AFB" w:rsidP="00C8678E">
            <w:pPr>
              <w:pStyle w:val="Textoindependiente"/>
              <w:rPr>
                <w:rFonts w:cs="Arial"/>
                <w:i/>
                <w:szCs w:val="22"/>
                <w:lang w:val="es-ES"/>
              </w:rPr>
            </w:pPr>
            <w:r w:rsidRPr="00993936">
              <w:rPr>
                <w:rFonts w:cs="Arial"/>
                <w:i/>
                <w:szCs w:val="22"/>
                <w:lang w:val="es-ES"/>
              </w:rPr>
              <w:t>Bacillus subtilis</w:t>
            </w:r>
          </w:p>
          <w:p w:rsidR="00412AFB" w:rsidRPr="00993936" w:rsidRDefault="00412AFB" w:rsidP="00C8678E">
            <w:pPr>
              <w:pStyle w:val="Textoindependiente"/>
              <w:rPr>
                <w:rFonts w:cs="Arial"/>
                <w:szCs w:val="22"/>
                <w:lang w:val="es-ES"/>
              </w:rPr>
            </w:pPr>
            <w:r w:rsidRPr="00993936">
              <w:rPr>
                <w:rFonts w:cs="Arial"/>
                <w:szCs w:val="22"/>
                <w:lang w:val="es-ES"/>
              </w:rPr>
              <w:t>Fosetil-Al</w:t>
            </w:r>
          </w:p>
          <w:p w:rsidR="00412AFB" w:rsidRPr="00993936" w:rsidRDefault="00412AFB" w:rsidP="00C8678E">
            <w:pPr>
              <w:pStyle w:val="Textoindependiente"/>
              <w:rPr>
                <w:rFonts w:cs="Arial"/>
                <w:szCs w:val="22"/>
                <w:lang w:val="es-ES"/>
              </w:rPr>
            </w:pPr>
            <w:r w:rsidRPr="00993936">
              <w:rPr>
                <w:rFonts w:cs="Arial"/>
                <w:szCs w:val="22"/>
                <w:lang w:val="es-ES"/>
              </w:rPr>
              <w:t>Hidróxido cúprico (4)</w:t>
            </w:r>
          </w:p>
          <w:p w:rsidR="00412AFB" w:rsidRPr="00993936" w:rsidRDefault="00412AFB" w:rsidP="00C8678E">
            <w:pPr>
              <w:pStyle w:val="Textoindependiente"/>
              <w:jc w:val="left"/>
              <w:rPr>
                <w:rFonts w:cs="Arial"/>
                <w:szCs w:val="22"/>
                <w:lang w:val="es-ES"/>
              </w:rPr>
            </w:pPr>
            <w:r w:rsidRPr="00993936">
              <w:rPr>
                <w:rFonts w:cs="Arial"/>
                <w:szCs w:val="22"/>
                <w:lang w:val="es-ES"/>
              </w:rPr>
              <w:t xml:space="preserve">Oxicloruro de cobre </w:t>
            </w:r>
          </w:p>
          <w:p w:rsidR="00412AFB" w:rsidRPr="00993936" w:rsidRDefault="00412AFB" w:rsidP="00C8678E">
            <w:pPr>
              <w:pStyle w:val="Textoindependiente"/>
              <w:rPr>
                <w:rFonts w:cs="Arial"/>
                <w:szCs w:val="22"/>
                <w:lang w:val="es-ES"/>
              </w:rPr>
            </w:pPr>
            <w:r w:rsidRPr="00993936">
              <w:rPr>
                <w:rFonts w:cs="Arial"/>
                <w:szCs w:val="22"/>
                <w:lang w:val="es-ES"/>
              </w:rPr>
              <w:t xml:space="preserve">Óxido cuproso </w:t>
            </w:r>
          </w:p>
          <w:p w:rsidR="00412AFB" w:rsidRPr="00993936" w:rsidRDefault="00412AFB" w:rsidP="00C8678E">
            <w:pPr>
              <w:pStyle w:val="Textoindependiente"/>
              <w:rPr>
                <w:rFonts w:cs="Arial"/>
                <w:szCs w:val="22"/>
                <w:lang w:val="es-ES"/>
              </w:rPr>
            </w:pPr>
            <w:r w:rsidRPr="00993936">
              <w:rPr>
                <w:rFonts w:cs="Arial"/>
                <w:szCs w:val="22"/>
                <w:lang w:val="es-ES"/>
              </w:rPr>
              <w:t>Prohexadiona de calcio</w:t>
            </w:r>
          </w:p>
          <w:p w:rsidR="00412AFB" w:rsidRPr="00993936" w:rsidRDefault="00412AFB" w:rsidP="00C8678E">
            <w:pPr>
              <w:pStyle w:val="Textoindependiente"/>
              <w:rPr>
                <w:rFonts w:cs="Arial"/>
                <w:szCs w:val="22"/>
                <w:lang w:val="es-ES"/>
              </w:rPr>
            </w:pPr>
            <w:r w:rsidRPr="00993936">
              <w:rPr>
                <w:rFonts w:cs="Arial"/>
                <w:szCs w:val="22"/>
                <w:lang w:val="es-ES"/>
              </w:rPr>
              <w:t xml:space="preserve">Sulfato cuprocálcico </w:t>
            </w:r>
          </w:p>
          <w:p w:rsidR="00412AFB" w:rsidRPr="00993936" w:rsidRDefault="00412AFB" w:rsidP="00C8678E">
            <w:pPr>
              <w:jc w:val="both"/>
              <w:rPr>
                <w:rFonts w:ascii="Arial" w:hAnsi="Arial" w:cs="Arial"/>
                <w:lang w:val="es-ES"/>
              </w:rPr>
            </w:pPr>
            <w:r w:rsidRPr="00993936">
              <w:rPr>
                <w:rFonts w:ascii="Arial" w:hAnsi="Arial" w:cs="Arial"/>
                <w:lang w:val="es-ES"/>
              </w:rPr>
              <w:t>Sulfato tribásico de cobre</w:t>
            </w:r>
          </w:p>
        </w:tc>
        <w:tc>
          <w:tcPr>
            <w:tcW w:w="1653" w:type="pct"/>
            <w:vMerge/>
          </w:tcPr>
          <w:p w:rsidR="00412AFB" w:rsidRPr="00993936" w:rsidRDefault="00412AFB" w:rsidP="00C8678E">
            <w:pPr>
              <w:jc w:val="both"/>
              <w:rPr>
                <w:rFonts w:ascii="Arial" w:hAnsi="Arial" w:cs="Arial"/>
                <w:b/>
                <w:snapToGrid w:val="0"/>
                <w:lang w:val="es-ES"/>
              </w:rPr>
            </w:pPr>
          </w:p>
        </w:tc>
      </w:tr>
      <w:tr w:rsidR="00412AFB" w:rsidRPr="00993936" w:rsidTr="00C8678E">
        <w:trPr>
          <w:cantSplit/>
        </w:trPr>
        <w:tc>
          <w:tcPr>
            <w:tcW w:w="1501" w:type="pct"/>
            <w:vAlign w:val="center"/>
          </w:tcPr>
          <w:p w:rsidR="00412AFB" w:rsidRPr="00993936" w:rsidRDefault="00412AFB" w:rsidP="00C8678E">
            <w:pPr>
              <w:pStyle w:val="Ttulo2"/>
              <w:rPr>
                <w:rFonts w:ascii="Arial" w:hAnsi="Arial" w:cs="Arial"/>
                <w:b/>
                <w:snapToGrid w:val="0"/>
                <w:color w:val="auto"/>
                <w:sz w:val="22"/>
                <w:szCs w:val="22"/>
                <w:lang w:val="es-ES"/>
              </w:rPr>
            </w:pPr>
            <w:r w:rsidRPr="00993936">
              <w:rPr>
                <w:rFonts w:ascii="Arial" w:hAnsi="Arial" w:cs="Arial"/>
                <w:b/>
                <w:snapToGrid w:val="0"/>
                <w:color w:val="auto"/>
                <w:sz w:val="22"/>
                <w:szCs w:val="22"/>
                <w:lang w:val="es-ES"/>
              </w:rPr>
              <w:t>Enfermedades de madera:</w:t>
            </w:r>
          </w:p>
          <w:p w:rsidR="00412AFB" w:rsidRPr="00993936" w:rsidRDefault="00412AFB" w:rsidP="00C8678E">
            <w:pPr>
              <w:pStyle w:val="Ttulo1"/>
              <w:rPr>
                <w:rFonts w:ascii="Arial" w:hAnsi="Arial" w:cs="Arial"/>
                <w:color w:val="auto"/>
                <w:sz w:val="22"/>
                <w:szCs w:val="22"/>
              </w:rPr>
            </w:pPr>
            <w:r w:rsidRPr="00993936">
              <w:rPr>
                <w:rFonts w:ascii="Arial" w:hAnsi="Arial" w:cs="Arial"/>
                <w:color w:val="auto"/>
                <w:sz w:val="22"/>
                <w:szCs w:val="22"/>
              </w:rPr>
              <w:t>Chancro común</w:t>
            </w:r>
          </w:p>
          <w:p w:rsidR="00412AFB" w:rsidRPr="00993936" w:rsidRDefault="00412AFB" w:rsidP="00C8678E">
            <w:pPr>
              <w:rPr>
                <w:rFonts w:ascii="Arial" w:hAnsi="Arial" w:cs="Arial"/>
                <w:i/>
                <w:lang w:val="es-ES"/>
              </w:rPr>
            </w:pPr>
            <w:r w:rsidRPr="00993936">
              <w:rPr>
                <w:rFonts w:ascii="Arial" w:hAnsi="Arial" w:cs="Arial"/>
                <w:i/>
                <w:lang w:val="es-ES"/>
              </w:rPr>
              <w:t>Nectria gallígena</w:t>
            </w:r>
          </w:p>
          <w:p w:rsidR="00412AFB" w:rsidRPr="00993936" w:rsidRDefault="00412AFB" w:rsidP="00C8678E">
            <w:pPr>
              <w:pStyle w:val="Ttulo9"/>
              <w:rPr>
                <w:rFonts w:ascii="Arial" w:hAnsi="Arial" w:cs="Arial"/>
                <w:i w:val="0"/>
                <w:color w:val="auto"/>
                <w:szCs w:val="22"/>
                <w:lang w:val="es-ES"/>
              </w:rPr>
            </w:pPr>
            <w:r w:rsidRPr="00993936">
              <w:rPr>
                <w:rFonts w:ascii="Arial" w:hAnsi="Arial" w:cs="Arial"/>
                <w:color w:val="auto"/>
                <w:szCs w:val="22"/>
                <w:lang w:val="es-ES"/>
              </w:rPr>
              <w:t>Cylindrocapon heteronemum</w:t>
            </w:r>
          </w:p>
          <w:p w:rsidR="00412AFB" w:rsidRPr="00993936" w:rsidRDefault="00412AFB" w:rsidP="00C8678E">
            <w:pPr>
              <w:pStyle w:val="Ttulo1"/>
              <w:rPr>
                <w:rFonts w:ascii="Arial" w:hAnsi="Arial" w:cs="Arial"/>
                <w:color w:val="auto"/>
                <w:sz w:val="22"/>
                <w:szCs w:val="22"/>
              </w:rPr>
            </w:pPr>
            <w:r w:rsidRPr="00993936">
              <w:rPr>
                <w:rFonts w:ascii="Arial" w:hAnsi="Arial" w:cs="Arial"/>
                <w:color w:val="auto"/>
                <w:sz w:val="22"/>
                <w:szCs w:val="22"/>
              </w:rPr>
              <w:t>Phomopsis</w:t>
            </w:r>
          </w:p>
          <w:p w:rsidR="00412AFB" w:rsidRPr="00993936" w:rsidRDefault="00412AFB" w:rsidP="00C8678E">
            <w:pPr>
              <w:rPr>
                <w:rFonts w:ascii="Arial" w:hAnsi="Arial" w:cs="Arial"/>
                <w:i/>
                <w:lang w:val="es-ES"/>
              </w:rPr>
            </w:pPr>
            <w:r w:rsidRPr="00993936">
              <w:rPr>
                <w:rFonts w:ascii="Arial" w:hAnsi="Arial" w:cs="Arial"/>
                <w:i/>
                <w:lang w:val="es-ES"/>
              </w:rPr>
              <w:t>Diaporte eres</w:t>
            </w:r>
          </w:p>
          <w:p w:rsidR="00412AFB" w:rsidRPr="00993936" w:rsidRDefault="00412AFB" w:rsidP="00C8678E">
            <w:pPr>
              <w:pStyle w:val="Ttulo9"/>
              <w:rPr>
                <w:rFonts w:ascii="Arial" w:hAnsi="Arial" w:cs="Arial"/>
                <w:i w:val="0"/>
                <w:color w:val="auto"/>
                <w:szCs w:val="22"/>
                <w:lang w:val="es-ES"/>
              </w:rPr>
            </w:pPr>
            <w:r w:rsidRPr="00993936">
              <w:rPr>
                <w:rFonts w:ascii="Arial" w:hAnsi="Arial" w:cs="Arial"/>
                <w:color w:val="auto"/>
                <w:szCs w:val="22"/>
                <w:lang w:val="es-ES"/>
              </w:rPr>
              <w:t>Phomopsis mali</w:t>
            </w:r>
          </w:p>
          <w:p w:rsidR="00412AFB" w:rsidRPr="00993936" w:rsidRDefault="00412AFB" w:rsidP="00C8678E">
            <w:pPr>
              <w:rPr>
                <w:rFonts w:ascii="Arial" w:hAnsi="Arial" w:cs="Arial"/>
                <w:b/>
                <w:i/>
                <w:lang w:val="es-ES"/>
              </w:rPr>
            </w:pPr>
            <w:r w:rsidRPr="00993936">
              <w:rPr>
                <w:rFonts w:ascii="Arial" w:hAnsi="Arial" w:cs="Arial"/>
                <w:b/>
                <w:i/>
                <w:lang w:val="es-ES"/>
              </w:rPr>
              <w:t>Sphaeropsis</w:t>
            </w:r>
          </w:p>
          <w:p w:rsidR="00412AFB" w:rsidRPr="00993936" w:rsidRDefault="00412AFB" w:rsidP="00C8678E">
            <w:pPr>
              <w:pStyle w:val="Ttulo9"/>
              <w:rPr>
                <w:rFonts w:ascii="Arial" w:hAnsi="Arial" w:cs="Arial"/>
                <w:color w:val="auto"/>
                <w:szCs w:val="22"/>
                <w:lang w:val="es-ES"/>
              </w:rPr>
            </w:pPr>
            <w:r w:rsidRPr="00993936">
              <w:rPr>
                <w:rFonts w:ascii="Arial" w:hAnsi="Arial" w:cs="Arial"/>
                <w:color w:val="auto"/>
                <w:szCs w:val="22"/>
                <w:lang w:val="es-ES"/>
              </w:rPr>
              <w:t>Botryosphaeria obtusa</w:t>
            </w:r>
          </w:p>
          <w:p w:rsidR="00412AFB" w:rsidRPr="00993936" w:rsidRDefault="00412AFB" w:rsidP="00C8678E">
            <w:pPr>
              <w:rPr>
                <w:rFonts w:ascii="Arial" w:hAnsi="Arial" w:cs="Arial"/>
                <w:i/>
                <w:lang w:val="es-ES"/>
              </w:rPr>
            </w:pPr>
            <w:r w:rsidRPr="00993936">
              <w:rPr>
                <w:rFonts w:ascii="Arial" w:hAnsi="Arial" w:cs="Arial"/>
                <w:i/>
                <w:lang w:val="es-ES"/>
              </w:rPr>
              <w:t>Sphaeropsis malorum</w:t>
            </w:r>
          </w:p>
        </w:tc>
        <w:tc>
          <w:tcPr>
            <w:tcW w:w="1846" w:type="pct"/>
            <w:vAlign w:val="center"/>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 xml:space="preserve">Captan </w:t>
            </w:r>
          </w:p>
          <w:p w:rsidR="00412AFB" w:rsidRPr="00993936" w:rsidRDefault="00412AFB" w:rsidP="00C8678E">
            <w:pPr>
              <w:pStyle w:val="Textoindependiente"/>
              <w:jc w:val="left"/>
              <w:rPr>
                <w:rFonts w:cs="Arial"/>
                <w:szCs w:val="22"/>
                <w:lang w:val="es-ES"/>
              </w:rPr>
            </w:pPr>
            <w:r w:rsidRPr="00993936">
              <w:rPr>
                <w:rFonts w:cs="Arial"/>
                <w:szCs w:val="22"/>
                <w:lang w:val="es-ES"/>
              </w:rPr>
              <w:t>Ciprodinil + Fludioxonil</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Folpet + Sulfato cuprocálcico</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Sulfato tribásico de cobre</w:t>
            </w:r>
          </w:p>
        </w:tc>
        <w:tc>
          <w:tcPr>
            <w:tcW w:w="1653" w:type="pct"/>
            <w:vMerge/>
          </w:tcPr>
          <w:p w:rsidR="00412AFB" w:rsidRPr="00993936" w:rsidRDefault="00412AFB" w:rsidP="00C8678E">
            <w:pPr>
              <w:jc w:val="both"/>
              <w:rPr>
                <w:rFonts w:ascii="Arial" w:hAnsi="Arial" w:cs="Arial"/>
                <w:b/>
                <w:snapToGrid w:val="0"/>
                <w:lang w:val="es-ES"/>
              </w:rPr>
            </w:pPr>
          </w:p>
        </w:tc>
      </w:tr>
      <w:tr w:rsidR="00412AFB" w:rsidRPr="00993936" w:rsidTr="00C8678E">
        <w:trPr>
          <w:cantSplit/>
        </w:trPr>
        <w:tc>
          <w:tcPr>
            <w:tcW w:w="1501" w:type="pct"/>
            <w:vAlign w:val="center"/>
          </w:tcPr>
          <w:p w:rsidR="00412AFB" w:rsidRPr="00993936" w:rsidRDefault="00412AFB" w:rsidP="00C8678E">
            <w:pPr>
              <w:pStyle w:val="Ttulo1"/>
              <w:rPr>
                <w:rFonts w:ascii="Arial" w:hAnsi="Arial" w:cs="Arial"/>
                <w:color w:val="auto"/>
                <w:sz w:val="22"/>
                <w:szCs w:val="22"/>
              </w:rPr>
            </w:pPr>
            <w:r w:rsidRPr="00993936">
              <w:rPr>
                <w:rFonts w:ascii="Arial" w:hAnsi="Arial" w:cs="Arial"/>
                <w:color w:val="auto"/>
                <w:sz w:val="22"/>
                <w:szCs w:val="22"/>
              </w:rPr>
              <w:t>Alternaria</w:t>
            </w:r>
          </w:p>
          <w:p w:rsidR="00412AFB" w:rsidRPr="00993936" w:rsidRDefault="00412AFB" w:rsidP="00C8678E">
            <w:pPr>
              <w:pStyle w:val="Ttulo2"/>
              <w:rPr>
                <w:rFonts w:ascii="Arial" w:hAnsi="Arial" w:cs="Arial"/>
                <w:b/>
                <w:snapToGrid w:val="0"/>
                <w:color w:val="auto"/>
                <w:sz w:val="22"/>
                <w:szCs w:val="22"/>
                <w:lang w:val="es-ES"/>
              </w:rPr>
            </w:pPr>
          </w:p>
        </w:tc>
        <w:tc>
          <w:tcPr>
            <w:tcW w:w="1846" w:type="pct"/>
            <w:vAlign w:val="center"/>
          </w:tcPr>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Boscalida + Piraclostrobina</w:t>
            </w:r>
          </w:p>
          <w:p w:rsidR="00412AFB" w:rsidRPr="00993936" w:rsidRDefault="00412AFB" w:rsidP="00C8678E">
            <w:pPr>
              <w:pStyle w:val="Textoindependiente"/>
              <w:jc w:val="left"/>
              <w:rPr>
                <w:rFonts w:cs="Arial"/>
                <w:szCs w:val="22"/>
                <w:lang w:val="es-ES"/>
              </w:rPr>
            </w:pPr>
            <w:r w:rsidRPr="00993936">
              <w:rPr>
                <w:rFonts w:cs="Arial"/>
                <w:szCs w:val="22"/>
                <w:lang w:val="es-ES"/>
              </w:rPr>
              <w:t>Ciprodinil + Fludioxonil</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Fludioxonil</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Fluopiram + Tebuconazol</w:t>
            </w:r>
          </w:p>
          <w:p w:rsidR="00412AFB" w:rsidRPr="00993936" w:rsidRDefault="00412AFB" w:rsidP="00C8678E">
            <w:pPr>
              <w:jc w:val="both"/>
              <w:rPr>
                <w:rFonts w:ascii="Arial" w:hAnsi="Arial" w:cs="Arial"/>
                <w:snapToGrid w:val="0"/>
                <w:lang w:val="es-ES"/>
              </w:rPr>
            </w:pPr>
            <w:r w:rsidRPr="00993936">
              <w:rPr>
                <w:rFonts w:ascii="Arial" w:hAnsi="Arial" w:cs="Arial"/>
                <w:snapToGrid w:val="0"/>
                <w:lang w:val="es-ES"/>
              </w:rPr>
              <w:t>Iprodiona</w:t>
            </w:r>
          </w:p>
        </w:tc>
        <w:tc>
          <w:tcPr>
            <w:tcW w:w="1653" w:type="pct"/>
            <w:vMerge/>
          </w:tcPr>
          <w:p w:rsidR="00412AFB" w:rsidRPr="00993936" w:rsidRDefault="00412AFB" w:rsidP="00C8678E">
            <w:pPr>
              <w:jc w:val="both"/>
              <w:rPr>
                <w:rFonts w:ascii="Arial" w:hAnsi="Arial" w:cs="Arial"/>
                <w:b/>
                <w:snapToGrid w:val="0"/>
                <w:lang w:val="es-ES"/>
              </w:rPr>
            </w:pPr>
          </w:p>
        </w:tc>
      </w:tr>
    </w:tbl>
    <w:p w:rsidR="00412AFB" w:rsidRPr="00993936" w:rsidRDefault="00412AFB" w:rsidP="00412AFB">
      <w:pPr>
        <w:rPr>
          <w:rFonts w:ascii="Arial" w:hAnsi="Arial" w:cs="Arial"/>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3.3.2. Peras</w:t>
      </w:r>
    </w:p>
    <w:p w:rsidR="00412AFB" w:rsidRPr="00993936" w:rsidRDefault="00412AFB" w:rsidP="00412AFB">
      <w:pPr>
        <w:jc w:val="both"/>
        <w:rPr>
          <w:rFonts w:ascii="Arial" w:hAnsi="Arial" w:cs="Arial"/>
          <w:b/>
          <w:snapToGrid w:val="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5"/>
        <w:gridCol w:w="3191"/>
        <w:gridCol w:w="2858"/>
      </w:tblGrid>
      <w:tr w:rsidR="00412AFB" w:rsidRPr="00993936" w:rsidTr="00C8678E">
        <w:trPr>
          <w:cantSplit/>
        </w:trPr>
        <w:tc>
          <w:tcPr>
            <w:tcW w:w="1501" w:type="pct"/>
            <w:shd w:val="pct12" w:color="auto" w:fill="FFFFFF"/>
            <w:vAlign w:val="center"/>
          </w:tcPr>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ENFERMEDAD</w:t>
            </w:r>
          </w:p>
        </w:tc>
        <w:tc>
          <w:tcPr>
            <w:tcW w:w="1846" w:type="pct"/>
            <w:shd w:val="pct12" w:color="auto" w:fill="FFFFFF"/>
            <w:vAlign w:val="center"/>
          </w:tcPr>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MATERIA ACTIVA</w:t>
            </w:r>
          </w:p>
        </w:tc>
        <w:tc>
          <w:tcPr>
            <w:tcW w:w="1653" w:type="pct"/>
            <w:shd w:val="pct12" w:color="auto" w:fill="FFFFFF"/>
            <w:vAlign w:val="center"/>
          </w:tcPr>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RESTRICCIONES</w:t>
            </w:r>
          </w:p>
        </w:tc>
      </w:tr>
      <w:tr w:rsidR="00412AFB" w:rsidRPr="00993936" w:rsidTr="00C8678E">
        <w:trPr>
          <w:cantSplit/>
        </w:trPr>
        <w:tc>
          <w:tcPr>
            <w:tcW w:w="1501" w:type="pct"/>
            <w:vAlign w:val="center"/>
          </w:tcPr>
          <w:p w:rsidR="00412AFB" w:rsidRPr="00993936" w:rsidRDefault="00412AFB" w:rsidP="009D1A2D">
            <w:pPr>
              <w:pStyle w:val="Sinespaciado"/>
              <w:rPr>
                <w:rFonts w:ascii="Arial" w:hAnsi="Arial" w:cs="Arial"/>
                <w:snapToGrid w:val="0"/>
                <w:sz w:val="18"/>
                <w:lang w:val="es-ES"/>
              </w:rPr>
            </w:pPr>
            <w:r w:rsidRPr="00993936">
              <w:rPr>
                <w:rFonts w:ascii="Arial" w:hAnsi="Arial" w:cs="Arial"/>
                <w:snapToGrid w:val="0"/>
                <w:sz w:val="18"/>
                <w:lang w:val="es-ES"/>
              </w:rPr>
              <w:t xml:space="preserve">Roya </w:t>
            </w:r>
          </w:p>
          <w:p w:rsidR="00412AFB" w:rsidRPr="00993936" w:rsidRDefault="00412AFB" w:rsidP="009D1A2D">
            <w:pPr>
              <w:pStyle w:val="Sinespaciado"/>
              <w:rPr>
                <w:rFonts w:ascii="Arial" w:hAnsi="Arial" w:cs="Arial"/>
                <w:i/>
                <w:sz w:val="18"/>
                <w:lang w:val="es-ES"/>
              </w:rPr>
            </w:pPr>
            <w:r w:rsidRPr="00993936">
              <w:rPr>
                <w:rFonts w:ascii="Arial" w:hAnsi="Arial" w:cs="Arial"/>
                <w:sz w:val="18"/>
                <w:lang w:val="es-ES"/>
              </w:rPr>
              <w:t>Gymnosporangium fuscum</w:t>
            </w:r>
          </w:p>
        </w:tc>
        <w:tc>
          <w:tcPr>
            <w:tcW w:w="1846" w:type="pct"/>
          </w:tcPr>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Ciproconazole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Difenoconazole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Mancozeb</w:t>
            </w:r>
            <w:r w:rsidR="006E0CBA" w:rsidRPr="00993936">
              <w:rPr>
                <w:rFonts w:ascii="Arial" w:hAnsi="Arial" w:cs="Arial"/>
                <w:sz w:val="18"/>
                <w:lang w:val="es-ES"/>
              </w:rPr>
              <w:t xml:space="preserve"> (7</w:t>
            </w:r>
            <w:r w:rsidRPr="00993936">
              <w:rPr>
                <w:rFonts w:ascii="Arial" w:hAnsi="Arial" w:cs="Arial"/>
                <w:sz w:val="18"/>
                <w:lang w:val="es-ES"/>
              </w:rPr>
              <w:t>)</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Maneb (7) </w:t>
            </w:r>
          </w:p>
        </w:tc>
        <w:tc>
          <w:tcPr>
            <w:tcW w:w="1653" w:type="pct"/>
            <w:vMerge w:val="restart"/>
            <w:vAlign w:val="center"/>
          </w:tcPr>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Máximo: 1 tratamiento/año</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Máximo: 2 tratamientos/año</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Máximo: 3 tratamientos/año</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Solo formulaciones que no sean de clasificación toxicológica (T)</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Máximo: 1 tratamiento/año grupo METI a dosis mínima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Máximo: 2 tratamientos/año entre todas las bencilo-ureas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No aplicar en blanquilla (fitotóxico)</w:t>
            </w:r>
          </w:p>
          <w:p w:rsidR="00412AFB" w:rsidRPr="00993936" w:rsidRDefault="00412AFB" w:rsidP="009D1A2D">
            <w:pPr>
              <w:pStyle w:val="Sinespaciado"/>
              <w:rPr>
                <w:rFonts w:ascii="Arial" w:hAnsi="Arial" w:cs="Arial"/>
                <w:sz w:val="18"/>
                <w:lang w:val="es-ES"/>
              </w:rPr>
            </w:pP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El LMR coincide con LD</w:t>
            </w:r>
          </w:p>
          <w:p w:rsidR="00412AFB" w:rsidRPr="00993936" w:rsidRDefault="00412AFB" w:rsidP="009D1A2D">
            <w:pPr>
              <w:pStyle w:val="Sinespaciado"/>
              <w:rPr>
                <w:rFonts w:ascii="Arial" w:hAnsi="Arial" w:cs="Arial"/>
                <w:sz w:val="18"/>
                <w:lang w:val="es-ES"/>
              </w:rPr>
            </w:pP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La materia activa metil-tiofanato se degrada en carbendazima</w:t>
            </w:r>
          </w:p>
          <w:p w:rsidR="00412AFB" w:rsidRPr="00993936" w:rsidRDefault="00412AFB" w:rsidP="009D1A2D">
            <w:pPr>
              <w:pStyle w:val="Sinespaciado"/>
              <w:rPr>
                <w:rFonts w:ascii="Arial" w:hAnsi="Arial" w:cs="Arial"/>
                <w:sz w:val="18"/>
                <w:lang w:val="es-ES"/>
              </w:rPr>
            </w:pPr>
          </w:p>
        </w:tc>
      </w:tr>
      <w:tr w:rsidR="00412AFB" w:rsidRPr="00993936" w:rsidTr="00C8678E">
        <w:trPr>
          <w:cantSplit/>
        </w:trPr>
        <w:tc>
          <w:tcPr>
            <w:tcW w:w="1501" w:type="pct"/>
            <w:vAlign w:val="center"/>
          </w:tcPr>
          <w:p w:rsidR="00412AFB" w:rsidRPr="00993936" w:rsidRDefault="00412AFB" w:rsidP="009D1A2D">
            <w:pPr>
              <w:pStyle w:val="Sinespaciado"/>
              <w:rPr>
                <w:rFonts w:ascii="Arial" w:hAnsi="Arial" w:cs="Arial"/>
                <w:snapToGrid w:val="0"/>
                <w:sz w:val="18"/>
                <w:lang w:val="es-ES"/>
              </w:rPr>
            </w:pPr>
            <w:r w:rsidRPr="00993936">
              <w:rPr>
                <w:rFonts w:ascii="Arial" w:hAnsi="Arial" w:cs="Arial"/>
                <w:snapToGrid w:val="0"/>
                <w:sz w:val="18"/>
                <w:lang w:val="es-ES"/>
              </w:rPr>
              <w:t>Septoria</w:t>
            </w:r>
          </w:p>
          <w:p w:rsidR="00412AFB" w:rsidRPr="00993936" w:rsidRDefault="00412AFB" w:rsidP="009D1A2D">
            <w:pPr>
              <w:pStyle w:val="Sinespaciado"/>
              <w:rPr>
                <w:rFonts w:ascii="Arial" w:hAnsi="Arial" w:cs="Arial"/>
                <w:i/>
                <w:sz w:val="18"/>
                <w:lang w:val="es-ES"/>
              </w:rPr>
            </w:pPr>
            <w:r w:rsidRPr="00993936">
              <w:rPr>
                <w:rFonts w:ascii="Arial" w:hAnsi="Arial" w:cs="Arial"/>
                <w:i/>
                <w:sz w:val="18"/>
                <w:lang w:val="es-ES"/>
              </w:rPr>
              <w:t>Septoria pyricola</w:t>
            </w:r>
          </w:p>
          <w:p w:rsidR="00412AFB" w:rsidRPr="00993936" w:rsidRDefault="00412AFB" w:rsidP="009D1A2D">
            <w:pPr>
              <w:pStyle w:val="Sinespaciado"/>
              <w:rPr>
                <w:rFonts w:ascii="Arial" w:hAnsi="Arial" w:cs="Arial"/>
                <w:i/>
                <w:sz w:val="18"/>
                <w:lang w:val="es-ES"/>
              </w:rPr>
            </w:pPr>
            <w:r w:rsidRPr="00993936">
              <w:rPr>
                <w:rFonts w:ascii="Arial" w:hAnsi="Arial" w:cs="Arial"/>
                <w:i/>
                <w:sz w:val="18"/>
                <w:lang w:val="es-ES"/>
              </w:rPr>
              <w:t>Mycosphaerella sentina</w:t>
            </w:r>
          </w:p>
        </w:tc>
        <w:tc>
          <w:tcPr>
            <w:tcW w:w="1846" w:type="pct"/>
          </w:tcPr>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Difenoconazole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Maneb (7)</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Mancozeb</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Metil-tiofanato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Metiram (7)</w:t>
            </w:r>
          </w:p>
          <w:p w:rsidR="00412AFB" w:rsidRPr="00993936" w:rsidRDefault="00412AFB" w:rsidP="009D1A2D">
            <w:pPr>
              <w:pStyle w:val="Sinespaciado"/>
              <w:rPr>
                <w:rFonts w:ascii="Arial" w:hAnsi="Arial" w:cs="Arial"/>
                <w:sz w:val="18"/>
                <w:lang w:val="es-ES"/>
              </w:rPr>
            </w:pPr>
          </w:p>
        </w:tc>
        <w:tc>
          <w:tcPr>
            <w:tcW w:w="1653" w:type="pct"/>
            <w:vMerge/>
          </w:tcPr>
          <w:p w:rsidR="00412AFB" w:rsidRPr="00993936" w:rsidRDefault="00412AFB" w:rsidP="009D1A2D">
            <w:pPr>
              <w:pStyle w:val="Sinespaciado"/>
              <w:rPr>
                <w:rFonts w:ascii="Arial" w:hAnsi="Arial" w:cs="Arial"/>
                <w:snapToGrid w:val="0"/>
                <w:sz w:val="18"/>
                <w:lang w:val="es-ES"/>
              </w:rPr>
            </w:pPr>
          </w:p>
        </w:tc>
      </w:tr>
      <w:tr w:rsidR="00412AFB" w:rsidRPr="00993936" w:rsidTr="00C8678E">
        <w:trPr>
          <w:cantSplit/>
        </w:trPr>
        <w:tc>
          <w:tcPr>
            <w:tcW w:w="1501" w:type="pct"/>
            <w:vAlign w:val="center"/>
          </w:tcPr>
          <w:p w:rsidR="00412AFB" w:rsidRPr="00993936" w:rsidRDefault="00412AFB" w:rsidP="009D1A2D">
            <w:pPr>
              <w:pStyle w:val="Sinespaciado"/>
              <w:rPr>
                <w:rFonts w:ascii="Arial" w:hAnsi="Arial" w:cs="Arial"/>
                <w:snapToGrid w:val="0"/>
                <w:sz w:val="18"/>
                <w:lang w:val="es-ES"/>
              </w:rPr>
            </w:pPr>
            <w:r w:rsidRPr="00993936">
              <w:rPr>
                <w:rFonts w:ascii="Arial" w:hAnsi="Arial" w:cs="Arial"/>
                <w:snapToGrid w:val="0"/>
                <w:sz w:val="18"/>
                <w:lang w:val="es-ES"/>
              </w:rPr>
              <w:t xml:space="preserve">Mota, </w:t>
            </w:r>
          </w:p>
          <w:p w:rsidR="00412AFB" w:rsidRPr="00993936" w:rsidRDefault="00412AFB" w:rsidP="009D1A2D">
            <w:pPr>
              <w:pStyle w:val="Sinespaciado"/>
              <w:rPr>
                <w:rFonts w:ascii="Arial" w:hAnsi="Arial" w:cs="Arial"/>
                <w:i/>
                <w:sz w:val="18"/>
                <w:lang w:val="es-ES"/>
              </w:rPr>
            </w:pPr>
            <w:r w:rsidRPr="00993936">
              <w:rPr>
                <w:rFonts w:ascii="Arial" w:hAnsi="Arial" w:cs="Arial"/>
                <w:i/>
                <w:sz w:val="18"/>
                <w:lang w:val="es-ES"/>
              </w:rPr>
              <w:t>Venturia pirina</w:t>
            </w:r>
          </w:p>
          <w:p w:rsidR="00412AFB" w:rsidRPr="00993936" w:rsidRDefault="00412AFB" w:rsidP="009D1A2D">
            <w:pPr>
              <w:pStyle w:val="Sinespaciado"/>
              <w:rPr>
                <w:rFonts w:ascii="Arial" w:hAnsi="Arial" w:cs="Arial"/>
                <w:i/>
                <w:sz w:val="18"/>
                <w:lang w:val="es-ES"/>
              </w:rPr>
            </w:pPr>
            <w:r w:rsidRPr="00993936">
              <w:rPr>
                <w:rFonts w:ascii="Arial" w:hAnsi="Arial" w:cs="Arial"/>
                <w:sz w:val="18"/>
                <w:lang w:val="es-ES"/>
              </w:rPr>
              <w:t>Fusicladium pyrorum</w:t>
            </w:r>
          </w:p>
        </w:tc>
        <w:tc>
          <w:tcPr>
            <w:tcW w:w="1846" w:type="pct"/>
          </w:tcPr>
          <w:p w:rsidR="00412AFB" w:rsidRPr="00993936" w:rsidRDefault="00412AFB" w:rsidP="009D1A2D">
            <w:pPr>
              <w:pStyle w:val="Sinespaciado"/>
              <w:rPr>
                <w:rFonts w:ascii="Arial" w:hAnsi="Arial" w:cs="Arial"/>
                <w:i/>
                <w:sz w:val="18"/>
                <w:lang w:val="es-ES"/>
              </w:rPr>
            </w:pPr>
            <w:r w:rsidRPr="00993936">
              <w:rPr>
                <w:rFonts w:ascii="Arial" w:hAnsi="Arial" w:cs="Arial"/>
                <w:i/>
                <w:sz w:val="18"/>
                <w:lang w:val="es-ES"/>
              </w:rPr>
              <w:t>Bacillus subtilis</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Boscalida + Piraclostrobin</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Captan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Captan + Trifloxistrobina</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Carbonato de hidrógeno de potasio</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Ciproconazole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Ciprodinil</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Ciprodinil + Fludioxonil</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Ciprodinil + Sulfato cuprocálcico</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Clortalonil (4)</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Difenoconazole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Ditianona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Ditianona + Pirimetanil</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Dodina (4)</w:t>
            </w:r>
            <w:r w:rsidR="00E03B3B" w:rsidRPr="00993936">
              <w:rPr>
                <w:rFonts w:ascii="Arial" w:hAnsi="Arial" w:cs="Arial"/>
                <w:sz w:val="18"/>
                <w:lang w:val="es-ES"/>
              </w:rPr>
              <w:t xml:space="preserv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Fenbuconazole </w:t>
            </w:r>
          </w:p>
          <w:p w:rsidR="00412AFB" w:rsidRPr="00993936" w:rsidRDefault="00962CCD" w:rsidP="009D1A2D">
            <w:pPr>
              <w:pStyle w:val="Sinespaciado"/>
              <w:rPr>
                <w:rFonts w:ascii="Arial" w:hAnsi="Arial" w:cs="Arial"/>
                <w:sz w:val="18"/>
                <w:lang w:val="es-ES"/>
              </w:rPr>
            </w:pPr>
            <w:r w:rsidRPr="00993936">
              <w:rPr>
                <w:rFonts w:ascii="Arial" w:hAnsi="Arial" w:cs="Arial"/>
                <w:sz w:val="18"/>
                <w:lang w:val="es-ES"/>
              </w:rPr>
              <w:t>Fluopiram +</w:t>
            </w:r>
            <w:r w:rsidR="00412AFB" w:rsidRPr="00993936">
              <w:rPr>
                <w:rFonts w:ascii="Arial" w:hAnsi="Arial" w:cs="Arial"/>
                <w:sz w:val="18"/>
                <w:lang w:val="es-ES"/>
              </w:rPr>
              <w:t xml:space="preserve"> Tebuconazole</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Folpet + Sulfato cuprocálcico</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Hexaconazole</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Hidróxido cúprico (4)</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Metil-kresoxim (3)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Laminarín</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Mancozeb</w:t>
            </w:r>
            <w:r w:rsidR="006E0CBA" w:rsidRPr="00993936">
              <w:rPr>
                <w:rFonts w:ascii="Arial" w:hAnsi="Arial" w:cs="Arial"/>
                <w:sz w:val="18"/>
                <w:lang w:val="es-ES"/>
              </w:rPr>
              <w:t xml:space="preserve"> (7</w:t>
            </w:r>
            <w:r w:rsidRPr="00993936">
              <w:rPr>
                <w:rFonts w:ascii="Arial" w:hAnsi="Arial" w:cs="Arial"/>
                <w:sz w:val="18"/>
                <w:lang w:val="es-ES"/>
              </w:rPr>
              <w:t>)</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Mancozeb + Metil-tiofanato (^) (7)</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Mancozeb + Oxicloruro de cobre (7)</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Mancozeb + Sulfato cuprocálcico (7)</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Maneb (7)</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Metil-tiofanato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Metiram (7)</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Miclobutanil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Oxicloruro de cobre</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Oxicloruro de cobre + Propineb (7)</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Oxicloruro de cobre + Sulfato cuprocálcico</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Óxido cuproso</w:t>
            </w:r>
            <w:r w:rsidR="00E03B3B" w:rsidRPr="00993936">
              <w:rPr>
                <w:rFonts w:ascii="Arial" w:hAnsi="Arial" w:cs="Arial"/>
                <w:sz w:val="18"/>
                <w:lang w:val="es-ES"/>
              </w:rPr>
              <w:t xml:space="preserv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Azufre + Miclobutanil</w:t>
            </w:r>
            <w:r w:rsidRPr="00993936">
              <w:rPr>
                <w:rFonts w:ascii="Arial" w:hAnsi="Arial" w:cs="Arial"/>
                <w:sz w:val="18"/>
                <w:lang w:val="es-ES"/>
              </w:rPr>
              <w:tab/>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Azufre + Ciproconazole</w:t>
            </w:r>
            <w:r w:rsidR="00E03B3B" w:rsidRPr="00993936">
              <w:rPr>
                <w:rFonts w:ascii="Arial" w:hAnsi="Arial" w:cs="Arial"/>
                <w:sz w:val="18"/>
                <w:lang w:val="es-ES"/>
              </w:rPr>
              <w:t xml:space="preserv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Sulfato cuprocálcico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Sulfato tribásico de cobre</w:t>
            </w:r>
            <w:r w:rsidR="00E03B3B" w:rsidRPr="00993936">
              <w:rPr>
                <w:rFonts w:ascii="Arial" w:hAnsi="Arial" w:cs="Arial"/>
                <w:sz w:val="18"/>
                <w:lang w:val="es-ES"/>
              </w:rPr>
              <w:t xml:space="preserv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 xml:space="preserve">Tebuconazole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Tetraconazole (**)</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Tiram</w:t>
            </w:r>
          </w:p>
          <w:p w:rsidR="00412AFB" w:rsidRPr="00993936" w:rsidRDefault="00412AFB" w:rsidP="009D1A2D">
            <w:pPr>
              <w:pStyle w:val="Sinespaciado"/>
              <w:rPr>
                <w:rFonts w:ascii="Arial" w:hAnsi="Arial" w:cs="Arial"/>
                <w:sz w:val="18"/>
                <w:lang w:val="es-ES"/>
              </w:rPr>
            </w:pPr>
            <w:r w:rsidRPr="00993936">
              <w:rPr>
                <w:rFonts w:ascii="Arial" w:hAnsi="Arial" w:cs="Arial"/>
                <w:sz w:val="18"/>
                <w:lang w:val="es-ES"/>
              </w:rPr>
              <w:t>Trifloxistrobina</w:t>
            </w:r>
          </w:p>
        </w:tc>
        <w:tc>
          <w:tcPr>
            <w:tcW w:w="1653" w:type="pct"/>
            <w:vMerge/>
          </w:tcPr>
          <w:p w:rsidR="00412AFB" w:rsidRPr="00993936" w:rsidRDefault="00412AFB" w:rsidP="009D1A2D">
            <w:pPr>
              <w:pStyle w:val="Sinespaciado"/>
              <w:rPr>
                <w:rFonts w:ascii="Arial" w:hAnsi="Arial" w:cs="Arial"/>
                <w:snapToGrid w:val="0"/>
                <w:sz w:val="18"/>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b/>
          <w:snapToGrid w:val="0"/>
          <w:lang w:val="es-ES"/>
        </w:rPr>
      </w:pPr>
      <w:r w:rsidRPr="00993936">
        <w:rPr>
          <w:rFonts w:ascii="Arial" w:hAnsi="Arial" w:cs="Arial"/>
          <w:b/>
          <w:snapToGrid w:val="0"/>
          <w:lang w:val="es-ES"/>
        </w:rPr>
        <w:br w:type="page"/>
      </w:r>
      <w:r w:rsidR="00962CCD" w:rsidRPr="00993936">
        <w:rPr>
          <w:rFonts w:ascii="Arial" w:hAnsi="Arial" w:cs="Arial"/>
          <w:b/>
          <w:snapToGrid w:val="0"/>
          <w:lang w:val="es-ES"/>
        </w:rPr>
        <w:lastRenderedPageBreak/>
        <w:t>3.3.2.</w:t>
      </w:r>
      <w:r w:rsidRPr="00993936">
        <w:rPr>
          <w:rFonts w:ascii="Arial" w:hAnsi="Arial" w:cs="Arial"/>
          <w:b/>
          <w:snapToGrid w:val="0"/>
          <w:lang w:val="es-ES"/>
        </w:rPr>
        <w:t xml:space="preserve"> Peras (continuación)</w:t>
      </w:r>
    </w:p>
    <w:p w:rsidR="00412AFB" w:rsidRPr="00993936" w:rsidRDefault="00412AFB" w:rsidP="00412AFB">
      <w:pPr>
        <w:jc w:val="both"/>
        <w:rPr>
          <w:rFonts w:ascii="Arial" w:hAnsi="Arial" w:cs="Arial"/>
          <w:b/>
          <w:snapToGrid w:val="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7"/>
        <w:gridCol w:w="3326"/>
        <w:gridCol w:w="2991"/>
      </w:tblGrid>
      <w:tr w:rsidR="00412AFB" w:rsidRPr="00993936" w:rsidTr="00C8678E">
        <w:trPr>
          <w:cantSplit/>
        </w:trPr>
        <w:tc>
          <w:tcPr>
            <w:tcW w:w="1346" w:type="pct"/>
            <w:shd w:val="pct12" w:color="auto" w:fill="FFFFFF"/>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ENFERMEDAD</w:t>
            </w:r>
          </w:p>
        </w:tc>
        <w:tc>
          <w:tcPr>
            <w:tcW w:w="1924" w:type="pct"/>
            <w:shd w:val="pct12" w:color="auto" w:fill="FFFFFF"/>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MATERIA ACTIVA</w:t>
            </w:r>
          </w:p>
        </w:tc>
        <w:tc>
          <w:tcPr>
            <w:tcW w:w="1730" w:type="pct"/>
            <w:shd w:val="pct12" w:color="auto" w:fill="FFFFFF"/>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Pr>
        <w:tc>
          <w:tcPr>
            <w:tcW w:w="1346" w:type="pct"/>
          </w:tcPr>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Stemphilyum</w:t>
            </w:r>
          </w:p>
          <w:p w:rsidR="00412AFB" w:rsidRPr="00993936" w:rsidRDefault="00412AFB" w:rsidP="009D1A2D">
            <w:pPr>
              <w:pStyle w:val="Sinespaciado"/>
              <w:rPr>
                <w:rFonts w:ascii="Arial" w:hAnsi="Arial" w:cs="Arial"/>
                <w:i/>
                <w:lang w:val="es-ES"/>
              </w:rPr>
            </w:pPr>
            <w:r w:rsidRPr="00993936">
              <w:rPr>
                <w:rFonts w:ascii="Arial" w:hAnsi="Arial" w:cs="Arial"/>
                <w:i/>
                <w:lang w:val="es-ES"/>
              </w:rPr>
              <w:t>Stemphilium vesicarium</w:t>
            </w:r>
          </w:p>
          <w:p w:rsidR="00412AFB" w:rsidRPr="00993936" w:rsidRDefault="00412AFB" w:rsidP="009D1A2D">
            <w:pPr>
              <w:pStyle w:val="Sinespaciado"/>
              <w:rPr>
                <w:rFonts w:ascii="Arial" w:hAnsi="Arial" w:cs="Arial"/>
                <w:i/>
                <w:lang w:val="es-ES"/>
              </w:rPr>
            </w:pPr>
            <w:r w:rsidRPr="00993936">
              <w:rPr>
                <w:rFonts w:ascii="Arial" w:hAnsi="Arial" w:cs="Arial"/>
                <w:i/>
                <w:lang w:val="es-ES"/>
              </w:rPr>
              <w:t>Pleospora allii</w:t>
            </w:r>
          </w:p>
        </w:tc>
        <w:tc>
          <w:tcPr>
            <w:tcW w:w="1924" w:type="pct"/>
          </w:tcPr>
          <w:p w:rsidR="00412AFB" w:rsidRPr="00993936" w:rsidRDefault="00412AFB" w:rsidP="009D1A2D">
            <w:pPr>
              <w:pStyle w:val="Sinespaciado"/>
              <w:rPr>
                <w:rFonts w:ascii="Arial" w:hAnsi="Arial" w:cs="Arial"/>
                <w:lang w:val="es-ES"/>
              </w:rPr>
            </w:pPr>
            <w:r w:rsidRPr="00993936">
              <w:rPr>
                <w:rFonts w:ascii="Arial" w:hAnsi="Arial" w:cs="Arial"/>
                <w:lang w:val="es-ES"/>
              </w:rPr>
              <w:t>Boscalida + Piraclostrobin</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Captan </w:t>
            </w:r>
          </w:p>
          <w:p w:rsidR="00412AFB" w:rsidRPr="00993936" w:rsidRDefault="00412AFB" w:rsidP="009D1A2D">
            <w:pPr>
              <w:pStyle w:val="Sinespaciado"/>
              <w:rPr>
                <w:rFonts w:ascii="Arial" w:hAnsi="Arial" w:cs="Arial"/>
                <w:lang w:val="es-ES"/>
              </w:rPr>
            </w:pPr>
            <w:r w:rsidRPr="00993936">
              <w:rPr>
                <w:rFonts w:ascii="Arial" w:hAnsi="Arial" w:cs="Arial"/>
                <w:lang w:val="es-ES"/>
              </w:rPr>
              <w:t>Captan + Trifloxistrobina</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Ciprodinil + Fludioxonil </w:t>
            </w:r>
          </w:p>
          <w:p w:rsidR="00412AFB" w:rsidRPr="00993936" w:rsidRDefault="00962CCD" w:rsidP="009D1A2D">
            <w:pPr>
              <w:pStyle w:val="Sinespaciado"/>
              <w:rPr>
                <w:rFonts w:ascii="Arial" w:hAnsi="Arial" w:cs="Arial"/>
                <w:lang w:val="es-ES"/>
              </w:rPr>
            </w:pPr>
            <w:r w:rsidRPr="00993936">
              <w:rPr>
                <w:rFonts w:ascii="Arial" w:hAnsi="Arial" w:cs="Arial"/>
                <w:lang w:val="es-ES"/>
              </w:rPr>
              <w:t>Fluopiram +</w:t>
            </w:r>
            <w:r w:rsidR="00412AFB" w:rsidRPr="00993936">
              <w:rPr>
                <w:rFonts w:ascii="Arial" w:hAnsi="Arial" w:cs="Arial"/>
                <w:lang w:val="es-ES"/>
              </w:rPr>
              <w:t xml:space="preserve"> Tebuconazole</w:t>
            </w:r>
          </w:p>
          <w:p w:rsidR="00412AFB" w:rsidRPr="00993936" w:rsidRDefault="00412AFB" w:rsidP="009D1A2D">
            <w:pPr>
              <w:pStyle w:val="Sinespaciado"/>
              <w:rPr>
                <w:rFonts w:ascii="Arial" w:hAnsi="Arial" w:cs="Arial"/>
                <w:lang w:val="es-ES"/>
              </w:rPr>
            </w:pPr>
            <w:r w:rsidRPr="00993936">
              <w:rPr>
                <w:rFonts w:ascii="Arial" w:hAnsi="Arial" w:cs="Arial"/>
                <w:lang w:val="es-ES"/>
              </w:rPr>
              <w:t>Iprodiona</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Metil-kresoxim (3)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Tebuconazole </w:t>
            </w:r>
          </w:p>
          <w:p w:rsidR="00412AFB" w:rsidRPr="00993936" w:rsidRDefault="00412AFB" w:rsidP="009D1A2D">
            <w:pPr>
              <w:pStyle w:val="Sinespaciado"/>
              <w:rPr>
                <w:rFonts w:ascii="Arial" w:hAnsi="Arial" w:cs="Arial"/>
                <w:lang w:val="es-ES"/>
              </w:rPr>
            </w:pPr>
            <w:r w:rsidRPr="00993936">
              <w:rPr>
                <w:rFonts w:ascii="Arial" w:hAnsi="Arial" w:cs="Arial"/>
                <w:lang w:val="es-ES"/>
              </w:rPr>
              <w:t>Trifloxistrobina</w:t>
            </w:r>
          </w:p>
        </w:tc>
        <w:tc>
          <w:tcPr>
            <w:tcW w:w="1730" w:type="pct"/>
            <w:vMerge w:val="restart"/>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Máximo: 1 tratamiento/año</w:t>
            </w:r>
          </w:p>
          <w:p w:rsidR="00412AFB" w:rsidRPr="00993936" w:rsidRDefault="00412AFB" w:rsidP="009D1A2D">
            <w:pPr>
              <w:pStyle w:val="Sinespaciado"/>
              <w:rPr>
                <w:rFonts w:ascii="Arial" w:hAnsi="Arial" w:cs="Arial"/>
                <w:lang w:val="es-ES"/>
              </w:rPr>
            </w:pPr>
            <w:r w:rsidRPr="00993936">
              <w:rPr>
                <w:rFonts w:ascii="Arial" w:hAnsi="Arial" w:cs="Arial"/>
                <w:lang w:val="es-ES"/>
              </w:rPr>
              <w:t>Máximo: 2 tratamientos/año</w:t>
            </w:r>
          </w:p>
          <w:p w:rsidR="00412AFB" w:rsidRPr="00993936" w:rsidRDefault="00412AFB" w:rsidP="009D1A2D">
            <w:pPr>
              <w:pStyle w:val="Sinespaciado"/>
              <w:rPr>
                <w:rFonts w:ascii="Arial" w:hAnsi="Arial" w:cs="Arial"/>
                <w:lang w:val="es-ES"/>
              </w:rPr>
            </w:pPr>
            <w:r w:rsidRPr="00993936">
              <w:rPr>
                <w:rFonts w:ascii="Arial" w:hAnsi="Arial" w:cs="Arial"/>
                <w:lang w:val="es-ES"/>
              </w:rPr>
              <w:t>Máximo: 3 tratamientos/año</w:t>
            </w:r>
          </w:p>
          <w:p w:rsidR="00412AFB" w:rsidRPr="00993936" w:rsidRDefault="00412AFB" w:rsidP="009D1A2D">
            <w:pPr>
              <w:pStyle w:val="Sinespaciad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9D1A2D">
            <w:pPr>
              <w:pStyle w:val="Sinespaciado"/>
              <w:rPr>
                <w:rFonts w:ascii="Arial" w:hAnsi="Arial" w:cs="Arial"/>
                <w:lang w:val="es-ES"/>
              </w:rPr>
            </w:pPr>
            <w:r w:rsidRPr="00993936">
              <w:rPr>
                <w:rFonts w:ascii="Arial" w:hAnsi="Arial" w:cs="Arial"/>
                <w:lang w:val="es-ES"/>
              </w:rPr>
              <w:t>No aplicar en blanquilla (fitotóxico)</w:t>
            </w:r>
          </w:p>
          <w:p w:rsidR="00412AFB" w:rsidRPr="00993936" w:rsidRDefault="00412AFB" w:rsidP="009D1A2D">
            <w:pPr>
              <w:pStyle w:val="Sinespaciado"/>
              <w:rPr>
                <w:rFonts w:ascii="Arial" w:hAnsi="Arial" w:cs="Arial"/>
                <w:snapToGrid w:val="0"/>
                <w:lang w:val="es-ES"/>
              </w:rPr>
            </w:pPr>
          </w:p>
        </w:tc>
      </w:tr>
      <w:tr w:rsidR="00412AFB" w:rsidRPr="00993936" w:rsidTr="00C8678E">
        <w:trPr>
          <w:cantSplit/>
        </w:trPr>
        <w:tc>
          <w:tcPr>
            <w:tcW w:w="1346" w:type="pct"/>
          </w:tcPr>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Bacteriosis</w:t>
            </w:r>
          </w:p>
          <w:p w:rsidR="00412AFB" w:rsidRPr="00993936" w:rsidRDefault="00412AFB" w:rsidP="009D1A2D">
            <w:pPr>
              <w:pStyle w:val="Sinespaciado"/>
              <w:rPr>
                <w:rFonts w:ascii="Arial" w:hAnsi="Arial" w:cs="Arial"/>
                <w:lang w:val="es-ES"/>
              </w:rPr>
            </w:pPr>
          </w:p>
        </w:tc>
        <w:tc>
          <w:tcPr>
            <w:tcW w:w="1924" w:type="pct"/>
          </w:tcPr>
          <w:p w:rsidR="00412AFB" w:rsidRPr="00993936" w:rsidRDefault="00412AFB" w:rsidP="009D1A2D">
            <w:pPr>
              <w:pStyle w:val="Sinespaciado"/>
              <w:rPr>
                <w:rFonts w:ascii="Arial" w:hAnsi="Arial" w:cs="Arial"/>
                <w:i/>
                <w:lang w:val="es-ES"/>
              </w:rPr>
            </w:pPr>
            <w:r w:rsidRPr="00993936">
              <w:rPr>
                <w:rFonts w:ascii="Arial" w:hAnsi="Arial" w:cs="Arial"/>
                <w:i/>
                <w:lang w:val="es-ES"/>
              </w:rPr>
              <w:t>Aurobasidium pullulans (Autorizado hasta 14.05.2017)</w:t>
            </w:r>
          </w:p>
          <w:p w:rsidR="00412AFB" w:rsidRPr="00993936" w:rsidRDefault="00412AFB" w:rsidP="009D1A2D">
            <w:pPr>
              <w:pStyle w:val="Sinespaciado"/>
              <w:rPr>
                <w:rFonts w:ascii="Arial" w:hAnsi="Arial" w:cs="Arial"/>
                <w:i/>
                <w:lang w:val="es-ES"/>
              </w:rPr>
            </w:pPr>
            <w:r w:rsidRPr="00993936">
              <w:rPr>
                <w:rFonts w:ascii="Arial" w:hAnsi="Arial" w:cs="Arial"/>
                <w:i/>
                <w:lang w:val="es-ES"/>
              </w:rPr>
              <w:t>Bacillus subtilis</w:t>
            </w:r>
          </w:p>
          <w:p w:rsidR="00412AFB" w:rsidRPr="00993936" w:rsidRDefault="00412AFB" w:rsidP="009D1A2D">
            <w:pPr>
              <w:pStyle w:val="Sinespaciado"/>
              <w:rPr>
                <w:rFonts w:ascii="Arial" w:hAnsi="Arial" w:cs="Arial"/>
                <w:lang w:val="es-ES"/>
              </w:rPr>
            </w:pPr>
            <w:r w:rsidRPr="00993936">
              <w:rPr>
                <w:rFonts w:ascii="Arial" w:hAnsi="Arial" w:cs="Arial"/>
                <w:lang w:val="es-ES"/>
              </w:rPr>
              <w:t>Fosetil-Al</w:t>
            </w:r>
          </w:p>
          <w:p w:rsidR="00412AFB" w:rsidRPr="00993936" w:rsidRDefault="00412AFB" w:rsidP="009D1A2D">
            <w:pPr>
              <w:pStyle w:val="Sinespaciado"/>
              <w:rPr>
                <w:rFonts w:ascii="Arial" w:hAnsi="Arial" w:cs="Arial"/>
                <w:lang w:val="es-ES"/>
              </w:rPr>
            </w:pPr>
            <w:r w:rsidRPr="00993936">
              <w:rPr>
                <w:rFonts w:ascii="Arial" w:hAnsi="Arial" w:cs="Arial"/>
                <w:lang w:val="es-ES"/>
              </w:rPr>
              <w:t>Hidróxido cúprico (4)</w:t>
            </w:r>
          </w:p>
          <w:p w:rsidR="00412AFB" w:rsidRPr="00993936" w:rsidRDefault="00412AFB" w:rsidP="009D1A2D">
            <w:pPr>
              <w:pStyle w:val="Sinespaciado"/>
              <w:rPr>
                <w:rFonts w:ascii="Arial" w:hAnsi="Arial" w:cs="Arial"/>
                <w:lang w:val="es-ES"/>
              </w:rPr>
            </w:pPr>
            <w:r w:rsidRPr="00993936">
              <w:rPr>
                <w:rFonts w:ascii="Arial" w:hAnsi="Arial" w:cs="Arial"/>
                <w:lang w:val="es-ES"/>
              </w:rPr>
              <w:t>Laminarín</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Oxicloruro de cobre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Óxido cuproso </w:t>
            </w:r>
          </w:p>
          <w:p w:rsidR="00412AFB" w:rsidRPr="00993936" w:rsidRDefault="00412AFB" w:rsidP="009D1A2D">
            <w:pPr>
              <w:pStyle w:val="Sinespaciado"/>
              <w:rPr>
                <w:rFonts w:ascii="Arial" w:hAnsi="Arial" w:cs="Arial"/>
                <w:lang w:val="es-ES"/>
              </w:rPr>
            </w:pPr>
            <w:r w:rsidRPr="00993936">
              <w:rPr>
                <w:rFonts w:ascii="Arial" w:hAnsi="Arial" w:cs="Arial"/>
                <w:lang w:val="es-ES"/>
              </w:rPr>
              <w:t>Prohexadiona de calcio</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Sulfato cuprocálcico </w:t>
            </w:r>
          </w:p>
          <w:p w:rsidR="00412AFB" w:rsidRPr="00993936" w:rsidRDefault="00412AFB" w:rsidP="009D1A2D">
            <w:pPr>
              <w:pStyle w:val="Sinespaciado"/>
              <w:rPr>
                <w:rFonts w:ascii="Arial" w:hAnsi="Arial" w:cs="Arial"/>
                <w:lang w:val="es-ES"/>
              </w:rPr>
            </w:pPr>
            <w:r w:rsidRPr="00993936">
              <w:rPr>
                <w:rFonts w:ascii="Arial" w:hAnsi="Arial" w:cs="Arial"/>
                <w:lang w:val="es-ES"/>
              </w:rPr>
              <w:t>Sulfato tribásico de cobre</w:t>
            </w:r>
          </w:p>
        </w:tc>
        <w:tc>
          <w:tcPr>
            <w:tcW w:w="1730" w:type="pct"/>
            <w:vMerge/>
          </w:tcPr>
          <w:p w:rsidR="00412AFB" w:rsidRPr="00993936" w:rsidRDefault="00412AFB" w:rsidP="009D1A2D">
            <w:pPr>
              <w:pStyle w:val="Sinespaciado"/>
              <w:rPr>
                <w:rFonts w:ascii="Arial" w:hAnsi="Arial" w:cs="Arial"/>
                <w:snapToGrid w:val="0"/>
                <w:lang w:val="es-ES"/>
              </w:rPr>
            </w:pPr>
          </w:p>
        </w:tc>
      </w:tr>
      <w:tr w:rsidR="00412AFB" w:rsidRPr="00993936" w:rsidTr="00C8678E">
        <w:trPr>
          <w:cantSplit/>
          <w:trHeight w:val="2065"/>
        </w:trPr>
        <w:tc>
          <w:tcPr>
            <w:tcW w:w="1346" w:type="pct"/>
          </w:tcPr>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Enfermedades de madera:</w:t>
            </w:r>
          </w:p>
          <w:p w:rsidR="00412AFB" w:rsidRPr="00993936" w:rsidRDefault="00412AFB" w:rsidP="009D1A2D">
            <w:pPr>
              <w:pStyle w:val="Sinespaciado"/>
              <w:rPr>
                <w:rFonts w:ascii="Arial" w:hAnsi="Arial" w:cs="Arial"/>
              </w:rPr>
            </w:pPr>
            <w:r w:rsidRPr="00993936">
              <w:rPr>
                <w:rFonts w:ascii="Arial" w:hAnsi="Arial" w:cs="Arial"/>
              </w:rPr>
              <w:t>Chancro común</w:t>
            </w:r>
          </w:p>
          <w:p w:rsidR="00412AFB" w:rsidRPr="00993936" w:rsidRDefault="00412AFB" w:rsidP="009D1A2D">
            <w:pPr>
              <w:pStyle w:val="Sinespaciado"/>
              <w:rPr>
                <w:rFonts w:ascii="Arial" w:hAnsi="Arial" w:cs="Arial"/>
                <w:i/>
                <w:lang w:val="es-ES"/>
              </w:rPr>
            </w:pPr>
            <w:r w:rsidRPr="00993936">
              <w:rPr>
                <w:rFonts w:ascii="Arial" w:hAnsi="Arial" w:cs="Arial"/>
                <w:i/>
                <w:lang w:val="es-ES"/>
              </w:rPr>
              <w:t>Nectria gallígena</w:t>
            </w:r>
          </w:p>
          <w:p w:rsidR="00412AFB" w:rsidRPr="00993936" w:rsidRDefault="00412AFB" w:rsidP="009D1A2D">
            <w:pPr>
              <w:pStyle w:val="Sinespaciado"/>
              <w:rPr>
                <w:rFonts w:ascii="Arial" w:hAnsi="Arial" w:cs="Arial"/>
                <w:i/>
                <w:lang w:val="es-ES"/>
              </w:rPr>
            </w:pPr>
            <w:r w:rsidRPr="00993936">
              <w:rPr>
                <w:rFonts w:ascii="Arial" w:hAnsi="Arial" w:cs="Arial"/>
                <w:lang w:val="es-ES"/>
              </w:rPr>
              <w:t>Cylindrocapon heteronemum</w:t>
            </w:r>
          </w:p>
          <w:p w:rsidR="00412AFB" w:rsidRPr="00993936" w:rsidRDefault="00412AFB" w:rsidP="009D1A2D">
            <w:pPr>
              <w:pStyle w:val="Sinespaciado"/>
              <w:rPr>
                <w:rFonts w:ascii="Arial" w:hAnsi="Arial" w:cs="Arial"/>
              </w:rPr>
            </w:pPr>
            <w:r w:rsidRPr="00993936">
              <w:rPr>
                <w:rFonts w:ascii="Arial" w:hAnsi="Arial" w:cs="Arial"/>
              </w:rPr>
              <w:t>Phomopsis</w:t>
            </w:r>
          </w:p>
          <w:p w:rsidR="00412AFB" w:rsidRPr="00993936" w:rsidRDefault="00412AFB" w:rsidP="009D1A2D">
            <w:pPr>
              <w:pStyle w:val="Sinespaciado"/>
              <w:rPr>
                <w:rFonts w:ascii="Arial" w:hAnsi="Arial" w:cs="Arial"/>
                <w:i/>
                <w:lang w:val="es-ES"/>
              </w:rPr>
            </w:pPr>
            <w:r w:rsidRPr="00993936">
              <w:rPr>
                <w:rFonts w:ascii="Arial" w:hAnsi="Arial" w:cs="Arial"/>
                <w:i/>
                <w:lang w:val="es-ES"/>
              </w:rPr>
              <w:t>Diaporte eres</w:t>
            </w:r>
          </w:p>
          <w:p w:rsidR="00412AFB" w:rsidRPr="00993936" w:rsidRDefault="00412AFB" w:rsidP="009D1A2D">
            <w:pPr>
              <w:pStyle w:val="Sinespaciado"/>
              <w:rPr>
                <w:rFonts w:ascii="Arial" w:hAnsi="Arial" w:cs="Arial"/>
                <w:i/>
                <w:lang w:val="es-ES"/>
              </w:rPr>
            </w:pPr>
            <w:r w:rsidRPr="00993936">
              <w:rPr>
                <w:rFonts w:ascii="Arial" w:hAnsi="Arial" w:cs="Arial"/>
                <w:lang w:val="es-ES"/>
              </w:rPr>
              <w:t>Phomopsis mali</w:t>
            </w:r>
          </w:p>
          <w:p w:rsidR="00412AFB" w:rsidRPr="00993936" w:rsidRDefault="00412AFB" w:rsidP="009D1A2D">
            <w:pPr>
              <w:pStyle w:val="Sinespaciado"/>
              <w:rPr>
                <w:rFonts w:ascii="Arial" w:hAnsi="Arial" w:cs="Arial"/>
                <w:i/>
                <w:lang w:val="es-ES"/>
              </w:rPr>
            </w:pPr>
            <w:r w:rsidRPr="00993936">
              <w:rPr>
                <w:rFonts w:ascii="Arial" w:hAnsi="Arial" w:cs="Arial"/>
                <w:i/>
                <w:lang w:val="es-ES"/>
              </w:rPr>
              <w:t>Sphaeropsis</w:t>
            </w:r>
          </w:p>
          <w:p w:rsidR="00412AFB" w:rsidRPr="00993936" w:rsidRDefault="00412AFB" w:rsidP="009D1A2D">
            <w:pPr>
              <w:pStyle w:val="Sinespaciado"/>
              <w:rPr>
                <w:rFonts w:ascii="Arial" w:hAnsi="Arial" w:cs="Arial"/>
                <w:i/>
                <w:lang w:val="es-ES"/>
              </w:rPr>
            </w:pPr>
            <w:r w:rsidRPr="00993936">
              <w:rPr>
                <w:rFonts w:ascii="Arial" w:hAnsi="Arial" w:cs="Arial"/>
                <w:lang w:val="es-ES"/>
              </w:rPr>
              <w:t>Botryosphaeria obtusa</w:t>
            </w:r>
          </w:p>
          <w:p w:rsidR="00412AFB" w:rsidRPr="00993936" w:rsidRDefault="00412AFB" w:rsidP="009D1A2D">
            <w:pPr>
              <w:pStyle w:val="Sinespaciado"/>
              <w:rPr>
                <w:rFonts w:ascii="Arial" w:hAnsi="Arial" w:cs="Arial"/>
                <w:i/>
                <w:lang w:val="es-ES"/>
              </w:rPr>
            </w:pPr>
            <w:r w:rsidRPr="00993936">
              <w:rPr>
                <w:rFonts w:ascii="Arial" w:hAnsi="Arial" w:cs="Arial"/>
                <w:i/>
                <w:lang w:val="es-ES"/>
              </w:rPr>
              <w:t>Sphaeropsis malorum</w:t>
            </w:r>
          </w:p>
        </w:tc>
        <w:tc>
          <w:tcPr>
            <w:tcW w:w="1924" w:type="pct"/>
            <w:vAlign w:val="center"/>
          </w:tcPr>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 xml:space="preserve">Captan </w:t>
            </w:r>
          </w:p>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Folpet + Sulfato cuprocálcico</w:t>
            </w:r>
          </w:p>
          <w:p w:rsidR="00412AFB" w:rsidRPr="00993936" w:rsidRDefault="00412AFB" w:rsidP="009D1A2D">
            <w:pPr>
              <w:pStyle w:val="Sinespaciado"/>
              <w:rPr>
                <w:rFonts w:ascii="Arial" w:hAnsi="Arial" w:cs="Arial"/>
                <w:lang w:val="es-ES"/>
              </w:rPr>
            </w:pPr>
            <w:r w:rsidRPr="00993936">
              <w:rPr>
                <w:rFonts w:ascii="Arial" w:hAnsi="Arial" w:cs="Arial"/>
                <w:lang w:val="es-ES"/>
              </w:rPr>
              <w:t>Sulfato tribásico de cobre</w:t>
            </w:r>
          </w:p>
          <w:p w:rsidR="00412AFB" w:rsidRPr="00993936" w:rsidRDefault="00412AFB" w:rsidP="009D1A2D">
            <w:pPr>
              <w:pStyle w:val="Sinespaciado"/>
              <w:rPr>
                <w:rFonts w:ascii="Arial" w:hAnsi="Arial" w:cs="Arial"/>
                <w:lang w:val="es-ES"/>
              </w:rPr>
            </w:pPr>
            <w:r w:rsidRPr="00993936">
              <w:rPr>
                <w:rFonts w:ascii="Arial" w:hAnsi="Arial" w:cs="Arial"/>
                <w:lang w:val="es-ES"/>
              </w:rPr>
              <w:t>Ciprodinil + Fludioxinil</w:t>
            </w:r>
          </w:p>
          <w:p w:rsidR="00412AFB" w:rsidRPr="00993936" w:rsidRDefault="00412AFB" w:rsidP="009D1A2D">
            <w:pPr>
              <w:pStyle w:val="Sinespaciado"/>
              <w:rPr>
                <w:rFonts w:ascii="Arial" w:hAnsi="Arial" w:cs="Arial"/>
                <w:dstrike/>
                <w:lang w:val="es-ES"/>
              </w:rPr>
            </w:pPr>
          </w:p>
        </w:tc>
        <w:tc>
          <w:tcPr>
            <w:tcW w:w="1730" w:type="pct"/>
            <w:vMerge/>
          </w:tcPr>
          <w:p w:rsidR="00412AFB" w:rsidRPr="00993936" w:rsidRDefault="00412AFB" w:rsidP="009D1A2D">
            <w:pPr>
              <w:pStyle w:val="Sinespaciado"/>
              <w:rPr>
                <w:rFonts w:ascii="Arial" w:hAnsi="Arial" w:cs="Arial"/>
                <w:snapToGrid w:val="0"/>
                <w:lang w:val="es-ES"/>
              </w:rPr>
            </w:pPr>
          </w:p>
        </w:tc>
      </w:tr>
      <w:tr w:rsidR="00412AFB" w:rsidRPr="00993936" w:rsidTr="00C8678E">
        <w:trPr>
          <w:cantSplit/>
        </w:trPr>
        <w:tc>
          <w:tcPr>
            <w:tcW w:w="1346" w:type="pct"/>
            <w:vAlign w:val="center"/>
          </w:tcPr>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Podredumbre del cuello</w:t>
            </w:r>
          </w:p>
          <w:p w:rsidR="00412AFB" w:rsidRPr="00993936" w:rsidRDefault="00412AFB" w:rsidP="009D1A2D">
            <w:pPr>
              <w:pStyle w:val="Sinespaciado"/>
              <w:rPr>
                <w:rFonts w:ascii="Arial" w:hAnsi="Arial" w:cs="Arial"/>
                <w:i/>
                <w:snapToGrid w:val="0"/>
                <w:lang w:val="es-ES"/>
              </w:rPr>
            </w:pPr>
            <w:r w:rsidRPr="00993936">
              <w:rPr>
                <w:rFonts w:ascii="Arial" w:hAnsi="Arial" w:cs="Arial"/>
                <w:i/>
                <w:snapToGrid w:val="0"/>
                <w:lang w:val="es-ES"/>
              </w:rPr>
              <w:t>Phytophtora cactorum</w:t>
            </w:r>
          </w:p>
        </w:tc>
        <w:tc>
          <w:tcPr>
            <w:tcW w:w="1924" w:type="pct"/>
            <w:vAlign w:val="center"/>
          </w:tcPr>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 xml:space="preserve">Fosetil-Al </w:t>
            </w:r>
          </w:p>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Metalaxil-M</w:t>
            </w:r>
          </w:p>
        </w:tc>
        <w:tc>
          <w:tcPr>
            <w:tcW w:w="1730" w:type="pct"/>
            <w:vMerge/>
          </w:tcPr>
          <w:p w:rsidR="00412AFB" w:rsidRPr="00993936" w:rsidRDefault="00412AFB" w:rsidP="009D1A2D">
            <w:pPr>
              <w:pStyle w:val="Sinespaciado"/>
              <w:rPr>
                <w:rFonts w:ascii="Arial" w:hAnsi="Arial" w:cs="Arial"/>
                <w:snapToGrid w:val="0"/>
                <w:lang w:val="es-ES"/>
              </w:rPr>
            </w:pPr>
          </w:p>
        </w:tc>
      </w:tr>
      <w:tr w:rsidR="00412AFB" w:rsidRPr="00993936" w:rsidTr="00C8678E">
        <w:trPr>
          <w:cantSplit/>
        </w:trPr>
        <w:tc>
          <w:tcPr>
            <w:tcW w:w="1346" w:type="pct"/>
            <w:vAlign w:val="center"/>
          </w:tcPr>
          <w:p w:rsidR="00412AFB" w:rsidRPr="00993936" w:rsidRDefault="00412AFB" w:rsidP="009D1A2D">
            <w:pPr>
              <w:pStyle w:val="Sinespaciado"/>
              <w:rPr>
                <w:rFonts w:ascii="Arial" w:hAnsi="Arial" w:cs="Arial"/>
              </w:rPr>
            </w:pPr>
            <w:r w:rsidRPr="00993936">
              <w:rPr>
                <w:rFonts w:ascii="Arial" w:hAnsi="Arial" w:cs="Arial"/>
              </w:rPr>
              <w:t>Alternaria</w:t>
            </w:r>
          </w:p>
          <w:p w:rsidR="00412AFB" w:rsidRPr="00993936" w:rsidRDefault="00412AFB" w:rsidP="009D1A2D">
            <w:pPr>
              <w:pStyle w:val="Sinespaciado"/>
              <w:rPr>
                <w:rFonts w:ascii="Arial" w:hAnsi="Arial" w:cs="Arial"/>
                <w:snapToGrid w:val="0"/>
                <w:lang w:val="es-ES"/>
              </w:rPr>
            </w:pPr>
          </w:p>
        </w:tc>
        <w:tc>
          <w:tcPr>
            <w:tcW w:w="1924" w:type="pct"/>
            <w:vAlign w:val="center"/>
          </w:tcPr>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Boscalida + Piraclostrobina</w:t>
            </w:r>
          </w:p>
          <w:p w:rsidR="00412AFB" w:rsidRPr="00993936" w:rsidRDefault="00412AFB" w:rsidP="009D1A2D">
            <w:pPr>
              <w:pStyle w:val="Sinespaciado"/>
              <w:rPr>
                <w:rFonts w:ascii="Arial" w:hAnsi="Arial" w:cs="Arial"/>
                <w:lang w:val="es-ES"/>
              </w:rPr>
            </w:pPr>
            <w:r w:rsidRPr="00993936">
              <w:rPr>
                <w:rFonts w:ascii="Arial" w:hAnsi="Arial" w:cs="Arial"/>
                <w:lang w:val="es-ES"/>
              </w:rPr>
              <w:t>Ciprodinil + Fludioxonil</w:t>
            </w:r>
          </w:p>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Fludioxonil</w:t>
            </w:r>
          </w:p>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Fluopiram + Tebuconazol</w:t>
            </w:r>
          </w:p>
          <w:p w:rsidR="00412AFB" w:rsidRPr="00993936" w:rsidRDefault="00412AFB" w:rsidP="009D1A2D">
            <w:pPr>
              <w:pStyle w:val="Sinespaciado"/>
              <w:rPr>
                <w:rFonts w:ascii="Arial" w:hAnsi="Arial" w:cs="Arial"/>
                <w:snapToGrid w:val="0"/>
                <w:lang w:val="es-ES"/>
              </w:rPr>
            </w:pPr>
            <w:r w:rsidRPr="00993936">
              <w:rPr>
                <w:rFonts w:ascii="Arial" w:hAnsi="Arial" w:cs="Arial"/>
                <w:snapToGrid w:val="0"/>
                <w:lang w:val="es-ES"/>
              </w:rPr>
              <w:t>Fosetil-Al</w:t>
            </w:r>
          </w:p>
        </w:tc>
        <w:tc>
          <w:tcPr>
            <w:tcW w:w="1730" w:type="pct"/>
            <w:vMerge/>
          </w:tcPr>
          <w:p w:rsidR="00412AFB" w:rsidRPr="00993936" w:rsidRDefault="00412AFB" w:rsidP="009D1A2D">
            <w:pPr>
              <w:pStyle w:val="Sinespaciado"/>
              <w:rPr>
                <w:rFonts w:ascii="Arial" w:hAnsi="Arial" w:cs="Arial"/>
                <w:snapToGrid w:val="0"/>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3.3.3. Membrillero</w:t>
      </w:r>
    </w:p>
    <w:p w:rsidR="00412AFB" w:rsidRPr="00993936" w:rsidRDefault="00412AFB" w:rsidP="00412AFB">
      <w:pPr>
        <w:rPr>
          <w:rFonts w:ascii="Arial"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7"/>
        <w:gridCol w:w="2818"/>
        <w:gridCol w:w="2989"/>
      </w:tblGrid>
      <w:tr w:rsidR="00412AFB" w:rsidRPr="00993936" w:rsidTr="00C8678E">
        <w:trPr>
          <w:cantSplit/>
        </w:trPr>
        <w:tc>
          <w:tcPr>
            <w:tcW w:w="1641" w:type="pct"/>
            <w:shd w:val="pct20" w:color="auto" w:fill="FFFFFF"/>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ENFERMEDAD</w:t>
            </w:r>
          </w:p>
        </w:tc>
        <w:tc>
          <w:tcPr>
            <w:tcW w:w="1630" w:type="pct"/>
            <w:shd w:val="pct20" w:color="auto" w:fill="FFFFFF"/>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MATERIA ACTIVA</w:t>
            </w:r>
          </w:p>
        </w:tc>
        <w:tc>
          <w:tcPr>
            <w:tcW w:w="1730" w:type="pct"/>
            <w:shd w:val="pct20" w:color="auto" w:fill="FFFFFF"/>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RESTRICCIONES</w:t>
            </w:r>
          </w:p>
        </w:tc>
      </w:tr>
      <w:tr w:rsidR="00412AFB" w:rsidRPr="00993936" w:rsidTr="00C8678E">
        <w:trPr>
          <w:cantSplit/>
          <w:trHeight w:val="304"/>
        </w:trPr>
        <w:tc>
          <w:tcPr>
            <w:tcW w:w="1641" w:type="pct"/>
          </w:tcPr>
          <w:p w:rsidR="00412AFB" w:rsidRPr="00993936" w:rsidRDefault="00412AFB" w:rsidP="009D1A2D">
            <w:pPr>
              <w:pStyle w:val="Sinespaciado"/>
              <w:rPr>
                <w:rFonts w:ascii="Arial" w:hAnsi="Arial" w:cs="Arial"/>
              </w:rPr>
            </w:pPr>
            <w:r w:rsidRPr="00993936">
              <w:rPr>
                <w:rFonts w:ascii="Arial" w:hAnsi="Arial" w:cs="Arial"/>
              </w:rPr>
              <w:t>Monilia</w:t>
            </w:r>
          </w:p>
          <w:p w:rsidR="00412AFB" w:rsidRPr="00993936" w:rsidRDefault="00412AFB" w:rsidP="009D1A2D">
            <w:pPr>
              <w:pStyle w:val="Sinespaciado"/>
              <w:rPr>
                <w:rFonts w:ascii="Arial" w:hAnsi="Arial" w:cs="Arial"/>
                <w:lang w:val="es-ES"/>
              </w:rPr>
            </w:pPr>
            <w:r w:rsidRPr="00993936">
              <w:rPr>
                <w:rFonts w:ascii="Arial" w:hAnsi="Arial" w:cs="Arial"/>
                <w:lang w:val="es-ES"/>
              </w:rPr>
              <w:t>Monilia fructigena</w:t>
            </w:r>
          </w:p>
        </w:tc>
        <w:tc>
          <w:tcPr>
            <w:tcW w:w="1630" w:type="pct"/>
          </w:tcPr>
          <w:p w:rsidR="00412AFB" w:rsidRPr="00993936" w:rsidRDefault="00412AFB" w:rsidP="009D1A2D">
            <w:pPr>
              <w:pStyle w:val="Sinespaciado"/>
              <w:rPr>
                <w:rFonts w:ascii="Arial" w:hAnsi="Arial" w:cs="Arial"/>
                <w:lang w:val="es-ES"/>
              </w:rPr>
            </w:pPr>
            <w:r w:rsidRPr="00993936">
              <w:rPr>
                <w:rFonts w:ascii="Arial" w:hAnsi="Arial" w:cs="Arial"/>
                <w:lang w:val="es-ES"/>
              </w:rPr>
              <w:t xml:space="preserve">Captan </w:t>
            </w:r>
          </w:p>
          <w:p w:rsidR="00412AFB" w:rsidRPr="00993936" w:rsidRDefault="00412AFB" w:rsidP="009D1A2D">
            <w:pPr>
              <w:pStyle w:val="Sinespaciado"/>
              <w:rPr>
                <w:rFonts w:ascii="Arial" w:hAnsi="Arial" w:cs="Arial"/>
                <w:lang w:val="es-ES"/>
              </w:rPr>
            </w:pPr>
            <w:r w:rsidRPr="00993936">
              <w:rPr>
                <w:rFonts w:ascii="Arial" w:hAnsi="Arial" w:cs="Arial"/>
                <w:lang w:val="es-ES"/>
              </w:rPr>
              <w:t>Ciprodinil + Fludioxonil</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Ciproconazole </w:t>
            </w:r>
          </w:p>
          <w:p w:rsidR="00412AFB" w:rsidRPr="00993936" w:rsidRDefault="00412AFB" w:rsidP="009D1A2D">
            <w:pPr>
              <w:pStyle w:val="Sinespaciado"/>
              <w:rPr>
                <w:rFonts w:ascii="Arial" w:hAnsi="Arial" w:cs="Arial"/>
                <w:lang w:val="es-ES"/>
              </w:rPr>
            </w:pPr>
            <w:r w:rsidRPr="00993936">
              <w:rPr>
                <w:rFonts w:ascii="Arial" w:hAnsi="Arial" w:cs="Arial"/>
                <w:lang w:val="es-ES"/>
              </w:rPr>
              <w:t>Clortalonil (4)</w:t>
            </w:r>
          </w:p>
          <w:p w:rsidR="00412AFB" w:rsidRPr="00993936" w:rsidRDefault="00412AFB" w:rsidP="009D1A2D">
            <w:pPr>
              <w:pStyle w:val="Sinespaciado"/>
              <w:rPr>
                <w:rFonts w:ascii="Arial" w:hAnsi="Arial" w:cs="Arial"/>
                <w:lang w:val="es-ES"/>
              </w:rPr>
            </w:pPr>
            <w:r w:rsidRPr="00993936">
              <w:rPr>
                <w:rFonts w:ascii="Arial" w:hAnsi="Arial" w:cs="Arial"/>
                <w:lang w:val="es-ES"/>
              </w:rPr>
              <w:t>Folpet</w:t>
            </w:r>
          </w:p>
          <w:p w:rsidR="00412AFB" w:rsidRPr="00993936" w:rsidRDefault="00412AFB" w:rsidP="009D1A2D">
            <w:pPr>
              <w:pStyle w:val="Sinespaciado"/>
              <w:rPr>
                <w:rFonts w:ascii="Arial" w:hAnsi="Arial" w:cs="Arial"/>
                <w:lang w:val="es-ES"/>
              </w:rPr>
            </w:pPr>
            <w:r w:rsidRPr="00993936">
              <w:rPr>
                <w:rFonts w:ascii="Arial" w:hAnsi="Arial" w:cs="Arial"/>
                <w:lang w:val="es-ES"/>
              </w:rPr>
              <w:t>Folpet + Sulfato cuprocálcico</w:t>
            </w:r>
          </w:p>
          <w:p w:rsidR="00412AFB" w:rsidRPr="00993936" w:rsidRDefault="00412AFB" w:rsidP="009D1A2D">
            <w:pPr>
              <w:pStyle w:val="Sinespaciado"/>
              <w:rPr>
                <w:rFonts w:ascii="Arial" w:hAnsi="Arial" w:cs="Arial"/>
                <w:lang w:val="es-ES"/>
              </w:rPr>
            </w:pPr>
            <w:r w:rsidRPr="00993936">
              <w:rPr>
                <w:rFonts w:ascii="Arial" w:hAnsi="Arial" w:cs="Arial"/>
                <w:lang w:val="es-ES"/>
              </w:rPr>
              <w:t>Hidróxido cúprico (4)</w:t>
            </w:r>
          </w:p>
          <w:p w:rsidR="00412AFB" w:rsidRPr="00993936" w:rsidRDefault="00412AFB" w:rsidP="009D1A2D">
            <w:pPr>
              <w:pStyle w:val="Sinespaciado"/>
              <w:rPr>
                <w:rFonts w:ascii="Arial" w:hAnsi="Arial" w:cs="Arial"/>
                <w:lang w:val="es-ES"/>
              </w:rPr>
            </w:pPr>
            <w:r w:rsidRPr="00993936">
              <w:rPr>
                <w:rFonts w:ascii="Arial" w:hAnsi="Arial" w:cs="Arial"/>
                <w:lang w:val="es-ES"/>
              </w:rPr>
              <w:t>Mancozeb</w:t>
            </w:r>
          </w:p>
          <w:p w:rsidR="00412AFB" w:rsidRPr="00993936" w:rsidRDefault="00412AFB" w:rsidP="009D1A2D">
            <w:pPr>
              <w:pStyle w:val="Sinespaciado"/>
              <w:rPr>
                <w:rFonts w:ascii="Arial" w:hAnsi="Arial" w:cs="Arial"/>
                <w:lang w:val="es-ES"/>
              </w:rPr>
            </w:pPr>
            <w:r w:rsidRPr="00993936">
              <w:rPr>
                <w:rFonts w:ascii="Arial" w:hAnsi="Arial" w:cs="Arial"/>
                <w:lang w:val="es-ES"/>
              </w:rPr>
              <w:t>Mancozeb + Metil-tiofanato</w:t>
            </w:r>
          </w:p>
          <w:p w:rsidR="00412AFB" w:rsidRPr="00993936" w:rsidRDefault="00412AFB" w:rsidP="009D1A2D">
            <w:pPr>
              <w:pStyle w:val="Sinespaciado"/>
              <w:rPr>
                <w:rFonts w:ascii="Arial" w:hAnsi="Arial" w:cs="Arial"/>
                <w:lang w:val="es-ES"/>
              </w:rPr>
            </w:pPr>
            <w:r w:rsidRPr="00993936">
              <w:rPr>
                <w:rFonts w:ascii="Arial" w:hAnsi="Arial" w:cs="Arial"/>
                <w:lang w:val="es-ES"/>
              </w:rPr>
              <w:t>Mancozeb + Sulfato cuprocálcico</w:t>
            </w:r>
          </w:p>
          <w:p w:rsidR="00412AFB" w:rsidRPr="00993936" w:rsidRDefault="00412AFB" w:rsidP="009D1A2D">
            <w:pPr>
              <w:pStyle w:val="Sinespaciado"/>
              <w:rPr>
                <w:rFonts w:ascii="Arial" w:hAnsi="Arial" w:cs="Arial"/>
                <w:lang w:val="es-ES"/>
              </w:rPr>
            </w:pPr>
            <w:r w:rsidRPr="00993936">
              <w:rPr>
                <w:rFonts w:ascii="Arial" w:hAnsi="Arial" w:cs="Arial"/>
                <w:lang w:val="es-ES"/>
              </w:rPr>
              <w:t>Mancozeb + Oxicloruro de cobre</w:t>
            </w:r>
          </w:p>
          <w:p w:rsidR="00412AFB" w:rsidRPr="00993936" w:rsidRDefault="00412AFB" w:rsidP="009D1A2D">
            <w:pPr>
              <w:pStyle w:val="Sinespaciado"/>
              <w:rPr>
                <w:rFonts w:ascii="Arial" w:hAnsi="Arial" w:cs="Arial"/>
                <w:lang w:val="es-ES"/>
              </w:rPr>
            </w:pPr>
            <w:r w:rsidRPr="00993936">
              <w:rPr>
                <w:rFonts w:ascii="Arial" w:hAnsi="Arial" w:cs="Arial"/>
                <w:lang w:val="es-ES"/>
              </w:rPr>
              <w:t>Metil-tiofanato</w:t>
            </w:r>
          </w:p>
          <w:p w:rsidR="00412AFB" w:rsidRPr="00993936" w:rsidRDefault="00412AFB" w:rsidP="009D1A2D">
            <w:pPr>
              <w:pStyle w:val="Sinespaciado"/>
              <w:rPr>
                <w:rFonts w:ascii="Arial" w:hAnsi="Arial" w:cs="Arial"/>
                <w:lang w:val="es-ES"/>
              </w:rPr>
            </w:pPr>
            <w:r w:rsidRPr="00993936">
              <w:rPr>
                <w:rFonts w:ascii="Arial" w:hAnsi="Arial" w:cs="Arial"/>
                <w:lang w:val="es-ES"/>
              </w:rPr>
              <w:t>Metiram</w:t>
            </w:r>
          </w:p>
          <w:p w:rsidR="00412AFB" w:rsidRPr="00993936" w:rsidRDefault="00412AFB" w:rsidP="009D1A2D">
            <w:pPr>
              <w:pStyle w:val="Sinespaciado"/>
              <w:rPr>
                <w:rFonts w:ascii="Arial" w:hAnsi="Arial" w:cs="Arial"/>
                <w:lang w:val="es-ES"/>
              </w:rPr>
            </w:pPr>
            <w:r w:rsidRPr="00993936">
              <w:rPr>
                <w:rFonts w:ascii="Arial" w:hAnsi="Arial" w:cs="Arial"/>
                <w:lang w:val="es-ES"/>
              </w:rPr>
              <w:t>Oxicloruro de cobre + Propineb</w:t>
            </w:r>
          </w:p>
          <w:p w:rsidR="00412AFB" w:rsidRPr="00993936" w:rsidRDefault="00412AFB" w:rsidP="009D1A2D">
            <w:pPr>
              <w:pStyle w:val="Sinespaciado"/>
              <w:rPr>
                <w:rFonts w:ascii="Arial" w:hAnsi="Arial" w:cs="Arial"/>
                <w:lang w:val="es-ES"/>
              </w:rPr>
            </w:pPr>
            <w:r w:rsidRPr="00993936">
              <w:rPr>
                <w:rFonts w:ascii="Arial" w:hAnsi="Arial" w:cs="Arial"/>
                <w:lang w:val="es-ES"/>
              </w:rPr>
              <w:t>Oxicloruro de cobre</w:t>
            </w:r>
          </w:p>
          <w:p w:rsidR="00412AFB" w:rsidRPr="00993936" w:rsidRDefault="00412AFB" w:rsidP="009D1A2D">
            <w:pPr>
              <w:pStyle w:val="Sinespaciado"/>
              <w:rPr>
                <w:rFonts w:ascii="Arial" w:hAnsi="Arial" w:cs="Arial"/>
                <w:lang w:val="es-ES"/>
              </w:rPr>
            </w:pPr>
            <w:r w:rsidRPr="00993936">
              <w:rPr>
                <w:rFonts w:ascii="Arial" w:hAnsi="Arial" w:cs="Arial"/>
                <w:lang w:val="es-ES"/>
              </w:rPr>
              <w:t>Oxicloruro de cobre + Sulfato cuprocálcico</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Óxido cuproso </w:t>
            </w:r>
          </w:p>
          <w:p w:rsidR="00412AFB" w:rsidRPr="00993936" w:rsidRDefault="00412AFB" w:rsidP="009D1A2D">
            <w:pPr>
              <w:pStyle w:val="Sinespaciado"/>
              <w:rPr>
                <w:rFonts w:ascii="Arial" w:hAnsi="Arial" w:cs="Arial"/>
                <w:lang w:val="es-ES"/>
              </w:rPr>
            </w:pPr>
            <w:r w:rsidRPr="00993936">
              <w:rPr>
                <w:rFonts w:ascii="Arial" w:hAnsi="Arial" w:cs="Arial"/>
                <w:lang w:val="es-ES"/>
              </w:rPr>
              <w:t>Azufre + Ciproconazole</w:t>
            </w:r>
            <w:r w:rsidR="00E03B3B" w:rsidRPr="00993936">
              <w:rPr>
                <w:rFonts w:ascii="Arial" w:hAnsi="Arial" w:cs="Arial"/>
                <w:lang w:val="es-ES"/>
              </w:rPr>
              <w:t xml:space="preserve"> </w:t>
            </w:r>
          </w:p>
          <w:p w:rsidR="00412AFB" w:rsidRPr="00993936" w:rsidRDefault="00412AFB" w:rsidP="009D1A2D">
            <w:pPr>
              <w:pStyle w:val="Sinespaciado"/>
              <w:rPr>
                <w:rFonts w:ascii="Arial" w:hAnsi="Arial" w:cs="Arial"/>
                <w:lang w:val="es-ES"/>
              </w:rPr>
            </w:pPr>
            <w:r w:rsidRPr="00993936">
              <w:rPr>
                <w:rFonts w:ascii="Arial" w:hAnsi="Arial" w:cs="Arial"/>
                <w:lang w:val="es-ES"/>
              </w:rPr>
              <w:t>Sulfato cuprocálcico</w:t>
            </w:r>
          </w:p>
          <w:p w:rsidR="00412AFB" w:rsidRPr="00993936" w:rsidRDefault="00412AFB" w:rsidP="009D1A2D">
            <w:pPr>
              <w:pStyle w:val="Sinespaciado"/>
              <w:rPr>
                <w:rFonts w:ascii="Arial" w:hAnsi="Arial" w:cs="Arial"/>
                <w:lang w:val="es-ES"/>
              </w:rPr>
            </w:pPr>
            <w:r w:rsidRPr="00993936">
              <w:rPr>
                <w:rFonts w:ascii="Arial" w:hAnsi="Arial" w:cs="Arial"/>
                <w:lang w:val="es-ES"/>
              </w:rPr>
              <w:t>Sulfato tribásico de cobre</w:t>
            </w:r>
          </w:p>
        </w:tc>
        <w:tc>
          <w:tcPr>
            <w:tcW w:w="1730" w:type="pct"/>
            <w:vMerge w:val="restart"/>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Máximo: 1 tratamiento/año</w:t>
            </w:r>
          </w:p>
          <w:p w:rsidR="00412AFB" w:rsidRPr="00993936" w:rsidRDefault="00412AFB" w:rsidP="009D1A2D">
            <w:pPr>
              <w:pStyle w:val="Sinespaciado"/>
              <w:rPr>
                <w:rFonts w:ascii="Arial" w:hAnsi="Arial" w:cs="Arial"/>
                <w:lang w:val="es-ES"/>
              </w:rPr>
            </w:pPr>
            <w:r w:rsidRPr="00993936">
              <w:rPr>
                <w:rFonts w:ascii="Arial" w:hAnsi="Arial" w:cs="Arial"/>
                <w:lang w:val="es-ES"/>
              </w:rPr>
              <w:t>Máximo: 2 tratamientos/año</w:t>
            </w:r>
          </w:p>
          <w:p w:rsidR="00412AFB" w:rsidRPr="00993936" w:rsidRDefault="00412AFB" w:rsidP="009D1A2D">
            <w:pPr>
              <w:pStyle w:val="Sinespaciado"/>
              <w:rPr>
                <w:rFonts w:ascii="Arial" w:hAnsi="Arial" w:cs="Arial"/>
                <w:lang w:val="es-ES"/>
              </w:rPr>
            </w:pPr>
            <w:r w:rsidRPr="00993936">
              <w:rPr>
                <w:rFonts w:ascii="Arial" w:hAnsi="Arial" w:cs="Arial"/>
                <w:lang w:val="es-ES"/>
              </w:rPr>
              <w:t>Máximo: 3 tratamientos/año</w:t>
            </w:r>
          </w:p>
          <w:p w:rsidR="00412AFB" w:rsidRPr="00993936" w:rsidRDefault="00412AFB" w:rsidP="009D1A2D">
            <w:pPr>
              <w:pStyle w:val="Sinespaciado"/>
              <w:rPr>
                <w:rFonts w:ascii="Arial" w:hAnsi="Arial" w:cs="Arial"/>
                <w:lang w:val="es-ES"/>
              </w:rPr>
            </w:pPr>
            <w:r w:rsidRPr="00993936">
              <w:rPr>
                <w:rFonts w:ascii="Arial" w:hAnsi="Arial" w:cs="Arial"/>
                <w:lang w:val="es-ES"/>
              </w:rPr>
              <w:t>Solo formulaciones que no sean de clasificación toxicológica (T)</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Máximo: 1 tratamiento/año grupo METI a dosis mínima </w:t>
            </w:r>
          </w:p>
          <w:p w:rsidR="00412AFB" w:rsidRPr="00993936" w:rsidRDefault="00412AFB" w:rsidP="009D1A2D">
            <w:pPr>
              <w:pStyle w:val="Sinespaciado"/>
              <w:rPr>
                <w:rFonts w:ascii="Arial" w:hAnsi="Arial" w:cs="Arial"/>
                <w:lang w:val="es-ES"/>
              </w:rPr>
            </w:pPr>
            <w:r w:rsidRPr="00993936">
              <w:rPr>
                <w:rFonts w:ascii="Arial" w:hAnsi="Arial" w:cs="Arial"/>
                <w:lang w:val="es-ES"/>
              </w:rPr>
              <w:t xml:space="preserve">Máximo: 2 tratamientos/año entre todas las bencilo-ureas </w:t>
            </w:r>
          </w:p>
          <w:p w:rsidR="00412AFB" w:rsidRPr="00993936" w:rsidRDefault="00412AFB" w:rsidP="009D1A2D">
            <w:pPr>
              <w:pStyle w:val="Sinespaciado"/>
              <w:rPr>
                <w:rFonts w:ascii="Arial" w:hAnsi="Arial" w:cs="Arial"/>
                <w:lang w:val="es-ES"/>
              </w:rPr>
            </w:pPr>
            <w:r w:rsidRPr="00993936">
              <w:rPr>
                <w:rFonts w:ascii="Arial" w:hAnsi="Arial" w:cs="Arial"/>
                <w:lang w:val="es-ES"/>
              </w:rPr>
              <w:t>(^) La materia activa metil-tiofanato se degrada en carbendazima</w:t>
            </w:r>
          </w:p>
          <w:p w:rsidR="00412AFB" w:rsidRPr="00993936" w:rsidRDefault="00412AFB" w:rsidP="009D1A2D">
            <w:pPr>
              <w:pStyle w:val="Sinespaciado"/>
              <w:rPr>
                <w:rFonts w:ascii="Arial" w:hAnsi="Arial" w:cs="Arial"/>
                <w:lang w:val="es-ES"/>
              </w:rPr>
            </w:pPr>
          </w:p>
        </w:tc>
      </w:tr>
      <w:tr w:rsidR="00412AFB" w:rsidRPr="00993936" w:rsidTr="00C8678E">
        <w:trPr>
          <w:cantSplit/>
          <w:trHeight w:val="304"/>
        </w:trPr>
        <w:tc>
          <w:tcPr>
            <w:tcW w:w="1641" w:type="pct"/>
          </w:tcPr>
          <w:p w:rsidR="00412AFB" w:rsidRPr="00993936" w:rsidRDefault="00412AFB" w:rsidP="009D1A2D">
            <w:pPr>
              <w:pStyle w:val="Sinespaciado"/>
              <w:rPr>
                <w:rFonts w:ascii="Arial" w:hAnsi="Arial" w:cs="Arial"/>
              </w:rPr>
            </w:pPr>
            <w:r w:rsidRPr="00993936">
              <w:rPr>
                <w:rFonts w:ascii="Arial" w:hAnsi="Arial" w:cs="Arial"/>
              </w:rPr>
              <w:t>Roya</w:t>
            </w:r>
          </w:p>
          <w:p w:rsidR="00412AFB" w:rsidRPr="00993936" w:rsidRDefault="00412AFB" w:rsidP="009D1A2D">
            <w:pPr>
              <w:pStyle w:val="Sinespaciado"/>
              <w:rPr>
                <w:rFonts w:ascii="Arial" w:hAnsi="Arial" w:cs="Arial"/>
                <w:i/>
                <w:lang w:val="es-ES"/>
              </w:rPr>
            </w:pPr>
            <w:r w:rsidRPr="00993936">
              <w:rPr>
                <w:rFonts w:ascii="Arial" w:hAnsi="Arial" w:cs="Arial"/>
                <w:lang w:val="es-ES"/>
              </w:rPr>
              <w:t>Gymnosporangium sabinae</w:t>
            </w:r>
          </w:p>
        </w:tc>
        <w:tc>
          <w:tcPr>
            <w:tcW w:w="1630" w:type="pct"/>
          </w:tcPr>
          <w:p w:rsidR="00412AFB" w:rsidRPr="00993936" w:rsidRDefault="00412AFB" w:rsidP="009D1A2D">
            <w:pPr>
              <w:pStyle w:val="Sinespaciado"/>
              <w:rPr>
                <w:rFonts w:ascii="Arial" w:hAnsi="Arial" w:cs="Arial"/>
                <w:lang w:val="es-ES"/>
              </w:rPr>
            </w:pPr>
            <w:r w:rsidRPr="00993936">
              <w:rPr>
                <w:rFonts w:ascii="Arial" w:hAnsi="Arial" w:cs="Arial"/>
                <w:lang w:val="es-ES"/>
              </w:rPr>
              <w:t xml:space="preserve">Ciproconazole </w:t>
            </w:r>
          </w:p>
          <w:p w:rsidR="00412AFB" w:rsidRPr="00993936" w:rsidRDefault="00412AFB" w:rsidP="009D1A2D">
            <w:pPr>
              <w:pStyle w:val="Sinespaciado"/>
              <w:rPr>
                <w:rFonts w:ascii="Arial" w:hAnsi="Arial" w:cs="Arial"/>
                <w:lang w:val="es-ES"/>
              </w:rPr>
            </w:pPr>
            <w:r w:rsidRPr="00993936">
              <w:rPr>
                <w:rFonts w:ascii="Arial" w:hAnsi="Arial" w:cs="Arial"/>
                <w:lang w:val="es-ES"/>
              </w:rPr>
              <w:t>Mancozeb</w:t>
            </w:r>
          </w:p>
          <w:p w:rsidR="00412AFB" w:rsidRPr="00993936" w:rsidRDefault="00412AFB" w:rsidP="009D1A2D">
            <w:pPr>
              <w:pStyle w:val="Sinespaciado"/>
              <w:rPr>
                <w:rFonts w:ascii="Arial" w:hAnsi="Arial" w:cs="Arial"/>
                <w:lang w:val="es-ES"/>
              </w:rPr>
            </w:pPr>
            <w:r w:rsidRPr="00993936">
              <w:rPr>
                <w:rFonts w:ascii="Arial" w:hAnsi="Arial" w:cs="Arial"/>
                <w:lang w:val="es-ES"/>
              </w:rPr>
              <w:t>Maneb</w:t>
            </w:r>
          </w:p>
          <w:p w:rsidR="00412AFB" w:rsidRPr="00993936" w:rsidRDefault="00412AFB" w:rsidP="009D1A2D">
            <w:pPr>
              <w:pStyle w:val="Sinespaciado"/>
              <w:rPr>
                <w:rFonts w:ascii="Arial" w:hAnsi="Arial" w:cs="Arial"/>
                <w:lang w:val="es-ES"/>
              </w:rPr>
            </w:pPr>
          </w:p>
        </w:tc>
        <w:tc>
          <w:tcPr>
            <w:tcW w:w="1730" w:type="pct"/>
            <w:vMerge/>
          </w:tcPr>
          <w:p w:rsidR="00412AFB" w:rsidRPr="00993936" w:rsidRDefault="00412AFB" w:rsidP="009D1A2D">
            <w:pPr>
              <w:pStyle w:val="Sinespaciado"/>
              <w:rPr>
                <w:rFonts w:ascii="Arial" w:hAnsi="Arial" w:cs="Arial"/>
                <w:lang w:val="es-ES"/>
              </w:rPr>
            </w:pPr>
          </w:p>
        </w:tc>
      </w:tr>
    </w:tbl>
    <w:p w:rsidR="00412AFB" w:rsidRPr="00993936" w:rsidRDefault="00412AFB" w:rsidP="00412AFB">
      <w:pPr>
        <w:rPr>
          <w:rFonts w:ascii="Arial" w:hAnsi="Arial" w:cs="Arial"/>
          <w:lang w:val="es-ES"/>
        </w:rPr>
      </w:pPr>
    </w:p>
    <w:p w:rsidR="00412AFB" w:rsidRPr="00993936" w:rsidRDefault="00412AFB" w:rsidP="00412AFB">
      <w:pPr>
        <w:rPr>
          <w:rFonts w:ascii="Arial" w:hAnsi="Arial" w:cs="Arial"/>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3.3.4 Materias activas de fungicidas para la producción integrada de fruta de peipita con indicación del código de resistencia FRAC</w:t>
      </w:r>
    </w:p>
    <w:p w:rsidR="00412AFB" w:rsidRPr="00993936" w:rsidRDefault="00412AFB" w:rsidP="00412AFB">
      <w:pPr>
        <w:pStyle w:val="Textoindependiente2"/>
        <w:rPr>
          <w:rFonts w:cs="Arial"/>
          <w:sz w:val="22"/>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TIPO DE FUNGICIDAS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00" w:type="pct"/>
            <w:shd w:val="solid" w:color="C0C0C0" w:fill="auto"/>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9D1A2D">
            <w:pPr>
              <w:pStyle w:val="Sinespaciado"/>
              <w:jc w:val="center"/>
              <w:rPr>
                <w:rFonts w:ascii="Arial" w:hAnsi="Arial" w:cs="Arial"/>
                <w:b/>
                <w:lang w:val="es-ES" w:eastAsia="ca-ES"/>
              </w:rPr>
            </w:pPr>
          </w:p>
        </w:tc>
        <w:tc>
          <w:tcPr>
            <w:tcW w:w="2500" w:type="pct"/>
            <w:shd w:val="solid" w:color="C0C0C0" w:fill="auto"/>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FRAC (*)</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Boscalida + Piraclostrobin</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7+11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Bupirimat</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8</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Captan</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M4</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Captan + Trifloxistrobina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M4+11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Carbonato de hidrógeno de potasio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Ciflufenamida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C4</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Ciproconazole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Ciprodinil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9</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Ciprodinil + Fludioxonil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9+12</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Ciprodinil + Sulfato crupocàlcic</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9+M1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Clortalonil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M5</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Clortalonil + Tetraconazole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M5+3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Difenoconazole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Ditianona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M9</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Ditianona + Pirimetanil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M9+9</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Dodina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U12</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Fenbuconazole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G1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Fludioxonil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E2</w:t>
            </w:r>
          </w:p>
        </w:tc>
      </w:tr>
      <w:tr w:rsidR="00412AFB" w:rsidRPr="00993936" w:rsidTr="00C8678E">
        <w:trPr>
          <w:trHeight w:val="270"/>
        </w:trPr>
        <w:tc>
          <w:tcPr>
            <w:tcW w:w="2500" w:type="pct"/>
            <w:shd w:val="solid" w:color="FFFFFF" w:fill="auto"/>
          </w:tcPr>
          <w:p w:rsidR="00412AFB" w:rsidRPr="00993936" w:rsidRDefault="00962CCD" w:rsidP="009D1A2D">
            <w:pPr>
              <w:pStyle w:val="Sinespaciado"/>
              <w:rPr>
                <w:rFonts w:ascii="Arial" w:hAnsi="Arial" w:cs="Arial"/>
                <w:lang w:val="es-ES" w:eastAsia="ca-ES"/>
              </w:rPr>
            </w:pPr>
            <w:r w:rsidRPr="00993936">
              <w:rPr>
                <w:rFonts w:ascii="Arial" w:hAnsi="Arial" w:cs="Arial"/>
                <w:lang w:val="es-ES" w:eastAsia="ca-ES"/>
              </w:rPr>
              <w:t>Fluopiram +</w:t>
            </w:r>
            <w:r w:rsidR="00412AFB" w:rsidRPr="00993936">
              <w:rPr>
                <w:rFonts w:ascii="Arial" w:hAnsi="Arial" w:cs="Arial"/>
                <w:lang w:val="es-ES" w:eastAsia="ca-ES"/>
              </w:rPr>
              <w:t xml:space="preserve"> Tebuconazole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C2+3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Flutriafol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G1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Folpet</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M4</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Folpet + Imazalil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M4+3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Folpet + Sulfato cuprocálcico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M4+M1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Fosetil-Al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Hexaconazole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Hidróxico cúprico + Oxicloruro de cobre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M1+M1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Hidróxido cúprico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Imazalil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Imazalil + Iprodiona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3+2</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Imazalil + Pirimetanil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3+9</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Imazalil + Tiabendazol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Iprodiona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E3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Kresoxim-metil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Laminarín</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P</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Mancozeb</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M3+B1</w:t>
            </w:r>
          </w:p>
        </w:tc>
      </w:tr>
      <w:tr w:rsidR="00412AFB" w:rsidRPr="00993936" w:rsidTr="00C8678E">
        <w:trPr>
          <w:trHeight w:val="270"/>
        </w:trPr>
        <w:tc>
          <w:tcPr>
            <w:tcW w:w="5000" w:type="pct"/>
            <w:gridSpan w:val="2"/>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412AFB" w:rsidRPr="00993936" w:rsidTr="00C8678E">
        <w:trPr>
          <w:trHeight w:val="270"/>
        </w:trPr>
        <w:tc>
          <w:tcPr>
            <w:tcW w:w="5000" w:type="pct"/>
            <w:gridSpan w:val="2"/>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 Fuente: Comité de Acción de Resistencia a Fungicidas</w:t>
            </w:r>
          </w:p>
        </w:tc>
      </w:tr>
    </w:tbl>
    <w:p w:rsidR="00412AFB" w:rsidRPr="00993936" w:rsidRDefault="00412AFB" w:rsidP="00412AFB">
      <w:pPr>
        <w:rPr>
          <w:rFonts w:ascii="Arial" w:hAnsi="Arial" w:cs="Arial"/>
          <w:lang w:val="es-ES"/>
        </w:rPr>
      </w:pPr>
    </w:p>
    <w:p w:rsidR="00412AFB" w:rsidRPr="00993936" w:rsidRDefault="00412AFB" w:rsidP="00412AFB">
      <w:pPr>
        <w:spacing w:before="120"/>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3.3.4 (Continuación) Materias activas de fungicidas para la producción integrada de fruta de pepita con indicación del código de resistencia FRAC</w:t>
      </w:r>
    </w:p>
    <w:p w:rsidR="00412AFB" w:rsidRPr="00993936" w:rsidRDefault="00412AFB" w:rsidP="00412AFB">
      <w:pPr>
        <w:rPr>
          <w:rFonts w:ascii="Arial" w:hAnsi="Arial"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412AFB" w:rsidRPr="00993936" w:rsidTr="00C8678E">
        <w:trPr>
          <w:trHeight w:val="393"/>
        </w:trPr>
        <w:tc>
          <w:tcPr>
            <w:tcW w:w="5000" w:type="pct"/>
            <w:gridSpan w:val="2"/>
            <w:shd w:val="solid" w:color="C0C0C0" w:fill="auto"/>
            <w:vAlign w:val="center"/>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TIPO DE FUNGICIDAS</w:t>
            </w:r>
          </w:p>
        </w:tc>
      </w:tr>
      <w:tr w:rsidR="00412AFB" w:rsidRPr="00993936" w:rsidTr="00C8678E">
        <w:trPr>
          <w:trHeight w:val="270"/>
        </w:trPr>
        <w:tc>
          <w:tcPr>
            <w:tcW w:w="2500" w:type="pct"/>
            <w:vMerge w:val="restart"/>
            <w:shd w:val="solid" w:color="C0C0C0" w:fill="auto"/>
            <w:vAlign w:val="center"/>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00" w:type="pct"/>
            <w:shd w:val="solid" w:color="C0C0C0" w:fill="auto"/>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412AFB" w:rsidRPr="00993936" w:rsidTr="00C8678E">
        <w:trPr>
          <w:trHeight w:val="270"/>
        </w:trPr>
        <w:tc>
          <w:tcPr>
            <w:tcW w:w="2500" w:type="pct"/>
            <w:vMerge/>
            <w:shd w:val="solid" w:color="C0C0C0" w:fill="auto"/>
          </w:tcPr>
          <w:p w:rsidR="00412AFB" w:rsidRPr="00993936" w:rsidRDefault="00412AFB" w:rsidP="009D1A2D">
            <w:pPr>
              <w:pStyle w:val="Sinespaciado"/>
              <w:jc w:val="center"/>
              <w:rPr>
                <w:rFonts w:ascii="Arial" w:hAnsi="Arial" w:cs="Arial"/>
                <w:b/>
                <w:lang w:val="es-ES" w:eastAsia="ca-ES"/>
              </w:rPr>
            </w:pPr>
          </w:p>
        </w:tc>
        <w:tc>
          <w:tcPr>
            <w:tcW w:w="2500" w:type="pct"/>
            <w:shd w:val="solid" w:color="C0C0C0" w:fill="auto"/>
          </w:tcPr>
          <w:p w:rsidR="00412AFB" w:rsidRPr="00993936" w:rsidRDefault="00412AFB" w:rsidP="009D1A2D">
            <w:pPr>
              <w:pStyle w:val="Sinespaciado"/>
              <w:jc w:val="center"/>
              <w:rPr>
                <w:rFonts w:ascii="Arial" w:hAnsi="Arial" w:cs="Arial"/>
                <w:b/>
                <w:lang w:val="es-ES" w:eastAsia="ca-ES"/>
              </w:rPr>
            </w:pPr>
            <w:r w:rsidRPr="00993936">
              <w:rPr>
                <w:rFonts w:ascii="Arial" w:hAnsi="Arial" w:cs="Arial"/>
                <w:b/>
                <w:lang w:val="es-ES" w:eastAsia="ca-ES"/>
              </w:rPr>
              <w:t>FRAC (*)</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Mancozeb + Metil-tiofanato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M3+M1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Mancozeb + Oxicloruro de cobre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M3+M1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Mancozeb + Sulfato cuprocálcico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M3+M1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Maneb</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Metalaxil-M</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4</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Metil-tiofanato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Metiram</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Miclobutanil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NC</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Oxicloruro de cobre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Oxicloruro de cobre + Propineb</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M1+M3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Oxicloruro de cobre + Sulfato cuprocálcico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M1+M1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Óxido cuproso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Penconazole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Quinoxifen</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Azufre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M2</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Azufre + Ciproconazole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M2+3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Azufre + Miclobutanil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M2+3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Azufre + Oxicloruro de cobre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M2+M1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Sulfato cuprocálcico</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Sulfato tribásico de cobre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Tebuconazole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Tetraconazole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Tiabendazole</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1</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Tiram</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M3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Triadimenol</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3</w:t>
            </w:r>
          </w:p>
        </w:tc>
      </w:tr>
      <w:tr w:rsidR="00412AFB" w:rsidRPr="00993936" w:rsidTr="00C8678E">
        <w:trPr>
          <w:trHeight w:val="270"/>
        </w:trPr>
        <w:tc>
          <w:tcPr>
            <w:tcW w:w="2500" w:type="pct"/>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Trifloxistrobina</w:t>
            </w:r>
          </w:p>
        </w:tc>
        <w:tc>
          <w:tcPr>
            <w:tcW w:w="2500" w:type="pct"/>
            <w:shd w:val="solid" w:color="FFFFFF" w:fill="auto"/>
          </w:tcPr>
          <w:p w:rsidR="00412AFB" w:rsidRPr="00993936" w:rsidRDefault="00412AFB" w:rsidP="009D1A2D">
            <w:pPr>
              <w:pStyle w:val="Sinespaciado"/>
              <w:jc w:val="center"/>
              <w:rPr>
                <w:rFonts w:ascii="Arial" w:hAnsi="Arial" w:cs="Arial"/>
                <w:lang w:val="es-ES" w:eastAsia="ca-ES"/>
              </w:rPr>
            </w:pPr>
            <w:r w:rsidRPr="00993936">
              <w:rPr>
                <w:rFonts w:ascii="Arial" w:hAnsi="Arial" w:cs="Arial"/>
                <w:lang w:val="es-ES" w:eastAsia="ca-ES"/>
              </w:rPr>
              <w:t>C3</w:t>
            </w:r>
          </w:p>
        </w:tc>
      </w:tr>
      <w:tr w:rsidR="00412AFB" w:rsidRPr="00993936" w:rsidTr="00C8678E">
        <w:trPr>
          <w:trHeight w:val="270"/>
        </w:trPr>
        <w:tc>
          <w:tcPr>
            <w:tcW w:w="5000" w:type="pct"/>
            <w:gridSpan w:val="2"/>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412AFB" w:rsidRPr="00993936" w:rsidTr="00C8678E">
        <w:trPr>
          <w:trHeight w:val="270"/>
        </w:trPr>
        <w:tc>
          <w:tcPr>
            <w:tcW w:w="5000" w:type="pct"/>
            <w:gridSpan w:val="2"/>
            <w:shd w:val="solid" w:color="FFFFFF" w:fill="auto"/>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 Fuente: Comité de Acción de Resistencia a Fungicidas</w:t>
            </w:r>
          </w:p>
        </w:tc>
      </w:tr>
    </w:tbl>
    <w:p w:rsidR="00412AFB" w:rsidRPr="00993936" w:rsidRDefault="00412AFB" w:rsidP="00412AFB">
      <w:pPr>
        <w:pStyle w:val="Ttulo2"/>
        <w:rPr>
          <w:rFonts w:ascii="Arial" w:hAnsi="Arial" w:cs="Arial"/>
          <w:snapToGrid w:val="0"/>
          <w:color w:val="auto"/>
          <w:sz w:val="22"/>
          <w:szCs w:val="22"/>
          <w:lang w:val="es-ES"/>
        </w:rPr>
      </w:pPr>
    </w:p>
    <w:p w:rsidR="00412AFB" w:rsidRPr="00993936" w:rsidRDefault="00412AFB" w:rsidP="00412AFB">
      <w:pPr>
        <w:rPr>
          <w:rFonts w:ascii="Arial" w:hAnsi="Arial" w:cs="Arial"/>
          <w:lang w:val="es-ES"/>
        </w:rPr>
      </w:pPr>
    </w:p>
    <w:p w:rsidR="00412AFB" w:rsidRPr="00993936" w:rsidRDefault="00412AFB" w:rsidP="00412AFB">
      <w:pPr>
        <w:rPr>
          <w:rFonts w:ascii="Arial" w:hAnsi="Arial" w:cs="Arial"/>
          <w:lang w:val="es-ES"/>
        </w:rPr>
      </w:pPr>
    </w:p>
    <w:p w:rsidR="00412AFB" w:rsidRPr="00993936" w:rsidRDefault="00412AFB" w:rsidP="00412AFB">
      <w:pPr>
        <w:rPr>
          <w:rFonts w:ascii="Arial" w:hAnsi="Arial" w:cs="Arial"/>
          <w:lang w:val="es-ES"/>
        </w:rPr>
      </w:pPr>
      <w:r w:rsidRPr="00993936">
        <w:rPr>
          <w:rFonts w:ascii="Arial" w:hAnsi="Arial" w:cs="Arial"/>
          <w:lang w:val="es-ES"/>
        </w:rPr>
        <w:br w:type="page"/>
      </w:r>
    </w:p>
    <w:p w:rsidR="00412AFB" w:rsidRPr="00993936" w:rsidRDefault="00412AFB" w:rsidP="00412AFB">
      <w:pPr>
        <w:rPr>
          <w:rFonts w:ascii="Arial" w:hAnsi="Arial" w:cs="Arial"/>
          <w:b/>
          <w:lang w:val="es-ES"/>
        </w:rPr>
      </w:pPr>
    </w:p>
    <w:p w:rsidR="00412AFB" w:rsidRPr="00993936" w:rsidRDefault="00412AFB" w:rsidP="00412AFB">
      <w:pPr>
        <w:rPr>
          <w:rFonts w:ascii="Arial" w:hAnsi="Arial" w:cs="Arial"/>
          <w:b/>
          <w:lang w:val="es-ES"/>
        </w:rPr>
      </w:pPr>
    </w:p>
    <w:p w:rsidR="00412AFB" w:rsidRPr="00993936" w:rsidRDefault="00412AFB" w:rsidP="00412AFB">
      <w:pPr>
        <w:rPr>
          <w:rFonts w:ascii="Arial" w:hAnsi="Arial" w:cs="Arial"/>
          <w:b/>
          <w:lang w:val="es-ES"/>
        </w:rPr>
      </w:pPr>
    </w:p>
    <w:p w:rsidR="00412AFB" w:rsidRPr="00993936" w:rsidRDefault="00412AFB" w:rsidP="00412AFB">
      <w:pPr>
        <w:rPr>
          <w:rFonts w:ascii="Arial" w:hAnsi="Arial" w:cs="Arial"/>
          <w:b/>
          <w:lang w:val="es-ES"/>
        </w:rPr>
      </w:pPr>
      <w:r w:rsidRPr="00993936">
        <w:rPr>
          <w:rFonts w:ascii="Arial" w:hAnsi="Arial" w:cs="Arial"/>
          <w:b/>
          <w:lang w:val="es-ES"/>
        </w:rPr>
        <w:t>ANEXO 4</w:t>
      </w:r>
    </w:p>
    <w:p w:rsidR="00412AFB" w:rsidRPr="00993936" w:rsidRDefault="00412AFB" w:rsidP="00412AFB">
      <w:pPr>
        <w:pStyle w:val="Textoindependiente2"/>
        <w:rPr>
          <w:rFonts w:cs="Arial"/>
          <w:sz w:val="22"/>
          <w:szCs w:val="22"/>
          <w:lang w:val="es-ES"/>
        </w:rPr>
      </w:pPr>
    </w:p>
    <w:p w:rsidR="00412AFB" w:rsidRPr="00993936" w:rsidRDefault="00412AFB" w:rsidP="00412AFB">
      <w:pPr>
        <w:pStyle w:val="Textoindependiente2"/>
        <w:rPr>
          <w:rFonts w:cs="Arial"/>
          <w:sz w:val="22"/>
          <w:szCs w:val="22"/>
          <w:lang w:val="es-ES"/>
        </w:rPr>
      </w:pPr>
      <w:r w:rsidRPr="00993936">
        <w:rPr>
          <w:rFonts w:cs="Arial"/>
          <w:sz w:val="22"/>
          <w:szCs w:val="22"/>
          <w:lang w:val="es-ES"/>
        </w:rPr>
        <w:t>Criterios para la toma de decisiones en los tratamientos contra plagas y enfermedades en plantaciones de fruta de pepita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412AFB" w:rsidRPr="00993936" w:rsidRDefault="00412AFB" w:rsidP="00412AFB">
      <w:pPr>
        <w:pStyle w:val="Ttulo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color w:val="auto"/>
          <w:sz w:val="22"/>
          <w:szCs w:val="22"/>
          <w:lang w:val="es-ES"/>
        </w:rPr>
      </w:pPr>
      <w:r w:rsidRPr="00993936">
        <w:rPr>
          <w:rFonts w:ascii="Arial" w:hAnsi="Arial" w:cs="Arial"/>
          <w:color w:val="auto"/>
          <w:sz w:val="22"/>
          <w:szCs w:val="22"/>
          <w:lang w:val="es-ES"/>
        </w:rPr>
        <w:t xml:space="preserve">4.1.- </w:t>
      </w:r>
      <w:r w:rsidRPr="00993936">
        <w:rPr>
          <w:rFonts w:ascii="Arial" w:hAnsi="Arial" w:cs="Arial"/>
          <w:color w:val="auto"/>
          <w:sz w:val="22"/>
          <w:szCs w:val="22"/>
          <w:u w:val="single"/>
          <w:lang w:val="es-ES"/>
        </w:rPr>
        <w:t>Plagas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i/>
          <w:snapToGrid w:val="0"/>
          <w:lang w:val="es-ES"/>
        </w:rPr>
      </w:pPr>
      <w:r w:rsidRPr="00993936">
        <w:rPr>
          <w:rFonts w:ascii="Arial" w:hAnsi="Arial" w:cs="Arial"/>
          <w:b/>
          <w:snapToGrid w:val="0"/>
          <w:lang w:val="es-ES"/>
        </w:rPr>
        <w:t xml:space="preserve">Piojo de San José </w:t>
      </w:r>
      <w:r w:rsidRPr="00993936">
        <w:rPr>
          <w:rFonts w:ascii="Arial" w:hAnsi="Arial" w:cs="Arial"/>
          <w:snapToGrid w:val="0"/>
          <w:lang w:val="es-ES"/>
        </w:rPr>
        <w:t>(</w:t>
      </w:r>
      <w:r w:rsidRPr="00993936">
        <w:rPr>
          <w:rFonts w:ascii="Arial" w:hAnsi="Arial" w:cs="Arial"/>
          <w:i/>
          <w:snapToGrid w:val="0"/>
          <w:lang w:val="es-ES"/>
        </w:rPr>
        <w:t>Comstockaspis perniciosa)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 posibilidad de control biológico mediante la fauna auxiliar autóctona es muy limitada.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tratamiento es de presencia. Se realizarán controles sobre fruta en el momento de la recolección o sobre madera en el momento de la poda.</w:t>
      </w:r>
    </w:p>
    <w:p w:rsidR="00412AFB" w:rsidRPr="00993936" w:rsidRDefault="00412AFB" w:rsidP="00412AFB">
      <w:pPr>
        <w:pStyle w:val="Textoindependiente"/>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s-ES"/>
        </w:rPr>
      </w:pPr>
      <w:r w:rsidRPr="00993936">
        <w:rPr>
          <w:rFonts w:cs="Arial"/>
          <w:szCs w:val="22"/>
          <w:lang w:val="es-ES"/>
        </w:rPr>
        <w:t>El control de la plaga se llevará a cabo mediante tratamientos químicos aplicados en el periodo de reposo invernal al inicio de vegetación, a efectos de interferir mínimamente sobre la fauna auxiliar.</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Puede tratarse la primera generación, cuando se supere el umbral del 2 % de árboles ocupados por formas móviles.</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lang w:val="es-ES"/>
        </w:rPr>
      </w:pP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lang w:val="es-ES"/>
        </w:rPr>
      </w:pPr>
      <w:r w:rsidRPr="00993936">
        <w:rPr>
          <w:rFonts w:ascii="Arial" w:hAnsi="Arial" w:cs="Arial"/>
          <w:b/>
          <w:lang w:val="es-ES"/>
        </w:rPr>
        <w:t xml:space="preserve">Psila </w:t>
      </w:r>
      <w:r w:rsidRPr="00993936">
        <w:rPr>
          <w:rFonts w:ascii="Arial" w:hAnsi="Arial" w:cs="Arial"/>
          <w:lang w:val="es-ES"/>
        </w:rPr>
        <w:t>(</w:t>
      </w:r>
      <w:r w:rsidRPr="00993936">
        <w:rPr>
          <w:rFonts w:ascii="Arial" w:hAnsi="Arial" w:cs="Arial"/>
          <w:i/>
          <w:lang w:val="es-ES"/>
        </w:rPr>
        <w:t>Cacopsylla pyri</w:t>
      </w:r>
      <w:r w:rsidRPr="00993936">
        <w:rPr>
          <w:rFonts w:ascii="Arial" w:hAnsi="Arial" w:cs="Arial"/>
          <w:lang w:val="es-ES"/>
        </w:rPr>
        <w:t xml:space="preserve">) </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r w:rsidRPr="00993936">
        <w:rPr>
          <w:rFonts w:ascii="Arial" w:hAnsi="Arial" w:cs="Arial"/>
          <w:lang w:val="es-ES"/>
        </w:rPr>
        <w:t>Para la determinación de los niveles de adultos hibernantes, habrá que golpear en 50 ramas (un golpe por rama). Se recomienda tratar si se supera el umbral de 10 adultos por golpe.</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r w:rsidRPr="00993936">
        <w:rPr>
          <w:rFonts w:ascii="Arial" w:hAnsi="Arial" w:cs="Arial"/>
          <w:lang w:val="es-ES"/>
        </w:rPr>
        <w:t>Durante el periodo vegetativo habrá que hacer un tratamiento si se supera el umbral del 10 % de brotes ocupados.</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lang w:val="es-ES"/>
        </w:rPr>
      </w:pPr>
      <w:r w:rsidRPr="00993936">
        <w:rPr>
          <w:rFonts w:ascii="Arial" w:hAnsi="Arial" w:cs="Arial"/>
          <w:b/>
          <w:lang w:val="es-ES"/>
        </w:rPr>
        <w:t xml:space="preserve">Hoplocampa </w:t>
      </w:r>
      <w:r w:rsidRPr="00993936">
        <w:rPr>
          <w:rFonts w:ascii="Arial" w:hAnsi="Arial" w:cs="Arial"/>
          <w:lang w:val="es-ES"/>
        </w:rPr>
        <w:t>(</w:t>
      </w:r>
      <w:r w:rsidRPr="00993936">
        <w:rPr>
          <w:rFonts w:ascii="Arial" w:hAnsi="Arial" w:cs="Arial"/>
          <w:i/>
          <w:lang w:val="es-ES"/>
        </w:rPr>
        <w:t>Hoplocampa brevis</w:t>
      </w:r>
      <w:r w:rsidRPr="00993936">
        <w:rPr>
          <w:rFonts w:ascii="Arial" w:hAnsi="Arial" w:cs="Arial"/>
          <w:lang w:val="es-ES"/>
        </w:rPr>
        <w:t xml:space="preserve">) </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r w:rsidRPr="00993936">
        <w:rPr>
          <w:rFonts w:ascii="Arial" w:hAnsi="Arial" w:cs="Arial"/>
          <w:lang w:val="es-ES"/>
        </w:rPr>
        <w:t xml:space="preserve">A partir de la caída de pétalos, hay que realizar la observación de corimbos; el umbral de tratamiento o de intervención es de presencia en trampa cromática o antecedentes de ataques en campañas anteriores. </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lang w:val="es-ES"/>
        </w:rPr>
      </w:pP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lang w:val="es-ES"/>
        </w:rPr>
      </w:pPr>
      <w:r w:rsidRPr="00993936">
        <w:rPr>
          <w:rFonts w:ascii="Arial" w:hAnsi="Arial" w:cs="Arial"/>
          <w:b/>
          <w:lang w:val="es-ES"/>
        </w:rPr>
        <w:t xml:space="preserve">Perrisia </w:t>
      </w:r>
      <w:r w:rsidRPr="00993936">
        <w:rPr>
          <w:rFonts w:ascii="Arial" w:hAnsi="Arial" w:cs="Arial"/>
          <w:lang w:val="es-ES"/>
        </w:rPr>
        <w:t>(</w:t>
      </w:r>
      <w:r w:rsidRPr="00993936">
        <w:rPr>
          <w:rFonts w:ascii="Arial" w:hAnsi="Arial" w:cs="Arial"/>
          <w:i/>
          <w:lang w:val="es-ES"/>
        </w:rPr>
        <w:t>Dasyneura pyri</w:t>
      </w:r>
      <w:r w:rsidRPr="00993936">
        <w:rPr>
          <w:rFonts w:ascii="Arial" w:hAnsi="Arial" w:cs="Arial"/>
          <w:lang w:val="es-ES"/>
        </w:rPr>
        <w:t>)</w:t>
      </w:r>
    </w:p>
    <w:p w:rsidR="00412AFB" w:rsidRPr="00993936" w:rsidRDefault="00412AFB" w:rsidP="00412AFB">
      <w:pPr>
        <w:pStyle w:val="Textoindependien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s-ES"/>
        </w:rPr>
      </w:pPr>
      <w:r w:rsidRPr="00993936">
        <w:rPr>
          <w:rFonts w:cs="Arial"/>
          <w:szCs w:val="22"/>
          <w:lang w:val="es-ES"/>
        </w:rPr>
        <w:t>En plantaciones en producción, será necesario intervenir químicamente si se supera el umbral del 50 % de brotes atacados. En plantaciones jóvenes, el umbral es del 10 %.</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r w:rsidRPr="00993936">
        <w:rPr>
          <w:rFonts w:ascii="Arial" w:hAnsi="Arial" w:cs="Arial"/>
          <w:b/>
          <w:lang w:val="es-ES"/>
        </w:rPr>
        <w:t xml:space="preserve">Filoxera </w:t>
      </w:r>
      <w:r w:rsidRPr="00993936">
        <w:rPr>
          <w:rFonts w:ascii="Arial" w:hAnsi="Arial" w:cs="Arial"/>
          <w:lang w:val="es-ES"/>
        </w:rPr>
        <w:t>(</w:t>
      </w:r>
      <w:r w:rsidRPr="00993936">
        <w:rPr>
          <w:rFonts w:ascii="Arial" w:hAnsi="Arial" w:cs="Arial"/>
          <w:i/>
          <w:lang w:val="es-ES"/>
        </w:rPr>
        <w:t>Aphanostigma pyri</w:t>
      </w:r>
      <w:r w:rsidRPr="00993936">
        <w:rPr>
          <w:rFonts w:ascii="Arial" w:hAnsi="Arial" w:cs="Arial"/>
          <w:lang w:val="es-ES"/>
        </w:rPr>
        <w:t xml:space="preserve">) En plantaciones con antecedentes del año anterior, se recomienda aplicar medidas de control desde mediados de mayo hasta la recolección de los frutos. </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lang w:val="es-ES"/>
        </w:rPr>
      </w:pPr>
      <w:r w:rsidRPr="00993936">
        <w:rPr>
          <w:rFonts w:ascii="Arial" w:hAnsi="Arial" w:cs="Arial"/>
          <w:b/>
          <w:lang w:val="es-ES"/>
        </w:rPr>
        <w:t xml:space="preserve">Ácaro blanco </w:t>
      </w:r>
      <w:r w:rsidRPr="00993936">
        <w:rPr>
          <w:rFonts w:ascii="Arial" w:hAnsi="Arial" w:cs="Arial"/>
          <w:lang w:val="es-ES"/>
        </w:rPr>
        <w:t>(</w:t>
      </w:r>
      <w:r w:rsidRPr="00993936">
        <w:rPr>
          <w:rFonts w:ascii="Arial" w:hAnsi="Arial" w:cs="Arial"/>
          <w:i/>
          <w:lang w:val="es-ES"/>
        </w:rPr>
        <w:t>Epitrimerus pyri</w:t>
      </w:r>
      <w:r w:rsidRPr="00993936">
        <w:rPr>
          <w:rFonts w:ascii="Arial" w:hAnsi="Arial" w:cs="Arial"/>
          <w:lang w:val="es-ES"/>
        </w:rPr>
        <w:t xml:space="preserve">) </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r w:rsidRPr="00993936">
        <w:rPr>
          <w:rFonts w:ascii="Arial" w:hAnsi="Arial" w:cs="Arial"/>
          <w:lang w:val="es-ES"/>
        </w:rPr>
        <w:t>Si se superó el umbral durante la cosecha anterior, habrá que aplicar medidas de control durante la parada vegetativa.</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r w:rsidRPr="00993936">
        <w:rPr>
          <w:rFonts w:ascii="Arial" w:hAnsi="Arial" w:cs="Arial"/>
          <w:lang w:val="es-ES"/>
        </w:rPr>
        <w:t>Durante el periodo vegetativo: realizar la observación de frutos, el umbral de tratamiento se sitúa en un 2 % de frutos afectados.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b/>
          <w:snapToGrid w:val="0"/>
          <w:lang w:val="es-ES"/>
        </w:rPr>
        <w:t xml:space="preserve">Pulgones </w:t>
      </w:r>
      <w:r w:rsidRPr="00993936">
        <w:rPr>
          <w:rFonts w:ascii="Arial" w:hAnsi="Arial" w:cs="Arial"/>
          <w:snapToGrid w:val="0"/>
          <w:lang w:val="es-ES"/>
        </w:rPr>
        <w:t>(</w:t>
      </w:r>
      <w:r w:rsidRPr="00993936">
        <w:rPr>
          <w:rFonts w:ascii="Arial" w:hAnsi="Arial" w:cs="Arial"/>
          <w:i/>
          <w:snapToGrid w:val="0"/>
          <w:lang w:val="es-ES"/>
        </w:rPr>
        <w:t>Dysaphis plantaginea)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prefloración, o bien en caída de pétalos, se hará necesaria la aplicación de un aficida cuando se detecte la presencia de este fitófago.</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Hasta un tamaño del fruto de una nuez (aprox. 25 mm) el umbral de tolerancia es de presencia.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b/>
          <w:i/>
          <w:snapToGrid w:val="0"/>
          <w:lang w:val="es-ES"/>
        </w:rPr>
      </w:pPr>
      <w:r w:rsidRPr="00993936">
        <w:rPr>
          <w:rFonts w:ascii="Arial" w:hAnsi="Arial" w:cs="Arial"/>
          <w:b/>
          <w:snapToGrid w:val="0"/>
          <w:lang w:val="es-ES"/>
        </w:rPr>
        <w:t xml:space="preserve">Pulgón </w:t>
      </w:r>
      <w:r w:rsidRPr="00993936">
        <w:rPr>
          <w:rFonts w:ascii="Arial" w:hAnsi="Arial" w:cs="Arial"/>
          <w:i/>
          <w:snapToGrid w:val="0"/>
          <w:lang w:val="es-ES"/>
        </w:rPr>
        <w:t>(Aphis pomi)</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plantaciones adultas, los tratamientos están justificados en el caso de que la fruta corra el riesgo de ensuciarse de melaza.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b/>
          <w:snapToGrid w:val="0"/>
          <w:lang w:val="es-ES"/>
        </w:rPr>
        <w:t xml:space="preserve">Roedores de la piel </w:t>
      </w:r>
      <w:r w:rsidRPr="00993936">
        <w:rPr>
          <w:rFonts w:ascii="Arial" w:hAnsi="Arial" w:cs="Arial"/>
          <w:snapToGrid w:val="0"/>
          <w:lang w:val="es-ES"/>
        </w:rPr>
        <w:t>(</w:t>
      </w:r>
      <w:r w:rsidRPr="00993936">
        <w:rPr>
          <w:rFonts w:ascii="Arial" w:hAnsi="Arial" w:cs="Arial"/>
          <w:i/>
          <w:snapToGrid w:val="0"/>
          <w:lang w:val="es-ES"/>
        </w:rPr>
        <w:t>Pandemis heparana</w:t>
      </w:r>
      <w:r w:rsidRPr="00993936">
        <w:rPr>
          <w:rFonts w:ascii="Arial" w:hAnsi="Arial" w:cs="Arial"/>
          <w:snapToGrid w:val="0"/>
          <w:lang w:val="es-ES"/>
        </w:rPr>
        <w:t xml:space="preserve">, </w:t>
      </w:r>
      <w:r w:rsidRPr="00993936">
        <w:rPr>
          <w:rFonts w:ascii="Arial" w:hAnsi="Arial" w:cs="Arial"/>
          <w:i/>
          <w:snapToGrid w:val="0"/>
          <w:lang w:val="es-ES"/>
        </w:rPr>
        <w:t>Adoxophyes Orán, Cacoecimorpha pronubana</w:t>
      </w:r>
      <w:r w:rsidRPr="00993936">
        <w:rPr>
          <w:rFonts w:ascii="Arial" w:hAnsi="Arial" w:cs="Arial"/>
          <w:snapToGrid w:val="0"/>
          <w:lang w:val="es-ES"/>
        </w:rPr>
        <w:t>)</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En prefloración y en fincas con antecedentes, hay que realizar un control visual en el campo de 10 inflorescencias y/o brotes por árbol, en 50 árboles al azar, como complemento de la información del nivel de ataque a la cosecha anterior, para determinar la necesidad de intervención química en el momento adecuado. El umbral de tolerancia es de presencia de larvas. </w:t>
      </w:r>
    </w:p>
    <w:p w:rsidR="00412AFB" w:rsidRPr="00993936" w:rsidRDefault="00412AFB" w:rsidP="00412AFB">
      <w:pPr>
        <w:pStyle w:val="Textoindependiente"/>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Cs w:val="22"/>
          <w:lang w:val="es-ES"/>
        </w:rPr>
      </w:pPr>
      <w:r w:rsidRPr="00993936">
        <w:rPr>
          <w:rFonts w:cs="Arial"/>
          <w:szCs w:val="22"/>
          <w:lang w:val="es-ES"/>
        </w:rPr>
        <w:t>Durante el periodo vegetativo y en función del nivel de plaga determinado en prefloración, se efectuarán las intervenciones necesarias; el umbral de tolerancia se sitúa en 15-25 adultos / trampa y semana para una de las plagas de 15-25 adultos /trampa y semana para capturas conjuntas de una especie.</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u w:val="single"/>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b/>
          <w:snapToGrid w:val="0"/>
          <w:lang w:val="es-ES"/>
        </w:rPr>
        <w:t xml:space="preserve">Minadores de hojas </w:t>
      </w:r>
      <w:r w:rsidRPr="00993936">
        <w:rPr>
          <w:rFonts w:ascii="Arial" w:hAnsi="Arial" w:cs="Arial"/>
          <w:snapToGrid w:val="0"/>
          <w:lang w:val="es-ES"/>
        </w:rPr>
        <w:t>(</w:t>
      </w:r>
      <w:r w:rsidRPr="00993936">
        <w:rPr>
          <w:rFonts w:ascii="Arial" w:hAnsi="Arial" w:cs="Arial"/>
          <w:i/>
          <w:snapToGrid w:val="0"/>
          <w:lang w:val="es-ES"/>
        </w:rPr>
        <w:t>Leucoptera malifoliella, Phyllonorycter sp.)</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i/>
          <w:snapToGrid w:val="0"/>
          <w:lang w:val="es-ES"/>
        </w:rPr>
        <w:t>Phyllonorycter sp.</w:t>
      </w:r>
      <w:r w:rsidRPr="00993936">
        <w:rPr>
          <w:rFonts w:ascii="Arial" w:hAnsi="Arial" w:cs="Arial"/>
          <w:snapToGrid w:val="0"/>
          <w:lang w:val="es-ES"/>
        </w:rPr>
        <w:t xml:space="preserve">: En función del historial y/o nivel de presencia por observación visual de los adultos en los árboles. Si se dispone de trampa de feromona, el umbral de tolerancia orientativo es de 100 capturas / trampa y semana. </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i/>
          <w:snapToGrid w:val="0"/>
          <w:lang w:val="es-ES"/>
        </w:rPr>
        <w:t>Leucoptera malifoliella</w:t>
      </w:r>
      <w:r w:rsidRPr="00993936">
        <w:rPr>
          <w:rFonts w:ascii="Arial" w:hAnsi="Arial" w:cs="Arial"/>
          <w:snapToGrid w:val="0"/>
          <w:lang w:val="es-ES"/>
        </w:rPr>
        <w:t>: En función de los antecedentes, control de la actividad e intensidad de la plaga para capturas con trampa de feromona o por observación visual de los adultos. L. T.: 50 o más minas de larvas no parasitadas por árbol (en árboles tipo de eje central) o bien 100 capturas/semana en trampa de feromona.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9D1A2D" w:rsidRPr="00993936" w:rsidRDefault="009D1A2D">
      <w:pPr>
        <w:rPr>
          <w:rFonts w:ascii="Arial" w:hAnsi="Arial" w:cs="Arial"/>
          <w:b/>
          <w:snapToGrid w:val="0"/>
          <w:lang w:val="es-ES"/>
        </w:rPr>
      </w:pPr>
      <w:r w:rsidRPr="00993936">
        <w:rPr>
          <w:rFonts w:ascii="Arial" w:hAnsi="Arial" w:cs="Arial"/>
          <w:b/>
          <w:snapToGrid w:val="0"/>
          <w:lang w:val="es-ES"/>
        </w:rPr>
        <w:br w:type="page"/>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b/>
          <w:snapToGrid w:val="0"/>
          <w:lang w:val="es-ES"/>
        </w:rPr>
        <w:lastRenderedPageBreak/>
        <w:t xml:space="preserve">Araña roja </w:t>
      </w:r>
      <w:r w:rsidRPr="00993936">
        <w:rPr>
          <w:rFonts w:ascii="Arial" w:hAnsi="Arial" w:cs="Arial"/>
          <w:snapToGrid w:val="0"/>
          <w:lang w:val="es-ES"/>
        </w:rPr>
        <w:t>(</w:t>
      </w:r>
      <w:r w:rsidRPr="00993936">
        <w:rPr>
          <w:rFonts w:ascii="Arial" w:hAnsi="Arial" w:cs="Arial"/>
          <w:i/>
          <w:snapToGrid w:val="0"/>
          <w:lang w:val="es-ES"/>
        </w:rPr>
        <w:t>Panonychus ulmi</w:t>
      </w:r>
      <w:r w:rsidRPr="00993936">
        <w:rPr>
          <w:rFonts w:ascii="Arial" w:hAnsi="Arial" w:cs="Arial"/>
          <w:snapToGrid w:val="0"/>
          <w:lang w:val="es-ES"/>
        </w:rPr>
        <w:t>)</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nivel de actividad de esta plaga hay que determinarlo por control visual a partir de una muestra que constará de un mínimo de 50 hojas cogidas del tercio inferior (hasta finales de junio) de las nuevas brotaciones; examinando 2 hojas por árbol (parte interior y exterior), en un mínimo de 25 árboles. En esta época, si se observan poblaciones de araña roja superiores al 70 % de hojas ocupadas y niveles de fitoseidos iguales o inferiores al 20 % de hojas ocupadas, habrá que intervenir con un acaricida para reducir la población de plaga.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 partir del 30 de junio, la muestra de hojas debe tomarse del tercio central de las brindillas del año. La estrategia de control se fundamenta en el porcentaje de ocupación calculado a partir de 50 hojas de acuerdo con la siguiente tabla: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las fincas donde se haya detectado puesta de araña roja (</w:t>
      </w:r>
      <w:r w:rsidRPr="00993936">
        <w:rPr>
          <w:rFonts w:ascii="Arial" w:hAnsi="Arial" w:cs="Arial"/>
          <w:i/>
          <w:snapToGrid w:val="0"/>
          <w:lang w:val="es-ES"/>
        </w:rPr>
        <w:t>Panonychus ulmi</w:t>
      </w:r>
      <w:r w:rsidRPr="00993936">
        <w:rPr>
          <w:rFonts w:ascii="Arial" w:hAnsi="Arial" w:cs="Arial"/>
          <w:snapToGrid w:val="0"/>
          <w:lang w:val="es-ES"/>
        </w:rPr>
        <w:t>), los tratamientos en parada vegetativa son obligatorios (véanse anexos).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144"/>
        <w:gridCol w:w="2228"/>
        <w:gridCol w:w="3651"/>
      </w:tblGrid>
      <w:tr w:rsidR="00412AFB" w:rsidRPr="00993936" w:rsidTr="00C8678E">
        <w:trPr>
          <w:cantSplit/>
          <w:jc w:val="center"/>
        </w:trPr>
        <w:tc>
          <w:tcPr>
            <w:tcW w:w="5372" w:type="dxa"/>
            <w:gridSpan w:val="2"/>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Porcentaje de hojas ocupadas (%)</w:t>
            </w:r>
          </w:p>
        </w:tc>
        <w:tc>
          <w:tcPr>
            <w:tcW w:w="3651" w:type="dxa"/>
            <w:vMerge w:val="restart"/>
            <w:shd w:val="pct12" w:color="auto" w:fill="FFFFFF"/>
            <w:vAlign w:val="center"/>
          </w:tcPr>
          <w:p w:rsidR="00412AFB" w:rsidRPr="00993936" w:rsidRDefault="00412AFB" w:rsidP="00C8678E">
            <w:pPr>
              <w:pStyle w:val="Ttulo4"/>
              <w:rPr>
                <w:rFonts w:ascii="Arial" w:hAnsi="Arial" w:cs="Arial"/>
                <w:color w:val="auto"/>
                <w:lang w:val="es-ES"/>
              </w:rPr>
            </w:pPr>
            <w:r w:rsidRPr="00993936">
              <w:rPr>
                <w:rFonts w:ascii="Arial" w:hAnsi="Arial" w:cs="Arial"/>
                <w:color w:val="auto"/>
                <w:lang w:val="es-ES"/>
              </w:rPr>
              <w:t>Decisión</w:t>
            </w:r>
          </w:p>
        </w:tc>
      </w:tr>
      <w:tr w:rsidR="00412AFB" w:rsidRPr="00993936" w:rsidTr="00C8678E">
        <w:trPr>
          <w:cantSplit/>
          <w:jc w:val="center"/>
        </w:trPr>
        <w:tc>
          <w:tcPr>
            <w:tcW w:w="3144" w:type="dxa"/>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Por araña roja (AR)</w:t>
            </w:r>
          </w:p>
        </w:tc>
        <w:tc>
          <w:tcPr>
            <w:tcW w:w="2228" w:type="dxa"/>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Por fitoseidos (FIT)</w:t>
            </w:r>
          </w:p>
        </w:tc>
        <w:tc>
          <w:tcPr>
            <w:tcW w:w="3651" w:type="dxa"/>
            <w:vMerge/>
            <w:shd w:val="pct12" w:color="auto" w:fill="FFFFFF"/>
            <w:vAlign w:val="center"/>
          </w:tcPr>
          <w:p w:rsidR="00412AFB" w:rsidRPr="00993936" w:rsidRDefault="00412AFB" w:rsidP="00C8678E">
            <w:pPr>
              <w:widowControl w:val="0"/>
              <w:jc w:val="both"/>
              <w:rPr>
                <w:rFonts w:ascii="Arial" w:hAnsi="Arial" w:cs="Arial"/>
                <w:snapToGrid w:val="0"/>
                <w:lang w:val="es-ES"/>
              </w:rPr>
            </w:pPr>
          </w:p>
        </w:tc>
      </w:tr>
      <w:tr w:rsidR="00412AFB" w:rsidRPr="00993936" w:rsidTr="00C8678E">
        <w:trPr>
          <w:jc w:val="center"/>
        </w:trPr>
        <w:tc>
          <w:tcPr>
            <w:tcW w:w="3144"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 70 %</w:t>
            </w:r>
          </w:p>
        </w:tc>
        <w:tc>
          <w:tcPr>
            <w:tcW w:w="222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0-20 %</w:t>
            </w:r>
          </w:p>
        </w:tc>
        <w:tc>
          <w:tcPr>
            <w:tcW w:w="3651" w:type="dxa"/>
            <w:vAlign w:val="center"/>
          </w:tcPr>
          <w:p w:rsidR="00412AFB" w:rsidRPr="00993936" w:rsidRDefault="00412AFB" w:rsidP="00C8678E">
            <w:pPr>
              <w:widowControl w:val="0"/>
              <w:jc w:val="both"/>
              <w:rPr>
                <w:rFonts w:ascii="Arial" w:hAnsi="Arial" w:cs="Arial"/>
                <w:snapToGrid w:val="0"/>
                <w:lang w:val="es-ES"/>
              </w:rPr>
            </w:pPr>
            <w:r w:rsidRPr="00993936">
              <w:rPr>
                <w:rFonts w:ascii="Arial" w:hAnsi="Arial" w:cs="Arial"/>
                <w:snapToGrid w:val="0"/>
                <w:lang w:val="es-ES"/>
              </w:rPr>
              <w:t>TRATAR</w:t>
            </w:r>
          </w:p>
        </w:tc>
      </w:tr>
      <w:tr w:rsidR="00412AFB" w:rsidRPr="00993936" w:rsidTr="00C8678E">
        <w:trPr>
          <w:jc w:val="center"/>
        </w:trPr>
        <w:tc>
          <w:tcPr>
            <w:tcW w:w="3144"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 70 %</w:t>
            </w:r>
          </w:p>
        </w:tc>
        <w:tc>
          <w:tcPr>
            <w:tcW w:w="222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20-60 %</w:t>
            </w:r>
          </w:p>
        </w:tc>
        <w:tc>
          <w:tcPr>
            <w:tcW w:w="3651" w:type="dxa"/>
            <w:vAlign w:val="center"/>
          </w:tcPr>
          <w:p w:rsidR="00412AFB" w:rsidRPr="00993936" w:rsidRDefault="00412AFB" w:rsidP="00C8678E">
            <w:pPr>
              <w:widowControl w:val="0"/>
              <w:jc w:val="both"/>
              <w:rPr>
                <w:rFonts w:ascii="Arial" w:hAnsi="Arial" w:cs="Arial"/>
                <w:snapToGrid w:val="0"/>
                <w:lang w:val="es-ES"/>
              </w:rPr>
            </w:pPr>
            <w:r w:rsidRPr="00993936">
              <w:rPr>
                <w:rFonts w:ascii="Arial" w:hAnsi="Arial" w:cs="Arial"/>
                <w:snapToGrid w:val="0"/>
                <w:lang w:val="es-ES"/>
              </w:rPr>
              <w:t>Volver a controlar a los 7-10 días</w:t>
            </w:r>
          </w:p>
          <w:p w:rsidR="00412AFB" w:rsidRPr="00993936" w:rsidRDefault="00412AFB" w:rsidP="00C8678E">
            <w:pPr>
              <w:widowControl w:val="0"/>
              <w:jc w:val="both"/>
              <w:rPr>
                <w:rFonts w:ascii="Arial" w:hAnsi="Arial" w:cs="Arial"/>
                <w:snapToGrid w:val="0"/>
                <w:lang w:val="es-ES"/>
              </w:rPr>
            </w:pPr>
            <w:r w:rsidRPr="00993936">
              <w:rPr>
                <w:rFonts w:ascii="Arial" w:hAnsi="Arial" w:cs="Arial"/>
                <w:snapToGrid w:val="0"/>
                <w:lang w:val="es-ES"/>
              </w:rPr>
              <w:t>y tratar si AR &gt;= 90 y FIT &lt;= 40</w:t>
            </w:r>
          </w:p>
        </w:tc>
      </w:tr>
      <w:tr w:rsidR="00412AFB" w:rsidRPr="00993936" w:rsidTr="00C8678E">
        <w:trPr>
          <w:jc w:val="center"/>
        </w:trPr>
        <w:tc>
          <w:tcPr>
            <w:tcW w:w="3144"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 70 %</w:t>
            </w:r>
          </w:p>
        </w:tc>
        <w:tc>
          <w:tcPr>
            <w:tcW w:w="222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60-100 %</w:t>
            </w:r>
          </w:p>
        </w:tc>
        <w:tc>
          <w:tcPr>
            <w:tcW w:w="3651" w:type="dxa"/>
            <w:vAlign w:val="center"/>
          </w:tcPr>
          <w:p w:rsidR="00412AFB" w:rsidRPr="00993936" w:rsidRDefault="00412AFB" w:rsidP="00C8678E">
            <w:pPr>
              <w:widowControl w:val="0"/>
              <w:jc w:val="both"/>
              <w:rPr>
                <w:rFonts w:ascii="Arial" w:hAnsi="Arial" w:cs="Arial"/>
                <w:snapToGrid w:val="0"/>
                <w:lang w:val="es-ES"/>
              </w:rPr>
            </w:pPr>
            <w:r w:rsidRPr="00993936">
              <w:rPr>
                <w:rFonts w:ascii="Arial" w:hAnsi="Arial" w:cs="Arial"/>
                <w:snapToGrid w:val="0"/>
                <w:lang w:val="es-ES"/>
              </w:rPr>
              <w:t>NO TRATAR</w:t>
            </w:r>
          </w:p>
        </w:tc>
      </w:tr>
    </w:tbl>
    <w:p w:rsidR="00412AFB" w:rsidRPr="00993936" w:rsidRDefault="00412AFB" w:rsidP="00412AFB">
      <w:pPr>
        <w:widowControl w:val="0"/>
        <w:jc w:val="both"/>
        <w:rPr>
          <w:rFonts w:ascii="Arial" w:hAnsi="Arial" w:cs="Arial"/>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b/>
          <w:snapToGrid w:val="0"/>
          <w:lang w:val="es-ES"/>
        </w:rPr>
        <w:t xml:space="preserve">Carpocapsa </w:t>
      </w:r>
      <w:r w:rsidRPr="00993936">
        <w:rPr>
          <w:rFonts w:ascii="Arial" w:hAnsi="Arial" w:cs="Arial"/>
          <w:snapToGrid w:val="0"/>
          <w:lang w:val="es-ES"/>
        </w:rPr>
        <w:t>(</w:t>
      </w:r>
      <w:r w:rsidRPr="00993936">
        <w:rPr>
          <w:rFonts w:ascii="Arial" w:hAnsi="Arial" w:cs="Arial"/>
          <w:i/>
          <w:snapToGrid w:val="0"/>
          <w:lang w:val="es-ES"/>
        </w:rPr>
        <w:t>Cydia pomonella</w:t>
      </w:r>
      <w:r w:rsidRPr="00993936">
        <w:rPr>
          <w:rFonts w:ascii="Arial" w:hAnsi="Arial" w:cs="Arial"/>
          <w:snapToGrid w:val="0"/>
          <w:lang w:val="es-ES"/>
        </w:rPr>
        <w:t>)</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 T. para capturas: en 1.ª generación: 2-3 adultos / trampa y semana. En 2.ª y 3.ª generaciones: 1-2 adultos / trampa y semana.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b/>
          <w:snapToGrid w:val="0"/>
          <w:lang w:val="es-ES"/>
        </w:rPr>
      </w:pPr>
      <w:r w:rsidRPr="00993936">
        <w:rPr>
          <w:rFonts w:ascii="Arial" w:hAnsi="Arial" w:cs="Arial"/>
          <w:b/>
          <w:i/>
          <w:snapToGrid w:val="0"/>
          <w:lang w:val="es-ES"/>
        </w:rPr>
        <w:t xml:space="preserve">Zeuzera </w:t>
      </w:r>
      <w:r w:rsidRPr="00993936">
        <w:rPr>
          <w:rFonts w:ascii="Arial" w:hAnsi="Arial" w:cs="Arial"/>
          <w:i/>
          <w:snapToGrid w:val="0"/>
          <w:lang w:val="es-ES"/>
        </w:rPr>
        <w:t>(Zeuzera pyrina</w:t>
      </w:r>
      <w:r w:rsidRPr="00993936">
        <w:rPr>
          <w:rFonts w:ascii="Arial" w:hAnsi="Arial" w:cs="Arial"/>
          <w:b/>
          <w:i/>
          <w:snapToGrid w:val="0"/>
          <w:lang w:val="es-ES"/>
        </w:rPr>
        <w:t xml:space="preserve">) </w:t>
      </w:r>
      <w:r w:rsidRPr="00993936">
        <w:rPr>
          <w:rFonts w:ascii="Arial" w:hAnsi="Arial" w:cs="Arial"/>
          <w:b/>
          <w:snapToGrid w:val="0"/>
          <w:lang w:val="es-ES"/>
        </w:rPr>
        <w:t xml:space="preserve">y Sessa </w:t>
      </w:r>
      <w:r w:rsidRPr="00993936">
        <w:rPr>
          <w:rFonts w:ascii="Arial" w:hAnsi="Arial" w:cs="Arial"/>
          <w:snapToGrid w:val="0"/>
          <w:lang w:val="es-ES"/>
        </w:rPr>
        <w:t>(</w:t>
      </w:r>
      <w:r w:rsidRPr="00993936">
        <w:rPr>
          <w:rFonts w:ascii="Arial" w:hAnsi="Arial" w:cs="Arial"/>
          <w:i/>
          <w:snapToGrid w:val="0"/>
          <w:lang w:val="es-ES"/>
        </w:rPr>
        <w:t>Synanthedon myopaeformis</w:t>
      </w:r>
      <w:r w:rsidRPr="00993936">
        <w:rPr>
          <w:rFonts w:ascii="Arial" w:hAnsi="Arial" w:cs="Arial"/>
          <w:b/>
          <w:snapToGrid w:val="0"/>
          <w:lang w:val="es-ES"/>
        </w:rPr>
        <w:t>)</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r w:rsidRPr="00993936">
        <w:rPr>
          <w:rFonts w:ascii="Arial" w:hAnsi="Arial" w:cs="Arial"/>
          <w:lang w:val="es-ES"/>
        </w:rPr>
        <w:t>Método de captura en masa y confusión sexual.</w:t>
      </w:r>
    </w:p>
    <w:p w:rsidR="00412AFB" w:rsidRPr="00993936" w:rsidRDefault="00412AFB" w:rsidP="00412AF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Los tratamientos localizados para sesia y zeuzera son necesarios en las fincas afectadas para mantener bajas las poblaciones de estos fitófagos (véanse anexos).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b/>
          <w:snapToGrid w:val="0"/>
          <w:lang w:val="es-ES"/>
        </w:rPr>
        <w:t xml:space="preserve">Mosca de la fruta </w:t>
      </w:r>
      <w:r w:rsidRPr="00993936">
        <w:rPr>
          <w:rFonts w:ascii="Arial" w:hAnsi="Arial" w:cs="Arial"/>
          <w:snapToGrid w:val="0"/>
          <w:lang w:val="es-ES"/>
        </w:rPr>
        <w:t>(</w:t>
      </w:r>
      <w:r w:rsidRPr="00993936">
        <w:rPr>
          <w:rFonts w:ascii="Arial" w:hAnsi="Arial" w:cs="Arial"/>
          <w:i/>
          <w:snapToGrid w:val="0"/>
          <w:lang w:val="es-ES"/>
        </w:rPr>
        <w:t>Ceratitis capitata)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se sitúa en presencia de la plaga en fruta o en capturas en dos controles consecutivos con trampa de feromona.</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p>
    <w:p w:rsidR="009D1A2D" w:rsidRPr="00993936" w:rsidRDefault="009D1A2D">
      <w:pPr>
        <w:rPr>
          <w:rFonts w:ascii="Arial" w:hAnsi="Arial" w:cs="Arial"/>
          <w:b/>
          <w:lang w:val="es-ES"/>
        </w:rPr>
      </w:pPr>
      <w:r w:rsidRPr="00993936">
        <w:rPr>
          <w:rFonts w:ascii="Arial" w:hAnsi="Arial" w:cs="Arial"/>
          <w:b/>
          <w:lang w:val="es-ES"/>
        </w:rPr>
        <w:br w:type="page"/>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u w:val="single"/>
          <w:lang w:val="es-ES"/>
        </w:rPr>
      </w:pPr>
      <w:r w:rsidRPr="00993936">
        <w:rPr>
          <w:rFonts w:ascii="Arial" w:hAnsi="Arial" w:cs="Arial"/>
          <w:b/>
          <w:lang w:val="es-ES"/>
        </w:rPr>
        <w:lastRenderedPageBreak/>
        <w:t xml:space="preserve">4.2.- </w:t>
      </w:r>
      <w:r w:rsidRPr="00993936">
        <w:rPr>
          <w:rFonts w:ascii="Arial" w:hAnsi="Arial" w:cs="Arial"/>
          <w:b/>
          <w:u w:val="single"/>
          <w:lang w:val="es-ES"/>
        </w:rPr>
        <w:t xml:space="preserve">Enfermedades </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u w:val="single"/>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b/>
          <w:snapToGrid w:val="0"/>
          <w:lang w:val="es-ES"/>
        </w:rPr>
        <w:t xml:space="preserve">Mota, Agrietado </w:t>
      </w:r>
      <w:r w:rsidRPr="00993936">
        <w:rPr>
          <w:rFonts w:ascii="Arial" w:hAnsi="Arial" w:cs="Arial"/>
          <w:snapToGrid w:val="0"/>
          <w:lang w:val="es-ES"/>
        </w:rPr>
        <w:t>(</w:t>
      </w:r>
      <w:r w:rsidRPr="00993936">
        <w:rPr>
          <w:rFonts w:ascii="Arial" w:hAnsi="Arial" w:cs="Arial"/>
          <w:i/>
          <w:snapToGrid w:val="0"/>
          <w:lang w:val="es-ES"/>
        </w:rPr>
        <w:t>Venturia inaequalis, Venturia pirina, Fusicladium pyrorum</w:t>
      </w:r>
      <w:r w:rsidRPr="00993936">
        <w:rPr>
          <w:rFonts w:ascii="Arial" w:hAnsi="Arial" w:cs="Arial"/>
          <w:snapToGrid w:val="0"/>
          <w:lang w:val="es-ES"/>
        </w:rPr>
        <w:t>)</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Para el control de la mota, en zonas favorables al moteado, hay que prever la posibilidad de hacer un tratamiento preventivo en el estadio C3 en fincas afectadas, en función de las condiciones ambientales.</w:t>
      </w:r>
    </w:p>
    <w:p w:rsidR="00412AFB" w:rsidRPr="00993936" w:rsidRDefault="00412AFB" w:rsidP="006043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snapToGrid w:val="0"/>
          <w:lang w:val="es-ES"/>
        </w:rPr>
        <w:t xml:space="preserve">El resto de los tratamientos se realizarán en función de los peligros registrados por las estaciones automáticas o aparatos detectores de mota. </w:t>
      </w:r>
    </w:p>
    <w:p w:rsidR="00412AFB" w:rsidRPr="00993936" w:rsidRDefault="00412AFB" w:rsidP="00412AFB">
      <w:pPr>
        <w:jc w:val="both"/>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b/>
          <w:snapToGrid w:val="0"/>
          <w:lang w:val="es-ES"/>
        </w:rPr>
        <w:t xml:space="preserve">Oidio, Cenicienta, Humo </w:t>
      </w:r>
      <w:r w:rsidRPr="00993936">
        <w:rPr>
          <w:rFonts w:ascii="Arial" w:hAnsi="Arial" w:cs="Arial"/>
          <w:snapToGrid w:val="0"/>
          <w:lang w:val="es-ES"/>
        </w:rPr>
        <w:t>(</w:t>
      </w:r>
      <w:r w:rsidRPr="00993936">
        <w:rPr>
          <w:rFonts w:ascii="Arial" w:hAnsi="Arial" w:cs="Arial"/>
          <w:i/>
          <w:snapToGrid w:val="0"/>
          <w:lang w:val="es-ES"/>
        </w:rPr>
        <w:t>Podospahaera leucotricha, Oidium farinosum</w:t>
      </w:r>
      <w:r w:rsidRPr="00993936">
        <w:rPr>
          <w:rFonts w:ascii="Arial" w:hAnsi="Arial" w:cs="Arial"/>
          <w:snapToGrid w:val="0"/>
          <w:lang w:val="es-ES"/>
        </w:rPr>
        <w:t xml:space="preserve">) </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Para el control de oidio, en zonas favorables, hay que prever la posibilidad de hacer un tratamiento preventivo en el estadio C3 en fincas afectadas, en función de las condiciones ambientales.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Las temperaturas comprendidas entre 10 y 20 ºC y las humedades altas, frecuentes en primavera, favorecen el desarrollo de esta enfermedad. Debe evitarse plantar las variedades muy sensibles a esta enfermedad. </w:t>
      </w:r>
    </w:p>
    <w:p w:rsidR="00412AFB" w:rsidRPr="00993936" w:rsidRDefault="00412AFB" w:rsidP="00412AFB">
      <w:pPr>
        <w:jc w:val="both"/>
        <w:rPr>
          <w:rFonts w:ascii="Arial" w:hAnsi="Arial" w:cs="Arial"/>
          <w:b/>
          <w:snapToGrid w:val="0"/>
          <w:lang w:val="es-ES"/>
        </w:rPr>
      </w:pPr>
    </w:p>
    <w:p w:rsidR="00412AFB" w:rsidRPr="00993936" w:rsidRDefault="00412AFB" w:rsidP="00412AFB">
      <w:pPr>
        <w:jc w:val="both"/>
        <w:outlineLvl w:val="0"/>
        <w:rPr>
          <w:rFonts w:ascii="Arial" w:hAnsi="Arial" w:cs="Arial"/>
          <w:b/>
          <w:snapToGrid w:val="0"/>
          <w:lang w:val="es-ES"/>
        </w:rPr>
      </w:pPr>
      <w:r w:rsidRPr="00993936">
        <w:rPr>
          <w:rFonts w:ascii="Arial" w:hAnsi="Arial" w:cs="Arial"/>
          <w:b/>
          <w:snapToGrid w:val="0"/>
          <w:lang w:val="es-ES"/>
        </w:rPr>
        <w:t>ANEXO 5</w:t>
      </w:r>
    </w:p>
    <w:p w:rsidR="00412AFB" w:rsidRPr="00993936" w:rsidRDefault="00412AFB" w:rsidP="00412AFB">
      <w:pPr>
        <w:jc w:val="both"/>
        <w:outlineLvl w:val="0"/>
        <w:rPr>
          <w:rFonts w:ascii="Arial" w:hAnsi="Arial" w:cs="Arial"/>
          <w:b/>
          <w:snapToGrid w:val="0"/>
          <w:lang w:val="es-ES"/>
        </w:rPr>
      </w:pPr>
    </w:p>
    <w:p w:rsidR="00412AFB" w:rsidRPr="00993936" w:rsidRDefault="00412AFB" w:rsidP="00412AFB">
      <w:pPr>
        <w:pStyle w:val="Textoindependiente"/>
        <w:rPr>
          <w:rFonts w:cs="Arial"/>
          <w:b/>
          <w:szCs w:val="22"/>
          <w:lang w:val="es-ES"/>
        </w:rPr>
      </w:pPr>
      <w:r w:rsidRPr="00993936">
        <w:rPr>
          <w:rFonts w:cs="Arial"/>
          <w:b/>
          <w:szCs w:val="22"/>
          <w:lang w:val="es-ES"/>
        </w:rPr>
        <w:t>Índices de calidad para determinar el inicio de cosecha en producción integrada de fruta de pepita</w:t>
      </w:r>
    </w:p>
    <w:p w:rsidR="00412AFB" w:rsidRPr="00993936" w:rsidRDefault="00412AFB" w:rsidP="00412AFB">
      <w:pPr>
        <w:pStyle w:val="Textoindependiente"/>
        <w:rPr>
          <w:rFonts w:cs="Arial"/>
          <w:szCs w:val="22"/>
          <w:lang w:val="es-ES"/>
        </w:rPr>
      </w:pPr>
    </w:p>
    <w:p w:rsidR="00412AFB" w:rsidRPr="00993936" w:rsidRDefault="00412AFB" w:rsidP="00412AFB">
      <w:pPr>
        <w:pStyle w:val="Textoindependiente"/>
        <w:rPr>
          <w:rFonts w:cs="Arial"/>
          <w:szCs w:val="22"/>
          <w:lang w:val="es-ES"/>
        </w:rPr>
      </w:pPr>
      <w:r w:rsidRPr="00993936">
        <w:rPr>
          <w:rFonts w:cs="Arial"/>
          <w:szCs w:val="22"/>
          <w:lang w:val="es-ES"/>
        </w:rPr>
        <w:t>Para las diferentes variedades, la penetromía en kilos y la acidez en gramos de ácido málico/l o el índice refractométrico en porcentaje total de sólidos solubles en el momento de cosechar deben ser, respectivamente:</w:t>
      </w:r>
    </w:p>
    <w:p w:rsidR="00412AFB" w:rsidRPr="00993936" w:rsidRDefault="00412AFB" w:rsidP="00412AFB">
      <w:pPr>
        <w:jc w:val="both"/>
        <w:rPr>
          <w:rFonts w:ascii="Arial" w:hAnsi="Arial" w:cs="Arial"/>
          <w:b/>
          <w:snapToGrid w:val="0"/>
          <w:u w:val="single"/>
          <w:lang w:val="es-ES"/>
        </w:rPr>
      </w:pP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5.1.- Manzanas</w:t>
      </w:r>
    </w:p>
    <w:p w:rsidR="00412AFB" w:rsidRPr="00993936" w:rsidRDefault="00412AFB" w:rsidP="00412AFB">
      <w:pPr>
        <w:jc w:val="both"/>
        <w:rPr>
          <w:rFonts w:ascii="Arial" w:hAnsi="Arial" w:cs="Arial"/>
          <w:b/>
          <w:snapToGrid w:val="0"/>
          <w:u w:val="single"/>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095"/>
        <w:gridCol w:w="2268"/>
        <w:gridCol w:w="2674"/>
      </w:tblGrid>
      <w:tr w:rsidR="00412AFB" w:rsidRPr="00993936" w:rsidTr="00C8678E">
        <w:trPr>
          <w:trHeight w:val="400"/>
          <w:tblHeader/>
          <w:jc w:val="center"/>
        </w:trPr>
        <w:tc>
          <w:tcPr>
            <w:tcW w:w="4095" w:type="dxa"/>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VARIEDADES</w:t>
            </w:r>
          </w:p>
        </w:tc>
        <w:tc>
          <w:tcPr>
            <w:tcW w:w="2268" w:type="dxa"/>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Penetromía (1)</w:t>
            </w:r>
          </w:p>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kg</w:t>
            </w:r>
          </w:p>
        </w:tc>
        <w:tc>
          <w:tcPr>
            <w:tcW w:w="2674" w:type="dxa"/>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ÍNDICE</w:t>
            </w:r>
          </w:p>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Refractométricos (%)</w:t>
            </w:r>
          </w:p>
        </w:tc>
      </w:tr>
      <w:tr w:rsidR="00412AFB" w:rsidRPr="00993936" w:rsidTr="00C8678E">
        <w:trPr>
          <w:trHeight w:val="400"/>
          <w:jc w:val="center"/>
        </w:trPr>
        <w:tc>
          <w:tcPr>
            <w:tcW w:w="4095" w:type="dxa"/>
            <w:vAlign w:val="center"/>
          </w:tcPr>
          <w:p w:rsidR="00412AFB" w:rsidRPr="00993936" w:rsidRDefault="00412AFB" w:rsidP="00C8678E">
            <w:pPr>
              <w:widowControl w:val="0"/>
              <w:rPr>
                <w:rFonts w:ascii="Arial" w:hAnsi="Arial" w:cs="Arial"/>
                <w:b/>
                <w:snapToGrid w:val="0"/>
                <w:u w:val="single"/>
                <w:lang w:val="es-ES"/>
              </w:rPr>
            </w:pPr>
            <w:r w:rsidRPr="00993936">
              <w:rPr>
                <w:rFonts w:ascii="Arial" w:hAnsi="Arial" w:cs="Arial"/>
                <w:b/>
                <w:snapToGrid w:val="0"/>
                <w:u w:val="single"/>
                <w:lang w:val="es-ES"/>
              </w:rPr>
              <w:t>GRUPO GOLDEN</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GOLDEN DELICIOUS</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GOLDEN 972</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SMOOTHEE ®</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BELGOLDEN</w:t>
            </w:r>
          </w:p>
          <w:p w:rsidR="00412AFB" w:rsidRPr="00993936" w:rsidRDefault="00412AFB" w:rsidP="00C8678E">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LYSGOLDEN ®</w:t>
            </w:r>
          </w:p>
        </w:tc>
        <w:tc>
          <w:tcPr>
            <w:tcW w:w="226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6,5</w:t>
            </w:r>
          </w:p>
        </w:tc>
        <w:tc>
          <w:tcPr>
            <w:tcW w:w="2674"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12,0</w:t>
            </w:r>
          </w:p>
        </w:tc>
      </w:tr>
      <w:tr w:rsidR="00412AFB" w:rsidRPr="00993936" w:rsidTr="00C8678E">
        <w:trPr>
          <w:trHeight w:val="400"/>
          <w:jc w:val="center"/>
        </w:trPr>
        <w:tc>
          <w:tcPr>
            <w:tcW w:w="4095" w:type="dxa"/>
            <w:vAlign w:val="center"/>
          </w:tcPr>
          <w:p w:rsidR="00412AFB" w:rsidRPr="00993936" w:rsidRDefault="00412AFB" w:rsidP="00C8678E">
            <w:pPr>
              <w:widowControl w:val="0"/>
              <w:rPr>
                <w:rFonts w:ascii="Arial" w:hAnsi="Arial" w:cs="Arial"/>
                <w:b/>
                <w:snapToGrid w:val="0"/>
                <w:u w:val="single"/>
                <w:lang w:val="es-ES"/>
              </w:rPr>
            </w:pPr>
            <w:r w:rsidRPr="00993936">
              <w:rPr>
                <w:rFonts w:ascii="Arial" w:hAnsi="Arial" w:cs="Arial"/>
                <w:b/>
                <w:snapToGrid w:val="0"/>
                <w:u w:val="single"/>
                <w:lang w:val="es-ES"/>
              </w:rPr>
              <w:t>GRUPO RED DELICIOUS</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lastRenderedPageBreak/>
              <w:t xml:space="preserve">STARKING DELICIOUS </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TOP RED DELICIOUS</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EARLY RED ONE ®</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RED CHIEF ®</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OREGON SPUR ®</w:t>
            </w:r>
          </w:p>
        </w:tc>
        <w:tc>
          <w:tcPr>
            <w:tcW w:w="226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lastRenderedPageBreak/>
              <w:t>&gt;=</w:t>
            </w:r>
            <w:r w:rsidR="00E03B3B" w:rsidRPr="00993936">
              <w:rPr>
                <w:rFonts w:ascii="Arial" w:hAnsi="Arial" w:cs="Arial"/>
                <w:snapToGrid w:val="0"/>
                <w:lang w:val="es-ES"/>
              </w:rPr>
              <w:t xml:space="preserve"> </w:t>
            </w:r>
            <w:r w:rsidRPr="00993936">
              <w:rPr>
                <w:rFonts w:ascii="Arial" w:hAnsi="Arial" w:cs="Arial"/>
                <w:snapToGrid w:val="0"/>
                <w:lang w:val="es-ES"/>
              </w:rPr>
              <w:t>7,0</w:t>
            </w:r>
          </w:p>
        </w:tc>
        <w:tc>
          <w:tcPr>
            <w:tcW w:w="2674"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11,0</w:t>
            </w:r>
          </w:p>
        </w:tc>
      </w:tr>
      <w:tr w:rsidR="00412AFB" w:rsidRPr="00993936" w:rsidTr="00C8678E">
        <w:trPr>
          <w:trHeight w:val="400"/>
          <w:jc w:val="center"/>
        </w:trPr>
        <w:tc>
          <w:tcPr>
            <w:tcW w:w="4095" w:type="dxa"/>
            <w:vAlign w:val="center"/>
          </w:tcPr>
          <w:p w:rsidR="00412AFB" w:rsidRPr="00993936" w:rsidRDefault="00412AFB" w:rsidP="00C8678E">
            <w:pPr>
              <w:widowControl w:val="0"/>
              <w:rPr>
                <w:rFonts w:ascii="Arial" w:hAnsi="Arial" w:cs="Arial"/>
                <w:b/>
                <w:snapToGrid w:val="0"/>
                <w:u w:val="single"/>
                <w:lang w:val="es-ES"/>
              </w:rPr>
            </w:pPr>
            <w:r w:rsidRPr="00993936">
              <w:rPr>
                <w:rFonts w:ascii="Arial" w:hAnsi="Arial" w:cs="Arial"/>
                <w:b/>
                <w:snapToGrid w:val="0"/>
                <w:u w:val="single"/>
                <w:lang w:val="es-ES"/>
              </w:rPr>
              <w:lastRenderedPageBreak/>
              <w:t>GRUPO GALA</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ROYAL GALA</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MONDIAL GALA ®</w:t>
            </w:r>
          </w:p>
        </w:tc>
        <w:tc>
          <w:tcPr>
            <w:tcW w:w="226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7,5</w:t>
            </w:r>
          </w:p>
        </w:tc>
        <w:tc>
          <w:tcPr>
            <w:tcW w:w="2674"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12,0</w:t>
            </w:r>
          </w:p>
        </w:tc>
      </w:tr>
      <w:tr w:rsidR="00412AFB" w:rsidRPr="00993936" w:rsidTr="00C8678E">
        <w:trPr>
          <w:trHeight w:val="400"/>
          <w:jc w:val="center"/>
        </w:trPr>
        <w:tc>
          <w:tcPr>
            <w:tcW w:w="4095" w:type="dxa"/>
            <w:vAlign w:val="center"/>
          </w:tcPr>
          <w:p w:rsidR="00412AFB" w:rsidRPr="00993936" w:rsidRDefault="00412AFB" w:rsidP="00C8678E">
            <w:pPr>
              <w:widowControl w:val="0"/>
              <w:rPr>
                <w:rFonts w:ascii="Arial" w:hAnsi="Arial" w:cs="Arial"/>
                <w:b/>
                <w:snapToGrid w:val="0"/>
                <w:u w:val="single"/>
                <w:lang w:val="es-ES"/>
              </w:rPr>
            </w:pPr>
            <w:r w:rsidRPr="00993936">
              <w:rPr>
                <w:rFonts w:ascii="Arial" w:hAnsi="Arial" w:cs="Arial"/>
                <w:b/>
                <w:snapToGrid w:val="0"/>
                <w:u w:val="single"/>
                <w:lang w:val="es-ES"/>
              </w:rPr>
              <w:t>GRUPO GRANNY SMITH</w:t>
            </w:r>
          </w:p>
        </w:tc>
        <w:tc>
          <w:tcPr>
            <w:tcW w:w="226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6,5</w:t>
            </w:r>
          </w:p>
        </w:tc>
        <w:tc>
          <w:tcPr>
            <w:tcW w:w="2674"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11,0</w:t>
            </w:r>
          </w:p>
        </w:tc>
      </w:tr>
      <w:tr w:rsidR="00412AFB" w:rsidRPr="00993936" w:rsidTr="00C8678E">
        <w:trPr>
          <w:trHeight w:val="400"/>
          <w:jc w:val="center"/>
        </w:trPr>
        <w:tc>
          <w:tcPr>
            <w:tcW w:w="4095" w:type="dxa"/>
            <w:vAlign w:val="center"/>
          </w:tcPr>
          <w:p w:rsidR="00412AFB" w:rsidRPr="00993936" w:rsidRDefault="00412AFB" w:rsidP="00C8678E">
            <w:pPr>
              <w:widowControl w:val="0"/>
              <w:rPr>
                <w:rFonts w:ascii="Arial" w:hAnsi="Arial" w:cs="Arial"/>
                <w:b/>
                <w:snapToGrid w:val="0"/>
                <w:u w:val="single"/>
                <w:lang w:val="es-ES"/>
              </w:rPr>
            </w:pPr>
            <w:r w:rsidRPr="00993936">
              <w:rPr>
                <w:rFonts w:ascii="Arial" w:hAnsi="Arial" w:cs="Arial"/>
                <w:b/>
                <w:snapToGrid w:val="0"/>
                <w:u w:val="single"/>
                <w:lang w:val="es-ES"/>
              </w:rPr>
              <w:t>GRUPO FUJI</w:t>
            </w:r>
          </w:p>
        </w:tc>
        <w:tc>
          <w:tcPr>
            <w:tcW w:w="226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6,5</w:t>
            </w:r>
          </w:p>
        </w:tc>
        <w:tc>
          <w:tcPr>
            <w:tcW w:w="2674"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w:t>
            </w:r>
            <w:r w:rsidR="00E03B3B" w:rsidRPr="00993936">
              <w:rPr>
                <w:rFonts w:ascii="Arial" w:hAnsi="Arial" w:cs="Arial"/>
                <w:snapToGrid w:val="0"/>
                <w:lang w:val="es-ES"/>
              </w:rPr>
              <w:t xml:space="preserve"> </w:t>
            </w:r>
            <w:r w:rsidRPr="00993936">
              <w:rPr>
                <w:rFonts w:ascii="Arial" w:hAnsi="Arial" w:cs="Arial"/>
                <w:snapToGrid w:val="0"/>
                <w:lang w:val="es-ES"/>
              </w:rPr>
              <w:t>13,0</w:t>
            </w:r>
          </w:p>
        </w:tc>
      </w:tr>
    </w:tbl>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snapToGrid w:val="0"/>
          <w:lang w:val="es-ES"/>
        </w:rPr>
        <w:t>(1) Dureza de la pulpa medida con pistón de 11 mm de diámetro.</w:t>
      </w:r>
    </w:p>
    <w:p w:rsidR="00412AFB" w:rsidRPr="00993936" w:rsidRDefault="00412AFB" w:rsidP="00412AFB">
      <w:pPr>
        <w:jc w:val="both"/>
        <w:rPr>
          <w:rFonts w:ascii="Arial" w:hAnsi="Arial" w:cs="Arial"/>
          <w:b/>
          <w:snapToGrid w:val="0"/>
          <w:lang w:val="es-ES"/>
        </w:rPr>
      </w:pPr>
      <w:r w:rsidRPr="00993936">
        <w:rPr>
          <w:rFonts w:ascii="Arial" w:hAnsi="Arial" w:cs="Arial"/>
          <w:b/>
          <w:snapToGrid w:val="0"/>
          <w:lang w:val="es-ES"/>
        </w:rPr>
        <w:t>5.2. Peras</w:t>
      </w:r>
    </w:p>
    <w:p w:rsidR="00412AFB" w:rsidRPr="00993936" w:rsidRDefault="00412AFB" w:rsidP="00412AFB">
      <w:pPr>
        <w:jc w:val="both"/>
        <w:rPr>
          <w:rFonts w:ascii="Arial" w:hAnsi="Arial" w:cs="Arial"/>
          <w:b/>
          <w:snapToGrid w:val="0"/>
          <w:lang w:val="es-ES"/>
        </w:rPr>
      </w:pPr>
    </w:p>
    <w:tbl>
      <w:tblPr>
        <w:tblW w:w="9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2830"/>
        <w:gridCol w:w="1947"/>
        <w:gridCol w:w="2164"/>
        <w:gridCol w:w="2064"/>
      </w:tblGrid>
      <w:tr w:rsidR="00412AFB" w:rsidRPr="00993936" w:rsidTr="009D1A2D">
        <w:trPr>
          <w:cantSplit/>
          <w:trHeight w:val="160"/>
          <w:tblHeader/>
          <w:jc w:val="center"/>
        </w:trPr>
        <w:tc>
          <w:tcPr>
            <w:tcW w:w="2830" w:type="dxa"/>
            <w:shd w:val="pct12" w:color="auto" w:fill="FFFFFF"/>
            <w:vAlign w:val="center"/>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VARIEDADES</w:t>
            </w:r>
          </w:p>
        </w:tc>
        <w:tc>
          <w:tcPr>
            <w:tcW w:w="1947" w:type="dxa"/>
            <w:shd w:val="pct12" w:color="auto" w:fill="FFFFFF"/>
            <w:vAlign w:val="center"/>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Penetromía (1)</w:t>
            </w:r>
          </w:p>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kg</w:t>
            </w:r>
          </w:p>
        </w:tc>
        <w:tc>
          <w:tcPr>
            <w:tcW w:w="2164" w:type="dxa"/>
            <w:shd w:val="pct12" w:color="auto" w:fill="FFFFFF"/>
            <w:vAlign w:val="center"/>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ACIDEZ</w:t>
            </w:r>
          </w:p>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g ác. málico / l</w:t>
            </w:r>
          </w:p>
        </w:tc>
        <w:tc>
          <w:tcPr>
            <w:tcW w:w="2064" w:type="dxa"/>
            <w:shd w:val="pct12" w:color="auto" w:fill="FFFFFF"/>
            <w:vAlign w:val="center"/>
          </w:tcPr>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ÍNDICE</w:t>
            </w:r>
          </w:p>
          <w:p w:rsidR="00412AFB" w:rsidRPr="00993936" w:rsidRDefault="00412AFB" w:rsidP="009D1A2D">
            <w:pPr>
              <w:pStyle w:val="Sinespaciado"/>
              <w:jc w:val="center"/>
              <w:rPr>
                <w:rFonts w:ascii="Arial" w:hAnsi="Arial" w:cs="Arial"/>
                <w:b/>
                <w:lang w:val="es-ES"/>
              </w:rPr>
            </w:pPr>
            <w:r w:rsidRPr="00993936">
              <w:rPr>
                <w:rFonts w:ascii="Arial" w:hAnsi="Arial" w:cs="Arial"/>
                <w:b/>
                <w:lang w:val="es-ES"/>
              </w:rPr>
              <w:t xml:space="preserve">Refractométricos </w:t>
            </w:r>
            <w:r w:rsidR="006043F1" w:rsidRPr="00993936">
              <w:rPr>
                <w:rFonts w:ascii="Arial" w:hAnsi="Arial" w:cs="Arial"/>
                <w:b/>
                <w:lang w:val="es-ES"/>
              </w:rPr>
              <w:t>(</w:t>
            </w:r>
            <w:r w:rsidRPr="00993936">
              <w:rPr>
                <w:rFonts w:ascii="Arial" w:hAnsi="Arial" w:cs="Arial"/>
                <w:b/>
                <w:lang w:val="es-ES"/>
              </w:rPr>
              <w:t>%)</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Blanquilla</w:t>
            </w:r>
          </w:p>
        </w:tc>
        <w:tc>
          <w:tcPr>
            <w:tcW w:w="1947" w:type="dxa"/>
            <w:vAlign w:val="center"/>
          </w:tcPr>
          <w:p w:rsidR="00412AFB" w:rsidRPr="00993936" w:rsidRDefault="00412AFB" w:rsidP="009D1A2D">
            <w:pPr>
              <w:pStyle w:val="Sinespaciado"/>
              <w:jc w:val="center"/>
              <w:rPr>
                <w:rFonts w:ascii="Arial" w:hAnsi="Arial" w:cs="Arial"/>
                <w:snapToGrid w:val="0"/>
                <w:lang w:val="es-ES"/>
              </w:rPr>
            </w:pPr>
            <w:r w:rsidRPr="00993936">
              <w:rPr>
                <w:rFonts w:ascii="Arial" w:hAnsi="Arial" w:cs="Arial"/>
                <w:snapToGrid w:val="0"/>
                <w:lang w:val="es-ES"/>
              </w:rPr>
              <w:t>&gt;= 5,5</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2,30</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11,5</w:t>
            </w:r>
          </w:p>
        </w:tc>
      </w:tr>
      <w:tr w:rsidR="00412AFB" w:rsidRPr="00993936" w:rsidTr="009D1A2D">
        <w:trPr>
          <w:cantSplit/>
          <w:trHeight w:val="60"/>
          <w:jc w:val="center"/>
        </w:trPr>
        <w:tc>
          <w:tcPr>
            <w:tcW w:w="2830" w:type="dxa"/>
            <w:vAlign w:val="center"/>
          </w:tcPr>
          <w:p w:rsidR="00412AFB" w:rsidRPr="00993936" w:rsidRDefault="009D1A2D" w:rsidP="009D1A2D">
            <w:pPr>
              <w:pStyle w:val="Sinespaciado"/>
              <w:rPr>
                <w:rFonts w:ascii="Arial" w:hAnsi="Arial" w:cs="Arial"/>
                <w:lang w:val="es-ES"/>
              </w:rPr>
            </w:pPr>
            <w:r w:rsidRPr="00993936">
              <w:rPr>
                <w:rFonts w:ascii="Arial" w:hAnsi="Arial" w:cs="Arial"/>
                <w:lang w:val="es-ES"/>
              </w:rPr>
              <w:t>Conferencia</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5,5</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ND</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13,0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Devoe</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5,5</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ND</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11,0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Buena Luisa</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6,8</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3,5</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12,0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Grand Champion</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4,5</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ND</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11,0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Alejandrina</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6,8</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2,5</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12,0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D. du Comice</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4,5</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2,5 – 3,0</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11,0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General Leclerq</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5,0</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2,5</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12,0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Pasa Crassana</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5,5</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3,0 – 4,0</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13,0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Limonera</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6,5</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ND</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11,0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William’s</w:t>
            </w:r>
          </w:p>
        </w:tc>
        <w:tc>
          <w:tcPr>
            <w:tcW w:w="1947" w:type="dxa"/>
            <w:vAlign w:val="center"/>
          </w:tcPr>
          <w:p w:rsidR="00412AFB" w:rsidRPr="00993936" w:rsidRDefault="00412AFB" w:rsidP="009D1A2D">
            <w:pPr>
              <w:pStyle w:val="Sinespaciado"/>
              <w:jc w:val="center"/>
              <w:rPr>
                <w:rFonts w:ascii="Arial" w:hAnsi="Arial" w:cs="Arial"/>
                <w:snapToGrid w:val="0"/>
                <w:lang w:val="es-ES"/>
              </w:rPr>
            </w:pPr>
            <w:r w:rsidRPr="00993936">
              <w:rPr>
                <w:rFonts w:ascii="Arial" w:hAnsi="Arial" w:cs="Arial"/>
                <w:snapToGrid w:val="0"/>
                <w:lang w:val="es-ES"/>
              </w:rPr>
              <w:t>&gt;= 5,5</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ND</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11,0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Barlett</w:t>
            </w:r>
          </w:p>
        </w:tc>
        <w:tc>
          <w:tcPr>
            <w:tcW w:w="1947" w:type="dxa"/>
            <w:vAlign w:val="center"/>
          </w:tcPr>
          <w:p w:rsidR="00412AFB" w:rsidRPr="00993936" w:rsidRDefault="00412AFB" w:rsidP="009D1A2D">
            <w:pPr>
              <w:pStyle w:val="Sinespaciado"/>
              <w:jc w:val="center"/>
              <w:rPr>
                <w:rFonts w:ascii="Arial" w:hAnsi="Arial" w:cs="Arial"/>
                <w:snapToGrid w:val="0"/>
                <w:lang w:val="es-ES"/>
              </w:rPr>
            </w:pPr>
            <w:r w:rsidRPr="00993936">
              <w:rPr>
                <w:rFonts w:ascii="Arial" w:hAnsi="Arial" w:cs="Arial"/>
                <w:snapToGrid w:val="0"/>
                <w:lang w:val="es-ES"/>
              </w:rPr>
              <w:t>&gt;= 6,0</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ND</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11,0</w:t>
            </w:r>
          </w:p>
        </w:tc>
      </w:tr>
      <w:tr w:rsidR="00412AFB" w:rsidRPr="00993936" w:rsidTr="009D1A2D">
        <w:trPr>
          <w:cantSplit/>
          <w:trHeight w:val="60"/>
          <w:jc w:val="center"/>
        </w:trPr>
        <w:tc>
          <w:tcPr>
            <w:tcW w:w="2830" w:type="dxa"/>
            <w:vAlign w:val="center"/>
          </w:tcPr>
          <w:p w:rsidR="00412AFB" w:rsidRPr="00993936" w:rsidRDefault="00412AFB" w:rsidP="009D1A2D">
            <w:pPr>
              <w:pStyle w:val="Sinespaciado"/>
              <w:rPr>
                <w:rFonts w:ascii="Arial" w:hAnsi="Arial" w:cs="Arial"/>
                <w:lang w:val="es-ES"/>
              </w:rPr>
            </w:pPr>
            <w:r w:rsidRPr="00993936">
              <w:rPr>
                <w:rFonts w:ascii="Arial" w:hAnsi="Arial" w:cs="Arial"/>
                <w:lang w:val="es-ES"/>
              </w:rPr>
              <w:t>Ercolini</w:t>
            </w:r>
          </w:p>
        </w:tc>
        <w:tc>
          <w:tcPr>
            <w:tcW w:w="1947"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6,0</w:t>
            </w:r>
          </w:p>
        </w:tc>
        <w:tc>
          <w:tcPr>
            <w:tcW w:w="21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ND</w:t>
            </w:r>
          </w:p>
        </w:tc>
        <w:tc>
          <w:tcPr>
            <w:tcW w:w="2064" w:type="dxa"/>
            <w:vAlign w:val="center"/>
          </w:tcPr>
          <w:p w:rsidR="00412AFB" w:rsidRPr="00993936" w:rsidRDefault="00412AFB" w:rsidP="009D1A2D">
            <w:pPr>
              <w:pStyle w:val="Sinespaciado"/>
              <w:jc w:val="center"/>
              <w:rPr>
                <w:rFonts w:ascii="Arial" w:hAnsi="Arial" w:cs="Arial"/>
                <w:lang w:val="es-ES"/>
              </w:rPr>
            </w:pPr>
            <w:r w:rsidRPr="00993936">
              <w:rPr>
                <w:rFonts w:ascii="Arial" w:hAnsi="Arial" w:cs="Arial"/>
                <w:lang w:val="es-ES"/>
              </w:rPr>
              <w:t>&gt;= 11,0</w:t>
            </w:r>
          </w:p>
        </w:tc>
      </w:tr>
    </w:tbl>
    <w:p w:rsidR="00412AFB" w:rsidRPr="00993936" w:rsidRDefault="00412AFB" w:rsidP="009D1A2D">
      <w:pPr>
        <w:pStyle w:val="Sinespaciado"/>
        <w:rPr>
          <w:rFonts w:ascii="Arial" w:hAnsi="Arial" w:cs="Arial"/>
          <w:lang w:val="es-ES"/>
        </w:rPr>
      </w:pPr>
      <w:r w:rsidRPr="00993936">
        <w:rPr>
          <w:rFonts w:ascii="Arial" w:hAnsi="Arial" w:cs="Arial"/>
          <w:lang w:val="es-ES"/>
        </w:rPr>
        <w:t>ND = No disponible.</w:t>
      </w:r>
    </w:p>
    <w:p w:rsidR="00412AFB" w:rsidRPr="00993936" w:rsidRDefault="00412AFB" w:rsidP="009D1A2D">
      <w:pPr>
        <w:pStyle w:val="Sinespaciado"/>
        <w:rPr>
          <w:rFonts w:ascii="Arial" w:hAnsi="Arial" w:cs="Arial"/>
          <w:lang w:val="es-ES"/>
        </w:rPr>
      </w:pPr>
      <w:r w:rsidRPr="00993936">
        <w:rPr>
          <w:rFonts w:ascii="Arial" w:hAnsi="Arial" w:cs="Arial"/>
          <w:lang w:val="es-ES"/>
        </w:rPr>
        <w:t>(1) Penetromía: firmeza de la pulpa medida con pistón de 8 mm de diámetro y expresada en kilos (kg).</w:t>
      </w:r>
    </w:p>
    <w:p w:rsidR="00412AFB" w:rsidRPr="00993936" w:rsidRDefault="00412AFB" w:rsidP="00412AFB">
      <w:pPr>
        <w:jc w:val="both"/>
        <w:outlineLvl w:val="0"/>
        <w:rPr>
          <w:rFonts w:ascii="Arial" w:hAnsi="Arial" w:cs="Arial"/>
          <w:b/>
          <w:lang w:val="es-ES"/>
        </w:rPr>
      </w:pPr>
    </w:p>
    <w:p w:rsidR="00412AFB" w:rsidRPr="00993936" w:rsidRDefault="00412AFB" w:rsidP="00412AFB">
      <w:pPr>
        <w:jc w:val="both"/>
        <w:outlineLvl w:val="0"/>
        <w:rPr>
          <w:rFonts w:ascii="Arial" w:hAnsi="Arial" w:cs="Arial"/>
          <w:b/>
          <w:lang w:val="es-ES"/>
        </w:rPr>
      </w:pPr>
    </w:p>
    <w:p w:rsidR="00412AFB" w:rsidRPr="00993936" w:rsidRDefault="00412AFB" w:rsidP="00412AFB">
      <w:pPr>
        <w:rPr>
          <w:rFonts w:ascii="Arial" w:hAnsi="Arial" w:cs="Arial"/>
          <w:b/>
          <w:lang w:val="es-ES"/>
        </w:rPr>
      </w:pPr>
      <w:r w:rsidRPr="00993936">
        <w:rPr>
          <w:rFonts w:ascii="Arial" w:hAnsi="Arial" w:cs="Arial"/>
          <w:b/>
          <w:lang w:val="es-ES"/>
        </w:rPr>
        <w:br w:type="page"/>
      </w:r>
    </w:p>
    <w:p w:rsidR="00412AFB" w:rsidRPr="00993936" w:rsidRDefault="00412AFB" w:rsidP="00412AFB">
      <w:pPr>
        <w:jc w:val="both"/>
        <w:outlineLvl w:val="0"/>
        <w:rPr>
          <w:rFonts w:ascii="Arial" w:hAnsi="Arial" w:cs="Arial"/>
          <w:b/>
          <w:lang w:val="es-ES"/>
        </w:rPr>
      </w:pPr>
      <w:r w:rsidRPr="00993936">
        <w:rPr>
          <w:rFonts w:ascii="Arial" w:hAnsi="Arial" w:cs="Arial"/>
          <w:b/>
          <w:lang w:val="es-ES"/>
        </w:rPr>
        <w:lastRenderedPageBreak/>
        <w:t>ANEXO 6</w:t>
      </w:r>
    </w:p>
    <w:p w:rsidR="00412AFB" w:rsidRPr="00993936" w:rsidRDefault="00412AFB" w:rsidP="00412AFB">
      <w:pPr>
        <w:pStyle w:val="Textoindependiente2"/>
        <w:rPr>
          <w:rFonts w:cs="Arial"/>
          <w:b/>
          <w:sz w:val="22"/>
          <w:szCs w:val="22"/>
          <w:lang w:val="es-ES"/>
        </w:rPr>
      </w:pPr>
      <w:r w:rsidRPr="00993936">
        <w:rPr>
          <w:rFonts w:cs="Arial"/>
          <w:b/>
          <w:sz w:val="22"/>
          <w:szCs w:val="22"/>
          <w:lang w:val="es-ES"/>
        </w:rPr>
        <w:t>Se recomienda restringir al máximo la aplicación de productos fitosanitarios poscosecha y solo utilizarlos cuando se prevean problemas graves de fisiopatías o de enfermedades durante la conservación de los frutos.</w:t>
      </w:r>
    </w:p>
    <w:p w:rsidR="00412AFB" w:rsidRPr="00993936" w:rsidRDefault="00412AFB" w:rsidP="00412AFB">
      <w:pPr>
        <w:pStyle w:val="Textoindependiente2"/>
        <w:rPr>
          <w:rFonts w:cs="Arial"/>
          <w:b/>
          <w:sz w:val="22"/>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013"/>
        <w:gridCol w:w="4547"/>
      </w:tblGrid>
      <w:tr w:rsidR="00412AFB" w:rsidRPr="00993936" w:rsidTr="00C8678E">
        <w:trPr>
          <w:trHeight w:val="275"/>
          <w:tblHeader/>
          <w:jc w:val="center"/>
        </w:trPr>
        <w:tc>
          <w:tcPr>
            <w:tcW w:w="2344" w:type="pct"/>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ADMITIDAS</w:t>
            </w:r>
          </w:p>
        </w:tc>
        <w:tc>
          <w:tcPr>
            <w:tcW w:w="2656" w:type="pct"/>
            <w:shd w:val="pct12" w:color="auto" w:fill="FFFFFF"/>
            <w:vAlign w:val="center"/>
          </w:tcPr>
          <w:p w:rsidR="00412AFB" w:rsidRPr="00993936" w:rsidRDefault="00412AFB" w:rsidP="00C8678E">
            <w:pPr>
              <w:pStyle w:val="Ttulo6"/>
              <w:rPr>
                <w:rFonts w:ascii="Arial" w:hAnsi="Arial" w:cs="Arial"/>
                <w:color w:val="auto"/>
                <w:lang w:val="es-ES"/>
              </w:rPr>
            </w:pPr>
            <w:r w:rsidRPr="00993936">
              <w:rPr>
                <w:rFonts w:ascii="Arial" w:hAnsi="Arial" w:cs="Arial"/>
                <w:color w:val="auto"/>
                <w:lang w:val="es-ES"/>
              </w:rPr>
              <w:t>RESTRICCIONES</w:t>
            </w:r>
          </w:p>
        </w:tc>
      </w:tr>
      <w:tr w:rsidR="00412AFB" w:rsidRPr="00993936" w:rsidTr="00C8678E">
        <w:trPr>
          <w:jc w:val="center"/>
        </w:trPr>
        <w:tc>
          <w:tcPr>
            <w:tcW w:w="2344" w:type="pct"/>
            <w:vAlign w:val="center"/>
          </w:tcPr>
          <w:p w:rsidR="00412AFB" w:rsidRPr="00993936" w:rsidRDefault="00412AFB" w:rsidP="00C8678E">
            <w:pPr>
              <w:pStyle w:val="Textoindependiente"/>
              <w:jc w:val="left"/>
              <w:rPr>
                <w:rFonts w:cs="Arial"/>
                <w:szCs w:val="22"/>
                <w:lang w:val="es-ES" w:eastAsia="ca-ES"/>
              </w:rPr>
            </w:pPr>
            <w:r w:rsidRPr="00993936">
              <w:rPr>
                <w:rFonts w:cs="Arial"/>
                <w:szCs w:val="22"/>
                <w:lang w:val="es-ES" w:eastAsia="ca-ES"/>
              </w:rPr>
              <w:t>Boscalida + Piraclostrobin (a)</w:t>
            </w:r>
          </w:p>
          <w:p w:rsidR="00412AFB" w:rsidRPr="00993936" w:rsidRDefault="00412AFB" w:rsidP="00C8678E">
            <w:pPr>
              <w:pStyle w:val="Textoindependiente"/>
              <w:jc w:val="left"/>
              <w:rPr>
                <w:rFonts w:cs="Arial"/>
                <w:szCs w:val="22"/>
                <w:lang w:val="es-ES" w:eastAsia="ca-ES"/>
              </w:rPr>
            </w:pPr>
            <w:r w:rsidRPr="00993936">
              <w:rPr>
                <w:rFonts w:cs="Arial"/>
                <w:szCs w:val="22"/>
                <w:lang w:val="es-ES" w:eastAsia="ca-ES"/>
              </w:rPr>
              <w:t>Fludioxonil (a)</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Imazalil 7,5 %, 22,5 % y 34 %</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Imazalil 7,5 % + Folpet 20 %</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Imazalil 7,5 % + Iprodiona 10 %</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Imazalil 20 % + Pirimetanil 20 %</w:t>
            </w:r>
          </w:p>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Imazalil 10 % +Tiabendazole 14 %</w:t>
            </w:r>
          </w:p>
          <w:p w:rsidR="00412AFB" w:rsidRPr="00993936" w:rsidRDefault="00412AFB" w:rsidP="00C8678E">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Imazalil 7,5 % + Tiabendazole 22,5 %</w:t>
            </w:r>
          </w:p>
          <w:p w:rsidR="00412AFB" w:rsidRPr="00993936" w:rsidRDefault="00412AFB" w:rsidP="00C8678E">
            <w:pPr>
              <w:pStyle w:val="Encabezado"/>
              <w:widowControl w:val="0"/>
              <w:tabs>
                <w:tab w:val="clear" w:pos="4252"/>
                <w:tab w:val="clear" w:pos="8504"/>
              </w:tabs>
              <w:rPr>
                <w:rFonts w:ascii="Arial" w:hAnsi="Arial" w:cs="Arial"/>
                <w:lang w:val="es-ES" w:eastAsia="ca-ES"/>
              </w:rPr>
            </w:pPr>
            <w:r w:rsidRPr="00993936">
              <w:rPr>
                <w:rFonts w:ascii="Arial" w:hAnsi="Arial" w:cs="Arial"/>
                <w:lang w:val="es-ES" w:eastAsia="ca-ES"/>
              </w:rPr>
              <w:t xml:space="preserve">Metilciclopropeno-1 </w:t>
            </w:r>
          </w:p>
          <w:p w:rsidR="00412AFB" w:rsidRPr="00993936" w:rsidRDefault="00412AFB" w:rsidP="00C8678E">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Tiabendazole 60 %</w:t>
            </w:r>
          </w:p>
          <w:p w:rsidR="00412AFB" w:rsidRPr="00993936" w:rsidRDefault="00412AFB" w:rsidP="00C8678E">
            <w:pPr>
              <w:pStyle w:val="Textoindependiente"/>
              <w:jc w:val="left"/>
              <w:rPr>
                <w:rFonts w:cs="Arial"/>
                <w:szCs w:val="22"/>
                <w:lang w:val="es-ES"/>
              </w:rPr>
            </w:pPr>
          </w:p>
        </w:tc>
        <w:tc>
          <w:tcPr>
            <w:tcW w:w="2656" w:type="pct"/>
            <w:vAlign w:val="center"/>
          </w:tcPr>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r w:rsidRPr="00993936">
              <w:rPr>
                <w:rFonts w:cs="Arial"/>
                <w:szCs w:val="22"/>
                <w:lang w:val="es-ES"/>
              </w:rPr>
              <w:t>- Solo están autorizadas las formulaciones comerciales.</w:t>
            </w:r>
          </w:p>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r w:rsidRPr="00993936">
              <w:rPr>
                <w:rFonts w:cs="Arial"/>
                <w:szCs w:val="22"/>
                <w:lang w:val="es-ES"/>
              </w:rPr>
              <w:t>- Su uso queda restringido a la autorización y control del miembro del personal técnico responsable de producción integrada.</w:t>
            </w:r>
          </w:p>
          <w:p w:rsidR="00412AFB" w:rsidRPr="00993936" w:rsidRDefault="00412AFB" w:rsidP="00C8678E">
            <w:pPr>
              <w:pStyle w:val="Textoindependiente"/>
              <w:rPr>
                <w:rFonts w:cs="Arial"/>
                <w:szCs w:val="22"/>
                <w:lang w:val="es-ES"/>
              </w:rPr>
            </w:pPr>
          </w:p>
          <w:p w:rsidR="00412AFB" w:rsidRPr="00993936" w:rsidRDefault="00412AFB" w:rsidP="00C8678E">
            <w:pPr>
              <w:pStyle w:val="Textoindependiente"/>
              <w:rPr>
                <w:rFonts w:cs="Arial"/>
                <w:szCs w:val="22"/>
                <w:lang w:val="es-ES"/>
              </w:rPr>
            </w:pPr>
            <w:r w:rsidRPr="00993936">
              <w:rPr>
                <w:rFonts w:cs="Arial"/>
                <w:szCs w:val="22"/>
                <w:lang w:val="es-ES"/>
              </w:rPr>
              <w:t>- La autorización de cualquier producto fitosanitario de poscosecha requerirá el informe previo y preceptivo del miembro del personal técnico responsable de producción integrada. Este informe deberá permanecer en poder de la persona operadora elaboradora y estará a disposición de cualquier agente que realice tareas de control e inspección.</w:t>
            </w:r>
          </w:p>
          <w:p w:rsidR="00412AFB" w:rsidRPr="00993936" w:rsidRDefault="00412AFB" w:rsidP="00C8678E">
            <w:pPr>
              <w:pStyle w:val="Textoindependiente"/>
              <w:rPr>
                <w:rFonts w:cs="Arial"/>
                <w:szCs w:val="22"/>
                <w:lang w:val="es-ES"/>
              </w:rPr>
            </w:pPr>
          </w:p>
          <w:p w:rsidR="00412AFB" w:rsidRPr="00993936" w:rsidRDefault="00412AFB" w:rsidP="009D1A2D">
            <w:pPr>
              <w:pStyle w:val="Textoindependiente"/>
              <w:numPr>
                <w:ilvl w:val="0"/>
                <w:numId w:val="57"/>
              </w:numPr>
              <w:rPr>
                <w:rFonts w:cs="Arial"/>
                <w:szCs w:val="22"/>
                <w:lang w:val="es-ES"/>
              </w:rPr>
            </w:pPr>
            <w:r w:rsidRPr="00993936">
              <w:rPr>
                <w:rFonts w:cs="Arial"/>
                <w:szCs w:val="22"/>
                <w:lang w:val="es-ES"/>
              </w:rPr>
              <w:t>Tratamiento precosecha</w:t>
            </w:r>
          </w:p>
          <w:p w:rsidR="00412AFB" w:rsidRPr="00993936" w:rsidRDefault="00412AFB" w:rsidP="00C8678E">
            <w:pPr>
              <w:pStyle w:val="Textoindependiente"/>
              <w:ind w:left="720"/>
              <w:rPr>
                <w:rFonts w:cs="Arial"/>
                <w:szCs w:val="22"/>
                <w:lang w:val="es-ES"/>
              </w:rPr>
            </w:pPr>
          </w:p>
        </w:tc>
      </w:tr>
    </w:tbl>
    <w:p w:rsidR="00412AFB" w:rsidRPr="00993936" w:rsidRDefault="00412AFB" w:rsidP="00412AFB">
      <w:pPr>
        <w:jc w:val="both"/>
        <w:rPr>
          <w:rFonts w:ascii="Arial" w:hAnsi="Arial" w:cs="Arial"/>
          <w:b/>
          <w:snapToGrid w:val="0"/>
          <w:u w:val="single"/>
          <w:lang w:val="es-ES"/>
        </w:rPr>
      </w:pPr>
    </w:p>
    <w:p w:rsidR="00412AFB" w:rsidRPr="00993936" w:rsidRDefault="00412AFB" w:rsidP="00412AFB">
      <w:pPr>
        <w:jc w:val="both"/>
        <w:outlineLvl w:val="0"/>
        <w:rPr>
          <w:rFonts w:ascii="Arial" w:hAnsi="Arial" w:cs="Arial"/>
          <w:b/>
          <w:lang w:val="es-ES"/>
        </w:rPr>
      </w:pPr>
    </w:p>
    <w:p w:rsidR="00412AFB" w:rsidRPr="00993936" w:rsidRDefault="00412AFB" w:rsidP="00412AFB">
      <w:pPr>
        <w:jc w:val="both"/>
        <w:outlineLvl w:val="0"/>
        <w:rPr>
          <w:rFonts w:ascii="Arial" w:hAnsi="Arial" w:cs="Arial"/>
          <w:b/>
          <w:lang w:val="es-ES"/>
        </w:rPr>
      </w:pPr>
    </w:p>
    <w:p w:rsidR="00412AFB" w:rsidRPr="00993936" w:rsidRDefault="00412AFB" w:rsidP="00412AFB">
      <w:pPr>
        <w:jc w:val="both"/>
        <w:outlineLvl w:val="0"/>
        <w:rPr>
          <w:rFonts w:ascii="Arial" w:hAnsi="Arial" w:cs="Arial"/>
          <w:b/>
          <w:lang w:val="es-ES"/>
        </w:rPr>
      </w:pPr>
      <w:r w:rsidRPr="00993936">
        <w:rPr>
          <w:rFonts w:ascii="Arial" w:hAnsi="Arial" w:cs="Arial"/>
          <w:b/>
          <w:lang w:val="es-ES"/>
        </w:rPr>
        <w:t>6.2 Listado de materias activas de productos desinfectantes</w:t>
      </w:r>
    </w:p>
    <w:p w:rsidR="00412AFB" w:rsidRPr="00993936" w:rsidRDefault="00412AFB" w:rsidP="00412AFB">
      <w:pPr>
        <w:jc w:val="both"/>
        <w:outlineLvl w:val="0"/>
        <w:rPr>
          <w:rFonts w:ascii="Arial" w:hAnsi="Arial" w:cs="Arial"/>
          <w:b/>
          <w:lang w:val="es-ES"/>
        </w:rPr>
      </w:pPr>
    </w:p>
    <w:p w:rsidR="00412AFB" w:rsidRPr="00993936" w:rsidRDefault="00412AFB" w:rsidP="009D1A2D">
      <w:pPr>
        <w:numPr>
          <w:ilvl w:val="0"/>
          <w:numId w:val="56"/>
        </w:numPr>
        <w:spacing w:after="0" w:line="240" w:lineRule="auto"/>
        <w:rPr>
          <w:rFonts w:ascii="Arial" w:hAnsi="Arial" w:cs="Arial"/>
          <w:lang w:val="es-ES" w:eastAsia="ca-ES"/>
        </w:rPr>
      </w:pPr>
      <w:r w:rsidRPr="00993936">
        <w:rPr>
          <w:rFonts w:ascii="Arial" w:hAnsi="Arial" w:cs="Arial"/>
          <w:lang w:val="es-ES" w:eastAsia="ca-ES"/>
        </w:rPr>
        <w:t>Ácido peracético</w:t>
      </w:r>
    </w:p>
    <w:p w:rsidR="00412AFB" w:rsidRPr="00993936" w:rsidRDefault="00412AFB" w:rsidP="009D1A2D">
      <w:pPr>
        <w:numPr>
          <w:ilvl w:val="0"/>
          <w:numId w:val="56"/>
        </w:numPr>
        <w:spacing w:after="0" w:line="240" w:lineRule="auto"/>
        <w:rPr>
          <w:rFonts w:ascii="Arial" w:hAnsi="Arial" w:cs="Arial"/>
          <w:lang w:val="es-ES" w:eastAsia="ca-ES"/>
        </w:rPr>
      </w:pPr>
      <w:r w:rsidRPr="00993936">
        <w:rPr>
          <w:rFonts w:ascii="Arial" w:hAnsi="Arial" w:cs="Arial"/>
          <w:lang w:val="es-ES" w:eastAsia="ca-ES"/>
        </w:rPr>
        <w:t>Amonios cuaternarios (cloruro de benzalconio, cloruro de didecil dimetilamoni, cloruro de dimetilalquilbencilamoni, cloruro de n-alquil n-etilbencil n-dimetil amonio)</w:t>
      </w:r>
    </w:p>
    <w:p w:rsidR="00412AFB" w:rsidRPr="00993936" w:rsidRDefault="00412AFB" w:rsidP="009D1A2D">
      <w:pPr>
        <w:numPr>
          <w:ilvl w:val="0"/>
          <w:numId w:val="56"/>
        </w:numPr>
        <w:spacing w:after="0" w:line="240" w:lineRule="auto"/>
        <w:rPr>
          <w:rFonts w:ascii="Arial" w:hAnsi="Arial" w:cs="Arial"/>
          <w:lang w:val="es-ES" w:eastAsia="ca-ES"/>
        </w:rPr>
      </w:pPr>
      <w:r w:rsidRPr="00993936">
        <w:rPr>
          <w:rFonts w:ascii="Arial" w:hAnsi="Arial" w:cs="Arial"/>
          <w:lang w:val="es-ES" w:eastAsia="ca-ES"/>
        </w:rPr>
        <w:t xml:space="preserve">Formaldehído </w:t>
      </w:r>
    </w:p>
    <w:p w:rsidR="00412AFB" w:rsidRPr="00993936" w:rsidRDefault="00412AFB" w:rsidP="009D1A2D">
      <w:pPr>
        <w:numPr>
          <w:ilvl w:val="0"/>
          <w:numId w:val="56"/>
        </w:numPr>
        <w:spacing w:after="0" w:line="240" w:lineRule="auto"/>
        <w:rPr>
          <w:rFonts w:ascii="Arial" w:hAnsi="Arial" w:cs="Arial"/>
          <w:lang w:val="es-ES" w:eastAsia="ca-ES"/>
        </w:rPr>
      </w:pPr>
      <w:r w:rsidRPr="00993936">
        <w:rPr>
          <w:rFonts w:ascii="Arial" w:hAnsi="Arial" w:cs="Arial"/>
          <w:lang w:val="es-ES" w:eastAsia="ca-ES"/>
        </w:rPr>
        <w:t>Glutaraldehído</w:t>
      </w:r>
    </w:p>
    <w:p w:rsidR="00412AFB" w:rsidRPr="00993936" w:rsidRDefault="00412AFB" w:rsidP="009D1A2D">
      <w:pPr>
        <w:numPr>
          <w:ilvl w:val="0"/>
          <w:numId w:val="56"/>
        </w:numPr>
        <w:spacing w:after="0" w:line="240" w:lineRule="auto"/>
        <w:rPr>
          <w:rFonts w:ascii="Arial" w:hAnsi="Arial" w:cs="Arial"/>
          <w:lang w:val="es-ES" w:eastAsia="ca-ES"/>
        </w:rPr>
      </w:pPr>
      <w:r w:rsidRPr="00993936">
        <w:rPr>
          <w:rFonts w:ascii="Arial" w:hAnsi="Arial" w:cs="Arial"/>
          <w:lang w:val="es-ES" w:eastAsia="ca-ES"/>
        </w:rPr>
        <w:t xml:space="preserve">Hipoclorito sódico </w:t>
      </w:r>
    </w:p>
    <w:p w:rsidR="00412AFB" w:rsidRPr="00993936" w:rsidRDefault="00412AFB" w:rsidP="009D1A2D">
      <w:pPr>
        <w:numPr>
          <w:ilvl w:val="0"/>
          <w:numId w:val="56"/>
        </w:numPr>
        <w:spacing w:after="0" w:line="240" w:lineRule="auto"/>
        <w:rPr>
          <w:rFonts w:ascii="Arial" w:hAnsi="Arial" w:cs="Arial"/>
          <w:lang w:val="es-ES" w:eastAsia="ca-ES"/>
        </w:rPr>
      </w:pPr>
      <w:r w:rsidRPr="00993936">
        <w:rPr>
          <w:rFonts w:ascii="Arial" w:hAnsi="Arial" w:cs="Arial"/>
          <w:lang w:val="es-ES" w:eastAsia="ca-ES"/>
        </w:rPr>
        <w:t>Peróxido de hidrógeno</w:t>
      </w:r>
    </w:p>
    <w:p w:rsidR="00412AFB" w:rsidRPr="00993936" w:rsidRDefault="00412AFB" w:rsidP="00412AFB">
      <w:pPr>
        <w:jc w:val="both"/>
        <w:outlineLvl w:val="0"/>
        <w:rPr>
          <w:rFonts w:ascii="Arial" w:hAnsi="Arial" w:cs="Arial"/>
          <w:b/>
          <w:lang w:val="es-ES"/>
        </w:rPr>
      </w:pPr>
    </w:p>
    <w:p w:rsidR="00412AFB" w:rsidRPr="00993936" w:rsidRDefault="00412AFB" w:rsidP="00412AFB">
      <w:pPr>
        <w:jc w:val="both"/>
        <w:outlineLvl w:val="0"/>
        <w:rPr>
          <w:rFonts w:ascii="Arial" w:hAnsi="Arial" w:cs="Arial"/>
          <w:b/>
          <w:lang w:val="es-ES"/>
        </w:rPr>
      </w:pPr>
    </w:p>
    <w:p w:rsidR="00412AFB" w:rsidRPr="00993936" w:rsidRDefault="00412AFB" w:rsidP="00412AFB">
      <w:pPr>
        <w:jc w:val="both"/>
        <w:rPr>
          <w:rFonts w:ascii="Arial" w:hAnsi="Arial" w:cs="Arial"/>
          <w:lang w:val="es-ES"/>
        </w:rPr>
      </w:pPr>
    </w:p>
    <w:p w:rsidR="00412AFB" w:rsidRPr="00993936" w:rsidRDefault="00412AFB" w:rsidP="00412AFB">
      <w:pPr>
        <w:jc w:val="both"/>
        <w:outlineLvl w:val="0"/>
        <w:rPr>
          <w:rFonts w:ascii="Arial" w:hAnsi="Arial" w:cs="Arial"/>
          <w:b/>
          <w:lang w:val="es-ES"/>
        </w:rPr>
      </w:pPr>
    </w:p>
    <w:p w:rsidR="00412AFB" w:rsidRPr="00993936" w:rsidRDefault="00412AFB" w:rsidP="00412AFB">
      <w:pPr>
        <w:rPr>
          <w:rFonts w:ascii="Arial" w:hAnsi="Arial" w:cs="Arial"/>
          <w:b/>
          <w:lang w:val="es-ES"/>
        </w:rPr>
      </w:pPr>
      <w:r w:rsidRPr="00993936">
        <w:rPr>
          <w:rFonts w:ascii="Arial" w:hAnsi="Arial" w:cs="Arial"/>
          <w:b/>
          <w:lang w:val="es-ES"/>
        </w:rPr>
        <w:br w:type="page"/>
      </w:r>
    </w:p>
    <w:p w:rsidR="00412AFB" w:rsidRPr="00993936" w:rsidRDefault="00412AFB" w:rsidP="00412AFB">
      <w:pPr>
        <w:jc w:val="both"/>
        <w:outlineLvl w:val="0"/>
        <w:rPr>
          <w:rFonts w:ascii="Arial" w:hAnsi="Arial" w:cs="Arial"/>
          <w:b/>
          <w:lang w:val="es-ES"/>
        </w:rPr>
      </w:pPr>
      <w:r w:rsidRPr="00993936">
        <w:rPr>
          <w:rFonts w:ascii="Arial" w:hAnsi="Arial" w:cs="Arial"/>
          <w:b/>
          <w:lang w:val="es-ES"/>
        </w:rPr>
        <w:lastRenderedPageBreak/>
        <w:t>ANEXO 7</w:t>
      </w:r>
    </w:p>
    <w:p w:rsidR="00412AFB" w:rsidRPr="00993936" w:rsidRDefault="00412AFB" w:rsidP="00412AFB">
      <w:pPr>
        <w:jc w:val="both"/>
        <w:outlineLvl w:val="0"/>
        <w:rPr>
          <w:rFonts w:ascii="Arial" w:hAnsi="Arial" w:cs="Arial"/>
          <w:b/>
          <w:lang w:val="es-ES"/>
        </w:rPr>
      </w:pPr>
    </w:p>
    <w:p w:rsidR="00412AFB" w:rsidRPr="00993936" w:rsidRDefault="00412AFB" w:rsidP="00412AFB">
      <w:pPr>
        <w:jc w:val="both"/>
        <w:outlineLvl w:val="0"/>
        <w:rPr>
          <w:rFonts w:ascii="Arial" w:hAnsi="Arial" w:cs="Arial"/>
          <w:b/>
          <w:lang w:val="es-ES"/>
        </w:rPr>
      </w:pPr>
      <w:r w:rsidRPr="00993936">
        <w:rPr>
          <w:rFonts w:ascii="Arial" w:hAnsi="Arial" w:cs="Arial"/>
          <w:b/>
          <w:lang w:val="es-ES"/>
        </w:rPr>
        <w:t>Condiciones de trabajo recomendables para realizar los tratamientos fitosanitarios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412AFB" w:rsidRPr="00993936" w:rsidRDefault="00412AFB" w:rsidP="006043F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snapToGrid w:val="0"/>
          <w:lang w:val="es-ES"/>
        </w:rPr>
        <w:t>En los cuadros 7.1</w:t>
      </w:r>
      <w:r w:rsidR="006043F1" w:rsidRPr="00993936">
        <w:rPr>
          <w:rFonts w:ascii="Arial" w:hAnsi="Arial" w:cs="Arial"/>
          <w:snapToGrid w:val="0"/>
          <w:lang w:val="es-ES"/>
        </w:rPr>
        <w:t xml:space="preserve"> y</w:t>
      </w:r>
      <w:r w:rsidRPr="00993936">
        <w:rPr>
          <w:rFonts w:ascii="Arial" w:hAnsi="Arial" w:cs="Arial"/>
          <w:snapToGrid w:val="0"/>
          <w:lang w:val="es-ES"/>
        </w:rPr>
        <w:t xml:space="preserve"> 7.2 se incluyen las </w:t>
      </w:r>
      <w:r w:rsidRPr="00993936">
        <w:rPr>
          <w:rFonts w:ascii="Arial" w:hAnsi="Arial" w:cs="Arial"/>
          <w:i/>
          <w:snapToGrid w:val="0"/>
          <w:lang w:val="es-ES"/>
        </w:rPr>
        <w:t xml:space="preserve">recomendaciones </w:t>
      </w:r>
      <w:r w:rsidRPr="00993936">
        <w:rPr>
          <w:rFonts w:ascii="Arial" w:hAnsi="Arial" w:cs="Arial"/>
          <w:snapToGrid w:val="0"/>
          <w:lang w:val="es-ES"/>
        </w:rPr>
        <w:t>generales de regulación de los equipos, y en el 7.3, las condiciones ambientales recomendables para realizar los tratamientos.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412AFB" w:rsidRPr="00993936" w:rsidRDefault="00412AFB" w:rsidP="00412AFB">
      <w:pPr>
        <w:pStyle w:val="Textoindependiente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sz w:val="22"/>
          <w:szCs w:val="22"/>
          <w:lang w:val="es-ES"/>
        </w:rPr>
      </w:pPr>
      <w:r w:rsidRPr="00993936">
        <w:rPr>
          <w:rFonts w:cs="Arial"/>
          <w:sz w:val="22"/>
          <w:szCs w:val="22"/>
          <w:lang w:val="es-ES"/>
        </w:rPr>
        <w:t xml:space="preserve">7.1. </w:t>
      </w:r>
      <w:r w:rsidRPr="00993936">
        <w:rPr>
          <w:rFonts w:cs="Arial"/>
          <w:i/>
          <w:sz w:val="22"/>
          <w:szCs w:val="22"/>
          <w:lang w:val="es-ES"/>
        </w:rPr>
        <w:t>Recomendaciones</w:t>
      </w:r>
      <w:r w:rsidRPr="00993936">
        <w:rPr>
          <w:rFonts w:cs="Arial"/>
          <w:sz w:val="22"/>
          <w:szCs w:val="22"/>
          <w:lang w:val="es-ES"/>
        </w:rPr>
        <w:t xml:space="preserve"> generales para los equipos hidroneumáticos con ventilador axial</w:t>
      </w:r>
    </w:p>
    <w:p w:rsidR="00412AFB" w:rsidRPr="00993936" w:rsidRDefault="00412AFB" w:rsidP="00412AFB">
      <w:pPr>
        <w:pStyle w:val="Encabezado"/>
        <w:widowControl w:val="0"/>
        <w:tabs>
          <w:tab w:val="clear" w:pos="4252"/>
          <w:tab w:val="clear" w:pos="85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764"/>
        <w:gridCol w:w="1959"/>
        <w:gridCol w:w="2172"/>
        <w:gridCol w:w="2248"/>
      </w:tblGrid>
      <w:tr w:rsidR="00412AFB" w:rsidRPr="00993936" w:rsidTr="00C8678E">
        <w:trPr>
          <w:trHeight w:val="400"/>
          <w:jc w:val="center"/>
        </w:trPr>
        <w:tc>
          <w:tcPr>
            <w:tcW w:w="2764" w:type="dxa"/>
            <w:tcBorders>
              <w:top w:val="nil"/>
              <w:left w:val="nil"/>
              <w:bottom w:val="nil"/>
              <w:right w:val="nil"/>
            </w:tcBorders>
            <w:vAlign w:val="center"/>
          </w:tcPr>
          <w:p w:rsidR="00412AFB" w:rsidRPr="00993936" w:rsidRDefault="00412AFB" w:rsidP="00C8678E">
            <w:pPr>
              <w:widowControl w:val="0"/>
              <w:rPr>
                <w:rFonts w:ascii="Arial" w:hAnsi="Arial" w:cs="Arial"/>
                <w:snapToGrid w:val="0"/>
                <w:lang w:val="es-ES"/>
              </w:rPr>
            </w:pPr>
          </w:p>
        </w:tc>
        <w:tc>
          <w:tcPr>
            <w:tcW w:w="1959" w:type="dxa"/>
            <w:tcBorders>
              <w:left w:val="single" w:sz="4" w:space="0" w:color="auto"/>
            </w:tcBorders>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Tratamientos de invierno</w:t>
            </w:r>
          </w:p>
        </w:tc>
        <w:tc>
          <w:tcPr>
            <w:tcW w:w="4420" w:type="dxa"/>
            <w:gridSpan w:val="2"/>
            <w:shd w:val="pct12" w:color="auto" w:fill="FFFFFF"/>
            <w:vAlign w:val="center"/>
          </w:tcPr>
          <w:p w:rsidR="00412AFB" w:rsidRPr="00993936" w:rsidRDefault="00412AFB" w:rsidP="00C8678E">
            <w:pPr>
              <w:widowControl w:val="0"/>
              <w:jc w:val="center"/>
              <w:rPr>
                <w:rFonts w:ascii="Arial" w:hAnsi="Arial" w:cs="Arial"/>
                <w:b/>
                <w:snapToGrid w:val="0"/>
                <w:lang w:val="es-ES"/>
              </w:rPr>
            </w:pPr>
            <w:r w:rsidRPr="00993936">
              <w:rPr>
                <w:rFonts w:ascii="Arial" w:hAnsi="Arial" w:cs="Arial"/>
                <w:b/>
                <w:snapToGrid w:val="0"/>
                <w:lang w:val="es-ES"/>
              </w:rPr>
              <w:t>Tratamientos de primavera-verano</w:t>
            </w:r>
          </w:p>
        </w:tc>
      </w:tr>
      <w:tr w:rsidR="00412AFB" w:rsidRPr="00993936" w:rsidTr="00C8678E">
        <w:trPr>
          <w:jc w:val="center"/>
        </w:trPr>
        <w:tc>
          <w:tcPr>
            <w:tcW w:w="2764" w:type="dxa"/>
            <w:tcBorders>
              <w:top w:val="single" w:sz="4" w:space="0" w:color="auto"/>
            </w:tcBorders>
            <w:vAlign w:val="center"/>
          </w:tcPr>
          <w:p w:rsidR="00412AFB" w:rsidRPr="00993936" w:rsidRDefault="00412AFB" w:rsidP="00C8678E">
            <w:pPr>
              <w:pStyle w:val="Ttulo6"/>
              <w:rPr>
                <w:rFonts w:ascii="Arial" w:hAnsi="Arial" w:cs="Arial"/>
                <w:color w:val="auto"/>
                <w:lang w:val="es-ES"/>
              </w:rPr>
            </w:pPr>
            <w:r w:rsidRPr="00993936">
              <w:rPr>
                <w:rFonts w:ascii="Arial" w:hAnsi="Arial" w:cs="Arial"/>
                <w:color w:val="auto"/>
                <w:lang w:val="es-ES"/>
              </w:rPr>
              <w:t>Tipo de plantación</w:t>
            </w:r>
          </w:p>
        </w:tc>
        <w:tc>
          <w:tcPr>
            <w:tcW w:w="1959"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Todas las plantaciones</w:t>
            </w:r>
          </w:p>
        </w:tc>
        <w:tc>
          <w:tcPr>
            <w:tcW w:w="2172"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Tipo vaso</w:t>
            </w:r>
          </w:p>
        </w:tc>
        <w:tc>
          <w:tcPr>
            <w:tcW w:w="224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Tipo palmeta</w:t>
            </w:r>
          </w:p>
        </w:tc>
      </w:tr>
      <w:tr w:rsidR="00412AFB" w:rsidRPr="00993936" w:rsidTr="00C8678E">
        <w:trPr>
          <w:jc w:val="center"/>
        </w:trPr>
        <w:tc>
          <w:tcPr>
            <w:tcW w:w="2764"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Estadio vegetativo</w:t>
            </w:r>
          </w:p>
        </w:tc>
        <w:tc>
          <w:tcPr>
            <w:tcW w:w="1959" w:type="dxa"/>
            <w:vAlign w:val="center"/>
          </w:tcPr>
          <w:p w:rsidR="00412AFB" w:rsidRPr="00993936" w:rsidRDefault="00412AFB" w:rsidP="00C8678E">
            <w:pPr>
              <w:widowControl w:val="0"/>
              <w:rPr>
                <w:rFonts w:ascii="Arial" w:hAnsi="Arial" w:cs="Arial"/>
                <w:snapToGrid w:val="0"/>
                <w:lang w:val="es-ES"/>
              </w:rPr>
            </w:pPr>
          </w:p>
        </w:tc>
        <w:tc>
          <w:tcPr>
            <w:tcW w:w="2172"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Plena vegetación</w:t>
            </w:r>
          </w:p>
        </w:tc>
        <w:tc>
          <w:tcPr>
            <w:tcW w:w="224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Plena vegetación</w:t>
            </w:r>
          </w:p>
        </w:tc>
      </w:tr>
      <w:tr w:rsidR="00412AFB" w:rsidRPr="00993936" w:rsidTr="00C8678E">
        <w:trPr>
          <w:jc w:val="center"/>
        </w:trPr>
        <w:tc>
          <w:tcPr>
            <w:tcW w:w="2764"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Boquillas</w:t>
            </w:r>
          </w:p>
        </w:tc>
        <w:tc>
          <w:tcPr>
            <w:tcW w:w="6379" w:type="dxa"/>
            <w:gridSpan w:val="3"/>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Tipo cónico de alta turbulencia</w:t>
            </w:r>
          </w:p>
        </w:tc>
      </w:tr>
      <w:tr w:rsidR="00412AFB" w:rsidRPr="00993936" w:rsidTr="00C8678E">
        <w:trPr>
          <w:jc w:val="center"/>
        </w:trPr>
        <w:tc>
          <w:tcPr>
            <w:tcW w:w="2764"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Presión (bar)</w:t>
            </w:r>
          </w:p>
        </w:tc>
        <w:tc>
          <w:tcPr>
            <w:tcW w:w="1959"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5</w:t>
            </w:r>
          </w:p>
        </w:tc>
        <w:tc>
          <w:tcPr>
            <w:tcW w:w="4420" w:type="dxa"/>
            <w:gridSpan w:val="2"/>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5 - 15</w:t>
            </w:r>
          </w:p>
        </w:tc>
      </w:tr>
      <w:tr w:rsidR="00412AFB" w:rsidRPr="00993936" w:rsidTr="00C8678E">
        <w:trPr>
          <w:jc w:val="center"/>
        </w:trPr>
        <w:tc>
          <w:tcPr>
            <w:tcW w:w="2764"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Velocidad de trabajo (km/h)</w:t>
            </w:r>
          </w:p>
        </w:tc>
        <w:tc>
          <w:tcPr>
            <w:tcW w:w="1959"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4 – 6</w:t>
            </w:r>
          </w:p>
        </w:tc>
        <w:tc>
          <w:tcPr>
            <w:tcW w:w="2172"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4 - 6</w:t>
            </w:r>
          </w:p>
        </w:tc>
        <w:tc>
          <w:tcPr>
            <w:tcW w:w="224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4 - 6</w:t>
            </w:r>
          </w:p>
        </w:tc>
      </w:tr>
      <w:tr w:rsidR="00412AFB" w:rsidRPr="00993936" w:rsidTr="00C8678E">
        <w:trPr>
          <w:jc w:val="center"/>
        </w:trPr>
        <w:tc>
          <w:tcPr>
            <w:tcW w:w="2764"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Volumen unitario (l/ha)</w:t>
            </w:r>
          </w:p>
        </w:tc>
        <w:tc>
          <w:tcPr>
            <w:tcW w:w="1959" w:type="dxa"/>
            <w:vAlign w:val="center"/>
          </w:tcPr>
          <w:p w:rsidR="00412AFB" w:rsidRPr="00993936" w:rsidRDefault="00E03B3B" w:rsidP="00C8678E">
            <w:pPr>
              <w:widowControl w:val="0"/>
              <w:jc w:val="center"/>
              <w:rPr>
                <w:rFonts w:ascii="Arial" w:hAnsi="Arial" w:cs="Arial"/>
                <w:snapToGrid w:val="0"/>
                <w:lang w:val="es-ES"/>
              </w:rPr>
            </w:pPr>
            <w:r w:rsidRPr="00993936">
              <w:rPr>
                <w:rFonts w:ascii="Arial" w:hAnsi="Arial" w:cs="Arial"/>
                <w:snapToGrid w:val="0"/>
                <w:lang w:val="es-ES"/>
              </w:rPr>
              <w:t xml:space="preserve"> </w:t>
            </w:r>
            <w:r w:rsidR="00412AFB" w:rsidRPr="00993936">
              <w:rPr>
                <w:rFonts w:ascii="Arial" w:hAnsi="Arial" w:cs="Arial"/>
                <w:snapToGrid w:val="0"/>
                <w:lang w:val="es-ES"/>
              </w:rPr>
              <w:t>350 - 1000</w:t>
            </w:r>
          </w:p>
        </w:tc>
        <w:tc>
          <w:tcPr>
            <w:tcW w:w="2172"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1000 - 1500</w:t>
            </w:r>
          </w:p>
        </w:tc>
        <w:tc>
          <w:tcPr>
            <w:tcW w:w="2248"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500 - 1000</w:t>
            </w:r>
          </w:p>
        </w:tc>
      </w:tr>
    </w:tbl>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snapToGrid w:val="0"/>
          <w:lang w:val="es-ES"/>
        </w:rPr>
        <w:br w:type="page"/>
      </w:r>
      <w:r w:rsidRPr="00993936">
        <w:rPr>
          <w:rFonts w:ascii="Arial" w:hAnsi="Arial" w:cs="Arial"/>
          <w:b/>
          <w:snapToGrid w:val="0"/>
          <w:lang w:val="es-ES"/>
        </w:rPr>
        <w:lastRenderedPageBreak/>
        <w:t xml:space="preserve">7.2. </w:t>
      </w:r>
      <w:r w:rsidRPr="00993936">
        <w:rPr>
          <w:rFonts w:ascii="Arial" w:hAnsi="Arial" w:cs="Arial"/>
          <w:b/>
          <w:i/>
          <w:snapToGrid w:val="0"/>
          <w:lang w:val="es-ES"/>
        </w:rPr>
        <w:t>Recomendaciones</w:t>
      </w:r>
      <w:r w:rsidRPr="00993936">
        <w:rPr>
          <w:rFonts w:ascii="Arial" w:hAnsi="Arial" w:cs="Arial"/>
          <w:b/>
          <w:snapToGrid w:val="0"/>
          <w:lang w:val="es-ES"/>
        </w:rPr>
        <w:t xml:space="preserve"> generales para los equipos hidráulicos de herbicidas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615"/>
        <w:gridCol w:w="4516"/>
      </w:tblGrid>
      <w:tr w:rsidR="00412AFB" w:rsidRPr="00993936" w:rsidTr="00C8678E">
        <w:trPr>
          <w:trHeight w:val="400"/>
          <w:jc w:val="center"/>
        </w:trPr>
        <w:tc>
          <w:tcPr>
            <w:tcW w:w="4615" w:type="dxa"/>
            <w:tcBorders>
              <w:top w:val="single" w:sz="4" w:space="0" w:color="auto"/>
              <w:left w:val="single" w:sz="4" w:space="0" w:color="auto"/>
              <w:bottom w:val="single" w:sz="4" w:space="0" w:color="auto"/>
              <w:right w:val="nil"/>
            </w:tcBorders>
            <w:vAlign w:val="center"/>
          </w:tcPr>
          <w:p w:rsidR="00412AFB" w:rsidRPr="00993936" w:rsidRDefault="00412AFB" w:rsidP="00C8678E">
            <w:pPr>
              <w:widowControl w:val="0"/>
              <w:rPr>
                <w:rFonts w:ascii="Arial" w:hAnsi="Arial" w:cs="Arial"/>
                <w:snapToGrid w:val="0"/>
                <w:lang w:val="es-ES"/>
              </w:rPr>
            </w:pPr>
          </w:p>
        </w:tc>
        <w:tc>
          <w:tcPr>
            <w:tcW w:w="4516" w:type="dxa"/>
            <w:tcBorders>
              <w:top w:val="single" w:sz="4" w:space="0" w:color="auto"/>
              <w:left w:val="single" w:sz="4" w:space="0" w:color="auto"/>
              <w:bottom w:val="single" w:sz="4" w:space="0" w:color="auto"/>
            </w:tcBorders>
            <w:shd w:val="pct12" w:color="auto" w:fill="FFFFFF"/>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Condiciones de trabajo</w:t>
            </w:r>
          </w:p>
        </w:tc>
      </w:tr>
      <w:tr w:rsidR="00412AFB" w:rsidRPr="00993936" w:rsidTr="00C8678E">
        <w:trPr>
          <w:jc w:val="center"/>
        </w:trPr>
        <w:tc>
          <w:tcPr>
            <w:tcW w:w="4615" w:type="dxa"/>
            <w:tcBorders>
              <w:top w:val="single" w:sz="4" w:space="0" w:color="auto"/>
            </w:tcBorders>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Estadio vegetativo</w:t>
            </w:r>
          </w:p>
        </w:tc>
        <w:tc>
          <w:tcPr>
            <w:tcW w:w="4516"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Pre- y posemergencia</w:t>
            </w:r>
          </w:p>
        </w:tc>
      </w:tr>
      <w:tr w:rsidR="00412AFB" w:rsidRPr="00993936" w:rsidTr="00C8678E">
        <w:trPr>
          <w:jc w:val="center"/>
        </w:trPr>
        <w:tc>
          <w:tcPr>
            <w:tcW w:w="4615"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Boquillas</w:t>
            </w:r>
          </w:p>
        </w:tc>
        <w:tc>
          <w:tcPr>
            <w:tcW w:w="4516"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Abanico o de espejo</w:t>
            </w:r>
          </w:p>
        </w:tc>
      </w:tr>
      <w:tr w:rsidR="00412AFB" w:rsidRPr="00993936" w:rsidTr="00C8678E">
        <w:trPr>
          <w:jc w:val="center"/>
        </w:trPr>
        <w:tc>
          <w:tcPr>
            <w:tcW w:w="4615"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Presión (bar)</w:t>
            </w:r>
          </w:p>
        </w:tc>
        <w:tc>
          <w:tcPr>
            <w:tcW w:w="4516"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1,5 a 5</w:t>
            </w:r>
          </w:p>
        </w:tc>
      </w:tr>
      <w:tr w:rsidR="00412AFB" w:rsidRPr="00993936" w:rsidTr="00C8678E">
        <w:trPr>
          <w:jc w:val="center"/>
        </w:trPr>
        <w:tc>
          <w:tcPr>
            <w:tcW w:w="4615"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Velocidad de trabajo (km/h)</w:t>
            </w:r>
          </w:p>
        </w:tc>
        <w:tc>
          <w:tcPr>
            <w:tcW w:w="4516"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3 - 4</w:t>
            </w:r>
          </w:p>
        </w:tc>
      </w:tr>
      <w:tr w:rsidR="00412AFB" w:rsidRPr="00993936" w:rsidTr="00C8678E">
        <w:trPr>
          <w:jc w:val="center"/>
        </w:trPr>
        <w:tc>
          <w:tcPr>
            <w:tcW w:w="4615"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Volumen medio (l/ha)</w:t>
            </w:r>
          </w:p>
        </w:tc>
        <w:tc>
          <w:tcPr>
            <w:tcW w:w="4516"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100 - 500</w:t>
            </w:r>
          </w:p>
        </w:tc>
      </w:tr>
      <w:tr w:rsidR="00412AFB" w:rsidRPr="00993936" w:rsidTr="00C8678E">
        <w:trPr>
          <w:jc w:val="center"/>
        </w:trPr>
        <w:tc>
          <w:tcPr>
            <w:tcW w:w="4615"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Altura de trabajo</w:t>
            </w:r>
          </w:p>
        </w:tc>
        <w:tc>
          <w:tcPr>
            <w:tcW w:w="4516"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&lt; 20 cm</w:t>
            </w:r>
          </w:p>
        </w:tc>
      </w:tr>
    </w:tbl>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r w:rsidRPr="00993936">
        <w:rPr>
          <w:rFonts w:ascii="Arial" w:hAnsi="Arial" w:cs="Arial"/>
          <w:b/>
          <w:snapToGrid w:val="0"/>
          <w:lang w:val="es-ES"/>
        </w:rPr>
        <w:t>7.3. Condiciones ambientales recomendables para la realización de los tratamientos</w:t>
      </w:r>
    </w:p>
    <w:p w:rsidR="00412AFB" w:rsidRPr="00993936" w:rsidRDefault="00412AFB" w:rsidP="00412A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769"/>
        <w:gridCol w:w="4350"/>
      </w:tblGrid>
      <w:tr w:rsidR="00412AFB" w:rsidRPr="00993936" w:rsidTr="00C8678E">
        <w:trPr>
          <w:jc w:val="center"/>
        </w:trPr>
        <w:tc>
          <w:tcPr>
            <w:tcW w:w="4769"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Temperatura</w:t>
            </w:r>
          </w:p>
        </w:tc>
        <w:tc>
          <w:tcPr>
            <w:tcW w:w="4350"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&lt; 25 ºC</w:t>
            </w:r>
          </w:p>
        </w:tc>
      </w:tr>
      <w:tr w:rsidR="00412AFB" w:rsidRPr="00993936" w:rsidTr="00C8678E">
        <w:trPr>
          <w:jc w:val="center"/>
        </w:trPr>
        <w:tc>
          <w:tcPr>
            <w:tcW w:w="4769"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Viento</w:t>
            </w:r>
          </w:p>
        </w:tc>
        <w:tc>
          <w:tcPr>
            <w:tcW w:w="4350"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&lt;3 m/s a 2 m de altura</w:t>
            </w:r>
          </w:p>
        </w:tc>
      </w:tr>
      <w:tr w:rsidR="00412AFB" w:rsidRPr="00993936" w:rsidTr="00C8678E">
        <w:trPr>
          <w:jc w:val="center"/>
        </w:trPr>
        <w:tc>
          <w:tcPr>
            <w:tcW w:w="4769" w:type="dxa"/>
            <w:vAlign w:val="center"/>
          </w:tcPr>
          <w:p w:rsidR="00412AFB" w:rsidRPr="00993936" w:rsidRDefault="00412AFB" w:rsidP="00C8678E">
            <w:pPr>
              <w:widowControl w:val="0"/>
              <w:rPr>
                <w:rFonts w:ascii="Arial" w:hAnsi="Arial" w:cs="Arial"/>
                <w:snapToGrid w:val="0"/>
                <w:lang w:val="es-ES"/>
              </w:rPr>
            </w:pPr>
            <w:r w:rsidRPr="00993936">
              <w:rPr>
                <w:rFonts w:ascii="Arial" w:hAnsi="Arial" w:cs="Arial"/>
                <w:snapToGrid w:val="0"/>
                <w:lang w:val="es-ES"/>
              </w:rPr>
              <w:t>Humedad relativa</w:t>
            </w:r>
          </w:p>
        </w:tc>
        <w:tc>
          <w:tcPr>
            <w:tcW w:w="4350" w:type="dxa"/>
            <w:vAlign w:val="center"/>
          </w:tcPr>
          <w:p w:rsidR="00412AFB" w:rsidRPr="00993936" w:rsidRDefault="00412AFB" w:rsidP="00C8678E">
            <w:pPr>
              <w:widowControl w:val="0"/>
              <w:jc w:val="center"/>
              <w:rPr>
                <w:rFonts w:ascii="Arial" w:hAnsi="Arial" w:cs="Arial"/>
                <w:snapToGrid w:val="0"/>
                <w:lang w:val="es-ES"/>
              </w:rPr>
            </w:pPr>
            <w:r w:rsidRPr="00993936">
              <w:rPr>
                <w:rFonts w:ascii="Arial" w:hAnsi="Arial" w:cs="Arial"/>
                <w:snapToGrid w:val="0"/>
                <w:lang w:val="es-ES"/>
              </w:rPr>
              <w:t>&gt; 70 %</w:t>
            </w:r>
          </w:p>
        </w:tc>
      </w:tr>
    </w:tbl>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 xml:space="preserve">El volumen de caldo recomendado se adaptará a las </w:t>
      </w:r>
      <w:r w:rsidRPr="00993936">
        <w:rPr>
          <w:rFonts w:ascii="Arial" w:hAnsi="Arial" w:cs="Arial"/>
          <w:i/>
          <w:lang w:val="es-ES"/>
        </w:rPr>
        <w:t xml:space="preserve">recomendaciones </w:t>
      </w:r>
      <w:r w:rsidRPr="00993936">
        <w:rPr>
          <w:rFonts w:ascii="Arial" w:hAnsi="Arial" w:cs="Arial"/>
          <w:lang w:val="es-ES"/>
        </w:rPr>
        <w:t>específicas de cada producto y formulación.</w:t>
      </w:r>
    </w:p>
    <w:p w:rsidR="00412AFB" w:rsidRPr="00993936" w:rsidRDefault="00412AFB" w:rsidP="00412AFB">
      <w:pPr>
        <w:rPr>
          <w:rFonts w:ascii="Arial" w:hAnsi="Arial" w:cs="Arial"/>
          <w:b/>
          <w:lang w:val="es-ES"/>
        </w:rPr>
      </w:pPr>
    </w:p>
    <w:p w:rsidR="00412AFB" w:rsidRPr="00993936" w:rsidRDefault="00412AFB" w:rsidP="00412AFB">
      <w:pPr>
        <w:rPr>
          <w:rFonts w:ascii="Arial" w:hAnsi="Arial" w:cs="Arial"/>
          <w:b/>
          <w:lang w:val="es-ES"/>
        </w:rPr>
      </w:pPr>
    </w:p>
    <w:p w:rsidR="00412AFB" w:rsidRPr="00993936" w:rsidRDefault="00412AFB" w:rsidP="00412AFB">
      <w:pPr>
        <w:rPr>
          <w:rFonts w:ascii="Arial" w:hAnsi="Arial" w:cs="Arial"/>
          <w:lang w:val="es-ES" w:eastAsia="ca-ES"/>
        </w:rPr>
      </w:pPr>
      <w:r w:rsidRPr="00993936">
        <w:rPr>
          <w:rFonts w:ascii="Arial" w:hAnsi="Arial" w:cs="Arial"/>
          <w:lang w:val="es-ES"/>
        </w:rPr>
        <w:br w:type="page"/>
      </w: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lastRenderedPageBreak/>
        <w:t>ANEXO 8</w:t>
      </w:r>
    </w:p>
    <w:p w:rsidR="00412AFB" w:rsidRPr="00993936" w:rsidRDefault="00412AFB" w:rsidP="00412AFB">
      <w:pPr>
        <w:pStyle w:val="Textoindependiente"/>
        <w:rPr>
          <w:rFonts w:cs="Arial"/>
          <w:b/>
          <w:szCs w:val="22"/>
          <w:lang w:val="es-ES"/>
        </w:rPr>
      </w:pPr>
    </w:p>
    <w:p w:rsidR="00412AFB" w:rsidRPr="00993936" w:rsidRDefault="00412AFB" w:rsidP="00412AFB">
      <w:pPr>
        <w:pStyle w:val="Textoindependiente"/>
        <w:rPr>
          <w:rFonts w:cs="Arial"/>
          <w:b/>
          <w:szCs w:val="22"/>
          <w:lang w:val="es-ES"/>
        </w:rPr>
      </w:pPr>
      <w:r w:rsidRPr="00993936">
        <w:rPr>
          <w:rFonts w:cs="Arial"/>
          <w:b/>
          <w:szCs w:val="22"/>
          <w:lang w:val="es-ES"/>
        </w:rPr>
        <w:t>8.1. Lista de metales pesados y valores máximos que aplicar al suelo</w:t>
      </w:r>
    </w:p>
    <w:p w:rsidR="00412AFB" w:rsidRPr="00993936" w:rsidRDefault="00412AFB" w:rsidP="00412AFB">
      <w:pPr>
        <w:jc w:val="both"/>
        <w:rPr>
          <w:rFonts w:ascii="Arial" w:hAnsi="Arial" w:cs="Arial"/>
          <w:lang w:val="es-ES"/>
        </w:rPr>
      </w:pPr>
      <w:r w:rsidRPr="00993936">
        <w:rPr>
          <w:rFonts w:ascii="Arial" w:hAnsi="Arial" w:cs="Arial"/>
          <w:lang w:val="es-ES"/>
        </w:rPr>
        <w:t>Los materiales con valor fertilizante aportados al suelo no deben contener metales pesados ​​en valores superiores a los siguientes:</w:t>
      </w:r>
    </w:p>
    <w:p w:rsidR="00412AFB" w:rsidRPr="00993936" w:rsidRDefault="00412AFB" w:rsidP="00412AFB">
      <w:pPr>
        <w:jc w:val="both"/>
        <w:rPr>
          <w:rFonts w:ascii="Arial" w:hAnsi="Arial" w:cs="Arial"/>
          <w:snapToGrid w:val="0"/>
          <w:lang w:val="es-ES"/>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9D1A2D" w:rsidRPr="00993936" w:rsidTr="009D1A2D">
        <w:trPr>
          <w:trHeight w:val="400"/>
          <w:jc w:val="center"/>
        </w:trPr>
        <w:tc>
          <w:tcPr>
            <w:tcW w:w="4548" w:type="dxa"/>
            <w:shd w:val="clear" w:color="auto" w:fill="D9D9D9" w:themeFill="background1" w:themeFillShade="D9"/>
            <w:vAlign w:val="center"/>
          </w:tcPr>
          <w:p w:rsidR="009D1A2D" w:rsidRPr="00993936" w:rsidRDefault="009D1A2D" w:rsidP="009D1A2D">
            <w:pPr>
              <w:widowControl w:val="0"/>
              <w:jc w:val="center"/>
              <w:rPr>
                <w:rFonts w:ascii="Arial" w:hAnsi="Arial" w:cs="Arial"/>
                <w:b/>
                <w:snapToGrid w:val="0"/>
                <w:lang w:val="es-ES"/>
              </w:rPr>
            </w:pPr>
            <w:r w:rsidRPr="00993936">
              <w:rPr>
                <w:rFonts w:ascii="Arial" w:hAnsi="Arial" w:cs="Arial"/>
                <w:b/>
                <w:snapToGrid w:val="0"/>
                <w:lang w:val="es-ES"/>
              </w:rPr>
              <w:t>Metal pesado</w:t>
            </w:r>
          </w:p>
        </w:tc>
        <w:tc>
          <w:tcPr>
            <w:tcW w:w="4464" w:type="dxa"/>
            <w:shd w:val="clear" w:color="auto" w:fill="D9D9D9" w:themeFill="background1" w:themeFillShade="D9"/>
            <w:vAlign w:val="center"/>
          </w:tcPr>
          <w:p w:rsidR="009D1A2D" w:rsidRPr="00993936" w:rsidRDefault="009D1A2D" w:rsidP="009D1A2D">
            <w:pPr>
              <w:widowControl w:val="0"/>
              <w:jc w:val="center"/>
              <w:rPr>
                <w:rFonts w:ascii="Arial" w:hAnsi="Arial" w:cs="Arial"/>
                <w:b/>
                <w:snapToGrid w:val="0"/>
                <w:lang w:val="es-ES"/>
              </w:rPr>
            </w:pPr>
            <w:r w:rsidRPr="00993936">
              <w:rPr>
                <w:rFonts w:ascii="Arial" w:hAnsi="Arial" w:cs="Arial"/>
                <w:b/>
                <w:snapToGrid w:val="0"/>
                <w:lang w:val="es-ES"/>
              </w:rPr>
              <w:t xml:space="preserve">Valores </w:t>
            </w:r>
          </w:p>
        </w:tc>
      </w:tr>
      <w:tr w:rsidR="009D1A2D" w:rsidRPr="00993936" w:rsidTr="009D1A2D">
        <w:trPr>
          <w:trHeight w:val="400"/>
          <w:jc w:val="center"/>
        </w:trPr>
        <w:tc>
          <w:tcPr>
            <w:tcW w:w="4548" w:type="dxa"/>
            <w:vAlign w:val="center"/>
          </w:tcPr>
          <w:p w:rsidR="009D1A2D" w:rsidRPr="00993936" w:rsidRDefault="009D1A2D" w:rsidP="009D1A2D">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 xml:space="preserve"> Cadmio</w:t>
            </w:r>
          </w:p>
        </w:tc>
        <w:tc>
          <w:tcPr>
            <w:tcW w:w="4464"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3 mg/kg de materia seca</w:t>
            </w:r>
          </w:p>
        </w:tc>
      </w:tr>
      <w:tr w:rsidR="009D1A2D" w:rsidRPr="00993936" w:rsidTr="009D1A2D">
        <w:trPr>
          <w:trHeight w:val="400"/>
          <w:jc w:val="center"/>
        </w:trPr>
        <w:tc>
          <w:tcPr>
            <w:tcW w:w="4548"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Cobre</w:t>
            </w:r>
          </w:p>
        </w:tc>
        <w:tc>
          <w:tcPr>
            <w:tcW w:w="4464"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400 mg/kg de materia seca</w:t>
            </w:r>
          </w:p>
        </w:tc>
      </w:tr>
      <w:tr w:rsidR="009D1A2D" w:rsidRPr="00993936" w:rsidTr="009D1A2D">
        <w:trPr>
          <w:trHeight w:val="400"/>
          <w:jc w:val="center"/>
        </w:trPr>
        <w:tc>
          <w:tcPr>
            <w:tcW w:w="4548"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Níquel </w:t>
            </w:r>
          </w:p>
        </w:tc>
        <w:tc>
          <w:tcPr>
            <w:tcW w:w="4464"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100 mg/kg de materia seca</w:t>
            </w:r>
          </w:p>
        </w:tc>
      </w:tr>
      <w:tr w:rsidR="009D1A2D" w:rsidRPr="00993936" w:rsidTr="009D1A2D">
        <w:trPr>
          <w:trHeight w:val="400"/>
          <w:jc w:val="center"/>
        </w:trPr>
        <w:tc>
          <w:tcPr>
            <w:tcW w:w="4548"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Plomo</w:t>
            </w:r>
          </w:p>
        </w:tc>
        <w:tc>
          <w:tcPr>
            <w:tcW w:w="4464"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200 mg/kg de materia seca</w:t>
            </w:r>
          </w:p>
        </w:tc>
      </w:tr>
      <w:tr w:rsidR="009D1A2D" w:rsidRPr="00993936" w:rsidTr="009D1A2D">
        <w:trPr>
          <w:trHeight w:val="400"/>
          <w:jc w:val="center"/>
        </w:trPr>
        <w:tc>
          <w:tcPr>
            <w:tcW w:w="4548"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Zinc </w:t>
            </w:r>
          </w:p>
        </w:tc>
        <w:tc>
          <w:tcPr>
            <w:tcW w:w="4464"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1.000 mg/kg de materia seca</w:t>
            </w:r>
          </w:p>
        </w:tc>
      </w:tr>
      <w:tr w:rsidR="009D1A2D" w:rsidRPr="00993936" w:rsidTr="009D1A2D">
        <w:trPr>
          <w:trHeight w:val="400"/>
          <w:jc w:val="center"/>
        </w:trPr>
        <w:tc>
          <w:tcPr>
            <w:tcW w:w="4548"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Mercurio</w:t>
            </w:r>
          </w:p>
        </w:tc>
        <w:tc>
          <w:tcPr>
            <w:tcW w:w="4464"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2,5 mg/kg de materia seca</w:t>
            </w:r>
          </w:p>
        </w:tc>
      </w:tr>
      <w:tr w:rsidR="009D1A2D" w:rsidRPr="00993936" w:rsidTr="009D1A2D">
        <w:trPr>
          <w:trHeight w:val="400"/>
          <w:jc w:val="center"/>
        </w:trPr>
        <w:tc>
          <w:tcPr>
            <w:tcW w:w="4548"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Cromo </w:t>
            </w:r>
          </w:p>
        </w:tc>
        <w:tc>
          <w:tcPr>
            <w:tcW w:w="4464" w:type="dxa"/>
            <w:vAlign w:val="center"/>
          </w:tcPr>
          <w:p w:rsidR="009D1A2D" w:rsidRPr="00993936" w:rsidRDefault="009D1A2D" w:rsidP="009D1A2D">
            <w:pPr>
              <w:widowControl w:val="0"/>
              <w:rPr>
                <w:rFonts w:ascii="Arial" w:hAnsi="Arial" w:cs="Arial"/>
                <w:snapToGrid w:val="0"/>
                <w:lang w:val="es-ES"/>
              </w:rPr>
            </w:pPr>
            <w:r w:rsidRPr="00993936">
              <w:rPr>
                <w:rFonts w:ascii="Arial" w:hAnsi="Arial" w:cs="Arial"/>
                <w:snapToGrid w:val="0"/>
                <w:lang w:val="es-ES"/>
              </w:rPr>
              <w:t xml:space="preserve"> 300 mg/kg de materia seca</w:t>
            </w:r>
          </w:p>
        </w:tc>
      </w:tr>
    </w:tbl>
    <w:p w:rsidR="00412AFB" w:rsidRPr="00993936" w:rsidRDefault="00412AFB" w:rsidP="00412AFB">
      <w:pPr>
        <w:pStyle w:val="Textoindependiente"/>
        <w:rPr>
          <w:rFonts w:cs="Arial"/>
          <w:szCs w:val="22"/>
          <w:lang w:val="es-ES"/>
        </w:rPr>
      </w:pPr>
      <w:r w:rsidRPr="00993936">
        <w:rPr>
          <w:rFonts w:cs="Arial"/>
          <w:szCs w:val="22"/>
          <w:lang w:val="es-ES"/>
        </w:rPr>
        <w:t>mg/kg: Miligramo por kilo.</w:t>
      </w:r>
    </w:p>
    <w:p w:rsidR="00412AFB" w:rsidRPr="00993936" w:rsidRDefault="00412AFB" w:rsidP="00412AFB">
      <w:pPr>
        <w:widowControl w:val="0"/>
        <w:rPr>
          <w:rFonts w:ascii="Arial" w:hAnsi="Arial" w:cs="Arial"/>
          <w:snapToGrid w:val="0"/>
          <w:lang w:val="es-ES"/>
        </w:rPr>
      </w:pPr>
    </w:p>
    <w:p w:rsidR="00412AFB" w:rsidRPr="00993936" w:rsidRDefault="00412AFB" w:rsidP="00412AFB">
      <w:pPr>
        <w:pStyle w:val="Textoindependiente"/>
        <w:rPr>
          <w:rFonts w:cs="Arial"/>
          <w:szCs w:val="22"/>
          <w:lang w:val="es-ES"/>
        </w:rPr>
      </w:pPr>
    </w:p>
    <w:p w:rsidR="00412AFB" w:rsidRPr="00993936" w:rsidRDefault="00412AFB" w:rsidP="00412AFB">
      <w:pPr>
        <w:pStyle w:val="Textoindependiente"/>
        <w:rPr>
          <w:rFonts w:cs="Arial"/>
          <w:szCs w:val="22"/>
          <w:lang w:val="es-ES"/>
        </w:rPr>
      </w:pPr>
    </w:p>
    <w:p w:rsidR="00412AFB" w:rsidRPr="00993936" w:rsidRDefault="00412AFB" w:rsidP="00412AFB">
      <w:pPr>
        <w:rPr>
          <w:rFonts w:ascii="Arial" w:hAnsi="Arial" w:cs="Arial"/>
          <w:lang w:val="es-ES"/>
        </w:rPr>
      </w:pPr>
      <w:r w:rsidRPr="00993936">
        <w:rPr>
          <w:rFonts w:ascii="Arial" w:hAnsi="Arial" w:cs="Arial"/>
          <w:lang w:val="es-ES"/>
        </w:rPr>
        <w:br w:type="page"/>
      </w:r>
    </w:p>
    <w:p w:rsidR="00412AFB" w:rsidRPr="00993936" w:rsidRDefault="00412AFB" w:rsidP="00412AFB">
      <w:pPr>
        <w:pStyle w:val="Ttulo2"/>
        <w:rPr>
          <w:rFonts w:ascii="Arial" w:hAnsi="Arial" w:cs="Arial"/>
          <w:b/>
          <w:color w:val="auto"/>
          <w:sz w:val="22"/>
          <w:szCs w:val="22"/>
          <w:lang w:val="es-ES"/>
        </w:rPr>
      </w:pPr>
      <w:r w:rsidRPr="00993936">
        <w:rPr>
          <w:rFonts w:ascii="Arial" w:hAnsi="Arial" w:cs="Arial"/>
          <w:b/>
          <w:color w:val="auto"/>
          <w:sz w:val="22"/>
          <w:szCs w:val="22"/>
          <w:lang w:val="es-ES"/>
        </w:rPr>
        <w:lastRenderedPageBreak/>
        <w:t>ANEXO 9</w:t>
      </w:r>
    </w:p>
    <w:p w:rsidR="00412AFB" w:rsidRPr="00993936" w:rsidRDefault="00412AFB" w:rsidP="00412AFB">
      <w:pPr>
        <w:pStyle w:val="Ttulo2"/>
        <w:rPr>
          <w:rFonts w:ascii="Arial" w:hAnsi="Arial" w:cs="Arial"/>
          <w:color w:val="auto"/>
          <w:sz w:val="22"/>
          <w:szCs w:val="22"/>
          <w:lang w:val="es-ES"/>
        </w:rPr>
      </w:pPr>
    </w:p>
    <w:p w:rsidR="00412AFB" w:rsidRPr="00993936" w:rsidRDefault="00412AFB" w:rsidP="00412AFB">
      <w:pPr>
        <w:pStyle w:val="Ttulo2"/>
        <w:rPr>
          <w:rFonts w:ascii="Arial" w:hAnsi="Arial" w:cs="Arial"/>
          <w:color w:val="auto"/>
          <w:sz w:val="22"/>
          <w:szCs w:val="22"/>
          <w:lang w:val="es-ES"/>
        </w:rPr>
      </w:pPr>
      <w:r w:rsidRPr="00993936">
        <w:rPr>
          <w:rFonts w:ascii="Arial" w:hAnsi="Arial" w:cs="Arial"/>
          <w:color w:val="auto"/>
          <w:sz w:val="22"/>
          <w:szCs w:val="22"/>
          <w:lang w:val="es-ES"/>
        </w:rPr>
        <w:t>Niveles orientativos de contenido de elementos en análisis foliares</w:t>
      </w:r>
    </w:p>
    <w:p w:rsidR="00412AFB" w:rsidRPr="00993936" w:rsidRDefault="00412AFB" w:rsidP="00412AFB">
      <w:pPr>
        <w:jc w:val="both"/>
        <w:rPr>
          <w:rFonts w:ascii="Arial" w:hAnsi="Arial" w:cs="Arial"/>
          <w:i/>
          <w:lang w:val="es-ES"/>
        </w:rPr>
      </w:pPr>
    </w:p>
    <w:p w:rsidR="00412AFB" w:rsidRPr="00993936" w:rsidRDefault="00412AFB" w:rsidP="00412AFB">
      <w:pPr>
        <w:jc w:val="both"/>
        <w:rPr>
          <w:rFonts w:ascii="Arial" w:hAnsi="Arial" w:cs="Arial"/>
          <w:b/>
          <w:i/>
          <w:lang w:val="es-ES"/>
        </w:rPr>
      </w:pPr>
      <w:r w:rsidRPr="00993936">
        <w:rPr>
          <w:rFonts w:ascii="Arial" w:hAnsi="Arial" w:cs="Arial"/>
          <w:b/>
          <w:i/>
          <w:lang w:val="es-ES"/>
        </w:rPr>
        <w:t xml:space="preserve">Datos para la toma de la muestra de hojas: </w:t>
      </w:r>
    </w:p>
    <w:p w:rsidR="00412AFB" w:rsidRPr="00993936" w:rsidRDefault="00412AFB" w:rsidP="00412AFB">
      <w:pPr>
        <w:jc w:val="both"/>
        <w:rPr>
          <w:rFonts w:ascii="Arial" w:hAnsi="Arial" w:cs="Arial"/>
          <w:lang w:val="es-ES"/>
        </w:rPr>
      </w:pPr>
      <w:r w:rsidRPr="00993936">
        <w:rPr>
          <w:rFonts w:ascii="Arial" w:hAnsi="Arial" w:cs="Arial"/>
          <w:lang w:val="es-ES"/>
        </w:rPr>
        <w:t>Para evaluar el estado de nutrición del cultivo es necesario obtener hojas en buen estado. El criterio general de selección de las muestras se basa en la obtención de hojas del año plenamente desarrolladas.</w:t>
      </w:r>
    </w:p>
    <w:p w:rsidR="00412AFB" w:rsidRPr="00993936" w:rsidRDefault="00412AFB" w:rsidP="00412AFB">
      <w:pPr>
        <w:jc w:val="both"/>
        <w:rPr>
          <w:rFonts w:ascii="Arial" w:hAnsi="Arial" w:cs="Arial"/>
          <w:lang w:val="es-ES"/>
        </w:rPr>
      </w:pPr>
      <w:r w:rsidRPr="00993936">
        <w:rPr>
          <w:rFonts w:ascii="Arial" w:hAnsi="Arial" w:cs="Arial"/>
          <w:lang w:val="es-ES"/>
        </w:rPr>
        <w:t xml:space="preserve">Coger 50 hojas totalmente desarrolladas de la parte central de los brotes situados en la parte externa del árbol y a una altura entre 1,2 y 1,8 metros. </w:t>
      </w:r>
    </w:p>
    <w:p w:rsidR="00412AFB" w:rsidRPr="00993936" w:rsidRDefault="00412AFB" w:rsidP="00412AFB">
      <w:pPr>
        <w:jc w:val="both"/>
        <w:rPr>
          <w:rFonts w:ascii="Arial" w:hAnsi="Arial" w:cs="Arial"/>
          <w:b/>
          <w:i/>
          <w:lang w:val="es-ES"/>
        </w:rPr>
      </w:pPr>
    </w:p>
    <w:p w:rsidR="00412AFB" w:rsidRPr="00993936" w:rsidRDefault="00412AFB" w:rsidP="00412AFB">
      <w:pPr>
        <w:jc w:val="both"/>
        <w:rPr>
          <w:rFonts w:ascii="Arial" w:hAnsi="Arial" w:cs="Arial"/>
          <w:b/>
          <w:i/>
          <w:lang w:val="es-ES"/>
        </w:rPr>
      </w:pPr>
      <w:r w:rsidRPr="00993936">
        <w:rPr>
          <w:rFonts w:ascii="Arial" w:hAnsi="Arial" w:cs="Arial"/>
          <w:b/>
          <w:i/>
          <w:lang w:val="es-ES"/>
        </w:rPr>
        <w:t xml:space="preserve">Periodo: </w:t>
      </w:r>
    </w:p>
    <w:p w:rsidR="00412AFB" w:rsidRPr="00993936" w:rsidRDefault="00412AFB" w:rsidP="00412AFB">
      <w:pPr>
        <w:jc w:val="both"/>
        <w:rPr>
          <w:rFonts w:ascii="Arial" w:hAnsi="Arial" w:cs="Arial"/>
          <w:lang w:val="es-ES"/>
        </w:rPr>
      </w:pPr>
      <w:r w:rsidRPr="00993936">
        <w:rPr>
          <w:rFonts w:ascii="Arial" w:hAnsi="Arial" w:cs="Arial"/>
          <w:lang w:val="es-ES"/>
        </w:rPr>
        <w:t>Final de primavera y verano.</w:t>
      </w:r>
    </w:p>
    <w:p w:rsidR="00412AFB" w:rsidRPr="00993936" w:rsidRDefault="00412AFB" w:rsidP="00412AFB">
      <w:pPr>
        <w:jc w:val="both"/>
        <w:rPr>
          <w:rFonts w:ascii="Arial" w:hAnsi="Arial" w:cs="Arial"/>
          <w:b/>
          <w:lang w:val="es-ES"/>
        </w:rPr>
      </w:pPr>
      <w:r w:rsidRPr="00993936">
        <w:rPr>
          <w:rFonts w:ascii="Arial" w:hAnsi="Arial" w:cs="Arial"/>
          <w:b/>
          <w:lang w:val="es-ES"/>
        </w:rPr>
        <w:t>9.1. Manzano</w:t>
      </w:r>
    </w:p>
    <w:p w:rsidR="00412AFB" w:rsidRPr="00993936" w:rsidRDefault="00412AFB" w:rsidP="00412AFB">
      <w:pPr>
        <w:jc w:val="both"/>
        <w:rPr>
          <w:rFonts w:ascii="Arial" w:hAnsi="Arial" w:cs="Arial"/>
          <w:b/>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268"/>
        <w:gridCol w:w="1134"/>
        <w:gridCol w:w="1276"/>
        <w:gridCol w:w="1276"/>
        <w:gridCol w:w="1134"/>
      </w:tblGrid>
      <w:tr w:rsidR="00412AFB" w:rsidRPr="00993936" w:rsidTr="00C8678E">
        <w:tc>
          <w:tcPr>
            <w:tcW w:w="4111" w:type="dxa"/>
            <w:gridSpan w:val="2"/>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Elemento</w:t>
            </w:r>
          </w:p>
        </w:tc>
        <w:tc>
          <w:tcPr>
            <w:tcW w:w="1134" w:type="dxa"/>
            <w:tcBorders>
              <w:bottom w:val="single" w:sz="4" w:space="0" w:color="auto"/>
            </w:tcBorders>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Bajo</w:t>
            </w:r>
          </w:p>
        </w:tc>
        <w:tc>
          <w:tcPr>
            <w:tcW w:w="1276" w:type="dxa"/>
            <w:tcBorders>
              <w:bottom w:val="single" w:sz="4" w:space="0" w:color="auto"/>
            </w:tcBorders>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Normal</w:t>
            </w:r>
          </w:p>
        </w:tc>
        <w:tc>
          <w:tcPr>
            <w:tcW w:w="1276" w:type="dxa"/>
            <w:tcBorders>
              <w:bottom w:val="single" w:sz="4" w:space="0" w:color="auto"/>
            </w:tcBorders>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Alto</w:t>
            </w:r>
          </w:p>
        </w:tc>
        <w:tc>
          <w:tcPr>
            <w:tcW w:w="1134" w:type="dxa"/>
            <w:tcBorders>
              <w:bottom w:val="single" w:sz="4" w:space="0" w:color="auto"/>
            </w:tcBorders>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Muy alto</w:t>
            </w:r>
          </w:p>
        </w:tc>
      </w:tr>
      <w:tr w:rsidR="00412AFB" w:rsidRPr="00993936" w:rsidTr="00C8678E">
        <w:trPr>
          <w:cantSplit/>
        </w:trPr>
        <w:tc>
          <w:tcPr>
            <w:tcW w:w="1843" w:type="dxa"/>
          </w:tcPr>
          <w:p w:rsidR="00412AFB" w:rsidRPr="00993936" w:rsidRDefault="00412AFB" w:rsidP="00C8678E">
            <w:pPr>
              <w:jc w:val="both"/>
              <w:rPr>
                <w:rFonts w:ascii="Arial" w:hAnsi="Arial" w:cs="Arial"/>
                <w:lang w:val="es-ES"/>
              </w:rPr>
            </w:pPr>
            <w:r w:rsidRPr="00993936">
              <w:rPr>
                <w:rFonts w:ascii="Arial" w:hAnsi="Arial" w:cs="Arial"/>
                <w:lang w:val="es-ES"/>
              </w:rPr>
              <w:t>Nitrógeno</w:t>
            </w:r>
          </w:p>
          <w:p w:rsidR="00412AFB" w:rsidRPr="00993936" w:rsidRDefault="00412AFB" w:rsidP="00C8678E">
            <w:pPr>
              <w:jc w:val="both"/>
              <w:rPr>
                <w:rFonts w:ascii="Arial" w:hAnsi="Arial" w:cs="Arial"/>
                <w:lang w:val="es-ES"/>
              </w:rPr>
            </w:pPr>
            <w:r w:rsidRPr="00993936">
              <w:rPr>
                <w:rFonts w:ascii="Arial" w:hAnsi="Arial" w:cs="Arial"/>
                <w:lang w:val="es-ES"/>
              </w:rPr>
              <w:t>Fósforo</w:t>
            </w:r>
          </w:p>
          <w:p w:rsidR="00412AFB" w:rsidRPr="00993936" w:rsidRDefault="00412AFB" w:rsidP="00C8678E">
            <w:pPr>
              <w:jc w:val="both"/>
              <w:rPr>
                <w:rFonts w:ascii="Arial" w:hAnsi="Arial" w:cs="Arial"/>
                <w:lang w:val="es-ES"/>
              </w:rPr>
            </w:pPr>
            <w:r w:rsidRPr="00993936">
              <w:rPr>
                <w:rFonts w:ascii="Arial" w:hAnsi="Arial" w:cs="Arial"/>
                <w:lang w:val="es-ES"/>
              </w:rPr>
              <w:t>Potasio</w:t>
            </w:r>
          </w:p>
          <w:p w:rsidR="00412AFB" w:rsidRPr="00993936" w:rsidRDefault="00412AFB" w:rsidP="00C8678E">
            <w:pPr>
              <w:jc w:val="both"/>
              <w:rPr>
                <w:rFonts w:ascii="Arial" w:hAnsi="Arial" w:cs="Arial"/>
                <w:lang w:val="es-ES"/>
              </w:rPr>
            </w:pPr>
            <w:r w:rsidRPr="00993936">
              <w:rPr>
                <w:rFonts w:ascii="Arial" w:hAnsi="Arial" w:cs="Arial"/>
                <w:lang w:val="es-ES"/>
              </w:rPr>
              <w:t>Calcio</w:t>
            </w:r>
          </w:p>
          <w:p w:rsidR="00412AFB" w:rsidRPr="00993936" w:rsidRDefault="00412AFB" w:rsidP="00C8678E">
            <w:pPr>
              <w:jc w:val="both"/>
              <w:rPr>
                <w:rFonts w:ascii="Arial" w:hAnsi="Arial" w:cs="Arial"/>
                <w:lang w:val="es-ES"/>
              </w:rPr>
            </w:pPr>
            <w:r w:rsidRPr="00993936">
              <w:rPr>
                <w:rFonts w:ascii="Arial" w:hAnsi="Arial" w:cs="Arial"/>
                <w:lang w:val="es-ES"/>
              </w:rPr>
              <w:t>Magnesio</w:t>
            </w:r>
          </w:p>
          <w:p w:rsidR="00412AFB" w:rsidRPr="00993936" w:rsidRDefault="00412AFB" w:rsidP="00C8678E">
            <w:pPr>
              <w:jc w:val="both"/>
              <w:rPr>
                <w:rFonts w:ascii="Arial" w:hAnsi="Arial" w:cs="Arial"/>
                <w:lang w:val="es-ES"/>
              </w:rPr>
            </w:pPr>
            <w:r w:rsidRPr="00993936">
              <w:rPr>
                <w:rFonts w:ascii="Arial" w:hAnsi="Arial" w:cs="Arial"/>
                <w:lang w:val="es-ES"/>
              </w:rPr>
              <w:t>Azufre</w:t>
            </w:r>
          </w:p>
          <w:p w:rsidR="00412AFB" w:rsidRPr="00993936" w:rsidRDefault="00412AFB" w:rsidP="00C8678E">
            <w:pPr>
              <w:jc w:val="both"/>
              <w:rPr>
                <w:rFonts w:ascii="Arial" w:hAnsi="Arial" w:cs="Arial"/>
                <w:lang w:val="es-ES"/>
              </w:rPr>
            </w:pPr>
            <w:r w:rsidRPr="00993936">
              <w:rPr>
                <w:rFonts w:ascii="Arial" w:hAnsi="Arial" w:cs="Arial"/>
                <w:lang w:val="es-ES"/>
              </w:rPr>
              <w:t>Hierro</w:t>
            </w:r>
          </w:p>
          <w:p w:rsidR="00412AFB" w:rsidRPr="00993936" w:rsidRDefault="00412AFB" w:rsidP="00C8678E">
            <w:pPr>
              <w:jc w:val="both"/>
              <w:rPr>
                <w:rFonts w:ascii="Arial" w:hAnsi="Arial" w:cs="Arial"/>
                <w:lang w:val="es-ES"/>
              </w:rPr>
            </w:pPr>
            <w:r w:rsidRPr="00993936">
              <w:rPr>
                <w:rFonts w:ascii="Arial" w:hAnsi="Arial" w:cs="Arial"/>
                <w:lang w:val="es-ES"/>
              </w:rPr>
              <w:t>Manganeso</w:t>
            </w:r>
          </w:p>
          <w:p w:rsidR="00412AFB" w:rsidRPr="00993936" w:rsidRDefault="00412AFB" w:rsidP="00C8678E">
            <w:pPr>
              <w:jc w:val="both"/>
              <w:rPr>
                <w:rFonts w:ascii="Arial" w:hAnsi="Arial" w:cs="Arial"/>
                <w:lang w:val="es-ES"/>
              </w:rPr>
            </w:pPr>
            <w:r w:rsidRPr="00993936">
              <w:rPr>
                <w:rFonts w:ascii="Arial" w:hAnsi="Arial" w:cs="Arial"/>
                <w:lang w:val="es-ES"/>
              </w:rPr>
              <w:t>Zinc</w:t>
            </w:r>
          </w:p>
          <w:p w:rsidR="00412AFB" w:rsidRPr="00993936" w:rsidRDefault="00412AFB" w:rsidP="00C8678E">
            <w:pPr>
              <w:jc w:val="both"/>
              <w:rPr>
                <w:rFonts w:ascii="Arial" w:hAnsi="Arial" w:cs="Arial"/>
                <w:lang w:val="es-ES"/>
              </w:rPr>
            </w:pPr>
            <w:r w:rsidRPr="00993936">
              <w:rPr>
                <w:rFonts w:ascii="Arial" w:hAnsi="Arial" w:cs="Arial"/>
                <w:lang w:val="es-ES"/>
              </w:rPr>
              <w:t>Cobre</w:t>
            </w:r>
          </w:p>
          <w:p w:rsidR="00412AFB" w:rsidRPr="00993936" w:rsidRDefault="00412AFB" w:rsidP="00C8678E">
            <w:pPr>
              <w:jc w:val="both"/>
              <w:rPr>
                <w:rFonts w:ascii="Arial" w:hAnsi="Arial" w:cs="Arial"/>
                <w:lang w:val="es-ES"/>
              </w:rPr>
            </w:pPr>
            <w:r w:rsidRPr="00993936">
              <w:rPr>
                <w:rFonts w:ascii="Arial" w:hAnsi="Arial" w:cs="Arial"/>
                <w:lang w:val="es-ES"/>
              </w:rPr>
              <w:t>Boro</w:t>
            </w:r>
          </w:p>
          <w:p w:rsidR="00412AFB" w:rsidRPr="00993936" w:rsidRDefault="00412AFB" w:rsidP="00C8678E">
            <w:pPr>
              <w:jc w:val="both"/>
              <w:rPr>
                <w:rFonts w:ascii="Arial" w:hAnsi="Arial" w:cs="Arial"/>
                <w:lang w:val="es-ES"/>
              </w:rPr>
            </w:pPr>
            <w:r w:rsidRPr="00993936">
              <w:rPr>
                <w:rFonts w:ascii="Arial" w:hAnsi="Arial" w:cs="Arial"/>
                <w:lang w:val="es-ES"/>
              </w:rPr>
              <w:t>Sodio</w:t>
            </w:r>
          </w:p>
          <w:p w:rsidR="00412AFB" w:rsidRPr="00993936" w:rsidRDefault="00412AFB" w:rsidP="00C8678E">
            <w:pPr>
              <w:jc w:val="both"/>
              <w:rPr>
                <w:rFonts w:ascii="Arial" w:hAnsi="Arial" w:cs="Arial"/>
                <w:lang w:val="es-ES"/>
              </w:rPr>
            </w:pPr>
          </w:p>
        </w:tc>
        <w:tc>
          <w:tcPr>
            <w:tcW w:w="2268" w:type="dxa"/>
          </w:tcPr>
          <w:p w:rsidR="00412AFB" w:rsidRPr="00993936" w:rsidRDefault="00412AFB" w:rsidP="00C8678E">
            <w:pPr>
              <w:jc w:val="both"/>
              <w:rPr>
                <w:rFonts w:ascii="Arial" w:hAnsi="Arial" w:cs="Arial"/>
                <w:lang w:val="es-ES"/>
              </w:rPr>
            </w:pPr>
            <w:r w:rsidRPr="00993936">
              <w:rPr>
                <w:rFonts w:ascii="Arial" w:hAnsi="Arial" w:cs="Arial"/>
                <w:lang w:val="es-ES"/>
              </w:rPr>
              <w:t>N (%)</w:t>
            </w:r>
          </w:p>
          <w:p w:rsidR="00412AFB" w:rsidRPr="00993936" w:rsidRDefault="00412AFB" w:rsidP="00C8678E">
            <w:pPr>
              <w:jc w:val="both"/>
              <w:rPr>
                <w:rFonts w:ascii="Arial" w:hAnsi="Arial" w:cs="Arial"/>
                <w:lang w:val="es-ES"/>
              </w:rPr>
            </w:pPr>
            <w:r w:rsidRPr="00993936">
              <w:rPr>
                <w:rFonts w:ascii="Arial" w:hAnsi="Arial" w:cs="Arial"/>
                <w:lang w:val="es-ES"/>
              </w:rPr>
              <w:t>P (%)</w:t>
            </w:r>
          </w:p>
          <w:p w:rsidR="00412AFB" w:rsidRPr="00993936" w:rsidRDefault="00412AFB" w:rsidP="00C8678E">
            <w:pPr>
              <w:jc w:val="both"/>
              <w:rPr>
                <w:rFonts w:ascii="Arial" w:hAnsi="Arial" w:cs="Arial"/>
                <w:lang w:val="es-ES"/>
              </w:rPr>
            </w:pPr>
            <w:r w:rsidRPr="00993936">
              <w:rPr>
                <w:rFonts w:ascii="Arial" w:hAnsi="Arial" w:cs="Arial"/>
                <w:lang w:val="es-ES"/>
              </w:rPr>
              <w:t>K (%)</w:t>
            </w:r>
          </w:p>
          <w:p w:rsidR="00412AFB" w:rsidRPr="00993936" w:rsidRDefault="00412AFB" w:rsidP="00C8678E">
            <w:pPr>
              <w:jc w:val="both"/>
              <w:rPr>
                <w:rFonts w:ascii="Arial" w:hAnsi="Arial" w:cs="Arial"/>
                <w:lang w:val="es-ES"/>
              </w:rPr>
            </w:pPr>
            <w:r w:rsidRPr="00993936">
              <w:rPr>
                <w:rFonts w:ascii="Arial" w:hAnsi="Arial" w:cs="Arial"/>
                <w:lang w:val="es-ES"/>
              </w:rPr>
              <w:t>Ca (%)</w:t>
            </w:r>
          </w:p>
          <w:p w:rsidR="00412AFB" w:rsidRPr="00993936" w:rsidRDefault="00412AFB" w:rsidP="00C8678E">
            <w:pPr>
              <w:pStyle w:val="Textoindependiente"/>
              <w:rPr>
                <w:rFonts w:cs="Arial"/>
                <w:szCs w:val="22"/>
                <w:lang w:val="es-ES"/>
              </w:rPr>
            </w:pPr>
            <w:r w:rsidRPr="00993936">
              <w:rPr>
                <w:rFonts w:cs="Arial"/>
                <w:szCs w:val="22"/>
                <w:lang w:val="es-ES"/>
              </w:rPr>
              <w:t>Mg (%)</w:t>
            </w:r>
          </w:p>
          <w:p w:rsidR="00412AFB" w:rsidRPr="00993936" w:rsidRDefault="00412AFB" w:rsidP="00C8678E">
            <w:pPr>
              <w:pStyle w:val="Textoindependiente"/>
              <w:rPr>
                <w:rFonts w:cs="Arial"/>
                <w:szCs w:val="22"/>
                <w:lang w:val="es-ES"/>
              </w:rPr>
            </w:pPr>
            <w:r w:rsidRPr="00993936">
              <w:rPr>
                <w:rFonts w:cs="Arial"/>
                <w:szCs w:val="22"/>
                <w:lang w:val="es-ES"/>
              </w:rPr>
              <w:t>S (%)</w:t>
            </w:r>
          </w:p>
          <w:p w:rsidR="00412AFB" w:rsidRPr="00993936" w:rsidRDefault="00412AFB" w:rsidP="00C8678E">
            <w:pPr>
              <w:jc w:val="both"/>
              <w:rPr>
                <w:rFonts w:ascii="Arial" w:hAnsi="Arial" w:cs="Arial"/>
                <w:lang w:val="es-ES"/>
              </w:rPr>
            </w:pPr>
            <w:r w:rsidRPr="00993936">
              <w:rPr>
                <w:rFonts w:ascii="Arial" w:hAnsi="Arial" w:cs="Arial"/>
                <w:lang w:val="es-ES"/>
              </w:rPr>
              <w:t>Fe (ppm)</w:t>
            </w:r>
          </w:p>
          <w:p w:rsidR="00412AFB" w:rsidRPr="00993936" w:rsidRDefault="00412AFB" w:rsidP="00C8678E">
            <w:pPr>
              <w:jc w:val="both"/>
              <w:rPr>
                <w:rFonts w:ascii="Arial" w:hAnsi="Arial" w:cs="Arial"/>
                <w:lang w:val="es-ES"/>
              </w:rPr>
            </w:pPr>
            <w:r w:rsidRPr="00993936">
              <w:rPr>
                <w:rFonts w:ascii="Arial" w:hAnsi="Arial" w:cs="Arial"/>
                <w:lang w:val="es-ES"/>
              </w:rPr>
              <w:t>Mn (ppm)</w:t>
            </w:r>
          </w:p>
          <w:p w:rsidR="00412AFB" w:rsidRPr="00993936" w:rsidRDefault="00412AFB" w:rsidP="00C8678E">
            <w:pPr>
              <w:jc w:val="both"/>
              <w:rPr>
                <w:rFonts w:ascii="Arial" w:hAnsi="Arial" w:cs="Arial"/>
                <w:lang w:val="es-ES"/>
              </w:rPr>
            </w:pPr>
            <w:r w:rsidRPr="00993936">
              <w:rPr>
                <w:rFonts w:ascii="Arial" w:hAnsi="Arial" w:cs="Arial"/>
                <w:lang w:val="es-ES"/>
              </w:rPr>
              <w:t>Zn (ppm)</w:t>
            </w:r>
          </w:p>
          <w:p w:rsidR="00412AFB" w:rsidRPr="00993936" w:rsidRDefault="00412AFB" w:rsidP="00C8678E">
            <w:pPr>
              <w:jc w:val="both"/>
              <w:rPr>
                <w:rFonts w:ascii="Arial" w:hAnsi="Arial" w:cs="Arial"/>
                <w:lang w:val="es-ES"/>
              </w:rPr>
            </w:pPr>
            <w:r w:rsidRPr="00993936">
              <w:rPr>
                <w:rFonts w:ascii="Arial" w:hAnsi="Arial" w:cs="Arial"/>
                <w:lang w:val="es-ES"/>
              </w:rPr>
              <w:t>Cu (ppm)</w:t>
            </w:r>
          </w:p>
          <w:p w:rsidR="00412AFB" w:rsidRPr="00993936" w:rsidRDefault="00412AFB" w:rsidP="00C8678E">
            <w:pPr>
              <w:jc w:val="both"/>
              <w:rPr>
                <w:rFonts w:ascii="Arial" w:hAnsi="Arial" w:cs="Arial"/>
                <w:lang w:val="es-ES"/>
              </w:rPr>
            </w:pPr>
            <w:r w:rsidRPr="00993936">
              <w:rPr>
                <w:rFonts w:ascii="Arial" w:hAnsi="Arial" w:cs="Arial"/>
                <w:lang w:val="es-ES"/>
              </w:rPr>
              <w:t>B (ppm)</w:t>
            </w:r>
          </w:p>
          <w:p w:rsidR="00412AFB" w:rsidRPr="00993936" w:rsidRDefault="00412AFB" w:rsidP="00C8678E">
            <w:pPr>
              <w:jc w:val="both"/>
              <w:rPr>
                <w:rFonts w:ascii="Arial" w:hAnsi="Arial" w:cs="Arial"/>
                <w:lang w:val="es-ES"/>
              </w:rPr>
            </w:pPr>
            <w:r w:rsidRPr="00993936">
              <w:rPr>
                <w:rFonts w:ascii="Arial" w:hAnsi="Arial" w:cs="Arial"/>
                <w:lang w:val="es-ES"/>
              </w:rPr>
              <w:t>Na (ppm)</w:t>
            </w:r>
          </w:p>
        </w:tc>
        <w:tc>
          <w:tcPr>
            <w:tcW w:w="1134" w:type="dxa"/>
            <w:shd w:val="clear" w:color="auto" w:fill="FFFFFF"/>
          </w:tcPr>
          <w:p w:rsidR="00412AFB" w:rsidRPr="00993936" w:rsidRDefault="00412AFB" w:rsidP="00C8678E">
            <w:pPr>
              <w:jc w:val="center"/>
              <w:rPr>
                <w:rFonts w:ascii="Arial" w:hAnsi="Arial" w:cs="Arial"/>
                <w:lang w:val="es-ES"/>
              </w:rPr>
            </w:pPr>
            <w:r w:rsidRPr="00993936">
              <w:rPr>
                <w:rFonts w:ascii="Arial" w:hAnsi="Arial" w:cs="Arial"/>
                <w:lang w:val="es-ES"/>
              </w:rPr>
              <w:t>&lt; 1,80</w:t>
            </w:r>
          </w:p>
          <w:p w:rsidR="00412AFB" w:rsidRPr="00993936" w:rsidRDefault="00412AFB" w:rsidP="00C8678E">
            <w:pPr>
              <w:jc w:val="center"/>
              <w:rPr>
                <w:rFonts w:ascii="Arial" w:hAnsi="Arial" w:cs="Arial"/>
                <w:lang w:val="es-ES"/>
              </w:rPr>
            </w:pPr>
            <w:r w:rsidRPr="00993936">
              <w:rPr>
                <w:rFonts w:ascii="Arial" w:hAnsi="Arial" w:cs="Arial"/>
                <w:lang w:val="es-ES"/>
              </w:rPr>
              <w:t>&lt; 0,11</w:t>
            </w:r>
          </w:p>
          <w:p w:rsidR="00412AFB" w:rsidRPr="00993936" w:rsidRDefault="00412AFB" w:rsidP="00C8678E">
            <w:pPr>
              <w:jc w:val="center"/>
              <w:rPr>
                <w:rFonts w:ascii="Arial" w:hAnsi="Arial" w:cs="Arial"/>
                <w:lang w:val="es-ES"/>
              </w:rPr>
            </w:pPr>
            <w:r w:rsidRPr="00993936">
              <w:rPr>
                <w:rFonts w:ascii="Arial" w:hAnsi="Arial" w:cs="Arial"/>
                <w:lang w:val="es-ES"/>
              </w:rPr>
              <w:t>&lt; 1,20</w:t>
            </w:r>
          </w:p>
          <w:p w:rsidR="00412AFB" w:rsidRPr="00993936" w:rsidRDefault="00412AFB" w:rsidP="00C8678E">
            <w:pPr>
              <w:jc w:val="center"/>
              <w:rPr>
                <w:rFonts w:ascii="Arial" w:hAnsi="Arial" w:cs="Arial"/>
                <w:lang w:val="es-ES"/>
              </w:rPr>
            </w:pPr>
            <w:r w:rsidRPr="00993936">
              <w:rPr>
                <w:rFonts w:ascii="Arial" w:hAnsi="Arial" w:cs="Arial"/>
                <w:lang w:val="es-ES"/>
              </w:rPr>
              <w:t>&lt; 0,70</w:t>
            </w:r>
          </w:p>
          <w:p w:rsidR="00412AFB" w:rsidRPr="00993936" w:rsidRDefault="00412AFB" w:rsidP="00C8678E">
            <w:pPr>
              <w:jc w:val="center"/>
              <w:rPr>
                <w:rFonts w:ascii="Arial" w:hAnsi="Arial" w:cs="Arial"/>
                <w:lang w:val="es-ES"/>
              </w:rPr>
            </w:pPr>
            <w:r w:rsidRPr="00993936">
              <w:rPr>
                <w:rFonts w:ascii="Arial" w:hAnsi="Arial" w:cs="Arial"/>
                <w:lang w:val="es-ES"/>
              </w:rPr>
              <w:t>&lt; 0,18</w:t>
            </w:r>
          </w:p>
          <w:p w:rsidR="00412AFB" w:rsidRPr="00993936" w:rsidRDefault="00412AFB" w:rsidP="00C8678E">
            <w:pPr>
              <w:jc w:val="center"/>
              <w:rPr>
                <w:rFonts w:ascii="Arial" w:hAnsi="Arial" w:cs="Arial"/>
                <w:lang w:val="es-ES"/>
              </w:rPr>
            </w:pPr>
            <w:r w:rsidRPr="00993936">
              <w:rPr>
                <w:rFonts w:ascii="Arial" w:hAnsi="Arial" w:cs="Arial"/>
                <w:lang w:val="es-ES"/>
              </w:rPr>
              <w:t>&lt; 0,10</w:t>
            </w:r>
          </w:p>
          <w:p w:rsidR="00412AFB" w:rsidRPr="00993936" w:rsidRDefault="00412AFB" w:rsidP="00C8678E">
            <w:pPr>
              <w:jc w:val="center"/>
              <w:rPr>
                <w:rFonts w:ascii="Arial" w:hAnsi="Arial" w:cs="Arial"/>
                <w:lang w:val="es-ES"/>
              </w:rPr>
            </w:pPr>
            <w:r w:rsidRPr="00993936">
              <w:rPr>
                <w:rFonts w:ascii="Arial" w:hAnsi="Arial" w:cs="Arial"/>
                <w:lang w:val="es-ES"/>
              </w:rPr>
              <w:t>&lt; 40</w:t>
            </w:r>
          </w:p>
          <w:p w:rsidR="00412AFB" w:rsidRPr="00993936" w:rsidRDefault="00412AFB" w:rsidP="00C8678E">
            <w:pPr>
              <w:jc w:val="center"/>
              <w:rPr>
                <w:rFonts w:ascii="Arial" w:hAnsi="Arial" w:cs="Arial"/>
                <w:lang w:val="es-ES"/>
              </w:rPr>
            </w:pPr>
            <w:r w:rsidRPr="00993936">
              <w:rPr>
                <w:rFonts w:ascii="Arial" w:hAnsi="Arial" w:cs="Arial"/>
                <w:lang w:val="es-ES"/>
              </w:rPr>
              <w:t>&lt; 20</w:t>
            </w:r>
          </w:p>
          <w:p w:rsidR="00412AFB" w:rsidRPr="00993936" w:rsidRDefault="00412AFB" w:rsidP="00C8678E">
            <w:pPr>
              <w:jc w:val="center"/>
              <w:rPr>
                <w:rFonts w:ascii="Arial" w:hAnsi="Arial" w:cs="Arial"/>
                <w:lang w:val="es-ES"/>
              </w:rPr>
            </w:pPr>
            <w:r w:rsidRPr="00993936">
              <w:rPr>
                <w:rFonts w:ascii="Arial" w:hAnsi="Arial" w:cs="Arial"/>
                <w:lang w:val="es-ES"/>
              </w:rPr>
              <w:t>&lt; 12</w:t>
            </w:r>
          </w:p>
          <w:p w:rsidR="00412AFB" w:rsidRPr="00993936" w:rsidRDefault="00412AFB" w:rsidP="00C8678E">
            <w:pPr>
              <w:jc w:val="center"/>
              <w:rPr>
                <w:rFonts w:ascii="Arial" w:hAnsi="Arial" w:cs="Arial"/>
                <w:lang w:val="es-ES"/>
              </w:rPr>
            </w:pPr>
            <w:r w:rsidRPr="00993936">
              <w:rPr>
                <w:rFonts w:ascii="Arial" w:hAnsi="Arial" w:cs="Arial"/>
                <w:lang w:val="es-ES"/>
              </w:rPr>
              <w:t>&lt; 5</w:t>
            </w:r>
          </w:p>
          <w:p w:rsidR="00412AFB" w:rsidRPr="00993936" w:rsidRDefault="00412AFB" w:rsidP="00C8678E">
            <w:pPr>
              <w:jc w:val="center"/>
              <w:rPr>
                <w:rFonts w:ascii="Arial" w:hAnsi="Arial" w:cs="Arial"/>
                <w:lang w:val="es-ES"/>
              </w:rPr>
            </w:pPr>
            <w:r w:rsidRPr="00993936">
              <w:rPr>
                <w:rFonts w:ascii="Arial" w:hAnsi="Arial" w:cs="Arial"/>
                <w:lang w:val="es-ES"/>
              </w:rPr>
              <w:t>&lt; 15</w:t>
            </w:r>
          </w:p>
          <w:p w:rsidR="00412AFB" w:rsidRPr="00993936" w:rsidRDefault="00412AFB" w:rsidP="00C8678E">
            <w:pPr>
              <w:jc w:val="center"/>
              <w:rPr>
                <w:rFonts w:ascii="Arial" w:hAnsi="Arial" w:cs="Arial"/>
                <w:lang w:val="es-ES"/>
              </w:rPr>
            </w:pPr>
          </w:p>
        </w:tc>
        <w:tc>
          <w:tcPr>
            <w:tcW w:w="1276" w:type="dxa"/>
            <w:shd w:val="clear" w:color="auto" w:fill="FFFFFF"/>
          </w:tcPr>
          <w:p w:rsidR="00412AFB" w:rsidRPr="00993936" w:rsidRDefault="00412AFB" w:rsidP="00C8678E">
            <w:pPr>
              <w:jc w:val="center"/>
              <w:rPr>
                <w:rFonts w:ascii="Arial" w:hAnsi="Arial" w:cs="Arial"/>
                <w:lang w:val="es-ES"/>
              </w:rPr>
            </w:pPr>
            <w:r w:rsidRPr="00993936">
              <w:rPr>
                <w:rFonts w:ascii="Arial" w:hAnsi="Arial" w:cs="Arial"/>
                <w:lang w:val="es-ES"/>
              </w:rPr>
              <w:t>1,80 – 2,35</w:t>
            </w:r>
          </w:p>
          <w:p w:rsidR="00412AFB" w:rsidRPr="00993936" w:rsidRDefault="00412AFB" w:rsidP="00C8678E">
            <w:pPr>
              <w:jc w:val="center"/>
              <w:rPr>
                <w:rFonts w:ascii="Arial" w:hAnsi="Arial" w:cs="Arial"/>
                <w:lang w:val="es-ES"/>
              </w:rPr>
            </w:pPr>
            <w:r w:rsidRPr="00993936">
              <w:rPr>
                <w:rFonts w:ascii="Arial" w:hAnsi="Arial" w:cs="Arial"/>
                <w:lang w:val="es-ES"/>
              </w:rPr>
              <w:t>0,11 – 0,20</w:t>
            </w:r>
          </w:p>
          <w:p w:rsidR="00412AFB" w:rsidRPr="00993936" w:rsidRDefault="00412AFB" w:rsidP="00C8678E">
            <w:pPr>
              <w:jc w:val="center"/>
              <w:rPr>
                <w:rFonts w:ascii="Arial" w:hAnsi="Arial" w:cs="Arial"/>
                <w:lang w:val="es-ES"/>
              </w:rPr>
            </w:pPr>
            <w:r w:rsidRPr="00993936">
              <w:rPr>
                <w:rFonts w:ascii="Arial" w:hAnsi="Arial" w:cs="Arial"/>
                <w:lang w:val="es-ES"/>
              </w:rPr>
              <w:t>1,20 – 2,00</w:t>
            </w:r>
          </w:p>
          <w:p w:rsidR="00412AFB" w:rsidRPr="00993936" w:rsidRDefault="00412AFB" w:rsidP="00C8678E">
            <w:pPr>
              <w:jc w:val="center"/>
              <w:rPr>
                <w:rFonts w:ascii="Arial" w:hAnsi="Arial" w:cs="Arial"/>
                <w:lang w:val="es-ES"/>
              </w:rPr>
            </w:pPr>
            <w:r w:rsidRPr="00993936">
              <w:rPr>
                <w:rFonts w:ascii="Arial" w:hAnsi="Arial" w:cs="Arial"/>
                <w:lang w:val="es-ES"/>
              </w:rPr>
              <w:t>0,70 - 1,80</w:t>
            </w:r>
          </w:p>
          <w:p w:rsidR="00412AFB" w:rsidRPr="00993936" w:rsidRDefault="00412AFB" w:rsidP="00C8678E">
            <w:pPr>
              <w:jc w:val="center"/>
              <w:rPr>
                <w:rFonts w:ascii="Arial" w:hAnsi="Arial" w:cs="Arial"/>
                <w:lang w:val="es-ES"/>
              </w:rPr>
            </w:pPr>
            <w:r w:rsidRPr="00993936">
              <w:rPr>
                <w:rFonts w:ascii="Arial" w:hAnsi="Arial" w:cs="Arial"/>
                <w:lang w:val="es-ES"/>
              </w:rPr>
              <w:t>0,18 – 0,40</w:t>
            </w:r>
          </w:p>
          <w:p w:rsidR="00412AFB" w:rsidRPr="00993936" w:rsidRDefault="00412AFB" w:rsidP="00C8678E">
            <w:pPr>
              <w:jc w:val="center"/>
              <w:rPr>
                <w:rFonts w:ascii="Arial" w:hAnsi="Arial" w:cs="Arial"/>
                <w:lang w:val="es-ES"/>
              </w:rPr>
            </w:pPr>
            <w:r w:rsidRPr="00993936">
              <w:rPr>
                <w:rFonts w:ascii="Arial" w:hAnsi="Arial" w:cs="Arial"/>
                <w:lang w:val="es-ES"/>
              </w:rPr>
              <w:t>0,10 – 0,25</w:t>
            </w:r>
          </w:p>
          <w:p w:rsidR="00412AFB" w:rsidRPr="00993936" w:rsidRDefault="00412AFB" w:rsidP="00C8678E">
            <w:pPr>
              <w:jc w:val="center"/>
              <w:rPr>
                <w:rFonts w:ascii="Arial" w:hAnsi="Arial" w:cs="Arial"/>
                <w:lang w:val="es-ES"/>
              </w:rPr>
            </w:pPr>
            <w:r w:rsidRPr="00993936">
              <w:rPr>
                <w:rFonts w:ascii="Arial" w:hAnsi="Arial" w:cs="Arial"/>
                <w:lang w:val="es-ES"/>
              </w:rPr>
              <w:t>40 – 125</w:t>
            </w:r>
          </w:p>
          <w:p w:rsidR="00412AFB" w:rsidRPr="00993936" w:rsidRDefault="00412AFB" w:rsidP="00C8678E">
            <w:pPr>
              <w:jc w:val="center"/>
              <w:rPr>
                <w:rFonts w:ascii="Arial" w:hAnsi="Arial" w:cs="Arial"/>
                <w:lang w:val="es-ES"/>
              </w:rPr>
            </w:pPr>
            <w:r w:rsidRPr="00993936">
              <w:rPr>
                <w:rFonts w:ascii="Arial" w:hAnsi="Arial" w:cs="Arial"/>
                <w:lang w:val="es-ES"/>
              </w:rPr>
              <w:t>20 – 50</w:t>
            </w:r>
          </w:p>
          <w:p w:rsidR="00412AFB" w:rsidRPr="00993936" w:rsidRDefault="00412AFB" w:rsidP="00C8678E">
            <w:pPr>
              <w:jc w:val="center"/>
              <w:rPr>
                <w:rFonts w:ascii="Arial" w:hAnsi="Arial" w:cs="Arial"/>
                <w:lang w:val="es-ES"/>
              </w:rPr>
            </w:pPr>
            <w:r w:rsidRPr="00993936">
              <w:rPr>
                <w:rFonts w:ascii="Arial" w:hAnsi="Arial" w:cs="Arial"/>
                <w:lang w:val="es-ES"/>
              </w:rPr>
              <w:t xml:space="preserve">12 – 50 </w:t>
            </w:r>
          </w:p>
          <w:p w:rsidR="00412AFB" w:rsidRPr="00993936" w:rsidRDefault="00412AFB" w:rsidP="00C8678E">
            <w:pPr>
              <w:jc w:val="center"/>
              <w:rPr>
                <w:rFonts w:ascii="Arial" w:hAnsi="Arial" w:cs="Arial"/>
                <w:lang w:val="es-ES"/>
              </w:rPr>
            </w:pPr>
            <w:r w:rsidRPr="00993936">
              <w:rPr>
                <w:rFonts w:ascii="Arial" w:hAnsi="Arial" w:cs="Arial"/>
                <w:lang w:val="es-ES"/>
              </w:rPr>
              <w:t xml:space="preserve">5 – 20 </w:t>
            </w:r>
          </w:p>
          <w:p w:rsidR="00412AFB" w:rsidRPr="00993936" w:rsidRDefault="00412AFB" w:rsidP="00C8678E">
            <w:pPr>
              <w:jc w:val="center"/>
              <w:rPr>
                <w:rFonts w:ascii="Arial" w:hAnsi="Arial" w:cs="Arial"/>
                <w:lang w:val="es-ES"/>
              </w:rPr>
            </w:pPr>
            <w:r w:rsidRPr="00993936">
              <w:rPr>
                <w:rFonts w:ascii="Arial" w:hAnsi="Arial" w:cs="Arial"/>
                <w:lang w:val="es-ES"/>
              </w:rPr>
              <w:t xml:space="preserve">15 – 30 </w:t>
            </w:r>
          </w:p>
          <w:p w:rsidR="00412AFB" w:rsidRPr="00993936" w:rsidRDefault="00412AFB" w:rsidP="00C8678E">
            <w:pPr>
              <w:jc w:val="center"/>
              <w:rPr>
                <w:rFonts w:ascii="Arial" w:hAnsi="Arial" w:cs="Arial"/>
                <w:lang w:val="es-ES"/>
              </w:rPr>
            </w:pPr>
            <w:r w:rsidRPr="00993936">
              <w:rPr>
                <w:rFonts w:ascii="Arial" w:hAnsi="Arial" w:cs="Arial"/>
                <w:lang w:val="es-ES"/>
              </w:rPr>
              <w:t>&lt; 500</w:t>
            </w:r>
          </w:p>
        </w:tc>
        <w:tc>
          <w:tcPr>
            <w:tcW w:w="1276" w:type="dxa"/>
            <w:shd w:val="clear" w:color="auto" w:fill="FFFFFF"/>
          </w:tcPr>
          <w:p w:rsidR="00412AFB" w:rsidRPr="00993936" w:rsidRDefault="00412AFB" w:rsidP="00C8678E">
            <w:pPr>
              <w:jc w:val="center"/>
              <w:rPr>
                <w:rFonts w:ascii="Arial" w:hAnsi="Arial" w:cs="Arial"/>
                <w:lang w:val="es-ES"/>
              </w:rPr>
            </w:pPr>
            <w:r w:rsidRPr="00993936">
              <w:rPr>
                <w:rFonts w:ascii="Arial" w:hAnsi="Arial" w:cs="Arial"/>
                <w:lang w:val="es-ES"/>
              </w:rPr>
              <w:t>2,35 - 3,00</w:t>
            </w:r>
          </w:p>
          <w:p w:rsidR="00412AFB" w:rsidRPr="00993936" w:rsidRDefault="00412AFB" w:rsidP="00C8678E">
            <w:pPr>
              <w:jc w:val="center"/>
              <w:rPr>
                <w:rFonts w:ascii="Arial" w:hAnsi="Arial" w:cs="Arial"/>
                <w:lang w:val="es-ES"/>
              </w:rPr>
            </w:pPr>
            <w:r w:rsidRPr="00993936">
              <w:rPr>
                <w:rFonts w:ascii="Arial" w:hAnsi="Arial" w:cs="Arial"/>
                <w:lang w:val="es-ES"/>
              </w:rPr>
              <w:t>&gt; 0,20</w:t>
            </w:r>
          </w:p>
          <w:p w:rsidR="00412AFB" w:rsidRPr="00993936" w:rsidRDefault="00412AFB" w:rsidP="00C8678E">
            <w:pPr>
              <w:jc w:val="center"/>
              <w:rPr>
                <w:rFonts w:ascii="Arial" w:hAnsi="Arial" w:cs="Arial"/>
                <w:lang w:val="es-ES"/>
              </w:rPr>
            </w:pPr>
            <w:r w:rsidRPr="00993936">
              <w:rPr>
                <w:rFonts w:ascii="Arial" w:hAnsi="Arial" w:cs="Arial"/>
                <w:lang w:val="es-ES"/>
              </w:rPr>
              <w:t>&gt; 2,00</w:t>
            </w:r>
          </w:p>
          <w:p w:rsidR="00412AFB" w:rsidRPr="00993936" w:rsidRDefault="00412AFB" w:rsidP="00C8678E">
            <w:pPr>
              <w:jc w:val="center"/>
              <w:rPr>
                <w:rFonts w:ascii="Arial" w:hAnsi="Arial" w:cs="Arial"/>
                <w:lang w:val="es-ES"/>
              </w:rPr>
            </w:pPr>
            <w:r w:rsidRPr="00993936">
              <w:rPr>
                <w:rFonts w:ascii="Arial" w:hAnsi="Arial" w:cs="Arial"/>
                <w:lang w:val="es-ES"/>
              </w:rPr>
              <w:t>1,80 – 2,20</w:t>
            </w:r>
          </w:p>
          <w:p w:rsidR="00412AFB" w:rsidRPr="00993936" w:rsidRDefault="00412AFB" w:rsidP="00C8678E">
            <w:pPr>
              <w:jc w:val="center"/>
              <w:rPr>
                <w:rFonts w:ascii="Arial" w:hAnsi="Arial" w:cs="Arial"/>
                <w:lang w:val="es-ES"/>
              </w:rPr>
            </w:pPr>
            <w:r w:rsidRPr="00993936">
              <w:rPr>
                <w:rFonts w:ascii="Arial" w:hAnsi="Arial" w:cs="Arial"/>
                <w:lang w:val="es-ES"/>
              </w:rPr>
              <w:t>0,40 – 0,45</w:t>
            </w:r>
          </w:p>
          <w:p w:rsidR="00412AFB" w:rsidRPr="00993936" w:rsidRDefault="00412AFB" w:rsidP="00C8678E">
            <w:pPr>
              <w:jc w:val="center"/>
              <w:rPr>
                <w:rFonts w:ascii="Arial" w:hAnsi="Arial" w:cs="Arial"/>
                <w:lang w:val="es-ES"/>
              </w:rPr>
            </w:pPr>
            <w:r w:rsidRPr="00993936">
              <w:rPr>
                <w:rFonts w:ascii="Arial" w:hAnsi="Arial" w:cs="Arial"/>
                <w:lang w:val="es-ES"/>
              </w:rPr>
              <w:t>0,25 – 0,40</w:t>
            </w:r>
          </w:p>
          <w:p w:rsidR="00412AFB" w:rsidRPr="00993936" w:rsidRDefault="00412AFB" w:rsidP="00C8678E">
            <w:pPr>
              <w:jc w:val="center"/>
              <w:rPr>
                <w:rFonts w:ascii="Arial" w:hAnsi="Arial" w:cs="Arial"/>
                <w:lang w:val="es-ES"/>
              </w:rPr>
            </w:pPr>
            <w:r w:rsidRPr="00993936">
              <w:rPr>
                <w:rFonts w:ascii="Arial" w:hAnsi="Arial" w:cs="Arial"/>
                <w:lang w:val="es-ES"/>
              </w:rPr>
              <w:t>&gt; 125</w:t>
            </w:r>
          </w:p>
          <w:p w:rsidR="00412AFB" w:rsidRPr="00993936" w:rsidRDefault="00412AFB" w:rsidP="00C8678E">
            <w:pPr>
              <w:jc w:val="center"/>
              <w:rPr>
                <w:rFonts w:ascii="Arial" w:hAnsi="Arial" w:cs="Arial"/>
                <w:lang w:val="es-ES"/>
              </w:rPr>
            </w:pPr>
            <w:r w:rsidRPr="00993936">
              <w:rPr>
                <w:rFonts w:ascii="Arial" w:hAnsi="Arial" w:cs="Arial"/>
                <w:lang w:val="es-ES"/>
              </w:rPr>
              <w:t>50 – 80</w:t>
            </w:r>
          </w:p>
          <w:p w:rsidR="00412AFB" w:rsidRPr="00993936" w:rsidRDefault="00412AFB" w:rsidP="00C8678E">
            <w:pPr>
              <w:jc w:val="center"/>
              <w:rPr>
                <w:rFonts w:ascii="Arial" w:hAnsi="Arial" w:cs="Arial"/>
                <w:lang w:val="es-ES"/>
              </w:rPr>
            </w:pPr>
            <w:r w:rsidRPr="00993936">
              <w:rPr>
                <w:rFonts w:ascii="Arial" w:hAnsi="Arial" w:cs="Arial"/>
                <w:lang w:val="es-ES"/>
              </w:rPr>
              <w:t>50 – 100</w:t>
            </w:r>
          </w:p>
          <w:p w:rsidR="00412AFB" w:rsidRPr="00993936" w:rsidRDefault="00412AFB" w:rsidP="00C8678E">
            <w:pPr>
              <w:jc w:val="center"/>
              <w:rPr>
                <w:rFonts w:ascii="Arial" w:hAnsi="Arial" w:cs="Arial"/>
                <w:lang w:val="es-ES"/>
              </w:rPr>
            </w:pPr>
            <w:r w:rsidRPr="00993936">
              <w:rPr>
                <w:rFonts w:ascii="Arial" w:hAnsi="Arial" w:cs="Arial"/>
                <w:lang w:val="es-ES"/>
              </w:rPr>
              <w:t xml:space="preserve">20 – 50 </w:t>
            </w:r>
          </w:p>
          <w:p w:rsidR="00412AFB" w:rsidRPr="00993936" w:rsidRDefault="00412AFB" w:rsidP="00C8678E">
            <w:pPr>
              <w:jc w:val="center"/>
              <w:rPr>
                <w:rFonts w:ascii="Arial" w:hAnsi="Arial" w:cs="Arial"/>
                <w:lang w:val="es-ES"/>
              </w:rPr>
            </w:pPr>
            <w:r w:rsidRPr="00993936">
              <w:rPr>
                <w:rFonts w:ascii="Arial" w:hAnsi="Arial" w:cs="Arial"/>
                <w:lang w:val="es-ES"/>
              </w:rPr>
              <w:t>30 – 50</w:t>
            </w:r>
          </w:p>
          <w:p w:rsidR="00412AFB" w:rsidRPr="00993936" w:rsidRDefault="00412AFB" w:rsidP="00C8678E">
            <w:pPr>
              <w:jc w:val="center"/>
              <w:rPr>
                <w:rFonts w:ascii="Arial" w:hAnsi="Arial" w:cs="Arial"/>
                <w:lang w:val="es-ES"/>
              </w:rPr>
            </w:pPr>
            <w:r w:rsidRPr="00993936">
              <w:rPr>
                <w:rFonts w:ascii="Arial" w:hAnsi="Arial" w:cs="Arial"/>
                <w:lang w:val="es-ES"/>
              </w:rPr>
              <w:t>&gt; 500</w:t>
            </w:r>
          </w:p>
        </w:tc>
        <w:tc>
          <w:tcPr>
            <w:tcW w:w="1134" w:type="dxa"/>
            <w:shd w:val="clear" w:color="auto" w:fill="FFFFFF"/>
          </w:tcPr>
          <w:p w:rsidR="00412AFB" w:rsidRPr="00993936" w:rsidRDefault="00412AFB" w:rsidP="00C8678E">
            <w:pPr>
              <w:jc w:val="center"/>
              <w:rPr>
                <w:rFonts w:ascii="Arial" w:hAnsi="Arial" w:cs="Arial"/>
                <w:lang w:val="es-ES"/>
              </w:rPr>
            </w:pPr>
            <w:r w:rsidRPr="00993936">
              <w:rPr>
                <w:rFonts w:ascii="Arial" w:hAnsi="Arial" w:cs="Arial"/>
                <w:lang w:val="es-ES"/>
              </w:rPr>
              <w:t>&gt; 3,00</w:t>
            </w:r>
          </w:p>
          <w:p w:rsidR="00412AFB" w:rsidRPr="00993936" w:rsidRDefault="00412AFB" w:rsidP="00C8678E">
            <w:pPr>
              <w:jc w:val="center"/>
              <w:rPr>
                <w:rFonts w:ascii="Arial" w:hAnsi="Arial" w:cs="Arial"/>
                <w:lang w:val="es-ES"/>
              </w:rPr>
            </w:pPr>
            <w:r w:rsidRPr="00993936">
              <w:rPr>
                <w:rFonts w:ascii="Arial" w:hAnsi="Arial" w:cs="Arial"/>
                <w:lang w:val="es-ES"/>
              </w:rPr>
              <w:t>-</w:t>
            </w:r>
          </w:p>
          <w:p w:rsidR="00412AFB" w:rsidRPr="00993936" w:rsidRDefault="00412AFB" w:rsidP="00C8678E">
            <w:pPr>
              <w:jc w:val="center"/>
              <w:rPr>
                <w:rFonts w:ascii="Arial" w:hAnsi="Arial" w:cs="Arial"/>
                <w:lang w:val="es-ES"/>
              </w:rPr>
            </w:pPr>
            <w:r w:rsidRPr="00993936">
              <w:rPr>
                <w:rFonts w:ascii="Arial" w:hAnsi="Arial" w:cs="Arial"/>
                <w:lang w:val="es-ES"/>
              </w:rPr>
              <w:t>-</w:t>
            </w:r>
          </w:p>
          <w:p w:rsidR="00412AFB" w:rsidRPr="00993936" w:rsidRDefault="00412AFB" w:rsidP="00C8678E">
            <w:pPr>
              <w:jc w:val="center"/>
              <w:rPr>
                <w:rFonts w:ascii="Arial" w:hAnsi="Arial" w:cs="Arial"/>
                <w:lang w:val="es-ES"/>
              </w:rPr>
            </w:pPr>
            <w:r w:rsidRPr="00993936">
              <w:rPr>
                <w:rFonts w:ascii="Arial" w:hAnsi="Arial" w:cs="Arial"/>
                <w:lang w:val="es-ES"/>
              </w:rPr>
              <w:t>&gt; 2,20</w:t>
            </w:r>
          </w:p>
          <w:p w:rsidR="00412AFB" w:rsidRPr="00993936" w:rsidRDefault="00412AFB" w:rsidP="00C8678E">
            <w:pPr>
              <w:jc w:val="center"/>
              <w:rPr>
                <w:rFonts w:ascii="Arial" w:hAnsi="Arial" w:cs="Arial"/>
                <w:lang w:val="es-ES"/>
              </w:rPr>
            </w:pPr>
            <w:r w:rsidRPr="00993936">
              <w:rPr>
                <w:rFonts w:ascii="Arial" w:hAnsi="Arial" w:cs="Arial"/>
                <w:lang w:val="es-ES"/>
              </w:rPr>
              <w:t>&gt; 0,45</w:t>
            </w:r>
          </w:p>
          <w:p w:rsidR="00412AFB" w:rsidRPr="00993936" w:rsidRDefault="00412AFB" w:rsidP="00C8678E">
            <w:pPr>
              <w:jc w:val="center"/>
              <w:rPr>
                <w:rFonts w:ascii="Arial" w:hAnsi="Arial" w:cs="Arial"/>
                <w:lang w:val="es-ES"/>
              </w:rPr>
            </w:pPr>
            <w:r w:rsidRPr="00993936">
              <w:rPr>
                <w:rFonts w:ascii="Arial" w:hAnsi="Arial" w:cs="Arial"/>
                <w:lang w:val="es-ES"/>
              </w:rPr>
              <w:t>&gt; 0,40</w:t>
            </w:r>
          </w:p>
          <w:p w:rsidR="00412AFB" w:rsidRPr="00993936" w:rsidRDefault="00412AFB" w:rsidP="00C8678E">
            <w:pPr>
              <w:jc w:val="center"/>
              <w:rPr>
                <w:rFonts w:ascii="Arial" w:hAnsi="Arial" w:cs="Arial"/>
                <w:lang w:val="es-ES"/>
              </w:rPr>
            </w:pPr>
            <w:r w:rsidRPr="00993936">
              <w:rPr>
                <w:rFonts w:ascii="Arial" w:hAnsi="Arial" w:cs="Arial"/>
                <w:lang w:val="es-ES"/>
              </w:rPr>
              <w:t>-</w:t>
            </w:r>
          </w:p>
          <w:p w:rsidR="00412AFB" w:rsidRPr="00993936" w:rsidRDefault="00412AFB" w:rsidP="00C8678E">
            <w:pPr>
              <w:jc w:val="center"/>
              <w:rPr>
                <w:rFonts w:ascii="Arial" w:hAnsi="Arial" w:cs="Arial"/>
                <w:lang w:val="es-ES"/>
              </w:rPr>
            </w:pPr>
            <w:r w:rsidRPr="00993936">
              <w:rPr>
                <w:rFonts w:ascii="Arial" w:hAnsi="Arial" w:cs="Arial"/>
                <w:lang w:val="es-ES"/>
              </w:rPr>
              <w:t>80-200</w:t>
            </w:r>
          </w:p>
          <w:p w:rsidR="00412AFB" w:rsidRPr="00993936" w:rsidRDefault="00412AFB" w:rsidP="00C8678E">
            <w:pPr>
              <w:jc w:val="center"/>
              <w:rPr>
                <w:rFonts w:ascii="Arial" w:hAnsi="Arial" w:cs="Arial"/>
                <w:lang w:val="es-ES"/>
              </w:rPr>
            </w:pPr>
            <w:r w:rsidRPr="00993936">
              <w:rPr>
                <w:rFonts w:ascii="Arial" w:hAnsi="Arial" w:cs="Arial"/>
                <w:lang w:val="es-ES"/>
              </w:rPr>
              <w:t>100 – 200</w:t>
            </w:r>
          </w:p>
          <w:p w:rsidR="00412AFB" w:rsidRPr="00993936" w:rsidRDefault="00412AFB" w:rsidP="00C8678E">
            <w:pPr>
              <w:jc w:val="center"/>
              <w:rPr>
                <w:rFonts w:ascii="Arial" w:hAnsi="Arial" w:cs="Arial"/>
                <w:lang w:val="es-ES"/>
              </w:rPr>
            </w:pPr>
            <w:r w:rsidRPr="00993936">
              <w:rPr>
                <w:rFonts w:ascii="Arial" w:hAnsi="Arial" w:cs="Arial"/>
                <w:lang w:val="es-ES"/>
              </w:rPr>
              <w:t>50 – 100</w:t>
            </w:r>
          </w:p>
          <w:p w:rsidR="00412AFB" w:rsidRPr="00993936" w:rsidRDefault="00412AFB" w:rsidP="00C8678E">
            <w:pPr>
              <w:jc w:val="center"/>
              <w:rPr>
                <w:rFonts w:ascii="Arial" w:hAnsi="Arial" w:cs="Arial"/>
                <w:lang w:val="es-ES"/>
              </w:rPr>
            </w:pPr>
            <w:r w:rsidRPr="00993936">
              <w:rPr>
                <w:rFonts w:ascii="Arial" w:hAnsi="Arial" w:cs="Arial"/>
                <w:lang w:val="es-ES"/>
              </w:rPr>
              <w:t>&gt; 50</w:t>
            </w:r>
          </w:p>
        </w:tc>
      </w:tr>
    </w:tbl>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p>
    <w:p w:rsidR="009D1A2D" w:rsidRPr="00993936" w:rsidRDefault="009D1A2D">
      <w:pPr>
        <w:rPr>
          <w:rFonts w:ascii="Arial" w:hAnsi="Arial" w:cs="Arial"/>
          <w:b/>
          <w:lang w:val="es-ES"/>
        </w:rPr>
      </w:pPr>
      <w:r w:rsidRPr="00993936">
        <w:rPr>
          <w:rFonts w:ascii="Arial" w:hAnsi="Arial" w:cs="Arial"/>
          <w:b/>
          <w:lang w:val="es-ES"/>
        </w:rPr>
        <w:br w:type="page"/>
      </w:r>
    </w:p>
    <w:p w:rsidR="00412AFB" w:rsidRPr="00993936" w:rsidRDefault="00412AFB" w:rsidP="00412AFB">
      <w:pPr>
        <w:jc w:val="both"/>
        <w:rPr>
          <w:rFonts w:ascii="Arial" w:hAnsi="Arial" w:cs="Arial"/>
          <w:b/>
          <w:lang w:val="es-ES"/>
        </w:rPr>
      </w:pPr>
      <w:r w:rsidRPr="00993936">
        <w:rPr>
          <w:rFonts w:ascii="Arial" w:hAnsi="Arial" w:cs="Arial"/>
          <w:b/>
          <w:lang w:val="es-ES"/>
        </w:rPr>
        <w:lastRenderedPageBreak/>
        <w:t>9.2. Peral</w:t>
      </w:r>
    </w:p>
    <w:p w:rsidR="00412AFB" w:rsidRPr="00993936" w:rsidRDefault="00412AFB" w:rsidP="00412AFB">
      <w:pPr>
        <w:rPr>
          <w:rFonts w:ascii="Arial" w:hAnsi="Arial" w:cs="Arial"/>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268"/>
        <w:gridCol w:w="1134"/>
        <w:gridCol w:w="1276"/>
        <w:gridCol w:w="1276"/>
        <w:gridCol w:w="1134"/>
      </w:tblGrid>
      <w:tr w:rsidR="00412AFB" w:rsidRPr="00993936" w:rsidTr="00C8678E">
        <w:tc>
          <w:tcPr>
            <w:tcW w:w="4111" w:type="dxa"/>
            <w:gridSpan w:val="2"/>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Elemento</w:t>
            </w:r>
          </w:p>
        </w:tc>
        <w:tc>
          <w:tcPr>
            <w:tcW w:w="1134" w:type="dxa"/>
            <w:tcBorders>
              <w:bottom w:val="single" w:sz="4" w:space="0" w:color="auto"/>
            </w:tcBorders>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Bajo</w:t>
            </w:r>
          </w:p>
        </w:tc>
        <w:tc>
          <w:tcPr>
            <w:tcW w:w="1276" w:type="dxa"/>
            <w:tcBorders>
              <w:bottom w:val="single" w:sz="4" w:space="0" w:color="auto"/>
            </w:tcBorders>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Normal</w:t>
            </w:r>
          </w:p>
        </w:tc>
        <w:tc>
          <w:tcPr>
            <w:tcW w:w="1276" w:type="dxa"/>
            <w:tcBorders>
              <w:bottom w:val="single" w:sz="4" w:space="0" w:color="auto"/>
            </w:tcBorders>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Alto</w:t>
            </w:r>
          </w:p>
        </w:tc>
        <w:tc>
          <w:tcPr>
            <w:tcW w:w="1134" w:type="dxa"/>
            <w:tcBorders>
              <w:bottom w:val="single" w:sz="4" w:space="0" w:color="auto"/>
            </w:tcBorders>
            <w:shd w:val="pct12" w:color="auto" w:fill="FFFFFF"/>
          </w:tcPr>
          <w:p w:rsidR="00412AFB" w:rsidRPr="00993936" w:rsidRDefault="00412AFB" w:rsidP="00C8678E">
            <w:pPr>
              <w:jc w:val="center"/>
              <w:rPr>
                <w:rFonts w:ascii="Arial" w:hAnsi="Arial" w:cs="Arial"/>
                <w:b/>
                <w:lang w:val="es-ES"/>
              </w:rPr>
            </w:pPr>
            <w:r w:rsidRPr="00993936">
              <w:rPr>
                <w:rFonts w:ascii="Arial" w:hAnsi="Arial" w:cs="Arial"/>
                <w:b/>
                <w:lang w:val="es-ES"/>
              </w:rPr>
              <w:t>Muy alto</w:t>
            </w:r>
          </w:p>
        </w:tc>
      </w:tr>
      <w:tr w:rsidR="00412AFB" w:rsidRPr="00993936" w:rsidTr="00C8678E">
        <w:trPr>
          <w:cantSplit/>
        </w:trPr>
        <w:tc>
          <w:tcPr>
            <w:tcW w:w="1843" w:type="dxa"/>
          </w:tcPr>
          <w:p w:rsidR="00412AFB" w:rsidRPr="00993936" w:rsidRDefault="00412AFB" w:rsidP="00C8678E">
            <w:pPr>
              <w:jc w:val="both"/>
              <w:rPr>
                <w:rFonts w:ascii="Arial" w:hAnsi="Arial" w:cs="Arial"/>
                <w:lang w:val="es-ES"/>
              </w:rPr>
            </w:pPr>
            <w:r w:rsidRPr="00993936">
              <w:rPr>
                <w:rFonts w:ascii="Arial" w:hAnsi="Arial" w:cs="Arial"/>
                <w:lang w:val="es-ES"/>
              </w:rPr>
              <w:t>Nitrógeno</w:t>
            </w:r>
          </w:p>
          <w:p w:rsidR="00412AFB" w:rsidRPr="00993936" w:rsidRDefault="00412AFB" w:rsidP="00C8678E">
            <w:pPr>
              <w:jc w:val="both"/>
              <w:rPr>
                <w:rFonts w:ascii="Arial" w:hAnsi="Arial" w:cs="Arial"/>
                <w:lang w:val="es-ES"/>
              </w:rPr>
            </w:pPr>
            <w:r w:rsidRPr="00993936">
              <w:rPr>
                <w:rFonts w:ascii="Arial" w:hAnsi="Arial" w:cs="Arial"/>
                <w:lang w:val="es-ES"/>
              </w:rPr>
              <w:t>Fósforo</w:t>
            </w:r>
          </w:p>
          <w:p w:rsidR="00412AFB" w:rsidRPr="00993936" w:rsidRDefault="00412AFB" w:rsidP="00C8678E">
            <w:pPr>
              <w:jc w:val="both"/>
              <w:rPr>
                <w:rFonts w:ascii="Arial" w:hAnsi="Arial" w:cs="Arial"/>
                <w:lang w:val="es-ES"/>
              </w:rPr>
            </w:pPr>
            <w:r w:rsidRPr="00993936">
              <w:rPr>
                <w:rFonts w:ascii="Arial" w:hAnsi="Arial" w:cs="Arial"/>
                <w:lang w:val="es-ES"/>
              </w:rPr>
              <w:t>Potasio</w:t>
            </w:r>
          </w:p>
          <w:p w:rsidR="00412AFB" w:rsidRPr="00993936" w:rsidRDefault="00412AFB" w:rsidP="00C8678E">
            <w:pPr>
              <w:jc w:val="both"/>
              <w:rPr>
                <w:rFonts w:ascii="Arial" w:hAnsi="Arial" w:cs="Arial"/>
                <w:lang w:val="es-ES"/>
              </w:rPr>
            </w:pPr>
            <w:r w:rsidRPr="00993936">
              <w:rPr>
                <w:rFonts w:ascii="Arial" w:hAnsi="Arial" w:cs="Arial"/>
                <w:lang w:val="es-ES"/>
              </w:rPr>
              <w:t>Calcio</w:t>
            </w:r>
          </w:p>
          <w:p w:rsidR="00412AFB" w:rsidRPr="00993936" w:rsidRDefault="00412AFB" w:rsidP="00C8678E">
            <w:pPr>
              <w:jc w:val="both"/>
              <w:rPr>
                <w:rFonts w:ascii="Arial" w:hAnsi="Arial" w:cs="Arial"/>
                <w:lang w:val="es-ES"/>
              </w:rPr>
            </w:pPr>
            <w:r w:rsidRPr="00993936">
              <w:rPr>
                <w:rFonts w:ascii="Arial" w:hAnsi="Arial" w:cs="Arial"/>
                <w:lang w:val="es-ES"/>
              </w:rPr>
              <w:t>Magnesio</w:t>
            </w:r>
          </w:p>
          <w:p w:rsidR="00412AFB" w:rsidRPr="00993936" w:rsidRDefault="00412AFB" w:rsidP="00C8678E">
            <w:pPr>
              <w:jc w:val="both"/>
              <w:rPr>
                <w:rFonts w:ascii="Arial" w:hAnsi="Arial" w:cs="Arial"/>
                <w:lang w:val="es-ES"/>
              </w:rPr>
            </w:pPr>
            <w:r w:rsidRPr="00993936">
              <w:rPr>
                <w:rFonts w:ascii="Arial" w:hAnsi="Arial" w:cs="Arial"/>
                <w:lang w:val="es-ES"/>
              </w:rPr>
              <w:t>Azufre</w:t>
            </w:r>
          </w:p>
          <w:p w:rsidR="00412AFB" w:rsidRPr="00993936" w:rsidRDefault="00412AFB" w:rsidP="00C8678E">
            <w:pPr>
              <w:jc w:val="both"/>
              <w:rPr>
                <w:rFonts w:ascii="Arial" w:hAnsi="Arial" w:cs="Arial"/>
                <w:lang w:val="es-ES"/>
              </w:rPr>
            </w:pPr>
            <w:r w:rsidRPr="00993936">
              <w:rPr>
                <w:rFonts w:ascii="Arial" w:hAnsi="Arial" w:cs="Arial"/>
                <w:lang w:val="es-ES"/>
              </w:rPr>
              <w:t>Hierro</w:t>
            </w:r>
          </w:p>
          <w:p w:rsidR="00412AFB" w:rsidRPr="00993936" w:rsidRDefault="00412AFB" w:rsidP="00C8678E">
            <w:pPr>
              <w:jc w:val="both"/>
              <w:rPr>
                <w:rFonts w:ascii="Arial" w:hAnsi="Arial" w:cs="Arial"/>
                <w:lang w:val="es-ES"/>
              </w:rPr>
            </w:pPr>
            <w:r w:rsidRPr="00993936">
              <w:rPr>
                <w:rFonts w:ascii="Arial" w:hAnsi="Arial" w:cs="Arial"/>
                <w:lang w:val="es-ES"/>
              </w:rPr>
              <w:t>Manganeso</w:t>
            </w:r>
          </w:p>
          <w:p w:rsidR="00412AFB" w:rsidRPr="00993936" w:rsidRDefault="00412AFB" w:rsidP="00C8678E">
            <w:pPr>
              <w:jc w:val="both"/>
              <w:rPr>
                <w:rFonts w:ascii="Arial" w:hAnsi="Arial" w:cs="Arial"/>
                <w:lang w:val="es-ES"/>
              </w:rPr>
            </w:pPr>
            <w:r w:rsidRPr="00993936">
              <w:rPr>
                <w:rFonts w:ascii="Arial" w:hAnsi="Arial" w:cs="Arial"/>
                <w:lang w:val="es-ES"/>
              </w:rPr>
              <w:t>Zinc</w:t>
            </w:r>
          </w:p>
          <w:p w:rsidR="00412AFB" w:rsidRPr="00993936" w:rsidRDefault="00412AFB" w:rsidP="00C8678E">
            <w:pPr>
              <w:jc w:val="both"/>
              <w:rPr>
                <w:rFonts w:ascii="Arial" w:hAnsi="Arial" w:cs="Arial"/>
                <w:lang w:val="es-ES"/>
              </w:rPr>
            </w:pPr>
            <w:r w:rsidRPr="00993936">
              <w:rPr>
                <w:rFonts w:ascii="Arial" w:hAnsi="Arial" w:cs="Arial"/>
                <w:lang w:val="es-ES"/>
              </w:rPr>
              <w:t>Cobre</w:t>
            </w:r>
          </w:p>
          <w:p w:rsidR="00412AFB" w:rsidRPr="00993936" w:rsidRDefault="00412AFB" w:rsidP="00C8678E">
            <w:pPr>
              <w:jc w:val="both"/>
              <w:rPr>
                <w:rFonts w:ascii="Arial" w:hAnsi="Arial" w:cs="Arial"/>
                <w:lang w:val="es-ES"/>
              </w:rPr>
            </w:pPr>
            <w:r w:rsidRPr="00993936">
              <w:rPr>
                <w:rFonts w:ascii="Arial" w:hAnsi="Arial" w:cs="Arial"/>
                <w:lang w:val="es-ES"/>
              </w:rPr>
              <w:t>Boro</w:t>
            </w:r>
          </w:p>
          <w:p w:rsidR="00412AFB" w:rsidRPr="00993936" w:rsidRDefault="00412AFB" w:rsidP="00C8678E">
            <w:pPr>
              <w:jc w:val="both"/>
              <w:rPr>
                <w:rFonts w:ascii="Arial" w:hAnsi="Arial" w:cs="Arial"/>
                <w:lang w:val="es-ES"/>
              </w:rPr>
            </w:pPr>
            <w:r w:rsidRPr="00993936">
              <w:rPr>
                <w:rFonts w:ascii="Arial" w:hAnsi="Arial" w:cs="Arial"/>
                <w:lang w:val="es-ES"/>
              </w:rPr>
              <w:t>Sodio</w:t>
            </w:r>
          </w:p>
          <w:p w:rsidR="00412AFB" w:rsidRPr="00993936" w:rsidRDefault="00412AFB" w:rsidP="00C8678E">
            <w:pPr>
              <w:jc w:val="both"/>
              <w:rPr>
                <w:rFonts w:ascii="Arial" w:hAnsi="Arial" w:cs="Arial"/>
                <w:lang w:val="es-ES"/>
              </w:rPr>
            </w:pPr>
          </w:p>
        </w:tc>
        <w:tc>
          <w:tcPr>
            <w:tcW w:w="2268" w:type="dxa"/>
          </w:tcPr>
          <w:p w:rsidR="00412AFB" w:rsidRPr="00993936" w:rsidRDefault="00412AFB" w:rsidP="00C8678E">
            <w:pPr>
              <w:jc w:val="both"/>
              <w:rPr>
                <w:rFonts w:ascii="Arial" w:hAnsi="Arial" w:cs="Arial"/>
                <w:lang w:val="es-ES"/>
              </w:rPr>
            </w:pPr>
            <w:r w:rsidRPr="00993936">
              <w:rPr>
                <w:rFonts w:ascii="Arial" w:hAnsi="Arial" w:cs="Arial"/>
                <w:lang w:val="es-ES"/>
              </w:rPr>
              <w:t>N (%)</w:t>
            </w:r>
          </w:p>
          <w:p w:rsidR="00412AFB" w:rsidRPr="00993936" w:rsidRDefault="00412AFB" w:rsidP="00C8678E">
            <w:pPr>
              <w:jc w:val="both"/>
              <w:rPr>
                <w:rFonts w:ascii="Arial" w:hAnsi="Arial" w:cs="Arial"/>
                <w:lang w:val="es-ES"/>
              </w:rPr>
            </w:pPr>
            <w:r w:rsidRPr="00993936">
              <w:rPr>
                <w:rFonts w:ascii="Arial" w:hAnsi="Arial" w:cs="Arial"/>
                <w:lang w:val="es-ES"/>
              </w:rPr>
              <w:t>P (%)</w:t>
            </w:r>
          </w:p>
          <w:p w:rsidR="00412AFB" w:rsidRPr="00993936" w:rsidRDefault="00412AFB" w:rsidP="00C8678E">
            <w:pPr>
              <w:jc w:val="both"/>
              <w:rPr>
                <w:rFonts w:ascii="Arial" w:hAnsi="Arial" w:cs="Arial"/>
                <w:lang w:val="es-ES"/>
              </w:rPr>
            </w:pPr>
            <w:r w:rsidRPr="00993936">
              <w:rPr>
                <w:rFonts w:ascii="Arial" w:hAnsi="Arial" w:cs="Arial"/>
                <w:lang w:val="es-ES"/>
              </w:rPr>
              <w:t>K (%)</w:t>
            </w:r>
          </w:p>
          <w:p w:rsidR="00412AFB" w:rsidRPr="00993936" w:rsidRDefault="00412AFB" w:rsidP="00C8678E">
            <w:pPr>
              <w:jc w:val="both"/>
              <w:rPr>
                <w:rFonts w:ascii="Arial" w:hAnsi="Arial" w:cs="Arial"/>
                <w:lang w:val="es-ES"/>
              </w:rPr>
            </w:pPr>
            <w:r w:rsidRPr="00993936">
              <w:rPr>
                <w:rFonts w:ascii="Arial" w:hAnsi="Arial" w:cs="Arial"/>
                <w:lang w:val="es-ES"/>
              </w:rPr>
              <w:t>Ca (%)</w:t>
            </w:r>
          </w:p>
          <w:p w:rsidR="00412AFB" w:rsidRPr="00993936" w:rsidRDefault="00412AFB" w:rsidP="00C8678E">
            <w:pPr>
              <w:pStyle w:val="Textoindependiente"/>
              <w:rPr>
                <w:rFonts w:cs="Arial"/>
                <w:szCs w:val="22"/>
                <w:lang w:val="es-ES"/>
              </w:rPr>
            </w:pPr>
            <w:r w:rsidRPr="00993936">
              <w:rPr>
                <w:rFonts w:cs="Arial"/>
                <w:szCs w:val="22"/>
                <w:lang w:val="es-ES"/>
              </w:rPr>
              <w:t>Mg (%)</w:t>
            </w:r>
          </w:p>
          <w:p w:rsidR="00412AFB" w:rsidRPr="00993936" w:rsidRDefault="00412AFB" w:rsidP="00C8678E">
            <w:pPr>
              <w:pStyle w:val="Textoindependiente"/>
              <w:rPr>
                <w:rFonts w:cs="Arial"/>
                <w:szCs w:val="22"/>
                <w:lang w:val="es-ES"/>
              </w:rPr>
            </w:pPr>
            <w:r w:rsidRPr="00993936">
              <w:rPr>
                <w:rFonts w:cs="Arial"/>
                <w:szCs w:val="22"/>
                <w:lang w:val="es-ES"/>
              </w:rPr>
              <w:t>S (%)</w:t>
            </w:r>
          </w:p>
          <w:p w:rsidR="00412AFB" w:rsidRPr="00993936" w:rsidRDefault="00412AFB" w:rsidP="00C8678E">
            <w:pPr>
              <w:jc w:val="both"/>
              <w:rPr>
                <w:rFonts w:ascii="Arial" w:hAnsi="Arial" w:cs="Arial"/>
                <w:lang w:val="es-ES"/>
              </w:rPr>
            </w:pPr>
            <w:r w:rsidRPr="00993936">
              <w:rPr>
                <w:rFonts w:ascii="Arial" w:hAnsi="Arial" w:cs="Arial"/>
                <w:lang w:val="es-ES"/>
              </w:rPr>
              <w:t>Fe (ppm)</w:t>
            </w:r>
          </w:p>
          <w:p w:rsidR="00412AFB" w:rsidRPr="00993936" w:rsidRDefault="00412AFB" w:rsidP="00C8678E">
            <w:pPr>
              <w:jc w:val="both"/>
              <w:rPr>
                <w:rFonts w:ascii="Arial" w:hAnsi="Arial" w:cs="Arial"/>
                <w:lang w:val="es-ES"/>
              </w:rPr>
            </w:pPr>
            <w:r w:rsidRPr="00993936">
              <w:rPr>
                <w:rFonts w:ascii="Arial" w:hAnsi="Arial" w:cs="Arial"/>
                <w:lang w:val="es-ES"/>
              </w:rPr>
              <w:t>Mn (ppm)</w:t>
            </w:r>
          </w:p>
          <w:p w:rsidR="00412AFB" w:rsidRPr="00993936" w:rsidRDefault="00412AFB" w:rsidP="00C8678E">
            <w:pPr>
              <w:jc w:val="both"/>
              <w:rPr>
                <w:rFonts w:ascii="Arial" w:hAnsi="Arial" w:cs="Arial"/>
                <w:lang w:val="es-ES"/>
              </w:rPr>
            </w:pPr>
            <w:r w:rsidRPr="00993936">
              <w:rPr>
                <w:rFonts w:ascii="Arial" w:hAnsi="Arial" w:cs="Arial"/>
                <w:lang w:val="es-ES"/>
              </w:rPr>
              <w:t>Zn (ppm)</w:t>
            </w:r>
          </w:p>
          <w:p w:rsidR="00412AFB" w:rsidRPr="00993936" w:rsidRDefault="00412AFB" w:rsidP="00C8678E">
            <w:pPr>
              <w:jc w:val="both"/>
              <w:rPr>
                <w:rFonts w:ascii="Arial" w:hAnsi="Arial" w:cs="Arial"/>
                <w:lang w:val="es-ES"/>
              </w:rPr>
            </w:pPr>
            <w:r w:rsidRPr="00993936">
              <w:rPr>
                <w:rFonts w:ascii="Arial" w:hAnsi="Arial" w:cs="Arial"/>
                <w:lang w:val="es-ES"/>
              </w:rPr>
              <w:t>Cu (ppm)</w:t>
            </w:r>
          </w:p>
          <w:p w:rsidR="00412AFB" w:rsidRPr="00993936" w:rsidRDefault="00412AFB" w:rsidP="00C8678E">
            <w:pPr>
              <w:jc w:val="both"/>
              <w:rPr>
                <w:rFonts w:ascii="Arial" w:hAnsi="Arial" w:cs="Arial"/>
                <w:lang w:val="es-ES"/>
              </w:rPr>
            </w:pPr>
            <w:r w:rsidRPr="00993936">
              <w:rPr>
                <w:rFonts w:ascii="Arial" w:hAnsi="Arial" w:cs="Arial"/>
                <w:lang w:val="es-ES"/>
              </w:rPr>
              <w:t>B (ppm)</w:t>
            </w:r>
          </w:p>
          <w:p w:rsidR="00412AFB" w:rsidRPr="00993936" w:rsidRDefault="00412AFB" w:rsidP="00C8678E">
            <w:pPr>
              <w:jc w:val="both"/>
              <w:rPr>
                <w:rFonts w:ascii="Arial" w:hAnsi="Arial" w:cs="Arial"/>
                <w:lang w:val="es-ES"/>
              </w:rPr>
            </w:pPr>
            <w:r w:rsidRPr="00993936">
              <w:rPr>
                <w:rFonts w:ascii="Arial" w:hAnsi="Arial" w:cs="Arial"/>
                <w:lang w:val="es-ES"/>
              </w:rPr>
              <w:t>Na (ppm)</w:t>
            </w:r>
          </w:p>
        </w:tc>
        <w:tc>
          <w:tcPr>
            <w:tcW w:w="1134" w:type="dxa"/>
            <w:shd w:val="clear" w:color="auto" w:fill="FFFFFF"/>
          </w:tcPr>
          <w:p w:rsidR="00412AFB" w:rsidRPr="00993936" w:rsidRDefault="00412AFB" w:rsidP="00C8678E">
            <w:pPr>
              <w:jc w:val="center"/>
              <w:rPr>
                <w:rFonts w:ascii="Arial" w:hAnsi="Arial" w:cs="Arial"/>
                <w:lang w:val="es-ES"/>
              </w:rPr>
            </w:pPr>
            <w:r w:rsidRPr="00993936">
              <w:rPr>
                <w:rFonts w:ascii="Arial" w:hAnsi="Arial" w:cs="Arial"/>
                <w:lang w:val="es-ES"/>
              </w:rPr>
              <w:t>&lt; 1,90</w:t>
            </w:r>
          </w:p>
          <w:p w:rsidR="00412AFB" w:rsidRPr="00993936" w:rsidRDefault="00412AFB" w:rsidP="00C8678E">
            <w:pPr>
              <w:jc w:val="center"/>
              <w:rPr>
                <w:rFonts w:ascii="Arial" w:hAnsi="Arial" w:cs="Arial"/>
                <w:lang w:val="es-ES"/>
              </w:rPr>
            </w:pPr>
            <w:r w:rsidRPr="00993936">
              <w:rPr>
                <w:rFonts w:ascii="Arial" w:hAnsi="Arial" w:cs="Arial"/>
                <w:lang w:val="es-ES"/>
              </w:rPr>
              <w:t>&lt; 0,11</w:t>
            </w:r>
          </w:p>
          <w:p w:rsidR="00412AFB" w:rsidRPr="00993936" w:rsidRDefault="00412AFB" w:rsidP="00C8678E">
            <w:pPr>
              <w:jc w:val="center"/>
              <w:rPr>
                <w:rFonts w:ascii="Arial" w:hAnsi="Arial" w:cs="Arial"/>
                <w:lang w:val="es-ES"/>
              </w:rPr>
            </w:pPr>
            <w:r w:rsidRPr="00993936">
              <w:rPr>
                <w:rFonts w:ascii="Arial" w:hAnsi="Arial" w:cs="Arial"/>
                <w:lang w:val="es-ES"/>
              </w:rPr>
              <w:t>&lt; 1,00</w:t>
            </w:r>
          </w:p>
          <w:p w:rsidR="00412AFB" w:rsidRPr="00993936" w:rsidRDefault="00412AFB" w:rsidP="00C8678E">
            <w:pPr>
              <w:jc w:val="center"/>
              <w:rPr>
                <w:rFonts w:ascii="Arial" w:hAnsi="Arial" w:cs="Arial"/>
                <w:lang w:val="es-ES"/>
              </w:rPr>
            </w:pPr>
            <w:r w:rsidRPr="00993936">
              <w:rPr>
                <w:rFonts w:ascii="Arial" w:hAnsi="Arial" w:cs="Arial"/>
                <w:lang w:val="es-ES"/>
              </w:rPr>
              <w:t>&lt; 1,00</w:t>
            </w:r>
          </w:p>
          <w:p w:rsidR="00412AFB" w:rsidRPr="00993936" w:rsidRDefault="00412AFB" w:rsidP="00C8678E">
            <w:pPr>
              <w:jc w:val="center"/>
              <w:rPr>
                <w:rFonts w:ascii="Arial" w:hAnsi="Arial" w:cs="Arial"/>
                <w:lang w:val="es-ES"/>
              </w:rPr>
            </w:pPr>
            <w:r w:rsidRPr="00993936">
              <w:rPr>
                <w:rFonts w:ascii="Arial" w:hAnsi="Arial" w:cs="Arial"/>
                <w:lang w:val="es-ES"/>
              </w:rPr>
              <w:t>&lt; 0,20</w:t>
            </w:r>
          </w:p>
          <w:p w:rsidR="00412AFB" w:rsidRPr="00993936" w:rsidRDefault="00412AFB" w:rsidP="00C8678E">
            <w:pPr>
              <w:jc w:val="center"/>
              <w:rPr>
                <w:rFonts w:ascii="Arial" w:hAnsi="Arial" w:cs="Arial"/>
                <w:lang w:val="es-ES"/>
              </w:rPr>
            </w:pPr>
            <w:r w:rsidRPr="00993936">
              <w:rPr>
                <w:rFonts w:ascii="Arial" w:hAnsi="Arial" w:cs="Arial"/>
                <w:lang w:val="es-ES"/>
              </w:rPr>
              <w:t>&lt; 0,10</w:t>
            </w:r>
          </w:p>
          <w:p w:rsidR="00412AFB" w:rsidRPr="00993936" w:rsidRDefault="00412AFB" w:rsidP="00C8678E">
            <w:pPr>
              <w:jc w:val="center"/>
              <w:rPr>
                <w:rFonts w:ascii="Arial" w:hAnsi="Arial" w:cs="Arial"/>
                <w:lang w:val="es-ES"/>
              </w:rPr>
            </w:pPr>
            <w:r w:rsidRPr="00993936">
              <w:rPr>
                <w:rFonts w:ascii="Arial" w:hAnsi="Arial" w:cs="Arial"/>
                <w:lang w:val="es-ES"/>
              </w:rPr>
              <w:t>&lt; 40</w:t>
            </w:r>
          </w:p>
          <w:p w:rsidR="00412AFB" w:rsidRPr="00993936" w:rsidRDefault="00412AFB" w:rsidP="00C8678E">
            <w:pPr>
              <w:jc w:val="center"/>
              <w:rPr>
                <w:rFonts w:ascii="Arial" w:hAnsi="Arial" w:cs="Arial"/>
                <w:lang w:val="es-ES"/>
              </w:rPr>
            </w:pPr>
            <w:r w:rsidRPr="00993936">
              <w:rPr>
                <w:rFonts w:ascii="Arial" w:hAnsi="Arial" w:cs="Arial"/>
                <w:lang w:val="es-ES"/>
              </w:rPr>
              <w:t>&lt; 20</w:t>
            </w:r>
          </w:p>
          <w:p w:rsidR="00412AFB" w:rsidRPr="00993936" w:rsidRDefault="00412AFB" w:rsidP="00C8678E">
            <w:pPr>
              <w:jc w:val="center"/>
              <w:rPr>
                <w:rFonts w:ascii="Arial" w:hAnsi="Arial" w:cs="Arial"/>
                <w:lang w:val="es-ES"/>
              </w:rPr>
            </w:pPr>
            <w:r w:rsidRPr="00993936">
              <w:rPr>
                <w:rFonts w:ascii="Arial" w:hAnsi="Arial" w:cs="Arial"/>
                <w:lang w:val="es-ES"/>
              </w:rPr>
              <w:t>&lt; 12</w:t>
            </w:r>
          </w:p>
          <w:p w:rsidR="00412AFB" w:rsidRPr="00993936" w:rsidRDefault="00412AFB" w:rsidP="00C8678E">
            <w:pPr>
              <w:jc w:val="center"/>
              <w:rPr>
                <w:rFonts w:ascii="Arial" w:hAnsi="Arial" w:cs="Arial"/>
                <w:lang w:val="es-ES"/>
              </w:rPr>
            </w:pPr>
            <w:r w:rsidRPr="00993936">
              <w:rPr>
                <w:rFonts w:ascii="Arial" w:hAnsi="Arial" w:cs="Arial"/>
                <w:lang w:val="es-ES"/>
              </w:rPr>
              <w:t>&lt; 5</w:t>
            </w:r>
          </w:p>
          <w:p w:rsidR="00412AFB" w:rsidRPr="00993936" w:rsidRDefault="00412AFB" w:rsidP="00C8678E">
            <w:pPr>
              <w:jc w:val="center"/>
              <w:rPr>
                <w:rFonts w:ascii="Arial" w:hAnsi="Arial" w:cs="Arial"/>
                <w:lang w:val="es-ES"/>
              </w:rPr>
            </w:pPr>
            <w:r w:rsidRPr="00993936">
              <w:rPr>
                <w:rFonts w:ascii="Arial" w:hAnsi="Arial" w:cs="Arial"/>
                <w:lang w:val="es-ES"/>
              </w:rPr>
              <w:t>&lt; 15</w:t>
            </w:r>
          </w:p>
          <w:p w:rsidR="00412AFB" w:rsidRPr="00993936" w:rsidRDefault="00412AFB" w:rsidP="00C8678E">
            <w:pPr>
              <w:jc w:val="center"/>
              <w:rPr>
                <w:rFonts w:ascii="Arial" w:hAnsi="Arial" w:cs="Arial"/>
                <w:lang w:val="es-ES"/>
              </w:rPr>
            </w:pPr>
            <w:r w:rsidRPr="00993936">
              <w:rPr>
                <w:rFonts w:ascii="Arial" w:hAnsi="Arial" w:cs="Arial"/>
                <w:lang w:val="es-ES"/>
              </w:rPr>
              <w:t>-</w:t>
            </w:r>
          </w:p>
        </w:tc>
        <w:tc>
          <w:tcPr>
            <w:tcW w:w="1276" w:type="dxa"/>
            <w:shd w:val="clear" w:color="auto" w:fill="FFFFFF"/>
          </w:tcPr>
          <w:p w:rsidR="00412AFB" w:rsidRPr="00993936" w:rsidRDefault="00412AFB" w:rsidP="00C8678E">
            <w:pPr>
              <w:jc w:val="center"/>
              <w:rPr>
                <w:rFonts w:ascii="Arial" w:hAnsi="Arial" w:cs="Arial"/>
                <w:lang w:val="es-ES"/>
              </w:rPr>
            </w:pPr>
            <w:r w:rsidRPr="00993936">
              <w:rPr>
                <w:rFonts w:ascii="Arial" w:hAnsi="Arial" w:cs="Arial"/>
                <w:lang w:val="es-ES"/>
              </w:rPr>
              <w:t>1,90 – 2,50</w:t>
            </w:r>
          </w:p>
          <w:p w:rsidR="00412AFB" w:rsidRPr="00993936" w:rsidRDefault="00412AFB" w:rsidP="00C8678E">
            <w:pPr>
              <w:jc w:val="center"/>
              <w:rPr>
                <w:rFonts w:ascii="Arial" w:hAnsi="Arial" w:cs="Arial"/>
                <w:lang w:val="es-ES"/>
              </w:rPr>
            </w:pPr>
            <w:r w:rsidRPr="00993936">
              <w:rPr>
                <w:rFonts w:ascii="Arial" w:hAnsi="Arial" w:cs="Arial"/>
                <w:lang w:val="es-ES"/>
              </w:rPr>
              <w:t>0,11 – 0,20</w:t>
            </w:r>
          </w:p>
          <w:p w:rsidR="00412AFB" w:rsidRPr="00993936" w:rsidRDefault="00412AFB" w:rsidP="00C8678E">
            <w:pPr>
              <w:jc w:val="center"/>
              <w:rPr>
                <w:rFonts w:ascii="Arial" w:hAnsi="Arial" w:cs="Arial"/>
                <w:lang w:val="es-ES"/>
              </w:rPr>
            </w:pPr>
            <w:r w:rsidRPr="00993936">
              <w:rPr>
                <w:rFonts w:ascii="Arial" w:hAnsi="Arial" w:cs="Arial"/>
                <w:lang w:val="es-ES"/>
              </w:rPr>
              <w:t>1,00 – 1,80</w:t>
            </w:r>
          </w:p>
          <w:p w:rsidR="00412AFB" w:rsidRPr="00993936" w:rsidRDefault="00E03B3B" w:rsidP="00C8678E">
            <w:pPr>
              <w:rPr>
                <w:rFonts w:ascii="Arial" w:hAnsi="Arial" w:cs="Arial"/>
                <w:lang w:val="es-ES"/>
              </w:rPr>
            </w:pPr>
            <w:r w:rsidRPr="00993936">
              <w:rPr>
                <w:rFonts w:ascii="Arial" w:hAnsi="Arial" w:cs="Arial"/>
                <w:lang w:val="es-ES"/>
              </w:rPr>
              <w:t xml:space="preserve"> </w:t>
            </w:r>
            <w:r w:rsidR="00412AFB" w:rsidRPr="00993936">
              <w:rPr>
                <w:rFonts w:ascii="Arial" w:hAnsi="Arial" w:cs="Arial"/>
                <w:lang w:val="es-ES"/>
              </w:rPr>
              <w:t>1,00 - 2,20</w:t>
            </w:r>
          </w:p>
          <w:p w:rsidR="00412AFB" w:rsidRPr="00993936" w:rsidRDefault="00412AFB" w:rsidP="00C8678E">
            <w:pPr>
              <w:jc w:val="center"/>
              <w:rPr>
                <w:rFonts w:ascii="Arial" w:hAnsi="Arial" w:cs="Arial"/>
                <w:lang w:val="es-ES"/>
              </w:rPr>
            </w:pPr>
            <w:r w:rsidRPr="00993936">
              <w:rPr>
                <w:rFonts w:ascii="Arial" w:hAnsi="Arial" w:cs="Arial"/>
                <w:lang w:val="es-ES"/>
              </w:rPr>
              <w:t>0,20 – 0,40</w:t>
            </w:r>
          </w:p>
          <w:p w:rsidR="00412AFB" w:rsidRPr="00993936" w:rsidRDefault="00412AFB" w:rsidP="00C8678E">
            <w:pPr>
              <w:jc w:val="center"/>
              <w:rPr>
                <w:rFonts w:ascii="Arial" w:hAnsi="Arial" w:cs="Arial"/>
                <w:lang w:val="es-ES"/>
              </w:rPr>
            </w:pPr>
            <w:r w:rsidRPr="00993936">
              <w:rPr>
                <w:rFonts w:ascii="Arial" w:hAnsi="Arial" w:cs="Arial"/>
                <w:lang w:val="es-ES"/>
              </w:rPr>
              <w:t>0,10 – 0,25</w:t>
            </w:r>
          </w:p>
          <w:p w:rsidR="00412AFB" w:rsidRPr="00993936" w:rsidRDefault="00412AFB" w:rsidP="00C8678E">
            <w:pPr>
              <w:jc w:val="center"/>
              <w:rPr>
                <w:rFonts w:ascii="Arial" w:hAnsi="Arial" w:cs="Arial"/>
                <w:lang w:val="es-ES"/>
              </w:rPr>
            </w:pPr>
            <w:r w:rsidRPr="00993936">
              <w:rPr>
                <w:rFonts w:ascii="Arial" w:hAnsi="Arial" w:cs="Arial"/>
                <w:lang w:val="es-ES"/>
              </w:rPr>
              <w:t>40 – 125</w:t>
            </w:r>
          </w:p>
          <w:p w:rsidR="00412AFB" w:rsidRPr="00993936" w:rsidRDefault="00412AFB" w:rsidP="00C8678E">
            <w:pPr>
              <w:jc w:val="center"/>
              <w:rPr>
                <w:rFonts w:ascii="Arial" w:hAnsi="Arial" w:cs="Arial"/>
                <w:lang w:val="es-ES"/>
              </w:rPr>
            </w:pPr>
            <w:r w:rsidRPr="00993936">
              <w:rPr>
                <w:rFonts w:ascii="Arial" w:hAnsi="Arial" w:cs="Arial"/>
                <w:lang w:val="es-ES"/>
              </w:rPr>
              <w:t>20 – 50</w:t>
            </w:r>
          </w:p>
          <w:p w:rsidR="00412AFB" w:rsidRPr="00993936" w:rsidRDefault="00412AFB" w:rsidP="00C8678E">
            <w:pPr>
              <w:jc w:val="center"/>
              <w:rPr>
                <w:rFonts w:ascii="Arial" w:hAnsi="Arial" w:cs="Arial"/>
                <w:lang w:val="es-ES"/>
              </w:rPr>
            </w:pPr>
            <w:r w:rsidRPr="00993936">
              <w:rPr>
                <w:rFonts w:ascii="Arial" w:hAnsi="Arial" w:cs="Arial"/>
                <w:lang w:val="es-ES"/>
              </w:rPr>
              <w:t xml:space="preserve">12 – 50 </w:t>
            </w:r>
          </w:p>
          <w:p w:rsidR="00412AFB" w:rsidRPr="00993936" w:rsidRDefault="00412AFB" w:rsidP="00C8678E">
            <w:pPr>
              <w:jc w:val="center"/>
              <w:rPr>
                <w:rFonts w:ascii="Arial" w:hAnsi="Arial" w:cs="Arial"/>
                <w:lang w:val="es-ES"/>
              </w:rPr>
            </w:pPr>
            <w:r w:rsidRPr="00993936">
              <w:rPr>
                <w:rFonts w:ascii="Arial" w:hAnsi="Arial" w:cs="Arial"/>
                <w:lang w:val="es-ES"/>
              </w:rPr>
              <w:t xml:space="preserve">5 – 20 </w:t>
            </w:r>
          </w:p>
          <w:p w:rsidR="00412AFB" w:rsidRPr="00993936" w:rsidRDefault="00412AFB" w:rsidP="00C8678E">
            <w:pPr>
              <w:jc w:val="center"/>
              <w:rPr>
                <w:rFonts w:ascii="Arial" w:hAnsi="Arial" w:cs="Arial"/>
                <w:lang w:val="es-ES"/>
              </w:rPr>
            </w:pPr>
            <w:r w:rsidRPr="00993936">
              <w:rPr>
                <w:rFonts w:ascii="Arial" w:hAnsi="Arial" w:cs="Arial"/>
                <w:lang w:val="es-ES"/>
              </w:rPr>
              <w:t xml:space="preserve">15 – 30 </w:t>
            </w:r>
          </w:p>
          <w:p w:rsidR="00412AFB" w:rsidRPr="00993936" w:rsidRDefault="00412AFB" w:rsidP="00C8678E">
            <w:pPr>
              <w:jc w:val="center"/>
              <w:rPr>
                <w:rFonts w:ascii="Arial" w:hAnsi="Arial" w:cs="Arial"/>
                <w:lang w:val="es-ES"/>
              </w:rPr>
            </w:pPr>
            <w:r w:rsidRPr="00993936">
              <w:rPr>
                <w:rFonts w:ascii="Arial" w:hAnsi="Arial" w:cs="Arial"/>
                <w:lang w:val="es-ES"/>
              </w:rPr>
              <w:t>&lt; 500</w:t>
            </w:r>
          </w:p>
        </w:tc>
        <w:tc>
          <w:tcPr>
            <w:tcW w:w="1276" w:type="dxa"/>
            <w:shd w:val="clear" w:color="auto" w:fill="FFFFFF"/>
          </w:tcPr>
          <w:p w:rsidR="00412AFB" w:rsidRPr="00993936" w:rsidRDefault="00412AFB" w:rsidP="00C8678E">
            <w:pPr>
              <w:jc w:val="center"/>
              <w:rPr>
                <w:rFonts w:ascii="Arial" w:hAnsi="Arial" w:cs="Arial"/>
                <w:lang w:val="es-ES"/>
              </w:rPr>
            </w:pPr>
            <w:r w:rsidRPr="00993936">
              <w:rPr>
                <w:rFonts w:ascii="Arial" w:hAnsi="Arial" w:cs="Arial"/>
                <w:lang w:val="es-ES"/>
              </w:rPr>
              <w:t>2,50 - 3,0</w:t>
            </w:r>
          </w:p>
          <w:p w:rsidR="00412AFB" w:rsidRPr="00993936" w:rsidRDefault="00412AFB" w:rsidP="00C8678E">
            <w:pPr>
              <w:jc w:val="center"/>
              <w:rPr>
                <w:rFonts w:ascii="Arial" w:hAnsi="Arial" w:cs="Arial"/>
                <w:lang w:val="es-ES"/>
              </w:rPr>
            </w:pPr>
            <w:r w:rsidRPr="00993936">
              <w:rPr>
                <w:rFonts w:ascii="Arial" w:hAnsi="Arial" w:cs="Arial"/>
                <w:lang w:val="es-ES"/>
              </w:rPr>
              <w:t>&gt; 0,20</w:t>
            </w:r>
          </w:p>
          <w:p w:rsidR="00412AFB" w:rsidRPr="00993936" w:rsidRDefault="00412AFB" w:rsidP="00C8678E">
            <w:pPr>
              <w:jc w:val="center"/>
              <w:rPr>
                <w:rFonts w:ascii="Arial" w:hAnsi="Arial" w:cs="Arial"/>
                <w:lang w:val="es-ES"/>
              </w:rPr>
            </w:pPr>
            <w:r w:rsidRPr="00993936">
              <w:rPr>
                <w:rFonts w:ascii="Arial" w:hAnsi="Arial" w:cs="Arial"/>
                <w:lang w:val="es-ES"/>
              </w:rPr>
              <w:t>&gt; 1,80</w:t>
            </w:r>
          </w:p>
          <w:p w:rsidR="00412AFB" w:rsidRPr="00993936" w:rsidRDefault="00412AFB" w:rsidP="00C8678E">
            <w:pPr>
              <w:jc w:val="center"/>
              <w:rPr>
                <w:rFonts w:ascii="Arial" w:hAnsi="Arial" w:cs="Arial"/>
                <w:lang w:val="es-ES"/>
              </w:rPr>
            </w:pPr>
            <w:r w:rsidRPr="00993936">
              <w:rPr>
                <w:rFonts w:ascii="Arial" w:hAnsi="Arial" w:cs="Arial"/>
                <w:lang w:val="es-ES"/>
              </w:rPr>
              <w:t>&gt; 2,20</w:t>
            </w:r>
          </w:p>
          <w:p w:rsidR="00412AFB" w:rsidRPr="00993936" w:rsidRDefault="00412AFB" w:rsidP="00C8678E">
            <w:pPr>
              <w:jc w:val="center"/>
              <w:rPr>
                <w:rFonts w:ascii="Arial" w:hAnsi="Arial" w:cs="Arial"/>
                <w:lang w:val="es-ES"/>
              </w:rPr>
            </w:pPr>
            <w:r w:rsidRPr="00993936">
              <w:rPr>
                <w:rFonts w:ascii="Arial" w:hAnsi="Arial" w:cs="Arial"/>
                <w:lang w:val="es-ES"/>
              </w:rPr>
              <w:t>0,40 – 0,55</w:t>
            </w:r>
          </w:p>
          <w:p w:rsidR="00412AFB" w:rsidRPr="00993936" w:rsidRDefault="00412AFB" w:rsidP="00C8678E">
            <w:pPr>
              <w:jc w:val="center"/>
              <w:rPr>
                <w:rFonts w:ascii="Arial" w:hAnsi="Arial" w:cs="Arial"/>
                <w:lang w:val="es-ES"/>
              </w:rPr>
            </w:pPr>
            <w:r w:rsidRPr="00993936">
              <w:rPr>
                <w:rFonts w:ascii="Arial" w:hAnsi="Arial" w:cs="Arial"/>
                <w:lang w:val="es-ES"/>
              </w:rPr>
              <w:t>0,25 – 0,40</w:t>
            </w:r>
          </w:p>
          <w:p w:rsidR="00412AFB" w:rsidRPr="00993936" w:rsidRDefault="00412AFB" w:rsidP="00C8678E">
            <w:pPr>
              <w:jc w:val="center"/>
              <w:rPr>
                <w:rFonts w:ascii="Arial" w:hAnsi="Arial" w:cs="Arial"/>
                <w:lang w:val="es-ES"/>
              </w:rPr>
            </w:pPr>
            <w:r w:rsidRPr="00993936">
              <w:rPr>
                <w:rFonts w:ascii="Arial" w:hAnsi="Arial" w:cs="Arial"/>
                <w:lang w:val="es-ES"/>
              </w:rPr>
              <w:t>&gt; 125</w:t>
            </w:r>
          </w:p>
          <w:p w:rsidR="00412AFB" w:rsidRPr="00993936" w:rsidRDefault="00412AFB" w:rsidP="00C8678E">
            <w:pPr>
              <w:jc w:val="center"/>
              <w:rPr>
                <w:rFonts w:ascii="Arial" w:hAnsi="Arial" w:cs="Arial"/>
                <w:lang w:val="es-ES"/>
              </w:rPr>
            </w:pPr>
            <w:r w:rsidRPr="00993936">
              <w:rPr>
                <w:rFonts w:ascii="Arial" w:hAnsi="Arial" w:cs="Arial"/>
                <w:lang w:val="es-ES"/>
              </w:rPr>
              <w:t>50 – 80</w:t>
            </w:r>
          </w:p>
          <w:p w:rsidR="00412AFB" w:rsidRPr="00993936" w:rsidRDefault="00412AFB" w:rsidP="00C8678E">
            <w:pPr>
              <w:jc w:val="center"/>
              <w:rPr>
                <w:rFonts w:ascii="Arial" w:hAnsi="Arial" w:cs="Arial"/>
                <w:lang w:val="es-ES"/>
              </w:rPr>
            </w:pPr>
            <w:r w:rsidRPr="00993936">
              <w:rPr>
                <w:rFonts w:ascii="Arial" w:hAnsi="Arial" w:cs="Arial"/>
                <w:lang w:val="es-ES"/>
              </w:rPr>
              <w:t>50 – 100</w:t>
            </w:r>
          </w:p>
          <w:p w:rsidR="00412AFB" w:rsidRPr="00993936" w:rsidRDefault="00412AFB" w:rsidP="00C8678E">
            <w:pPr>
              <w:jc w:val="center"/>
              <w:rPr>
                <w:rFonts w:ascii="Arial" w:hAnsi="Arial" w:cs="Arial"/>
                <w:lang w:val="es-ES"/>
              </w:rPr>
            </w:pPr>
            <w:r w:rsidRPr="00993936">
              <w:rPr>
                <w:rFonts w:ascii="Arial" w:hAnsi="Arial" w:cs="Arial"/>
                <w:lang w:val="es-ES"/>
              </w:rPr>
              <w:t xml:space="preserve">20 – 50 </w:t>
            </w:r>
          </w:p>
          <w:p w:rsidR="00412AFB" w:rsidRPr="00993936" w:rsidRDefault="00412AFB" w:rsidP="00C8678E">
            <w:pPr>
              <w:jc w:val="center"/>
              <w:rPr>
                <w:rFonts w:ascii="Arial" w:hAnsi="Arial" w:cs="Arial"/>
                <w:lang w:val="es-ES"/>
              </w:rPr>
            </w:pPr>
            <w:r w:rsidRPr="00993936">
              <w:rPr>
                <w:rFonts w:ascii="Arial" w:hAnsi="Arial" w:cs="Arial"/>
                <w:lang w:val="es-ES"/>
              </w:rPr>
              <w:t>30 – 50</w:t>
            </w:r>
          </w:p>
          <w:p w:rsidR="00412AFB" w:rsidRPr="00993936" w:rsidRDefault="00412AFB" w:rsidP="00C8678E">
            <w:pPr>
              <w:jc w:val="center"/>
              <w:rPr>
                <w:rFonts w:ascii="Arial" w:hAnsi="Arial" w:cs="Arial"/>
                <w:lang w:val="es-ES"/>
              </w:rPr>
            </w:pPr>
            <w:r w:rsidRPr="00993936">
              <w:rPr>
                <w:rFonts w:ascii="Arial" w:hAnsi="Arial" w:cs="Arial"/>
                <w:lang w:val="es-ES"/>
              </w:rPr>
              <w:t>&gt; 500</w:t>
            </w:r>
          </w:p>
        </w:tc>
        <w:tc>
          <w:tcPr>
            <w:tcW w:w="1134" w:type="dxa"/>
            <w:shd w:val="clear" w:color="auto" w:fill="FFFFFF"/>
          </w:tcPr>
          <w:p w:rsidR="00412AFB" w:rsidRPr="00993936" w:rsidRDefault="00412AFB" w:rsidP="00C8678E">
            <w:pPr>
              <w:jc w:val="center"/>
              <w:rPr>
                <w:rFonts w:ascii="Arial" w:hAnsi="Arial" w:cs="Arial"/>
                <w:lang w:val="es-ES"/>
              </w:rPr>
            </w:pPr>
            <w:r w:rsidRPr="00993936">
              <w:rPr>
                <w:rFonts w:ascii="Arial" w:hAnsi="Arial" w:cs="Arial"/>
                <w:lang w:val="es-ES"/>
              </w:rPr>
              <w:t>&gt; 3,00</w:t>
            </w:r>
          </w:p>
          <w:p w:rsidR="00412AFB" w:rsidRPr="00993936" w:rsidRDefault="00412AFB" w:rsidP="00C8678E">
            <w:pPr>
              <w:jc w:val="center"/>
              <w:rPr>
                <w:rFonts w:ascii="Arial" w:hAnsi="Arial" w:cs="Arial"/>
                <w:lang w:val="es-ES"/>
              </w:rPr>
            </w:pPr>
            <w:r w:rsidRPr="00993936">
              <w:rPr>
                <w:rFonts w:ascii="Arial" w:hAnsi="Arial" w:cs="Arial"/>
                <w:lang w:val="es-ES"/>
              </w:rPr>
              <w:t>-</w:t>
            </w:r>
          </w:p>
          <w:p w:rsidR="00412AFB" w:rsidRPr="00993936" w:rsidRDefault="00412AFB" w:rsidP="00C8678E">
            <w:pPr>
              <w:jc w:val="center"/>
              <w:rPr>
                <w:rFonts w:ascii="Arial" w:hAnsi="Arial" w:cs="Arial"/>
                <w:lang w:val="es-ES"/>
              </w:rPr>
            </w:pPr>
            <w:r w:rsidRPr="00993936">
              <w:rPr>
                <w:rFonts w:ascii="Arial" w:hAnsi="Arial" w:cs="Arial"/>
                <w:lang w:val="es-ES"/>
              </w:rPr>
              <w:t>-</w:t>
            </w:r>
          </w:p>
          <w:p w:rsidR="00412AFB" w:rsidRPr="00993936" w:rsidRDefault="00412AFB" w:rsidP="00C8678E">
            <w:pPr>
              <w:jc w:val="center"/>
              <w:rPr>
                <w:rFonts w:ascii="Arial" w:hAnsi="Arial" w:cs="Arial"/>
                <w:lang w:val="es-ES"/>
              </w:rPr>
            </w:pPr>
            <w:r w:rsidRPr="00993936">
              <w:rPr>
                <w:rFonts w:ascii="Arial" w:hAnsi="Arial" w:cs="Arial"/>
                <w:lang w:val="es-ES"/>
              </w:rPr>
              <w:t>-</w:t>
            </w:r>
          </w:p>
          <w:p w:rsidR="00412AFB" w:rsidRPr="00993936" w:rsidRDefault="00412AFB" w:rsidP="00C8678E">
            <w:pPr>
              <w:jc w:val="center"/>
              <w:rPr>
                <w:rFonts w:ascii="Arial" w:hAnsi="Arial" w:cs="Arial"/>
                <w:lang w:val="es-ES"/>
              </w:rPr>
            </w:pPr>
            <w:r w:rsidRPr="00993936">
              <w:rPr>
                <w:rFonts w:ascii="Arial" w:hAnsi="Arial" w:cs="Arial"/>
                <w:lang w:val="es-ES"/>
              </w:rPr>
              <w:t>&gt; 0,55</w:t>
            </w:r>
          </w:p>
          <w:p w:rsidR="00412AFB" w:rsidRPr="00993936" w:rsidRDefault="00412AFB" w:rsidP="00C8678E">
            <w:pPr>
              <w:jc w:val="center"/>
              <w:rPr>
                <w:rFonts w:ascii="Arial" w:hAnsi="Arial" w:cs="Arial"/>
                <w:lang w:val="es-ES"/>
              </w:rPr>
            </w:pPr>
            <w:r w:rsidRPr="00993936">
              <w:rPr>
                <w:rFonts w:ascii="Arial" w:hAnsi="Arial" w:cs="Arial"/>
                <w:lang w:val="es-ES"/>
              </w:rPr>
              <w:t>&gt; 0,40</w:t>
            </w:r>
          </w:p>
          <w:p w:rsidR="00412AFB" w:rsidRPr="00993936" w:rsidRDefault="00412AFB" w:rsidP="00C8678E">
            <w:pPr>
              <w:jc w:val="center"/>
              <w:rPr>
                <w:rFonts w:ascii="Arial" w:hAnsi="Arial" w:cs="Arial"/>
                <w:lang w:val="es-ES"/>
              </w:rPr>
            </w:pPr>
          </w:p>
          <w:p w:rsidR="00412AFB" w:rsidRPr="00993936" w:rsidRDefault="00412AFB" w:rsidP="00C8678E">
            <w:pPr>
              <w:jc w:val="center"/>
              <w:rPr>
                <w:rFonts w:ascii="Arial" w:hAnsi="Arial" w:cs="Arial"/>
                <w:lang w:val="es-ES"/>
              </w:rPr>
            </w:pPr>
            <w:r w:rsidRPr="00993936">
              <w:rPr>
                <w:rFonts w:ascii="Arial" w:hAnsi="Arial" w:cs="Arial"/>
                <w:lang w:val="es-ES"/>
              </w:rPr>
              <w:t>80-200</w:t>
            </w:r>
          </w:p>
          <w:p w:rsidR="00412AFB" w:rsidRPr="00993936" w:rsidRDefault="00412AFB" w:rsidP="00C8678E">
            <w:pPr>
              <w:jc w:val="center"/>
              <w:rPr>
                <w:rFonts w:ascii="Arial" w:hAnsi="Arial" w:cs="Arial"/>
                <w:lang w:val="es-ES"/>
              </w:rPr>
            </w:pPr>
            <w:r w:rsidRPr="00993936">
              <w:rPr>
                <w:rFonts w:ascii="Arial" w:hAnsi="Arial" w:cs="Arial"/>
                <w:lang w:val="es-ES"/>
              </w:rPr>
              <w:t>100 – 200</w:t>
            </w:r>
          </w:p>
          <w:p w:rsidR="00412AFB" w:rsidRPr="00993936" w:rsidRDefault="00412AFB" w:rsidP="00C8678E">
            <w:pPr>
              <w:jc w:val="center"/>
              <w:rPr>
                <w:rFonts w:ascii="Arial" w:hAnsi="Arial" w:cs="Arial"/>
                <w:lang w:val="es-ES"/>
              </w:rPr>
            </w:pPr>
            <w:r w:rsidRPr="00993936">
              <w:rPr>
                <w:rFonts w:ascii="Arial" w:hAnsi="Arial" w:cs="Arial"/>
                <w:lang w:val="es-ES"/>
              </w:rPr>
              <w:t>50 – 100</w:t>
            </w:r>
          </w:p>
          <w:p w:rsidR="00412AFB" w:rsidRPr="00993936" w:rsidRDefault="00412AFB" w:rsidP="00C8678E">
            <w:pPr>
              <w:jc w:val="center"/>
              <w:rPr>
                <w:rFonts w:ascii="Arial" w:hAnsi="Arial" w:cs="Arial"/>
                <w:lang w:val="es-ES"/>
              </w:rPr>
            </w:pPr>
            <w:r w:rsidRPr="00993936">
              <w:rPr>
                <w:rFonts w:ascii="Arial" w:hAnsi="Arial" w:cs="Arial"/>
                <w:lang w:val="es-ES"/>
              </w:rPr>
              <w:t>&gt; 50</w:t>
            </w:r>
          </w:p>
          <w:p w:rsidR="00412AFB" w:rsidRPr="00993936" w:rsidRDefault="00412AFB" w:rsidP="00C8678E">
            <w:pPr>
              <w:jc w:val="center"/>
              <w:rPr>
                <w:rFonts w:ascii="Arial" w:hAnsi="Arial" w:cs="Arial"/>
                <w:lang w:val="es-ES"/>
              </w:rPr>
            </w:pPr>
            <w:r w:rsidRPr="00993936">
              <w:rPr>
                <w:rFonts w:ascii="Arial" w:hAnsi="Arial" w:cs="Arial"/>
                <w:lang w:val="es-ES"/>
              </w:rPr>
              <w:t>-</w:t>
            </w:r>
          </w:p>
        </w:tc>
      </w:tr>
    </w:tbl>
    <w:p w:rsidR="00412AFB" w:rsidRPr="00993936" w:rsidRDefault="00412AFB" w:rsidP="00412AFB">
      <w:pPr>
        <w:jc w:val="both"/>
        <w:rPr>
          <w:rFonts w:ascii="Arial" w:hAnsi="Arial" w:cs="Arial"/>
          <w:lang w:val="es-ES"/>
        </w:rPr>
      </w:pPr>
      <w:r w:rsidRPr="00993936">
        <w:rPr>
          <w:rFonts w:ascii="Arial" w:hAnsi="Arial" w:cs="Arial"/>
          <w:lang w:val="es-ES"/>
        </w:rPr>
        <w:t>Fuente:</w:t>
      </w:r>
      <w:r w:rsidR="00E03B3B" w:rsidRPr="00993936">
        <w:rPr>
          <w:rFonts w:ascii="Arial" w:hAnsi="Arial" w:cs="Arial"/>
          <w:lang w:val="es-ES"/>
        </w:rPr>
        <w:t xml:space="preserve"> </w:t>
      </w:r>
      <w:r w:rsidRPr="00993936">
        <w:rPr>
          <w:rFonts w:ascii="Arial" w:hAnsi="Arial" w:cs="Arial"/>
          <w:lang w:val="es-ES"/>
        </w:rPr>
        <w:t xml:space="preserve">Laboratorio de análisis y fertilidad de los suelos (Applus Agroambiental SA) </w:t>
      </w:r>
    </w:p>
    <w:p w:rsidR="00412AFB" w:rsidRPr="00993936" w:rsidRDefault="00412AFB" w:rsidP="00412AFB">
      <w:pPr>
        <w:rPr>
          <w:rFonts w:ascii="Arial" w:hAnsi="Arial" w:cs="Arial"/>
          <w:lang w:val="es-ES"/>
        </w:rPr>
      </w:pPr>
      <w:r w:rsidRPr="00993936">
        <w:rPr>
          <w:rFonts w:ascii="Arial" w:hAnsi="Arial" w:cs="Arial"/>
          <w:lang w:val="es-ES"/>
        </w:rPr>
        <w:br w:type="page"/>
      </w:r>
    </w:p>
    <w:p w:rsidR="00412AFB" w:rsidRPr="00993936" w:rsidRDefault="00412AFB" w:rsidP="00412AFB">
      <w:pPr>
        <w:pStyle w:val="Ttulo3"/>
        <w:rPr>
          <w:rFonts w:ascii="Arial" w:hAnsi="Arial" w:cs="Arial"/>
          <w:color w:val="auto"/>
          <w:szCs w:val="22"/>
          <w:lang w:val="es-ES"/>
        </w:rPr>
      </w:pPr>
      <w:r w:rsidRPr="00993936">
        <w:rPr>
          <w:rFonts w:ascii="Arial" w:hAnsi="Arial" w:cs="Arial"/>
          <w:color w:val="auto"/>
          <w:szCs w:val="22"/>
          <w:lang w:val="es-ES"/>
        </w:rPr>
        <w:lastRenderedPageBreak/>
        <w:t>ANEXO 10</w:t>
      </w:r>
    </w:p>
    <w:p w:rsidR="00412AFB" w:rsidRPr="00993936" w:rsidRDefault="00412AFB" w:rsidP="00412AFB">
      <w:pPr>
        <w:pStyle w:val="Ttulo3"/>
        <w:rPr>
          <w:rFonts w:ascii="Arial" w:hAnsi="Arial" w:cs="Arial"/>
          <w:color w:val="auto"/>
          <w:szCs w:val="22"/>
          <w:lang w:val="es-ES"/>
        </w:rPr>
      </w:pPr>
      <w:r w:rsidRPr="00993936">
        <w:rPr>
          <w:rFonts w:ascii="Arial" w:hAnsi="Arial" w:cs="Arial"/>
          <w:color w:val="auto"/>
          <w:szCs w:val="22"/>
          <w:lang w:val="es-ES"/>
        </w:rPr>
        <w:t xml:space="preserve">10.1 Tabla orientativa del contenido de nutrientes de algunos abonos orgánicos </w:t>
      </w:r>
    </w:p>
    <w:p w:rsidR="00412AFB" w:rsidRPr="00993936" w:rsidRDefault="00412AFB" w:rsidP="00412AFB">
      <w:pPr>
        <w:pStyle w:val="Ttulo3"/>
        <w:rPr>
          <w:rFonts w:ascii="Arial" w:hAnsi="Arial" w:cs="Arial"/>
          <w:color w:val="auto"/>
          <w:szCs w:val="22"/>
          <w:lang w:val="es-ES"/>
        </w:rPr>
      </w:pPr>
    </w:p>
    <w:tbl>
      <w:tblPr>
        <w:tblW w:w="5000" w:type="pct"/>
        <w:tblCellMar>
          <w:left w:w="70" w:type="dxa"/>
          <w:right w:w="70" w:type="dxa"/>
        </w:tblCellMar>
        <w:tblLook w:val="0000" w:firstRow="0" w:lastRow="0" w:firstColumn="0" w:lastColumn="0" w:noHBand="0" w:noVBand="0"/>
      </w:tblPr>
      <w:tblGrid>
        <w:gridCol w:w="1005"/>
        <w:gridCol w:w="1055"/>
        <w:gridCol w:w="3638"/>
        <w:gridCol w:w="982"/>
        <w:gridCol w:w="982"/>
        <w:gridCol w:w="982"/>
      </w:tblGrid>
      <w:tr w:rsidR="00412AFB" w:rsidRPr="00993936" w:rsidTr="009D1A2D">
        <w:trPr>
          <w:trHeight w:val="555"/>
        </w:trPr>
        <w:tc>
          <w:tcPr>
            <w:tcW w:w="582" w:type="pct"/>
            <w:tcBorders>
              <w:top w:val="single" w:sz="8" w:space="0" w:color="auto"/>
              <w:left w:val="single" w:sz="8" w:space="0" w:color="auto"/>
              <w:bottom w:val="single" w:sz="8" w:space="0" w:color="auto"/>
              <w:right w:val="single" w:sz="8" w:space="0" w:color="auto"/>
            </w:tcBorders>
            <w:shd w:val="clear" w:color="auto" w:fill="D9D9D9"/>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Ganado</w:t>
            </w:r>
          </w:p>
        </w:tc>
        <w:tc>
          <w:tcPr>
            <w:tcW w:w="833" w:type="pct"/>
            <w:tcBorders>
              <w:top w:val="single" w:sz="8" w:space="0" w:color="auto"/>
              <w:left w:val="nil"/>
              <w:bottom w:val="single" w:sz="8" w:space="0" w:color="auto"/>
              <w:right w:val="single" w:sz="8" w:space="0" w:color="auto"/>
            </w:tcBorders>
            <w:shd w:val="clear" w:color="auto" w:fill="D9D9D9"/>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Tipo</w:t>
            </w:r>
          </w:p>
        </w:tc>
        <w:tc>
          <w:tcPr>
            <w:tcW w:w="1879" w:type="pct"/>
            <w:tcBorders>
              <w:top w:val="single" w:sz="8" w:space="0" w:color="auto"/>
              <w:left w:val="nil"/>
              <w:bottom w:val="single" w:sz="8" w:space="0" w:color="auto"/>
              <w:right w:val="nil"/>
            </w:tcBorders>
            <w:shd w:val="clear" w:color="auto" w:fill="D9D9D9"/>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Fase / Sistema productivo</w:t>
            </w:r>
          </w:p>
        </w:tc>
        <w:tc>
          <w:tcPr>
            <w:tcW w:w="569" w:type="pct"/>
            <w:tcBorders>
              <w:top w:val="single" w:sz="8" w:space="0" w:color="auto"/>
              <w:left w:val="single" w:sz="8" w:space="0" w:color="auto"/>
              <w:bottom w:val="single" w:sz="8" w:space="0" w:color="auto"/>
              <w:right w:val="single" w:sz="8" w:space="0" w:color="auto"/>
            </w:tcBorders>
            <w:shd w:val="clear" w:color="auto" w:fill="D9D9D9"/>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Kg N/m</w:t>
            </w:r>
            <w:r w:rsidRPr="00993936">
              <w:rPr>
                <w:rFonts w:ascii="Arial" w:hAnsi="Arial" w:cs="Arial"/>
                <w:vertAlign w:val="superscript"/>
                <w:lang w:val="es-ES" w:eastAsia="ca-ES"/>
              </w:rPr>
              <w:t>3</w:t>
            </w:r>
            <w:r w:rsidRPr="00993936">
              <w:rPr>
                <w:rFonts w:ascii="Arial" w:hAnsi="Arial" w:cs="Arial"/>
                <w:lang w:val="es-ES" w:eastAsia="ca-ES"/>
              </w:rPr>
              <w:t xml:space="preserve"> o tonelada</w:t>
            </w:r>
          </w:p>
        </w:tc>
        <w:tc>
          <w:tcPr>
            <w:tcW w:w="569" w:type="pct"/>
            <w:tcBorders>
              <w:top w:val="single" w:sz="8" w:space="0" w:color="auto"/>
              <w:left w:val="nil"/>
              <w:bottom w:val="single" w:sz="8" w:space="0" w:color="auto"/>
              <w:right w:val="single" w:sz="8" w:space="0" w:color="auto"/>
            </w:tcBorders>
            <w:shd w:val="clear" w:color="auto" w:fill="D9D9D9"/>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kg P</w:t>
            </w:r>
            <w:r w:rsidRPr="00993936">
              <w:rPr>
                <w:rFonts w:ascii="Arial" w:hAnsi="Arial" w:cs="Arial"/>
                <w:vertAlign w:val="subscript"/>
                <w:lang w:val="es-ES" w:eastAsia="ca-ES"/>
              </w:rPr>
              <w:t>2</w:t>
            </w:r>
            <w:r w:rsidRPr="00993936">
              <w:rPr>
                <w:rFonts w:ascii="Arial" w:hAnsi="Arial" w:cs="Arial"/>
                <w:lang w:val="es-ES" w:eastAsia="ca-ES"/>
              </w:rPr>
              <w:t>O</w:t>
            </w:r>
            <w:r w:rsidRPr="00993936">
              <w:rPr>
                <w:rFonts w:ascii="Arial" w:hAnsi="Arial" w:cs="Arial"/>
                <w:vertAlign w:val="subscript"/>
                <w:lang w:val="es-ES" w:eastAsia="ca-ES"/>
              </w:rPr>
              <w:t>5</w:t>
            </w:r>
            <w:r w:rsidRPr="00993936">
              <w:rPr>
                <w:rFonts w:ascii="Arial" w:hAnsi="Arial" w:cs="Arial"/>
                <w:lang w:val="es-ES" w:eastAsia="ca-ES"/>
              </w:rPr>
              <w:t>/m</w:t>
            </w:r>
            <w:r w:rsidRPr="00993936">
              <w:rPr>
                <w:rFonts w:ascii="Arial" w:hAnsi="Arial" w:cs="Arial"/>
                <w:vertAlign w:val="superscript"/>
                <w:lang w:val="es-ES" w:eastAsia="ca-ES"/>
              </w:rPr>
              <w:t xml:space="preserve">3 </w:t>
            </w:r>
            <w:r w:rsidRPr="00993936">
              <w:rPr>
                <w:rFonts w:ascii="Arial" w:hAnsi="Arial" w:cs="Arial"/>
                <w:lang w:val="es-ES" w:eastAsia="ca-ES"/>
              </w:rPr>
              <w:t>o tonelada</w:t>
            </w:r>
          </w:p>
        </w:tc>
        <w:tc>
          <w:tcPr>
            <w:tcW w:w="569" w:type="pct"/>
            <w:tcBorders>
              <w:top w:val="single" w:sz="8" w:space="0" w:color="auto"/>
              <w:left w:val="nil"/>
              <w:bottom w:val="single" w:sz="8" w:space="0" w:color="auto"/>
              <w:right w:val="single" w:sz="8" w:space="0" w:color="auto"/>
            </w:tcBorders>
            <w:shd w:val="clear" w:color="auto" w:fill="D9D9D9"/>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kg K</w:t>
            </w:r>
            <w:r w:rsidRPr="00993936">
              <w:rPr>
                <w:rFonts w:ascii="Arial" w:hAnsi="Arial" w:cs="Arial"/>
                <w:vertAlign w:val="subscript"/>
                <w:lang w:val="es-ES" w:eastAsia="ca-ES"/>
              </w:rPr>
              <w:t>2</w:t>
            </w:r>
            <w:r w:rsidRPr="00993936">
              <w:rPr>
                <w:rFonts w:ascii="Arial" w:hAnsi="Arial" w:cs="Arial"/>
                <w:lang w:val="es-ES" w:eastAsia="ca-ES"/>
              </w:rPr>
              <w:t>O/ m</w:t>
            </w:r>
            <w:r w:rsidRPr="00993936">
              <w:rPr>
                <w:rFonts w:ascii="Arial" w:hAnsi="Arial" w:cs="Arial"/>
                <w:vertAlign w:val="superscript"/>
                <w:lang w:val="es-ES" w:eastAsia="ca-ES"/>
              </w:rPr>
              <w:t>3</w:t>
            </w:r>
            <w:r w:rsidR="00CA14AB" w:rsidRPr="00993936">
              <w:rPr>
                <w:rFonts w:ascii="Arial" w:hAnsi="Arial" w:cs="Arial"/>
                <w:vertAlign w:val="superscript"/>
                <w:lang w:val="es-ES" w:eastAsia="ca-ES"/>
              </w:rPr>
              <w:t xml:space="preserve"> </w:t>
            </w:r>
            <w:r w:rsidRPr="00993936">
              <w:rPr>
                <w:rFonts w:ascii="Arial" w:hAnsi="Arial" w:cs="Arial"/>
                <w:lang w:val="es-ES" w:eastAsia="ca-ES"/>
              </w:rPr>
              <w:t>o tonelada</w:t>
            </w:r>
          </w:p>
        </w:tc>
      </w:tr>
      <w:tr w:rsidR="00412AFB" w:rsidRPr="00993936" w:rsidTr="009D1A2D">
        <w:trPr>
          <w:trHeight w:val="300"/>
        </w:trPr>
        <w:tc>
          <w:tcPr>
            <w:tcW w:w="582" w:type="pct"/>
            <w:vMerge w:val="restart"/>
            <w:tcBorders>
              <w:top w:val="nil"/>
              <w:left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Porcino</w:t>
            </w:r>
          </w:p>
        </w:tc>
        <w:tc>
          <w:tcPr>
            <w:tcW w:w="833" w:type="pct"/>
            <w:vMerge w:val="restart"/>
            <w:tcBorders>
              <w:top w:val="nil"/>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Purín</w:t>
            </w: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Engorde</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5,7</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3,6</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4,2</w:t>
            </w:r>
          </w:p>
        </w:tc>
      </w:tr>
      <w:tr w:rsidR="00412AFB" w:rsidRPr="00993936" w:rsidTr="009D1A2D">
        <w:trPr>
          <w:trHeight w:val="300"/>
        </w:trPr>
        <w:tc>
          <w:tcPr>
            <w:tcW w:w="582" w:type="pct"/>
            <w:vMerge/>
            <w:tcBorders>
              <w:left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Reproductora</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2,9</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2,1</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1,8</w:t>
            </w:r>
          </w:p>
        </w:tc>
      </w:tr>
      <w:tr w:rsidR="00412AFB" w:rsidRPr="00993936" w:rsidTr="009D1A2D">
        <w:trPr>
          <w:trHeight w:val="300"/>
        </w:trPr>
        <w:tc>
          <w:tcPr>
            <w:tcW w:w="582" w:type="pct"/>
            <w:vMerge/>
            <w:tcBorders>
              <w:left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Lechones (6-20 kg)</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3,4</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2,6</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1,7</w:t>
            </w:r>
          </w:p>
        </w:tc>
      </w:tr>
      <w:tr w:rsidR="00412AFB" w:rsidRPr="00993936" w:rsidTr="009D1A2D">
        <w:trPr>
          <w:trHeight w:val="300"/>
        </w:trPr>
        <w:tc>
          <w:tcPr>
            <w:tcW w:w="582" w:type="pct"/>
            <w:vMerge/>
            <w:tcBorders>
              <w:left w:val="single" w:sz="8" w:space="0" w:color="auto"/>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single" w:sz="8" w:space="0" w:color="auto"/>
              <w:bottom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Ciclo cerrado</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3,4</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2,4</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2,5</w:t>
            </w:r>
          </w:p>
        </w:tc>
      </w:tr>
      <w:tr w:rsidR="00412AFB" w:rsidRPr="00993936" w:rsidTr="009D1A2D">
        <w:trPr>
          <w:trHeight w:val="300"/>
        </w:trPr>
        <w:tc>
          <w:tcPr>
            <w:tcW w:w="582"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Vacuno</w:t>
            </w:r>
          </w:p>
        </w:tc>
        <w:tc>
          <w:tcPr>
            <w:tcW w:w="833" w:type="pct"/>
            <w:vMerge w:val="restart"/>
            <w:tcBorders>
              <w:top w:val="single" w:sz="8" w:space="0" w:color="auto"/>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Purín</w:t>
            </w:r>
          </w:p>
        </w:tc>
        <w:tc>
          <w:tcPr>
            <w:tcW w:w="1879" w:type="pct"/>
            <w:tcBorders>
              <w:top w:val="single" w:sz="8" w:space="0" w:color="auto"/>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Vaca de leche</w:t>
            </w:r>
          </w:p>
        </w:tc>
        <w:tc>
          <w:tcPr>
            <w:tcW w:w="569" w:type="pct"/>
            <w:tcBorders>
              <w:top w:val="single" w:sz="8" w:space="0" w:color="auto"/>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3,3</w:t>
            </w:r>
          </w:p>
        </w:tc>
        <w:tc>
          <w:tcPr>
            <w:tcW w:w="569" w:type="pct"/>
            <w:tcBorders>
              <w:top w:val="single" w:sz="8" w:space="0" w:color="auto"/>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1,5</w:t>
            </w:r>
          </w:p>
        </w:tc>
        <w:tc>
          <w:tcPr>
            <w:tcW w:w="569" w:type="pct"/>
            <w:tcBorders>
              <w:top w:val="single" w:sz="8" w:space="0" w:color="auto"/>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3,4</w:t>
            </w:r>
          </w:p>
        </w:tc>
      </w:tr>
      <w:tr w:rsidR="00412AFB" w:rsidRPr="00993936" w:rsidTr="009D1A2D">
        <w:trPr>
          <w:trHeight w:val="300"/>
        </w:trPr>
        <w:tc>
          <w:tcPr>
            <w:tcW w:w="582"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bottom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Engorde de terneros</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5,2</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1,7</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3,6</w:t>
            </w:r>
          </w:p>
        </w:tc>
      </w:tr>
      <w:tr w:rsidR="00412AFB" w:rsidRPr="00993936" w:rsidTr="009D1A2D">
        <w:trPr>
          <w:trHeight w:val="300"/>
        </w:trPr>
        <w:tc>
          <w:tcPr>
            <w:tcW w:w="582"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val="restart"/>
            <w:tcBorders>
              <w:top w:val="single" w:sz="8" w:space="0" w:color="auto"/>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Estiércol</w:t>
            </w:r>
          </w:p>
          <w:p w:rsidR="00412AFB" w:rsidRPr="00993936" w:rsidRDefault="00412AFB" w:rsidP="009D1A2D">
            <w:pPr>
              <w:pStyle w:val="Sinespaciado"/>
              <w:rPr>
                <w:rFonts w:ascii="Arial" w:hAnsi="Arial" w:cs="Arial"/>
                <w:lang w:val="es-ES" w:eastAsia="ca-ES"/>
              </w:rPr>
            </w:pPr>
          </w:p>
        </w:tc>
        <w:tc>
          <w:tcPr>
            <w:tcW w:w="1879" w:type="pct"/>
            <w:tcBorders>
              <w:top w:val="single" w:sz="8" w:space="0" w:color="auto"/>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Vaca de leche</w:t>
            </w:r>
          </w:p>
        </w:tc>
        <w:tc>
          <w:tcPr>
            <w:tcW w:w="569" w:type="pct"/>
            <w:tcBorders>
              <w:top w:val="single" w:sz="8" w:space="0" w:color="auto"/>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5,5</w:t>
            </w:r>
          </w:p>
        </w:tc>
        <w:tc>
          <w:tcPr>
            <w:tcW w:w="569" w:type="pct"/>
            <w:tcBorders>
              <w:top w:val="single" w:sz="8" w:space="0" w:color="auto"/>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2,0</w:t>
            </w:r>
          </w:p>
        </w:tc>
        <w:tc>
          <w:tcPr>
            <w:tcW w:w="569" w:type="pct"/>
            <w:tcBorders>
              <w:top w:val="single" w:sz="8" w:space="0" w:color="auto"/>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7,9</w:t>
            </w:r>
          </w:p>
        </w:tc>
      </w:tr>
      <w:tr w:rsidR="00412AFB" w:rsidRPr="00993936" w:rsidTr="009D1A2D">
        <w:trPr>
          <w:trHeight w:val="300"/>
        </w:trPr>
        <w:tc>
          <w:tcPr>
            <w:tcW w:w="582"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Vaca de carne</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3,0</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2,0</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5,0</w:t>
            </w:r>
          </w:p>
        </w:tc>
      </w:tr>
      <w:tr w:rsidR="00412AFB" w:rsidRPr="00993936" w:rsidTr="009D1A2D">
        <w:trPr>
          <w:trHeight w:val="300"/>
        </w:trPr>
        <w:tc>
          <w:tcPr>
            <w:tcW w:w="582" w:type="pct"/>
            <w:vMerge/>
            <w:tcBorders>
              <w:left w:val="single" w:sz="8" w:space="0" w:color="auto"/>
              <w:bottom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bottom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Ternero de engorde</w:t>
            </w:r>
          </w:p>
        </w:tc>
        <w:tc>
          <w:tcPr>
            <w:tcW w:w="569" w:type="pct"/>
            <w:tcBorders>
              <w:top w:val="nil"/>
              <w:left w:val="nil"/>
              <w:bottom w:val="single" w:sz="8" w:space="0" w:color="auto"/>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6,0</w:t>
            </w:r>
          </w:p>
        </w:tc>
        <w:tc>
          <w:tcPr>
            <w:tcW w:w="569" w:type="pct"/>
            <w:tcBorders>
              <w:top w:val="nil"/>
              <w:left w:val="nil"/>
              <w:bottom w:val="single" w:sz="8" w:space="0" w:color="auto"/>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5,0</w:t>
            </w:r>
          </w:p>
        </w:tc>
        <w:tc>
          <w:tcPr>
            <w:tcW w:w="569" w:type="pct"/>
            <w:tcBorders>
              <w:top w:val="nil"/>
              <w:left w:val="nil"/>
              <w:bottom w:val="single" w:sz="8" w:space="0" w:color="auto"/>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6,0</w:t>
            </w:r>
          </w:p>
        </w:tc>
      </w:tr>
      <w:tr w:rsidR="00412AFB" w:rsidRPr="00993936" w:rsidTr="009D1A2D">
        <w:trPr>
          <w:trHeight w:val="300"/>
        </w:trPr>
        <w:tc>
          <w:tcPr>
            <w:tcW w:w="582"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Aves</w:t>
            </w:r>
          </w:p>
        </w:tc>
        <w:tc>
          <w:tcPr>
            <w:tcW w:w="833" w:type="pct"/>
            <w:vMerge w:val="restart"/>
            <w:tcBorders>
              <w:top w:val="nil"/>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Gallinaza</w:t>
            </w: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Pavo</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24,9</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25,8</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20,0</w:t>
            </w:r>
          </w:p>
        </w:tc>
      </w:tr>
      <w:tr w:rsidR="00412AFB" w:rsidRPr="00993936" w:rsidTr="009D1A2D">
        <w:trPr>
          <w:trHeight w:val="300"/>
        </w:trPr>
        <w:tc>
          <w:tcPr>
            <w:tcW w:w="582"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Pollo de engorde</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22,8</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21,1</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17,7</w:t>
            </w:r>
          </w:p>
        </w:tc>
      </w:tr>
      <w:tr w:rsidR="00412AFB" w:rsidRPr="00993936" w:rsidTr="009D1A2D">
        <w:trPr>
          <w:trHeight w:val="300"/>
        </w:trPr>
        <w:tc>
          <w:tcPr>
            <w:tcW w:w="582"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Gallina ponedora</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12,5</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10,4</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8,0</w:t>
            </w:r>
          </w:p>
        </w:tc>
      </w:tr>
      <w:tr w:rsidR="00412AFB" w:rsidRPr="00993936" w:rsidTr="009D1A2D">
        <w:trPr>
          <w:trHeight w:val="300"/>
        </w:trPr>
        <w:tc>
          <w:tcPr>
            <w:tcW w:w="582"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Gallina reproductora</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17,4</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33,9</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23,6</w:t>
            </w:r>
          </w:p>
        </w:tc>
      </w:tr>
      <w:tr w:rsidR="00412AFB" w:rsidRPr="00993936" w:rsidTr="009D1A2D">
        <w:trPr>
          <w:trHeight w:val="300"/>
        </w:trPr>
        <w:tc>
          <w:tcPr>
            <w:tcW w:w="582" w:type="pct"/>
            <w:vMerge/>
            <w:tcBorders>
              <w:left w:val="single" w:sz="8" w:space="0" w:color="auto"/>
              <w:bottom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bottom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Gallina de reposición</w:t>
            </w:r>
          </w:p>
        </w:tc>
        <w:tc>
          <w:tcPr>
            <w:tcW w:w="569" w:type="pct"/>
            <w:tcBorders>
              <w:top w:val="nil"/>
              <w:left w:val="nil"/>
              <w:bottom w:val="single" w:sz="8" w:space="0" w:color="auto"/>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19,5</w:t>
            </w:r>
          </w:p>
        </w:tc>
        <w:tc>
          <w:tcPr>
            <w:tcW w:w="569" w:type="pct"/>
            <w:tcBorders>
              <w:top w:val="nil"/>
              <w:left w:val="nil"/>
              <w:bottom w:val="single" w:sz="8" w:space="0" w:color="auto"/>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45,8</w:t>
            </w:r>
          </w:p>
        </w:tc>
        <w:tc>
          <w:tcPr>
            <w:tcW w:w="569" w:type="pct"/>
            <w:tcBorders>
              <w:top w:val="nil"/>
              <w:left w:val="nil"/>
              <w:bottom w:val="single" w:sz="8" w:space="0" w:color="auto"/>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25,5</w:t>
            </w:r>
          </w:p>
        </w:tc>
      </w:tr>
      <w:tr w:rsidR="00412AFB" w:rsidRPr="00993936" w:rsidTr="009D1A2D">
        <w:trPr>
          <w:trHeight w:val="300"/>
        </w:trPr>
        <w:tc>
          <w:tcPr>
            <w:tcW w:w="582" w:type="pct"/>
            <w:vMerge w:val="restart"/>
            <w:tcBorders>
              <w:top w:val="single" w:sz="8" w:space="0" w:color="auto"/>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Ovino-caprino</w:t>
            </w:r>
          </w:p>
        </w:tc>
        <w:tc>
          <w:tcPr>
            <w:tcW w:w="833" w:type="pct"/>
            <w:vMerge w:val="restart"/>
            <w:tcBorders>
              <w:top w:val="nil"/>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Estiércol</w:t>
            </w: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Oveja de carne</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9,4</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5,0</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10,0</w:t>
            </w:r>
          </w:p>
        </w:tc>
      </w:tr>
      <w:tr w:rsidR="00412AFB" w:rsidRPr="00993936" w:rsidTr="009D1A2D">
        <w:trPr>
          <w:trHeight w:val="300"/>
        </w:trPr>
        <w:tc>
          <w:tcPr>
            <w:tcW w:w="582"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Oveja de leche</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8,1</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3,2</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8,6</w:t>
            </w:r>
          </w:p>
        </w:tc>
      </w:tr>
      <w:tr w:rsidR="00412AFB" w:rsidRPr="00993936" w:rsidTr="009D1A2D">
        <w:trPr>
          <w:trHeight w:val="300"/>
        </w:trPr>
        <w:tc>
          <w:tcPr>
            <w:tcW w:w="582" w:type="pct"/>
            <w:vMerge/>
            <w:tcBorders>
              <w:left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vMerge/>
            <w:tcBorders>
              <w:left w:val="nil"/>
              <w:bottom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1879" w:type="pct"/>
            <w:tcBorders>
              <w:top w:val="nil"/>
              <w:left w:val="nil"/>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Cabra</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9,4</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5,0</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9,0</w:t>
            </w:r>
          </w:p>
        </w:tc>
      </w:tr>
      <w:tr w:rsidR="00412AFB" w:rsidRPr="00993936" w:rsidTr="009D1A2D">
        <w:trPr>
          <w:trHeight w:val="300"/>
        </w:trPr>
        <w:tc>
          <w:tcPr>
            <w:tcW w:w="582" w:type="pct"/>
            <w:vMerge/>
            <w:tcBorders>
              <w:left w:val="single" w:sz="8" w:space="0" w:color="auto"/>
              <w:bottom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p>
        </w:tc>
        <w:tc>
          <w:tcPr>
            <w:tcW w:w="833" w:type="pct"/>
            <w:tcBorders>
              <w:top w:val="nil"/>
              <w:left w:val="nil"/>
              <w:bottom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Purín</w:t>
            </w:r>
          </w:p>
        </w:tc>
        <w:tc>
          <w:tcPr>
            <w:tcW w:w="1879" w:type="pct"/>
            <w:tcBorders>
              <w:top w:val="single" w:sz="8" w:space="0" w:color="auto"/>
              <w:left w:val="nil"/>
              <w:bottom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Oveja de leche</w:t>
            </w:r>
          </w:p>
        </w:tc>
        <w:tc>
          <w:tcPr>
            <w:tcW w:w="569" w:type="pct"/>
            <w:tcBorders>
              <w:top w:val="single" w:sz="8" w:space="0" w:color="auto"/>
              <w:left w:val="nil"/>
              <w:bottom w:val="single" w:sz="8" w:space="0" w:color="auto"/>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7,3</w:t>
            </w:r>
          </w:p>
        </w:tc>
        <w:tc>
          <w:tcPr>
            <w:tcW w:w="569" w:type="pct"/>
            <w:tcBorders>
              <w:top w:val="single" w:sz="8" w:space="0" w:color="auto"/>
              <w:left w:val="nil"/>
              <w:bottom w:val="single" w:sz="8" w:space="0" w:color="auto"/>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3,4</w:t>
            </w:r>
          </w:p>
        </w:tc>
        <w:tc>
          <w:tcPr>
            <w:tcW w:w="569" w:type="pct"/>
            <w:tcBorders>
              <w:top w:val="single" w:sz="8" w:space="0" w:color="auto"/>
              <w:left w:val="nil"/>
              <w:bottom w:val="single" w:sz="8" w:space="0" w:color="auto"/>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7,1</w:t>
            </w:r>
          </w:p>
        </w:tc>
      </w:tr>
      <w:tr w:rsidR="00412AFB" w:rsidRPr="00993936" w:rsidTr="009D1A2D">
        <w:trPr>
          <w:trHeight w:val="300"/>
        </w:trPr>
        <w:tc>
          <w:tcPr>
            <w:tcW w:w="582" w:type="pct"/>
            <w:tcBorders>
              <w:top w:val="nil"/>
              <w:left w:val="single" w:sz="8" w:space="0" w:color="auto"/>
              <w:bottom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Equino</w:t>
            </w:r>
          </w:p>
        </w:tc>
        <w:tc>
          <w:tcPr>
            <w:tcW w:w="833"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Estiércol</w:t>
            </w:r>
          </w:p>
        </w:tc>
        <w:tc>
          <w:tcPr>
            <w:tcW w:w="1879" w:type="pct"/>
            <w:tcBorders>
              <w:top w:val="nil"/>
              <w:left w:val="single" w:sz="8" w:space="0" w:color="auto"/>
              <w:bottom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Caballo</w:t>
            </w:r>
          </w:p>
        </w:tc>
        <w:tc>
          <w:tcPr>
            <w:tcW w:w="569" w:type="pct"/>
            <w:tcBorders>
              <w:top w:val="nil"/>
              <w:left w:val="nil"/>
              <w:bottom w:val="single" w:sz="8" w:space="0" w:color="auto"/>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5,7</w:t>
            </w:r>
          </w:p>
        </w:tc>
        <w:tc>
          <w:tcPr>
            <w:tcW w:w="569" w:type="pct"/>
            <w:tcBorders>
              <w:top w:val="nil"/>
              <w:left w:val="nil"/>
              <w:bottom w:val="single" w:sz="8" w:space="0" w:color="auto"/>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2,1</w:t>
            </w:r>
          </w:p>
        </w:tc>
        <w:tc>
          <w:tcPr>
            <w:tcW w:w="569" w:type="pct"/>
            <w:tcBorders>
              <w:top w:val="nil"/>
              <w:left w:val="nil"/>
              <w:bottom w:val="single" w:sz="8" w:space="0" w:color="auto"/>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8,2</w:t>
            </w:r>
          </w:p>
        </w:tc>
      </w:tr>
      <w:tr w:rsidR="00412AFB" w:rsidRPr="00993936" w:rsidTr="009D1A2D">
        <w:trPr>
          <w:trHeight w:val="300"/>
        </w:trPr>
        <w:tc>
          <w:tcPr>
            <w:tcW w:w="582" w:type="pct"/>
            <w:tcBorders>
              <w:top w:val="single" w:sz="8" w:space="0" w:color="auto"/>
              <w:left w:val="single" w:sz="8" w:space="0" w:color="auto"/>
              <w:bottom w:val="nil"/>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Cunícola</w:t>
            </w:r>
          </w:p>
        </w:tc>
        <w:tc>
          <w:tcPr>
            <w:tcW w:w="833" w:type="pct"/>
            <w:tcBorders>
              <w:top w:val="single" w:sz="8" w:space="0" w:color="auto"/>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Estiércol</w:t>
            </w:r>
          </w:p>
        </w:tc>
        <w:tc>
          <w:tcPr>
            <w:tcW w:w="1879" w:type="pct"/>
            <w:tcBorders>
              <w:top w:val="nil"/>
              <w:left w:val="single" w:sz="8" w:space="0" w:color="auto"/>
              <w:bottom w:val="nil"/>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Conejo</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8,4</w:t>
            </w:r>
          </w:p>
        </w:tc>
        <w:tc>
          <w:tcPr>
            <w:tcW w:w="569" w:type="pct"/>
            <w:tcBorders>
              <w:top w:val="nil"/>
              <w:left w:val="nil"/>
              <w:bottom w:val="nil"/>
              <w:right w:val="nil"/>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10,3</w:t>
            </w:r>
          </w:p>
        </w:tc>
        <w:tc>
          <w:tcPr>
            <w:tcW w:w="569" w:type="pct"/>
            <w:tcBorders>
              <w:top w:val="nil"/>
              <w:left w:val="nil"/>
              <w:bottom w:val="nil"/>
              <w:right w:val="single" w:sz="8" w:space="0" w:color="auto"/>
            </w:tcBorders>
            <w:shd w:val="clear" w:color="auto" w:fill="FFFFFF"/>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9,5</w:t>
            </w:r>
          </w:p>
        </w:tc>
      </w:tr>
      <w:tr w:rsidR="00412AFB" w:rsidRPr="00993936" w:rsidTr="009D1A2D">
        <w:trPr>
          <w:trHeight w:val="300"/>
        </w:trPr>
        <w:tc>
          <w:tcPr>
            <w:tcW w:w="1414" w:type="pct"/>
            <w:gridSpan w:val="2"/>
            <w:vMerge w:val="restart"/>
            <w:tcBorders>
              <w:top w:val="single" w:sz="8" w:space="0" w:color="auto"/>
              <w:left w:val="single" w:sz="8" w:space="0" w:color="auto"/>
              <w:right w:val="nil"/>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Otros*</w:t>
            </w:r>
          </w:p>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 </w:t>
            </w:r>
          </w:p>
        </w:tc>
        <w:tc>
          <w:tcPr>
            <w:tcW w:w="1879" w:type="pct"/>
            <w:tcBorders>
              <w:top w:val="single" w:sz="8" w:space="0" w:color="auto"/>
              <w:left w:val="single" w:sz="8" w:space="0" w:color="auto"/>
              <w:bottom w:val="nil"/>
              <w:right w:val="nil"/>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Compuesto de estiércol</w:t>
            </w:r>
          </w:p>
        </w:tc>
        <w:tc>
          <w:tcPr>
            <w:tcW w:w="569" w:type="pct"/>
            <w:tcBorders>
              <w:top w:val="single" w:sz="8" w:space="0" w:color="auto"/>
              <w:left w:val="nil"/>
              <w:bottom w:val="nil"/>
              <w:right w:val="nil"/>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12,0</w:t>
            </w:r>
          </w:p>
        </w:tc>
        <w:tc>
          <w:tcPr>
            <w:tcW w:w="569" w:type="pct"/>
            <w:tcBorders>
              <w:top w:val="single" w:sz="8" w:space="0" w:color="auto"/>
              <w:left w:val="nil"/>
              <w:bottom w:val="nil"/>
              <w:right w:val="nil"/>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15,6</w:t>
            </w:r>
          </w:p>
        </w:tc>
        <w:tc>
          <w:tcPr>
            <w:tcW w:w="569" w:type="pct"/>
            <w:tcBorders>
              <w:top w:val="single" w:sz="8" w:space="0" w:color="auto"/>
              <w:left w:val="nil"/>
              <w:bottom w:val="nil"/>
              <w:right w:val="single" w:sz="8" w:space="0" w:color="auto"/>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12,5</w:t>
            </w:r>
          </w:p>
        </w:tc>
      </w:tr>
      <w:tr w:rsidR="00412AFB" w:rsidRPr="00993936" w:rsidTr="009D1A2D">
        <w:trPr>
          <w:trHeight w:val="300"/>
        </w:trPr>
        <w:tc>
          <w:tcPr>
            <w:tcW w:w="1414" w:type="pct"/>
            <w:gridSpan w:val="2"/>
            <w:vMerge/>
            <w:tcBorders>
              <w:left w:val="single" w:sz="8" w:space="0" w:color="auto"/>
              <w:right w:val="nil"/>
            </w:tcBorders>
            <w:shd w:val="clear" w:color="auto" w:fill="FFFFFF"/>
            <w:noWrap/>
            <w:vAlign w:val="bottom"/>
          </w:tcPr>
          <w:p w:rsidR="00412AFB" w:rsidRPr="00993936" w:rsidRDefault="00412AFB" w:rsidP="009D1A2D">
            <w:pPr>
              <w:pStyle w:val="Sinespaciado"/>
              <w:rPr>
                <w:rFonts w:ascii="Arial" w:hAnsi="Arial" w:cs="Arial"/>
                <w:lang w:val="es-ES" w:eastAsia="ca-ES"/>
              </w:rPr>
            </w:pPr>
          </w:p>
        </w:tc>
        <w:tc>
          <w:tcPr>
            <w:tcW w:w="1879" w:type="pct"/>
            <w:tcBorders>
              <w:top w:val="nil"/>
              <w:left w:val="single" w:sz="8" w:space="0" w:color="auto"/>
              <w:bottom w:val="nil"/>
              <w:right w:val="nil"/>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Compuesto de lodos de depuradora</w:t>
            </w:r>
          </w:p>
        </w:tc>
        <w:tc>
          <w:tcPr>
            <w:tcW w:w="569" w:type="pct"/>
            <w:tcBorders>
              <w:top w:val="nil"/>
              <w:left w:val="nil"/>
              <w:bottom w:val="nil"/>
              <w:right w:val="nil"/>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18,8</w:t>
            </w:r>
          </w:p>
        </w:tc>
        <w:tc>
          <w:tcPr>
            <w:tcW w:w="569" w:type="pct"/>
            <w:tcBorders>
              <w:top w:val="nil"/>
              <w:left w:val="nil"/>
              <w:bottom w:val="nil"/>
              <w:right w:val="nil"/>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23,3</w:t>
            </w:r>
          </w:p>
        </w:tc>
        <w:tc>
          <w:tcPr>
            <w:tcW w:w="569" w:type="pct"/>
            <w:tcBorders>
              <w:top w:val="nil"/>
              <w:left w:val="nil"/>
              <w:bottom w:val="nil"/>
              <w:right w:val="single" w:sz="8" w:space="0" w:color="auto"/>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6,2</w:t>
            </w:r>
          </w:p>
        </w:tc>
      </w:tr>
      <w:tr w:rsidR="00412AFB" w:rsidRPr="00993936" w:rsidTr="009D1A2D">
        <w:trPr>
          <w:trHeight w:val="300"/>
        </w:trPr>
        <w:tc>
          <w:tcPr>
            <w:tcW w:w="1414" w:type="pct"/>
            <w:gridSpan w:val="2"/>
            <w:vMerge/>
            <w:tcBorders>
              <w:left w:val="single" w:sz="8" w:space="0" w:color="auto"/>
              <w:bottom w:val="single" w:sz="8" w:space="0" w:color="auto"/>
              <w:right w:val="nil"/>
            </w:tcBorders>
            <w:shd w:val="clear" w:color="auto" w:fill="FFFFFF"/>
            <w:noWrap/>
            <w:vAlign w:val="bottom"/>
          </w:tcPr>
          <w:p w:rsidR="00412AFB" w:rsidRPr="00993936" w:rsidRDefault="00412AFB" w:rsidP="009D1A2D">
            <w:pPr>
              <w:pStyle w:val="Sinespaciado"/>
              <w:rPr>
                <w:rFonts w:ascii="Arial" w:hAnsi="Arial" w:cs="Arial"/>
                <w:lang w:val="es-ES" w:eastAsia="ca-ES"/>
              </w:rPr>
            </w:pPr>
          </w:p>
        </w:tc>
        <w:tc>
          <w:tcPr>
            <w:tcW w:w="1879" w:type="pct"/>
            <w:tcBorders>
              <w:top w:val="nil"/>
              <w:left w:val="single" w:sz="8" w:space="0" w:color="auto"/>
              <w:bottom w:val="single" w:sz="8" w:space="0" w:color="auto"/>
              <w:right w:val="nil"/>
            </w:tcBorders>
            <w:shd w:val="clear" w:color="auto" w:fill="FFFFFF"/>
            <w:noWrap/>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Lodos de depuradora**</w:t>
            </w:r>
          </w:p>
        </w:tc>
        <w:tc>
          <w:tcPr>
            <w:tcW w:w="569" w:type="pct"/>
            <w:tcBorders>
              <w:top w:val="nil"/>
              <w:left w:val="nil"/>
              <w:bottom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10,5</w:t>
            </w:r>
          </w:p>
        </w:tc>
        <w:tc>
          <w:tcPr>
            <w:tcW w:w="569" w:type="pct"/>
            <w:tcBorders>
              <w:top w:val="nil"/>
              <w:left w:val="nil"/>
              <w:bottom w:val="single" w:sz="8" w:space="0" w:color="auto"/>
              <w:right w:val="nil"/>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13,0</w:t>
            </w:r>
          </w:p>
        </w:tc>
        <w:tc>
          <w:tcPr>
            <w:tcW w:w="569" w:type="pct"/>
            <w:tcBorders>
              <w:top w:val="nil"/>
              <w:left w:val="nil"/>
              <w:bottom w:val="single" w:sz="8" w:space="0" w:color="auto"/>
              <w:right w:val="single" w:sz="8" w:space="0" w:color="auto"/>
            </w:tcBorders>
            <w:shd w:val="clear" w:color="auto" w:fill="FFFFFF"/>
            <w:vAlign w:val="center"/>
          </w:tcPr>
          <w:p w:rsidR="00412AFB" w:rsidRPr="00993936" w:rsidRDefault="00412AFB" w:rsidP="009D1A2D">
            <w:pPr>
              <w:pStyle w:val="Sinespaciado"/>
              <w:rPr>
                <w:rFonts w:ascii="Arial" w:hAnsi="Arial" w:cs="Arial"/>
                <w:lang w:val="es-ES" w:eastAsia="ca-ES"/>
              </w:rPr>
            </w:pPr>
            <w:r w:rsidRPr="00993936">
              <w:rPr>
                <w:rFonts w:ascii="Arial" w:hAnsi="Arial" w:cs="Arial"/>
                <w:lang w:val="es-ES" w:eastAsia="ca-ES"/>
              </w:rPr>
              <w:t>1,2</w:t>
            </w:r>
          </w:p>
        </w:tc>
      </w:tr>
    </w:tbl>
    <w:p w:rsidR="00412AFB" w:rsidRPr="00993936" w:rsidRDefault="00412AFB" w:rsidP="00412AFB">
      <w:pPr>
        <w:rPr>
          <w:rFonts w:ascii="Arial" w:hAnsi="Arial" w:cs="Arial"/>
          <w:lang w:val="es-ES"/>
        </w:rPr>
      </w:pPr>
      <w:r w:rsidRPr="00993936">
        <w:rPr>
          <w:rFonts w:ascii="Arial" w:hAnsi="Arial" w:cs="Arial"/>
          <w:lang w:val="es-ES"/>
        </w:rPr>
        <w:t>* Estos materiales están sujetos a una variabilidad asociada a las materias primas utilizadas en cada planta.</w:t>
      </w:r>
    </w:p>
    <w:p w:rsidR="00412AFB" w:rsidRPr="00993936" w:rsidRDefault="00412AFB" w:rsidP="006043F1">
      <w:pPr>
        <w:rPr>
          <w:rFonts w:ascii="Arial" w:hAnsi="Arial" w:cs="Arial"/>
          <w:b/>
          <w:lang w:val="es-ES"/>
        </w:rPr>
      </w:pPr>
      <w:r w:rsidRPr="00993936">
        <w:rPr>
          <w:rFonts w:ascii="Arial" w:hAnsi="Arial" w:cs="Arial"/>
          <w:lang w:val="es-ES"/>
        </w:rPr>
        <w:t>** Solo pueden utilizarse lodos de depuradora que hayan sido previamente tratados.</w:t>
      </w:r>
    </w:p>
    <w:p w:rsidR="00412AFB" w:rsidRPr="00993936" w:rsidRDefault="00412AFB" w:rsidP="00412AFB">
      <w:pPr>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ANEXO 11</w:t>
      </w:r>
    </w:p>
    <w:p w:rsidR="00412AFB" w:rsidRPr="00993936" w:rsidRDefault="00412AFB" w:rsidP="00412AFB">
      <w:pPr>
        <w:jc w:val="both"/>
        <w:rPr>
          <w:rFonts w:ascii="Arial" w:hAnsi="Arial" w:cs="Arial"/>
          <w:b/>
          <w:lang w:val="es-ES"/>
        </w:rPr>
      </w:pPr>
    </w:p>
    <w:p w:rsidR="00412AFB" w:rsidRPr="00993936" w:rsidRDefault="00412AFB" w:rsidP="00412AFB">
      <w:pPr>
        <w:jc w:val="both"/>
        <w:rPr>
          <w:rFonts w:ascii="Arial" w:hAnsi="Arial" w:cs="Arial"/>
          <w:b/>
          <w:lang w:val="es-ES"/>
        </w:rPr>
      </w:pPr>
      <w:r w:rsidRPr="00993936">
        <w:rPr>
          <w:rFonts w:ascii="Arial" w:hAnsi="Arial" w:cs="Arial"/>
          <w:b/>
          <w:lang w:val="es-ES"/>
        </w:rPr>
        <w:t>11.1 Método Merrien-Keller para el cálculo del coeficiente de uniformidad de un sistema de riego</w:t>
      </w:r>
    </w:p>
    <w:p w:rsidR="00412AFB" w:rsidRPr="00993936" w:rsidRDefault="00412AFB" w:rsidP="00412AFB">
      <w:pPr>
        <w:jc w:val="both"/>
        <w:rPr>
          <w:rFonts w:ascii="Arial" w:hAnsi="Arial" w:cs="Arial"/>
          <w:b/>
          <w:lang w:val="es-ES"/>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412AFB" w:rsidRPr="00993936" w:rsidTr="00C8678E">
        <w:tc>
          <w:tcPr>
            <w:tcW w:w="496" w:type="dxa"/>
          </w:tcPr>
          <w:p w:rsidR="00412AFB" w:rsidRPr="00993936" w:rsidRDefault="00412AFB" w:rsidP="00C8678E">
            <w:pPr>
              <w:jc w:val="both"/>
              <w:rPr>
                <w:rFonts w:ascii="Arial" w:hAnsi="Arial" w:cs="Arial"/>
                <w:lang w:val="es-ES"/>
              </w:rPr>
            </w:pPr>
          </w:p>
        </w:tc>
        <w:tc>
          <w:tcPr>
            <w:tcW w:w="283" w:type="dxa"/>
          </w:tcPr>
          <w:p w:rsidR="00412AFB" w:rsidRPr="00993936" w:rsidRDefault="00412AFB" w:rsidP="00C8678E">
            <w:pPr>
              <w:jc w:val="both"/>
              <w:rPr>
                <w:rFonts w:ascii="Arial" w:hAnsi="Arial" w:cs="Arial"/>
                <w:lang w:val="es-ES"/>
              </w:rPr>
            </w:pPr>
          </w:p>
        </w:tc>
        <w:tc>
          <w:tcPr>
            <w:tcW w:w="709" w:type="dxa"/>
          </w:tcPr>
          <w:p w:rsidR="00412AFB" w:rsidRPr="00993936" w:rsidRDefault="00412AFB" w:rsidP="00C8678E">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25 %</w:t>
            </w:r>
          </w:p>
        </w:tc>
        <w:tc>
          <w:tcPr>
            <w:tcW w:w="283" w:type="dxa"/>
          </w:tcPr>
          <w:p w:rsidR="00412AFB" w:rsidRPr="00993936" w:rsidRDefault="00412AFB" w:rsidP="00C8678E">
            <w:pPr>
              <w:jc w:val="both"/>
              <w:rPr>
                <w:rFonts w:ascii="Arial" w:hAnsi="Arial" w:cs="Arial"/>
                <w:lang w:val="es-ES"/>
              </w:rPr>
            </w:pPr>
          </w:p>
        </w:tc>
        <w:tc>
          <w:tcPr>
            <w:tcW w:w="4804"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r w:rsidR="00412AFB" w:rsidRPr="00993936" w:rsidTr="00C8678E">
        <w:tc>
          <w:tcPr>
            <w:tcW w:w="496" w:type="dxa"/>
          </w:tcPr>
          <w:p w:rsidR="00412AFB" w:rsidRPr="00993936" w:rsidRDefault="00412AFB" w:rsidP="00C8678E">
            <w:pPr>
              <w:jc w:val="both"/>
              <w:rPr>
                <w:rFonts w:ascii="Arial" w:hAnsi="Arial" w:cs="Arial"/>
                <w:lang w:val="es-ES"/>
              </w:rPr>
            </w:pPr>
            <w:r w:rsidRPr="00993936">
              <w:rPr>
                <w:rFonts w:ascii="Arial" w:hAnsi="Arial" w:cs="Arial"/>
                <w:noProof/>
                <w:lang w:val="es-ES" w:eastAsia="es-ES"/>
              </w:rPr>
              <mc:AlternateContent>
                <mc:Choice Requires="wps">
                  <w:drawing>
                    <wp:anchor distT="0" distB="0" distL="114300" distR="114300" simplePos="0" relativeHeight="251844608" behindDoc="0" locked="0" layoutInCell="0" allowOverlap="1">
                      <wp:simplePos x="0" y="0"/>
                      <wp:positionH relativeFrom="column">
                        <wp:posOffset>471170</wp:posOffset>
                      </wp:positionH>
                      <wp:positionV relativeFrom="paragraph">
                        <wp:posOffset>100965</wp:posOffset>
                      </wp:positionV>
                      <wp:extent cx="365760" cy="0"/>
                      <wp:effectExtent l="13970" t="5715" r="10795" b="1333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86EDC5C" id="Conector recto 15"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pt,7.95pt" to="65.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CZdGQIAADM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" o:allowincell="f"/>
                  </w:pict>
                </mc:Fallback>
              </mc:AlternateContent>
            </w:r>
            <w:r w:rsidRPr="00993936">
              <w:rPr>
                <w:rFonts w:ascii="Arial" w:hAnsi="Arial" w:cs="Arial"/>
                <w:lang w:val="es-ES"/>
              </w:rPr>
              <w:t>CU</w:t>
            </w:r>
          </w:p>
        </w:tc>
        <w:tc>
          <w:tcPr>
            <w:tcW w:w="283" w:type="dxa"/>
          </w:tcPr>
          <w:p w:rsidR="00412AFB" w:rsidRPr="00993936" w:rsidRDefault="00412AFB" w:rsidP="00C8678E">
            <w:pPr>
              <w:jc w:val="both"/>
              <w:rPr>
                <w:rFonts w:ascii="Arial" w:hAnsi="Arial" w:cs="Arial"/>
                <w:lang w:val="es-ES"/>
              </w:rPr>
            </w:pPr>
            <w:r w:rsidRPr="00993936">
              <w:rPr>
                <w:rFonts w:ascii="Arial" w:hAnsi="Arial" w:cs="Arial"/>
                <w:lang w:val="es-ES"/>
              </w:rPr>
              <w:t>=</w:t>
            </w:r>
          </w:p>
        </w:tc>
        <w:tc>
          <w:tcPr>
            <w:tcW w:w="709" w:type="dxa"/>
          </w:tcPr>
          <w:p w:rsidR="00412AFB" w:rsidRPr="00993936" w:rsidRDefault="00412AFB" w:rsidP="00C8678E">
            <w:pPr>
              <w:jc w:val="center"/>
              <w:rPr>
                <w:rFonts w:ascii="Arial" w:hAnsi="Arial" w:cs="Arial"/>
                <w:lang w:val="es-ES"/>
              </w:rPr>
            </w:pPr>
          </w:p>
        </w:tc>
        <w:tc>
          <w:tcPr>
            <w:tcW w:w="283" w:type="dxa"/>
          </w:tcPr>
          <w:p w:rsidR="00412AFB" w:rsidRPr="00993936" w:rsidRDefault="00412AFB" w:rsidP="00C8678E">
            <w:pPr>
              <w:jc w:val="both"/>
              <w:rPr>
                <w:rFonts w:ascii="Arial" w:hAnsi="Arial" w:cs="Arial"/>
                <w:lang w:val="es-ES"/>
              </w:rPr>
            </w:pPr>
            <w:r w:rsidRPr="00993936">
              <w:rPr>
                <w:rFonts w:ascii="Arial" w:hAnsi="Arial" w:cs="Arial"/>
                <w:lang w:val="es-ES"/>
              </w:rPr>
              <w:t>x</w:t>
            </w:r>
          </w:p>
        </w:tc>
        <w:tc>
          <w:tcPr>
            <w:tcW w:w="4804" w:type="dxa"/>
          </w:tcPr>
          <w:p w:rsidR="00412AFB" w:rsidRPr="00993936" w:rsidRDefault="00412AFB" w:rsidP="00C8678E">
            <w:pPr>
              <w:jc w:val="both"/>
              <w:rPr>
                <w:rFonts w:ascii="Arial" w:hAnsi="Arial" w:cs="Arial"/>
                <w:lang w:val="es-ES"/>
              </w:rPr>
            </w:pPr>
            <w:r w:rsidRPr="00993936">
              <w:rPr>
                <w:rFonts w:ascii="Arial" w:hAnsi="Arial" w:cs="Arial"/>
                <w:lang w:val="es-ES"/>
              </w:rPr>
              <w:t>100</w:t>
            </w: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r w:rsidR="00412AFB" w:rsidRPr="00993936" w:rsidTr="00C8678E">
        <w:tc>
          <w:tcPr>
            <w:tcW w:w="496" w:type="dxa"/>
          </w:tcPr>
          <w:p w:rsidR="00412AFB" w:rsidRPr="00993936" w:rsidRDefault="00412AFB" w:rsidP="00C8678E">
            <w:pPr>
              <w:jc w:val="both"/>
              <w:rPr>
                <w:rFonts w:ascii="Arial" w:hAnsi="Arial" w:cs="Arial"/>
                <w:lang w:val="es-ES"/>
              </w:rPr>
            </w:pPr>
          </w:p>
        </w:tc>
        <w:tc>
          <w:tcPr>
            <w:tcW w:w="283" w:type="dxa"/>
          </w:tcPr>
          <w:p w:rsidR="00412AFB" w:rsidRPr="00993936" w:rsidRDefault="00412AFB" w:rsidP="00C8678E">
            <w:pPr>
              <w:jc w:val="both"/>
              <w:rPr>
                <w:rFonts w:ascii="Arial" w:hAnsi="Arial" w:cs="Arial"/>
                <w:lang w:val="es-ES"/>
              </w:rPr>
            </w:pPr>
          </w:p>
        </w:tc>
        <w:tc>
          <w:tcPr>
            <w:tcW w:w="709" w:type="dxa"/>
          </w:tcPr>
          <w:p w:rsidR="00412AFB" w:rsidRPr="00993936" w:rsidRDefault="00412AFB" w:rsidP="00C8678E">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3" w:type="dxa"/>
          </w:tcPr>
          <w:p w:rsidR="00412AFB" w:rsidRPr="00993936" w:rsidRDefault="00412AFB" w:rsidP="00C8678E">
            <w:pPr>
              <w:jc w:val="both"/>
              <w:rPr>
                <w:rFonts w:ascii="Arial" w:hAnsi="Arial" w:cs="Arial"/>
                <w:lang w:val="es-ES"/>
              </w:rPr>
            </w:pPr>
          </w:p>
        </w:tc>
        <w:tc>
          <w:tcPr>
            <w:tcW w:w="4804"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c>
          <w:tcPr>
            <w:tcW w:w="1315" w:type="dxa"/>
          </w:tcPr>
          <w:p w:rsidR="00412AFB" w:rsidRPr="00993936" w:rsidRDefault="00412AFB" w:rsidP="00C8678E">
            <w:pPr>
              <w:jc w:val="both"/>
              <w:rPr>
                <w:rFonts w:ascii="Arial" w:hAnsi="Arial" w:cs="Arial"/>
                <w:lang w:val="es-ES"/>
              </w:rPr>
            </w:pPr>
          </w:p>
        </w:tc>
      </w:tr>
    </w:tbl>
    <w:p w:rsidR="00412AFB" w:rsidRPr="00993936" w:rsidRDefault="00412AFB" w:rsidP="00412AFB">
      <w:pPr>
        <w:jc w:val="both"/>
        <w:rPr>
          <w:rFonts w:ascii="Arial" w:hAnsi="Arial" w:cs="Arial"/>
          <w:lang w:val="es-ES"/>
        </w:rPr>
      </w:pPr>
    </w:p>
    <w:p w:rsidR="00412AFB" w:rsidRPr="00993936" w:rsidRDefault="00412AFB" w:rsidP="00412AFB">
      <w:pPr>
        <w:jc w:val="both"/>
        <w:rPr>
          <w:rFonts w:ascii="Arial" w:hAnsi="Arial" w:cs="Arial"/>
          <w:lang w:val="es-ES"/>
        </w:rPr>
      </w:pPr>
      <w:r w:rsidRPr="00993936">
        <w:rPr>
          <w:rFonts w:ascii="Arial" w:hAnsi="Arial" w:cs="Arial"/>
          <w:lang w:val="es-ES"/>
        </w:rPr>
        <w:t>CU = Coeficiente de uniformidad.</w:t>
      </w:r>
    </w:p>
    <w:p w:rsidR="00412AFB" w:rsidRPr="00993936" w:rsidRDefault="00412AFB" w:rsidP="00412AFB">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 xml:space="preserve">25 % </w:t>
      </w:r>
      <w:r w:rsidRPr="00993936">
        <w:rPr>
          <w:rFonts w:ascii="Arial" w:hAnsi="Arial" w:cs="Arial"/>
          <w:lang w:val="es-ES"/>
        </w:rPr>
        <w:t>= Media aritmética del caudal de descarga del 25 % de los emisores con caudal más reducido.</w:t>
      </w:r>
    </w:p>
    <w:p w:rsidR="00412AFB" w:rsidRPr="00993936" w:rsidRDefault="00412AFB" w:rsidP="00412AFB">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 xml:space="preserve">n </w:t>
      </w:r>
      <w:r w:rsidRPr="00993936">
        <w:rPr>
          <w:rFonts w:ascii="Arial" w:hAnsi="Arial" w:cs="Arial"/>
          <w:lang w:val="es-ES"/>
        </w:rPr>
        <w:t>= Caudal medio de todos los emisores.</w:t>
      </w:r>
    </w:p>
    <w:p w:rsidR="00412AFB" w:rsidRPr="00993936" w:rsidRDefault="00412AFB" w:rsidP="00412AFB">
      <w:pPr>
        <w:jc w:val="both"/>
        <w:rPr>
          <w:rFonts w:ascii="Arial" w:hAnsi="Arial" w:cs="Arial"/>
          <w:lang w:val="es-ES"/>
        </w:rPr>
      </w:pPr>
      <w:r w:rsidRPr="00993936">
        <w:rPr>
          <w:rFonts w:ascii="Arial" w:hAnsi="Arial" w:cs="Arial"/>
          <w:lang w:val="es-ES"/>
        </w:rPr>
        <w:t xml:space="preserve">n = Número de unidades o puntos de control (Se recomienda que </w:t>
      </w:r>
      <w:r w:rsidR="003237E7" w:rsidRPr="00993936">
        <w:rPr>
          <w:rFonts w:ascii="Arial" w:hAnsi="Arial" w:cs="Arial"/>
          <w:lang w:val="es-ES"/>
        </w:rPr>
        <w:t>n ≥ 16</w:t>
      </w:r>
      <w:r w:rsidRPr="00993936">
        <w:rPr>
          <w:rFonts w:ascii="Arial" w:hAnsi="Arial" w:cs="Arial"/>
          <w:lang w:val="es-ES"/>
        </w:rPr>
        <w:t>). En caso de que la unidad de control tenga más de un emisor, el caudal total que ha de considerarse será la suma del caudal de todos los emisores que constituyen la unidad.</w:t>
      </w:r>
    </w:p>
    <w:p w:rsidR="00503A41" w:rsidRPr="00993936" w:rsidRDefault="00412AFB" w:rsidP="00412AFB">
      <w:pPr>
        <w:jc w:val="center"/>
        <w:rPr>
          <w:rFonts w:ascii="Arial" w:hAnsi="Arial" w:cs="Arial"/>
          <w:lang w:val="es-ES"/>
        </w:rPr>
      </w:pPr>
      <w:r w:rsidRPr="00993936">
        <w:rPr>
          <w:rFonts w:ascii="Arial" w:hAnsi="Arial" w:cs="Arial"/>
          <w:lang w:val="es-ES"/>
        </w:rPr>
        <w:t>.-.-.-.-.-.-.-.-.-.-.-.-.-.-.-.-.-.-.-.-.-.-.-.-.</w:t>
      </w:r>
    </w:p>
    <w:p w:rsidR="00503A41" w:rsidRPr="00993936" w:rsidRDefault="00503A41">
      <w:pPr>
        <w:rPr>
          <w:rFonts w:ascii="Arial" w:hAnsi="Arial" w:cs="Arial"/>
          <w:lang w:val="es-ES"/>
        </w:rPr>
      </w:pPr>
      <w:r w:rsidRPr="00993936">
        <w:rPr>
          <w:rFonts w:ascii="Arial" w:hAnsi="Arial" w:cs="Arial"/>
          <w:lang w:val="es-ES"/>
        </w:rPr>
        <w:br w:type="page"/>
      </w:r>
    </w:p>
    <w:p w:rsidR="00503A41" w:rsidRPr="00993936" w:rsidRDefault="00503A41" w:rsidP="00441998">
      <w:pPr>
        <w:jc w:val="both"/>
        <w:rPr>
          <w:rFonts w:ascii="Arial" w:hAnsi="Arial" w:cs="Arial"/>
          <w:b/>
          <w:sz w:val="24"/>
          <w:szCs w:val="24"/>
          <w:lang w:val="es-ES"/>
        </w:rPr>
      </w:pPr>
      <w:r w:rsidRPr="00993936">
        <w:rPr>
          <w:rFonts w:ascii="Arial" w:hAnsi="Arial" w:cs="Arial"/>
          <w:b/>
          <w:sz w:val="24"/>
          <w:szCs w:val="24"/>
          <w:lang w:val="es-ES"/>
        </w:rPr>
        <w:lastRenderedPageBreak/>
        <w:t>Anexo VI. Norma técnica de producción integrada de frutales de hueso</w:t>
      </w:r>
      <w:r w:rsidRPr="00993936">
        <w:rPr>
          <w:rFonts w:ascii="Arial" w:hAnsi="Arial" w:cs="Arial"/>
          <w:b/>
          <w:vanish/>
          <w:sz w:val="24"/>
          <w:szCs w:val="24"/>
          <w:lang w:val="es-ES"/>
        </w:rPr>
        <w:t>&lt;A[hueso|pepita]&gt;</w:t>
      </w:r>
      <w:r w:rsidRPr="00993936">
        <w:rPr>
          <w:rFonts w:ascii="Arial" w:hAnsi="Arial" w:cs="Arial"/>
          <w:b/>
          <w:sz w:val="24"/>
          <w:szCs w:val="24"/>
          <w:lang w:val="es-ES"/>
        </w:rPr>
        <w:t>.</w:t>
      </w:r>
    </w:p>
    <w:p w:rsidR="00503A41" w:rsidRPr="00993936" w:rsidRDefault="00503A41" w:rsidP="000452B8">
      <w:pPr>
        <w:jc w:val="both"/>
        <w:rPr>
          <w:rFonts w:ascii="Arial" w:hAnsi="Arial" w:cs="Arial"/>
          <w:lang w:val="es-ES"/>
        </w:rPr>
      </w:pPr>
      <w:r w:rsidRPr="00993936">
        <w:rPr>
          <w:rFonts w:ascii="Arial" w:hAnsi="Arial" w:cs="Arial"/>
          <w:b/>
          <w:lang w:val="es-ES"/>
        </w:rPr>
        <w:t>Definiciones</w:t>
      </w:r>
      <w:r w:rsidRPr="00993936">
        <w:rPr>
          <w:rFonts w:ascii="Arial" w:hAnsi="Arial" w:cs="Arial"/>
          <w:lang w:val="es-ES"/>
        </w:rPr>
        <w:tab/>
      </w:r>
    </w:p>
    <w:p w:rsidR="00503A41" w:rsidRPr="00993936" w:rsidRDefault="00503A41" w:rsidP="000452B8">
      <w:pPr>
        <w:jc w:val="both"/>
        <w:rPr>
          <w:rFonts w:ascii="Arial" w:hAnsi="Arial" w:cs="Arial"/>
          <w:lang w:val="es-ES"/>
        </w:rPr>
      </w:pPr>
      <w:r w:rsidRPr="00993936">
        <w:rPr>
          <w:rFonts w:ascii="Arial" w:hAnsi="Arial" w:cs="Arial"/>
          <w:lang w:val="es-ES"/>
        </w:rPr>
        <w:t>A los efectos de esta norma se entenderá por</w:t>
      </w:r>
      <w:r w:rsidRPr="00993936">
        <w:rPr>
          <w:rFonts w:ascii="Arial" w:hAnsi="Arial" w:cs="Arial"/>
          <w:vanish/>
          <w:lang w:val="es-ES"/>
        </w:rPr>
        <w:t>&lt;A[por|para]&gt;</w:t>
      </w:r>
      <w:r w:rsidRPr="00993936">
        <w:rPr>
          <w:rFonts w:ascii="Arial" w:hAnsi="Arial" w:cs="Arial"/>
          <w:lang w:val="es-ES"/>
        </w:rPr>
        <w:t>:</w:t>
      </w:r>
    </w:p>
    <w:p w:rsidR="00503A41" w:rsidRPr="00993936" w:rsidRDefault="00503A41" w:rsidP="000452B8">
      <w:pPr>
        <w:jc w:val="both"/>
        <w:rPr>
          <w:rFonts w:ascii="Arial" w:hAnsi="Arial" w:cs="Arial"/>
          <w:lang w:val="es-ES"/>
        </w:rPr>
      </w:pPr>
      <w:r w:rsidRPr="00993936">
        <w:rPr>
          <w:rFonts w:ascii="Arial" w:hAnsi="Arial" w:cs="Arial"/>
          <w:i/>
          <w:lang w:val="es-ES"/>
        </w:rPr>
        <w:t>Agrupación de Producción Integrada:</w:t>
      </w:r>
      <w:r w:rsidRPr="00993936">
        <w:rPr>
          <w:rFonts w:ascii="Arial" w:hAnsi="Arial" w:cs="Arial"/>
          <w:lang w:val="es-ES"/>
        </w:rPr>
        <w:t xml:space="preserve"> aquella agrupación de operadores constituida bajo cualquier fórmula jurídica o integrada en otra agrupación previamente constituida y reconocida por la autoridad competente con el objetivo de obtener productos vegetales bajo los requisitos de producción integrada para ser comercializados.</w:t>
      </w:r>
    </w:p>
    <w:p w:rsidR="00503A41" w:rsidRPr="00993936" w:rsidRDefault="00503A41" w:rsidP="000452B8">
      <w:pPr>
        <w:jc w:val="both"/>
        <w:rPr>
          <w:rFonts w:ascii="Arial" w:hAnsi="Arial" w:cs="Arial"/>
          <w:lang w:val="es-ES"/>
        </w:rPr>
      </w:pPr>
      <w:r w:rsidRPr="00993936">
        <w:rPr>
          <w:rFonts w:ascii="Arial" w:hAnsi="Arial" w:cs="Arial"/>
          <w:i/>
          <w:lang w:val="es-ES"/>
        </w:rPr>
        <w:t>Análisis de Peligros y Puntos de control críticos (APPCC):</w:t>
      </w:r>
      <w:r w:rsidRPr="00993936">
        <w:rPr>
          <w:rFonts w:ascii="Arial" w:hAnsi="Arial" w:cs="Arial"/>
          <w:lang w:val="es-ES"/>
        </w:rPr>
        <w:t xml:space="preserve"> enfoque sistemático de base científica que permite identificar riesgos específicos y medidas para el control, con la finalidad de asegurar la inocuidad de los alimentos. Es un instrumento para evaluar los riesgos y establecer sistemas de control que se orientan hacia la prevención en lugar de fundamentarse en el análisis del producto final.</w:t>
      </w:r>
    </w:p>
    <w:p w:rsidR="00503A41" w:rsidRPr="00993936" w:rsidRDefault="00503A41" w:rsidP="000452B8">
      <w:pPr>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w:t>
      </w:r>
      <w:r w:rsidRPr="00993936">
        <w:rPr>
          <w:rFonts w:ascii="Arial" w:hAnsi="Arial" w:cs="Arial"/>
          <w:vanish/>
          <w:lang w:val="es-ES"/>
        </w:rPr>
        <w:t>&lt;A[especies|especias]&gt;</w:t>
      </w:r>
      <w:r w:rsidRPr="00993936">
        <w:rPr>
          <w:rFonts w:ascii="Arial" w:hAnsi="Arial" w:cs="Arial"/>
          <w:lang w:val="es-ES"/>
        </w:rPr>
        <w:t xml:space="preserve"> diferentes que vive en un ecosistema determinado.</w:t>
      </w:r>
    </w:p>
    <w:p w:rsidR="00503A41" w:rsidRPr="00993936" w:rsidRDefault="00503A41" w:rsidP="000452B8">
      <w:pPr>
        <w:jc w:val="both"/>
        <w:rPr>
          <w:rFonts w:ascii="Arial" w:hAnsi="Arial" w:cs="Arial"/>
          <w:lang w:val="es-ES"/>
        </w:rPr>
      </w:pPr>
      <w:r w:rsidRPr="00993936">
        <w:rPr>
          <w:rFonts w:ascii="Arial" w:hAnsi="Arial" w:cs="Arial"/>
          <w:i/>
          <w:lang w:val="es-ES"/>
        </w:rPr>
        <w:t>Buenas prácticas fitosanitarias:</w:t>
      </w:r>
      <w:r w:rsidRPr="00993936">
        <w:rPr>
          <w:rFonts w:ascii="Arial" w:hAnsi="Arial" w:cs="Arial"/>
          <w:lang w:val="es-ES"/>
        </w:rPr>
        <w:t xml:space="preserve"> utilizar productos fitosanitarios y otros medios de defensa fitosanitaria bajo las condiciones de uso autorizadas.</w:t>
      </w:r>
    </w:p>
    <w:p w:rsidR="00503A41" w:rsidRPr="00993936" w:rsidRDefault="00503A41" w:rsidP="000452B8">
      <w:pPr>
        <w:jc w:val="both"/>
        <w:rPr>
          <w:rFonts w:ascii="Arial" w:hAnsi="Arial" w:cs="Arial"/>
          <w:lang w:val="es-ES"/>
        </w:rPr>
      </w:pPr>
      <w:r w:rsidRPr="00993936">
        <w:rPr>
          <w:rFonts w:ascii="Arial" w:hAnsi="Arial" w:cs="Arial"/>
          <w:i/>
          <w:lang w:val="es-ES"/>
        </w:rPr>
        <w:t>Central hortofrutícola:</w:t>
      </w:r>
      <w:r w:rsidRPr="00993936">
        <w:rPr>
          <w:rFonts w:ascii="Arial" w:hAnsi="Arial" w:cs="Arial"/>
          <w:lang w:val="es-ES"/>
        </w:rPr>
        <w:t xml:space="preserve"> instalación o conjunto de instalaciones donde se reciben, se manipulan, almacenan, envasan y expiden frutas y hortalizas.</w:t>
      </w:r>
    </w:p>
    <w:p w:rsidR="00503A41" w:rsidRPr="00993936" w:rsidRDefault="00503A41" w:rsidP="000452B8">
      <w:pPr>
        <w:jc w:val="both"/>
        <w:rPr>
          <w:rFonts w:ascii="Arial" w:hAnsi="Arial" w:cs="Arial"/>
          <w:lang w:val="es-ES"/>
        </w:rPr>
      </w:pPr>
      <w:r w:rsidRPr="00993936">
        <w:rPr>
          <w:rFonts w:ascii="Arial" w:hAnsi="Arial" w:cs="Arial"/>
          <w:i/>
          <w:lang w:val="es-ES"/>
        </w:rPr>
        <w:t>Coeficiente de uniformidad:</w:t>
      </w:r>
      <w:r w:rsidRPr="00993936">
        <w:rPr>
          <w:rFonts w:ascii="Arial" w:hAnsi="Arial" w:cs="Arial"/>
          <w:lang w:val="es-ES"/>
        </w:rPr>
        <w:t xml:space="preserve"> valor obtenido de aplicar una fórmula que indica la uniformidad en la distribución del agua aplicada por el sistema de riego. </w:t>
      </w:r>
    </w:p>
    <w:p w:rsidR="00503A41" w:rsidRPr="00993936" w:rsidRDefault="00503A41" w:rsidP="000452B8">
      <w:pPr>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almacenaje, la exposición para la venta o el ofrecimiento para vender productos vegetales.</w:t>
      </w:r>
    </w:p>
    <w:p w:rsidR="00503A41" w:rsidRPr="00993936" w:rsidRDefault="00503A41" w:rsidP="000452B8">
      <w:pPr>
        <w:jc w:val="both"/>
        <w:rPr>
          <w:rFonts w:ascii="Arial" w:hAnsi="Arial" w:cs="Arial"/>
          <w:lang w:val="es-ES"/>
        </w:rPr>
      </w:pPr>
      <w:r w:rsidRPr="00993936">
        <w:rPr>
          <w:rFonts w:ascii="Arial" w:hAnsi="Arial" w:cs="Arial"/>
          <w:i/>
          <w:lang w:val="es-ES"/>
        </w:rPr>
        <w:t>Control o lucha integrada:</w:t>
      </w:r>
      <w:r w:rsidRPr="00993936">
        <w:rPr>
          <w:rFonts w:ascii="Arial" w:hAnsi="Arial" w:cs="Arial"/>
          <w:b/>
          <w:lang w:val="es-ES"/>
        </w:rPr>
        <w:t xml:space="preserve"> </w:t>
      </w:r>
      <w:r w:rsidRPr="00993936">
        <w:rPr>
          <w:rFonts w:ascii="Arial" w:hAnsi="Arial" w:cs="Arial"/>
          <w:lang w:val="es-ES"/>
        </w:rPr>
        <w:t>la aplicación racional de una combinación de medidas biológicas, físicas, biotecnológicas, químicas, de cultivo o de selección de vegetales, de manera que la utilización de productos fitosanitarios se limite al mínimo necesario para controlar las plagas.</w:t>
      </w:r>
    </w:p>
    <w:p w:rsidR="00503A41" w:rsidRPr="00993936" w:rsidRDefault="00503A41" w:rsidP="000452B8">
      <w:pPr>
        <w:jc w:val="both"/>
        <w:rPr>
          <w:rFonts w:ascii="Arial" w:hAnsi="Arial" w:cs="Arial"/>
          <w:lang w:val="es-ES"/>
        </w:rPr>
      </w:pPr>
      <w:r w:rsidRPr="00993936">
        <w:rPr>
          <w:rFonts w:ascii="Arial" w:hAnsi="Arial" w:cs="Arial"/>
          <w:i/>
          <w:lang w:val="es-ES"/>
        </w:rPr>
        <w:t>Criterio de intervención:</w:t>
      </w:r>
      <w:r w:rsidRPr="00993936">
        <w:rPr>
          <w:rFonts w:ascii="Arial" w:hAnsi="Arial" w:cs="Arial"/>
          <w:lang w:val="es-ES"/>
        </w:rPr>
        <w:t xml:space="preserve"> conjunto de condiciones que permiten justificar la realización de un tratamiento contra una plaga o agente patógeno.</w:t>
      </w:r>
    </w:p>
    <w:p w:rsidR="00503A41" w:rsidRPr="00993936" w:rsidRDefault="00503A41" w:rsidP="000452B8">
      <w:pPr>
        <w:jc w:val="both"/>
        <w:rPr>
          <w:rFonts w:ascii="Arial" w:hAnsi="Arial" w:cs="Arial"/>
          <w:i/>
          <w:lang w:val="es-ES"/>
        </w:rPr>
      </w:pPr>
      <w:r w:rsidRPr="00993936">
        <w:rPr>
          <w:rFonts w:ascii="Arial" w:hAnsi="Arial" w:cs="Arial"/>
          <w:i/>
          <w:lang w:val="es-ES"/>
        </w:rPr>
        <w:t>Cultivo:</w:t>
      </w:r>
      <w:r w:rsidRPr="00993936">
        <w:rPr>
          <w:rFonts w:ascii="Arial" w:hAnsi="Arial" w:cs="Arial"/>
          <w:lang w:val="es-ES"/>
        </w:rPr>
        <w:t xml:space="preserve"> para cada especie la totalidad de la producción que gestiona un agricultor</w:t>
      </w:r>
      <w:r w:rsidRPr="00993936">
        <w:rPr>
          <w:rFonts w:ascii="Arial" w:hAnsi="Arial" w:cs="Arial"/>
          <w:i/>
          <w:lang w:val="es-ES"/>
        </w:rPr>
        <w:t>.</w:t>
      </w:r>
    </w:p>
    <w:p w:rsidR="00503A41" w:rsidRPr="00993936" w:rsidRDefault="00503A41" w:rsidP="000452B8">
      <w:pPr>
        <w:jc w:val="both"/>
        <w:rPr>
          <w:rFonts w:ascii="Arial" w:hAnsi="Arial" w:cs="Arial"/>
          <w:lang w:val="es-ES"/>
        </w:rPr>
      </w:pPr>
      <w:r w:rsidRPr="00993936">
        <w:rPr>
          <w:rFonts w:ascii="Arial" w:hAnsi="Arial" w:cs="Arial"/>
          <w:i/>
          <w:lang w:val="es-ES"/>
        </w:rPr>
        <w:t>Ecosistema:</w:t>
      </w:r>
      <w:r w:rsidRPr="00993936">
        <w:rPr>
          <w:rFonts w:ascii="Arial" w:hAnsi="Arial" w:cs="Arial"/>
          <w:lang w:val="es-ES"/>
        </w:rPr>
        <w:t xml:space="preserve"> sistema formado por el conjunto de seres vivos presentes en un lugar</w:t>
      </w:r>
      <w:r w:rsidRPr="00993936">
        <w:rPr>
          <w:rFonts w:ascii="Arial" w:hAnsi="Arial" w:cs="Arial"/>
          <w:vanish/>
          <w:lang w:val="es-ES"/>
        </w:rPr>
        <w:t>&lt;A[lugar|sitio]&gt;</w:t>
      </w:r>
      <w:r w:rsidRPr="00993936">
        <w:rPr>
          <w:rFonts w:ascii="Arial" w:hAnsi="Arial" w:cs="Arial"/>
          <w:lang w:val="es-ES"/>
        </w:rPr>
        <w:t xml:space="preserve"> determinado y el medio ambiente que le es propio.</w:t>
      </w:r>
    </w:p>
    <w:p w:rsidR="00503A41" w:rsidRPr="00993936" w:rsidRDefault="00503A41" w:rsidP="000452B8">
      <w:pPr>
        <w:jc w:val="both"/>
        <w:rPr>
          <w:rFonts w:ascii="Arial" w:hAnsi="Arial" w:cs="Arial"/>
          <w:lang w:val="es-ES"/>
        </w:rPr>
      </w:pPr>
      <w:r w:rsidRPr="00993936">
        <w:rPr>
          <w:rFonts w:ascii="Arial" w:hAnsi="Arial" w:cs="Arial"/>
          <w:i/>
          <w:lang w:val="es-ES"/>
        </w:rPr>
        <w:t>Enemigo natural:</w:t>
      </w:r>
      <w:r w:rsidRPr="00993936">
        <w:rPr>
          <w:rFonts w:ascii="Arial" w:hAnsi="Arial" w:cs="Arial"/>
          <w:lang w:val="es-ES"/>
        </w:rPr>
        <w:t xml:space="preserve"> insecto o ácaro que actúa como agente de control biológico interaccionando con las plagas del cultivo depredándolas o parasitándolas.</w:t>
      </w:r>
    </w:p>
    <w:p w:rsidR="00503A41" w:rsidRPr="00993936" w:rsidRDefault="00503A41" w:rsidP="000452B8">
      <w:pPr>
        <w:jc w:val="both"/>
        <w:rPr>
          <w:rFonts w:ascii="Arial" w:hAnsi="Arial" w:cs="Arial"/>
          <w:lang w:val="es-ES"/>
        </w:rPr>
      </w:pPr>
      <w:r w:rsidRPr="00993936">
        <w:rPr>
          <w:rFonts w:ascii="Arial" w:hAnsi="Arial" w:cs="Arial"/>
          <w:i/>
          <w:lang w:val="es-ES"/>
        </w:rPr>
        <w:t>Entidades de Certificación:</w:t>
      </w:r>
      <w:r w:rsidRPr="00993936">
        <w:rPr>
          <w:rFonts w:ascii="Arial" w:hAnsi="Arial" w:cs="Arial"/>
          <w:lang w:val="es-ES"/>
        </w:rPr>
        <w:t xml:space="preserve"> son aquellas entidades acreditadas por la Entidad Nacional de Acreditación (ENAC) para realizar las funciones de control y certificación, donde tendrá que estar sometida la producción para que los productos obtenidos puedan ser diferenciados con un distintivo de garantía de producción integrada, de acuerdo con el Decreto 241/2002 (DOGC nº. 3744, de 21.10.2002) o, si es el caso, las acreditadas por cualquier otro organismo acreditativo firmante del Acuerdo Multilateral de Reconocimiento del European Cooperation for Acreditation (EA).</w:t>
      </w:r>
    </w:p>
    <w:p w:rsidR="00503A41" w:rsidRPr="00993936" w:rsidRDefault="00503A41" w:rsidP="000452B8">
      <w:pPr>
        <w:jc w:val="both"/>
        <w:rPr>
          <w:rFonts w:ascii="Arial" w:hAnsi="Arial" w:cs="Arial"/>
          <w:lang w:val="es-ES"/>
        </w:rPr>
      </w:pPr>
      <w:r w:rsidRPr="00993936">
        <w:rPr>
          <w:rFonts w:ascii="Arial" w:hAnsi="Arial" w:cs="Arial"/>
          <w:i/>
          <w:lang w:val="es-ES"/>
        </w:rPr>
        <w:lastRenderedPageBreak/>
        <w:t>Especie mejorante:</w:t>
      </w:r>
      <w:r w:rsidRPr="00993936">
        <w:rPr>
          <w:rFonts w:ascii="Arial" w:hAnsi="Arial" w:cs="Arial"/>
          <w:lang w:val="es-ES"/>
        </w:rPr>
        <w:t xml:space="preserve"> especie vegetal, normalmente gramíneas o leguminosas que por</w:t>
      </w:r>
      <w:r w:rsidRPr="00993936">
        <w:rPr>
          <w:rFonts w:ascii="Arial" w:hAnsi="Arial" w:cs="Arial"/>
          <w:vanish/>
          <w:lang w:val="es-ES"/>
        </w:rPr>
        <w:t>&lt;A[por|para]&gt;</w:t>
      </w:r>
      <w:r w:rsidRPr="00993936">
        <w:rPr>
          <w:rFonts w:ascii="Arial" w:hAnsi="Arial" w:cs="Arial"/>
          <w:lang w:val="es-ES"/>
        </w:rPr>
        <w:t xml:space="preserve"> sus características biológicas mejoran las propiedades fisicoquímicas del suelo durante su cultivo.</w:t>
      </w:r>
    </w:p>
    <w:p w:rsidR="00503A41" w:rsidRPr="00993936" w:rsidRDefault="00503A41" w:rsidP="000452B8">
      <w:pPr>
        <w:jc w:val="both"/>
        <w:rPr>
          <w:rFonts w:ascii="Arial" w:hAnsi="Arial" w:cs="Arial"/>
          <w:lang w:val="es-ES"/>
        </w:rPr>
      </w:pPr>
      <w:r w:rsidRPr="00993936">
        <w:rPr>
          <w:rFonts w:ascii="Arial" w:hAnsi="Arial" w:cs="Arial"/>
          <w:i/>
          <w:lang w:val="es-ES"/>
        </w:rPr>
        <w:t>Etiquetado:</w:t>
      </w:r>
      <w:r w:rsidRPr="00993936">
        <w:rPr>
          <w:rFonts w:ascii="Arial" w:hAnsi="Arial" w:cs="Arial"/>
          <w:lang w:val="es-ES"/>
        </w:rPr>
        <w:t xml:space="preserve"> todas las menciones, las indicaciones, las identificaciones de fábrica o de comercio, las imágenes o los signos que figuran en los envases, documentos, letreros, etiquetas, argollas</w:t>
      </w:r>
      <w:r w:rsidRPr="00993936">
        <w:rPr>
          <w:rFonts w:ascii="Arial" w:hAnsi="Arial" w:cs="Arial"/>
          <w:vanish/>
          <w:lang w:val="es-ES"/>
        </w:rPr>
        <w:t>&lt;A[argollas|servilleteros]&gt;</w:t>
      </w:r>
      <w:r w:rsidRPr="00993936">
        <w:rPr>
          <w:rFonts w:ascii="Arial" w:hAnsi="Arial" w:cs="Arial"/>
          <w:lang w:val="es-ES"/>
        </w:rPr>
        <w:t xml:space="preserve"> o collares que acompañan o se refieran a productos que prevé el Decreto 241/2002</w:t>
      </w:r>
    </w:p>
    <w:p w:rsidR="00503A41" w:rsidRPr="00993936" w:rsidRDefault="00503A41" w:rsidP="000452B8">
      <w:pPr>
        <w:jc w:val="both"/>
        <w:rPr>
          <w:rFonts w:ascii="Arial" w:hAnsi="Arial" w:cs="Arial"/>
          <w:lang w:val="es-ES"/>
        </w:rPr>
      </w:pPr>
      <w:r w:rsidRPr="00993936">
        <w:rPr>
          <w:rFonts w:ascii="Arial" w:hAnsi="Arial" w:cs="Arial"/>
          <w:i/>
          <w:lang w:val="es-ES"/>
        </w:rPr>
        <w:t>Explotación:</w:t>
      </w:r>
      <w:r w:rsidRPr="00993936">
        <w:rPr>
          <w:rFonts w:ascii="Arial" w:hAnsi="Arial" w:cs="Arial"/>
          <w:b/>
          <w:lang w:val="es-ES"/>
        </w:rPr>
        <w:t xml:space="preserve"> </w:t>
      </w:r>
      <w:r w:rsidRPr="00993936">
        <w:rPr>
          <w:rFonts w:ascii="Arial" w:hAnsi="Arial" w:cs="Arial"/>
          <w:lang w:val="es-ES"/>
        </w:rPr>
        <w:t>conjunto de bienes productivos que dan origen a una actividad económica.</w:t>
      </w:r>
    </w:p>
    <w:p w:rsidR="00503A41" w:rsidRPr="00993936" w:rsidRDefault="00503A41" w:rsidP="000452B8">
      <w:pPr>
        <w:jc w:val="both"/>
        <w:rPr>
          <w:rFonts w:ascii="Arial" w:hAnsi="Arial" w:cs="Arial"/>
          <w:lang w:val="es-ES"/>
        </w:rPr>
      </w:pPr>
      <w:r w:rsidRPr="00993936">
        <w:rPr>
          <w:rFonts w:ascii="Arial" w:hAnsi="Arial" w:cs="Arial"/>
          <w:i/>
          <w:lang w:val="es-ES"/>
        </w:rPr>
        <w:t>Fauna auxiliar:</w:t>
      </w:r>
      <w:r w:rsidRPr="00993936">
        <w:rPr>
          <w:rFonts w:ascii="Arial" w:hAnsi="Arial" w:cs="Arial"/>
          <w:lang w:val="es-ES"/>
        </w:rPr>
        <w:t xml:space="preserve"> ved enemigo natural.</w:t>
      </w:r>
    </w:p>
    <w:p w:rsidR="00503A41" w:rsidRPr="00993936" w:rsidRDefault="00503A41" w:rsidP="000452B8">
      <w:pPr>
        <w:jc w:val="both"/>
        <w:rPr>
          <w:rFonts w:ascii="Arial" w:hAnsi="Arial" w:cs="Arial"/>
          <w:lang w:val="es-ES"/>
        </w:rPr>
      </w:pPr>
      <w:r w:rsidRPr="00993936">
        <w:rPr>
          <w:rFonts w:ascii="Arial" w:hAnsi="Arial" w:cs="Arial"/>
          <w:i/>
          <w:lang w:val="es-ES"/>
        </w:rPr>
        <w:t xml:space="preserve">Fertirrigación: </w:t>
      </w:r>
      <w:r w:rsidRPr="00993936">
        <w:rPr>
          <w:rFonts w:ascii="Arial" w:hAnsi="Arial" w:cs="Arial"/>
          <w:lang w:val="es-ES"/>
        </w:rPr>
        <w:t>técnica de aplicación de abonos</w:t>
      </w:r>
      <w:r w:rsidRPr="00993936">
        <w:rPr>
          <w:rFonts w:ascii="Arial" w:hAnsi="Arial" w:cs="Arial"/>
          <w:vanish/>
          <w:lang w:val="es-ES"/>
        </w:rPr>
        <w:t>&lt;A[abonos|adobos]&gt;</w:t>
      </w:r>
      <w:r w:rsidRPr="00993936">
        <w:rPr>
          <w:rFonts w:ascii="Arial" w:hAnsi="Arial" w:cs="Arial"/>
          <w:lang w:val="es-ES"/>
        </w:rPr>
        <w:t xml:space="preserve"> químicos en disolución acuosa mediante el agua de riego.</w:t>
      </w:r>
    </w:p>
    <w:p w:rsidR="00503A41" w:rsidRPr="00993936" w:rsidRDefault="00503A41" w:rsidP="000452B8">
      <w:pPr>
        <w:jc w:val="both"/>
        <w:rPr>
          <w:rFonts w:ascii="Arial" w:hAnsi="Arial" w:cs="Arial"/>
          <w:lang w:val="es-ES"/>
        </w:rPr>
      </w:pPr>
      <w:r w:rsidRPr="00993936">
        <w:rPr>
          <w:rFonts w:ascii="Arial" w:hAnsi="Arial" w:cs="Arial"/>
          <w:i/>
          <w:lang w:val="es-ES"/>
        </w:rPr>
        <w:t xml:space="preserve">Fructifica para consumir en fresco: </w:t>
      </w:r>
      <w:r w:rsidRPr="00993936">
        <w:rPr>
          <w:rFonts w:ascii="Arial" w:hAnsi="Arial" w:cs="Arial"/>
          <w:lang w:val="es-ES"/>
        </w:rPr>
        <w:t xml:space="preserve">aquella que se comercializa en fresco, lo cual supone que después de ser recolectada no ha sufrido procesado, a excepción de las operaciones de limpieza, pelado, cortado y/o envasado. </w:t>
      </w:r>
    </w:p>
    <w:p w:rsidR="00503A41" w:rsidRPr="00993936" w:rsidRDefault="00503A41" w:rsidP="000452B8">
      <w:pPr>
        <w:jc w:val="both"/>
        <w:rPr>
          <w:rFonts w:ascii="Arial" w:hAnsi="Arial" w:cs="Arial"/>
          <w:lang w:val="es-ES"/>
        </w:rPr>
      </w:pPr>
      <w:r w:rsidRPr="00993936">
        <w:rPr>
          <w:rFonts w:ascii="Arial" w:hAnsi="Arial" w:cs="Arial"/>
          <w:i/>
          <w:lang w:val="es-ES"/>
        </w:rPr>
        <w:t>Herbigación:</w:t>
      </w:r>
      <w:r w:rsidRPr="00993936">
        <w:rPr>
          <w:rFonts w:ascii="Arial" w:hAnsi="Arial" w:cs="Arial"/>
          <w:lang w:val="es-ES"/>
        </w:rPr>
        <w:t xml:space="preserve"> Aplicación de herbicidas a través de las instalaciones de riego localizado.</w:t>
      </w:r>
    </w:p>
    <w:p w:rsidR="00503A41" w:rsidRPr="00993936" w:rsidRDefault="00503A41" w:rsidP="000452B8">
      <w:pPr>
        <w:jc w:val="both"/>
        <w:rPr>
          <w:rFonts w:ascii="Arial" w:hAnsi="Arial" w:cs="Arial"/>
          <w:lang w:val="es-ES"/>
        </w:rPr>
      </w:pPr>
      <w:r w:rsidRPr="00993936">
        <w:rPr>
          <w:rFonts w:ascii="Arial" w:hAnsi="Arial" w:cs="Arial"/>
          <w:i/>
          <w:lang w:val="es-ES"/>
        </w:rPr>
        <w:t>Método de Merrien-Keller:</w:t>
      </w:r>
      <w:r w:rsidRPr="00993936">
        <w:rPr>
          <w:rFonts w:ascii="Arial" w:hAnsi="Arial" w:cs="Arial"/>
          <w:lang w:val="es-ES"/>
        </w:rPr>
        <w:t xml:space="preserve"> método de cálculo del coeficiente de uniformidad de un sistema de riego, expresado por la fórmula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503A41" w:rsidRPr="00993936" w:rsidTr="000452B8">
        <w:trPr>
          <w:cantSplit/>
        </w:trPr>
        <w:tc>
          <w:tcPr>
            <w:tcW w:w="921" w:type="dxa"/>
            <w:vMerge w:val="restart"/>
            <w:tcBorders>
              <w:top w:val="nil"/>
              <w:left w:val="nil"/>
              <w:bottom w:val="nil"/>
              <w:right w:val="nil"/>
            </w:tcBorders>
            <w:vAlign w:val="center"/>
          </w:tcPr>
          <w:p w:rsidR="00503A41" w:rsidRPr="00993936" w:rsidRDefault="00503A41" w:rsidP="000452B8">
            <w:pPr>
              <w:jc w:val="both"/>
              <w:rPr>
                <w:rFonts w:ascii="Arial" w:hAnsi="Arial" w:cs="Arial"/>
                <w:lang w:val="es-ES"/>
              </w:rPr>
            </w:pPr>
            <w:r w:rsidRPr="00993936">
              <w:rPr>
                <w:rFonts w:ascii="Arial" w:hAnsi="Arial" w:cs="Arial"/>
                <w:lang w:val="es-ES"/>
              </w:rPr>
              <w:t xml:space="preserve">CU = </w:t>
            </w:r>
          </w:p>
        </w:tc>
        <w:tc>
          <w:tcPr>
            <w:tcW w:w="992" w:type="dxa"/>
            <w:tcBorders>
              <w:top w:val="nil"/>
              <w:left w:val="nil"/>
              <w:bottom w:val="single" w:sz="4" w:space="0" w:color="auto"/>
              <w:right w:val="nil"/>
            </w:tcBorders>
          </w:tcPr>
          <w:p w:rsidR="00503A41" w:rsidRPr="00993936" w:rsidRDefault="00503A41" w:rsidP="000452B8">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25%</w:t>
            </w:r>
          </w:p>
        </w:tc>
        <w:tc>
          <w:tcPr>
            <w:tcW w:w="992" w:type="dxa"/>
            <w:vMerge w:val="restart"/>
            <w:tcBorders>
              <w:top w:val="nil"/>
              <w:left w:val="nil"/>
              <w:bottom w:val="nil"/>
              <w:right w:val="nil"/>
            </w:tcBorders>
            <w:vAlign w:val="center"/>
          </w:tcPr>
          <w:p w:rsidR="00503A41" w:rsidRPr="00993936" w:rsidRDefault="00503A41" w:rsidP="000452B8">
            <w:pPr>
              <w:jc w:val="both"/>
              <w:rPr>
                <w:rFonts w:ascii="Arial" w:hAnsi="Arial" w:cs="Arial"/>
                <w:lang w:val="es-ES"/>
              </w:rPr>
            </w:pPr>
            <w:r w:rsidRPr="00993936">
              <w:rPr>
                <w:rFonts w:ascii="Arial" w:hAnsi="Arial" w:cs="Arial"/>
                <w:lang w:val="es-ES"/>
              </w:rPr>
              <w:t xml:space="preserve"> X 100</w:t>
            </w:r>
          </w:p>
        </w:tc>
      </w:tr>
      <w:tr w:rsidR="00503A41" w:rsidRPr="00993936" w:rsidTr="000452B8">
        <w:trPr>
          <w:cantSplit/>
        </w:trPr>
        <w:tc>
          <w:tcPr>
            <w:tcW w:w="921" w:type="dxa"/>
            <w:vMerge/>
            <w:tcBorders>
              <w:top w:val="nil"/>
              <w:left w:val="nil"/>
              <w:bottom w:val="nil"/>
              <w:right w:val="nil"/>
            </w:tcBorders>
          </w:tcPr>
          <w:p w:rsidR="00503A41" w:rsidRPr="00993936" w:rsidRDefault="00503A41" w:rsidP="000452B8">
            <w:pPr>
              <w:jc w:val="both"/>
              <w:rPr>
                <w:rFonts w:ascii="Arial" w:hAnsi="Arial" w:cs="Arial"/>
                <w:lang w:val="es-ES"/>
              </w:rPr>
            </w:pPr>
          </w:p>
        </w:tc>
        <w:tc>
          <w:tcPr>
            <w:tcW w:w="992" w:type="dxa"/>
            <w:tcBorders>
              <w:top w:val="single" w:sz="4" w:space="0" w:color="auto"/>
              <w:left w:val="nil"/>
              <w:bottom w:val="nil"/>
              <w:right w:val="nil"/>
            </w:tcBorders>
          </w:tcPr>
          <w:p w:rsidR="00503A41" w:rsidRPr="00993936" w:rsidRDefault="00503A41" w:rsidP="000452B8">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n</w:t>
            </w:r>
          </w:p>
        </w:tc>
        <w:tc>
          <w:tcPr>
            <w:tcW w:w="992" w:type="dxa"/>
            <w:vMerge/>
            <w:tcBorders>
              <w:top w:val="nil"/>
              <w:left w:val="nil"/>
              <w:bottom w:val="nil"/>
              <w:right w:val="nil"/>
            </w:tcBorders>
          </w:tcPr>
          <w:p w:rsidR="00503A41" w:rsidRPr="00993936" w:rsidRDefault="00503A41" w:rsidP="000452B8">
            <w:pPr>
              <w:jc w:val="both"/>
              <w:rPr>
                <w:rFonts w:ascii="Arial" w:hAnsi="Arial" w:cs="Arial"/>
                <w:lang w:val="es-ES"/>
              </w:rPr>
            </w:pPr>
          </w:p>
        </w:tc>
      </w:tr>
    </w:tbl>
    <w:p w:rsidR="00503A41" w:rsidRPr="00993936" w:rsidRDefault="00503A41" w:rsidP="000452B8">
      <w:pPr>
        <w:jc w:val="both"/>
        <w:rPr>
          <w:rFonts w:ascii="Arial" w:hAnsi="Arial" w:cs="Arial"/>
          <w:lang w:val="es-ES"/>
        </w:rPr>
      </w:pPr>
      <w:r w:rsidRPr="00993936">
        <w:rPr>
          <w:rFonts w:ascii="Arial" w:hAnsi="Arial" w:cs="Arial"/>
          <w:lang w:val="es-ES"/>
        </w:rPr>
        <w:t>Donde Q</w:t>
      </w:r>
      <w:r w:rsidRPr="00993936">
        <w:rPr>
          <w:rFonts w:ascii="Arial" w:hAnsi="Arial" w:cs="Arial"/>
          <w:vertAlign w:val="subscript"/>
          <w:lang w:val="es-ES"/>
        </w:rPr>
        <w:t>25%</w:t>
      </w:r>
      <w:r w:rsidRPr="00993936">
        <w:rPr>
          <w:rFonts w:ascii="Arial" w:hAnsi="Arial" w:cs="Arial"/>
          <w:lang w:val="es-ES"/>
        </w:rPr>
        <w:t xml:space="preserve"> es la media del caudal de la descarga del 25% de los emisores del caudal más reducido;  Q</w:t>
      </w:r>
      <w:r w:rsidRPr="00993936">
        <w:rPr>
          <w:rFonts w:ascii="Arial" w:hAnsi="Arial" w:cs="Arial"/>
          <w:vertAlign w:val="subscript"/>
          <w:lang w:val="es-ES"/>
        </w:rPr>
        <w:t>n</w:t>
      </w:r>
      <w:r w:rsidRPr="00993936">
        <w:rPr>
          <w:rFonts w:ascii="Arial" w:hAnsi="Arial" w:cs="Arial"/>
          <w:lang w:val="es-ES"/>
        </w:rPr>
        <w:t xml:space="preserve"> es el caudal medio de todos los emisores, y n el número de unidades o puestos de control (se recomienda que n </w:t>
      </w:r>
      <w:r w:rsidR="00241200" w:rsidRPr="00993936">
        <w:rPr>
          <w:rFonts w:ascii="Arial" w:hAnsi="Arial" w:cs="Arial"/>
          <w:lang w:val="es-ES"/>
        </w:rPr>
        <w:t>≥</w:t>
      </w:r>
      <w:r w:rsidRPr="00993936">
        <w:rPr>
          <w:rFonts w:ascii="Arial" w:hAnsi="Arial" w:cs="Arial"/>
          <w:lang w:val="es-ES"/>
        </w:rPr>
        <w:t xml:space="preserve"> 16). En caso de que la unidad de control tenga más de un emisor, el caudal total a considerar será la suma del caudal de todos los emisores que constituyen la unidad.</w:t>
      </w:r>
    </w:p>
    <w:p w:rsidR="00503A41" w:rsidRPr="00993936" w:rsidRDefault="00503A41" w:rsidP="000452B8">
      <w:pPr>
        <w:jc w:val="both"/>
        <w:rPr>
          <w:rFonts w:ascii="Arial" w:hAnsi="Arial" w:cs="Arial"/>
          <w:lang w:val="es-ES"/>
        </w:rPr>
      </w:pPr>
      <w:r w:rsidRPr="00993936">
        <w:rPr>
          <w:rFonts w:ascii="Arial" w:hAnsi="Arial" w:cs="Arial"/>
          <w:i/>
          <w:lang w:val="es-ES"/>
        </w:rPr>
        <w:t>Operador o persona operadora:</w:t>
      </w:r>
      <w:r w:rsidRPr="00993936">
        <w:rPr>
          <w:rFonts w:ascii="Arial" w:hAnsi="Arial" w:cs="Arial"/>
          <w:lang w:val="es-ES"/>
        </w:rPr>
        <w:t xml:space="preserve"> toda persona física o jurídica que obtiene, manipula, elabora, envasa, etiqueta, almacena o comercializa productos vegetales en las condiciones que establece esta disposición y que como tal figura inscrita en el Registro del Consejo Catalán de la Producción Integrada.</w:t>
      </w:r>
    </w:p>
    <w:p w:rsidR="00503A41" w:rsidRPr="00993936" w:rsidRDefault="00503A41" w:rsidP="000452B8">
      <w:pPr>
        <w:jc w:val="both"/>
        <w:rPr>
          <w:rFonts w:ascii="Arial" w:hAnsi="Arial" w:cs="Arial"/>
          <w:lang w:val="es-ES"/>
        </w:rPr>
      </w:pPr>
      <w:r w:rsidRPr="00993936">
        <w:rPr>
          <w:rFonts w:ascii="Arial" w:hAnsi="Arial" w:cs="Arial"/>
          <w:i/>
          <w:lang w:val="es-ES"/>
        </w:rPr>
        <w:t>Operador individual:</w:t>
      </w:r>
      <w:r w:rsidRPr="00993936">
        <w:rPr>
          <w:rFonts w:ascii="Arial" w:hAnsi="Arial" w:cs="Arial"/>
          <w:lang w:val="es-ES"/>
        </w:rPr>
        <w:t xml:space="preserve"> aquel operador que no está agrupado bajo ninguna forma de Agrupación de Producción Integrada. </w:t>
      </w:r>
    </w:p>
    <w:p w:rsidR="00503A41" w:rsidRPr="00993936" w:rsidRDefault="00503A41" w:rsidP="000452B8">
      <w:pPr>
        <w:jc w:val="both"/>
        <w:rPr>
          <w:rFonts w:ascii="Arial" w:hAnsi="Arial" w:cs="Arial"/>
          <w:lang w:val="es-ES"/>
        </w:rPr>
      </w:pPr>
      <w:r w:rsidRPr="00993936">
        <w:rPr>
          <w:rFonts w:ascii="Arial" w:hAnsi="Arial" w:cs="Arial"/>
          <w:i/>
          <w:lang w:val="es-ES"/>
        </w:rPr>
        <w:t>Organismo de control biológico:</w:t>
      </w:r>
      <w:r w:rsidRPr="00993936">
        <w:rPr>
          <w:rFonts w:ascii="Arial" w:hAnsi="Arial" w:cs="Arial"/>
          <w:lang w:val="es-ES"/>
        </w:rPr>
        <w:t xml:space="preserve"> enemigo natural antagonista o competidor u otra entidad biótica capaz de reproducirse, utilizado para el control de plagas con excepción de los microorganismos y virus contenidos en la definición de sustancia activa.</w:t>
      </w:r>
    </w:p>
    <w:p w:rsidR="00503A41" w:rsidRPr="00993936" w:rsidRDefault="00503A41" w:rsidP="000452B8">
      <w:pPr>
        <w:jc w:val="both"/>
        <w:rPr>
          <w:rFonts w:ascii="Arial" w:hAnsi="Arial" w:cs="Arial"/>
          <w:lang w:val="es-ES"/>
        </w:rPr>
      </w:pPr>
      <w:r w:rsidRPr="00993936">
        <w:rPr>
          <w:rFonts w:ascii="Arial" w:hAnsi="Arial" w:cs="Arial"/>
          <w:i/>
          <w:lang w:val="es-ES"/>
        </w:rPr>
        <w:t>Parcela:</w:t>
      </w:r>
      <w:r w:rsidRPr="00993936">
        <w:rPr>
          <w:rFonts w:ascii="Arial" w:hAnsi="Arial" w:cs="Arial"/>
          <w:lang w:val="es-ES"/>
        </w:rPr>
        <w:t xml:space="preserve"> superficie continua de terreno geográficamente definida e inscrita en el Registro Catastral a nombre de unos o más titulares, donde el operador realiza las prácticas de producción integrada.</w:t>
      </w:r>
    </w:p>
    <w:p w:rsidR="00503A41" w:rsidRPr="00993936" w:rsidRDefault="00503A41" w:rsidP="000452B8">
      <w:pPr>
        <w:jc w:val="both"/>
        <w:rPr>
          <w:rFonts w:ascii="Arial" w:hAnsi="Arial" w:cs="Arial"/>
          <w:lang w:val="es-ES"/>
        </w:rPr>
      </w:pPr>
      <w:r w:rsidRPr="00993936">
        <w:rPr>
          <w:rFonts w:ascii="Arial" w:hAnsi="Arial" w:cs="Arial"/>
          <w:i/>
          <w:lang w:val="es-ES"/>
        </w:rPr>
        <w:t>Pérdidas técnicas de nutrientes:</w:t>
      </w:r>
      <w:r w:rsidRPr="00993936">
        <w:rPr>
          <w:rFonts w:ascii="Arial" w:hAnsi="Arial" w:cs="Arial"/>
          <w:lang w:val="es-ES"/>
        </w:rPr>
        <w:t xml:space="preserve"> son las que se deben a la falta de incorporación de elementos nutritivos a la planta como consecuencia de errores de homogeneidad en la aportación, extracción de vegetación adventicia, lixiviación, pérdida de asimilabilidad  </w:t>
      </w:r>
      <w:r w:rsidRPr="00993936">
        <w:rPr>
          <w:rFonts w:ascii="Arial" w:hAnsi="Arial" w:cs="Arial"/>
          <w:lang w:val="es-ES"/>
        </w:rPr>
        <w:lastRenderedPageBreak/>
        <w:t>por</w:t>
      </w:r>
      <w:r w:rsidRPr="00993936">
        <w:rPr>
          <w:rFonts w:ascii="Arial" w:hAnsi="Arial" w:cs="Arial"/>
          <w:vanish/>
          <w:lang w:val="es-ES"/>
        </w:rPr>
        <w:t>&lt;A[por|para]&gt;</w:t>
      </w:r>
      <w:r w:rsidRPr="00993936">
        <w:rPr>
          <w:rFonts w:ascii="Arial" w:hAnsi="Arial" w:cs="Arial"/>
          <w:lang w:val="es-ES"/>
        </w:rPr>
        <w:t xml:space="preserve"> antagonismos, transformación en compuestos orgánicos, precipitación o insolubilización de elementos minerales o cualquier otro factor biótico.</w:t>
      </w:r>
    </w:p>
    <w:p w:rsidR="00503A41" w:rsidRPr="00993936" w:rsidRDefault="00503A41" w:rsidP="000452B8">
      <w:pPr>
        <w:jc w:val="both"/>
        <w:rPr>
          <w:rFonts w:ascii="Arial" w:hAnsi="Arial" w:cs="Arial"/>
          <w:lang w:val="es-ES"/>
        </w:rPr>
      </w:pPr>
      <w:r w:rsidRPr="00993936">
        <w:rPr>
          <w:rFonts w:ascii="Arial" w:hAnsi="Arial" w:cs="Arial"/>
          <w:i/>
          <w:lang w:val="es-ES"/>
        </w:rPr>
        <w:t>Personal técnico competente:</w:t>
      </w:r>
      <w:r w:rsidRPr="00993936">
        <w:rPr>
          <w:rFonts w:ascii="Arial" w:hAnsi="Arial" w:cs="Arial"/>
          <w:lang w:val="es-ES"/>
        </w:rPr>
        <w:t xml:space="preserve"> persona/s física/s que presta/n servicio/s técnico/s de asistencia en producción integrada y que cuenta/n con titulación universitaria de grado medio o superior, de acuerdo con lo que especifica el artículo 11.1 del Decreto 241/2002.</w:t>
      </w:r>
    </w:p>
    <w:p w:rsidR="00503A41" w:rsidRPr="00993936" w:rsidRDefault="00503A41" w:rsidP="000452B8">
      <w:pPr>
        <w:jc w:val="both"/>
        <w:rPr>
          <w:rFonts w:ascii="Arial" w:hAnsi="Arial" w:cs="Arial"/>
          <w:lang w:val="es-ES"/>
        </w:rPr>
      </w:pPr>
      <w:r w:rsidRPr="00993936">
        <w:rPr>
          <w:rFonts w:ascii="Arial" w:hAnsi="Arial" w:cs="Arial"/>
          <w:i/>
          <w:lang w:val="es-ES"/>
        </w:rPr>
        <w:t>Producción integrada:</w:t>
      </w:r>
      <w:r w:rsidRPr="00993936">
        <w:rPr>
          <w:rFonts w:ascii="Arial" w:hAnsi="Arial" w:cs="Arial"/>
          <w:lang w:val="es-ES"/>
        </w:rPr>
        <w:t xml:space="preserve"> el sistema agrario de producción y obtención de alimentos de calidad, frescos o transformados, y otros productos, que prioriza la utilización de los recursos y mecanismos de regulación naturales, con el objetivo de optimizar los métodos de producción, evitar las aportaciones perjudiciales al medio ambiente y asegurar a largo plazo una agricultura y una ganadería sostenibles.</w:t>
      </w:r>
    </w:p>
    <w:p w:rsidR="00503A41" w:rsidRPr="00993936" w:rsidRDefault="00503A41" w:rsidP="000452B8">
      <w:pPr>
        <w:jc w:val="both"/>
        <w:rPr>
          <w:rFonts w:ascii="Arial" w:hAnsi="Arial" w:cs="Arial"/>
          <w:lang w:val="es-ES"/>
        </w:rPr>
      </w:pPr>
      <w:r w:rsidRPr="00993936">
        <w:rPr>
          <w:rFonts w:ascii="Arial" w:hAnsi="Arial" w:cs="Arial"/>
          <w:i/>
          <w:lang w:val="es-ES"/>
        </w:rPr>
        <w:t>Cuaderno de conservación/postcosecha:</w:t>
      </w:r>
      <w:r w:rsidRPr="00993936">
        <w:rPr>
          <w:rFonts w:ascii="Arial" w:hAnsi="Arial" w:cs="Arial"/>
          <w:lang w:val="es-ES"/>
        </w:rPr>
        <w:t xml:space="preserve"> documento donde se registran los datos relativos a las instalaciones de los productos vegetales, mediante el cual es posible hacer un seguimiento detallado de todas las operaciones de recepción, manipulado, almacenaje, envasado y expedición de frutas y hortalizas.</w:t>
      </w:r>
    </w:p>
    <w:p w:rsidR="00503A41" w:rsidRPr="00993936" w:rsidRDefault="00503A41" w:rsidP="000452B8">
      <w:pPr>
        <w:jc w:val="both"/>
        <w:rPr>
          <w:rFonts w:ascii="Arial" w:hAnsi="Arial" w:cs="Arial"/>
          <w:i/>
          <w:lang w:val="es-ES"/>
        </w:rPr>
      </w:pPr>
      <w:r w:rsidRPr="00993936">
        <w:rPr>
          <w:rFonts w:ascii="Arial" w:hAnsi="Arial" w:cs="Arial"/>
          <w:i/>
          <w:lang w:val="es-ES"/>
        </w:rPr>
        <w:t>Cuaderno de explotación:</w:t>
      </w:r>
      <w:r w:rsidRPr="00993936">
        <w:rPr>
          <w:rFonts w:ascii="Arial" w:hAnsi="Arial" w:cs="Arial"/>
          <w:lang w:val="es-ES"/>
        </w:rPr>
        <w:t xml:space="preserve"> documento donde se registran los datos relativos a una parcela o agrupación de parcelas de cultivo (ved definición de Unidad Homogénea de Cultivo), mediante el cual es posible hacer un seguimiento detallado de todas las operaciones culturales realizadas durante el ciclo de cultivo.</w:t>
      </w:r>
    </w:p>
    <w:p w:rsidR="00503A41" w:rsidRPr="00993936" w:rsidRDefault="00503A41" w:rsidP="000452B8">
      <w:pPr>
        <w:jc w:val="both"/>
        <w:rPr>
          <w:rFonts w:ascii="Arial" w:hAnsi="Arial" w:cs="Arial"/>
          <w:lang w:val="es-ES"/>
        </w:rPr>
      </w:pPr>
      <w:r w:rsidRPr="00993936">
        <w:rPr>
          <w:rFonts w:ascii="Arial" w:hAnsi="Arial" w:cs="Arial"/>
          <w:i/>
          <w:lang w:val="es-ES"/>
        </w:rPr>
        <w:t>Sustancia activa:</w:t>
      </w:r>
      <w:r w:rsidRPr="00993936">
        <w:rPr>
          <w:rFonts w:ascii="Arial" w:hAnsi="Arial" w:cs="Arial"/>
          <w:lang w:val="es-ES"/>
        </w:rPr>
        <w:t xml:space="preserve"> las sustancias o microorganismos, incluidos los virus, que ejercen una acción general o específica contra las plagas, incluidas las enfermedades, o en vegetales, partes de vegetales o productos vegetales.</w:t>
      </w:r>
    </w:p>
    <w:p w:rsidR="00503A41" w:rsidRPr="00993936" w:rsidRDefault="00503A41" w:rsidP="000452B8">
      <w:pPr>
        <w:jc w:val="both"/>
        <w:rPr>
          <w:rFonts w:ascii="Arial" w:hAnsi="Arial" w:cs="Arial"/>
          <w:lang w:val="es-ES"/>
        </w:rPr>
      </w:pPr>
      <w:r w:rsidRPr="00993936">
        <w:rPr>
          <w:rFonts w:ascii="Arial" w:hAnsi="Arial" w:cs="Arial"/>
          <w:i/>
          <w:lang w:val="es-ES"/>
        </w:rPr>
        <w:t>Unidad Homogénea de Cultivo (UHC):</w:t>
      </w:r>
      <w:r w:rsidRPr="00993936">
        <w:rPr>
          <w:rFonts w:ascii="Arial" w:hAnsi="Arial" w:cs="Arial"/>
          <w:lang w:val="es-ES"/>
        </w:rPr>
        <w:t xml:space="preserve"> para cada cultivo, superficie de terreno que presenta unas características similares con respecto al tipo de suelo, al sistema de riego y al tipo de cultivo, en la cual se aplican operaciones culturales y técnicas de cultivo similares, así como los mismos tratamientos fitosanitarios. En caso de agrupaciones de productores, podrá haber UHC que incluyan cultivos o partes de cultivos de varios agricultores. Para cultivos protegidos, la unidad homogénea de cultivo se encontrará dentro de un mismo recinto delimitado bajo un mismo tipo de protección.</w:t>
      </w:r>
    </w:p>
    <w:p w:rsidR="00503A41" w:rsidRPr="00993936" w:rsidRDefault="00503A41" w:rsidP="000452B8">
      <w:pPr>
        <w:jc w:val="both"/>
        <w:rPr>
          <w:rFonts w:ascii="Arial" w:hAnsi="Arial" w:cs="Arial"/>
          <w:lang w:val="es-ES"/>
        </w:rPr>
      </w:pPr>
      <w:r w:rsidRPr="00993936">
        <w:rPr>
          <w:rFonts w:ascii="Arial" w:hAnsi="Arial" w:cs="Arial"/>
          <w:i/>
          <w:lang w:val="es-ES"/>
        </w:rPr>
        <w:t>Venta directa:</w:t>
      </w:r>
      <w:r w:rsidRPr="00993936">
        <w:rPr>
          <w:rFonts w:ascii="Arial" w:hAnsi="Arial" w:cs="Arial"/>
          <w:lang w:val="es-ES"/>
        </w:rPr>
        <w:t xml:space="preserve"> venta realizada por los propios operadores de su producto fresco, envasado y etiquetado en la propia explotación, tanto al consumidor, como al asentador, comerciante o mayorista.</w:t>
      </w:r>
    </w:p>
    <w:p w:rsidR="00503A41" w:rsidRPr="00993936" w:rsidRDefault="00503A41" w:rsidP="000452B8">
      <w:pPr>
        <w:tabs>
          <w:tab w:val="left" w:pos="1815"/>
        </w:tabs>
        <w:jc w:val="both"/>
        <w:outlineLvl w:val="0"/>
        <w:rPr>
          <w:rFonts w:ascii="Arial" w:hAnsi="Arial" w:cs="Arial"/>
          <w:snapToGrid w:val="0"/>
          <w:lang w:val="es-ES"/>
        </w:rPr>
      </w:pPr>
    </w:p>
    <w:p w:rsidR="00503A41" w:rsidRPr="00993936" w:rsidRDefault="00503A41" w:rsidP="000452B8">
      <w:pPr>
        <w:tabs>
          <w:tab w:val="left" w:pos="1815"/>
        </w:tabs>
        <w:jc w:val="both"/>
        <w:outlineLvl w:val="0"/>
        <w:rPr>
          <w:rFonts w:ascii="Arial" w:hAnsi="Arial" w:cs="Arial"/>
          <w:b/>
          <w:snapToGrid w:val="0"/>
          <w:lang w:val="es-ES"/>
        </w:rPr>
      </w:pPr>
      <w:r w:rsidRPr="00993936">
        <w:rPr>
          <w:rFonts w:ascii="Arial" w:hAnsi="Arial" w:cs="Arial"/>
          <w:b/>
          <w:snapToGrid w:val="0"/>
          <w:lang w:val="es-ES"/>
        </w:rPr>
        <w:t>I.  BIODIVERSIDAD Y PRÁCTICAS DE CULTIVO</w:t>
      </w:r>
    </w:p>
    <w:p w:rsidR="00503A41" w:rsidRPr="00993936" w:rsidRDefault="00503A41" w:rsidP="000452B8">
      <w:pPr>
        <w:tabs>
          <w:tab w:val="left" w:pos="1815"/>
        </w:tabs>
        <w:jc w:val="both"/>
        <w:outlineLvl w:val="0"/>
        <w:rPr>
          <w:rFonts w:ascii="Arial" w:hAnsi="Arial" w:cs="Arial"/>
          <w:snapToGrid w:val="0"/>
          <w:lang w:val="es-ES"/>
        </w:rPr>
      </w:pPr>
    </w:p>
    <w:p w:rsidR="00503A41" w:rsidRPr="00993936" w:rsidRDefault="00503A41" w:rsidP="000452B8">
      <w:pPr>
        <w:tabs>
          <w:tab w:val="left" w:pos="1815"/>
        </w:tabs>
        <w:jc w:val="both"/>
        <w:outlineLvl w:val="0"/>
        <w:rPr>
          <w:rFonts w:ascii="Arial" w:hAnsi="Arial" w:cs="Arial"/>
          <w:snapToGrid w:val="0"/>
          <w:lang w:val="es-ES"/>
        </w:rPr>
      </w:pPr>
      <w:r w:rsidRPr="00993936">
        <w:rPr>
          <w:rFonts w:ascii="Arial" w:hAnsi="Arial" w:cs="Arial"/>
          <w:snapToGrid w:val="0"/>
          <w:lang w:val="es-ES"/>
        </w:rPr>
        <w:t>Artículo 1</w:t>
      </w:r>
      <w:r w:rsidRPr="00993936">
        <w:rPr>
          <w:rFonts w:ascii="Arial" w:hAnsi="Arial" w:cs="Arial"/>
          <w:snapToGrid w:val="0"/>
          <w:lang w:val="es-ES"/>
        </w:rPr>
        <w:tab/>
      </w:r>
    </w:p>
    <w:p w:rsidR="00503A41" w:rsidRPr="00993936" w:rsidRDefault="00503A41" w:rsidP="000452B8">
      <w:pPr>
        <w:jc w:val="both"/>
        <w:outlineLvl w:val="0"/>
        <w:rPr>
          <w:rFonts w:ascii="Arial" w:hAnsi="Arial" w:cs="Arial"/>
          <w:snapToGrid w:val="0"/>
          <w:lang w:val="es-ES"/>
        </w:rPr>
      </w:pPr>
      <w:r w:rsidRPr="00993936">
        <w:rPr>
          <w:rFonts w:ascii="Arial" w:hAnsi="Arial" w:cs="Arial"/>
          <w:b/>
          <w:snapToGrid w:val="0"/>
          <w:lang w:val="es-ES"/>
        </w:rPr>
        <w:t>Biodiversidad</w:t>
      </w:r>
    </w:p>
    <w:p w:rsidR="00503A41" w:rsidRPr="00993936" w:rsidRDefault="00503A41" w:rsidP="000452B8">
      <w:pPr>
        <w:jc w:val="both"/>
        <w:rPr>
          <w:rFonts w:ascii="Arial" w:hAnsi="Arial" w:cs="Arial"/>
          <w:snapToGrid w:val="0"/>
          <w:lang w:val="es-ES"/>
        </w:rPr>
      </w:pPr>
      <w:r w:rsidRPr="00993936">
        <w:rPr>
          <w:rFonts w:ascii="Arial" w:hAnsi="Arial" w:cs="Arial"/>
          <w:snapToGrid w:val="0"/>
          <w:lang w:val="es-ES"/>
        </w:rPr>
        <w:t>1.1.</w:t>
      </w:r>
      <w:r w:rsidRPr="00993936">
        <w:rPr>
          <w:rFonts w:ascii="Arial" w:hAnsi="Arial" w:cs="Arial"/>
          <w:i/>
          <w:snapToGrid w:val="0"/>
          <w:lang w:val="es-ES"/>
        </w:rPr>
        <w:t>Obligaciones</w:t>
      </w:r>
    </w:p>
    <w:p w:rsidR="00503A41" w:rsidRPr="00993936" w:rsidRDefault="00503A41" w:rsidP="000452B8">
      <w:pPr>
        <w:pStyle w:val="Textoindependiente"/>
        <w:rPr>
          <w:rFonts w:cs="Arial"/>
          <w:szCs w:val="22"/>
          <w:lang w:val="es-ES"/>
        </w:rPr>
      </w:pPr>
      <w:r w:rsidRPr="00993936">
        <w:rPr>
          <w:rFonts w:cs="Arial"/>
          <w:szCs w:val="22"/>
          <w:lang w:val="es-ES"/>
        </w:rPr>
        <w:t>1.1.1  Fomentar de manera activa la diversidad biológica de los niveles genéticos, específicos y del ecosistema, ya que constituye un recurso natural importante de la explotación agraria.</w:t>
      </w:r>
    </w:p>
    <w:p w:rsidR="00503A41" w:rsidRPr="00993936" w:rsidRDefault="00503A41" w:rsidP="000452B8">
      <w:pPr>
        <w:pStyle w:val="Textodenotaalfinal"/>
        <w:jc w:val="both"/>
        <w:rPr>
          <w:rFonts w:ascii="Arial" w:hAnsi="Arial" w:cs="Arial"/>
          <w:sz w:val="22"/>
          <w:szCs w:val="22"/>
          <w:u w:val="single"/>
          <w:lang w:val="es-ES"/>
        </w:rPr>
      </w:pPr>
      <w:r w:rsidRPr="00993936">
        <w:rPr>
          <w:rFonts w:ascii="Arial" w:hAnsi="Arial" w:cs="Arial"/>
          <w:sz w:val="22"/>
          <w:szCs w:val="22"/>
          <w:lang w:val="es-ES"/>
        </w:rPr>
        <w:t xml:space="preserve">1.1.2 Fomentar y conservar un entorno de la explotación agraria natural y equilibrado, </w:t>
      </w:r>
      <w:r w:rsidRPr="00993936">
        <w:rPr>
          <w:rFonts w:ascii="Arial" w:hAnsi="Arial" w:cs="Arial"/>
          <w:sz w:val="22"/>
          <w:szCs w:val="22"/>
          <w:lang w:val="es-ES"/>
        </w:rPr>
        <w:lastRenderedPageBreak/>
        <w:t>con un ecosistema de plantas y animales diversificado, identificando para cada cultivo y tipo de explotación agraria los elementos importantes de las infraestructuras ecológicas que contribuyen al mantenimiento y a la mejora de la biodiversidad biológica. Cada operador productor tendrá que impulsar la realización de al menos dos opciones ecológicas que contribuyan a la mejora de la biodiversidad de sus plantaciones, seleccionándolas, prioritariamente, de la lista que se describe a continuación. Si no fuera posible la realización de las opciones propuestas, el operador podrá establecer una lista de alternativas, de la cual como mínimo tendrá que practicar dos:</w:t>
      </w:r>
    </w:p>
    <w:p w:rsidR="00503A41" w:rsidRPr="00993936" w:rsidRDefault="00503A41" w:rsidP="009D1A2D">
      <w:pPr>
        <w:pStyle w:val="Textodenotaalfinal"/>
        <w:numPr>
          <w:ilvl w:val="0"/>
          <w:numId w:val="158"/>
        </w:numPr>
        <w:jc w:val="both"/>
        <w:rPr>
          <w:rFonts w:ascii="Arial" w:hAnsi="Arial" w:cs="Arial"/>
          <w:sz w:val="22"/>
          <w:szCs w:val="22"/>
          <w:lang w:val="es-ES"/>
        </w:rPr>
      </w:pPr>
      <w:r w:rsidRPr="00993936">
        <w:rPr>
          <w:rFonts w:ascii="Arial" w:hAnsi="Arial" w:cs="Arial"/>
          <w:sz w:val="22"/>
          <w:szCs w:val="22"/>
          <w:lang w:val="es-ES"/>
        </w:rPr>
        <w:t xml:space="preserve">Establecer un área de compensación ecológica, en la que no se apliquen plaguicidas ni fertilizantes, para aumentar la biodiversidad faunística y botánica, de al menos un 5% de la superficie total de la explotación (excluidos los bosques). Se podrán </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considerar dentro de estas áreas, por ejemplo: cortavientos, márgenes de caminos, de canales, de ríos o rieras, etc.</w:t>
      </w:r>
    </w:p>
    <w:p w:rsidR="00503A41" w:rsidRPr="00993936" w:rsidRDefault="00503A41" w:rsidP="000452B8">
      <w:pPr>
        <w:pStyle w:val="Textodenotaalfinal"/>
        <w:ind w:left="708"/>
        <w:jc w:val="both"/>
        <w:rPr>
          <w:rFonts w:ascii="Arial" w:hAnsi="Arial" w:cs="Arial"/>
          <w:sz w:val="22"/>
          <w:szCs w:val="22"/>
          <w:lang w:val="es-ES"/>
        </w:rPr>
      </w:pPr>
      <w:r w:rsidRPr="00993936">
        <w:rPr>
          <w:rFonts w:ascii="Arial" w:hAnsi="Arial" w:cs="Arial"/>
          <w:sz w:val="22"/>
          <w:szCs w:val="22"/>
          <w:lang w:val="es-ES"/>
        </w:rPr>
        <w:t>Se admitirá que las áreas de compensación ecológica se establezcan a nivel de organización de productores o municipal, siempre que vayan asociadas directamente a las zonas de producción.</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Establecer o mantener una cubierta vegetal del suelo.</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No aplicar herbicidas en las plantaciones durante el periodo de otoño-invierno.</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los pájaros insectívoros.</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los insectos que favorezcan la polinización.</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No aplicar productos fitosanitarios, ni herbicidas sobre la vegetación espontánea de los márgenes de las parcelas y realizar el control con medios culturales.</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las aves de rapiña.</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Establecer cortavientos en los márgenes de las parcelas, especialmente en zonas ventosas.</w:t>
      </w:r>
    </w:p>
    <w:p w:rsidR="00503A41" w:rsidRPr="00993936" w:rsidRDefault="00503A41" w:rsidP="009D1A2D">
      <w:pPr>
        <w:pStyle w:val="Textodenotaalfinal"/>
        <w:numPr>
          <w:ilvl w:val="0"/>
          <w:numId w:val="158"/>
        </w:numPr>
        <w:ind w:left="714" w:hanging="357"/>
        <w:jc w:val="both"/>
        <w:rPr>
          <w:rFonts w:ascii="Arial" w:hAnsi="Arial" w:cs="Arial"/>
          <w:sz w:val="22"/>
          <w:szCs w:val="22"/>
          <w:lang w:val="es-ES"/>
        </w:rPr>
      </w:pPr>
      <w:r w:rsidRPr="00993936">
        <w:rPr>
          <w:rFonts w:ascii="Arial" w:hAnsi="Arial" w:cs="Arial"/>
          <w:sz w:val="22"/>
          <w:szCs w:val="22"/>
          <w:lang w:val="es-ES"/>
        </w:rPr>
        <w:t>Proporcionar alimentos a los adultos de los enemigos naturales mediante plantas con flores.</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1.2.1 En caso de que se implanten cortavientos, siempre que sea posible se realizarán con especies</w:t>
      </w:r>
      <w:r w:rsidRPr="00993936">
        <w:rPr>
          <w:rFonts w:ascii="Arial" w:hAnsi="Arial" w:cs="Arial"/>
          <w:vanish/>
          <w:lang w:val="es-ES"/>
        </w:rPr>
        <w:t>&lt;A[especies|especias]&gt;</w:t>
      </w:r>
      <w:r w:rsidRPr="00993936">
        <w:rPr>
          <w:rFonts w:ascii="Arial" w:hAnsi="Arial" w:cs="Arial"/>
          <w:lang w:val="es-ES"/>
        </w:rPr>
        <w:t xml:space="preserve"> autóctonas, procurando mantener una diversidad de estructura y composición.</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Artículo 2</w:t>
      </w:r>
    </w:p>
    <w:p w:rsidR="00503A41" w:rsidRPr="00993936" w:rsidRDefault="00503A41" w:rsidP="000452B8">
      <w:pPr>
        <w:jc w:val="both"/>
        <w:rPr>
          <w:rFonts w:ascii="Arial" w:hAnsi="Arial" w:cs="Arial"/>
          <w:b/>
          <w:lang w:val="es-ES"/>
        </w:rPr>
      </w:pPr>
      <w:r w:rsidRPr="00993936">
        <w:rPr>
          <w:rFonts w:ascii="Arial" w:hAnsi="Arial" w:cs="Arial"/>
          <w:b/>
          <w:lang w:val="es-ES"/>
        </w:rPr>
        <w:t>Aspectos agronómicos generales</w:t>
      </w:r>
    </w:p>
    <w:p w:rsidR="00503A41" w:rsidRPr="00993936" w:rsidRDefault="00503A41" w:rsidP="000452B8">
      <w:pPr>
        <w:jc w:val="both"/>
        <w:rPr>
          <w:rFonts w:ascii="Arial" w:hAnsi="Arial" w:cs="Arial"/>
          <w:lang w:val="es-ES"/>
        </w:rPr>
      </w:pPr>
      <w:r w:rsidRPr="00993936">
        <w:rPr>
          <w:rFonts w:ascii="Arial" w:hAnsi="Arial" w:cs="Arial"/>
          <w:lang w:val="es-ES"/>
        </w:rPr>
        <w:t xml:space="preserve">2.1.-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2.1.1 El momento y la intensidad de las operaciones culturales tienen que minimizar los posibles impactos ambientales.</w:t>
      </w:r>
    </w:p>
    <w:p w:rsidR="00503A41" w:rsidRPr="00993936" w:rsidRDefault="00503A41" w:rsidP="000452B8">
      <w:pPr>
        <w:jc w:val="both"/>
        <w:rPr>
          <w:rFonts w:ascii="Arial" w:hAnsi="Arial" w:cs="Arial"/>
          <w:lang w:val="es-ES"/>
        </w:rPr>
      </w:pPr>
      <w:r w:rsidRPr="00993936">
        <w:rPr>
          <w:rFonts w:ascii="Arial" w:hAnsi="Arial" w:cs="Arial"/>
          <w:lang w:val="es-ES"/>
        </w:rPr>
        <w:t>2.1.2 En cultivos leñosos, el sistema de cultivo incluye el sistema de formación y tiene que respetar el estado fisiológico óptimo de las plantas.</w:t>
      </w:r>
    </w:p>
    <w:p w:rsidR="00503A41" w:rsidRPr="00993936" w:rsidRDefault="00503A41" w:rsidP="000452B8">
      <w:pPr>
        <w:jc w:val="both"/>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3</w:t>
      </w:r>
    </w:p>
    <w:p w:rsidR="00503A41" w:rsidRPr="00993936" w:rsidRDefault="00503A41" w:rsidP="000452B8">
      <w:pPr>
        <w:jc w:val="both"/>
        <w:outlineLvl w:val="0"/>
        <w:rPr>
          <w:rFonts w:ascii="Arial" w:hAnsi="Arial" w:cs="Arial"/>
          <w:b/>
          <w:lang w:val="es-ES"/>
        </w:rPr>
      </w:pPr>
      <w:r w:rsidRPr="00993936">
        <w:rPr>
          <w:rFonts w:ascii="Arial" w:hAnsi="Arial" w:cs="Arial"/>
          <w:b/>
          <w:lang w:val="es-ES"/>
        </w:rPr>
        <w:t>Suelo, preparación del terreno y cultivo</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 xml:space="preserve">3.1 </w:t>
      </w:r>
      <w:r w:rsidRPr="00993936">
        <w:rPr>
          <w:rFonts w:ascii="Arial" w:hAnsi="Arial" w:cs="Arial"/>
          <w:i/>
          <w:lang w:val="es-ES"/>
        </w:rPr>
        <w:t>Obligaciones</w:t>
      </w:r>
    </w:p>
    <w:p w:rsidR="00503A41" w:rsidRPr="00993936" w:rsidRDefault="00503A41" w:rsidP="000452B8">
      <w:pPr>
        <w:jc w:val="both"/>
        <w:rPr>
          <w:rFonts w:ascii="Arial" w:hAnsi="Arial" w:cs="Arial"/>
          <w:i/>
          <w:lang w:val="es-ES"/>
        </w:rPr>
      </w:pPr>
      <w:r w:rsidRPr="00993936">
        <w:rPr>
          <w:rFonts w:ascii="Arial" w:hAnsi="Arial" w:cs="Arial"/>
          <w:lang w:val="es-ES"/>
        </w:rPr>
        <w:t>3.1.1 En las nuevas plantaciones, se realizará una caracterización del suelo mediante el examen directo y su análisis. Con esta finalidad, se realizarán zanjas del suelo para obtener información sobre la profundidad, textura, capacidad de retención de agua y posibles problemas de salinidad, permeabilidad y encharcamientos. Las zanjas se realizarán por zonas homogéneas, que no hará falta que sean necesariamente coincidentes con las unidades de control. No habrá que realizar esta práctica si la información se puede obtener a través de los mapas de suelos existentes.</w:t>
      </w:r>
    </w:p>
    <w:p w:rsidR="00503A41" w:rsidRPr="00993936" w:rsidRDefault="00503A41" w:rsidP="000452B8">
      <w:pPr>
        <w:jc w:val="both"/>
        <w:rPr>
          <w:rFonts w:ascii="Arial" w:hAnsi="Arial" w:cs="Arial"/>
          <w:lang w:val="es-ES"/>
        </w:rPr>
      </w:pPr>
      <w:r w:rsidRPr="00993936">
        <w:rPr>
          <w:rFonts w:ascii="Arial" w:hAnsi="Arial" w:cs="Arial"/>
          <w:lang w:val="es-ES"/>
        </w:rPr>
        <w:t>En plantaciones establecidas se realizarán análisis de suelo, excepto en caso que se disponga de datos recientes.</w:t>
      </w:r>
    </w:p>
    <w:p w:rsidR="00503A41" w:rsidRPr="00993936" w:rsidRDefault="00503A41" w:rsidP="000452B8">
      <w:pPr>
        <w:pStyle w:val="Textoindependiente"/>
        <w:rPr>
          <w:rFonts w:cs="Arial"/>
          <w:szCs w:val="22"/>
          <w:lang w:val="es-ES"/>
        </w:rPr>
      </w:pPr>
      <w:r w:rsidRPr="00993936">
        <w:rPr>
          <w:rFonts w:cs="Arial"/>
          <w:szCs w:val="22"/>
          <w:lang w:val="es-ES"/>
        </w:rPr>
        <w:t>3.1.2 En las nuevas plantaciones, eliminar los tocones y restos de cultivos leñosos anteriores.</w:t>
      </w:r>
    </w:p>
    <w:p w:rsidR="00503A41" w:rsidRPr="00993936" w:rsidRDefault="00503A41" w:rsidP="000452B8">
      <w:pPr>
        <w:jc w:val="both"/>
        <w:rPr>
          <w:rFonts w:ascii="Arial" w:hAnsi="Arial" w:cs="Arial"/>
          <w:lang w:val="es-ES"/>
        </w:rPr>
      </w:pPr>
      <w:r w:rsidRPr="00993936">
        <w:rPr>
          <w:rFonts w:ascii="Arial" w:hAnsi="Arial" w:cs="Arial"/>
          <w:lang w:val="es-ES"/>
        </w:rPr>
        <w:t>3.1.3 En nuevas plantaciones la disposición de las filas de los árboles será la que minimice la erosión, y si hace falta se adoptarán medidas de conservación de suelos.</w:t>
      </w:r>
    </w:p>
    <w:p w:rsidR="00503A41" w:rsidRPr="00993936" w:rsidRDefault="00503A41" w:rsidP="000452B8">
      <w:pPr>
        <w:pStyle w:val="Textoindependiente"/>
        <w:rPr>
          <w:rFonts w:cs="Arial"/>
          <w:szCs w:val="22"/>
          <w:lang w:val="es-ES"/>
        </w:rPr>
      </w:pPr>
      <w:r w:rsidRPr="00993936">
        <w:rPr>
          <w:rFonts w:cs="Arial"/>
          <w:szCs w:val="22"/>
          <w:lang w:val="es-ES"/>
        </w:rPr>
        <w:t>3.1.4 Mantener y mejorar la fertilidad del suelo mediante:</w:t>
      </w:r>
    </w:p>
    <w:p w:rsidR="00503A41" w:rsidRPr="00993936" w:rsidRDefault="00503A41" w:rsidP="009D1A2D">
      <w:pPr>
        <w:pStyle w:val="Textoindependiente"/>
        <w:numPr>
          <w:ilvl w:val="0"/>
          <w:numId w:val="159"/>
        </w:numPr>
        <w:rPr>
          <w:rFonts w:cs="Arial"/>
          <w:szCs w:val="22"/>
          <w:lang w:val="es-ES"/>
        </w:rPr>
      </w:pPr>
      <w:r w:rsidRPr="00993936">
        <w:rPr>
          <w:rFonts w:cs="Arial"/>
          <w:szCs w:val="22"/>
          <w:lang w:val="es-ES"/>
        </w:rPr>
        <w:t xml:space="preserve">El conocimiento de los niveles de materia orgánica del suelo y la velocidad de mineralización, la cual estimarán de acuerdo con el tipo de suelo y con las condiciones climáticas de la zona. </w:t>
      </w:r>
    </w:p>
    <w:p w:rsidR="00503A41" w:rsidRPr="00993936" w:rsidRDefault="00503A41" w:rsidP="009D1A2D">
      <w:pPr>
        <w:pStyle w:val="Textoindependiente"/>
        <w:numPr>
          <w:ilvl w:val="0"/>
          <w:numId w:val="159"/>
        </w:numPr>
        <w:ind w:left="720"/>
        <w:rPr>
          <w:rFonts w:cs="Arial"/>
          <w:szCs w:val="22"/>
          <w:lang w:val="es-ES"/>
        </w:rPr>
      </w:pPr>
      <w:r w:rsidRPr="00993936">
        <w:rPr>
          <w:rFonts w:cs="Arial"/>
          <w:szCs w:val="22"/>
          <w:lang w:val="es-ES"/>
        </w:rPr>
        <w:t>El mantenimiento de un nivel de materia orgánica del horizonte superficial del suelo de como mínimo un 1%. Por debajo de este nivel se tendrá que aportar materia orgánica y hacer un manejo, de acuerdo con las indicaciones del técnico responsable de producción integrada.</w:t>
      </w:r>
    </w:p>
    <w:p w:rsidR="00503A41" w:rsidRPr="00993936" w:rsidRDefault="00503A41" w:rsidP="009D1A2D">
      <w:pPr>
        <w:numPr>
          <w:ilvl w:val="0"/>
          <w:numId w:val="159"/>
        </w:numPr>
        <w:spacing w:after="0" w:line="240" w:lineRule="auto"/>
        <w:ind w:left="720"/>
        <w:jc w:val="both"/>
        <w:rPr>
          <w:rFonts w:ascii="Arial" w:hAnsi="Arial" w:cs="Arial"/>
          <w:lang w:val="es-ES"/>
        </w:rPr>
      </w:pPr>
      <w:r w:rsidRPr="00993936">
        <w:rPr>
          <w:rFonts w:ascii="Arial" w:hAnsi="Arial" w:cs="Arial"/>
          <w:lang w:val="es-ES"/>
        </w:rPr>
        <w:t>La optimización de las propiedades biofísicas del suelo para evitar la compactación minimizando el paso de la maquinaria en condiciones de excesiva humedad del suelo.</w:t>
      </w:r>
    </w:p>
    <w:p w:rsidR="00503A41" w:rsidRPr="00993936" w:rsidRDefault="00503A41" w:rsidP="009D1A2D">
      <w:pPr>
        <w:numPr>
          <w:ilvl w:val="0"/>
          <w:numId w:val="159"/>
        </w:numPr>
        <w:spacing w:after="0" w:line="240" w:lineRule="auto"/>
        <w:ind w:left="720"/>
        <w:jc w:val="both"/>
        <w:rPr>
          <w:rFonts w:ascii="Arial" w:hAnsi="Arial" w:cs="Arial"/>
          <w:lang w:val="es-ES"/>
        </w:rPr>
      </w:pPr>
      <w:r w:rsidRPr="00993936">
        <w:rPr>
          <w:rFonts w:ascii="Arial" w:hAnsi="Arial" w:cs="Arial"/>
          <w:lang w:val="es-ES"/>
        </w:rPr>
        <w:t>El mantenimiento de la protección del suelo durante el máximo tiempo posible mediante el mantenimiento de una cubierta vegetal, preferentemente a base de vegetación espontánea.</w:t>
      </w:r>
    </w:p>
    <w:p w:rsidR="00503A41" w:rsidRPr="00993936" w:rsidRDefault="00503A41" w:rsidP="009D1A2D">
      <w:pPr>
        <w:numPr>
          <w:ilvl w:val="0"/>
          <w:numId w:val="159"/>
        </w:numPr>
        <w:spacing w:after="0" w:line="240" w:lineRule="auto"/>
        <w:ind w:left="720"/>
        <w:jc w:val="both"/>
        <w:rPr>
          <w:rFonts w:ascii="Arial" w:hAnsi="Arial" w:cs="Arial"/>
          <w:lang w:val="es-ES"/>
        </w:rPr>
      </w:pPr>
      <w:r w:rsidRPr="00993936">
        <w:rPr>
          <w:rFonts w:ascii="Arial" w:hAnsi="Arial" w:cs="Arial"/>
          <w:lang w:val="es-ES"/>
        </w:rPr>
        <w:t>La mínima perturbación física o química del suelo.</w:t>
      </w:r>
    </w:p>
    <w:p w:rsidR="00503A41" w:rsidRPr="00993936" w:rsidRDefault="00503A41" w:rsidP="000452B8">
      <w:pPr>
        <w:spacing w:before="120"/>
        <w:jc w:val="both"/>
        <w:rPr>
          <w:rFonts w:ascii="Arial" w:hAnsi="Arial" w:cs="Arial"/>
          <w:lang w:val="es-ES"/>
        </w:rPr>
      </w:pPr>
      <w:r w:rsidRPr="00993936">
        <w:rPr>
          <w:rFonts w:ascii="Arial" w:hAnsi="Arial" w:cs="Arial"/>
          <w:lang w:val="es-ES"/>
        </w:rPr>
        <w:t>3.1.5 Los trabajos de campo se realizarán respetando al máximo la estructura del suelo, evitando la escorrentía</w:t>
      </w:r>
      <w:r w:rsidRPr="00993936">
        <w:rPr>
          <w:rFonts w:ascii="Arial" w:hAnsi="Arial" w:cs="Arial"/>
          <w:vanish/>
          <w:lang w:val="es-ES"/>
        </w:rPr>
        <w:t>&lt;A[vaciado|corriente]&gt;</w:t>
      </w:r>
      <w:r w:rsidRPr="00993936">
        <w:rPr>
          <w:rFonts w:ascii="Arial" w:hAnsi="Arial" w:cs="Arial"/>
          <w:lang w:val="es-ES"/>
        </w:rPr>
        <w:t xml:space="preserve"> superficial y el encharcamiento. También se tendrá en cuenta la pendiente del suelo para la adecuada conservación del suelo, adaptando las dimensiones y características de las obras de conservación (terrazas, bancales, cerros) con la finalidad de evitar fenómenos de erosión. Las técnicas de cultivo utilizadas serán las adecuadas para reducir el consumo energético.</w:t>
      </w:r>
    </w:p>
    <w:p w:rsidR="00503A41" w:rsidRPr="00993936" w:rsidRDefault="00503A41" w:rsidP="000452B8">
      <w:pPr>
        <w:jc w:val="both"/>
        <w:outlineLvl w:val="0"/>
        <w:rPr>
          <w:rFonts w:ascii="Arial" w:hAnsi="Arial" w:cs="Arial"/>
          <w:i/>
          <w:lang w:val="es-ES"/>
        </w:rPr>
      </w:pPr>
      <w:r w:rsidRPr="00993936">
        <w:rPr>
          <w:rFonts w:ascii="Arial" w:hAnsi="Arial" w:cs="Arial"/>
          <w:lang w:val="es-ES"/>
        </w:rPr>
        <w:t xml:space="preserve">3.2 </w:t>
      </w:r>
      <w:r w:rsidRPr="00993936">
        <w:rPr>
          <w:rFonts w:ascii="Arial" w:hAnsi="Arial" w:cs="Arial"/>
          <w:i/>
          <w:lang w:val="es-ES"/>
        </w:rPr>
        <w:t>Prohibiciones</w:t>
      </w:r>
    </w:p>
    <w:p w:rsidR="00503A41" w:rsidRPr="00993936" w:rsidRDefault="00503A41" w:rsidP="000452B8">
      <w:pPr>
        <w:jc w:val="both"/>
        <w:rPr>
          <w:rFonts w:ascii="Arial" w:hAnsi="Arial" w:cs="Arial"/>
          <w:lang w:val="es-ES"/>
        </w:rPr>
      </w:pPr>
      <w:r w:rsidRPr="00993936">
        <w:rPr>
          <w:rFonts w:ascii="Arial" w:hAnsi="Arial" w:cs="Arial"/>
          <w:lang w:val="es-ES"/>
        </w:rPr>
        <w:t>3.2.1 Realizar la desinfección química del suelo.</w:t>
      </w:r>
    </w:p>
    <w:p w:rsidR="00503A41" w:rsidRPr="00993936" w:rsidRDefault="00503A41" w:rsidP="000452B8">
      <w:pPr>
        <w:pStyle w:val="Textoindependiente"/>
        <w:rPr>
          <w:rFonts w:cs="Arial"/>
          <w:szCs w:val="22"/>
          <w:lang w:val="es-ES"/>
        </w:rPr>
      </w:pPr>
      <w:r w:rsidRPr="00993936">
        <w:rPr>
          <w:rFonts w:cs="Arial"/>
          <w:szCs w:val="22"/>
          <w:lang w:val="es-ES"/>
        </w:rPr>
        <w:t>3.2.2 Realizar los trabajos del suelo en el sentido de la pendiente en parcelas con pendientes superiores al 10%, así como también efectuar trabajos preparatorios que alteren los horizontes del suelo.</w:t>
      </w:r>
    </w:p>
    <w:p w:rsidR="00503A41" w:rsidRPr="00993936" w:rsidRDefault="00503A41" w:rsidP="000452B8">
      <w:pPr>
        <w:jc w:val="both"/>
        <w:rPr>
          <w:rFonts w:ascii="Arial" w:hAnsi="Arial" w:cs="Arial"/>
          <w:lang w:val="es-ES"/>
        </w:rPr>
      </w:pPr>
      <w:r w:rsidRPr="00993936">
        <w:rPr>
          <w:rFonts w:ascii="Arial" w:hAnsi="Arial" w:cs="Arial"/>
          <w:lang w:val="es-ES"/>
        </w:rPr>
        <w:t>3.2.3 La utilización sistemática</w:t>
      </w:r>
      <w:r w:rsidRPr="00993936">
        <w:rPr>
          <w:rFonts w:ascii="Arial" w:hAnsi="Arial" w:cs="Arial"/>
          <w:i/>
          <w:lang w:val="es-ES"/>
        </w:rPr>
        <w:t xml:space="preserve"> </w:t>
      </w:r>
      <w:r w:rsidRPr="00993936">
        <w:rPr>
          <w:rFonts w:ascii="Arial" w:hAnsi="Arial" w:cs="Arial"/>
          <w:lang w:val="es-ES"/>
        </w:rPr>
        <w:t>y permanente</w:t>
      </w:r>
      <w:r w:rsidRPr="00993936">
        <w:rPr>
          <w:rFonts w:ascii="Arial" w:hAnsi="Arial" w:cs="Arial"/>
          <w:i/>
          <w:lang w:val="es-ES"/>
        </w:rPr>
        <w:t xml:space="preserve"> </w:t>
      </w:r>
      <w:r w:rsidRPr="00993936">
        <w:rPr>
          <w:rFonts w:ascii="Arial" w:hAnsi="Arial" w:cs="Arial"/>
          <w:lang w:val="es-ES"/>
        </w:rPr>
        <w:t>de herramientas agrícolas (cavadoras, discos, etc.) que destruyan la estructura del suelo y favorezcan la formación de un estrato o zona de compactación.</w:t>
      </w:r>
    </w:p>
    <w:p w:rsidR="00503A41" w:rsidRPr="00993936" w:rsidRDefault="00503A41" w:rsidP="000452B8">
      <w:pPr>
        <w:pStyle w:val="Textoindependiente"/>
        <w:outlineLvl w:val="0"/>
        <w:rPr>
          <w:rFonts w:cs="Arial"/>
          <w:i/>
          <w:szCs w:val="22"/>
          <w:lang w:val="es-ES"/>
        </w:rPr>
      </w:pPr>
      <w:r w:rsidRPr="00993936">
        <w:rPr>
          <w:rFonts w:cs="Arial"/>
          <w:i/>
          <w:szCs w:val="22"/>
          <w:lang w:val="es-ES"/>
        </w:rPr>
        <w:t>3.3 Recomendaciones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3.3.1 Se preferirán los tipos de suelo que tengan una profundidad adecuada para el desarrollo de las raíces, a que estén bien drenados y de textura media. La conductividad eléctrica (CE) tiene que ser menor de 1,5 dS/m en </w:t>
      </w:r>
      <w:smartTag w:uri="urn:schemas-microsoft-com:office:smarttags" w:element="metricconverter">
        <w:smartTagPr>
          <w:attr w:name="ProductID" w:val="25ﾺC"/>
        </w:smartTagPr>
        <w:r w:rsidRPr="00993936">
          <w:rPr>
            <w:rFonts w:ascii="Arial" w:hAnsi="Arial" w:cs="Arial"/>
            <w:lang w:val="es-ES"/>
          </w:rPr>
          <w:t>25ºC</w:t>
        </w:r>
      </w:smartTag>
      <w:r w:rsidRPr="00993936">
        <w:rPr>
          <w:rFonts w:ascii="Arial" w:hAnsi="Arial" w:cs="Arial"/>
          <w:lang w:val="es-ES"/>
        </w:rPr>
        <w:t>.</w:t>
      </w:r>
    </w:p>
    <w:p w:rsidR="00503A41" w:rsidRPr="00993936" w:rsidRDefault="00503A41" w:rsidP="000452B8">
      <w:pPr>
        <w:pStyle w:val="Textoindependiente"/>
        <w:rPr>
          <w:rFonts w:cs="Arial"/>
          <w:szCs w:val="22"/>
          <w:lang w:val="es-ES"/>
        </w:rPr>
      </w:pPr>
      <w:r w:rsidRPr="00993936">
        <w:rPr>
          <w:rFonts w:cs="Arial"/>
          <w:szCs w:val="22"/>
          <w:lang w:val="es-ES"/>
        </w:rPr>
        <w:lastRenderedPageBreak/>
        <w:t>3.3.2 En caso de que sea necesario realizar la desinfección del suelo, hacerla con técnicas de solarización.</w:t>
      </w:r>
    </w:p>
    <w:p w:rsidR="00503A41" w:rsidRPr="00993936" w:rsidRDefault="00503A41" w:rsidP="000452B8">
      <w:pPr>
        <w:jc w:val="both"/>
        <w:rPr>
          <w:rFonts w:ascii="Arial" w:hAnsi="Arial" w:cs="Arial"/>
          <w:lang w:val="es-ES"/>
        </w:rPr>
      </w:pPr>
      <w:r w:rsidRPr="00993936">
        <w:rPr>
          <w:rFonts w:ascii="Arial" w:hAnsi="Arial" w:cs="Arial"/>
          <w:lang w:val="es-ES"/>
        </w:rPr>
        <w:t>3.3.3 La información sobre el tipo de suelo podrá ser extraída del mapa detallado de suelos de Cataluña, en caso de que haya.</w:t>
      </w:r>
    </w:p>
    <w:p w:rsidR="00503A41" w:rsidRPr="00993936" w:rsidRDefault="00503A41" w:rsidP="000452B8">
      <w:pPr>
        <w:pStyle w:val="Textoindependiente"/>
        <w:rPr>
          <w:rFonts w:cs="Arial"/>
          <w:szCs w:val="22"/>
          <w:lang w:val="es-ES"/>
        </w:rPr>
      </w:pPr>
      <w:r w:rsidRPr="00993936">
        <w:rPr>
          <w:rFonts w:cs="Arial"/>
          <w:szCs w:val="22"/>
          <w:lang w:val="es-ES"/>
        </w:rPr>
        <w:t xml:space="preserve">3.3.4 No realizar el cultivo en zonas con factores limitantes: encharcamientos, salinidad, capa freática alta, poca profundidad. </w:t>
      </w:r>
    </w:p>
    <w:p w:rsidR="00503A41" w:rsidRPr="00993936" w:rsidRDefault="00503A41" w:rsidP="000452B8">
      <w:pPr>
        <w:jc w:val="both"/>
        <w:rPr>
          <w:rFonts w:ascii="Arial" w:hAnsi="Arial" w:cs="Arial"/>
          <w:lang w:val="es-ES"/>
        </w:rPr>
      </w:pPr>
    </w:p>
    <w:p w:rsidR="00503A41" w:rsidRPr="00993936" w:rsidRDefault="00503A41" w:rsidP="000452B8">
      <w:pPr>
        <w:pStyle w:val="Ttulo2"/>
        <w:rPr>
          <w:rFonts w:ascii="Arial" w:hAnsi="Arial" w:cs="Arial"/>
          <w:color w:val="auto"/>
          <w:sz w:val="22"/>
          <w:szCs w:val="22"/>
          <w:lang w:val="es-ES"/>
        </w:rPr>
      </w:pPr>
      <w:r w:rsidRPr="00993936">
        <w:rPr>
          <w:rFonts w:ascii="Arial" w:hAnsi="Arial" w:cs="Arial"/>
          <w:color w:val="auto"/>
          <w:sz w:val="22"/>
          <w:szCs w:val="22"/>
          <w:lang w:val="es-ES"/>
        </w:rPr>
        <w:t>Artículo 4</w:t>
      </w:r>
    </w:p>
    <w:p w:rsidR="00503A41" w:rsidRPr="00993936" w:rsidRDefault="00503A41" w:rsidP="000452B8">
      <w:pPr>
        <w:pStyle w:val="Ttulo2"/>
        <w:rPr>
          <w:rFonts w:ascii="Arial" w:hAnsi="Arial" w:cs="Arial"/>
          <w:b/>
          <w:color w:val="auto"/>
          <w:sz w:val="22"/>
          <w:szCs w:val="22"/>
          <w:lang w:val="es-ES"/>
        </w:rPr>
      </w:pPr>
      <w:r w:rsidRPr="00993936">
        <w:rPr>
          <w:rFonts w:ascii="Arial" w:hAnsi="Arial" w:cs="Arial"/>
          <w:b/>
          <w:color w:val="auto"/>
          <w:sz w:val="22"/>
          <w:szCs w:val="22"/>
          <w:lang w:val="es-ES"/>
        </w:rPr>
        <w:t xml:space="preserve">Material vegetal </w:t>
      </w:r>
    </w:p>
    <w:p w:rsidR="00503A41" w:rsidRPr="00993936" w:rsidRDefault="00503A41" w:rsidP="000452B8">
      <w:pPr>
        <w:jc w:val="both"/>
        <w:rPr>
          <w:rFonts w:ascii="Arial" w:hAnsi="Arial" w:cs="Arial"/>
          <w:lang w:val="es-ES"/>
        </w:rPr>
      </w:pPr>
      <w:r w:rsidRPr="00993936">
        <w:rPr>
          <w:rFonts w:ascii="Arial" w:hAnsi="Arial" w:cs="Arial"/>
          <w:lang w:val="es-ES"/>
        </w:rPr>
        <w:t>Para realizar la producción integrada de frutales de hueso</w:t>
      </w:r>
      <w:r w:rsidRPr="00993936">
        <w:rPr>
          <w:rFonts w:ascii="Arial" w:hAnsi="Arial" w:cs="Arial"/>
          <w:vanish/>
          <w:lang w:val="es-ES"/>
        </w:rPr>
        <w:t>&lt;A[hueso|pepita]&gt;</w:t>
      </w:r>
      <w:r w:rsidRPr="00993936">
        <w:rPr>
          <w:rFonts w:ascii="Arial" w:hAnsi="Arial" w:cs="Arial"/>
          <w:lang w:val="es-ES"/>
        </w:rPr>
        <w:t>, se admiten todas las variedades y los patrones que hay en las actuales plantaciones.</w:t>
      </w:r>
    </w:p>
    <w:p w:rsidR="00503A41" w:rsidRPr="00993936" w:rsidRDefault="00503A41" w:rsidP="000452B8">
      <w:pPr>
        <w:pStyle w:val="Textoindependiente"/>
        <w:rPr>
          <w:rFonts w:cs="Arial"/>
          <w:szCs w:val="22"/>
          <w:lang w:val="es-ES"/>
        </w:rPr>
      </w:pPr>
      <w:r w:rsidRPr="00993936">
        <w:rPr>
          <w:rFonts w:cs="Arial"/>
          <w:szCs w:val="22"/>
          <w:lang w:val="es-ES"/>
        </w:rPr>
        <w:t>En las nuevas plantaciones, se escogerán las variedades y los patrones más adecuados para la zona de cultivo.</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4.1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4.1.1 En las nuevas plantaciones, el material vegetal deberá:</w:t>
      </w:r>
    </w:p>
    <w:p w:rsidR="00503A41" w:rsidRPr="00993936" w:rsidRDefault="00503A41" w:rsidP="009D1A2D">
      <w:pPr>
        <w:numPr>
          <w:ilvl w:val="0"/>
          <w:numId w:val="160"/>
        </w:numPr>
        <w:spacing w:after="0" w:line="240" w:lineRule="auto"/>
        <w:jc w:val="both"/>
        <w:rPr>
          <w:rFonts w:ascii="Arial" w:hAnsi="Arial" w:cs="Arial"/>
          <w:lang w:val="es-ES"/>
        </w:rPr>
      </w:pPr>
      <w:r w:rsidRPr="00993936">
        <w:rPr>
          <w:rFonts w:ascii="Arial" w:hAnsi="Arial" w:cs="Arial"/>
          <w:lang w:val="es-ES"/>
        </w:rPr>
        <w:t>Proceder de proveedores oficialmente autorizados y certificados cuando haya, por el Servicio de Ordenación Agrícola o de otros organismos oficiales reconocidos.</w:t>
      </w:r>
    </w:p>
    <w:p w:rsidR="00503A41" w:rsidRPr="00993936" w:rsidRDefault="00503A41" w:rsidP="009D1A2D">
      <w:pPr>
        <w:numPr>
          <w:ilvl w:val="0"/>
          <w:numId w:val="160"/>
        </w:numPr>
        <w:spacing w:after="0" w:line="240" w:lineRule="auto"/>
        <w:jc w:val="both"/>
        <w:rPr>
          <w:rFonts w:ascii="Arial" w:hAnsi="Arial" w:cs="Arial"/>
          <w:lang w:val="es-ES"/>
        </w:rPr>
      </w:pPr>
      <w:r w:rsidRPr="00993936">
        <w:rPr>
          <w:rFonts w:ascii="Arial" w:hAnsi="Arial" w:cs="Arial"/>
          <w:lang w:val="es-ES"/>
        </w:rPr>
        <w:t>Cumplir los requisitos de autenticidad varietal y de sanidad que establece el Reglamento 929/1995, de 9 de junio, de control y certificación de planteles de frutales.</w:t>
      </w:r>
    </w:p>
    <w:p w:rsidR="00503A41" w:rsidRPr="00993936" w:rsidRDefault="00503A41" w:rsidP="009D1A2D">
      <w:pPr>
        <w:numPr>
          <w:ilvl w:val="0"/>
          <w:numId w:val="160"/>
        </w:numPr>
        <w:spacing w:after="0" w:line="240" w:lineRule="auto"/>
        <w:jc w:val="both"/>
        <w:rPr>
          <w:rFonts w:ascii="Arial" w:hAnsi="Arial" w:cs="Arial"/>
          <w:lang w:val="es-ES"/>
        </w:rPr>
      </w:pPr>
      <w:r w:rsidRPr="00993936">
        <w:rPr>
          <w:rFonts w:ascii="Arial" w:hAnsi="Arial" w:cs="Arial"/>
          <w:lang w:val="es-ES"/>
        </w:rPr>
        <w:t>Ir acompañado del preceptivo pasaporte fitosanitario que garantice el cumplimiento</w:t>
      </w:r>
      <w:r w:rsidRPr="00993936">
        <w:rPr>
          <w:rFonts w:ascii="Arial" w:hAnsi="Arial" w:cs="Arial"/>
          <w:vanish/>
          <w:lang w:val="es-ES"/>
        </w:rPr>
        <w:t>&lt;A[cumplimiento|cumplido]&gt;</w:t>
      </w:r>
      <w:r w:rsidRPr="00993936">
        <w:rPr>
          <w:rFonts w:ascii="Arial" w:hAnsi="Arial" w:cs="Arial"/>
          <w:lang w:val="es-ES"/>
        </w:rPr>
        <w:t xml:space="preserve"> de las disposiciones que establece el Real decreto 2071/1993 y el resto de normas vigentes, sobre medidas contra la introducción y la difusión en territorio nacional y de la Comunidad Europea de organismos nocivos para los vegetales o productos vegetales.</w:t>
      </w:r>
    </w:p>
    <w:p w:rsidR="00503A41" w:rsidRPr="00993936" w:rsidRDefault="00503A41" w:rsidP="000452B8">
      <w:pPr>
        <w:jc w:val="both"/>
        <w:rPr>
          <w:rFonts w:ascii="Arial" w:hAnsi="Arial" w:cs="Arial"/>
          <w:lang w:val="es-ES"/>
        </w:rPr>
      </w:pPr>
      <w:r w:rsidRPr="00993936">
        <w:rPr>
          <w:rFonts w:ascii="Arial" w:hAnsi="Arial" w:cs="Arial"/>
          <w:lang w:val="es-ES"/>
        </w:rPr>
        <w:t>4.1.2 En plantaciones de cultivos leñosos, los patrones se adaptarán a las condiciones edáficas y no serán sensibles a las fisiopatias habituales de la zona o a otras fisiopatias que tengan una repercusión comercial importante.</w:t>
      </w:r>
    </w:p>
    <w:p w:rsidR="00503A41" w:rsidRPr="00993936" w:rsidRDefault="00503A41" w:rsidP="000452B8">
      <w:pPr>
        <w:jc w:val="both"/>
        <w:rPr>
          <w:rFonts w:ascii="Arial" w:hAnsi="Arial" w:cs="Arial"/>
          <w:i/>
          <w:lang w:val="es-ES"/>
        </w:rPr>
      </w:pPr>
      <w:r w:rsidRPr="00993936">
        <w:rPr>
          <w:rFonts w:ascii="Arial" w:hAnsi="Arial" w:cs="Arial"/>
          <w:lang w:val="es-ES"/>
        </w:rPr>
        <w:t>4.1.3 Todas las variedades tienen que estar inscritas en el Catálogo común de variedades de especies</w:t>
      </w:r>
      <w:r w:rsidRPr="00993936">
        <w:rPr>
          <w:rFonts w:ascii="Arial" w:hAnsi="Arial" w:cs="Arial"/>
          <w:vanish/>
          <w:lang w:val="es-ES"/>
        </w:rPr>
        <w:t>&lt;A[especies|especias]&gt;</w:t>
      </w:r>
      <w:r w:rsidRPr="00993936">
        <w:rPr>
          <w:rFonts w:ascii="Arial" w:hAnsi="Arial" w:cs="Arial"/>
          <w:lang w:val="es-ES"/>
        </w:rPr>
        <w:t xml:space="preserve"> de plantas hortícolas de la Unión Europea y/o en la lista española de variedades comerciales de plantas.</w:t>
      </w:r>
      <w:r w:rsidRPr="00993936">
        <w:rPr>
          <w:rFonts w:ascii="Arial" w:hAnsi="Arial" w:cs="Arial"/>
          <w:i/>
          <w:lang w:val="es-ES"/>
        </w:rPr>
        <w:t xml:space="preserve"> </w:t>
      </w:r>
    </w:p>
    <w:p w:rsidR="00503A41" w:rsidRPr="00993936" w:rsidRDefault="00503A41" w:rsidP="000452B8">
      <w:pPr>
        <w:jc w:val="both"/>
        <w:rPr>
          <w:rFonts w:ascii="Arial" w:hAnsi="Arial" w:cs="Arial"/>
          <w:lang w:val="es-ES"/>
        </w:rPr>
      </w:pPr>
      <w:r w:rsidRPr="00993936">
        <w:rPr>
          <w:rFonts w:ascii="Arial" w:hAnsi="Arial" w:cs="Arial"/>
          <w:lang w:val="es-ES"/>
        </w:rPr>
        <w:t>4.1.4 Eliminar antes de la plantación todo el material vegetal que presente síntomas de enfermedad o un crecimiento anormal.</w:t>
      </w:r>
    </w:p>
    <w:p w:rsidR="00503A41" w:rsidRPr="00993936" w:rsidRDefault="00503A41" w:rsidP="000452B8">
      <w:pPr>
        <w:pStyle w:val="Textoindependiente"/>
        <w:rPr>
          <w:rFonts w:cs="Arial"/>
          <w:szCs w:val="22"/>
          <w:lang w:val="es-ES"/>
        </w:rPr>
      </w:pPr>
      <w:r w:rsidRPr="00993936">
        <w:rPr>
          <w:rFonts w:cs="Arial"/>
          <w:szCs w:val="22"/>
          <w:lang w:val="es-ES"/>
        </w:rPr>
        <w:t>4.1.5 El material de plantación, variedades, densidad de plantación, ciclo de cultivo, se adaptarán a las condiciones locales, con el objetivo de conseguir un producto de calidad con las mínimas intervenciones posibles.</w:t>
      </w:r>
    </w:p>
    <w:p w:rsidR="00503A41" w:rsidRPr="00993936" w:rsidRDefault="00503A41" w:rsidP="000452B8">
      <w:pPr>
        <w:jc w:val="both"/>
        <w:rPr>
          <w:rFonts w:ascii="Arial" w:hAnsi="Arial" w:cs="Arial"/>
          <w:lang w:val="es-ES"/>
        </w:rPr>
      </w:pPr>
      <w:r w:rsidRPr="00993936">
        <w:rPr>
          <w:rFonts w:ascii="Arial" w:hAnsi="Arial" w:cs="Arial"/>
          <w:lang w:val="es-ES"/>
        </w:rPr>
        <w:t>4.1.6 Utilizar, si hay, variedades resistentes o tolerantes a alguna de las enfermedades importantes de la especie y adaptadas a las condiciones locales, salvo una justificación técnica expresa.</w:t>
      </w:r>
    </w:p>
    <w:p w:rsidR="00503A41" w:rsidRPr="00993936" w:rsidRDefault="00503A41" w:rsidP="000452B8">
      <w:pPr>
        <w:jc w:val="both"/>
        <w:rPr>
          <w:rFonts w:ascii="Arial" w:hAnsi="Arial" w:cs="Arial"/>
          <w:lang w:val="es-ES"/>
        </w:rPr>
      </w:pPr>
      <w:r w:rsidRPr="00993936">
        <w:rPr>
          <w:rFonts w:ascii="Arial" w:hAnsi="Arial" w:cs="Arial"/>
          <w:lang w:val="es-ES"/>
        </w:rPr>
        <w:t xml:space="preserve">4.1.7 En las parcelas de cultivos leñosos, para incorporarse al programa de producción integrada, se controlará previamente la incidencia de problemas fitopatológicos, virosis o problemas fúngicos, los cuales se harán constar en el Cuaderno de explotación. </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4.2 </w:t>
      </w:r>
      <w:r w:rsidRPr="00993936">
        <w:rPr>
          <w:rFonts w:ascii="Arial" w:hAnsi="Arial" w:cs="Arial"/>
          <w:i/>
          <w:lang w:val="es-ES"/>
        </w:rPr>
        <w:t>Prohibiciones</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4.2.1 El uso de patrones, combinaciones injerto-patrón o variedades especialmente sensibles a determinadas enfermedades de especial incidencia o relevancia establecidas por la dirección general competente en materia de agricultura.</w:t>
      </w:r>
    </w:p>
    <w:p w:rsidR="00503A41" w:rsidRPr="00993936" w:rsidRDefault="00503A41" w:rsidP="000452B8">
      <w:pPr>
        <w:jc w:val="both"/>
        <w:rPr>
          <w:rFonts w:ascii="Arial" w:hAnsi="Arial" w:cs="Arial"/>
          <w:lang w:val="es-ES"/>
        </w:rPr>
      </w:pPr>
      <w:r w:rsidRPr="00993936">
        <w:rPr>
          <w:rFonts w:ascii="Arial" w:hAnsi="Arial" w:cs="Arial"/>
          <w:lang w:val="es-ES"/>
        </w:rPr>
        <w:t xml:space="preserve">4.3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4.3.1 Se escogerán preferentemente las variedades más adecuadas a la zona y al periodo de cultivo, con el objetivo de conseguir un fruto de calidad con las mínimas intervenciones posibles. </w:t>
      </w:r>
    </w:p>
    <w:p w:rsidR="00503A41" w:rsidRPr="00993936" w:rsidRDefault="00503A41" w:rsidP="000452B8">
      <w:pPr>
        <w:jc w:val="both"/>
        <w:rPr>
          <w:rFonts w:ascii="Arial" w:hAnsi="Arial" w:cs="Arial"/>
          <w:lang w:val="es-ES"/>
        </w:rPr>
      </w:pPr>
      <w:r w:rsidRPr="00993936">
        <w:rPr>
          <w:rFonts w:ascii="Arial" w:hAnsi="Arial" w:cs="Arial"/>
          <w:lang w:val="es-ES"/>
        </w:rPr>
        <w:t>4.3.2 Conocer el grado de susceptibilidad de la/s variedad/es elegidas a plagas y enfermedades.</w:t>
      </w:r>
    </w:p>
    <w:p w:rsidR="00503A41" w:rsidRPr="00993936" w:rsidRDefault="00503A41" w:rsidP="000452B8">
      <w:pPr>
        <w:jc w:val="both"/>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5</w:t>
      </w:r>
    </w:p>
    <w:p w:rsidR="00503A41" w:rsidRPr="00993936" w:rsidRDefault="00503A41" w:rsidP="000452B8">
      <w:pPr>
        <w:jc w:val="both"/>
        <w:outlineLvl w:val="0"/>
        <w:rPr>
          <w:rFonts w:ascii="Arial" w:hAnsi="Arial" w:cs="Arial"/>
          <w:lang w:val="es-ES"/>
        </w:rPr>
      </w:pPr>
      <w:r w:rsidRPr="00993936">
        <w:rPr>
          <w:rFonts w:ascii="Arial" w:hAnsi="Arial" w:cs="Arial"/>
          <w:b/>
          <w:lang w:val="es-ES"/>
        </w:rPr>
        <w:t>Características de la plantación</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5.1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5.1.1. La distancia entre árboles tiene que permitir el adecuado desarrollo de la combinación variedad-patrón escogida, y asegurar que cada árbol dispone del suficiente espacio a lo largo de su vida, sin que haya que realizar podas fuertes.</w:t>
      </w:r>
    </w:p>
    <w:p w:rsidR="00503A41" w:rsidRPr="00993936" w:rsidRDefault="00503A41" w:rsidP="000452B8">
      <w:pPr>
        <w:jc w:val="both"/>
        <w:rPr>
          <w:rFonts w:ascii="Arial" w:hAnsi="Arial" w:cs="Arial"/>
          <w:lang w:val="es-ES"/>
        </w:rPr>
      </w:pPr>
      <w:r w:rsidRPr="00993936">
        <w:rPr>
          <w:rFonts w:ascii="Arial" w:hAnsi="Arial" w:cs="Arial"/>
          <w:lang w:val="es-ES"/>
        </w:rPr>
        <w:t>5.1.2 Plantar polinizadores en las nuevas plantaciones que se establezcan para la obtención de una fruta de calidad.</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5.2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5.2.1 En plantaciones adultas que no tengan polinizadores, establecer agentes polinitzantes para regularizar la producción y la obtención de fruta de calidad. Los polinizadores tendrán que distribuirse uniformemente y en una proporción mínima del 20% sobre el total de los árboles de la plantación cuando se dispongan en hileras. Cuando se establezca otra distribución, la distancia entre polinizadores no superará los </w:t>
      </w:r>
      <w:smartTag w:uri="urn:schemas-microsoft-com:office:smarttags" w:element="metricconverter">
        <w:smartTagPr>
          <w:attr w:name="ProductID" w:val="18 metres"/>
        </w:smartTagPr>
        <w:r w:rsidRPr="00993936">
          <w:rPr>
            <w:rFonts w:ascii="Arial" w:hAnsi="Arial" w:cs="Arial"/>
            <w:lang w:val="es-ES"/>
          </w:rPr>
          <w:t>18 metros</w:t>
        </w:r>
      </w:smartTag>
      <w:r w:rsidRPr="00993936">
        <w:rPr>
          <w:rFonts w:ascii="Arial" w:hAnsi="Arial" w:cs="Arial"/>
          <w:lang w:val="es-ES"/>
        </w:rPr>
        <w:t>.</w:t>
      </w:r>
    </w:p>
    <w:p w:rsidR="00503A41" w:rsidRPr="00993936" w:rsidRDefault="00503A41" w:rsidP="000452B8">
      <w:pPr>
        <w:pStyle w:val="Textoindependiente"/>
        <w:rPr>
          <w:rFonts w:cs="Arial"/>
          <w:szCs w:val="22"/>
          <w:lang w:val="es-ES"/>
        </w:rPr>
      </w:pPr>
      <w:r w:rsidRPr="00993936">
        <w:rPr>
          <w:rFonts w:cs="Arial"/>
          <w:szCs w:val="22"/>
          <w:lang w:val="es-ES"/>
        </w:rPr>
        <w:t>5.2.2 Orientar las filas de la plantación, si es posible, de norte a sur con el fin de conseguir frutos de maduración y coloración uniformes.</w:t>
      </w:r>
    </w:p>
    <w:p w:rsidR="00503A41" w:rsidRPr="00993936" w:rsidRDefault="00503A41" w:rsidP="000452B8">
      <w:pPr>
        <w:jc w:val="both"/>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6</w:t>
      </w:r>
    </w:p>
    <w:p w:rsidR="00503A41" w:rsidRPr="00993936" w:rsidRDefault="00503A41" w:rsidP="000452B8">
      <w:pPr>
        <w:jc w:val="both"/>
        <w:outlineLvl w:val="0"/>
        <w:rPr>
          <w:rFonts w:ascii="Arial" w:hAnsi="Arial" w:cs="Arial"/>
          <w:b/>
          <w:lang w:val="es-ES"/>
        </w:rPr>
      </w:pPr>
      <w:r w:rsidRPr="00993936">
        <w:rPr>
          <w:rFonts w:ascii="Arial" w:hAnsi="Arial" w:cs="Arial"/>
          <w:b/>
          <w:lang w:val="es-ES"/>
        </w:rPr>
        <w:t>Manejo de la plantación y manejo del fruto</w:t>
      </w:r>
    </w:p>
    <w:p w:rsidR="00503A41" w:rsidRPr="00993936" w:rsidRDefault="00503A41" w:rsidP="000452B8">
      <w:pPr>
        <w:jc w:val="both"/>
        <w:rPr>
          <w:rFonts w:ascii="Arial" w:hAnsi="Arial" w:cs="Arial"/>
          <w:b/>
          <w:lang w:val="es-ES"/>
        </w:rPr>
      </w:pPr>
      <w:r w:rsidRPr="00993936">
        <w:rPr>
          <w:rFonts w:ascii="Arial" w:hAnsi="Arial" w:cs="Arial"/>
          <w:b/>
          <w:lang w:val="es-ES"/>
        </w:rPr>
        <w:t>6.1. Fitoreguladores</w:t>
      </w:r>
    </w:p>
    <w:p w:rsidR="00503A41" w:rsidRPr="00993936" w:rsidRDefault="00503A41" w:rsidP="000452B8">
      <w:pPr>
        <w:jc w:val="both"/>
        <w:rPr>
          <w:rFonts w:ascii="Arial" w:hAnsi="Arial" w:cs="Arial"/>
          <w:lang w:val="es-ES"/>
        </w:rPr>
      </w:pPr>
      <w:r w:rsidRPr="00993936">
        <w:rPr>
          <w:rFonts w:ascii="Arial" w:hAnsi="Arial" w:cs="Arial"/>
          <w:lang w:val="es-ES"/>
        </w:rPr>
        <w:t xml:space="preserve">6.1.1 </w:t>
      </w:r>
      <w:r w:rsidRPr="00993936">
        <w:rPr>
          <w:rFonts w:ascii="Arial" w:hAnsi="Arial" w:cs="Arial"/>
          <w:i/>
          <w:lang w:val="es-ES"/>
        </w:rPr>
        <w:t>Prohibiciones</w:t>
      </w:r>
      <w:r w:rsidRPr="00993936">
        <w:rPr>
          <w:rFonts w:ascii="Arial" w:hAnsi="Arial" w:cs="Arial"/>
          <w:lang w:val="es-ES"/>
        </w:rPr>
        <w:t xml:space="preserve"> </w:t>
      </w:r>
    </w:p>
    <w:p w:rsidR="00503A41" w:rsidRPr="00993936" w:rsidRDefault="00503A41" w:rsidP="000452B8">
      <w:pPr>
        <w:jc w:val="both"/>
        <w:rPr>
          <w:rFonts w:ascii="Arial" w:hAnsi="Arial" w:cs="Arial"/>
          <w:lang w:val="es-ES"/>
        </w:rPr>
      </w:pPr>
      <w:r w:rsidRPr="00993936">
        <w:rPr>
          <w:rFonts w:ascii="Arial" w:hAnsi="Arial" w:cs="Arial"/>
          <w:lang w:val="es-ES"/>
        </w:rPr>
        <w:t>6.1.1.1 Queda prohibida la utilización de productos, modificadores de la forma del fruto, colorantes y maduradores de los frutos.</w:t>
      </w:r>
    </w:p>
    <w:p w:rsidR="00503A41" w:rsidRPr="00993936" w:rsidRDefault="00503A41" w:rsidP="000452B8">
      <w:pPr>
        <w:jc w:val="both"/>
        <w:rPr>
          <w:rFonts w:ascii="Arial" w:hAnsi="Arial" w:cs="Arial"/>
          <w:lang w:val="es-ES"/>
        </w:rPr>
      </w:pPr>
      <w:r w:rsidRPr="00993936">
        <w:rPr>
          <w:rFonts w:ascii="Arial" w:hAnsi="Arial" w:cs="Arial"/>
          <w:lang w:val="es-ES"/>
        </w:rPr>
        <w:t xml:space="preserve">6.1.2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6.1.2.1 Como norma de carácter general, se implantarán árboles que tiendan, de forma natural, a un equilibrio vegetativo y productivo. En estos tiene que ser posible, por una parte, una conducción armónica de la plantación que respete la tendencia natural de la planta, y de la otra, que permita la consecución de los procesos de </w:t>
      </w:r>
      <w:r w:rsidRPr="00993936">
        <w:rPr>
          <w:rFonts w:ascii="Arial" w:hAnsi="Arial" w:cs="Arial"/>
          <w:lang w:val="es-ES"/>
        </w:rPr>
        <w:lastRenderedPageBreak/>
        <w:t xml:space="preserve">cuajado, desarrollo, crecimiento y maduración del fruto, minimizando las intervenciones con fitoreguladores. </w:t>
      </w:r>
    </w:p>
    <w:p w:rsidR="00503A41" w:rsidRPr="00993936" w:rsidRDefault="00503A41" w:rsidP="000452B8">
      <w:pPr>
        <w:jc w:val="both"/>
        <w:rPr>
          <w:rFonts w:ascii="Arial" w:hAnsi="Arial" w:cs="Arial"/>
          <w:lang w:val="es-ES"/>
        </w:rPr>
      </w:pPr>
      <w:r w:rsidRPr="00993936">
        <w:rPr>
          <w:rFonts w:ascii="Arial" w:hAnsi="Arial" w:cs="Arial"/>
          <w:lang w:val="es-ES"/>
        </w:rPr>
        <w:t>Para la consecución del equilibrio vegetativo y productivo, se escogerá esmeradamente el material vegetal más adecuado en relación a las condiciones de cada finca en particular, tomando en consideración los factores edafoclimáticos y las técnicas productivas (poda, riego, abonado</w:t>
      </w:r>
      <w:r w:rsidRPr="00993936">
        <w:rPr>
          <w:rFonts w:ascii="Arial" w:hAnsi="Arial" w:cs="Arial"/>
          <w:vanish/>
          <w:lang w:val="es-ES"/>
        </w:rPr>
        <w:t>&lt;A[adobado|arreglado]&gt;</w:t>
      </w:r>
      <w:r w:rsidRPr="00993936">
        <w:rPr>
          <w:rFonts w:ascii="Arial" w:hAnsi="Arial" w:cs="Arial"/>
          <w:lang w:val="es-ES"/>
        </w:rPr>
        <w:t>) que queremos utilizar.</w:t>
      </w:r>
    </w:p>
    <w:p w:rsidR="00503A41" w:rsidRPr="00993936" w:rsidRDefault="00503A41" w:rsidP="000452B8">
      <w:pPr>
        <w:jc w:val="both"/>
        <w:rPr>
          <w:rFonts w:ascii="Arial" w:hAnsi="Arial" w:cs="Arial"/>
          <w:lang w:val="es-ES"/>
        </w:rPr>
      </w:pPr>
      <w:r w:rsidRPr="00993936">
        <w:rPr>
          <w:rFonts w:ascii="Arial" w:hAnsi="Arial" w:cs="Arial"/>
          <w:lang w:val="es-ES"/>
        </w:rPr>
        <w:t>En este aspecto, se evitará, tanto como sea posible, la implantación de plantaciones que por motivos varietales o de condiciones edafoclimáticas de la parcela tengan fuertemente condicionado su cultivo a la utilización de productos fitoreguladores.</w:t>
      </w:r>
    </w:p>
    <w:p w:rsidR="00503A41" w:rsidRPr="00993936" w:rsidRDefault="00503A41" w:rsidP="000452B8">
      <w:pPr>
        <w:jc w:val="both"/>
        <w:rPr>
          <w:rFonts w:ascii="Arial" w:hAnsi="Arial" w:cs="Arial"/>
          <w:lang w:val="es-ES"/>
        </w:rPr>
      </w:pPr>
      <w:r w:rsidRPr="00993936">
        <w:rPr>
          <w:rFonts w:ascii="Arial" w:hAnsi="Arial" w:cs="Arial"/>
          <w:lang w:val="es-ES"/>
        </w:rPr>
        <w:t xml:space="preserve">En las plantaciones ya establecidas, y donde ya no sea posible la optimización de algunos de los factores mencionados anteriormente, la consecución del equilibrio vegetativo y productivo hará falta basarlo, tanto como sea posible, en operaciones culturales, y, cuando estas no sean suficientes, en la utilización de productos fitoreguladores.   </w:t>
      </w:r>
    </w:p>
    <w:p w:rsidR="00503A41" w:rsidRPr="00993936" w:rsidRDefault="00503A41" w:rsidP="000452B8">
      <w:pPr>
        <w:jc w:val="both"/>
        <w:rPr>
          <w:rFonts w:ascii="Arial" w:hAnsi="Arial" w:cs="Arial"/>
          <w:lang w:val="es-ES"/>
        </w:rPr>
      </w:pPr>
    </w:p>
    <w:p w:rsidR="00503A41" w:rsidRPr="00993936" w:rsidRDefault="00503A41" w:rsidP="000452B8">
      <w:pPr>
        <w:jc w:val="both"/>
        <w:outlineLvl w:val="0"/>
        <w:rPr>
          <w:rFonts w:ascii="Arial" w:hAnsi="Arial" w:cs="Arial"/>
          <w:b/>
          <w:lang w:val="es-ES"/>
        </w:rPr>
      </w:pPr>
      <w:r w:rsidRPr="00993936">
        <w:rPr>
          <w:rFonts w:ascii="Arial" w:hAnsi="Arial" w:cs="Arial"/>
          <w:b/>
          <w:lang w:val="es-ES"/>
        </w:rPr>
        <w:t>6.2 Aclarado</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6.2.1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6.2.1.1 El aclarado irá dirigida a la eliminación de los excesos de producción con la doble finalidad de obtención de calibres comercialmente aceptables y a la estabilización de las producciones anuales dentro del ciclo productivo de la plantación.</w:t>
      </w:r>
    </w:p>
    <w:p w:rsidR="00503A41" w:rsidRPr="00993936" w:rsidRDefault="00503A41" w:rsidP="000452B8">
      <w:pPr>
        <w:jc w:val="both"/>
        <w:rPr>
          <w:rFonts w:ascii="Arial" w:hAnsi="Arial" w:cs="Arial"/>
          <w:lang w:val="es-ES"/>
        </w:rPr>
      </w:pPr>
    </w:p>
    <w:p w:rsidR="00503A41" w:rsidRPr="00993936" w:rsidRDefault="00503A41" w:rsidP="000452B8">
      <w:pPr>
        <w:jc w:val="both"/>
        <w:outlineLvl w:val="0"/>
        <w:rPr>
          <w:rFonts w:ascii="Arial" w:hAnsi="Arial" w:cs="Arial"/>
          <w:b/>
          <w:lang w:val="es-ES"/>
        </w:rPr>
      </w:pPr>
      <w:r w:rsidRPr="00993936">
        <w:rPr>
          <w:rFonts w:ascii="Arial" w:hAnsi="Arial" w:cs="Arial"/>
          <w:b/>
          <w:lang w:val="es-ES"/>
        </w:rPr>
        <w:t>6.3 Control de vigor</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6.3.1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6.3.1.1 El control de vigor se realizará preferentemente combinando la poda con la racionalización del resto de técnicas productivas, especialmente con respecto al riego y la fertilización.</w:t>
      </w:r>
    </w:p>
    <w:p w:rsidR="00503A41" w:rsidRPr="00993936" w:rsidRDefault="00503A41" w:rsidP="000452B8">
      <w:pPr>
        <w:jc w:val="both"/>
        <w:rPr>
          <w:rFonts w:ascii="Arial" w:hAnsi="Arial" w:cs="Arial"/>
          <w:lang w:val="es-ES"/>
        </w:rPr>
      </w:pPr>
      <w:r w:rsidRPr="00993936">
        <w:rPr>
          <w:rFonts w:ascii="Arial" w:hAnsi="Arial" w:cs="Arial"/>
          <w:lang w:val="es-ES"/>
        </w:rPr>
        <w:t xml:space="preserve">En los casos en que no sea posible el control con estas medidas y de la falta de control del crecimiento se puedan derivar situaciones de desequilibrios vegetativos que después puedan incidir sobre la producción, se podrán aplicar productos reguladores del crecimiento del grupo de los inhibidores de las giberelinas previstos en esta norma. </w:t>
      </w:r>
    </w:p>
    <w:p w:rsidR="00503A41" w:rsidRPr="00993936" w:rsidRDefault="00503A41" w:rsidP="000452B8">
      <w:pPr>
        <w:jc w:val="both"/>
        <w:rPr>
          <w:rFonts w:ascii="Arial" w:hAnsi="Arial" w:cs="Arial"/>
          <w:b/>
          <w:lang w:val="es-ES"/>
        </w:rPr>
      </w:pPr>
      <w:r w:rsidRPr="00993936">
        <w:rPr>
          <w:rFonts w:ascii="Arial" w:hAnsi="Arial" w:cs="Arial"/>
          <w:b/>
          <w:lang w:val="es-ES"/>
        </w:rPr>
        <w:t>6.4 Poda</w:t>
      </w:r>
    </w:p>
    <w:p w:rsidR="00503A41" w:rsidRPr="00993936" w:rsidRDefault="00503A41" w:rsidP="000452B8">
      <w:pPr>
        <w:jc w:val="both"/>
        <w:rPr>
          <w:rFonts w:ascii="Arial" w:hAnsi="Arial" w:cs="Arial"/>
          <w:lang w:val="es-ES"/>
        </w:rPr>
      </w:pPr>
      <w:r w:rsidRPr="00993936">
        <w:rPr>
          <w:rFonts w:ascii="Arial" w:hAnsi="Arial" w:cs="Arial"/>
          <w:lang w:val="es-ES"/>
        </w:rPr>
        <w:t xml:space="preserve">6.4.1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6.4.1.1 La poda se llevará a cabo con un planteamiento técnico, teniendo en cuenta los principios fundamentales que rigen esta práctica, para maximizar la eficacia y la rentabilidad.</w:t>
      </w:r>
    </w:p>
    <w:p w:rsidR="00503A41" w:rsidRPr="00993936" w:rsidRDefault="00503A41" w:rsidP="000452B8">
      <w:pPr>
        <w:jc w:val="both"/>
        <w:rPr>
          <w:rFonts w:ascii="Arial" w:hAnsi="Arial" w:cs="Arial"/>
          <w:lang w:val="es-ES"/>
        </w:rPr>
      </w:pPr>
      <w:r w:rsidRPr="00993936">
        <w:rPr>
          <w:rFonts w:ascii="Arial" w:hAnsi="Arial" w:cs="Arial"/>
          <w:lang w:val="es-ES"/>
        </w:rPr>
        <w:t>6.4.1.2 El sistema de poda tiene que respetar el estado fisiológico óptimo del árbol, permitir uno bueno aireado y una buena penetración de la luz y de los tratamientos, y mantener una adecuada relación hojas/frutos. El exceso de vigor se corregirá preferentemente mediante prácticas culturales, además de la poda.</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6.4.1.3 La poda en verde se realizará con instrumentos cortantes, como tijeras, cuchillos y otros,</w:t>
      </w:r>
      <w:r w:rsidRPr="00993936">
        <w:rPr>
          <w:rFonts w:ascii="Arial" w:hAnsi="Arial" w:cs="Arial"/>
          <w:i/>
          <w:lang w:val="es-ES"/>
        </w:rPr>
        <w:t xml:space="preserve"> </w:t>
      </w:r>
      <w:r w:rsidRPr="00993936">
        <w:rPr>
          <w:rFonts w:ascii="Arial" w:hAnsi="Arial" w:cs="Arial"/>
          <w:lang w:val="es-ES"/>
        </w:rPr>
        <w:t>salvo los pinzamientos, que se podrán hacer manualmente.</w:t>
      </w:r>
    </w:p>
    <w:p w:rsidR="00503A41" w:rsidRPr="00993936" w:rsidRDefault="00503A41" w:rsidP="000452B8">
      <w:pPr>
        <w:jc w:val="both"/>
        <w:rPr>
          <w:rFonts w:ascii="Arial" w:hAnsi="Arial" w:cs="Arial"/>
          <w:lang w:val="es-ES"/>
        </w:rPr>
      </w:pPr>
      <w:r w:rsidRPr="00993936">
        <w:rPr>
          <w:rFonts w:ascii="Arial" w:hAnsi="Arial" w:cs="Arial"/>
          <w:lang w:val="es-ES"/>
        </w:rPr>
        <w:t>6.4.1.4 Desinfectar o sustituir los guantes y los instrumentos de poda cuando se cambie de parcela o de variedad, en caso de haber riesgo de propagación de problemas fitosanitarios.</w:t>
      </w:r>
      <w:r w:rsidRPr="00993936" w:rsidDel="004C0492">
        <w:rPr>
          <w:rFonts w:ascii="Arial" w:hAnsi="Arial" w:cs="Arial"/>
          <w:lang w:val="es-ES"/>
        </w:rPr>
        <w:t xml:space="preserve"> </w:t>
      </w:r>
    </w:p>
    <w:p w:rsidR="00503A41" w:rsidRPr="00993936" w:rsidRDefault="00503A41" w:rsidP="000452B8">
      <w:pPr>
        <w:jc w:val="both"/>
        <w:rPr>
          <w:rFonts w:ascii="Arial" w:hAnsi="Arial" w:cs="Arial"/>
          <w:lang w:val="es-ES"/>
        </w:rPr>
      </w:pPr>
      <w:r w:rsidRPr="00993936">
        <w:rPr>
          <w:rFonts w:ascii="Arial" w:hAnsi="Arial" w:cs="Arial"/>
          <w:lang w:val="es-ES"/>
        </w:rPr>
        <w:t>6.4.1.5 El equilibrio de los árboles se tendrá que controlar de manera prioritaria con medidas culturales, como la fertilización, un adecuado suministro de agua, la poda de verano y/o la regulación del número de frutos cuajados. Cuando a través de estas técnicas no sea posible mantener el equilibrio, se podrá justificar la utilización de fitoreguladores de síntesis para regular el crecimiento del árbol.</w:t>
      </w:r>
    </w:p>
    <w:p w:rsidR="00503A41" w:rsidRPr="00993936" w:rsidRDefault="00503A41" w:rsidP="000452B8">
      <w:pPr>
        <w:jc w:val="both"/>
        <w:rPr>
          <w:rFonts w:ascii="Arial" w:hAnsi="Arial" w:cs="Arial"/>
          <w:lang w:val="es-ES"/>
        </w:rPr>
      </w:pPr>
      <w:r w:rsidRPr="00993936">
        <w:rPr>
          <w:rFonts w:ascii="Arial" w:hAnsi="Arial" w:cs="Arial"/>
          <w:lang w:val="es-ES"/>
        </w:rPr>
        <w:t xml:space="preserve">6.4.2 </w:t>
      </w:r>
      <w:r w:rsidRPr="00993936">
        <w:rPr>
          <w:rFonts w:ascii="Arial" w:hAnsi="Arial" w:cs="Arial"/>
          <w:i/>
          <w:lang w:val="es-ES"/>
        </w:rPr>
        <w:t>Prohibiciones</w:t>
      </w:r>
    </w:p>
    <w:p w:rsidR="00503A41" w:rsidRPr="00993936" w:rsidRDefault="00503A41" w:rsidP="000452B8">
      <w:pPr>
        <w:jc w:val="both"/>
        <w:rPr>
          <w:rFonts w:ascii="Arial" w:hAnsi="Arial" w:cs="Arial"/>
          <w:lang w:val="es-ES"/>
        </w:rPr>
      </w:pPr>
      <w:r w:rsidRPr="00993936">
        <w:rPr>
          <w:rFonts w:ascii="Arial" w:hAnsi="Arial" w:cs="Arial"/>
          <w:lang w:val="es-ES"/>
        </w:rPr>
        <w:t>6.4.2.1 Quemar de manera incontrolada los restos de poda.</w:t>
      </w:r>
    </w:p>
    <w:p w:rsidR="00503A41" w:rsidRPr="00993936" w:rsidRDefault="00503A41" w:rsidP="000452B8">
      <w:pPr>
        <w:jc w:val="both"/>
        <w:rPr>
          <w:rFonts w:ascii="Arial" w:hAnsi="Arial" w:cs="Arial"/>
          <w:lang w:val="es-ES"/>
        </w:rPr>
      </w:pPr>
      <w:r w:rsidRPr="00993936">
        <w:rPr>
          <w:rFonts w:ascii="Arial" w:hAnsi="Arial" w:cs="Arial"/>
          <w:lang w:val="es-ES"/>
        </w:rPr>
        <w:t xml:space="preserve">6.4.2.2 Abandonar los restos de poda, no procesados, en la parcela o en sus márgenes. </w:t>
      </w:r>
    </w:p>
    <w:p w:rsidR="00503A41" w:rsidRPr="00993936" w:rsidRDefault="00503A41" w:rsidP="000452B8">
      <w:pPr>
        <w:jc w:val="both"/>
        <w:rPr>
          <w:rFonts w:ascii="Arial" w:hAnsi="Arial" w:cs="Arial"/>
          <w:lang w:val="es-ES"/>
        </w:rPr>
      </w:pPr>
      <w:r w:rsidRPr="00993936">
        <w:rPr>
          <w:rFonts w:ascii="Arial" w:hAnsi="Arial" w:cs="Arial"/>
          <w:lang w:val="es-ES"/>
        </w:rPr>
        <w:t xml:space="preserve">6.4.3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6.4.3.1 Trocear y triturar los restos de poda.</w:t>
      </w:r>
    </w:p>
    <w:p w:rsidR="00503A41" w:rsidRPr="00993936" w:rsidRDefault="00503A41" w:rsidP="000452B8">
      <w:pPr>
        <w:jc w:val="both"/>
        <w:outlineLvl w:val="0"/>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7</w:t>
      </w:r>
    </w:p>
    <w:p w:rsidR="00503A41" w:rsidRPr="00993936" w:rsidRDefault="00503A41" w:rsidP="000452B8">
      <w:pPr>
        <w:jc w:val="both"/>
        <w:outlineLvl w:val="0"/>
        <w:rPr>
          <w:rFonts w:ascii="Arial" w:hAnsi="Arial" w:cs="Arial"/>
          <w:lang w:val="es-ES"/>
        </w:rPr>
      </w:pPr>
      <w:r w:rsidRPr="00993936">
        <w:rPr>
          <w:rFonts w:ascii="Arial" w:hAnsi="Arial" w:cs="Arial"/>
          <w:b/>
          <w:lang w:val="es-ES"/>
        </w:rPr>
        <w:t>Fertilización</w:t>
      </w:r>
    </w:p>
    <w:p w:rsidR="00503A41" w:rsidRPr="00993936" w:rsidRDefault="00503A41" w:rsidP="000452B8">
      <w:pPr>
        <w:jc w:val="both"/>
        <w:rPr>
          <w:rFonts w:ascii="Arial" w:hAnsi="Arial" w:cs="Arial"/>
          <w:lang w:val="es-ES"/>
        </w:rPr>
      </w:pPr>
      <w:r w:rsidRPr="00993936">
        <w:rPr>
          <w:rFonts w:ascii="Arial" w:hAnsi="Arial" w:cs="Arial"/>
          <w:lang w:val="es-ES"/>
        </w:rPr>
        <w:t xml:space="preserve">7.1 </w:t>
      </w:r>
      <w:r w:rsidRPr="00993936">
        <w:rPr>
          <w:rFonts w:ascii="Arial" w:hAnsi="Arial" w:cs="Arial"/>
          <w:i/>
          <w:lang w:val="es-ES"/>
        </w:rPr>
        <w:t>Obligaciones</w:t>
      </w:r>
    </w:p>
    <w:p w:rsidR="00503A41" w:rsidRPr="00993936" w:rsidRDefault="00503A41" w:rsidP="000452B8">
      <w:pPr>
        <w:jc w:val="both"/>
        <w:rPr>
          <w:rFonts w:ascii="Arial" w:hAnsi="Arial" w:cs="Arial"/>
          <w:i/>
          <w:lang w:val="es-ES"/>
        </w:rPr>
      </w:pPr>
      <w:r w:rsidRPr="00993936">
        <w:rPr>
          <w:rFonts w:ascii="Arial" w:hAnsi="Arial" w:cs="Arial"/>
          <w:lang w:val="es-ES"/>
        </w:rPr>
        <w:t>7.1.1 En las nuevas plantaciones, previamente a la plantación, se realizarán análisis del suelo y del agua de riego. Los resultados de estos análisis determinarán la fertilización de fondo previo a la plantación. Los análisis se volverán a realizar cada 5 años</w:t>
      </w:r>
      <w:r w:rsidRPr="00993936">
        <w:rPr>
          <w:rFonts w:ascii="Arial" w:hAnsi="Arial" w:cs="Arial"/>
          <w:i/>
          <w:lang w:val="es-ES"/>
        </w:rPr>
        <w:t>.</w:t>
      </w:r>
    </w:p>
    <w:p w:rsidR="00503A41" w:rsidRPr="00993936" w:rsidRDefault="00503A41" w:rsidP="000452B8">
      <w:pPr>
        <w:pStyle w:val="Textoindependiente"/>
        <w:rPr>
          <w:rFonts w:cs="Arial"/>
          <w:szCs w:val="22"/>
          <w:lang w:val="es-ES"/>
        </w:rPr>
      </w:pPr>
      <w:r w:rsidRPr="00993936">
        <w:rPr>
          <w:rFonts w:cs="Arial"/>
          <w:szCs w:val="22"/>
          <w:lang w:val="es-ES"/>
        </w:rPr>
        <w:t>7.1.2 En plantaciones establecidas, cada explotación tendrá que realizar y disponer, de forma justificada, análisis de suelos y del agua de riego para planificar la fertilización. Los análisis se realizarán cada 5 años.</w:t>
      </w:r>
    </w:p>
    <w:p w:rsidR="00503A41" w:rsidRPr="00993936" w:rsidRDefault="00503A41" w:rsidP="000452B8">
      <w:pPr>
        <w:pStyle w:val="Textoindependiente"/>
        <w:ind w:left="708"/>
        <w:rPr>
          <w:rFonts w:cs="Arial"/>
          <w:szCs w:val="22"/>
          <w:lang w:val="es-ES"/>
        </w:rPr>
      </w:pPr>
      <w:r w:rsidRPr="00993936">
        <w:rPr>
          <w:rFonts w:cs="Arial"/>
          <w:szCs w:val="22"/>
          <w:lang w:val="es-ES"/>
        </w:rPr>
        <w:t>7.1.2.1 En caso de que el abastecimiento del agua de riego se haga a través de una comunidad de regantes o bien por una entidad similar, el cumplimiento</w:t>
      </w:r>
      <w:r w:rsidRPr="00993936">
        <w:rPr>
          <w:rFonts w:cs="Arial"/>
          <w:vanish/>
          <w:szCs w:val="22"/>
          <w:lang w:val="es-ES"/>
        </w:rPr>
        <w:t>&lt;A[cumplimiento|cumplido]&gt;</w:t>
      </w:r>
      <w:r w:rsidRPr="00993936">
        <w:rPr>
          <w:rFonts w:cs="Arial"/>
          <w:szCs w:val="22"/>
          <w:lang w:val="es-ES"/>
        </w:rPr>
        <w:t xml:space="preserve"> del requisito indicado en el punto anterior se podrá justificar con la disposición de una analítica de agua, realizada por alguna de las entidades indicadas, siempre que incluya los parámetros que se indican en el artículo 9.1.</w:t>
      </w:r>
    </w:p>
    <w:p w:rsidR="00503A41" w:rsidRPr="00993936" w:rsidRDefault="00503A41" w:rsidP="000452B8">
      <w:pPr>
        <w:pStyle w:val="Textoindependiente"/>
        <w:ind w:left="708"/>
        <w:rPr>
          <w:rFonts w:cs="Arial"/>
          <w:szCs w:val="22"/>
          <w:lang w:val="es-ES"/>
        </w:rPr>
      </w:pPr>
      <w:r w:rsidRPr="00993936">
        <w:rPr>
          <w:rFonts w:cs="Arial"/>
          <w:szCs w:val="22"/>
          <w:lang w:val="es-ES"/>
        </w:rPr>
        <w:t>7.1.2.2 En caso de que el abastecimiento del agua de riego sea de pozo, los análisis se harán como mínimo cada dos años. Cuando los resultados de dos analíticas consecutivas del agua, realizadas en el plazo señalado, sean similares los análisis se podrán efectuar cada 5 años.</w:t>
      </w:r>
    </w:p>
    <w:p w:rsidR="00503A41" w:rsidRPr="00993936" w:rsidRDefault="00503A41" w:rsidP="000452B8">
      <w:pPr>
        <w:pStyle w:val="Textoindependiente"/>
        <w:rPr>
          <w:rFonts w:cs="Arial"/>
          <w:szCs w:val="22"/>
          <w:lang w:val="es-ES"/>
        </w:rPr>
      </w:pPr>
    </w:p>
    <w:p w:rsidR="00503A41" w:rsidRPr="00993936" w:rsidRDefault="00503A41" w:rsidP="000452B8">
      <w:pPr>
        <w:pStyle w:val="Textoindependiente"/>
        <w:rPr>
          <w:rFonts w:cs="Arial"/>
          <w:szCs w:val="22"/>
          <w:lang w:val="es-ES"/>
        </w:rPr>
      </w:pPr>
      <w:r w:rsidRPr="00993936">
        <w:rPr>
          <w:rFonts w:cs="Arial"/>
          <w:szCs w:val="22"/>
          <w:lang w:val="es-ES"/>
        </w:rPr>
        <w:t>El número de análisis a efectuar será como mínimo un análisis del suelo por unidad homogénea de cultivo. Cuando se integre una UHC en el sistema de producción integrada habrá que realizar un análisis físico y químico siempre que no disponga uno realizado en un periodo de tiempo inferior a cinco años.</w:t>
      </w:r>
    </w:p>
    <w:p w:rsidR="00503A41" w:rsidRPr="00993936" w:rsidRDefault="00503A41" w:rsidP="000452B8">
      <w:pPr>
        <w:pStyle w:val="Textoindependiente"/>
        <w:rPr>
          <w:rFonts w:cs="Arial"/>
          <w:szCs w:val="22"/>
          <w:lang w:val="es-ES"/>
        </w:rPr>
      </w:pPr>
    </w:p>
    <w:p w:rsidR="00503A41" w:rsidRPr="00993936" w:rsidRDefault="00503A41" w:rsidP="000452B8">
      <w:pPr>
        <w:pStyle w:val="Textoindependiente"/>
        <w:rPr>
          <w:rFonts w:cs="Arial"/>
          <w:szCs w:val="22"/>
          <w:lang w:val="es-ES"/>
        </w:rPr>
      </w:pPr>
      <w:r w:rsidRPr="00993936">
        <w:rPr>
          <w:rFonts w:cs="Arial"/>
          <w:szCs w:val="22"/>
          <w:lang w:val="es-ES"/>
        </w:rPr>
        <w:t xml:space="preserve">7.1.3 Todas las analíticas de suelo incluirán, al menos, la determinación de fósforo, potasio y magnesio asimilables, la materia orgánica, la prueba previa de salinidad y, si </w:t>
      </w:r>
      <w:r w:rsidRPr="00993936">
        <w:rPr>
          <w:rFonts w:cs="Arial"/>
          <w:szCs w:val="22"/>
          <w:lang w:val="es-ES"/>
        </w:rPr>
        <w:lastRenderedPageBreak/>
        <w:t>procede</w:t>
      </w:r>
      <w:r w:rsidRPr="00993936">
        <w:rPr>
          <w:rFonts w:cs="Arial"/>
          <w:vanish/>
          <w:szCs w:val="22"/>
          <w:lang w:val="es-ES"/>
        </w:rPr>
        <w:t>&lt;A[pega|ocurre]&gt;</w:t>
      </w:r>
      <w:r w:rsidRPr="00993936">
        <w:rPr>
          <w:rFonts w:cs="Arial"/>
          <w:szCs w:val="22"/>
          <w:lang w:val="es-ES"/>
        </w:rPr>
        <w:t xml:space="preserve">, el análisis de sales solubles. En la primera analítica se incluirá, además, la determinación de textura y pH, y en caso de establecer una nueva plantación, la determinación de carbonatos y cal activa. </w:t>
      </w:r>
    </w:p>
    <w:p w:rsidR="00503A41" w:rsidRPr="00993936" w:rsidRDefault="00503A41" w:rsidP="000452B8">
      <w:pPr>
        <w:pStyle w:val="Textoindependiente"/>
        <w:rPr>
          <w:rFonts w:cs="Arial"/>
          <w:szCs w:val="22"/>
          <w:lang w:val="es-ES"/>
        </w:rPr>
      </w:pPr>
      <w:r w:rsidRPr="00993936">
        <w:rPr>
          <w:rFonts w:cs="Arial"/>
          <w:szCs w:val="22"/>
          <w:lang w:val="es-ES"/>
        </w:rPr>
        <w:t>7.1.4 A partir del tercer año de la plantación se hará un seguimiento del estado nutritivo de la plantación mediante análisis foliares realizados cada año entre finales de primavera y verano. El análisis de las hojas servirá para conocer la respuesta de la planta al programa de fertilización, corregir las desviaciones que puedan producirse y validar los programas de abonado</w:t>
      </w:r>
      <w:r w:rsidRPr="00993936">
        <w:rPr>
          <w:rFonts w:cs="Arial"/>
          <w:vanish/>
          <w:szCs w:val="22"/>
          <w:lang w:val="es-ES"/>
        </w:rPr>
        <w:t>&lt;A[abono|adobo]&gt;</w:t>
      </w:r>
      <w:r w:rsidRPr="00993936">
        <w:rPr>
          <w:rFonts w:cs="Arial"/>
          <w:szCs w:val="22"/>
          <w:lang w:val="es-ES"/>
        </w:rPr>
        <w:t>. Cada explotación tendrá que disponer de análisis foliares. El número de análisis foliares a realizar anualmente será, como mínimo, de un análisis por UHC. En cada UHC se analizarán al menos los nutrientes mayoritarios (N, P, K, Ca y Mg). Si hay síntomas de deficiencia o se utilizan fertilizantes con oligoelementos, se tendrán que incluir los microelementos en los análisis, al menos Fe, Mn, Cu y Zn o bien aquellos de los cuales se requiera la aportación.</w:t>
      </w:r>
    </w:p>
    <w:p w:rsidR="00503A41" w:rsidRPr="00993936" w:rsidRDefault="00503A41" w:rsidP="000452B8">
      <w:pPr>
        <w:jc w:val="both"/>
        <w:rPr>
          <w:rFonts w:ascii="Arial" w:hAnsi="Arial" w:cs="Arial"/>
          <w:lang w:val="es-ES"/>
        </w:rPr>
      </w:pPr>
      <w:r w:rsidRPr="00993936">
        <w:rPr>
          <w:rFonts w:ascii="Arial" w:hAnsi="Arial" w:cs="Arial"/>
          <w:lang w:val="es-ES"/>
        </w:rPr>
        <w:t>7.1.5 Las aplicaciones de abonos</w:t>
      </w:r>
      <w:r w:rsidRPr="00993936">
        <w:rPr>
          <w:rFonts w:ascii="Arial" w:hAnsi="Arial" w:cs="Arial"/>
          <w:vanish/>
          <w:lang w:val="es-ES"/>
        </w:rPr>
        <w:t>&lt;A[abonos|adobos]&gt;</w:t>
      </w:r>
      <w:r w:rsidRPr="00993936">
        <w:rPr>
          <w:rFonts w:ascii="Arial" w:hAnsi="Arial" w:cs="Arial"/>
          <w:lang w:val="es-ES"/>
        </w:rPr>
        <w:t xml:space="preserve"> foliares y oligoelementos requerirán siempre de la disposición de un análisis foliar. La fertilización foliar sólo se utilizará cuando el técnico responsable de producción integrada la considere necesaria y siempre en función de las necesidades y exigencias del cultivo.</w:t>
      </w:r>
    </w:p>
    <w:p w:rsidR="00503A41" w:rsidRPr="00993936" w:rsidRDefault="00503A41" w:rsidP="000452B8">
      <w:pPr>
        <w:jc w:val="both"/>
        <w:rPr>
          <w:rFonts w:ascii="Arial" w:hAnsi="Arial" w:cs="Arial"/>
          <w:lang w:val="es-ES"/>
        </w:rPr>
      </w:pPr>
      <w:r w:rsidRPr="00993936">
        <w:rPr>
          <w:rFonts w:ascii="Arial" w:hAnsi="Arial" w:cs="Arial"/>
          <w:lang w:val="es-ES"/>
        </w:rPr>
        <w:t>7.1.6 El suministro de nutrientes se efectuará fundamentalmente a través del sistema radicular.</w:t>
      </w:r>
    </w:p>
    <w:p w:rsidR="00503A41" w:rsidRPr="00993936" w:rsidRDefault="00503A41" w:rsidP="000452B8">
      <w:pPr>
        <w:jc w:val="both"/>
        <w:rPr>
          <w:rFonts w:ascii="Arial" w:hAnsi="Arial" w:cs="Arial"/>
          <w:lang w:val="es-ES"/>
        </w:rPr>
      </w:pPr>
      <w:r w:rsidRPr="00993936">
        <w:rPr>
          <w:rFonts w:ascii="Arial" w:hAnsi="Arial" w:cs="Arial"/>
          <w:lang w:val="es-ES"/>
        </w:rPr>
        <w:t>7.1.7 Utilizar los análisis físicoquímicos del suelo como base para estimar</w:t>
      </w:r>
      <w:r w:rsidRPr="00993936">
        <w:rPr>
          <w:rFonts w:ascii="Arial" w:hAnsi="Arial" w:cs="Arial"/>
          <w:vanish/>
          <w:lang w:val="es-ES"/>
        </w:rPr>
        <w:t>&lt;A[amar|estimar]&gt;</w:t>
      </w:r>
      <w:r w:rsidRPr="00993936">
        <w:rPr>
          <w:rFonts w:ascii="Arial" w:hAnsi="Arial" w:cs="Arial"/>
          <w:lang w:val="es-ES"/>
        </w:rPr>
        <w:t xml:space="preserve"> las necesidades de macronutrientes, a excepción del nitrógeno. </w:t>
      </w:r>
    </w:p>
    <w:p w:rsidR="00503A41" w:rsidRPr="00993936" w:rsidRDefault="00503A41" w:rsidP="000452B8">
      <w:pPr>
        <w:jc w:val="both"/>
        <w:rPr>
          <w:rFonts w:ascii="Arial" w:hAnsi="Arial" w:cs="Arial"/>
          <w:lang w:val="es-ES"/>
        </w:rPr>
      </w:pPr>
      <w:r w:rsidRPr="00993936">
        <w:rPr>
          <w:rFonts w:ascii="Arial" w:hAnsi="Arial" w:cs="Arial"/>
          <w:lang w:val="es-ES"/>
        </w:rPr>
        <w:t>7.1.8 Realizar y aplicar un programa de fertilización de macronutrientes para cada cultivo y unidad homogénea de cultivo que considere los resultados de los análisis y tenga en cuenta, además de las extracciones del cultivo, el estado nutricional y de crecimiento, el tipo y nivel de fertilidad del suelo y las aportaciones efectuadas por otras vías (agua y materia orgánica). El programa determinará las épocas y la forma de aplicación más adecuadas para minimizar las pérdidas por</w:t>
      </w:r>
      <w:r w:rsidRPr="00993936">
        <w:rPr>
          <w:rFonts w:ascii="Arial" w:hAnsi="Arial" w:cs="Arial"/>
          <w:vanish/>
          <w:lang w:val="es-ES"/>
        </w:rPr>
        <w:t>&lt;A[por|para]&gt;</w:t>
      </w:r>
      <w:r w:rsidRPr="00993936">
        <w:rPr>
          <w:rFonts w:ascii="Arial" w:hAnsi="Arial" w:cs="Arial"/>
          <w:lang w:val="es-ES"/>
        </w:rPr>
        <w:t xml:space="preserve"> lixiviación, erosión, etc., potenciando la aportación, de fertilizantes naturales y reduciendo los químicos de síntesis.</w:t>
      </w:r>
    </w:p>
    <w:p w:rsidR="00503A41" w:rsidRPr="00993936" w:rsidRDefault="00503A41" w:rsidP="000452B8">
      <w:pPr>
        <w:jc w:val="both"/>
        <w:rPr>
          <w:rFonts w:ascii="Arial" w:hAnsi="Arial" w:cs="Arial"/>
          <w:lang w:val="es-ES"/>
        </w:rPr>
      </w:pPr>
      <w:r w:rsidRPr="00993936">
        <w:rPr>
          <w:rFonts w:ascii="Arial" w:hAnsi="Arial" w:cs="Arial"/>
          <w:lang w:val="es-ES"/>
        </w:rPr>
        <w:t>7.1.9 La programación tiene que tener en cuenta que los fertilizantes que provienen del exterior (aguas, materias orgánicas y fertilización directa) tienen que compensar las extracciones de las cosechas y las pérdidas técnicas. El programa determinará las épocas y la manera de aplicación más adecuadas, según la extracción periódica del cultivo, para minimizar las pérdidas por lixiviación, volatilización, desnitrificación, erosión, etc.</w:t>
      </w:r>
    </w:p>
    <w:p w:rsidR="00503A41" w:rsidRPr="00993936" w:rsidRDefault="00503A41" w:rsidP="000452B8">
      <w:pPr>
        <w:jc w:val="both"/>
        <w:outlineLvl w:val="0"/>
        <w:rPr>
          <w:rFonts w:ascii="Arial" w:hAnsi="Arial" w:cs="Arial"/>
          <w:lang w:val="es-ES"/>
        </w:rPr>
      </w:pPr>
      <w:r w:rsidRPr="00993936">
        <w:rPr>
          <w:rFonts w:ascii="Arial" w:hAnsi="Arial" w:cs="Arial"/>
          <w:lang w:val="es-ES"/>
        </w:rPr>
        <w:t>7.1.10 Considerando las aportaciones de las diferentes entradas (deyecciones ganaderas, aguas de riego, abonos</w:t>
      </w:r>
      <w:r w:rsidRPr="00993936">
        <w:rPr>
          <w:rFonts w:ascii="Arial" w:hAnsi="Arial" w:cs="Arial"/>
          <w:vanish/>
          <w:lang w:val="es-ES"/>
        </w:rPr>
        <w:t>&lt;A[abonos|adobos]&gt;</w:t>
      </w:r>
      <w:r w:rsidRPr="00993936">
        <w:rPr>
          <w:rFonts w:ascii="Arial" w:hAnsi="Arial" w:cs="Arial"/>
          <w:lang w:val="es-ES"/>
        </w:rPr>
        <w:t xml:space="preserve"> minerales, y otros), se establece el máximo de aportaciones siguientes:</w:t>
      </w:r>
    </w:p>
    <w:p w:rsidR="00503A41" w:rsidRPr="00993936" w:rsidRDefault="00503A41" w:rsidP="000452B8">
      <w:pPr>
        <w:jc w:val="both"/>
        <w:outlineLvl w:val="0"/>
        <w:rPr>
          <w:rFonts w:ascii="Arial" w:hAnsi="Arial" w:cs="Arial"/>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2552"/>
        <w:gridCol w:w="3679"/>
      </w:tblGrid>
      <w:tr w:rsidR="00503A41" w:rsidRPr="00993936" w:rsidTr="009D1A2D">
        <w:tc>
          <w:tcPr>
            <w:tcW w:w="2155" w:type="dxa"/>
            <w:shd w:val="clear" w:color="auto" w:fill="D9D9D9" w:themeFill="background1" w:themeFillShade="D9"/>
            <w:vAlign w:val="center"/>
          </w:tcPr>
          <w:p w:rsidR="00503A41" w:rsidRPr="00993936" w:rsidRDefault="00503A41" w:rsidP="009D1A2D">
            <w:pPr>
              <w:pStyle w:val="Sinespaciado"/>
              <w:jc w:val="center"/>
              <w:rPr>
                <w:rFonts w:ascii="Arial" w:hAnsi="Arial" w:cs="Arial"/>
                <w:b/>
                <w:lang w:val="es-ES"/>
              </w:rPr>
            </w:pPr>
            <w:r w:rsidRPr="00993936">
              <w:rPr>
                <w:rFonts w:ascii="Arial" w:hAnsi="Arial" w:cs="Arial"/>
                <w:b/>
                <w:lang w:val="es-ES"/>
              </w:rPr>
              <w:t>Elemento</w:t>
            </w:r>
          </w:p>
        </w:tc>
        <w:tc>
          <w:tcPr>
            <w:tcW w:w="2552" w:type="dxa"/>
            <w:shd w:val="clear" w:color="auto" w:fill="D9D9D9" w:themeFill="background1" w:themeFillShade="D9"/>
            <w:vAlign w:val="center"/>
          </w:tcPr>
          <w:p w:rsidR="00503A41" w:rsidRPr="00993936" w:rsidRDefault="00503A41" w:rsidP="009D1A2D">
            <w:pPr>
              <w:pStyle w:val="Sinespaciado"/>
              <w:jc w:val="center"/>
              <w:rPr>
                <w:rFonts w:ascii="Arial" w:hAnsi="Arial" w:cs="Arial"/>
                <w:b/>
                <w:lang w:val="es-ES"/>
              </w:rPr>
            </w:pPr>
            <w:r w:rsidRPr="00993936">
              <w:rPr>
                <w:rFonts w:ascii="Arial" w:hAnsi="Arial" w:cs="Arial"/>
                <w:b/>
                <w:lang w:val="es-ES"/>
              </w:rPr>
              <w:t>Máximo aportaciones</w:t>
            </w:r>
          </w:p>
          <w:p w:rsidR="00503A41" w:rsidRPr="00993936" w:rsidRDefault="00503A41" w:rsidP="009D1A2D">
            <w:pPr>
              <w:pStyle w:val="Sinespaciado"/>
              <w:jc w:val="center"/>
              <w:rPr>
                <w:rFonts w:ascii="Arial" w:hAnsi="Arial" w:cs="Arial"/>
                <w:b/>
                <w:lang w:val="es-ES"/>
              </w:rPr>
            </w:pPr>
            <w:r w:rsidRPr="00993936">
              <w:rPr>
                <w:rFonts w:ascii="Arial" w:hAnsi="Arial" w:cs="Arial"/>
                <w:b/>
                <w:lang w:val="es-ES"/>
              </w:rPr>
              <w:t>UF/ha y año</w:t>
            </w:r>
          </w:p>
        </w:tc>
        <w:tc>
          <w:tcPr>
            <w:tcW w:w="3679" w:type="dxa"/>
            <w:shd w:val="clear" w:color="auto" w:fill="D9D9D9" w:themeFill="background1" w:themeFillShade="D9"/>
            <w:vAlign w:val="center"/>
          </w:tcPr>
          <w:p w:rsidR="00503A41" w:rsidRPr="00993936" w:rsidRDefault="00503A41" w:rsidP="009D1A2D">
            <w:pPr>
              <w:pStyle w:val="Sinespaciado"/>
              <w:jc w:val="center"/>
              <w:rPr>
                <w:rFonts w:ascii="Arial" w:hAnsi="Arial" w:cs="Arial"/>
                <w:b/>
                <w:lang w:val="es-ES"/>
              </w:rPr>
            </w:pPr>
            <w:r w:rsidRPr="00993936">
              <w:rPr>
                <w:rFonts w:ascii="Arial" w:hAnsi="Arial" w:cs="Arial"/>
                <w:b/>
                <w:lang w:val="es-ES"/>
              </w:rPr>
              <w:t>Cultivos y condiciones a considerar</w:t>
            </w:r>
          </w:p>
        </w:tc>
      </w:tr>
      <w:tr w:rsidR="00503A41" w:rsidRPr="00993936" w:rsidTr="009D1A2D">
        <w:tc>
          <w:tcPr>
            <w:tcW w:w="2155"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Nitrógeno (N)</w:t>
            </w:r>
          </w:p>
        </w:tc>
        <w:tc>
          <w:tcPr>
            <w:tcW w:w="2552" w:type="dxa"/>
            <w:shd w:val="clear" w:color="auto" w:fill="auto"/>
          </w:tcPr>
          <w:p w:rsidR="00503A41" w:rsidRPr="00993936" w:rsidRDefault="00503A41" w:rsidP="009D1A2D">
            <w:pPr>
              <w:pStyle w:val="Sinespaciado"/>
              <w:jc w:val="center"/>
              <w:rPr>
                <w:rFonts w:ascii="Arial" w:hAnsi="Arial" w:cs="Arial"/>
                <w:lang w:val="es-ES"/>
              </w:rPr>
            </w:pPr>
            <w:r w:rsidRPr="00993936">
              <w:rPr>
                <w:rFonts w:ascii="Arial" w:hAnsi="Arial" w:cs="Arial"/>
                <w:lang w:val="es-ES"/>
              </w:rPr>
              <w:t>70</w:t>
            </w:r>
          </w:p>
        </w:tc>
        <w:tc>
          <w:tcPr>
            <w:tcW w:w="3679"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Cerezo y el albaricoquero</w:t>
            </w:r>
          </w:p>
        </w:tc>
      </w:tr>
      <w:tr w:rsidR="00503A41" w:rsidRPr="00993936" w:rsidTr="009D1A2D">
        <w:tc>
          <w:tcPr>
            <w:tcW w:w="2155"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Nitrógeno (N)</w:t>
            </w:r>
          </w:p>
        </w:tc>
        <w:tc>
          <w:tcPr>
            <w:tcW w:w="2552" w:type="dxa"/>
            <w:shd w:val="clear" w:color="auto" w:fill="auto"/>
          </w:tcPr>
          <w:p w:rsidR="00503A41" w:rsidRPr="00993936" w:rsidRDefault="00503A41" w:rsidP="009D1A2D">
            <w:pPr>
              <w:pStyle w:val="Sinespaciado"/>
              <w:jc w:val="center"/>
              <w:rPr>
                <w:rFonts w:ascii="Arial" w:hAnsi="Arial" w:cs="Arial"/>
                <w:lang w:val="es-ES"/>
              </w:rPr>
            </w:pPr>
            <w:r w:rsidRPr="00993936">
              <w:rPr>
                <w:rFonts w:ascii="Arial" w:hAnsi="Arial" w:cs="Arial"/>
                <w:lang w:val="es-ES"/>
              </w:rPr>
              <w:t>80</w:t>
            </w:r>
          </w:p>
        </w:tc>
        <w:tc>
          <w:tcPr>
            <w:tcW w:w="3679"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Melocotonero, nectarina y ciruelo tempranos,</w:t>
            </w:r>
          </w:p>
        </w:tc>
      </w:tr>
      <w:tr w:rsidR="00503A41" w:rsidRPr="00993936" w:rsidTr="009D1A2D">
        <w:tc>
          <w:tcPr>
            <w:tcW w:w="2155"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Nitrógeno (N)</w:t>
            </w:r>
          </w:p>
        </w:tc>
        <w:tc>
          <w:tcPr>
            <w:tcW w:w="2552" w:type="dxa"/>
            <w:shd w:val="clear" w:color="auto" w:fill="auto"/>
          </w:tcPr>
          <w:p w:rsidR="00503A41" w:rsidRPr="00993936" w:rsidRDefault="00503A41" w:rsidP="009D1A2D">
            <w:pPr>
              <w:pStyle w:val="Sinespaciado"/>
              <w:jc w:val="center"/>
              <w:rPr>
                <w:rFonts w:ascii="Arial" w:hAnsi="Arial" w:cs="Arial"/>
                <w:lang w:val="es-ES"/>
              </w:rPr>
            </w:pPr>
            <w:r w:rsidRPr="00993936">
              <w:rPr>
                <w:rFonts w:ascii="Arial" w:hAnsi="Arial" w:cs="Arial"/>
                <w:lang w:val="es-ES"/>
              </w:rPr>
              <w:t>110</w:t>
            </w:r>
          </w:p>
        </w:tc>
        <w:tc>
          <w:tcPr>
            <w:tcW w:w="3679"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Variedades de media estación y tardías</w:t>
            </w:r>
          </w:p>
        </w:tc>
      </w:tr>
      <w:tr w:rsidR="00503A41" w:rsidRPr="00993936" w:rsidTr="009D1A2D">
        <w:tc>
          <w:tcPr>
            <w:tcW w:w="2155"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lastRenderedPageBreak/>
              <w:t xml:space="preserve">  Fósforo (P</w:t>
            </w:r>
            <w:r w:rsidRPr="00993936">
              <w:rPr>
                <w:rFonts w:ascii="Arial" w:hAnsi="Arial" w:cs="Arial"/>
                <w:vertAlign w:val="subscript"/>
                <w:lang w:val="es-ES"/>
              </w:rPr>
              <w:t>2</w:t>
            </w:r>
            <w:r w:rsidRPr="00993936">
              <w:rPr>
                <w:rFonts w:ascii="Arial" w:hAnsi="Arial" w:cs="Arial"/>
                <w:lang w:val="es-ES"/>
              </w:rPr>
              <w:t>O)</w:t>
            </w:r>
          </w:p>
        </w:tc>
        <w:tc>
          <w:tcPr>
            <w:tcW w:w="2552" w:type="dxa"/>
            <w:shd w:val="clear" w:color="auto" w:fill="auto"/>
          </w:tcPr>
          <w:p w:rsidR="00503A41" w:rsidRPr="00993936" w:rsidRDefault="00503A41" w:rsidP="009D1A2D">
            <w:pPr>
              <w:pStyle w:val="Sinespaciado"/>
              <w:jc w:val="center"/>
              <w:rPr>
                <w:rFonts w:ascii="Arial" w:hAnsi="Arial" w:cs="Arial"/>
                <w:lang w:val="es-ES"/>
              </w:rPr>
            </w:pPr>
            <w:r w:rsidRPr="00993936">
              <w:rPr>
                <w:rFonts w:ascii="Arial" w:hAnsi="Arial" w:cs="Arial"/>
                <w:lang w:val="es-ES"/>
              </w:rPr>
              <w:t>250</w:t>
            </w:r>
          </w:p>
        </w:tc>
        <w:tc>
          <w:tcPr>
            <w:tcW w:w="3679"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Si el nivel de fósforo en el suelo es superior a 25 ppm </w:t>
            </w:r>
          </w:p>
        </w:tc>
      </w:tr>
      <w:tr w:rsidR="00503A41" w:rsidRPr="00993936" w:rsidTr="009D1A2D">
        <w:tc>
          <w:tcPr>
            <w:tcW w:w="2155" w:type="dxa"/>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Potasio (K</w:t>
            </w:r>
            <w:r w:rsidRPr="00993936">
              <w:rPr>
                <w:rFonts w:ascii="Arial" w:hAnsi="Arial" w:cs="Arial"/>
                <w:vertAlign w:val="subscript"/>
                <w:lang w:val="es-ES"/>
              </w:rPr>
              <w:t>2</w:t>
            </w:r>
            <w:r w:rsidRPr="00993936">
              <w:rPr>
                <w:rFonts w:ascii="Arial" w:hAnsi="Arial" w:cs="Arial"/>
                <w:lang w:val="es-ES"/>
              </w:rPr>
              <w:t>O)</w:t>
            </w:r>
          </w:p>
        </w:tc>
        <w:tc>
          <w:tcPr>
            <w:tcW w:w="2552" w:type="dxa"/>
            <w:shd w:val="clear" w:color="auto" w:fill="auto"/>
          </w:tcPr>
          <w:p w:rsidR="00503A41" w:rsidRPr="00993936" w:rsidRDefault="00503A41" w:rsidP="009D1A2D">
            <w:pPr>
              <w:pStyle w:val="Sinespaciado"/>
              <w:jc w:val="center"/>
              <w:rPr>
                <w:rFonts w:ascii="Arial" w:hAnsi="Arial" w:cs="Arial"/>
                <w:lang w:val="es-ES"/>
              </w:rPr>
            </w:pPr>
            <w:r w:rsidRPr="00993936">
              <w:rPr>
                <w:rFonts w:ascii="Arial" w:hAnsi="Arial" w:cs="Arial"/>
                <w:lang w:val="es-ES"/>
              </w:rPr>
              <w:t>300</w:t>
            </w:r>
          </w:p>
        </w:tc>
        <w:tc>
          <w:tcPr>
            <w:tcW w:w="3679" w:type="dxa"/>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lang w:val="es-ES"/>
              </w:rPr>
              <w:t>Si el nivel de potasio en el suelo es superior a 125 ppm</w:t>
            </w:r>
          </w:p>
        </w:tc>
      </w:tr>
      <w:tr w:rsidR="00503A41" w:rsidRPr="00993936" w:rsidTr="009D1A2D">
        <w:tc>
          <w:tcPr>
            <w:tcW w:w="8386" w:type="dxa"/>
            <w:gridSpan w:val="3"/>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ppm: partes por millón</w:t>
            </w:r>
          </w:p>
        </w:tc>
      </w:tr>
    </w:tbl>
    <w:p w:rsidR="00503A41" w:rsidRPr="00993936" w:rsidRDefault="00503A41" w:rsidP="000452B8">
      <w:pPr>
        <w:jc w:val="both"/>
        <w:outlineLvl w:val="0"/>
        <w:rPr>
          <w:rFonts w:ascii="Arial" w:hAnsi="Arial" w:cs="Arial"/>
          <w:lang w:val="es-ES"/>
        </w:rPr>
      </w:pPr>
    </w:p>
    <w:p w:rsidR="00503A41" w:rsidRPr="00993936" w:rsidRDefault="00503A41" w:rsidP="000452B8">
      <w:pPr>
        <w:jc w:val="both"/>
        <w:outlineLvl w:val="0"/>
        <w:rPr>
          <w:rFonts w:ascii="Arial" w:hAnsi="Arial" w:cs="Arial"/>
          <w:i/>
          <w:lang w:val="es-ES"/>
        </w:rPr>
      </w:pPr>
      <w:r w:rsidRPr="00993936">
        <w:rPr>
          <w:rFonts w:ascii="Arial" w:hAnsi="Arial" w:cs="Arial"/>
          <w:lang w:val="es-ES"/>
        </w:rPr>
        <w:t xml:space="preserve">En caso del nitrógeno las cantidades anteriores se podrán aumentar hasta llegar a un máximo de </w:t>
      </w:r>
      <w:smartTag w:uri="urn:schemas-microsoft-com:office:smarttags" w:element="metricconverter">
        <w:smartTagPr>
          <w:attr w:name="ProductID" w:val="130 kg"/>
        </w:smartTagPr>
        <w:r w:rsidRPr="00993936">
          <w:rPr>
            <w:rFonts w:ascii="Arial" w:hAnsi="Arial" w:cs="Arial"/>
            <w:lang w:val="es-ES"/>
          </w:rPr>
          <w:t>130 kg</w:t>
        </w:r>
      </w:smartTag>
      <w:r w:rsidRPr="00993936">
        <w:rPr>
          <w:rFonts w:ascii="Arial" w:hAnsi="Arial" w:cs="Arial"/>
          <w:lang w:val="es-ES"/>
        </w:rPr>
        <w:t xml:space="preserve"> de N/ha y año en caso de que toda la fertilización o una gran parte de ella se haga con fertilizantes orgánicos. </w:t>
      </w:r>
    </w:p>
    <w:p w:rsidR="00503A41" w:rsidRPr="00993936" w:rsidRDefault="00503A41" w:rsidP="000452B8">
      <w:pPr>
        <w:jc w:val="both"/>
        <w:rPr>
          <w:rFonts w:ascii="Arial" w:hAnsi="Arial" w:cs="Arial"/>
          <w:lang w:val="es-ES"/>
        </w:rPr>
      </w:pPr>
      <w:r w:rsidRPr="00993936">
        <w:rPr>
          <w:rFonts w:ascii="Arial" w:hAnsi="Arial" w:cs="Arial"/>
          <w:lang w:val="es-ES"/>
        </w:rPr>
        <w:t>La aplicación de microelementos se reducirá al mínimo posible y sólo se aplicarán cuando</w:t>
      </w:r>
      <w:r w:rsidRPr="00993936">
        <w:rPr>
          <w:rFonts w:ascii="Arial" w:hAnsi="Arial" w:cs="Arial"/>
          <w:vanish/>
          <w:lang w:val="es-ES"/>
        </w:rPr>
        <w:t>&lt;A[cuando|cuándo]&gt;</w:t>
      </w:r>
      <w:r w:rsidRPr="00993936">
        <w:rPr>
          <w:rFonts w:ascii="Arial" w:hAnsi="Arial" w:cs="Arial"/>
          <w:lang w:val="es-ES"/>
        </w:rPr>
        <w:t xml:space="preserve"> un análisis previo, o su sintomatología evidente determine la insuficiencia para los requerimientos reales del cultivo.</w:t>
      </w:r>
    </w:p>
    <w:p w:rsidR="00503A41" w:rsidRPr="00993936" w:rsidRDefault="00503A41" w:rsidP="000452B8">
      <w:pPr>
        <w:pStyle w:val="Textoindependiente"/>
        <w:rPr>
          <w:rFonts w:cs="Arial"/>
          <w:i/>
          <w:szCs w:val="22"/>
          <w:lang w:val="es-ES"/>
        </w:rPr>
      </w:pPr>
      <w:r w:rsidRPr="00993936">
        <w:rPr>
          <w:rFonts w:cs="Arial"/>
          <w:szCs w:val="22"/>
          <w:lang w:val="es-ES"/>
        </w:rPr>
        <w:t>La aplicación de fertilizantes se tendrá que revisar a posteriori por el técnico responsable de producción integrada, y su conformidad figurará en el Cuaderno de explotación.</w:t>
      </w:r>
    </w:p>
    <w:p w:rsidR="00503A41" w:rsidRPr="00993936" w:rsidRDefault="00503A41" w:rsidP="000452B8">
      <w:pPr>
        <w:jc w:val="both"/>
        <w:rPr>
          <w:rFonts w:ascii="Arial" w:hAnsi="Arial" w:cs="Arial"/>
          <w:lang w:val="es-ES"/>
        </w:rPr>
      </w:pPr>
      <w:r w:rsidRPr="00993936">
        <w:rPr>
          <w:rFonts w:ascii="Arial" w:hAnsi="Arial" w:cs="Arial"/>
          <w:lang w:val="es-ES"/>
        </w:rPr>
        <w:t>7.1.11 Fraccionar la fertilización nitrogenada en regadío, especialmente en zonas vulnerables, y escoger el tipo de abono</w:t>
      </w:r>
      <w:r w:rsidRPr="00993936">
        <w:rPr>
          <w:rFonts w:ascii="Arial" w:hAnsi="Arial" w:cs="Arial"/>
          <w:vanish/>
          <w:lang w:val="es-ES"/>
        </w:rPr>
        <w:t>&lt;A[abono|adobo]&gt;</w:t>
      </w:r>
      <w:r w:rsidRPr="00993936">
        <w:rPr>
          <w:rFonts w:ascii="Arial" w:hAnsi="Arial" w:cs="Arial"/>
          <w:lang w:val="es-ES"/>
        </w:rPr>
        <w:t xml:space="preserve"> más adecuado en función del manejo del agua de riego, de la pluviometría, del tipo de suelo, de la época del año y de la problemática específica de la plantación.</w:t>
      </w:r>
    </w:p>
    <w:p w:rsidR="00503A41" w:rsidRPr="00993936" w:rsidRDefault="00503A41" w:rsidP="000452B8">
      <w:pPr>
        <w:jc w:val="both"/>
        <w:rPr>
          <w:rFonts w:ascii="Arial" w:hAnsi="Arial" w:cs="Arial"/>
          <w:lang w:val="es-ES"/>
        </w:rPr>
      </w:pPr>
      <w:r w:rsidRPr="00993936">
        <w:rPr>
          <w:rFonts w:ascii="Arial" w:hAnsi="Arial" w:cs="Arial"/>
          <w:lang w:val="es-ES"/>
        </w:rPr>
        <w:t>7.1.12 Cuando se aporte materia orgánica en el suelo, se tendrán que conocer los contenidos medios aportados en 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5,</w:t>
      </w:r>
      <w:r w:rsidRPr="00993936">
        <w:rPr>
          <w:rFonts w:ascii="Arial" w:hAnsi="Arial" w:cs="Arial"/>
          <w:lang w:val="es-ES"/>
        </w:rPr>
        <w:t xml:space="preserve"> K</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w:t>
      </w:r>
      <w:r w:rsidRPr="00993936">
        <w:rPr>
          <w:rFonts w:ascii="Arial" w:hAnsi="Arial" w:cs="Arial"/>
          <w:lang w:val="es-ES"/>
        </w:rPr>
        <w:t xml:space="preserve"> Para el cálculo de los elementos fertilizantes aportados se utiltizarán preferentemente los resultados del análisis de la materia orgánica, o, si no hay, se podrán utilizar como valores orientativos los que figuran en el anexo 8.</w:t>
      </w:r>
    </w:p>
    <w:p w:rsidR="00503A41" w:rsidRPr="00993936" w:rsidRDefault="00503A41" w:rsidP="000452B8">
      <w:pPr>
        <w:jc w:val="both"/>
        <w:rPr>
          <w:rFonts w:ascii="Arial" w:hAnsi="Arial" w:cs="Arial"/>
          <w:lang w:val="es-ES"/>
        </w:rPr>
      </w:pPr>
      <w:r w:rsidRPr="00993936">
        <w:rPr>
          <w:rFonts w:ascii="Arial" w:hAnsi="Arial" w:cs="Arial"/>
          <w:lang w:val="es-ES"/>
        </w:rPr>
        <w:t>7.1.13 Cuando se aporten materias con valor fertilizando de origen urbano o industrial, hará falta disponer o bien realizar</w:t>
      </w:r>
      <w:r w:rsidRPr="00993936">
        <w:rPr>
          <w:rFonts w:ascii="Arial" w:hAnsi="Arial" w:cs="Arial"/>
          <w:i/>
          <w:lang w:val="es-ES"/>
        </w:rPr>
        <w:t xml:space="preserve"> </w:t>
      </w:r>
      <w:r w:rsidRPr="00993936">
        <w:rPr>
          <w:rFonts w:ascii="Arial" w:hAnsi="Arial" w:cs="Arial"/>
          <w:lang w:val="es-ES"/>
        </w:rPr>
        <w:t>un análisis de metales pesados con el fin de conocer que no se exceden los límites legales establecidos y teniendo en cuenta el programa de actuaciones para la gestión de los lodos de depuradora de aguas residuales urbanas de Cataluña. En cualquier caso, esta aportación tiene que contener la mínima cantidad de metales pesados (cadmio, cromo, cobre, plomo, cinc, níquel y mercurio), patógenos u otros productos tóxicos.</w:t>
      </w:r>
    </w:p>
    <w:p w:rsidR="00503A41" w:rsidRPr="00993936" w:rsidRDefault="00503A41" w:rsidP="000452B8">
      <w:pPr>
        <w:pStyle w:val="Textoindependiente"/>
        <w:rPr>
          <w:rFonts w:cs="Arial"/>
          <w:szCs w:val="22"/>
          <w:lang w:val="es-ES"/>
        </w:rPr>
      </w:pPr>
      <w:r w:rsidRPr="00993936">
        <w:rPr>
          <w:rFonts w:cs="Arial"/>
          <w:szCs w:val="22"/>
          <w:lang w:val="es-ES"/>
        </w:rPr>
        <w:t>7.1.14 Almacenar los fertilizantes orgánicos de manera adecuada, de forma que se reduzca el riesgo de contaminación del medio ambiente.</w:t>
      </w:r>
    </w:p>
    <w:p w:rsidR="00503A41" w:rsidRPr="00993936" w:rsidRDefault="00503A41" w:rsidP="000452B8">
      <w:pPr>
        <w:jc w:val="both"/>
        <w:rPr>
          <w:rFonts w:ascii="Arial" w:hAnsi="Arial" w:cs="Arial"/>
          <w:lang w:val="es-ES"/>
        </w:rPr>
      </w:pPr>
      <w:r w:rsidRPr="00993936">
        <w:rPr>
          <w:rFonts w:ascii="Arial" w:hAnsi="Arial" w:cs="Arial"/>
          <w:lang w:val="es-ES"/>
        </w:rPr>
        <w:t>7.1.15 Realizar las enmiendas necesarias siempre que el pH del suelo se aparte sustancialmente de un nivel de pH comprendido entre 6,5 y 8,9, o cuando las características físicas o químicas del suelo así lo aconsejen. En cualquier caso, las enmiendas tendrán que ser técnicamente justificadas de acuerdo con un análisis del suelo y con las necesidades reales de la variedad y las especies cultivadas.</w:t>
      </w:r>
    </w:p>
    <w:p w:rsidR="00503A41" w:rsidRPr="00993936" w:rsidRDefault="00503A41" w:rsidP="000452B8">
      <w:pPr>
        <w:jc w:val="both"/>
        <w:rPr>
          <w:rFonts w:ascii="Arial" w:hAnsi="Arial" w:cs="Arial"/>
          <w:lang w:val="es-ES"/>
        </w:rPr>
      </w:pPr>
      <w:r w:rsidRPr="00993936">
        <w:rPr>
          <w:rFonts w:ascii="Arial" w:hAnsi="Arial" w:cs="Arial"/>
          <w:lang w:val="es-ES"/>
        </w:rPr>
        <w:t>7.1.16 Optimizar el reparto de los fertilizantes en función de los medios disponibles.</w:t>
      </w:r>
    </w:p>
    <w:p w:rsidR="00503A41" w:rsidRPr="00993936" w:rsidRDefault="00503A41" w:rsidP="000452B8">
      <w:pPr>
        <w:jc w:val="both"/>
        <w:rPr>
          <w:rFonts w:ascii="Arial" w:hAnsi="Arial" w:cs="Arial"/>
          <w:lang w:val="es-ES"/>
        </w:rPr>
      </w:pPr>
      <w:r w:rsidRPr="00993936">
        <w:rPr>
          <w:rFonts w:ascii="Arial" w:hAnsi="Arial" w:cs="Arial"/>
          <w:lang w:val="es-ES"/>
        </w:rPr>
        <w:t>7.1.17 Conseguir, mediante un manejo adecuado, un nivel de pH comprendido entre 6,5 y 8,9.</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7.2 </w:t>
      </w:r>
      <w:r w:rsidRPr="00993936">
        <w:rPr>
          <w:rFonts w:ascii="Arial" w:hAnsi="Arial" w:cs="Arial"/>
          <w:i/>
          <w:lang w:val="es-ES"/>
        </w:rPr>
        <w:t>Prohibiciones</w:t>
      </w:r>
    </w:p>
    <w:p w:rsidR="00503A41" w:rsidRPr="00993936" w:rsidRDefault="00503A41" w:rsidP="000452B8">
      <w:pPr>
        <w:jc w:val="both"/>
        <w:outlineLvl w:val="0"/>
        <w:rPr>
          <w:rFonts w:ascii="Arial" w:hAnsi="Arial" w:cs="Arial"/>
          <w:lang w:val="es-ES"/>
        </w:rPr>
      </w:pPr>
      <w:r w:rsidRPr="00993936">
        <w:rPr>
          <w:rFonts w:ascii="Arial" w:hAnsi="Arial" w:cs="Arial"/>
          <w:lang w:val="es-ES"/>
        </w:rPr>
        <w:t>7.2.1 Superar la cantidad máxima tolerable por</w:t>
      </w:r>
      <w:r w:rsidRPr="00993936">
        <w:rPr>
          <w:rFonts w:ascii="Arial" w:hAnsi="Arial" w:cs="Arial"/>
          <w:vanish/>
          <w:lang w:val="es-ES"/>
        </w:rPr>
        <w:t>&lt;A[por|para]&gt;</w:t>
      </w:r>
      <w:r w:rsidRPr="00993936">
        <w:rPr>
          <w:rFonts w:ascii="Arial" w:hAnsi="Arial" w:cs="Arial"/>
          <w:lang w:val="es-ES"/>
        </w:rPr>
        <w:t xml:space="preserve"> hectárea y año de nitrógeno total, fósforo y potasio y exceder los límites nacionales e internacionales aplicables a cada territorio relativos a la contaminación por</w:t>
      </w:r>
      <w:r w:rsidRPr="00993936">
        <w:rPr>
          <w:rFonts w:ascii="Arial" w:hAnsi="Arial" w:cs="Arial"/>
          <w:vanish/>
          <w:lang w:val="es-ES"/>
        </w:rPr>
        <w:t>&lt;A[por|para]&gt;</w:t>
      </w:r>
      <w:r w:rsidRPr="00993936">
        <w:rPr>
          <w:rFonts w:ascii="Arial" w:hAnsi="Arial" w:cs="Arial"/>
          <w:lang w:val="es-ES"/>
        </w:rPr>
        <w:t xml:space="preserve"> nitratos o </w:t>
      </w:r>
      <w:r w:rsidRPr="00993936">
        <w:rPr>
          <w:rFonts w:ascii="Arial" w:hAnsi="Arial" w:cs="Arial"/>
          <w:lang w:val="es-ES"/>
        </w:rPr>
        <w:lastRenderedPageBreak/>
        <w:t>fosfatos del agua subterránea, así como los límites que se fijan de metales pesados en el anexo 6 de esta norma, de patógenos y de otros productos tóxicos.</w:t>
      </w:r>
    </w:p>
    <w:p w:rsidR="00503A41" w:rsidRPr="00993936" w:rsidRDefault="00503A41" w:rsidP="000452B8">
      <w:pPr>
        <w:jc w:val="both"/>
        <w:outlineLvl w:val="0"/>
        <w:rPr>
          <w:rFonts w:ascii="Arial" w:hAnsi="Arial" w:cs="Arial"/>
          <w:lang w:val="es-ES"/>
        </w:rPr>
      </w:pPr>
      <w:r w:rsidRPr="00993936">
        <w:rPr>
          <w:rFonts w:ascii="Arial" w:hAnsi="Arial" w:cs="Arial"/>
          <w:lang w:val="es-ES"/>
        </w:rPr>
        <w:t>7.2.2 Almacenar los fertilizantes y los fitosanitarios sin estar separados físicamente ni etiquetados correctamente.</w:t>
      </w:r>
    </w:p>
    <w:p w:rsidR="00503A41" w:rsidRPr="00993936" w:rsidRDefault="00503A41" w:rsidP="000452B8">
      <w:pPr>
        <w:pStyle w:val="Textoindependiente"/>
        <w:rPr>
          <w:rFonts w:cs="Arial"/>
          <w:szCs w:val="22"/>
          <w:lang w:val="es-ES"/>
        </w:rPr>
      </w:pPr>
      <w:r w:rsidRPr="00993936">
        <w:rPr>
          <w:rFonts w:cs="Arial"/>
          <w:szCs w:val="22"/>
          <w:lang w:val="es-ES"/>
        </w:rPr>
        <w:t>7.2.3 Hacer una programación de la fertilización sin tener en cuenta los resultados de los análisis de suelo, y/o hojas y agua.</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7.2.4 Aplicar estiércol y purines sobre terrenos encharcados o con nieve y a menos de </w:t>
      </w:r>
      <w:smartTag w:uri="urn:schemas-microsoft-com:office:smarttags" w:element="metricconverter">
        <w:smartTagPr>
          <w:attr w:name="ProductID" w:val="50 m"/>
        </w:smartTagPr>
        <w:r w:rsidRPr="00993936">
          <w:rPr>
            <w:rFonts w:ascii="Arial" w:hAnsi="Arial" w:cs="Arial"/>
            <w:lang w:val="es-ES"/>
          </w:rPr>
          <w:t>50 m</w:t>
        </w:r>
      </w:smartTag>
      <w:r w:rsidRPr="00993936">
        <w:rPr>
          <w:rFonts w:ascii="Arial" w:hAnsi="Arial" w:cs="Arial"/>
          <w:lang w:val="es-ES"/>
        </w:rPr>
        <w:t xml:space="preserve"> de una captación de agua destinada a consumo humano.</w:t>
      </w:r>
    </w:p>
    <w:p w:rsidR="00503A41" w:rsidRPr="00993936" w:rsidRDefault="00503A41" w:rsidP="000452B8">
      <w:pPr>
        <w:jc w:val="both"/>
        <w:outlineLvl w:val="0"/>
        <w:rPr>
          <w:rFonts w:ascii="Arial" w:hAnsi="Arial" w:cs="Arial"/>
          <w:lang w:val="es-ES"/>
        </w:rPr>
      </w:pPr>
      <w:r w:rsidRPr="00993936">
        <w:rPr>
          <w:rFonts w:ascii="Arial" w:hAnsi="Arial" w:cs="Arial"/>
          <w:lang w:val="es-ES"/>
        </w:rPr>
        <w:t>7.2.5 Utilizar, sin haber realizado tratamiento previo reconocido por la dirección general competente en materia de agricultura, tanto lodo que proceda de depuradora como</w:t>
      </w:r>
      <w:r w:rsidRPr="00993936">
        <w:rPr>
          <w:rFonts w:ascii="Arial" w:hAnsi="Arial" w:cs="Arial"/>
          <w:vanish/>
          <w:lang w:val="es-ES"/>
        </w:rPr>
        <w:t>&lt;A[como|cómo]&gt;</w:t>
      </w:r>
      <w:r w:rsidRPr="00993936">
        <w:rPr>
          <w:rFonts w:ascii="Arial" w:hAnsi="Arial" w:cs="Arial"/>
          <w:lang w:val="es-ES"/>
        </w:rPr>
        <w:t xml:space="preserve"> residuos sólidos urbanos.</w:t>
      </w:r>
    </w:p>
    <w:p w:rsidR="00503A41" w:rsidRPr="00993936" w:rsidRDefault="00503A41" w:rsidP="000452B8">
      <w:pPr>
        <w:jc w:val="both"/>
        <w:outlineLvl w:val="0"/>
        <w:rPr>
          <w:rFonts w:ascii="Arial" w:hAnsi="Arial" w:cs="Arial"/>
          <w:lang w:val="es-ES"/>
        </w:rPr>
      </w:pPr>
      <w:r w:rsidRPr="00993936">
        <w:rPr>
          <w:rFonts w:ascii="Arial" w:hAnsi="Arial" w:cs="Arial"/>
          <w:lang w:val="es-ES"/>
        </w:rPr>
        <w:t>7.2.6 Utilizar purines y estiércol directamente sobre plantaciones ya establecidas y en que estos productos entren en contacto directo con los órganos comestibles.</w:t>
      </w:r>
    </w:p>
    <w:p w:rsidR="00503A41" w:rsidRPr="00993936" w:rsidRDefault="00503A41" w:rsidP="000452B8">
      <w:pPr>
        <w:pStyle w:val="Textoindependiente"/>
        <w:outlineLvl w:val="0"/>
        <w:rPr>
          <w:rFonts w:cs="Arial"/>
          <w:i/>
          <w:szCs w:val="22"/>
          <w:lang w:val="es-ES"/>
        </w:rPr>
      </w:pPr>
      <w:r w:rsidRPr="00993936">
        <w:rPr>
          <w:rFonts w:cs="Arial"/>
          <w:szCs w:val="22"/>
          <w:lang w:val="es-ES"/>
        </w:rPr>
        <w:t>7.3</w:t>
      </w:r>
      <w:r w:rsidRPr="00993936">
        <w:rPr>
          <w:rFonts w:cs="Arial"/>
          <w:i/>
          <w:szCs w:val="22"/>
          <w:lang w:val="es-ES"/>
        </w:rPr>
        <w:t xml:space="preserve"> Recomendaciones</w:t>
      </w:r>
    </w:p>
    <w:p w:rsidR="00503A41" w:rsidRPr="00993936" w:rsidRDefault="00503A41" w:rsidP="000452B8">
      <w:pPr>
        <w:jc w:val="both"/>
        <w:rPr>
          <w:rFonts w:ascii="Arial" w:hAnsi="Arial" w:cs="Arial"/>
          <w:u w:val="single"/>
          <w:lang w:val="es-ES"/>
        </w:rPr>
      </w:pPr>
      <w:r w:rsidRPr="00993936">
        <w:rPr>
          <w:rFonts w:ascii="Arial" w:hAnsi="Arial" w:cs="Arial"/>
          <w:lang w:val="es-ES"/>
        </w:rPr>
        <w:t>7.3.1 Realizar la fertirrigación de manera que se minimice el lavado de nutrientes, evitando la salinización del suelo.</w:t>
      </w:r>
    </w:p>
    <w:p w:rsidR="00503A41" w:rsidRPr="00993936" w:rsidRDefault="00503A41" w:rsidP="000452B8">
      <w:pPr>
        <w:pStyle w:val="Textoindependiente3"/>
        <w:rPr>
          <w:rFonts w:cs="Arial"/>
          <w:b w:val="0"/>
          <w:szCs w:val="22"/>
          <w:lang w:val="es-ES"/>
        </w:rPr>
      </w:pPr>
      <w:r w:rsidRPr="00993936">
        <w:rPr>
          <w:rFonts w:cs="Arial"/>
          <w:b w:val="0"/>
          <w:szCs w:val="22"/>
          <w:lang w:val="es-ES"/>
        </w:rPr>
        <w:t>7.3.2 En caso de carencias o de desequilibrios, se realizará un seguimiento analítico del cultivo (hojas o frutos) para comprobar que el programa de fertilización adoptado es lo adian, y se harán las correcciones necesarias en este programa. Para la interpretación de estos análisis, se tendrán en cuenta los valores que figuran en el anexo 7 de esta norma.</w:t>
      </w:r>
    </w:p>
    <w:p w:rsidR="00503A41" w:rsidRPr="00993936" w:rsidRDefault="00503A41" w:rsidP="000452B8">
      <w:pPr>
        <w:jc w:val="both"/>
        <w:rPr>
          <w:rFonts w:ascii="Arial" w:hAnsi="Arial" w:cs="Arial"/>
          <w:lang w:val="es-ES"/>
        </w:rPr>
      </w:pPr>
      <w:r w:rsidRPr="00993936">
        <w:rPr>
          <w:rFonts w:ascii="Arial" w:hAnsi="Arial" w:cs="Arial"/>
          <w:lang w:val="es-ES"/>
        </w:rPr>
        <w:t>7.3.3 Las aportaciones al suelo de quelatos y otras formulaciones de micronutrientes se limitarán a las situaciones en que los análisis o la experiencia contrastada demuestren que son imprescindibles para una adecuada producción. Específicamente, se permite la aplicación de quelatos para controlar la clorosis férrica en suelos con un contenido de carbonatos superior al 15%.</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Artículo 8</w:t>
      </w:r>
    </w:p>
    <w:p w:rsidR="00503A41" w:rsidRPr="00993936" w:rsidRDefault="00503A41" w:rsidP="000452B8">
      <w:pPr>
        <w:jc w:val="both"/>
        <w:outlineLvl w:val="0"/>
        <w:rPr>
          <w:rFonts w:ascii="Arial" w:hAnsi="Arial" w:cs="Arial"/>
          <w:b/>
          <w:snapToGrid w:val="0"/>
          <w:lang w:val="es-ES"/>
        </w:rPr>
      </w:pPr>
      <w:r w:rsidRPr="00993936">
        <w:rPr>
          <w:rFonts w:ascii="Arial" w:hAnsi="Arial" w:cs="Arial"/>
          <w:b/>
          <w:snapToGrid w:val="0"/>
          <w:lang w:val="es-ES"/>
        </w:rPr>
        <w:t>Control de malas hierbas</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8.1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8.1.1 En caso de frutales cultivados en secano o con riegos de apoyo</w:t>
      </w:r>
      <w:r w:rsidRPr="00993936">
        <w:rPr>
          <w:rFonts w:ascii="Arial" w:hAnsi="Arial" w:cs="Arial"/>
          <w:vanish/>
          <w:lang w:val="es-ES"/>
        </w:rPr>
        <w:t>&lt;A[apoyo|soporte]&gt;</w:t>
      </w:r>
      <w:r w:rsidRPr="00993936">
        <w:rPr>
          <w:rFonts w:ascii="Arial" w:hAnsi="Arial" w:cs="Arial"/>
          <w:lang w:val="es-ES"/>
        </w:rPr>
        <w:t>, se realizará un sistema de cultivo que favorezca la conservación de los suelos y el aprovechamiento del agua, utilizando, entre otras prácticas agrícolas, los bancales, las zanjas y el cultivo en curvas de nivel. El manejo del suelo buscará aumentar la infiltración y disminuir la evapotranspiración.</w:t>
      </w:r>
    </w:p>
    <w:p w:rsidR="00503A41" w:rsidRPr="00993936" w:rsidRDefault="00503A41" w:rsidP="000452B8">
      <w:pPr>
        <w:jc w:val="both"/>
        <w:rPr>
          <w:rFonts w:ascii="Arial" w:hAnsi="Arial" w:cs="Arial"/>
          <w:lang w:val="es-ES"/>
        </w:rPr>
      </w:pPr>
      <w:r w:rsidRPr="00993936">
        <w:rPr>
          <w:rFonts w:ascii="Arial" w:hAnsi="Arial" w:cs="Arial"/>
          <w:lang w:val="es-ES"/>
        </w:rPr>
        <w:t>8.1.2 Mantener una cubierta vegetal del suelo, preferentemente a base de flora espontánea o bien siembra, con el fin de mejorar la fertilidad del suelo, reducir las pérdidas de nutrientes y disminuir el riesgo de erosión. El manejo de esta cubierta se hará preferentemente mediante la siega.</w:t>
      </w:r>
    </w:p>
    <w:p w:rsidR="00503A41" w:rsidRPr="00993936" w:rsidRDefault="00503A41" w:rsidP="000452B8">
      <w:pPr>
        <w:jc w:val="both"/>
        <w:rPr>
          <w:rFonts w:ascii="Arial" w:hAnsi="Arial" w:cs="Arial"/>
          <w:lang w:val="es-ES"/>
        </w:rPr>
      </w:pPr>
      <w:r w:rsidRPr="00993936">
        <w:rPr>
          <w:rFonts w:ascii="Arial" w:hAnsi="Arial" w:cs="Arial"/>
          <w:lang w:val="es-ES"/>
        </w:rPr>
        <w:t>8.1.3 Controlar las malas hierbas, siempre que sea posible, con medios físicos, mecánicos, biológicos o aquellos que ofrezcan el menor riesgo de emisiones de CO</w:t>
      </w:r>
      <w:r w:rsidRPr="00993936">
        <w:rPr>
          <w:rFonts w:ascii="Arial" w:hAnsi="Arial" w:cs="Arial"/>
          <w:vertAlign w:val="subscript"/>
          <w:lang w:val="es-ES"/>
        </w:rPr>
        <w:t>2</w:t>
      </w:r>
      <w:r w:rsidRPr="00993936">
        <w:rPr>
          <w:rFonts w:ascii="Arial" w:hAnsi="Arial" w:cs="Arial"/>
          <w:lang w:val="es-ES"/>
        </w:rPr>
        <w:t xml:space="preserve">. Cuando los medios señalados anteriormente no permitan un control adecuado de las malas hierbas, se podrá justificar la aplicación de alguno de los herbicidas que figuran en el anexo 2 de esta norma. </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malas hierbas que, por no ser habituales, o no se haya definido el umbral y/o criterio mínimo de intervención, se podrá actuar en contra con cualquier otro herbicida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Esta excepción también será de aplicación para</w:t>
      </w:r>
      <w:r w:rsidRPr="00993936">
        <w:rPr>
          <w:rFonts w:ascii="Arial" w:hAnsi="Arial" w:cs="Arial"/>
          <w:vanish/>
          <w:lang w:val="es-ES"/>
        </w:rPr>
        <w:t>&lt;A[por|para]&gt;</w:t>
      </w:r>
      <w:r w:rsidRPr="00993936">
        <w:rPr>
          <w:rFonts w:ascii="Arial" w:hAnsi="Arial" w:cs="Arial"/>
          <w:lang w:val="es-ES"/>
        </w:rPr>
        <w:t xml:space="preserve"> aquellos herbicidas que aparezcan en el Registro, para combatir determinadas malas hierbas y que no estén contempladas por</w:t>
      </w:r>
      <w:r w:rsidRPr="00993936">
        <w:rPr>
          <w:rFonts w:ascii="Arial" w:hAnsi="Arial" w:cs="Arial"/>
          <w:vanish/>
          <w:lang w:val="es-ES"/>
        </w:rPr>
        <w:t>&lt;A[por|para]&gt;</w:t>
      </w:r>
      <w:r w:rsidRPr="00993936">
        <w:rPr>
          <w:rFonts w:ascii="Arial" w:hAnsi="Arial" w:cs="Arial"/>
          <w:lang w:val="es-ES"/>
        </w:rPr>
        <w:t xml:space="preserve"> su novedad en el anexo de herbicidas de esta norma.</w:t>
      </w:r>
    </w:p>
    <w:p w:rsidR="00503A41" w:rsidRPr="00993936" w:rsidRDefault="00503A41" w:rsidP="000452B8">
      <w:pPr>
        <w:jc w:val="both"/>
        <w:rPr>
          <w:rFonts w:ascii="Arial" w:hAnsi="Arial" w:cs="Arial"/>
          <w:lang w:val="es-ES"/>
        </w:rPr>
      </w:pPr>
      <w:r w:rsidRPr="00993936">
        <w:rPr>
          <w:rFonts w:ascii="Arial" w:hAnsi="Arial" w:cs="Arial"/>
          <w:lang w:val="es-ES"/>
        </w:rPr>
        <w:t xml:space="preserve">En caso de que sea necesaria la aplicación de herbicidas, se efectuará mediante las técnicas recomendadas en la etiqueta del producto. </w:t>
      </w:r>
    </w:p>
    <w:p w:rsidR="00503A41" w:rsidRPr="00993936" w:rsidRDefault="00503A41" w:rsidP="000452B8">
      <w:pPr>
        <w:jc w:val="both"/>
        <w:rPr>
          <w:rFonts w:ascii="Arial" w:hAnsi="Arial" w:cs="Arial"/>
          <w:lang w:val="es-ES"/>
        </w:rPr>
      </w:pPr>
      <w:r w:rsidRPr="00993936">
        <w:rPr>
          <w:rFonts w:ascii="Arial" w:hAnsi="Arial" w:cs="Arial"/>
          <w:lang w:val="es-ES"/>
        </w:rPr>
        <w:t>8.1.4 En el supuesto de que se utilicen herbicidas, su aplicación se limitará a la línea de plantación y que afecte como máximo el 30% del total de la superficie comprendida entre las filas de árboles. El tratamiento herbicida se hará, preferentemente, en el momento en que la mala hierba sea más sensible con la finalidad de utilizar las dosis mínimas eficaces.</w:t>
      </w:r>
    </w:p>
    <w:p w:rsidR="00503A41" w:rsidRPr="00993936" w:rsidRDefault="00503A41" w:rsidP="000452B8">
      <w:pPr>
        <w:pStyle w:val="Textoindependiente"/>
        <w:rPr>
          <w:rFonts w:cs="Arial"/>
          <w:szCs w:val="22"/>
          <w:lang w:val="es-ES"/>
        </w:rPr>
      </w:pPr>
      <w:r w:rsidRPr="00993936">
        <w:rPr>
          <w:rFonts w:cs="Arial"/>
          <w:szCs w:val="22"/>
          <w:lang w:val="es-ES"/>
        </w:rPr>
        <w:t>8.1.5 Las materias activas a utilizar serán seleccionadas de acuerdo con los criterios de menor peligrosidad para los humanos, la fauna silvestre y el medio ambiente, y que proporcionen un control efectivo de la mala hierba. En cualquier caso, sólo se podrán utilizar los herbicidas inscritos en el Registro Oficial de Productos y de Material Fitosanitario del Ministerio de Agricultura, Pesca, Alimentación y Medio Ambiente, (MAPAMA) y aprobados expresamente para los cultivos autorizados que figuran en el anexo 2.</w:t>
      </w:r>
    </w:p>
    <w:p w:rsidR="00503A41" w:rsidRPr="00993936" w:rsidRDefault="00503A41" w:rsidP="000452B8">
      <w:pPr>
        <w:pStyle w:val="Textoindependiente"/>
        <w:rPr>
          <w:rFonts w:cs="Arial"/>
          <w:szCs w:val="22"/>
          <w:lang w:val="es-ES"/>
        </w:rPr>
      </w:pPr>
      <w:r w:rsidRPr="00993936">
        <w:rPr>
          <w:rFonts w:cs="Arial"/>
          <w:szCs w:val="22"/>
          <w:lang w:val="es-ES"/>
        </w:rPr>
        <w:t>8.1.6 La maquinaria utilizada para aplicar los productos herbicidas se tiene que mantener en un adecuado estado de funcionamiento y someterse, periódicamente, a los controles que establece el artículo 16 de esta norma.</w:t>
      </w:r>
    </w:p>
    <w:p w:rsidR="00503A41" w:rsidRPr="00993936" w:rsidRDefault="00503A41" w:rsidP="000452B8">
      <w:pPr>
        <w:pStyle w:val="Textoindependiente"/>
        <w:rPr>
          <w:rFonts w:cs="Arial"/>
          <w:szCs w:val="22"/>
          <w:lang w:val="es-ES"/>
        </w:rPr>
      </w:pPr>
      <w:r w:rsidRPr="00993936">
        <w:rPr>
          <w:rFonts w:cs="Arial"/>
          <w:szCs w:val="22"/>
          <w:lang w:val="es-ES"/>
        </w:rPr>
        <w:t>Los volúmenes máximos de caldo en los tratamientos herbicidas se ajustarán a los parámetros precisos, teniendo en cuenta el estado de desarrollo del cultivo para obtener la máxima eficacia con la menor dosis.</w:t>
      </w:r>
    </w:p>
    <w:p w:rsidR="00503A41" w:rsidRPr="00993936" w:rsidRDefault="00503A41" w:rsidP="000452B8">
      <w:pPr>
        <w:jc w:val="both"/>
        <w:rPr>
          <w:rFonts w:ascii="Arial" w:hAnsi="Arial" w:cs="Arial"/>
          <w:lang w:val="es-ES"/>
        </w:rPr>
      </w:pPr>
      <w:r w:rsidRPr="00993936">
        <w:rPr>
          <w:rFonts w:ascii="Arial" w:hAnsi="Arial" w:cs="Arial"/>
          <w:lang w:val="es-ES"/>
        </w:rPr>
        <w:t>8.1.7 Adoptar las medidas precisas para evitar que la deriva de las aplicaciones llegue a parcelas y/o UHC diferentes a las que se pretenden tratar.</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503A41" w:rsidRPr="00993936" w:rsidRDefault="00503A41" w:rsidP="000452B8">
      <w:pPr>
        <w:jc w:val="both"/>
        <w:rPr>
          <w:rFonts w:ascii="Arial" w:hAnsi="Arial" w:cs="Arial"/>
          <w:lang w:val="es-ES"/>
        </w:rPr>
      </w:pPr>
      <w:r w:rsidRPr="00993936">
        <w:rPr>
          <w:rFonts w:ascii="Arial" w:hAnsi="Arial" w:cs="Arial"/>
          <w:lang w:val="es-ES"/>
        </w:rPr>
        <w:t>8.2.1 La utilización de herbicidas residuales en los suelos arenosos.</w:t>
      </w:r>
    </w:p>
    <w:p w:rsidR="00503A41" w:rsidRPr="00993936" w:rsidRDefault="00503A41" w:rsidP="000452B8">
      <w:pPr>
        <w:jc w:val="both"/>
        <w:rPr>
          <w:rFonts w:ascii="Arial" w:hAnsi="Arial" w:cs="Arial"/>
          <w:lang w:val="es-ES"/>
        </w:rPr>
      </w:pPr>
      <w:r w:rsidRPr="00993936">
        <w:rPr>
          <w:rFonts w:ascii="Arial" w:hAnsi="Arial" w:cs="Arial"/>
          <w:lang w:val="es-ES"/>
        </w:rPr>
        <w:t>8.2.2 Dejar, en regadío, una zona desherbada entre hileras de árboles igual o superior al 30% del total de la superficie comprendida entre las filas de árboles.</w:t>
      </w:r>
    </w:p>
    <w:p w:rsidR="00503A41" w:rsidRPr="00993936" w:rsidRDefault="00503A41" w:rsidP="000452B8">
      <w:pPr>
        <w:jc w:val="both"/>
        <w:rPr>
          <w:rFonts w:ascii="Arial" w:hAnsi="Arial" w:cs="Arial"/>
          <w:lang w:val="es-ES"/>
        </w:rPr>
      </w:pPr>
      <w:r w:rsidRPr="00993936">
        <w:rPr>
          <w:rFonts w:ascii="Arial" w:hAnsi="Arial" w:cs="Arial"/>
          <w:lang w:val="es-ES"/>
        </w:rPr>
        <w:t>8.2.3 Utilizar herbicidas a menos de 5 metros de las aguas superficiales. 8.2.4 Utilizar cualquier herbicida que, a pesar de figurar en el anexo 2 de esta norma, se haya dado de baja del del Registro Oficial de Productos y Material Fitosanitario del Ministerio de Agricultura, Pesca, Alimentación y Medio Ambiente (MAPAMA) con posterioridad a la publicación de la disposición que lo aprueba o que haya perdido la autorización de uso correspondiente.</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8.3.1 En caso de que la hilera bajo los árboles se mantenga controlada de malas hierbas, para su control se utilizarán preferentemente los métodos como el almohadillado (cobertura con materia inerte), la cobertura con los restos del material vegetal segado, o bien los métodos mecánicos como la siega o el cultivo. </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8.3.2 En secano, se podrá mantener el suelo libre de hierbas en los periodos en que puedan competir por el agua con el cultivo.</w:t>
      </w:r>
    </w:p>
    <w:p w:rsidR="00503A41" w:rsidRPr="00993936" w:rsidRDefault="00503A41" w:rsidP="000452B8">
      <w:pPr>
        <w:jc w:val="both"/>
        <w:rPr>
          <w:rFonts w:ascii="Arial" w:hAnsi="Arial" w:cs="Arial"/>
          <w:lang w:val="es-ES"/>
        </w:rPr>
      </w:pPr>
      <w:r w:rsidRPr="00993936">
        <w:rPr>
          <w:rFonts w:ascii="Arial" w:hAnsi="Arial" w:cs="Arial"/>
          <w:lang w:val="es-ES"/>
        </w:rPr>
        <w:t>8.3.3 Controlar las malas hierbas utilizando técnicas de control integrado.</w:t>
      </w:r>
    </w:p>
    <w:p w:rsidR="00503A41" w:rsidRPr="00993936" w:rsidRDefault="00503A41" w:rsidP="000452B8">
      <w:pPr>
        <w:jc w:val="both"/>
        <w:outlineLvl w:val="0"/>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9</w:t>
      </w:r>
    </w:p>
    <w:p w:rsidR="00503A41" w:rsidRPr="00993936" w:rsidRDefault="00503A41" w:rsidP="000452B8">
      <w:pPr>
        <w:pStyle w:val="Ttulo2"/>
        <w:rPr>
          <w:rFonts w:ascii="Arial" w:hAnsi="Arial" w:cs="Arial"/>
          <w:b/>
          <w:color w:val="auto"/>
          <w:sz w:val="22"/>
          <w:szCs w:val="22"/>
          <w:lang w:val="es-ES"/>
        </w:rPr>
      </w:pPr>
      <w:r w:rsidRPr="00993936">
        <w:rPr>
          <w:rFonts w:ascii="Arial" w:hAnsi="Arial" w:cs="Arial"/>
          <w:b/>
          <w:color w:val="auto"/>
          <w:sz w:val="22"/>
          <w:szCs w:val="22"/>
          <w:lang w:val="es-ES"/>
        </w:rPr>
        <w:t>Riego</w:t>
      </w:r>
    </w:p>
    <w:p w:rsidR="00503A41" w:rsidRPr="00993936" w:rsidRDefault="00503A41" w:rsidP="000452B8">
      <w:pPr>
        <w:jc w:val="both"/>
        <w:outlineLvl w:val="0"/>
        <w:rPr>
          <w:rFonts w:ascii="Arial" w:hAnsi="Arial" w:cs="Arial"/>
          <w:i/>
          <w:lang w:val="es-ES"/>
        </w:rPr>
      </w:pPr>
      <w:r w:rsidRPr="00993936">
        <w:rPr>
          <w:rFonts w:ascii="Arial" w:hAnsi="Arial" w:cs="Arial"/>
          <w:lang w:val="es-ES"/>
        </w:rPr>
        <w:t xml:space="preserve">9.1 </w:t>
      </w:r>
      <w:r w:rsidRPr="00993936">
        <w:rPr>
          <w:rFonts w:ascii="Arial" w:hAnsi="Arial" w:cs="Arial"/>
          <w:i/>
          <w:lang w:val="es-ES"/>
        </w:rPr>
        <w:t>Obligaciones</w:t>
      </w:r>
    </w:p>
    <w:p w:rsidR="00503A41" w:rsidRPr="00993936" w:rsidRDefault="00503A41" w:rsidP="000452B8">
      <w:pPr>
        <w:jc w:val="both"/>
        <w:outlineLvl w:val="0"/>
        <w:rPr>
          <w:rFonts w:ascii="Arial" w:hAnsi="Arial" w:cs="Arial"/>
          <w:lang w:val="es-ES"/>
        </w:rPr>
      </w:pPr>
      <w:r w:rsidRPr="00993936">
        <w:rPr>
          <w:rFonts w:ascii="Arial" w:hAnsi="Arial" w:cs="Arial"/>
          <w:lang w:val="es-ES"/>
        </w:rPr>
        <w:t>9.1.1 Disponer de las características analíticas de la calidad del agua de riego con la finalidad de tomar una decisión sobre su utilización. El análisis químico incluirá al menos las determinaciones de nitratos y de conductividad, sin perjuicio de otros elementos que puedan ser de interés. Los análisis se harán en laboratorios autorizados.</w:t>
      </w:r>
    </w:p>
    <w:p w:rsidR="00503A41" w:rsidRPr="00993936" w:rsidRDefault="00503A41" w:rsidP="000452B8">
      <w:pPr>
        <w:jc w:val="both"/>
        <w:rPr>
          <w:rFonts w:ascii="Arial" w:hAnsi="Arial" w:cs="Arial"/>
          <w:lang w:val="es-ES"/>
        </w:rPr>
      </w:pPr>
      <w:r w:rsidRPr="00993936">
        <w:rPr>
          <w:rFonts w:ascii="Arial" w:hAnsi="Arial" w:cs="Arial"/>
          <w:lang w:val="es-ES"/>
        </w:rPr>
        <w:t>9.1.2 Analizar el agua de riego cada 5 años en un laboratorio reconocido por la Administración. Si en razón de su origen la composición del agua es muy variable, se tendrán que hacer análisis con más frecuencia del contenido de nitratos y de la conductividad. En caso de utilizar, para el riego aguas residuales depuradas, que puedan entrar en contacto directo con los órganos vegetales comestibles, analizar la posible presencia de contaminantes microbianos, químicos o bacteriológicos con el fin de tomar una decisión sobre su utilización.</w:t>
      </w:r>
    </w:p>
    <w:p w:rsidR="00503A41" w:rsidRPr="00993936" w:rsidRDefault="00503A41" w:rsidP="000452B8">
      <w:pPr>
        <w:jc w:val="both"/>
        <w:rPr>
          <w:rFonts w:ascii="Arial" w:hAnsi="Arial" w:cs="Arial"/>
          <w:lang w:val="es-ES"/>
        </w:rPr>
      </w:pPr>
      <w:r w:rsidRPr="00993936">
        <w:rPr>
          <w:rFonts w:ascii="Arial" w:hAnsi="Arial" w:cs="Arial"/>
          <w:lang w:val="es-ES"/>
        </w:rPr>
        <w:t>9.1.3 Tomar las medidas necesarias para evitar las pérdidas de agua.</w:t>
      </w:r>
    </w:p>
    <w:p w:rsidR="00503A41" w:rsidRPr="00993936" w:rsidRDefault="00503A41" w:rsidP="000452B8">
      <w:pPr>
        <w:pStyle w:val="Textoindependiente"/>
        <w:rPr>
          <w:rFonts w:cs="Arial"/>
          <w:szCs w:val="22"/>
          <w:lang w:val="es-ES"/>
        </w:rPr>
      </w:pPr>
      <w:r w:rsidRPr="00993936">
        <w:rPr>
          <w:rFonts w:cs="Arial"/>
          <w:szCs w:val="22"/>
          <w:lang w:val="es-ES"/>
        </w:rPr>
        <w:t>9.1.4 En cultivos al aire libre, establecer los volúmenes anuales necesarios mediante el cálculo de las necesidades del cultivo, de acuerdo con los datos locales de la evapotranspiración calculada por medio de los datos de la estación meteorológica más representativa.</w:t>
      </w:r>
    </w:p>
    <w:p w:rsidR="00503A41" w:rsidRPr="00993936" w:rsidRDefault="00503A41" w:rsidP="000452B8">
      <w:pPr>
        <w:pStyle w:val="Textoindependiente"/>
        <w:rPr>
          <w:rFonts w:cs="Arial"/>
          <w:szCs w:val="22"/>
          <w:lang w:val="es-ES"/>
        </w:rPr>
      </w:pPr>
      <w:r w:rsidRPr="00993936">
        <w:rPr>
          <w:rFonts w:cs="Arial"/>
          <w:szCs w:val="22"/>
          <w:lang w:val="es-ES"/>
        </w:rPr>
        <w:t>9.1.5 Establecer los volúmenes máximos de cada riego en función del sistema, la profundidad radicular del cultivo, el estado hídrico y las características físicas del suelo. Para valores de conductividad eléctrica del agua superiores a de 2,1 dS/m, se utilizará una fracción de lavado complementaria a las dosis normales del riego.</w:t>
      </w:r>
    </w:p>
    <w:p w:rsidR="00503A41" w:rsidRPr="00993936" w:rsidRDefault="00503A41" w:rsidP="000452B8">
      <w:pPr>
        <w:jc w:val="both"/>
        <w:rPr>
          <w:rFonts w:ascii="Arial" w:hAnsi="Arial" w:cs="Arial"/>
          <w:lang w:val="es-ES"/>
        </w:rPr>
      </w:pPr>
      <w:r w:rsidRPr="00993936">
        <w:rPr>
          <w:rFonts w:ascii="Arial" w:hAnsi="Arial" w:cs="Arial"/>
          <w:lang w:val="es-ES"/>
        </w:rPr>
        <w:t xml:space="preserve">9.1.6  Los riegos se programarán para cada parcela y/o UHC siguiendo métodos técnicamente aceptados. </w:t>
      </w:r>
    </w:p>
    <w:p w:rsidR="00503A41" w:rsidRPr="00993936" w:rsidRDefault="00503A41" w:rsidP="000452B8">
      <w:pPr>
        <w:jc w:val="both"/>
        <w:rPr>
          <w:rFonts w:ascii="Arial" w:hAnsi="Arial" w:cs="Arial"/>
          <w:lang w:val="es-ES"/>
        </w:rPr>
      </w:pPr>
      <w:r w:rsidRPr="00993936">
        <w:rPr>
          <w:rFonts w:ascii="Arial" w:hAnsi="Arial" w:cs="Arial"/>
          <w:lang w:val="es-ES"/>
        </w:rPr>
        <w:t>9.1.7 Al regar, se evitará la aplicación de aguas que conduzcan a una degradación del suelo por salinización y/o sodificación.</w:t>
      </w:r>
    </w:p>
    <w:p w:rsidR="00503A41" w:rsidRPr="00993936" w:rsidRDefault="00503A41" w:rsidP="000452B8">
      <w:pPr>
        <w:pStyle w:val="Textoindependiente"/>
        <w:rPr>
          <w:rFonts w:cs="Arial"/>
          <w:szCs w:val="22"/>
          <w:lang w:val="es-ES"/>
        </w:rPr>
      </w:pPr>
      <w:r w:rsidRPr="00993936">
        <w:rPr>
          <w:rFonts w:cs="Arial"/>
          <w:szCs w:val="22"/>
          <w:lang w:val="es-ES"/>
        </w:rPr>
        <w:t>9.1.8 Para la programación de los riegos, se establecerá un programa que determine los volúmenes de agua a aplicar y los tiempos de riego.</w:t>
      </w:r>
    </w:p>
    <w:p w:rsidR="00503A41" w:rsidRPr="00993936" w:rsidRDefault="00503A41" w:rsidP="000452B8">
      <w:pPr>
        <w:jc w:val="both"/>
        <w:rPr>
          <w:rFonts w:ascii="Arial" w:hAnsi="Arial" w:cs="Arial"/>
          <w:lang w:val="es-ES"/>
        </w:rPr>
      </w:pPr>
      <w:r w:rsidRPr="00993936">
        <w:rPr>
          <w:rFonts w:ascii="Arial" w:hAnsi="Arial" w:cs="Arial"/>
          <w:lang w:val="es-ES"/>
        </w:rPr>
        <w:t>9.1.9 Se diseñará un sistema de riego para cada parcela que garantice de manera permanente la conservación del suelo.</w:t>
      </w:r>
    </w:p>
    <w:p w:rsidR="00503A41" w:rsidRPr="00993936" w:rsidRDefault="00503A41" w:rsidP="000452B8">
      <w:pPr>
        <w:pStyle w:val="Textoindependiente"/>
        <w:rPr>
          <w:rFonts w:cs="Arial"/>
          <w:szCs w:val="22"/>
          <w:lang w:val="es-ES"/>
        </w:rPr>
      </w:pPr>
      <w:r w:rsidRPr="00993936">
        <w:rPr>
          <w:rFonts w:cs="Arial"/>
          <w:szCs w:val="22"/>
          <w:lang w:val="es-ES"/>
        </w:rPr>
        <w:t>9.1.10 Se utilizarán técnicas de riego que garanticen la máxima eficiencia en el uso del agua y la optimización de los recursos hídricos, evitando las pérdidas de agua, por lo cual se tendrá en cuenta que:</w:t>
      </w:r>
    </w:p>
    <w:p w:rsidR="00503A41" w:rsidRPr="00993936" w:rsidRDefault="00503A41" w:rsidP="00441998">
      <w:pPr>
        <w:numPr>
          <w:ilvl w:val="0"/>
          <w:numId w:val="13"/>
        </w:numPr>
        <w:spacing w:after="0" w:line="240" w:lineRule="auto"/>
        <w:jc w:val="both"/>
        <w:rPr>
          <w:rFonts w:ascii="Arial" w:hAnsi="Arial" w:cs="Arial"/>
          <w:lang w:val="es-ES"/>
        </w:rPr>
      </w:pPr>
      <w:r w:rsidRPr="00993936">
        <w:rPr>
          <w:rFonts w:ascii="Arial" w:hAnsi="Arial" w:cs="Arial"/>
          <w:lang w:val="es-ES"/>
        </w:rPr>
        <w:t>Las dosis de riego se ajustarán a las necesidades de los cultivos y a la textura y a las características de drenaje del suelo.</w:t>
      </w:r>
    </w:p>
    <w:p w:rsidR="00503A41" w:rsidRPr="00993936" w:rsidRDefault="00503A41" w:rsidP="00441998">
      <w:pPr>
        <w:numPr>
          <w:ilvl w:val="0"/>
          <w:numId w:val="13"/>
        </w:numPr>
        <w:spacing w:after="0" w:line="240" w:lineRule="auto"/>
        <w:jc w:val="both"/>
        <w:rPr>
          <w:rFonts w:ascii="Arial" w:hAnsi="Arial" w:cs="Arial"/>
          <w:lang w:val="es-ES"/>
        </w:rPr>
      </w:pPr>
      <w:r w:rsidRPr="00993936">
        <w:rPr>
          <w:rFonts w:ascii="Arial" w:hAnsi="Arial" w:cs="Arial"/>
          <w:lang w:val="es-ES"/>
        </w:rPr>
        <w:t>En riego por gravedad o inundación, la longitud de los tablares</w:t>
      </w:r>
      <w:r w:rsidRPr="00993936">
        <w:rPr>
          <w:rFonts w:ascii="Arial" w:hAnsi="Arial" w:cs="Arial"/>
          <w:vanish/>
          <w:lang w:val="es-ES"/>
        </w:rPr>
        <w:t>&lt;A[mesas|tablas]&gt;</w:t>
      </w:r>
      <w:r w:rsidRPr="00993936">
        <w:rPr>
          <w:rFonts w:ascii="Arial" w:hAnsi="Arial" w:cs="Arial"/>
          <w:lang w:val="es-ES"/>
        </w:rPr>
        <w:t xml:space="preserve"> y su pendiente máxima se establecerán en función del volumen de riego necesario y de las condiciones hidráulicas y de permeabilidad del terreno.</w:t>
      </w:r>
    </w:p>
    <w:p w:rsidR="00503A41" w:rsidRPr="00993936" w:rsidRDefault="00503A41" w:rsidP="00441998">
      <w:pPr>
        <w:numPr>
          <w:ilvl w:val="0"/>
          <w:numId w:val="13"/>
        </w:numPr>
        <w:spacing w:after="0" w:line="240" w:lineRule="auto"/>
        <w:jc w:val="both"/>
        <w:rPr>
          <w:rFonts w:ascii="Arial" w:hAnsi="Arial" w:cs="Arial"/>
          <w:lang w:val="es-ES"/>
        </w:rPr>
      </w:pPr>
      <w:r w:rsidRPr="00993936">
        <w:rPr>
          <w:rFonts w:ascii="Arial" w:hAnsi="Arial" w:cs="Arial"/>
          <w:lang w:val="es-ES"/>
        </w:rPr>
        <w:lastRenderedPageBreak/>
        <w:t xml:space="preserve">En el riego a presión se justificará que el valor del coeficiente de uniformidad (CU) estará comprendido entre los valores establecidos en función de la separación entre los emisores y la pendiente del terreno. </w:t>
      </w:r>
    </w:p>
    <w:p w:rsidR="00503A41" w:rsidRPr="00993936" w:rsidRDefault="00503A41" w:rsidP="00441998">
      <w:pPr>
        <w:numPr>
          <w:ilvl w:val="0"/>
          <w:numId w:val="13"/>
        </w:numPr>
        <w:spacing w:after="0" w:line="240" w:lineRule="auto"/>
        <w:jc w:val="both"/>
        <w:rPr>
          <w:rFonts w:ascii="Arial" w:hAnsi="Arial" w:cs="Arial"/>
          <w:lang w:val="es-ES"/>
        </w:rPr>
      </w:pPr>
      <w:r w:rsidRPr="00993936">
        <w:rPr>
          <w:rFonts w:ascii="Arial" w:hAnsi="Arial" w:cs="Arial"/>
          <w:lang w:val="es-ES"/>
        </w:rPr>
        <w:t xml:space="preserve">La medida del cálculo del coeficiente de uniformidad se realizará mediante el método de Merrien-Keller (anexo 9). </w:t>
      </w:r>
    </w:p>
    <w:p w:rsidR="00503A41" w:rsidRPr="00993936" w:rsidRDefault="00503A41" w:rsidP="00441998">
      <w:pPr>
        <w:numPr>
          <w:ilvl w:val="0"/>
          <w:numId w:val="13"/>
        </w:numPr>
        <w:spacing w:after="0" w:line="240" w:lineRule="auto"/>
        <w:jc w:val="both"/>
        <w:rPr>
          <w:rFonts w:ascii="Arial" w:hAnsi="Arial" w:cs="Arial"/>
          <w:lang w:val="es-ES"/>
        </w:rPr>
      </w:pPr>
      <w:r w:rsidRPr="00993936">
        <w:rPr>
          <w:rFonts w:ascii="Arial" w:hAnsi="Arial" w:cs="Arial"/>
          <w:lang w:val="es-ES"/>
        </w:rPr>
        <w:t>Mantener en buen estado de conservación los sistemas de distribución del agua.</w:t>
      </w:r>
    </w:p>
    <w:p w:rsidR="00503A41" w:rsidRPr="00993936" w:rsidRDefault="00503A41" w:rsidP="00441998">
      <w:pPr>
        <w:numPr>
          <w:ilvl w:val="0"/>
          <w:numId w:val="13"/>
        </w:numPr>
        <w:spacing w:after="0" w:line="240" w:lineRule="auto"/>
        <w:jc w:val="both"/>
        <w:rPr>
          <w:rFonts w:ascii="Arial" w:hAnsi="Arial" w:cs="Arial"/>
          <w:lang w:val="es-ES"/>
        </w:rPr>
      </w:pPr>
      <w:r w:rsidRPr="00993936">
        <w:rPr>
          <w:rFonts w:ascii="Arial" w:hAnsi="Arial" w:cs="Arial"/>
          <w:lang w:val="es-ES"/>
        </w:rPr>
        <w:t>Registrar el agua de riego aplicada al Cuaderno de explotación. Si no fuera posible, se efectuará una estimación</w:t>
      </w:r>
      <w:r w:rsidRPr="00993936">
        <w:rPr>
          <w:rFonts w:ascii="Arial" w:hAnsi="Arial" w:cs="Arial"/>
          <w:vanish/>
          <w:lang w:val="es-ES"/>
        </w:rPr>
        <w:t>&lt;A[estimación|estima]&gt;</w:t>
      </w:r>
      <w:r w:rsidRPr="00993936">
        <w:rPr>
          <w:rFonts w:ascii="Arial" w:hAnsi="Arial" w:cs="Arial"/>
          <w:lang w:val="es-ES"/>
        </w:rPr>
        <w:t>.</w:t>
      </w:r>
    </w:p>
    <w:p w:rsidR="00503A41" w:rsidRPr="00993936" w:rsidRDefault="00503A41" w:rsidP="000452B8">
      <w:pPr>
        <w:jc w:val="both"/>
        <w:rPr>
          <w:rFonts w:ascii="Arial" w:hAnsi="Arial" w:cs="Arial"/>
          <w:lang w:val="es-ES"/>
        </w:rPr>
      </w:pPr>
      <w:r w:rsidRPr="00993936">
        <w:rPr>
          <w:rFonts w:ascii="Arial" w:hAnsi="Arial" w:cs="Arial"/>
          <w:lang w:val="es-ES"/>
        </w:rPr>
        <w:t>9.1.11 El agua para el riego se utilizará con criterios de máxima eficiencia. Se tendrá que utilizar algún método de programación de riegos que permita ajustar las dosis de riego a las necesidades de los cultivos y a la textura y el drenaje del suelo. El agua de riego se distribuirá uniformemente en las parcelas minimizando las pérdidas que se produzcan por percolación y escorrentía</w:t>
      </w:r>
      <w:r w:rsidRPr="00993936">
        <w:rPr>
          <w:rFonts w:ascii="Arial" w:hAnsi="Arial" w:cs="Arial"/>
          <w:vanish/>
          <w:lang w:val="es-ES"/>
        </w:rPr>
        <w:t>&lt;A[vaciado|corriente]&gt;</w:t>
      </w:r>
      <w:r w:rsidRPr="00993936">
        <w:rPr>
          <w:rFonts w:ascii="Arial" w:hAnsi="Arial" w:cs="Arial"/>
          <w:lang w:val="es-ES"/>
        </w:rPr>
        <w:t xml:space="preserve">. </w:t>
      </w:r>
    </w:p>
    <w:p w:rsidR="00503A41" w:rsidRPr="00993936" w:rsidRDefault="00503A41" w:rsidP="000452B8">
      <w:pPr>
        <w:jc w:val="both"/>
        <w:rPr>
          <w:rFonts w:ascii="Arial" w:hAnsi="Arial" w:cs="Arial"/>
          <w:lang w:val="es-ES"/>
        </w:rPr>
      </w:pPr>
      <w:r w:rsidRPr="00993936">
        <w:rPr>
          <w:rFonts w:ascii="Arial" w:hAnsi="Arial" w:cs="Arial"/>
          <w:lang w:val="es-ES"/>
        </w:rPr>
        <w:t xml:space="preserve">9.1.12 En los sistemas a presión, hay que alcanzar un coeficiente de uniformidad (CU) superior al 80%. La comprobación de este coeficiente se realizará cada 3 años, en cada sector de riego, de forma que se pueda asegurar el buen funcionamiento de las instalaciones. </w:t>
      </w:r>
    </w:p>
    <w:p w:rsidR="00503A41" w:rsidRPr="00993936" w:rsidRDefault="00503A41" w:rsidP="000452B8">
      <w:pPr>
        <w:jc w:val="both"/>
        <w:rPr>
          <w:rFonts w:ascii="Arial" w:hAnsi="Arial" w:cs="Arial"/>
          <w:lang w:val="es-ES"/>
        </w:rPr>
      </w:pPr>
      <w:r w:rsidRPr="00993936">
        <w:rPr>
          <w:rFonts w:ascii="Arial" w:hAnsi="Arial" w:cs="Arial"/>
          <w:lang w:val="es-ES"/>
        </w:rPr>
        <w:t>9.1.13 En caso del riego superficial, se tiene que exigir una nivelación precisa en el momento de realizar una nueva plantación, a la vez que una adaptación de la sistematización de la superficie a regar a los módulos de riego que se utilicen y a las condiciones de infiltración. En el riego superficial, habrá que conseguir la máxima uniformidad de distribución.</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9.2 </w:t>
      </w:r>
      <w:r w:rsidRPr="00993936">
        <w:rPr>
          <w:rFonts w:ascii="Arial" w:hAnsi="Arial" w:cs="Arial"/>
          <w:i/>
          <w:lang w:val="es-ES"/>
        </w:rPr>
        <w:t>Prohibiciones</w:t>
      </w:r>
    </w:p>
    <w:p w:rsidR="00503A41" w:rsidRPr="00993936" w:rsidRDefault="00503A41" w:rsidP="000452B8">
      <w:pPr>
        <w:jc w:val="both"/>
        <w:rPr>
          <w:rFonts w:ascii="Arial" w:hAnsi="Arial" w:cs="Arial"/>
          <w:lang w:val="es-ES"/>
        </w:rPr>
      </w:pPr>
      <w:r w:rsidRPr="00993936">
        <w:rPr>
          <w:rFonts w:ascii="Arial" w:hAnsi="Arial" w:cs="Arial"/>
          <w:lang w:val="es-ES"/>
        </w:rPr>
        <w:t>9.2.1 La utilización de aguas residuales sin la depuración previa.</w:t>
      </w:r>
    </w:p>
    <w:p w:rsidR="00503A41" w:rsidRPr="00993936" w:rsidRDefault="00503A41" w:rsidP="000452B8">
      <w:pPr>
        <w:jc w:val="both"/>
        <w:rPr>
          <w:rFonts w:ascii="Arial" w:hAnsi="Arial" w:cs="Arial"/>
          <w:lang w:val="es-ES"/>
        </w:rPr>
      </w:pPr>
      <w:r w:rsidRPr="00993936">
        <w:rPr>
          <w:rFonts w:ascii="Arial" w:hAnsi="Arial" w:cs="Arial"/>
          <w:lang w:val="es-ES"/>
        </w:rPr>
        <w:t>9.2.2 Utilizar aguas caracterizadas por parámetros de calidad inadecuados para el cultivo y para el suelo.</w:t>
      </w:r>
    </w:p>
    <w:p w:rsidR="00503A41" w:rsidRPr="00993936" w:rsidRDefault="00503A41" w:rsidP="000452B8">
      <w:pPr>
        <w:jc w:val="both"/>
        <w:rPr>
          <w:rFonts w:ascii="Arial" w:hAnsi="Arial" w:cs="Arial"/>
          <w:lang w:val="es-ES"/>
        </w:rPr>
      </w:pPr>
      <w:r w:rsidRPr="00993936">
        <w:rPr>
          <w:rFonts w:ascii="Arial" w:hAnsi="Arial" w:cs="Arial"/>
          <w:lang w:val="es-ES"/>
        </w:rPr>
        <w:t>9.2.3 Utilizar aguas residuales sin depuración previa o aguas que están depuradas, pero superan los parámetros que establece la legislación vigente.</w:t>
      </w:r>
    </w:p>
    <w:p w:rsidR="00503A41" w:rsidRPr="00993936" w:rsidRDefault="00503A41" w:rsidP="000452B8">
      <w:pPr>
        <w:jc w:val="both"/>
        <w:rPr>
          <w:rFonts w:ascii="Arial" w:hAnsi="Arial" w:cs="Arial"/>
          <w:lang w:val="es-ES"/>
        </w:rPr>
      </w:pPr>
      <w:r w:rsidRPr="00993936">
        <w:rPr>
          <w:rFonts w:ascii="Arial" w:hAnsi="Arial" w:cs="Arial"/>
          <w:lang w:val="es-ES"/>
        </w:rPr>
        <w:t>9.2.4. El uso de aguas de riego que superen los parámetros siguientes:</w:t>
      </w:r>
    </w:p>
    <w:p w:rsidR="00503A41" w:rsidRPr="00993936" w:rsidRDefault="00503A41" w:rsidP="000452B8">
      <w:pPr>
        <w:jc w:val="both"/>
        <w:rPr>
          <w:rFonts w:ascii="Arial" w:hAnsi="Arial" w:cs="Arial"/>
          <w:lang w:val="es-ES"/>
        </w:rPr>
      </w:pPr>
      <w:r w:rsidRPr="00993936">
        <w:rPr>
          <w:rFonts w:ascii="Arial" w:hAnsi="Arial" w:cs="Arial"/>
          <w:lang w:val="es-ES"/>
        </w:rPr>
        <w:t>Conductividad (CEW)………     3,0 dS/m</w:t>
      </w:r>
    </w:p>
    <w:p w:rsidR="00503A41" w:rsidRPr="00993936" w:rsidRDefault="00503A41" w:rsidP="000452B8">
      <w:pPr>
        <w:jc w:val="both"/>
        <w:rPr>
          <w:rFonts w:ascii="Arial" w:hAnsi="Arial" w:cs="Arial"/>
          <w:lang w:val="es-ES"/>
        </w:rPr>
      </w:pPr>
      <w:r w:rsidRPr="00993936">
        <w:rPr>
          <w:rFonts w:ascii="Arial" w:hAnsi="Arial" w:cs="Arial"/>
          <w:lang w:val="es-ES"/>
        </w:rPr>
        <w:t>RAS...............................     4</w:t>
      </w:r>
    </w:p>
    <w:p w:rsidR="00503A41" w:rsidRPr="00993936" w:rsidRDefault="00503A41" w:rsidP="000452B8">
      <w:pPr>
        <w:jc w:val="both"/>
        <w:rPr>
          <w:rFonts w:ascii="Arial" w:hAnsi="Arial" w:cs="Arial"/>
          <w:lang w:val="es-ES"/>
        </w:rPr>
      </w:pPr>
      <w:r w:rsidRPr="00993936">
        <w:rPr>
          <w:rFonts w:ascii="Arial" w:hAnsi="Arial" w:cs="Arial"/>
          <w:lang w:val="es-ES"/>
        </w:rPr>
        <w:t>Boro...............................     2 ppm</w:t>
      </w:r>
    </w:p>
    <w:p w:rsidR="00503A41" w:rsidRPr="00993936" w:rsidRDefault="00503A41" w:rsidP="000452B8">
      <w:pPr>
        <w:jc w:val="both"/>
        <w:rPr>
          <w:rFonts w:ascii="Arial" w:hAnsi="Arial" w:cs="Arial"/>
          <w:lang w:val="es-ES"/>
        </w:rPr>
      </w:pPr>
      <w:r w:rsidRPr="00993936">
        <w:rPr>
          <w:rFonts w:ascii="Arial" w:hAnsi="Arial" w:cs="Arial"/>
          <w:lang w:val="es-ES"/>
        </w:rPr>
        <w:t>Cloruros..........................  10 meq/l</w:t>
      </w:r>
    </w:p>
    <w:p w:rsidR="00503A41" w:rsidRPr="00993936" w:rsidRDefault="00503A41" w:rsidP="000452B8">
      <w:pPr>
        <w:jc w:val="both"/>
        <w:rPr>
          <w:rFonts w:ascii="Arial" w:hAnsi="Arial" w:cs="Arial"/>
          <w:lang w:val="es-ES"/>
        </w:rPr>
      </w:pPr>
      <w:r w:rsidRPr="00993936">
        <w:rPr>
          <w:rFonts w:ascii="Arial" w:hAnsi="Arial" w:cs="Arial"/>
          <w:lang w:val="es-ES"/>
        </w:rPr>
        <w:t>Sodio...............................    9 meq/l</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9.3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9.3.1 Para utilizar el agua de riego con criterios de máxima eficiencia, se recomienda en los sistemas de riego a presión la instalación de un caudalímetro o algún otro sistema de medida de consumo de agua, como instalar contadores en los conductos a presión o bien contar las horas de riego superficial, que permitan llevar</w:t>
      </w:r>
      <w:r w:rsidRPr="00993936">
        <w:rPr>
          <w:rFonts w:ascii="Arial" w:hAnsi="Arial" w:cs="Arial"/>
          <w:vanish/>
          <w:lang w:val="es-ES"/>
        </w:rPr>
        <w:t>&lt;A[llevar|traer]&gt;</w:t>
      </w:r>
      <w:r w:rsidRPr="00993936">
        <w:rPr>
          <w:rFonts w:ascii="Arial" w:hAnsi="Arial" w:cs="Arial"/>
          <w:lang w:val="es-ES"/>
        </w:rPr>
        <w:t xml:space="preserve"> un control preciso de las dosis de agua y de los momentos de aplicación.</w:t>
      </w:r>
    </w:p>
    <w:p w:rsidR="00503A41" w:rsidRPr="00993936" w:rsidRDefault="00503A41" w:rsidP="000452B8">
      <w:pPr>
        <w:jc w:val="both"/>
        <w:rPr>
          <w:rFonts w:ascii="Arial" w:hAnsi="Arial" w:cs="Arial"/>
          <w:lang w:val="es-ES"/>
        </w:rPr>
      </w:pPr>
      <w:r w:rsidRPr="00993936">
        <w:rPr>
          <w:rFonts w:ascii="Arial" w:hAnsi="Arial" w:cs="Arial"/>
          <w:lang w:val="es-ES"/>
        </w:rPr>
        <w:t xml:space="preserve">9.3.2 Para evaluar el estado del agua en el suelo, se recomienda disponer de algún tipo de control de la humedad del suelo (tensiómetros, sondas u otros). </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9.3.3 Que el material utilizado en las instalaciones nuevas de microirrigación corresponda a los modelos de emisores, tubos emisores y difusores certificados por el programa de control de características de material de microirrigación del Departamento de Agricultura, Ganadería y Pesca (Orden de 2 de mayo de 1995, DOGC nº. 2050, de 15.5.1995) o para</w:t>
      </w:r>
      <w:r w:rsidRPr="00993936">
        <w:rPr>
          <w:rFonts w:ascii="Arial" w:hAnsi="Arial" w:cs="Arial"/>
          <w:vanish/>
          <w:lang w:val="es-ES"/>
        </w:rPr>
        <w:t>&lt;A[para|por]&gt;</w:t>
      </w:r>
      <w:r w:rsidRPr="00993936">
        <w:rPr>
          <w:rFonts w:ascii="Arial" w:hAnsi="Arial" w:cs="Arial"/>
          <w:lang w:val="es-ES"/>
        </w:rPr>
        <w:t xml:space="preserve"> otros programas oficiales.</w:t>
      </w:r>
    </w:p>
    <w:p w:rsidR="00503A41" w:rsidRPr="00993936" w:rsidRDefault="00503A41" w:rsidP="000452B8">
      <w:pPr>
        <w:jc w:val="both"/>
        <w:rPr>
          <w:rFonts w:ascii="Arial" w:hAnsi="Arial" w:cs="Arial"/>
          <w:lang w:val="es-ES"/>
        </w:rPr>
      </w:pPr>
      <w:r w:rsidRPr="00993936">
        <w:rPr>
          <w:rFonts w:ascii="Arial" w:hAnsi="Arial" w:cs="Arial"/>
          <w:lang w:val="es-ES"/>
        </w:rPr>
        <w:t>9.3.4 Establecer un plan</w:t>
      </w:r>
      <w:r w:rsidRPr="00993936">
        <w:rPr>
          <w:rFonts w:ascii="Arial" w:hAnsi="Arial" w:cs="Arial"/>
          <w:vanish/>
          <w:lang w:val="es-ES"/>
        </w:rPr>
        <w:t>&lt;A[plan|plano]&gt;</w:t>
      </w:r>
      <w:r w:rsidRPr="00993936">
        <w:rPr>
          <w:rFonts w:ascii="Arial" w:hAnsi="Arial" w:cs="Arial"/>
          <w:lang w:val="es-ES"/>
        </w:rPr>
        <w:t xml:space="preserve"> de gestión del agua que permita optimizar el uso y reducir las pérdidas.</w:t>
      </w:r>
    </w:p>
    <w:p w:rsidR="00503A41" w:rsidRPr="00993936" w:rsidRDefault="00503A41" w:rsidP="000452B8">
      <w:pPr>
        <w:pStyle w:val="Ttulo2"/>
        <w:rPr>
          <w:rFonts w:ascii="Arial" w:hAnsi="Arial" w:cs="Arial"/>
          <w:color w:val="auto"/>
          <w:sz w:val="22"/>
          <w:szCs w:val="22"/>
          <w:lang w:val="es-ES"/>
        </w:rPr>
      </w:pPr>
      <w:r w:rsidRPr="00993936">
        <w:rPr>
          <w:rFonts w:ascii="Arial" w:hAnsi="Arial" w:cs="Arial"/>
          <w:color w:val="auto"/>
          <w:sz w:val="22"/>
          <w:szCs w:val="22"/>
          <w:lang w:val="es-ES"/>
        </w:rPr>
        <w:t>9.3.5 Evitar el riego por gravedad en suelos de textura arenosa.</w:t>
      </w:r>
    </w:p>
    <w:p w:rsidR="00503A41" w:rsidRPr="00993936" w:rsidRDefault="00503A41" w:rsidP="000452B8">
      <w:pPr>
        <w:jc w:val="both"/>
        <w:rPr>
          <w:rFonts w:ascii="Arial" w:hAnsi="Arial" w:cs="Arial"/>
          <w:i/>
          <w:lang w:val="es-ES"/>
        </w:rPr>
      </w:pPr>
      <w:r w:rsidRPr="00993936">
        <w:rPr>
          <w:rFonts w:ascii="Arial" w:hAnsi="Arial" w:cs="Arial"/>
          <w:lang w:val="es-ES"/>
        </w:rPr>
        <w:t>9.3.6 Utilizar el riego por goteo, cuando sea posible.</w:t>
      </w:r>
    </w:p>
    <w:p w:rsidR="00503A41" w:rsidRPr="00993936" w:rsidRDefault="00503A41" w:rsidP="000452B8">
      <w:pPr>
        <w:jc w:val="both"/>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10</w:t>
      </w:r>
    </w:p>
    <w:p w:rsidR="00503A41" w:rsidRPr="00993936" w:rsidRDefault="00503A41" w:rsidP="000452B8">
      <w:pPr>
        <w:jc w:val="both"/>
        <w:outlineLvl w:val="0"/>
        <w:rPr>
          <w:rFonts w:ascii="Arial" w:hAnsi="Arial" w:cs="Arial"/>
          <w:lang w:val="es-ES"/>
        </w:rPr>
      </w:pPr>
      <w:r w:rsidRPr="00993936">
        <w:rPr>
          <w:rFonts w:ascii="Arial" w:hAnsi="Arial" w:cs="Arial"/>
          <w:b/>
          <w:lang w:val="es-ES"/>
        </w:rPr>
        <w:t xml:space="preserve">Control integrado de plagas y enfermedades </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10.1.1 Para controlar plagas y enfermedades se tienen que priorizar, siempre que sea posible, los métodos biológicos, biotecnológicos, culturales, físicos y genéticos antes que los métodos químicos. </w:t>
      </w:r>
    </w:p>
    <w:p w:rsidR="00503A41" w:rsidRPr="00993936" w:rsidRDefault="00503A41" w:rsidP="000452B8">
      <w:pPr>
        <w:pStyle w:val="Textoindependiente"/>
        <w:rPr>
          <w:rFonts w:cs="Arial"/>
          <w:szCs w:val="22"/>
          <w:lang w:val="es-ES"/>
        </w:rPr>
      </w:pPr>
      <w:r w:rsidRPr="00993936">
        <w:rPr>
          <w:rFonts w:cs="Arial"/>
          <w:szCs w:val="22"/>
          <w:lang w:val="es-ES"/>
        </w:rPr>
        <w:t>10.1.2 La estimación</w:t>
      </w:r>
      <w:r w:rsidRPr="00993936">
        <w:rPr>
          <w:rFonts w:cs="Arial"/>
          <w:vanish/>
          <w:szCs w:val="22"/>
          <w:lang w:val="es-ES"/>
        </w:rPr>
        <w:t>&lt;A[estimación|estima]&gt;</w:t>
      </w:r>
      <w:r w:rsidRPr="00993936">
        <w:rPr>
          <w:rFonts w:cs="Arial"/>
          <w:szCs w:val="22"/>
          <w:lang w:val="es-ES"/>
        </w:rPr>
        <w:t xml:space="preserve"> del riesgo en cada parcela y/o UHC se hará mediante evaluaciones de los niveles de población calculado mediante sistemas de muestreo, estado de desarrollo de las plagas, enfermedades, y fauna útil, fenología del cultivo y condiciones climáticas. La aplicación de medidas directas de control de plagas y enfermedades sólo se efectuará cuando los niveles de población o las condiciones ambientales superen los correspondientes umbrales y/o criterios mínimos de intervención que figuran en el anexo 3 de esta norma, y en caso de enfermedades cuando</w:t>
      </w:r>
      <w:r w:rsidRPr="00993936">
        <w:rPr>
          <w:rFonts w:cs="Arial"/>
          <w:vanish/>
          <w:szCs w:val="22"/>
          <w:lang w:val="es-ES"/>
        </w:rPr>
        <w:t>&lt;A[cuando|cuándo]&gt;</w:t>
      </w:r>
      <w:r w:rsidRPr="00993936">
        <w:rPr>
          <w:rFonts w:cs="Arial"/>
          <w:szCs w:val="22"/>
          <w:lang w:val="es-ES"/>
        </w:rPr>
        <w:t xml:space="preserve"> la estimación</w:t>
      </w:r>
      <w:r w:rsidRPr="00993936">
        <w:rPr>
          <w:rFonts w:cs="Arial"/>
          <w:vanish/>
          <w:szCs w:val="22"/>
          <w:lang w:val="es-ES"/>
        </w:rPr>
        <w:t>&lt;A[estimación|estima]&gt;</w:t>
      </w:r>
      <w:r w:rsidRPr="00993936">
        <w:rPr>
          <w:rFonts w:cs="Arial"/>
          <w:szCs w:val="22"/>
          <w:lang w:val="es-ES"/>
        </w:rPr>
        <w:t xml:space="preserve"> del riesgo lo indique.</w:t>
      </w:r>
    </w:p>
    <w:p w:rsidR="00503A41" w:rsidRPr="00993936" w:rsidRDefault="00503A41" w:rsidP="000452B8">
      <w:pPr>
        <w:pStyle w:val="Textoindependiente"/>
        <w:rPr>
          <w:rFonts w:cs="Arial"/>
          <w:szCs w:val="22"/>
          <w:lang w:val="es-ES"/>
        </w:rPr>
      </w:pPr>
      <w:r w:rsidRPr="00993936">
        <w:rPr>
          <w:rFonts w:cs="Arial"/>
          <w:szCs w:val="22"/>
          <w:lang w:val="es-ES"/>
        </w:rPr>
        <w:t xml:space="preserve">Los niveles de población de cada fitoparásito se estimarán mediante trampas equipadas con atrayente sexual y/o trampas alimenticias colocadas a razón de 1 para cada 4 hectáreas, y controladas por el productor o por el técnico responsable de producción integrada mediante un control visual de daños o de presencia de parásitos a nivel de parcela. Con esta finalidad, se entiende por parcela la plantación homogénea en cuanto a edad, patrón, variedad (principal+polinizadora), sistema de poda y sistema de riego, con una superficie no mayor de 4 hectáreas, de manera que, si la extensión es superior, se tendrá que dividir en unidades de control inferiores a la mencionada superficie. </w:t>
      </w:r>
    </w:p>
    <w:p w:rsidR="00503A41" w:rsidRPr="00993936" w:rsidRDefault="00503A41" w:rsidP="000452B8">
      <w:pPr>
        <w:jc w:val="both"/>
        <w:rPr>
          <w:rFonts w:ascii="Arial" w:hAnsi="Arial" w:cs="Arial"/>
          <w:lang w:val="es-ES"/>
        </w:rPr>
      </w:pPr>
      <w:r w:rsidRPr="00993936">
        <w:rPr>
          <w:rFonts w:ascii="Arial" w:hAnsi="Arial" w:cs="Arial"/>
          <w:lang w:val="es-ES"/>
        </w:rPr>
        <w:t>En caso de agrupaciones de productores, el número de trampas a colocar será determinado por el/los técnico/s responsable/s de producción integrada en función del número y la distribución de las plantaciones, de manera que se garantice un sistema de control fiable y representativo de la zona que se quiera controlar. En este caso, cada agrupación de productores tendrá que disponer de un plano de situación de las trampas, con indicación del modelo de trampa, el tipo de parásitos a controlar, así como la relación de fincas, hectáreas y nombres de los productores incluidos, junto con la descripción del plan</w:t>
      </w:r>
      <w:r w:rsidRPr="00993936">
        <w:rPr>
          <w:rFonts w:ascii="Arial" w:hAnsi="Arial" w:cs="Arial"/>
          <w:vanish/>
          <w:lang w:val="es-ES"/>
        </w:rPr>
        <w:t>&lt;A[plan|plano]&gt;</w:t>
      </w:r>
      <w:r w:rsidRPr="00993936">
        <w:rPr>
          <w:rFonts w:ascii="Arial" w:hAnsi="Arial" w:cs="Arial"/>
          <w:lang w:val="es-ES"/>
        </w:rPr>
        <w:t xml:space="preserve"> de control.</w:t>
      </w:r>
    </w:p>
    <w:p w:rsidR="00503A41" w:rsidRPr="00993936" w:rsidRDefault="00503A41" w:rsidP="000452B8">
      <w:pPr>
        <w:jc w:val="both"/>
        <w:rPr>
          <w:rFonts w:ascii="Arial" w:hAnsi="Arial" w:cs="Arial"/>
          <w:lang w:val="es-ES"/>
        </w:rPr>
      </w:pPr>
      <w:r w:rsidRPr="00993936">
        <w:rPr>
          <w:rFonts w:ascii="Arial" w:hAnsi="Arial" w:cs="Arial"/>
          <w:lang w:val="es-ES"/>
        </w:rPr>
        <w:t xml:space="preserve">Los criterios que se utilicen para la justificación de los posibles tratamientos fitosanitarios tendrán que estar previstos en el Programa de control integrado de plagas y enfermedades (CIP) que prevé esta norma. </w:t>
      </w:r>
    </w:p>
    <w:p w:rsidR="00503A41" w:rsidRPr="00993936" w:rsidRDefault="00503A41" w:rsidP="000452B8">
      <w:pPr>
        <w:jc w:val="both"/>
        <w:rPr>
          <w:rFonts w:ascii="Arial" w:hAnsi="Arial" w:cs="Arial"/>
          <w:lang w:val="es-ES"/>
        </w:rPr>
      </w:pPr>
      <w:r w:rsidRPr="00993936">
        <w:rPr>
          <w:rFonts w:ascii="Arial" w:hAnsi="Arial" w:cs="Arial"/>
          <w:lang w:val="es-ES"/>
        </w:rPr>
        <w:t xml:space="preserve">10.1.3  En caso de que haga falta una intervención con productos fitosanitarios, las sustancias activas a utilizar serán seleccionadas de acuerdo con los criterios de menor </w:t>
      </w:r>
      <w:r w:rsidRPr="00993936">
        <w:rPr>
          <w:rFonts w:ascii="Arial" w:hAnsi="Arial" w:cs="Arial"/>
          <w:lang w:val="es-ES"/>
        </w:rPr>
        <w:lastRenderedPageBreak/>
        <w:t>peligrosidad para los humanos, la fauna y el medio ambiente; la efectividad en el control de la plaga, o la enfermedad; la selectividad (se tiene que evitar la toxicidad para los polinizadores y los enemigos naturales); los residuos y el riesgo de aparición de poblaciones resistentes. En cualquier caso, sólo se podrán utilizar productos fitosanitarios inscritos en el Registro Oficial de Productes y de Material Fitosanitario del Estado Español y aprobados expresamente para los cultivos y los usos autorizados y de acuerdo con las instrucciones y/o restricciones que figuran en el anexo 3 de esta norma.</w:t>
      </w:r>
    </w:p>
    <w:p w:rsidR="00503A41" w:rsidRPr="00993936" w:rsidRDefault="00503A41" w:rsidP="000452B8">
      <w:pPr>
        <w:jc w:val="both"/>
        <w:rPr>
          <w:rFonts w:ascii="Arial" w:hAnsi="Arial" w:cs="Arial"/>
          <w:lang w:val="es-ES"/>
        </w:rPr>
      </w:pPr>
      <w:r w:rsidRPr="00993936">
        <w:rPr>
          <w:rFonts w:ascii="Arial" w:hAnsi="Arial" w:cs="Arial"/>
          <w:lang w:val="es-ES"/>
        </w:rPr>
        <w:t>10.1.4 En caso de utilizar para el control de plagas y enfermedades formulados comerciales a base de mezclas de sustancias activas, vista la gran cantidad existente, se consideran admitidas en producción integrada de frutales de hueso</w:t>
      </w:r>
      <w:r w:rsidRPr="00993936">
        <w:rPr>
          <w:rFonts w:ascii="Arial" w:hAnsi="Arial" w:cs="Arial"/>
          <w:vanish/>
          <w:lang w:val="es-ES"/>
        </w:rPr>
        <w:t>&lt;A[hueso|pepita]&gt;</w:t>
      </w:r>
      <w:r w:rsidRPr="00993936">
        <w:rPr>
          <w:rFonts w:ascii="Arial" w:hAnsi="Arial" w:cs="Arial"/>
          <w:lang w:val="es-ES"/>
        </w:rPr>
        <w:t>, aunque no estén expresamente definidas en el anexo 3 de esta norma, todas las mezclas de formulados, que incluyan 2 ó más sustancias activas incluidas en el mencionado anexo, siempre que la mezcla comercial esté autorizada en el Registro Oficial de Productos y Material Fitosanitario por el cultivo y para los usos oficialmente autorizados.</w:t>
      </w:r>
    </w:p>
    <w:p w:rsidR="00503A41" w:rsidRPr="00993936" w:rsidRDefault="00503A41" w:rsidP="000452B8">
      <w:pPr>
        <w:jc w:val="both"/>
        <w:rPr>
          <w:rFonts w:ascii="Arial" w:hAnsi="Arial" w:cs="Arial"/>
          <w:lang w:val="es-ES"/>
        </w:rPr>
      </w:pPr>
      <w:r w:rsidRPr="00993936">
        <w:rPr>
          <w:rFonts w:ascii="Arial" w:hAnsi="Arial" w:cs="Arial"/>
          <w:lang w:val="es-ES"/>
        </w:rPr>
        <w:t>No se podrán utilizar formulados a base de mezclas de sustancias activas que tengan alguna sustancia no dirigida contra una determinada plaga y/o enfermedad, salvo las ocasiones en que se justifique el tratamiento simultáneo contra varios organismos nocivos.</w:t>
      </w:r>
    </w:p>
    <w:p w:rsidR="00503A41" w:rsidRPr="00993936" w:rsidRDefault="00503A41" w:rsidP="000452B8">
      <w:pPr>
        <w:jc w:val="both"/>
        <w:rPr>
          <w:rFonts w:ascii="Arial" w:hAnsi="Arial" w:cs="Arial"/>
          <w:lang w:val="es-ES"/>
        </w:rPr>
      </w:pPr>
      <w:r w:rsidRPr="00993936">
        <w:rPr>
          <w:rFonts w:ascii="Arial" w:hAnsi="Arial" w:cs="Arial"/>
          <w:lang w:val="es-ES"/>
        </w:rPr>
        <w:t>10.1.5 Para evitar riesgos a los operarios, a los consumidores y al medio ambiente, el uso y la aplicación de productos fitosanitarios se realizará respetando siempre las indicaciones reflejadas en las etiquetas correspondientes de los productos y siguiendo las recomendaciones y/o instrucciones dictadas por el responsable técnico de producción integrada.</w:t>
      </w:r>
    </w:p>
    <w:p w:rsidR="00503A41" w:rsidRPr="00993936" w:rsidRDefault="00503A41" w:rsidP="000452B8">
      <w:pPr>
        <w:jc w:val="both"/>
        <w:rPr>
          <w:rFonts w:ascii="Arial" w:hAnsi="Arial" w:cs="Arial"/>
          <w:lang w:val="es-ES"/>
        </w:rPr>
      </w:pPr>
      <w:r w:rsidRPr="00993936">
        <w:rPr>
          <w:rFonts w:ascii="Arial" w:hAnsi="Arial" w:cs="Arial"/>
          <w:lang w:val="es-ES"/>
        </w:rPr>
        <w:t>10.1.6 Se tendrán que registrar en el cuaderno de explotación todas las aplicaciones de productos químicos indicando como mínimo la fecha, el producto, sustancia activa, la cantidad y el volumen utilizado, las cuales tendrán que revisarse a posteriori por el técnico responsable de producción integrada y su conformidad figurará en el mencionado Cuaderno.</w:t>
      </w:r>
    </w:p>
    <w:p w:rsidR="00503A41" w:rsidRPr="00993936" w:rsidRDefault="00503A41" w:rsidP="000452B8">
      <w:pPr>
        <w:jc w:val="both"/>
        <w:rPr>
          <w:rFonts w:ascii="Arial" w:hAnsi="Arial" w:cs="Arial"/>
          <w:lang w:val="es-ES"/>
        </w:rPr>
      </w:pPr>
      <w:r w:rsidRPr="00993936">
        <w:rPr>
          <w:rFonts w:ascii="Arial" w:hAnsi="Arial" w:cs="Arial"/>
          <w:lang w:val="es-ES"/>
        </w:rPr>
        <w:t>10.1.7 Cuando se mezclen fitosanitarios, habrá que seguir los procedimientos adecuados para el manejo y la carga, según se indique en las instrucciones de la etiqueta del producto.</w:t>
      </w:r>
    </w:p>
    <w:p w:rsidR="00503A41" w:rsidRPr="00993936" w:rsidRDefault="00503A41" w:rsidP="000452B8">
      <w:pPr>
        <w:jc w:val="both"/>
        <w:rPr>
          <w:rFonts w:ascii="Arial" w:hAnsi="Arial" w:cs="Arial"/>
          <w:lang w:val="es-ES"/>
        </w:rPr>
      </w:pPr>
      <w:r w:rsidRPr="00993936">
        <w:rPr>
          <w:rFonts w:ascii="Arial" w:hAnsi="Arial" w:cs="Arial"/>
          <w:lang w:val="es-ES"/>
        </w:rPr>
        <w:t>10.1.8 Para condiciones de recogida continua de fruta durante un periodo largo de tiempo, se tendrá que tener un plan</w:t>
      </w:r>
      <w:r w:rsidRPr="00993936">
        <w:rPr>
          <w:rFonts w:ascii="Arial" w:hAnsi="Arial" w:cs="Arial"/>
          <w:vanish/>
          <w:lang w:val="es-ES"/>
        </w:rPr>
        <w:t>&lt;A[plan|plano]&gt;</w:t>
      </w:r>
      <w:r w:rsidRPr="00993936">
        <w:rPr>
          <w:rFonts w:ascii="Arial" w:hAnsi="Arial" w:cs="Arial"/>
          <w:lang w:val="es-ES"/>
        </w:rPr>
        <w:t xml:space="preserve"> para la protección vegetal que no comprometa los intervalos de recolección. El plan</w:t>
      </w:r>
      <w:r w:rsidRPr="00993936">
        <w:rPr>
          <w:rFonts w:ascii="Arial" w:hAnsi="Arial" w:cs="Arial"/>
          <w:vanish/>
          <w:lang w:val="es-ES"/>
        </w:rPr>
        <w:t>&lt;A[plan|plano]&gt;</w:t>
      </w:r>
      <w:r w:rsidRPr="00993936">
        <w:rPr>
          <w:rFonts w:ascii="Arial" w:hAnsi="Arial" w:cs="Arial"/>
          <w:lang w:val="es-ES"/>
        </w:rPr>
        <w:t xml:space="preserve"> tendrá que considerar el establecimiento de marcadores de campo que permitan diferenciar las parcelas y variedades que son para la recolección del resto del cultivo.</w:t>
      </w:r>
    </w:p>
    <w:p w:rsidR="00503A41" w:rsidRPr="00993936" w:rsidRDefault="00503A41" w:rsidP="000452B8">
      <w:pPr>
        <w:pStyle w:val="Textoindependiente"/>
        <w:rPr>
          <w:rFonts w:cs="Arial"/>
          <w:i/>
          <w:szCs w:val="22"/>
          <w:lang w:val="es-ES"/>
        </w:rPr>
      </w:pPr>
      <w:r w:rsidRPr="00993936">
        <w:rPr>
          <w:rFonts w:cs="Arial"/>
          <w:szCs w:val="22"/>
          <w:lang w:val="es-ES"/>
        </w:rPr>
        <w:t>10.1.9 Con la finalidad de disminuir la contaminación que provenga de los restos de fitosanitarios que quedan en los envases, se realizará un triple lavado. El agua de este lavado se añadirá al tanque de aplicación.</w:t>
      </w:r>
    </w:p>
    <w:p w:rsidR="00503A41" w:rsidRPr="00993936" w:rsidRDefault="00503A41" w:rsidP="000452B8">
      <w:pPr>
        <w:pStyle w:val="Textoindependiente"/>
        <w:rPr>
          <w:rFonts w:cs="Arial"/>
          <w:szCs w:val="22"/>
          <w:lang w:val="es-ES"/>
        </w:rPr>
      </w:pPr>
      <w:r w:rsidRPr="00993936">
        <w:rPr>
          <w:rFonts w:cs="Arial"/>
          <w:szCs w:val="22"/>
          <w:lang w:val="es-ES"/>
        </w:rPr>
        <w:t>10.1.10 La presencia de residuos se tiene que minimizar mediante la máxima ampliación posible de los plazos de seguridad.</w:t>
      </w:r>
    </w:p>
    <w:p w:rsidR="00503A41" w:rsidRPr="00993936" w:rsidRDefault="00503A41" w:rsidP="000452B8">
      <w:pPr>
        <w:jc w:val="both"/>
        <w:rPr>
          <w:rFonts w:ascii="Arial" w:hAnsi="Arial" w:cs="Arial"/>
          <w:lang w:val="es-ES"/>
        </w:rPr>
      </w:pPr>
      <w:r w:rsidRPr="00993936">
        <w:rPr>
          <w:rFonts w:ascii="Arial" w:hAnsi="Arial" w:cs="Arial"/>
          <w:lang w:val="es-ES"/>
        </w:rPr>
        <w:t>10.1.11 Proteger la fauna auxiliar en general y, en particular, al menos, dos especies</w:t>
      </w:r>
      <w:r w:rsidRPr="00993936">
        <w:rPr>
          <w:rFonts w:ascii="Arial" w:hAnsi="Arial" w:cs="Arial"/>
          <w:vanish/>
          <w:lang w:val="es-ES"/>
        </w:rPr>
        <w:t>&lt;A[especies|especias]&gt;</w:t>
      </w:r>
      <w:r w:rsidRPr="00993936">
        <w:rPr>
          <w:rFonts w:ascii="Arial" w:hAnsi="Arial" w:cs="Arial"/>
          <w:lang w:val="es-ES"/>
        </w:rPr>
        <w:t xml:space="preserve"> de las cuales su protección y aumento de sus poblaciones se considere prioritaria para cada cultivo. Las </w:t>
      </w:r>
      <w:r w:rsidRPr="00993936">
        <w:rPr>
          <w:rFonts w:ascii="Arial" w:hAnsi="Arial" w:cs="Arial"/>
          <w:lang w:val="es-ES"/>
        </w:rPr>
        <w:lastRenderedPageBreak/>
        <w:t>especies</w:t>
      </w:r>
      <w:r w:rsidRPr="00993936">
        <w:rPr>
          <w:rFonts w:ascii="Arial" w:hAnsi="Arial" w:cs="Arial"/>
          <w:vanish/>
          <w:lang w:val="es-ES"/>
        </w:rPr>
        <w:t>&lt;A[especies|especias]&gt;</w:t>
      </w:r>
      <w:r w:rsidRPr="00993936">
        <w:rPr>
          <w:rFonts w:ascii="Arial" w:hAnsi="Arial" w:cs="Arial"/>
          <w:lang w:val="es-ES"/>
        </w:rPr>
        <w:t xml:space="preserve"> de fauna auxiliar que se pueden proteger en frutales de hueso</w:t>
      </w:r>
      <w:r w:rsidRPr="00993936">
        <w:rPr>
          <w:rFonts w:ascii="Arial" w:hAnsi="Arial" w:cs="Arial"/>
          <w:vanish/>
          <w:lang w:val="es-ES"/>
        </w:rPr>
        <w:t>&lt;A[hueso|pepita]&gt;</w:t>
      </w:r>
      <w:r w:rsidRPr="00993936">
        <w:rPr>
          <w:rFonts w:ascii="Arial" w:hAnsi="Arial" w:cs="Arial"/>
          <w:lang w:val="es-ES"/>
        </w:rPr>
        <w:t xml:space="preserve"> son las siguientes: </w:t>
      </w:r>
    </w:p>
    <w:p w:rsidR="00503A41" w:rsidRPr="00993936" w:rsidRDefault="00503A41" w:rsidP="000452B8">
      <w:pPr>
        <w:jc w:val="both"/>
        <w:rPr>
          <w:rFonts w:ascii="Arial" w:hAnsi="Arial" w:cs="Arial"/>
          <w:i/>
          <w:lang w:val="es-ES"/>
        </w:rPr>
      </w:pPr>
      <w:r w:rsidRPr="00993936">
        <w:rPr>
          <w:rFonts w:ascii="Arial" w:hAnsi="Arial" w:cs="Arial"/>
          <w:i/>
          <w:lang w:val="es-ES"/>
        </w:rPr>
        <w:t xml:space="preserve">Amblyseius andersoni, Stethorus puntillum, Chrysoperla </w:t>
      </w:r>
      <w:r w:rsidRPr="00993936">
        <w:rPr>
          <w:rFonts w:ascii="Arial" w:hAnsi="Arial" w:cs="Arial"/>
          <w:lang w:val="es-ES"/>
        </w:rPr>
        <w:t>carnea,</w:t>
      </w:r>
      <w:r w:rsidRPr="00993936">
        <w:rPr>
          <w:rFonts w:ascii="Arial" w:hAnsi="Arial" w:cs="Arial"/>
          <w:i/>
          <w:lang w:val="es-ES"/>
        </w:rPr>
        <w:t xml:space="preserve"> Propylaea quatuor-decimpuncta, Allothrombium sp, Orius sp, Encarsia berlesei y Rhyzobius lophantae, Scymnus sp, Cantharis sp., Syrphidae y Aphidiidae.</w:t>
      </w:r>
    </w:p>
    <w:p w:rsidR="00503A41" w:rsidRPr="00993936" w:rsidRDefault="00503A41" w:rsidP="000452B8">
      <w:pPr>
        <w:jc w:val="both"/>
        <w:rPr>
          <w:rFonts w:ascii="Arial" w:hAnsi="Arial" w:cs="Arial"/>
          <w:lang w:val="es-ES"/>
        </w:rPr>
      </w:pPr>
      <w:r w:rsidRPr="00993936">
        <w:rPr>
          <w:rFonts w:ascii="Arial" w:hAnsi="Arial" w:cs="Arial"/>
          <w:lang w:val="es-ES"/>
        </w:rPr>
        <w:t>10.1.12 El aplicador de productos fitosanitarios tendrá que estar cualificado</w:t>
      </w:r>
      <w:r w:rsidRPr="00993936">
        <w:rPr>
          <w:rFonts w:ascii="Arial" w:hAnsi="Arial" w:cs="Arial"/>
          <w:vanish/>
          <w:lang w:val="es-ES"/>
        </w:rPr>
        <w:t>&lt;A[cualificado|calificado]&gt;</w:t>
      </w:r>
      <w:r w:rsidRPr="00993936">
        <w:rPr>
          <w:rFonts w:ascii="Arial" w:hAnsi="Arial" w:cs="Arial"/>
          <w:lang w:val="es-ES"/>
        </w:rPr>
        <w:t xml:space="preserve"> específicamente, para</w:t>
      </w:r>
      <w:r w:rsidRPr="00993936">
        <w:rPr>
          <w:rFonts w:ascii="Arial" w:hAnsi="Arial" w:cs="Arial"/>
          <w:vanish/>
          <w:lang w:val="es-ES"/>
        </w:rPr>
        <w:t>&lt;A[por|para]&gt;</w:t>
      </w:r>
      <w:r w:rsidRPr="00993936">
        <w:rPr>
          <w:rFonts w:ascii="Arial" w:hAnsi="Arial" w:cs="Arial"/>
          <w:lang w:val="es-ES"/>
        </w:rPr>
        <w:t xml:space="preserve"> lo cual tendrá que justificar que dispone de la acreditación del carné básico de aplicador de productos fitosanitarios o el carné calificado</w:t>
      </w:r>
      <w:r w:rsidRPr="00993936">
        <w:rPr>
          <w:rFonts w:ascii="Arial" w:hAnsi="Arial" w:cs="Arial"/>
          <w:vanish/>
          <w:lang w:val="es-ES"/>
        </w:rPr>
        <w:t>&lt;A[calificado|cualificado]&gt;</w:t>
      </w:r>
      <w:r w:rsidRPr="00993936">
        <w:rPr>
          <w:rFonts w:ascii="Arial" w:hAnsi="Arial" w:cs="Arial"/>
          <w:lang w:val="es-ES"/>
        </w:rPr>
        <w:t xml:space="preserve"> en caso que le sea obligatorio de acuerdo con lo que establece el RD 1311/2012.</w:t>
      </w:r>
    </w:p>
    <w:p w:rsidR="00503A41" w:rsidRPr="00993936" w:rsidRDefault="00503A41" w:rsidP="000452B8">
      <w:pPr>
        <w:pStyle w:val="Textoindependiente"/>
        <w:rPr>
          <w:rFonts w:cs="Arial"/>
          <w:szCs w:val="22"/>
          <w:lang w:val="es-ES"/>
        </w:rPr>
      </w:pPr>
      <w:r w:rsidRPr="00993936">
        <w:rPr>
          <w:rFonts w:cs="Arial"/>
          <w:szCs w:val="22"/>
          <w:lang w:val="es-ES"/>
        </w:rPr>
        <w:t xml:space="preserve">10.1.13 La maquinaria utilizada para aplicar los productos fitosanitairs se tiene que mantener en un adecuado estado de funcionamiento y someterse, periódicamente, a los controles e inspecciones que establece el artículo 16 de esta norma. </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10.1.14 En caso de tratamientos fitosanitarios y con la finalidad de obtener la máxima eficacia con la menor dosis, se tienen que ajustar las concentraciones de los productos, los volúmenes máximos de caldo y el caudal de aire, con el objetivo de evitar las sobredosificaciones y procurar que las aplicaciones no lleguen a una parcela y/o UHC diferente de la que se pretende tratar, y tener en cuenta el estado fenológico del cultivo.   </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10.1.15  Reducir el área tratada a foco o rodales con tratamientos químicos siempre que la plaga o enfermedad se encuentre lo bastante localizada y sea posible.</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10.2 </w:t>
      </w:r>
      <w:r w:rsidRPr="00993936">
        <w:rPr>
          <w:rFonts w:ascii="Arial" w:hAnsi="Arial" w:cs="Arial"/>
          <w:i/>
          <w:lang w:val="es-ES"/>
        </w:rPr>
        <w:t>Prohibiciones</w:t>
      </w:r>
    </w:p>
    <w:p w:rsidR="00503A41" w:rsidRPr="00993936" w:rsidRDefault="00503A41" w:rsidP="000452B8">
      <w:pPr>
        <w:jc w:val="both"/>
        <w:rPr>
          <w:rFonts w:ascii="Arial" w:hAnsi="Arial" w:cs="Arial"/>
          <w:lang w:val="es-ES"/>
        </w:rPr>
      </w:pPr>
      <w:r w:rsidRPr="00993936">
        <w:rPr>
          <w:rFonts w:ascii="Arial" w:hAnsi="Arial" w:cs="Arial"/>
          <w:lang w:val="es-ES"/>
        </w:rPr>
        <w:t>10.2.1 Realizar liberaciones de enemigos naturales no presentes en la fauna española, o cuya introducción esté prohibida por</w:t>
      </w:r>
      <w:r w:rsidRPr="00993936">
        <w:rPr>
          <w:rFonts w:ascii="Arial" w:hAnsi="Arial" w:cs="Arial"/>
          <w:vanish/>
          <w:lang w:val="es-ES"/>
        </w:rPr>
        <w:t>&lt;A[por|para]&gt;</w:t>
      </w:r>
      <w:r w:rsidRPr="00993936">
        <w:rPr>
          <w:rFonts w:ascii="Arial" w:hAnsi="Arial" w:cs="Arial"/>
          <w:lang w:val="es-ES"/>
        </w:rPr>
        <w:t xml:space="preserve"> la legislación correspondiente, salvo autorización expresa de la dirección general competente en materia de agricultura.</w:t>
      </w:r>
    </w:p>
    <w:p w:rsidR="00503A41" w:rsidRPr="00993936" w:rsidRDefault="00503A41" w:rsidP="000452B8">
      <w:pPr>
        <w:jc w:val="both"/>
        <w:rPr>
          <w:rFonts w:ascii="Arial" w:hAnsi="Arial" w:cs="Arial"/>
          <w:lang w:val="es-ES"/>
        </w:rPr>
      </w:pPr>
      <w:r w:rsidRPr="00993936">
        <w:rPr>
          <w:rFonts w:ascii="Arial" w:hAnsi="Arial" w:cs="Arial"/>
          <w:lang w:val="es-ES"/>
        </w:rPr>
        <w:t>10.2.2 Utilizar calendarios de tratamientos y realizar aplicaciones indiscriminadas sin la prescripción técnica.</w:t>
      </w:r>
    </w:p>
    <w:p w:rsidR="00503A41" w:rsidRPr="00993936" w:rsidRDefault="00503A41" w:rsidP="000452B8">
      <w:pPr>
        <w:jc w:val="both"/>
        <w:rPr>
          <w:rFonts w:ascii="Arial" w:hAnsi="Arial" w:cs="Arial"/>
          <w:lang w:val="es-ES"/>
        </w:rPr>
      </w:pPr>
      <w:r w:rsidRPr="00993936">
        <w:rPr>
          <w:rFonts w:ascii="Arial" w:hAnsi="Arial" w:cs="Arial"/>
          <w:lang w:val="es-ES"/>
        </w:rPr>
        <w:t>10.2.3 Abandonar el control fitosanitario antes de finalizar el periodo vegetativo del cultivo, excepto en casos de bastante mayor reconocidos por la dirección general competente en materia de agricultura.</w:t>
      </w:r>
    </w:p>
    <w:p w:rsidR="00503A41" w:rsidRPr="00993936" w:rsidRDefault="00503A41" w:rsidP="000452B8">
      <w:pPr>
        <w:pStyle w:val="Textoindependiente"/>
        <w:rPr>
          <w:rFonts w:cs="Arial"/>
          <w:szCs w:val="22"/>
          <w:lang w:val="es-ES"/>
        </w:rPr>
      </w:pPr>
      <w:r w:rsidRPr="00993936">
        <w:rPr>
          <w:rFonts w:cs="Arial"/>
          <w:szCs w:val="22"/>
          <w:lang w:val="es-ES"/>
        </w:rPr>
        <w:t>10.2.4 Utilizar de manera sistemática y reiterada, productos fitosanitarios no selectivos, de larga persistencia, alta volatilidad, lixiviables o con otras características negativas.</w:t>
      </w:r>
    </w:p>
    <w:p w:rsidR="00503A41" w:rsidRPr="00993936" w:rsidRDefault="00503A41" w:rsidP="000452B8">
      <w:pPr>
        <w:jc w:val="both"/>
        <w:rPr>
          <w:rFonts w:ascii="Arial" w:hAnsi="Arial" w:cs="Arial"/>
          <w:lang w:val="es-ES"/>
        </w:rPr>
      </w:pPr>
      <w:r w:rsidRPr="00993936">
        <w:rPr>
          <w:rFonts w:ascii="Arial" w:hAnsi="Arial" w:cs="Arial"/>
          <w:lang w:val="es-ES"/>
        </w:rPr>
        <w:t>10.2.5 Utilizar productos fitosanitarios a menos de 5 metros de aguas superficiales. 10.2.6 Realizar aplicaciones de productos fitosanitarios en condiciones meteorológicamente desfavorables para evitar la deriva de los productos.</w:t>
      </w:r>
    </w:p>
    <w:p w:rsidR="00503A41" w:rsidRPr="00993936" w:rsidRDefault="00503A41" w:rsidP="000452B8">
      <w:pPr>
        <w:pStyle w:val="Textoindependiente"/>
        <w:rPr>
          <w:rFonts w:cs="Arial"/>
          <w:szCs w:val="22"/>
          <w:lang w:val="es-ES"/>
        </w:rPr>
      </w:pPr>
      <w:r w:rsidRPr="00993936">
        <w:rPr>
          <w:rFonts w:cs="Arial"/>
          <w:szCs w:val="22"/>
          <w:lang w:val="es-ES"/>
        </w:rPr>
        <w:t>10.2.7 El vertido</w:t>
      </w:r>
      <w:r w:rsidRPr="00993936">
        <w:rPr>
          <w:rFonts w:cs="Arial"/>
          <w:vanish/>
          <w:szCs w:val="22"/>
          <w:lang w:val="es-ES"/>
        </w:rPr>
        <w:t>&lt;A[derrame|vertido]&gt;</w:t>
      </w:r>
      <w:r w:rsidRPr="00993936">
        <w:rPr>
          <w:rFonts w:cs="Arial"/>
          <w:szCs w:val="22"/>
          <w:lang w:val="es-ES"/>
        </w:rPr>
        <w:t>, al agua y/o en zonas muy próximas, de productos agroquímicos sobrantes y de los líquidos procedentes de la limpieza de la maquinaria de tratamientos.</w:t>
      </w:r>
    </w:p>
    <w:p w:rsidR="00503A41" w:rsidRPr="00993936" w:rsidRDefault="00503A41" w:rsidP="000452B8">
      <w:pPr>
        <w:jc w:val="both"/>
        <w:rPr>
          <w:rFonts w:ascii="Arial" w:hAnsi="Arial" w:cs="Arial"/>
          <w:lang w:val="es-ES"/>
        </w:rPr>
      </w:pPr>
      <w:r w:rsidRPr="00993936">
        <w:rPr>
          <w:rFonts w:ascii="Arial" w:hAnsi="Arial" w:cs="Arial"/>
          <w:lang w:val="es-ES"/>
        </w:rPr>
        <w:t>10.2.8 Utilizar cualquier producto autorizado por estas normas técnicas que sea dado de baja del del Registro Oficial de Productos y Material Fitosanitario del Ministerio de Agricultura, Pesca, Alimentación y Medio Ambiente (MAPAMA) con posterioridad en la publicación de la disposición que lo aprueba o que haya perdido la autorización de uso correspondiente.</w:t>
      </w:r>
    </w:p>
    <w:p w:rsidR="00503A41" w:rsidRPr="00993936" w:rsidRDefault="00503A41" w:rsidP="000452B8">
      <w:pPr>
        <w:jc w:val="both"/>
        <w:rPr>
          <w:rFonts w:ascii="Arial" w:hAnsi="Arial" w:cs="Arial"/>
          <w:lang w:val="es-ES"/>
        </w:rPr>
      </w:pPr>
      <w:r w:rsidRPr="00993936">
        <w:rPr>
          <w:rFonts w:ascii="Arial" w:hAnsi="Arial" w:cs="Arial"/>
          <w:lang w:val="es-ES"/>
        </w:rPr>
        <w:t xml:space="preserve">10.2.9 Utilizar materias activas no incluidas en el anexo 3 de esta norma técnica. Esta prohibición no es de aplicación a las materias activas que tengan una autorización de uso excepcional vigente o a las que aparezcan al Registro Oficial de Productos y </w:t>
      </w:r>
      <w:r w:rsidRPr="00993936">
        <w:rPr>
          <w:rFonts w:ascii="Arial" w:hAnsi="Arial" w:cs="Arial"/>
          <w:lang w:val="es-ES"/>
        </w:rPr>
        <w:lastRenderedPageBreak/>
        <w:t>Material Fitosanitario, autorizadas para combatir determinadas plagas y/o enfermedades, que no estén contempladas por su novedad en los anexos de fitosanitarios de esta norma.</w:t>
      </w:r>
    </w:p>
    <w:p w:rsidR="00503A41" w:rsidRPr="00993936" w:rsidRDefault="00503A41" w:rsidP="000452B8">
      <w:pPr>
        <w:jc w:val="both"/>
        <w:rPr>
          <w:rFonts w:ascii="Arial" w:hAnsi="Arial" w:cs="Arial"/>
          <w:lang w:val="es-ES"/>
        </w:rPr>
      </w:pPr>
      <w:r w:rsidRPr="00993936">
        <w:rPr>
          <w:rFonts w:ascii="Arial" w:hAnsi="Arial" w:cs="Arial"/>
          <w:lang w:val="es-ES"/>
        </w:rPr>
        <w:t>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plagas, que, por no ser habituales, no están reflejadas en el anexo 3 de esta norma, o no se haya definido el umbral y/o criterio mínimo de intervención, se podrá actuar en contra con cualquiera otro fitosanitario que esté expresamente autorizado en el del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w:t>
      </w:r>
    </w:p>
    <w:p w:rsidR="00503A41" w:rsidRPr="00993936" w:rsidRDefault="00503A41" w:rsidP="000452B8">
      <w:pPr>
        <w:jc w:val="both"/>
        <w:rPr>
          <w:rFonts w:ascii="Arial" w:hAnsi="Arial" w:cs="Arial"/>
          <w:lang w:val="es-ES"/>
        </w:rPr>
      </w:pPr>
      <w:r w:rsidRPr="00993936">
        <w:rPr>
          <w:rFonts w:ascii="Arial" w:hAnsi="Arial" w:cs="Arial"/>
          <w:lang w:val="es-ES"/>
        </w:rPr>
        <w:t xml:space="preserve">10.2.10 Aplicar productos fitosanitarios de perfil toxicológico T+ (muy tóxico) o que en su clasificación y etiquetado presenten frases de riesgo con un perfil muy tóxico o mortales para la salud humana. </w:t>
      </w:r>
    </w:p>
    <w:p w:rsidR="00503A41" w:rsidRPr="00993936" w:rsidRDefault="00503A41" w:rsidP="000452B8">
      <w:pPr>
        <w:jc w:val="both"/>
        <w:rPr>
          <w:rFonts w:ascii="Arial" w:hAnsi="Arial" w:cs="Arial"/>
          <w:lang w:val="es-ES"/>
        </w:rPr>
      </w:pPr>
      <w:r w:rsidRPr="00993936">
        <w:rPr>
          <w:rFonts w:ascii="Arial" w:hAnsi="Arial" w:cs="Arial"/>
          <w:lang w:val="es-ES"/>
        </w:rPr>
        <w:t>10.2.11 Aplicar productos fitosanitarios a menos de 50 metros de captaciones de agua de consumo humano.</w:t>
      </w:r>
    </w:p>
    <w:p w:rsidR="00503A41" w:rsidRPr="00993936" w:rsidRDefault="00503A41" w:rsidP="000452B8">
      <w:pPr>
        <w:jc w:val="both"/>
        <w:rPr>
          <w:rFonts w:ascii="Arial" w:hAnsi="Arial" w:cs="Arial"/>
          <w:lang w:val="es-ES"/>
        </w:rPr>
      </w:pPr>
      <w:r w:rsidRPr="00993936">
        <w:rPr>
          <w:rFonts w:ascii="Arial" w:hAnsi="Arial" w:cs="Arial"/>
          <w:lang w:val="es-ES"/>
        </w:rPr>
        <w:t xml:space="preserve">10.3.-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10.3.1 Realizar los tratamientos fitosanitarios con velocidades de viento inferiores a los </w:t>
      </w:r>
      <w:smartTag w:uri="urn:schemas-microsoft-com:office:smarttags" w:element="metricconverter">
        <w:smartTagPr>
          <w:attr w:name="ProductID" w:val="10,8 km"/>
        </w:smartTagPr>
        <w:r w:rsidRPr="00993936">
          <w:rPr>
            <w:rFonts w:ascii="Arial" w:hAnsi="Arial" w:cs="Arial"/>
            <w:lang w:val="es-ES"/>
          </w:rPr>
          <w:t>10,8 kilómetros</w:t>
        </w:r>
      </w:smartTag>
      <w:r w:rsidRPr="00993936">
        <w:rPr>
          <w:rFonts w:ascii="Arial" w:hAnsi="Arial" w:cs="Arial"/>
          <w:lang w:val="es-ES"/>
        </w:rPr>
        <w:t xml:space="preserve"> por hora.</w:t>
      </w:r>
    </w:p>
    <w:p w:rsidR="00503A41" w:rsidRPr="00993936" w:rsidRDefault="00503A41" w:rsidP="000452B8">
      <w:pPr>
        <w:pStyle w:val="Textoindependiente"/>
        <w:rPr>
          <w:rFonts w:cs="Arial"/>
          <w:szCs w:val="22"/>
          <w:lang w:val="es-ES"/>
        </w:rPr>
      </w:pPr>
      <w:r w:rsidRPr="00993936">
        <w:rPr>
          <w:rFonts w:cs="Arial"/>
          <w:szCs w:val="22"/>
          <w:lang w:val="es-ES"/>
        </w:rPr>
        <w:t>10.3.2 En caso de tratamientos fitosanitarios, alternar sustancias activas de los diferentes grupos químicos y mecanismos de acción, no realizando más de dos tratamientos consecutivos con la misma sustancia activa.</w:t>
      </w:r>
    </w:p>
    <w:p w:rsidR="00503A41" w:rsidRPr="00993936" w:rsidRDefault="00503A41" w:rsidP="000452B8">
      <w:pPr>
        <w:jc w:val="both"/>
        <w:rPr>
          <w:rFonts w:ascii="Arial" w:hAnsi="Arial" w:cs="Arial"/>
          <w:lang w:val="es-ES"/>
        </w:rPr>
      </w:pPr>
      <w:r w:rsidRPr="00993936">
        <w:rPr>
          <w:rFonts w:ascii="Arial" w:hAnsi="Arial" w:cs="Arial"/>
          <w:lang w:val="es-ES"/>
        </w:rPr>
        <w:t>10.3.3 No utilizar productos fitosanitarios con más de dos años desde la fecha de fabricación, a menos que la etiqueta especifique un plazo inferior.</w:t>
      </w:r>
    </w:p>
    <w:p w:rsidR="00503A41" w:rsidRPr="00993936" w:rsidRDefault="00503A41" w:rsidP="000452B8">
      <w:pPr>
        <w:jc w:val="both"/>
        <w:rPr>
          <w:rFonts w:ascii="Arial" w:hAnsi="Arial" w:cs="Arial"/>
          <w:lang w:val="es-ES"/>
        </w:rPr>
      </w:pPr>
      <w:r w:rsidRPr="00993936">
        <w:rPr>
          <w:rFonts w:ascii="Arial" w:hAnsi="Arial" w:cs="Arial"/>
          <w:lang w:val="es-ES"/>
        </w:rPr>
        <w:t>10.3.4 Disponer en la explotación de zonas preparadas expresamente para llenar los cubos, lavar equipos y depositar los restos de caldos no utilizados, etc.</w:t>
      </w:r>
    </w:p>
    <w:p w:rsidR="00503A41" w:rsidRPr="00993936" w:rsidRDefault="00503A41" w:rsidP="000452B8">
      <w:pPr>
        <w:jc w:val="both"/>
        <w:rPr>
          <w:rFonts w:ascii="Arial" w:hAnsi="Arial" w:cs="Arial"/>
          <w:lang w:val="es-ES"/>
        </w:rPr>
      </w:pPr>
      <w:r w:rsidRPr="00993936">
        <w:rPr>
          <w:rFonts w:ascii="Arial" w:hAnsi="Arial" w:cs="Arial"/>
          <w:lang w:val="es-ES"/>
        </w:rPr>
        <w:t>10.3.5 Utilizar modelos de predicción de plagas y enfermedades, en caso que haya y que se hayan contrastado en la zona de cultivo.</w:t>
      </w:r>
    </w:p>
    <w:p w:rsidR="00503A41" w:rsidRPr="00993936" w:rsidRDefault="00503A41" w:rsidP="000452B8">
      <w:pPr>
        <w:jc w:val="both"/>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11</w:t>
      </w:r>
    </w:p>
    <w:p w:rsidR="00503A41" w:rsidRPr="00993936" w:rsidRDefault="00503A41" w:rsidP="000452B8">
      <w:pPr>
        <w:jc w:val="both"/>
        <w:outlineLvl w:val="0"/>
        <w:rPr>
          <w:rFonts w:ascii="Arial" w:hAnsi="Arial" w:cs="Arial"/>
          <w:b/>
          <w:lang w:val="es-ES"/>
        </w:rPr>
      </w:pPr>
      <w:r w:rsidRPr="00993936">
        <w:rPr>
          <w:rFonts w:ascii="Arial" w:hAnsi="Arial" w:cs="Arial"/>
          <w:b/>
          <w:lang w:val="es-ES"/>
        </w:rPr>
        <w:t>Recolección</w:t>
      </w:r>
    </w:p>
    <w:p w:rsidR="00503A41" w:rsidRPr="00993936" w:rsidRDefault="00503A41" w:rsidP="000452B8">
      <w:pPr>
        <w:jc w:val="both"/>
        <w:outlineLvl w:val="0"/>
        <w:rPr>
          <w:rFonts w:ascii="Arial" w:hAnsi="Arial" w:cs="Arial"/>
          <w:b/>
          <w:lang w:val="es-ES"/>
        </w:rPr>
      </w:pPr>
      <w:r w:rsidRPr="00993936">
        <w:rPr>
          <w:rFonts w:ascii="Arial" w:hAnsi="Arial" w:cs="Arial"/>
          <w:lang w:val="es-ES"/>
        </w:rPr>
        <w:t xml:space="preserve">11.1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11.1.1 Realizar la recolección en las fechas y condiciones adecuadas para evitar heridas en los productos vegetales a que reduzcan la calidad y propicien infecciones de patógenos causantes de podredumbres.</w:t>
      </w:r>
    </w:p>
    <w:p w:rsidR="00503A41" w:rsidRPr="00993936" w:rsidRDefault="00503A41" w:rsidP="000452B8">
      <w:pPr>
        <w:jc w:val="both"/>
        <w:rPr>
          <w:rFonts w:ascii="Arial" w:hAnsi="Arial" w:cs="Arial"/>
          <w:lang w:val="es-ES"/>
        </w:rPr>
      </w:pPr>
      <w:r w:rsidRPr="00993936">
        <w:rPr>
          <w:rFonts w:ascii="Arial" w:hAnsi="Arial" w:cs="Arial"/>
          <w:lang w:val="es-ES"/>
        </w:rPr>
        <w:t>11.1.2 Se eliminarán los frutos que presenten síntomas con presencia de patógenos causantes de podredumbres.</w:t>
      </w:r>
    </w:p>
    <w:p w:rsidR="00503A41" w:rsidRPr="00993936" w:rsidRDefault="00503A41" w:rsidP="000452B8">
      <w:pPr>
        <w:pStyle w:val="Textoindependiente"/>
        <w:rPr>
          <w:rFonts w:cs="Arial"/>
          <w:szCs w:val="22"/>
          <w:lang w:val="es-ES"/>
        </w:rPr>
      </w:pPr>
      <w:r w:rsidRPr="00993936">
        <w:rPr>
          <w:rFonts w:cs="Arial"/>
          <w:szCs w:val="22"/>
          <w:lang w:val="es-ES"/>
        </w:rPr>
        <w:t xml:space="preserve">11.1.3 Recolectar los frutos en un estado de madurez que permita obtener las exigencias de la calidad comercial. </w:t>
      </w:r>
    </w:p>
    <w:p w:rsidR="00503A41" w:rsidRPr="00993936" w:rsidRDefault="00503A41" w:rsidP="000452B8">
      <w:pPr>
        <w:jc w:val="both"/>
        <w:rPr>
          <w:rFonts w:ascii="Arial" w:hAnsi="Arial" w:cs="Arial"/>
          <w:lang w:val="es-ES"/>
        </w:rPr>
      </w:pPr>
      <w:r w:rsidRPr="00993936">
        <w:rPr>
          <w:rFonts w:ascii="Arial" w:hAnsi="Arial" w:cs="Arial"/>
          <w:lang w:val="es-ES"/>
        </w:rPr>
        <w:t>11.1.4 La fruta entrará en el almacén durante las primeras 24 horas desde su cosecha.</w:t>
      </w:r>
    </w:p>
    <w:p w:rsidR="00503A41" w:rsidRPr="00993936" w:rsidRDefault="00503A41" w:rsidP="000452B8">
      <w:pPr>
        <w:pStyle w:val="Textoindependiente"/>
        <w:rPr>
          <w:rFonts w:cs="Arial"/>
          <w:szCs w:val="22"/>
          <w:lang w:val="es-ES"/>
        </w:rPr>
      </w:pPr>
      <w:r w:rsidRPr="00993936">
        <w:rPr>
          <w:rFonts w:cs="Arial"/>
          <w:szCs w:val="22"/>
          <w:lang w:val="es-ES"/>
        </w:rPr>
        <w:t xml:space="preserve">11.1.5 Cuando los productos recolectados no sean trasladados al almacén de manipulación el mismo día de la recolección, se tendrán que colocar bajo cubierta o en condiciones que eviten la incidencia directa de los agentes atmosféricos y en un </w:t>
      </w:r>
      <w:r w:rsidRPr="00993936">
        <w:rPr>
          <w:rFonts w:cs="Arial"/>
          <w:szCs w:val="22"/>
          <w:lang w:val="es-ES"/>
        </w:rPr>
        <w:lastRenderedPageBreak/>
        <w:t>lugar</w:t>
      </w:r>
      <w:r w:rsidRPr="00993936">
        <w:rPr>
          <w:rFonts w:cs="Arial"/>
          <w:vanish/>
          <w:szCs w:val="22"/>
          <w:lang w:val="es-ES"/>
        </w:rPr>
        <w:t>&lt;A[lugar|sitio]&gt;</w:t>
      </w:r>
      <w:r w:rsidRPr="00993936">
        <w:rPr>
          <w:rFonts w:cs="Arial"/>
          <w:szCs w:val="22"/>
          <w:lang w:val="es-ES"/>
        </w:rPr>
        <w:t xml:space="preserve"> con la máxima ventilación, hasta el momento de su envío al almacén manipulador. En caso de que su manipulación se realice en el campo y cuando haya algún riesgo de contaminación, el embalaje se tendrá que retirar durante la noche.</w:t>
      </w:r>
    </w:p>
    <w:p w:rsidR="00503A41" w:rsidRPr="00993936" w:rsidRDefault="00503A41" w:rsidP="000452B8">
      <w:pPr>
        <w:pStyle w:val="Textoindependiente"/>
        <w:rPr>
          <w:rFonts w:cs="Arial"/>
          <w:szCs w:val="22"/>
          <w:lang w:val="es-ES"/>
        </w:rPr>
      </w:pPr>
      <w:r w:rsidRPr="00993936">
        <w:rPr>
          <w:rFonts w:cs="Arial"/>
          <w:szCs w:val="22"/>
          <w:lang w:val="es-ES"/>
        </w:rPr>
        <w:t>11.1.6 Mantener el equipo de recolección en condiciones adecuadas de utilización.</w:t>
      </w:r>
    </w:p>
    <w:p w:rsidR="00503A41" w:rsidRPr="00993936" w:rsidRDefault="00503A41" w:rsidP="000452B8">
      <w:pPr>
        <w:jc w:val="both"/>
        <w:rPr>
          <w:rFonts w:ascii="Arial" w:hAnsi="Arial" w:cs="Arial"/>
          <w:lang w:val="es-ES"/>
        </w:rPr>
      </w:pPr>
      <w:r w:rsidRPr="00993936">
        <w:rPr>
          <w:rFonts w:ascii="Arial" w:hAnsi="Arial" w:cs="Arial"/>
          <w:lang w:val="es-ES"/>
        </w:rPr>
        <w:t>11.1.7 Todos los operadores que quieran obtener la certificación o bien comercializar productos con la identificación de garantía de producción integrada se tendrán que acoger a un programa de autocontrol individual o colectivo, de acuerdo con lo que prevé el artículo 35 de esta norma, durante la recolección y/o elaboración para analizar la posible presencia de residuos de productos fitosanitarios, y</w:t>
      </w:r>
      <w:r w:rsidRPr="00993936">
        <w:rPr>
          <w:rFonts w:ascii="Arial" w:hAnsi="Arial" w:cs="Arial"/>
          <w:i/>
          <w:lang w:val="es-ES"/>
        </w:rPr>
        <w:t xml:space="preserve"> </w:t>
      </w:r>
      <w:r w:rsidRPr="00993936">
        <w:rPr>
          <w:rFonts w:ascii="Arial" w:hAnsi="Arial" w:cs="Arial"/>
          <w:lang w:val="es-ES"/>
        </w:rPr>
        <w:t xml:space="preserve">en base a lo que establezcan los artículos 12 (f) y 13 (g) del Decreto 241/2002, con el objetivo de garantizar que se han utilizado exclusivamente las materias activas seleccionadas en la estrategia de producción integrada, y que se cumple con lo que establece la legislación española en relación con los límites máximos de residuos </w:t>
      </w:r>
      <w:r w:rsidRPr="00993936">
        <w:rPr>
          <w:rFonts w:ascii="Arial" w:hAnsi="Arial" w:cs="Arial"/>
          <w:i/>
          <w:lang w:val="es-ES"/>
        </w:rPr>
        <w:t xml:space="preserve">(LMR) </w:t>
      </w:r>
      <w:r w:rsidRPr="00993936">
        <w:rPr>
          <w:rFonts w:ascii="Arial" w:hAnsi="Arial" w:cs="Arial"/>
          <w:lang w:val="es-ES"/>
        </w:rPr>
        <w:t>de productos fitosanitarios.</w:t>
      </w:r>
    </w:p>
    <w:p w:rsidR="00503A41" w:rsidRPr="00993936" w:rsidRDefault="00503A41" w:rsidP="000452B8">
      <w:pPr>
        <w:jc w:val="both"/>
        <w:rPr>
          <w:rFonts w:ascii="Arial" w:hAnsi="Arial" w:cs="Arial"/>
          <w:lang w:val="es-ES"/>
        </w:rPr>
      </w:pPr>
      <w:r w:rsidRPr="00993936">
        <w:rPr>
          <w:rFonts w:ascii="Arial" w:hAnsi="Arial" w:cs="Arial"/>
          <w:lang w:val="es-ES"/>
        </w:rPr>
        <w:t>11.1.8 Para producciones dirigidas a otros mercados diferentes al nacional, se verificará si cumplen la legislación establecida en el lugar</w:t>
      </w:r>
      <w:r w:rsidRPr="00993936">
        <w:rPr>
          <w:rFonts w:ascii="Arial" w:hAnsi="Arial" w:cs="Arial"/>
          <w:vanish/>
          <w:lang w:val="es-ES"/>
        </w:rPr>
        <w:t>&lt;A[lugar|sitio]&gt;</w:t>
      </w:r>
      <w:r w:rsidRPr="00993936">
        <w:rPr>
          <w:rFonts w:ascii="Arial" w:hAnsi="Arial" w:cs="Arial"/>
          <w:lang w:val="es-ES"/>
        </w:rPr>
        <w:t xml:space="preserve"> de destino con respecto al contenido de residuos.</w:t>
      </w:r>
    </w:p>
    <w:p w:rsidR="00503A41" w:rsidRPr="00993936" w:rsidRDefault="00503A41" w:rsidP="000452B8">
      <w:pPr>
        <w:pStyle w:val="Textoindependiente"/>
        <w:rPr>
          <w:rFonts w:cs="Arial"/>
          <w:szCs w:val="22"/>
          <w:lang w:val="es-ES"/>
        </w:rPr>
      </w:pPr>
      <w:r w:rsidRPr="00993936">
        <w:rPr>
          <w:rFonts w:cs="Arial"/>
          <w:szCs w:val="22"/>
          <w:lang w:val="es-ES"/>
        </w:rPr>
        <w:t>11.1.9 Los operadores tendrán que recibir instrucciones básicas sobre higiene y tendrán que conocer la obligación de comunicar cualquier enfermedad contagiosa que pueda incapacitarlos para realizar este trabajo.</w:t>
      </w:r>
    </w:p>
    <w:p w:rsidR="00503A41" w:rsidRPr="00993936" w:rsidRDefault="00503A41" w:rsidP="000452B8">
      <w:pPr>
        <w:pStyle w:val="Textoindependiente"/>
        <w:rPr>
          <w:rFonts w:cs="Arial"/>
          <w:szCs w:val="22"/>
          <w:lang w:val="es-ES"/>
        </w:rPr>
      </w:pPr>
      <w:r w:rsidRPr="00993936">
        <w:rPr>
          <w:rFonts w:cs="Arial"/>
          <w:szCs w:val="22"/>
          <w:lang w:val="es-ES"/>
        </w:rPr>
        <w:t>11.1.10 Almacenar los embalajes de forma que se evite la contaminación por plagas y/o enfermedades.</w:t>
      </w:r>
    </w:p>
    <w:p w:rsidR="00503A41" w:rsidRPr="00993936" w:rsidRDefault="00503A41" w:rsidP="000452B8">
      <w:pPr>
        <w:jc w:val="both"/>
        <w:rPr>
          <w:rFonts w:ascii="Arial" w:hAnsi="Arial" w:cs="Arial"/>
          <w:lang w:val="es-ES"/>
        </w:rPr>
      </w:pPr>
      <w:r w:rsidRPr="00993936">
        <w:rPr>
          <w:rFonts w:ascii="Arial" w:hAnsi="Arial" w:cs="Arial"/>
          <w:lang w:val="es-ES"/>
        </w:rPr>
        <w:t>11.1.11 Controlar que los envases reciclables estén limpios</w:t>
      </w:r>
      <w:r w:rsidRPr="00993936">
        <w:rPr>
          <w:rFonts w:ascii="Arial" w:hAnsi="Arial" w:cs="Arial"/>
          <w:vanish/>
          <w:lang w:val="es-ES"/>
        </w:rPr>
        <w:t>&lt;A[limpios|netos]&gt;</w:t>
      </w:r>
      <w:r w:rsidRPr="00993936">
        <w:rPr>
          <w:rFonts w:ascii="Arial" w:hAnsi="Arial" w:cs="Arial"/>
          <w:lang w:val="es-ES"/>
        </w:rPr>
        <w:t xml:space="preserve"> y no tengan materiales extraños que puedan perjudicar al producto y/o la salud del consumidor.</w:t>
      </w:r>
    </w:p>
    <w:p w:rsidR="00503A41" w:rsidRPr="00993936" w:rsidRDefault="00503A41" w:rsidP="000452B8">
      <w:pPr>
        <w:jc w:val="both"/>
        <w:rPr>
          <w:rFonts w:ascii="Arial" w:hAnsi="Arial" w:cs="Arial"/>
          <w:i/>
          <w:lang w:val="es-ES"/>
        </w:rPr>
      </w:pPr>
      <w:r w:rsidRPr="00993936">
        <w:rPr>
          <w:rFonts w:ascii="Arial" w:hAnsi="Arial" w:cs="Arial"/>
          <w:lang w:val="es-ES"/>
        </w:rPr>
        <w:t>11.1.12 Los envases de campo tendrán que llevar</w:t>
      </w:r>
      <w:r w:rsidRPr="00993936">
        <w:rPr>
          <w:rFonts w:ascii="Arial" w:hAnsi="Arial" w:cs="Arial"/>
          <w:vanish/>
          <w:lang w:val="es-ES"/>
        </w:rPr>
        <w:t>&lt;A[llevar|traer]&gt;</w:t>
      </w:r>
      <w:r w:rsidRPr="00993936">
        <w:rPr>
          <w:rFonts w:ascii="Arial" w:hAnsi="Arial" w:cs="Arial"/>
          <w:lang w:val="es-ES"/>
        </w:rPr>
        <w:t xml:space="preserve"> una identificación inequívoca de la parcela de procedencia, de la variedad y del tipo de producción.</w:t>
      </w:r>
      <w:r w:rsidRPr="00993936">
        <w:rPr>
          <w:rFonts w:ascii="Arial" w:hAnsi="Arial" w:cs="Arial"/>
          <w:i/>
          <w:u w:val="single"/>
          <w:lang w:val="es-ES"/>
        </w:rPr>
        <w:t xml:space="preserve">  </w:t>
      </w:r>
    </w:p>
    <w:p w:rsidR="00503A41" w:rsidRPr="00993936" w:rsidRDefault="00503A41" w:rsidP="000452B8">
      <w:pPr>
        <w:pStyle w:val="Encabezado"/>
        <w:tabs>
          <w:tab w:val="clear" w:pos="4252"/>
          <w:tab w:val="clear" w:pos="8504"/>
        </w:tabs>
        <w:outlineLvl w:val="0"/>
        <w:rPr>
          <w:rFonts w:ascii="Arial" w:hAnsi="Arial" w:cs="Arial"/>
          <w:lang w:val="es-ES"/>
        </w:rPr>
      </w:pPr>
      <w:r w:rsidRPr="00993936">
        <w:rPr>
          <w:rFonts w:ascii="Arial" w:hAnsi="Arial" w:cs="Arial"/>
          <w:lang w:val="es-ES"/>
        </w:rPr>
        <w:t xml:space="preserve">11.2 </w:t>
      </w:r>
      <w:r w:rsidRPr="00993936">
        <w:rPr>
          <w:rFonts w:ascii="Arial" w:hAnsi="Arial" w:cs="Arial"/>
          <w:i/>
          <w:lang w:val="es-ES"/>
        </w:rPr>
        <w:t>Prohibiciones</w:t>
      </w:r>
    </w:p>
    <w:p w:rsidR="00503A41" w:rsidRPr="00993936" w:rsidRDefault="00503A41" w:rsidP="000452B8">
      <w:pPr>
        <w:pStyle w:val="Textoindependiente"/>
        <w:rPr>
          <w:rFonts w:cs="Arial"/>
          <w:szCs w:val="22"/>
          <w:lang w:val="es-ES"/>
        </w:rPr>
      </w:pPr>
      <w:r w:rsidRPr="00993936">
        <w:rPr>
          <w:rFonts w:cs="Arial"/>
          <w:szCs w:val="22"/>
          <w:lang w:val="es-ES"/>
        </w:rPr>
        <w:t>11.2.1 Dejar fruta abandonada en la parcela si representa un peligro de propagación de plagas o de enfermedades vegetales.</w:t>
      </w:r>
    </w:p>
    <w:p w:rsidR="00503A41" w:rsidRPr="00993936" w:rsidRDefault="00503A41" w:rsidP="000452B8">
      <w:pPr>
        <w:jc w:val="both"/>
        <w:outlineLvl w:val="0"/>
        <w:rPr>
          <w:rFonts w:ascii="Arial" w:hAnsi="Arial" w:cs="Arial"/>
          <w:lang w:val="es-ES"/>
        </w:rPr>
      </w:pPr>
      <w:r w:rsidRPr="00993936">
        <w:rPr>
          <w:rFonts w:ascii="Arial" w:hAnsi="Arial" w:cs="Arial"/>
          <w:lang w:val="es-ES"/>
        </w:rPr>
        <w:t>11.2.2  Efectuar la recolección cuando los productos vegetales estén mojados por causa de la lluvia. No será de aplicación esta prohibición, en condiciones de humedad relativa elevada por causa de la niebla, rocío u otros agentes climatológicos.</w:t>
      </w:r>
    </w:p>
    <w:p w:rsidR="00503A41" w:rsidRPr="00993936" w:rsidRDefault="00503A41" w:rsidP="000452B8">
      <w:pPr>
        <w:jc w:val="both"/>
        <w:outlineLvl w:val="0"/>
        <w:rPr>
          <w:rFonts w:ascii="Arial" w:hAnsi="Arial" w:cs="Arial"/>
          <w:lang w:val="es-ES"/>
        </w:rPr>
      </w:pPr>
      <w:r w:rsidRPr="00993936">
        <w:rPr>
          <w:rFonts w:ascii="Arial" w:hAnsi="Arial" w:cs="Arial"/>
          <w:lang w:val="es-ES"/>
        </w:rPr>
        <w:t xml:space="preserve">11.3 </w:t>
      </w:r>
      <w:r w:rsidRPr="00993936">
        <w:rPr>
          <w:rFonts w:ascii="Arial" w:hAnsi="Arial" w:cs="Arial"/>
          <w:i/>
          <w:lang w:val="es-ES"/>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11.3.1 Realizar la recolección en un momento adecuado para cada variedad y tipo de presentación.</w:t>
      </w:r>
    </w:p>
    <w:p w:rsidR="00503A41" w:rsidRPr="00993936" w:rsidRDefault="00503A41" w:rsidP="000452B8">
      <w:pPr>
        <w:pStyle w:val="Textoindependiente"/>
        <w:rPr>
          <w:rFonts w:cs="Arial"/>
          <w:szCs w:val="22"/>
          <w:lang w:val="es-ES"/>
        </w:rPr>
      </w:pPr>
      <w:r w:rsidRPr="00993936">
        <w:rPr>
          <w:rFonts w:cs="Arial"/>
          <w:szCs w:val="22"/>
          <w:lang w:val="es-ES"/>
        </w:rPr>
        <w:t>11.3.2 Coger</w:t>
      </w:r>
      <w:r w:rsidRPr="00993936">
        <w:rPr>
          <w:rFonts w:cs="Arial"/>
          <w:vanish/>
          <w:szCs w:val="22"/>
          <w:lang w:val="es-ES"/>
        </w:rPr>
        <w:t>&lt;A[Coger|Recoger]&gt;</w:t>
      </w:r>
      <w:r w:rsidRPr="00993936">
        <w:rPr>
          <w:rFonts w:cs="Arial"/>
          <w:szCs w:val="22"/>
          <w:lang w:val="es-ES"/>
        </w:rPr>
        <w:t xml:space="preserve"> preferentemente durante las primeras horas de la mañana, evitando tanto como sea posible las horas de calor más intenso.</w:t>
      </w:r>
    </w:p>
    <w:p w:rsidR="00503A41" w:rsidRPr="00993936" w:rsidRDefault="00503A41" w:rsidP="000452B8">
      <w:pPr>
        <w:pStyle w:val="Textoindependiente"/>
        <w:rPr>
          <w:rFonts w:cs="Arial"/>
          <w:b/>
          <w:szCs w:val="22"/>
          <w:lang w:val="es-ES"/>
        </w:rPr>
      </w:pPr>
      <w:r w:rsidRPr="00993936">
        <w:rPr>
          <w:rFonts w:cs="Arial"/>
          <w:szCs w:val="22"/>
          <w:lang w:val="es-ES"/>
        </w:rPr>
        <w:t>11.3.3 Realizar el traslado de la fruta en el centro manipulador con las mejores condiciones y con los medios más rápidos, para conseguir que el proceso de enfriamiento del fruto empiece lo antes posible.</w:t>
      </w:r>
    </w:p>
    <w:p w:rsidR="00503A41" w:rsidRPr="00993936" w:rsidRDefault="00503A41" w:rsidP="000452B8">
      <w:pPr>
        <w:jc w:val="both"/>
        <w:rPr>
          <w:rFonts w:ascii="Arial" w:hAnsi="Arial" w:cs="Arial"/>
          <w:lang w:val="es-ES"/>
        </w:rPr>
      </w:pPr>
      <w:r w:rsidRPr="00993936">
        <w:rPr>
          <w:rFonts w:ascii="Arial" w:hAnsi="Arial" w:cs="Arial"/>
          <w:lang w:val="es-ES"/>
        </w:rPr>
        <w:t>11.3.4 Disponer de los instrumentos adecuados que permitan evaluar el grado de madurez del producto.</w:t>
      </w:r>
    </w:p>
    <w:p w:rsidR="00503A41" w:rsidRPr="00993936" w:rsidRDefault="00503A41" w:rsidP="000452B8">
      <w:pPr>
        <w:pStyle w:val="Ttulo2"/>
        <w:rPr>
          <w:rFonts w:ascii="Arial" w:hAnsi="Arial" w:cs="Arial"/>
          <w:color w:val="auto"/>
          <w:sz w:val="22"/>
          <w:szCs w:val="22"/>
          <w:lang w:val="es-ES" w:eastAsia="es-ES"/>
        </w:rPr>
      </w:pPr>
      <w:r w:rsidRPr="00993936">
        <w:rPr>
          <w:rFonts w:ascii="Arial" w:hAnsi="Arial" w:cs="Arial"/>
          <w:color w:val="auto"/>
          <w:sz w:val="22"/>
          <w:szCs w:val="22"/>
          <w:lang w:val="es-ES" w:eastAsia="es-ES"/>
        </w:rPr>
        <w:t>11.3.5 Utilizar  los valores de los índices de penetromia que figuran en el anexo 4 de esta norma para determinar el inicio de la cosecha.</w:t>
      </w:r>
    </w:p>
    <w:p w:rsidR="00503A41" w:rsidRPr="00993936" w:rsidRDefault="00503A41" w:rsidP="000452B8">
      <w:pPr>
        <w:pStyle w:val="Textoindependiente"/>
        <w:rPr>
          <w:rFonts w:cs="Arial"/>
          <w:szCs w:val="22"/>
          <w:lang w:val="es-ES"/>
        </w:rPr>
      </w:pPr>
      <w:r w:rsidRPr="00993936">
        <w:rPr>
          <w:rFonts w:cs="Arial"/>
          <w:szCs w:val="22"/>
          <w:lang w:val="es-ES"/>
        </w:rPr>
        <w:t>11.3.6 Utilizar agua potable para el lavado de los productos vegetales, que se realice en campo, que vayan destinados a la comercialización.</w:t>
      </w:r>
    </w:p>
    <w:p w:rsidR="00503A41" w:rsidRPr="00993936" w:rsidRDefault="00503A41" w:rsidP="000452B8">
      <w:pPr>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12</w:t>
      </w:r>
    </w:p>
    <w:p w:rsidR="00503A41" w:rsidRPr="00993936" w:rsidRDefault="00503A41" w:rsidP="000452B8">
      <w:pPr>
        <w:jc w:val="both"/>
        <w:rPr>
          <w:rFonts w:ascii="Arial" w:hAnsi="Arial" w:cs="Arial"/>
          <w:b/>
          <w:lang w:val="es-ES"/>
        </w:rPr>
      </w:pPr>
      <w:r w:rsidRPr="00993936">
        <w:rPr>
          <w:rFonts w:ascii="Arial" w:hAnsi="Arial" w:cs="Arial"/>
          <w:b/>
          <w:lang w:val="es-ES"/>
        </w:rPr>
        <w:t>Cuaderno de explotación</w:t>
      </w:r>
    </w:p>
    <w:p w:rsidR="00503A41" w:rsidRPr="00993936" w:rsidRDefault="00503A41" w:rsidP="000452B8">
      <w:pPr>
        <w:jc w:val="both"/>
        <w:rPr>
          <w:rFonts w:ascii="Arial" w:hAnsi="Arial" w:cs="Arial"/>
          <w:lang w:val="es-ES"/>
        </w:rPr>
      </w:pPr>
      <w:r w:rsidRPr="00993936">
        <w:rPr>
          <w:rFonts w:ascii="Arial" w:hAnsi="Arial" w:cs="Arial"/>
          <w:i/>
          <w:lang w:val="es-ES"/>
        </w:rPr>
        <w:t>12.1 Obligaciones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12.1.1 El modelo de Cuaderno de explotación es único con respecto al contenido de los datos a registrar, y será aprobado por el Departamento de Agricultura, Ganadería, Pesca y Alimentación.  </w:t>
      </w:r>
    </w:p>
    <w:p w:rsidR="00503A41" w:rsidRPr="00993936" w:rsidRDefault="00503A41" w:rsidP="000452B8">
      <w:pPr>
        <w:jc w:val="both"/>
        <w:rPr>
          <w:rFonts w:ascii="Arial" w:hAnsi="Arial" w:cs="Arial"/>
          <w:lang w:val="es-ES"/>
        </w:rPr>
      </w:pPr>
      <w:r w:rsidRPr="00993936">
        <w:rPr>
          <w:rFonts w:ascii="Arial" w:hAnsi="Arial" w:cs="Arial"/>
          <w:lang w:val="es-ES"/>
        </w:rPr>
        <w:t>12.1.2 El productor de producción integrada, mediante su firma, se responsabilizará de la veracidad de las anotaciones realizadas en el Cuaderno de explotación.</w:t>
      </w:r>
    </w:p>
    <w:p w:rsidR="00503A41" w:rsidRPr="00993936" w:rsidRDefault="00503A41" w:rsidP="000452B8">
      <w:pPr>
        <w:pStyle w:val="Textoindependiente"/>
        <w:rPr>
          <w:rFonts w:cs="Arial"/>
          <w:szCs w:val="22"/>
          <w:lang w:val="es-ES"/>
        </w:rPr>
      </w:pPr>
      <w:r w:rsidRPr="00993936">
        <w:rPr>
          <w:rFonts w:cs="Arial"/>
          <w:szCs w:val="22"/>
          <w:lang w:val="es-ES"/>
        </w:rPr>
        <w:t>12.1.3 El Cuaderno de explotación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0452B8">
      <w:pPr>
        <w:jc w:val="both"/>
        <w:rPr>
          <w:rFonts w:ascii="Arial" w:hAnsi="Arial" w:cs="Arial"/>
          <w:lang w:val="es-ES"/>
        </w:rPr>
      </w:pPr>
      <w:r w:rsidRPr="00993936">
        <w:rPr>
          <w:rFonts w:ascii="Arial" w:hAnsi="Arial" w:cs="Arial"/>
          <w:lang w:val="es-ES"/>
        </w:rPr>
        <w:t>12.1.4 El Cuaderno de explotación estará controlado y supervisado periódicamente por el técnico responsable de producción integrada y, a fin de que quede constancia, se registrará la fecha y la firma en cada revisión.</w:t>
      </w:r>
    </w:p>
    <w:p w:rsidR="00503A41" w:rsidRPr="00993936" w:rsidRDefault="00503A41" w:rsidP="000452B8">
      <w:pPr>
        <w:rPr>
          <w:rFonts w:ascii="Arial" w:hAnsi="Arial" w:cs="Arial"/>
          <w:lang w:val="es-ES"/>
        </w:rPr>
      </w:pPr>
    </w:p>
    <w:p w:rsidR="00503A41" w:rsidRPr="00993936" w:rsidRDefault="00503A41" w:rsidP="000452B8">
      <w:pPr>
        <w:jc w:val="both"/>
        <w:outlineLvl w:val="0"/>
        <w:rPr>
          <w:rFonts w:ascii="Arial" w:hAnsi="Arial" w:cs="Arial"/>
          <w:lang w:val="es-ES"/>
        </w:rPr>
      </w:pPr>
      <w:r w:rsidRPr="00993936">
        <w:rPr>
          <w:rFonts w:ascii="Arial" w:hAnsi="Arial" w:cs="Arial"/>
          <w:lang w:val="es-ES"/>
        </w:rPr>
        <w:t>Artículo 13</w:t>
      </w:r>
    </w:p>
    <w:p w:rsidR="00503A41" w:rsidRPr="00993936" w:rsidRDefault="00503A41" w:rsidP="000452B8">
      <w:pPr>
        <w:jc w:val="both"/>
        <w:outlineLvl w:val="0"/>
        <w:rPr>
          <w:rFonts w:ascii="Arial" w:hAnsi="Arial" w:cs="Arial"/>
          <w:b/>
          <w:lang w:val="es-ES"/>
        </w:rPr>
      </w:pPr>
      <w:r w:rsidRPr="00993936">
        <w:rPr>
          <w:rFonts w:ascii="Arial" w:hAnsi="Arial" w:cs="Arial"/>
          <w:b/>
          <w:lang w:val="es-ES"/>
        </w:rPr>
        <w:t>Normas de calidad</w:t>
      </w:r>
    </w:p>
    <w:p w:rsidR="00503A41" w:rsidRPr="00993936" w:rsidRDefault="00503A41" w:rsidP="000452B8">
      <w:pPr>
        <w:jc w:val="both"/>
        <w:rPr>
          <w:rFonts w:ascii="Arial" w:hAnsi="Arial" w:cs="Arial"/>
          <w:lang w:val="es-ES"/>
        </w:rPr>
      </w:pPr>
      <w:r w:rsidRPr="00993936">
        <w:rPr>
          <w:rFonts w:ascii="Arial" w:hAnsi="Arial" w:cs="Arial"/>
          <w:i/>
          <w:lang w:val="es-ES"/>
        </w:rPr>
        <w:t>13.1 Obligaciones</w:t>
      </w:r>
    </w:p>
    <w:p w:rsidR="00503A41" w:rsidRPr="00993936" w:rsidRDefault="00503A41" w:rsidP="000452B8">
      <w:pPr>
        <w:jc w:val="both"/>
        <w:rPr>
          <w:rFonts w:ascii="Arial" w:hAnsi="Arial" w:cs="Arial"/>
          <w:lang w:val="es-ES"/>
        </w:rPr>
      </w:pPr>
      <w:r w:rsidRPr="00993936">
        <w:rPr>
          <w:rFonts w:ascii="Arial" w:hAnsi="Arial" w:cs="Arial"/>
          <w:lang w:val="es-ES"/>
        </w:rPr>
        <w:t>13.1.1 Las categorías de frutales de hueso</w:t>
      </w:r>
      <w:r w:rsidRPr="00993936">
        <w:rPr>
          <w:rFonts w:ascii="Arial" w:hAnsi="Arial" w:cs="Arial"/>
          <w:vanish/>
          <w:lang w:val="es-ES"/>
        </w:rPr>
        <w:t>&lt;A[hueso|pepita]&gt;</w:t>
      </w:r>
      <w:r w:rsidRPr="00993936">
        <w:rPr>
          <w:rFonts w:ascii="Arial" w:hAnsi="Arial" w:cs="Arial"/>
          <w:lang w:val="es-ES"/>
        </w:rPr>
        <w:t xml:space="preserve"> amparadas por la denominación Producción Integrada serán todas las categorías establecidas de acuerdo con las características que define la normativa vigente, relativas a normas de calidad y otros aspectos referentes a la comercialización. </w:t>
      </w:r>
    </w:p>
    <w:p w:rsidR="00503A41" w:rsidRPr="00993936" w:rsidRDefault="00503A41" w:rsidP="000452B8">
      <w:pPr>
        <w:jc w:val="both"/>
        <w:rPr>
          <w:rFonts w:ascii="Arial" w:hAnsi="Arial" w:cs="Arial"/>
          <w:lang w:val="es-ES"/>
        </w:rPr>
      </w:pPr>
      <w:r w:rsidRPr="00993936">
        <w:rPr>
          <w:rFonts w:ascii="Arial" w:hAnsi="Arial" w:cs="Arial"/>
          <w:lang w:val="es-ES"/>
        </w:rPr>
        <w:t xml:space="preserve">Cada variedad tendrá unas características mínimas de calidad interna y externa para que pueda ser comercializada como fruta de producción integrada. </w:t>
      </w:r>
    </w:p>
    <w:p w:rsidR="00503A41" w:rsidRPr="00993936" w:rsidRDefault="00503A41" w:rsidP="000452B8">
      <w:pPr>
        <w:rPr>
          <w:rFonts w:ascii="Arial" w:hAnsi="Arial" w:cs="Arial"/>
          <w:b/>
          <w:lang w:val="es-ES"/>
        </w:rPr>
      </w:pP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II.  INSTALACIONES, EQUIPOS, PERSONAL, TRANSPORTE Y ALMACENAJE</w:t>
      </w:r>
    </w:p>
    <w:p w:rsidR="00503A41" w:rsidRPr="00993936" w:rsidRDefault="00503A41" w:rsidP="000452B8">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14</w:t>
      </w: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Instalaciones</w:t>
      </w:r>
    </w:p>
    <w:p w:rsidR="00503A41" w:rsidRPr="00993936" w:rsidRDefault="00503A41" w:rsidP="000452B8">
      <w:pPr>
        <w:pStyle w:val="NormalWeb"/>
        <w:spacing w:after="0"/>
        <w:jc w:val="both"/>
        <w:rPr>
          <w:rFonts w:ascii="Arial" w:hAnsi="Arial" w:cs="Arial"/>
          <w:i/>
          <w:sz w:val="22"/>
          <w:szCs w:val="22"/>
          <w:lang w:val="es-ES"/>
        </w:rPr>
      </w:pPr>
      <w:r w:rsidRPr="00993936">
        <w:rPr>
          <w:rFonts w:ascii="Arial" w:hAnsi="Arial" w:cs="Arial"/>
          <w:i/>
          <w:sz w:val="22"/>
          <w:szCs w:val="22"/>
          <w:lang w:val="es-ES"/>
        </w:rPr>
        <w:t>14.1 Obligaciones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14.1.1  Las instalaciones, incluidos los baños, los equipos y el entorno productivo tienen que estar en un estado de orden y de limpieza adecuado.</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14.1.2 Todas las instalaciones tienen que estar ventiladas, iluminadas y con sistemas de desagües adecuados para las actividades que desarrollen.</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14.1.3  Habrá zonas diferentes para el almacenaje de productos y para los envases vacíos.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14.1.4  Los productos químicos tienen que estar almacenados en un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que se pueda cerrar y debidamente señalizado. El acceso al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de al almacenamiento de productos químicos, así como su manipulación, sólo los podrá realizar el personal designado por la persona operadora.</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14.1.5  Los productos químicos almacenados tienen que estar etiquetados correctamente y autorizados para usar en la industria alimenticia.</w:t>
      </w:r>
    </w:p>
    <w:p w:rsidR="00503A41" w:rsidRPr="00993936" w:rsidRDefault="00503A41" w:rsidP="000452B8">
      <w:pPr>
        <w:pStyle w:val="Sangradetextonormal"/>
        <w:rPr>
          <w:rFonts w:cs="Arial"/>
          <w:szCs w:val="22"/>
          <w:lang w:val="es-ES"/>
        </w:rPr>
      </w:pPr>
    </w:p>
    <w:p w:rsidR="00503A41" w:rsidRPr="00993936" w:rsidRDefault="00503A41" w:rsidP="000452B8">
      <w:pPr>
        <w:pStyle w:val="Sangradetextonormal"/>
        <w:ind w:left="0"/>
        <w:rPr>
          <w:rFonts w:cs="Arial"/>
          <w:szCs w:val="22"/>
          <w:lang w:val="es-ES"/>
        </w:rPr>
      </w:pPr>
      <w:r w:rsidRPr="00993936">
        <w:rPr>
          <w:rFonts w:cs="Arial"/>
          <w:szCs w:val="22"/>
          <w:lang w:val="es-ES"/>
        </w:rPr>
        <w:t>Artículo 15</w:t>
      </w:r>
    </w:p>
    <w:p w:rsidR="00503A41" w:rsidRPr="00993936" w:rsidRDefault="00503A41" w:rsidP="000452B8">
      <w:pPr>
        <w:pStyle w:val="Sangradetextonormal"/>
        <w:ind w:left="0"/>
        <w:rPr>
          <w:rFonts w:cs="Arial"/>
          <w:b/>
          <w:szCs w:val="22"/>
          <w:lang w:val="es-ES"/>
        </w:rPr>
      </w:pPr>
      <w:r w:rsidRPr="00993936">
        <w:rPr>
          <w:rFonts w:cs="Arial"/>
          <w:b/>
          <w:szCs w:val="22"/>
          <w:lang w:val="es-ES"/>
        </w:rPr>
        <w:t>Higiene y mantenimiento de las instalaciones y equipos</w:t>
      </w:r>
    </w:p>
    <w:p w:rsidR="00503A41" w:rsidRPr="00993936" w:rsidRDefault="00503A41" w:rsidP="000452B8">
      <w:pPr>
        <w:pStyle w:val="Sangradetextonormal"/>
        <w:ind w:left="0"/>
        <w:rPr>
          <w:rFonts w:cs="Arial"/>
          <w:b/>
          <w:szCs w:val="22"/>
          <w:lang w:val="es-ES"/>
        </w:rPr>
      </w:pPr>
      <w:r w:rsidRPr="00993936">
        <w:rPr>
          <w:rFonts w:cs="Arial"/>
          <w:szCs w:val="22"/>
          <w:lang w:val="es-ES"/>
        </w:rPr>
        <w:t xml:space="preserve">15.1 </w:t>
      </w:r>
      <w:r w:rsidRPr="00993936">
        <w:rPr>
          <w:rFonts w:cs="Arial"/>
          <w:i/>
          <w:szCs w:val="22"/>
          <w:lang w:val="es-ES"/>
        </w:rPr>
        <w:t>Obligaciones</w:t>
      </w:r>
      <w:r w:rsidRPr="00993936">
        <w:rPr>
          <w:rFonts w:cs="Arial"/>
          <w:szCs w:val="22"/>
          <w:lang w:val="es-ES"/>
        </w:rPr>
        <w:t xml:space="preserve"> </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15.1.1 Cada persona operadora tiene que disponer de un plan</w:t>
      </w:r>
      <w:r w:rsidRPr="00993936">
        <w:rPr>
          <w:rFonts w:cs="Arial"/>
          <w:vanish/>
          <w:szCs w:val="22"/>
          <w:lang w:val="es-ES"/>
        </w:rPr>
        <w:t>&lt;A[plan|plano]&gt;</w:t>
      </w:r>
      <w:r w:rsidRPr="00993936">
        <w:rPr>
          <w:rFonts w:cs="Arial"/>
          <w:szCs w:val="22"/>
          <w:lang w:val="es-ES"/>
        </w:rPr>
        <w:t xml:space="preserve"> general de limpieza y de desinfección detallado de las instalaciones, los equipos, las líneas de manipulación, el almacenaje, el envasado y las cámaras frigoríficas, con la finalidad que en todo momento estén en buen estado de conservación. El plan</w:t>
      </w:r>
      <w:r w:rsidRPr="00993936">
        <w:rPr>
          <w:rFonts w:cs="Arial"/>
          <w:vanish/>
          <w:szCs w:val="22"/>
          <w:lang w:val="es-ES"/>
        </w:rPr>
        <w:t>&lt;A[plan|plano]&gt;</w:t>
      </w:r>
      <w:r w:rsidRPr="00993936">
        <w:rPr>
          <w:rFonts w:cs="Arial"/>
          <w:szCs w:val="22"/>
          <w:lang w:val="es-ES"/>
        </w:rPr>
        <w:t xml:space="preserve"> tendrá que prever:</w:t>
      </w:r>
    </w:p>
    <w:p w:rsidR="00503A41" w:rsidRPr="00993936" w:rsidRDefault="00503A41" w:rsidP="009D1A2D">
      <w:pPr>
        <w:pStyle w:val="Prrafodelista"/>
        <w:numPr>
          <w:ilvl w:val="0"/>
          <w:numId w:val="164"/>
        </w:numPr>
        <w:spacing w:after="0" w:line="240" w:lineRule="auto"/>
        <w:jc w:val="both"/>
        <w:rPr>
          <w:rFonts w:ascii="Arial" w:hAnsi="Arial" w:cs="Arial"/>
          <w:lang w:val="es-ES"/>
        </w:rPr>
      </w:pPr>
      <w:r w:rsidRPr="00993936">
        <w:rPr>
          <w:rFonts w:ascii="Arial" w:hAnsi="Arial" w:cs="Arial"/>
          <w:lang w:val="es-ES"/>
        </w:rPr>
        <w:t>Las instalaciones y la maquinaria de la línea de confección se limpiarán y se desinfectarán al inicio de la campaña y al menos una vez al mes en el periodo de funcionamiento.</w:t>
      </w:r>
    </w:p>
    <w:p w:rsidR="00503A41" w:rsidRPr="00993936" w:rsidRDefault="00503A41" w:rsidP="009D1A2D">
      <w:pPr>
        <w:pStyle w:val="Prrafodelista"/>
        <w:numPr>
          <w:ilvl w:val="0"/>
          <w:numId w:val="164"/>
        </w:numPr>
        <w:spacing w:after="0" w:line="240" w:lineRule="auto"/>
        <w:jc w:val="both"/>
        <w:rPr>
          <w:rFonts w:ascii="Arial" w:hAnsi="Arial" w:cs="Arial"/>
          <w:lang w:val="es-ES"/>
        </w:rPr>
      </w:pPr>
      <w:r w:rsidRPr="00993936">
        <w:rPr>
          <w:rFonts w:ascii="Arial" w:hAnsi="Arial" w:cs="Arial"/>
          <w:lang w:val="es-ES"/>
        </w:rPr>
        <w:t>Los envases se limpiarán y desinfectarán como mínimo una vez al año.</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15.1.2 Cada persona operadora dispondrá de un plan</w:t>
      </w:r>
      <w:r w:rsidRPr="00993936">
        <w:rPr>
          <w:rFonts w:cs="Arial"/>
          <w:vanish/>
          <w:szCs w:val="22"/>
          <w:lang w:val="es-ES"/>
        </w:rPr>
        <w:t>&lt;A[plan|plano]&gt;</w:t>
      </w:r>
      <w:r w:rsidRPr="00993936">
        <w:rPr>
          <w:rFonts w:cs="Arial"/>
          <w:szCs w:val="22"/>
          <w:lang w:val="es-ES"/>
        </w:rPr>
        <w:t xml:space="preserve"> de limpieza, desinfección y desratización, practicado por un equipo con autorización legal para esta finalidad. El plan</w:t>
      </w:r>
      <w:r w:rsidRPr="00993936">
        <w:rPr>
          <w:rFonts w:cs="Arial"/>
          <w:vanish/>
          <w:szCs w:val="22"/>
          <w:lang w:val="es-ES"/>
        </w:rPr>
        <w:t>&lt;A[plan|plano]&gt;</w:t>
      </w:r>
      <w:r w:rsidRPr="00993936">
        <w:rPr>
          <w:rFonts w:cs="Arial"/>
          <w:szCs w:val="22"/>
          <w:lang w:val="es-ES"/>
        </w:rPr>
        <w:t xml:space="preserve"> contendrá, al menos, la información siguiente: identificación del equipo de trabajo, trabajos y su frecuencia, material y productos que se utilizarán y método de aplicación. Los cebos tienen que estar señalizados y numerados debidamente, y tiene que existir un plano de señalización. </w:t>
      </w:r>
      <w:r w:rsidRPr="00993936">
        <w:rPr>
          <w:rFonts w:cs="Arial"/>
          <w:szCs w:val="22"/>
          <w:lang w:val="es-ES"/>
        </w:rPr>
        <w:tab/>
      </w:r>
    </w:p>
    <w:p w:rsidR="00503A41" w:rsidRPr="00993936" w:rsidRDefault="00503A41" w:rsidP="000452B8">
      <w:pPr>
        <w:pStyle w:val="Sangradetextonormal"/>
        <w:ind w:left="0"/>
        <w:jc w:val="both"/>
        <w:rPr>
          <w:rFonts w:cs="Arial"/>
          <w:szCs w:val="22"/>
          <w:lang w:val="es-ES"/>
        </w:rPr>
      </w:pPr>
      <w:r w:rsidRPr="00993936">
        <w:rPr>
          <w:rFonts w:cs="Arial"/>
          <w:szCs w:val="22"/>
          <w:lang w:val="es-ES"/>
        </w:rPr>
        <w:t>15.1.3 Evitar agujeros y ventanas e instalar elementos que impidan la entrada de insectos, pájaros y otros animales en las instalaciones.</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15.1.4 Las instalaciones, los equipos y las herramientas estarán en buen estado de conservación mediante un adecuado plan</w:t>
      </w:r>
      <w:r w:rsidRPr="00993936">
        <w:rPr>
          <w:rFonts w:cs="Arial"/>
          <w:vanish/>
          <w:szCs w:val="22"/>
          <w:lang w:val="es-ES"/>
        </w:rPr>
        <w:t>&lt;A[plan|plano]&gt;</w:t>
      </w:r>
      <w:r w:rsidRPr="00993936">
        <w:rPr>
          <w:rFonts w:cs="Arial"/>
          <w:szCs w:val="22"/>
          <w:lang w:val="es-ES"/>
        </w:rPr>
        <w:t xml:space="preserve"> de mantenimiento. </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15.1.5 La persona operadora tiene que tomar las medidas necesarias para evitar el contacto de los productos hortícolas y de las superficies con sustancias químicas, aguas no potables u objetos extraños.</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15.1.6  Los recipientes de evacuación de residuos serán exclusivamente para esta finalidad y se limpiarán periódicamente, de acuerdo con el plan</w:t>
      </w:r>
      <w:r w:rsidRPr="00993936">
        <w:rPr>
          <w:rFonts w:cs="Arial"/>
          <w:vanish/>
          <w:szCs w:val="22"/>
          <w:lang w:val="es-ES"/>
        </w:rPr>
        <w:t>&lt;A[plan|plano]&gt;</w:t>
      </w:r>
      <w:r w:rsidRPr="00993936">
        <w:rPr>
          <w:rFonts w:cs="Arial"/>
          <w:szCs w:val="22"/>
          <w:lang w:val="es-ES"/>
        </w:rPr>
        <w:t xml:space="preserve"> de limpieza establecido.</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15.1.7 La persona operadora tiene que disponer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mantenimiento de las instalaciones, de los equipos y de las herramientas, a fin de que en todo momento estén en buen estado de conservación.</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15.1.8 Proceder a la desinfección total de la central como mínimo una vez al año.</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 xml:space="preserve">15.2 </w:t>
      </w:r>
      <w:r w:rsidRPr="00993936">
        <w:rPr>
          <w:rFonts w:cs="Arial"/>
          <w:i/>
          <w:szCs w:val="22"/>
          <w:lang w:val="es-ES"/>
        </w:rPr>
        <w:t>Prohibiciones</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15.2.1</w:t>
      </w:r>
      <w:r w:rsidRPr="00993936">
        <w:rPr>
          <w:rFonts w:cs="Arial"/>
          <w:b/>
          <w:szCs w:val="22"/>
          <w:lang w:val="es-ES"/>
        </w:rPr>
        <w:t xml:space="preserve"> </w:t>
      </w:r>
      <w:r w:rsidRPr="00993936">
        <w:rPr>
          <w:rFonts w:cs="Arial"/>
          <w:szCs w:val="22"/>
          <w:lang w:val="es-ES"/>
        </w:rPr>
        <w:t>Utilizar carretillas</w:t>
      </w:r>
      <w:r w:rsidRPr="00993936">
        <w:rPr>
          <w:rFonts w:cs="Arial"/>
          <w:vanish/>
          <w:szCs w:val="22"/>
          <w:lang w:val="es-ES"/>
        </w:rPr>
        <w:t>&lt;A[carretillas|carretones]&gt;</w:t>
      </w:r>
      <w:r w:rsidRPr="00993936">
        <w:rPr>
          <w:rFonts w:cs="Arial"/>
          <w:szCs w:val="22"/>
          <w:lang w:val="es-ES"/>
        </w:rPr>
        <w:t xml:space="preserve"> elevadoras de gasóleo dentro de la central.</w:t>
      </w:r>
    </w:p>
    <w:p w:rsidR="00503A41" w:rsidRPr="00993936" w:rsidRDefault="00503A41" w:rsidP="000452B8">
      <w:pPr>
        <w:pStyle w:val="Ttulo2"/>
        <w:rPr>
          <w:rFonts w:ascii="Arial" w:hAnsi="Arial" w:cs="Arial"/>
          <w:b/>
          <w:color w:val="auto"/>
          <w:szCs w:val="22"/>
          <w:lang w:val="es-ES"/>
        </w:rPr>
      </w:pPr>
    </w:p>
    <w:p w:rsidR="00503A41" w:rsidRPr="00993936" w:rsidRDefault="00503A41" w:rsidP="000452B8">
      <w:pPr>
        <w:pStyle w:val="Ttulo2"/>
        <w:rPr>
          <w:rFonts w:ascii="Arial" w:hAnsi="Arial" w:cs="Arial"/>
          <w:color w:val="auto"/>
          <w:sz w:val="22"/>
          <w:szCs w:val="22"/>
          <w:lang w:val="es-ES"/>
        </w:rPr>
      </w:pPr>
      <w:r w:rsidRPr="00993936">
        <w:rPr>
          <w:rFonts w:ascii="Arial" w:hAnsi="Arial" w:cs="Arial"/>
          <w:color w:val="auto"/>
          <w:sz w:val="22"/>
          <w:szCs w:val="22"/>
          <w:lang w:val="es-ES"/>
        </w:rPr>
        <w:t>Artículo 16</w:t>
      </w:r>
    </w:p>
    <w:p w:rsidR="00503A41" w:rsidRPr="00993936" w:rsidRDefault="00503A41" w:rsidP="000452B8">
      <w:pPr>
        <w:jc w:val="both"/>
        <w:outlineLvl w:val="0"/>
        <w:rPr>
          <w:rFonts w:ascii="Arial" w:hAnsi="Arial" w:cs="Arial"/>
          <w:b/>
          <w:snapToGrid w:val="0"/>
          <w:lang w:val="es-ES"/>
        </w:rPr>
      </w:pPr>
      <w:r w:rsidRPr="00993936">
        <w:rPr>
          <w:rFonts w:ascii="Arial" w:hAnsi="Arial" w:cs="Arial"/>
          <w:b/>
          <w:snapToGrid w:val="0"/>
          <w:lang w:val="es-ES"/>
        </w:rPr>
        <w:t xml:space="preserve">Equipos de tratamientos </w:t>
      </w:r>
    </w:p>
    <w:p w:rsidR="00503A41" w:rsidRPr="00993936" w:rsidRDefault="00503A41" w:rsidP="000452B8">
      <w:pPr>
        <w:jc w:val="both"/>
        <w:rPr>
          <w:rFonts w:ascii="Arial" w:hAnsi="Arial" w:cs="Arial"/>
          <w:snapToGrid w:val="0"/>
          <w:lang w:val="es-ES"/>
        </w:rPr>
      </w:pPr>
      <w:r w:rsidRPr="00993936">
        <w:rPr>
          <w:rFonts w:ascii="Arial" w:hAnsi="Arial" w:cs="Arial"/>
          <w:snapToGrid w:val="0"/>
          <w:lang w:val="es-ES"/>
        </w:rPr>
        <w:t xml:space="preserve">16.1 </w:t>
      </w:r>
      <w:r w:rsidRPr="00993936">
        <w:rPr>
          <w:rFonts w:ascii="Arial" w:hAnsi="Arial" w:cs="Arial"/>
          <w:i/>
          <w:snapToGrid w:val="0"/>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16.1.1 La maquinaria utilizada para los tratamientos fitosanitarios, abonos</w:t>
      </w:r>
      <w:r w:rsidRPr="00993936">
        <w:rPr>
          <w:rFonts w:ascii="Arial" w:hAnsi="Arial" w:cs="Arial"/>
          <w:vanish/>
          <w:lang w:val="es-ES"/>
        </w:rPr>
        <w:t>&lt;A[abonos|adobos]&gt;</w:t>
      </w:r>
      <w:r w:rsidRPr="00993936">
        <w:rPr>
          <w:rFonts w:ascii="Arial" w:hAnsi="Arial" w:cs="Arial"/>
          <w:lang w:val="es-ES"/>
        </w:rPr>
        <w:t xml:space="preserve"> foliares y otros similares tiene que estar en buen estado de funcionamiento y someterse a una revisión y calibrado periódico. La persona operadora tiene que realizar una revisión y uno calibrado cada año validado por el/la técnico/a responsable de producción integrada, y además una vez cada cuatro años tiene que ser inspeccionada por un centro oficial o reconocido, de conformidad con las disposiciones vigentes en la materia. La inspección se efectuará de conformidad </w:t>
      </w:r>
      <w:r w:rsidRPr="00993936">
        <w:rPr>
          <w:rFonts w:ascii="Arial" w:hAnsi="Arial" w:cs="Arial"/>
          <w:snapToGrid w:val="0"/>
          <w:lang w:val="es-ES"/>
        </w:rPr>
        <w:t>con las normas de inspección de pulverizadores EN 13790/1 y 2, de seguridad UNE-EN-907 y de protección medioambiental UNO-EN 12761/1,2 y 3</w:t>
      </w:r>
      <w:r w:rsidRPr="00993936">
        <w:rPr>
          <w:rFonts w:ascii="Arial" w:hAnsi="Arial" w:cs="Arial"/>
          <w:lang w:val="es-ES"/>
        </w:rPr>
        <w:t>.</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En caso de contratar servicios externos, la persona productora les exigirá estar al corriente de las inspecciones y los calibrados estipulados a la legislación vigente de aplicación.</w:t>
      </w:r>
    </w:p>
    <w:p w:rsidR="00503A41" w:rsidRPr="00993936" w:rsidRDefault="00503A41" w:rsidP="000452B8">
      <w:pPr>
        <w:jc w:val="both"/>
        <w:rPr>
          <w:rFonts w:ascii="Arial" w:hAnsi="Arial" w:cs="Arial"/>
          <w:snapToGrid w:val="0"/>
          <w:lang w:val="es-ES"/>
        </w:rPr>
      </w:pPr>
      <w:r w:rsidRPr="00993936">
        <w:rPr>
          <w:rFonts w:ascii="Arial" w:hAnsi="Arial" w:cs="Arial"/>
          <w:snapToGrid w:val="0"/>
          <w:lang w:val="es-ES"/>
        </w:rPr>
        <w:t>16.1.2 Antes de cada tratamiento hará falta regular la máquina en función del estado de la plantación o cultivo y de la plaga o enfermedad a combatir.</w:t>
      </w:r>
    </w:p>
    <w:p w:rsidR="00503A41" w:rsidRPr="00993936" w:rsidRDefault="00503A41" w:rsidP="000452B8">
      <w:pPr>
        <w:jc w:val="both"/>
        <w:rPr>
          <w:rFonts w:ascii="Arial" w:hAnsi="Arial" w:cs="Arial"/>
          <w:snapToGrid w:val="0"/>
          <w:lang w:val="es-ES"/>
        </w:rPr>
      </w:pPr>
      <w:r w:rsidRPr="00993936">
        <w:rPr>
          <w:rFonts w:ascii="Arial" w:hAnsi="Arial" w:cs="Arial"/>
          <w:snapToGrid w:val="0"/>
          <w:lang w:val="es-ES"/>
        </w:rPr>
        <w:t>16.1.3 Utilizar maquinaria correctamente adaptada a la aplicación de herbicidas a la línea de la plantación.</w:t>
      </w:r>
    </w:p>
    <w:p w:rsidR="00503A41" w:rsidRPr="00993936" w:rsidRDefault="00503A41" w:rsidP="000452B8">
      <w:pPr>
        <w:jc w:val="both"/>
        <w:rPr>
          <w:rFonts w:ascii="Arial" w:hAnsi="Arial" w:cs="Arial"/>
          <w:snapToGrid w:val="0"/>
          <w:lang w:val="es-ES"/>
        </w:rPr>
      </w:pPr>
      <w:r w:rsidRPr="00993936">
        <w:rPr>
          <w:rFonts w:ascii="Arial" w:hAnsi="Arial" w:cs="Arial"/>
          <w:snapToGrid w:val="0"/>
          <w:lang w:val="es-ES"/>
        </w:rPr>
        <w:t>16.1.4 Realizar revisiones periódicas de los elementos de protección y seguridad de los equipos de tratamiento, procurando un buen mantenimiento y uno calibrado esmerado.</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16.1.5  Cuando los equipos no se utilicen se tienen que mantener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no deben contener productos fitosanitarios.</w:t>
      </w:r>
    </w:p>
    <w:p w:rsidR="00503A41" w:rsidRPr="00993936" w:rsidRDefault="00503A41" w:rsidP="000452B8">
      <w:pPr>
        <w:jc w:val="both"/>
        <w:outlineLvl w:val="0"/>
        <w:rPr>
          <w:rFonts w:ascii="Arial" w:hAnsi="Arial" w:cs="Arial"/>
          <w:snapToGrid w:val="0"/>
          <w:lang w:val="es-ES"/>
        </w:rPr>
      </w:pPr>
      <w:r w:rsidRPr="00993936">
        <w:rPr>
          <w:rFonts w:ascii="Arial" w:hAnsi="Arial" w:cs="Arial"/>
          <w:snapToGrid w:val="0"/>
          <w:lang w:val="es-ES"/>
        </w:rPr>
        <w:t xml:space="preserve">16.2 </w:t>
      </w:r>
      <w:r w:rsidRPr="00993936">
        <w:rPr>
          <w:rFonts w:ascii="Arial" w:hAnsi="Arial" w:cs="Arial"/>
          <w:i/>
          <w:snapToGrid w:val="0"/>
          <w:lang w:val="es-ES"/>
        </w:rPr>
        <w:t>Prohibiciones</w:t>
      </w:r>
    </w:p>
    <w:p w:rsidR="00503A41" w:rsidRPr="00993936" w:rsidRDefault="00503A41" w:rsidP="000452B8">
      <w:pPr>
        <w:jc w:val="both"/>
        <w:outlineLvl w:val="0"/>
        <w:rPr>
          <w:rFonts w:ascii="Arial" w:hAnsi="Arial" w:cs="Arial"/>
          <w:snapToGrid w:val="0"/>
          <w:lang w:val="es-ES"/>
        </w:rPr>
      </w:pPr>
      <w:r w:rsidRPr="00993936">
        <w:rPr>
          <w:rFonts w:ascii="Arial" w:hAnsi="Arial" w:cs="Arial"/>
          <w:snapToGrid w:val="0"/>
          <w:lang w:val="es-ES"/>
        </w:rPr>
        <w:t>16.2.1 La utilización de equipos de tratamiento que tengan carencias graves en elementos de seguridad, de protección y de funcionamiento.</w:t>
      </w:r>
    </w:p>
    <w:p w:rsidR="00503A41" w:rsidRPr="00993936" w:rsidRDefault="00503A41" w:rsidP="000452B8">
      <w:pPr>
        <w:jc w:val="both"/>
        <w:outlineLvl w:val="0"/>
        <w:rPr>
          <w:rFonts w:ascii="Arial" w:hAnsi="Arial" w:cs="Arial"/>
          <w:snapToGrid w:val="0"/>
          <w:lang w:val="es-ES"/>
        </w:rPr>
      </w:pPr>
      <w:r w:rsidRPr="00993936">
        <w:rPr>
          <w:rFonts w:ascii="Arial" w:hAnsi="Arial" w:cs="Arial"/>
          <w:snapToGrid w:val="0"/>
          <w:lang w:val="es-ES"/>
        </w:rPr>
        <w:t xml:space="preserve">16.3 </w:t>
      </w:r>
      <w:r w:rsidRPr="00993936">
        <w:rPr>
          <w:rFonts w:ascii="Arial" w:hAnsi="Arial" w:cs="Arial"/>
          <w:i/>
          <w:snapToGrid w:val="0"/>
          <w:lang w:val="es-ES"/>
        </w:rPr>
        <w:t>Recomendaciones</w:t>
      </w:r>
    </w:p>
    <w:p w:rsidR="00503A41" w:rsidRPr="00993936" w:rsidRDefault="00503A41" w:rsidP="000452B8">
      <w:pPr>
        <w:jc w:val="both"/>
        <w:rPr>
          <w:rFonts w:ascii="Arial" w:hAnsi="Arial" w:cs="Arial"/>
          <w:snapToGrid w:val="0"/>
          <w:lang w:val="es-ES"/>
        </w:rPr>
      </w:pPr>
      <w:r w:rsidRPr="00993936">
        <w:rPr>
          <w:rFonts w:ascii="Arial" w:hAnsi="Arial" w:cs="Arial"/>
          <w:snapToGrid w:val="0"/>
          <w:lang w:val="es-ES"/>
        </w:rPr>
        <w:t>16.3.1 Los pulverizadores nuevos corresponderán a modelos certificados del Programa de Control de Características de Maquinaria de Tratamientos del Departamento de Agricultura, Ganadería, Pesca y Alimentación, o por otros programas oficiales de control.</w:t>
      </w:r>
    </w:p>
    <w:p w:rsidR="00503A41" w:rsidRPr="00993936" w:rsidRDefault="00503A41" w:rsidP="000452B8">
      <w:pPr>
        <w:jc w:val="both"/>
        <w:rPr>
          <w:rFonts w:ascii="Arial" w:hAnsi="Arial" w:cs="Arial"/>
          <w:lang w:val="es-ES"/>
        </w:rPr>
      </w:pP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17 </w:t>
      </w: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Equipos de protección</w:t>
      </w:r>
    </w:p>
    <w:p w:rsidR="00503A41" w:rsidRPr="00993936" w:rsidRDefault="00503A41" w:rsidP="000452B8">
      <w:pPr>
        <w:pStyle w:val="NormalWeb"/>
        <w:spacing w:after="0"/>
        <w:jc w:val="both"/>
        <w:rPr>
          <w:rFonts w:ascii="Arial" w:hAnsi="Arial" w:cs="Arial"/>
          <w:b/>
          <w:i/>
          <w:sz w:val="22"/>
          <w:szCs w:val="22"/>
          <w:lang w:val="es-ES"/>
        </w:rPr>
      </w:pPr>
      <w:r w:rsidRPr="00993936">
        <w:rPr>
          <w:rFonts w:ascii="Arial" w:hAnsi="Arial" w:cs="Arial"/>
          <w:i/>
          <w:sz w:val="22"/>
          <w:szCs w:val="22"/>
          <w:lang w:val="es-ES"/>
        </w:rPr>
        <w:t>17.1 Obligaciones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17.1.1  La persona que manipule los productos fitosanitarios tiene que utilizar un equipo adecuado para la protección personal, de acuerdo con la legislación vigente de aplicación y las indicaciones de las etiquetas de cada producto.</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17.1.2  La ropa y el equipo se almacenarán de manera que no entren en contacto con los productos fitosanitarios.</w:t>
      </w:r>
    </w:p>
    <w:p w:rsidR="00503A41" w:rsidRPr="00993936" w:rsidRDefault="00503A41" w:rsidP="000452B8">
      <w:pPr>
        <w:jc w:val="both"/>
        <w:rPr>
          <w:rFonts w:ascii="Arial" w:hAnsi="Arial" w:cs="Arial"/>
          <w:lang w:val="es-ES"/>
        </w:rPr>
      </w:pPr>
    </w:p>
    <w:p w:rsidR="00503A41" w:rsidRPr="00993936" w:rsidRDefault="00503A41" w:rsidP="000452B8">
      <w:pPr>
        <w:pStyle w:val="Sangradetextonormal"/>
        <w:ind w:left="0"/>
        <w:rPr>
          <w:rFonts w:cs="Arial"/>
          <w:szCs w:val="22"/>
          <w:lang w:val="es-ES"/>
        </w:rPr>
      </w:pPr>
      <w:r w:rsidRPr="00993936">
        <w:rPr>
          <w:rFonts w:cs="Arial"/>
          <w:szCs w:val="22"/>
          <w:lang w:val="es-ES"/>
        </w:rPr>
        <w:t>Artículo 18</w:t>
      </w:r>
    </w:p>
    <w:p w:rsidR="00503A41" w:rsidRPr="00993936" w:rsidRDefault="00503A41" w:rsidP="000452B8">
      <w:pPr>
        <w:pStyle w:val="Sangradetextonormal"/>
        <w:ind w:left="0"/>
        <w:rPr>
          <w:rFonts w:cs="Arial"/>
          <w:b/>
          <w:szCs w:val="22"/>
          <w:lang w:val="es-ES"/>
        </w:rPr>
      </w:pPr>
      <w:r w:rsidRPr="00993936">
        <w:rPr>
          <w:rFonts w:cs="Arial"/>
          <w:b/>
          <w:szCs w:val="22"/>
          <w:lang w:val="es-ES"/>
        </w:rPr>
        <w:t xml:space="preserve">Personal </w:t>
      </w:r>
    </w:p>
    <w:p w:rsidR="00503A41" w:rsidRPr="00993936" w:rsidRDefault="00503A41" w:rsidP="000452B8">
      <w:pPr>
        <w:pStyle w:val="Sangradetextonormal"/>
        <w:ind w:left="0"/>
        <w:jc w:val="both"/>
        <w:rPr>
          <w:rFonts w:cs="Arial"/>
          <w:i/>
          <w:szCs w:val="22"/>
          <w:lang w:val="es-ES"/>
        </w:rPr>
      </w:pPr>
      <w:r w:rsidRPr="00993936">
        <w:rPr>
          <w:rFonts w:cs="Arial"/>
          <w:i/>
          <w:szCs w:val="22"/>
          <w:lang w:val="es-ES"/>
        </w:rPr>
        <w:t>18.1 Obligaciones</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18.1.1 Dar instrucciones a los trabajadores y las trabajadoras que, en caso de sufrir enfermedades de transmisión alimenticia, o estar afectados, entre otras patologías, de heridas infectadas, infecciones cutáneas o diarreas, tienen que informar a la dirección.</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18.1.2 Documentar los procedimientos de actuación En caso de accidentes o de emergencias de forma que sean comprensibles para las personas afectadas.</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18.1.3  Disponer de botiquines de primeros auxilios accesibles para los trabajadores.</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18.1.4  Fomentar la formación del personal del almacén en materia de buenas prácticas de higiene y seguridad alimentarias, y conservar un registro de las actividades formativas que ha impartido la persona operadora o una entidad externa autorizada.</w:t>
      </w:r>
    </w:p>
    <w:p w:rsidR="00503A41" w:rsidRPr="00993936" w:rsidRDefault="00503A41" w:rsidP="000452B8">
      <w:pPr>
        <w:pStyle w:val="Sangradetextonormal"/>
        <w:ind w:left="0"/>
        <w:jc w:val="both"/>
        <w:rPr>
          <w:rFonts w:cs="Arial"/>
          <w:szCs w:val="22"/>
          <w:lang w:val="es-ES"/>
        </w:rPr>
      </w:pPr>
      <w:r w:rsidRPr="00993936">
        <w:rPr>
          <w:rFonts w:cs="Arial"/>
          <w:szCs w:val="22"/>
          <w:lang w:val="es-ES"/>
        </w:rPr>
        <w:t>18.1.5  Elaborar instrucciones para sus trabajadores en las cuales se consideren los aspectos higiénicos que se tienen que respetar en cada puesto de trabajo, y de acuerdo con las características de la explotación.</w:t>
      </w:r>
    </w:p>
    <w:p w:rsidR="00503A41" w:rsidRPr="00993936" w:rsidRDefault="00503A41" w:rsidP="000452B8">
      <w:pPr>
        <w:pStyle w:val="Sangradetextonormal"/>
        <w:ind w:left="0"/>
        <w:jc w:val="both"/>
        <w:rPr>
          <w:rFonts w:cs="Arial"/>
          <w:szCs w:val="22"/>
          <w:lang w:val="es-ES"/>
        </w:rPr>
      </w:pPr>
      <w:r w:rsidRPr="00993936">
        <w:rPr>
          <w:rFonts w:cs="Arial"/>
          <w:szCs w:val="22"/>
          <w:lang w:val="es-ES"/>
        </w:rPr>
        <w:lastRenderedPageBreak/>
        <w:t>18.1.6 Disponer de un Plan</w:t>
      </w:r>
      <w:r w:rsidRPr="00993936">
        <w:rPr>
          <w:rFonts w:cs="Arial"/>
          <w:vanish/>
          <w:szCs w:val="22"/>
          <w:lang w:val="es-ES"/>
        </w:rPr>
        <w:t>&lt;A[Plan|Plano]&gt;</w:t>
      </w:r>
      <w:r w:rsidRPr="00993936">
        <w:rPr>
          <w:rFonts w:cs="Arial"/>
          <w:szCs w:val="22"/>
          <w:lang w:val="es-ES"/>
        </w:rPr>
        <w:t xml:space="preserve"> de prevención de riesgos laborales y un Plan</w:t>
      </w:r>
      <w:r w:rsidRPr="00993936">
        <w:rPr>
          <w:rFonts w:cs="Arial"/>
          <w:vanish/>
          <w:szCs w:val="22"/>
          <w:lang w:val="es-ES"/>
        </w:rPr>
        <w:t>&lt;A[Plan|Plano]&gt;</w:t>
      </w:r>
      <w:r w:rsidRPr="00993936">
        <w:rPr>
          <w:rFonts w:cs="Arial"/>
          <w:szCs w:val="22"/>
          <w:lang w:val="es-ES"/>
        </w:rPr>
        <w:t xml:space="preserve"> de APPCC (Análisis de Peligros y Puntos Críticos) implantado y aprobado, si procede</w:t>
      </w:r>
      <w:r w:rsidRPr="00993936">
        <w:rPr>
          <w:rFonts w:cs="Arial"/>
          <w:vanish/>
          <w:szCs w:val="22"/>
          <w:lang w:val="es-ES"/>
        </w:rPr>
        <w:t>&lt;A[pega|ocurre]&gt;</w:t>
      </w:r>
      <w:r w:rsidRPr="00993936">
        <w:rPr>
          <w:rFonts w:cs="Arial"/>
          <w:szCs w:val="22"/>
          <w:lang w:val="es-ES"/>
        </w:rPr>
        <w:t xml:space="preserve">, por la autoridad competente. </w:t>
      </w:r>
    </w:p>
    <w:p w:rsidR="00503A41" w:rsidRPr="00993936" w:rsidRDefault="00503A41" w:rsidP="000452B8">
      <w:pPr>
        <w:pStyle w:val="NormalWeb"/>
        <w:spacing w:after="0"/>
        <w:jc w:val="both"/>
        <w:rPr>
          <w:rFonts w:ascii="Arial" w:hAnsi="Arial" w:cs="Arial"/>
          <w:sz w:val="22"/>
          <w:szCs w:val="22"/>
          <w:lang w:val="es-ES"/>
        </w:rPr>
      </w:pP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19 </w:t>
      </w: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Transporte del producto vegetal y contenedores</w:t>
      </w:r>
    </w:p>
    <w:p w:rsidR="00503A41" w:rsidRPr="00993936" w:rsidRDefault="00503A41" w:rsidP="000452B8">
      <w:pPr>
        <w:pStyle w:val="NormalWeb"/>
        <w:spacing w:after="0"/>
        <w:jc w:val="both"/>
        <w:rPr>
          <w:rFonts w:ascii="Arial" w:hAnsi="Arial" w:cs="Arial"/>
          <w:i/>
          <w:sz w:val="22"/>
          <w:szCs w:val="22"/>
          <w:lang w:val="es-ES"/>
        </w:rPr>
      </w:pPr>
      <w:r w:rsidRPr="00993936">
        <w:rPr>
          <w:rFonts w:ascii="Arial" w:hAnsi="Arial" w:cs="Arial"/>
          <w:i/>
          <w:sz w:val="22"/>
          <w:szCs w:val="22"/>
          <w:lang w:val="es-ES"/>
        </w:rPr>
        <w:t>19.1 Obligaciones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19.1.1  Los receptáculos y contenedores de los vehículos utilizados para transportar los productos vegetales deben estar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en condiciones adecuadas de mantenimiento, para protegerlos de la contaminación. Su forma y la composición tiene que permitir una limpieza y desinfección adecuadas.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19.1.2  Cuando se utilizan los receptáculos de vehículos o contenedores para transportar una carga diferente de productos vegetales o de productos alimentarios, se tiene que proceder a una limpieza eficaz entre las cargas para evitar el riesgo de contaminación.</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19.1.3 Conservar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los cajones y recipientes utilizados para transportar y recolectar los productos vegetales y desinfectarlos cuando haga falta.</w:t>
      </w:r>
    </w:p>
    <w:p w:rsidR="00503A41" w:rsidRPr="00993936" w:rsidRDefault="00503A41" w:rsidP="000452B8">
      <w:pPr>
        <w:pStyle w:val="NormalWeb"/>
        <w:spacing w:after="0"/>
        <w:jc w:val="both"/>
        <w:rPr>
          <w:rFonts w:ascii="Arial" w:hAnsi="Arial" w:cs="Arial"/>
          <w:sz w:val="22"/>
          <w:szCs w:val="22"/>
          <w:lang w:val="es-ES"/>
        </w:rPr>
      </w:pPr>
    </w:p>
    <w:p w:rsidR="00503A41" w:rsidRPr="00993936" w:rsidRDefault="00503A41" w:rsidP="000452B8">
      <w:pPr>
        <w:pStyle w:val="Ttulo2"/>
        <w:rPr>
          <w:rFonts w:ascii="Arial" w:hAnsi="Arial" w:cs="Arial"/>
          <w:color w:val="auto"/>
          <w:sz w:val="22"/>
          <w:szCs w:val="22"/>
          <w:lang w:val="es-ES"/>
        </w:rPr>
      </w:pPr>
      <w:r w:rsidRPr="00993936">
        <w:rPr>
          <w:rFonts w:ascii="Arial" w:hAnsi="Arial" w:cs="Arial"/>
          <w:color w:val="auto"/>
          <w:sz w:val="22"/>
          <w:szCs w:val="22"/>
          <w:lang w:val="es-ES"/>
        </w:rPr>
        <w:t>Artículo 20</w:t>
      </w:r>
    </w:p>
    <w:p w:rsidR="00503A41" w:rsidRPr="00993936" w:rsidRDefault="00503A41" w:rsidP="000452B8">
      <w:pPr>
        <w:pStyle w:val="Ttulo2"/>
        <w:rPr>
          <w:rFonts w:ascii="Arial" w:hAnsi="Arial" w:cs="Arial"/>
          <w:b/>
          <w:color w:val="auto"/>
          <w:sz w:val="22"/>
          <w:szCs w:val="22"/>
          <w:lang w:val="es-ES"/>
        </w:rPr>
      </w:pPr>
      <w:r w:rsidRPr="00993936">
        <w:rPr>
          <w:rFonts w:ascii="Arial" w:hAnsi="Arial" w:cs="Arial"/>
          <w:b/>
          <w:color w:val="auto"/>
          <w:sz w:val="22"/>
          <w:szCs w:val="22"/>
          <w:lang w:val="es-ES"/>
        </w:rPr>
        <w:t>Almacenamiento de productos fitosanitarios y fertilizantes</w:t>
      </w:r>
    </w:p>
    <w:p w:rsidR="00503A41" w:rsidRPr="00993936" w:rsidRDefault="00503A41" w:rsidP="000452B8">
      <w:pPr>
        <w:jc w:val="both"/>
        <w:rPr>
          <w:rFonts w:ascii="Arial" w:hAnsi="Arial" w:cs="Arial"/>
          <w:i/>
          <w:lang w:val="es-ES"/>
        </w:rPr>
      </w:pPr>
      <w:r w:rsidRPr="00993936">
        <w:rPr>
          <w:rFonts w:ascii="Arial" w:hAnsi="Arial" w:cs="Arial"/>
          <w:lang w:val="es-ES"/>
        </w:rPr>
        <w:t xml:space="preserve">20.1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20.1.1 </w:t>
      </w:r>
      <w:r w:rsidRPr="00993936">
        <w:rPr>
          <w:rFonts w:ascii="Arial" w:hAnsi="Arial" w:cs="Arial"/>
          <w:i/>
          <w:u w:val="single"/>
          <w:lang w:val="es-ES"/>
        </w:rPr>
        <w:t>Condiciones de almacenamiento</w:t>
      </w:r>
      <w:r w:rsidRPr="00993936">
        <w:rPr>
          <w:rFonts w:ascii="Arial" w:hAnsi="Arial" w:cs="Arial"/>
          <w:i/>
          <w:lang w:val="es-ES"/>
        </w:rPr>
        <w:t>:</w:t>
      </w:r>
    </w:p>
    <w:p w:rsidR="00503A41" w:rsidRPr="00993936" w:rsidRDefault="00503A41" w:rsidP="000452B8">
      <w:pPr>
        <w:jc w:val="both"/>
        <w:rPr>
          <w:rFonts w:ascii="Arial" w:hAnsi="Arial" w:cs="Arial"/>
          <w:lang w:val="es-ES"/>
        </w:rPr>
      </w:pPr>
      <w:r w:rsidRPr="00993936">
        <w:rPr>
          <w:rFonts w:ascii="Arial" w:hAnsi="Arial" w:cs="Arial"/>
          <w:lang w:val="es-ES"/>
        </w:rPr>
        <w:t>20.1.1.1 Los productos fitosanitarios y fertilizantes deberán almacenarse en un lugar</w:t>
      </w:r>
      <w:r w:rsidRPr="00993936">
        <w:rPr>
          <w:rFonts w:ascii="Arial" w:hAnsi="Arial" w:cs="Arial"/>
          <w:vanish/>
          <w:lang w:val="es-ES"/>
        </w:rPr>
        <w:t>&lt;A[lugar|sitio]&gt;</w:t>
      </w:r>
      <w:r w:rsidRPr="00993936">
        <w:rPr>
          <w:rFonts w:ascii="Arial" w:hAnsi="Arial" w:cs="Arial"/>
          <w:lang w:val="es-ES"/>
        </w:rPr>
        <w:t xml:space="preserve"> cerrado, separados del material vegetal y de los productos frescos, para evitar cualquier riesgo de contaminación. </w:t>
      </w:r>
    </w:p>
    <w:p w:rsidR="00503A41" w:rsidRPr="00993936" w:rsidRDefault="00503A41" w:rsidP="000452B8">
      <w:pPr>
        <w:jc w:val="both"/>
        <w:rPr>
          <w:rFonts w:ascii="Arial" w:hAnsi="Arial" w:cs="Arial"/>
          <w:lang w:val="es-ES"/>
        </w:rPr>
      </w:pPr>
      <w:r w:rsidRPr="00993936">
        <w:rPr>
          <w:rFonts w:ascii="Arial" w:hAnsi="Arial" w:cs="Arial"/>
          <w:lang w:val="es-ES"/>
        </w:rPr>
        <w:t>20.1.1.2 El almacén dispondrá de llave</w:t>
      </w:r>
      <w:r w:rsidRPr="00993936">
        <w:rPr>
          <w:rFonts w:ascii="Arial" w:hAnsi="Arial" w:cs="Arial"/>
          <w:vanish/>
          <w:lang w:val="es-ES"/>
        </w:rPr>
        <w:t>&lt;A[clave|clavo|llave]&gt;</w:t>
      </w:r>
      <w:r w:rsidRPr="00993936">
        <w:rPr>
          <w:rFonts w:ascii="Arial" w:hAnsi="Arial" w:cs="Arial"/>
          <w:lang w:val="es-ES"/>
        </w:rPr>
        <w:t xml:space="preserve"> y ventilación permanente y suficiente.</w:t>
      </w:r>
    </w:p>
    <w:p w:rsidR="00503A41" w:rsidRPr="00993936" w:rsidRDefault="00503A41" w:rsidP="000452B8">
      <w:pPr>
        <w:jc w:val="both"/>
        <w:rPr>
          <w:rFonts w:ascii="Arial" w:hAnsi="Arial" w:cs="Arial"/>
          <w:lang w:val="es-ES"/>
        </w:rPr>
      </w:pPr>
      <w:r w:rsidRPr="00993936">
        <w:rPr>
          <w:rFonts w:ascii="Arial" w:hAnsi="Arial" w:cs="Arial"/>
          <w:lang w:val="es-ES"/>
        </w:rPr>
        <w:t>20.1.1.3  El almacenamiento tiene que disponer de medios para retener posibles derrames</w:t>
      </w:r>
      <w:r w:rsidRPr="00993936">
        <w:rPr>
          <w:rFonts w:ascii="Arial" w:hAnsi="Arial" w:cs="Arial"/>
          <w:vanish/>
          <w:lang w:val="es-ES"/>
        </w:rPr>
        <w:t>&lt;A[derrames|vertidos]&gt;</w:t>
      </w:r>
      <w:r w:rsidRPr="00993936">
        <w:rPr>
          <w:rFonts w:ascii="Arial" w:hAnsi="Arial" w:cs="Arial"/>
          <w:lang w:val="es-ES"/>
        </w:rPr>
        <w:t xml:space="preserve"> accidentales.</w:t>
      </w:r>
    </w:p>
    <w:p w:rsidR="00503A41" w:rsidRPr="00993936" w:rsidRDefault="00503A41" w:rsidP="000452B8">
      <w:pPr>
        <w:jc w:val="both"/>
        <w:rPr>
          <w:rFonts w:ascii="Arial" w:hAnsi="Arial" w:cs="Arial"/>
          <w:lang w:val="es-ES"/>
        </w:rPr>
      </w:pPr>
      <w:r w:rsidRPr="00993936">
        <w:rPr>
          <w:rFonts w:ascii="Arial" w:hAnsi="Arial" w:cs="Arial"/>
          <w:lang w:val="es-ES"/>
        </w:rPr>
        <w:t>20.1.1.4 El lugar</w:t>
      </w:r>
      <w:r w:rsidRPr="00993936">
        <w:rPr>
          <w:rFonts w:ascii="Arial" w:hAnsi="Arial" w:cs="Arial"/>
          <w:vanish/>
          <w:lang w:val="es-ES"/>
        </w:rPr>
        <w:t>&lt;A[lugar|sitio]&gt;</w:t>
      </w:r>
      <w:r w:rsidRPr="00993936">
        <w:rPr>
          <w:rFonts w:ascii="Arial" w:hAnsi="Arial" w:cs="Arial"/>
          <w:lang w:val="es-ES"/>
        </w:rPr>
        <w:t xml:space="preserve"> del almacén tiene que estar debidamente señalizado haciendo una especial insistencia en la prohibición de acceso a personas no autorizadas.</w:t>
      </w:r>
    </w:p>
    <w:p w:rsidR="00503A41" w:rsidRPr="00993936" w:rsidRDefault="00503A41" w:rsidP="000452B8">
      <w:pPr>
        <w:jc w:val="both"/>
        <w:rPr>
          <w:rFonts w:ascii="Arial" w:hAnsi="Arial" w:cs="Arial"/>
          <w:b/>
          <w:lang w:val="es-ES"/>
        </w:rPr>
      </w:pPr>
      <w:r w:rsidRPr="00993936">
        <w:rPr>
          <w:rFonts w:ascii="Arial" w:hAnsi="Arial" w:cs="Arial"/>
          <w:lang w:val="es-ES"/>
        </w:rPr>
        <w:t>20.1.1.5 En el almacenamiento de productos fitosanitarios se deben tener en cuenta además el resto de obligaciones que establece el artículo 40 del RD 1311/2012.</w:t>
      </w:r>
    </w:p>
    <w:p w:rsidR="00503A41" w:rsidRPr="00993936" w:rsidRDefault="00503A41" w:rsidP="000452B8">
      <w:pPr>
        <w:jc w:val="both"/>
        <w:rPr>
          <w:rFonts w:ascii="Arial" w:hAnsi="Arial" w:cs="Arial"/>
          <w:lang w:val="es-ES"/>
        </w:rPr>
      </w:pPr>
      <w:r w:rsidRPr="00993936">
        <w:rPr>
          <w:rFonts w:ascii="Arial" w:hAnsi="Arial" w:cs="Arial"/>
          <w:lang w:val="es-ES"/>
        </w:rPr>
        <w:t xml:space="preserve">20.1.2 </w:t>
      </w:r>
      <w:r w:rsidRPr="00993936">
        <w:rPr>
          <w:rFonts w:ascii="Arial" w:hAnsi="Arial" w:cs="Arial"/>
          <w:i/>
          <w:u w:val="single"/>
          <w:lang w:val="es-ES"/>
        </w:rPr>
        <w:t>Almacenamiento de productos</w:t>
      </w:r>
      <w:r w:rsidRPr="00993936">
        <w:rPr>
          <w:rFonts w:ascii="Arial" w:hAnsi="Arial" w:cs="Arial"/>
          <w:i/>
          <w:lang w:val="es-ES"/>
        </w:rPr>
        <w:t>:</w:t>
      </w:r>
    </w:p>
    <w:p w:rsidR="00503A41" w:rsidRPr="00993936" w:rsidRDefault="00503A41" w:rsidP="000452B8">
      <w:pPr>
        <w:jc w:val="both"/>
        <w:rPr>
          <w:rFonts w:ascii="Arial" w:hAnsi="Arial" w:cs="Arial"/>
          <w:lang w:val="es-ES"/>
        </w:rPr>
      </w:pPr>
      <w:r w:rsidRPr="00993936">
        <w:rPr>
          <w:rFonts w:ascii="Arial" w:hAnsi="Arial" w:cs="Arial"/>
          <w:lang w:val="es-ES"/>
        </w:rPr>
        <w:t>20.1.2.1 Los fitosanitarios tienen que mantenerse dentro de su envase original y las etiquetas tienen que ser perfectamente legibles.</w:t>
      </w:r>
    </w:p>
    <w:p w:rsidR="00503A41" w:rsidRPr="00993936" w:rsidRDefault="00503A41" w:rsidP="000452B8">
      <w:pPr>
        <w:jc w:val="both"/>
        <w:rPr>
          <w:rFonts w:ascii="Arial" w:hAnsi="Arial" w:cs="Arial"/>
          <w:lang w:val="es-ES"/>
        </w:rPr>
      </w:pPr>
      <w:r w:rsidRPr="00993936">
        <w:rPr>
          <w:rFonts w:ascii="Arial" w:hAnsi="Arial" w:cs="Arial"/>
          <w:lang w:val="es-ES"/>
        </w:rPr>
        <w:t>20.1.2.2 Los productos fitosanitarios y fertilizantes deben estar debidamente etiquetados, ordenados y separados físicamente.</w:t>
      </w:r>
    </w:p>
    <w:p w:rsidR="00503A41" w:rsidRPr="00993936" w:rsidRDefault="00503A41" w:rsidP="000452B8">
      <w:pPr>
        <w:jc w:val="both"/>
        <w:rPr>
          <w:rFonts w:ascii="Arial" w:hAnsi="Arial" w:cs="Arial"/>
          <w:lang w:val="es-ES"/>
        </w:rPr>
      </w:pPr>
      <w:r w:rsidRPr="00993936">
        <w:rPr>
          <w:rFonts w:ascii="Arial" w:hAnsi="Arial" w:cs="Arial"/>
          <w:lang w:val="es-ES"/>
        </w:rPr>
        <w:t>20.1.2.3 Los fitosanitarios en polvo deben almacenarse en estantes situados por encima de los líquidos.</w:t>
      </w:r>
    </w:p>
    <w:p w:rsidR="00503A41" w:rsidRPr="00993936" w:rsidRDefault="00503A41" w:rsidP="000452B8">
      <w:pPr>
        <w:jc w:val="both"/>
        <w:rPr>
          <w:rFonts w:ascii="Arial" w:hAnsi="Arial" w:cs="Arial"/>
          <w:lang w:val="es-ES"/>
        </w:rPr>
      </w:pPr>
      <w:r w:rsidRPr="00993936">
        <w:rPr>
          <w:rFonts w:ascii="Arial" w:hAnsi="Arial" w:cs="Arial"/>
          <w:lang w:val="es-ES"/>
        </w:rPr>
        <w:t>20.1.2.4 La conservación de los justificantes de las compras y gastos de los productos fitosanitarios reflejados en el cuaderno de explotación es obligatoria durante tres años.</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20.1.2.5 En caso de existir almacén de productos fitosanitarios y/o fertilizantes en la central hortofrutícola, se aplicarán las obligaciones de la RTS (Reglamentación técnica sanitaria) y las del RD 1311/2012.</w:t>
      </w:r>
    </w:p>
    <w:p w:rsidR="00503A41" w:rsidRPr="00993936" w:rsidRDefault="00503A41" w:rsidP="000452B8">
      <w:pPr>
        <w:pStyle w:val="Ttulo1"/>
        <w:rPr>
          <w:rFonts w:ascii="Arial" w:hAnsi="Arial" w:cs="Arial"/>
          <w:color w:val="auto"/>
          <w:szCs w:val="22"/>
        </w:rPr>
      </w:pPr>
      <w:r w:rsidRPr="00993936">
        <w:rPr>
          <w:rFonts w:ascii="Arial" w:hAnsi="Arial" w:cs="Arial"/>
          <w:color w:val="auto"/>
          <w:szCs w:val="22"/>
        </w:rPr>
        <w:t>20.2</w:t>
      </w:r>
      <w:r w:rsidRPr="00993936">
        <w:rPr>
          <w:rFonts w:ascii="Arial" w:hAnsi="Arial" w:cs="Arial"/>
          <w:i/>
          <w:color w:val="auto"/>
          <w:szCs w:val="22"/>
        </w:rPr>
        <w:t xml:space="preserve"> </w:t>
      </w:r>
      <w:r w:rsidRPr="00993936">
        <w:rPr>
          <w:rFonts w:ascii="Arial" w:hAnsi="Arial" w:cs="Arial"/>
          <w:i/>
          <w:color w:val="auto"/>
          <w:sz w:val="22"/>
          <w:szCs w:val="22"/>
        </w:rPr>
        <w:t>Recomendaciones</w:t>
      </w:r>
    </w:p>
    <w:p w:rsidR="00503A41" w:rsidRPr="00993936" w:rsidRDefault="00503A41" w:rsidP="000452B8">
      <w:pPr>
        <w:jc w:val="both"/>
        <w:rPr>
          <w:rFonts w:ascii="Arial" w:hAnsi="Arial" w:cs="Arial"/>
          <w:lang w:val="es-ES"/>
        </w:rPr>
      </w:pPr>
      <w:r w:rsidRPr="00993936">
        <w:rPr>
          <w:rFonts w:ascii="Arial" w:hAnsi="Arial" w:cs="Arial"/>
          <w:lang w:val="es-ES"/>
        </w:rPr>
        <w:t>20.2.1 No almacenar los productos fitosanitarios ni fertilizantes en contacto con el suelo.</w:t>
      </w:r>
    </w:p>
    <w:p w:rsidR="00503A41" w:rsidRPr="00993936" w:rsidRDefault="00503A41" w:rsidP="000452B8">
      <w:pPr>
        <w:jc w:val="both"/>
        <w:rPr>
          <w:rFonts w:ascii="Arial" w:hAnsi="Arial" w:cs="Arial"/>
          <w:lang w:val="es-ES"/>
        </w:rPr>
      </w:pPr>
      <w:r w:rsidRPr="00993936">
        <w:rPr>
          <w:rFonts w:ascii="Arial" w:hAnsi="Arial" w:cs="Arial"/>
          <w:lang w:val="es-ES"/>
        </w:rPr>
        <w:t>20.2.2 Utilizar estantes de almacenamiento de materiales no absorbentes.</w:t>
      </w:r>
    </w:p>
    <w:p w:rsidR="00503A41" w:rsidRPr="00993936" w:rsidRDefault="00503A41" w:rsidP="000452B8">
      <w:pPr>
        <w:jc w:val="both"/>
        <w:rPr>
          <w:rFonts w:ascii="Arial" w:hAnsi="Arial" w:cs="Arial"/>
          <w:lang w:val="es-ES"/>
        </w:rPr>
      </w:pPr>
      <w:r w:rsidRPr="00993936">
        <w:rPr>
          <w:rFonts w:ascii="Arial" w:hAnsi="Arial" w:cs="Arial"/>
          <w:lang w:val="es-ES"/>
        </w:rPr>
        <w:t>20.2.3 No almacenar productos innecesariamente.</w:t>
      </w:r>
    </w:p>
    <w:p w:rsidR="00503A41" w:rsidRPr="00993936" w:rsidRDefault="00503A41" w:rsidP="000452B8">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21</w:t>
      </w: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Señalización de seguridad</w:t>
      </w:r>
    </w:p>
    <w:p w:rsidR="00503A41" w:rsidRPr="00993936" w:rsidRDefault="00503A41" w:rsidP="000452B8">
      <w:pPr>
        <w:pStyle w:val="NormalWeb"/>
        <w:spacing w:after="0"/>
        <w:jc w:val="both"/>
        <w:rPr>
          <w:rFonts w:ascii="Arial" w:hAnsi="Arial" w:cs="Arial"/>
          <w:i/>
          <w:sz w:val="22"/>
          <w:szCs w:val="22"/>
          <w:lang w:val="es-ES"/>
        </w:rPr>
      </w:pPr>
      <w:r w:rsidRPr="00993936">
        <w:rPr>
          <w:rFonts w:ascii="Arial" w:hAnsi="Arial" w:cs="Arial"/>
          <w:i/>
          <w:sz w:val="22"/>
          <w:szCs w:val="22"/>
          <w:lang w:val="es-ES"/>
        </w:rPr>
        <w:t>21.1 Obligaciones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21.1.1  Utilizar las señalizaciones que prevé la legislación vigente.</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21.1.2  En el almacén de productos fitosanitarios deben estar presentes, de manera accesible y legible, las normas generales de actuación en caso de intoxicación y derrame</w:t>
      </w:r>
      <w:r w:rsidRPr="00993936">
        <w:rPr>
          <w:rFonts w:ascii="Arial" w:hAnsi="Arial" w:cs="Arial"/>
          <w:vanish/>
          <w:sz w:val="22"/>
          <w:szCs w:val="22"/>
          <w:lang w:val="es-ES"/>
        </w:rPr>
        <w:t>&lt;A[derrame|vertido]&gt;</w:t>
      </w:r>
      <w:r w:rsidRPr="00993936">
        <w:rPr>
          <w:rFonts w:ascii="Arial" w:hAnsi="Arial" w:cs="Arial"/>
          <w:sz w:val="22"/>
          <w:szCs w:val="22"/>
          <w:lang w:val="es-ES"/>
        </w:rPr>
        <w:t xml:space="preserve"> accidental, y es obligatorio disponer de los números de teléfono del Instituto de Toxicología y de otros organismos que puedan ser competentes en esta materia.</w:t>
      </w:r>
    </w:p>
    <w:p w:rsidR="00503A41" w:rsidRPr="00993936" w:rsidRDefault="00503A41" w:rsidP="000452B8">
      <w:pPr>
        <w:jc w:val="both"/>
        <w:rPr>
          <w:rFonts w:ascii="Arial" w:hAnsi="Arial" w:cs="Arial"/>
          <w:lang w:val="es-ES"/>
        </w:rPr>
      </w:pPr>
    </w:p>
    <w:p w:rsidR="00503A41" w:rsidRPr="00993936" w:rsidRDefault="00503A41" w:rsidP="00441998">
      <w:pPr>
        <w:numPr>
          <w:ilvl w:val="0"/>
          <w:numId w:val="16"/>
        </w:numPr>
        <w:spacing w:after="0" w:line="240" w:lineRule="auto"/>
        <w:jc w:val="both"/>
        <w:rPr>
          <w:rFonts w:ascii="Arial" w:hAnsi="Arial" w:cs="Arial"/>
          <w:b/>
          <w:lang w:val="es-ES"/>
        </w:rPr>
      </w:pPr>
      <w:r w:rsidRPr="00993936">
        <w:rPr>
          <w:rFonts w:ascii="Arial" w:hAnsi="Arial" w:cs="Arial"/>
          <w:b/>
          <w:lang w:val="es-ES"/>
        </w:rPr>
        <w:t xml:space="preserve">CENTRAL E INDUSTRIA DE TRANSFORMACIÓN Y/O DE ELABORACIÓN Y/O DE CONSERVACIÓN </w:t>
      </w:r>
    </w:p>
    <w:p w:rsidR="00503A41" w:rsidRPr="00993936" w:rsidRDefault="00C8459C" w:rsidP="000452B8">
      <w:pPr>
        <w:jc w:val="both"/>
        <w:rPr>
          <w:rFonts w:ascii="Arial" w:hAnsi="Arial" w:cs="Arial"/>
          <w:lang w:val="es-ES"/>
        </w:rPr>
      </w:pPr>
      <w:r>
        <w:rPr>
          <w:rFonts w:ascii="Arial" w:hAnsi="Arial" w:cs="Arial"/>
          <w:lang w:val="es-ES" w:eastAsia="ca-ES"/>
        </w:rPr>
        <w:pict>
          <v:line id="_x0000_s1028" style="position:absolute;left:0;text-align:left;flip:y;z-index:251848704" from="0,-187.7pt" to="0,-178.7pt"/>
        </w:pic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Artículo 22</w:t>
      </w: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Central e industria de transformación y/o de elaboración y conservación</w:t>
      </w:r>
    </w:p>
    <w:p w:rsidR="00503A41" w:rsidRPr="00993936" w:rsidRDefault="00503A41" w:rsidP="000452B8">
      <w:pPr>
        <w:pStyle w:val="NormalWeb"/>
        <w:spacing w:after="0"/>
        <w:jc w:val="both"/>
        <w:rPr>
          <w:rFonts w:ascii="Arial" w:hAnsi="Arial" w:cs="Arial"/>
          <w:i/>
          <w:sz w:val="22"/>
          <w:szCs w:val="22"/>
          <w:lang w:val="es-ES"/>
        </w:rPr>
      </w:pPr>
      <w:r w:rsidRPr="00993936">
        <w:rPr>
          <w:rFonts w:ascii="Arial" w:hAnsi="Arial" w:cs="Arial"/>
          <w:i/>
          <w:sz w:val="22"/>
          <w:szCs w:val="22"/>
          <w:lang w:val="es-ES"/>
        </w:rPr>
        <w:t>22.1 Obligaciones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22.1.1 Estar inscrita en el Registro sanitario de industrias y productos alimentarios de Cataluña.</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22.1.2  Disponer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prevención de riesgos laborales y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análisis de peligros y puntos de control críticos (APPCC) implantados y aprobados por</w:t>
      </w:r>
      <w:r w:rsidRPr="00993936">
        <w:rPr>
          <w:rFonts w:ascii="Arial" w:hAnsi="Arial" w:cs="Arial"/>
          <w:vanish/>
          <w:sz w:val="22"/>
          <w:szCs w:val="22"/>
          <w:lang w:val="es-ES"/>
        </w:rPr>
        <w:t>&lt;A[para|por]&gt;</w:t>
      </w:r>
      <w:r w:rsidRPr="00993936">
        <w:rPr>
          <w:rFonts w:ascii="Arial" w:hAnsi="Arial" w:cs="Arial"/>
          <w:sz w:val="22"/>
          <w:szCs w:val="22"/>
          <w:lang w:val="es-ES"/>
        </w:rPr>
        <w:t xml:space="preserve"> los organismos competentes en razón de la materia.</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22.1.3  En caso de haber almacenamiento de productos fitosanitarios y/o fertilizantes en la central o en la industria de transformación, se aplicarán las obligaciones que establecen los artículos 7 y 20 de esta Norma. </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22.1.4  Aplicar métodos o técnicas que permitan mantener intacta la calidad del producto, conservar la integridad y asegurar la respiración, si favorece la conservación de las características organolépticas.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22.1.5 Todas las máquinas, los recipientes, los elementos de transporte, los envases y los lugares</w:t>
      </w:r>
      <w:r w:rsidRPr="00993936">
        <w:rPr>
          <w:rFonts w:ascii="Arial" w:hAnsi="Arial" w:cs="Arial"/>
          <w:vanish/>
          <w:sz w:val="22"/>
          <w:szCs w:val="22"/>
          <w:lang w:val="es-ES"/>
        </w:rPr>
        <w:t>&lt;A[lugares|sitios]&gt;</w:t>
      </w:r>
      <w:r w:rsidRPr="00993936">
        <w:rPr>
          <w:rFonts w:ascii="Arial" w:hAnsi="Arial" w:cs="Arial"/>
          <w:sz w:val="22"/>
          <w:szCs w:val="22"/>
          <w:lang w:val="es-ES"/>
        </w:rPr>
        <w:t xml:space="preserve"> de almacenamiento deben reunir las condiciones siguientes: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22.1.5.1 No transmitir a los productos con los cuales entren en contacto sustancias tóxicas o que puedan contaminar, ni originar reacciones químicas perjudiciales.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22.1.5.2 No alterar las características de composición y los caracteres organolépticos de los productos.</w:t>
      </w:r>
    </w:p>
    <w:p w:rsidR="00503A41" w:rsidRPr="00993936" w:rsidRDefault="00503A41" w:rsidP="000452B8">
      <w:pPr>
        <w:pStyle w:val="Textoindependiente"/>
        <w:outlineLvl w:val="0"/>
        <w:rPr>
          <w:rFonts w:cs="Arial"/>
          <w:szCs w:val="22"/>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Artículo 23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Transporte y recepción en la central hortofrutícola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23.1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23.1.1 Los vehículos que lleguen a las instalaciones deben estar en condiciones de higiene adecuadas y cargados exclusivamente con productos vegetales.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23.1.2  Habrá una separación física, definida y señalizada, de los productos vegetales que proceden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23.1.3 Realizar una inspección visual de las partidas de productos vegetales cuando lleguen a la recepción, establecer un sistema de verificación de la calidad de los productos que entran. Habrá un registro de incidencias En caso de incumplimiento. Las partidas que no cumplan los requisitos anteriores se dejarán de considerar como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23.1.4  Antes de cargar todos los elementos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plagas</w:t>
      </w:r>
      <w:r w:rsidRPr="00993936">
        <w:rPr>
          <w:rFonts w:ascii="Arial" w:hAnsi="Arial" w:cs="Arial"/>
          <w:vanish/>
          <w:lang w:val="es-ES"/>
        </w:rPr>
        <w:t>&lt;A[pestes|pudores]&gt;</w:t>
      </w:r>
      <w:r w:rsidRPr="00993936">
        <w:rPr>
          <w:rFonts w:ascii="Arial" w:hAnsi="Arial" w:cs="Arial"/>
          <w:lang w:val="es-ES"/>
        </w:rPr>
        <w:t xml:space="preserve"> y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23.2.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23.2.1 Almacenar productos químicos y desperdicios en la zona de recepción de productos vegetales.</w:t>
      </w:r>
    </w:p>
    <w:p w:rsidR="00503A41" w:rsidRPr="00993936" w:rsidRDefault="00503A41" w:rsidP="000452B8">
      <w:pPr>
        <w:pStyle w:val="Textoindependiente"/>
        <w:outlineLvl w:val="0"/>
        <w:rPr>
          <w:rFonts w:cs="Arial"/>
          <w:szCs w:val="22"/>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Tratamientos de postrecolección y lavado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24.1.1 No son permitidos los tratamientos con productos de síntesis en postcosecha.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24.1.2 La duración de conservación de los frutos estará en función del sistema de conservación utilizado y de la evolución de los frutos.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24.1.3 La manipulación de los productos se tendrá que hacer por series completas separadas físicamente o en el tiempo de operaciones de productos no obtenidos bajo normas de producción integrada, con la finalidad de evitar superposiciones y contaminaciones y asegurar la trazabilidad.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24.1.4 Cuando</w:t>
      </w:r>
      <w:r w:rsidRPr="00993936">
        <w:rPr>
          <w:rFonts w:ascii="Arial" w:hAnsi="Arial" w:cs="Arial"/>
          <w:vanish/>
          <w:lang w:val="es-ES"/>
        </w:rPr>
        <w:t>&lt;A[Cuando|Cuándo]&gt;</w:t>
      </w:r>
      <w:r w:rsidRPr="00993936">
        <w:rPr>
          <w:rFonts w:ascii="Arial" w:hAnsi="Arial" w:cs="Arial"/>
          <w:lang w:val="es-ES"/>
        </w:rPr>
        <w:t xml:space="preserve"> se recircule el agua del lavado de los productos, se tiene que filtrar y tratar de manera que no comprometa la salubridad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24.2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24.2.1 Utilizar para el lavado de los productos vegetales aguas no potables, de acuerdo con la normativa vigente, y para el resto de usos las que superen los parámetros establecidos a la normativa de aplicación.</w:t>
      </w:r>
    </w:p>
    <w:p w:rsidR="00503A41" w:rsidRPr="00993936" w:rsidRDefault="00503A41" w:rsidP="000452B8">
      <w:pPr>
        <w:jc w:val="both"/>
        <w:outlineLvl w:val="0"/>
        <w:rPr>
          <w:rFonts w:ascii="Arial" w:hAnsi="Arial" w:cs="Arial"/>
          <w:lang w:val="es-ES"/>
        </w:rPr>
      </w:pPr>
    </w:p>
    <w:p w:rsidR="00503A41" w:rsidRPr="00993936" w:rsidRDefault="00503A41" w:rsidP="000452B8">
      <w:pPr>
        <w:pStyle w:val="NormalWeb"/>
        <w:spacing w:after="0"/>
        <w:jc w:val="both"/>
        <w:rPr>
          <w:rFonts w:ascii="Arial" w:hAnsi="Arial" w:cs="Arial"/>
          <w:sz w:val="22"/>
          <w:szCs w:val="22"/>
          <w:lang w:val="es-ES"/>
        </w:rPr>
      </w:pP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Artículo 25</w:t>
      </w: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Proceso de transformación y elaboración del producto vegetal</w:t>
      </w:r>
    </w:p>
    <w:p w:rsidR="00503A41" w:rsidRPr="00993936" w:rsidRDefault="00503A41" w:rsidP="000452B8">
      <w:pPr>
        <w:pStyle w:val="NormalWeb"/>
        <w:spacing w:after="0"/>
        <w:jc w:val="both"/>
        <w:rPr>
          <w:rFonts w:ascii="Arial" w:hAnsi="Arial" w:cs="Arial"/>
          <w:i/>
          <w:sz w:val="22"/>
          <w:szCs w:val="22"/>
          <w:lang w:val="es-ES"/>
        </w:rPr>
      </w:pPr>
      <w:r w:rsidRPr="00993936">
        <w:rPr>
          <w:rFonts w:ascii="Arial" w:hAnsi="Arial" w:cs="Arial"/>
          <w:i/>
          <w:sz w:val="22"/>
          <w:szCs w:val="22"/>
          <w:lang w:val="es-ES"/>
        </w:rPr>
        <w:t>25.1 Obligaciones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25.1.1  Todos los productos vegetales que se utilicen para la elaboración del producto transformado tendrán que cumplir las condiciones establecidas por esta norma.</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25.1.2  Los tratamientos que se realicen y los coadyuvantes que se utilicen deben estar autorizados e incluidos en los anexos de esta norma.</w:t>
      </w:r>
    </w:p>
    <w:p w:rsidR="00503A41" w:rsidRPr="00993936" w:rsidRDefault="00503A41" w:rsidP="000452B8">
      <w:pPr>
        <w:jc w:val="both"/>
        <w:outlineLvl w:val="0"/>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Conservación</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26.1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26.1.1 Utilizar métodos de conservación que mantengan una alta calidad interna y externa.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26.1.2  Controlar periódicamente la calidad y, específicamente, antes de la comercialización, teniendo en cuenta aspectos de muestreo y tipo de determinación analítica y límites de residuos que garanticen la seguridad del consumidor.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26.1.3 La duración de conservación de los frutos estará en función del sistema de conservación utilizado y de la evolución de los frutos.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26.1.4 En las cámaras frigoríficas los palets guardarán una distancia entre ellos y entre las paredes para una ventilación correcta.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26.1.5 Conservar los registro de cada cámara frigorífica donde se almacenen los productos, relativos a temperatura y entradas y salidas de fruta.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Almacenamiento de los productos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27.1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27.1.1 Almacenar los productos con procedimientos que garanticen la mejor calidad posible.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27.1.2 Eliminar todos los frutos que presenten síntomas de presencia de patógenos causantes de podredumbres.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27.1.3 Realizar la limpieza, la desinfección y la lucha contra los parásitos de los lugares</w:t>
      </w:r>
      <w:r w:rsidRPr="00993936">
        <w:rPr>
          <w:rFonts w:ascii="Arial" w:hAnsi="Arial" w:cs="Arial"/>
          <w:vanish/>
          <w:lang w:val="es-ES"/>
        </w:rPr>
        <w:t>&lt;A[lugares|sitios]&gt;</w:t>
      </w:r>
      <w:r w:rsidRPr="00993936">
        <w:rPr>
          <w:rFonts w:ascii="Arial" w:hAnsi="Arial" w:cs="Arial"/>
          <w:lang w:val="es-ES"/>
        </w:rPr>
        <w:t xml:space="preserve"> del almacenamiento de manera que no se produzca ningún tipo de contaminación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27.1.4 Establecer en los almacenes una separación clara y definida de los productos procedentes de cultivos de producción integrada de otros productos convencionales, indicando en un croquis su situación dentro de cada almacén. Las cajas y los palets tendrán que estar identificados debidamente y colocados de forma que se pueda ver claramente la identificación de manera que permita un recuento fácil.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27.1.5 Mantener limpios</w:t>
      </w:r>
      <w:r w:rsidRPr="00993936">
        <w:rPr>
          <w:rFonts w:ascii="Arial" w:hAnsi="Arial" w:cs="Arial"/>
          <w:vanish/>
          <w:lang w:val="es-ES"/>
        </w:rPr>
        <w:t>&lt;A[limpios|netos]&gt;</w:t>
      </w:r>
      <w:r w:rsidRPr="00993936">
        <w:rPr>
          <w:rFonts w:ascii="Arial" w:hAnsi="Arial" w:cs="Arial"/>
          <w:lang w:val="es-ES"/>
        </w:rPr>
        <w:t xml:space="preserve"> los recipientes y las cajas utilizados en el almacenamiento de los productos vegetales. Como norma general, todos los elementos que puedan afectar a la condición del producto se limpiarán cuando se inicie la utilización y se desinfectarán cuando sea conveniente, en cualquier caso al menos una vez</w:t>
      </w:r>
      <w:r w:rsidRPr="00993936">
        <w:rPr>
          <w:rFonts w:ascii="Arial" w:hAnsi="Arial" w:cs="Arial"/>
          <w:vanish/>
          <w:lang w:val="es-ES"/>
        </w:rPr>
        <w:t>&lt;A[vez|golpe]&gt;</w:t>
      </w:r>
      <w:r w:rsidRPr="00993936">
        <w:rPr>
          <w:rFonts w:ascii="Arial" w:hAnsi="Arial" w:cs="Arial"/>
          <w:lang w:val="es-ES"/>
        </w:rPr>
        <w:t xml:space="preserve"> el año.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27.2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27.2.1 La utilización de productos químicos de síntesis para la lucha de plagas y parásitos del almacén, salvo los casos que estén justificados técnicamente donde se utilizarán sustancias activas autorizadas en producción integrada.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27.2.2 Almacenar productos químicos o desperdicios en la zona de almacenamiento de los productos envasados.</w:t>
      </w:r>
    </w:p>
    <w:p w:rsidR="00503A41" w:rsidRPr="00993936" w:rsidRDefault="00503A41" w:rsidP="000452B8">
      <w:pPr>
        <w:jc w:val="both"/>
        <w:rPr>
          <w:rFonts w:ascii="Arial" w:hAnsi="Arial" w:cs="Arial"/>
          <w:lang w:val="es-ES"/>
        </w:rPr>
      </w:pPr>
    </w:p>
    <w:p w:rsidR="00503A41" w:rsidRPr="00993936" w:rsidRDefault="00503A41" w:rsidP="000452B8">
      <w:pPr>
        <w:pStyle w:val="Ttulo3"/>
        <w:rPr>
          <w:rFonts w:ascii="Arial" w:hAnsi="Arial" w:cs="Arial"/>
          <w:b/>
          <w:color w:val="auto"/>
          <w:szCs w:val="22"/>
          <w:lang w:val="es-ES"/>
        </w:rPr>
      </w:pPr>
      <w:r w:rsidRPr="00993936">
        <w:rPr>
          <w:rFonts w:ascii="Arial" w:hAnsi="Arial" w:cs="Arial"/>
          <w:color w:val="auto"/>
          <w:szCs w:val="22"/>
          <w:lang w:val="es-ES"/>
        </w:rPr>
        <w:t>Artículo 28</w:t>
      </w:r>
    </w:p>
    <w:p w:rsidR="00503A41" w:rsidRPr="00993936" w:rsidRDefault="00503A41" w:rsidP="000452B8">
      <w:pPr>
        <w:pStyle w:val="Ttulo3"/>
        <w:rPr>
          <w:rFonts w:ascii="Arial" w:hAnsi="Arial" w:cs="Arial"/>
          <w:b/>
          <w:color w:val="auto"/>
          <w:sz w:val="22"/>
          <w:szCs w:val="22"/>
          <w:lang w:val="es-ES"/>
        </w:rPr>
      </w:pPr>
      <w:r w:rsidRPr="00993936">
        <w:rPr>
          <w:rFonts w:ascii="Arial" w:hAnsi="Arial" w:cs="Arial"/>
          <w:b/>
          <w:color w:val="auto"/>
          <w:sz w:val="22"/>
          <w:szCs w:val="22"/>
          <w:lang w:val="es-ES"/>
        </w:rPr>
        <w:t>Envasado</w:t>
      </w:r>
    </w:p>
    <w:p w:rsidR="00503A41" w:rsidRPr="00993936" w:rsidRDefault="00503A41" w:rsidP="000452B8">
      <w:pPr>
        <w:pStyle w:val="Encabezado"/>
        <w:tabs>
          <w:tab w:val="clear" w:pos="4252"/>
          <w:tab w:val="clear" w:pos="8504"/>
        </w:tabs>
        <w:rPr>
          <w:rFonts w:ascii="Arial" w:hAnsi="Arial" w:cs="Arial"/>
          <w:lang w:val="es-ES"/>
        </w:rPr>
      </w:pPr>
      <w:r w:rsidRPr="00993936">
        <w:rPr>
          <w:rFonts w:ascii="Arial" w:hAnsi="Arial" w:cs="Arial"/>
          <w:lang w:val="es-ES"/>
        </w:rPr>
        <w:t xml:space="preserve">28.1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28.1.1 Todas las máquinas, recipientes, elementos de transporte, envases provisionales y lugares</w:t>
      </w:r>
      <w:r w:rsidRPr="00993936">
        <w:rPr>
          <w:rFonts w:ascii="Arial" w:hAnsi="Arial" w:cs="Arial"/>
          <w:vanish/>
          <w:lang w:val="es-ES"/>
        </w:rPr>
        <w:t>&lt;A[lugares|sitios]&gt;</w:t>
      </w:r>
      <w:r w:rsidRPr="00993936">
        <w:rPr>
          <w:rFonts w:ascii="Arial" w:hAnsi="Arial" w:cs="Arial"/>
          <w:lang w:val="es-ES"/>
        </w:rPr>
        <w:t xml:space="preserve"> de almacenamiento deben reunir las condiciones siguientes:</w:t>
      </w:r>
    </w:p>
    <w:p w:rsidR="00503A41" w:rsidRPr="00993936" w:rsidRDefault="00503A41" w:rsidP="009D1A2D">
      <w:pPr>
        <w:numPr>
          <w:ilvl w:val="0"/>
          <w:numId w:val="161"/>
        </w:numPr>
        <w:spacing w:after="0" w:line="240" w:lineRule="auto"/>
        <w:jc w:val="both"/>
        <w:rPr>
          <w:rFonts w:ascii="Arial" w:hAnsi="Arial" w:cs="Arial"/>
          <w:lang w:val="es-ES"/>
        </w:rPr>
      </w:pPr>
      <w:r w:rsidRPr="00993936">
        <w:rPr>
          <w:rFonts w:ascii="Arial" w:hAnsi="Arial" w:cs="Arial"/>
          <w:lang w:val="es-ES"/>
        </w:rPr>
        <w:t>No transmitir a los productos con que entren en contacto sustancias tóxicas o que puedan contaminar ni originar reacciones químicas perjudiciales.</w:t>
      </w:r>
    </w:p>
    <w:p w:rsidR="00503A41" w:rsidRPr="00993936" w:rsidRDefault="00503A41" w:rsidP="009D1A2D">
      <w:pPr>
        <w:numPr>
          <w:ilvl w:val="0"/>
          <w:numId w:val="161"/>
        </w:numPr>
        <w:spacing w:after="0" w:line="240" w:lineRule="auto"/>
        <w:ind w:left="1048"/>
        <w:jc w:val="both"/>
        <w:rPr>
          <w:rFonts w:ascii="Arial" w:hAnsi="Arial" w:cs="Arial"/>
          <w:lang w:val="es-ES"/>
        </w:rPr>
      </w:pPr>
      <w:r w:rsidRPr="00993936">
        <w:rPr>
          <w:rFonts w:ascii="Arial" w:hAnsi="Arial" w:cs="Arial"/>
          <w:lang w:val="es-ES"/>
        </w:rPr>
        <w:t>No alterar las características de composición y las organolépticas de los productos.</w:t>
      </w:r>
    </w:p>
    <w:p w:rsidR="00503A41" w:rsidRPr="00993936" w:rsidRDefault="00503A41" w:rsidP="009D1A2D">
      <w:pPr>
        <w:numPr>
          <w:ilvl w:val="0"/>
          <w:numId w:val="161"/>
        </w:numPr>
        <w:spacing w:after="0" w:line="240" w:lineRule="auto"/>
        <w:ind w:left="1048"/>
        <w:jc w:val="both"/>
        <w:rPr>
          <w:rFonts w:ascii="Arial" w:hAnsi="Arial" w:cs="Arial"/>
          <w:lang w:val="es-ES"/>
        </w:rPr>
      </w:pPr>
      <w:r w:rsidRPr="00993936">
        <w:rPr>
          <w:rFonts w:ascii="Arial" w:hAnsi="Arial" w:cs="Arial"/>
          <w:lang w:val="es-ES"/>
        </w:rPr>
        <w:t>Realizar la limpieza con métodos y productos autorizados, de igual manera que el control de los roedores y de los insectos.</w:t>
      </w:r>
    </w:p>
    <w:p w:rsidR="00503A41" w:rsidRPr="00993936" w:rsidRDefault="00503A41" w:rsidP="000452B8">
      <w:pPr>
        <w:jc w:val="both"/>
        <w:rPr>
          <w:rFonts w:ascii="Arial" w:hAnsi="Arial" w:cs="Arial"/>
          <w:lang w:val="es-ES"/>
        </w:rPr>
      </w:pPr>
      <w:r w:rsidRPr="00993936">
        <w:rPr>
          <w:rFonts w:ascii="Arial" w:hAnsi="Arial" w:cs="Arial"/>
          <w:lang w:val="es-ES"/>
        </w:rPr>
        <w:t>28.1.2 Las operaciones de envasado se tendrán que efectuar por</w:t>
      </w:r>
      <w:r w:rsidRPr="00993936">
        <w:rPr>
          <w:rFonts w:ascii="Arial" w:hAnsi="Arial" w:cs="Arial"/>
          <w:vanish/>
          <w:lang w:val="es-ES"/>
        </w:rPr>
        <w:t>&lt;A[por|para]&gt;</w:t>
      </w:r>
      <w:r w:rsidRPr="00993936">
        <w:rPr>
          <w:rFonts w:ascii="Arial" w:hAnsi="Arial" w:cs="Arial"/>
          <w:lang w:val="es-ES"/>
        </w:rPr>
        <w:t xml:space="preserve"> series completas, separadas físicamente o en el tiempo, de operaciones de productos convencionales.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28.1.3 Los operadores que realizan envasado de productos certificados de producción integrada y convencionales deben avisar al órgano o la entidad de control. La comunicación se tiene que hacer a principios de campaña, con antelación suficiente y antes del inicio de las operaciones de los productos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28.1.4 Los manipuladores de alimentos tendrán que tener una formación específica al respecto o justificar que están en proceso de obtenerla de acuerdo con lo que </w:t>
      </w:r>
      <w:r w:rsidRPr="00993936">
        <w:rPr>
          <w:rFonts w:ascii="Arial" w:hAnsi="Arial" w:cs="Arial"/>
          <w:lang w:val="es-ES"/>
        </w:rPr>
        <w:lastRenderedPageBreak/>
        <w:t>establece la normativa legal vigente, por lo cual se establecen las normas relativas a los manipuladores de alimentos.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28.1.5  La zona de almacenamiento de envases y materiales de envasado estará claramente diferenciada de la zona de manipulación.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28.2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28.2.1 La mezcla de variedades durante el proceso de lavado, selección y calibrado.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28.2.2 La utilización de aguas no potables para el lavado de los frutos.</w:t>
      </w:r>
    </w:p>
    <w:p w:rsidR="00503A41" w:rsidRPr="00993936" w:rsidRDefault="00503A41" w:rsidP="000452B8">
      <w:pPr>
        <w:jc w:val="both"/>
        <w:rPr>
          <w:rFonts w:ascii="Arial" w:hAnsi="Arial" w:cs="Arial"/>
          <w:lang w:val="es-ES"/>
        </w:rPr>
      </w:pPr>
    </w:p>
    <w:p w:rsidR="00503A41" w:rsidRPr="00993936" w:rsidRDefault="00503A41" w:rsidP="001D205D">
      <w:pPr>
        <w:pStyle w:val="Sinespaciado"/>
        <w:jc w:val="both"/>
        <w:rPr>
          <w:rFonts w:ascii="Arial" w:hAnsi="Arial" w:cs="Arial"/>
        </w:rPr>
      </w:pPr>
      <w:r w:rsidRPr="00993936">
        <w:rPr>
          <w:rFonts w:ascii="Arial" w:hAnsi="Arial" w:cs="Arial"/>
        </w:rPr>
        <w:t>Artículo 29</w:t>
      </w:r>
    </w:p>
    <w:p w:rsidR="00503A41" w:rsidRPr="00993936" w:rsidRDefault="00503A41" w:rsidP="001D205D">
      <w:pPr>
        <w:pStyle w:val="Sinespaciado"/>
        <w:jc w:val="both"/>
        <w:rPr>
          <w:rFonts w:ascii="Arial" w:hAnsi="Arial" w:cs="Arial"/>
          <w:b/>
        </w:rPr>
      </w:pPr>
      <w:r w:rsidRPr="00993936">
        <w:rPr>
          <w:rFonts w:ascii="Arial" w:hAnsi="Arial" w:cs="Arial"/>
          <w:b/>
        </w:rPr>
        <w:t>Expedición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29.1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29.11 Antes de cargar, todos los elementos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plagas</w:t>
      </w:r>
      <w:r w:rsidRPr="00993936">
        <w:rPr>
          <w:rFonts w:ascii="Arial" w:hAnsi="Arial" w:cs="Arial"/>
          <w:vanish/>
          <w:lang w:val="es-ES"/>
        </w:rPr>
        <w:t>&lt;A[pestes|pudores]&gt;</w:t>
      </w:r>
      <w:r w:rsidRPr="00993936">
        <w:rPr>
          <w:rFonts w:ascii="Arial" w:hAnsi="Arial" w:cs="Arial"/>
          <w:lang w:val="es-ES"/>
        </w:rPr>
        <w:t xml:space="preserve"> y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29.1.2  El producto tiene que ser transportado a la temperatura estipulada por la persona operadora y reflejado en el contrato de transporte.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30</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Cuaderno de conservación/postcosecha</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30.1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30.1.1 El modelo de Cuaderno de conservación es único con respecto al contenido de los datos a registrar, y será aprobado por el Departamento de Agricultura, Ganadería, Pesca y Alimentación.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30.1.2 El técnico responsable de conservación de productos de producción integrada se responsabilizará periódicamente, mediante su firma, de la conformidad de las anotaciones realizadas en el Cuaderno de conservación con respecto al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30.1.3 El Cuaderno de conservación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Formación del personal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 empresa tendrá que fomentar la formación y proporcionar la que sea necesaria al personal implicado en la aplicación de esta norma y el resto de partes afectadas por su actividad. Por otra parte, todos los agentes que participen en producción integrada deben tener una formación específica al respecto.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31.1.1 </w:t>
      </w:r>
      <w:r w:rsidRPr="00993936">
        <w:rPr>
          <w:rFonts w:ascii="Arial" w:hAnsi="Arial" w:cs="Arial"/>
          <w:u w:val="single"/>
          <w:lang w:val="es-ES"/>
        </w:rPr>
        <w:t>Personal de la central hortofrutícola</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 empresa tiene que asegurar la formación del personal de la central hortofrutícola en materia de buenas prácticas de higiene y manipulación, conservando un registro de los cursos impartidos.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31.1.2 </w:t>
      </w:r>
      <w:r w:rsidRPr="00993936">
        <w:rPr>
          <w:rFonts w:ascii="Arial" w:hAnsi="Arial" w:cs="Arial"/>
          <w:u w:val="single"/>
          <w:lang w:val="es-ES"/>
        </w:rPr>
        <w:t>Personal técnico competente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personal técnico competente que participe en producción integrada debe tener una formación universitaria de acuerdo con lo que establece el artículo 11.1 del Decreto 241/2002 y acreditar una formación específica en producción integrada de acuerdo con lo que establece el artículo 24.1 del mencionado Decreto. Esta formación, en Cataluña, se regula por</w:t>
      </w:r>
      <w:r w:rsidRPr="00993936">
        <w:rPr>
          <w:rFonts w:ascii="Arial" w:hAnsi="Arial" w:cs="Arial"/>
          <w:vanish/>
          <w:lang w:val="es-ES"/>
        </w:rPr>
        <w:t>&lt;A[por|para]&gt;</w:t>
      </w:r>
      <w:r w:rsidRPr="00993936">
        <w:rPr>
          <w:rFonts w:ascii="Arial" w:hAnsi="Arial" w:cs="Arial"/>
          <w:lang w:val="es-ES"/>
        </w:rPr>
        <w:t xml:space="preserve">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la cual se establecen y se regulan los cursos de formación en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31.1.3 </w:t>
      </w:r>
      <w:r w:rsidRPr="00993936">
        <w:rPr>
          <w:rFonts w:ascii="Arial" w:hAnsi="Arial" w:cs="Arial"/>
          <w:u w:val="single"/>
          <w:lang w:val="es-ES"/>
        </w:rPr>
        <w:t>Operadores o personas operadoras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Todos los operadores de producción integrada (productores y/o elaboradores) deben tener una formación específica en producción integrada, para</w:t>
      </w:r>
      <w:r w:rsidRPr="00993936">
        <w:rPr>
          <w:rFonts w:ascii="Arial" w:hAnsi="Arial" w:cs="Arial"/>
          <w:vanish/>
          <w:lang w:val="es-ES"/>
        </w:rPr>
        <w:t>&lt;A[por|para]&gt;</w:t>
      </w:r>
      <w:r w:rsidRPr="00993936">
        <w:rPr>
          <w:rFonts w:ascii="Arial" w:hAnsi="Arial" w:cs="Arial"/>
          <w:lang w:val="es-ES"/>
        </w:rPr>
        <w:t xml:space="preserve"> lo cual </w:t>
      </w:r>
      <w:r w:rsidRPr="00993936">
        <w:rPr>
          <w:rFonts w:ascii="Arial" w:hAnsi="Arial" w:cs="Arial"/>
          <w:lang w:val="es-ES"/>
        </w:rPr>
        <w:lastRenderedPageBreak/>
        <w:t>deben acreditar la realización de un curso de producción integrada impartido por la Administración Pública o por alguna entidad reconocida, de acuerdo con lo que establecen el Decreto 241/2002 y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los cuales se establecen y se regulan los cursos de formación en producción integrada.</w:t>
      </w:r>
    </w:p>
    <w:p w:rsidR="00503A41" w:rsidRPr="00993936" w:rsidRDefault="00503A41" w:rsidP="001D205D">
      <w:pPr>
        <w:pStyle w:val="Sinespaciado"/>
        <w:jc w:val="both"/>
        <w:rPr>
          <w:rFonts w:ascii="Arial" w:hAnsi="Arial" w:cs="Arial"/>
        </w:rPr>
      </w:pPr>
      <w:r w:rsidRPr="00993936">
        <w:rPr>
          <w:rFonts w:ascii="Arial" w:hAnsi="Arial" w:cs="Arial"/>
        </w:rPr>
        <w:t xml:space="preserve">31.1.4 </w:t>
      </w:r>
      <w:r w:rsidRPr="00993936">
        <w:rPr>
          <w:rFonts w:ascii="Arial" w:hAnsi="Arial" w:cs="Arial"/>
          <w:u w:val="single"/>
        </w:rPr>
        <w:t>Manipulador de productos fitosanitarios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manipulador de productos fitosanitarios tiene que estar en posesión del carné de manipulador de nivel básico que lo capacita para desarrollar su actividad, salvo las excepciones que prevé la legislación vigente.</w:t>
      </w:r>
    </w:p>
    <w:p w:rsidR="00503A41" w:rsidRPr="00993936" w:rsidRDefault="00503A41" w:rsidP="000452B8">
      <w:pPr>
        <w:rPr>
          <w:rFonts w:ascii="Arial" w:hAnsi="Arial" w:cs="Arial"/>
          <w:lang w:val="es-ES"/>
        </w:rPr>
      </w:pP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IV. IDENTIFICACIÓN, TRAZABILIDAD Y COMERCIALIZACIÓN</w:t>
      </w:r>
    </w:p>
    <w:p w:rsidR="00503A41" w:rsidRPr="00993936" w:rsidRDefault="00503A41" w:rsidP="000452B8">
      <w:pPr>
        <w:pStyle w:val="Ttulo6"/>
        <w:jc w:val="both"/>
        <w:rPr>
          <w:rFonts w:ascii="Arial" w:hAnsi="Arial" w:cs="Arial"/>
          <w:color w:val="auto"/>
          <w:lang w:val="es-ES"/>
        </w:rPr>
      </w:pPr>
      <w:r w:rsidRPr="00993936">
        <w:rPr>
          <w:rFonts w:ascii="Arial" w:hAnsi="Arial" w:cs="Arial"/>
          <w:color w:val="auto"/>
          <w:lang w:val="es-ES"/>
        </w:rPr>
        <w:t xml:space="preserve"> </w:t>
      </w:r>
    </w:p>
    <w:p w:rsidR="00503A41" w:rsidRPr="00993936" w:rsidRDefault="00503A41" w:rsidP="000452B8">
      <w:pPr>
        <w:pStyle w:val="Ttulo6"/>
        <w:jc w:val="both"/>
        <w:rPr>
          <w:rFonts w:ascii="Arial" w:hAnsi="Arial" w:cs="Arial"/>
          <w:b/>
          <w:color w:val="auto"/>
          <w:lang w:val="es-ES"/>
        </w:rPr>
      </w:pPr>
      <w:r w:rsidRPr="00993936">
        <w:rPr>
          <w:rFonts w:ascii="Arial" w:hAnsi="Arial" w:cs="Arial"/>
          <w:color w:val="auto"/>
          <w:lang w:val="es-ES"/>
        </w:rPr>
        <w:t>Artículo 32</w:t>
      </w:r>
    </w:p>
    <w:p w:rsidR="00503A41" w:rsidRPr="00993936" w:rsidRDefault="00C8459C" w:rsidP="000452B8">
      <w:pPr>
        <w:pStyle w:val="Ttulo6"/>
        <w:jc w:val="both"/>
        <w:rPr>
          <w:rFonts w:ascii="Arial" w:hAnsi="Arial" w:cs="Arial"/>
          <w:b/>
          <w:color w:val="auto"/>
          <w:lang w:val="es-ES"/>
        </w:rPr>
      </w:pPr>
      <w:r>
        <w:rPr>
          <w:rFonts w:ascii="Arial" w:hAnsi="Arial" w:cs="Arial"/>
          <w:b/>
          <w:color w:val="auto"/>
          <w:lang w:val="es-ES" w:eastAsia="ca-ES"/>
        </w:rPr>
        <w:pict>
          <v:line id="_x0000_s1032" style="position:absolute;left:0;text-align:left;z-index:251852800" from="63pt,-229.3pt" to="63pt,-229.3pt"/>
        </w:pict>
      </w:r>
      <w:r>
        <w:rPr>
          <w:rFonts w:ascii="Arial" w:hAnsi="Arial" w:cs="Arial"/>
          <w:b/>
          <w:color w:val="auto"/>
          <w:lang w:val="es-ES" w:eastAsia="ca-ES"/>
        </w:rPr>
        <w:pict>
          <v:line id="_x0000_s1031" style="position:absolute;left:0;text-align:left;z-index:251851776" from="450pt,-292.55pt" to="450pt,-292.55pt"/>
        </w:pict>
      </w:r>
      <w:r>
        <w:rPr>
          <w:rFonts w:ascii="Arial" w:hAnsi="Arial" w:cs="Arial"/>
          <w:b/>
          <w:color w:val="auto"/>
          <w:lang w:val="es-ES" w:eastAsia="ca-ES"/>
        </w:rPr>
        <w:pict>
          <v:line id="_x0000_s1030" style="position:absolute;left:0;text-align:left;z-index:251850752" from="180pt,-292.55pt" to="180pt,-292.55pt"/>
        </w:pict>
      </w:r>
      <w:r w:rsidR="00503A41" w:rsidRPr="00993936">
        <w:rPr>
          <w:rFonts w:ascii="Arial" w:hAnsi="Arial" w:cs="Arial"/>
          <w:b/>
          <w:color w:val="auto"/>
          <w:lang w:val="es-ES"/>
        </w:rPr>
        <w:t>Identificación y trazabilidad</w:t>
      </w:r>
    </w:p>
    <w:p w:rsidR="00503A41" w:rsidRPr="00993936" w:rsidRDefault="00503A41" w:rsidP="000452B8">
      <w:pPr>
        <w:jc w:val="both"/>
        <w:rPr>
          <w:rFonts w:ascii="Arial" w:hAnsi="Arial" w:cs="Arial"/>
          <w:lang w:val="es-ES"/>
        </w:rPr>
      </w:pPr>
      <w:r w:rsidRPr="00993936">
        <w:rPr>
          <w:rFonts w:ascii="Arial" w:hAnsi="Arial" w:cs="Arial"/>
          <w:lang w:val="es-ES"/>
        </w:rPr>
        <w:t xml:space="preserve">32.1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32.1.1 Formalizar una declaración de responsabilidad del agricultor que permita la identificación de los productos que proceden de parcelas acogidas a  la producción integrada. En un plano o croquis de la parcela y/o UHC se justificará el conocimiento de la ubicación de los diferentes lotes del material vegetal utilizado.</w:t>
      </w:r>
    </w:p>
    <w:p w:rsidR="00503A41" w:rsidRPr="00993936" w:rsidRDefault="00503A41" w:rsidP="000452B8">
      <w:pPr>
        <w:jc w:val="both"/>
        <w:rPr>
          <w:rFonts w:ascii="Arial" w:hAnsi="Arial" w:cs="Arial"/>
          <w:lang w:val="es-ES"/>
        </w:rPr>
      </w:pPr>
      <w:r w:rsidRPr="00993936">
        <w:rPr>
          <w:rFonts w:ascii="Arial" w:hAnsi="Arial" w:cs="Arial"/>
          <w:lang w:val="es-ES"/>
        </w:rPr>
        <w:t>32.1.2 En cada centro de recepción y/o manipulación tiene que haber un albarán de control de entrada, donde figure el producto, la cantidad, la parcela de origen, la unidad homogénea de cultivo y la fecha de entrada, firmado por la persona que hace la entrega.</w:t>
      </w:r>
    </w:p>
    <w:p w:rsidR="00503A41" w:rsidRPr="00993936" w:rsidRDefault="00503A41" w:rsidP="000452B8">
      <w:pPr>
        <w:jc w:val="both"/>
        <w:rPr>
          <w:rFonts w:ascii="Arial" w:hAnsi="Arial" w:cs="Arial"/>
          <w:lang w:val="es-ES"/>
        </w:rPr>
      </w:pPr>
      <w:r w:rsidRPr="00993936">
        <w:rPr>
          <w:rFonts w:ascii="Arial" w:hAnsi="Arial" w:cs="Arial"/>
          <w:lang w:val="es-ES"/>
        </w:rPr>
        <w:t>32.1.3 Los operadores que no tengan la totalidad de la producción de cultivo bajo normas de producción integrada deberán cumplir los requisitos siguientes:</w:t>
      </w:r>
    </w:p>
    <w:p w:rsidR="00503A41" w:rsidRPr="00993936" w:rsidRDefault="00503A41" w:rsidP="009D1A2D">
      <w:pPr>
        <w:numPr>
          <w:ilvl w:val="0"/>
          <w:numId w:val="162"/>
        </w:numPr>
        <w:spacing w:after="0" w:line="240" w:lineRule="auto"/>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otros orígenes. </w:t>
      </w:r>
    </w:p>
    <w:p w:rsidR="00503A41" w:rsidRPr="00993936" w:rsidRDefault="00503A41" w:rsidP="009D1A2D">
      <w:pPr>
        <w:numPr>
          <w:ilvl w:val="0"/>
          <w:numId w:val="162"/>
        </w:numPr>
        <w:spacing w:after="0" w:line="240" w:lineRule="auto"/>
        <w:jc w:val="both"/>
        <w:rPr>
          <w:rFonts w:ascii="Arial" w:hAnsi="Arial" w:cs="Arial"/>
          <w:lang w:val="es-ES"/>
        </w:rPr>
      </w:pPr>
      <w:r w:rsidRPr="00993936">
        <w:rPr>
          <w:rFonts w:ascii="Arial" w:hAnsi="Arial" w:cs="Arial"/>
          <w:lang w:val="es-ES"/>
        </w:rPr>
        <w:t>En caso de utilizar la misma línea de manipulación o confección para los dos tipos de producto, tendrá que quedar claramente definido el intervalo de tiempo durante el cual se manipula cada tipo de producto, y tiene que ser conocido por todo el personal implicado en el proceso.</w:t>
      </w:r>
    </w:p>
    <w:p w:rsidR="00503A41" w:rsidRPr="00993936" w:rsidRDefault="00503A41" w:rsidP="009D1A2D">
      <w:pPr>
        <w:numPr>
          <w:ilvl w:val="0"/>
          <w:numId w:val="162"/>
        </w:numPr>
        <w:spacing w:after="0" w:line="240" w:lineRule="auto"/>
        <w:jc w:val="both"/>
        <w:rPr>
          <w:rFonts w:ascii="Arial" w:hAnsi="Arial" w:cs="Arial"/>
          <w:lang w:val="es-ES"/>
        </w:rPr>
      </w:pPr>
      <w:r w:rsidRPr="00993936">
        <w:rPr>
          <w:rFonts w:ascii="Arial" w:hAnsi="Arial" w:cs="Arial"/>
          <w:lang w:val="es-ES"/>
        </w:rPr>
        <w:t>Antes de proceder a la manipulación del producto de producción integrada, 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productos de otros orígenes.</w:t>
      </w:r>
    </w:p>
    <w:p w:rsidR="00503A41" w:rsidRPr="00993936" w:rsidRDefault="00503A41" w:rsidP="000452B8">
      <w:pPr>
        <w:jc w:val="both"/>
        <w:rPr>
          <w:rFonts w:ascii="Arial" w:hAnsi="Arial" w:cs="Arial"/>
          <w:lang w:val="es-ES"/>
        </w:rPr>
      </w:pPr>
      <w:r w:rsidRPr="00993936">
        <w:rPr>
          <w:rFonts w:ascii="Arial" w:hAnsi="Arial" w:cs="Arial"/>
          <w:lang w:val="es-ES"/>
        </w:rPr>
        <w:t>32.1.4 Los productos de producción integrada serán identificados y considerados, en cualquier momento del proceso técnico, administrativo y de comercialización como un producto diferente del resto de los productos manipulados por la persona operadora.</w:t>
      </w:r>
    </w:p>
    <w:p w:rsidR="00503A41" w:rsidRPr="00993936" w:rsidRDefault="00503A41" w:rsidP="000452B8">
      <w:pPr>
        <w:jc w:val="both"/>
        <w:rPr>
          <w:rFonts w:ascii="Arial" w:hAnsi="Arial" w:cs="Arial"/>
          <w:lang w:val="es-ES"/>
        </w:rPr>
      </w:pPr>
      <w:r w:rsidRPr="00993936">
        <w:rPr>
          <w:rFonts w:ascii="Arial" w:hAnsi="Arial" w:cs="Arial"/>
          <w:lang w:val="es-ES"/>
        </w:rPr>
        <w:t>32.1.5 Las cajas de campo y otros envases utilizados para la recolección o el transporte de productos de producción integrada deben estar claramente diferenciados de los utilizados para otros productos.</w:t>
      </w:r>
    </w:p>
    <w:p w:rsidR="00503A41" w:rsidRPr="00993936" w:rsidRDefault="00503A41" w:rsidP="000452B8">
      <w:pPr>
        <w:jc w:val="both"/>
        <w:rPr>
          <w:rFonts w:ascii="Arial" w:hAnsi="Arial" w:cs="Arial"/>
          <w:lang w:val="es-ES"/>
        </w:rPr>
      </w:pPr>
      <w:r w:rsidRPr="00993936">
        <w:rPr>
          <w:rFonts w:ascii="Arial" w:hAnsi="Arial" w:cs="Arial"/>
          <w:lang w:val="es-ES"/>
        </w:rPr>
        <w:t xml:space="preserve">32.2 </w:t>
      </w:r>
      <w:r w:rsidRPr="00993936">
        <w:rPr>
          <w:rFonts w:ascii="Arial" w:hAnsi="Arial" w:cs="Arial"/>
          <w:i/>
          <w:lang w:val="es-ES"/>
        </w:rPr>
        <w:t>Prohibiciones</w:t>
      </w:r>
    </w:p>
    <w:p w:rsidR="00503A41" w:rsidRPr="00993936" w:rsidRDefault="00503A41" w:rsidP="000452B8">
      <w:pPr>
        <w:jc w:val="both"/>
        <w:rPr>
          <w:rFonts w:ascii="Arial" w:hAnsi="Arial" w:cs="Arial"/>
          <w:lang w:val="es-ES"/>
        </w:rPr>
      </w:pPr>
      <w:r w:rsidRPr="00993936">
        <w:rPr>
          <w:rFonts w:ascii="Arial" w:hAnsi="Arial" w:cs="Arial"/>
          <w:lang w:val="es-ES"/>
        </w:rPr>
        <w:t>32.2.1</w:t>
      </w:r>
      <w:r w:rsidRPr="00993936">
        <w:rPr>
          <w:rFonts w:ascii="Arial" w:hAnsi="Arial" w:cs="Arial"/>
          <w:b/>
          <w:lang w:val="es-ES"/>
        </w:rPr>
        <w:t xml:space="preserve"> </w:t>
      </w:r>
      <w:r w:rsidRPr="00993936">
        <w:rPr>
          <w:rFonts w:ascii="Arial" w:hAnsi="Arial" w:cs="Arial"/>
          <w:lang w:val="es-ES"/>
        </w:rPr>
        <w:t>Comercializar, como productos amparados por esta norma, los procedentes de unidades de cultivo que no cumplan las indicaciones de cultivo que establece la normativa de producción integrada en toda su producción.</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32.2.2 La presencia de cajas, etiquetas o marcas comerciales, de productos de producción integrada en parcelas y/o UHC que no estén acogidas a  Producción Integrada.</w:t>
      </w:r>
    </w:p>
    <w:p w:rsidR="00503A41" w:rsidRPr="00993936" w:rsidRDefault="00503A41" w:rsidP="000452B8">
      <w:pPr>
        <w:pStyle w:val="Ttulo6"/>
        <w:spacing w:before="120"/>
        <w:jc w:val="both"/>
        <w:rPr>
          <w:rFonts w:ascii="Arial" w:hAnsi="Arial" w:cs="Arial"/>
          <w:color w:val="auto"/>
          <w:lang w:val="es-ES"/>
        </w:rPr>
      </w:pPr>
    </w:p>
    <w:p w:rsidR="00503A41" w:rsidRPr="00993936" w:rsidRDefault="00503A41" w:rsidP="000452B8">
      <w:pPr>
        <w:pStyle w:val="Ttulo6"/>
        <w:spacing w:before="120"/>
        <w:jc w:val="both"/>
        <w:rPr>
          <w:rFonts w:ascii="Arial" w:hAnsi="Arial" w:cs="Arial"/>
          <w:b/>
          <w:color w:val="auto"/>
          <w:lang w:val="es-ES"/>
        </w:rPr>
      </w:pPr>
      <w:r w:rsidRPr="00993936">
        <w:rPr>
          <w:rFonts w:ascii="Arial" w:hAnsi="Arial" w:cs="Arial"/>
          <w:color w:val="auto"/>
          <w:lang w:val="es-ES"/>
        </w:rPr>
        <w:t>Artículo 33</w:t>
      </w:r>
    </w:p>
    <w:p w:rsidR="00503A41" w:rsidRPr="00993936" w:rsidRDefault="00503A41" w:rsidP="000452B8">
      <w:pPr>
        <w:pStyle w:val="Ttulo6"/>
        <w:jc w:val="both"/>
        <w:rPr>
          <w:rFonts w:ascii="Arial" w:hAnsi="Arial" w:cs="Arial"/>
          <w:b/>
          <w:color w:val="auto"/>
          <w:lang w:val="es-ES"/>
        </w:rPr>
      </w:pPr>
      <w:r w:rsidRPr="00993936">
        <w:rPr>
          <w:rFonts w:ascii="Arial" w:hAnsi="Arial" w:cs="Arial"/>
          <w:b/>
          <w:color w:val="auto"/>
          <w:lang w:val="es-ES"/>
        </w:rPr>
        <w:t>Control de calidad</w:t>
      </w:r>
    </w:p>
    <w:p w:rsidR="00503A41" w:rsidRPr="00993936" w:rsidRDefault="00503A41" w:rsidP="000452B8">
      <w:pPr>
        <w:pStyle w:val="Encabezado"/>
        <w:tabs>
          <w:tab w:val="clear" w:pos="4252"/>
          <w:tab w:val="clear" w:pos="8504"/>
        </w:tabs>
        <w:jc w:val="both"/>
        <w:rPr>
          <w:rFonts w:ascii="Arial" w:hAnsi="Arial" w:cs="Arial"/>
          <w:lang w:val="es-ES"/>
        </w:rPr>
      </w:pPr>
      <w:r w:rsidRPr="00993936">
        <w:rPr>
          <w:rFonts w:ascii="Arial" w:hAnsi="Arial" w:cs="Arial"/>
          <w:i/>
          <w:lang w:val="es-ES"/>
        </w:rPr>
        <w:t>33.1 Obligaciones</w:t>
      </w:r>
    </w:p>
    <w:p w:rsidR="00503A41" w:rsidRPr="00993936" w:rsidRDefault="00503A41" w:rsidP="000452B8">
      <w:pPr>
        <w:jc w:val="both"/>
        <w:rPr>
          <w:rFonts w:ascii="Arial" w:hAnsi="Arial" w:cs="Arial"/>
          <w:lang w:val="es-ES"/>
        </w:rPr>
      </w:pPr>
      <w:r w:rsidRPr="00993936">
        <w:rPr>
          <w:rFonts w:ascii="Arial" w:hAnsi="Arial" w:cs="Arial"/>
          <w:lang w:val="es-ES"/>
        </w:rPr>
        <w:t>33.1.1 La persona operadora tiene que tener definido e implantado un muestreo sistemático de la producción que sirva para comprobar que se cumplen las especificaciones de la legislación vigente referentes a la normalización comercial. Los parámetros a comprobar son los especificados para cada producto en la legislación vigente de calidad de frutas y hortalizas (categoría, calibre, color, peso, etc.).</w:t>
      </w:r>
    </w:p>
    <w:p w:rsidR="00503A41" w:rsidRPr="00993936" w:rsidRDefault="00503A41" w:rsidP="000452B8">
      <w:pPr>
        <w:jc w:val="both"/>
        <w:rPr>
          <w:rFonts w:ascii="Arial" w:hAnsi="Arial" w:cs="Arial"/>
          <w:lang w:val="es-ES"/>
        </w:rPr>
      </w:pPr>
      <w:r w:rsidRPr="00993936">
        <w:rPr>
          <w:rFonts w:ascii="Arial" w:hAnsi="Arial" w:cs="Arial"/>
          <w:lang w:val="es-ES"/>
        </w:rPr>
        <w:t>33.1.2 La persona operadora debe conservar los registros de los controles.</w:t>
      </w:r>
    </w:p>
    <w:p w:rsidR="00503A41" w:rsidRPr="00993936" w:rsidRDefault="00503A41" w:rsidP="000452B8">
      <w:pPr>
        <w:pStyle w:val="Textoindependiente"/>
        <w:rPr>
          <w:rFonts w:cs="Arial"/>
          <w:szCs w:val="22"/>
          <w:lang w:val="es-ES"/>
        </w:rPr>
      </w:pPr>
      <w:r w:rsidRPr="00993936">
        <w:rPr>
          <w:rFonts w:cs="Arial"/>
          <w:szCs w:val="22"/>
          <w:lang w:val="es-ES"/>
        </w:rPr>
        <w:t>33.1.3 La persona operadora verificará el funcionamiento correcto del instrumental de medida.</w:t>
      </w:r>
    </w:p>
    <w:p w:rsidR="00503A41" w:rsidRPr="00993936" w:rsidRDefault="00503A41" w:rsidP="000452B8">
      <w:pPr>
        <w:jc w:val="both"/>
        <w:rPr>
          <w:rFonts w:ascii="Arial" w:hAnsi="Arial" w:cs="Arial"/>
          <w:lang w:val="es-ES"/>
        </w:rPr>
      </w:pPr>
      <w:r w:rsidRPr="00993936">
        <w:rPr>
          <w:rFonts w:ascii="Arial" w:hAnsi="Arial" w:cs="Arial"/>
          <w:lang w:val="es-ES"/>
        </w:rPr>
        <w:t>33.1.4 Controlar periódicamente la calidad y, específicamente, antes de la comercialización, teniendo en cuenta aspectos de muestreo, tipo de determinación analítica que garantice la seguridad del consumidor.</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V. RESIDUOS</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Artículo 34</w:t>
      </w:r>
    </w:p>
    <w:p w:rsidR="00503A41" w:rsidRPr="00993936" w:rsidRDefault="00503A41" w:rsidP="000452B8">
      <w:pPr>
        <w:jc w:val="both"/>
        <w:rPr>
          <w:rFonts w:ascii="Arial" w:hAnsi="Arial" w:cs="Arial"/>
          <w:b/>
          <w:lang w:val="es-ES"/>
        </w:rPr>
      </w:pPr>
      <w:r w:rsidRPr="00993936">
        <w:rPr>
          <w:rFonts w:ascii="Arial" w:hAnsi="Arial" w:cs="Arial"/>
          <w:b/>
          <w:lang w:val="es-ES"/>
        </w:rPr>
        <w:t>Gestión de Residuos</w:t>
      </w:r>
    </w:p>
    <w:p w:rsidR="00503A41" w:rsidRPr="00993936" w:rsidRDefault="00503A41" w:rsidP="000452B8">
      <w:pPr>
        <w:jc w:val="both"/>
        <w:rPr>
          <w:rFonts w:ascii="Arial" w:hAnsi="Arial" w:cs="Arial"/>
          <w:i/>
          <w:lang w:val="es-ES"/>
        </w:rPr>
      </w:pPr>
      <w:r w:rsidRPr="00993936">
        <w:rPr>
          <w:rFonts w:ascii="Arial" w:hAnsi="Arial" w:cs="Arial"/>
          <w:lang w:val="es-ES"/>
        </w:rPr>
        <w:t xml:space="preserve">34.1 </w:t>
      </w:r>
      <w:r w:rsidRPr="00993936">
        <w:rPr>
          <w:rFonts w:ascii="Arial" w:hAnsi="Arial" w:cs="Arial"/>
          <w:i/>
          <w:lang w:val="es-ES"/>
        </w:rPr>
        <w:t>Obligaciones</w:t>
      </w:r>
    </w:p>
    <w:p w:rsidR="00503A41" w:rsidRPr="00993936" w:rsidRDefault="00503A41" w:rsidP="000452B8">
      <w:pPr>
        <w:jc w:val="both"/>
        <w:rPr>
          <w:rFonts w:ascii="Arial" w:hAnsi="Arial" w:cs="Arial"/>
          <w:lang w:val="es-ES"/>
        </w:rPr>
      </w:pPr>
      <w:r w:rsidRPr="00993936">
        <w:rPr>
          <w:rFonts w:ascii="Arial" w:hAnsi="Arial" w:cs="Arial"/>
          <w:lang w:val="es-ES"/>
        </w:rPr>
        <w:t>34.1.1 Reciclar adecuadamente los sustratos inertes, siempre que sea agronómicamente aconsejable.</w:t>
      </w:r>
    </w:p>
    <w:p w:rsidR="00503A41" w:rsidRPr="00993936" w:rsidRDefault="00503A41" w:rsidP="000452B8">
      <w:pPr>
        <w:jc w:val="both"/>
        <w:rPr>
          <w:rFonts w:ascii="Arial" w:hAnsi="Arial" w:cs="Arial"/>
          <w:lang w:val="es-ES"/>
        </w:rPr>
      </w:pPr>
      <w:r w:rsidRPr="00993936">
        <w:rPr>
          <w:rFonts w:ascii="Arial" w:hAnsi="Arial" w:cs="Arial"/>
          <w:lang w:val="es-ES"/>
        </w:rPr>
        <w:t>34.1.2 Retirar para su reciclaje o, si procede</w:t>
      </w:r>
      <w:r w:rsidRPr="00993936">
        <w:rPr>
          <w:rFonts w:ascii="Arial" w:hAnsi="Arial" w:cs="Arial"/>
          <w:vanish/>
          <w:lang w:val="es-ES"/>
        </w:rPr>
        <w:t>&lt;A[pega|ocurre]&gt;</w:t>
      </w:r>
      <w:r w:rsidRPr="00993936">
        <w:rPr>
          <w:rFonts w:ascii="Arial" w:hAnsi="Arial" w:cs="Arial"/>
          <w:lang w:val="es-ES"/>
        </w:rPr>
        <w:t>, para hacer un vertido controlado, los plásticos de almohadillados, malla o cualquier otro material utilizado en las estructuras del cultivo, siempre que haya un sistema de gestión de estos residuos.</w:t>
      </w:r>
    </w:p>
    <w:p w:rsidR="00503A41" w:rsidRPr="00993936" w:rsidRDefault="00503A41" w:rsidP="000452B8">
      <w:pPr>
        <w:jc w:val="both"/>
        <w:rPr>
          <w:rFonts w:ascii="Arial" w:hAnsi="Arial" w:cs="Arial"/>
          <w:lang w:val="es-ES"/>
        </w:rPr>
      </w:pPr>
      <w:r w:rsidRPr="00993936">
        <w:rPr>
          <w:rFonts w:ascii="Arial" w:hAnsi="Arial" w:cs="Arial"/>
          <w:lang w:val="es-ES"/>
        </w:rPr>
        <w:t>34.1.3 Retirar y almacenar los envases de los productos fitosanitarios y fertilizantes, una vez utilizados, hasta entregarlos a un gestor autorizado de acuerdo con el Decreto 1416/2001, de 14 de diciembre, sobre envases de productos fitosanitarios.</w:t>
      </w:r>
    </w:p>
    <w:p w:rsidR="00503A41" w:rsidRPr="00993936" w:rsidRDefault="00503A41" w:rsidP="000452B8">
      <w:pPr>
        <w:jc w:val="both"/>
        <w:rPr>
          <w:rFonts w:ascii="Arial" w:hAnsi="Arial" w:cs="Arial"/>
          <w:lang w:val="es-ES"/>
        </w:rPr>
      </w:pPr>
      <w:r w:rsidRPr="00993936">
        <w:rPr>
          <w:rFonts w:ascii="Arial" w:hAnsi="Arial" w:cs="Arial"/>
          <w:lang w:val="es-ES"/>
        </w:rPr>
        <w:t>34.1.4  Gestionar los productos fitosanitarios de rechazo mediante un gestor autorizado de residuos de productos químicos o a través de una compañía proveedora o cualquier otro método seguro para el medio.</w:t>
      </w:r>
    </w:p>
    <w:p w:rsidR="00503A41" w:rsidRPr="00993936" w:rsidRDefault="00503A41" w:rsidP="000452B8">
      <w:pPr>
        <w:jc w:val="both"/>
        <w:rPr>
          <w:rFonts w:ascii="Arial" w:hAnsi="Arial" w:cs="Arial"/>
          <w:lang w:val="es-ES"/>
        </w:rPr>
      </w:pPr>
      <w:r w:rsidRPr="00993936">
        <w:rPr>
          <w:rFonts w:ascii="Arial" w:hAnsi="Arial" w:cs="Arial"/>
          <w:lang w:val="es-ES"/>
        </w:rPr>
        <w:t>34.1.5 Establecer sistemas de recogida de aceites usados o de todo tipo de sustancias tóxicas y peligrosas que haya a la explotación, dándolos los destino previsto en la legislación vigente.</w:t>
      </w:r>
    </w:p>
    <w:p w:rsidR="00503A41" w:rsidRPr="00993936" w:rsidRDefault="00503A41" w:rsidP="000452B8">
      <w:pPr>
        <w:jc w:val="both"/>
        <w:rPr>
          <w:rFonts w:ascii="Arial" w:hAnsi="Arial" w:cs="Arial"/>
          <w:b/>
          <w:lang w:val="es-ES"/>
        </w:rPr>
      </w:pPr>
      <w:r w:rsidRPr="00993936">
        <w:rPr>
          <w:rFonts w:ascii="Arial" w:hAnsi="Arial" w:cs="Arial"/>
          <w:lang w:val="es-ES"/>
        </w:rPr>
        <w:t xml:space="preserve">34.2 </w:t>
      </w:r>
      <w:r w:rsidRPr="00993936">
        <w:rPr>
          <w:rFonts w:ascii="Arial" w:hAnsi="Arial" w:cs="Arial"/>
          <w:i/>
          <w:lang w:val="es-ES"/>
        </w:rPr>
        <w:t>Prohibiciones</w:t>
      </w:r>
    </w:p>
    <w:p w:rsidR="00503A41" w:rsidRPr="00993936" w:rsidRDefault="00503A41" w:rsidP="000452B8">
      <w:pPr>
        <w:jc w:val="both"/>
        <w:rPr>
          <w:rFonts w:ascii="Arial" w:hAnsi="Arial" w:cs="Arial"/>
          <w:lang w:val="es-ES"/>
        </w:rPr>
      </w:pPr>
      <w:r w:rsidRPr="00993936">
        <w:rPr>
          <w:rFonts w:ascii="Arial" w:hAnsi="Arial" w:cs="Arial"/>
          <w:lang w:val="es-ES"/>
        </w:rPr>
        <w:t xml:space="preserve">34.2.1 Abandonar restos de plástico, envases y otros residuos en el interior o en los márgenes de la parcela y/o UHC. </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34.2.2 Utilizar plásticos o mallas de las estructuras de cultivo, una vez retirados, para otros usos que supongan un riesgo para el cultivo, las personas o la fauna.</w:t>
      </w:r>
    </w:p>
    <w:p w:rsidR="00503A41" w:rsidRPr="00993936" w:rsidRDefault="00503A41" w:rsidP="000452B8">
      <w:pPr>
        <w:jc w:val="both"/>
        <w:rPr>
          <w:rFonts w:ascii="Arial" w:hAnsi="Arial" w:cs="Arial"/>
          <w:lang w:val="es-ES"/>
        </w:rPr>
      </w:pPr>
      <w:r w:rsidRPr="00993936">
        <w:rPr>
          <w:rFonts w:ascii="Arial" w:hAnsi="Arial" w:cs="Arial"/>
          <w:lang w:val="es-ES"/>
        </w:rPr>
        <w:t>34.2.3  Destruir, mediante el fuego u otros procedimientos, triturar o enterrar en la parcela y/o UHC o limítrofes, los envases vacíos de los productos fitosanitarios y fertilizantes, los plásticos o las mallas de las estructuras de cultivo, a excepción de que se haga en lugares</w:t>
      </w:r>
      <w:r w:rsidRPr="00993936">
        <w:rPr>
          <w:rFonts w:ascii="Arial" w:hAnsi="Arial" w:cs="Arial"/>
          <w:vanish/>
          <w:lang w:val="es-ES"/>
        </w:rPr>
        <w:t>&lt;A[lugares|sitios]&gt;</w:t>
      </w:r>
      <w:r w:rsidRPr="00993936">
        <w:rPr>
          <w:rFonts w:ascii="Arial" w:hAnsi="Arial" w:cs="Arial"/>
          <w:lang w:val="es-ES"/>
        </w:rPr>
        <w:t xml:space="preserve"> autorizados por la autoridad competente.</w:t>
      </w:r>
    </w:p>
    <w:p w:rsidR="00503A41" w:rsidRPr="00993936" w:rsidRDefault="00503A41" w:rsidP="000452B8">
      <w:pPr>
        <w:jc w:val="both"/>
        <w:rPr>
          <w:rFonts w:ascii="Arial" w:hAnsi="Arial" w:cs="Arial"/>
          <w:lang w:val="es-ES"/>
        </w:rPr>
      </w:pPr>
      <w:r w:rsidRPr="00993936">
        <w:rPr>
          <w:rFonts w:ascii="Arial" w:hAnsi="Arial" w:cs="Arial"/>
          <w:lang w:val="es-ES"/>
        </w:rPr>
        <w:t>34.2.4  Depositar en cursos de agua, canales o embalses de agua, o dentro del perímetro de protección de captaciones de agua de consumo humano, los restos de caldo de los equipos de aplicación de productos fitosanitarios y lavarlos en esta zona.</w:t>
      </w:r>
    </w:p>
    <w:p w:rsidR="00503A41" w:rsidRPr="00993936" w:rsidRDefault="00503A41" w:rsidP="000452B8">
      <w:pPr>
        <w:jc w:val="both"/>
        <w:rPr>
          <w:rFonts w:ascii="Arial" w:hAnsi="Arial" w:cs="Arial"/>
          <w:lang w:val="es-ES"/>
        </w:rPr>
      </w:pPr>
      <w:r w:rsidRPr="00993936">
        <w:rPr>
          <w:rFonts w:ascii="Arial" w:hAnsi="Arial" w:cs="Arial"/>
          <w:lang w:val="es-ES"/>
        </w:rPr>
        <w:t xml:space="preserve">34.2.5  Quemar restos vegetales de manera incontrolada, sin tener en consideración la normativa vigente que sea de aplicación. </w:t>
      </w:r>
    </w:p>
    <w:p w:rsidR="00503A41" w:rsidRPr="00993936" w:rsidRDefault="00503A41" w:rsidP="000452B8">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35</w:t>
      </w: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Control de residuos de productos fitosanitarios en vegetales</w:t>
      </w:r>
    </w:p>
    <w:p w:rsidR="00503A41" w:rsidRPr="00993936" w:rsidRDefault="00503A41" w:rsidP="000452B8">
      <w:pPr>
        <w:pStyle w:val="NormalWeb"/>
        <w:spacing w:after="0"/>
        <w:jc w:val="both"/>
        <w:rPr>
          <w:rFonts w:ascii="Arial" w:hAnsi="Arial" w:cs="Arial"/>
          <w:i/>
          <w:sz w:val="22"/>
          <w:szCs w:val="22"/>
          <w:lang w:val="es-ES"/>
        </w:rPr>
      </w:pPr>
      <w:r w:rsidRPr="00993936">
        <w:rPr>
          <w:rFonts w:ascii="Arial" w:hAnsi="Arial" w:cs="Arial"/>
          <w:i/>
          <w:sz w:val="22"/>
          <w:szCs w:val="22"/>
          <w:lang w:val="es-ES"/>
        </w:rPr>
        <w:t>35.1 Obligaciones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35.1.1 La persona operadora tiene que disponer de un programa de autocontrol individual o colectivo para verificar la ausencia de residuos de productos fitosanitarios, por medio de la toma de muestras correspondiente, garantizando que han sido utilizadas exclusivamente las sustancias activas autorizadas y comprobar que se cumple la normativa de aplicación y, si procede, la del estado de destinación</w:t>
      </w:r>
      <w:r w:rsidRPr="00993936">
        <w:rPr>
          <w:rFonts w:ascii="Arial" w:hAnsi="Arial" w:cs="Arial"/>
          <w:vanish/>
          <w:sz w:val="22"/>
          <w:szCs w:val="22"/>
          <w:lang w:val="es-ES"/>
        </w:rPr>
        <w:t>&lt;A[destinación|destino]&gt;</w:t>
      </w:r>
      <w:r w:rsidRPr="00993936">
        <w:rPr>
          <w:rFonts w:ascii="Arial" w:hAnsi="Arial" w:cs="Arial"/>
          <w:sz w:val="22"/>
          <w:szCs w:val="22"/>
          <w:lang w:val="es-ES"/>
        </w:rPr>
        <w:t>, en relación con los límites máximos de residuos de productos fitosanitarios. La planificación de la recogida de las muestras tiene que considerar especialmente la época de recolección y/o de manipulación.</w:t>
      </w:r>
    </w:p>
    <w:p w:rsidR="00503A41" w:rsidRPr="00993936" w:rsidRDefault="00503A41" w:rsidP="000452B8">
      <w:pPr>
        <w:pStyle w:val="NormalWeb"/>
        <w:spacing w:after="0"/>
        <w:jc w:val="both"/>
        <w:rPr>
          <w:rFonts w:ascii="Arial" w:hAnsi="Arial" w:cs="Arial"/>
          <w:b/>
          <w:sz w:val="22"/>
          <w:szCs w:val="22"/>
          <w:lang w:val="es-ES"/>
        </w:rPr>
      </w:pP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 xml:space="preserve">VI. PROTECCIÓN MEDIOAMBIENTAL </w:t>
      </w:r>
    </w:p>
    <w:p w:rsidR="00503A41" w:rsidRPr="00993936" w:rsidRDefault="00503A41" w:rsidP="000452B8">
      <w:pPr>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Protección medio ambiental</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36.1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36.1.1 La empresa tiene que cumplir con la política de conservación del entorno natural según la legislación medio ambiental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36.1.2  Disponer de medidas de prevención de vertido accidental de aceites, hidrocarburos u otros productos químicos peligrosos para el medio ambiente.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36.1.3  Implantar, si no están, medidas de ahorro en el consumo de agua y de energía en las instalaciones y en los procesos.</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 xml:space="preserve">VII. CONTROL Y CERTIFICACIÓN </w:t>
      </w:r>
    </w:p>
    <w:p w:rsidR="00503A41" w:rsidRPr="00993936" w:rsidRDefault="00503A41" w:rsidP="000452B8">
      <w:pPr>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Tratamiento de No conformidades</w:t>
      </w:r>
    </w:p>
    <w:p w:rsidR="00503A41" w:rsidRPr="00993936" w:rsidRDefault="00503A41" w:rsidP="001D205D">
      <w:pPr>
        <w:pStyle w:val="Sinespaciado"/>
        <w:jc w:val="both"/>
        <w:rPr>
          <w:rFonts w:ascii="Arial" w:hAnsi="Arial" w:cs="Arial"/>
          <w:b/>
          <w:lang w:val="es-ES"/>
        </w:rPr>
      </w:pPr>
      <w:r w:rsidRPr="00993936">
        <w:rPr>
          <w:rFonts w:ascii="Arial" w:hAnsi="Arial" w:cs="Arial"/>
          <w:i/>
          <w:lang w:val="es-ES"/>
        </w:rPr>
        <w:t>37.1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37.1.1 Cuando durante la realización de los controles internos o externos se detecte el incumplimiento total o parcial de alguna de las prácticas establecidas en esta norma como “obligatorias” o “prohibidas”, se tendrá que dejar registro como “no conformidad” de las desviaciones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37.1.2 Establecer y documentar las acciones correctivas que procedan</w:t>
      </w:r>
      <w:r w:rsidRPr="00993936">
        <w:rPr>
          <w:rFonts w:ascii="Arial" w:hAnsi="Arial" w:cs="Arial"/>
          <w:vanish/>
          <w:lang w:val="es-ES"/>
        </w:rPr>
        <w:t>&lt;A[peguen|ocurran]&gt;</w:t>
      </w:r>
      <w:r w:rsidRPr="00993936">
        <w:rPr>
          <w:rFonts w:ascii="Arial" w:hAnsi="Arial" w:cs="Arial"/>
          <w:lang w:val="es-ES"/>
        </w:rPr>
        <w:t xml:space="preserve"> para dar el tratamiento adecuado a estas no conformidades, de manera que se eliminen los efectos y las causas que las motivan y que se impida una repetición futura.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37.1.3 El operador tiene que realizar el seguimiento de la implantación de las acciones correctivas y comprobar que sean efectivas antes de proceder al cierre de las no conformidades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37.1.4 Siempre que se detecten no conformidades sobre las materias primas, productos en proceso y los productos finales obtenidos de los productos vegetales de producción integrada, se tendrán que adoptar las medidas adecuadas de identificación, trazabilidad y segregación, de estos, de manera que se manifieste claramente su estado “no conforme” y se prevenga la utilización o comercialización de manera no intencionada como productos de producción integrada.</w:t>
      </w:r>
    </w:p>
    <w:p w:rsidR="00503A41" w:rsidRPr="00993936" w:rsidRDefault="00503A41" w:rsidP="000452B8">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38</w:t>
      </w:r>
    </w:p>
    <w:p w:rsidR="00503A41" w:rsidRPr="00993936" w:rsidRDefault="00503A41" w:rsidP="000452B8">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503A41" w:rsidRPr="00993936" w:rsidRDefault="00503A41" w:rsidP="000452B8">
      <w:pPr>
        <w:pStyle w:val="NormalWeb"/>
        <w:spacing w:after="0"/>
        <w:jc w:val="both"/>
        <w:rPr>
          <w:rFonts w:ascii="Arial" w:hAnsi="Arial" w:cs="Arial"/>
          <w:i/>
          <w:sz w:val="22"/>
          <w:szCs w:val="22"/>
          <w:lang w:val="es-ES"/>
        </w:rPr>
      </w:pPr>
      <w:r w:rsidRPr="00993936">
        <w:rPr>
          <w:rFonts w:ascii="Arial" w:hAnsi="Arial" w:cs="Arial"/>
          <w:i/>
          <w:sz w:val="22"/>
          <w:szCs w:val="22"/>
          <w:lang w:val="es-ES"/>
        </w:rPr>
        <w:t>38.1 Obligaciones</w:t>
      </w:r>
    </w:p>
    <w:p w:rsidR="00503A41" w:rsidRPr="00993936" w:rsidRDefault="00503A41" w:rsidP="000452B8">
      <w:pPr>
        <w:pStyle w:val="NormalWeb"/>
        <w:spacing w:after="0"/>
        <w:jc w:val="both"/>
        <w:rPr>
          <w:rFonts w:ascii="Arial" w:hAnsi="Arial" w:cs="Arial"/>
          <w:sz w:val="22"/>
          <w:szCs w:val="22"/>
          <w:lang w:val="es-ES"/>
        </w:rPr>
      </w:pPr>
      <w:r w:rsidRPr="00993936">
        <w:rPr>
          <w:rFonts w:ascii="Arial" w:hAnsi="Arial" w:cs="Arial"/>
          <w:sz w:val="22"/>
          <w:szCs w:val="22"/>
          <w:lang w:val="es-ES"/>
        </w:rPr>
        <w:t>38.1.1 El control y la certificación del sistema de la producción integrada se regirá por</w:t>
      </w:r>
      <w:r w:rsidRPr="00993936">
        <w:rPr>
          <w:rFonts w:ascii="Arial" w:hAnsi="Arial" w:cs="Arial"/>
          <w:vanish/>
          <w:sz w:val="22"/>
          <w:szCs w:val="22"/>
          <w:lang w:val="es-ES"/>
        </w:rPr>
        <w:t>&lt;A[por|para]&gt;</w:t>
      </w:r>
      <w:r w:rsidRPr="00993936">
        <w:rPr>
          <w:rFonts w:ascii="Arial" w:hAnsi="Arial" w:cs="Arial"/>
          <w:sz w:val="22"/>
          <w:szCs w:val="22"/>
          <w:lang w:val="es-ES"/>
        </w:rPr>
        <w:t xml:space="preserve"> lo que determina la Ley 14/2003, de 13 de junio, de calidad agroalimentaria; el Decreto 285/2006, de 4 de julio, por el cual se desarrolla la Ley 14/2003; el Decreto 24/2002, de 8 de octubre, por</w:t>
      </w:r>
      <w:r w:rsidRPr="00993936">
        <w:rPr>
          <w:rFonts w:ascii="Arial" w:hAnsi="Arial" w:cs="Arial"/>
          <w:vanish/>
          <w:sz w:val="22"/>
          <w:szCs w:val="22"/>
          <w:lang w:val="es-ES"/>
        </w:rPr>
        <w:t>&lt;A[por|para]&gt;</w:t>
      </w:r>
      <w:r w:rsidRPr="00993936">
        <w:rPr>
          <w:rFonts w:ascii="Arial" w:hAnsi="Arial" w:cs="Arial"/>
          <w:sz w:val="22"/>
          <w:szCs w:val="22"/>
          <w:lang w:val="es-ES"/>
        </w:rPr>
        <w:t xml:space="preserve"> el cual se regula la producción integrada en Cataluña, y la Orden ARP/208/2003, de 7 de mayo, por</w:t>
      </w:r>
      <w:r w:rsidRPr="00993936">
        <w:rPr>
          <w:rFonts w:ascii="Arial" w:hAnsi="Arial" w:cs="Arial"/>
          <w:vanish/>
          <w:sz w:val="22"/>
          <w:szCs w:val="22"/>
          <w:lang w:val="es-ES"/>
        </w:rPr>
        <w:t>&lt;A[por|para]&gt;</w:t>
      </w:r>
      <w:r w:rsidRPr="00993936">
        <w:rPr>
          <w:rFonts w:ascii="Arial" w:hAnsi="Arial" w:cs="Arial"/>
          <w:sz w:val="22"/>
          <w:szCs w:val="22"/>
          <w:lang w:val="es-ES"/>
        </w:rPr>
        <w:t xml:space="preserve"> la cual se aprueba el Reglamento de régimen interior del Consejo Catalán de la Producción Integrada.</w:t>
      </w:r>
    </w:p>
    <w:p w:rsidR="00503A41" w:rsidRPr="00993936" w:rsidRDefault="00503A41" w:rsidP="000452B8">
      <w:pPr>
        <w:pStyle w:val="Encabezado"/>
        <w:tabs>
          <w:tab w:val="clear" w:pos="4252"/>
          <w:tab w:val="clear" w:pos="8504"/>
        </w:tabs>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39</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Distintivo de garantía de producción integrada</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39.1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39.1.2 La utilización del distintivo de garantía de producción integrada, en las etiquetas de los envases, frutos y otros lugares</w:t>
      </w:r>
      <w:r w:rsidRPr="00993936">
        <w:rPr>
          <w:rFonts w:ascii="Arial" w:hAnsi="Arial" w:cs="Arial"/>
          <w:vanish/>
          <w:lang w:val="es-ES"/>
        </w:rPr>
        <w:t>&lt;A[lugares|sitios]&gt;</w:t>
      </w:r>
      <w:r w:rsidRPr="00993936">
        <w:rPr>
          <w:rFonts w:ascii="Arial" w:hAnsi="Arial" w:cs="Arial"/>
          <w:lang w:val="es-ES"/>
        </w:rPr>
        <w:t>, se ajustará al sistema establecido por el libro de estilo del Consejo Catalán de la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39.1.3 La concesión del distintivo de garantía de producción integrada será concedido por</w:t>
      </w:r>
      <w:r w:rsidRPr="00993936">
        <w:rPr>
          <w:rFonts w:ascii="Arial" w:hAnsi="Arial" w:cs="Arial"/>
          <w:vanish/>
          <w:lang w:val="es-ES"/>
        </w:rPr>
        <w:t>&lt;A[para|por]&gt;</w:t>
      </w:r>
      <w:r w:rsidRPr="00993936">
        <w:rPr>
          <w:rFonts w:ascii="Arial" w:hAnsi="Arial" w:cs="Arial"/>
          <w:lang w:val="es-ES"/>
        </w:rPr>
        <w:t xml:space="preserve"> el Consejo.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39.2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39.2.1 Utilización del distintivo de garantía, sin disponer de la preceptiva certificación</w:t>
      </w:r>
    </w:p>
    <w:p w:rsidR="00503A41" w:rsidRPr="00993936" w:rsidRDefault="00503A41" w:rsidP="00441998">
      <w:pPr>
        <w:pStyle w:val="Encabezado"/>
        <w:tabs>
          <w:tab w:val="clear" w:pos="4252"/>
          <w:tab w:val="clear" w:pos="8504"/>
        </w:tabs>
        <w:rPr>
          <w:rFonts w:ascii="Arial" w:hAnsi="Arial" w:cs="Arial"/>
          <w:lang w:val="es-ES"/>
        </w:rPr>
      </w:pPr>
    </w:p>
    <w:p w:rsidR="00503A41" w:rsidRPr="00993936" w:rsidRDefault="00503A41" w:rsidP="00441998">
      <w:pPr>
        <w:pStyle w:val="Encabezado"/>
        <w:tabs>
          <w:tab w:val="clear" w:pos="4252"/>
          <w:tab w:val="clear" w:pos="8504"/>
        </w:tabs>
        <w:rPr>
          <w:rFonts w:ascii="Arial" w:hAnsi="Arial" w:cs="Arial"/>
          <w:lang w:val="es-ES"/>
        </w:rPr>
      </w:pPr>
      <w:r w:rsidRPr="00993936">
        <w:rPr>
          <w:rFonts w:ascii="Arial" w:hAnsi="Arial" w:cs="Arial"/>
          <w:lang w:val="es-ES"/>
        </w:rPr>
        <w:t>.-.-.-.-.-.-.-.-.-.-.-.-.-.-.-.-.-.-.-.-.-.-.-.-.-.-.-.-.-.-.-.</w:t>
      </w:r>
    </w:p>
    <w:p w:rsidR="00503A41" w:rsidRPr="00993936" w:rsidRDefault="00503A41">
      <w:pPr>
        <w:jc w:val="both"/>
        <w:rPr>
          <w:rFonts w:ascii="Arial" w:hAnsi="Arial" w:cs="Arial"/>
          <w:lang w:val="es-ES"/>
        </w:rPr>
      </w:pPr>
    </w:p>
    <w:p w:rsidR="00503A41" w:rsidRPr="00993936" w:rsidRDefault="00503A41">
      <w:pPr>
        <w:jc w:val="both"/>
        <w:rPr>
          <w:rFonts w:ascii="Arial" w:hAnsi="Arial" w:cs="Arial"/>
          <w:lang w:val="es-ES"/>
        </w:rPr>
      </w:pPr>
    </w:p>
    <w:p w:rsidR="00503A41" w:rsidRPr="00993936" w:rsidRDefault="00503A41">
      <w:pPr>
        <w:jc w:val="both"/>
        <w:rPr>
          <w:rFonts w:ascii="Arial" w:hAnsi="Arial" w:cs="Arial"/>
          <w:lang w:val="es-ES"/>
        </w:rPr>
      </w:pPr>
    </w:p>
    <w:p w:rsidR="00503A41" w:rsidRPr="00993936" w:rsidRDefault="00503A41">
      <w:pPr>
        <w:jc w:val="both"/>
        <w:rPr>
          <w:rFonts w:ascii="Arial" w:hAnsi="Arial" w:cs="Arial"/>
          <w:lang w:val="es-ES"/>
        </w:rPr>
      </w:pPr>
    </w:p>
    <w:p w:rsidR="00503A41" w:rsidRPr="00993936" w:rsidRDefault="00503A41">
      <w:pPr>
        <w:jc w:val="both"/>
        <w:rPr>
          <w:rFonts w:ascii="Arial" w:hAnsi="Arial" w:cs="Arial"/>
          <w:lang w:val="es-ES"/>
        </w:rPr>
      </w:pPr>
    </w:p>
    <w:p w:rsidR="00503A41" w:rsidRPr="00993936" w:rsidRDefault="00503A41">
      <w:pPr>
        <w:jc w:val="both"/>
        <w:rPr>
          <w:rFonts w:ascii="Arial" w:hAnsi="Arial" w:cs="Arial"/>
          <w:lang w:val="es-ES"/>
        </w:rPr>
      </w:pPr>
    </w:p>
    <w:p w:rsidR="00503A41" w:rsidRPr="00993936" w:rsidRDefault="00503A41">
      <w:pPr>
        <w:pStyle w:val="Ttulo5"/>
        <w:rPr>
          <w:rFonts w:ascii="Arial" w:hAnsi="Arial" w:cs="Arial"/>
          <w:color w:val="auto"/>
          <w:lang w:val="es-ES"/>
        </w:rPr>
      </w:pPr>
      <w:r w:rsidRPr="00993936">
        <w:rPr>
          <w:rFonts w:ascii="Arial" w:hAnsi="Arial" w:cs="Arial"/>
          <w:color w:val="auto"/>
          <w:lang w:val="es-ES"/>
        </w:rPr>
        <w:br w:type="page"/>
      </w:r>
      <w:r w:rsidRPr="00993936">
        <w:rPr>
          <w:rFonts w:ascii="Arial" w:hAnsi="Arial" w:cs="Arial"/>
          <w:color w:val="auto"/>
          <w:lang w:val="es-ES"/>
        </w:rPr>
        <w:lastRenderedPageBreak/>
        <w:t>ANEXOS</w:t>
      </w:r>
    </w:p>
    <w:p w:rsidR="00503A41" w:rsidRPr="00993936" w:rsidRDefault="00503A41" w:rsidP="000452B8">
      <w:pPr>
        <w:pStyle w:val="Ttulo2"/>
        <w:rPr>
          <w:rFonts w:ascii="Arial" w:hAnsi="Arial" w:cs="Arial"/>
          <w:color w:val="auto"/>
          <w:sz w:val="22"/>
          <w:szCs w:val="22"/>
          <w:lang w:val="es-ES"/>
        </w:rPr>
      </w:pPr>
    </w:p>
    <w:p w:rsidR="00503A41" w:rsidRPr="00993936" w:rsidRDefault="00503A41" w:rsidP="00441998">
      <w:pPr>
        <w:pStyle w:val="Ttulo3"/>
        <w:rPr>
          <w:rFonts w:ascii="Arial" w:hAnsi="Arial" w:cs="Arial"/>
          <w:b/>
          <w:color w:val="auto"/>
          <w:szCs w:val="22"/>
          <w:lang w:val="es-ES"/>
        </w:rPr>
      </w:pPr>
      <w:r w:rsidRPr="00993936">
        <w:rPr>
          <w:rFonts w:ascii="Arial" w:hAnsi="Arial" w:cs="Arial"/>
          <w:color w:val="auto"/>
          <w:szCs w:val="22"/>
          <w:lang w:val="es-ES"/>
        </w:rPr>
        <w:t>ANEXO 1</w:t>
      </w:r>
    </w:p>
    <w:p w:rsidR="00503A41" w:rsidRPr="00993936" w:rsidRDefault="00503A41" w:rsidP="000452B8">
      <w:pPr>
        <w:pStyle w:val="Textoindependiente2"/>
        <w:rPr>
          <w:rFonts w:cs="Arial"/>
          <w:sz w:val="22"/>
          <w:szCs w:val="22"/>
          <w:lang w:val="es-ES"/>
        </w:rPr>
      </w:pPr>
      <w:r w:rsidRPr="00993936">
        <w:rPr>
          <w:rFonts w:cs="Arial"/>
          <w:sz w:val="22"/>
          <w:szCs w:val="22"/>
          <w:lang w:val="es-ES"/>
        </w:rPr>
        <w:t>1.1 Materias activas de reguladores de crecimiento para la Producción Integrada de frutales de hueso</w:t>
      </w:r>
      <w:r w:rsidRPr="00993936">
        <w:rPr>
          <w:rFonts w:cs="Arial"/>
          <w:vanish/>
          <w:sz w:val="22"/>
          <w:szCs w:val="22"/>
          <w:lang w:val="es-ES"/>
        </w:rPr>
        <w:t>&lt;A[hueso|pepita]&gt;</w:t>
      </w:r>
    </w:p>
    <w:p w:rsidR="00503A41" w:rsidRPr="00993936" w:rsidRDefault="00503A41" w:rsidP="000452B8">
      <w:pPr>
        <w:pStyle w:val="Textoindependiente2"/>
        <w:rPr>
          <w:rFonts w:cs="Arial"/>
          <w:sz w:val="22"/>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4"/>
        <w:gridCol w:w="3291"/>
        <w:gridCol w:w="3627"/>
      </w:tblGrid>
      <w:tr w:rsidR="00503A41" w:rsidRPr="00993936" w:rsidTr="000452B8">
        <w:trPr>
          <w:jc w:val="center"/>
        </w:trPr>
        <w:tc>
          <w:tcPr>
            <w:tcW w:w="1954" w:type="dxa"/>
            <w:shd w:val="pct12" w:color="auto" w:fill="FFFFFF"/>
          </w:tcPr>
          <w:p w:rsidR="00503A41" w:rsidRPr="00993936" w:rsidRDefault="00503A41" w:rsidP="000452B8">
            <w:pPr>
              <w:pStyle w:val="Textoindependiente2"/>
              <w:jc w:val="center"/>
              <w:rPr>
                <w:rFonts w:cs="Arial"/>
                <w:sz w:val="22"/>
                <w:szCs w:val="22"/>
                <w:lang w:val="es-ES"/>
              </w:rPr>
            </w:pPr>
            <w:r w:rsidRPr="00993936">
              <w:rPr>
                <w:rFonts w:cs="Arial"/>
                <w:sz w:val="22"/>
                <w:szCs w:val="22"/>
                <w:lang w:val="es-ES"/>
              </w:rPr>
              <w:t>EFECTO</w:t>
            </w:r>
          </w:p>
        </w:tc>
        <w:tc>
          <w:tcPr>
            <w:tcW w:w="3291" w:type="dxa"/>
            <w:shd w:val="pct12" w:color="auto" w:fill="FFFFFF"/>
          </w:tcPr>
          <w:p w:rsidR="00503A41" w:rsidRPr="00993936" w:rsidRDefault="00503A41" w:rsidP="000452B8">
            <w:pPr>
              <w:pStyle w:val="Textoindependiente2"/>
              <w:jc w:val="center"/>
              <w:rPr>
                <w:rFonts w:cs="Arial"/>
                <w:sz w:val="22"/>
                <w:szCs w:val="22"/>
                <w:lang w:val="es-ES"/>
              </w:rPr>
            </w:pPr>
            <w:r w:rsidRPr="00993936">
              <w:rPr>
                <w:rFonts w:cs="Arial"/>
                <w:sz w:val="22"/>
                <w:szCs w:val="22"/>
                <w:lang w:val="es-ES"/>
              </w:rPr>
              <w:t>PRODUCTO</w:t>
            </w:r>
          </w:p>
        </w:tc>
        <w:tc>
          <w:tcPr>
            <w:tcW w:w="3627" w:type="dxa"/>
            <w:shd w:val="pct12" w:color="auto" w:fill="FFFFFF"/>
          </w:tcPr>
          <w:p w:rsidR="00503A41" w:rsidRPr="00993936" w:rsidRDefault="00503A41" w:rsidP="000452B8">
            <w:pPr>
              <w:pStyle w:val="Textoindependiente2"/>
              <w:jc w:val="center"/>
              <w:rPr>
                <w:rFonts w:cs="Arial"/>
                <w:sz w:val="22"/>
                <w:szCs w:val="22"/>
                <w:lang w:val="es-ES"/>
              </w:rPr>
            </w:pPr>
            <w:r w:rsidRPr="00993936">
              <w:rPr>
                <w:rFonts w:cs="Arial"/>
                <w:sz w:val="22"/>
                <w:szCs w:val="22"/>
                <w:lang w:val="es-ES"/>
              </w:rPr>
              <w:t>RESTRICCIONES</w:t>
            </w:r>
          </w:p>
        </w:tc>
      </w:tr>
      <w:tr w:rsidR="00503A41" w:rsidRPr="00993936" w:rsidTr="000452B8">
        <w:trPr>
          <w:cantSplit/>
          <w:trHeight w:val="713"/>
          <w:jc w:val="center"/>
        </w:trPr>
        <w:tc>
          <w:tcPr>
            <w:tcW w:w="1954" w:type="dxa"/>
            <w:vAlign w:val="center"/>
          </w:tcPr>
          <w:p w:rsidR="00503A41" w:rsidRPr="00993936" w:rsidRDefault="00503A41" w:rsidP="000452B8">
            <w:pPr>
              <w:pStyle w:val="Textoindependiente2"/>
              <w:rPr>
                <w:rFonts w:cs="Arial"/>
                <w:b/>
                <w:sz w:val="22"/>
                <w:szCs w:val="22"/>
                <w:lang w:val="es-ES"/>
              </w:rPr>
            </w:pPr>
            <w:r w:rsidRPr="00993936">
              <w:rPr>
                <w:rFonts w:cs="Arial"/>
                <w:b/>
                <w:sz w:val="22"/>
                <w:szCs w:val="22"/>
                <w:lang w:val="es-ES"/>
              </w:rPr>
              <w:t>Control de vigor</w:t>
            </w:r>
          </w:p>
          <w:p w:rsidR="00503A41" w:rsidRPr="00993936" w:rsidRDefault="00503A41" w:rsidP="000452B8">
            <w:pPr>
              <w:pStyle w:val="Textoindependiente2"/>
              <w:rPr>
                <w:rFonts w:cs="Arial"/>
                <w:b/>
                <w:sz w:val="22"/>
                <w:szCs w:val="22"/>
                <w:lang w:val="es-ES"/>
              </w:rPr>
            </w:pPr>
          </w:p>
        </w:tc>
        <w:tc>
          <w:tcPr>
            <w:tcW w:w="3291" w:type="dxa"/>
            <w:vAlign w:val="center"/>
          </w:tcPr>
          <w:p w:rsidR="00503A41" w:rsidRPr="00993936" w:rsidRDefault="00503A41" w:rsidP="000452B8">
            <w:pPr>
              <w:pStyle w:val="Textoindependiente2"/>
              <w:rPr>
                <w:rFonts w:cs="Arial"/>
                <w:b/>
                <w:sz w:val="22"/>
                <w:szCs w:val="22"/>
                <w:lang w:val="es-ES"/>
              </w:rPr>
            </w:pPr>
            <w:r w:rsidRPr="00993936">
              <w:rPr>
                <w:rFonts w:cs="Arial"/>
                <w:b/>
                <w:sz w:val="22"/>
                <w:szCs w:val="22"/>
                <w:lang w:val="es-ES"/>
              </w:rPr>
              <w:t>Paclobutrazol</w:t>
            </w:r>
          </w:p>
          <w:p w:rsidR="00503A41" w:rsidRPr="00993936" w:rsidRDefault="00503A41" w:rsidP="000452B8">
            <w:pPr>
              <w:pStyle w:val="Textoindependiente2"/>
              <w:rPr>
                <w:rFonts w:cs="Arial"/>
                <w:b/>
                <w:sz w:val="22"/>
                <w:szCs w:val="22"/>
                <w:lang w:val="es-ES"/>
              </w:rPr>
            </w:pPr>
            <w:r w:rsidRPr="00993936">
              <w:rPr>
                <w:rFonts w:cs="Arial"/>
                <w:b/>
                <w:sz w:val="22"/>
                <w:szCs w:val="22"/>
                <w:lang w:val="es-ES"/>
              </w:rPr>
              <w:t xml:space="preserve"> </w:t>
            </w:r>
          </w:p>
        </w:tc>
        <w:tc>
          <w:tcPr>
            <w:tcW w:w="3627" w:type="dxa"/>
            <w:vAlign w:val="center"/>
          </w:tcPr>
          <w:p w:rsidR="00503A41" w:rsidRPr="00993936" w:rsidRDefault="00503A41" w:rsidP="000452B8">
            <w:pPr>
              <w:rPr>
                <w:rFonts w:ascii="Arial" w:hAnsi="Arial" w:cs="Arial"/>
                <w:lang w:val="es-ES"/>
              </w:rPr>
            </w:pPr>
            <w:r w:rsidRPr="00993936">
              <w:rPr>
                <w:rFonts w:ascii="Arial" w:hAnsi="Arial" w:cs="Arial"/>
                <w:lang w:val="es-ES"/>
              </w:rPr>
              <w:t>En cerezo sólo autorizado después de la recolección.</w:t>
            </w:r>
          </w:p>
          <w:p w:rsidR="00503A41" w:rsidRPr="00993936" w:rsidRDefault="00503A41" w:rsidP="000452B8">
            <w:pPr>
              <w:pStyle w:val="Textoindependiente2"/>
              <w:rPr>
                <w:rFonts w:cs="Arial"/>
                <w:b/>
                <w:sz w:val="22"/>
                <w:szCs w:val="22"/>
                <w:lang w:val="es-ES"/>
              </w:rPr>
            </w:pPr>
          </w:p>
        </w:tc>
      </w:tr>
    </w:tbl>
    <w:p w:rsidR="00503A41" w:rsidRPr="00993936" w:rsidRDefault="00503A41" w:rsidP="000452B8">
      <w:pPr>
        <w:pStyle w:val="Ttulo3"/>
        <w:rPr>
          <w:rFonts w:ascii="Arial" w:hAnsi="Arial" w:cs="Arial"/>
          <w:color w:val="auto"/>
          <w:szCs w:val="22"/>
          <w:lang w:val="es-ES"/>
        </w:rPr>
      </w:pPr>
    </w:p>
    <w:p w:rsidR="00503A41" w:rsidRPr="00993936" w:rsidRDefault="00503A41" w:rsidP="000452B8">
      <w:pPr>
        <w:pStyle w:val="Ttulo3"/>
        <w:rPr>
          <w:rFonts w:ascii="Arial" w:hAnsi="Arial" w:cs="Arial"/>
          <w:b/>
          <w:color w:val="auto"/>
          <w:szCs w:val="22"/>
          <w:lang w:val="es-ES"/>
        </w:rPr>
      </w:pPr>
      <w:r w:rsidRPr="00993936">
        <w:rPr>
          <w:rFonts w:ascii="Arial" w:hAnsi="Arial" w:cs="Arial"/>
          <w:color w:val="auto"/>
          <w:szCs w:val="22"/>
          <w:lang w:val="es-ES"/>
        </w:rPr>
        <w:t>ANEXO 2</w:t>
      </w:r>
    </w:p>
    <w:p w:rsidR="00503A41" w:rsidRPr="00993936" w:rsidRDefault="00503A41" w:rsidP="000452B8">
      <w:pPr>
        <w:pStyle w:val="Textoindependiente2"/>
        <w:rPr>
          <w:rFonts w:cs="Arial"/>
          <w:sz w:val="22"/>
          <w:szCs w:val="22"/>
          <w:lang w:val="es-ES"/>
        </w:rPr>
      </w:pPr>
      <w:r w:rsidRPr="00993936">
        <w:rPr>
          <w:rFonts w:cs="Arial"/>
          <w:sz w:val="22"/>
          <w:szCs w:val="22"/>
          <w:lang w:val="es-ES"/>
        </w:rPr>
        <w:t>2.1 Materias activas de herbicidas para la Producción Integrada de frutales de hueso</w:t>
      </w:r>
      <w:r w:rsidRPr="00993936">
        <w:rPr>
          <w:rFonts w:cs="Arial"/>
          <w:vanish/>
          <w:sz w:val="22"/>
          <w:szCs w:val="22"/>
          <w:lang w:val="es-ES"/>
        </w:rPr>
        <w:t>&lt;A[hueso|pepita]&gt;</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5"/>
        <w:gridCol w:w="4459"/>
      </w:tblGrid>
      <w:tr w:rsidR="00503A41" w:rsidRPr="00993936" w:rsidTr="000452B8">
        <w:trPr>
          <w:jc w:val="center"/>
        </w:trPr>
        <w:tc>
          <w:tcPr>
            <w:tcW w:w="2421" w:type="pct"/>
            <w:tcBorders>
              <w:bottom w:val="nil"/>
            </w:tcBorders>
            <w:shd w:val="pct12"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TIPO DE HERBICIDAS (**)</w:t>
            </w:r>
          </w:p>
        </w:tc>
        <w:tc>
          <w:tcPr>
            <w:tcW w:w="2579" w:type="pct"/>
            <w:shd w:val="pct12"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RESTRICCIONES</w:t>
            </w:r>
          </w:p>
        </w:tc>
      </w:tr>
      <w:tr w:rsidR="00503A41" w:rsidRPr="00993936" w:rsidTr="000452B8">
        <w:trPr>
          <w:jc w:val="center"/>
        </w:trPr>
        <w:tc>
          <w:tcPr>
            <w:tcW w:w="2421" w:type="pct"/>
            <w:tcBorders>
              <w:bottom w:val="nil"/>
            </w:tcBorders>
            <w:shd w:val="pct12" w:color="auto" w:fill="FFFFFF"/>
            <w:vAlign w:val="center"/>
          </w:tcPr>
          <w:p w:rsidR="00503A41" w:rsidRPr="00993936" w:rsidRDefault="00503A41" w:rsidP="000452B8">
            <w:pPr>
              <w:widowControl w:val="0"/>
              <w:jc w:val="center"/>
              <w:rPr>
                <w:rFonts w:ascii="Arial" w:hAnsi="Arial" w:cs="Arial"/>
                <w:b/>
                <w:snapToGrid w:val="0"/>
                <w:lang w:val="es-ES"/>
              </w:rPr>
            </w:pPr>
            <w:r w:rsidRPr="00993936">
              <w:rPr>
                <w:rFonts w:ascii="Arial" w:hAnsi="Arial" w:cs="Arial"/>
                <w:b/>
                <w:lang w:val="es-ES"/>
              </w:rPr>
              <w:t>Materia activa</w:t>
            </w:r>
          </w:p>
        </w:tc>
        <w:tc>
          <w:tcPr>
            <w:tcW w:w="2579" w:type="pct"/>
            <w:shd w:val="pct12" w:color="auto" w:fill="FFFFFF"/>
          </w:tcPr>
          <w:p w:rsidR="00503A41" w:rsidRPr="00993936" w:rsidRDefault="00503A41" w:rsidP="000452B8">
            <w:pPr>
              <w:widowControl w:val="0"/>
              <w:jc w:val="center"/>
              <w:rPr>
                <w:rFonts w:ascii="Arial" w:hAnsi="Arial" w:cs="Arial"/>
                <w:b/>
                <w:snapToGrid w:val="0"/>
                <w:lang w:val="es-ES"/>
              </w:rPr>
            </w:pPr>
            <w:r w:rsidRPr="00993936">
              <w:rPr>
                <w:rFonts w:ascii="Arial" w:hAnsi="Arial" w:cs="Arial"/>
                <w:b/>
                <w:snapToGrid w:val="0"/>
                <w:lang w:val="es-ES"/>
              </w:rPr>
              <w:t>Obligaciones</w:t>
            </w:r>
          </w:p>
        </w:tc>
      </w:tr>
      <w:tr w:rsidR="00503A41" w:rsidRPr="00993936" w:rsidTr="000452B8">
        <w:trPr>
          <w:cantSplit/>
          <w:trHeight w:val="2104"/>
          <w:jc w:val="center"/>
        </w:trPr>
        <w:tc>
          <w:tcPr>
            <w:tcW w:w="2421" w:type="pct"/>
            <w:vMerge w:val="restart"/>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2,4D</w:t>
            </w:r>
          </w:p>
          <w:p w:rsidR="00503A41" w:rsidRPr="00993936" w:rsidRDefault="00503A41" w:rsidP="001D205D">
            <w:pPr>
              <w:pStyle w:val="Sinespaciado"/>
              <w:rPr>
                <w:rFonts w:ascii="Arial" w:hAnsi="Arial" w:cs="Arial"/>
                <w:lang w:val="es-ES"/>
              </w:rPr>
            </w:pPr>
            <w:r w:rsidRPr="00993936">
              <w:rPr>
                <w:rFonts w:ascii="Arial" w:hAnsi="Arial" w:cs="Arial"/>
                <w:lang w:val="es-ES"/>
              </w:rPr>
              <w:t>Ácido pelargónico</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Ácido pelargónico + Glifosato </w:t>
            </w:r>
            <w:r w:rsidRPr="00993936">
              <w:rPr>
                <w:rFonts w:ascii="Arial" w:hAnsi="Arial" w:cs="Arial"/>
                <w:snapToGrid w:val="0"/>
                <w:lang w:val="es-ES"/>
              </w:rPr>
              <w:t>(1)</w:t>
            </w:r>
          </w:p>
          <w:p w:rsidR="00503A41" w:rsidRPr="00993936" w:rsidRDefault="00503A41" w:rsidP="001D205D">
            <w:pPr>
              <w:pStyle w:val="Sinespaciado"/>
              <w:rPr>
                <w:rFonts w:ascii="Arial" w:hAnsi="Arial" w:cs="Arial"/>
                <w:lang w:val="es-ES"/>
              </w:rPr>
            </w:pPr>
            <w:r w:rsidRPr="00993936">
              <w:rPr>
                <w:rFonts w:ascii="Arial" w:hAnsi="Arial" w:cs="Arial"/>
                <w:lang w:val="es-ES"/>
              </w:rPr>
              <w:t>Carfentrazona-etil (2)</w:t>
            </w:r>
          </w:p>
          <w:p w:rsidR="00503A41" w:rsidRPr="00993936" w:rsidRDefault="00503A41" w:rsidP="001D205D">
            <w:pPr>
              <w:pStyle w:val="Sinespaciado"/>
              <w:rPr>
                <w:rFonts w:ascii="Arial" w:hAnsi="Arial" w:cs="Arial"/>
                <w:lang w:val="es-ES"/>
              </w:rPr>
            </w:pPr>
            <w:r w:rsidRPr="00993936">
              <w:rPr>
                <w:rFonts w:ascii="Arial" w:hAnsi="Arial" w:cs="Arial"/>
                <w:lang w:val="es-ES"/>
              </w:rPr>
              <w:t>Cletodim</w:t>
            </w:r>
          </w:p>
          <w:p w:rsidR="00503A41" w:rsidRPr="00993936" w:rsidRDefault="00503A41" w:rsidP="001D205D">
            <w:pPr>
              <w:pStyle w:val="Sinespaciado"/>
              <w:rPr>
                <w:rFonts w:ascii="Arial" w:hAnsi="Arial" w:cs="Arial"/>
                <w:lang w:val="es-ES"/>
              </w:rPr>
            </w:pPr>
            <w:r w:rsidRPr="00993936">
              <w:rPr>
                <w:rFonts w:ascii="Arial" w:hAnsi="Arial" w:cs="Arial"/>
                <w:lang w:val="es-ES"/>
              </w:rPr>
              <w:t>Diflufenicán</w:t>
            </w:r>
          </w:p>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Diflufenicán + Glifosato (1)(*)</w:t>
            </w:r>
            <w:r w:rsidRPr="00993936">
              <w:rPr>
                <w:rFonts w:ascii="Arial" w:hAnsi="Arial" w:cs="Arial"/>
                <w:snapToGrid w:val="0"/>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Diflufenicán + Oxifluorfén </w:t>
            </w:r>
            <w:r w:rsidRPr="00993936">
              <w:rPr>
                <w:rFonts w:ascii="Arial" w:hAnsi="Arial" w:cs="Arial"/>
                <w:snapToGrid w:val="0"/>
                <w:lang w:val="es-ES"/>
              </w:rPr>
              <w:t>(1)</w:t>
            </w:r>
          </w:p>
          <w:p w:rsidR="00503A41" w:rsidRPr="00993936" w:rsidRDefault="00503A41" w:rsidP="001D205D">
            <w:pPr>
              <w:pStyle w:val="Sinespaciado"/>
              <w:rPr>
                <w:rFonts w:ascii="Arial" w:hAnsi="Arial" w:cs="Arial"/>
                <w:lang w:val="es-ES"/>
              </w:rPr>
            </w:pPr>
            <w:r w:rsidRPr="00993936">
              <w:rPr>
                <w:rFonts w:ascii="Arial" w:hAnsi="Arial" w:cs="Arial"/>
                <w:lang w:val="es-ES"/>
              </w:rPr>
              <w:t>Diquat</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Fluazifop-p-butil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 Oxifluorfén (1)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Glifosato + MCPA (1)</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Glifosato + Piraflufen-etil (1)</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Glufosinat (*)</w:t>
            </w:r>
          </w:p>
          <w:p w:rsidR="00503A41" w:rsidRPr="00993936" w:rsidRDefault="00503A41" w:rsidP="001D205D">
            <w:pPr>
              <w:pStyle w:val="Sinespaciado"/>
              <w:rPr>
                <w:rFonts w:ascii="Arial" w:hAnsi="Arial" w:cs="Arial"/>
                <w:lang w:val="es-ES"/>
              </w:rPr>
            </w:pPr>
            <w:r w:rsidRPr="00993936">
              <w:rPr>
                <w:rFonts w:ascii="Arial" w:hAnsi="Arial" w:cs="Arial"/>
                <w:lang w:val="es-ES"/>
              </w:rPr>
              <w:t>Isoxabén (*)</w:t>
            </w:r>
          </w:p>
          <w:p w:rsidR="00503A41" w:rsidRPr="00993936" w:rsidRDefault="00503A41" w:rsidP="001D205D">
            <w:pPr>
              <w:pStyle w:val="Sinespaciado"/>
              <w:rPr>
                <w:rFonts w:ascii="Arial" w:hAnsi="Arial" w:cs="Arial"/>
                <w:lang w:val="es-ES"/>
              </w:rPr>
            </w:pPr>
            <w:r w:rsidRPr="00993936">
              <w:rPr>
                <w:rFonts w:ascii="Arial" w:hAnsi="Arial" w:cs="Arial"/>
                <w:lang w:val="es-ES"/>
              </w:rPr>
              <w:t>MCPA</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Napropamida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Oxifluorfén ((*) en ciruelo)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Pendimetalina (*)</w:t>
            </w:r>
          </w:p>
          <w:p w:rsidR="00503A41" w:rsidRPr="00993936" w:rsidRDefault="00503A41" w:rsidP="001D205D">
            <w:pPr>
              <w:pStyle w:val="Sinespaciado"/>
              <w:rPr>
                <w:rFonts w:ascii="Arial" w:hAnsi="Arial" w:cs="Arial"/>
                <w:lang w:val="es-ES"/>
              </w:rPr>
            </w:pPr>
            <w:r w:rsidRPr="00993936">
              <w:rPr>
                <w:rFonts w:ascii="Arial" w:hAnsi="Arial" w:cs="Arial"/>
                <w:lang w:val="es-ES"/>
              </w:rPr>
              <w:t>Piraflufen-etil</w:t>
            </w:r>
          </w:p>
          <w:p w:rsidR="00503A41" w:rsidRPr="00993936" w:rsidRDefault="00503A41" w:rsidP="001D205D">
            <w:pPr>
              <w:pStyle w:val="Sinespaciado"/>
              <w:rPr>
                <w:rFonts w:ascii="Arial" w:hAnsi="Arial" w:cs="Arial"/>
                <w:lang w:val="es-ES"/>
              </w:rPr>
            </w:pPr>
            <w:r w:rsidRPr="00993936">
              <w:rPr>
                <w:rFonts w:ascii="Arial" w:hAnsi="Arial" w:cs="Arial"/>
                <w:lang w:val="es-ES"/>
              </w:rPr>
              <w:t>Propaquizafop</w:t>
            </w:r>
          </w:p>
          <w:p w:rsidR="00503A41" w:rsidRPr="00993936" w:rsidDel="005F1686" w:rsidRDefault="00503A41" w:rsidP="001D205D">
            <w:pPr>
              <w:pStyle w:val="Sinespaciado"/>
              <w:rPr>
                <w:rFonts w:ascii="Arial" w:hAnsi="Arial" w:cs="Arial"/>
                <w:lang w:val="es-ES"/>
              </w:rPr>
            </w:pPr>
            <w:r w:rsidRPr="00993936">
              <w:rPr>
                <w:rFonts w:ascii="Arial" w:hAnsi="Arial" w:cs="Arial"/>
                <w:lang w:val="es-ES"/>
              </w:rPr>
              <w:t>Quizalofop-p-etil (*)</w:t>
            </w:r>
          </w:p>
        </w:tc>
        <w:tc>
          <w:tcPr>
            <w:tcW w:w="2579" w:type="pct"/>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Controlar las malas hierbas, siempre que sea posible, con medios físicos, mecánicos, biológicos o aquellos que ofrezcan el menor riesgo de emisiones de CO</w:t>
            </w:r>
            <w:r w:rsidRPr="00993936">
              <w:rPr>
                <w:rFonts w:ascii="Arial" w:hAnsi="Arial" w:cs="Arial"/>
                <w:snapToGrid w:val="0"/>
                <w:vertAlign w:val="subscript"/>
                <w:lang w:val="es-ES"/>
              </w:rPr>
              <w:t>2</w:t>
            </w:r>
            <w:r w:rsidRPr="00993936">
              <w:rPr>
                <w:rFonts w:ascii="Arial" w:hAnsi="Arial" w:cs="Arial"/>
                <w:snapToGrid w:val="0"/>
                <w:lang w:val="es-ES"/>
              </w:rPr>
              <w:t>. Cuando los medios señalados anteriormente no permitan un control adecuado de las malas hierbas, se podrá justificar la aplicación de alguno de los herbicidas que figuran en esta Tabla</w:t>
            </w:r>
            <w:r w:rsidRPr="00993936">
              <w:rPr>
                <w:rFonts w:ascii="Arial" w:hAnsi="Arial" w:cs="Arial"/>
                <w:snapToGrid w:val="0"/>
                <w:vanish/>
                <w:lang w:val="es-ES"/>
              </w:rPr>
              <w:t>&lt;A[mesa|tabla]&gt;</w:t>
            </w:r>
            <w:r w:rsidRPr="00993936">
              <w:rPr>
                <w:rFonts w:ascii="Arial" w:hAnsi="Arial" w:cs="Arial"/>
                <w:snapToGrid w:val="0"/>
                <w:lang w:val="es-ES"/>
              </w:rPr>
              <w:t>.</w:t>
            </w: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Las materias activas a utilizar serán seleccionadas de acuerdo con los criterios de menor peligrosidad para los humanos, la fauna silvestre y el medio ambiente, y que proporcionen un control efectivo de la mala hierba.</w:t>
            </w:r>
          </w:p>
          <w:p w:rsidR="00503A41" w:rsidRPr="00993936" w:rsidDel="005F1686" w:rsidRDefault="00503A41" w:rsidP="001D205D">
            <w:pPr>
              <w:pStyle w:val="Sinespaciado"/>
              <w:rPr>
                <w:rFonts w:ascii="Arial" w:hAnsi="Arial" w:cs="Arial"/>
                <w:snapToGrid w:val="0"/>
                <w:lang w:val="es-ES"/>
              </w:rPr>
            </w:pPr>
          </w:p>
        </w:tc>
      </w:tr>
      <w:tr w:rsidR="00503A41" w:rsidRPr="00993936" w:rsidTr="000452B8">
        <w:trPr>
          <w:cantSplit/>
          <w:trHeight w:val="403"/>
          <w:jc w:val="center"/>
        </w:trPr>
        <w:tc>
          <w:tcPr>
            <w:tcW w:w="2421" w:type="pct"/>
            <w:vMerge/>
            <w:vAlign w:val="center"/>
          </w:tcPr>
          <w:p w:rsidR="00503A41" w:rsidRPr="00993936" w:rsidDel="005F1686" w:rsidRDefault="00503A41" w:rsidP="000452B8">
            <w:pPr>
              <w:jc w:val="both"/>
              <w:rPr>
                <w:rFonts w:ascii="Arial" w:hAnsi="Arial" w:cs="Arial"/>
                <w:lang w:val="es-ES"/>
              </w:rPr>
            </w:pPr>
          </w:p>
        </w:tc>
        <w:tc>
          <w:tcPr>
            <w:tcW w:w="2579" w:type="pct"/>
            <w:shd w:val="clear" w:color="auto" w:fill="D9D9D9"/>
          </w:tcPr>
          <w:p w:rsidR="00503A41" w:rsidRPr="00993936" w:rsidDel="005F1686" w:rsidRDefault="00503A41" w:rsidP="001D205D">
            <w:pPr>
              <w:pStyle w:val="Sinespaciado"/>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1450"/>
          <w:jc w:val="center"/>
        </w:trPr>
        <w:tc>
          <w:tcPr>
            <w:tcW w:w="2421" w:type="pct"/>
            <w:vMerge/>
            <w:shd w:val="clear" w:color="auto" w:fill="FFFFFF"/>
            <w:vAlign w:val="center"/>
          </w:tcPr>
          <w:p w:rsidR="00503A41" w:rsidRPr="00993936" w:rsidRDefault="00503A41" w:rsidP="000452B8">
            <w:pPr>
              <w:jc w:val="both"/>
              <w:rPr>
                <w:rFonts w:ascii="Arial" w:hAnsi="Arial" w:cs="Arial"/>
                <w:b/>
                <w:snapToGrid w:val="0"/>
                <w:lang w:val="es-ES"/>
              </w:rPr>
            </w:pPr>
          </w:p>
        </w:tc>
        <w:tc>
          <w:tcPr>
            <w:tcW w:w="2579" w:type="pct"/>
            <w:vAlign w:val="center"/>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1.Sólo formulaciones comerciales registradas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2.Autorizado en melocotonero y ciruelo</w:t>
            </w: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rPr>
              <w:t>(*) El LMR coincide con LD</w:t>
            </w:r>
          </w:p>
        </w:tc>
      </w:tr>
    </w:tbl>
    <w:p w:rsidR="00503A41" w:rsidRPr="00993936" w:rsidRDefault="00503A41" w:rsidP="000452B8">
      <w:pPr>
        <w:pStyle w:val="Ttulo2"/>
        <w:rPr>
          <w:rFonts w:ascii="Arial" w:hAnsi="Arial" w:cs="Arial"/>
          <w:snapToGrid w:val="0"/>
          <w:color w:val="auto"/>
          <w:szCs w:val="22"/>
          <w:lang w:val="es-ES"/>
        </w:rPr>
      </w:pPr>
    </w:p>
    <w:p w:rsidR="00503A41" w:rsidRPr="00993936" w:rsidRDefault="00503A41" w:rsidP="000452B8">
      <w:pPr>
        <w:rPr>
          <w:rFonts w:ascii="Arial" w:hAnsi="Arial" w:cs="Arial"/>
          <w:lang w:val="es-ES"/>
        </w:rPr>
      </w:pPr>
    </w:p>
    <w:p w:rsidR="00503A41" w:rsidRPr="00993936" w:rsidRDefault="00503A41" w:rsidP="000452B8">
      <w:pPr>
        <w:pStyle w:val="Textoindependiente2"/>
        <w:rPr>
          <w:rFonts w:cs="Arial"/>
          <w:sz w:val="22"/>
          <w:szCs w:val="22"/>
          <w:lang w:val="es-ES"/>
        </w:rPr>
      </w:pPr>
      <w:r w:rsidRPr="00993936">
        <w:rPr>
          <w:rFonts w:cs="Arial"/>
          <w:szCs w:val="22"/>
          <w:lang w:val="es-ES"/>
        </w:rPr>
        <w:br w:type="page"/>
      </w:r>
      <w:r w:rsidRPr="00993936">
        <w:rPr>
          <w:rFonts w:cs="Arial"/>
          <w:sz w:val="22"/>
          <w:szCs w:val="22"/>
          <w:lang w:val="es-ES"/>
        </w:rPr>
        <w:lastRenderedPageBreak/>
        <w:t>2.2 Materias activas de herbicidas para la producción integrada de frutales de Phueso con indicación del código de resistencia HRAC</w:t>
      </w:r>
    </w:p>
    <w:p w:rsidR="00503A41" w:rsidRPr="00993936" w:rsidRDefault="00503A41" w:rsidP="000452B8">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TIPO DE HERBICIDAS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xml:space="preserve">Materia activa </w:t>
            </w:r>
          </w:p>
        </w:tc>
        <w:tc>
          <w:tcPr>
            <w:tcW w:w="2500" w:type="pct"/>
            <w:shd w:val="solid" w:color="C0C0C0"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1D205D">
            <w:pPr>
              <w:pStyle w:val="Sinespaciado"/>
              <w:rPr>
                <w:rFonts w:ascii="Arial" w:hAnsi="Arial" w:cs="Arial"/>
                <w:lang w:val="es-ES" w:eastAsia="ca-ES"/>
              </w:rPr>
            </w:pPr>
          </w:p>
        </w:tc>
        <w:tc>
          <w:tcPr>
            <w:tcW w:w="2500" w:type="pct"/>
            <w:shd w:val="solid" w:color="C0C0C0"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HRAC (*)</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2,4-D</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O</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Ácido pelargónico</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Z</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Ácido pelargónico + Glifosato</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Z+G</w:t>
            </w:r>
          </w:p>
        </w:tc>
      </w:tr>
      <w:tr w:rsidR="00503A41" w:rsidRPr="00993936" w:rsidTr="001D205D">
        <w:trPr>
          <w:trHeight w:val="226"/>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Carfentrazona-etil</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E</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Cletodim</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A</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Diflufenicán</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F1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Diflufenicán + Glifosato</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F1+G</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Diflufenicán + Oxifluorfén</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F1+E</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Diquat</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D</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Fluazifop-p-butil</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A</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Glifosato</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Glifosato + MCPA</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G+O</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Glifosato + Oxifluorfén</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G+E</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Glifosato + Piraflufen-etil</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G+E</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Glufosinat</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H</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Isoxabèn</w:t>
            </w:r>
          </w:p>
        </w:tc>
        <w:tc>
          <w:tcPr>
            <w:tcW w:w="2500" w:type="pct"/>
            <w:shd w:val="solid" w:color="FFFFFF" w:fill="auto"/>
          </w:tcPr>
          <w:p w:rsidR="00503A41" w:rsidRPr="00993936" w:rsidRDefault="00503A41" w:rsidP="001D205D">
            <w:pPr>
              <w:pStyle w:val="Sinespaciado"/>
              <w:rPr>
                <w:rFonts w:ascii="Arial" w:hAnsi="Arial" w:cs="Arial"/>
              </w:rPr>
            </w:pPr>
            <w:r w:rsidRPr="00993936">
              <w:rPr>
                <w:rFonts w:ascii="Arial" w:hAnsi="Arial" w:cs="Arial"/>
              </w:rPr>
              <w:t>L</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MCPA</w:t>
            </w:r>
          </w:p>
        </w:tc>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Napropamida</w:t>
            </w:r>
          </w:p>
        </w:tc>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K3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Oxifluorfén</w:t>
            </w:r>
          </w:p>
        </w:tc>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Pendimetalina</w:t>
            </w:r>
          </w:p>
        </w:tc>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K1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Piraflufen-etil</w:t>
            </w:r>
          </w:p>
        </w:tc>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Propaquizafop</w:t>
            </w:r>
          </w:p>
        </w:tc>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Quizalofop-p-etil</w:t>
            </w:r>
          </w:p>
        </w:tc>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w:t>
            </w:r>
          </w:p>
        </w:tc>
      </w:tr>
      <w:tr w:rsidR="00503A41" w:rsidRPr="00993936" w:rsidTr="000452B8">
        <w:trPr>
          <w:trHeight w:val="270"/>
        </w:trPr>
        <w:tc>
          <w:tcPr>
            <w:tcW w:w="5000" w:type="pct"/>
            <w:gridSpan w:val="2"/>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(HRAC) diferentes</w:t>
            </w:r>
          </w:p>
        </w:tc>
      </w:tr>
      <w:tr w:rsidR="00503A41" w:rsidRPr="00993936" w:rsidTr="000452B8">
        <w:trPr>
          <w:trHeight w:val="270"/>
        </w:trPr>
        <w:tc>
          <w:tcPr>
            <w:tcW w:w="5000" w:type="pct"/>
            <w:gridSpan w:val="2"/>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Fuente: Comité de Acción de Resistencia en Herbicidas</w:t>
            </w:r>
          </w:p>
        </w:tc>
      </w:tr>
    </w:tbl>
    <w:p w:rsidR="00503A41" w:rsidRPr="00993936" w:rsidRDefault="00503A41" w:rsidP="000452B8">
      <w:pPr>
        <w:pStyle w:val="Textoindependiente2"/>
        <w:rPr>
          <w:rFonts w:cs="Arial"/>
          <w:szCs w:val="22"/>
          <w:lang w:val="es-ES"/>
        </w:rPr>
      </w:pPr>
    </w:p>
    <w:p w:rsidR="00503A41" w:rsidRPr="00993936" w:rsidRDefault="00503A41" w:rsidP="000452B8">
      <w:pPr>
        <w:tabs>
          <w:tab w:val="left" w:pos="3750"/>
        </w:tabs>
        <w:rPr>
          <w:rFonts w:ascii="Arial" w:hAnsi="Arial" w:cs="Arial"/>
          <w:lang w:val="es-ES"/>
        </w:rPr>
      </w:pPr>
    </w:p>
    <w:p w:rsidR="00503A41" w:rsidRPr="00993936" w:rsidRDefault="00503A41" w:rsidP="000452B8">
      <w:pPr>
        <w:autoSpaceDE w:val="0"/>
        <w:autoSpaceDN w:val="0"/>
        <w:adjustRightInd w:val="0"/>
        <w:jc w:val="both"/>
        <w:rPr>
          <w:rFonts w:ascii="Arial" w:hAnsi="Arial" w:cs="Arial"/>
          <w:lang w:val="es-ES"/>
        </w:rPr>
      </w:pPr>
    </w:p>
    <w:p w:rsidR="00503A41" w:rsidRPr="00993936" w:rsidRDefault="00503A41">
      <w:pPr>
        <w:rPr>
          <w:rFonts w:ascii="Arial" w:eastAsia="Times New Roman" w:hAnsi="Arial" w:cs="Arial"/>
          <w:snapToGrid w:val="0"/>
          <w:lang w:val="es-ES" w:eastAsia="ca-ES"/>
        </w:rPr>
      </w:pPr>
      <w:r w:rsidRPr="00993936">
        <w:rPr>
          <w:rFonts w:ascii="Arial" w:hAnsi="Arial" w:cs="Arial"/>
          <w:snapToGrid w:val="0"/>
          <w:lang w:val="es-ES"/>
        </w:rPr>
        <w:br w:type="page"/>
      </w:r>
    </w:p>
    <w:p w:rsidR="00503A41" w:rsidRPr="00993936" w:rsidRDefault="00503A41" w:rsidP="000452B8">
      <w:pPr>
        <w:pStyle w:val="Ttulo2"/>
        <w:rPr>
          <w:rFonts w:ascii="Arial" w:hAnsi="Arial" w:cs="Arial"/>
          <w:snapToGrid w:val="0"/>
          <w:color w:val="auto"/>
          <w:sz w:val="22"/>
          <w:szCs w:val="22"/>
          <w:lang w:val="es-ES"/>
        </w:rPr>
      </w:pPr>
      <w:r w:rsidRPr="00993936">
        <w:rPr>
          <w:rFonts w:ascii="Arial" w:hAnsi="Arial" w:cs="Arial"/>
          <w:snapToGrid w:val="0"/>
          <w:color w:val="auto"/>
          <w:sz w:val="22"/>
          <w:szCs w:val="22"/>
          <w:lang w:val="es-ES"/>
        </w:rPr>
        <w:lastRenderedPageBreak/>
        <w:t>ANEXO 3</w:t>
      </w:r>
    </w:p>
    <w:p w:rsidR="00503A41" w:rsidRPr="00993936" w:rsidRDefault="00503A41" w:rsidP="000452B8">
      <w:pPr>
        <w:rPr>
          <w:rFonts w:ascii="Arial" w:hAnsi="Arial" w:cs="Arial"/>
          <w:lang w:val="es-ES"/>
        </w:rPr>
      </w:pPr>
    </w:p>
    <w:p w:rsidR="00503A41" w:rsidRPr="00993936" w:rsidRDefault="00503A41" w:rsidP="000452B8">
      <w:pPr>
        <w:pStyle w:val="Textoindependiente2"/>
        <w:rPr>
          <w:rFonts w:cs="Arial"/>
          <w:sz w:val="22"/>
          <w:szCs w:val="22"/>
          <w:lang w:val="es-ES"/>
        </w:rPr>
      </w:pPr>
      <w:r w:rsidRPr="00993936">
        <w:rPr>
          <w:rFonts w:cs="Arial"/>
          <w:sz w:val="22"/>
          <w:szCs w:val="22"/>
          <w:lang w:val="es-ES"/>
        </w:rPr>
        <w:t>3.1 Materias activas de insecticidas para la Producción Integrada de frutales de hueso</w:t>
      </w:r>
      <w:r w:rsidRPr="00993936">
        <w:rPr>
          <w:rFonts w:cs="Arial"/>
          <w:vanish/>
          <w:sz w:val="22"/>
          <w:szCs w:val="22"/>
          <w:lang w:val="es-ES"/>
        </w:rPr>
        <w:t>&lt;A[hueso|pepita]&gt;</w:t>
      </w:r>
    </w:p>
    <w:p w:rsidR="00503A41" w:rsidRPr="00993936" w:rsidRDefault="00503A41" w:rsidP="000452B8">
      <w:pPr>
        <w:pStyle w:val="Textoindependiente2"/>
        <w:rPr>
          <w:rFonts w:cs="Arial"/>
          <w:sz w:val="22"/>
          <w:szCs w:val="22"/>
          <w:lang w:val="es-ES"/>
        </w:rPr>
      </w:pPr>
    </w:p>
    <w:p w:rsidR="00503A41" w:rsidRPr="00993936" w:rsidRDefault="00503A41" w:rsidP="000452B8">
      <w:pPr>
        <w:pStyle w:val="Textoindependiente2"/>
        <w:rPr>
          <w:rFonts w:cs="Arial"/>
          <w:sz w:val="22"/>
          <w:szCs w:val="22"/>
          <w:lang w:val="es-ES"/>
        </w:rPr>
      </w:pPr>
      <w:r w:rsidRPr="00993936">
        <w:rPr>
          <w:rFonts w:cs="Arial"/>
          <w:sz w:val="22"/>
          <w:szCs w:val="22"/>
          <w:lang w:val="es-ES"/>
        </w:rPr>
        <w:t>3.1.1 Melocotón y Nectarina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4"/>
        <w:gridCol w:w="1898"/>
        <w:gridCol w:w="2182"/>
        <w:gridCol w:w="2040"/>
      </w:tblGrid>
      <w:tr w:rsidR="00503A41" w:rsidRPr="00993936" w:rsidTr="000452B8">
        <w:trPr>
          <w:tblHeader/>
          <w:jc w:val="center"/>
        </w:trPr>
        <w:tc>
          <w:tcPr>
            <w:tcW w:w="1193"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PLAGA/ENFERMEDAD</w:t>
            </w:r>
          </w:p>
        </w:tc>
        <w:tc>
          <w:tcPr>
            <w:tcW w:w="1187"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UMBRAL DE TOLERANCIA</w:t>
            </w:r>
          </w:p>
        </w:tc>
        <w:tc>
          <w:tcPr>
            <w:tcW w:w="1351"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269" w:type="pct"/>
            <w:shd w:val="pct12" w:color="auto" w:fill="FFFFFF"/>
          </w:tcPr>
          <w:p w:rsidR="00503A41" w:rsidRPr="00993936" w:rsidRDefault="00503A41" w:rsidP="000452B8">
            <w:pPr>
              <w:pStyle w:val="Ttulo6"/>
              <w:rPr>
                <w:rFonts w:ascii="Arial" w:hAnsi="Arial" w:cs="Arial"/>
                <w:color w:val="auto"/>
                <w:lang w:val="es-ES"/>
              </w:rPr>
            </w:pPr>
            <w:r w:rsidRPr="00993936">
              <w:rPr>
                <w:rFonts w:ascii="Arial" w:hAnsi="Arial" w:cs="Arial"/>
                <w:color w:val="auto"/>
                <w:lang w:val="es-ES"/>
              </w:rPr>
              <w:t>RESTRICCIONES</w:t>
            </w:r>
          </w:p>
        </w:tc>
      </w:tr>
      <w:tr w:rsidR="00503A41" w:rsidRPr="00993936" w:rsidTr="000452B8">
        <w:trPr>
          <w:cantSplit/>
          <w:jc w:val="center"/>
        </w:trPr>
        <w:tc>
          <w:tcPr>
            <w:tcW w:w="1193" w:type="pct"/>
            <w:vMerge w:val="restart"/>
            <w:vAlign w:val="center"/>
          </w:tcPr>
          <w:p w:rsidR="00503A41" w:rsidRPr="00993936" w:rsidRDefault="00503A41" w:rsidP="001D205D">
            <w:pPr>
              <w:pStyle w:val="Ttulo9"/>
              <w:rPr>
                <w:rFonts w:ascii="Arial" w:hAnsi="Arial" w:cs="Arial"/>
                <w:b/>
                <w:snapToGrid w:val="0"/>
                <w:color w:val="auto"/>
                <w:szCs w:val="22"/>
                <w:lang w:val="es-ES"/>
              </w:rPr>
            </w:pPr>
            <w:r w:rsidRPr="00993936">
              <w:rPr>
                <w:rFonts w:ascii="Arial" w:hAnsi="Arial" w:cs="Arial"/>
                <w:color w:val="auto"/>
                <w:szCs w:val="22"/>
                <w:lang w:val="es-ES"/>
              </w:rPr>
              <w:t>Piojo de San José</w:t>
            </w:r>
          </w:p>
          <w:p w:rsidR="00503A41" w:rsidRPr="00993936" w:rsidRDefault="00503A41" w:rsidP="000452B8">
            <w:pPr>
              <w:rPr>
                <w:rFonts w:ascii="Arial" w:hAnsi="Arial" w:cs="Arial"/>
                <w:b/>
                <w:lang w:val="es-ES"/>
              </w:rPr>
            </w:pPr>
            <w:r w:rsidRPr="00993936">
              <w:rPr>
                <w:rFonts w:ascii="Arial" w:hAnsi="Arial" w:cs="Arial"/>
                <w:i/>
                <w:snapToGrid w:val="0"/>
                <w:sz w:val="20"/>
                <w:lang w:val="es-ES"/>
              </w:rPr>
              <w:t>Comstockaspis perniciosa</w:t>
            </w:r>
            <w:r w:rsidRPr="00993936">
              <w:rPr>
                <w:rFonts w:ascii="Arial" w:hAnsi="Arial" w:cs="Arial"/>
                <w:b/>
                <w:snapToGrid w:val="0"/>
                <w:sz w:val="20"/>
                <w:lang w:val="es-ES"/>
              </w:rPr>
              <w:t xml:space="preserve">  </w:t>
            </w:r>
          </w:p>
        </w:tc>
        <w:tc>
          <w:tcPr>
            <w:tcW w:w="1187"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Tratamientos de invierno: presencia en recolección o poda</w:t>
            </w:r>
          </w:p>
        </w:tc>
        <w:tc>
          <w:tcPr>
            <w:tcW w:w="1351" w:type="pct"/>
            <w:vAlign w:val="center"/>
          </w:tcPr>
          <w:p w:rsidR="00503A41" w:rsidRPr="00993936" w:rsidRDefault="00503A41" w:rsidP="001D205D">
            <w:pPr>
              <w:pStyle w:val="Sinespaciado"/>
              <w:rPr>
                <w:rFonts w:ascii="Arial" w:hAnsi="Arial" w:cs="Arial"/>
                <w:i/>
                <w:lang w:val="es-ES"/>
              </w:rPr>
            </w:pPr>
            <w:r w:rsidRPr="00993936">
              <w:rPr>
                <w:rFonts w:ascii="Arial" w:hAnsi="Arial" w:cs="Arial"/>
                <w:lang w:val="es-ES"/>
              </w:rPr>
              <w:t xml:space="preserve">Fenoxicarb </w:t>
            </w:r>
            <w:r w:rsidRPr="00993936">
              <w:rPr>
                <w:rFonts w:ascii="Arial" w:hAnsi="Arial" w:cs="Arial"/>
                <w:snapToGrid w:val="0"/>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Polisulfuro de calcio </w:t>
            </w:r>
          </w:p>
        </w:tc>
        <w:tc>
          <w:tcPr>
            <w:tcW w:w="1269" w:type="pct"/>
            <w:vMerge w:val="restart"/>
            <w:vAlign w:val="center"/>
          </w:tcPr>
          <w:p w:rsidR="00503A41" w:rsidRPr="00993936" w:rsidRDefault="00503A41" w:rsidP="009D1A2D">
            <w:pPr>
              <w:numPr>
                <w:ilvl w:val="0"/>
                <w:numId w:val="43"/>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43"/>
              </w:numPr>
              <w:spacing w:after="0" w:line="240" w:lineRule="auto"/>
              <w:rPr>
                <w:rFonts w:ascii="Arial" w:hAnsi="Arial" w:cs="Arial"/>
                <w:lang w:val="es-ES"/>
              </w:rPr>
            </w:pPr>
            <w:r w:rsidRPr="00993936">
              <w:rPr>
                <w:rFonts w:ascii="Arial" w:hAnsi="Arial" w:cs="Arial"/>
                <w:lang w:val="es-ES"/>
              </w:rPr>
              <w:t>Máximo 2 tratamiento/año</w:t>
            </w:r>
          </w:p>
          <w:p w:rsidR="00503A41" w:rsidRPr="00993936" w:rsidRDefault="00503A41" w:rsidP="009D1A2D">
            <w:pPr>
              <w:numPr>
                <w:ilvl w:val="0"/>
                <w:numId w:val="43"/>
              </w:numPr>
              <w:spacing w:after="0" w:line="240" w:lineRule="auto"/>
              <w:rPr>
                <w:rFonts w:ascii="Arial" w:hAnsi="Arial" w:cs="Arial"/>
                <w:snapToGrid w:val="0"/>
                <w:lang w:val="es-ES"/>
              </w:rPr>
            </w:pPr>
            <w:r w:rsidRPr="00993936">
              <w:rPr>
                <w:rFonts w:ascii="Arial" w:hAnsi="Arial" w:cs="Arial"/>
                <w:snapToGrid w:val="0"/>
                <w:lang w:val="es-ES"/>
              </w:rPr>
              <w:t>Sólo productos que no sean de clasificación toxicológica (T)</w:t>
            </w:r>
          </w:p>
          <w:p w:rsidR="00503A41" w:rsidRPr="00993936" w:rsidRDefault="00503A41" w:rsidP="000452B8">
            <w:pPr>
              <w:rPr>
                <w:rFonts w:ascii="Arial" w:hAnsi="Arial" w:cs="Arial"/>
                <w:lang w:val="es-ES"/>
              </w:rPr>
            </w:pPr>
          </w:p>
        </w:tc>
      </w:tr>
      <w:tr w:rsidR="00503A41" w:rsidRPr="00993936" w:rsidTr="000452B8">
        <w:trPr>
          <w:cantSplit/>
          <w:jc w:val="center"/>
        </w:trPr>
        <w:tc>
          <w:tcPr>
            <w:tcW w:w="1193" w:type="pct"/>
            <w:vMerge/>
            <w:vAlign w:val="center"/>
          </w:tcPr>
          <w:p w:rsidR="00503A41" w:rsidRPr="00993936" w:rsidRDefault="00503A41" w:rsidP="000452B8">
            <w:pPr>
              <w:rPr>
                <w:rFonts w:ascii="Arial" w:hAnsi="Arial" w:cs="Arial"/>
                <w:lang w:val="es-ES"/>
              </w:rPr>
            </w:pPr>
          </w:p>
        </w:tc>
        <w:tc>
          <w:tcPr>
            <w:tcW w:w="1187"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 prefloración: presencia en recolección o poda</w:t>
            </w:r>
          </w:p>
        </w:tc>
        <w:tc>
          <w:tcPr>
            <w:tcW w:w="1351"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Deltametrín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Metil-Clorpirifos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Piriproxifén</w:t>
            </w:r>
          </w:p>
        </w:tc>
        <w:tc>
          <w:tcPr>
            <w:tcW w:w="1269" w:type="pct"/>
            <w:vMerge/>
            <w:vAlign w:val="center"/>
          </w:tcPr>
          <w:p w:rsidR="00503A41" w:rsidRPr="00993936" w:rsidRDefault="00503A41" w:rsidP="000452B8">
            <w:pPr>
              <w:rPr>
                <w:rFonts w:ascii="Arial" w:hAnsi="Arial" w:cs="Arial"/>
                <w:lang w:val="es-ES"/>
              </w:rPr>
            </w:pPr>
          </w:p>
        </w:tc>
      </w:tr>
      <w:tr w:rsidR="00503A41" w:rsidRPr="00993936" w:rsidTr="000452B8">
        <w:trPr>
          <w:cantSplit/>
          <w:jc w:val="center"/>
        </w:trPr>
        <w:tc>
          <w:tcPr>
            <w:tcW w:w="1193" w:type="pct"/>
            <w:vMerge/>
            <w:vAlign w:val="center"/>
          </w:tcPr>
          <w:p w:rsidR="00503A41" w:rsidRPr="00993936" w:rsidRDefault="00503A41" w:rsidP="000452B8">
            <w:pPr>
              <w:rPr>
                <w:rFonts w:ascii="Arial" w:hAnsi="Arial" w:cs="Arial"/>
                <w:lang w:val="es-ES"/>
              </w:rPr>
            </w:pPr>
          </w:p>
        </w:tc>
        <w:tc>
          <w:tcPr>
            <w:tcW w:w="1187"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 1ª generación: &gt;2% de árboles ocupados por formas móviles</w:t>
            </w:r>
          </w:p>
        </w:tc>
        <w:tc>
          <w:tcPr>
            <w:tcW w:w="1351"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Metil-Clorpirifos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Piriproxifén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tc>
        <w:tc>
          <w:tcPr>
            <w:tcW w:w="1269" w:type="pct"/>
            <w:vMerge/>
            <w:vAlign w:val="center"/>
          </w:tcPr>
          <w:p w:rsidR="00503A41" w:rsidRPr="00993936" w:rsidRDefault="00503A41" w:rsidP="000452B8">
            <w:pPr>
              <w:rPr>
                <w:rFonts w:ascii="Arial" w:hAnsi="Arial" w:cs="Arial"/>
                <w:lang w:val="es-ES"/>
              </w:rPr>
            </w:pPr>
          </w:p>
        </w:tc>
      </w:tr>
      <w:tr w:rsidR="00503A41" w:rsidRPr="00993936" w:rsidTr="000452B8">
        <w:trPr>
          <w:cantSplit/>
          <w:jc w:val="center"/>
        </w:trPr>
        <w:tc>
          <w:tcPr>
            <w:tcW w:w="1193" w:type="pct"/>
            <w:vAlign w:val="center"/>
          </w:tcPr>
          <w:p w:rsidR="00503A41" w:rsidRPr="00993936" w:rsidRDefault="00503A41" w:rsidP="001D205D">
            <w:pPr>
              <w:pStyle w:val="Sinespaciado"/>
              <w:rPr>
                <w:rFonts w:ascii="Arial" w:hAnsi="Arial" w:cs="Arial"/>
                <w:snapToGrid w:val="0"/>
                <w:sz w:val="24"/>
                <w:lang w:val="es-ES"/>
              </w:rPr>
            </w:pPr>
            <w:r w:rsidRPr="00993936">
              <w:rPr>
                <w:rFonts w:ascii="Arial" w:hAnsi="Arial" w:cs="Arial"/>
                <w:sz w:val="24"/>
                <w:lang w:val="es-ES"/>
              </w:rPr>
              <w:t>Pulgones</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 xml:space="preserve">Myzus persicae  </w:t>
            </w:r>
          </w:p>
          <w:p w:rsidR="00503A41" w:rsidRPr="00993936" w:rsidRDefault="00503A41" w:rsidP="001D205D">
            <w:pPr>
              <w:pStyle w:val="Sinespaciado"/>
              <w:rPr>
                <w:rFonts w:ascii="Arial" w:hAnsi="Arial" w:cs="Arial"/>
                <w:lang w:val="es-ES"/>
              </w:rPr>
            </w:pPr>
            <w:r w:rsidRPr="00993936">
              <w:rPr>
                <w:rFonts w:ascii="Arial" w:hAnsi="Arial" w:cs="Arial"/>
                <w:i/>
                <w:snapToGrid w:val="0"/>
                <w:lang w:val="es-ES"/>
              </w:rPr>
              <w:t>Brachycaudus swchartzi</w:t>
            </w:r>
          </w:p>
        </w:tc>
        <w:tc>
          <w:tcPr>
            <w:tcW w:w="1187"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Prefloración: presencia</w:t>
            </w:r>
          </w:p>
          <w:p w:rsidR="00503A41" w:rsidRPr="00993936" w:rsidRDefault="00503A41" w:rsidP="001D205D">
            <w:pPr>
              <w:pStyle w:val="Sinespaciado"/>
              <w:rPr>
                <w:rFonts w:ascii="Arial" w:hAnsi="Arial" w:cs="Arial"/>
                <w:lang w:val="es-ES"/>
              </w:rPr>
            </w:pPr>
            <w:r w:rsidRPr="00993936">
              <w:rPr>
                <w:rFonts w:ascii="Arial" w:hAnsi="Arial" w:cs="Arial"/>
                <w:lang w:val="es-ES"/>
              </w:rPr>
              <w:t>Postfloración:</w:t>
            </w:r>
          </w:p>
          <w:p w:rsidR="00503A41" w:rsidRPr="00993936" w:rsidRDefault="00503A41" w:rsidP="001D205D">
            <w:pPr>
              <w:pStyle w:val="Sinespaciado"/>
              <w:rPr>
                <w:rFonts w:ascii="Arial" w:hAnsi="Arial" w:cs="Arial"/>
                <w:lang w:val="es-ES"/>
              </w:rPr>
            </w:pPr>
            <w:r w:rsidRPr="00993936">
              <w:rPr>
                <w:rFonts w:ascii="Arial" w:hAnsi="Arial" w:cs="Arial"/>
                <w:lang w:val="es-ES"/>
              </w:rPr>
              <w:t>Myzus (préssec=3%, nectarina=1% de árboles ocupados)</w:t>
            </w:r>
          </w:p>
          <w:p w:rsidR="00503A41" w:rsidRPr="00993936" w:rsidRDefault="00503A41" w:rsidP="001D205D">
            <w:pPr>
              <w:pStyle w:val="Sinespaciado"/>
              <w:rPr>
                <w:rFonts w:ascii="Arial" w:hAnsi="Arial" w:cs="Arial"/>
                <w:lang w:val="es-ES"/>
              </w:rPr>
            </w:pPr>
            <w:r w:rsidRPr="00993936">
              <w:rPr>
                <w:rFonts w:ascii="Arial" w:hAnsi="Arial" w:cs="Arial"/>
                <w:lang w:val="es-ES"/>
              </w:rPr>
              <w:t>Brachycaudus (5% de árboles atacados)</w:t>
            </w:r>
          </w:p>
        </w:tc>
        <w:tc>
          <w:tcPr>
            <w:tcW w:w="1351"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Acetamiprid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Cipermetrín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Clotianidina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 + Tiacloprid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Esfenvalerat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Flonicamid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Imidacloprid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Lamba-cihalotrín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Lambda-cihalotrín + Tiametoxam</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Metil-Clorpirifos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Pimetrozina (2)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Pirimicarb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Tau-fluvalinat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Tiacloprid (2)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Tiametoxam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Zeta-cipermetrín</w:t>
            </w:r>
          </w:p>
        </w:tc>
        <w:tc>
          <w:tcPr>
            <w:tcW w:w="1269" w:type="pct"/>
            <w:vMerge/>
            <w:vAlign w:val="center"/>
          </w:tcPr>
          <w:p w:rsidR="00503A41" w:rsidRPr="00993936" w:rsidRDefault="00503A41" w:rsidP="000452B8">
            <w:pPr>
              <w:rPr>
                <w:rFonts w:ascii="Arial" w:hAnsi="Arial" w:cs="Arial"/>
                <w:lang w:val="es-ES"/>
              </w:rPr>
            </w:pPr>
          </w:p>
        </w:tc>
      </w:tr>
    </w:tbl>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441998">
      <w:pPr>
        <w:pStyle w:val="Textoindependiente2"/>
        <w:rPr>
          <w:rFonts w:cs="Arial"/>
          <w:szCs w:val="22"/>
          <w:lang w:val="es-ES"/>
        </w:rPr>
      </w:pPr>
      <w:r w:rsidRPr="00993936">
        <w:rPr>
          <w:rFonts w:cs="Arial"/>
          <w:szCs w:val="22"/>
          <w:lang w:val="es-ES"/>
        </w:rPr>
        <w:br w:type="page"/>
      </w:r>
    </w:p>
    <w:p w:rsidR="00503A41" w:rsidRPr="00993936" w:rsidRDefault="00503A41" w:rsidP="000452B8">
      <w:pPr>
        <w:pStyle w:val="Textoindependiente2"/>
        <w:rPr>
          <w:rFonts w:cs="Arial"/>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3"/>
        <w:gridCol w:w="2574"/>
        <w:gridCol w:w="2104"/>
        <w:gridCol w:w="1983"/>
      </w:tblGrid>
      <w:tr w:rsidR="00503A41" w:rsidRPr="00993936" w:rsidTr="001D205D">
        <w:trPr>
          <w:tblHeader/>
          <w:jc w:val="center"/>
        </w:trPr>
        <w:tc>
          <w:tcPr>
            <w:tcW w:w="125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18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UMBRAL DE TOLERANCIA</w:t>
            </w:r>
          </w:p>
        </w:tc>
        <w:tc>
          <w:tcPr>
            <w:tcW w:w="132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250" w:type="pct"/>
            <w:tcBorders>
              <w:bottom w:val="nil"/>
            </w:tcBorders>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trHeight w:val="1471"/>
          <w:jc w:val="center"/>
        </w:trPr>
        <w:tc>
          <w:tcPr>
            <w:tcW w:w="1250" w:type="pct"/>
            <w:vAlign w:val="center"/>
          </w:tcPr>
          <w:p w:rsidR="00503A41" w:rsidRPr="00993936" w:rsidRDefault="00503A41" w:rsidP="001D205D">
            <w:pPr>
              <w:pStyle w:val="Ttulo9"/>
              <w:rPr>
                <w:rFonts w:ascii="Arial" w:hAnsi="Arial" w:cs="Arial"/>
                <w:color w:val="auto"/>
                <w:szCs w:val="22"/>
                <w:lang w:val="es-ES"/>
              </w:rPr>
            </w:pPr>
            <w:r w:rsidRPr="00993936">
              <w:rPr>
                <w:rFonts w:ascii="Arial" w:hAnsi="Arial" w:cs="Arial"/>
                <w:color w:val="auto"/>
                <w:szCs w:val="22"/>
                <w:lang w:val="es-ES"/>
              </w:rPr>
              <w:t>Trips</w:t>
            </w:r>
            <w:r w:rsidRPr="00993936">
              <w:rPr>
                <w:rFonts w:ascii="Arial" w:hAnsi="Arial" w:cs="Arial"/>
                <w:snapToGrid w:val="0"/>
                <w:color w:val="auto"/>
                <w:szCs w:val="22"/>
                <w:lang w:val="es-ES"/>
              </w:rPr>
              <w:t xml:space="preserve"> sp</w:t>
            </w:r>
          </w:p>
          <w:p w:rsidR="00503A41" w:rsidRPr="00993936" w:rsidRDefault="00503A41" w:rsidP="001D205D">
            <w:pPr>
              <w:rPr>
                <w:rFonts w:ascii="Arial" w:hAnsi="Arial" w:cs="Arial"/>
                <w:snapToGrid w:val="0"/>
                <w:lang w:val="es-ES"/>
              </w:rPr>
            </w:pPr>
            <w:r w:rsidRPr="00993936">
              <w:rPr>
                <w:rFonts w:ascii="Arial" w:hAnsi="Arial" w:cs="Arial"/>
                <w:i/>
                <w:snapToGrid w:val="0"/>
                <w:lang w:val="es-ES"/>
              </w:rPr>
              <w:t xml:space="preserve">Frankliniella occidentalis </w:t>
            </w:r>
          </w:p>
          <w:p w:rsidR="00503A41" w:rsidRPr="00993936" w:rsidRDefault="00503A41" w:rsidP="001D205D">
            <w:pPr>
              <w:pStyle w:val="Ttulo9"/>
              <w:rPr>
                <w:rFonts w:ascii="Arial" w:hAnsi="Arial" w:cs="Arial"/>
                <w:b/>
                <w:i w:val="0"/>
                <w:color w:val="auto"/>
                <w:szCs w:val="22"/>
                <w:lang w:val="es-ES"/>
              </w:rPr>
            </w:pPr>
          </w:p>
        </w:tc>
        <w:tc>
          <w:tcPr>
            <w:tcW w:w="1180" w:type="pct"/>
            <w:vAlign w:val="center"/>
          </w:tcPr>
          <w:p w:rsidR="00503A41" w:rsidRPr="00993936" w:rsidRDefault="00503A41" w:rsidP="001D205D">
            <w:pPr>
              <w:pStyle w:val="Sinespaciado"/>
              <w:rPr>
                <w:rFonts w:ascii="Arial" w:hAnsi="Arial" w:cs="Arial"/>
                <w:i/>
                <w:lang w:val="es-ES"/>
              </w:rPr>
            </w:pPr>
            <w:r w:rsidRPr="00993936">
              <w:rPr>
                <w:rFonts w:ascii="Arial" w:hAnsi="Arial" w:cs="Arial"/>
                <w:lang w:val="es-ES"/>
              </w:rPr>
              <w:t>5% de flores o frutos ocupados</w:t>
            </w:r>
          </w:p>
        </w:tc>
        <w:tc>
          <w:tcPr>
            <w:tcW w:w="132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Acrinatín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Beauveria bassiana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Betaciflutrina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Lambda-cihalotrín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Metil-clopirifós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Espinosad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Tau-fluvalinat (3)</w:t>
            </w:r>
          </w:p>
        </w:tc>
        <w:tc>
          <w:tcPr>
            <w:tcW w:w="1250" w:type="pct"/>
            <w:vMerge w:val="restart"/>
            <w:vAlign w:val="center"/>
          </w:tcPr>
          <w:p w:rsidR="00503A41" w:rsidRPr="00993936" w:rsidRDefault="00503A41" w:rsidP="009D1A2D">
            <w:pPr>
              <w:numPr>
                <w:ilvl w:val="0"/>
                <w:numId w:val="66"/>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66"/>
              </w:numPr>
              <w:spacing w:after="0" w:line="240" w:lineRule="auto"/>
              <w:rPr>
                <w:rFonts w:ascii="Arial" w:hAnsi="Arial" w:cs="Arial"/>
                <w:lang w:val="es-ES"/>
              </w:rPr>
            </w:pPr>
            <w:r w:rsidRPr="00993936">
              <w:rPr>
                <w:rFonts w:ascii="Arial" w:hAnsi="Arial" w:cs="Arial"/>
                <w:lang w:val="es-ES"/>
              </w:rPr>
              <w:t>Máximo 2 tratamiento/año</w:t>
            </w:r>
          </w:p>
          <w:p w:rsidR="00503A41" w:rsidRPr="00993936" w:rsidRDefault="00503A41" w:rsidP="009D1A2D">
            <w:pPr>
              <w:numPr>
                <w:ilvl w:val="0"/>
                <w:numId w:val="66"/>
              </w:numPr>
              <w:spacing w:after="0" w:line="240" w:lineRule="auto"/>
              <w:rPr>
                <w:rFonts w:ascii="Arial" w:hAnsi="Arial" w:cs="Arial"/>
                <w:snapToGrid w:val="0"/>
                <w:lang w:val="es-ES"/>
              </w:rPr>
            </w:pPr>
            <w:r w:rsidRPr="00993936">
              <w:rPr>
                <w:rFonts w:ascii="Arial" w:hAnsi="Arial" w:cs="Arial"/>
                <w:snapToGrid w:val="0"/>
                <w:lang w:val="es-ES"/>
              </w:rPr>
              <w:t>Sólo productos que no sean de clasificación toxicológica (T)</w:t>
            </w:r>
          </w:p>
          <w:p w:rsidR="00503A41" w:rsidRPr="00993936" w:rsidRDefault="00503A41" w:rsidP="000452B8">
            <w:pPr>
              <w:rPr>
                <w:rFonts w:ascii="Arial" w:hAnsi="Arial" w:cs="Arial"/>
                <w:lang w:val="es-ES"/>
              </w:rPr>
            </w:pPr>
            <w:r w:rsidRPr="00993936">
              <w:rPr>
                <w:rFonts w:ascii="Arial" w:hAnsi="Arial" w:cs="Arial"/>
                <w:lang w:val="es-ES"/>
              </w:rPr>
              <w:t xml:space="preserve"> </w:t>
            </w:r>
          </w:p>
        </w:tc>
      </w:tr>
      <w:tr w:rsidR="00503A41" w:rsidRPr="00993936" w:rsidTr="000452B8">
        <w:trPr>
          <w:cantSplit/>
          <w:trHeight w:val="1270"/>
          <w:jc w:val="center"/>
        </w:trPr>
        <w:tc>
          <w:tcPr>
            <w:tcW w:w="1250" w:type="pct"/>
            <w:vAlign w:val="center"/>
          </w:tcPr>
          <w:p w:rsidR="00503A41" w:rsidRPr="00993936" w:rsidRDefault="00503A41" w:rsidP="001D205D">
            <w:pPr>
              <w:pStyle w:val="Ttulo9"/>
              <w:rPr>
                <w:rFonts w:ascii="Arial" w:hAnsi="Arial" w:cs="Arial"/>
                <w:snapToGrid w:val="0"/>
                <w:color w:val="auto"/>
                <w:szCs w:val="22"/>
                <w:lang w:val="es-ES"/>
              </w:rPr>
            </w:pPr>
            <w:r w:rsidRPr="00993936">
              <w:rPr>
                <w:rFonts w:ascii="Arial" w:hAnsi="Arial" w:cs="Arial"/>
                <w:color w:val="auto"/>
                <w:szCs w:val="22"/>
                <w:lang w:val="es-ES"/>
              </w:rPr>
              <w:t>Anarsia</w:t>
            </w:r>
          </w:p>
          <w:p w:rsidR="00503A41" w:rsidRPr="00993936" w:rsidRDefault="00503A41" w:rsidP="001D205D">
            <w:pPr>
              <w:rPr>
                <w:rFonts w:ascii="Arial" w:hAnsi="Arial" w:cs="Arial"/>
                <w:lang w:val="es-ES"/>
              </w:rPr>
            </w:pPr>
            <w:r w:rsidRPr="00993936">
              <w:rPr>
                <w:rFonts w:ascii="Arial" w:hAnsi="Arial" w:cs="Arial"/>
                <w:i/>
                <w:snapToGrid w:val="0"/>
                <w:lang w:val="es-ES"/>
              </w:rPr>
              <w:t xml:space="preserve">Anarsia lineatella </w:t>
            </w:r>
            <w:r w:rsidRPr="00993936">
              <w:rPr>
                <w:rFonts w:ascii="Arial" w:hAnsi="Arial" w:cs="Arial"/>
                <w:snapToGrid w:val="0"/>
                <w:lang w:val="es-ES"/>
              </w:rPr>
              <w:t xml:space="preserve"> </w:t>
            </w:r>
          </w:p>
        </w:tc>
        <w:tc>
          <w:tcPr>
            <w:tcW w:w="1180" w:type="pct"/>
            <w:vMerge w:val="restart"/>
            <w:vAlign w:val="center"/>
          </w:tcPr>
          <w:p w:rsidR="00503A41" w:rsidRPr="00993936" w:rsidRDefault="00503A41" w:rsidP="001D205D">
            <w:pPr>
              <w:pStyle w:val="Sinespaciado"/>
              <w:rPr>
                <w:rFonts w:ascii="Arial" w:hAnsi="Arial" w:cs="Arial"/>
                <w:lang w:val="es-ES"/>
              </w:rPr>
            </w:pPr>
            <w:r w:rsidRPr="00993936">
              <w:rPr>
                <w:rFonts w:ascii="Arial" w:hAnsi="Arial" w:cs="Arial"/>
                <w:i/>
                <w:lang w:val="es-ES"/>
              </w:rPr>
              <w:t>Anarsia</w:t>
            </w:r>
            <w:r w:rsidRPr="00993936">
              <w:rPr>
                <w:rFonts w:ascii="Arial" w:hAnsi="Arial" w:cs="Arial"/>
                <w:lang w:val="es-ES"/>
              </w:rPr>
              <w:t xml:space="preserve">: 7 capturas/trampa/semana (INRA); </w:t>
            </w:r>
          </w:p>
          <w:p w:rsidR="00503A41" w:rsidRPr="00993936" w:rsidRDefault="00503A41" w:rsidP="001D205D">
            <w:pPr>
              <w:pStyle w:val="Sinespaciado"/>
              <w:rPr>
                <w:rFonts w:ascii="Arial" w:hAnsi="Arial" w:cs="Arial"/>
                <w:lang w:val="es-ES"/>
              </w:rPr>
            </w:pPr>
            <w:r w:rsidRPr="00993936">
              <w:rPr>
                <w:rFonts w:ascii="Arial" w:hAnsi="Arial" w:cs="Arial"/>
                <w:lang w:val="es-ES"/>
              </w:rPr>
              <w:t>3% de brotes atacados y/o 1% frutos atacados</w:t>
            </w:r>
          </w:p>
          <w:p w:rsidR="00503A41" w:rsidRPr="00993936" w:rsidRDefault="00503A41" w:rsidP="001D205D">
            <w:pPr>
              <w:pStyle w:val="Sinespaciado"/>
              <w:rPr>
                <w:rFonts w:ascii="Arial" w:hAnsi="Arial" w:cs="Arial"/>
                <w:lang w:val="es-ES"/>
              </w:rPr>
            </w:pPr>
            <w:r w:rsidRPr="00993936">
              <w:rPr>
                <w:rFonts w:ascii="Arial" w:hAnsi="Arial" w:cs="Arial"/>
                <w:i/>
                <w:lang w:val="es-ES"/>
              </w:rPr>
              <w:t>Cydia</w:t>
            </w:r>
            <w:r w:rsidRPr="00993936">
              <w:rPr>
                <w:rFonts w:ascii="Arial" w:hAnsi="Arial" w:cs="Arial"/>
                <w:lang w:val="es-ES"/>
              </w:rPr>
              <w:t xml:space="preserve">: 15 capturas/trampa/semana (Wageningen); </w:t>
            </w:r>
          </w:p>
          <w:p w:rsidR="00503A41" w:rsidRPr="00993936" w:rsidRDefault="00503A41" w:rsidP="001D205D">
            <w:pPr>
              <w:pStyle w:val="Sinespaciado"/>
              <w:rPr>
                <w:rFonts w:ascii="Arial" w:hAnsi="Arial" w:cs="Arial"/>
                <w:lang w:val="es-ES"/>
              </w:rPr>
            </w:pPr>
            <w:r w:rsidRPr="00993936">
              <w:rPr>
                <w:rFonts w:ascii="Arial" w:hAnsi="Arial" w:cs="Arial"/>
                <w:lang w:val="es-ES"/>
              </w:rPr>
              <w:t>3% de brotes atacados y/o 1% frutos atacados</w:t>
            </w:r>
          </w:p>
        </w:tc>
        <w:tc>
          <w:tcPr>
            <w:tcW w:w="1320" w:type="pct"/>
            <w:vAlign w:val="center"/>
          </w:tcPr>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Bacillus thuringensis kurstaki</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Betaciflutrina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Clorantraniliprol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i/>
                <w:lang w:val="es-ES"/>
              </w:rPr>
            </w:pPr>
            <w:r w:rsidRPr="00993936">
              <w:rPr>
                <w:rFonts w:ascii="Arial" w:hAnsi="Arial" w:cs="Arial"/>
                <w:lang w:val="es-ES"/>
              </w:rPr>
              <w:t xml:space="preserve">Etofenprox </w:t>
            </w:r>
            <w:r w:rsidRPr="00993936">
              <w:rPr>
                <w:rFonts w:ascii="Arial" w:hAnsi="Arial" w:cs="Arial"/>
                <w:i/>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 (3)</w:t>
            </w:r>
          </w:p>
        </w:tc>
        <w:tc>
          <w:tcPr>
            <w:tcW w:w="1250" w:type="pct"/>
            <w:vMerge/>
            <w:vAlign w:val="center"/>
          </w:tcPr>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1D205D">
            <w:pPr>
              <w:pStyle w:val="Ttulo9"/>
              <w:rPr>
                <w:rFonts w:ascii="Arial" w:hAnsi="Arial" w:cs="Arial"/>
                <w:color w:val="auto"/>
                <w:szCs w:val="22"/>
                <w:lang w:val="es-ES"/>
              </w:rPr>
            </w:pPr>
            <w:r w:rsidRPr="00993936">
              <w:rPr>
                <w:rFonts w:ascii="Arial" w:hAnsi="Arial" w:cs="Arial"/>
                <w:color w:val="auto"/>
                <w:szCs w:val="22"/>
                <w:lang w:val="es-ES"/>
              </w:rPr>
              <w:t>Grafolita</w:t>
            </w:r>
          </w:p>
          <w:p w:rsidR="00503A41" w:rsidRPr="00993936" w:rsidRDefault="00503A41" w:rsidP="001D205D">
            <w:pPr>
              <w:rPr>
                <w:rFonts w:ascii="Arial" w:hAnsi="Arial" w:cs="Arial"/>
                <w:i/>
                <w:lang w:val="es-ES"/>
              </w:rPr>
            </w:pPr>
            <w:r w:rsidRPr="00993936">
              <w:rPr>
                <w:rFonts w:ascii="Arial" w:hAnsi="Arial" w:cs="Arial"/>
                <w:i/>
                <w:lang w:val="es-ES"/>
              </w:rPr>
              <w:t>Cydia molesta</w:t>
            </w:r>
          </w:p>
        </w:tc>
        <w:tc>
          <w:tcPr>
            <w:tcW w:w="1180" w:type="pct"/>
            <w:vMerge/>
            <w:vAlign w:val="center"/>
          </w:tcPr>
          <w:p w:rsidR="00503A41" w:rsidRPr="00993936" w:rsidRDefault="00503A41" w:rsidP="001D205D">
            <w:pPr>
              <w:pStyle w:val="Sinespaciado"/>
              <w:rPr>
                <w:rFonts w:ascii="Arial" w:hAnsi="Arial" w:cs="Arial"/>
                <w:lang w:val="es-ES"/>
              </w:rPr>
            </w:pPr>
          </w:p>
        </w:tc>
        <w:tc>
          <w:tcPr>
            <w:tcW w:w="132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Clorantraniliprol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Esfenvalerat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Tiacloprid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Virus de la granulosis de la Carpocapsa</w:t>
            </w:r>
          </w:p>
        </w:tc>
        <w:tc>
          <w:tcPr>
            <w:tcW w:w="1250" w:type="pct"/>
            <w:vMerge/>
          </w:tcPr>
          <w:p w:rsidR="00503A41" w:rsidRPr="00993936" w:rsidRDefault="00503A41" w:rsidP="000452B8">
            <w:pPr>
              <w:rPr>
                <w:rFonts w:ascii="Arial" w:hAnsi="Arial" w:cs="Arial"/>
                <w:lang w:val="es-ES"/>
              </w:rPr>
            </w:pPr>
          </w:p>
        </w:tc>
      </w:tr>
      <w:tr w:rsidR="00503A41" w:rsidRPr="00993936" w:rsidTr="000452B8">
        <w:trPr>
          <w:cantSplit/>
          <w:trHeight w:val="2266"/>
          <w:jc w:val="center"/>
        </w:trPr>
        <w:tc>
          <w:tcPr>
            <w:tcW w:w="1250" w:type="pct"/>
            <w:vAlign w:val="center"/>
          </w:tcPr>
          <w:p w:rsidR="00503A41" w:rsidRPr="00993936" w:rsidRDefault="00503A41" w:rsidP="001D205D">
            <w:pPr>
              <w:pStyle w:val="Ttulo9"/>
              <w:rPr>
                <w:rFonts w:ascii="Arial" w:hAnsi="Arial" w:cs="Arial"/>
                <w:b/>
                <w:i w:val="0"/>
                <w:snapToGrid w:val="0"/>
                <w:color w:val="auto"/>
                <w:szCs w:val="22"/>
                <w:lang w:val="es-ES"/>
              </w:rPr>
            </w:pPr>
            <w:r w:rsidRPr="00993936">
              <w:rPr>
                <w:rFonts w:ascii="Arial" w:hAnsi="Arial" w:cs="Arial"/>
                <w:snapToGrid w:val="0"/>
                <w:color w:val="auto"/>
                <w:szCs w:val="22"/>
                <w:lang w:val="es-ES"/>
              </w:rPr>
              <w:t>Anarsia + Grafolita</w:t>
            </w:r>
          </w:p>
          <w:p w:rsidR="00503A41" w:rsidRPr="00993936" w:rsidRDefault="00503A41" w:rsidP="001D205D">
            <w:pPr>
              <w:rPr>
                <w:rFonts w:ascii="Arial" w:hAnsi="Arial" w:cs="Arial"/>
                <w:i/>
                <w:lang w:val="es-ES"/>
              </w:rPr>
            </w:pPr>
            <w:r w:rsidRPr="00993936">
              <w:rPr>
                <w:rFonts w:ascii="Arial" w:hAnsi="Arial" w:cs="Arial"/>
                <w:i/>
                <w:lang w:val="es-ES"/>
              </w:rPr>
              <w:t>Anarsia lineatella + Cydia molesta</w:t>
            </w:r>
          </w:p>
        </w:tc>
        <w:tc>
          <w:tcPr>
            <w:tcW w:w="1180" w:type="pct"/>
            <w:vMerge/>
            <w:vAlign w:val="center"/>
          </w:tcPr>
          <w:p w:rsidR="00503A41" w:rsidRPr="00993936" w:rsidRDefault="00503A41" w:rsidP="000452B8">
            <w:pPr>
              <w:rPr>
                <w:rFonts w:ascii="Arial" w:hAnsi="Arial" w:cs="Arial"/>
                <w:lang w:val="es-ES"/>
              </w:rPr>
            </w:pPr>
          </w:p>
        </w:tc>
        <w:tc>
          <w:tcPr>
            <w:tcW w:w="132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Betaciflutrín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 + Tiacloprid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Espinosad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Fosmet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Indoxacarb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confusión sexual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Metoxifenocida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Triflumuró</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Zeta-cipermetrín</w:t>
            </w:r>
          </w:p>
        </w:tc>
        <w:tc>
          <w:tcPr>
            <w:tcW w:w="1250" w:type="pct"/>
            <w:vMerge/>
          </w:tcPr>
          <w:p w:rsidR="00503A41" w:rsidRPr="00993936" w:rsidRDefault="00503A41" w:rsidP="000452B8">
            <w:pPr>
              <w:rPr>
                <w:rFonts w:ascii="Arial" w:hAnsi="Arial" w:cs="Arial"/>
                <w:lang w:val="es-ES"/>
              </w:rPr>
            </w:pPr>
          </w:p>
        </w:tc>
      </w:tr>
    </w:tbl>
    <w:p w:rsidR="00503A41" w:rsidRPr="00993936" w:rsidRDefault="00503A41" w:rsidP="000452B8">
      <w:pPr>
        <w:rPr>
          <w:rFonts w:ascii="Arial" w:hAnsi="Arial" w:cs="Arial"/>
          <w:lang w:val="es-ES"/>
        </w:rPr>
      </w:pPr>
    </w:p>
    <w:p w:rsidR="00503A41" w:rsidRPr="00993936" w:rsidRDefault="00503A41">
      <w:pPr>
        <w:rPr>
          <w:rFonts w:ascii="Arial" w:hAnsi="Arial" w:cs="Arial"/>
          <w:lang w:val="es-ES"/>
        </w:rPr>
      </w:pPr>
      <w:r w:rsidRPr="00993936">
        <w:rPr>
          <w:rFonts w:ascii="Arial" w:hAnsi="Arial" w:cs="Arial"/>
          <w:lang w:val="es-ES"/>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1"/>
        <w:gridCol w:w="2040"/>
        <w:gridCol w:w="2282"/>
        <w:gridCol w:w="2161"/>
      </w:tblGrid>
      <w:tr w:rsidR="00503A41" w:rsidRPr="00993936" w:rsidTr="001D205D">
        <w:trPr>
          <w:cantSplit/>
          <w:jc w:val="center"/>
        </w:trPr>
        <w:tc>
          <w:tcPr>
            <w:tcW w:w="1250" w:type="pct"/>
            <w:shd w:val="clear" w:color="auto" w:fill="D9D9D9" w:themeFill="background1" w:themeFillShade="D9"/>
          </w:tcPr>
          <w:p w:rsidR="00503A41" w:rsidRPr="00993936" w:rsidRDefault="00503A41" w:rsidP="001D205D">
            <w:pPr>
              <w:jc w:val="center"/>
              <w:rPr>
                <w:rFonts w:ascii="Arial" w:hAnsi="Arial" w:cs="Arial"/>
                <w:b/>
                <w:lang w:val="es-ES"/>
              </w:rPr>
            </w:pPr>
            <w:r w:rsidRPr="00993936">
              <w:rPr>
                <w:rFonts w:ascii="Arial" w:hAnsi="Arial" w:cs="Arial"/>
                <w:b/>
                <w:lang w:val="es-ES"/>
              </w:rPr>
              <w:lastRenderedPageBreak/>
              <w:t>PLAGA</w:t>
            </w:r>
          </w:p>
        </w:tc>
        <w:tc>
          <w:tcPr>
            <w:tcW w:w="1180" w:type="pct"/>
            <w:shd w:val="clear" w:color="auto" w:fill="D9D9D9" w:themeFill="background1" w:themeFillShade="D9"/>
          </w:tcPr>
          <w:p w:rsidR="00503A41" w:rsidRPr="00993936" w:rsidRDefault="00503A41" w:rsidP="001D205D">
            <w:pPr>
              <w:jc w:val="center"/>
              <w:rPr>
                <w:rFonts w:ascii="Arial" w:hAnsi="Arial" w:cs="Arial"/>
                <w:b/>
                <w:lang w:val="es-ES"/>
              </w:rPr>
            </w:pPr>
            <w:r w:rsidRPr="00993936">
              <w:rPr>
                <w:rFonts w:ascii="Arial" w:hAnsi="Arial" w:cs="Arial"/>
                <w:b/>
                <w:lang w:val="es-ES"/>
              </w:rPr>
              <w:t>UMBRAL DE TOLERANCIA</w:t>
            </w:r>
          </w:p>
        </w:tc>
        <w:tc>
          <w:tcPr>
            <w:tcW w:w="1320" w:type="pct"/>
            <w:shd w:val="clear" w:color="auto" w:fill="D9D9D9" w:themeFill="background1" w:themeFillShade="D9"/>
          </w:tcPr>
          <w:p w:rsidR="00503A41" w:rsidRPr="00993936" w:rsidRDefault="00503A41" w:rsidP="001D205D">
            <w:pPr>
              <w:jc w:val="center"/>
              <w:rPr>
                <w:rFonts w:ascii="Arial" w:hAnsi="Arial" w:cs="Arial"/>
                <w:b/>
                <w:lang w:val="es-ES"/>
              </w:rPr>
            </w:pPr>
            <w:r w:rsidRPr="00993936">
              <w:rPr>
                <w:rFonts w:ascii="Arial" w:hAnsi="Arial" w:cs="Arial"/>
                <w:b/>
                <w:lang w:val="es-ES"/>
              </w:rPr>
              <w:t>MATERIA ACTIVA</w:t>
            </w:r>
          </w:p>
        </w:tc>
        <w:tc>
          <w:tcPr>
            <w:tcW w:w="1250" w:type="pct"/>
            <w:shd w:val="clear" w:color="auto" w:fill="D9D9D9" w:themeFill="background1" w:themeFillShade="D9"/>
          </w:tcPr>
          <w:p w:rsidR="00503A41" w:rsidRPr="00993936" w:rsidRDefault="00503A41" w:rsidP="001D205D">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jc w:val="center"/>
        </w:trPr>
        <w:tc>
          <w:tcPr>
            <w:tcW w:w="1250" w:type="pct"/>
            <w:vAlign w:val="center"/>
          </w:tcPr>
          <w:p w:rsidR="00503A41" w:rsidRPr="00993936" w:rsidRDefault="00503A41" w:rsidP="001D205D">
            <w:pPr>
              <w:pStyle w:val="Ttulo9"/>
              <w:rPr>
                <w:rFonts w:ascii="Arial" w:hAnsi="Arial" w:cs="Arial"/>
                <w:color w:val="auto"/>
                <w:szCs w:val="22"/>
                <w:lang w:val="es-ES"/>
              </w:rPr>
            </w:pPr>
            <w:r w:rsidRPr="00993936">
              <w:rPr>
                <w:rFonts w:ascii="Arial" w:hAnsi="Arial" w:cs="Arial"/>
                <w:color w:val="auto"/>
                <w:szCs w:val="22"/>
                <w:lang w:val="es-ES"/>
              </w:rPr>
              <w:t>Mosca de la fruta</w:t>
            </w:r>
          </w:p>
          <w:p w:rsidR="00503A41" w:rsidRPr="00993936" w:rsidRDefault="00503A41" w:rsidP="001D205D">
            <w:pPr>
              <w:rPr>
                <w:rFonts w:ascii="Arial" w:hAnsi="Arial" w:cs="Arial"/>
                <w:i/>
                <w:lang w:val="es-ES"/>
              </w:rPr>
            </w:pPr>
            <w:r w:rsidRPr="00993936">
              <w:rPr>
                <w:rFonts w:ascii="Arial" w:hAnsi="Arial" w:cs="Arial"/>
                <w:i/>
                <w:lang w:val="es-ES"/>
              </w:rPr>
              <w:t>Ceratitis capitata</w:t>
            </w:r>
          </w:p>
        </w:tc>
        <w:tc>
          <w:tcPr>
            <w:tcW w:w="1180" w:type="pct"/>
            <w:vAlign w:val="center"/>
          </w:tcPr>
          <w:p w:rsidR="00503A41" w:rsidRPr="00993936" w:rsidRDefault="00503A41" w:rsidP="001D205D">
            <w:pPr>
              <w:rPr>
                <w:rFonts w:ascii="Arial" w:hAnsi="Arial" w:cs="Arial"/>
                <w:lang w:val="es-ES"/>
              </w:rPr>
            </w:pPr>
            <w:r w:rsidRPr="00993936">
              <w:rPr>
                <w:rFonts w:ascii="Arial" w:hAnsi="Arial" w:cs="Arial"/>
                <w:lang w:val="es-ES"/>
              </w:rPr>
              <w:t>Presencia en fruta o 1 captura en 2 controles consecutivos con trampa de monitorización</w:t>
            </w:r>
          </w:p>
        </w:tc>
        <w:tc>
          <w:tcPr>
            <w:tcW w:w="132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Beauveria bassiana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Betaciflutrina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 + Tiacloprid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Espinosad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Etofenprox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Fosmet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Lambda-cihalotrín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Metil-Clorpirifos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de atracción y muerte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de captura masiva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de quimioesterilització</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Proteína hidrolizada</w:t>
            </w:r>
          </w:p>
        </w:tc>
        <w:tc>
          <w:tcPr>
            <w:tcW w:w="1250" w:type="pct"/>
            <w:vMerge w:val="restart"/>
            <w:vAlign w:val="center"/>
          </w:tcPr>
          <w:p w:rsidR="00503A41" w:rsidRPr="00993936" w:rsidRDefault="00503A41" w:rsidP="009D1A2D">
            <w:pPr>
              <w:numPr>
                <w:ilvl w:val="0"/>
                <w:numId w:val="73"/>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73"/>
              </w:numPr>
              <w:spacing w:after="0" w:line="240" w:lineRule="auto"/>
              <w:rPr>
                <w:rFonts w:ascii="Arial" w:hAnsi="Arial" w:cs="Arial"/>
                <w:lang w:val="es-ES"/>
              </w:rPr>
            </w:pPr>
            <w:r w:rsidRPr="00993936">
              <w:rPr>
                <w:rFonts w:ascii="Arial" w:hAnsi="Arial" w:cs="Arial"/>
                <w:lang w:val="es-ES"/>
              </w:rPr>
              <w:t>Máximo 2 tratamiento/año</w:t>
            </w:r>
          </w:p>
          <w:p w:rsidR="00503A41" w:rsidRPr="00993936" w:rsidRDefault="00503A41" w:rsidP="009D1A2D">
            <w:pPr>
              <w:numPr>
                <w:ilvl w:val="0"/>
                <w:numId w:val="73"/>
              </w:numPr>
              <w:spacing w:after="0" w:line="240" w:lineRule="auto"/>
              <w:rPr>
                <w:rFonts w:ascii="Arial" w:hAnsi="Arial" w:cs="Arial"/>
                <w:snapToGrid w:val="0"/>
                <w:lang w:val="es-ES"/>
              </w:rPr>
            </w:pPr>
            <w:r w:rsidRPr="00993936">
              <w:rPr>
                <w:rFonts w:ascii="Arial" w:hAnsi="Arial" w:cs="Arial"/>
                <w:snapToGrid w:val="0"/>
                <w:lang w:val="es-ES"/>
              </w:rPr>
              <w:t>Sólo productos que no sean de clasificación toxicológica (T)</w:t>
            </w:r>
          </w:p>
          <w:p w:rsidR="00503A41" w:rsidRPr="00993936" w:rsidRDefault="00503A41" w:rsidP="001D205D">
            <w:pPr>
              <w:rPr>
                <w:rFonts w:ascii="Arial" w:hAnsi="Arial" w:cs="Arial"/>
                <w:lang w:val="es-ES"/>
              </w:rPr>
            </w:pPr>
          </w:p>
        </w:tc>
      </w:tr>
      <w:tr w:rsidR="00503A41" w:rsidRPr="00993936" w:rsidTr="000452B8">
        <w:trPr>
          <w:cantSplit/>
          <w:trHeight w:val="475"/>
          <w:jc w:val="center"/>
        </w:trPr>
        <w:tc>
          <w:tcPr>
            <w:tcW w:w="1250" w:type="pct"/>
            <w:vAlign w:val="center"/>
          </w:tcPr>
          <w:p w:rsidR="00503A41" w:rsidRPr="00993936" w:rsidRDefault="00503A41" w:rsidP="001D205D">
            <w:pPr>
              <w:pStyle w:val="Ttulo9"/>
              <w:rPr>
                <w:rFonts w:ascii="Arial" w:hAnsi="Arial" w:cs="Arial"/>
                <w:snapToGrid w:val="0"/>
                <w:color w:val="auto"/>
                <w:szCs w:val="22"/>
                <w:lang w:val="es-ES"/>
              </w:rPr>
            </w:pPr>
            <w:r w:rsidRPr="00993936">
              <w:rPr>
                <w:rFonts w:ascii="Arial" w:hAnsi="Arial" w:cs="Arial"/>
                <w:snapToGrid w:val="0"/>
                <w:color w:val="auto"/>
                <w:szCs w:val="22"/>
                <w:lang w:val="es-ES"/>
              </w:rPr>
              <w:t>Gusano cabezudo</w:t>
            </w:r>
          </w:p>
          <w:p w:rsidR="00503A41" w:rsidRPr="00993936" w:rsidRDefault="00503A41" w:rsidP="001D205D">
            <w:pPr>
              <w:rPr>
                <w:rFonts w:ascii="Arial" w:hAnsi="Arial" w:cs="Arial"/>
                <w:lang w:val="es-ES"/>
              </w:rPr>
            </w:pPr>
            <w:r w:rsidRPr="00993936">
              <w:rPr>
                <w:rFonts w:ascii="Arial" w:hAnsi="Arial" w:cs="Arial"/>
                <w:snapToGrid w:val="0"/>
                <w:sz w:val="20"/>
                <w:lang w:val="es-ES"/>
              </w:rPr>
              <w:t xml:space="preserve">Capnodis tenebrionis </w:t>
            </w:r>
            <w:r w:rsidRPr="00993936">
              <w:rPr>
                <w:rFonts w:ascii="Arial" w:hAnsi="Arial" w:cs="Arial"/>
                <w:sz w:val="20"/>
                <w:lang w:val="es-ES"/>
              </w:rPr>
              <w:t xml:space="preserve"> </w:t>
            </w:r>
          </w:p>
        </w:tc>
        <w:tc>
          <w:tcPr>
            <w:tcW w:w="1180" w:type="pct"/>
            <w:vAlign w:val="center"/>
          </w:tcPr>
          <w:p w:rsidR="00503A41" w:rsidRPr="00993936" w:rsidRDefault="00503A41" w:rsidP="001D205D">
            <w:pPr>
              <w:rPr>
                <w:rFonts w:ascii="Arial" w:hAnsi="Arial" w:cs="Arial"/>
                <w:lang w:val="es-ES"/>
              </w:rPr>
            </w:pPr>
            <w:r w:rsidRPr="00993936">
              <w:rPr>
                <w:rFonts w:ascii="Arial" w:hAnsi="Arial" w:cs="Arial"/>
                <w:lang w:val="es-ES"/>
              </w:rPr>
              <w:t>0,5 adultos por árbol inspeccionado</w:t>
            </w:r>
          </w:p>
        </w:tc>
        <w:tc>
          <w:tcPr>
            <w:tcW w:w="132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Imidacloprid (2)</w:t>
            </w:r>
          </w:p>
          <w:p w:rsidR="00503A41" w:rsidRPr="00993936" w:rsidRDefault="00503A41" w:rsidP="001D205D">
            <w:pPr>
              <w:pStyle w:val="Sinespaciado"/>
              <w:rPr>
                <w:rFonts w:ascii="Arial" w:hAnsi="Arial" w:cs="Arial"/>
                <w:lang w:val="es-ES"/>
              </w:rPr>
            </w:pPr>
          </w:p>
        </w:tc>
        <w:tc>
          <w:tcPr>
            <w:tcW w:w="1250" w:type="pct"/>
            <w:vMerge/>
          </w:tcPr>
          <w:p w:rsidR="00503A41" w:rsidRPr="00993936" w:rsidRDefault="00503A41" w:rsidP="001D205D">
            <w:pPr>
              <w:rPr>
                <w:rFonts w:ascii="Arial" w:hAnsi="Arial" w:cs="Arial"/>
                <w:lang w:val="es-ES"/>
              </w:rPr>
            </w:pPr>
          </w:p>
        </w:tc>
      </w:tr>
      <w:tr w:rsidR="00503A41" w:rsidRPr="00993936" w:rsidTr="000452B8">
        <w:trPr>
          <w:cantSplit/>
          <w:jc w:val="center"/>
        </w:trPr>
        <w:tc>
          <w:tcPr>
            <w:tcW w:w="1250" w:type="pct"/>
          </w:tcPr>
          <w:p w:rsidR="00503A41" w:rsidRPr="00993936" w:rsidRDefault="00503A41" w:rsidP="001D205D">
            <w:pPr>
              <w:pStyle w:val="Ttulo9"/>
              <w:rPr>
                <w:rFonts w:ascii="Arial" w:hAnsi="Arial" w:cs="Arial"/>
                <w:color w:val="auto"/>
                <w:szCs w:val="22"/>
                <w:lang w:val="es-ES"/>
              </w:rPr>
            </w:pPr>
            <w:r w:rsidRPr="00993936">
              <w:rPr>
                <w:rFonts w:ascii="Arial" w:hAnsi="Arial" w:cs="Arial"/>
                <w:color w:val="auto"/>
                <w:szCs w:val="22"/>
                <w:lang w:val="es-ES"/>
              </w:rPr>
              <w:t>Mosquito verde</w:t>
            </w:r>
          </w:p>
          <w:p w:rsidR="00503A41" w:rsidRPr="00993936" w:rsidRDefault="00503A41" w:rsidP="001D205D">
            <w:pPr>
              <w:rPr>
                <w:rFonts w:ascii="Arial" w:hAnsi="Arial" w:cs="Arial"/>
                <w:i/>
                <w:lang w:val="es-ES"/>
              </w:rPr>
            </w:pPr>
            <w:r w:rsidRPr="00993936">
              <w:rPr>
                <w:rFonts w:ascii="Arial" w:hAnsi="Arial" w:cs="Arial"/>
                <w:i/>
                <w:lang w:val="es-ES"/>
              </w:rPr>
              <w:t xml:space="preserve">Empoasca </w:t>
            </w:r>
          </w:p>
        </w:tc>
        <w:tc>
          <w:tcPr>
            <w:tcW w:w="1180" w:type="pct"/>
            <w:vAlign w:val="center"/>
          </w:tcPr>
          <w:p w:rsidR="00503A41" w:rsidRPr="00993936" w:rsidRDefault="00503A41" w:rsidP="001D205D">
            <w:pPr>
              <w:rPr>
                <w:rFonts w:ascii="Arial" w:hAnsi="Arial" w:cs="Arial"/>
                <w:lang w:val="es-ES"/>
              </w:rPr>
            </w:pPr>
            <w:r w:rsidRPr="00993936">
              <w:rPr>
                <w:rFonts w:ascii="Arial" w:hAnsi="Arial" w:cs="Arial"/>
                <w:lang w:val="es-ES"/>
              </w:rPr>
              <w:t>Presencia</w:t>
            </w:r>
          </w:p>
        </w:tc>
        <w:tc>
          <w:tcPr>
            <w:tcW w:w="1320"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Acetamiprid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 + Tiacloprid</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Etofenprox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Imidacloprid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Tau-fluvalinat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Tiametoxam</w:t>
            </w:r>
          </w:p>
        </w:tc>
        <w:tc>
          <w:tcPr>
            <w:tcW w:w="1250" w:type="pct"/>
            <w:vMerge/>
          </w:tcPr>
          <w:p w:rsidR="00503A41" w:rsidRPr="00993936" w:rsidRDefault="00503A41" w:rsidP="001D205D">
            <w:pPr>
              <w:rPr>
                <w:rFonts w:ascii="Arial" w:hAnsi="Arial" w:cs="Arial"/>
                <w:lang w:val="es-ES"/>
              </w:rPr>
            </w:pPr>
          </w:p>
        </w:tc>
      </w:tr>
      <w:tr w:rsidR="00503A41" w:rsidRPr="00993936" w:rsidTr="000452B8">
        <w:trPr>
          <w:cantSplit/>
          <w:jc w:val="center"/>
        </w:trPr>
        <w:tc>
          <w:tcPr>
            <w:tcW w:w="1250" w:type="pct"/>
            <w:vMerge w:val="restart"/>
            <w:vAlign w:val="center"/>
          </w:tcPr>
          <w:p w:rsidR="00503A41" w:rsidRPr="00993936" w:rsidRDefault="00503A41" w:rsidP="001D205D">
            <w:pPr>
              <w:pStyle w:val="Ttulo9"/>
              <w:rPr>
                <w:rFonts w:ascii="Arial" w:hAnsi="Arial" w:cs="Arial"/>
                <w:color w:val="auto"/>
                <w:szCs w:val="22"/>
                <w:lang w:val="es-ES"/>
              </w:rPr>
            </w:pPr>
            <w:r w:rsidRPr="00993936">
              <w:rPr>
                <w:rFonts w:ascii="Arial" w:hAnsi="Arial" w:cs="Arial"/>
                <w:color w:val="auto"/>
                <w:szCs w:val="22"/>
                <w:lang w:val="es-ES"/>
              </w:rPr>
              <w:t>Piojo blanco</w:t>
            </w:r>
          </w:p>
          <w:p w:rsidR="00503A41" w:rsidRPr="00993936" w:rsidRDefault="00503A41" w:rsidP="001D205D">
            <w:pPr>
              <w:rPr>
                <w:rFonts w:ascii="Arial" w:hAnsi="Arial" w:cs="Arial"/>
                <w:i/>
                <w:lang w:val="es-ES"/>
              </w:rPr>
            </w:pPr>
            <w:r w:rsidRPr="00993936">
              <w:rPr>
                <w:rFonts w:ascii="Arial" w:hAnsi="Arial" w:cs="Arial"/>
                <w:i/>
                <w:snapToGrid w:val="0"/>
                <w:lang w:val="es-ES"/>
              </w:rPr>
              <w:t>Pseudaulacaspis pentagona</w:t>
            </w:r>
          </w:p>
        </w:tc>
        <w:tc>
          <w:tcPr>
            <w:tcW w:w="1180" w:type="pct"/>
            <w:vMerge w:val="restart"/>
            <w:vAlign w:val="center"/>
          </w:tcPr>
          <w:p w:rsidR="00503A41" w:rsidRPr="00993936" w:rsidRDefault="00503A41" w:rsidP="001D205D">
            <w:pPr>
              <w:rPr>
                <w:rFonts w:ascii="Arial" w:hAnsi="Arial" w:cs="Arial"/>
                <w:lang w:val="es-ES"/>
              </w:rPr>
            </w:pPr>
            <w:r w:rsidRPr="00993936">
              <w:rPr>
                <w:rFonts w:ascii="Arial" w:hAnsi="Arial" w:cs="Arial"/>
                <w:lang w:val="es-ES"/>
              </w:rPr>
              <w:t>Presencia</w:t>
            </w:r>
          </w:p>
        </w:tc>
        <w:tc>
          <w:tcPr>
            <w:tcW w:w="132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Tratamiento de invierno:</w:t>
            </w:r>
          </w:p>
          <w:p w:rsidR="00503A41" w:rsidRPr="00993936" w:rsidRDefault="00503A41" w:rsidP="001D205D">
            <w:pPr>
              <w:pStyle w:val="Sinespaciado"/>
              <w:rPr>
                <w:rFonts w:ascii="Arial" w:hAnsi="Arial" w:cs="Arial"/>
                <w:lang w:val="es-ES"/>
              </w:rPr>
            </w:pPr>
            <w:r w:rsidRPr="00993936">
              <w:rPr>
                <w:rFonts w:ascii="Arial" w:hAnsi="Arial" w:cs="Arial"/>
                <w:lang w:val="es-ES"/>
              </w:rPr>
              <w:t>Fenoxicarb</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Polisulfuro de calcio</w:t>
            </w:r>
          </w:p>
        </w:tc>
        <w:tc>
          <w:tcPr>
            <w:tcW w:w="1250" w:type="pct"/>
            <w:vMerge/>
            <w:vAlign w:val="center"/>
          </w:tcPr>
          <w:p w:rsidR="00503A41" w:rsidRPr="00993936" w:rsidRDefault="00503A41" w:rsidP="001D205D">
            <w:pPr>
              <w:rPr>
                <w:rFonts w:ascii="Arial" w:hAnsi="Arial" w:cs="Arial"/>
                <w:lang w:val="es-ES"/>
              </w:rPr>
            </w:pPr>
          </w:p>
        </w:tc>
      </w:tr>
      <w:tr w:rsidR="00503A41" w:rsidRPr="00993936" w:rsidTr="000452B8">
        <w:trPr>
          <w:cantSplit/>
          <w:jc w:val="center"/>
        </w:trPr>
        <w:tc>
          <w:tcPr>
            <w:tcW w:w="1250" w:type="pct"/>
            <w:vMerge/>
            <w:vAlign w:val="center"/>
          </w:tcPr>
          <w:p w:rsidR="00503A41" w:rsidRPr="00993936" w:rsidRDefault="00503A41" w:rsidP="001D205D">
            <w:pPr>
              <w:rPr>
                <w:rFonts w:ascii="Arial" w:hAnsi="Arial" w:cs="Arial"/>
                <w:i/>
                <w:lang w:val="es-ES"/>
              </w:rPr>
            </w:pPr>
          </w:p>
        </w:tc>
        <w:tc>
          <w:tcPr>
            <w:tcW w:w="1180" w:type="pct"/>
            <w:vMerge/>
            <w:vAlign w:val="center"/>
          </w:tcPr>
          <w:p w:rsidR="00503A41" w:rsidRPr="00993936" w:rsidRDefault="00503A41" w:rsidP="001D205D">
            <w:pPr>
              <w:rPr>
                <w:rFonts w:ascii="Arial" w:hAnsi="Arial" w:cs="Arial"/>
                <w:lang w:val="es-ES"/>
              </w:rPr>
            </w:pPr>
          </w:p>
        </w:tc>
        <w:tc>
          <w:tcPr>
            <w:tcW w:w="1320" w:type="pct"/>
            <w:vAlign w:val="center"/>
          </w:tcPr>
          <w:p w:rsidR="00503A41" w:rsidRPr="00993936" w:rsidRDefault="00503A41" w:rsidP="001D205D">
            <w:pPr>
              <w:pStyle w:val="Sinespaciado"/>
              <w:rPr>
                <w:rFonts w:ascii="Arial" w:hAnsi="Arial" w:cs="Arial"/>
                <w:u w:val="single"/>
                <w:lang w:val="es-ES"/>
              </w:rPr>
            </w:pPr>
            <w:r w:rsidRPr="00993936">
              <w:rPr>
                <w:rFonts w:ascii="Arial" w:hAnsi="Arial" w:cs="Arial"/>
                <w:u w:val="single"/>
                <w:lang w:val="es-ES"/>
              </w:rPr>
              <w:t>Vegetación</w:t>
            </w:r>
          </w:p>
          <w:p w:rsidR="00503A41" w:rsidRPr="00993936" w:rsidRDefault="00503A41" w:rsidP="001D205D">
            <w:pPr>
              <w:pStyle w:val="Sinespaciado"/>
              <w:rPr>
                <w:rFonts w:ascii="Arial" w:hAnsi="Arial" w:cs="Arial"/>
                <w:lang w:val="es-ES"/>
              </w:rPr>
            </w:pPr>
            <w:r w:rsidRPr="00993936">
              <w:rPr>
                <w:rFonts w:ascii="Arial" w:hAnsi="Arial" w:cs="Arial"/>
                <w:lang w:val="es-ES"/>
              </w:rPr>
              <w:t>Fenoxicarb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tc>
        <w:tc>
          <w:tcPr>
            <w:tcW w:w="1250" w:type="pct"/>
            <w:vMerge/>
          </w:tcPr>
          <w:p w:rsidR="00503A41" w:rsidRPr="00993936" w:rsidRDefault="00503A41" w:rsidP="001D205D">
            <w:pPr>
              <w:rPr>
                <w:rFonts w:ascii="Arial" w:hAnsi="Arial" w:cs="Arial"/>
                <w:lang w:val="es-ES"/>
              </w:rPr>
            </w:pPr>
          </w:p>
        </w:tc>
      </w:tr>
    </w:tbl>
    <w:p w:rsidR="00503A41" w:rsidRPr="00993936" w:rsidRDefault="00503A41" w:rsidP="000452B8">
      <w:pPr>
        <w:pStyle w:val="Textoindependiente2"/>
        <w:rPr>
          <w:rFonts w:cs="Arial"/>
          <w:szCs w:val="22"/>
          <w:lang w:val="es-ES"/>
        </w:rPr>
      </w:pPr>
      <w:r w:rsidRPr="00993936">
        <w:rPr>
          <w:rFonts w:cs="Arial"/>
          <w:szCs w:val="22"/>
          <w:lang w:val="es-ES"/>
        </w:rPr>
        <w:br w:type="page"/>
      </w:r>
      <w:r w:rsidRPr="00993936">
        <w:rPr>
          <w:rFonts w:cs="Arial"/>
          <w:szCs w:val="22"/>
          <w:lang w:val="es-ES"/>
        </w:rPr>
        <w:lastRenderedPageBreak/>
        <w:t xml:space="preserve">3.1.2 Cereza </w:t>
      </w:r>
    </w:p>
    <w:p w:rsidR="00503A41" w:rsidRPr="00993936" w:rsidRDefault="00503A41" w:rsidP="000452B8">
      <w:pPr>
        <w:pStyle w:val="Textoindependiente2"/>
        <w:rPr>
          <w:rFonts w:cs="Arial"/>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40"/>
        <w:gridCol w:w="2047"/>
        <w:gridCol w:w="2341"/>
        <w:gridCol w:w="2016"/>
      </w:tblGrid>
      <w:tr w:rsidR="00503A41" w:rsidRPr="00993936" w:rsidTr="000452B8">
        <w:trPr>
          <w:cantSplit/>
          <w:tblHeader/>
          <w:jc w:val="center"/>
        </w:trPr>
        <w:tc>
          <w:tcPr>
            <w:tcW w:w="1296"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184"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UMBRAL DE TOLERANCIA</w:t>
            </w:r>
          </w:p>
        </w:tc>
        <w:tc>
          <w:tcPr>
            <w:tcW w:w="1354"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166"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1D205D">
        <w:trPr>
          <w:cantSplit/>
          <w:jc w:val="center"/>
        </w:trPr>
        <w:tc>
          <w:tcPr>
            <w:tcW w:w="1296" w:type="pct"/>
            <w:vMerge w:val="restar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Piojo de San José</w:t>
            </w:r>
          </w:p>
          <w:p w:rsidR="00503A41" w:rsidRPr="00993936" w:rsidRDefault="00503A41" w:rsidP="001D205D">
            <w:pPr>
              <w:pStyle w:val="Sinespaciado"/>
              <w:rPr>
                <w:rFonts w:ascii="Arial" w:hAnsi="Arial" w:cs="Arial"/>
                <w:lang w:val="es-ES"/>
              </w:rPr>
            </w:pPr>
            <w:r w:rsidRPr="00993936">
              <w:rPr>
                <w:rFonts w:ascii="Arial" w:hAnsi="Arial" w:cs="Arial"/>
                <w:snapToGrid w:val="0"/>
                <w:sz w:val="18"/>
                <w:lang w:val="es-ES"/>
              </w:rPr>
              <w:t xml:space="preserve">Comstockaspis perniciosa </w:t>
            </w:r>
          </w:p>
        </w:tc>
        <w:tc>
          <w:tcPr>
            <w:tcW w:w="1184" w:type="pct"/>
            <w:vMerge w:val="restar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Presencia</w:t>
            </w:r>
          </w:p>
        </w:tc>
        <w:tc>
          <w:tcPr>
            <w:tcW w:w="1354" w:type="pct"/>
            <w:tcBorders>
              <w:bottom w:val="nil"/>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Tratamiento de invierno:</w:t>
            </w:r>
          </w:p>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lang w:val="es-ES"/>
              </w:rPr>
            </w:pPr>
            <w:r w:rsidRPr="00993936">
              <w:rPr>
                <w:rFonts w:ascii="Arial" w:hAnsi="Arial" w:cs="Arial"/>
                <w:lang w:val="es-ES"/>
              </w:rPr>
              <w:t>Clorpirifos (3)</w:t>
            </w:r>
          </w:p>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 xml:space="preserve">Fenoxicarb </w:t>
            </w:r>
            <w:r w:rsidRPr="00993936">
              <w:rPr>
                <w:rFonts w:ascii="Arial" w:hAnsi="Arial" w:cs="Arial"/>
                <w:snapToGrid w:val="0"/>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Polisulfuro de calcio</w:t>
            </w:r>
          </w:p>
        </w:tc>
        <w:tc>
          <w:tcPr>
            <w:tcW w:w="1166" w:type="pct"/>
            <w:vMerge w:val="restart"/>
            <w:vAlign w:val="center"/>
          </w:tcPr>
          <w:p w:rsidR="00503A41" w:rsidRPr="00993936" w:rsidRDefault="00503A41" w:rsidP="009D1A2D">
            <w:pPr>
              <w:numPr>
                <w:ilvl w:val="0"/>
                <w:numId w:val="72"/>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72"/>
              </w:numPr>
              <w:spacing w:after="0" w:line="240" w:lineRule="auto"/>
              <w:rPr>
                <w:rFonts w:ascii="Arial" w:hAnsi="Arial" w:cs="Arial"/>
                <w:lang w:val="es-ES"/>
              </w:rPr>
            </w:pPr>
            <w:r w:rsidRPr="00993936">
              <w:rPr>
                <w:rFonts w:ascii="Arial" w:hAnsi="Arial" w:cs="Arial"/>
                <w:lang w:val="es-ES"/>
              </w:rPr>
              <w:t>Máximo 2 tratamiento/año</w:t>
            </w:r>
          </w:p>
          <w:p w:rsidR="00503A41" w:rsidRPr="00993936" w:rsidRDefault="00503A41" w:rsidP="009D1A2D">
            <w:pPr>
              <w:numPr>
                <w:ilvl w:val="0"/>
                <w:numId w:val="72"/>
              </w:numPr>
              <w:spacing w:after="0" w:line="240" w:lineRule="auto"/>
              <w:rPr>
                <w:rFonts w:ascii="Arial" w:hAnsi="Arial" w:cs="Arial"/>
                <w:lang w:val="es-ES"/>
              </w:rPr>
            </w:pPr>
            <w:r w:rsidRPr="00993936">
              <w:rPr>
                <w:rFonts w:ascii="Arial" w:hAnsi="Arial" w:cs="Arial"/>
                <w:snapToGrid w:val="0"/>
                <w:lang w:val="es-ES"/>
              </w:rPr>
              <w:t>Sólo productos que no sean de clasificación toxicológica (T)</w:t>
            </w:r>
          </w:p>
          <w:p w:rsidR="00503A41" w:rsidRPr="00993936" w:rsidRDefault="00503A41" w:rsidP="000452B8">
            <w:pPr>
              <w:rPr>
                <w:rFonts w:ascii="Arial" w:hAnsi="Arial" w:cs="Arial"/>
                <w:lang w:val="es-ES"/>
              </w:rPr>
            </w:pPr>
          </w:p>
        </w:tc>
      </w:tr>
      <w:tr w:rsidR="00503A41" w:rsidRPr="00993936" w:rsidTr="001D205D">
        <w:trPr>
          <w:cantSplit/>
          <w:jc w:val="center"/>
        </w:trPr>
        <w:tc>
          <w:tcPr>
            <w:tcW w:w="1296" w:type="pct"/>
            <w:vMerge/>
            <w:vAlign w:val="center"/>
          </w:tcPr>
          <w:p w:rsidR="00503A41" w:rsidRPr="00993936" w:rsidRDefault="00503A41" w:rsidP="001D205D">
            <w:pPr>
              <w:pStyle w:val="Sinespaciado"/>
              <w:rPr>
                <w:rFonts w:ascii="Arial" w:hAnsi="Arial" w:cs="Arial"/>
                <w:lang w:val="es-ES"/>
              </w:rPr>
            </w:pPr>
          </w:p>
        </w:tc>
        <w:tc>
          <w:tcPr>
            <w:tcW w:w="1184" w:type="pct"/>
            <w:vMerge/>
            <w:vAlign w:val="center"/>
          </w:tcPr>
          <w:p w:rsidR="00503A41" w:rsidRPr="00993936" w:rsidRDefault="00503A41" w:rsidP="001D205D">
            <w:pPr>
              <w:pStyle w:val="Sinespaciado"/>
              <w:rPr>
                <w:rFonts w:ascii="Arial" w:hAnsi="Arial" w:cs="Arial"/>
                <w:lang w:val="es-ES"/>
              </w:rPr>
            </w:pPr>
          </w:p>
        </w:tc>
        <w:tc>
          <w:tcPr>
            <w:tcW w:w="1354" w:type="pct"/>
            <w:tcBorders>
              <w:top w:val="nil"/>
              <w:bottom w:val="nil"/>
            </w:tcBorders>
            <w:vAlign w:val="center"/>
          </w:tcPr>
          <w:p w:rsidR="00503A41" w:rsidRPr="00993936" w:rsidRDefault="00503A41" w:rsidP="001D205D">
            <w:pPr>
              <w:pStyle w:val="Sinespaciado"/>
              <w:rPr>
                <w:rFonts w:ascii="Arial" w:hAnsi="Arial" w:cs="Arial"/>
                <w:lang w:val="es-ES"/>
              </w:rPr>
            </w:pPr>
            <w:r w:rsidRPr="00993936">
              <w:rPr>
                <w:rFonts w:ascii="Arial" w:hAnsi="Arial" w:cs="Arial"/>
                <w:u w:val="single"/>
                <w:lang w:val="es-ES"/>
              </w:rPr>
              <w:t>Prefloración</w:t>
            </w:r>
            <w:r w:rsidRPr="00993936">
              <w:rPr>
                <w:rFonts w:ascii="Arial" w:hAnsi="Arial" w:cs="Arial"/>
                <w:lang w:val="es-ES"/>
              </w:rPr>
              <w:t>:</w:t>
            </w:r>
          </w:p>
          <w:p w:rsidR="00503A41" w:rsidRPr="00993936" w:rsidRDefault="00503A41" w:rsidP="001D205D">
            <w:pPr>
              <w:pStyle w:val="Sinespaciado"/>
              <w:rPr>
                <w:rFonts w:ascii="Arial" w:hAnsi="Arial" w:cs="Arial"/>
                <w:u w:val="single"/>
                <w:lang w:val="es-ES"/>
              </w:rPr>
            </w:pPr>
            <w:r w:rsidRPr="00993936">
              <w:rPr>
                <w:rFonts w:ascii="Arial" w:hAnsi="Arial" w:cs="Arial"/>
                <w:lang w:val="es-ES"/>
              </w:rPr>
              <w:t>Piriproxifén</w:t>
            </w:r>
          </w:p>
        </w:tc>
        <w:tc>
          <w:tcPr>
            <w:tcW w:w="1166" w:type="pct"/>
            <w:vMerge/>
          </w:tcPr>
          <w:p w:rsidR="00503A41" w:rsidRPr="00993936" w:rsidRDefault="00503A41" w:rsidP="000452B8">
            <w:pPr>
              <w:rPr>
                <w:rFonts w:ascii="Arial" w:hAnsi="Arial" w:cs="Arial"/>
                <w:lang w:val="es-ES"/>
              </w:rPr>
            </w:pPr>
          </w:p>
        </w:tc>
      </w:tr>
      <w:tr w:rsidR="00503A41" w:rsidRPr="00993936" w:rsidTr="001D205D">
        <w:trPr>
          <w:cantSplit/>
          <w:jc w:val="center"/>
        </w:trPr>
        <w:tc>
          <w:tcPr>
            <w:tcW w:w="1296" w:type="pct"/>
            <w:vMerge/>
            <w:vAlign w:val="center"/>
          </w:tcPr>
          <w:p w:rsidR="00503A41" w:rsidRPr="00993936" w:rsidRDefault="00503A41" w:rsidP="001D205D">
            <w:pPr>
              <w:pStyle w:val="Sinespaciado"/>
              <w:rPr>
                <w:rFonts w:ascii="Arial" w:hAnsi="Arial" w:cs="Arial"/>
                <w:lang w:val="es-ES"/>
              </w:rPr>
            </w:pPr>
          </w:p>
        </w:tc>
        <w:tc>
          <w:tcPr>
            <w:tcW w:w="1184" w:type="pct"/>
            <w:vMerge/>
            <w:vAlign w:val="center"/>
          </w:tcPr>
          <w:p w:rsidR="00503A41" w:rsidRPr="00993936" w:rsidRDefault="00503A41" w:rsidP="001D205D">
            <w:pPr>
              <w:pStyle w:val="Sinespaciado"/>
              <w:rPr>
                <w:rFonts w:ascii="Arial" w:hAnsi="Arial" w:cs="Arial"/>
                <w:lang w:val="es-ES"/>
              </w:rPr>
            </w:pPr>
          </w:p>
        </w:tc>
        <w:tc>
          <w:tcPr>
            <w:tcW w:w="1354" w:type="pct"/>
            <w:tcBorders>
              <w:top w:val="nil"/>
            </w:tcBorders>
            <w:vAlign w:val="center"/>
          </w:tcPr>
          <w:p w:rsidR="00503A41" w:rsidRPr="00993936" w:rsidRDefault="00503A41" w:rsidP="001D205D">
            <w:pPr>
              <w:pStyle w:val="Sinespaciado"/>
              <w:rPr>
                <w:rFonts w:ascii="Arial" w:hAnsi="Arial" w:cs="Arial"/>
                <w:u w:val="single"/>
                <w:lang w:val="es-ES"/>
              </w:rPr>
            </w:pPr>
            <w:r w:rsidRPr="00993936">
              <w:rPr>
                <w:rFonts w:ascii="Arial" w:hAnsi="Arial" w:cs="Arial"/>
                <w:u w:val="single"/>
                <w:lang w:val="es-ES"/>
              </w:rPr>
              <w:t>Hasta recolección:</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u w:val="single"/>
                <w:lang w:val="es-ES"/>
              </w:rPr>
            </w:pPr>
            <w:r w:rsidRPr="00993936">
              <w:rPr>
                <w:rFonts w:ascii="Arial" w:hAnsi="Arial" w:cs="Arial"/>
                <w:lang w:val="es-ES"/>
              </w:rPr>
              <w:t>Spirotetramat</w:t>
            </w:r>
          </w:p>
        </w:tc>
        <w:tc>
          <w:tcPr>
            <w:tcW w:w="1166" w:type="pct"/>
            <w:vMerge/>
          </w:tcPr>
          <w:p w:rsidR="00503A41" w:rsidRPr="00993936" w:rsidRDefault="00503A41" w:rsidP="000452B8">
            <w:pPr>
              <w:rPr>
                <w:rFonts w:ascii="Arial" w:hAnsi="Arial" w:cs="Arial"/>
                <w:lang w:val="es-ES"/>
              </w:rPr>
            </w:pPr>
          </w:p>
        </w:tc>
      </w:tr>
      <w:tr w:rsidR="00503A41" w:rsidRPr="00993936" w:rsidTr="000452B8">
        <w:trPr>
          <w:cantSplit/>
          <w:jc w:val="center"/>
        </w:trPr>
        <w:tc>
          <w:tcPr>
            <w:tcW w:w="1296"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lang w:val="es-ES"/>
              </w:rPr>
              <w:t>Pulgones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Myzus sp.</w:t>
            </w:r>
          </w:p>
          <w:p w:rsidR="00503A41" w:rsidRPr="00993936" w:rsidRDefault="00503A41" w:rsidP="001D205D">
            <w:pPr>
              <w:pStyle w:val="Sinespaciado"/>
              <w:rPr>
                <w:rFonts w:ascii="Arial" w:hAnsi="Arial" w:cs="Arial"/>
                <w:lang w:val="es-ES"/>
              </w:rPr>
            </w:pPr>
            <w:r w:rsidRPr="00993936">
              <w:rPr>
                <w:rFonts w:ascii="Arial" w:hAnsi="Arial" w:cs="Arial"/>
                <w:snapToGrid w:val="0"/>
                <w:sz w:val="20"/>
                <w:lang w:val="es-ES"/>
              </w:rPr>
              <w:t xml:space="preserve">Brachycaudus swchartzi </w:t>
            </w:r>
          </w:p>
        </w:tc>
        <w:tc>
          <w:tcPr>
            <w:tcW w:w="118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Umbral de tratamiento en prefloración: Presencia</w:t>
            </w:r>
          </w:p>
          <w:p w:rsidR="00503A41" w:rsidRPr="00993936" w:rsidRDefault="00503A41" w:rsidP="001D205D">
            <w:pPr>
              <w:pStyle w:val="Sinespaciado"/>
              <w:rPr>
                <w:rFonts w:ascii="Arial" w:hAnsi="Arial" w:cs="Arial"/>
                <w:lang w:val="es-ES"/>
              </w:rPr>
            </w:pPr>
            <w:r w:rsidRPr="00993936">
              <w:rPr>
                <w:rFonts w:ascii="Arial" w:hAnsi="Arial" w:cs="Arial"/>
                <w:lang w:val="es-ES"/>
              </w:rPr>
              <w:t>Umbral de tolerancia en postfloración: Myzus: 3% de árboles ocupados</w:t>
            </w:r>
          </w:p>
          <w:p w:rsidR="00503A41" w:rsidRPr="00993936" w:rsidRDefault="00503A41" w:rsidP="001D205D">
            <w:pPr>
              <w:pStyle w:val="Sinespaciado"/>
              <w:rPr>
                <w:rFonts w:ascii="Arial" w:hAnsi="Arial" w:cs="Arial"/>
                <w:lang w:val="es-ES"/>
              </w:rPr>
            </w:pPr>
            <w:r w:rsidRPr="00993936">
              <w:rPr>
                <w:rFonts w:ascii="Arial" w:hAnsi="Arial" w:cs="Arial"/>
                <w:lang w:val="es-ES"/>
              </w:rPr>
              <w:t>Brachycaudus: 5% de árboles ocupados</w:t>
            </w:r>
          </w:p>
        </w:tc>
        <w:tc>
          <w:tcPr>
            <w:tcW w:w="1354"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Acetamiprid (2)</w:t>
            </w:r>
          </w:p>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r w:rsidRPr="00993936">
              <w:rPr>
                <w:rFonts w:ascii="Arial" w:hAnsi="Arial" w:cs="Arial"/>
                <w:snapToGrid w:val="0"/>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p w:rsidR="00503A41" w:rsidRPr="00993936" w:rsidRDefault="00503A41" w:rsidP="001D205D">
            <w:pPr>
              <w:pStyle w:val="Sinespaciado"/>
              <w:rPr>
                <w:rFonts w:ascii="Arial" w:hAnsi="Arial" w:cs="Arial"/>
                <w:lang w:val="es-ES"/>
              </w:rPr>
            </w:pPr>
            <w:r w:rsidRPr="00993936">
              <w:rPr>
                <w:rFonts w:ascii="Arial" w:hAnsi="Arial" w:cs="Arial"/>
                <w:lang w:val="es-ES"/>
              </w:rPr>
              <w:t>Clorpirifos (3)</w:t>
            </w:r>
          </w:p>
          <w:p w:rsidR="00503A41" w:rsidRPr="00993936" w:rsidRDefault="00503A41" w:rsidP="001D205D">
            <w:pPr>
              <w:pStyle w:val="Sinespaciado"/>
              <w:rPr>
                <w:rFonts w:ascii="Arial" w:hAnsi="Arial" w:cs="Arial"/>
                <w:lang w:val="es-ES"/>
              </w:rPr>
            </w:pPr>
            <w:r w:rsidRPr="00993936">
              <w:rPr>
                <w:rFonts w:ascii="Arial" w:hAnsi="Arial" w:cs="Arial"/>
                <w:lang w:val="es-ES"/>
              </w:rPr>
              <w:t>Imidacloprid (2)</w:t>
            </w:r>
          </w:p>
          <w:p w:rsidR="00503A41" w:rsidRPr="00993936" w:rsidRDefault="00503A41" w:rsidP="001D205D">
            <w:pPr>
              <w:pStyle w:val="Sinespaciado"/>
              <w:rPr>
                <w:rFonts w:ascii="Arial" w:hAnsi="Arial" w:cs="Arial"/>
                <w:lang w:val="es-ES"/>
              </w:rPr>
            </w:pPr>
            <w:r w:rsidRPr="00993936">
              <w:rPr>
                <w:rFonts w:ascii="Arial" w:hAnsi="Arial" w:cs="Arial"/>
                <w:lang w:val="es-ES"/>
              </w:rPr>
              <w:t>Lamba-cihalotrín(3)</w:t>
            </w:r>
          </w:p>
          <w:p w:rsidR="00503A41" w:rsidRPr="00993936" w:rsidRDefault="00503A41" w:rsidP="001D205D">
            <w:pPr>
              <w:pStyle w:val="Sinespaciado"/>
              <w:rPr>
                <w:rFonts w:ascii="Arial" w:hAnsi="Arial" w:cs="Arial"/>
                <w:lang w:val="es-ES"/>
              </w:rPr>
            </w:pPr>
            <w:r w:rsidRPr="00993936">
              <w:rPr>
                <w:rFonts w:ascii="Arial" w:hAnsi="Arial" w:cs="Arial"/>
                <w:lang w:val="es-ES"/>
              </w:rPr>
              <w:t>Lamba-cihalotrín + Tiametoxam</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Spirotetramat</w:t>
            </w:r>
          </w:p>
          <w:p w:rsidR="00503A41" w:rsidRPr="00993936" w:rsidRDefault="00503A41" w:rsidP="001D205D">
            <w:pPr>
              <w:pStyle w:val="Sinespaciado"/>
              <w:rPr>
                <w:rFonts w:ascii="Arial" w:hAnsi="Arial" w:cs="Arial"/>
                <w:lang w:val="es-ES"/>
              </w:rPr>
            </w:pPr>
            <w:r w:rsidRPr="00993936">
              <w:rPr>
                <w:rFonts w:ascii="Arial" w:hAnsi="Arial" w:cs="Arial"/>
                <w:lang w:val="es-ES"/>
              </w:rPr>
              <w:t>Pirimicarb (2)</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Tau-fluvalinat (3) </w:t>
            </w:r>
          </w:p>
          <w:p w:rsidR="00503A41" w:rsidRPr="00993936" w:rsidRDefault="00503A41" w:rsidP="001D205D">
            <w:pPr>
              <w:pStyle w:val="Sinespaciado"/>
              <w:rPr>
                <w:rFonts w:ascii="Arial" w:hAnsi="Arial" w:cs="Arial"/>
                <w:lang w:val="es-ES"/>
              </w:rPr>
            </w:pPr>
            <w:r w:rsidRPr="00993936">
              <w:rPr>
                <w:rFonts w:ascii="Arial" w:hAnsi="Arial" w:cs="Arial"/>
                <w:lang w:val="es-ES"/>
              </w:rPr>
              <w:t>Tiacloprid (2)</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Tiametoxam</w:t>
            </w:r>
            <w:r w:rsidRPr="00993936">
              <w:rPr>
                <w:rFonts w:ascii="Arial" w:hAnsi="Arial" w:cs="Arial"/>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c>
          <w:tcPr>
            <w:tcW w:w="1166" w:type="pct"/>
            <w:vMerge/>
          </w:tcPr>
          <w:p w:rsidR="00503A41" w:rsidRPr="00993936" w:rsidRDefault="00503A41" w:rsidP="000452B8">
            <w:pPr>
              <w:rPr>
                <w:rFonts w:ascii="Arial" w:hAnsi="Arial" w:cs="Arial"/>
                <w:lang w:val="es-ES"/>
              </w:rPr>
            </w:pPr>
          </w:p>
        </w:tc>
      </w:tr>
      <w:tr w:rsidR="00503A41" w:rsidRPr="00993936" w:rsidTr="000452B8">
        <w:trPr>
          <w:cantSplit/>
          <w:jc w:val="center"/>
        </w:trPr>
        <w:tc>
          <w:tcPr>
            <w:tcW w:w="1296"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Gusano cabuzudo</w:t>
            </w:r>
          </w:p>
          <w:p w:rsidR="00503A41" w:rsidRPr="00993936" w:rsidRDefault="00503A41" w:rsidP="001D205D">
            <w:pPr>
              <w:pStyle w:val="Sinespaciado"/>
              <w:rPr>
                <w:rFonts w:ascii="Arial" w:hAnsi="Arial" w:cs="Arial"/>
                <w:i/>
                <w:lang w:val="es-ES"/>
              </w:rPr>
            </w:pPr>
            <w:r w:rsidRPr="00993936">
              <w:rPr>
                <w:rFonts w:ascii="Arial" w:hAnsi="Arial" w:cs="Arial"/>
                <w:i/>
                <w:snapToGrid w:val="0"/>
                <w:lang w:val="es-ES"/>
              </w:rPr>
              <w:t xml:space="preserve">Capnodis tenebrionis </w:t>
            </w:r>
          </w:p>
        </w:tc>
        <w:tc>
          <w:tcPr>
            <w:tcW w:w="118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0,5 adultos por término medio por árbol inspeccionado</w:t>
            </w:r>
          </w:p>
        </w:tc>
        <w:tc>
          <w:tcPr>
            <w:tcW w:w="135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Clorpirifos (3)</w:t>
            </w:r>
          </w:p>
          <w:p w:rsidR="00503A41" w:rsidRPr="00993936" w:rsidRDefault="00503A41" w:rsidP="001D205D">
            <w:pPr>
              <w:pStyle w:val="Sinespaciado"/>
              <w:rPr>
                <w:rFonts w:ascii="Arial" w:hAnsi="Arial" w:cs="Arial"/>
                <w:lang w:val="es-ES"/>
              </w:rPr>
            </w:pPr>
            <w:r w:rsidRPr="00993936">
              <w:rPr>
                <w:rFonts w:ascii="Arial" w:hAnsi="Arial" w:cs="Arial"/>
                <w:lang w:val="es-ES"/>
              </w:rPr>
              <w:t>Imidacloprid (2)</w:t>
            </w:r>
          </w:p>
        </w:tc>
        <w:tc>
          <w:tcPr>
            <w:tcW w:w="1166" w:type="pct"/>
            <w:vMerge/>
          </w:tcPr>
          <w:p w:rsidR="00503A41" w:rsidRPr="00993936" w:rsidRDefault="00503A41" w:rsidP="000452B8">
            <w:pPr>
              <w:rPr>
                <w:rFonts w:ascii="Arial" w:hAnsi="Arial" w:cs="Arial"/>
                <w:lang w:val="es-ES"/>
              </w:rPr>
            </w:pPr>
          </w:p>
        </w:tc>
      </w:tr>
    </w:tbl>
    <w:p w:rsidR="00503A41" w:rsidRPr="00993936" w:rsidRDefault="00503A41" w:rsidP="000452B8">
      <w:pPr>
        <w:rPr>
          <w:rFonts w:ascii="Arial" w:hAnsi="Arial" w:cs="Arial"/>
          <w:lang w:val="es-ES"/>
        </w:rPr>
      </w:pPr>
    </w:p>
    <w:p w:rsidR="00503A41" w:rsidRPr="00993936" w:rsidRDefault="00503A41" w:rsidP="000452B8">
      <w:pPr>
        <w:rPr>
          <w:rFonts w:ascii="Arial" w:hAnsi="Arial" w:cs="Arial"/>
          <w:b/>
          <w:lang w:val="es-ES"/>
        </w:rPr>
      </w:pPr>
      <w:r w:rsidRPr="00993936">
        <w:rPr>
          <w:rFonts w:ascii="Arial" w:hAnsi="Arial" w:cs="Arial"/>
          <w:lang w:val="es-ES"/>
        </w:rPr>
        <w:br w:type="page"/>
      </w:r>
      <w:r w:rsidRPr="00993936">
        <w:rPr>
          <w:rFonts w:ascii="Arial" w:hAnsi="Arial" w:cs="Arial"/>
          <w:b/>
          <w:snapToGrid w:val="0"/>
          <w:lang w:val="es-ES"/>
        </w:rPr>
        <w:lastRenderedPageBreak/>
        <w:t>3.1.2 Cereza (continuación)</w:t>
      </w:r>
    </w:p>
    <w:p w:rsidR="00503A41" w:rsidRPr="00993936" w:rsidRDefault="00503A41" w:rsidP="000452B8">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9"/>
        <w:gridCol w:w="1770"/>
        <w:gridCol w:w="2574"/>
        <w:gridCol w:w="2171"/>
      </w:tblGrid>
      <w:tr w:rsidR="00503A41" w:rsidRPr="00993936" w:rsidTr="001D205D">
        <w:trPr>
          <w:cantSplit/>
          <w:jc w:val="center"/>
        </w:trPr>
        <w:tc>
          <w:tcPr>
            <w:tcW w:w="1231" w:type="pct"/>
            <w:shd w:val="pct20"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023" w:type="pct"/>
            <w:shd w:val="pct20"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UMBRAL DE TOLERANCIA</w:t>
            </w:r>
          </w:p>
        </w:tc>
        <w:tc>
          <w:tcPr>
            <w:tcW w:w="1489" w:type="pct"/>
            <w:shd w:val="pct20"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256" w:type="pct"/>
            <w:shd w:val="pct20" w:color="auto" w:fill="FFFFFF"/>
          </w:tcPr>
          <w:p w:rsidR="00503A41" w:rsidRPr="00993936" w:rsidRDefault="00503A41" w:rsidP="000452B8">
            <w:pPr>
              <w:jc w:val="center"/>
              <w:rPr>
                <w:rFonts w:ascii="Arial" w:hAnsi="Arial" w:cs="Arial"/>
                <w:lang w:val="es-ES"/>
              </w:rPr>
            </w:pPr>
            <w:r w:rsidRPr="00993936">
              <w:rPr>
                <w:rFonts w:ascii="Arial" w:hAnsi="Arial" w:cs="Arial"/>
                <w:b/>
                <w:lang w:val="es-ES"/>
              </w:rPr>
              <w:t>RESTRICCIONES</w:t>
            </w:r>
          </w:p>
        </w:tc>
      </w:tr>
      <w:tr w:rsidR="00503A41" w:rsidRPr="00993936" w:rsidTr="001D205D">
        <w:trPr>
          <w:cantSplit/>
          <w:jc w:val="center"/>
        </w:trPr>
        <w:tc>
          <w:tcPr>
            <w:tcW w:w="1231" w:type="pct"/>
            <w:vAlign w:val="center"/>
          </w:tcPr>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i/>
                <w:lang w:val="es-ES"/>
              </w:rPr>
            </w:pPr>
            <w:r w:rsidRPr="00993936">
              <w:rPr>
                <w:rFonts w:ascii="Arial" w:hAnsi="Arial" w:cs="Arial"/>
                <w:i/>
                <w:lang w:val="es-ES"/>
              </w:rPr>
              <w:t>Moscas del cerezo</w:t>
            </w:r>
          </w:p>
          <w:p w:rsidR="00503A41" w:rsidRPr="00993936" w:rsidRDefault="00503A41" w:rsidP="001D205D">
            <w:pPr>
              <w:pStyle w:val="Sinespaciado"/>
              <w:rPr>
                <w:rFonts w:ascii="Arial" w:hAnsi="Arial" w:cs="Arial"/>
                <w:i/>
                <w:lang w:val="es-ES"/>
              </w:rPr>
            </w:pPr>
            <w:r w:rsidRPr="00993936">
              <w:rPr>
                <w:rFonts w:ascii="Arial" w:hAnsi="Arial" w:cs="Arial"/>
                <w:i/>
                <w:lang w:val="es-ES"/>
              </w:rPr>
              <w:t>Rhagoletis cerasi</w:t>
            </w:r>
          </w:p>
          <w:p w:rsidR="00503A41" w:rsidRPr="00993936" w:rsidRDefault="00503A41" w:rsidP="001D205D">
            <w:pPr>
              <w:pStyle w:val="Sinespaciado"/>
              <w:rPr>
                <w:rFonts w:ascii="Arial" w:hAnsi="Arial" w:cs="Arial"/>
                <w:i/>
                <w:lang w:val="es-ES"/>
              </w:rPr>
            </w:pPr>
            <w:r w:rsidRPr="00993936">
              <w:rPr>
                <w:rFonts w:ascii="Arial" w:hAnsi="Arial" w:cs="Arial"/>
                <w:i/>
                <w:lang w:val="es-ES"/>
              </w:rPr>
              <w:t>Queratitis capitata</w:t>
            </w:r>
          </w:p>
          <w:p w:rsidR="00503A41" w:rsidRPr="00993936" w:rsidRDefault="00503A41" w:rsidP="001D205D">
            <w:pPr>
              <w:pStyle w:val="Sinespaciado"/>
              <w:rPr>
                <w:rFonts w:ascii="Arial" w:hAnsi="Arial" w:cs="Arial"/>
                <w:lang w:val="es-ES"/>
              </w:rPr>
            </w:pPr>
          </w:p>
        </w:tc>
        <w:tc>
          <w:tcPr>
            <w:tcW w:w="1023"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Presencia</w:t>
            </w:r>
          </w:p>
        </w:tc>
        <w:tc>
          <w:tcPr>
            <w:tcW w:w="1489"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Acetamiprid</w:t>
            </w:r>
          </w:p>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Beauveria bassiana</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Fosmet</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de la quimioesterilització</w:t>
            </w:r>
          </w:p>
          <w:p w:rsidR="00503A41" w:rsidRPr="00993936" w:rsidRDefault="00503A41" w:rsidP="001D205D">
            <w:pPr>
              <w:pStyle w:val="Sinespaciado"/>
              <w:rPr>
                <w:rFonts w:ascii="Arial" w:hAnsi="Arial" w:cs="Arial"/>
                <w:lang w:val="es-ES"/>
              </w:rPr>
            </w:pPr>
            <w:r w:rsidRPr="00993936">
              <w:rPr>
                <w:rFonts w:ascii="Arial" w:hAnsi="Arial" w:cs="Arial"/>
                <w:lang w:val="es-ES"/>
              </w:rPr>
              <w:t>Proteína hidrolizada</w:t>
            </w:r>
          </w:p>
          <w:p w:rsidR="00503A41" w:rsidRPr="00993936" w:rsidRDefault="00503A41" w:rsidP="001D205D">
            <w:pPr>
              <w:pStyle w:val="Sinespaciado"/>
              <w:rPr>
                <w:rFonts w:ascii="Arial" w:hAnsi="Arial" w:cs="Arial"/>
                <w:lang w:val="es-ES"/>
              </w:rPr>
            </w:pPr>
            <w:r w:rsidRPr="00993936">
              <w:rPr>
                <w:rFonts w:ascii="Arial" w:hAnsi="Arial" w:cs="Arial"/>
                <w:lang w:val="es-ES"/>
              </w:rPr>
              <w:t>Tiametoxam</w:t>
            </w:r>
          </w:p>
        </w:tc>
        <w:tc>
          <w:tcPr>
            <w:tcW w:w="1256" w:type="pct"/>
            <w:vMerge w:val="restart"/>
          </w:tcPr>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9D1A2D">
            <w:pPr>
              <w:numPr>
                <w:ilvl w:val="0"/>
                <w:numId w:val="71"/>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71"/>
              </w:numPr>
              <w:spacing w:after="0" w:line="240" w:lineRule="auto"/>
              <w:rPr>
                <w:rFonts w:ascii="Arial" w:hAnsi="Arial" w:cs="Arial"/>
                <w:lang w:val="es-ES"/>
              </w:rPr>
            </w:pPr>
            <w:r w:rsidRPr="00993936">
              <w:rPr>
                <w:rFonts w:ascii="Arial" w:hAnsi="Arial" w:cs="Arial"/>
                <w:lang w:val="es-ES"/>
              </w:rPr>
              <w:t>Máximo 2 tratamiento/año</w:t>
            </w:r>
          </w:p>
          <w:p w:rsidR="00503A41" w:rsidRPr="00993936" w:rsidRDefault="00503A41" w:rsidP="009D1A2D">
            <w:pPr>
              <w:numPr>
                <w:ilvl w:val="0"/>
                <w:numId w:val="71"/>
              </w:numPr>
              <w:spacing w:after="0" w:line="240" w:lineRule="auto"/>
              <w:rPr>
                <w:rFonts w:ascii="Arial" w:hAnsi="Arial" w:cs="Arial"/>
                <w:lang w:val="es-ES"/>
              </w:rPr>
            </w:pPr>
            <w:r w:rsidRPr="00993936">
              <w:rPr>
                <w:rFonts w:ascii="Arial" w:hAnsi="Arial" w:cs="Arial"/>
                <w:snapToGrid w:val="0"/>
                <w:lang w:val="es-ES"/>
              </w:rPr>
              <w:t>Sólo productos que no sean de clasificación toxicológica (T)</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tc>
      </w:tr>
      <w:tr w:rsidR="00503A41" w:rsidRPr="00993936" w:rsidTr="001D205D">
        <w:trPr>
          <w:cantSplit/>
          <w:trHeight w:val="545"/>
          <w:jc w:val="center"/>
        </w:trPr>
        <w:tc>
          <w:tcPr>
            <w:tcW w:w="1231" w:type="pc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Drosophila suzukii</w:t>
            </w:r>
          </w:p>
        </w:tc>
        <w:tc>
          <w:tcPr>
            <w:tcW w:w="1023" w:type="pct"/>
            <w:vAlign w:val="center"/>
          </w:tcPr>
          <w:p w:rsidR="00503A41" w:rsidRPr="00993936" w:rsidRDefault="00503A41" w:rsidP="001D205D">
            <w:pPr>
              <w:pStyle w:val="Sinespaciado"/>
              <w:rPr>
                <w:rFonts w:ascii="Arial" w:hAnsi="Arial" w:cs="Arial"/>
                <w:lang w:val="es-ES"/>
              </w:rPr>
            </w:pPr>
          </w:p>
        </w:tc>
        <w:tc>
          <w:tcPr>
            <w:tcW w:w="1489"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Lambda-cihalotrín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de captura masiva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Vinagre </w:t>
            </w:r>
          </w:p>
          <w:p w:rsidR="00503A41" w:rsidRPr="00993936" w:rsidRDefault="00503A41" w:rsidP="001D205D">
            <w:pPr>
              <w:pStyle w:val="Sinespaciado"/>
              <w:rPr>
                <w:rFonts w:ascii="Arial" w:hAnsi="Arial" w:cs="Arial"/>
                <w:i/>
                <w:snapToGrid w:val="0"/>
                <w:sz w:val="20"/>
                <w:lang w:val="es-ES"/>
              </w:rPr>
            </w:pPr>
            <w:r w:rsidRPr="00993936">
              <w:rPr>
                <w:rFonts w:ascii="Arial" w:hAnsi="Arial" w:cs="Arial"/>
                <w:i/>
                <w:snapToGrid w:val="0"/>
                <w:sz w:val="16"/>
                <w:lang w:val="es-ES"/>
              </w:rPr>
              <w:t>(autorizado hasta 28/07/2017)</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Proteína hidrolizada </w:t>
            </w:r>
            <w:r w:rsidRPr="00993936">
              <w:rPr>
                <w:rFonts w:ascii="Arial" w:hAnsi="Arial" w:cs="Arial"/>
                <w:i/>
                <w:snapToGrid w:val="0"/>
                <w:sz w:val="14"/>
                <w:lang w:val="es-ES"/>
              </w:rPr>
              <w:t>(</w:t>
            </w:r>
            <w:r w:rsidRPr="00993936">
              <w:rPr>
                <w:rFonts w:ascii="Arial" w:hAnsi="Arial" w:cs="Arial"/>
                <w:i/>
                <w:snapToGrid w:val="0"/>
                <w:sz w:val="16"/>
                <w:lang w:val="es-ES"/>
              </w:rPr>
              <w:t>autorizado hasta 28/07/2017)</w:t>
            </w:r>
          </w:p>
        </w:tc>
        <w:tc>
          <w:tcPr>
            <w:tcW w:w="1256" w:type="pct"/>
            <w:vMerge/>
          </w:tcPr>
          <w:p w:rsidR="00503A41" w:rsidRPr="00993936" w:rsidRDefault="00503A41" w:rsidP="000452B8">
            <w:pPr>
              <w:rPr>
                <w:rFonts w:ascii="Arial" w:hAnsi="Arial" w:cs="Arial"/>
                <w:lang w:val="es-ES"/>
              </w:rPr>
            </w:pPr>
          </w:p>
        </w:tc>
      </w:tr>
      <w:tr w:rsidR="00503A41" w:rsidRPr="00993936" w:rsidTr="001D205D">
        <w:trPr>
          <w:cantSplit/>
          <w:trHeight w:val="1649"/>
          <w:jc w:val="center"/>
        </w:trPr>
        <w:tc>
          <w:tcPr>
            <w:tcW w:w="1231" w:type="pc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Orugas defoliadoras</w:t>
            </w:r>
          </w:p>
        </w:tc>
        <w:tc>
          <w:tcPr>
            <w:tcW w:w="1023"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 de árboles afectados</w:t>
            </w:r>
          </w:p>
        </w:tc>
        <w:tc>
          <w:tcPr>
            <w:tcW w:w="1489"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lang w:val="es-ES"/>
              </w:rPr>
            </w:pPr>
            <w:r w:rsidRPr="00993936">
              <w:rPr>
                <w:rFonts w:ascii="Arial" w:hAnsi="Arial" w:cs="Arial"/>
                <w:lang w:val="es-ES"/>
              </w:rPr>
              <w:t>Bacillus thuringiensis kurstaki</w:t>
            </w:r>
          </w:p>
          <w:p w:rsidR="00503A41" w:rsidRPr="00993936" w:rsidRDefault="00503A41" w:rsidP="001D205D">
            <w:pPr>
              <w:pStyle w:val="Sinespaciado"/>
              <w:rPr>
                <w:rFonts w:ascii="Arial" w:hAnsi="Arial" w:cs="Arial"/>
                <w:lang w:val="es-ES"/>
              </w:rPr>
            </w:pPr>
            <w:r w:rsidRPr="00993936">
              <w:rPr>
                <w:rFonts w:ascii="Arial" w:hAnsi="Arial" w:cs="Arial"/>
                <w:lang w:val="es-ES"/>
              </w:rPr>
              <w:t>Clorpirifos (3)</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 (3)</w:t>
            </w:r>
          </w:p>
          <w:p w:rsidR="00503A41" w:rsidRPr="00993936" w:rsidRDefault="00503A41" w:rsidP="001D205D">
            <w:pPr>
              <w:pStyle w:val="Sinespaciado"/>
              <w:rPr>
                <w:rFonts w:ascii="Arial" w:hAnsi="Arial" w:cs="Arial"/>
                <w:lang w:val="es-ES"/>
              </w:rPr>
            </w:pPr>
            <w:r w:rsidRPr="00993936">
              <w:rPr>
                <w:rFonts w:ascii="Arial" w:hAnsi="Arial" w:cs="Arial"/>
                <w:lang w:val="es-ES"/>
              </w:rPr>
              <w:t>Triflumuró</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Zeta-cipermetrín</w:t>
            </w:r>
          </w:p>
        </w:tc>
        <w:tc>
          <w:tcPr>
            <w:tcW w:w="1256" w:type="pct"/>
            <w:vMerge/>
          </w:tcPr>
          <w:p w:rsidR="00503A41" w:rsidRPr="00993936" w:rsidRDefault="00503A41" w:rsidP="000452B8">
            <w:pPr>
              <w:rPr>
                <w:rFonts w:ascii="Arial" w:hAnsi="Arial" w:cs="Arial"/>
                <w:lang w:val="es-ES"/>
              </w:rPr>
            </w:pPr>
          </w:p>
        </w:tc>
      </w:tr>
      <w:tr w:rsidR="00503A41" w:rsidRPr="00993936" w:rsidTr="001D205D">
        <w:trPr>
          <w:cantSplit/>
          <w:jc w:val="center"/>
        </w:trPr>
        <w:tc>
          <w:tcPr>
            <w:tcW w:w="1231" w:type="pct"/>
            <w:vMerge w:val="restar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Piojo blanco</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Pseudaulacaspis pentagona</w:t>
            </w:r>
          </w:p>
        </w:tc>
        <w:tc>
          <w:tcPr>
            <w:tcW w:w="1023" w:type="pct"/>
            <w:vMerge w:val="restar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Presencia</w:t>
            </w:r>
          </w:p>
        </w:tc>
        <w:tc>
          <w:tcPr>
            <w:tcW w:w="1489"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Tratamiento de invierno: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Polisulfuro de calcio</w:t>
            </w:r>
          </w:p>
          <w:p w:rsidR="00503A41" w:rsidRPr="00993936" w:rsidRDefault="00503A41" w:rsidP="001D205D">
            <w:pPr>
              <w:pStyle w:val="Sinespaciado"/>
              <w:rPr>
                <w:rFonts w:ascii="Arial" w:hAnsi="Arial" w:cs="Arial"/>
                <w:lang w:val="es-ES"/>
              </w:rPr>
            </w:pPr>
          </w:p>
        </w:tc>
        <w:tc>
          <w:tcPr>
            <w:tcW w:w="1256" w:type="pct"/>
            <w:vMerge/>
          </w:tcPr>
          <w:p w:rsidR="00503A41" w:rsidRPr="00993936" w:rsidRDefault="00503A41" w:rsidP="000452B8">
            <w:pPr>
              <w:rPr>
                <w:rFonts w:ascii="Arial" w:hAnsi="Arial" w:cs="Arial"/>
                <w:lang w:val="es-ES"/>
              </w:rPr>
            </w:pPr>
          </w:p>
        </w:tc>
      </w:tr>
      <w:tr w:rsidR="00503A41" w:rsidRPr="00993936" w:rsidTr="001D205D">
        <w:trPr>
          <w:cantSplit/>
          <w:jc w:val="center"/>
        </w:trPr>
        <w:tc>
          <w:tcPr>
            <w:tcW w:w="1231" w:type="pct"/>
            <w:vMerge/>
            <w:vAlign w:val="center"/>
          </w:tcPr>
          <w:p w:rsidR="00503A41" w:rsidRPr="00993936" w:rsidRDefault="00503A41" w:rsidP="001D205D">
            <w:pPr>
              <w:pStyle w:val="Sinespaciado"/>
              <w:rPr>
                <w:rFonts w:ascii="Arial" w:hAnsi="Arial" w:cs="Arial"/>
                <w:lang w:val="es-ES"/>
              </w:rPr>
            </w:pPr>
          </w:p>
        </w:tc>
        <w:tc>
          <w:tcPr>
            <w:tcW w:w="1023" w:type="pct"/>
            <w:vMerge/>
            <w:vAlign w:val="center"/>
          </w:tcPr>
          <w:p w:rsidR="00503A41" w:rsidRPr="00993936" w:rsidRDefault="00503A41" w:rsidP="001D205D">
            <w:pPr>
              <w:pStyle w:val="Sinespaciado"/>
              <w:rPr>
                <w:rFonts w:ascii="Arial" w:hAnsi="Arial" w:cs="Arial"/>
                <w:lang w:val="es-ES"/>
              </w:rPr>
            </w:pPr>
          </w:p>
        </w:tc>
        <w:tc>
          <w:tcPr>
            <w:tcW w:w="1489"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Vegetación:</w:t>
            </w:r>
          </w:p>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lang w:val="es-ES"/>
              </w:rPr>
            </w:pPr>
            <w:r w:rsidRPr="00993936">
              <w:rPr>
                <w:rFonts w:ascii="Arial" w:hAnsi="Arial" w:cs="Arial"/>
                <w:lang w:val="es-ES"/>
              </w:rPr>
              <w:t>Clorpirifos (3)</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tc>
        <w:tc>
          <w:tcPr>
            <w:tcW w:w="1256" w:type="pct"/>
            <w:vMerge/>
          </w:tcPr>
          <w:p w:rsidR="00503A41" w:rsidRPr="00993936" w:rsidRDefault="00503A41" w:rsidP="000452B8">
            <w:pPr>
              <w:rPr>
                <w:rFonts w:ascii="Arial" w:hAnsi="Arial" w:cs="Arial"/>
                <w:lang w:val="es-ES"/>
              </w:rPr>
            </w:pPr>
          </w:p>
        </w:tc>
      </w:tr>
    </w:tbl>
    <w:p w:rsidR="00503A41" w:rsidRPr="00993936" w:rsidRDefault="00503A41" w:rsidP="000452B8">
      <w:pPr>
        <w:rPr>
          <w:rFonts w:ascii="Arial" w:hAnsi="Arial" w:cs="Arial"/>
          <w:lang w:val="es-ES"/>
        </w:rPr>
      </w:pPr>
      <w:r w:rsidRPr="00993936">
        <w:rPr>
          <w:rFonts w:ascii="Arial" w:hAnsi="Arial" w:cs="Arial"/>
          <w:lang w:val="es-ES"/>
        </w:rPr>
        <w:t xml:space="preserve"> </w:t>
      </w:r>
    </w:p>
    <w:p w:rsidR="00503A41" w:rsidRPr="00993936" w:rsidRDefault="00503A41" w:rsidP="000452B8">
      <w:pPr>
        <w:pStyle w:val="Textoindependiente2"/>
        <w:rPr>
          <w:rFonts w:cs="Arial"/>
          <w:szCs w:val="22"/>
          <w:lang w:val="es-ES"/>
        </w:rPr>
      </w:pPr>
      <w:r w:rsidRPr="00993936">
        <w:rPr>
          <w:rFonts w:cs="Arial"/>
          <w:szCs w:val="22"/>
          <w:lang w:val="es-ES"/>
        </w:rPr>
        <w:br w:type="page"/>
      </w:r>
      <w:r w:rsidRPr="00993936">
        <w:rPr>
          <w:rFonts w:cs="Arial"/>
          <w:szCs w:val="22"/>
          <w:lang w:val="es-ES"/>
        </w:rPr>
        <w:lastRenderedPageBreak/>
        <w:t>3.1.3 Ciruela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1"/>
        <w:gridCol w:w="2161"/>
        <w:gridCol w:w="2161"/>
        <w:gridCol w:w="2161"/>
      </w:tblGrid>
      <w:tr w:rsidR="00503A41" w:rsidRPr="00993936" w:rsidTr="000452B8">
        <w:trPr>
          <w:tblHeader/>
          <w:jc w:val="center"/>
        </w:trPr>
        <w:tc>
          <w:tcPr>
            <w:tcW w:w="125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25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UMBRAL DE TOLERANCIA</w:t>
            </w:r>
          </w:p>
        </w:tc>
        <w:tc>
          <w:tcPr>
            <w:tcW w:w="125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25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jc w:val="center"/>
        </w:trPr>
        <w:tc>
          <w:tcPr>
            <w:tcW w:w="1250" w:type="pct"/>
            <w:vMerge w:val="restar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Piojo de San José</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Comstockaspis perniciosa </w:t>
            </w:r>
          </w:p>
        </w:tc>
        <w:tc>
          <w:tcPr>
            <w:tcW w:w="125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Tratamientos de invierno: presencia en recolección o poda; Umbral de tratamiento: presencia</w:t>
            </w:r>
          </w:p>
        </w:tc>
        <w:tc>
          <w:tcPr>
            <w:tcW w:w="125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Fenoxicarb </w:t>
            </w:r>
            <w:r w:rsidRPr="00993936">
              <w:rPr>
                <w:rFonts w:ascii="Arial" w:hAnsi="Arial" w:cs="Arial"/>
                <w:snapToGrid w:val="0"/>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Polisulfuro de calcio </w:t>
            </w:r>
          </w:p>
          <w:p w:rsidR="00503A41" w:rsidRPr="00993936" w:rsidRDefault="00503A41" w:rsidP="001D205D">
            <w:pPr>
              <w:pStyle w:val="Sinespaciado"/>
              <w:rPr>
                <w:rFonts w:ascii="Arial" w:hAnsi="Arial" w:cs="Arial"/>
                <w:lang w:val="es-ES"/>
              </w:rPr>
            </w:pPr>
          </w:p>
        </w:tc>
        <w:tc>
          <w:tcPr>
            <w:tcW w:w="1250" w:type="pct"/>
            <w:vMerge w:val="restart"/>
            <w:vAlign w:val="center"/>
          </w:tcPr>
          <w:p w:rsidR="00503A41" w:rsidRPr="00993936" w:rsidRDefault="00503A41" w:rsidP="000452B8">
            <w:pPr>
              <w:rPr>
                <w:rFonts w:ascii="Arial" w:hAnsi="Arial" w:cs="Arial"/>
                <w:lang w:val="es-ES"/>
              </w:rPr>
            </w:pPr>
          </w:p>
          <w:p w:rsidR="00503A41" w:rsidRPr="00993936" w:rsidRDefault="00503A41" w:rsidP="009D1A2D">
            <w:pPr>
              <w:numPr>
                <w:ilvl w:val="0"/>
                <w:numId w:val="67"/>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67"/>
              </w:numPr>
              <w:spacing w:after="0" w:line="240" w:lineRule="auto"/>
              <w:rPr>
                <w:rFonts w:ascii="Arial" w:hAnsi="Arial" w:cs="Arial"/>
                <w:lang w:val="es-ES"/>
              </w:rPr>
            </w:pPr>
            <w:r w:rsidRPr="00993936">
              <w:rPr>
                <w:rFonts w:ascii="Arial" w:hAnsi="Arial" w:cs="Arial"/>
                <w:lang w:val="es-ES"/>
              </w:rPr>
              <w:t>Máximo 2 tratamiento/año</w:t>
            </w:r>
          </w:p>
          <w:p w:rsidR="00503A41" w:rsidRPr="00993936" w:rsidRDefault="00503A41" w:rsidP="009D1A2D">
            <w:pPr>
              <w:numPr>
                <w:ilvl w:val="0"/>
                <w:numId w:val="67"/>
              </w:numPr>
              <w:spacing w:after="0" w:line="240" w:lineRule="auto"/>
              <w:rPr>
                <w:rFonts w:ascii="Arial" w:hAnsi="Arial" w:cs="Arial"/>
                <w:lang w:val="es-ES"/>
              </w:rPr>
            </w:pPr>
            <w:r w:rsidRPr="00993936">
              <w:rPr>
                <w:rFonts w:ascii="Arial" w:hAnsi="Arial" w:cs="Arial"/>
                <w:snapToGrid w:val="0"/>
                <w:lang w:val="es-ES"/>
              </w:rPr>
              <w:t>Sólo productos que no sean de clasificación toxicológica (T)</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r w:rsidRPr="00993936">
              <w:rPr>
                <w:rFonts w:ascii="Arial" w:hAnsi="Arial" w:cs="Arial"/>
                <w:lang w:val="es-ES"/>
              </w:rPr>
              <w:t>(**) El LMR coincide con LD</w:t>
            </w:r>
          </w:p>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Merge/>
            <w:vAlign w:val="center"/>
          </w:tcPr>
          <w:p w:rsidR="00503A41" w:rsidRPr="00993936" w:rsidRDefault="00503A41" w:rsidP="001D205D">
            <w:pPr>
              <w:pStyle w:val="Sinespaciado"/>
              <w:rPr>
                <w:rFonts w:ascii="Arial" w:hAnsi="Arial" w:cs="Arial"/>
                <w:lang w:val="es-ES"/>
              </w:rPr>
            </w:pPr>
          </w:p>
        </w:tc>
        <w:tc>
          <w:tcPr>
            <w:tcW w:w="125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 prefloración: presencia en recolección o poda; Umbral de tratamiento: presencia</w:t>
            </w:r>
          </w:p>
        </w:tc>
        <w:tc>
          <w:tcPr>
            <w:tcW w:w="125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Piriproxifén (**)</w:t>
            </w:r>
          </w:p>
        </w:tc>
        <w:tc>
          <w:tcPr>
            <w:tcW w:w="1250" w:type="pct"/>
            <w:vMerge/>
          </w:tcPr>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Merge/>
            <w:vAlign w:val="center"/>
          </w:tcPr>
          <w:p w:rsidR="00503A41" w:rsidRPr="00993936" w:rsidRDefault="00503A41" w:rsidP="001D205D">
            <w:pPr>
              <w:pStyle w:val="Sinespaciado"/>
              <w:rPr>
                <w:rFonts w:ascii="Arial" w:hAnsi="Arial" w:cs="Arial"/>
                <w:lang w:val="es-ES"/>
              </w:rPr>
            </w:pPr>
          </w:p>
        </w:tc>
        <w:tc>
          <w:tcPr>
            <w:tcW w:w="125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 1ª generación: &gt;2% de árboles ocupados por formas móviles; Umbral de tratamiento: presencia</w:t>
            </w:r>
          </w:p>
        </w:tc>
        <w:tc>
          <w:tcPr>
            <w:tcW w:w="125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Spirotetramat</w:t>
            </w:r>
          </w:p>
        </w:tc>
        <w:tc>
          <w:tcPr>
            <w:tcW w:w="1250" w:type="pct"/>
            <w:vMerge/>
          </w:tcPr>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Pulgones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Myzus persicae </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Brachycaudus swchartzi</w:t>
            </w:r>
            <w:r w:rsidRPr="00993936">
              <w:rPr>
                <w:rFonts w:ascii="Arial" w:hAnsi="Arial" w:cs="Arial"/>
                <w:lang w:val="es-ES"/>
              </w:rPr>
              <w:t xml:space="preserve"> </w:t>
            </w:r>
          </w:p>
        </w:tc>
        <w:tc>
          <w:tcPr>
            <w:tcW w:w="125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Umbral de tratamiento en prefloración: presencia</w:t>
            </w:r>
          </w:p>
          <w:p w:rsidR="00503A41" w:rsidRPr="00993936" w:rsidRDefault="00503A41" w:rsidP="001D205D">
            <w:pPr>
              <w:pStyle w:val="Sinespaciado"/>
              <w:rPr>
                <w:rFonts w:ascii="Arial" w:hAnsi="Arial" w:cs="Arial"/>
                <w:lang w:val="es-ES"/>
              </w:rPr>
            </w:pPr>
          </w:p>
        </w:tc>
        <w:tc>
          <w:tcPr>
            <w:tcW w:w="125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Acetamiprid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Cipermetrín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Clorpirifos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Flonicamid(2)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Imidacloprid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Lambda-cihalotrín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Pirimicarb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Tau-fluvalinat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Tiametoxam</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Tiacloprid (2)</w:t>
            </w:r>
          </w:p>
          <w:p w:rsidR="00503A41" w:rsidRPr="00993936" w:rsidRDefault="00503A41" w:rsidP="001D205D">
            <w:pPr>
              <w:pStyle w:val="Sinespaciado"/>
              <w:rPr>
                <w:rFonts w:ascii="Arial" w:hAnsi="Arial" w:cs="Arial"/>
                <w:u w:val="single"/>
                <w:lang w:val="es-ES"/>
              </w:rPr>
            </w:pPr>
            <w:r w:rsidRPr="00993936">
              <w:rPr>
                <w:rFonts w:ascii="Arial" w:hAnsi="Arial" w:cs="Arial"/>
                <w:snapToGrid w:val="0"/>
                <w:lang w:val="es-ES"/>
              </w:rPr>
              <w:t>Zeta-cipermetrín</w:t>
            </w:r>
          </w:p>
        </w:tc>
        <w:tc>
          <w:tcPr>
            <w:tcW w:w="1250" w:type="pct"/>
            <w:vMerge/>
          </w:tcPr>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Trips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Frankliniella occidentalis </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Trips sp </w:t>
            </w:r>
          </w:p>
        </w:tc>
        <w:tc>
          <w:tcPr>
            <w:tcW w:w="125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 de flores o frutos ocupados</w:t>
            </w:r>
          </w:p>
        </w:tc>
        <w:tc>
          <w:tcPr>
            <w:tcW w:w="1250"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 xml:space="preserve">Acrinatín </w:t>
            </w:r>
            <w:r w:rsidRPr="00993936">
              <w:rPr>
                <w:rFonts w:ascii="Arial" w:hAnsi="Arial" w:cs="Arial"/>
                <w:snapToGrid w:val="0"/>
                <w:lang w:val="es-ES"/>
              </w:rPr>
              <w:t xml:space="preserv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p w:rsidR="00503A41" w:rsidRPr="00993936" w:rsidRDefault="00503A41" w:rsidP="001D205D">
            <w:pPr>
              <w:pStyle w:val="Sinespaciado"/>
              <w:rPr>
                <w:rFonts w:ascii="Arial" w:hAnsi="Arial" w:cs="Arial"/>
                <w:lang w:val="es-ES"/>
              </w:rPr>
            </w:pPr>
            <w:r w:rsidRPr="00993936">
              <w:rPr>
                <w:rFonts w:ascii="Arial" w:hAnsi="Arial" w:cs="Arial"/>
                <w:lang w:val="es-ES"/>
              </w:rPr>
              <w:t>Tau-fluvalinat (3)</w:t>
            </w:r>
            <w:r w:rsidRPr="00993936">
              <w:rPr>
                <w:rFonts w:ascii="Arial" w:hAnsi="Arial" w:cs="Arial"/>
                <w:snapToGrid w:val="0"/>
                <w:lang w:val="es-ES"/>
              </w:rPr>
              <w:t xml:space="preserve"> </w:t>
            </w:r>
          </w:p>
        </w:tc>
        <w:tc>
          <w:tcPr>
            <w:tcW w:w="1250" w:type="pct"/>
            <w:vMerge/>
          </w:tcPr>
          <w:p w:rsidR="00503A41" w:rsidRPr="00993936" w:rsidRDefault="00503A41" w:rsidP="000452B8">
            <w:pPr>
              <w:rPr>
                <w:rFonts w:ascii="Arial" w:hAnsi="Arial" w:cs="Arial"/>
                <w:lang w:val="es-ES"/>
              </w:rPr>
            </w:pPr>
          </w:p>
        </w:tc>
      </w:tr>
    </w:tbl>
    <w:p w:rsidR="00503A41" w:rsidRPr="00993936" w:rsidRDefault="00503A41" w:rsidP="000452B8">
      <w:pPr>
        <w:pStyle w:val="Textoindependiente2"/>
        <w:rPr>
          <w:rFonts w:cs="Arial"/>
          <w:szCs w:val="22"/>
          <w:lang w:val="es-ES"/>
        </w:rPr>
      </w:pPr>
      <w:r w:rsidRPr="00993936">
        <w:rPr>
          <w:rFonts w:cs="Arial"/>
          <w:szCs w:val="22"/>
          <w:lang w:val="es-ES"/>
        </w:rPr>
        <w:br w:type="page"/>
      </w:r>
      <w:r w:rsidRPr="00993936">
        <w:rPr>
          <w:rFonts w:cs="Arial"/>
          <w:szCs w:val="22"/>
          <w:lang w:val="es-ES"/>
        </w:rPr>
        <w:lastRenderedPageBreak/>
        <w:t xml:space="preserve">3.1.3 Ciruela (continuación) </w:t>
      </w:r>
    </w:p>
    <w:p w:rsidR="00503A41" w:rsidRPr="00993936" w:rsidRDefault="00503A41" w:rsidP="000452B8">
      <w:pPr>
        <w:pStyle w:val="Textoindependiente2"/>
        <w:rPr>
          <w:rFonts w:cs="Arial"/>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45"/>
        <w:gridCol w:w="2574"/>
        <w:gridCol w:w="2175"/>
        <w:gridCol w:w="1950"/>
      </w:tblGrid>
      <w:tr w:rsidR="00503A41" w:rsidRPr="00993936" w:rsidTr="000452B8">
        <w:trPr>
          <w:jc w:val="center"/>
        </w:trPr>
        <w:tc>
          <w:tcPr>
            <w:tcW w:w="1250" w:type="pct"/>
            <w:shd w:val="pct12" w:color="auto" w:fill="FFFFFF"/>
          </w:tcPr>
          <w:p w:rsidR="00503A41" w:rsidRPr="00993936" w:rsidRDefault="00503A41" w:rsidP="007003E1">
            <w:pPr>
              <w:pStyle w:val="Sinespaciado"/>
              <w:jc w:val="center"/>
              <w:rPr>
                <w:rFonts w:ascii="Arial" w:hAnsi="Arial" w:cs="Arial"/>
                <w:b/>
                <w:lang w:val="es-ES"/>
              </w:rPr>
            </w:pPr>
            <w:r w:rsidRPr="00993936">
              <w:rPr>
                <w:rFonts w:ascii="Arial" w:hAnsi="Arial" w:cs="Arial"/>
                <w:b/>
                <w:lang w:val="es-ES"/>
              </w:rPr>
              <w:t>PLAGA</w:t>
            </w:r>
          </w:p>
        </w:tc>
        <w:tc>
          <w:tcPr>
            <w:tcW w:w="1250" w:type="pct"/>
            <w:shd w:val="pct12" w:color="auto" w:fill="FFFFFF"/>
          </w:tcPr>
          <w:p w:rsidR="00503A41" w:rsidRPr="00993936" w:rsidRDefault="00503A41" w:rsidP="007003E1">
            <w:pPr>
              <w:pStyle w:val="Sinespaciado"/>
              <w:jc w:val="center"/>
              <w:rPr>
                <w:rFonts w:ascii="Arial" w:hAnsi="Arial" w:cs="Arial"/>
                <w:b/>
                <w:lang w:val="es-ES"/>
              </w:rPr>
            </w:pPr>
            <w:r w:rsidRPr="00993936">
              <w:rPr>
                <w:rFonts w:ascii="Arial" w:hAnsi="Arial" w:cs="Arial"/>
                <w:b/>
                <w:lang w:val="es-ES"/>
              </w:rPr>
              <w:t>UMBRAL DE TOLERANCIA</w:t>
            </w:r>
          </w:p>
        </w:tc>
        <w:tc>
          <w:tcPr>
            <w:tcW w:w="1383" w:type="pct"/>
            <w:shd w:val="pct12" w:color="auto" w:fill="FFFFFF"/>
          </w:tcPr>
          <w:p w:rsidR="00503A41" w:rsidRPr="00993936" w:rsidRDefault="00503A41" w:rsidP="007003E1">
            <w:pPr>
              <w:pStyle w:val="Sinespaciado"/>
              <w:jc w:val="center"/>
              <w:rPr>
                <w:rFonts w:ascii="Arial" w:hAnsi="Arial" w:cs="Arial"/>
                <w:b/>
                <w:sz w:val="20"/>
                <w:lang w:val="es-ES"/>
              </w:rPr>
            </w:pPr>
            <w:r w:rsidRPr="00993936">
              <w:rPr>
                <w:rFonts w:ascii="Arial" w:hAnsi="Arial" w:cs="Arial"/>
                <w:b/>
                <w:sz w:val="20"/>
                <w:lang w:val="es-ES"/>
              </w:rPr>
              <w:t>MATERIA ACTIVA</w:t>
            </w:r>
          </w:p>
        </w:tc>
        <w:tc>
          <w:tcPr>
            <w:tcW w:w="1117" w:type="pct"/>
            <w:shd w:val="pct12" w:color="auto" w:fill="FFFFFF"/>
          </w:tcPr>
          <w:p w:rsidR="00503A41" w:rsidRPr="00993936" w:rsidRDefault="00503A41" w:rsidP="007003E1">
            <w:pPr>
              <w:pStyle w:val="Sinespaciado"/>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jc w:val="center"/>
        </w:trPr>
        <w:tc>
          <w:tcPr>
            <w:tcW w:w="1250" w:type="pct"/>
            <w:vAlign w:val="center"/>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Grafolita</w:t>
            </w:r>
          </w:p>
        </w:tc>
        <w:tc>
          <w:tcPr>
            <w:tcW w:w="1250" w:type="pct"/>
            <w:vMerge w:val="restart"/>
            <w:vAlign w:val="center"/>
          </w:tcPr>
          <w:p w:rsidR="00503A41" w:rsidRPr="00993936" w:rsidRDefault="00503A41" w:rsidP="007003E1">
            <w:pPr>
              <w:pStyle w:val="Sinespaciado"/>
              <w:rPr>
                <w:rFonts w:ascii="Arial" w:hAnsi="Arial" w:cs="Arial"/>
                <w:lang w:val="es-ES"/>
              </w:rPr>
            </w:pPr>
            <w:r w:rsidRPr="00993936">
              <w:rPr>
                <w:rFonts w:ascii="Arial" w:hAnsi="Arial" w:cs="Arial"/>
                <w:i/>
                <w:lang w:val="es-ES"/>
              </w:rPr>
              <w:t>Anàrsia</w:t>
            </w:r>
            <w:r w:rsidRPr="00993936">
              <w:rPr>
                <w:rFonts w:ascii="Arial" w:hAnsi="Arial" w:cs="Arial"/>
                <w:lang w:val="es-ES"/>
              </w:rPr>
              <w:t xml:space="preserve">: 7 capturas/trampa/semana (INRA); </w:t>
            </w:r>
          </w:p>
          <w:p w:rsidR="00503A41" w:rsidRPr="00993936" w:rsidRDefault="00503A41" w:rsidP="007003E1">
            <w:pPr>
              <w:pStyle w:val="Sinespaciado"/>
              <w:rPr>
                <w:rFonts w:ascii="Arial" w:hAnsi="Arial" w:cs="Arial"/>
                <w:lang w:val="es-ES"/>
              </w:rPr>
            </w:pPr>
            <w:r w:rsidRPr="00993936">
              <w:rPr>
                <w:rFonts w:ascii="Arial" w:hAnsi="Arial" w:cs="Arial"/>
                <w:lang w:val="es-ES"/>
              </w:rPr>
              <w:t>3% de brotes atacados y/o 1% frutos atacados</w:t>
            </w:r>
          </w:p>
          <w:p w:rsidR="00503A41" w:rsidRPr="00993936" w:rsidRDefault="00503A41" w:rsidP="007003E1">
            <w:pPr>
              <w:pStyle w:val="Sinespaciado"/>
              <w:rPr>
                <w:rFonts w:ascii="Arial" w:hAnsi="Arial" w:cs="Arial"/>
                <w:lang w:val="es-ES"/>
              </w:rPr>
            </w:pPr>
            <w:r w:rsidRPr="00993936">
              <w:rPr>
                <w:rFonts w:ascii="Arial" w:hAnsi="Arial" w:cs="Arial"/>
                <w:i/>
                <w:lang w:val="es-ES"/>
              </w:rPr>
              <w:t>Cydia</w:t>
            </w:r>
            <w:r w:rsidRPr="00993936">
              <w:rPr>
                <w:rFonts w:ascii="Arial" w:hAnsi="Arial" w:cs="Arial"/>
                <w:lang w:val="es-ES"/>
              </w:rPr>
              <w:t xml:space="preserve">: 15 capturas/trampa/semana (Wageningen); </w:t>
            </w:r>
          </w:p>
          <w:p w:rsidR="00503A41" w:rsidRPr="00993936" w:rsidRDefault="00503A41" w:rsidP="007003E1">
            <w:pPr>
              <w:pStyle w:val="Sinespaciado"/>
              <w:rPr>
                <w:rFonts w:ascii="Arial" w:hAnsi="Arial" w:cs="Arial"/>
                <w:i/>
                <w:lang w:val="es-ES"/>
              </w:rPr>
            </w:pPr>
            <w:r w:rsidRPr="00993936">
              <w:rPr>
                <w:rFonts w:ascii="Arial" w:hAnsi="Arial" w:cs="Arial"/>
                <w:lang w:val="es-ES"/>
              </w:rPr>
              <w:t>3% de brotes atacados y/o 1%fruits atacados</w:t>
            </w:r>
          </w:p>
        </w:tc>
        <w:tc>
          <w:tcPr>
            <w:tcW w:w="1383" w:type="pct"/>
            <w:vAlign w:val="center"/>
          </w:tcPr>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Virus de la granulosis de la Carpocapsa</w:t>
            </w:r>
          </w:p>
        </w:tc>
        <w:tc>
          <w:tcPr>
            <w:tcW w:w="1117" w:type="pct"/>
            <w:vMerge w:val="restar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Máximo 1 tratamiento/año</w:t>
            </w:r>
          </w:p>
          <w:p w:rsidR="00503A41" w:rsidRPr="00993936" w:rsidRDefault="00503A41" w:rsidP="007003E1">
            <w:pPr>
              <w:pStyle w:val="Sinespaciado"/>
              <w:rPr>
                <w:rFonts w:ascii="Arial" w:hAnsi="Arial" w:cs="Arial"/>
                <w:lang w:val="es-ES"/>
              </w:rPr>
            </w:pPr>
            <w:r w:rsidRPr="00993936">
              <w:rPr>
                <w:rFonts w:ascii="Arial" w:hAnsi="Arial" w:cs="Arial"/>
                <w:lang w:val="es-ES"/>
              </w:rPr>
              <w:t>Máximo 2 tratamiento/año</w:t>
            </w:r>
          </w:p>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Sólo productos que no sean de clasificación toxicológica (T)</w:t>
            </w:r>
          </w:p>
          <w:p w:rsidR="00503A41" w:rsidRPr="00993936" w:rsidRDefault="00503A41" w:rsidP="007003E1">
            <w:pPr>
              <w:pStyle w:val="Sinespaciado"/>
              <w:rPr>
                <w:rFonts w:ascii="Arial" w:hAnsi="Arial" w:cs="Arial"/>
                <w:snapToGrid w:val="0"/>
                <w:lang w:val="es-ES"/>
              </w:rPr>
            </w:pPr>
          </w:p>
          <w:p w:rsidR="00503A41" w:rsidRPr="00993936" w:rsidRDefault="00503A41" w:rsidP="007003E1">
            <w:pPr>
              <w:pStyle w:val="Sinespaciado"/>
              <w:rPr>
                <w:rFonts w:ascii="Arial" w:hAnsi="Arial" w:cs="Arial"/>
                <w:lang w:val="es-ES"/>
              </w:rPr>
            </w:pPr>
          </w:p>
          <w:p w:rsidR="00503A41" w:rsidRPr="00993936" w:rsidRDefault="00503A41" w:rsidP="007003E1">
            <w:pPr>
              <w:pStyle w:val="Sinespaciado"/>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Anarsia</w:t>
            </w:r>
          </w:p>
          <w:p w:rsidR="00503A41" w:rsidRPr="00993936" w:rsidRDefault="00503A41" w:rsidP="007003E1">
            <w:pPr>
              <w:pStyle w:val="Sinespaciado"/>
              <w:rPr>
                <w:rFonts w:ascii="Arial" w:hAnsi="Arial" w:cs="Arial"/>
                <w:i/>
                <w:snapToGrid w:val="0"/>
                <w:lang w:val="es-ES"/>
              </w:rPr>
            </w:pPr>
            <w:r w:rsidRPr="00993936">
              <w:rPr>
                <w:rFonts w:ascii="Arial" w:hAnsi="Arial" w:cs="Arial"/>
                <w:snapToGrid w:val="0"/>
                <w:lang w:val="es-ES"/>
              </w:rPr>
              <w:t>Anarsia lineatella</w:t>
            </w:r>
          </w:p>
        </w:tc>
        <w:tc>
          <w:tcPr>
            <w:tcW w:w="1250" w:type="pct"/>
            <w:vMerge/>
            <w:vAlign w:val="center"/>
          </w:tcPr>
          <w:p w:rsidR="00503A41" w:rsidRPr="00993936" w:rsidRDefault="00503A41" w:rsidP="007003E1">
            <w:pPr>
              <w:pStyle w:val="Sinespaciado"/>
              <w:rPr>
                <w:rFonts w:ascii="Arial" w:hAnsi="Arial" w:cs="Arial"/>
                <w:lang w:val="es-ES"/>
              </w:rPr>
            </w:pPr>
          </w:p>
        </w:tc>
        <w:tc>
          <w:tcPr>
            <w:tcW w:w="1383" w:type="pct"/>
            <w:vAlign w:val="center"/>
          </w:tcPr>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 xml:space="preserve">Betaciflutrina </w:t>
            </w:r>
          </w:p>
          <w:p w:rsidR="00503A41" w:rsidRPr="00993936" w:rsidRDefault="00503A41" w:rsidP="007003E1">
            <w:pPr>
              <w:pStyle w:val="Sinespaciado"/>
              <w:rPr>
                <w:rFonts w:ascii="Arial" w:hAnsi="Arial" w:cs="Arial"/>
                <w:snapToGrid w:val="0"/>
                <w:sz w:val="20"/>
                <w:lang w:val="es-ES"/>
              </w:rPr>
            </w:pPr>
            <w:r w:rsidRPr="00993936">
              <w:rPr>
                <w:rFonts w:ascii="Arial" w:hAnsi="Arial" w:cs="Arial"/>
                <w:sz w:val="20"/>
                <w:lang w:val="es-ES"/>
              </w:rPr>
              <w:t>Lambda-cihalotrín (3)</w:t>
            </w:r>
          </w:p>
        </w:tc>
        <w:tc>
          <w:tcPr>
            <w:tcW w:w="1117" w:type="pct"/>
            <w:vMerge/>
            <w:vAlign w:val="center"/>
          </w:tcPr>
          <w:p w:rsidR="00503A41" w:rsidRPr="00993936" w:rsidRDefault="00503A41" w:rsidP="007003E1">
            <w:pPr>
              <w:pStyle w:val="Sinespaciado"/>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Anarsia + Grafolita</w:t>
            </w:r>
          </w:p>
          <w:p w:rsidR="00503A41" w:rsidRPr="00993936" w:rsidRDefault="00503A41" w:rsidP="007003E1">
            <w:pPr>
              <w:pStyle w:val="Sinespaciado"/>
              <w:rPr>
                <w:rFonts w:ascii="Arial" w:hAnsi="Arial" w:cs="Arial"/>
                <w:i/>
                <w:lang w:val="es-ES"/>
              </w:rPr>
            </w:pPr>
            <w:r w:rsidRPr="00993936">
              <w:rPr>
                <w:rFonts w:ascii="Arial" w:hAnsi="Arial" w:cs="Arial"/>
                <w:i/>
                <w:snapToGrid w:val="0"/>
                <w:lang w:val="es-ES"/>
              </w:rPr>
              <w:t>Anarsia lineatella</w:t>
            </w:r>
          </w:p>
          <w:p w:rsidR="00503A41" w:rsidRPr="00993936" w:rsidRDefault="00503A41" w:rsidP="007003E1">
            <w:pPr>
              <w:pStyle w:val="Sinespaciado"/>
              <w:rPr>
                <w:rFonts w:ascii="Arial" w:hAnsi="Arial" w:cs="Arial"/>
                <w:i/>
                <w:snapToGrid w:val="0"/>
                <w:lang w:val="es-ES"/>
              </w:rPr>
            </w:pPr>
            <w:r w:rsidRPr="00993936">
              <w:rPr>
                <w:rFonts w:ascii="Arial" w:hAnsi="Arial" w:cs="Arial"/>
                <w:i/>
                <w:snapToGrid w:val="0"/>
                <w:lang w:val="es-ES"/>
              </w:rPr>
              <w:t>Cydia funebrana</w:t>
            </w:r>
          </w:p>
          <w:p w:rsidR="00503A41" w:rsidRPr="00993936" w:rsidRDefault="00503A41" w:rsidP="007003E1">
            <w:pPr>
              <w:pStyle w:val="Sinespaciado"/>
              <w:rPr>
                <w:rFonts w:ascii="Arial" w:hAnsi="Arial" w:cs="Arial"/>
                <w:lang w:val="es-ES"/>
              </w:rPr>
            </w:pPr>
            <w:r w:rsidRPr="00993936">
              <w:rPr>
                <w:rFonts w:ascii="Arial" w:hAnsi="Arial" w:cs="Arial"/>
                <w:i/>
                <w:snapToGrid w:val="0"/>
                <w:lang w:val="es-ES"/>
              </w:rPr>
              <w:t>Cydia molesta</w:t>
            </w:r>
          </w:p>
        </w:tc>
        <w:tc>
          <w:tcPr>
            <w:tcW w:w="1250" w:type="pct"/>
            <w:vMerge/>
            <w:vAlign w:val="center"/>
          </w:tcPr>
          <w:p w:rsidR="00503A41" w:rsidRPr="00993936" w:rsidRDefault="00503A41" w:rsidP="007003E1">
            <w:pPr>
              <w:pStyle w:val="Sinespaciado"/>
              <w:rPr>
                <w:rFonts w:ascii="Arial" w:hAnsi="Arial" w:cs="Arial"/>
                <w:lang w:val="es-ES"/>
              </w:rPr>
            </w:pPr>
          </w:p>
        </w:tc>
        <w:tc>
          <w:tcPr>
            <w:tcW w:w="1383" w:type="pct"/>
            <w:vAlign w:val="center"/>
          </w:tcPr>
          <w:p w:rsidR="00503A41" w:rsidRPr="00993936" w:rsidRDefault="00503A41" w:rsidP="007003E1">
            <w:pPr>
              <w:pStyle w:val="Sinespaciado"/>
              <w:rPr>
                <w:rFonts w:ascii="Arial" w:hAnsi="Arial" w:cs="Arial"/>
                <w:snapToGrid w:val="0"/>
                <w:sz w:val="20"/>
                <w:lang w:val="es-ES"/>
              </w:rPr>
            </w:pPr>
            <w:r w:rsidRPr="00993936">
              <w:rPr>
                <w:rFonts w:ascii="Arial" w:hAnsi="Arial" w:cs="Arial"/>
                <w:sz w:val="20"/>
                <w:lang w:val="es-ES"/>
              </w:rPr>
              <w:t>Azadiractín</w:t>
            </w:r>
          </w:p>
          <w:p w:rsidR="00503A41" w:rsidRPr="00993936" w:rsidRDefault="00503A41" w:rsidP="007003E1">
            <w:pPr>
              <w:pStyle w:val="Sinespaciado"/>
              <w:rPr>
                <w:rFonts w:ascii="Arial" w:hAnsi="Arial" w:cs="Arial"/>
                <w:sz w:val="20"/>
                <w:lang w:val="es-ES"/>
              </w:rPr>
            </w:pPr>
            <w:r w:rsidRPr="00993936">
              <w:rPr>
                <w:rFonts w:ascii="Arial" w:hAnsi="Arial" w:cs="Arial"/>
                <w:snapToGrid w:val="0"/>
                <w:sz w:val="20"/>
                <w:lang w:val="es-ES"/>
              </w:rPr>
              <w:t>Bacillus thuringensis kurstaki</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Betaciflutrín</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Clorantraniliprol</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Clorpirifos (3)</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Deltametrín</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Lambda-cihalotrín (3)</w:t>
            </w:r>
          </w:p>
          <w:p w:rsidR="00503A41" w:rsidRPr="00993936" w:rsidRDefault="00503A41" w:rsidP="007003E1">
            <w:pPr>
              <w:pStyle w:val="Sinespaciado"/>
              <w:rPr>
                <w:rFonts w:ascii="Arial" w:hAnsi="Arial" w:cs="Arial"/>
                <w:snapToGrid w:val="0"/>
                <w:sz w:val="20"/>
                <w:lang w:val="es-ES"/>
              </w:rPr>
            </w:pPr>
            <w:r w:rsidRPr="00993936">
              <w:rPr>
                <w:rFonts w:ascii="Arial" w:hAnsi="Arial" w:cs="Arial"/>
                <w:sz w:val="20"/>
                <w:lang w:val="es-ES"/>
              </w:rPr>
              <w:t>M</w:t>
            </w:r>
            <w:r w:rsidRPr="00993936">
              <w:rPr>
                <w:rFonts w:ascii="Arial" w:hAnsi="Arial" w:cs="Arial"/>
                <w:snapToGrid w:val="0"/>
                <w:sz w:val="20"/>
                <w:lang w:val="es-ES"/>
              </w:rPr>
              <w:t>étodo confusión sexual</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Triflumuró</w:t>
            </w:r>
          </w:p>
          <w:p w:rsidR="00503A41" w:rsidRPr="00993936" w:rsidRDefault="00503A41" w:rsidP="007003E1">
            <w:pPr>
              <w:pStyle w:val="Sinespaciado"/>
              <w:rPr>
                <w:rFonts w:ascii="Arial" w:hAnsi="Arial" w:cs="Arial"/>
                <w:sz w:val="20"/>
                <w:u w:val="single"/>
                <w:lang w:val="es-ES"/>
              </w:rPr>
            </w:pPr>
            <w:r w:rsidRPr="00993936">
              <w:rPr>
                <w:rFonts w:ascii="Arial" w:hAnsi="Arial" w:cs="Arial"/>
                <w:snapToGrid w:val="0"/>
                <w:sz w:val="20"/>
                <w:lang w:val="es-ES"/>
              </w:rPr>
              <w:t>Zeta-cipermetrín</w:t>
            </w:r>
          </w:p>
        </w:tc>
        <w:tc>
          <w:tcPr>
            <w:tcW w:w="1117" w:type="pct"/>
            <w:vMerge/>
            <w:vAlign w:val="center"/>
          </w:tcPr>
          <w:p w:rsidR="00503A41" w:rsidRPr="00993936" w:rsidRDefault="00503A41" w:rsidP="007003E1">
            <w:pPr>
              <w:pStyle w:val="Sinespaciado"/>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Mosca de la fruta</w:t>
            </w:r>
          </w:p>
          <w:p w:rsidR="00503A41" w:rsidRPr="00993936" w:rsidRDefault="00503A41" w:rsidP="007003E1">
            <w:pPr>
              <w:pStyle w:val="Sinespaciado"/>
              <w:rPr>
                <w:rFonts w:ascii="Arial" w:hAnsi="Arial" w:cs="Arial"/>
                <w:i/>
                <w:lang w:val="es-ES"/>
              </w:rPr>
            </w:pPr>
            <w:r w:rsidRPr="00993936">
              <w:rPr>
                <w:rFonts w:ascii="Arial" w:hAnsi="Arial" w:cs="Arial"/>
                <w:i/>
                <w:lang w:val="es-ES"/>
              </w:rPr>
              <w:t>Ceratitis capitata</w:t>
            </w:r>
          </w:p>
        </w:tc>
        <w:tc>
          <w:tcPr>
            <w:tcW w:w="1250" w:type="pc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Presencia en fruta o 1 captura en 2 controles consecutivos con trampa de monitorización</w:t>
            </w:r>
          </w:p>
        </w:tc>
        <w:tc>
          <w:tcPr>
            <w:tcW w:w="1383" w:type="pct"/>
            <w:vAlign w:val="center"/>
          </w:tcPr>
          <w:p w:rsidR="00503A41" w:rsidRPr="00993936" w:rsidRDefault="00503A41" w:rsidP="007003E1">
            <w:pPr>
              <w:pStyle w:val="Sinespaciado"/>
              <w:rPr>
                <w:rFonts w:ascii="Arial" w:hAnsi="Arial" w:cs="Arial"/>
                <w:snapToGrid w:val="0"/>
                <w:sz w:val="20"/>
                <w:lang w:val="es-ES"/>
              </w:rPr>
            </w:pPr>
            <w:r w:rsidRPr="00993936">
              <w:rPr>
                <w:rFonts w:ascii="Arial" w:hAnsi="Arial" w:cs="Arial"/>
                <w:sz w:val="20"/>
                <w:lang w:val="es-ES"/>
              </w:rPr>
              <w:t>Azadiractín</w:t>
            </w:r>
            <w:r w:rsidRPr="00993936">
              <w:rPr>
                <w:rFonts w:ascii="Arial" w:hAnsi="Arial" w:cs="Arial"/>
                <w:snapToGrid w:val="0"/>
                <w:sz w:val="20"/>
                <w:lang w:val="es-ES"/>
              </w:rPr>
              <w:t xml:space="preserve"> </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Betaciflutrín</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Deltametrín</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Lambda-cihalotrín (3)</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Mét. de atracción y muerte</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Mét. de captura masiva</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Mét. de la quimio-esterilització</w:t>
            </w:r>
          </w:p>
          <w:p w:rsidR="00503A41" w:rsidRPr="00993936" w:rsidRDefault="00503A41" w:rsidP="007003E1">
            <w:pPr>
              <w:pStyle w:val="Sinespaciado"/>
              <w:rPr>
                <w:rFonts w:ascii="Arial" w:hAnsi="Arial" w:cs="Arial"/>
                <w:strike/>
                <w:dstrike/>
                <w:sz w:val="20"/>
                <w:lang w:val="es-ES"/>
              </w:rPr>
            </w:pPr>
            <w:r w:rsidRPr="00993936">
              <w:rPr>
                <w:rFonts w:ascii="Arial" w:hAnsi="Arial" w:cs="Arial"/>
                <w:sz w:val="20"/>
                <w:lang w:val="es-ES"/>
              </w:rPr>
              <w:t>Proteína hidrolizada</w:t>
            </w:r>
          </w:p>
        </w:tc>
        <w:tc>
          <w:tcPr>
            <w:tcW w:w="1117" w:type="pct"/>
            <w:vMerge/>
          </w:tcPr>
          <w:p w:rsidR="00503A41" w:rsidRPr="00993936" w:rsidRDefault="00503A41" w:rsidP="007003E1">
            <w:pPr>
              <w:pStyle w:val="Sinespaciado"/>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Gusano cabezudo</w:t>
            </w:r>
          </w:p>
          <w:p w:rsidR="00503A41" w:rsidRPr="00993936" w:rsidRDefault="00503A41" w:rsidP="007003E1">
            <w:pPr>
              <w:pStyle w:val="Sinespaciado"/>
              <w:rPr>
                <w:rFonts w:ascii="Arial" w:hAnsi="Arial" w:cs="Arial"/>
                <w:i/>
                <w:lang w:val="es-ES"/>
              </w:rPr>
            </w:pPr>
            <w:r w:rsidRPr="00993936">
              <w:rPr>
                <w:rFonts w:ascii="Arial" w:hAnsi="Arial" w:cs="Arial"/>
                <w:i/>
                <w:snapToGrid w:val="0"/>
                <w:lang w:val="es-ES"/>
              </w:rPr>
              <w:t xml:space="preserve">Capnodis tenebrionis </w:t>
            </w:r>
          </w:p>
        </w:tc>
        <w:tc>
          <w:tcPr>
            <w:tcW w:w="1250" w:type="pc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0,5 adultos por término medio por árbol inspeccionado</w:t>
            </w:r>
          </w:p>
        </w:tc>
        <w:tc>
          <w:tcPr>
            <w:tcW w:w="1383" w:type="pct"/>
            <w:vAlign w:val="center"/>
          </w:tcPr>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Clorpirifos (3)</w:t>
            </w:r>
          </w:p>
          <w:p w:rsidR="00503A41" w:rsidRPr="00993936" w:rsidRDefault="00503A41" w:rsidP="007003E1">
            <w:pPr>
              <w:pStyle w:val="Sinespaciado"/>
              <w:rPr>
                <w:rFonts w:ascii="Arial" w:hAnsi="Arial" w:cs="Arial"/>
                <w:sz w:val="20"/>
                <w:lang w:val="es-ES"/>
              </w:rPr>
            </w:pPr>
            <w:r w:rsidRPr="00993936">
              <w:rPr>
                <w:rFonts w:ascii="Arial" w:hAnsi="Arial" w:cs="Arial"/>
                <w:snapToGrid w:val="0"/>
                <w:sz w:val="20"/>
                <w:lang w:val="es-ES"/>
              </w:rPr>
              <w:t>Imidacloprid (2)</w:t>
            </w:r>
          </w:p>
        </w:tc>
        <w:tc>
          <w:tcPr>
            <w:tcW w:w="1117" w:type="pct"/>
            <w:vMerge/>
          </w:tcPr>
          <w:p w:rsidR="00503A41" w:rsidRPr="00993936" w:rsidRDefault="00503A41" w:rsidP="007003E1">
            <w:pPr>
              <w:pStyle w:val="Sinespaciado"/>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Hoplocampa</w:t>
            </w:r>
          </w:p>
          <w:p w:rsidR="00503A41" w:rsidRPr="00993936" w:rsidRDefault="00503A41" w:rsidP="007003E1">
            <w:pPr>
              <w:pStyle w:val="Sinespaciado"/>
              <w:rPr>
                <w:rFonts w:ascii="Arial" w:hAnsi="Arial" w:cs="Arial"/>
                <w:i/>
                <w:lang w:val="es-ES"/>
              </w:rPr>
            </w:pPr>
            <w:r w:rsidRPr="00993936">
              <w:rPr>
                <w:rFonts w:ascii="Arial" w:hAnsi="Arial" w:cs="Arial"/>
                <w:i/>
                <w:lang w:val="es-ES"/>
              </w:rPr>
              <w:t>Hoplocampa brevis</w:t>
            </w:r>
          </w:p>
        </w:tc>
        <w:tc>
          <w:tcPr>
            <w:tcW w:w="1250" w:type="pc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Presencia</w:t>
            </w:r>
          </w:p>
        </w:tc>
        <w:tc>
          <w:tcPr>
            <w:tcW w:w="1383" w:type="pct"/>
            <w:vAlign w:val="center"/>
          </w:tcPr>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Deltametrín</w:t>
            </w:r>
          </w:p>
        </w:tc>
        <w:tc>
          <w:tcPr>
            <w:tcW w:w="1117" w:type="pct"/>
            <w:vMerge/>
          </w:tcPr>
          <w:p w:rsidR="00503A41" w:rsidRPr="00993936" w:rsidRDefault="00503A41" w:rsidP="007003E1">
            <w:pPr>
              <w:pStyle w:val="Sinespaciado"/>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Orugas defoliadoras</w:t>
            </w:r>
          </w:p>
          <w:p w:rsidR="00503A41" w:rsidRPr="00993936" w:rsidRDefault="00503A41" w:rsidP="007003E1">
            <w:pPr>
              <w:pStyle w:val="Sinespaciado"/>
              <w:rPr>
                <w:rFonts w:ascii="Arial" w:hAnsi="Arial" w:cs="Arial"/>
                <w:lang w:val="es-ES"/>
              </w:rPr>
            </w:pPr>
          </w:p>
        </w:tc>
        <w:tc>
          <w:tcPr>
            <w:tcW w:w="1250" w:type="pc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1% de árboles afectados</w:t>
            </w:r>
          </w:p>
        </w:tc>
        <w:tc>
          <w:tcPr>
            <w:tcW w:w="1383" w:type="pct"/>
            <w:vAlign w:val="center"/>
          </w:tcPr>
          <w:p w:rsidR="00503A41" w:rsidRPr="00993936" w:rsidRDefault="00503A41" w:rsidP="007003E1">
            <w:pPr>
              <w:pStyle w:val="Sinespaciado"/>
              <w:rPr>
                <w:rFonts w:ascii="Arial" w:hAnsi="Arial" w:cs="Arial"/>
                <w:snapToGrid w:val="0"/>
                <w:sz w:val="20"/>
                <w:lang w:val="es-ES"/>
              </w:rPr>
            </w:pPr>
            <w:r w:rsidRPr="00993936">
              <w:rPr>
                <w:rFonts w:ascii="Arial" w:hAnsi="Arial" w:cs="Arial"/>
                <w:sz w:val="20"/>
                <w:lang w:val="es-ES"/>
              </w:rPr>
              <w:t>Azadiractín</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Bacillus thuringiensis kurstaki</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Betaciflutrín</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Clorpirifos (3)</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Deltametrín</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Triflumuró</w:t>
            </w:r>
          </w:p>
          <w:p w:rsidR="00503A41" w:rsidRPr="00993936" w:rsidRDefault="00503A41" w:rsidP="007003E1">
            <w:pPr>
              <w:pStyle w:val="Sinespaciado"/>
              <w:rPr>
                <w:rFonts w:ascii="Arial" w:hAnsi="Arial" w:cs="Arial"/>
                <w:strike/>
                <w:sz w:val="20"/>
                <w:lang w:val="es-ES"/>
              </w:rPr>
            </w:pPr>
            <w:r w:rsidRPr="00993936">
              <w:rPr>
                <w:rFonts w:ascii="Arial" w:hAnsi="Arial" w:cs="Arial"/>
                <w:snapToGrid w:val="0"/>
                <w:sz w:val="20"/>
                <w:lang w:val="es-ES"/>
              </w:rPr>
              <w:t>Zeta-cipermetrín</w:t>
            </w:r>
          </w:p>
        </w:tc>
        <w:tc>
          <w:tcPr>
            <w:tcW w:w="1117" w:type="pct"/>
            <w:vMerge/>
          </w:tcPr>
          <w:p w:rsidR="00503A41" w:rsidRPr="00993936" w:rsidRDefault="00503A41" w:rsidP="007003E1">
            <w:pPr>
              <w:pStyle w:val="Sinespaciado"/>
              <w:rPr>
                <w:rFonts w:ascii="Arial" w:hAnsi="Arial" w:cs="Arial"/>
                <w:lang w:val="es-ES"/>
              </w:rPr>
            </w:pPr>
          </w:p>
        </w:tc>
      </w:tr>
      <w:tr w:rsidR="00503A41" w:rsidRPr="00993936" w:rsidTr="000452B8">
        <w:trPr>
          <w:cantSplit/>
          <w:jc w:val="center"/>
        </w:trPr>
        <w:tc>
          <w:tcPr>
            <w:tcW w:w="1250" w:type="pct"/>
            <w:vMerge w:val="restar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 xml:space="preserve">Piojo blanco </w:t>
            </w:r>
          </w:p>
          <w:p w:rsidR="00503A41" w:rsidRPr="00993936" w:rsidRDefault="00503A41" w:rsidP="007003E1">
            <w:pPr>
              <w:pStyle w:val="Sinespaciado"/>
              <w:rPr>
                <w:rFonts w:ascii="Arial" w:hAnsi="Arial" w:cs="Arial"/>
                <w:i/>
                <w:u w:val="single"/>
                <w:lang w:val="es-ES"/>
              </w:rPr>
            </w:pPr>
            <w:r w:rsidRPr="00993936">
              <w:rPr>
                <w:rFonts w:ascii="Arial" w:hAnsi="Arial" w:cs="Arial"/>
                <w:i/>
                <w:snapToGrid w:val="0"/>
                <w:lang w:val="es-ES"/>
              </w:rPr>
              <w:t>Pseudaulacaspis pentagona</w:t>
            </w:r>
          </w:p>
        </w:tc>
        <w:tc>
          <w:tcPr>
            <w:tcW w:w="1250" w:type="pct"/>
            <w:vMerge w:val="restart"/>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Presencia</w:t>
            </w:r>
          </w:p>
        </w:tc>
        <w:tc>
          <w:tcPr>
            <w:tcW w:w="1383" w:type="pct"/>
            <w:vAlign w:val="center"/>
          </w:tcPr>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Tratamiento de invierno:</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Aceite parafínico</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Polisulfuro de calcio</w:t>
            </w:r>
          </w:p>
        </w:tc>
        <w:tc>
          <w:tcPr>
            <w:tcW w:w="1117" w:type="pct"/>
          </w:tcPr>
          <w:p w:rsidR="00503A41" w:rsidRPr="00993936" w:rsidRDefault="00503A41" w:rsidP="007003E1">
            <w:pPr>
              <w:pStyle w:val="Sinespaciado"/>
              <w:rPr>
                <w:rFonts w:ascii="Arial" w:hAnsi="Arial" w:cs="Arial"/>
                <w:lang w:val="es-ES"/>
              </w:rPr>
            </w:pPr>
          </w:p>
        </w:tc>
      </w:tr>
      <w:tr w:rsidR="00503A41" w:rsidRPr="00993936" w:rsidTr="000452B8">
        <w:trPr>
          <w:cantSplit/>
          <w:jc w:val="center"/>
        </w:trPr>
        <w:tc>
          <w:tcPr>
            <w:tcW w:w="1250" w:type="pct"/>
            <w:vMerge/>
            <w:vAlign w:val="center"/>
          </w:tcPr>
          <w:p w:rsidR="00503A41" w:rsidRPr="00993936" w:rsidRDefault="00503A41" w:rsidP="007003E1">
            <w:pPr>
              <w:pStyle w:val="Sinespaciado"/>
              <w:rPr>
                <w:rFonts w:ascii="Arial" w:hAnsi="Arial" w:cs="Arial"/>
                <w:u w:val="single"/>
                <w:lang w:val="es-ES"/>
              </w:rPr>
            </w:pPr>
          </w:p>
        </w:tc>
        <w:tc>
          <w:tcPr>
            <w:tcW w:w="1250" w:type="pct"/>
            <w:vMerge/>
            <w:vAlign w:val="center"/>
          </w:tcPr>
          <w:p w:rsidR="00503A41" w:rsidRPr="00993936" w:rsidRDefault="00503A41" w:rsidP="007003E1">
            <w:pPr>
              <w:pStyle w:val="Sinespaciado"/>
              <w:rPr>
                <w:rFonts w:ascii="Arial" w:hAnsi="Arial" w:cs="Arial"/>
                <w:lang w:val="es-ES"/>
              </w:rPr>
            </w:pPr>
          </w:p>
        </w:tc>
        <w:tc>
          <w:tcPr>
            <w:tcW w:w="1383" w:type="pct"/>
            <w:vAlign w:val="center"/>
          </w:tcPr>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Vegetación:</w:t>
            </w:r>
          </w:p>
          <w:p w:rsidR="00503A41" w:rsidRPr="00993936" w:rsidRDefault="00503A41" w:rsidP="007003E1">
            <w:pPr>
              <w:pStyle w:val="Sinespaciado"/>
              <w:rPr>
                <w:rFonts w:ascii="Arial" w:hAnsi="Arial" w:cs="Arial"/>
                <w:snapToGrid w:val="0"/>
                <w:sz w:val="20"/>
                <w:lang w:val="es-ES"/>
              </w:rPr>
            </w:pPr>
            <w:r w:rsidRPr="00993936">
              <w:rPr>
                <w:rFonts w:ascii="Arial" w:hAnsi="Arial" w:cs="Arial"/>
                <w:sz w:val="20"/>
                <w:lang w:val="es-ES"/>
              </w:rPr>
              <w:t>Azadiractín</w:t>
            </w:r>
            <w:r w:rsidRPr="00993936">
              <w:rPr>
                <w:rFonts w:ascii="Arial" w:hAnsi="Arial" w:cs="Arial"/>
                <w:snapToGrid w:val="0"/>
                <w:sz w:val="20"/>
                <w:lang w:val="es-ES"/>
              </w:rPr>
              <w:t xml:space="preserve"> </w:t>
            </w:r>
          </w:p>
          <w:p w:rsidR="00503A41" w:rsidRPr="00993936" w:rsidRDefault="00503A41" w:rsidP="007003E1">
            <w:pPr>
              <w:pStyle w:val="Sinespaciado"/>
              <w:rPr>
                <w:rFonts w:ascii="Arial" w:hAnsi="Arial" w:cs="Arial"/>
                <w:snapToGrid w:val="0"/>
                <w:sz w:val="20"/>
                <w:lang w:val="es-ES"/>
              </w:rPr>
            </w:pPr>
            <w:r w:rsidRPr="00993936">
              <w:rPr>
                <w:rFonts w:ascii="Arial" w:hAnsi="Arial" w:cs="Arial"/>
                <w:snapToGrid w:val="0"/>
                <w:sz w:val="20"/>
                <w:lang w:val="es-ES"/>
              </w:rPr>
              <w:t>Spirotetramat</w:t>
            </w:r>
          </w:p>
        </w:tc>
        <w:tc>
          <w:tcPr>
            <w:tcW w:w="1117" w:type="pct"/>
          </w:tcPr>
          <w:p w:rsidR="00503A41" w:rsidRPr="00993936" w:rsidRDefault="00503A41" w:rsidP="007003E1">
            <w:pPr>
              <w:pStyle w:val="Sinespaciado"/>
              <w:rPr>
                <w:rFonts w:ascii="Arial" w:hAnsi="Arial" w:cs="Arial"/>
                <w:lang w:val="es-ES"/>
              </w:rPr>
            </w:pPr>
          </w:p>
        </w:tc>
      </w:tr>
    </w:tbl>
    <w:p w:rsidR="00503A41" w:rsidRPr="00993936" w:rsidRDefault="00503A41" w:rsidP="000452B8">
      <w:pPr>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 xml:space="preserve">3.1.4 Albaricoque </w:t>
      </w:r>
    </w:p>
    <w:p w:rsidR="00503A41" w:rsidRPr="00993936" w:rsidRDefault="00503A41" w:rsidP="000452B8">
      <w:pPr>
        <w:pStyle w:val="Textoindependiente2"/>
        <w:rPr>
          <w:rFonts w:cs="Arial"/>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1"/>
        <w:gridCol w:w="2161"/>
        <w:gridCol w:w="2304"/>
        <w:gridCol w:w="2018"/>
      </w:tblGrid>
      <w:tr w:rsidR="00503A41" w:rsidRPr="00993936" w:rsidTr="000452B8">
        <w:trPr>
          <w:cantSplit/>
          <w:tblHeader/>
          <w:jc w:val="center"/>
        </w:trPr>
        <w:tc>
          <w:tcPr>
            <w:tcW w:w="1250"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250"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UMBRAL DE TOLERANCIA</w:t>
            </w:r>
          </w:p>
        </w:tc>
        <w:tc>
          <w:tcPr>
            <w:tcW w:w="1333"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167"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jc w:val="center"/>
        </w:trPr>
        <w:tc>
          <w:tcPr>
            <w:tcW w:w="1250" w:type="pct"/>
            <w:vMerge w:val="restart"/>
          </w:tcPr>
          <w:p w:rsidR="00503A41" w:rsidRPr="00993936" w:rsidRDefault="00503A41" w:rsidP="001D205D">
            <w:pPr>
              <w:pStyle w:val="Ttulo9"/>
              <w:rPr>
                <w:rFonts w:ascii="Arial" w:hAnsi="Arial" w:cs="Arial"/>
                <w:snapToGrid w:val="0"/>
                <w:color w:val="auto"/>
                <w:szCs w:val="22"/>
                <w:lang w:val="es-ES"/>
              </w:rPr>
            </w:pPr>
            <w:r w:rsidRPr="00993936">
              <w:rPr>
                <w:rFonts w:ascii="Arial" w:hAnsi="Arial" w:cs="Arial"/>
                <w:color w:val="auto"/>
                <w:szCs w:val="22"/>
                <w:lang w:val="es-ES"/>
              </w:rPr>
              <w:t>Piojo de San José</w:t>
            </w:r>
          </w:p>
          <w:p w:rsidR="00503A41" w:rsidRPr="00993936" w:rsidRDefault="00503A41" w:rsidP="001D205D">
            <w:pPr>
              <w:rPr>
                <w:rFonts w:ascii="Arial" w:hAnsi="Arial" w:cs="Arial"/>
                <w:lang w:val="es-ES"/>
              </w:rPr>
            </w:pPr>
            <w:r w:rsidRPr="00993936">
              <w:rPr>
                <w:rFonts w:ascii="Arial" w:hAnsi="Arial" w:cs="Arial"/>
                <w:i/>
                <w:snapToGrid w:val="0"/>
                <w:lang w:val="es-ES"/>
              </w:rPr>
              <w:t>Comstockaspis perniciosa</w:t>
            </w:r>
            <w:r w:rsidRPr="00993936">
              <w:rPr>
                <w:rFonts w:ascii="Arial" w:hAnsi="Arial" w:cs="Arial"/>
                <w:snapToGrid w:val="0"/>
                <w:lang w:val="es-ES"/>
              </w:rPr>
              <w:t xml:space="preserve"> </w:t>
            </w:r>
          </w:p>
        </w:tc>
        <w:tc>
          <w:tcPr>
            <w:tcW w:w="1250" w:type="pct"/>
          </w:tcPr>
          <w:p w:rsidR="00503A41" w:rsidRPr="00993936" w:rsidRDefault="00503A41" w:rsidP="000452B8">
            <w:pPr>
              <w:rPr>
                <w:rFonts w:ascii="Arial" w:hAnsi="Arial" w:cs="Arial"/>
                <w:lang w:val="es-ES"/>
              </w:rPr>
            </w:pPr>
            <w:r w:rsidRPr="00993936">
              <w:rPr>
                <w:rFonts w:ascii="Arial" w:hAnsi="Arial" w:cs="Arial"/>
                <w:lang w:val="es-ES"/>
              </w:rPr>
              <w:t>Tratamientos de invierno: presencia en recolección o poda; Umbral de tratamiento: presencia</w:t>
            </w:r>
          </w:p>
        </w:tc>
        <w:tc>
          <w:tcPr>
            <w:tcW w:w="1333"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Fenoxicarb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Piriproxifén (1)</w:t>
            </w:r>
          </w:p>
          <w:p w:rsidR="00503A41" w:rsidRPr="00993936" w:rsidRDefault="00503A41" w:rsidP="001D205D">
            <w:pPr>
              <w:pStyle w:val="Sinespaciado"/>
              <w:rPr>
                <w:rFonts w:ascii="Arial" w:hAnsi="Arial" w:cs="Arial"/>
                <w:lang w:val="es-ES"/>
              </w:rPr>
            </w:pPr>
            <w:r w:rsidRPr="00993936">
              <w:rPr>
                <w:rFonts w:ascii="Arial" w:hAnsi="Arial" w:cs="Arial"/>
                <w:lang w:val="es-ES"/>
              </w:rPr>
              <w:t>Polisulfuro de calcio</w:t>
            </w:r>
          </w:p>
        </w:tc>
        <w:tc>
          <w:tcPr>
            <w:tcW w:w="1167" w:type="pct"/>
            <w:vMerge w:val="restart"/>
            <w:vAlign w:val="center"/>
          </w:tcPr>
          <w:p w:rsidR="00503A41" w:rsidRPr="00993936" w:rsidRDefault="00503A41" w:rsidP="009D1A2D">
            <w:pPr>
              <w:numPr>
                <w:ilvl w:val="0"/>
                <w:numId w:val="69"/>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69"/>
              </w:numPr>
              <w:spacing w:after="0" w:line="240" w:lineRule="auto"/>
              <w:rPr>
                <w:rFonts w:ascii="Arial" w:hAnsi="Arial" w:cs="Arial"/>
                <w:lang w:val="es-ES"/>
              </w:rPr>
            </w:pPr>
            <w:r w:rsidRPr="00993936">
              <w:rPr>
                <w:rFonts w:ascii="Arial" w:hAnsi="Arial" w:cs="Arial"/>
                <w:lang w:val="es-ES"/>
              </w:rPr>
              <w:t>Máximo 2 tratamiento/año</w:t>
            </w:r>
          </w:p>
          <w:p w:rsidR="00503A41" w:rsidRPr="00993936" w:rsidRDefault="00503A41" w:rsidP="009D1A2D">
            <w:pPr>
              <w:numPr>
                <w:ilvl w:val="0"/>
                <w:numId w:val="69"/>
              </w:numPr>
              <w:spacing w:after="0" w:line="240" w:lineRule="auto"/>
              <w:rPr>
                <w:rFonts w:ascii="Arial" w:hAnsi="Arial" w:cs="Arial"/>
                <w:lang w:val="es-ES"/>
              </w:rPr>
            </w:pPr>
            <w:r w:rsidRPr="00993936">
              <w:rPr>
                <w:rFonts w:ascii="Arial" w:hAnsi="Arial" w:cs="Arial"/>
                <w:snapToGrid w:val="0"/>
                <w:lang w:val="es-ES"/>
              </w:rPr>
              <w:t>Sólo productos que no sean de clasificación toxicológica (T)</w:t>
            </w:r>
          </w:p>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Merge/>
          </w:tcPr>
          <w:p w:rsidR="00503A41" w:rsidRPr="00993936" w:rsidRDefault="00503A41" w:rsidP="000452B8">
            <w:pPr>
              <w:rPr>
                <w:rFonts w:ascii="Arial" w:hAnsi="Arial" w:cs="Arial"/>
                <w:lang w:val="es-ES"/>
              </w:rPr>
            </w:pPr>
          </w:p>
        </w:tc>
        <w:tc>
          <w:tcPr>
            <w:tcW w:w="1250" w:type="pct"/>
          </w:tcPr>
          <w:p w:rsidR="00503A41" w:rsidRPr="00993936" w:rsidRDefault="00503A41" w:rsidP="000452B8">
            <w:pPr>
              <w:rPr>
                <w:rFonts w:ascii="Arial" w:hAnsi="Arial" w:cs="Arial"/>
                <w:lang w:val="es-ES"/>
              </w:rPr>
            </w:pPr>
            <w:r w:rsidRPr="00993936">
              <w:rPr>
                <w:rFonts w:ascii="Arial" w:hAnsi="Arial" w:cs="Arial"/>
                <w:lang w:val="es-ES"/>
              </w:rPr>
              <w:t>En prefloración: presencia en recolección o poda; Umbral de tratamiento: presencia</w:t>
            </w:r>
          </w:p>
        </w:tc>
        <w:tc>
          <w:tcPr>
            <w:tcW w:w="1333"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Piriproxifén (1)</w:t>
            </w:r>
          </w:p>
          <w:p w:rsidR="00503A41" w:rsidRPr="00993936" w:rsidRDefault="00503A41" w:rsidP="001D205D">
            <w:pPr>
              <w:pStyle w:val="Sinespaciado"/>
              <w:rPr>
                <w:rFonts w:ascii="Arial" w:hAnsi="Arial" w:cs="Arial"/>
                <w:lang w:val="es-ES"/>
              </w:rPr>
            </w:pPr>
          </w:p>
        </w:tc>
        <w:tc>
          <w:tcPr>
            <w:tcW w:w="1167" w:type="pct"/>
            <w:vMerge/>
            <w:vAlign w:val="center"/>
          </w:tcPr>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Merge/>
          </w:tcPr>
          <w:p w:rsidR="00503A41" w:rsidRPr="00993936" w:rsidRDefault="00503A41" w:rsidP="000452B8">
            <w:pPr>
              <w:rPr>
                <w:rFonts w:ascii="Arial" w:hAnsi="Arial" w:cs="Arial"/>
                <w:lang w:val="es-ES"/>
              </w:rPr>
            </w:pPr>
          </w:p>
        </w:tc>
        <w:tc>
          <w:tcPr>
            <w:tcW w:w="1250" w:type="pct"/>
          </w:tcPr>
          <w:p w:rsidR="00503A41" w:rsidRPr="00993936" w:rsidRDefault="00503A41" w:rsidP="000452B8">
            <w:pPr>
              <w:rPr>
                <w:rFonts w:ascii="Arial" w:hAnsi="Arial" w:cs="Arial"/>
                <w:lang w:val="es-ES"/>
              </w:rPr>
            </w:pPr>
            <w:r w:rsidRPr="00993936">
              <w:rPr>
                <w:rFonts w:ascii="Arial" w:hAnsi="Arial" w:cs="Arial"/>
                <w:lang w:val="es-ES"/>
              </w:rPr>
              <w:t>En 1ª generación: &gt;2% de árboles ocupados por formas móviles; Umbral de tratamiento: presencia</w:t>
            </w:r>
          </w:p>
        </w:tc>
        <w:tc>
          <w:tcPr>
            <w:tcW w:w="1333"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tc>
        <w:tc>
          <w:tcPr>
            <w:tcW w:w="1167" w:type="pct"/>
            <w:vMerge/>
            <w:vAlign w:val="center"/>
          </w:tcPr>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Align w:val="center"/>
          </w:tcPr>
          <w:p w:rsidR="00503A41" w:rsidRPr="00993936" w:rsidRDefault="00503A41" w:rsidP="001D205D">
            <w:pPr>
              <w:pStyle w:val="Ttulo9"/>
              <w:rPr>
                <w:rFonts w:ascii="Arial" w:hAnsi="Arial" w:cs="Arial"/>
                <w:b/>
                <w:i w:val="0"/>
                <w:snapToGrid w:val="0"/>
                <w:color w:val="auto"/>
                <w:szCs w:val="22"/>
                <w:lang w:val="es-ES"/>
              </w:rPr>
            </w:pPr>
            <w:r w:rsidRPr="00993936">
              <w:rPr>
                <w:rFonts w:ascii="Arial" w:hAnsi="Arial" w:cs="Arial"/>
                <w:snapToGrid w:val="0"/>
                <w:color w:val="auto"/>
                <w:szCs w:val="22"/>
                <w:lang w:val="es-ES"/>
              </w:rPr>
              <w:t>Pulgones</w:t>
            </w:r>
          </w:p>
          <w:p w:rsidR="00503A41" w:rsidRPr="00993936" w:rsidRDefault="00503A41" w:rsidP="000452B8">
            <w:pPr>
              <w:rPr>
                <w:rFonts w:ascii="Arial" w:hAnsi="Arial" w:cs="Arial"/>
                <w:i/>
                <w:snapToGrid w:val="0"/>
                <w:lang w:val="es-ES"/>
              </w:rPr>
            </w:pPr>
            <w:r w:rsidRPr="00993936">
              <w:rPr>
                <w:rFonts w:ascii="Arial" w:hAnsi="Arial" w:cs="Arial"/>
                <w:i/>
                <w:snapToGrid w:val="0"/>
                <w:lang w:val="es-ES"/>
              </w:rPr>
              <w:t xml:space="preserve">Myzus persicae </w:t>
            </w:r>
          </w:p>
          <w:p w:rsidR="00503A41" w:rsidRPr="00993936" w:rsidRDefault="00503A41" w:rsidP="000452B8">
            <w:pPr>
              <w:rPr>
                <w:rFonts w:ascii="Arial" w:hAnsi="Arial" w:cs="Arial"/>
                <w:lang w:val="es-ES"/>
              </w:rPr>
            </w:pPr>
            <w:r w:rsidRPr="00993936">
              <w:rPr>
                <w:rFonts w:ascii="Arial" w:hAnsi="Arial" w:cs="Arial"/>
                <w:i/>
                <w:snapToGrid w:val="0"/>
                <w:lang w:val="es-ES"/>
              </w:rPr>
              <w:t>Brachycaudus swchartzi</w:t>
            </w:r>
          </w:p>
        </w:tc>
        <w:tc>
          <w:tcPr>
            <w:tcW w:w="1250" w:type="pct"/>
            <w:vAlign w:val="center"/>
          </w:tcPr>
          <w:p w:rsidR="00503A41" w:rsidRPr="00993936" w:rsidRDefault="00503A41" w:rsidP="000452B8">
            <w:pPr>
              <w:rPr>
                <w:rFonts w:ascii="Arial" w:hAnsi="Arial" w:cs="Arial"/>
                <w:lang w:val="es-ES"/>
              </w:rPr>
            </w:pPr>
            <w:r w:rsidRPr="00993936">
              <w:rPr>
                <w:rFonts w:ascii="Arial" w:hAnsi="Arial" w:cs="Arial"/>
                <w:lang w:val="es-ES"/>
              </w:rPr>
              <w:t>Umbral de tratamiento en prefloración: presencia</w:t>
            </w:r>
          </w:p>
          <w:p w:rsidR="00503A41" w:rsidRPr="00993936" w:rsidRDefault="00503A41" w:rsidP="000452B8">
            <w:pPr>
              <w:rPr>
                <w:rFonts w:ascii="Arial" w:hAnsi="Arial" w:cs="Arial"/>
                <w:lang w:val="es-ES"/>
              </w:rPr>
            </w:pPr>
          </w:p>
        </w:tc>
        <w:tc>
          <w:tcPr>
            <w:tcW w:w="1333"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Acetamiprid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Cipermetrín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Esfenvalerat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Imidacloprid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Lamba-cihalotrín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Pirimicarb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Tau-fluvalinat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Tiacloprid (2)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Zeta-cipermetrín</w:t>
            </w:r>
          </w:p>
        </w:tc>
        <w:tc>
          <w:tcPr>
            <w:tcW w:w="1167" w:type="pct"/>
            <w:vMerge/>
            <w:vAlign w:val="center"/>
          </w:tcPr>
          <w:p w:rsidR="00503A41" w:rsidRPr="00993936" w:rsidRDefault="00503A41" w:rsidP="000452B8">
            <w:pPr>
              <w:rPr>
                <w:rFonts w:ascii="Arial" w:hAnsi="Arial" w:cs="Arial"/>
                <w:lang w:val="es-ES"/>
              </w:rPr>
            </w:pPr>
          </w:p>
        </w:tc>
      </w:tr>
      <w:tr w:rsidR="00503A41" w:rsidRPr="00993936" w:rsidTr="000452B8">
        <w:trPr>
          <w:cantSplit/>
          <w:jc w:val="center"/>
        </w:trPr>
        <w:tc>
          <w:tcPr>
            <w:tcW w:w="1250" w:type="pct"/>
            <w:vMerge w:val="restart"/>
            <w:vAlign w:val="center"/>
          </w:tcPr>
          <w:p w:rsidR="00503A41" w:rsidRPr="00993936" w:rsidRDefault="00503A41" w:rsidP="000452B8">
            <w:pPr>
              <w:pStyle w:val="Ttulo9"/>
              <w:rPr>
                <w:rFonts w:ascii="Arial" w:hAnsi="Arial" w:cs="Arial"/>
                <w:b/>
                <w:i w:val="0"/>
                <w:color w:val="auto"/>
                <w:szCs w:val="22"/>
                <w:lang w:val="es-ES"/>
              </w:rPr>
            </w:pPr>
            <w:r w:rsidRPr="00993936">
              <w:rPr>
                <w:rFonts w:ascii="Arial" w:hAnsi="Arial" w:cs="Arial"/>
                <w:color w:val="auto"/>
                <w:szCs w:val="22"/>
                <w:lang w:val="es-ES"/>
              </w:rPr>
              <w:t xml:space="preserve">Piojo blanco </w:t>
            </w:r>
          </w:p>
          <w:p w:rsidR="00503A41" w:rsidRPr="00993936" w:rsidRDefault="00503A41" w:rsidP="000452B8">
            <w:pPr>
              <w:pStyle w:val="Ttulo9"/>
              <w:rPr>
                <w:rFonts w:ascii="Arial" w:hAnsi="Arial" w:cs="Arial"/>
                <w:snapToGrid w:val="0"/>
                <w:color w:val="auto"/>
                <w:szCs w:val="22"/>
                <w:u w:val="single"/>
                <w:lang w:val="es-ES"/>
              </w:rPr>
            </w:pPr>
            <w:r w:rsidRPr="00993936">
              <w:rPr>
                <w:rFonts w:ascii="Arial" w:hAnsi="Arial" w:cs="Arial"/>
                <w:snapToGrid w:val="0"/>
                <w:color w:val="auto"/>
                <w:szCs w:val="22"/>
                <w:lang w:val="es-ES"/>
              </w:rPr>
              <w:t>Pseudaulacaspis pentagona</w:t>
            </w:r>
          </w:p>
        </w:tc>
        <w:tc>
          <w:tcPr>
            <w:tcW w:w="1250" w:type="pct"/>
            <w:vMerge w:val="restart"/>
            <w:vAlign w:val="center"/>
          </w:tcPr>
          <w:p w:rsidR="00503A41" w:rsidRPr="00993936" w:rsidRDefault="00503A41" w:rsidP="000452B8">
            <w:pPr>
              <w:rPr>
                <w:rFonts w:ascii="Arial" w:hAnsi="Arial" w:cs="Arial"/>
                <w:lang w:val="es-ES"/>
              </w:rPr>
            </w:pPr>
            <w:r w:rsidRPr="00993936">
              <w:rPr>
                <w:rFonts w:ascii="Arial" w:hAnsi="Arial" w:cs="Arial"/>
                <w:lang w:val="es-ES"/>
              </w:rPr>
              <w:t>Presencia</w:t>
            </w:r>
          </w:p>
        </w:tc>
        <w:tc>
          <w:tcPr>
            <w:tcW w:w="1333"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Tratamiento de invierno: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Polisulfuro de calcio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Spirotetramat</w:t>
            </w:r>
          </w:p>
        </w:tc>
        <w:tc>
          <w:tcPr>
            <w:tcW w:w="1167" w:type="pct"/>
            <w:vAlign w:val="center"/>
          </w:tcPr>
          <w:p w:rsidR="00503A41" w:rsidRPr="00993936" w:rsidRDefault="00503A41" w:rsidP="000452B8">
            <w:pPr>
              <w:rPr>
                <w:rFonts w:ascii="Arial" w:hAnsi="Arial" w:cs="Arial"/>
                <w:u w:val="single"/>
                <w:lang w:val="es-ES"/>
              </w:rPr>
            </w:pPr>
          </w:p>
        </w:tc>
      </w:tr>
      <w:tr w:rsidR="00503A41" w:rsidRPr="00993936" w:rsidTr="000452B8">
        <w:trPr>
          <w:cantSplit/>
          <w:jc w:val="center"/>
        </w:trPr>
        <w:tc>
          <w:tcPr>
            <w:tcW w:w="1250" w:type="pct"/>
            <w:vMerge/>
            <w:vAlign w:val="center"/>
          </w:tcPr>
          <w:p w:rsidR="00503A41" w:rsidRPr="00993936" w:rsidRDefault="00503A41" w:rsidP="000452B8">
            <w:pPr>
              <w:pStyle w:val="Ttulo9"/>
              <w:rPr>
                <w:rFonts w:ascii="Arial" w:hAnsi="Arial" w:cs="Arial"/>
                <w:color w:val="auto"/>
                <w:szCs w:val="22"/>
                <w:u w:val="single"/>
                <w:lang w:val="es-ES"/>
              </w:rPr>
            </w:pPr>
          </w:p>
        </w:tc>
        <w:tc>
          <w:tcPr>
            <w:tcW w:w="1250" w:type="pct"/>
            <w:vMerge/>
            <w:vAlign w:val="center"/>
          </w:tcPr>
          <w:p w:rsidR="00503A41" w:rsidRPr="00993936" w:rsidRDefault="00503A41" w:rsidP="000452B8">
            <w:pPr>
              <w:rPr>
                <w:rFonts w:ascii="Arial" w:hAnsi="Arial" w:cs="Arial"/>
                <w:lang w:val="es-ES"/>
              </w:rPr>
            </w:pPr>
          </w:p>
        </w:tc>
        <w:tc>
          <w:tcPr>
            <w:tcW w:w="1333"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Vegetación:</w:t>
            </w:r>
          </w:p>
          <w:p w:rsidR="00503A41" w:rsidRPr="00993936" w:rsidRDefault="00503A41" w:rsidP="001D205D">
            <w:pPr>
              <w:pStyle w:val="Sinespaciado"/>
              <w:rPr>
                <w:rFonts w:ascii="Arial" w:hAnsi="Arial" w:cs="Arial"/>
                <w:lang w:val="es-ES"/>
              </w:rPr>
            </w:pPr>
          </w:p>
        </w:tc>
        <w:tc>
          <w:tcPr>
            <w:tcW w:w="1167" w:type="pct"/>
            <w:vAlign w:val="center"/>
          </w:tcPr>
          <w:p w:rsidR="00503A41" w:rsidRPr="00993936" w:rsidRDefault="00503A41" w:rsidP="000452B8">
            <w:pPr>
              <w:rPr>
                <w:rFonts w:ascii="Arial" w:hAnsi="Arial" w:cs="Arial"/>
                <w:u w:val="single"/>
                <w:lang w:val="es-ES"/>
              </w:rPr>
            </w:pPr>
          </w:p>
        </w:tc>
      </w:tr>
    </w:tbl>
    <w:p w:rsidR="00503A41" w:rsidRPr="00993936" w:rsidRDefault="00503A41" w:rsidP="000452B8">
      <w:pPr>
        <w:rPr>
          <w:rFonts w:ascii="Arial" w:hAnsi="Arial" w:cs="Arial"/>
          <w:lang w:val="es-ES"/>
        </w:rPr>
      </w:pPr>
    </w:p>
    <w:p w:rsidR="00503A41" w:rsidRPr="00993936" w:rsidRDefault="00503A41" w:rsidP="000452B8">
      <w:pPr>
        <w:rPr>
          <w:rFonts w:ascii="Arial" w:hAnsi="Arial" w:cs="Arial"/>
          <w:b/>
          <w:snapToGrid w:val="0"/>
          <w:lang w:val="es-ES"/>
        </w:rPr>
      </w:pPr>
      <w:r w:rsidRPr="00993936">
        <w:rPr>
          <w:rFonts w:ascii="Arial" w:hAnsi="Arial" w:cs="Arial"/>
          <w:lang w:val="es-ES"/>
        </w:rPr>
        <w:br w:type="page"/>
      </w:r>
      <w:r w:rsidRPr="00993936">
        <w:rPr>
          <w:rFonts w:ascii="Arial" w:hAnsi="Arial" w:cs="Arial"/>
          <w:b/>
          <w:snapToGrid w:val="0"/>
          <w:lang w:val="es-ES"/>
        </w:rPr>
        <w:lastRenderedPageBreak/>
        <w:t>3.1.4 Albaricoque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2574"/>
        <w:gridCol w:w="2194"/>
        <w:gridCol w:w="1950"/>
      </w:tblGrid>
      <w:tr w:rsidR="00503A41" w:rsidRPr="00993936" w:rsidTr="001D205D">
        <w:trPr>
          <w:cantSplit/>
          <w:jc w:val="center"/>
        </w:trPr>
        <w:tc>
          <w:tcPr>
            <w:tcW w:w="1114"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489"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UMBRAL DE TOLERANCIA</w:t>
            </w:r>
          </w:p>
        </w:tc>
        <w:tc>
          <w:tcPr>
            <w:tcW w:w="1269"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128"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1D205D">
        <w:trPr>
          <w:cantSplit/>
          <w:jc w:val="center"/>
        </w:trPr>
        <w:tc>
          <w:tcPr>
            <w:tcW w:w="1114"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Anarsia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Anarsia lineatella</w:t>
            </w:r>
          </w:p>
        </w:tc>
        <w:tc>
          <w:tcPr>
            <w:tcW w:w="1489" w:type="pct"/>
            <w:vMerge w:val="restar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Anàrsia: 7 capturas/trampa/semana (INRA); </w:t>
            </w:r>
          </w:p>
          <w:p w:rsidR="00503A41" w:rsidRPr="00993936" w:rsidRDefault="00503A41" w:rsidP="001D205D">
            <w:pPr>
              <w:pStyle w:val="Sinespaciado"/>
              <w:rPr>
                <w:rFonts w:ascii="Arial" w:hAnsi="Arial" w:cs="Arial"/>
                <w:lang w:val="es-ES"/>
              </w:rPr>
            </w:pPr>
            <w:r w:rsidRPr="00993936">
              <w:rPr>
                <w:rFonts w:ascii="Arial" w:hAnsi="Arial" w:cs="Arial"/>
                <w:lang w:val="es-ES"/>
              </w:rPr>
              <w:t>3% de brotes atacados y/o 1% frutos atacados</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Cydia: 15 capturas/trampa/semana (Wageningen); </w:t>
            </w:r>
          </w:p>
          <w:p w:rsidR="00503A41" w:rsidRPr="00993936" w:rsidRDefault="00503A41" w:rsidP="001D205D">
            <w:pPr>
              <w:pStyle w:val="Sinespaciado"/>
              <w:rPr>
                <w:rFonts w:ascii="Arial" w:hAnsi="Arial" w:cs="Arial"/>
                <w:lang w:val="es-ES"/>
              </w:rPr>
            </w:pPr>
            <w:r w:rsidRPr="00993936">
              <w:rPr>
                <w:rFonts w:ascii="Arial" w:hAnsi="Arial" w:cs="Arial"/>
                <w:lang w:val="es-ES"/>
              </w:rPr>
              <w:t>3% de brotes atacados; 1% frutos atacados</w:t>
            </w:r>
          </w:p>
        </w:tc>
        <w:tc>
          <w:tcPr>
            <w:tcW w:w="1269"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Betaciflutrina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Esfenvalerat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Lambda-cihalotrín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Etofenprox </w:t>
            </w:r>
          </w:p>
        </w:tc>
        <w:tc>
          <w:tcPr>
            <w:tcW w:w="1128" w:type="pct"/>
            <w:vMerge w:val="restart"/>
            <w:vAlign w:val="center"/>
          </w:tcPr>
          <w:p w:rsidR="00503A41" w:rsidRPr="00993936" w:rsidRDefault="00503A41" w:rsidP="009D1A2D">
            <w:pPr>
              <w:numPr>
                <w:ilvl w:val="0"/>
                <w:numId w:val="70"/>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70"/>
              </w:numPr>
              <w:spacing w:after="0" w:line="240" w:lineRule="auto"/>
              <w:rPr>
                <w:rFonts w:ascii="Arial" w:hAnsi="Arial" w:cs="Arial"/>
                <w:lang w:val="es-ES"/>
              </w:rPr>
            </w:pPr>
            <w:r w:rsidRPr="00993936">
              <w:rPr>
                <w:rFonts w:ascii="Arial" w:hAnsi="Arial" w:cs="Arial"/>
                <w:lang w:val="es-ES"/>
              </w:rPr>
              <w:t>Máximo 2 tratamiento/año</w:t>
            </w:r>
          </w:p>
          <w:p w:rsidR="00503A41" w:rsidRPr="00993936" w:rsidRDefault="00503A41" w:rsidP="009D1A2D">
            <w:pPr>
              <w:numPr>
                <w:ilvl w:val="0"/>
                <w:numId w:val="70"/>
              </w:numPr>
              <w:spacing w:after="0" w:line="240" w:lineRule="auto"/>
              <w:rPr>
                <w:rFonts w:ascii="Arial" w:hAnsi="Arial" w:cs="Arial"/>
                <w:snapToGrid w:val="0"/>
                <w:lang w:val="es-ES"/>
              </w:rPr>
            </w:pPr>
            <w:r w:rsidRPr="00993936">
              <w:rPr>
                <w:rFonts w:ascii="Arial" w:hAnsi="Arial" w:cs="Arial"/>
                <w:snapToGrid w:val="0"/>
                <w:lang w:val="es-ES"/>
              </w:rPr>
              <w:t>Sólo productos que no sean de clasificación toxicológica (T)</w:t>
            </w:r>
          </w:p>
          <w:p w:rsidR="00503A41" w:rsidRPr="00993936" w:rsidRDefault="00503A41" w:rsidP="000452B8">
            <w:pPr>
              <w:rPr>
                <w:rFonts w:ascii="Arial" w:hAnsi="Arial" w:cs="Arial"/>
                <w:lang w:val="es-ES"/>
              </w:rPr>
            </w:pPr>
          </w:p>
        </w:tc>
      </w:tr>
      <w:tr w:rsidR="00503A41" w:rsidRPr="00993936" w:rsidTr="001D205D">
        <w:trPr>
          <w:cantSplit/>
          <w:trHeight w:val="422"/>
          <w:jc w:val="center"/>
        </w:trPr>
        <w:tc>
          <w:tcPr>
            <w:tcW w:w="1114"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Grafolita</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Cydia funebrana/ Cydia molesta</w:t>
            </w:r>
          </w:p>
        </w:tc>
        <w:tc>
          <w:tcPr>
            <w:tcW w:w="1489" w:type="pct"/>
            <w:vMerge/>
            <w:vAlign w:val="center"/>
          </w:tcPr>
          <w:p w:rsidR="00503A41" w:rsidRPr="00993936" w:rsidRDefault="00503A41" w:rsidP="001D205D">
            <w:pPr>
              <w:pStyle w:val="Sinespaciado"/>
              <w:rPr>
                <w:rFonts w:ascii="Arial" w:hAnsi="Arial" w:cs="Arial"/>
                <w:lang w:val="es-ES"/>
              </w:rPr>
            </w:pPr>
          </w:p>
        </w:tc>
        <w:tc>
          <w:tcPr>
            <w:tcW w:w="1269"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Tiacloprid (2)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Virus de la granulosis de la Carpocapsa</w:t>
            </w:r>
          </w:p>
        </w:tc>
        <w:tc>
          <w:tcPr>
            <w:tcW w:w="1128" w:type="pct"/>
            <w:vMerge/>
            <w:vAlign w:val="center"/>
          </w:tcPr>
          <w:p w:rsidR="00503A41" w:rsidRPr="00993936" w:rsidRDefault="00503A41" w:rsidP="000452B8">
            <w:pPr>
              <w:rPr>
                <w:rFonts w:ascii="Arial" w:hAnsi="Arial" w:cs="Arial"/>
                <w:lang w:val="es-ES"/>
              </w:rPr>
            </w:pPr>
          </w:p>
        </w:tc>
      </w:tr>
      <w:tr w:rsidR="00503A41" w:rsidRPr="00993936" w:rsidTr="001D205D">
        <w:trPr>
          <w:cantSplit/>
          <w:trHeight w:val="1763"/>
          <w:jc w:val="center"/>
        </w:trPr>
        <w:tc>
          <w:tcPr>
            <w:tcW w:w="1114"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Anarsia + Grafolita</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Anarsia lineatella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Cydia funebrana</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Cydia molesta</w:t>
            </w:r>
          </w:p>
        </w:tc>
        <w:tc>
          <w:tcPr>
            <w:tcW w:w="1489" w:type="pct"/>
            <w:vMerge/>
            <w:vAlign w:val="center"/>
          </w:tcPr>
          <w:p w:rsidR="00503A41" w:rsidRPr="00993936" w:rsidRDefault="00503A41" w:rsidP="001D205D">
            <w:pPr>
              <w:pStyle w:val="Sinespaciado"/>
              <w:rPr>
                <w:rFonts w:ascii="Arial" w:hAnsi="Arial" w:cs="Arial"/>
                <w:lang w:val="es-ES"/>
              </w:rPr>
            </w:pPr>
          </w:p>
        </w:tc>
        <w:tc>
          <w:tcPr>
            <w:tcW w:w="1269"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Bacillus thuringensis kurstaki</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Betaciflutrín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Deltametrín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 + Tiacloprid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Espinosad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Indoxacarb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Lambda-cihalotrín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confusión sexual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Triflumuró</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Zeta-cipermetrín</w:t>
            </w:r>
          </w:p>
        </w:tc>
        <w:tc>
          <w:tcPr>
            <w:tcW w:w="1128" w:type="pct"/>
            <w:vMerge/>
            <w:vAlign w:val="center"/>
          </w:tcPr>
          <w:p w:rsidR="00503A41" w:rsidRPr="00993936" w:rsidRDefault="00503A41" w:rsidP="000452B8">
            <w:pPr>
              <w:rPr>
                <w:rFonts w:ascii="Arial" w:hAnsi="Arial" w:cs="Arial"/>
                <w:lang w:val="es-ES"/>
              </w:rPr>
            </w:pPr>
          </w:p>
        </w:tc>
      </w:tr>
      <w:tr w:rsidR="00503A41" w:rsidRPr="00993936" w:rsidTr="001D205D">
        <w:trPr>
          <w:cantSplit/>
          <w:jc w:val="center"/>
        </w:trPr>
        <w:tc>
          <w:tcPr>
            <w:tcW w:w="111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Mosca de la fruta</w:t>
            </w:r>
          </w:p>
          <w:p w:rsidR="00503A41" w:rsidRPr="00993936" w:rsidRDefault="00503A41" w:rsidP="001D205D">
            <w:pPr>
              <w:pStyle w:val="Sinespaciado"/>
              <w:rPr>
                <w:rFonts w:ascii="Arial" w:hAnsi="Arial" w:cs="Arial"/>
                <w:lang w:val="es-ES"/>
              </w:rPr>
            </w:pPr>
            <w:r w:rsidRPr="00993936">
              <w:rPr>
                <w:rFonts w:ascii="Arial" w:hAnsi="Arial" w:cs="Arial"/>
                <w:lang w:val="es-ES"/>
              </w:rPr>
              <w:t>Queratitis capitata</w:t>
            </w:r>
          </w:p>
        </w:tc>
        <w:tc>
          <w:tcPr>
            <w:tcW w:w="1489"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Presencia en fruta o 1 captura en 2 controles consecutivos con trampa de monitorización</w:t>
            </w:r>
          </w:p>
        </w:tc>
        <w:tc>
          <w:tcPr>
            <w:tcW w:w="1269"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Betaciflutrín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 + tiacloprid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Lambda-cihalotrín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de atracción y muerte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Metode de captura masiva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Método de quimioesterilització</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Proteína hidrolizada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Etofenprox</w:t>
            </w:r>
          </w:p>
        </w:tc>
        <w:tc>
          <w:tcPr>
            <w:tcW w:w="1128" w:type="pct"/>
            <w:vMerge/>
            <w:vAlign w:val="center"/>
          </w:tcPr>
          <w:p w:rsidR="00503A41" w:rsidRPr="00993936" w:rsidRDefault="00503A41" w:rsidP="000452B8">
            <w:pPr>
              <w:rPr>
                <w:rFonts w:ascii="Arial" w:hAnsi="Arial" w:cs="Arial"/>
                <w:lang w:val="es-ES"/>
              </w:rPr>
            </w:pPr>
          </w:p>
        </w:tc>
      </w:tr>
    </w:tbl>
    <w:p w:rsidR="00503A41" w:rsidRPr="00993936" w:rsidRDefault="00503A41">
      <w:pPr>
        <w:rPr>
          <w:rFonts w:ascii="Arial" w:hAnsi="Arial" w:cs="Arial"/>
        </w:rPr>
      </w:pPr>
    </w:p>
    <w:p w:rsidR="00503A41" w:rsidRPr="00993936" w:rsidRDefault="00503A41">
      <w:pPr>
        <w:rPr>
          <w:rFonts w:ascii="Arial" w:hAnsi="Arial" w:cs="Arial"/>
        </w:rPr>
      </w:pPr>
      <w:r w:rsidRPr="00993936">
        <w:rPr>
          <w:rFonts w:ascii="Arial" w:hAnsi="Arial" w:cs="Arial"/>
        </w:rPr>
        <w:br w:type="page"/>
      </w:r>
    </w:p>
    <w:p w:rsidR="00503A41" w:rsidRPr="00993936" w:rsidRDefault="00503A41">
      <w:pPr>
        <w:rPr>
          <w:rFonts w:ascii="Arial" w:hAnsi="Arial" w:cs="Arial"/>
          <w:b/>
          <w:snapToGrid w:val="0"/>
          <w:lang w:val="es-ES"/>
        </w:rPr>
      </w:pPr>
      <w:r w:rsidRPr="00993936">
        <w:rPr>
          <w:rFonts w:ascii="Arial" w:hAnsi="Arial" w:cs="Arial"/>
          <w:b/>
          <w:snapToGrid w:val="0"/>
          <w:lang w:val="es-ES"/>
        </w:rPr>
        <w:lastRenderedPageBreak/>
        <w:t>3.1.4 Albaricoque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6"/>
        <w:gridCol w:w="2574"/>
        <w:gridCol w:w="2194"/>
        <w:gridCol w:w="1950"/>
      </w:tblGrid>
      <w:tr w:rsidR="00503A41" w:rsidRPr="00993936" w:rsidTr="001D205D">
        <w:trPr>
          <w:cantSplit/>
          <w:jc w:val="center"/>
        </w:trPr>
        <w:tc>
          <w:tcPr>
            <w:tcW w:w="1114"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Gusano cabezudo</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Capnodis tenebrionis </w:t>
            </w:r>
          </w:p>
        </w:tc>
        <w:tc>
          <w:tcPr>
            <w:tcW w:w="1489"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0,5 adultos por término medio por árbol inspeccionado</w:t>
            </w:r>
          </w:p>
        </w:tc>
        <w:tc>
          <w:tcPr>
            <w:tcW w:w="1269"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Imidacloprid (2)</w:t>
            </w:r>
          </w:p>
        </w:tc>
        <w:tc>
          <w:tcPr>
            <w:tcW w:w="1128" w:type="pct"/>
            <w:vMerge w:val="restart"/>
            <w:vAlign w:val="center"/>
          </w:tcPr>
          <w:p w:rsidR="00503A41" w:rsidRPr="00993936" w:rsidRDefault="00503A41" w:rsidP="000452B8">
            <w:pPr>
              <w:rPr>
                <w:rFonts w:ascii="Arial" w:hAnsi="Arial" w:cs="Arial"/>
                <w:lang w:val="es-ES"/>
              </w:rPr>
            </w:pPr>
          </w:p>
        </w:tc>
      </w:tr>
      <w:tr w:rsidR="00503A41" w:rsidRPr="00993936" w:rsidTr="001D205D">
        <w:trPr>
          <w:cantSplit/>
          <w:trHeight w:val="1425"/>
          <w:jc w:val="center"/>
        </w:trPr>
        <w:tc>
          <w:tcPr>
            <w:tcW w:w="1114"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Orugas defoliadoras</w:t>
            </w:r>
          </w:p>
        </w:tc>
        <w:tc>
          <w:tcPr>
            <w:tcW w:w="1489"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 de árboles afectados</w:t>
            </w:r>
          </w:p>
        </w:tc>
        <w:tc>
          <w:tcPr>
            <w:tcW w:w="1269"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Bacillus thuringiensis kurstaki</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Betaciflutrín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 + Tiacloprid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Deltametrín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Espinosad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Zeta-cipermetrín</w:t>
            </w:r>
          </w:p>
        </w:tc>
        <w:tc>
          <w:tcPr>
            <w:tcW w:w="1128" w:type="pct"/>
            <w:vMerge/>
            <w:vAlign w:val="center"/>
          </w:tcPr>
          <w:p w:rsidR="00503A41" w:rsidRPr="00993936" w:rsidRDefault="00503A41" w:rsidP="000452B8">
            <w:pPr>
              <w:rPr>
                <w:rFonts w:ascii="Arial" w:hAnsi="Arial" w:cs="Arial"/>
                <w:lang w:val="es-ES"/>
              </w:rPr>
            </w:pPr>
          </w:p>
        </w:tc>
      </w:tr>
    </w:tbl>
    <w:p w:rsidR="00503A41" w:rsidRPr="00993936" w:rsidRDefault="00503A41" w:rsidP="000452B8">
      <w:pPr>
        <w:pStyle w:val="Textoindependiente2"/>
        <w:rPr>
          <w:rFonts w:cs="Arial"/>
          <w:szCs w:val="22"/>
          <w:lang w:val="es-ES"/>
        </w:rPr>
      </w:pPr>
    </w:p>
    <w:p w:rsidR="00503A41" w:rsidRPr="00993936" w:rsidRDefault="00503A41" w:rsidP="000452B8">
      <w:pPr>
        <w:pStyle w:val="Textoindependiente2"/>
        <w:rPr>
          <w:rFonts w:cs="Arial"/>
          <w:szCs w:val="22"/>
          <w:lang w:val="es-ES"/>
        </w:rPr>
        <w:sectPr w:rsidR="00503A41" w:rsidRPr="00993936" w:rsidSect="000452B8">
          <w:headerReference w:type="default" r:id="rId21"/>
          <w:pgSz w:w="11906" w:h="16838"/>
          <w:pgMar w:top="1417" w:right="1701" w:bottom="1417" w:left="1701" w:header="708" w:footer="708" w:gutter="0"/>
          <w:cols w:space="708"/>
          <w:docGrid w:linePitch="360"/>
        </w:sectPr>
      </w:pPr>
    </w:p>
    <w:p w:rsidR="00503A41" w:rsidRPr="00993936" w:rsidRDefault="00503A41" w:rsidP="000452B8">
      <w:pPr>
        <w:pStyle w:val="Textoindependiente"/>
        <w:rPr>
          <w:rFonts w:cs="Arial"/>
          <w:b/>
          <w:szCs w:val="22"/>
          <w:lang w:val="es-ES"/>
        </w:rPr>
      </w:pPr>
      <w:r w:rsidRPr="00993936">
        <w:rPr>
          <w:rFonts w:cs="Arial"/>
          <w:b/>
          <w:szCs w:val="22"/>
          <w:lang w:val="es-ES"/>
        </w:rPr>
        <w:lastRenderedPageBreak/>
        <w:t>3.1.5 Materias activas de insecticidas para la producción integrada de Frutales de hueso</w:t>
      </w:r>
      <w:r w:rsidRPr="00993936">
        <w:rPr>
          <w:rFonts w:cs="Arial"/>
          <w:b/>
          <w:vanish/>
          <w:szCs w:val="22"/>
          <w:lang w:val="es-ES"/>
        </w:rPr>
        <w:t>&lt;A[hueso|pepita]&gt;</w:t>
      </w:r>
      <w:r w:rsidRPr="00993936">
        <w:rPr>
          <w:rFonts w:cs="Arial"/>
          <w:b/>
          <w:szCs w:val="22"/>
          <w:lang w:val="es-ES"/>
        </w:rPr>
        <w:t xml:space="preserve"> con indicación del código de resistencia IRAC</w:t>
      </w:r>
    </w:p>
    <w:p w:rsidR="00503A41" w:rsidRPr="00993936" w:rsidRDefault="00503A41" w:rsidP="000452B8">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1D205D">
            <w:pPr>
              <w:pStyle w:val="Sinespaciado"/>
              <w:jc w:val="center"/>
              <w:rPr>
                <w:rFonts w:ascii="Arial" w:hAnsi="Arial" w:cs="Arial"/>
                <w:b/>
                <w:lang w:val="es-ES" w:eastAsia="ca-ES"/>
              </w:rPr>
            </w:pPr>
            <w:r w:rsidRPr="00993936">
              <w:rPr>
                <w:rFonts w:ascii="Arial" w:hAnsi="Arial" w:cs="Arial"/>
                <w:b/>
                <w:lang w:val="es-ES" w:eastAsia="ca-ES"/>
              </w:rPr>
              <w:t>TIPO DE INSECTICIDAS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1D205D">
            <w:pPr>
              <w:pStyle w:val="Sinespaciado"/>
              <w:rPr>
                <w:rFonts w:ascii="Arial" w:hAnsi="Arial" w:cs="Arial"/>
                <w:b/>
                <w:lang w:val="es-ES" w:eastAsia="ca-ES"/>
              </w:rPr>
            </w:pPr>
            <w:r w:rsidRPr="00993936">
              <w:rPr>
                <w:rFonts w:ascii="Arial" w:hAnsi="Arial" w:cs="Arial"/>
                <w:b/>
                <w:lang w:val="es-ES" w:eastAsia="ca-ES"/>
              </w:rPr>
              <w:t xml:space="preserve">Materia activa </w:t>
            </w:r>
          </w:p>
        </w:tc>
        <w:tc>
          <w:tcPr>
            <w:tcW w:w="2500" w:type="pct"/>
            <w:shd w:val="solid" w:color="C0C0C0" w:fill="auto"/>
          </w:tcPr>
          <w:p w:rsidR="00503A41" w:rsidRPr="00993936" w:rsidRDefault="00503A41" w:rsidP="001D205D">
            <w:pPr>
              <w:pStyle w:val="Sinespaciado"/>
              <w:rPr>
                <w:rFonts w:ascii="Arial" w:hAnsi="Arial" w:cs="Arial"/>
                <w:b/>
                <w:lang w:val="es-ES" w:eastAsia="ca-ES"/>
              </w:rPr>
            </w:pPr>
            <w:r w:rsidRPr="00993936">
              <w:rPr>
                <w:rFonts w:ascii="Arial" w:hAnsi="Arial" w:cs="Arial"/>
                <w:b/>
                <w:lang w:val="es-ES" w:eastAsia="ca-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1D205D">
            <w:pPr>
              <w:pStyle w:val="Sinespaciado"/>
              <w:rPr>
                <w:rFonts w:ascii="Arial" w:hAnsi="Arial" w:cs="Arial"/>
                <w:lang w:val="es-ES" w:eastAsia="ca-ES"/>
              </w:rPr>
            </w:pPr>
          </w:p>
        </w:tc>
        <w:tc>
          <w:tcPr>
            <w:tcW w:w="2500" w:type="pct"/>
            <w:shd w:val="solid" w:color="C0C0C0"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IRAC (*)</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Acetamiprid</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4A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Acrinatrín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Azadiractín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UNO</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Bacillus thuringiensis kurstaki</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11A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Beauveria bassiana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Betaciflutrín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Cipermetrín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Clorantraniliprol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28</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Clorpirifos</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1B</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Clotianidina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4A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Deltametrín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Deltametrín + Tiacloprid</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3A+4A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Esfenvalerat</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Espinosad</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5</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Etofenprox</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Etoxazol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10B</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Fenoxicarb</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Fenpiroximat</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21B</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Flonicamid</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29</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Fosmet</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1B</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10A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Imidacloprid</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4A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Indoxacarb</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22A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Lambda-cihalotrín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Lambda-cihalotrín + Tiametoxam</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3A+4A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Metil-Clorpirifos</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1B</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Metoxifenozida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18</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Miclobutanil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Pimetrozina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9B</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Pirimicarb</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Piriproxifén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7C</w:t>
            </w:r>
          </w:p>
        </w:tc>
      </w:tr>
      <w:tr w:rsidR="00503A41" w:rsidRPr="00993936" w:rsidTr="000452B8">
        <w:trPr>
          <w:trHeight w:val="270"/>
        </w:trPr>
        <w:tc>
          <w:tcPr>
            <w:tcW w:w="5000" w:type="pct"/>
            <w:gridSpan w:val="2"/>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503A41" w:rsidRPr="00993936" w:rsidTr="000452B8">
        <w:trPr>
          <w:trHeight w:val="270"/>
        </w:trPr>
        <w:tc>
          <w:tcPr>
            <w:tcW w:w="5000" w:type="pct"/>
            <w:gridSpan w:val="2"/>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Fuente: Comité de Acción de Resistencia en Insecticidas</w:t>
            </w:r>
          </w:p>
        </w:tc>
      </w:tr>
    </w:tbl>
    <w:p w:rsidR="00503A41" w:rsidRPr="00993936" w:rsidRDefault="00503A41" w:rsidP="000452B8">
      <w:pPr>
        <w:rPr>
          <w:rFonts w:ascii="Arial" w:hAnsi="Arial" w:cs="Arial"/>
          <w:lang w:val="es-ES"/>
        </w:rPr>
      </w:pPr>
    </w:p>
    <w:p w:rsidR="00503A41" w:rsidRPr="00993936" w:rsidRDefault="00503A41" w:rsidP="000452B8">
      <w:pPr>
        <w:pStyle w:val="Textoindependiente"/>
        <w:rPr>
          <w:rFonts w:cs="Arial"/>
          <w:b/>
          <w:szCs w:val="22"/>
          <w:lang w:val="es-ES"/>
        </w:rPr>
      </w:pPr>
      <w:r w:rsidRPr="00993936">
        <w:rPr>
          <w:rFonts w:cs="Arial"/>
          <w:szCs w:val="22"/>
          <w:lang w:val="es-ES"/>
        </w:rPr>
        <w:br w:type="page"/>
      </w:r>
      <w:r w:rsidRPr="00993936">
        <w:rPr>
          <w:rFonts w:cs="Arial"/>
          <w:b/>
          <w:szCs w:val="22"/>
          <w:lang w:val="es-ES"/>
        </w:rPr>
        <w:lastRenderedPageBreak/>
        <w:t>3.1.5 (continuación) Materias activas de insecticidas para la producción integrada de Frutales de hueso</w:t>
      </w:r>
      <w:r w:rsidRPr="00993936">
        <w:rPr>
          <w:rFonts w:cs="Arial"/>
          <w:b/>
          <w:vanish/>
          <w:szCs w:val="22"/>
          <w:lang w:val="es-ES"/>
        </w:rPr>
        <w:t>&lt;A[hueso|pepita]&gt;</w:t>
      </w:r>
      <w:r w:rsidRPr="00993936">
        <w:rPr>
          <w:rFonts w:cs="Arial"/>
          <w:b/>
          <w:szCs w:val="22"/>
          <w:lang w:val="es-ES"/>
        </w:rPr>
        <w:t xml:space="preserve"> con indicación del código de resistencia IRAC</w:t>
      </w:r>
    </w:p>
    <w:p w:rsidR="00503A41" w:rsidRPr="00993936" w:rsidRDefault="00503A41" w:rsidP="000452B8">
      <w:pPr>
        <w:rPr>
          <w:rFonts w:ascii="Arial" w:hAnsi="Arial"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INSECTICIDAS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0452B8">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IRAC (*)</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Polisulfuro de calcio</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Spirotetramat</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23</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Tau-fluvalinat</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Tebufenpirad</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21A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Tiacloprid</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4A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Tiametoxam</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4A</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Triflumuró</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15</w:t>
            </w:r>
          </w:p>
        </w:tc>
      </w:tr>
      <w:tr w:rsidR="00503A41" w:rsidRPr="00993936" w:rsidTr="000452B8">
        <w:trPr>
          <w:trHeight w:val="26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Zeta-cipermetrín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en Insecticidas</w:t>
            </w:r>
          </w:p>
        </w:tc>
      </w:tr>
    </w:tbl>
    <w:p w:rsidR="00503A41" w:rsidRPr="00993936" w:rsidRDefault="00503A41" w:rsidP="000452B8">
      <w:pPr>
        <w:pStyle w:val="Textoindependiente2"/>
        <w:rPr>
          <w:rFonts w:cs="Arial"/>
          <w:szCs w:val="22"/>
          <w:lang w:val="es-ES"/>
        </w:rPr>
      </w:pPr>
    </w:p>
    <w:p w:rsidR="00503A41" w:rsidRPr="00993936" w:rsidRDefault="00503A41" w:rsidP="000452B8">
      <w:pPr>
        <w:pStyle w:val="Textoindependiente"/>
        <w:rPr>
          <w:rFonts w:cs="Arial"/>
          <w:b/>
          <w:szCs w:val="22"/>
          <w:lang w:val="es-ES"/>
        </w:rPr>
      </w:pPr>
      <w:r w:rsidRPr="00993936">
        <w:rPr>
          <w:rFonts w:cs="Arial"/>
          <w:b/>
          <w:szCs w:val="22"/>
          <w:lang w:val="es-ES"/>
        </w:rPr>
        <w:t>3.2 Materias activas de acaricidas para la Producción Integrada de frutales de hueso</w:t>
      </w:r>
      <w:r w:rsidRPr="00993936">
        <w:rPr>
          <w:rFonts w:cs="Arial"/>
          <w:b/>
          <w:vanish/>
          <w:szCs w:val="22"/>
          <w:lang w:val="es-ES"/>
        </w:rPr>
        <w:t>&lt;A[hueso|pepita]&gt;</w:t>
      </w:r>
    </w:p>
    <w:p w:rsidR="00503A41" w:rsidRPr="00993936" w:rsidRDefault="00503A41" w:rsidP="000452B8">
      <w:pPr>
        <w:pStyle w:val="Textoindependiente"/>
        <w:rPr>
          <w:rFonts w:cs="Arial"/>
          <w:b/>
          <w:szCs w:val="22"/>
          <w:lang w:val="es-ES"/>
        </w:rPr>
      </w:pPr>
    </w:p>
    <w:p w:rsidR="00503A41" w:rsidRPr="00993936" w:rsidRDefault="00503A41" w:rsidP="000452B8">
      <w:pPr>
        <w:pStyle w:val="Textoindependiente"/>
        <w:rPr>
          <w:rFonts w:cs="Arial"/>
          <w:b/>
          <w:szCs w:val="22"/>
          <w:lang w:val="es-ES"/>
        </w:rPr>
      </w:pPr>
      <w:r w:rsidRPr="00993936">
        <w:rPr>
          <w:rFonts w:cs="Arial"/>
          <w:b/>
          <w:szCs w:val="22"/>
          <w:lang w:val="es-ES"/>
        </w:rPr>
        <w:t>3.2.1 Melocotón y nectarina</w:t>
      </w:r>
    </w:p>
    <w:p w:rsidR="00503A41" w:rsidRPr="00993936" w:rsidRDefault="00503A41" w:rsidP="000452B8">
      <w:pPr>
        <w:pStyle w:val="Textoindependiente"/>
        <w:rPr>
          <w:rFonts w:cs="Arial"/>
          <w:b/>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3"/>
        <w:gridCol w:w="3193"/>
        <w:gridCol w:w="2858"/>
      </w:tblGrid>
      <w:tr w:rsidR="00503A41" w:rsidRPr="00993936" w:rsidTr="000452B8">
        <w:trPr>
          <w:jc w:val="center"/>
        </w:trPr>
        <w:tc>
          <w:tcPr>
            <w:tcW w:w="1500"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847" w:type="pct"/>
            <w:shd w:val="clear" w:color="auto" w:fill="E0E0E0"/>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653"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b/>
                <w:lang w:val="es-ES"/>
              </w:rPr>
            </w:pPr>
          </w:p>
          <w:p w:rsidR="00503A41" w:rsidRPr="00993936" w:rsidRDefault="00503A41" w:rsidP="001D205D">
            <w:pPr>
              <w:pStyle w:val="Sinespaciado"/>
              <w:rPr>
                <w:rFonts w:ascii="Arial" w:hAnsi="Arial" w:cs="Arial"/>
                <w:b/>
                <w:lang w:val="es-ES"/>
              </w:rPr>
            </w:pPr>
          </w:p>
          <w:p w:rsidR="00503A41" w:rsidRPr="00993936" w:rsidRDefault="00503A41" w:rsidP="001D205D">
            <w:pPr>
              <w:pStyle w:val="Sinespaciado"/>
              <w:rPr>
                <w:rFonts w:ascii="Arial" w:hAnsi="Arial" w:cs="Arial"/>
                <w:b/>
                <w:lang w:val="es-ES"/>
              </w:rPr>
            </w:pPr>
            <w:r w:rsidRPr="00993936">
              <w:rPr>
                <w:rFonts w:ascii="Arial" w:hAnsi="Arial" w:cs="Arial"/>
                <w:b/>
                <w:lang w:val="es-ES"/>
              </w:rPr>
              <w:t>Araña roja</w:t>
            </w:r>
          </w:p>
          <w:p w:rsidR="00503A41" w:rsidRPr="00993936" w:rsidRDefault="00503A41" w:rsidP="001D205D">
            <w:pPr>
              <w:pStyle w:val="Sinespaciado"/>
              <w:rPr>
                <w:rFonts w:ascii="Arial" w:hAnsi="Arial" w:cs="Arial"/>
                <w:b/>
                <w:lang w:val="es-ES"/>
              </w:rPr>
            </w:pPr>
          </w:p>
          <w:p w:rsidR="00503A41" w:rsidRPr="00993936" w:rsidRDefault="00503A41" w:rsidP="001D205D">
            <w:pPr>
              <w:pStyle w:val="Sinespaciado"/>
              <w:rPr>
                <w:rFonts w:ascii="Arial" w:hAnsi="Arial" w:cs="Arial"/>
                <w:b/>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Abamectina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Acrinatín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Etoxazol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Fenpiroximat (4)</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Hexitiazox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tc>
        <w:tc>
          <w:tcPr>
            <w:tcW w:w="1653" w:type="pct"/>
            <w:vMerge w:val="restart"/>
            <w:vAlign w:val="center"/>
          </w:tcPr>
          <w:p w:rsidR="00503A41" w:rsidRPr="00993936" w:rsidRDefault="00503A41" w:rsidP="000452B8">
            <w:pPr>
              <w:rPr>
                <w:rFonts w:ascii="Arial" w:hAnsi="Arial" w:cs="Arial"/>
                <w:lang w:val="es-ES"/>
              </w:rPr>
            </w:pPr>
            <w:r w:rsidRPr="00993936">
              <w:rPr>
                <w:rFonts w:ascii="Arial" w:hAnsi="Arial" w:cs="Arial"/>
                <w:lang w:val="es-ES"/>
              </w:rPr>
              <w:t>(2) Máximo 2 tratamiento/año</w:t>
            </w:r>
          </w:p>
          <w:p w:rsidR="00503A41" w:rsidRPr="00993936" w:rsidRDefault="00503A41" w:rsidP="000452B8">
            <w:pPr>
              <w:rPr>
                <w:rFonts w:ascii="Arial" w:hAnsi="Arial" w:cs="Arial"/>
                <w:snapToGrid w:val="0"/>
                <w:lang w:val="es-ES"/>
              </w:rPr>
            </w:pPr>
            <w:r w:rsidRPr="00993936">
              <w:rPr>
                <w:rFonts w:ascii="Arial" w:hAnsi="Arial" w:cs="Arial"/>
                <w:snapToGrid w:val="0"/>
                <w:lang w:val="es-ES"/>
              </w:rPr>
              <w:t>(3) Sólo productos que no sean de clasificación toxicológica (T)</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(4) </w:t>
            </w:r>
            <w:r w:rsidRPr="00993936">
              <w:rPr>
                <w:rFonts w:ascii="Arial" w:hAnsi="Arial" w:cs="Arial"/>
                <w:lang w:val="es-ES"/>
              </w:rPr>
              <w:t xml:space="preserve">Máximo 1 tratamiento/año grupo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METI a dosis mínima </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bookmarkStart w:id="8" w:name="OLE_LINK10"/>
            <w:bookmarkStart w:id="9" w:name="OLE_LINK11"/>
            <w:r w:rsidRPr="00993936">
              <w:rPr>
                <w:rFonts w:ascii="Arial" w:hAnsi="Arial" w:cs="Arial"/>
                <w:lang w:val="es-ES"/>
              </w:rPr>
              <w:t>(**) El LMR coincide con LD</w:t>
            </w:r>
          </w:p>
          <w:bookmarkEnd w:id="8"/>
          <w:bookmarkEnd w:id="9"/>
          <w:p w:rsidR="00503A41" w:rsidRPr="00993936" w:rsidRDefault="00503A41" w:rsidP="000452B8">
            <w:pPr>
              <w:rPr>
                <w:rFonts w:ascii="Arial" w:hAnsi="Arial" w:cs="Arial"/>
                <w:lang w:val="es-ES"/>
              </w:rPr>
            </w:pPr>
            <w:r w:rsidRPr="00993936">
              <w:rPr>
                <w:rFonts w:ascii="Arial" w:hAnsi="Arial" w:cs="Arial"/>
                <w:lang w:val="es-ES"/>
              </w:rPr>
              <w:t xml:space="preserve"> </w:t>
            </w:r>
          </w:p>
          <w:p w:rsidR="00503A41" w:rsidRPr="00993936" w:rsidRDefault="00503A41" w:rsidP="000452B8">
            <w:pPr>
              <w:pStyle w:val="Textoindependiente"/>
              <w:rPr>
                <w:rFonts w:cs="Arial"/>
                <w:szCs w:val="22"/>
                <w:lang w:val="es-ES"/>
              </w:rPr>
            </w:pPr>
            <w:r w:rsidRPr="00993936">
              <w:rPr>
                <w:rFonts w:cs="Arial"/>
                <w:szCs w:val="22"/>
                <w:lang w:val="es-ES"/>
              </w:rPr>
              <w:t xml:space="preserve"> </w:t>
            </w: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Contra tetraníquidos</w:t>
            </w:r>
          </w:p>
          <w:p w:rsidR="00503A41" w:rsidRPr="00993936" w:rsidRDefault="00503A41" w:rsidP="001D205D">
            <w:pPr>
              <w:pStyle w:val="Sinespaciado"/>
              <w:rPr>
                <w:rFonts w:ascii="Arial" w:hAnsi="Arial" w:cs="Arial"/>
                <w:b/>
                <w:i/>
                <w:lang w:val="es-ES"/>
              </w:rPr>
            </w:pPr>
          </w:p>
          <w:p w:rsidR="00503A41" w:rsidRPr="00993936" w:rsidRDefault="00503A41" w:rsidP="001D205D">
            <w:pPr>
              <w:pStyle w:val="Sinespaciado"/>
              <w:rPr>
                <w:rFonts w:ascii="Arial" w:hAnsi="Arial" w:cs="Arial"/>
                <w:b/>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Abamectina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Acrinatín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Etoxazol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Fenpiroximat (4)</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Hexitiazox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tc>
        <w:tc>
          <w:tcPr>
            <w:tcW w:w="1653" w:type="pct"/>
            <w:vMerge/>
            <w:vAlign w:val="center"/>
          </w:tcPr>
          <w:p w:rsidR="00503A41" w:rsidRPr="00993936" w:rsidRDefault="00503A41" w:rsidP="000452B8">
            <w:pPr>
              <w:pStyle w:val="Textoindependiente"/>
              <w:rPr>
                <w:rFonts w:cs="Arial"/>
                <w:szCs w:val="22"/>
                <w:lang w:val="es-ES"/>
              </w:rPr>
            </w:pP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Contra Eriófidos</w:t>
            </w:r>
          </w:p>
          <w:p w:rsidR="00503A41" w:rsidRPr="00993936" w:rsidRDefault="00503A41" w:rsidP="001D205D">
            <w:pPr>
              <w:pStyle w:val="Sinespaciado"/>
              <w:rPr>
                <w:rFonts w:ascii="Arial" w:hAnsi="Arial" w:cs="Arial"/>
                <w:b/>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Abamectina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Espirodiclofèn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p>
        </w:tc>
        <w:tc>
          <w:tcPr>
            <w:tcW w:w="1653" w:type="pct"/>
            <w:vMerge/>
          </w:tcPr>
          <w:p w:rsidR="00503A41" w:rsidRPr="00993936" w:rsidRDefault="00503A41" w:rsidP="000452B8">
            <w:pPr>
              <w:pStyle w:val="Textoindependiente"/>
              <w:rPr>
                <w:rFonts w:cs="Arial"/>
                <w:b/>
                <w:szCs w:val="22"/>
                <w:lang w:val="es-ES"/>
              </w:rPr>
            </w:pPr>
          </w:p>
        </w:tc>
      </w:tr>
    </w:tbl>
    <w:p w:rsidR="00503A41" w:rsidRPr="00993936" w:rsidRDefault="00503A41" w:rsidP="000452B8">
      <w:pPr>
        <w:pStyle w:val="Textoindependiente"/>
        <w:rPr>
          <w:rFonts w:cs="Arial"/>
          <w:b/>
          <w:szCs w:val="22"/>
          <w:lang w:val="es-ES"/>
        </w:rPr>
      </w:pPr>
    </w:p>
    <w:p w:rsidR="00503A41" w:rsidRPr="00993936" w:rsidRDefault="00503A41" w:rsidP="000452B8">
      <w:pPr>
        <w:pStyle w:val="Textoindependiente"/>
        <w:rPr>
          <w:rFonts w:cs="Arial"/>
          <w:b/>
          <w:szCs w:val="22"/>
          <w:lang w:val="es-ES"/>
        </w:rPr>
      </w:pPr>
      <w:r w:rsidRPr="00993936">
        <w:rPr>
          <w:rFonts w:cs="Arial"/>
          <w:b/>
          <w:szCs w:val="22"/>
          <w:lang w:val="es-ES"/>
        </w:rPr>
        <w:br w:type="page"/>
      </w:r>
      <w:r w:rsidRPr="00993936">
        <w:rPr>
          <w:rFonts w:cs="Arial"/>
          <w:b/>
          <w:szCs w:val="22"/>
          <w:lang w:val="es-ES"/>
        </w:rPr>
        <w:lastRenderedPageBreak/>
        <w:t>3.2.2 Cereza</w:t>
      </w:r>
    </w:p>
    <w:p w:rsidR="00503A41" w:rsidRPr="00993936" w:rsidRDefault="00503A41" w:rsidP="000452B8">
      <w:pPr>
        <w:pStyle w:val="Textoindependiente"/>
        <w:rPr>
          <w:rFonts w:cs="Arial"/>
          <w:b/>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3"/>
        <w:gridCol w:w="3193"/>
        <w:gridCol w:w="2858"/>
      </w:tblGrid>
      <w:tr w:rsidR="00503A41" w:rsidRPr="00993936" w:rsidTr="000452B8">
        <w:trPr>
          <w:jc w:val="center"/>
        </w:trPr>
        <w:tc>
          <w:tcPr>
            <w:tcW w:w="1500"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847" w:type="pct"/>
            <w:shd w:val="clear" w:color="auto" w:fill="E0E0E0"/>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653"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r w:rsidRPr="00993936">
              <w:rPr>
                <w:rFonts w:ascii="Arial" w:hAnsi="Arial" w:cs="Arial"/>
                <w:lang w:val="es-ES"/>
              </w:rPr>
              <w:t>Araña roja</w:t>
            </w:r>
          </w:p>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Acrinatín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Hexitiazox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Etoxazolè</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Tebufenpirad</w:t>
            </w:r>
          </w:p>
        </w:tc>
        <w:tc>
          <w:tcPr>
            <w:tcW w:w="1653" w:type="pct"/>
            <w:vMerge w:val="restart"/>
            <w:vAlign w:val="center"/>
          </w:tcPr>
          <w:p w:rsidR="00503A41" w:rsidRPr="00993936" w:rsidRDefault="00503A41" w:rsidP="000452B8">
            <w:pPr>
              <w:rPr>
                <w:rFonts w:ascii="Arial" w:hAnsi="Arial" w:cs="Arial"/>
                <w:lang w:val="es-ES"/>
              </w:rPr>
            </w:pPr>
            <w:r w:rsidRPr="00993936">
              <w:rPr>
                <w:rFonts w:ascii="Arial" w:hAnsi="Arial" w:cs="Arial"/>
                <w:lang w:val="es-ES"/>
              </w:rPr>
              <w:t>(2) Máximo 2 tratamiento/año</w:t>
            </w:r>
          </w:p>
          <w:p w:rsidR="00503A41" w:rsidRPr="00993936" w:rsidRDefault="00503A41" w:rsidP="000452B8">
            <w:pPr>
              <w:rPr>
                <w:rFonts w:ascii="Arial" w:hAnsi="Arial" w:cs="Arial"/>
                <w:snapToGrid w:val="0"/>
                <w:lang w:val="es-ES"/>
              </w:rPr>
            </w:pPr>
            <w:r w:rsidRPr="00993936">
              <w:rPr>
                <w:rFonts w:ascii="Arial" w:hAnsi="Arial" w:cs="Arial"/>
                <w:snapToGrid w:val="0"/>
                <w:lang w:val="es-ES"/>
              </w:rPr>
              <w:t>(3) Sólo productos que no sean de clasificación toxicológica (T)</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(4) </w:t>
            </w:r>
            <w:r w:rsidRPr="00993936">
              <w:rPr>
                <w:rFonts w:ascii="Arial" w:hAnsi="Arial" w:cs="Arial"/>
                <w:lang w:val="es-ES"/>
              </w:rPr>
              <w:t xml:space="preserve">Máximo 1 tratamiento /año grupo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METI a dosis mínima </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pStyle w:val="Textoindependiente"/>
              <w:rPr>
                <w:rFonts w:cs="Arial"/>
                <w:szCs w:val="22"/>
                <w:lang w:val="es-ES"/>
              </w:rPr>
            </w:pPr>
            <w:r w:rsidRPr="00993936">
              <w:rPr>
                <w:rFonts w:cs="Arial"/>
                <w:szCs w:val="22"/>
                <w:lang w:val="es-ES"/>
              </w:rPr>
              <w:t xml:space="preserve"> </w:t>
            </w: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Contra tetraníquidos</w:t>
            </w: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Acrinatín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Etoxazol</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Hexitiazox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Tebufenpirad</w:t>
            </w:r>
          </w:p>
          <w:p w:rsidR="00503A41" w:rsidRPr="00993936" w:rsidRDefault="00503A41" w:rsidP="001D205D">
            <w:pPr>
              <w:pStyle w:val="Sinespaciado"/>
              <w:rPr>
                <w:rFonts w:ascii="Arial" w:hAnsi="Arial" w:cs="Arial"/>
                <w:lang w:val="es-ES"/>
              </w:rPr>
            </w:pPr>
          </w:p>
        </w:tc>
        <w:tc>
          <w:tcPr>
            <w:tcW w:w="1653" w:type="pct"/>
            <w:vMerge/>
            <w:vAlign w:val="center"/>
          </w:tcPr>
          <w:p w:rsidR="00503A41" w:rsidRPr="00993936" w:rsidRDefault="00503A41" w:rsidP="000452B8">
            <w:pPr>
              <w:pStyle w:val="Textoindependiente"/>
              <w:rPr>
                <w:rFonts w:cs="Arial"/>
                <w:szCs w:val="22"/>
                <w:lang w:val="es-ES"/>
              </w:rPr>
            </w:pP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Contra Eriófidos</w:t>
            </w:r>
          </w:p>
          <w:p w:rsidR="00503A41" w:rsidRPr="00993936" w:rsidRDefault="00503A41" w:rsidP="001D205D">
            <w:pPr>
              <w:pStyle w:val="Sinespaciado"/>
              <w:rPr>
                <w:rFonts w:ascii="Arial" w:hAnsi="Arial" w:cs="Arial"/>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p>
        </w:tc>
        <w:tc>
          <w:tcPr>
            <w:tcW w:w="1653" w:type="pct"/>
            <w:vMerge/>
          </w:tcPr>
          <w:p w:rsidR="00503A41" w:rsidRPr="00993936" w:rsidRDefault="00503A41" w:rsidP="000452B8">
            <w:pPr>
              <w:pStyle w:val="Textoindependiente"/>
              <w:rPr>
                <w:rFonts w:cs="Arial"/>
                <w:b/>
                <w:szCs w:val="22"/>
                <w:lang w:val="es-ES"/>
              </w:rPr>
            </w:pPr>
          </w:p>
        </w:tc>
      </w:tr>
    </w:tbl>
    <w:p w:rsidR="00503A41" w:rsidRPr="00993936" w:rsidRDefault="00503A41" w:rsidP="000452B8">
      <w:pPr>
        <w:spacing w:before="120"/>
        <w:jc w:val="both"/>
        <w:rPr>
          <w:rFonts w:ascii="Arial" w:hAnsi="Arial" w:cs="Arial"/>
          <w:lang w:val="es-ES"/>
        </w:rPr>
      </w:pPr>
    </w:p>
    <w:p w:rsidR="00503A41" w:rsidRPr="00993936" w:rsidRDefault="00503A41">
      <w:pPr>
        <w:rPr>
          <w:rFonts w:ascii="Arial" w:eastAsia="Times New Roman" w:hAnsi="Arial" w:cs="Arial"/>
          <w:b/>
          <w:lang w:val="es-ES" w:eastAsia="es-ES"/>
        </w:rPr>
      </w:pPr>
      <w:r w:rsidRPr="00993936">
        <w:rPr>
          <w:rFonts w:ascii="Arial" w:hAnsi="Arial" w:cs="Arial"/>
          <w:b/>
          <w:lang w:val="es-ES"/>
        </w:rPr>
        <w:br w:type="page"/>
      </w:r>
    </w:p>
    <w:p w:rsidR="00503A41" w:rsidRPr="00993936" w:rsidRDefault="00503A41" w:rsidP="000452B8">
      <w:pPr>
        <w:pStyle w:val="Textoindependiente"/>
        <w:rPr>
          <w:rFonts w:cs="Arial"/>
          <w:b/>
          <w:szCs w:val="22"/>
          <w:lang w:val="es-ES"/>
        </w:rPr>
      </w:pPr>
      <w:r w:rsidRPr="00993936">
        <w:rPr>
          <w:rFonts w:cs="Arial"/>
          <w:b/>
          <w:szCs w:val="22"/>
          <w:lang w:val="es-ES"/>
        </w:rPr>
        <w:lastRenderedPageBreak/>
        <w:t>3.2.3 Ciruela</w:t>
      </w:r>
    </w:p>
    <w:p w:rsidR="00503A41" w:rsidRPr="00993936" w:rsidRDefault="00503A41" w:rsidP="000452B8">
      <w:pPr>
        <w:pStyle w:val="Textoindependiente"/>
        <w:rPr>
          <w:rFonts w:cs="Arial"/>
          <w:b/>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3"/>
        <w:gridCol w:w="3193"/>
        <w:gridCol w:w="2858"/>
      </w:tblGrid>
      <w:tr w:rsidR="00503A41" w:rsidRPr="00993936" w:rsidTr="000452B8">
        <w:trPr>
          <w:jc w:val="center"/>
        </w:trPr>
        <w:tc>
          <w:tcPr>
            <w:tcW w:w="1500"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847" w:type="pct"/>
            <w:shd w:val="clear" w:color="auto" w:fill="E0E0E0"/>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653"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r w:rsidRPr="00993936">
              <w:rPr>
                <w:rFonts w:ascii="Arial" w:hAnsi="Arial" w:cs="Arial"/>
                <w:lang w:val="es-ES"/>
              </w:rPr>
              <w:t>Araña roja</w:t>
            </w:r>
          </w:p>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Acrinatrín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Clofentezina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Fenpiroximat (4)</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Etoxazol</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Fenpiroximat (4)</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Hexitiazox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p>
        </w:tc>
        <w:tc>
          <w:tcPr>
            <w:tcW w:w="1653" w:type="pct"/>
            <w:vMerge w:val="restart"/>
            <w:vAlign w:val="center"/>
          </w:tcPr>
          <w:p w:rsidR="00503A41" w:rsidRPr="00993936" w:rsidRDefault="00503A41" w:rsidP="000452B8">
            <w:pPr>
              <w:rPr>
                <w:rFonts w:ascii="Arial" w:hAnsi="Arial" w:cs="Arial"/>
                <w:lang w:val="es-ES"/>
              </w:rPr>
            </w:pPr>
            <w:r w:rsidRPr="00993936">
              <w:rPr>
                <w:rFonts w:ascii="Arial" w:hAnsi="Arial" w:cs="Arial"/>
                <w:lang w:val="es-ES"/>
              </w:rPr>
              <w:t>(2) Máximo 2 tratamiento/año</w:t>
            </w:r>
          </w:p>
          <w:p w:rsidR="00503A41" w:rsidRPr="00993936" w:rsidRDefault="00503A41" w:rsidP="000452B8">
            <w:pPr>
              <w:rPr>
                <w:rFonts w:ascii="Arial" w:hAnsi="Arial" w:cs="Arial"/>
                <w:snapToGrid w:val="0"/>
                <w:lang w:val="es-ES"/>
              </w:rPr>
            </w:pPr>
            <w:r w:rsidRPr="00993936">
              <w:rPr>
                <w:rFonts w:ascii="Arial" w:hAnsi="Arial" w:cs="Arial"/>
                <w:snapToGrid w:val="0"/>
                <w:lang w:val="es-ES"/>
              </w:rPr>
              <w:t>(3) Sólo productos que no sean de clasificación toxicológica (T)</w:t>
            </w:r>
          </w:p>
          <w:p w:rsidR="00503A41" w:rsidRPr="00993936" w:rsidRDefault="00503A41" w:rsidP="000452B8">
            <w:pPr>
              <w:rPr>
                <w:rFonts w:ascii="Arial" w:hAnsi="Arial" w:cs="Arial"/>
                <w:lang w:val="es-ES"/>
              </w:rPr>
            </w:pPr>
            <w:r w:rsidRPr="00993936">
              <w:rPr>
                <w:rFonts w:ascii="Arial" w:hAnsi="Arial" w:cs="Arial"/>
                <w:snapToGrid w:val="0"/>
                <w:lang w:val="es-ES"/>
              </w:rPr>
              <w:t xml:space="preserve">(4) </w:t>
            </w:r>
            <w:r w:rsidRPr="00993936">
              <w:rPr>
                <w:rFonts w:ascii="Arial" w:hAnsi="Arial" w:cs="Arial"/>
                <w:lang w:val="es-ES"/>
              </w:rPr>
              <w:t xml:space="preserve">Máximo 1 tratamiento/año grupo </w:t>
            </w:r>
          </w:p>
          <w:p w:rsidR="00503A41" w:rsidRPr="00993936" w:rsidRDefault="00503A41" w:rsidP="000452B8">
            <w:pPr>
              <w:rPr>
                <w:rFonts w:ascii="Arial" w:hAnsi="Arial" w:cs="Arial"/>
                <w:lang w:val="es-ES"/>
              </w:rPr>
            </w:pPr>
            <w:r w:rsidRPr="00993936">
              <w:rPr>
                <w:rFonts w:ascii="Arial" w:hAnsi="Arial" w:cs="Arial"/>
                <w:lang w:val="es-ES"/>
              </w:rPr>
              <w:t xml:space="preserve">METI a dosis mínima </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pStyle w:val="Textoindependiente"/>
              <w:rPr>
                <w:rFonts w:cs="Arial"/>
                <w:szCs w:val="22"/>
                <w:lang w:val="es-ES"/>
              </w:rPr>
            </w:pPr>
            <w:r w:rsidRPr="00993936">
              <w:rPr>
                <w:rFonts w:cs="Arial"/>
                <w:szCs w:val="22"/>
                <w:lang w:val="es-ES"/>
              </w:rPr>
              <w:t xml:space="preserve"> </w:t>
            </w: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Contra tetraníquidos</w:t>
            </w:r>
          </w:p>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p>
        </w:tc>
        <w:tc>
          <w:tcPr>
            <w:tcW w:w="1847" w:type="pct"/>
            <w:shd w:val="clear" w:color="auto" w:fill="auto"/>
            <w:vAlign w:val="center"/>
          </w:tcPr>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Acrinatín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Etoxazol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Fenpiroximat (4)</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Clofentecín</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Hexitiazox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lang w:val="es-ES"/>
              </w:rPr>
            </w:pPr>
          </w:p>
        </w:tc>
        <w:tc>
          <w:tcPr>
            <w:tcW w:w="1653" w:type="pct"/>
            <w:vMerge/>
            <w:vAlign w:val="center"/>
          </w:tcPr>
          <w:p w:rsidR="00503A41" w:rsidRPr="00993936" w:rsidRDefault="00503A41" w:rsidP="000452B8">
            <w:pPr>
              <w:pStyle w:val="Textoindependiente"/>
              <w:rPr>
                <w:rFonts w:cs="Arial"/>
                <w:szCs w:val="22"/>
                <w:lang w:val="es-ES"/>
              </w:rPr>
            </w:pP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Contra Eriófidos</w:t>
            </w:r>
          </w:p>
          <w:p w:rsidR="00503A41" w:rsidRPr="00993936" w:rsidRDefault="00503A41" w:rsidP="001D205D">
            <w:pPr>
              <w:pStyle w:val="Sinespaciado"/>
              <w:rPr>
                <w:rFonts w:ascii="Arial" w:hAnsi="Arial" w:cs="Arial"/>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p>
        </w:tc>
        <w:tc>
          <w:tcPr>
            <w:tcW w:w="1653" w:type="pct"/>
            <w:vMerge/>
          </w:tcPr>
          <w:p w:rsidR="00503A41" w:rsidRPr="00993936" w:rsidRDefault="00503A41" w:rsidP="000452B8">
            <w:pPr>
              <w:pStyle w:val="Textoindependiente"/>
              <w:rPr>
                <w:rFonts w:cs="Arial"/>
                <w:b/>
                <w:szCs w:val="22"/>
                <w:lang w:val="es-ES"/>
              </w:rPr>
            </w:pPr>
          </w:p>
        </w:tc>
      </w:tr>
    </w:tbl>
    <w:p w:rsidR="00503A41" w:rsidRPr="00993936" w:rsidRDefault="00503A41" w:rsidP="000452B8">
      <w:pPr>
        <w:pStyle w:val="Textoindependiente"/>
        <w:rPr>
          <w:rFonts w:cs="Arial"/>
          <w:b/>
          <w:szCs w:val="22"/>
          <w:lang w:val="es-ES"/>
        </w:rPr>
      </w:pPr>
    </w:p>
    <w:p w:rsidR="00503A41" w:rsidRPr="00993936" w:rsidRDefault="00503A41" w:rsidP="000452B8">
      <w:pPr>
        <w:pStyle w:val="Textoindependiente"/>
        <w:rPr>
          <w:rFonts w:cs="Arial"/>
          <w:b/>
          <w:szCs w:val="22"/>
          <w:lang w:val="es-ES"/>
        </w:rPr>
      </w:pPr>
      <w:r w:rsidRPr="00993936">
        <w:rPr>
          <w:rFonts w:cs="Arial"/>
          <w:b/>
          <w:szCs w:val="22"/>
          <w:lang w:val="es-ES"/>
        </w:rPr>
        <w:br w:type="page"/>
      </w:r>
      <w:r w:rsidRPr="00993936">
        <w:rPr>
          <w:rFonts w:cs="Arial"/>
          <w:b/>
          <w:szCs w:val="22"/>
          <w:lang w:val="es-ES"/>
        </w:rPr>
        <w:lastRenderedPageBreak/>
        <w:t>3.2.4 Albaricoque</w:t>
      </w:r>
    </w:p>
    <w:p w:rsidR="00503A41" w:rsidRPr="00993936" w:rsidRDefault="00503A41" w:rsidP="000452B8">
      <w:pPr>
        <w:pStyle w:val="Textoindependiente"/>
        <w:rPr>
          <w:rFonts w:cs="Arial"/>
          <w:b/>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3"/>
        <w:gridCol w:w="3193"/>
        <w:gridCol w:w="2858"/>
      </w:tblGrid>
      <w:tr w:rsidR="00503A41" w:rsidRPr="00993936" w:rsidTr="000452B8">
        <w:trPr>
          <w:jc w:val="center"/>
        </w:trPr>
        <w:tc>
          <w:tcPr>
            <w:tcW w:w="1500"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PLAGA</w:t>
            </w:r>
          </w:p>
        </w:tc>
        <w:tc>
          <w:tcPr>
            <w:tcW w:w="1847" w:type="pct"/>
            <w:shd w:val="clear" w:color="auto" w:fill="E0E0E0"/>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653"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b/>
                <w:lang w:val="es-ES"/>
              </w:rPr>
            </w:pPr>
          </w:p>
          <w:p w:rsidR="00503A41" w:rsidRPr="00993936" w:rsidRDefault="00503A41" w:rsidP="001D205D">
            <w:pPr>
              <w:pStyle w:val="Sinespaciado"/>
              <w:rPr>
                <w:rFonts w:ascii="Arial" w:hAnsi="Arial" w:cs="Arial"/>
                <w:b/>
                <w:lang w:val="es-ES"/>
              </w:rPr>
            </w:pPr>
          </w:p>
          <w:p w:rsidR="00503A41" w:rsidRPr="00993936" w:rsidRDefault="00503A41" w:rsidP="001D205D">
            <w:pPr>
              <w:pStyle w:val="Sinespaciado"/>
              <w:rPr>
                <w:rFonts w:ascii="Arial" w:hAnsi="Arial" w:cs="Arial"/>
                <w:b/>
                <w:lang w:val="es-ES"/>
              </w:rPr>
            </w:pPr>
            <w:r w:rsidRPr="00993936">
              <w:rPr>
                <w:rFonts w:ascii="Arial" w:hAnsi="Arial" w:cs="Arial"/>
                <w:b/>
                <w:lang w:val="es-ES"/>
              </w:rPr>
              <w:t>Araña roja</w:t>
            </w:r>
          </w:p>
          <w:p w:rsidR="00503A41" w:rsidRPr="00993936" w:rsidRDefault="00503A41" w:rsidP="001D205D">
            <w:pPr>
              <w:pStyle w:val="Sinespaciado"/>
              <w:rPr>
                <w:rFonts w:ascii="Arial" w:hAnsi="Arial" w:cs="Arial"/>
                <w:b/>
                <w:lang w:val="es-ES"/>
              </w:rPr>
            </w:pPr>
          </w:p>
          <w:p w:rsidR="00503A41" w:rsidRPr="00993936" w:rsidRDefault="00503A41" w:rsidP="001D205D">
            <w:pPr>
              <w:pStyle w:val="Sinespaciado"/>
              <w:rPr>
                <w:rFonts w:ascii="Arial" w:hAnsi="Arial" w:cs="Arial"/>
                <w:b/>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Acrinatín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Hexitiazox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Aceite parafínico</w:t>
            </w:r>
          </w:p>
          <w:p w:rsidR="00503A41" w:rsidRPr="00993936" w:rsidRDefault="00503A41" w:rsidP="001D205D">
            <w:pPr>
              <w:pStyle w:val="Sinespaciado"/>
              <w:rPr>
                <w:rFonts w:ascii="Arial" w:hAnsi="Arial" w:cs="Arial"/>
                <w:i/>
                <w:lang w:val="es-ES"/>
              </w:rPr>
            </w:pPr>
            <w:r w:rsidRPr="00993936">
              <w:rPr>
                <w:rFonts w:ascii="Arial" w:hAnsi="Arial" w:cs="Arial"/>
                <w:lang w:val="es-ES"/>
              </w:rPr>
              <w:t xml:space="preserve">Piridabén (4)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Tebufenpirad</w:t>
            </w:r>
          </w:p>
        </w:tc>
        <w:tc>
          <w:tcPr>
            <w:tcW w:w="1653" w:type="pct"/>
            <w:vMerge w:val="restart"/>
            <w:vAlign w:val="center"/>
          </w:tcPr>
          <w:p w:rsidR="00503A41" w:rsidRPr="00993936" w:rsidRDefault="00503A41" w:rsidP="000452B8">
            <w:pPr>
              <w:rPr>
                <w:rFonts w:ascii="Arial" w:hAnsi="Arial" w:cs="Arial"/>
                <w:lang w:val="es-ES"/>
              </w:rPr>
            </w:pPr>
            <w:r w:rsidRPr="00993936">
              <w:rPr>
                <w:rFonts w:ascii="Arial" w:hAnsi="Arial" w:cs="Arial"/>
                <w:lang w:val="es-ES"/>
              </w:rPr>
              <w:t>(2) Máximo 2 tratamiento/año</w:t>
            </w:r>
          </w:p>
          <w:p w:rsidR="00503A41" w:rsidRPr="00993936" w:rsidRDefault="00503A41" w:rsidP="000452B8">
            <w:pPr>
              <w:rPr>
                <w:rFonts w:ascii="Arial" w:hAnsi="Arial" w:cs="Arial"/>
                <w:snapToGrid w:val="0"/>
                <w:lang w:val="es-ES"/>
              </w:rPr>
            </w:pPr>
            <w:r w:rsidRPr="00993936">
              <w:rPr>
                <w:rFonts w:ascii="Arial" w:hAnsi="Arial" w:cs="Arial"/>
                <w:snapToGrid w:val="0"/>
                <w:lang w:val="es-ES"/>
              </w:rPr>
              <w:t>(3) Sólo productos que no sean de clasificación toxicológica (T)</w:t>
            </w:r>
          </w:p>
          <w:p w:rsidR="00503A41" w:rsidRPr="00993936" w:rsidRDefault="00503A41" w:rsidP="000452B8">
            <w:pPr>
              <w:rPr>
                <w:rFonts w:ascii="Arial" w:hAnsi="Arial" w:cs="Arial"/>
                <w:lang w:val="es-ES"/>
              </w:rPr>
            </w:pPr>
            <w:r w:rsidRPr="00993936">
              <w:rPr>
                <w:rFonts w:ascii="Arial" w:hAnsi="Arial" w:cs="Arial"/>
                <w:snapToGrid w:val="0"/>
                <w:lang w:val="es-ES"/>
              </w:rPr>
              <w:t xml:space="preserve">(4) </w:t>
            </w:r>
            <w:r w:rsidRPr="00993936">
              <w:rPr>
                <w:rFonts w:ascii="Arial" w:hAnsi="Arial" w:cs="Arial"/>
                <w:lang w:val="es-ES"/>
              </w:rPr>
              <w:t xml:space="preserve">Máximo 1 tratamiento/año grupo </w:t>
            </w:r>
          </w:p>
          <w:p w:rsidR="00503A41" w:rsidRPr="00993936" w:rsidRDefault="00503A41" w:rsidP="000452B8">
            <w:pPr>
              <w:rPr>
                <w:rFonts w:ascii="Arial" w:hAnsi="Arial" w:cs="Arial"/>
                <w:lang w:val="es-ES"/>
              </w:rPr>
            </w:pPr>
            <w:r w:rsidRPr="00993936">
              <w:rPr>
                <w:rFonts w:ascii="Arial" w:hAnsi="Arial" w:cs="Arial"/>
                <w:lang w:val="es-ES"/>
              </w:rPr>
              <w:t xml:space="preserve">METI a dosis mínima </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r w:rsidRPr="00993936">
              <w:rPr>
                <w:rFonts w:ascii="Arial" w:hAnsi="Arial" w:cs="Arial"/>
                <w:lang w:val="es-ES"/>
              </w:rPr>
              <w:t>(**) El LMR coincide con LD</w:t>
            </w:r>
          </w:p>
          <w:p w:rsidR="00503A41" w:rsidRPr="00993936" w:rsidRDefault="00503A41" w:rsidP="000452B8">
            <w:pPr>
              <w:rPr>
                <w:rFonts w:ascii="Arial" w:hAnsi="Arial" w:cs="Arial"/>
                <w:lang w:val="es-ES"/>
              </w:rPr>
            </w:pPr>
          </w:p>
          <w:p w:rsidR="00503A41" w:rsidRPr="00993936" w:rsidRDefault="00503A41" w:rsidP="000452B8">
            <w:pPr>
              <w:pStyle w:val="Textoindependiente"/>
              <w:rPr>
                <w:rFonts w:cs="Arial"/>
                <w:szCs w:val="22"/>
                <w:lang w:val="es-ES"/>
              </w:rPr>
            </w:pPr>
            <w:r w:rsidRPr="00993936">
              <w:rPr>
                <w:rFonts w:cs="Arial"/>
                <w:szCs w:val="22"/>
                <w:lang w:val="es-ES"/>
              </w:rPr>
              <w:t xml:space="preserve"> </w:t>
            </w: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Contra tetraníquidos</w:t>
            </w:r>
          </w:p>
          <w:p w:rsidR="00503A41" w:rsidRPr="00993936" w:rsidRDefault="00503A41" w:rsidP="001D205D">
            <w:pPr>
              <w:pStyle w:val="Sinespaciado"/>
              <w:rPr>
                <w:rFonts w:ascii="Arial" w:hAnsi="Arial" w:cs="Arial"/>
                <w:b/>
                <w:i/>
                <w:lang w:val="es-ES"/>
              </w:rPr>
            </w:pPr>
          </w:p>
          <w:p w:rsidR="00503A41" w:rsidRPr="00993936" w:rsidRDefault="00503A41" w:rsidP="001D205D">
            <w:pPr>
              <w:pStyle w:val="Sinespaciado"/>
              <w:rPr>
                <w:rFonts w:ascii="Arial" w:hAnsi="Arial" w:cs="Arial"/>
                <w:b/>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Acrinatín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Hexitiazox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Tebufenpirad</w:t>
            </w:r>
          </w:p>
        </w:tc>
        <w:tc>
          <w:tcPr>
            <w:tcW w:w="1653" w:type="pct"/>
            <w:vMerge/>
            <w:vAlign w:val="center"/>
          </w:tcPr>
          <w:p w:rsidR="00503A41" w:rsidRPr="00993936" w:rsidRDefault="00503A41" w:rsidP="000452B8">
            <w:pPr>
              <w:pStyle w:val="Textoindependiente"/>
              <w:rPr>
                <w:rFonts w:cs="Arial"/>
                <w:szCs w:val="22"/>
                <w:lang w:val="es-ES"/>
              </w:rPr>
            </w:pPr>
          </w:p>
        </w:tc>
      </w:tr>
      <w:tr w:rsidR="00503A41" w:rsidRPr="00993936" w:rsidTr="000452B8">
        <w:trPr>
          <w:cantSplit/>
          <w:jc w:val="center"/>
        </w:trPr>
        <w:tc>
          <w:tcPr>
            <w:tcW w:w="1500"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Contra Eriófidos</w:t>
            </w:r>
          </w:p>
          <w:p w:rsidR="00503A41" w:rsidRPr="00993936" w:rsidRDefault="00503A41" w:rsidP="001D205D">
            <w:pPr>
              <w:pStyle w:val="Sinespaciado"/>
              <w:rPr>
                <w:rFonts w:ascii="Arial" w:hAnsi="Arial" w:cs="Arial"/>
                <w:b/>
                <w:lang w:val="es-ES"/>
              </w:rPr>
            </w:pPr>
          </w:p>
        </w:tc>
        <w:tc>
          <w:tcPr>
            <w:tcW w:w="1847"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Espirodiclofén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tc>
        <w:tc>
          <w:tcPr>
            <w:tcW w:w="1653" w:type="pct"/>
            <w:vMerge/>
          </w:tcPr>
          <w:p w:rsidR="00503A41" w:rsidRPr="00993936" w:rsidRDefault="00503A41" w:rsidP="000452B8">
            <w:pPr>
              <w:pStyle w:val="Textoindependiente"/>
              <w:rPr>
                <w:rFonts w:cs="Arial"/>
                <w:b/>
                <w:szCs w:val="22"/>
                <w:lang w:val="es-ES"/>
              </w:rPr>
            </w:pPr>
          </w:p>
        </w:tc>
      </w:tr>
    </w:tbl>
    <w:p w:rsidR="00503A41" w:rsidRPr="00993936" w:rsidRDefault="00503A41" w:rsidP="000452B8">
      <w:pPr>
        <w:spacing w:before="120"/>
        <w:jc w:val="both"/>
        <w:rPr>
          <w:rFonts w:ascii="Arial" w:hAnsi="Arial" w:cs="Arial"/>
          <w:b/>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 xml:space="preserve">3.2.5 </w:t>
      </w:r>
      <w:r w:rsidRPr="00993936">
        <w:rPr>
          <w:rFonts w:ascii="Arial" w:hAnsi="Arial" w:cs="Arial"/>
          <w:b/>
          <w:lang w:val="es-ES"/>
        </w:rPr>
        <w:t>Materias activas de acaricidas para la producción integrada de Frutales de hueso</w:t>
      </w:r>
      <w:r w:rsidRPr="00993936">
        <w:rPr>
          <w:rFonts w:ascii="Arial" w:hAnsi="Arial" w:cs="Arial"/>
          <w:b/>
          <w:vanish/>
          <w:lang w:val="es-ES"/>
        </w:rPr>
        <w:t>&lt;A[hueso|pepita]&gt;</w:t>
      </w:r>
      <w:r w:rsidRPr="00993936">
        <w:rPr>
          <w:rFonts w:ascii="Arial" w:hAnsi="Arial" w:cs="Arial"/>
          <w:b/>
          <w:lang w:val="es-ES"/>
        </w:rPr>
        <w:t xml:space="preserve"> con indicación del código de resistencia IRAC</w:t>
      </w:r>
    </w:p>
    <w:p w:rsidR="00503A41" w:rsidRPr="00993936" w:rsidRDefault="00503A41" w:rsidP="000452B8">
      <w:pPr>
        <w:pStyle w:val="Textoindependiente2"/>
        <w:rPr>
          <w:rFonts w:cs="Arial"/>
          <w:szCs w:val="22"/>
          <w:lang w:val="es-ES"/>
        </w:rPr>
      </w:pPr>
    </w:p>
    <w:p w:rsidR="00503A41" w:rsidRPr="00993936" w:rsidRDefault="00503A41" w:rsidP="000452B8">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ACARICIDAS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0452B8">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IRAC (*)</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6</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Acrinatrín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3A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Azadiractín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UNO</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Beauveria bassiana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Clofentezina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Espirodiclofén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23</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Etoxazol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10B</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Fenpiroximat</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21B</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Fenpirazamida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Miclobutanil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3</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Aceite parafínico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NC</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Polisulfuro de calcio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Azufre</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M2</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Tebufenpirad</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lang w:val="es-ES" w:eastAsia="ca-ES"/>
              </w:rPr>
            </w:pPr>
            <w:r w:rsidRPr="00993936">
              <w:rPr>
                <w:rFonts w:ascii="Arial" w:hAnsi="Arial" w:cs="Arial"/>
                <w:lang w:val="es-ES" w:eastAsia="ca-ES"/>
              </w:rPr>
              <w:t>21A</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en Insecticidas</w:t>
            </w:r>
          </w:p>
        </w:tc>
      </w:tr>
    </w:tbl>
    <w:p w:rsidR="00503A41" w:rsidRPr="00993936" w:rsidRDefault="00503A41" w:rsidP="000452B8">
      <w:pPr>
        <w:pStyle w:val="Textoindependiente2"/>
        <w:rPr>
          <w:rFonts w:cs="Arial"/>
          <w:szCs w:val="22"/>
          <w:lang w:val="es-ES"/>
        </w:rPr>
      </w:pPr>
    </w:p>
    <w:p w:rsidR="00503A41" w:rsidRPr="00993936" w:rsidRDefault="00503A41" w:rsidP="000452B8">
      <w:pPr>
        <w:spacing w:before="120"/>
        <w:jc w:val="both"/>
        <w:rPr>
          <w:rFonts w:ascii="Arial" w:hAnsi="Arial" w:cs="Arial"/>
          <w:b/>
          <w:snapToGrid w:val="0"/>
          <w:lang w:val="es-ES"/>
        </w:rPr>
      </w:pPr>
      <w:r w:rsidRPr="00993936">
        <w:rPr>
          <w:rFonts w:ascii="Arial" w:hAnsi="Arial" w:cs="Arial"/>
          <w:lang w:val="es-ES"/>
        </w:rPr>
        <w:br w:type="page"/>
      </w:r>
      <w:r w:rsidRPr="00993936">
        <w:rPr>
          <w:rFonts w:ascii="Arial" w:hAnsi="Arial" w:cs="Arial"/>
          <w:b/>
          <w:snapToGrid w:val="0"/>
          <w:lang w:val="es-ES"/>
        </w:rPr>
        <w:lastRenderedPageBreak/>
        <w:t>3.3 Materias activas de fungicidas para la Producción Integrada de frutales de hueso</w:t>
      </w:r>
      <w:r w:rsidRPr="00993936">
        <w:rPr>
          <w:rFonts w:ascii="Arial" w:hAnsi="Arial" w:cs="Arial"/>
          <w:b/>
          <w:snapToGrid w:val="0"/>
          <w:vanish/>
          <w:lang w:val="es-ES"/>
        </w:rPr>
        <w:t>&lt;A[hueso|pepita]&gt;</w:t>
      </w:r>
    </w:p>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t>3.3.1 Melocotón y Nectarina</w:t>
      </w:r>
    </w:p>
    <w:p w:rsidR="00503A41" w:rsidRPr="00993936" w:rsidRDefault="00503A41" w:rsidP="000452B8">
      <w:pPr>
        <w:jc w:val="both"/>
        <w:rPr>
          <w:rFonts w:ascii="Arial" w:hAnsi="Arial" w:cs="Arial"/>
          <w:b/>
          <w:snapToGrid w:val="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1"/>
        <w:gridCol w:w="3725"/>
        <w:gridCol w:w="2458"/>
      </w:tblGrid>
      <w:tr w:rsidR="00503A41" w:rsidRPr="00993936" w:rsidTr="000452B8">
        <w:tc>
          <w:tcPr>
            <w:tcW w:w="1423"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ENFERMEDAD</w:t>
            </w:r>
          </w:p>
        </w:tc>
        <w:tc>
          <w:tcPr>
            <w:tcW w:w="2154"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422"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trPr>
        <w:tc>
          <w:tcPr>
            <w:tcW w:w="1423" w:type="pct"/>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Oidio</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Sphaerotheca panfastidio</w:t>
            </w:r>
          </w:p>
        </w:tc>
        <w:tc>
          <w:tcPr>
            <w:tcW w:w="21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Boscalida + Piraclostrobín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Bupirimat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Ciflufenamid</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Clortalonil + Tetraconazol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Difenoconazol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Fenbuconazol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Fenpirazamida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Fluopiram + 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Metil-tiofanato</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Metil-tiofanato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Miclobutanil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Aceite de naranja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Penconazol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Quinoxifén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 + Trifloxistrobina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Tetraconazol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Trifloxistrobina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Ciproconazol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Oxicloruro de cobre</w:t>
            </w:r>
          </w:p>
        </w:tc>
        <w:tc>
          <w:tcPr>
            <w:tcW w:w="1422" w:type="pct"/>
            <w:vMerge w:val="restart"/>
            <w:vAlign w:val="center"/>
          </w:tcPr>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r w:rsidRPr="00993936">
              <w:rPr>
                <w:rFonts w:ascii="Arial" w:hAnsi="Arial" w:cs="Arial"/>
                <w:lang w:val="es-ES"/>
              </w:rPr>
              <w:t>(2) Máximo 2 tratamiento/año</w:t>
            </w:r>
          </w:p>
          <w:p w:rsidR="00503A41" w:rsidRPr="00993936" w:rsidRDefault="00503A41" w:rsidP="000452B8">
            <w:pPr>
              <w:pStyle w:val="Textoindependiente"/>
              <w:rPr>
                <w:rFonts w:cs="Arial"/>
                <w:szCs w:val="22"/>
                <w:lang w:val="es-ES"/>
              </w:rPr>
            </w:pPr>
            <w:r w:rsidRPr="00993936">
              <w:rPr>
                <w:rFonts w:cs="Arial"/>
                <w:szCs w:val="22"/>
                <w:lang w:val="es-ES"/>
              </w:rPr>
              <w:t>(3) Sólo productos que no sean de clasificación toxicológica (T)</w:t>
            </w:r>
          </w:p>
          <w:p w:rsidR="00503A41" w:rsidRPr="00993936" w:rsidRDefault="00503A41" w:rsidP="000452B8">
            <w:pPr>
              <w:pStyle w:val="Textoindependiente"/>
              <w:rPr>
                <w:rFonts w:cs="Arial"/>
                <w:szCs w:val="22"/>
                <w:lang w:val="es-ES"/>
              </w:rPr>
            </w:pPr>
          </w:p>
          <w:p w:rsidR="00503A41" w:rsidRPr="00993936" w:rsidRDefault="00503A41" w:rsidP="000452B8">
            <w:pPr>
              <w:pStyle w:val="Textoindependiente"/>
              <w:rPr>
                <w:rFonts w:cs="Arial"/>
                <w:szCs w:val="22"/>
                <w:lang w:val="es-ES"/>
              </w:rPr>
            </w:pPr>
          </w:p>
          <w:p w:rsidR="00503A41" w:rsidRPr="00993936" w:rsidRDefault="00503A41" w:rsidP="000452B8">
            <w:pPr>
              <w:jc w:val="both"/>
              <w:rPr>
                <w:rFonts w:ascii="Arial" w:hAnsi="Arial" w:cs="Arial"/>
                <w:lang w:val="es-ES"/>
              </w:rPr>
            </w:pPr>
            <w:r w:rsidRPr="00993936">
              <w:rPr>
                <w:rFonts w:ascii="Arial" w:hAnsi="Arial" w:cs="Arial"/>
                <w:lang w:val="es-ES"/>
              </w:rPr>
              <w:t>(^) La materia activa metil-tiofanato se degrada en carbendazima</w:t>
            </w:r>
          </w:p>
          <w:p w:rsidR="00503A41" w:rsidRPr="00993936" w:rsidRDefault="00503A41" w:rsidP="000452B8">
            <w:pPr>
              <w:pStyle w:val="Textoindependiente"/>
              <w:rPr>
                <w:rFonts w:cs="Arial"/>
                <w:szCs w:val="22"/>
                <w:lang w:val="es-ES"/>
              </w:rPr>
            </w:pPr>
          </w:p>
        </w:tc>
      </w:tr>
      <w:tr w:rsidR="00503A41" w:rsidRPr="00993936" w:rsidTr="000452B8">
        <w:trPr>
          <w:cantSplit/>
        </w:trPr>
        <w:tc>
          <w:tcPr>
            <w:tcW w:w="1423" w:type="pct"/>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 xml:space="preserve">Chancro </w:t>
            </w:r>
          </w:p>
          <w:p w:rsidR="00503A41" w:rsidRPr="00993936" w:rsidRDefault="00503A41" w:rsidP="001D205D">
            <w:pPr>
              <w:pStyle w:val="Sinespaciado"/>
              <w:rPr>
                <w:rFonts w:ascii="Arial" w:hAnsi="Arial" w:cs="Arial"/>
                <w:b/>
                <w:i/>
                <w:snapToGrid w:val="0"/>
                <w:lang w:val="es-ES"/>
              </w:rPr>
            </w:pPr>
          </w:p>
        </w:tc>
        <w:tc>
          <w:tcPr>
            <w:tcW w:w="21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Captan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Clortalonil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Clortalonil + 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Óxido cuproso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Tiram</w:t>
            </w:r>
          </w:p>
        </w:tc>
        <w:tc>
          <w:tcPr>
            <w:tcW w:w="1422" w:type="pct"/>
            <w:vMerge/>
          </w:tcPr>
          <w:p w:rsidR="00503A41" w:rsidRPr="00993936" w:rsidRDefault="00503A41" w:rsidP="000452B8">
            <w:pPr>
              <w:jc w:val="both"/>
              <w:rPr>
                <w:rFonts w:ascii="Arial" w:hAnsi="Arial" w:cs="Arial"/>
                <w:b/>
                <w:snapToGrid w:val="0"/>
                <w:lang w:val="es-ES"/>
              </w:rPr>
            </w:pPr>
          </w:p>
        </w:tc>
      </w:tr>
      <w:tr w:rsidR="00503A41" w:rsidRPr="00993936" w:rsidTr="000452B8">
        <w:trPr>
          <w:cantSplit/>
        </w:trPr>
        <w:tc>
          <w:tcPr>
            <w:tcW w:w="1423" w:type="pct"/>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Fusicocum</w:t>
            </w:r>
          </w:p>
        </w:tc>
        <w:tc>
          <w:tcPr>
            <w:tcW w:w="21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Captan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Clortalonil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Óxido cuproso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Tiram</w:t>
            </w:r>
          </w:p>
        </w:tc>
        <w:tc>
          <w:tcPr>
            <w:tcW w:w="1422" w:type="pct"/>
            <w:vMerge/>
          </w:tcPr>
          <w:p w:rsidR="00503A41" w:rsidRPr="00993936" w:rsidRDefault="00503A41" w:rsidP="000452B8">
            <w:pPr>
              <w:jc w:val="both"/>
              <w:rPr>
                <w:rFonts w:ascii="Arial" w:hAnsi="Arial" w:cs="Arial"/>
                <w:b/>
                <w:snapToGrid w:val="0"/>
                <w:lang w:val="es-ES"/>
              </w:rPr>
            </w:pPr>
          </w:p>
        </w:tc>
      </w:tr>
    </w:tbl>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b/>
          <w:snapToGrid w:val="0"/>
          <w:lang w:val="es-ES"/>
        </w:rPr>
      </w:pPr>
      <w:r w:rsidRPr="00993936">
        <w:rPr>
          <w:rFonts w:ascii="Arial" w:hAnsi="Arial" w:cs="Arial"/>
          <w:lang w:val="es-ES"/>
        </w:rPr>
        <w:br w:type="page"/>
      </w:r>
      <w:r w:rsidRPr="00993936">
        <w:rPr>
          <w:rFonts w:ascii="Arial" w:hAnsi="Arial" w:cs="Arial"/>
          <w:b/>
          <w:snapToGrid w:val="0"/>
          <w:lang w:val="es-ES"/>
        </w:rPr>
        <w:lastRenderedPageBreak/>
        <w:t>3.3.1 (continuación) Melocotón y Nectarina</w:t>
      </w:r>
    </w:p>
    <w:p w:rsidR="00503A41" w:rsidRPr="00993936" w:rsidRDefault="00503A41" w:rsidP="000452B8">
      <w:pPr>
        <w:rPr>
          <w:rFonts w:ascii="Arial"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0"/>
        <w:gridCol w:w="3724"/>
        <w:gridCol w:w="2460"/>
      </w:tblGrid>
      <w:tr w:rsidR="00503A41" w:rsidRPr="00993936" w:rsidTr="000452B8">
        <w:trPr>
          <w:cantSplit/>
          <w:trHeight w:val="469"/>
        </w:trPr>
        <w:tc>
          <w:tcPr>
            <w:tcW w:w="1423" w:type="pct"/>
            <w:shd w:val="clear" w:color="auto" w:fill="D9D9D9"/>
            <w:vAlign w:val="center"/>
          </w:tcPr>
          <w:p w:rsidR="00503A41" w:rsidRPr="00993936" w:rsidRDefault="00503A41" w:rsidP="000452B8">
            <w:pPr>
              <w:pStyle w:val="Ttulo2"/>
              <w:rPr>
                <w:rFonts w:ascii="Arial" w:hAnsi="Arial" w:cs="Arial"/>
                <w:snapToGrid w:val="0"/>
                <w:color w:val="auto"/>
                <w:szCs w:val="22"/>
                <w:lang w:val="es-ES"/>
              </w:rPr>
            </w:pPr>
            <w:r w:rsidRPr="00993936">
              <w:rPr>
                <w:rFonts w:ascii="Arial" w:hAnsi="Arial" w:cs="Arial"/>
                <w:color w:val="auto"/>
                <w:szCs w:val="22"/>
                <w:lang w:val="es-ES"/>
              </w:rPr>
              <w:t>ENFERMEDAD</w:t>
            </w:r>
          </w:p>
        </w:tc>
        <w:tc>
          <w:tcPr>
            <w:tcW w:w="2154" w:type="pct"/>
            <w:shd w:val="clear" w:color="auto" w:fill="D9D9D9"/>
            <w:vAlign w:val="center"/>
          </w:tcPr>
          <w:p w:rsidR="00503A41" w:rsidRPr="00993936" w:rsidRDefault="00503A41" w:rsidP="000452B8">
            <w:pPr>
              <w:rPr>
                <w:rFonts w:ascii="Arial" w:hAnsi="Arial" w:cs="Arial"/>
                <w:b/>
                <w:snapToGrid w:val="0"/>
                <w:lang w:val="es-ES"/>
              </w:rPr>
            </w:pPr>
            <w:r w:rsidRPr="00993936">
              <w:rPr>
                <w:rFonts w:ascii="Arial" w:hAnsi="Arial" w:cs="Arial"/>
                <w:b/>
                <w:lang w:val="es-ES"/>
              </w:rPr>
              <w:t>MATERIA ACTIVA</w:t>
            </w:r>
          </w:p>
        </w:tc>
        <w:tc>
          <w:tcPr>
            <w:tcW w:w="1423" w:type="pct"/>
            <w:shd w:val="clear" w:color="auto" w:fill="D9D9D9"/>
            <w:vAlign w:val="center"/>
          </w:tcPr>
          <w:p w:rsidR="00503A41" w:rsidRPr="00993936" w:rsidRDefault="00503A41" w:rsidP="000452B8">
            <w:pPr>
              <w:jc w:val="both"/>
              <w:rPr>
                <w:rFonts w:ascii="Arial" w:hAnsi="Arial" w:cs="Arial"/>
                <w:b/>
                <w:lang w:val="es-ES"/>
              </w:rPr>
            </w:pPr>
            <w:r w:rsidRPr="00993936">
              <w:rPr>
                <w:rFonts w:ascii="Arial" w:hAnsi="Arial" w:cs="Arial"/>
                <w:b/>
                <w:lang w:val="es-ES"/>
              </w:rPr>
              <w:t>RESTRICCIONES</w:t>
            </w:r>
          </w:p>
        </w:tc>
      </w:tr>
      <w:tr w:rsidR="00503A41" w:rsidRPr="00993936" w:rsidTr="000452B8">
        <w:trPr>
          <w:cantSplit/>
        </w:trPr>
        <w:tc>
          <w:tcPr>
            <w:tcW w:w="1423" w:type="pct"/>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Monilia</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 xml:space="preserve">Monilinia laxa </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 xml:space="preserve">Monilinia fructigena </w:t>
            </w:r>
          </w:p>
          <w:p w:rsidR="00503A41" w:rsidRPr="00993936" w:rsidRDefault="00503A41" w:rsidP="001D205D">
            <w:pPr>
              <w:pStyle w:val="Sinespaciado"/>
              <w:rPr>
                <w:rFonts w:ascii="Arial" w:hAnsi="Arial" w:cs="Arial"/>
                <w:i/>
                <w:snapToGrid w:val="0"/>
                <w:lang w:val="es-ES"/>
              </w:rPr>
            </w:pPr>
          </w:p>
          <w:p w:rsidR="00503A41" w:rsidRPr="00993936" w:rsidRDefault="00503A41" w:rsidP="001D205D">
            <w:pPr>
              <w:pStyle w:val="Sinespaciado"/>
              <w:rPr>
                <w:rFonts w:ascii="Arial" w:hAnsi="Arial" w:cs="Arial"/>
                <w:i/>
                <w:snapToGrid w:val="0"/>
                <w:lang w:val="es-ES"/>
              </w:rPr>
            </w:pPr>
          </w:p>
          <w:p w:rsidR="00503A41" w:rsidRPr="00993936" w:rsidRDefault="00503A41" w:rsidP="001D205D">
            <w:pPr>
              <w:pStyle w:val="Sinespaciado"/>
              <w:rPr>
                <w:rFonts w:ascii="Arial" w:hAnsi="Arial" w:cs="Arial"/>
                <w:snapToGrid w:val="0"/>
                <w:lang w:val="es-ES"/>
              </w:rPr>
            </w:pPr>
          </w:p>
        </w:tc>
        <w:tc>
          <w:tcPr>
            <w:tcW w:w="2154" w:type="pct"/>
          </w:tcPr>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Bacillus subtilis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Boscalida + Piraclostrobín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Captan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Carbonato de hidrógeno de potasio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Ciprodinil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Ciprodinil + Fludioxonil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Clortalonil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Difenoconazol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Fenbuconazol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Fenhexamid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Fenpirazamina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Fludioxinil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Fluopiram</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Fluopiram + 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Iprodiona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Mancozeb+Metil-tiofanato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Mancozeb+Oxicloruro de cobre</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Metil-tiofanato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Miclobutanil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Óxido cuproso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Ciproconazol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Sulfato tribásico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 + trifloxistrobina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Tiram</w:t>
            </w:r>
          </w:p>
        </w:tc>
        <w:tc>
          <w:tcPr>
            <w:tcW w:w="1423" w:type="pct"/>
          </w:tcPr>
          <w:p w:rsidR="00503A41" w:rsidRPr="00993936" w:rsidRDefault="00503A41" w:rsidP="000452B8">
            <w:pPr>
              <w:jc w:val="both"/>
              <w:rPr>
                <w:rFonts w:ascii="Arial" w:hAnsi="Arial" w:cs="Arial"/>
                <w:snapToGrid w:val="0"/>
                <w:lang w:val="es-ES"/>
              </w:rPr>
            </w:pPr>
            <w:r w:rsidRPr="00993936">
              <w:rPr>
                <w:rFonts w:ascii="Arial" w:hAnsi="Arial" w:cs="Arial"/>
                <w:lang w:val="es-ES"/>
              </w:rPr>
              <w:t>(3) Sólo productos que no sean de clasificación toxicológica (T)</w:t>
            </w:r>
            <w:r w:rsidRPr="00993936">
              <w:rPr>
                <w:rFonts w:ascii="Arial" w:hAnsi="Arial" w:cs="Arial"/>
                <w:snapToGrid w:val="0"/>
                <w:lang w:val="es-ES"/>
              </w:rPr>
              <w:br/>
            </w:r>
          </w:p>
          <w:p w:rsidR="00503A41" w:rsidRPr="00993936" w:rsidRDefault="00503A41" w:rsidP="000452B8">
            <w:pPr>
              <w:rPr>
                <w:rFonts w:ascii="Arial" w:hAnsi="Arial" w:cs="Arial"/>
                <w:lang w:val="es-ES"/>
              </w:rPr>
            </w:pPr>
            <w:r w:rsidRPr="00993936">
              <w:rPr>
                <w:rFonts w:ascii="Arial" w:hAnsi="Arial" w:cs="Arial"/>
                <w:lang w:val="es-ES"/>
              </w:rPr>
              <w:t>(**) El LMR coincide con LD</w:t>
            </w:r>
          </w:p>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 La materia activa metil-tiofanato se degrada en carbendazima</w:t>
            </w:r>
          </w:p>
          <w:p w:rsidR="00503A41" w:rsidRPr="00993936" w:rsidRDefault="00503A41" w:rsidP="000452B8">
            <w:pPr>
              <w:jc w:val="both"/>
              <w:rPr>
                <w:rFonts w:ascii="Arial" w:hAnsi="Arial" w:cs="Arial"/>
                <w:b/>
                <w:snapToGrid w:val="0"/>
                <w:lang w:val="es-ES"/>
              </w:rPr>
            </w:pPr>
          </w:p>
        </w:tc>
      </w:tr>
    </w:tbl>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b/>
          <w:snapToGrid w:val="0"/>
          <w:lang w:val="es-ES"/>
        </w:rPr>
      </w:pPr>
      <w:r w:rsidRPr="00993936">
        <w:rPr>
          <w:rFonts w:ascii="Arial" w:hAnsi="Arial" w:cs="Arial"/>
          <w:lang w:val="es-ES"/>
        </w:rPr>
        <w:br w:type="page"/>
      </w:r>
      <w:r w:rsidRPr="00993936">
        <w:rPr>
          <w:rFonts w:ascii="Arial" w:hAnsi="Arial" w:cs="Arial"/>
          <w:b/>
          <w:snapToGrid w:val="0"/>
          <w:lang w:val="es-ES"/>
        </w:rPr>
        <w:lastRenderedPageBreak/>
        <w:t>3.3.1 (continuación) Melocotón y Nectarina</w:t>
      </w:r>
    </w:p>
    <w:p w:rsidR="00503A41" w:rsidRPr="00993936" w:rsidRDefault="00503A41" w:rsidP="000452B8">
      <w:pPr>
        <w:rPr>
          <w:rFonts w:ascii="Arial"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6"/>
        <w:gridCol w:w="3193"/>
        <w:gridCol w:w="2725"/>
      </w:tblGrid>
      <w:tr w:rsidR="00503A41" w:rsidRPr="00993936" w:rsidTr="000452B8">
        <w:trPr>
          <w:trHeight w:val="469"/>
        </w:trPr>
        <w:tc>
          <w:tcPr>
            <w:tcW w:w="1577"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ENFERMEDAD</w:t>
            </w:r>
          </w:p>
        </w:tc>
        <w:tc>
          <w:tcPr>
            <w:tcW w:w="1847"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576"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Cribado</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Wilsonomyces carpophilus</w:t>
            </w:r>
          </w:p>
        </w:tc>
        <w:tc>
          <w:tcPr>
            <w:tcW w:w="1847"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Captan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Difenoconazol</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Dodina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Hidróxido cúprico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Metil-tiofanato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Metil-tiofanato + Mancozeb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Óxido cuproso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tribásico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Tiram</w:t>
            </w:r>
          </w:p>
        </w:tc>
        <w:tc>
          <w:tcPr>
            <w:tcW w:w="1576" w:type="pct"/>
            <w:vMerge w:val="restart"/>
            <w:vAlign w:val="center"/>
          </w:tcPr>
          <w:p w:rsidR="00503A41" w:rsidRPr="00993936" w:rsidRDefault="00503A41" w:rsidP="000452B8">
            <w:pPr>
              <w:jc w:val="both"/>
              <w:rPr>
                <w:rFonts w:ascii="Arial" w:hAnsi="Arial" w:cs="Arial"/>
                <w:snapToGrid w:val="0"/>
                <w:lang w:val="es-ES"/>
              </w:rPr>
            </w:pPr>
            <w:r w:rsidRPr="00993936">
              <w:rPr>
                <w:rFonts w:ascii="Arial" w:hAnsi="Arial" w:cs="Arial"/>
                <w:lang w:val="es-ES"/>
              </w:rPr>
              <w:t>(3) Sólo productos que no sean de clasificación toxicológica (T)</w:t>
            </w:r>
            <w:r w:rsidRPr="00993936">
              <w:rPr>
                <w:rFonts w:ascii="Arial" w:hAnsi="Arial" w:cs="Arial"/>
                <w:snapToGrid w:val="0"/>
                <w:lang w:val="es-ES"/>
              </w:rPr>
              <w:br/>
            </w:r>
          </w:p>
          <w:p w:rsidR="00503A41" w:rsidRPr="00993936" w:rsidRDefault="00503A41" w:rsidP="000452B8">
            <w:pPr>
              <w:rPr>
                <w:rFonts w:ascii="Arial" w:hAnsi="Arial" w:cs="Arial"/>
                <w:lang w:val="es-ES"/>
              </w:rPr>
            </w:pPr>
            <w:r w:rsidRPr="00993936">
              <w:rPr>
                <w:rFonts w:ascii="Arial" w:hAnsi="Arial" w:cs="Arial"/>
                <w:lang w:val="es-ES"/>
              </w:rPr>
              <w:t>(**) El LMR coincide con LD</w:t>
            </w:r>
          </w:p>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 La materia activa metil-tiofanato se degrada en carbendazima</w:t>
            </w:r>
          </w:p>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snapToGrid w:val="0"/>
                <w:lang w:val="es-ES"/>
              </w:rPr>
            </w:pP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Abolladura</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Taphrina deformans</w:t>
            </w:r>
          </w:p>
        </w:tc>
        <w:tc>
          <w:tcPr>
            <w:tcW w:w="1847"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Captan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Difenoconazol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Dodina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 Sulfato cuprocálcico Óxido cuproso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tribásico de cobre </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rPr>
              <w:t>Tiram</w:t>
            </w:r>
          </w:p>
        </w:tc>
        <w:tc>
          <w:tcPr>
            <w:tcW w:w="1576" w:type="pct"/>
            <w:vMerge/>
          </w:tcPr>
          <w:p w:rsidR="00503A41" w:rsidRPr="00993936" w:rsidRDefault="00503A41" w:rsidP="000452B8">
            <w:pPr>
              <w:jc w:val="both"/>
              <w:rPr>
                <w:rFonts w:ascii="Arial" w:hAnsi="Arial" w:cs="Arial"/>
                <w:b/>
                <w:snapToGrid w:val="0"/>
                <w:lang w:val="es-ES"/>
              </w:rPr>
            </w:pPr>
          </w:p>
        </w:tc>
      </w:tr>
      <w:tr w:rsidR="00503A41" w:rsidRPr="00993936" w:rsidTr="000452B8">
        <w:trPr>
          <w:cantSplit/>
          <w:trHeight w:val="965"/>
        </w:trPr>
        <w:tc>
          <w:tcPr>
            <w:tcW w:w="1577"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Roya</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 xml:space="preserve">Tranzschelia discolor </w:t>
            </w:r>
          </w:p>
        </w:tc>
        <w:tc>
          <w:tcPr>
            <w:tcW w:w="1847" w:type="pct"/>
          </w:tcPr>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Maneb </w:t>
            </w:r>
          </w:p>
        </w:tc>
        <w:tc>
          <w:tcPr>
            <w:tcW w:w="1576" w:type="pct"/>
            <w:vMerge/>
          </w:tcPr>
          <w:p w:rsidR="00503A41" w:rsidRPr="00993936" w:rsidRDefault="00503A41" w:rsidP="000452B8">
            <w:pPr>
              <w:jc w:val="both"/>
              <w:rPr>
                <w:rFonts w:ascii="Arial" w:hAnsi="Arial" w:cs="Arial"/>
                <w:b/>
                <w:snapToGrid w:val="0"/>
                <w:lang w:val="es-ES"/>
              </w:rPr>
            </w:pPr>
          </w:p>
        </w:tc>
      </w:tr>
      <w:tr w:rsidR="00503A41" w:rsidRPr="00993936" w:rsidTr="000452B8">
        <w:trPr>
          <w:cantSplit/>
          <w:trHeight w:val="1089"/>
        </w:trPr>
        <w:tc>
          <w:tcPr>
            <w:tcW w:w="1577"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Bacteriosis</w:t>
            </w:r>
          </w:p>
        </w:tc>
        <w:tc>
          <w:tcPr>
            <w:tcW w:w="1847"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Oxid cuproso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Sulfato tribásico de cobre</w:t>
            </w:r>
          </w:p>
        </w:tc>
        <w:tc>
          <w:tcPr>
            <w:tcW w:w="1576" w:type="pct"/>
            <w:vMerge/>
          </w:tcPr>
          <w:p w:rsidR="00503A41" w:rsidRPr="00993936" w:rsidRDefault="00503A41" w:rsidP="000452B8">
            <w:pPr>
              <w:jc w:val="both"/>
              <w:rPr>
                <w:rFonts w:ascii="Arial" w:hAnsi="Arial" w:cs="Arial"/>
                <w:b/>
                <w:snapToGrid w:val="0"/>
                <w:lang w:val="es-ES"/>
              </w:rPr>
            </w:pPr>
          </w:p>
        </w:tc>
      </w:tr>
    </w:tbl>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br w:type="page"/>
      </w: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lastRenderedPageBreak/>
        <w:t>3.3.2 Cereza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6"/>
        <w:gridCol w:w="3193"/>
        <w:gridCol w:w="2725"/>
      </w:tblGrid>
      <w:tr w:rsidR="00503A41" w:rsidRPr="00993936" w:rsidTr="000452B8">
        <w:trPr>
          <w:trHeight w:val="360"/>
        </w:trPr>
        <w:tc>
          <w:tcPr>
            <w:tcW w:w="1577"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ENFERMEDAD</w:t>
            </w:r>
          </w:p>
        </w:tc>
        <w:tc>
          <w:tcPr>
            <w:tcW w:w="1847"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576" w:type="pct"/>
            <w:shd w:val="pct12" w:color="auto" w:fill="FFFFFF"/>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trHeight w:val="310"/>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Monília</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Monilinia laxa</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Monilinia fructígena</w:t>
            </w:r>
          </w:p>
        </w:tc>
        <w:tc>
          <w:tcPr>
            <w:tcW w:w="1847" w:type="pct"/>
            <w:vAlign w:val="center"/>
          </w:tcPr>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Bacillus subtilis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Boscalida + Piraclostrobín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Captan (3)</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Ciprodinil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Ciprodinil + Fludioxonil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Difenoconazol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Fenhexamid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Fludioxinil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Fluopiram</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Fluopiram + 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Folpet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Folpet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Iprodiona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Mancozeb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Metil-tiofanato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Miclobutanil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Óxido cuproso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Ciproconazol</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Sulfato cuprocálcico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Sulfato tribásico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Tebuconazol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 + Trifloxistrobina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Tiram </w:t>
            </w:r>
          </w:p>
        </w:tc>
        <w:tc>
          <w:tcPr>
            <w:tcW w:w="1576" w:type="pct"/>
            <w:vMerge w:val="restart"/>
            <w:vAlign w:val="center"/>
          </w:tcPr>
          <w:p w:rsidR="00503A41" w:rsidRPr="00993936" w:rsidRDefault="00503A41" w:rsidP="000452B8">
            <w:pPr>
              <w:jc w:val="both"/>
              <w:rPr>
                <w:rFonts w:ascii="Arial" w:hAnsi="Arial" w:cs="Arial"/>
                <w:snapToGrid w:val="0"/>
                <w:lang w:val="es-ES"/>
              </w:rPr>
            </w:pPr>
            <w:r w:rsidRPr="00993936">
              <w:rPr>
                <w:rFonts w:ascii="Arial" w:hAnsi="Arial" w:cs="Arial"/>
                <w:lang w:val="es-ES"/>
              </w:rPr>
              <w:t>(3) Sólo productos que no sean de clasificación toxicológica (T)</w:t>
            </w:r>
            <w:r w:rsidRPr="00993936">
              <w:rPr>
                <w:rFonts w:ascii="Arial" w:hAnsi="Arial" w:cs="Arial"/>
                <w:snapToGrid w:val="0"/>
                <w:lang w:val="es-ES"/>
              </w:rPr>
              <w:br/>
            </w:r>
          </w:p>
          <w:p w:rsidR="00503A41" w:rsidRPr="00993936" w:rsidRDefault="00503A41" w:rsidP="000452B8">
            <w:pPr>
              <w:rPr>
                <w:rFonts w:ascii="Arial" w:hAnsi="Arial" w:cs="Arial"/>
                <w:snapToGrid w:val="0"/>
                <w:lang w:val="es-ES"/>
              </w:rPr>
            </w:pP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Cribat</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 xml:space="preserve">Stigmina carpophila </w:t>
            </w:r>
          </w:p>
        </w:tc>
        <w:tc>
          <w:tcPr>
            <w:tcW w:w="184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Captan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Dodina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Folpet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Folpet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Metil-tiofanato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Óxido cuproso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tribásico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Tiram</w:t>
            </w:r>
          </w:p>
        </w:tc>
        <w:tc>
          <w:tcPr>
            <w:tcW w:w="1576" w:type="pct"/>
            <w:vMerge/>
          </w:tcPr>
          <w:p w:rsidR="00503A41" w:rsidRPr="00993936" w:rsidRDefault="00503A41" w:rsidP="000452B8">
            <w:pPr>
              <w:jc w:val="both"/>
              <w:rPr>
                <w:rFonts w:ascii="Arial" w:hAnsi="Arial" w:cs="Arial"/>
                <w:b/>
                <w:snapToGrid w:val="0"/>
                <w:lang w:val="es-ES"/>
              </w:rPr>
            </w:pPr>
          </w:p>
        </w:tc>
      </w:tr>
    </w:tbl>
    <w:p w:rsidR="00503A41" w:rsidRPr="00993936" w:rsidRDefault="00503A41">
      <w:pPr>
        <w:rPr>
          <w:rFonts w:ascii="Arial" w:hAnsi="Arial" w:cs="Arial"/>
        </w:rPr>
      </w:pPr>
    </w:p>
    <w:p w:rsidR="00503A41" w:rsidRPr="00993936" w:rsidRDefault="00503A41">
      <w:pPr>
        <w:rPr>
          <w:rFonts w:ascii="Arial" w:hAnsi="Arial" w:cs="Arial"/>
        </w:rPr>
      </w:pPr>
    </w:p>
    <w:p w:rsidR="00503A41" w:rsidRPr="00993936" w:rsidRDefault="00503A41" w:rsidP="001D205D">
      <w:pPr>
        <w:jc w:val="both"/>
        <w:rPr>
          <w:rFonts w:ascii="Arial" w:hAnsi="Arial" w:cs="Arial"/>
          <w:b/>
          <w:snapToGrid w:val="0"/>
          <w:lang w:val="es-ES"/>
        </w:rPr>
      </w:pPr>
      <w:r w:rsidRPr="00993936">
        <w:rPr>
          <w:rFonts w:ascii="Arial" w:hAnsi="Arial" w:cs="Arial"/>
          <w:b/>
          <w:snapToGrid w:val="0"/>
          <w:lang w:val="es-ES"/>
        </w:rPr>
        <w:lastRenderedPageBreak/>
        <w:t>3.3.2 Cereza (continuación)</w:t>
      </w:r>
    </w:p>
    <w:p w:rsidR="00503A41" w:rsidRPr="00993936" w:rsidRDefault="00503A41">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6"/>
        <w:gridCol w:w="3193"/>
        <w:gridCol w:w="2725"/>
      </w:tblGrid>
      <w:tr w:rsidR="00503A41" w:rsidRPr="00993936" w:rsidTr="001D205D">
        <w:trPr>
          <w:trHeight w:val="360"/>
        </w:trPr>
        <w:tc>
          <w:tcPr>
            <w:tcW w:w="1577" w:type="pct"/>
            <w:shd w:val="pct12" w:color="auto" w:fill="FFFFFF"/>
            <w:vAlign w:val="center"/>
          </w:tcPr>
          <w:p w:rsidR="00503A41" w:rsidRPr="00993936" w:rsidRDefault="00503A41" w:rsidP="001D205D">
            <w:pPr>
              <w:jc w:val="center"/>
              <w:rPr>
                <w:rFonts w:ascii="Arial" w:hAnsi="Arial" w:cs="Arial"/>
                <w:b/>
                <w:lang w:val="es-ES"/>
              </w:rPr>
            </w:pPr>
            <w:r w:rsidRPr="00993936">
              <w:rPr>
                <w:rFonts w:ascii="Arial" w:hAnsi="Arial" w:cs="Arial"/>
                <w:b/>
                <w:lang w:val="es-ES"/>
              </w:rPr>
              <w:t>ENFERMEDAD</w:t>
            </w:r>
          </w:p>
        </w:tc>
        <w:tc>
          <w:tcPr>
            <w:tcW w:w="1847" w:type="pct"/>
            <w:shd w:val="pct12" w:color="auto" w:fill="FFFFFF"/>
            <w:vAlign w:val="center"/>
          </w:tcPr>
          <w:p w:rsidR="00503A41" w:rsidRPr="00993936" w:rsidRDefault="00503A41" w:rsidP="001D205D">
            <w:pPr>
              <w:jc w:val="center"/>
              <w:rPr>
                <w:rFonts w:ascii="Arial" w:hAnsi="Arial" w:cs="Arial"/>
                <w:b/>
                <w:lang w:val="es-ES"/>
              </w:rPr>
            </w:pPr>
            <w:r w:rsidRPr="00993936">
              <w:rPr>
                <w:rFonts w:ascii="Arial" w:hAnsi="Arial" w:cs="Arial"/>
                <w:b/>
                <w:lang w:val="es-ES"/>
              </w:rPr>
              <w:t>MATERIA ACTIVA</w:t>
            </w:r>
          </w:p>
        </w:tc>
        <w:tc>
          <w:tcPr>
            <w:tcW w:w="1576" w:type="pct"/>
            <w:shd w:val="pct12" w:color="auto" w:fill="FFFFFF"/>
            <w:vAlign w:val="center"/>
          </w:tcPr>
          <w:p w:rsidR="00503A41" w:rsidRPr="00993936" w:rsidRDefault="00503A41" w:rsidP="001D205D">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Antracnosis</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Colletotrichum sp</w:t>
            </w:r>
          </w:p>
        </w:tc>
        <w:tc>
          <w:tcPr>
            <w:tcW w:w="184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Captan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Dodina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Iprodiona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Tebuconazol </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rPr>
              <w:t xml:space="preserve">Tiram </w:t>
            </w:r>
          </w:p>
        </w:tc>
        <w:tc>
          <w:tcPr>
            <w:tcW w:w="1576" w:type="pct"/>
          </w:tcPr>
          <w:p w:rsidR="00503A41" w:rsidRPr="00993936" w:rsidRDefault="00503A41" w:rsidP="000452B8">
            <w:pPr>
              <w:jc w:val="both"/>
              <w:rPr>
                <w:rFonts w:ascii="Arial" w:hAnsi="Arial" w:cs="Arial"/>
                <w:b/>
                <w:snapToGrid w:val="0"/>
                <w:lang w:val="es-ES"/>
              </w:rPr>
            </w:pPr>
          </w:p>
        </w:tc>
      </w:tr>
    </w:tbl>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t>3.3.3 Ciruela</w:t>
      </w:r>
    </w:p>
    <w:p w:rsidR="00503A41" w:rsidRPr="00993936" w:rsidRDefault="00503A41" w:rsidP="000452B8">
      <w:pPr>
        <w:jc w:val="both"/>
        <w:rPr>
          <w:rFonts w:ascii="Arial" w:hAnsi="Arial" w:cs="Arial"/>
          <w:b/>
          <w:snapToGrid w:val="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7"/>
        <w:gridCol w:w="3592"/>
        <w:gridCol w:w="2325"/>
      </w:tblGrid>
      <w:tr w:rsidR="00503A41" w:rsidRPr="00993936" w:rsidTr="001D205D">
        <w:trPr>
          <w:trHeight w:val="328"/>
          <w:tblHeader/>
        </w:trPr>
        <w:tc>
          <w:tcPr>
            <w:tcW w:w="1577"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ENFERMEDAD</w:t>
            </w:r>
          </w:p>
        </w:tc>
        <w:tc>
          <w:tcPr>
            <w:tcW w:w="2078"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345"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Oidio</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 xml:space="preserve">Podosphaera </w:t>
            </w:r>
            <w:r w:rsidRPr="00993936">
              <w:rPr>
                <w:rFonts w:ascii="Arial" w:hAnsi="Arial" w:cs="Arial"/>
                <w:i/>
                <w:snapToGrid w:val="0"/>
                <w:lang w:val="es-ES"/>
              </w:rPr>
              <w:pgNum/>
            </w:r>
            <w:r w:rsidRPr="00993936">
              <w:rPr>
                <w:rFonts w:ascii="Arial" w:hAnsi="Arial" w:cs="Arial"/>
                <w:i/>
                <w:snapToGrid w:val="0"/>
                <w:lang w:val="es-ES"/>
              </w:rPr>
              <w:t xml:space="preserve">ridàctila </w:t>
            </w:r>
          </w:p>
        </w:tc>
        <w:tc>
          <w:tcPr>
            <w:tcW w:w="2078"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Boscalida + Piraclostrobín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Ciflufenamida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Difenoconazol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Hexaconazol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Metil-tiofanato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Metil-tiofanato + Mancoceb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Miclobutanil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Ciproconazol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Miclobutanil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 + Trifloxistrobina</w:t>
            </w:r>
          </w:p>
        </w:tc>
        <w:tc>
          <w:tcPr>
            <w:tcW w:w="1345" w:type="pct"/>
            <w:vMerge w:val="restart"/>
            <w:vAlign w:val="center"/>
          </w:tcPr>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r w:rsidRPr="00993936">
              <w:rPr>
                <w:rFonts w:ascii="Arial" w:hAnsi="Arial" w:cs="Arial"/>
                <w:lang w:val="es-ES"/>
              </w:rPr>
              <w:t>(2) Máximo 2 tratamiento/año</w:t>
            </w:r>
          </w:p>
          <w:p w:rsidR="00503A41" w:rsidRPr="00993936" w:rsidRDefault="00503A41" w:rsidP="000452B8">
            <w:pPr>
              <w:rPr>
                <w:rFonts w:ascii="Arial" w:hAnsi="Arial" w:cs="Arial"/>
                <w:snapToGrid w:val="0"/>
                <w:lang w:val="es-ES"/>
              </w:rPr>
            </w:pPr>
            <w:r w:rsidRPr="00993936">
              <w:rPr>
                <w:rFonts w:ascii="Arial" w:hAnsi="Arial" w:cs="Arial"/>
                <w:snapToGrid w:val="0"/>
                <w:lang w:val="es-ES"/>
              </w:rPr>
              <w:t xml:space="preserve">(3) Sólo productos que no sean de clasificación </w:t>
            </w:r>
          </w:p>
          <w:p w:rsidR="00503A41" w:rsidRPr="00993936" w:rsidRDefault="00503A41" w:rsidP="000452B8">
            <w:pPr>
              <w:rPr>
                <w:rFonts w:ascii="Arial" w:hAnsi="Arial" w:cs="Arial"/>
                <w:snapToGrid w:val="0"/>
                <w:lang w:val="es-ES"/>
              </w:rPr>
            </w:pPr>
            <w:r w:rsidRPr="00993936">
              <w:rPr>
                <w:rFonts w:ascii="Arial" w:hAnsi="Arial" w:cs="Arial"/>
                <w:snapToGrid w:val="0"/>
                <w:lang w:val="es-ES"/>
              </w:rPr>
              <w:t xml:space="preserve"> toxicológica (T)</w:t>
            </w:r>
          </w:p>
          <w:p w:rsidR="00503A41" w:rsidRPr="00993936" w:rsidRDefault="00503A41" w:rsidP="000452B8">
            <w:pPr>
              <w:rPr>
                <w:rFonts w:ascii="Arial" w:hAnsi="Arial" w:cs="Arial"/>
                <w:snapToGrid w:val="0"/>
                <w:lang w:val="es-ES"/>
              </w:rPr>
            </w:pP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 La materia activa Metil-tiofanato se degrada en carbendazima</w:t>
            </w:r>
          </w:p>
          <w:p w:rsidR="00503A41" w:rsidRPr="00993936" w:rsidRDefault="00503A41" w:rsidP="000452B8">
            <w:pPr>
              <w:rPr>
                <w:rFonts w:ascii="Arial" w:hAnsi="Arial" w:cs="Arial"/>
                <w:lang w:val="es-ES"/>
              </w:rPr>
            </w:pP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lastRenderedPageBreak/>
              <w:t>Monilia</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 xml:space="preserve">Monilinia laxa </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Monilia fructígena</w:t>
            </w:r>
          </w:p>
        </w:tc>
        <w:tc>
          <w:tcPr>
            <w:tcW w:w="2078" w:type="pct"/>
            <w:vAlign w:val="center"/>
          </w:tcPr>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Bacillus subtilis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Boscalida + Piraclostrobín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Captan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Ciprodinil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Ciprodinil + Fludioxonil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Difenoconazol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Fenhexamida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Fludioxinil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Fluopiram + 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Iprodiona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Mancozeb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Metil-tiofanato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Oxicloruro de cobre</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Metil-tiofanato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Miclobutanil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Óxido cuproso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tribásico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Tebuconazol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 + Trifloxistrobina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Tiram </w:t>
            </w:r>
          </w:p>
        </w:tc>
        <w:tc>
          <w:tcPr>
            <w:tcW w:w="1345" w:type="pct"/>
            <w:vMerge/>
            <w:vAlign w:val="center"/>
          </w:tcPr>
          <w:p w:rsidR="00503A41" w:rsidRPr="00993936" w:rsidRDefault="00503A41" w:rsidP="009D1A2D">
            <w:pPr>
              <w:numPr>
                <w:ilvl w:val="0"/>
                <w:numId w:val="65"/>
              </w:numPr>
              <w:spacing w:after="0" w:line="240" w:lineRule="auto"/>
              <w:rPr>
                <w:rFonts w:ascii="Arial" w:hAnsi="Arial" w:cs="Arial"/>
                <w:snapToGrid w:val="0"/>
                <w:lang w:val="es-ES"/>
              </w:rPr>
            </w:pP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lastRenderedPageBreak/>
              <w:t>Roya</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 xml:space="preserve">Tranzschelia discolor </w:t>
            </w:r>
          </w:p>
        </w:tc>
        <w:tc>
          <w:tcPr>
            <w:tcW w:w="2078"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Difenoconazol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Mancozeb </w:t>
            </w:r>
          </w:p>
        </w:tc>
        <w:tc>
          <w:tcPr>
            <w:tcW w:w="1345" w:type="pct"/>
            <w:vMerge/>
          </w:tcPr>
          <w:p w:rsidR="00503A41" w:rsidRPr="00993936" w:rsidRDefault="00503A41" w:rsidP="000452B8">
            <w:pPr>
              <w:jc w:val="both"/>
              <w:rPr>
                <w:rFonts w:ascii="Arial" w:hAnsi="Arial" w:cs="Arial"/>
                <w:b/>
                <w:snapToGrid w:val="0"/>
                <w:lang w:val="es-ES"/>
              </w:rPr>
            </w:pP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Cribado</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 xml:space="preserve">Stigmina carpophila </w:t>
            </w:r>
          </w:p>
        </w:tc>
        <w:tc>
          <w:tcPr>
            <w:tcW w:w="2078"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Captan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Dodina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Metil-tiofanato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 Sulfato cuprocálcico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Óxido cuproso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tribásico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Tiram </w:t>
            </w:r>
          </w:p>
        </w:tc>
        <w:tc>
          <w:tcPr>
            <w:tcW w:w="1345" w:type="pct"/>
            <w:vMerge/>
          </w:tcPr>
          <w:p w:rsidR="00503A41" w:rsidRPr="00993936" w:rsidRDefault="00503A41" w:rsidP="000452B8">
            <w:pPr>
              <w:jc w:val="both"/>
              <w:rPr>
                <w:rFonts w:ascii="Arial" w:hAnsi="Arial" w:cs="Arial"/>
                <w:b/>
                <w:snapToGrid w:val="0"/>
                <w:lang w:val="es-ES"/>
              </w:rPr>
            </w:pPr>
          </w:p>
        </w:tc>
      </w:tr>
    </w:tbl>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3.3.4 Albaricoque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7"/>
        <w:gridCol w:w="3326"/>
        <w:gridCol w:w="2591"/>
      </w:tblGrid>
      <w:tr w:rsidR="00503A41" w:rsidRPr="00993936" w:rsidTr="001D205D">
        <w:trPr>
          <w:tblHeader/>
        </w:trPr>
        <w:tc>
          <w:tcPr>
            <w:tcW w:w="1577"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ENFERMEDAD</w:t>
            </w:r>
          </w:p>
        </w:tc>
        <w:tc>
          <w:tcPr>
            <w:tcW w:w="1924"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499"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RESTRICCIONES</w:t>
            </w: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Monilia</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Monilinia laxa</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Monilinia fructigena</w:t>
            </w:r>
            <w:r w:rsidRPr="00993936">
              <w:rPr>
                <w:rFonts w:ascii="Arial" w:hAnsi="Arial" w:cs="Arial"/>
                <w:b/>
                <w:i/>
                <w:snapToGrid w:val="0"/>
                <w:lang w:val="es-ES"/>
              </w:rPr>
              <w:t xml:space="preserve"> </w:t>
            </w:r>
          </w:p>
        </w:tc>
        <w:tc>
          <w:tcPr>
            <w:tcW w:w="1924" w:type="pct"/>
            <w:vAlign w:val="center"/>
          </w:tcPr>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Bacillus subtilis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Boscalida + Piraclostrobín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Captan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Carbonato de hidrógeno de potasio</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Ciprodinil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Ciprodinil +fludioxonil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Clortalonil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Difenoconazol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Fenbuconazol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Fenhexamid</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Fenpirazamina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Fluopiram</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Fluopiram + 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Iprodiona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Mancozeb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Metil-tiofanato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Sulfato cuprocálcico</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Metil-tiofanato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Miclobutanil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Óxido cuproso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Ciproconazol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tribásico de cobre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Tebuconazol + Trifloxistrobina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Tiram</w:t>
            </w:r>
          </w:p>
        </w:tc>
        <w:tc>
          <w:tcPr>
            <w:tcW w:w="1499" w:type="pct"/>
            <w:vMerge w:val="restart"/>
            <w:vAlign w:val="center"/>
          </w:tcPr>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r w:rsidRPr="00993936">
              <w:rPr>
                <w:rFonts w:ascii="Arial" w:hAnsi="Arial" w:cs="Arial"/>
                <w:lang w:val="es-ES"/>
              </w:rPr>
              <w:t>(2) Máximo 2 tratamiento/año</w:t>
            </w:r>
          </w:p>
          <w:p w:rsidR="00503A41" w:rsidRPr="00993936" w:rsidRDefault="00503A41" w:rsidP="000452B8">
            <w:pPr>
              <w:jc w:val="both"/>
              <w:rPr>
                <w:rFonts w:ascii="Arial" w:hAnsi="Arial" w:cs="Arial"/>
                <w:snapToGrid w:val="0"/>
                <w:lang w:val="es-ES"/>
              </w:rPr>
            </w:pPr>
            <w:r w:rsidRPr="00993936">
              <w:rPr>
                <w:rFonts w:ascii="Arial" w:hAnsi="Arial" w:cs="Arial"/>
                <w:snapToGrid w:val="0"/>
                <w:lang w:val="es-ES"/>
              </w:rPr>
              <w:t>(3) Sólo productos que no sean de clasificación toxicológica (T)</w:t>
            </w:r>
          </w:p>
          <w:p w:rsidR="00503A41" w:rsidRPr="00993936" w:rsidRDefault="00503A41" w:rsidP="000452B8">
            <w:pPr>
              <w:jc w:val="both"/>
              <w:rPr>
                <w:rFonts w:ascii="Arial" w:hAnsi="Arial" w:cs="Arial"/>
                <w:b/>
                <w:snapToGrid w:val="0"/>
                <w:lang w:val="es-ES"/>
              </w:rPr>
            </w:pPr>
          </w:p>
          <w:p w:rsidR="00503A41" w:rsidRPr="00993936" w:rsidRDefault="00503A41" w:rsidP="000452B8">
            <w:pPr>
              <w:rPr>
                <w:rFonts w:ascii="Arial" w:hAnsi="Arial" w:cs="Arial"/>
                <w:lang w:val="es-ES"/>
              </w:rPr>
            </w:pPr>
            <w:r w:rsidRPr="00993936">
              <w:rPr>
                <w:rFonts w:ascii="Arial" w:hAnsi="Arial" w:cs="Arial"/>
                <w:lang w:val="es-ES"/>
              </w:rPr>
              <w:t>(**) El LMR coincide con LD</w:t>
            </w:r>
          </w:p>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 La materia activa metil-tiofanato se degrada en carbendazima</w:t>
            </w:r>
          </w:p>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b/>
                <w:snapToGrid w:val="0"/>
                <w:lang w:val="es-ES"/>
              </w:rPr>
            </w:pP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Roya</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 xml:space="preserve">Tranzschelia discolor </w:t>
            </w:r>
          </w:p>
        </w:tc>
        <w:tc>
          <w:tcPr>
            <w:tcW w:w="1924" w:type="pct"/>
            <w:vAlign w:val="center"/>
          </w:tcPr>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Ciproconazol</w:t>
            </w:r>
            <w:r w:rsidRPr="00993936">
              <w:rPr>
                <w:rFonts w:ascii="Arial" w:hAnsi="Arial" w:cs="Arial"/>
                <w:i/>
                <w:snapToGrid w:val="0"/>
                <w:lang w:val="es-ES"/>
              </w:rPr>
              <w:t xml:space="preserv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Mancozeb </w:t>
            </w:r>
          </w:p>
          <w:p w:rsidR="00503A41" w:rsidRPr="00993936" w:rsidRDefault="00503A41" w:rsidP="001D205D">
            <w:pPr>
              <w:pStyle w:val="Sinespaciado"/>
              <w:rPr>
                <w:rFonts w:ascii="Arial" w:hAnsi="Arial" w:cs="Arial"/>
                <w:snapToGrid w:val="0"/>
                <w:lang w:val="es-ES"/>
              </w:rPr>
            </w:pPr>
          </w:p>
        </w:tc>
        <w:tc>
          <w:tcPr>
            <w:tcW w:w="1499" w:type="pct"/>
            <w:vMerge/>
          </w:tcPr>
          <w:p w:rsidR="00503A41" w:rsidRPr="00993936" w:rsidRDefault="00503A41" w:rsidP="000452B8">
            <w:pPr>
              <w:jc w:val="both"/>
              <w:rPr>
                <w:rFonts w:ascii="Arial" w:hAnsi="Arial" w:cs="Arial"/>
                <w:b/>
                <w:snapToGrid w:val="0"/>
                <w:lang w:val="es-ES"/>
              </w:rPr>
            </w:pPr>
          </w:p>
        </w:tc>
      </w:tr>
      <w:tr w:rsidR="00503A41" w:rsidRPr="00993936" w:rsidTr="000452B8">
        <w:trPr>
          <w:cantSplit/>
        </w:trPr>
        <w:tc>
          <w:tcPr>
            <w:tcW w:w="1577"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lastRenderedPageBreak/>
              <w:t>Oidio</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Podosphaera tridactila</w:t>
            </w:r>
          </w:p>
        </w:tc>
        <w:tc>
          <w:tcPr>
            <w:tcW w:w="1924"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Boscalida + Piraclostrobín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Bupirimat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Ciflufenamida</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Ciproconazol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Difenoconazol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Fenbuconazol  </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Fluopiram + 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Metil-tiofanato </w:t>
            </w:r>
            <w:r w:rsidRPr="00993936">
              <w:rPr>
                <w:rFonts w:ascii="Arial" w:hAnsi="Arial" w:cs="Arial"/>
                <w:lang w:val="es-ES"/>
              </w:rPr>
              <w:t>(^)</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Metil-tiofanato + Mancozeb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Miclobutanil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Penconazol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Polisulfuro de calcio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Quinoxifèn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Ciproconazol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Azufre + Miclobutanil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Tebuconazol + Trifloxistrobina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Tetraconazol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Trifloxistrobina</w:t>
            </w:r>
          </w:p>
        </w:tc>
        <w:tc>
          <w:tcPr>
            <w:tcW w:w="1499" w:type="pct"/>
            <w:vMerge/>
          </w:tcPr>
          <w:p w:rsidR="00503A41" w:rsidRPr="00993936" w:rsidRDefault="00503A41" w:rsidP="000452B8">
            <w:pPr>
              <w:jc w:val="both"/>
              <w:rPr>
                <w:rFonts w:ascii="Arial" w:hAnsi="Arial" w:cs="Arial"/>
                <w:b/>
                <w:snapToGrid w:val="0"/>
                <w:lang w:val="es-ES"/>
              </w:rPr>
            </w:pPr>
          </w:p>
        </w:tc>
      </w:tr>
      <w:tr w:rsidR="00503A41" w:rsidRPr="00993936" w:rsidTr="000452B8">
        <w:trPr>
          <w:cantSplit/>
        </w:trPr>
        <w:tc>
          <w:tcPr>
            <w:tcW w:w="1577" w:type="pct"/>
            <w:vAlign w:val="center"/>
          </w:tcPr>
          <w:p w:rsidR="00503A41" w:rsidRPr="00993936" w:rsidRDefault="00503A41" w:rsidP="001D205D">
            <w:pPr>
              <w:pStyle w:val="Ttulo2"/>
              <w:rPr>
                <w:rFonts w:ascii="Arial" w:hAnsi="Arial" w:cs="Arial"/>
                <w:b/>
                <w:snapToGrid w:val="0"/>
                <w:color w:val="auto"/>
                <w:sz w:val="22"/>
                <w:szCs w:val="22"/>
                <w:lang w:val="es-ES"/>
              </w:rPr>
            </w:pPr>
            <w:r w:rsidRPr="00993936">
              <w:rPr>
                <w:rFonts w:ascii="Arial" w:hAnsi="Arial" w:cs="Arial"/>
                <w:b/>
                <w:snapToGrid w:val="0"/>
                <w:color w:val="auto"/>
                <w:sz w:val="22"/>
                <w:szCs w:val="22"/>
                <w:lang w:val="es-ES"/>
              </w:rPr>
              <w:t>Cribat</w:t>
            </w:r>
          </w:p>
          <w:p w:rsidR="00503A41" w:rsidRPr="00993936" w:rsidRDefault="00503A41" w:rsidP="001D205D">
            <w:pPr>
              <w:jc w:val="both"/>
              <w:rPr>
                <w:rFonts w:ascii="Arial" w:hAnsi="Arial" w:cs="Arial"/>
                <w:i/>
                <w:snapToGrid w:val="0"/>
                <w:lang w:val="es-ES"/>
              </w:rPr>
            </w:pPr>
            <w:r w:rsidRPr="00993936">
              <w:rPr>
                <w:rFonts w:ascii="Arial" w:hAnsi="Arial" w:cs="Arial"/>
                <w:i/>
                <w:snapToGrid w:val="0"/>
                <w:lang w:val="es-ES"/>
              </w:rPr>
              <w:t xml:space="preserve">Stigmina carpophila </w:t>
            </w:r>
          </w:p>
        </w:tc>
        <w:tc>
          <w:tcPr>
            <w:tcW w:w="1924"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Captan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Difenoconazol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Dodina (3)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Hidróxido cúprico (3)</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Mancozeb + 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Metil-tiofanato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Metil-tiofanato + Mancozeb </w:t>
            </w:r>
            <w:r w:rsidRPr="00993936">
              <w:rPr>
                <w:rFonts w:ascii="Arial" w:hAnsi="Arial" w:cs="Arial"/>
                <w:lang w:val="es-ES"/>
              </w:rPr>
              <w: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Oxicloruro de cobre + Sulfato cuprocálcico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Óxido cuproso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Sulfato tribásico de cobre</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Tiram</w:t>
            </w:r>
          </w:p>
        </w:tc>
        <w:tc>
          <w:tcPr>
            <w:tcW w:w="1499" w:type="pct"/>
          </w:tcPr>
          <w:p w:rsidR="00503A41" w:rsidRPr="00993936" w:rsidRDefault="00503A41" w:rsidP="001D205D">
            <w:pPr>
              <w:jc w:val="both"/>
              <w:rPr>
                <w:rFonts w:ascii="Arial" w:hAnsi="Arial" w:cs="Arial"/>
                <w:b/>
                <w:snapToGrid w:val="0"/>
                <w:lang w:val="es-ES"/>
              </w:rPr>
            </w:pPr>
          </w:p>
        </w:tc>
      </w:tr>
      <w:tr w:rsidR="00503A41" w:rsidRPr="00993936" w:rsidTr="000452B8">
        <w:trPr>
          <w:cantSplit/>
        </w:trPr>
        <w:tc>
          <w:tcPr>
            <w:tcW w:w="1577" w:type="pct"/>
            <w:vAlign w:val="center"/>
          </w:tcPr>
          <w:p w:rsidR="00503A41" w:rsidRPr="00993936" w:rsidRDefault="00503A41" w:rsidP="001D205D">
            <w:pPr>
              <w:pStyle w:val="Ttulo2"/>
              <w:rPr>
                <w:rFonts w:ascii="Arial" w:hAnsi="Arial" w:cs="Arial"/>
                <w:b/>
                <w:snapToGrid w:val="0"/>
                <w:color w:val="auto"/>
                <w:sz w:val="22"/>
                <w:szCs w:val="22"/>
                <w:lang w:val="es-ES"/>
              </w:rPr>
            </w:pPr>
            <w:r w:rsidRPr="00993936">
              <w:rPr>
                <w:rFonts w:ascii="Arial" w:hAnsi="Arial" w:cs="Arial"/>
                <w:b/>
                <w:snapToGrid w:val="0"/>
                <w:color w:val="auto"/>
                <w:sz w:val="22"/>
                <w:szCs w:val="22"/>
                <w:lang w:val="es-ES"/>
              </w:rPr>
              <w:t>Bacteriosis</w:t>
            </w:r>
          </w:p>
        </w:tc>
        <w:tc>
          <w:tcPr>
            <w:tcW w:w="1924" w:type="pct"/>
            <w:vAlign w:val="center"/>
          </w:tcPr>
          <w:p w:rsidR="00503A41" w:rsidRPr="00993936" w:rsidRDefault="00503A41" w:rsidP="001D205D">
            <w:pPr>
              <w:rPr>
                <w:rFonts w:ascii="Arial" w:hAnsi="Arial" w:cs="Arial"/>
                <w:snapToGrid w:val="0"/>
                <w:lang w:val="es-ES"/>
              </w:rPr>
            </w:pPr>
            <w:r w:rsidRPr="00993936">
              <w:rPr>
                <w:rFonts w:ascii="Arial" w:hAnsi="Arial" w:cs="Arial"/>
                <w:snapToGrid w:val="0"/>
                <w:lang w:val="es-ES"/>
              </w:rPr>
              <w:t>-</w:t>
            </w:r>
          </w:p>
        </w:tc>
        <w:tc>
          <w:tcPr>
            <w:tcW w:w="1499" w:type="pct"/>
          </w:tcPr>
          <w:p w:rsidR="00503A41" w:rsidRPr="00993936" w:rsidRDefault="00503A41" w:rsidP="001D205D">
            <w:pPr>
              <w:jc w:val="both"/>
              <w:rPr>
                <w:rFonts w:ascii="Arial" w:hAnsi="Arial" w:cs="Arial"/>
                <w:b/>
                <w:snapToGrid w:val="0"/>
                <w:lang w:val="es-ES"/>
              </w:rPr>
            </w:pPr>
          </w:p>
        </w:tc>
      </w:tr>
    </w:tbl>
    <w:p w:rsidR="00503A41" w:rsidRPr="00993936" w:rsidRDefault="00503A41" w:rsidP="000452B8">
      <w:pPr>
        <w:widowControl w:val="0"/>
        <w:rPr>
          <w:rFonts w:ascii="Arial" w:hAnsi="Arial" w:cs="Arial"/>
          <w:snapToGrid w:val="0"/>
          <w:lang w:val="es-ES"/>
        </w:rPr>
      </w:pPr>
    </w:p>
    <w:p w:rsidR="00503A41" w:rsidRPr="00993936" w:rsidRDefault="00503A41" w:rsidP="000452B8">
      <w:pPr>
        <w:jc w:val="both"/>
        <w:rPr>
          <w:rFonts w:ascii="Arial" w:hAnsi="Arial" w:cs="Arial"/>
          <w:b/>
          <w:snapToGrid w:val="0"/>
          <w:lang w:val="es-ES"/>
        </w:rPr>
      </w:pPr>
      <w:r w:rsidRPr="00993936">
        <w:rPr>
          <w:rFonts w:ascii="Arial" w:hAnsi="Arial" w:cs="Arial"/>
          <w:snapToGrid w:val="0"/>
          <w:lang w:val="es-ES"/>
        </w:rPr>
        <w:br w:type="page"/>
      </w:r>
      <w:r w:rsidRPr="00993936">
        <w:rPr>
          <w:rFonts w:ascii="Arial" w:hAnsi="Arial" w:cs="Arial"/>
          <w:b/>
          <w:snapToGrid w:val="0"/>
          <w:lang w:val="es-ES"/>
        </w:rPr>
        <w:lastRenderedPageBreak/>
        <w:t>3.3.5 Materias activas de fungicidas para la producción integrada de Frutales de hueso</w:t>
      </w:r>
      <w:r w:rsidRPr="00993936">
        <w:rPr>
          <w:rFonts w:ascii="Arial" w:hAnsi="Arial" w:cs="Arial"/>
          <w:b/>
          <w:snapToGrid w:val="0"/>
          <w:vanish/>
          <w:lang w:val="es-ES"/>
        </w:rPr>
        <w:t>&lt;A[hueso|pepita]&gt;</w:t>
      </w:r>
      <w:r w:rsidRPr="00993936">
        <w:rPr>
          <w:rFonts w:ascii="Arial" w:hAnsi="Arial" w:cs="Arial"/>
          <w:b/>
          <w:snapToGrid w:val="0"/>
          <w:lang w:val="es-ES"/>
        </w:rPr>
        <w:t xml:space="preserve"> con indicación del código de resistencia FRAC</w:t>
      </w:r>
    </w:p>
    <w:p w:rsidR="00503A41" w:rsidRPr="00993936" w:rsidRDefault="00503A41" w:rsidP="000452B8">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TIPO DE FUNGICIDAS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 xml:space="preserve">Materia activa </w:t>
            </w:r>
          </w:p>
        </w:tc>
        <w:tc>
          <w:tcPr>
            <w:tcW w:w="2500" w:type="pct"/>
            <w:shd w:val="solid" w:color="C0C0C0"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1D205D">
            <w:pPr>
              <w:pStyle w:val="Sinespaciado"/>
              <w:rPr>
                <w:rStyle w:val="unknown"/>
                <w:rFonts w:ascii="Arial" w:hAnsi="Arial" w:cs="Arial"/>
                <w:color w:val="auto"/>
              </w:rPr>
            </w:pPr>
          </w:p>
        </w:tc>
        <w:tc>
          <w:tcPr>
            <w:tcW w:w="2500" w:type="pct"/>
            <w:shd w:val="solid" w:color="C0C0C0"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FRAC (*)</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Boscalida + Piraclostrobín</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7+11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Bupirimat</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8</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Captan</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M4</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Carbonato de hidrógeno de potasio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Ciflufenamida</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C4</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Ciproconazol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Ciprodinil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9</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Ciprodinil + Fludioxonil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9+12</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Clortalonil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M5</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Clortalonil + Tetraconazol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M5+3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Difenoconazol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Dodina</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U12</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Fenbuconazol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G1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Fenhexamid</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17</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Fludioxonil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E2</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Fluopiram</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C2</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Fluopiram + Tebuconazol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C2+3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Folpet</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M4</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Folpet + Sulfato cuprocálcico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M4+M1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Hexaconazol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Hidróxido cúprico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Iprodiona</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E3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Mancozeb</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M3+B1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Mancozeb + Metil-tiofanato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M3+M1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Mancozeb + Oxicloruro de cobre</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M3+M1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Mancozeb + Sulfato cuprocálcico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M3+M1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Metil-tiofanato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Aceite de naranja</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NC</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Aceite parafínico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NC</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Oxicloruro de cobre</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Oxicloruro de cobre + Sulfato cuprocálcico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M1+M1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Óxido cuproso</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Penconazol</w:t>
            </w:r>
          </w:p>
        </w:tc>
        <w:tc>
          <w:tcPr>
            <w:tcW w:w="2500" w:type="pct"/>
            <w:shd w:val="solid" w:color="FFFFFF" w:fill="auto"/>
          </w:tcPr>
          <w:p w:rsidR="00503A41" w:rsidRPr="00993936" w:rsidRDefault="00503A41" w:rsidP="001D205D">
            <w:pPr>
              <w:pStyle w:val="Sinespaciado"/>
              <w:jc w:val="center"/>
              <w:rPr>
                <w:rStyle w:val="unknown"/>
                <w:rFonts w:ascii="Arial" w:hAnsi="Arial" w:cs="Arial"/>
                <w:color w:val="auto"/>
              </w:rPr>
            </w:pPr>
            <w:r w:rsidRPr="00993936">
              <w:rPr>
                <w:rStyle w:val="unknown"/>
                <w:rFonts w:ascii="Arial" w:hAnsi="Arial" w:cs="Arial"/>
                <w:color w:val="auto"/>
              </w:rPr>
              <w:t>3</w:t>
            </w:r>
          </w:p>
        </w:tc>
      </w:tr>
      <w:tr w:rsidR="00503A41" w:rsidRPr="00993936" w:rsidTr="000452B8">
        <w:trPr>
          <w:trHeight w:val="270"/>
        </w:trPr>
        <w:tc>
          <w:tcPr>
            <w:tcW w:w="5000" w:type="pct"/>
            <w:gridSpan w:val="2"/>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Para evitar la aparición de resistencias alternar el uso de materias activas que presenten códigos de resistencia (FRAC) diferentes</w:t>
            </w:r>
          </w:p>
        </w:tc>
      </w:tr>
      <w:tr w:rsidR="00503A41" w:rsidRPr="00993936" w:rsidTr="000452B8">
        <w:trPr>
          <w:trHeight w:val="270"/>
        </w:trPr>
        <w:tc>
          <w:tcPr>
            <w:tcW w:w="5000" w:type="pct"/>
            <w:gridSpan w:val="2"/>
            <w:shd w:val="solid" w:color="FFFFFF" w:fill="auto"/>
          </w:tcPr>
          <w:p w:rsidR="00503A41" w:rsidRPr="00993936" w:rsidRDefault="00503A41" w:rsidP="001D205D">
            <w:pPr>
              <w:pStyle w:val="Sinespaciado"/>
              <w:rPr>
                <w:rStyle w:val="unknown"/>
                <w:rFonts w:ascii="Arial" w:hAnsi="Arial" w:cs="Arial"/>
                <w:color w:val="auto"/>
              </w:rPr>
            </w:pPr>
            <w:r w:rsidRPr="00993936">
              <w:rPr>
                <w:rStyle w:val="unknown"/>
                <w:rFonts w:ascii="Arial" w:hAnsi="Arial" w:cs="Arial"/>
                <w:color w:val="auto"/>
              </w:rPr>
              <w:t>(*) Fuente: Comité de Acción de Resistencia en Fungicidas</w:t>
            </w:r>
          </w:p>
        </w:tc>
      </w:tr>
    </w:tbl>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b/>
          <w:snapToGrid w:val="0"/>
          <w:lang w:val="es-ES"/>
        </w:rPr>
      </w:pPr>
      <w:r w:rsidRPr="00993936">
        <w:rPr>
          <w:rFonts w:ascii="Arial" w:hAnsi="Arial" w:cs="Arial"/>
          <w:lang w:val="es-ES"/>
        </w:rPr>
        <w:br w:type="page"/>
      </w:r>
      <w:r w:rsidRPr="00993936">
        <w:rPr>
          <w:rFonts w:ascii="Arial" w:hAnsi="Arial" w:cs="Arial"/>
          <w:b/>
          <w:snapToGrid w:val="0"/>
          <w:lang w:val="es-ES"/>
        </w:rPr>
        <w:lastRenderedPageBreak/>
        <w:t>3.3.5 (continuación) Materias activas de fungicidas para la producción integrada de Frutales de hueso</w:t>
      </w:r>
      <w:r w:rsidRPr="00993936">
        <w:rPr>
          <w:rFonts w:ascii="Arial" w:hAnsi="Arial" w:cs="Arial"/>
          <w:b/>
          <w:snapToGrid w:val="0"/>
          <w:vanish/>
          <w:lang w:val="es-ES"/>
        </w:rPr>
        <w:t>&lt;A[hueso|pepita]&gt;</w:t>
      </w:r>
      <w:r w:rsidRPr="00993936">
        <w:rPr>
          <w:rFonts w:ascii="Arial" w:hAnsi="Arial" w:cs="Arial"/>
          <w:b/>
          <w:snapToGrid w:val="0"/>
          <w:lang w:val="es-ES"/>
        </w:rPr>
        <w:t xml:space="preserve"> con indicación del código de resistencia FRAC</w:t>
      </w:r>
    </w:p>
    <w:p w:rsidR="00503A41" w:rsidRPr="00993936" w:rsidRDefault="00503A41" w:rsidP="000452B8">
      <w:pPr>
        <w:rPr>
          <w:rFonts w:ascii="Arial" w:hAnsi="Arial"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FUNGICIDAS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0452B8">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FRAC (*)</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Quinoxifèn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13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Azufre</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M2</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Azufre + Ciproconazol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M2+3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Azufre + Miclobutanil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M2+3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Azufre + Oxicloruro de cobre</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M2+M1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Sulfato cuprocálcico</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Sulfato tribásico de cobre</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M1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Tebuconazol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Tebuconazol + Trifloxistrobina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3+11</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Tetraconazol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Tiram</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M3</w:t>
            </w:r>
          </w:p>
        </w:tc>
      </w:tr>
      <w:tr w:rsidR="00503A41" w:rsidRPr="00993936" w:rsidTr="000452B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Trifloxistrobina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C3</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en Fungicidas</w:t>
            </w:r>
          </w:p>
        </w:tc>
      </w:tr>
    </w:tbl>
    <w:p w:rsidR="00503A41" w:rsidRPr="00993936" w:rsidRDefault="00503A41" w:rsidP="000452B8">
      <w:pPr>
        <w:rPr>
          <w:rFonts w:ascii="Arial" w:hAnsi="Arial" w:cs="Arial"/>
          <w:lang w:val="es-ES"/>
        </w:rPr>
      </w:pPr>
    </w:p>
    <w:p w:rsidR="00503A41" w:rsidRPr="00993936" w:rsidRDefault="00503A41" w:rsidP="000452B8">
      <w:pPr>
        <w:widowControl w:val="0"/>
        <w:rPr>
          <w:rFonts w:ascii="Arial" w:hAnsi="Arial" w:cs="Arial"/>
          <w:b/>
          <w:snapToGrid w:val="0"/>
          <w:lang w:val="es-ES"/>
        </w:rPr>
      </w:pPr>
      <w:r w:rsidRPr="00993936">
        <w:rPr>
          <w:rFonts w:ascii="Arial" w:hAnsi="Arial" w:cs="Arial"/>
          <w:b/>
          <w:snapToGrid w:val="0"/>
          <w:lang w:val="es-ES"/>
        </w:rPr>
        <w:t>3.4 Materias activas de productos postcosecha</w:t>
      </w:r>
    </w:p>
    <w:p w:rsidR="00503A41" w:rsidRPr="00993936" w:rsidRDefault="00503A41" w:rsidP="000452B8">
      <w:pPr>
        <w:widowControl w:val="0"/>
        <w:rPr>
          <w:rFonts w:ascii="Arial" w:hAnsi="Arial" w:cs="Arial"/>
          <w:b/>
          <w:snapToGrid w:val="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2456"/>
        <w:gridCol w:w="4193"/>
      </w:tblGrid>
      <w:tr w:rsidR="00503A41" w:rsidRPr="00993936" w:rsidTr="000452B8">
        <w:trPr>
          <w:trHeight w:val="382"/>
        </w:trPr>
        <w:tc>
          <w:tcPr>
            <w:tcW w:w="1188" w:type="pct"/>
            <w:shd w:val="clear" w:color="auto" w:fill="D9D9D9"/>
          </w:tcPr>
          <w:p w:rsidR="00503A41" w:rsidRPr="00993936" w:rsidRDefault="00503A41" w:rsidP="000452B8">
            <w:pPr>
              <w:jc w:val="center"/>
              <w:rPr>
                <w:rFonts w:ascii="Arial" w:hAnsi="Arial" w:cs="Arial"/>
                <w:b/>
                <w:lang w:val="es-ES"/>
              </w:rPr>
            </w:pPr>
            <w:r w:rsidRPr="00993936">
              <w:rPr>
                <w:rFonts w:ascii="Arial" w:hAnsi="Arial" w:cs="Arial"/>
                <w:b/>
                <w:lang w:val="es-ES"/>
              </w:rPr>
              <w:t>Materia activa</w:t>
            </w:r>
          </w:p>
        </w:tc>
        <w:tc>
          <w:tcPr>
            <w:tcW w:w="1408" w:type="pct"/>
            <w:shd w:val="clear" w:color="auto" w:fill="D9D9D9"/>
            <w:vAlign w:val="center"/>
          </w:tcPr>
          <w:p w:rsidR="00503A41" w:rsidRPr="00993936" w:rsidDel="00BC14E0" w:rsidRDefault="00503A41" w:rsidP="000452B8">
            <w:pPr>
              <w:jc w:val="center"/>
              <w:rPr>
                <w:rFonts w:ascii="Arial" w:hAnsi="Arial" w:cs="Arial"/>
                <w:b/>
                <w:lang w:val="es-ES"/>
              </w:rPr>
            </w:pPr>
            <w:r w:rsidRPr="00993936">
              <w:rPr>
                <w:rFonts w:ascii="Arial" w:hAnsi="Arial" w:cs="Arial"/>
                <w:b/>
                <w:lang w:val="es-ES"/>
              </w:rPr>
              <w:t>Enfermedad</w:t>
            </w:r>
          </w:p>
        </w:tc>
        <w:tc>
          <w:tcPr>
            <w:tcW w:w="2404" w:type="pct"/>
            <w:shd w:val="clear" w:color="auto" w:fill="D9D9D9"/>
            <w:vAlign w:val="center"/>
          </w:tcPr>
          <w:p w:rsidR="00503A41" w:rsidRPr="00993936" w:rsidRDefault="00503A41" w:rsidP="000452B8">
            <w:pPr>
              <w:jc w:val="center"/>
              <w:rPr>
                <w:rFonts w:ascii="Arial" w:hAnsi="Arial" w:cs="Arial"/>
                <w:b/>
                <w:lang w:val="es-ES"/>
              </w:rPr>
            </w:pPr>
            <w:r w:rsidRPr="00993936">
              <w:rPr>
                <w:rFonts w:ascii="Arial" w:hAnsi="Arial" w:cs="Arial"/>
                <w:b/>
                <w:lang w:val="es-ES"/>
              </w:rPr>
              <w:t>Observaciones</w:t>
            </w:r>
          </w:p>
        </w:tc>
      </w:tr>
      <w:tr w:rsidR="00503A41" w:rsidRPr="00993936" w:rsidTr="000452B8">
        <w:trPr>
          <w:trHeight w:val="855"/>
        </w:trPr>
        <w:tc>
          <w:tcPr>
            <w:tcW w:w="1188" w:type="pct"/>
            <w:shd w:val="clear" w:color="auto" w:fill="auto"/>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Fludioxinil (a)</w:t>
            </w:r>
          </w:p>
        </w:tc>
        <w:tc>
          <w:tcPr>
            <w:tcW w:w="1408" w:type="pct"/>
            <w:shd w:val="clear" w:color="auto" w:fill="auto"/>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Enfermedades fúngicas </w:t>
            </w:r>
          </w:p>
        </w:tc>
        <w:tc>
          <w:tcPr>
            <w:tcW w:w="2404" w:type="pct"/>
            <w:shd w:val="clear" w:color="auto" w:fill="auto"/>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(a) melocotón, ciruela y cereza</w:t>
            </w:r>
          </w:p>
        </w:tc>
      </w:tr>
    </w:tbl>
    <w:p w:rsidR="00503A41" w:rsidRPr="00993936" w:rsidRDefault="00503A41" w:rsidP="000452B8">
      <w:pPr>
        <w:widowControl w:val="0"/>
        <w:rPr>
          <w:rFonts w:ascii="Arial" w:hAnsi="Arial" w:cs="Arial"/>
          <w:b/>
          <w:snapToGrid w:val="0"/>
          <w:lang w:val="es-ES"/>
        </w:rPr>
      </w:pPr>
    </w:p>
    <w:p w:rsidR="00503A41" w:rsidRPr="00993936" w:rsidRDefault="00503A41" w:rsidP="000452B8">
      <w:pPr>
        <w:jc w:val="center"/>
        <w:rPr>
          <w:rFonts w:ascii="Arial" w:hAnsi="Arial" w:cs="Arial"/>
          <w:b/>
          <w:lang w:val="es-ES"/>
        </w:rPr>
      </w:pPr>
    </w:p>
    <w:p w:rsidR="00503A41" w:rsidRPr="00993936" w:rsidRDefault="00503A41" w:rsidP="000452B8">
      <w:pPr>
        <w:jc w:val="center"/>
        <w:rPr>
          <w:rFonts w:ascii="Arial" w:hAnsi="Arial" w:cs="Arial"/>
          <w:b/>
          <w:lang w:val="es-ES"/>
        </w:rPr>
      </w:pPr>
    </w:p>
    <w:p w:rsidR="00503A41" w:rsidRPr="00993936" w:rsidRDefault="00503A41" w:rsidP="000452B8">
      <w:pPr>
        <w:autoSpaceDE w:val="0"/>
        <w:autoSpaceDN w:val="0"/>
        <w:adjustRightInd w:val="0"/>
        <w:jc w:val="both"/>
        <w:rPr>
          <w:rFonts w:ascii="Arial" w:hAnsi="Arial" w:cs="Arial"/>
          <w:b/>
          <w:lang w:val="es-ES"/>
        </w:rPr>
      </w:pPr>
    </w:p>
    <w:p w:rsidR="00503A41" w:rsidRPr="00993936" w:rsidRDefault="00503A41" w:rsidP="000452B8">
      <w:pPr>
        <w:autoSpaceDE w:val="0"/>
        <w:autoSpaceDN w:val="0"/>
        <w:adjustRightInd w:val="0"/>
        <w:jc w:val="both"/>
        <w:rPr>
          <w:rFonts w:ascii="Arial" w:hAnsi="Arial" w:cs="Arial"/>
          <w:lang w:val="es-ES"/>
        </w:rPr>
      </w:pPr>
      <w:r w:rsidRPr="00993936">
        <w:rPr>
          <w:rFonts w:ascii="Arial" w:hAnsi="Arial" w:cs="Arial"/>
          <w:lang w:val="es-ES"/>
        </w:rPr>
        <w:br w:type="page"/>
      </w:r>
    </w:p>
    <w:p w:rsidR="00503A41" w:rsidRPr="00993936" w:rsidRDefault="00503A41" w:rsidP="001D205D">
      <w:pPr>
        <w:jc w:val="both"/>
        <w:rPr>
          <w:rFonts w:ascii="Arial" w:hAnsi="Arial" w:cs="Arial"/>
          <w:b/>
          <w:lang w:val="es-ES"/>
        </w:rPr>
      </w:pPr>
      <w:r w:rsidRPr="00993936">
        <w:rPr>
          <w:rFonts w:ascii="Arial" w:hAnsi="Arial" w:cs="Arial"/>
          <w:b/>
          <w:lang w:val="es-ES"/>
        </w:rPr>
        <w:lastRenderedPageBreak/>
        <w:t>CRITERIOS PARA LA TOMA DE DECISIONES DE LOS TRATAMIENTOS CONTRA PLAGAS Y ENFERMEDADES EN PLANTACIONES DE FRUTALES DE HUESO</w:t>
      </w:r>
      <w:r w:rsidRPr="00993936">
        <w:rPr>
          <w:rFonts w:ascii="Arial" w:hAnsi="Arial" w:cs="Arial"/>
          <w:b/>
          <w:vanish/>
          <w:lang w:val="es-ES"/>
        </w:rPr>
        <w:t>&lt;A[HUESO|PEPITA]&gt;</w:t>
      </w:r>
      <w:r w:rsidRPr="00993936">
        <w:rPr>
          <w:rFonts w:ascii="Arial" w:hAnsi="Arial" w:cs="Arial"/>
          <w:b/>
          <w:lang w:val="es-ES"/>
        </w:rPr>
        <w:t xml:space="preserve"> DE PRODUCCIÓN INETEGRADA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 xml:space="preserve">1. PLAGAS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'Piojo de San José'.  </w:t>
      </w:r>
      <w:r w:rsidRPr="00993936">
        <w:rPr>
          <w:rFonts w:ascii="Arial" w:hAnsi="Arial" w:cs="Arial"/>
          <w:i/>
          <w:snapToGrid w:val="0"/>
          <w:lang w:val="es-ES"/>
        </w:rPr>
        <w:t>Comstockaspis perniciosa</w:t>
      </w:r>
    </w:p>
    <w:p w:rsidR="00503A41" w:rsidRPr="00993936" w:rsidRDefault="00503A41" w:rsidP="000452B8">
      <w:pPr>
        <w:pStyle w:val="Textoindependiente3"/>
        <w:rPr>
          <w:rFonts w:cs="Arial"/>
          <w:b w:val="0"/>
          <w:szCs w:val="22"/>
          <w:lang w:val="es-ES"/>
        </w:rPr>
      </w:pPr>
      <w:r w:rsidRPr="00993936">
        <w:rPr>
          <w:rFonts w:cs="Arial"/>
          <w:b w:val="0"/>
          <w:szCs w:val="22"/>
          <w:lang w:val="es-ES"/>
        </w:rPr>
        <w:t>La posibilidad de control biológico por medio de la fauna auxiliar autóctona es muy limitada.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tratamiento es de presencia. Se realizarán controles sobre fruta en el momento de la recolección o sobre madera en el momento de la poda.</w:t>
      </w:r>
    </w:p>
    <w:p w:rsidR="00503A41" w:rsidRPr="00993936" w:rsidRDefault="00503A41" w:rsidP="000452B8">
      <w:pPr>
        <w:pStyle w:val="Textoindependiente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val="0"/>
          <w:szCs w:val="22"/>
          <w:lang w:val="es-ES"/>
        </w:rPr>
      </w:pPr>
      <w:r w:rsidRPr="00993936">
        <w:rPr>
          <w:rFonts w:cs="Arial"/>
          <w:b w:val="0"/>
          <w:szCs w:val="22"/>
          <w:lang w:val="es-ES"/>
        </w:rPr>
        <w:t>El control de la plaga se realizará por medio de tratamientos químicos aplicados en el periodo de reposo invernal al inicio de vegetación, a los efectos de interferir mínimamente sobre la fauna auxiliar.</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Se puede tratar la primera generación, cuando se supere el umbral del 2% de árboles ocupados por formas móviles.</w:t>
      </w:r>
    </w:p>
    <w:p w:rsidR="00503A41" w:rsidRPr="00993936" w:rsidRDefault="00503A41" w:rsidP="000452B8">
      <w:pPr>
        <w:pStyle w:val="Textoindependiente2"/>
        <w:rPr>
          <w:rFonts w:cs="Arial"/>
          <w:szCs w:val="22"/>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 xml:space="preserve">'Pulgones'.  </w:t>
      </w:r>
      <w:r w:rsidRPr="00993936">
        <w:rPr>
          <w:rFonts w:ascii="Arial" w:hAnsi="Arial" w:cs="Arial"/>
          <w:b/>
          <w:i/>
          <w:snapToGrid w:val="0"/>
          <w:lang w:val="es-ES"/>
        </w:rPr>
        <w:t xml:space="preserve"> </w:t>
      </w:r>
      <w:r w:rsidRPr="00993936">
        <w:rPr>
          <w:rFonts w:ascii="Arial" w:hAnsi="Arial" w:cs="Arial"/>
          <w:i/>
          <w:snapToGrid w:val="0"/>
          <w:lang w:val="es-ES"/>
        </w:rPr>
        <w:t>Myzus persicae, Brachycaudus swchartzi</w:t>
      </w:r>
    </w:p>
    <w:p w:rsidR="00503A41" w:rsidRPr="00993936" w:rsidRDefault="00503A41" w:rsidP="000452B8">
      <w:pPr>
        <w:pStyle w:val="Textoindependiente3"/>
        <w:rPr>
          <w:rFonts w:cs="Arial"/>
          <w:b w:val="0"/>
          <w:szCs w:val="22"/>
          <w:lang w:val="es-ES"/>
        </w:rPr>
      </w:pPr>
      <w:r w:rsidRPr="00993936">
        <w:rPr>
          <w:rFonts w:cs="Arial"/>
          <w:b w:val="0"/>
          <w:szCs w:val="22"/>
          <w:lang w:val="es-ES"/>
        </w:rPr>
        <w:t xml:space="preserve">Los pulgones tienen muchos enemigos naturales; si bien muchas veces no controlan totalmente las poblaciones de pulgones, pueden reducirlas sustancialmente.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Arial" w:hAnsi="Arial" w:cs="Arial"/>
          <w:snapToGrid w:val="0"/>
          <w:lang w:val="es-ES"/>
        </w:rPr>
      </w:pPr>
      <w:r w:rsidRPr="00993936">
        <w:rPr>
          <w:rFonts w:ascii="Arial" w:hAnsi="Arial" w:cs="Arial"/>
          <w:snapToGrid w:val="0"/>
          <w:lang w:val="es-ES"/>
        </w:rPr>
        <w:t>Hay que reducir la generación de hembras</w:t>
      </w:r>
      <w:r w:rsidRPr="00993936">
        <w:rPr>
          <w:rFonts w:ascii="Arial" w:hAnsi="Arial" w:cs="Arial"/>
          <w:snapToGrid w:val="0"/>
          <w:vanish/>
          <w:lang w:val="es-ES"/>
        </w:rPr>
        <w:t>&lt;A[hembras|tuercas]&gt;</w:t>
      </w:r>
      <w:r w:rsidRPr="00993936">
        <w:rPr>
          <w:rFonts w:ascii="Arial" w:hAnsi="Arial" w:cs="Arial"/>
          <w:snapToGrid w:val="0"/>
          <w:lang w:val="es-ES"/>
        </w:rPr>
        <w:t xml:space="preserve"> fundatrices, porque los tratamientos químicos con buena eficacia tienen poca selectividad para la fauna auxiliar en vegetación.</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caso de formarse colonias aisladas, se aconseja realizar tratamientos localizados.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tratamiento en prefloración es: presencia.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snapToGrid w:val="0"/>
          <w:lang w:val="es-ES"/>
        </w:rPr>
      </w:pPr>
      <w:r w:rsidRPr="00993936">
        <w:rPr>
          <w:rFonts w:ascii="Arial" w:hAnsi="Arial" w:cs="Arial"/>
          <w:i/>
          <w:snapToGrid w:val="0"/>
          <w:u w:val="single"/>
          <w:lang w:val="es-ES"/>
        </w:rPr>
        <w:t>Myzus persicae</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en postfloración es el siguiente:</w:t>
      </w:r>
    </w:p>
    <w:p w:rsidR="00503A41" w:rsidRPr="00993936" w:rsidRDefault="00503A41" w:rsidP="009D1A2D">
      <w:pPr>
        <w:widowControl w:val="0"/>
        <w:numPr>
          <w:ilvl w:val="0"/>
          <w:numId w:val="58"/>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Cerezo:         3% de árboles ocupados.</w:t>
      </w:r>
    </w:p>
    <w:p w:rsidR="00503A41" w:rsidRPr="00993936" w:rsidRDefault="00503A41" w:rsidP="009D1A2D">
      <w:pPr>
        <w:widowControl w:val="0"/>
        <w:numPr>
          <w:ilvl w:val="0"/>
          <w:numId w:val="58"/>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Melocotonero: 3% de árboles ocupados.</w:t>
      </w:r>
    </w:p>
    <w:p w:rsidR="00503A41" w:rsidRPr="00993936" w:rsidRDefault="00503A41" w:rsidP="009D1A2D">
      <w:pPr>
        <w:widowControl w:val="0"/>
        <w:numPr>
          <w:ilvl w:val="0"/>
          <w:numId w:val="58"/>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Nectarina:    1% de árboles ocupados.</w:t>
      </w:r>
    </w:p>
    <w:p w:rsidR="00503A41" w:rsidRPr="00993936" w:rsidRDefault="00503A41" w:rsidP="000452B8">
      <w:pPr>
        <w:widowControl w:val="0"/>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snapToGrid w:val="0"/>
          <w:lang w:val="es-ES"/>
        </w:rPr>
      </w:pPr>
      <w:r w:rsidRPr="00993936">
        <w:rPr>
          <w:rFonts w:ascii="Arial" w:hAnsi="Arial" w:cs="Arial"/>
          <w:i/>
          <w:snapToGrid w:val="0"/>
          <w:u w:val="single"/>
          <w:lang w:val="es-ES"/>
        </w:rPr>
        <w:t>Brachycaudus persicae</w:t>
      </w:r>
    </w:p>
    <w:p w:rsidR="00503A41" w:rsidRPr="00993936" w:rsidRDefault="00503A41" w:rsidP="000452B8">
      <w:pPr>
        <w:pStyle w:val="Textoindependiente3"/>
        <w:rPr>
          <w:rFonts w:cs="Arial"/>
          <w:szCs w:val="22"/>
          <w:lang w:val="es-ES"/>
        </w:rPr>
      </w:pPr>
      <w:r w:rsidRPr="00993936">
        <w:rPr>
          <w:rFonts w:cs="Arial"/>
          <w:szCs w:val="22"/>
          <w:lang w:val="es-ES"/>
        </w:rPr>
        <w:t xml:space="preserve"> El umbral de tolerancia en postfloración es el siguiente:</w:t>
      </w:r>
    </w:p>
    <w:p w:rsidR="00503A41" w:rsidRPr="00993936" w:rsidRDefault="00503A41" w:rsidP="009D1A2D">
      <w:pPr>
        <w:widowControl w:val="0"/>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5% de árboles atacados.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0452B8">
      <w:pPr>
        <w:pStyle w:val="Textoindependiente2"/>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i/>
          <w:szCs w:val="22"/>
          <w:lang w:val="es-ES"/>
        </w:rPr>
      </w:pPr>
      <w:r w:rsidRPr="00993936">
        <w:rPr>
          <w:rFonts w:cs="Arial"/>
          <w:szCs w:val="22"/>
          <w:lang w:val="es-ES"/>
        </w:rPr>
        <w:t xml:space="preserve">'Trips'. </w:t>
      </w:r>
      <w:r w:rsidRPr="00993936">
        <w:rPr>
          <w:rFonts w:cs="Arial"/>
          <w:b/>
          <w:i/>
          <w:szCs w:val="22"/>
          <w:lang w:val="es-ES"/>
        </w:rPr>
        <w:t>Frankliniella occidentalis, Trips sp.</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Los daños más importantes se producen sobre nectarina, afectando a los frutos principalmente en la época comprendida entre la plena floración y el estadio I.</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en floración es el siguiente:</w:t>
      </w:r>
    </w:p>
    <w:p w:rsidR="00503A41" w:rsidRPr="00993936" w:rsidRDefault="00503A41" w:rsidP="009D1A2D">
      <w:pPr>
        <w:widowControl w:val="0"/>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lastRenderedPageBreak/>
        <w:t>Ciruela y nectarina:  1% de flores o frutos ocupados.</w:t>
      </w:r>
    </w:p>
    <w:p w:rsidR="00503A41" w:rsidRPr="00993936" w:rsidRDefault="00503A41" w:rsidP="009D1A2D">
      <w:pPr>
        <w:widowControl w:val="0"/>
        <w:numPr>
          <w:ilvl w:val="0"/>
          <w:numId w:val="6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Variedades de melocotón: 5% de flores o frutos ocupados.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'Anarsia'.  </w:t>
      </w:r>
      <w:r w:rsidRPr="00993936">
        <w:rPr>
          <w:rFonts w:ascii="Arial" w:hAnsi="Arial" w:cs="Arial"/>
          <w:i/>
          <w:snapToGrid w:val="0"/>
          <w:lang w:val="es-ES"/>
        </w:rPr>
        <w:t>Anarsia lineatella</w:t>
      </w:r>
      <w:r w:rsidRPr="00993936">
        <w:rPr>
          <w:rFonts w:ascii="Arial" w:hAnsi="Arial" w:cs="Arial"/>
          <w:b/>
          <w:snapToGrid w:val="0"/>
          <w:lang w:val="es-ES"/>
        </w:rPr>
        <w:t xml:space="preserve"> </w:t>
      </w:r>
      <w:r w:rsidRPr="00993936">
        <w:rPr>
          <w:rFonts w:ascii="Arial" w:hAnsi="Arial" w:cs="Arial"/>
          <w:snapToGrid w:val="0"/>
          <w:lang w:val="es-ES"/>
        </w:rPr>
        <w:t xml:space="preserve">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Ataca el melocotón y el albaricoque.</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caso de problemas durante el año anterior, los tratamientos químicos contra Anarsia irán dirigidos a reducir las poblaciones invernantes en prefloración.</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 confusión sexual para</w:t>
      </w:r>
      <w:r w:rsidRPr="00993936">
        <w:rPr>
          <w:rFonts w:ascii="Arial" w:hAnsi="Arial" w:cs="Arial"/>
          <w:snapToGrid w:val="0"/>
          <w:vanish/>
          <w:lang w:val="es-ES"/>
        </w:rPr>
        <w:t>&lt;A[para|por]&gt;</w:t>
      </w:r>
      <w:r w:rsidRPr="00993936">
        <w:rPr>
          <w:rFonts w:ascii="Arial" w:hAnsi="Arial" w:cs="Arial"/>
          <w:snapToGrid w:val="0"/>
          <w:lang w:val="es-ES"/>
        </w:rPr>
        <w:t xml:space="preserve"> Anarsia se utilizará con preferencia sobre los métodos de control químico, siempre que se den las condiciones técnicas adecuadas.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es el siguiente:</w:t>
      </w:r>
    </w:p>
    <w:p w:rsidR="00503A41" w:rsidRPr="00993936" w:rsidRDefault="00503A41" w:rsidP="009D1A2D">
      <w:pPr>
        <w:widowControl w:val="0"/>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7 capturas trampa y semana (trampa INRA).</w:t>
      </w:r>
    </w:p>
    <w:p w:rsidR="00503A41" w:rsidRPr="00993936" w:rsidRDefault="00503A41" w:rsidP="009D1A2D">
      <w:pPr>
        <w:widowControl w:val="0"/>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3% de brotes atacados.</w:t>
      </w:r>
    </w:p>
    <w:p w:rsidR="00503A41" w:rsidRPr="00993936" w:rsidRDefault="00503A41" w:rsidP="009D1A2D">
      <w:pPr>
        <w:widowControl w:val="0"/>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1% de frutos atacados.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'Grafolita'.  </w:t>
      </w:r>
      <w:r w:rsidRPr="00993936">
        <w:rPr>
          <w:rFonts w:ascii="Arial" w:hAnsi="Arial" w:cs="Arial"/>
          <w:i/>
          <w:snapToGrid w:val="0"/>
          <w:lang w:val="es-ES"/>
        </w:rPr>
        <w:t>Cydia molesta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Ataca al melocotonero.</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 confusión sexual para</w:t>
      </w:r>
      <w:r w:rsidRPr="00993936">
        <w:rPr>
          <w:rFonts w:ascii="Arial" w:hAnsi="Arial" w:cs="Arial"/>
          <w:snapToGrid w:val="0"/>
          <w:vanish/>
          <w:lang w:val="es-ES"/>
        </w:rPr>
        <w:t>&lt;A[para|por]&gt;</w:t>
      </w:r>
      <w:r w:rsidRPr="00993936">
        <w:rPr>
          <w:rFonts w:ascii="Arial" w:hAnsi="Arial" w:cs="Arial"/>
          <w:snapToGrid w:val="0"/>
          <w:lang w:val="es-ES"/>
        </w:rPr>
        <w:t xml:space="preserve"> Grafolita se utilizará con preferencia sobre los métodos de control químico, siempre que se den las condiciones técnicas adecuadas.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 evaluación de la densidad de población se realizará por medio de trampas de feromona sexual.</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El umbral de tolerancia es el siguiente: </w:t>
      </w:r>
    </w:p>
    <w:p w:rsidR="00503A41" w:rsidRPr="00993936" w:rsidRDefault="00503A41" w:rsidP="009D1A2D">
      <w:pPr>
        <w:widowControl w:val="0"/>
        <w:numPr>
          <w:ilvl w:val="0"/>
          <w:numId w:val="6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15 capturas trampa y semana (trampa Wageningen).</w:t>
      </w:r>
    </w:p>
    <w:p w:rsidR="00503A41" w:rsidRPr="00993936" w:rsidRDefault="00503A41" w:rsidP="009D1A2D">
      <w:pPr>
        <w:widowControl w:val="0"/>
        <w:numPr>
          <w:ilvl w:val="0"/>
          <w:numId w:val="6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3% de brotes atacados.</w:t>
      </w:r>
    </w:p>
    <w:p w:rsidR="00503A41" w:rsidRPr="00993936" w:rsidRDefault="00503A41" w:rsidP="009D1A2D">
      <w:pPr>
        <w:widowControl w:val="0"/>
        <w:numPr>
          <w:ilvl w:val="0"/>
          <w:numId w:val="62"/>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1% de frutos atacados.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'Mosquito verde'. </w:t>
      </w:r>
      <w:r w:rsidRPr="00993936">
        <w:rPr>
          <w:rFonts w:ascii="Arial" w:hAnsi="Arial" w:cs="Arial"/>
          <w:snapToGrid w:val="0"/>
          <w:lang w:val="es-ES"/>
        </w:rPr>
        <w:t xml:space="preserve"> </w:t>
      </w:r>
      <w:r w:rsidRPr="00993936">
        <w:rPr>
          <w:rFonts w:ascii="Arial" w:hAnsi="Arial" w:cs="Arial"/>
          <w:i/>
          <w:snapToGrid w:val="0"/>
          <w:lang w:val="es-ES"/>
        </w:rPr>
        <w:t>Empoasca</w:t>
      </w:r>
      <w:r w:rsidRPr="00993936">
        <w:rPr>
          <w:rFonts w:ascii="Arial" w:hAnsi="Arial" w:cs="Arial"/>
          <w:b/>
          <w:i/>
          <w:snapToGrid w:val="0"/>
          <w:lang w:val="es-ES"/>
        </w:rPr>
        <w:t xml:space="preserve"> </w:t>
      </w:r>
      <w:r w:rsidRPr="00993936">
        <w:rPr>
          <w:rFonts w:ascii="Arial" w:hAnsi="Arial" w:cs="Arial"/>
          <w:snapToGrid w:val="0"/>
          <w:lang w:val="es-ES"/>
        </w:rPr>
        <w:t>sp.</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Solamente en plantaciones jóvenes en periodo de formación.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El umbral de tolerancia es el siguiente: </w:t>
      </w:r>
    </w:p>
    <w:p w:rsidR="00503A41" w:rsidRPr="00993936" w:rsidRDefault="00503A41" w:rsidP="009D1A2D">
      <w:pPr>
        <w:widowControl w:val="0"/>
        <w:numPr>
          <w:ilvl w:val="0"/>
          <w:numId w:val="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 xml:space="preserve"> 5% de árboles con síntomas y constatación de presencia de formas vivas.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'Mosca de la fruta'.  </w:t>
      </w:r>
      <w:r w:rsidRPr="00993936">
        <w:rPr>
          <w:rFonts w:ascii="Arial" w:hAnsi="Arial" w:cs="Arial"/>
          <w:i/>
          <w:snapToGrid w:val="0"/>
          <w:lang w:val="es-ES"/>
        </w:rPr>
        <w:t>Queratitis capitata</w:t>
      </w:r>
      <w:r w:rsidRPr="00993936">
        <w:rPr>
          <w:rFonts w:ascii="Arial" w:hAnsi="Arial" w:cs="Arial"/>
          <w:snapToGrid w:val="0"/>
          <w:lang w:val="es-ES"/>
        </w:rPr>
        <w:t xml:space="preserve">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se sitúa a presencia de la plaga en fruta o en una captura en dos controles consecutivos con trampa con Tripack o Trimedlure.</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'Gusano cabezudo.  </w:t>
      </w:r>
      <w:r w:rsidRPr="00993936">
        <w:rPr>
          <w:rFonts w:ascii="Arial" w:hAnsi="Arial" w:cs="Arial"/>
          <w:i/>
          <w:snapToGrid w:val="0"/>
          <w:lang w:val="es-ES"/>
        </w:rPr>
        <w:t>Capnodis tenebrioides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su fase larvaria ataca las raíces y el tronco del árbol; en la fase adulta se alimenta de la parte aérea, pecíolos de hojas, partes terminales de los brotes, etc.</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El umbral de tratamiento contra adultos es: 0,5 adultos por árbol inspeccionado.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'Ácaros'.  </w:t>
      </w:r>
      <w:r w:rsidRPr="00993936">
        <w:rPr>
          <w:rFonts w:ascii="Arial" w:hAnsi="Arial" w:cs="Arial"/>
          <w:i/>
          <w:snapToGrid w:val="0"/>
          <w:lang w:val="es-ES"/>
        </w:rPr>
        <w:t>Panonychus ulmi, Tetranychus urticae, Aculus fockeui</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Los productos seleccionados para el tratamiento de las diferentes plagas deben ser respetuosos con los ácaros fitoseidos.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Los ácaros fitoseidos controlan las poblaciones de </w:t>
      </w:r>
      <w:r w:rsidRPr="00993936">
        <w:rPr>
          <w:rFonts w:ascii="Arial" w:hAnsi="Arial" w:cs="Arial"/>
          <w:i/>
          <w:snapToGrid w:val="0"/>
          <w:lang w:val="es-ES"/>
        </w:rPr>
        <w:t>Panonychus ulmi</w:t>
      </w:r>
      <w:r w:rsidRPr="00993936">
        <w:rPr>
          <w:rFonts w:ascii="Arial" w:hAnsi="Arial" w:cs="Arial"/>
          <w:snapToGrid w:val="0"/>
          <w:lang w:val="es-ES"/>
        </w:rPr>
        <w:t>.</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Se dará absoluta preferencia al control biológico. La utilización de acaricidas sólo se plantea de forma transitoria, hasta alcanzar el equilibrio biológico.</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el momento de la recolección se puede justificar un tratamiento para la prevención del riesgo de alergia a los ácaros de los recolectores.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'Araña roja'.</w:t>
      </w:r>
      <w:r w:rsidRPr="00993936">
        <w:rPr>
          <w:rFonts w:ascii="Arial" w:hAnsi="Arial" w:cs="Arial"/>
          <w:snapToGrid w:val="0"/>
          <w:lang w:val="es-ES"/>
        </w:rPr>
        <w:t xml:space="preserve"> </w:t>
      </w:r>
      <w:r w:rsidRPr="00993936">
        <w:rPr>
          <w:rFonts w:ascii="Arial" w:hAnsi="Arial" w:cs="Arial"/>
          <w:i/>
          <w:snapToGrid w:val="0"/>
          <w:lang w:val="es-ES"/>
        </w:rPr>
        <w:t>Panonychus ulmi</w:t>
      </w:r>
      <w:r w:rsidRPr="00993936">
        <w:rPr>
          <w:rFonts w:ascii="Arial" w:hAnsi="Arial" w:cs="Arial"/>
          <w:snapToGrid w:val="0"/>
          <w:lang w:val="es-ES"/>
        </w:rPr>
        <w:t xml:space="preserve">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 partir del 30 de junio, la muestra de hojas hace falta tomarla del tercio central de las brindillas del año. La estrategia de control se fundamenta en el porcentaje de ocupación</w:t>
      </w:r>
      <w:r w:rsidRPr="00993936">
        <w:rPr>
          <w:rFonts w:ascii="Arial" w:hAnsi="Arial" w:cs="Arial"/>
          <w:snapToGrid w:val="0"/>
          <w:vanish/>
          <w:lang w:val="es-ES"/>
        </w:rPr>
        <w:t>&lt;A[empleo|ocupación]&gt;</w:t>
      </w:r>
      <w:r w:rsidRPr="00993936">
        <w:rPr>
          <w:rFonts w:ascii="Arial" w:hAnsi="Arial" w:cs="Arial"/>
          <w:snapToGrid w:val="0"/>
          <w:lang w:val="es-ES"/>
        </w:rPr>
        <w:t xml:space="preserve"> calculado a partir de 50 hojas de acuerdo con la Tabla</w:t>
      </w:r>
      <w:r w:rsidRPr="00993936">
        <w:rPr>
          <w:rFonts w:ascii="Arial" w:hAnsi="Arial" w:cs="Arial"/>
          <w:snapToGrid w:val="0"/>
          <w:vanish/>
          <w:lang w:val="es-ES"/>
        </w:rPr>
        <w:t>&lt;A[mesa|tabla]&gt;</w:t>
      </w:r>
      <w:r w:rsidRPr="00993936">
        <w:rPr>
          <w:rFonts w:ascii="Arial" w:hAnsi="Arial" w:cs="Arial"/>
          <w:snapToGrid w:val="0"/>
          <w:lang w:val="es-ES"/>
        </w:rPr>
        <w:t xml:space="preserve"> siguiente:</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2967"/>
        <w:gridCol w:w="2429"/>
        <w:gridCol w:w="3194"/>
      </w:tblGrid>
      <w:tr w:rsidR="00503A41" w:rsidRPr="00993936">
        <w:trPr>
          <w:cantSplit/>
          <w:trHeight w:val="400"/>
          <w:jc w:val="center"/>
        </w:trPr>
        <w:tc>
          <w:tcPr>
            <w:tcW w:w="3141" w:type="pct"/>
            <w:gridSpan w:val="2"/>
            <w:shd w:val="pct30"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PORCENTAJE DE HOJAS OCUPADAS</w:t>
            </w:r>
          </w:p>
        </w:tc>
        <w:tc>
          <w:tcPr>
            <w:tcW w:w="1859" w:type="pct"/>
            <w:vMerge w:val="restart"/>
            <w:shd w:val="pct30"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DECISIÓN</w:t>
            </w:r>
          </w:p>
        </w:tc>
      </w:tr>
      <w:tr w:rsidR="00503A41" w:rsidRPr="00993936">
        <w:trPr>
          <w:cantSplit/>
          <w:jc w:val="center"/>
        </w:trPr>
        <w:tc>
          <w:tcPr>
            <w:tcW w:w="1727" w:type="pct"/>
            <w:shd w:val="pct30"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POR ARAÑA ROJA (AR)</w:t>
            </w:r>
          </w:p>
        </w:tc>
        <w:tc>
          <w:tcPr>
            <w:tcW w:w="1413" w:type="pct"/>
            <w:shd w:val="pct30"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POR FITOSEIDOS (FIJO)</w:t>
            </w:r>
          </w:p>
        </w:tc>
        <w:tc>
          <w:tcPr>
            <w:tcW w:w="1859" w:type="pct"/>
            <w:vMerge/>
            <w:vAlign w:val="center"/>
          </w:tcPr>
          <w:p w:rsidR="00503A41" w:rsidRPr="00993936" w:rsidRDefault="00503A41" w:rsidP="000452B8">
            <w:pPr>
              <w:widowControl w:val="0"/>
              <w:jc w:val="center"/>
              <w:rPr>
                <w:rFonts w:ascii="Arial" w:hAnsi="Arial" w:cs="Arial"/>
                <w:snapToGrid w:val="0"/>
                <w:lang w:val="es-ES"/>
              </w:rPr>
            </w:pPr>
          </w:p>
        </w:tc>
      </w:tr>
      <w:tr w:rsidR="00503A41" w:rsidRPr="00993936">
        <w:trPr>
          <w:jc w:val="center"/>
        </w:trPr>
        <w:tc>
          <w:tcPr>
            <w:tcW w:w="1727"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&gt;= 70%</w:t>
            </w:r>
          </w:p>
        </w:tc>
        <w:tc>
          <w:tcPr>
            <w:tcW w:w="1413"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0-20 %</w:t>
            </w:r>
          </w:p>
        </w:tc>
        <w:tc>
          <w:tcPr>
            <w:tcW w:w="1859"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TRATAR</w:t>
            </w:r>
          </w:p>
        </w:tc>
      </w:tr>
      <w:tr w:rsidR="00503A41" w:rsidRPr="00993936">
        <w:trPr>
          <w:jc w:val="center"/>
        </w:trPr>
        <w:tc>
          <w:tcPr>
            <w:tcW w:w="1727"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&gt;= 70%</w:t>
            </w:r>
          </w:p>
        </w:tc>
        <w:tc>
          <w:tcPr>
            <w:tcW w:w="1413"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20-60 %</w:t>
            </w:r>
          </w:p>
        </w:tc>
        <w:tc>
          <w:tcPr>
            <w:tcW w:w="1859"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Volver a controlar a los 7-10 días</w:t>
            </w:r>
          </w:p>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y tratar si AR&gt;=90 y FIJO &lt;=40</w:t>
            </w:r>
          </w:p>
        </w:tc>
      </w:tr>
      <w:tr w:rsidR="00503A41" w:rsidRPr="00993936">
        <w:trPr>
          <w:jc w:val="center"/>
        </w:trPr>
        <w:tc>
          <w:tcPr>
            <w:tcW w:w="1727"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&gt;=70%</w:t>
            </w:r>
          </w:p>
        </w:tc>
        <w:tc>
          <w:tcPr>
            <w:tcW w:w="1413"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60-100 %</w:t>
            </w:r>
          </w:p>
        </w:tc>
        <w:tc>
          <w:tcPr>
            <w:tcW w:w="1859" w:type="pct"/>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NO TRATAR</w:t>
            </w:r>
          </w:p>
        </w:tc>
      </w:tr>
    </w:tbl>
    <w:p w:rsidR="00503A41" w:rsidRPr="00993936" w:rsidRDefault="00503A41" w:rsidP="000452B8">
      <w:pPr>
        <w:widowControl w:val="0"/>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'Araña amarilla'.  </w:t>
      </w:r>
      <w:r w:rsidRPr="00993936">
        <w:rPr>
          <w:rFonts w:ascii="Arial" w:hAnsi="Arial" w:cs="Arial"/>
          <w:i/>
          <w:snapToGrid w:val="0"/>
          <w:lang w:val="es-ES"/>
        </w:rPr>
        <w:t>Tetranychus urticae</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Sus poblaciones pueden ser controladas por el coleóptero S</w:t>
      </w:r>
      <w:r w:rsidRPr="00993936">
        <w:rPr>
          <w:rFonts w:ascii="Arial" w:hAnsi="Arial" w:cs="Arial"/>
          <w:i/>
          <w:snapToGrid w:val="0"/>
          <w:lang w:val="es-ES"/>
        </w:rPr>
        <w:t>tethorus punctillum</w:t>
      </w:r>
      <w:r w:rsidRPr="00993936">
        <w:rPr>
          <w:rFonts w:ascii="Arial" w:hAnsi="Arial" w:cs="Arial"/>
          <w:snapToGrid w:val="0"/>
          <w:lang w:val="es-ES"/>
        </w:rPr>
        <w:t>, al cual se procurará favorecer el establecimiento para que realice el correspondiente control biológico.</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Solamente habrá que realizar alguna intervención en caso de que se den las circunstancias siguientes:</w:t>
      </w:r>
    </w:p>
    <w:p w:rsidR="00503A41" w:rsidRPr="00993936" w:rsidRDefault="00503A41" w:rsidP="009D1A2D">
      <w:pPr>
        <w:widowControl w:val="0"/>
        <w:numPr>
          <w:ilvl w:val="0"/>
          <w:numId w:val="6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Cosecha presente en el árbol.</w:t>
      </w:r>
    </w:p>
    <w:p w:rsidR="00503A41" w:rsidRPr="00993936" w:rsidRDefault="00503A41" w:rsidP="009D1A2D">
      <w:pPr>
        <w:widowControl w:val="0"/>
        <w:numPr>
          <w:ilvl w:val="0"/>
          <w:numId w:val="6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Índice de fitófago superior al 60% de hojas ocupadas.</w:t>
      </w:r>
    </w:p>
    <w:p w:rsidR="00503A41" w:rsidRPr="00993936" w:rsidRDefault="00503A41" w:rsidP="009D1A2D">
      <w:pPr>
        <w:widowControl w:val="0"/>
        <w:numPr>
          <w:ilvl w:val="0"/>
          <w:numId w:val="63"/>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Índice de predador (Stethorus) inferior al 30% de hojas ocupadas.</w:t>
      </w:r>
    </w:p>
    <w:p w:rsidR="00503A41" w:rsidRPr="00993936" w:rsidRDefault="00503A41" w:rsidP="000452B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'Ácaros eriófidos'. </w:t>
      </w:r>
      <w:r w:rsidRPr="00993936">
        <w:rPr>
          <w:rFonts w:ascii="Arial" w:hAnsi="Arial" w:cs="Arial"/>
          <w:b/>
          <w:i/>
          <w:snapToGrid w:val="0"/>
          <w:lang w:val="es-ES"/>
        </w:rPr>
        <w:t xml:space="preserve"> </w:t>
      </w:r>
      <w:r w:rsidRPr="00993936">
        <w:rPr>
          <w:rFonts w:ascii="Arial" w:hAnsi="Arial" w:cs="Arial"/>
          <w:i/>
          <w:snapToGrid w:val="0"/>
          <w:lang w:val="es-ES"/>
        </w:rPr>
        <w:t>Aculus fockeui</w:t>
      </w:r>
    </w:p>
    <w:p w:rsidR="00503A41" w:rsidRPr="00993936" w:rsidRDefault="00503A41" w:rsidP="000452B8">
      <w:pPr>
        <w:pStyle w:val="Textoindependiente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val="0"/>
          <w:szCs w:val="22"/>
          <w:lang w:val="es-ES"/>
        </w:rPr>
      </w:pPr>
      <w:r w:rsidRPr="00993936">
        <w:rPr>
          <w:rFonts w:cs="Arial"/>
          <w:b w:val="0"/>
          <w:szCs w:val="22"/>
          <w:lang w:val="es-ES"/>
        </w:rPr>
        <w:t>Los síntomas de su presencia se detectan sobre las hojas que adquieren una tonalidad plomo, volviéndose débil y rompiéndose si se doblan.</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lastRenderedPageBreak/>
        <w:t>La presencia de poblaciones invernantes elevadas puede inducir el secado de las gemas</w:t>
      </w:r>
      <w:r w:rsidRPr="00993936">
        <w:rPr>
          <w:rFonts w:ascii="Arial" w:hAnsi="Arial" w:cs="Arial"/>
          <w:snapToGrid w:val="0"/>
          <w:vanish/>
          <w:lang w:val="es-ES"/>
        </w:rPr>
        <w:t>&lt;A[gemas|yemas]&gt;</w:t>
      </w:r>
      <w:r w:rsidRPr="00993936">
        <w:rPr>
          <w:rFonts w:ascii="Arial" w:hAnsi="Arial" w:cs="Arial"/>
          <w:snapToGrid w:val="0"/>
          <w:lang w:val="es-ES"/>
        </w:rPr>
        <w:t xml:space="preserve"> de flor. Se recomiendan los tratamientos de invierno en caso de que en la campaña anterior haya habido problemas en la plantación.</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vegetación el umbral de tolerancia es el siguiente: el 50% de hojas ocupadas en variedades pendientes de recolección.</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Pájaros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Contra los pájaros se utilizarán mecanismos que emitan señales acústicas o reflectantes en los periodos de floración y cosecha.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'Piojo blanco'.  </w:t>
      </w:r>
      <w:r w:rsidRPr="00993936">
        <w:rPr>
          <w:rFonts w:ascii="Arial" w:hAnsi="Arial" w:cs="Arial"/>
          <w:i/>
          <w:snapToGrid w:val="0"/>
          <w:lang w:val="es-ES"/>
        </w:rPr>
        <w:t>Pseudaulacaspis pentagona</w:t>
      </w:r>
      <w:r w:rsidRPr="00993936">
        <w:rPr>
          <w:rFonts w:ascii="Arial" w:hAnsi="Arial" w:cs="Arial"/>
          <w:b/>
          <w:i/>
          <w:snapToGrid w:val="0"/>
          <w:lang w:val="es-ES"/>
        </w:rPr>
        <w:t xml:space="preserve">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Ataca el melocotonero.</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 lucha contra este parásito se puede hacer con la fauna auxiliar autóctona contra primera generación en caso de ver larvas no parasitadas.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Se recomiendan tratamientos localizados En caso de hembras</w:t>
      </w:r>
      <w:r w:rsidRPr="00993936">
        <w:rPr>
          <w:rFonts w:ascii="Arial" w:hAnsi="Arial" w:cs="Arial"/>
          <w:snapToGrid w:val="0"/>
          <w:vanish/>
          <w:lang w:val="es-ES"/>
        </w:rPr>
        <w:t>&lt;A[hembras|tuercas]&gt;</w:t>
      </w:r>
      <w:r w:rsidRPr="00993936">
        <w:rPr>
          <w:rFonts w:ascii="Arial" w:hAnsi="Arial" w:cs="Arial"/>
          <w:snapToGrid w:val="0"/>
          <w:lang w:val="es-ES"/>
        </w:rPr>
        <w:t xml:space="preserve"> no parasitadas.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'Moscas del cerezo'.  </w:t>
      </w:r>
      <w:r w:rsidRPr="00993936">
        <w:rPr>
          <w:rFonts w:ascii="Arial" w:hAnsi="Arial" w:cs="Arial"/>
          <w:i/>
          <w:snapToGrid w:val="0"/>
          <w:lang w:val="es-ES"/>
        </w:rPr>
        <w:t xml:space="preserve">Rhagoletis cerasi </w:t>
      </w:r>
      <w:r w:rsidRPr="00993936">
        <w:rPr>
          <w:rFonts w:ascii="Arial" w:hAnsi="Arial" w:cs="Arial"/>
          <w:snapToGrid w:val="0"/>
          <w:lang w:val="es-ES"/>
        </w:rPr>
        <w:t>y</w:t>
      </w:r>
      <w:r w:rsidRPr="00993936">
        <w:rPr>
          <w:rFonts w:ascii="Arial" w:hAnsi="Arial" w:cs="Arial"/>
          <w:i/>
          <w:snapToGrid w:val="0"/>
          <w:lang w:val="es-ES"/>
        </w:rPr>
        <w:t xml:space="preserve"> Queratitis capitata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 posibilidad de control biológico por medio de la fauna auxiliar autóctona es muy limitada.</w:t>
      </w:r>
    </w:p>
    <w:p w:rsidR="00503A41" w:rsidRPr="00993936" w:rsidRDefault="00503A41" w:rsidP="000452B8">
      <w:pPr>
        <w:pStyle w:val="Textoindependiente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val="0"/>
          <w:szCs w:val="22"/>
          <w:lang w:val="es-ES"/>
        </w:rPr>
      </w:pPr>
      <w:r w:rsidRPr="00993936">
        <w:rPr>
          <w:rFonts w:cs="Arial"/>
          <w:b w:val="0"/>
          <w:szCs w:val="22"/>
          <w:lang w:val="es-ES"/>
        </w:rPr>
        <w:t>El umbral de tolerancia se sitúa a presencia de la plaga en fruta o en una captura en dos controles consecutivos con trampa con Tripack o Trimedlure.</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Se recomienda la retirada y destrucción de frutos picados y no dejar frutos en el árbol ni en el suelo después de la recolección.</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2. ENFERMEDADES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control de la mayoría de enfermedades que pueden atacar la frutales de hueso</w:t>
      </w:r>
      <w:r w:rsidRPr="00993936">
        <w:rPr>
          <w:rFonts w:ascii="Arial" w:hAnsi="Arial" w:cs="Arial"/>
          <w:snapToGrid w:val="0"/>
          <w:vanish/>
          <w:lang w:val="es-ES"/>
        </w:rPr>
        <w:t>&lt;A[hueso|pepita]&gt;</w:t>
      </w:r>
      <w:r w:rsidRPr="00993936">
        <w:rPr>
          <w:rFonts w:ascii="Arial" w:hAnsi="Arial" w:cs="Arial"/>
          <w:snapToGrid w:val="0"/>
          <w:lang w:val="es-ES"/>
        </w:rPr>
        <w:t xml:space="preserve"> tiene que realizarse de forma preventiva y viene condicionado por</w:t>
      </w:r>
      <w:r w:rsidRPr="00993936">
        <w:rPr>
          <w:rFonts w:ascii="Arial" w:hAnsi="Arial" w:cs="Arial"/>
          <w:snapToGrid w:val="0"/>
          <w:vanish/>
          <w:lang w:val="es-ES"/>
        </w:rPr>
        <w:t>&lt;A[por|para]&gt;</w:t>
      </w:r>
      <w:r w:rsidRPr="00993936">
        <w:rPr>
          <w:rFonts w:ascii="Arial" w:hAnsi="Arial" w:cs="Arial"/>
          <w:snapToGrid w:val="0"/>
          <w:lang w:val="es-ES"/>
        </w:rPr>
        <w:t xml:space="preserve"> la problemática existente durante el periodo vegetativo anterior (nivel de inóculo), los estados fonológicos más sensibles y su epidemiología.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‘Abolladura'. </w:t>
      </w:r>
      <w:r w:rsidRPr="00993936">
        <w:rPr>
          <w:rFonts w:ascii="Arial" w:hAnsi="Arial" w:cs="Arial"/>
          <w:i/>
          <w:snapToGrid w:val="0"/>
          <w:lang w:val="es-ES"/>
        </w:rPr>
        <w:t>Taphrina deformans</w:t>
      </w:r>
      <w:r w:rsidRPr="00993936">
        <w:rPr>
          <w:rFonts w:ascii="Arial" w:hAnsi="Arial" w:cs="Arial"/>
          <w:b/>
          <w:snapToGrid w:val="0"/>
          <w:lang w:val="es-ES"/>
        </w:rPr>
        <w:t xml:space="preserve">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Suele tener incidencia al principio de la brotación si se producen durante esta época periodos de lluvia y mucha humedad.</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control será preventivo: se realizará en el momento de apertura</w:t>
      </w:r>
      <w:r w:rsidRPr="00993936">
        <w:rPr>
          <w:rFonts w:ascii="Arial" w:hAnsi="Arial" w:cs="Arial"/>
          <w:snapToGrid w:val="0"/>
          <w:vanish/>
          <w:lang w:val="es-ES"/>
        </w:rPr>
        <w:t>&lt;A[apertura|abertura]&gt;</w:t>
      </w:r>
      <w:r w:rsidRPr="00993936">
        <w:rPr>
          <w:rFonts w:ascii="Arial" w:hAnsi="Arial" w:cs="Arial"/>
          <w:snapToGrid w:val="0"/>
          <w:lang w:val="es-ES"/>
        </w:rPr>
        <w:t xml:space="preserve"> de brote en madera.</w:t>
      </w:r>
    </w:p>
    <w:p w:rsidR="00503A41" w:rsidRPr="00993936" w:rsidRDefault="00503A41" w:rsidP="000452B8">
      <w:pPr>
        <w:widowControl w:val="0"/>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 xml:space="preserve">'Cribado o perdigonada'.  </w:t>
      </w:r>
      <w:r w:rsidRPr="00993936">
        <w:rPr>
          <w:rFonts w:ascii="Arial" w:hAnsi="Arial" w:cs="Arial"/>
          <w:i/>
          <w:snapToGrid w:val="0"/>
          <w:lang w:val="es-ES"/>
        </w:rPr>
        <w:t>Stigmina carpophila, Wilsonomyces carpophilus</w:t>
      </w:r>
    </w:p>
    <w:p w:rsidR="00503A41" w:rsidRPr="00993936" w:rsidRDefault="00503A41" w:rsidP="000452B8">
      <w:pPr>
        <w:pStyle w:val="Textoindependiente3"/>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Arial"/>
          <w:b w:val="0"/>
          <w:szCs w:val="22"/>
          <w:lang w:val="es-ES"/>
        </w:rPr>
      </w:pPr>
      <w:r w:rsidRPr="00993936">
        <w:rPr>
          <w:rFonts w:cs="Arial"/>
          <w:b w:val="0"/>
          <w:szCs w:val="22"/>
          <w:lang w:val="es-ES"/>
        </w:rPr>
        <w:lastRenderedPageBreak/>
        <w:t>Suele tener incidencia al principio de la brotación si se producen durante esta época periodos de lluvia y mucha humedad.</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control será preventivo: se realizará en el momento de apertura</w:t>
      </w:r>
      <w:r w:rsidRPr="00993936">
        <w:rPr>
          <w:rFonts w:ascii="Arial" w:hAnsi="Arial" w:cs="Arial"/>
          <w:snapToGrid w:val="0"/>
          <w:vanish/>
          <w:lang w:val="es-ES"/>
        </w:rPr>
        <w:t>&lt;A[apertura|abertura]&gt;</w:t>
      </w:r>
      <w:r w:rsidRPr="00993936">
        <w:rPr>
          <w:rFonts w:ascii="Arial" w:hAnsi="Arial" w:cs="Arial"/>
          <w:snapToGrid w:val="0"/>
          <w:lang w:val="es-ES"/>
        </w:rPr>
        <w:t xml:space="preserve"> de brote en madera.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'Oidio'.  </w:t>
      </w:r>
      <w:r w:rsidRPr="00993936">
        <w:rPr>
          <w:rFonts w:ascii="Arial" w:hAnsi="Arial" w:cs="Arial"/>
          <w:i/>
          <w:snapToGrid w:val="0"/>
          <w:lang w:val="es-ES"/>
        </w:rPr>
        <w:t>Sphaerotheca panfastidio, Podosphaera tridactila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brotes los daños se producen a partir de la salida de anticipados.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En variedades sensibles, especialmente nectarinas, se admiten los tratamientos a partir de </w:t>
      </w:r>
      <w:smartTag w:uri="urn:schemas-microsoft-com:office:smarttags" w:element="metricconverter">
        <w:smartTagPr>
          <w:attr w:name="ProductID" w:val="10 mm"/>
        </w:smartTagPr>
        <w:r w:rsidRPr="00993936">
          <w:rPr>
            <w:rFonts w:ascii="Arial" w:hAnsi="Arial" w:cs="Arial"/>
            <w:snapToGrid w:val="0"/>
            <w:lang w:val="es-ES"/>
          </w:rPr>
          <w:t>10 mm</w:t>
        </w:r>
      </w:smartTag>
      <w:r w:rsidRPr="00993936">
        <w:rPr>
          <w:rFonts w:ascii="Arial" w:hAnsi="Arial" w:cs="Arial"/>
          <w:snapToGrid w:val="0"/>
          <w:lang w:val="es-ES"/>
        </w:rPr>
        <w:t xml:space="preserve"> de diámetro del fruto, prolongándose el periodo de máxima sensibilidad sobre fruto hasta el endurecimiento del hueso</w:t>
      </w:r>
      <w:r w:rsidRPr="00993936">
        <w:rPr>
          <w:rFonts w:ascii="Arial" w:hAnsi="Arial" w:cs="Arial"/>
          <w:snapToGrid w:val="0"/>
          <w:vanish/>
          <w:lang w:val="es-ES"/>
        </w:rPr>
        <w:t>&lt;A[hueso|pepita]&gt;</w:t>
      </w:r>
      <w:r w:rsidRPr="00993936">
        <w:rPr>
          <w:rFonts w:ascii="Arial" w:hAnsi="Arial" w:cs="Arial"/>
          <w:snapToGrid w:val="0"/>
          <w:lang w:val="es-ES"/>
        </w:rPr>
        <w:t xml:space="preserve">.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'Monilia'. </w:t>
      </w:r>
      <w:r w:rsidRPr="00993936">
        <w:rPr>
          <w:rFonts w:ascii="Arial" w:hAnsi="Arial" w:cs="Arial"/>
          <w:i/>
          <w:snapToGrid w:val="0"/>
          <w:lang w:val="es-ES"/>
        </w:rPr>
        <w:t>Monilinia laxa, Monilinia fructigena</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Los ataques se pueden dar en época de la floración; es adecuado un tratamiento en caso de condiciones meteorológicas favorables. </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Se recomienda la destrucción de las formas hibernada (momias, chancros).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'Brote seco o chancro del melocotonero'.  </w:t>
      </w:r>
      <w:r w:rsidRPr="00993936">
        <w:rPr>
          <w:rFonts w:ascii="Arial" w:hAnsi="Arial" w:cs="Arial"/>
          <w:i/>
          <w:snapToGrid w:val="0"/>
          <w:lang w:val="es-ES"/>
        </w:rPr>
        <w:t>Pomopsis (=Fusicoccum) amygdali</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periodo de máxima sensibilidad es en otoño. Durante la caída de hojas es el momento adecuado para realizar los tratamientos de control. Sólo en caso de problemática grave por</w:t>
      </w:r>
      <w:r w:rsidRPr="00993936">
        <w:rPr>
          <w:rFonts w:ascii="Arial" w:hAnsi="Arial" w:cs="Arial"/>
          <w:snapToGrid w:val="0"/>
          <w:vanish/>
          <w:lang w:val="es-ES"/>
        </w:rPr>
        <w:t>&lt;A[por|para]&gt;</w:t>
      </w:r>
      <w:r w:rsidRPr="00993936">
        <w:rPr>
          <w:rFonts w:ascii="Arial" w:hAnsi="Arial" w:cs="Arial"/>
          <w:snapToGrid w:val="0"/>
          <w:lang w:val="es-ES"/>
        </w:rPr>
        <w:t xml:space="preserve"> condiciones ambientales o meteorológicas, se podrá justificar una protección desde el cuajado hasta finales de primavera.</w:t>
      </w:r>
    </w:p>
    <w:p w:rsidR="00503A41" w:rsidRPr="00993936" w:rsidRDefault="00503A41" w:rsidP="000452B8">
      <w:pPr>
        <w:rPr>
          <w:rFonts w:ascii="Arial" w:hAnsi="Arial" w:cs="Arial"/>
          <w:lang w:val="es-ES"/>
        </w:rPr>
      </w:pPr>
    </w:p>
    <w:p w:rsidR="00503A41" w:rsidRPr="00993936" w:rsidRDefault="00503A41" w:rsidP="000452B8">
      <w:pPr>
        <w:pStyle w:val="Ttulo2"/>
        <w:rPr>
          <w:rFonts w:ascii="Arial" w:hAnsi="Arial" w:cs="Arial"/>
          <w:color w:val="auto"/>
          <w:szCs w:val="22"/>
          <w:lang w:val="es-ES"/>
        </w:rPr>
      </w:pPr>
      <w:r w:rsidRPr="00993936">
        <w:rPr>
          <w:rFonts w:ascii="Arial" w:hAnsi="Arial" w:cs="Arial"/>
          <w:color w:val="auto"/>
          <w:szCs w:val="22"/>
          <w:lang w:val="es-ES"/>
        </w:rPr>
        <w:t xml:space="preserve">ANEXO 4 </w:t>
      </w:r>
    </w:p>
    <w:p w:rsidR="00503A41" w:rsidRPr="00993936" w:rsidRDefault="00503A41" w:rsidP="001D205D">
      <w:pPr>
        <w:pStyle w:val="Textoindependiente2"/>
        <w:jc w:val="both"/>
        <w:rPr>
          <w:rFonts w:cs="Arial"/>
          <w:b/>
          <w:szCs w:val="22"/>
          <w:lang w:val="es-ES"/>
        </w:rPr>
      </w:pPr>
      <w:r w:rsidRPr="00993936">
        <w:rPr>
          <w:rFonts w:cs="Arial"/>
          <w:b/>
          <w:szCs w:val="22"/>
          <w:lang w:val="es-ES"/>
        </w:rPr>
        <w:t>Índices para determinar el inicio de la recolección de las variedades de frutales de hueso</w:t>
      </w:r>
      <w:r w:rsidRPr="00993936">
        <w:rPr>
          <w:rFonts w:cs="Arial"/>
          <w:b/>
          <w:vanish/>
          <w:szCs w:val="22"/>
          <w:lang w:val="es-ES"/>
        </w:rPr>
        <w:t>&lt;A[hueso|pepita]&gt;</w:t>
      </w:r>
      <w:r w:rsidRPr="00993936">
        <w:rPr>
          <w:rFonts w:cs="Arial"/>
          <w:b/>
          <w:szCs w:val="22"/>
          <w:lang w:val="es-ES"/>
        </w:rPr>
        <w:t xml:space="preserve"> en fincas de Producción Integrada</w:t>
      </w:r>
    </w:p>
    <w:p w:rsidR="00503A41" w:rsidRPr="00993936" w:rsidRDefault="00503A41" w:rsidP="001D205D">
      <w:pPr>
        <w:pStyle w:val="Textoindependiente3"/>
        <w:rPr>
          <w:rFonts w:cs="Arial"/>
          <w:b w:val="0"/>
          <w:szCs w:val="22"/>
          <w:lang w:val="es-ES"/>
        </w:rPr>
      </w:pPr>
      <w:r w:rsidRPr="00993936">
        <w:rPr>
          <w:rFonts w:cs="Arial"/>
          <w:b w:val="0"/>
          <w:szCs w:val="22"/>
          <w:lang w:val="es-ES"/>
        </w:rPr>
        <w:t xml:space="preserve">Para las diferentes variedades, la penetromia (P) en kg, medida con pistón de </w:t>
      </w:r>
      <w:smartTag w:uri="urn:schemas-microsoft-com:office:smarttags" w:element="metricconverter">
        <w:smartTagPr>
          <w:attr w:name="ProductID" w:val="8 mm"/>
        </w:smartTagPr>
        <w:r w:rsidRPr="00993936">
          <w:rPr>
            <w:rFonts w:cs="Arial"/>
            <w:b w:val="0"/>
            <w:szCs w:val="22"/>
            <w:lang w:val="es-ES"/>
          </w:rPr>
          <w:t>8 mm</w:t>
        </w:r>
      </w:smartTag>
      <w:r w:rsidRPr="00993936">
        <w:rPr>
          <w:rFonts w:cs="Arial"/>
          <w:b w:val="0"/>
          <w:szCs w:val="22"/>
          <w:lang w:val="es-ES"/>
        </w:rPr>
        <w:t xml:space="preserve"> de diámetro, en el momento de coger</w:t>
      </w:r>
      <w:r w:rsidRPr="00993936">
        <w:rPr>
          <w:rFonts w:cs="Arial"/>
          <w:b w:val="0"/>
          <w:vanish/>
          <w:szCs w:val="22"/>
          <w:lang w:val="es-ES"/>
        </w:rPr>
        <w:t>&lt;A[coger|recoger]&gt;</w:t>
      </w:r>
      <w:r w:rsidRPr="00993936">
        <w:rPr>
          <w:rFonts w:cs="Arial"/>
          <w:b w:val="0"/>
          <w:szCs w:val="22"/>
          <w:lang w:val="es-ES"/>
        </w:rPr>
        <w:t xml:space="preserve"> deben ser, respectivamente:</w:t>
      </w:r>
    </w:p>
    <w:p w:rsidR="00503A41" w:rsidRPr="00993936" w:rsidRDefault="00503A41" w:rsidP="000452B8">
      <w:pPr>
        <w:pStyle w:val="Textoindependiente3"/>
        <w:rPr>
          <w:rFonts w:cs="Arial"/>
          <w:b w:val="0"/>
          <w:szCs w:val="22"/>
          <w:lang w:val="es-ES"/>
        </w:rPr>
      </w:pPr>
    </w:p>
    <w:tbl>
      <w:tblPr>
        <w:tblW w:w="9210" w:type="dxa"/>
        <w:tblLayout w:type="fixed"/>
        <w:tblCellMar>
          <w:left w:w="70" w:type="dxa"/>
          <w:right w:w="70" w:type="dxa"/>
        </w:tblCellMar>
        <w:tblLook w:val="0000" w:firstRow="0" w:lastRow="0" w:firstColumn="0" w:lastColumn="0" w:noHBand="0" w:noVBand="0"/>
      </w:tblPr>
      <w:tblGrid>
        <w:gridCol w:w="5173"/>
        <w:gridCol w:w="4037"/>
      </w:tblGrid>
      <w:tr w:rsidR="00503A41" w:rsidRPr="00993936" w:rsidTr="001D205D">
        <w:tc>
          <w:tcPr>
            <w:tcW w:w="5173"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Melocotón en variedades de pulpa amarilla:</w:t>
            </w:r>
          </w:p>
        </w:tc>
        <w:tc>
          <w:tcPr>
            <w:tcW w:w="4037"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2,1 &lt; P &lt; 6,3.</w:t>
            </w:r>
          </w:p>
        </w:tc>
      </w:tr>
      <w:tr w:rsidR="00503A41" w:rsidRPr="00993936" w:rsidTr="001D205D">
        <w:tc>
          <w:tcPr>
            <w:tcW w:w="5173"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Melocotón en variedades de pulpa blanca:</w:t>
            </w:r>
          </w:p>
        </w:tc>
        <w:tc>
          <w:tcPr>
            <w:tcW w:w="4037"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2,2 &lt; P &lt; 7,1.</w:t>
            </w:r>
          </w:p>
        </w:tc>
      </w:tr>
      <w:tr w:rsidR="00503A41" w:rsidRPr="00993936" w:rsidTr="001D205D">
        <w:tc>
          <w:tcPr>
            <w:tcW w:w="5173"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Nectarina en variedades de pulpa amarilla:</w:t>
            </w:r>
          </w:p>
        </w:tc>
        <w:tc>
          <w:tcPr>
            <w:tcW w:w="4037"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2,6 &lt; P &lt; 6,9.</w:t>
            </w:r>
          </w:p>
        </w:tc>
      </w:tr>
      <w:tr w:rsidR="00503A41" w:rsidRPr="00993936" w:rsidTr="001D205D">
        <w:tc>
          <w:tcPr>
            <w:tcW w:w="5173"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Nectarina en variedades de pulpa blanca:</w:t>
            </w:r>
          </w:p>
        </w:tc>
        <w:tc>
          <w:tcPr>
            <w:tcW w:w="4037"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2,5 &lt; P &lt; 5,5.</w:t>
            </w:r>
          </w:p>
        </w:tc>
      </w:tr>
      <w:tr w:rsidR="00503A41" w:rsidRPr="00993936" w:rsidTr="001D205D">
        <w:tc>
          <w:tcPr>
            <w:tcW w:w="5173" w:type="dxa"/>
          </w:tcPr>
          <w:p w:rsidR="00503A41" w:rsidRPr="00993936" w:rsidRDefault="00503A41" w:rsidP="001D205D">
            <w:pPr>
              <w:pStyle w:val="Textoindependiente3"/>
              <w:rPr>
                <w:rFonts w:cs="Arial"/>
                <w:b w:val="0"/>
                <w:szCs w:val="22"/>
                <w:lang w:val="es-ES"/>
              </w:rPr>
            </w:pPr>
            <w:r w:rsidRPr="00993936">
              <w:rPr>
                <w:rFonts w:cs="Arial"/>
                <w:b w:val="0"/>
                <w:szCs w:val="22"/>
                <w:lang w:val="es-ES"/>
              </w:rPr>
              <w:t xml:space="preserve">Durazno: </w:t>
            </w:r>
          </w:p>
        </w:tc>
        <w:tc>
          <w:tcPr>
            <w:tcW w:w="4037" w:type="dxa"/>
          </w:tcPr>
          <w:p w:rsidR="00503A41" w:rsidRPr="00993936" w:rsidRDefault="00503A41" w:rsidP="000452B8">
            <w:pPr>
              <w:pStyle w:val="Textoindependiente3"/>
              <w:rPr>
                <w:rFonts w:cs="Arial"/>
                <w:b w:val="0"/>
                <w:szCs w:val="22"/>
                <w:lang w:val="es-ES"/>
              </w:rPr>
            </w:pPr>
            <w:r w:rsidRPr="00993936">
              <w:rPr>
                <w:rFonts w:cs="Arial"/>
                <w:b w:val="0"/>
                <w:szCs w:val="22"/>
                <w:lang w:val="es-ES"/>
              </w:rPr>
              <w:t>2,5 &lt; P &lt; 5,4.</w:t>
            </w:r>
          </w:p>
        </w:tc>
      </w:tr>
    </w:tbl>
    <w:p w:rsidR="00503A41" w:rsidRPr="00993936" w:rsidRDefault="00503A41" w:rsidP="000452B8">
      <w:pPr>
        <w:rPr>
          <w:rFonts w:ascii="Arial" w:hAnsi="Arial" w:cs="Arial"/>
          <w:lang w:val="es-ES"/>
        </w:rPr>
      </w:pPr>
    </w:p>
    <w:p w:rsidR="007003E1" w:rsidRPr="00993936" w:rsidRDefault="007003E1">
      <w:pPr>
        <w:rPr>
          <w:rFonts w:ascii="Arial" w:eastAsiaTheme="majorEastAsia" w:hAnsi="Arial" w:cs="Arial"/>
          <w:sz w:val="26"/>
          <w:lang w:val="es-ES"/>
        </w:rPr>
      </w:pPr>
      <w:r w:rsidRPr="00993936">
        <w:rPr>
          <w:rFonts w:ascii="Arial" w:hAnsi="Arial" w:cs="Arial"/>
          <w:lang w:val="es-ES"/>
        </w:rPr>
        <w:br w:type="page"/>
      </w:r>
    </w:p>
    <w:p w:rsidR="00503A41" w:rsidRPr="00993936" w:rsidRDefault="00503A41" w:rsidP="000452B8">
      <w:pPr>
        <w:pStyle w:val="Ttulo2"/>
        <w:rPr>
          <w:rFonts w:ascii="Arial" w:hAnsi="Arial" w:cs="Arial"/>
          <w:color w:val="auto"/>
          <w:szCs w:val="22"/>
          <w:lang w:val="es-ES"/>
        </w:rPr>
      </w:pPr>
      <w:r w:rsidRPr="00993936">
        <w:rPr>
          <w:rFonts w:ascii="Arial" w:hAnsi="Arial" w:cs="Arial"/>
          <w:color w:val="auto"/>
          <w:szCs w:val="22"/>
          <w:lang w:val="es-ES"/>
        </w:rPr>
        <w:lastRenderedPageBreak/>
        <w:t>ANEXO 5</w:t>
      </w:r>
    </w:p>
    <w:p w:rsidR="00503A41" w:rsidRPr="00993936" w:rsidRDefault="00503A41" w:rsidP="000452B8">
      <w:pPr>
        <w:jc w:val="both"/>
        <w:rPr>
          <w:rFonts w:ascii="Arial" w:hAnsi="Arial" w:cs="Arial"/>
          <w:b/>
          <w:lang w:val="es-ES"/>
        </w:rPr>
      </w:pPr>
      <w:r w:rsidRPr="00993936">
        <w:rPr>
          <w:rFonts w:ascii="Arial" w:hAnsi="Arial" w:cs="Arial"/>
          <w:b/>
          <w:lang w:val="es-ES"/>
        </w:rPr>
        <w:t>Condiciones de trabajo recomendables para realizar los tratamientos fitosanitarios</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snapToGrid w:val="0"/>
          <w:lang w:val="es-ES"/>
        </w:rPr>
        <w:t xml:space="preserve">En los cuadros 1, 2 y 3 se incluyen las </w:t>
      </w:r>
      <w:r w:rsidRPr="00993936">
        <w:rPr>
          <w:rFonts w:ascii="Arial" w:hAnsi="Arial" w:cs="Arial"/>
          <w:i/>
          <w:snapToGrid w:val="0"/>
          <w:lang w:val="es-ES"/>
        </w:rPr>
        <w:t>Recomendaciones</w:t>
      </w:r>
      <w:r w:rsidRPr="00993936">
        <w:rPr>
          <w:rFonts w:ascii="Arial" w:hAnsi="Arial" w:cs="Arial"/>
          <w:snapToGrid w:val="0"/>
          <w:lang w:val="es-ES"/>
        </w:rPr>
        <w:t xml:space="preserve"> generales de regulación de los equipos y las condiciones ambientales óptimas para realizar los tratamientos.</w:t>
      </w:r>
    </w:p>
    <w:p w:rsidR="00503A41" w:rsidRPr="00993936" w:rsidRDefault="00503A41" w:rsidP="001D2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r w:rsidRPr="00993936">
        <w:rPr>
          <w:rFonts w:ascii="Arial" w:hAnsi="Arial" w:cs="Arial"/>
          <w:b/>
          <w:snapToGrid w:val="0"/>
          <w:lang w:val="es-ES"/>
        </w:rPr>
        <w:t xml:space="preserve">5.1 .-  </w:t>
      </w:r>
      <w:r w:rsidRPr="00993936">
        <w:rPr>
          <w:rFonts w:ascii="Arial" w:hAnsi="Arial" w:cs="Arial"/>
          <w:b/>
          <w:i/>
          <w:snapToGrid w:val="0"/>
          <w:lang w:val="es-ES"/>
        </w:rPr>
        <w:t>Recomendaciones</w:t>
      </w:r>
      <w:r w:rsidRPr="00993936">
        <w:rPr>
          <w:rFonts w:ascii="Arial" w:hAnsi="Arial" w:cs="Arial"/>
          <w:b/>
          <w:snapToGrid w:val="0"/>
          <w:lang w:val="es-ES"/>
        </w:rPr>
        <w:t xml:space="preserve"> generales de regulación de los equipos hidroneumáticos en ventilador axial</w:t>
      </w: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2516"/>
        <w:gridCol w:w="1916"/>
        <w:gridCol w:w="1986"/>
        <w:gridCol w:w="2172"/>
      </w:tblGrid>
      <w:tr w:rsidR="00503A41" w:rsidRPr="00993936">
        <w:trPr>
          <w:trHeight w:val="400"/>
          <w:jc w:val="center"/>
        </w:trPr>
        <w:tc>
          <w:tcPr>
            <w:tcW w:w="1465" w:type="pct"/>
            <w:tcBorders>
              <w:top w:val="nil"/>
              <w:left w:val="nil"/>
              <w:bottom w:val="nil"/>
              <w:right w:val="nil"/>
            </w:tcBorders>
            <w:vAlign w:val="center"/>
          </w:tcPr>
          <w:p w:rsidR="00503A41" w:rsidRPr="00993936" w:rsidRDefault="00503A41" w:rsidP="000452B8">
            <w:pPr>
              <w:widowControl w:val="0"/>
              <w:rPr>
                <w:rFonts w:ascii="Arial" w:hAnsi="Arial" w:cs="Arial"/>
                <w:snapToGrid w:val="0"/>
                <w:lang w:val="es-ES"/>
              </w:rPr>
            </w:pPr>
          </w:p>
        </w:tc>
        <w:tc>
          <w:tcPr>
            <w:tcW w:w="1115" w:type="pct"/>
            <w:tcBorders>
              <w:left w:val="single" w:sz="4" w:space="0" w:color="auto"/>
            </w:tcBorders>
            <w:shd w:val="pct12"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Tratamientos de invierno</w:t>
            </w:r>
          </w:p>
        </w:tc>
        <w:tc>
          <w:tcPr>
            <w:tcW w:w="2420" w:type="pct"/>
            <w:gridSpan w:val="2"/>
            <w:shd w:val="pct12"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Tratamientos de primavera - verano</w:t>
            </w:r>
          </w:p>
        </w:tc>
      </w:tr>
      <w:tr w:rsidR="00503A41" w:rsidRPr="00993936">
        <w:trPr>
          <w:jc w:val="center"/>
        </w:trPr>
        <w:tc>
          <w:tcPr>
            <w:tcW w:w="1465" w:type="pct"/>
            <w:tcBorders>
              <w:top w:val="single" w:sz="4" w:space="0" w:color="auto"/>
            </w:tcBorders>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Tipo de plantación</w:t>
            </w:r>
          </w:p>
        </w:tc>
        <w:tc>
          <w:tcPr>
            <w:tcW w:w="111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Todas las plantaciones</w:t>
            </w:r>
          </w:p>
        </w:tc>
        <w:tc>
          <w:tcPr>
            <w:tcW w:w="1156"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Tipo vaso</w:t>
            </w:r>
          </w:p>
        </w:tc>
        <w:tc>
          <w:tcPr>
            <w:tcW w:w="1264"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Tipo palmeta</w:t>
            </w:r>
          </w:p>
        </w:tc>
      </w:tr>
      <w:tr w:rsidR="00503A41" w:rsidRPr="00993936">
        <w:trPr>
          <w:jc w:val="center"/>
        </w:trPr>
        <w:tc>
          <w:tcPr>
            <w:tcW w:w="146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Estadio vegetativo</w:t>
            </w:r>
          </w:p>
        </w:tc>
        <w:tc>
          <w:tcPr>
            <w:tcW w:w="1115" w:type="pct"/>
            <w:vAlign w:val="center"/>
          </w:tcPr>
          <w:p w:rsidR="00503A41" w:rsidRPr="00993936" w:rsidRDefault="00503A41" w:rsidP="000452B8">
            <w:pPr>
              <w:widowControl w:val="0"/>
              <w:rPr>
                <w:rFonts w:ascii="Arial" w:hAnsi="Arial" w:cs="Arial"/>
                <w:snapToGrid w:val="0"/>
                <w:lang w:val="es-ES"/>
              </w:rPr>
            </w:pPr>
          </w:p>
        </w:tc>
        <w:tc>
          <w:tcPr>
            <w:tcW w:w="1156"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Plena vegetación</w:t>
            </w:r>
          </w:p>
        </w:tc>
        <w:tc>
          <w:tcPr>
            <w:tcW w:w="1264"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Plena vegetación</w:t>
            </w:r>
          </w:p>
        </w:tc>
      </w:tr>
      <w:tr w:rsidR="00503A41" w:rsidRPr="00993936">
        <w:trPr>
          <w:jc w:val="center"/>
        </w:trPr>
        <w:tc>
          <w:tcPr>
            <w:tcW w:w="146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Boquillas</w:t>
            </w:r>
          </w:p>
        </w:tc>
        <w:tc>
          <w:tcPr>
            <w:tcW w:w="3535" w:type="pct"/>
            <w:gridSpan w:val="3"/>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Tipo cónico de alta turbulencia</w:t>
            </w:r>
          </w:p>
        </w:tc>
      </w:tr>
      <w:tr w:rsidR="00503A41" w:rsidRPr="00993936">
        <w:trPr>
          <w:jc w:val="center"/>
        </w:trPr>
        <w:tc>
          <w:tcPr>
            <w:tcW w:w="146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Presión (bar)</w:t>
            </w:r>
          </w:p>
        </w:tc>
        <w:tc>
          <w:tcPr>
            <w:tcW w:w="111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5</w:t>
            </w:r>
          </w:p>
        </w:tc>
        <w:tc>
          <w:tcPr>
            <w:tcW w:w="2420" w:type="pct"/>
            <w:gridSpan w:val="2"/>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5 - 15</w:t>
            </w:r>
          </w:p>
        </w:tc>
      </w:tr>
      <w:tr w:rsidR="00503A41" w:rsidRPr="00993936">
        <w:trPr>
          <w:jc w:val="center"/>
        </w:trPr>
        <w:tc>
          <w:tcPr>
            <w:tcW w:w="146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Velocidad de trabajo (km/h)</w:t>
            </w:r>
          </w:p>
        </w:tc>
        <w:tc>
          <w:tcPr>
            <w:tcW w:w="111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4 – 6</w:t>
            </w:r>
          </w:p>
        </w:tc>
        <w:tc>
          <w:tcPr>
            <w:tcW w:w="1156"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4 - 6</w:t>
            </w:r>
          </w:p>
        </w:tc>
        <w:tc>
          <w:tcPr>
            <w:tcW w:w="1264"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4 - 6</w:t>
            </w:r>
          </w:p>
        </w:tc>
      </w:tr>
      <w:tr w:rsidR="00503A41" w:rsidRPr="00993936">
        <w:trPr>
          <w:jc w:val="center"/>
        </w:trPr>
        <w:tc>
          <w:tcPr>
            <w:tcW w:w="146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Volumen unitario (l/ha)</w:t>
            </w:r>
          </w:p>
        </w:tc>
        <w:tc>
          <w:tcPr>
            <w:tcW w:w="111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350 - 1000</w:t>
            </w:r>
          </w:p>
        </w:tc>
        <w:tc>
          <w:tcPr>
            <w:tcW w:w="1156"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1000 - 1500</w:t>
            </w:r>
          </w:p>
        </w:tc>
        <w:tc>
          <w:tcPr>
            <w:tcW w:w="1264"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500 - 800</w:t>
            </w:r>
          </w:p>
        </w:tc>
      </w:tr>
    </w:tbl>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r w:rsidRPr="00993936">
        <w:rPr>
          <w:rFonts w:ascii="Arial" w:hAnsi="Arial" w:cs="Arial"/>
          <w:b/>
          <w:snapToGrid w:val="0"/>
          <w:lang w:val="es-ES"/>
        </w:rPr>
        <w:t>5.2.-</w:t>
      </w:r>
      <w:r w:rsidRPr="00993936">
        <w:rPr>
          <w:rFonts w:ascii="Arial" w:hAnsi="Arial" w:cs="Arial"/>
          <w:snapToGrid w:val="0"/>
          <w:lang w:val="es-ES"/>
        </w:rPr>
        <w:t xml:space="preserve"> </w:t>
      </w:r>
      <w:r w:rsidRPr="00993936">
        <w:rPr>
          <w:rFonts w:ascii="Arial" w:hAnsi="Arial" w:cs="Arial"/>
          <w:b/>
          <w:i/>
          <w:snapToGrid w:val="0"/>
          <w:lang w:val="es-ES"/>
        </w:rPr>
        <w:t>Recomendaciones</w:t>
      </w:r>
      <w:r w:rsidRPr="00993936">
        <w:rPr>
          <w:rFonts w:ascii="Arial" w:hAnsi="Arial" w:cs="Arial"/>
          <w:b/>
          <w:snapToGrid w:val="0"/>
          <w:lang w:val="es-ES"/>
        </w:rPr>
        <w:t xml:space="preserve"> generales para los equipos hidráulicos de herbicidas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201"/>
        <w:gridCol w:w="4389"/>
      </w:tblGrid>
      <w:tr w:rsidR="00503A41" w:rsidRPr="00993936">
        <w:trPr>
          <w:trHeight w:val="400"/>
          <w:jc w:val="center"/>
        </w:trPr>
        <w:tc>
          <w:tcPr>
            <w:tcW w:w="2445" w:type="pct"/>
            <w:tcBorders>
              <w:top w:val="nil"/>
              <w:left w:val="nil"/>
              <w:bottom w:val="nil"/>
              <w:right w:val="nil"/>
            </w:tcBorders>
            <w:vAlign w:val="center"/>
          </w:tcPr>
          <w:p w:rsidR="00503A41" w:rsidRPr="00993936" w:rsidRDefault="00503A41" w:rsidP="000452B8">
            <w:pPr>
              <w:widowControl w:val="0"/>
              <w:rPr>
                <w:rFonts w:ascii="Arial" w:hAnsi="Arial" w:cs="Arial"/>
                <w:snapToGrid w:val="0"/>
                <w:lang w:val="es-ES"/>
              </w:rPr>
            </w:pPr>
          </w:p>
        </w:tc>
        <w:tc>
          <w:tcPr>
            <w:tcW w:w="2555" w:type="pct"/>
            <w:tcBorders>
              <w:left w:val="single" w:sz="4" w:space="0" w:color="auto"/>
            </w:tcBorders>
            <w:shd w:val="pct12" w:color="auto" w:fill="FFFFFF"/>
            <w:vAlign w:val="center"/>
          </w:tcPr>
          <w:p w:rsidR="00503A41" w:rsidRPr="00993936" w:rsidRDefault="00503A41" w:rsidP="000452B8">
            <w:pPr>
              <w:pStyle w:val="Ttulo6"/>
              <w:rPr>
                <w:rFonts w:ascii="Arial" w:hAnsi="Arial" w:cs="Arial"/>
                <w:color w:val="auto"/>
                <w:lang w:val="es-ES"/>
              </w:rPr>
            </w:pPr>
            <w:r w:rsidRPr="00993936">
              <w:rPr>
                <w:rFonts w:ascii="Arial" w:hAnsi="Arial" w:cs="Arial"/>
                <w:color w:val="auto"/>
                <w:lang w:val="es-ES"/>
              </w:rPr>
              <w:t>Condiciones de trabajo</w:t>
            </w:r>
          </w:p>
        </w:tc>
      </w:tr>
      <w:tr w:rsidR="00503A41" w:rsidRPr="00993936">
        <w:trPr>
          <w:jc w:val="center"/>
        </w:trPr>
        <w:tc>
          <w:tcPr>
            <w:tcW w:w="2445" w:type="pct"/>
            <w:tcBorders>
              <w:top w:val="single" w:sz="4" w:space="0" w:color="auto"/>
            </w:tcBorders>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Estadio vegetativo</w:t>
            </w:r>
          </w:p>
        </w:tc>
        <w:tc>
          <w:tcPr>
            <w:tcW w:w="255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Pre y postemergencia</w:t>
            </w:r>
          </w:p>
        </w:tc>
      </w:tr>
      <w:tr w:rsidR="00503A41" w:rsidRPr="00993936">
        <w:trPr>
          <w:jc w:val="center"/>
        </w:trPr>
        <w:tc>
          <w:tcPr>
            <w:tcW w:w="244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Boquillas</w:t>
            </w:r>
          </w:p>
        </w:tc>
        <w:tc>
          <w:tcPr>
            <w:tcW w:w="255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Abanico o de espejo</w:t>
            </w:r>
          </w:p>
        </w:tc>
      </w:tr>
      <w:tr w:rsidR="00503A41" w:rsidRPr="00993936">
        <w:trPr>
          <w:jc w:val="center"/>
        </w:trPr>
        <w:tc>
          <w:tcPr>
            <w:tcW w:w="244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Presión (bar)</w:t>
            </w:r>
          </w:p>
        </w:tc>
        <w:tc>
          <w:tcPr>
            <w:tcW w:w="2555" w:type="pct"/>
            <w:vAlign w:val="center"/>
          </w:tcPr>
          <w:p w:rsidR="00503A41" w:rsidRPr="00993936" w:rsidRDefault="00503A41" w:rsidP="000452B8">
            <w:pPr>
              <w:widowControl w:val="0"/>
              <w:jc w:val="center"/>
              <w:rPr>
                <w:rFonts w:ascii="Arial" w:hAnsi="Arial" w:cs="Arial"/>
                <w:snapToGrid w:val="0"/>
                <w:lang w:val="es-ES"/>
              </w:rPr>
            </w:pPr>
            <w:smartTag w:uri="urn:schemas-microsoft-com:office:smarttags" w:element="metricconverter">
              <w:smartTagPr>
                <w:attr w:name="ProductID" w:val="1,5 a"/>
              </w:smartTagPr>
              <w:r w:rsidRPr="00993936">
                <w:rPr>
                  <w:rFonts w:ascii="Arial" w:hAnsi="Arial" w:cs="Arial"/>
                  <w:snapToGrid w:val="0"/>
                  <w:lang w:val="es-ES"/>
                </w:rPr>
                <w:t>1,5 a</w:t>
              </w:r>
            </w:smartTag>
            <w:r w:rsidRPr="00993936">
              <w:rPr>
                <w:rFonts w:ascii="Arial" w:hAnsi="Arial" w:cs="Arial"/>
                <w:snapToGrid w:val="0"/>
                <w:lang w:val="es-ES"/>
              </w:rPr>
              <w:t xml:space="preserve"> 5</w:t>
            </w:r>
          </w:p>
        </w:tc>
      </w:tr>
      <w:tr w:rsidR="00503A41" w:rsidRPr="00993936">
        <w:trPr>
          <w:jc w:val="center"/>
        </w:trPr>
        <w:tc>
          <w:tcPr>
            <w:tcW w:w="244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Velocidad de trabajo (km/h)</w:t>
            </w:r>
          </w:p>
        </w:tc>
        <w:tc>
          <w:tcPr>
            <w:tcW w:w="255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3 -4</w:t>
            </w:r>
          </w:p>
        </w:tc>
      </w:tr>
      <w:tr w:rsidR="00503A41" w:rsidRPr="00993936">
        <w:trPr>
          <w:jc w:val="center"/>
        </w:trPr>
        <w:tc>
          <w:tcPr>
            <w:tcW w:w="244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Volumen medio (l/ha)</w:t>
            </w:r>
          </w:p>
        </w:tc>
        <w:tc>
          <w:tcPr>
            <w:tcW w:w="255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300</w:t>
            </w:r>
          </w:p>
        </w:tc>
      </w:tr>
      <w:tr w:rsidR="00503A41" w:rsidRPr="00993936">
        <w:trPr>
          <w:jc w:val="center"/>
        </w:trPr>
        <w:tc>
          <w:tcPr>
            <w:tcW w:w="2445"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Altura de trabajo</w:t>
            </w:r>
          </w:p>
        </w:tc>
        <w:tc>
          <w:tcPr>
            <w:tcW w:w="2555"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 xml:space="preserve">&lt; </w:t>
            </w:r>
            <w:smartTag w:uri="urn:schemas-microsoft-com:office:smarttags" w:element="metricconverter">
              <w:smartTagPr>
                <w:attr w:name="ProductID" w:val="20 cm"/>
              </w:smartTagPr>
              <w:r w:rsidRPr="00993936">
                <w:rPr>
                  <w:rFonts w:ascii="Arial" w:hAnsi="Arial" w:cs="Arial"/>
                  <w:snapToGrid w:val="0"/>
                  <w:lang w:val="es-ES"/>
                </w:rPr>
                <w:t>20 cm</w:t>
              </w:r>
            </w:smartTag>
          </w:p>
        </w:tc>
      </w:tr>
    </w:tbl>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p>
    <w:p w:rsidR="00503A41" w:rsidRPr="00993936" w:rsidRDefault="00503A41" w:rsidP="000452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b/>
          <w:snapToGrid w:val="0"/>
          <w:lang w:val="es-ES"/>
        </w:rPr>
        <w:t>5.3.- Condiciones ambientales para la realización de los tratamientos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367"/>
        <w:gridCol w:w="4223"/>
      </w:tblGrid>
      <w:tr w:rsidR="00503A41" w:rsidRPr="00993936">
        <w:trPr>
          <w:jc w:val="center"/>
        </w:trPr>
        <w:tc>
          <w:tcPr>
            <w:tcW w:w="2542"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Temperatura</w:t>
            </w:r>
          </w:p>
        </w:tc>
        <w:tc>
          <w:tcPr>
            <w:tcW w:w="2458"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&lt; 25º C</w:t>
            </w:r>
          </w:p>
        </w:tc>
      </w:tr>
      <w:tr w:rsidR="00503A41" w:rsidRPr="00993936">
        <w:trPr>
          <w:jc w:val="center"/>
        </w:trPr>
        <w:tc>
          <w:tcPr>
            <w:tcW w:w="2542"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Viento</w:t>
            </w:r>
          </w:p>
        </w:tc>
        <w:tc>
          <w:tcPr>
            <w:tcW w:w="2458"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 xml:space="preserve">&lt; </w:t>
            </w:r>
            <w:smartTag w:uri="urn:schemas-microsoft-com:office:smarttags" w:element="metricconverter">
              <w:smartTagPr>
                <w:attr w:name="ProductID" w:val="10,8 km/h"/>
              </w:smartTagPr>
              <w:r w:rsidRPr="00993936">
                <w:rPr>
                  <w:rFonts w:ascii="Arial" w:hAnsi="Arial" w:cs="Arial"/>
                  <w:snapToGrid w:val="0"/>
                  <w:lang w:val="es-ES"/>
                </w:rPr>
                <w:t>10,8 km/h</w:t>
              </w:r>
            </w:smartTag>
            <w:r w:rsidRPr="00993936">
              <w:rPr>
                <w:rFonts w:ascii="Arial" w:hAnsi="Arial" w:cs="Arial"/>
                <w:snapToGrid w:val="0"/>
                <w:lang w:val="es-ES"/>
              </w:rPr>
              <w:t xml:space="preserve"> a </w:t>
            </w:r>
            <w:smartTag w:uri="urn:schemas-microsoft-com:office:smarttags" w:element="metricconverter">
              <w:smartTagPr>
                <w:attr w:name="ProductID" w:val="2 m"/>
              </w:smartTagPr>
              <w:r w:rsidRPr="00993936">
                <w:rPr>
                  <w:rFonts w:ascii="Arial" w:hAnsi="Arial" w:cs="Arial"/>
                  <w:snapToGrid w:val="0"/>
                  <w:lang w:val="es-ES"/>
                </w:rPr>
                <w:t>2 m</w:t>
              </w:r>
            </w:smartTag>
            <w:r w:rsidRPr="00993936">
              <w:rPr>
                <w:rFonts w:ascii="Arial" w:hAnsi="Arial" w:cs="Arial"/>
                <w:snapToGrid w:val="0"/>
                <w:lang w:val="es-ES"/>
              </w:rPr>
              <w:t xml:space="preserve"> de altura</w:t>
            </w:r>
          </w:p>
        </w:tc>
      </w:tr>
      <w:tr w:rsidR="00503A41" w:rsidRPr="00993936">
        <w:trPr>
          <w:jc w:val="center"/>
        </w:trPr>
        <w:tc>
          <w:tcPr>
            <w:tcW w:w="2542"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Humedad relativa</w:t>
            </w:r>
          </w:p>
        </w:tc>
        <w:tc>
          <w:tcPr>
            <w:tcW w:w="2458" w:type="pct"/>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snapToGrid w:val="0"/>
                <w:lang w:val="es-ES"/>
              </w:rPr>
              <w:t>&gt; 70%</w:t>
            </w:r>
          </w:p>
        </w:tc>
      </w:tr>
    </w:tbl>
    <w:p w:rsidR="00503A41" w:rsidRPr="00993936" w:rsidRDefault="00503A41" w:rsidP="000452B8">
      <w:pPr>
        <w:rPr>
          <w:rFonts w:ascii="Arial" w:hAnsi="Arial" w:cs="Arial"/>
          <w:lang w:val="es-ES"/>
        </w:rPr>
      </w:pPr>
    </w:p>
    <w:p w:rsidR="00503A41" w:rsidRPr="00993936" w:rsidRDefault="00503A41">
      <w:pPr>
        <w:rPr>
          <w:rFonts w:ascii="Arial" w:eastAsia="Times New Roman" w:hAnsi="Arial" w:cs="Arial"/>
          <w:sz w:val="30"/>
          <w:lang w:val="es-ES" w:eastAsia="ca-ES"/>
        </w:rPr>
      </w:pPr>
      <w:r w:rsidRPr="00993936">
        <w:rPr>
          <w:rFonts w:ascii="Arial" w:hAnsi="Arial" w:cs="Arial"/>
          <w:lang w:val="es-ES"/>
        </w:rPr>
        <w:br w:type="page"/>
      </w:r>
    </w:p>
    <w:p w:rsidR="00503A41" w:rsidRPr="00993936" w:rsidRDefault="00503A41" w:rsidP="000452B8">
      <w:pPr>
        <w:pStyle w:val="Ttulo2"/>
        <w:rPr>
          <w:rFonts w:ascii="Arial" w:hAnsi="Arial" w:cs="Arial"/>
          <w:b/>
          <w:color w:val="auto"/>
          <w:szCs w:val="22"/>
          <w:lang w:val="es-ES"/>
        </w:rPr>
      </w:pPr>
      <w:r w:rsidRPr="00993936">
        <w:rPr>
          <w:rFonts w:ascii="Arial" w:hAnsi="Arial" w:cs="Arial"/>
          <w:b/>
          <w:color w:val="auto"/>
          <w:szCs w:val="22"/>
          <w:lang w:val="es-ES"/>
        </w:rPr>
        <w:lastRenderedPageBreak/>
        <w:t>ANEXO 6</w:t>
      </w:r>
    </w:p>
    <w:p w:rsidR="00503A41" w:rsidRPr="00993936" w:rsidRDefault="00503A41" w:rsidP="000452B8">
      <w:pPr>
        <w:pStyle w:val="Textoindependiente"/>
        <w:rPr>
          <w:rFonts w:cs="Arial"/>
          <w:b/>
          <w:szCs w:val="22"/>
          <w:lang w:val="es-ES"/>
        </w:rPr>
      </w:pPr>
    </w:p>
    <w:p w:rsidR="00503A41" w:rsidRPr="00993936" w:rsidRDefault="00503A41" w:rsidP="000452B8">
      <w:pPr>
        <w:pStyle w:val="Textoindependiente"/>
        <w:rPr>
          <w:rFonts w:cs="Arial"/>
          <w:b/>
          <w:szCs w:val="22"/>
          <w:lang w:val="es-ES"/>
        </w:rPr>
      </w:pPr>
      <w:r w:rsidRPr="00993936">
        <w:rPr>
          <w:rFonts w:cs="Arial"/>
          <w:b/>
          <w:szCs w:val="22"/>
          <w:lang w:val="es-ES"/>
        </w:rPr>
        <w:t>6.1.- Lista de metales pesados y valores máximos a aplicar en el suelo</w:t>
      </w:r>
    </w:p>
    <w:p w:rsidR="00503A41" w:rsidRPr="00993936" w:rsidRDefault="00503A41" w:rsidP="000452B8">
      <w:pPr>
        <w:pStyle w:val="Textoindependiente3"/>
        <w:rPr>
          <w:rFonts w:cs="Arial"/>
          <w:b w:val="0"/>
          <w:szCs w:val="22"/>
          <w:lang w:val="es-ES"/>
        </w:rPr>
      </w:pPr>
      <w:r w:rsidRPr="00993936">
        <w:rPr>
          <w:rFonts w:cs="Arial"/>
          <w:b w:val="0"/>
          <w:szCs w:val="22"/>
          <w:lang w:val="es-ES"/>
        </w:rPr>
        <w:t>Los materiales con valor fertilizante aportados al suelo no deben contener metales pesados en valores superiores a los siguientes:</w:t>
      </w:r>
    </w:p>
    <w:p w:rsidR="00503A41" w:rsidRPr="00993936" w:rsidRDefault="00503A41" w:rsidP="000452B8">
      <w:pPr>
        <w:jc w:val="both"/>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254"/>
        <w:gridCol w:w="4336"/>
      </w:tblGrid>
      <w:tr w:rsidR="00503A41" w:rsidRPr="00993936">
        <w:trPr>
          <w:trHeight w:val="200"/>
          <w:jc w:val="center"/>
        </w:trPr>
        <w:tc>
          <w:tcPr>
            <w:tcW w:w="2476" w:type="pct"/>
            <w:shd w:val="pct12"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Metal Pesado</w:t>
            </w:r>
          </w:p>
        </w:tc>
        <w:tc>
          <w:tcPr>
            <w:tcW w:w="2524" w:type="pct"/>
            <w:shd w:val="pct12" w:color="auto" w:fill="FFFFFF"/>
            <w:vAlign w:val="center"/>
          </w:tcPr>
          <w:p w:rsidR="00503A41" w:rsidRPr="00993936" w:rsidRDefault="00503A41" w:rsidP="000452B8">
            <w:pPr>
              <w:widowControl w:val="0"/>
              <w:jc w:val="center"/>
              <w:rPr>
                <w:rFonts w:ascii="Arial" w:hAnsi="Arial" w:cs="Arial"/>
                <w:snapToGrid w:val="0"/>
                <w:lang w:val="es-ES"/>
              </w:rPr>
            </w:pPr>
            <w:r w:rsidRPr="00993936">
              <w:rPr>
                <w:rFonts w:ascii="Arial" w:hAnsi="Arial" w:cs="Arial"/>
                <w:b/>
                <w:snapToGrid w:val="0"/>
                <w:lang w:val="es-ES"/>
              </w:rPr>
              <w:t xml:space="preserve">Valores </w:t>
            </w:r>
          </w:p>
        </w:tc>
      </w:tr>
      <w:tr w:rsidR="00503A41" w:rsidRPr="00993936">
        <w:trPr>
          <w:trHeight w:val="200"/>
          <w:jc w:val="center"/>
        </w:trPr>
        <w:tc>
          <w:tcPr>
            <w:tcW w:w="2476"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Cadmio</w:t>
            </w:r>
          </w:p>
        </w:tc>
        <w:tc>
          <w:tcPr>
            <w:tcW w:w="2524"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3 mg/kg de materia seca</w:t>
            </w:r>
          </w:p>
        </w:tc>
      </w:tr>
      <w:tr w:rsidR="00503A41" w:rsidRPr="00993936">
        <w:trPr>
          <w:trHeight w:val="200"/>
          <w:jc w:val="center"/>
        </w:trPr>
        <w:tc>
          <w:tcPr>
            <w:tcW w:w="2476"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Cobre</w:t>
            </w:r>
          </w:p>
        </w:tc>
        <w:tc>
          <w:tcPr>
            <w:tcW w:w="2524"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400 mg/kg de materia seca</w:t>
            </w:r>
          </w:p>
        </w:tc>
      </w:tr>
      <w:tr w:rsidR="00503A41" w:rsidRPr="00993936">
        <w:trPr>
          <w:trHeight w:val="200"/>
          <w:jc w:val="center"/>
        </w:trPr>
        <w:tc>
          <w:tcPr>
            <w:tcW w:w="2476"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Níquel </w:t>
            </w:r>
          </w:p>
        </w:tc>
        <w:tc>
          <w:tcPr>
            <w:tcW w:w="2524"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100 mg/kg de materia seca</w:t>
            </w:r>
          </w:p>
        </w:tc>
      </w:tr>
      <w:tr w:rsidR="00503A41" w:rsidRPr="00993936">
        <w:trPr>
          <w:trHeight w:val="200"/>
          <w:jc w:val="center"/>
        </w:trPr>
        <w:tc>
          <w:tcPr>
            <w:tcW w:w="2476"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Plomo</w:t>
            </w:r>
          </w:p>
        </w:tc>
        <w:tc>
          <w:tcPr>
            <w:tcW w:w="2524"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200 mg/kg de materia seca</w:t>
            </w:r>
          </w:p>
        </w:tc>
      </w:tr>
      <w:tr w:rsidR="00503A41" w:rsidRPr="00993936">
        <w:trPr>
          <w:trHeight w:val="200"/>
          <w:jc w:val="center"/>
        </w:trPr>
        <w:tc>
          <w:tcPr>
            <w:tcW w:w="2476"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Cinc  </w:t>
            </w:r>
          </w:p>
        </w:tc>
        <w:tc>
          <w:tcPr>
            <w:tcW w:w="2524"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1.000 mg/kg de materia seca</w:t>
            </w:r>
          </w:p>
        </w:tc>
      </w:tr>
      <w:tr w:rsidR="00503A41" w:rsidRPr="00993936">
        <w:trPr>
          <w:trHeight w:val="200"/>
          <w:jc w:val="center"/>
        </w:trPr>
        <w:tc>
          <w:tcPr>
            <w:tcW w:w="2476"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Mercurio</w:t>
            </w:r>
          </w:p>
        </w:tc>
        <w:tc>
          <w:tcPr>
            <w:tcW w:w="2524"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2,5 mg/kg de materia seca</w:t>
            </w:r>
          </w:p>
        </w:tc>
      </w:tr>
      <w:tr w:rsidR="00503A41" w:rsidRPr="00993936">
        <w:trPr>
          <w:trHeight w:val="200"/>
          <w:jc w:val="center"/>
        </w:trPr>
        <w:tc>
          <w:tcPr>
            <w:tcW w:w="2476"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Cromo    </w:t>
            </w:r>
          </w:p>
        </w:tc>
        <w:tc>
          <w:tcPr>
            <w:tcW w:w="2524" w:type="pct"/>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300 mg/kg de materia seca</w:t>
            </w:r>
          </w:p>
        </w:tc>
      </w:tr>
    </w:tbl>
    <w:p w:rsidR="00503A41" w:rsidRPr="00993936" w:rsidRDefault="00503A41" w:rsidP="000452B8">
      <w:pPr>
        <w:pStyle w:val="Textoindependiente"/>
        <w:rPr>
          <w:rFonts w:cs="Arial"/>
          <w:szCs w:val="22"/>
          <w:lang w:val="es-ES"/>
        </w:rPr>
      </w:pPr>
      <w:r w:rsidRPr="00993936">
        <w:rPr>
          <w:rFonts w:cs="Arial"/>
          <w:szCs w:val="22"/>
          <w:lang w:val="es-ES"/>
        </w:rPr>
        <w:t>mg/kg: miligramo por kilo.</w:t>
      </w:r>
    </w:p>
    <w:p w:rsidR="00503A41" w:rsidRPr="00993936" w:rsidRDefault="00503A41" w:rsidP="000452B8">
      <w:pPr>
        <w:pStyle w:val="Ttulo2"/>
        <w:rPr>
          <w:rFonts w:ascii="Arial" w:hAnsi="Arial" w:cs="Arial"/>
          <w:color w:val="auto"/>
          <w:szCs w:val="22"/>
          <w:lang w:val="es-ES"/>
        </w:rPr>
      </w:pPr>
    </w:p>
    <w:p w:rsidR="00503A41" w:rsidRPr="00993936" w:rsidRDefault="00503A41" w:rsidP="000452B8">
      <w:pPr>
        <w:pStyle w:val="Ttulo2"/>
        <w:rPr>
          <w:rFonts w:ascii="Arial" w:hAnsi="Arial" w:cs="Arial"/>
          <w:b/>
          <w:color w:val="auto"/>
          <w:szCs w:val="22"/>
          <w:lang w:val="es-ES"/>
        </w:rPr>
      </w:pPr>
      <w:r w:rsidRPr="00993936">
        <w:rPr>
          <w:rFonts w:ascii="Arial" w:hAnsi="Arial" w:cs="Arial"/>
          <w:color w:val="auto"/>
          <w:szCs w:val="22"/>
          <w:lang w:val="es-ES"/>
        </w:rPr>
        <w:br w:type="page"/>
      </w:r>
      <w:r w:rsidRPr="00993936">
        <w:rPr>
          <w:rFonts w:ascii="Arial" w:hAnsi="Arial" w:cs="Arial"/>
          <w:b/>
          <w:color w:val="auto"/>
          <w:szCs w:val="22"/>
          <w:lang w:val="es-ES"/>
        </w:rPr>
        <w:lastRenderedPageBreak/>
        <w:t>ANEXO 7</w:t>
      </w:r>
    </w:p>
    <w:p w:rsidR="00503A41" w:rsidRPr="00993936" w:rsidRDefault="00503A41" w:rsidP="001D205D">
      <w:pPr>
        <w:pStyle w:val="Ttulo2"/>
        <w:jc w:val="both"/>
        <w:rPr>
          <w:rFonts w:ascii="Arial" w:hAnsi="Arial" w:cs="Arial"/>
          <w:b/>
          <w:color w:val="auto"/>
          <w:sz w:val="22"/>
          <w:szCs w:val="22"/>
          <w:lang w:val="es-ES"/>
        </w:rPr>
      </w:pPr>
      <w:r w:rsidRPr="00993936">
        <w:rPr>
          <w:rFonts w:ascii="Arial" w:hAnsi="Arial" w:cs="Arial"/>
          <w:b/>
          <w:color w:val="auto"/>
          <w:sz w:val="22"/>
          <w:szCs w:val="22"/>
          <w:lang w:val="es-ES"/>
        </w:rPr>
        <w:t xml:space="preserve">Niveles orientativos de contenido de elementos en análisis foliares de melocotonero y nectarina </w:t>
      </w:r>
    </w:p>
    <w:p w:rsidR="00503A41" w:rsidRPr="00993936" w:rsidRDefault="00503A41" w:rsidP="000452B8">
      <w:pPr>
        <w:jc w:val="both"/>
        <w:rPr>
          <w:rFonts w:ascii="Arial" w:hAnsi="Arial" w:cs="Arial"/>
          <w:i/>
          <w:lang w:val="es-ES"/>
        </w:rPr>
      </w:pPr>
    </w:p>
    <w:p w:rsidR="00503A41" w:rsidRPr="00993936" w:rsidRDefault="00503A41" w:rsidP="000452B8">
      <w:pPr>
        <w:jc w:val="both"/>
        <w:rPr>
          <w:rFonts w:ascii="Arial" w:hAnsi="Arial" w:cs="Arial"/>
          <w:b/>
          <w:lang w:val="es-ES"/>
        </w:rPr>
      </w:pPr>
      <w:r w:rsidRPr="00993936">
        <w:rPr>
          <w:rFonts w:ascii="Arial" w:hAnsi="Arial" w:cs="Arial"/>
          <w:b/>
          <w:i/>
          <w:lang w:val="es-ES"/>
        </w:rPr>
        <w:t>Datos para la toma</w:t>
      </w:r>
      <w:r w:rsidRPr="00993936">
        <w:rPr>
          <w:rFonts w:ascii="Arial" w:hAnsi="Arial" w:cs="Arial"/>
          <w:b/>
          <w:i/>
          <w:vanish/>
          <w:lang w:val="es-ES"/>
        </w:rPr>
        <w:t>&lt;A[toma|presa]&gt;</w:t>
      </w:r>
      <w:r w:rsidRPr="00993936">
        <w:rPr>
          <w:rFonts w:ascii="Arial" w:hAnsi="Arial" w:cs="Arial"/>
          <w:b/>
          <w:i/>
          <w:lang w:val="es-ES"/>
        </w:rPr>
        <w:t xml:space="preserve"> de la muestra foliar:</w:t>
      </w:r>
      <w:r w:rsidRPr="00993936">
        <w:rPr>
          <w:rFonts w:ascii="Arial" w:hAnsi="Arial" w:cs="Arial"/>
          <w:b/>
          <w:lang w:val="es-ES"/>
        </w:rPr>
        <w:t xml:space="preserve"> </w:t>
      </w:r>
    </w:p>
    <w:p w:rsidR="00503A41" w:rsidRPr="00993936" w:rsidRDefault="00503A41" w:rsidP="000452B8">
      <w:pPr>
        <w:jc w:val="both"/>
        <w:rPr>
          <w:rFonts w:ascii="Arial" w:hAnsi="Arial" w:cs="Arial"/>
          <w:lang w:val="es-ES"/>
        </w:rPr>
      </w:pPr>
      <w:r w:rsidRPr="00993936">
        <w:rPr>
          <w:rFonts w:ascii="Arial" w:hAnsi="Arial" w:cs="Arial"/>
          <w:lang w:val="es-ES"/>
        </w:rPr>
        <w:t>Para evaluar el estado de nutrición del cultivo se necesario obtener hojas en buen estado. El criterio general de selección de las muestras se basa en la obtención de hojas del año plenamente desarrolladas.</w:t>
      </w:r>
    </w:p>
    <w:p w:rsidR="00503A41" w:rsidRPr="00993936" w:rsidRDefault="00503A41" w:rsidP="000452B8">
      <w:pPr>
        <w:jc w:val="both"/>
        <w:rPr>
          <w:rFonts w:ascii="Arial" w:hAnsi="Arial" w:cs="Arial"/>
          <w:lang w:val="es-ES"/>
        </w:rPr>
      </w:pPr>
      <w:r w:rsidRPr="00993936">
        <w:rPr>
          <w:rFonts w:ascii="Arial" w:hAnsi="Arial" w:cs="Arial"/>
          <w:lang w:val="es-ES"/>
        </w:rPr>
        <w:t xml:space="preserve">Coger 50 hojas totalmente desarrolladas de la parte central de los brotes del año situados en la parte externa del árbol y a una altura entre 1,2 -1,8 metros. </w:t>
      </w:r>
    </w:p>
    <w:p w:rsidR="00503A41" w:rsidRPr="00993936" w:rsidRDefault="00503A41" w:rsidP="000452B8">
      <w:pPr>
        <w:jc w:val="both"/>
        <w:rPr>
          <w:rFonts w:ascii="Arial" w:hAnsi="Arial" w:cs="Arial"/>
          <w:b/>
          <w:i/>
          <w:lang w:val="es-ES"/>
        </w:rPr>
      </w:pPr>
    </w:p>
    <w:p w:rsidR="00503A41" w:rsidRPr="00993936" w:rsidRDefault="00503A41" w:rsidP="000452B8">
      <w:pPr>
        <w:jc w:val="both"/>
        <w:rPr>
          <w:rFonts w:ascii="Arial" w:hAnsi="Arial" w:cs="Arial"/>
          <w:i/>
          <w:lang w:val="es-ES"/>
        </w:rPr>
      </w:pPr>
      <w:r w:rsidRPr="00993936">
        <w:rPr>
          <w:rFonts w:ascii="Arial" w:hAnsi="Arial" w:cs="Arial"/>
          <w:b/>
          <w:i/>
          <w:lang w:val="es-ES"/>
        </w:rPr>
        <w:t>Periodo:</w:t>
      </w:r>
      <w:r w:rsidRPr="00993936">
        <w:rPr>
          <w:rFonts w:ascii="Arial" w:hAnsi="Arial" w:cs="Arial"/>
          <w:i/>
          <w:lang w:val="es-ES"/>
        </w:rPr>
        <w:t xml:space="preserve"> </w:t>
      </w:r>
    </w:p>
    <w:p w:rsidR="00503A41" w:rsidRPr="00993936" w:rsidRDefault="00503A41" w:rsidP="000452B8">
      <w:pPr>
        <w:jc w:val="both"/>
        <w:rPr>
          <w:rFonts w:ascii="Arial" w:hAnsi="Arial" w:cs="Arial"/>
          <w:lang w:val="es-ES"/>
        </w:rPr>
      </w:pPr>
      <w:r w:rsidRPr="00993936">
        <w:rPr>
          <w:rFonts w:ascii="Arial" w:hAnsi="Arial" w:cs="Arial"/>
          <w:lang w:val="es-ES"/>
        </w:rPr>
        <w:t>Final de primavera y verano.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1"/>
        <w:gridCol w:w="1304"/>
        <w:gridCol w:w="1305"/>
        <w:gridCol w:w="1418"/>
        <w:gridCol w:w="1418"/>
        <w:gridCol w:w="1418"/>
      </w:tblGrid>
      <w:tr w:rsidR="00503A41" w:rsidRPr="00993936">
        <w:trPr>
          <w:cantSplit/>
          <w:trHeight w:val="287"/>
        </w:trPr>
        <w:tc>
          <w:tcPr>
            <w:tcW w:w="1784" w:type="pct"/>
            <w:gridSpan w:val="2"/>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Elemento</w:t>
            </w:r>
          </w:p>
        </w:tc>
        <w:tc>
          <w:tcPr>
            <w:tcW w:w="755"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Bajo</w:t>
            </w:r>
          </w:p>
        </w:tc>
        <w:tc>
          <w:tcPr>
            <w:tcW w:w="82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Normal</w:t>
            </w:r>
          </w:p>
        </w:tc>
        <w:tc>
          <w:tcPr>
            <w:tcW w:w="82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Alto</w:t>
            </w:r>
          </w:p>
        </w:tc>
        <w:tc>
          <w:tcPr>
            <w:tcW w:w="820" w:type="pct"/>
            <w:shd w:val="pct12"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Muy Alto</w:t>
            </w:r>
          </w:p>
        </w:tc>
      </w:tr>
      <w:tr w:rsidR="00503A41" w:rsidRPr="00993936">
        <w:trPr>
          <w:cantSplit/>
          <w:trHeight w:val="2572"/>
        </w:trPr>
        <w:tc>
          <w:tcPr>
            <w:tcW w:w="1030" w:type="pct"/>
          </w:tcPr>
          <w:p w:rsidR="00503A41" w:rsidRPr="00993936" w:rsidRDefault="00503A41" w:rsidP="000452B8">
            <w:pPr>
              <w:jc w:val="both"/>
              <w:rPr>
                <w:rFonts w:ascii="Arial" w:hAnsi="Arial" w:cs="Arial"/>
                <w:lang w:val="es-ES"/>
              </w:rPr>
            </w:pPr>
            <w:r w:rsidRPr="00993936">
              <w:rPr>
                <w:rFonts w:ascii="Arial" w:hAnsi="Arial" w:cs="Arial"/>
                <w:lang w:val="es-ES"/>
              </w:rPr>
              <w:t>Nitrógeno</w:t>
            </w:r>
          </w:p>
          <w:p w:rsidR="00503A41" w:rsidRPr="00993936" w:rsidRDefault="00503A41" w:rsidP="000452B8">
            <w:pPr>
              <w:jc w:val="both"/>
              <w:rPr>
                <w:rFonts w:ascii="Arial" w:hAnsi="Arial" w:cs="Arial"/>
                <w:lang w:val="es-ES"/>
              </w:rPr>
            </w:pPr>
            <w:r w:rsidRPr="00993936">
              <w:rPr>
                <w:rFonts w:ascii="Arial" w:hAnsi="Arial" w:cs="Arial"/>
                <w:lang w:val="es-ES"/>
              </w:rPr>
              <w:t>Fósforo</w:t>
            </w:r>
          </w:p>
          <w:p w:rsidR="00503A41" w:rsidRPr="00993936" w:rsidRDefault="00503A41" w:rsidP="000452B8">
            <w:pPr>
              <w:jc w:val="both"/>
              <w:rPr>
                <w:rFonts w:ascii="Arial" w:hAnsi="Arial" w:cs="Arial"/>
                <w:lang w:val="es-ES"/>
              </w:rPr>
            </w:pPr>
            <w:r w:rsidRPr="00993936">
              <w:rPr>
                <w:rFonts w:ascii="Arial" w:hAnsi="Arial" w:cs="Arial"/>
                <w:lang w:val="es-ES"/>
              </w:rPr>
              <w:t>Potasio</w:t>
            </w:r>
          </w:p>
          <w:p w:rsidR="00503A41" w:rsidRPr="00993936" w:rsidRDefault="00503A41" w:rsidP="000452B8">
            <w:pPr>
              <w:jc w:val="both"/>
              <w:rPr>
                <w:rFonts w:ascii="Arial" w:hAnsi="Arial" w:cs="Arial"/>
                <w:lang w:val="es-ES"/>
              </w:rPr>
            </w:pPr>
            <w:r w:rsidRPr="00993936">
              <w:rPr>
                <w:rFonts w:ascii="Arial" w:hAnsi="Arial" w:cs="Arial"/>
                <w:lang w:val="es-ES"/>
              </w:rPr>
              <w:t>Calcio</w:t>
            </w:r>
          </w:p>
          <w:p w:rsidR="00503A41" w:rsidRPr="00993936" w:rsidRDefault="00503A41" w:rsidP="000452B8">
            <w:pPr>
              <w:jc w:val="both"/>
              <w:rPr>
                <w:rFonts w:ascii="Arial" w:hAnsi="Arial" w:cs="Arial"/>
                <w:lang w:val="es-ES"/>
              </w:rPr>
            </w:pPr>
            <w:r w:rsidRPr="00993936">
              <w:rPr>
                <w:rFonts w:ascii="Arial" w:hAnsi="Arial" w:cs="Arial"/>
                <w:lang w:val="es-ES"/>
              </w:rPr>
              <w:t>Magnesio</w:t>
            </w:r>
          </w:p>
          <w:p w:rsidR="00503A41" w:rsidRPr="00993936" w:rsidRDefault="00503A41" w:rsidP="000452B8">
            <w:pPr>
              <w:jc w:val="both"/>
              <w:rPr>
                <w:rFonts w:ascii="Arial" w:hAnsi="Arial" w:cs="Arial"/>
                <w:lang w:val="es-ES"/>
              </w:rPr>
            </w:pPr>
            <w:r w:rsidRPr="00993936">
              <w:rPr>
                <w:rFonts w:ascii="Arial" w:hAnsi="Arial" w:cs="Arial"/>
                <w:lang w:val="es-ES"/>
              </w:rPr>
              <w:t>Azufre</w:t>
            </w:r>
          </w:p>
          <w:p w:rsidR="00503A41" w:rsidRPr="00993936" w:rsidRDefault="00503A41" w:rsidP="000452B8">
            <w:pPr>
              <w:jc w:val="both"/>
              <w:rPr>
                <w:rFonts w:ascii="Arial" w:hAnsi="Arial" w:cs="Arial"/>
                <w:lang w:val="es-ES"/>
              </w:rPr>
            </w:pPr>
            <w:r w:rsidRPr="00993936">
              <w:rPr>
                <w:rFonts w:ascii="Arial" w:hAnsi="Arial" w:cs="Arial"/>
                <w:lang w:val="es-ES"/>
              </w:rPr>
              <w:t>Hierro</w:t>
            </w:r>
          </w:p>
          <w:p w:rsidR="00503A41" w:rsidRPr="00993936" w:rsidRDefault="00503A41" w:rsidP="000452B8">
            <w:pPr>
              <w:jc w:val="both"/>
              <w:rPr>
                <w:rFonts w:ascii="Arial" w:hAnsi="Arial" w:cs="Arial"/>
                <w:lang w:val="es-ES"/>
              </w:rPr>
            </w:pPr>
            <w:r w:rsidRPr="00993936">
              <w:rPr>
                <w:rFonts w:ascii="Arial" w:hAnsi="Arial" w:cs="Arial"/>
                <w:lang w:val="es-ES"/>
              </w:rPr>
              <w:t>Manganeso</w:t>
            </w:r>
          </w:p>
          <w:p w:rsidR="00503A41" w:rsidRPr="00993936" w:rsidRDefault="00503A41" w:rsidP="000452B8">
            <w:pPr>
              <w:jc w:val="both"/>
              <w:rPr>
                <w:rFonts w:ascii="Arial" w:hAnsi="Arial" w:cs="Arial"/>
                <w:lang w:val="es-ES"/>
              </w:rPr>
            </w:pPr>
            <w:r w:rsidRPr="00993936">
              <w:rPr>
                <w:rFonts w:ascii="Arial" w:hAnsi="Arial" w:cs="Arial"/>
                <w:lang w:val="es-ES"/>
              </w:rPr>
              <w:t>Cinc</w:t>
            </w:r>
          </w:p>
          <w:p w:rsidR="00503A41" w:rsidRPr="00993936" w:rsidRDefault="00503A41" w:rsidP="000452B8">
            <w:pPr>
              <w:jc w:val="both"/>
              <w:rPr>
                <w:rFonts w:ascii="Arial" w:hAnsi="Arial" w:cs="Arial"/>
                <w:lang w:val="es-ES"/>
              </w:rPr>
            </w:pPr>
            <w:r w:rsidRPr="00993936">
              <w:rPr>
                <w:rFonts w:ascii="Arial" w:hAnsi="Arial" w:cs="Arial"/>
                <w:lang w:val="es-ES"/>
              </w:rPr>
              <w:t>Cobre</w:t>
            </w:r>
          </w:p>
          <w:p w:rsidR="00503A41" w:rsidRPr="00993936" w:rsidRDefault="00503A41" w:rsidP="000452B8">
            <w:pPr>
              <w:jc w:val="both"/>
              <w:rPr>
                <w:rFonts w:ascii="Arial" w:hAnsi="Arial" w:cs="Arial"/>
                <w:lang w:val="es-ES"/>
              </w:rPr>
            </w:pPr>
            <w:r w:rsidRPr="00993936">
              <w:rPr>
                <w:rFonts w:ascii="Arial" w:hAnsi="Arial" w:cs="Arial"/>
                <w:lang w:val="es-ES"/>
              </w:rPr>
              <w:t>Boro</w:t>
            </w:r>
          </w:p>
          <w:p w:rsidR="00503A41" w:rsidRPr="00993936" w:rsidRDefault="00503A41" w:rsidP="000452B8">
            <w:pPr>
              <w:jc w:val="both"/>
              <w:rPr>
                <w:rFonts w:ascii="Arial" w:hAnsi="Arial" w:cs="Arial"/>
                <w:lang w:val="es-ES"/>
              </w:rPr>
            </w:pPr>
            <w:r w:rsidRPr="00993936">
              <w:rPr>
                <w:rFonts w:ascii="Arial" w:hAnsi="Arial" w:cs="Arial"/>
                <w:lang w:val="es-ES"/>
              </w:rPr>
              <w:t>Sodio</w:t>
            </w:r>
          </w:p>
        </w:tc>
        <w:tc>
          <w:tcPr>
            <w:tcW w:w="754" w:type="pct"/>
          </w:tcPr>
          <w:p w:rsidR="00503A41" w:rsidRPr="00993936" w:rsidRDefault="00503A41" w:rsidP="000452B8">
            <w:pPr>
              <w:jc w:val="both"/>
              <w:rPr>
                <w:rFonts w:ascii="Arial" w:hAnsi="Arial" w:cs="Arial"/>
                <w:lang w:val="es-ES"/>
              </w:rPr>
            </w:pPr>
            <w:r w:rsidRPr="00993936">
              <w:rPr>
                <w:rFonts w:ascii="Arial" w:hAnsi="Arial" w:cs="Arial"/>
                <w:lang w:val="es-ES"/>
              </w:rPr>
              <w:t>N (%)</w:t>
            </w:r>
          </w:p>
          <w:p w:rsidR="00503A41" w:rsidRPr="00993936" w:rsidRDefault="00503A41" w:rsidP="000452B8">
            <w:pPr>
              <w:jc w:val="both"/>
              <w:rPr>
                <w:rFonts w:ascii="Arial" w:hAnsi="Arial" w:cs="Arial"/>
                <w:lang w:val="es-ES"/>
              </w:rPr>
            </w:pPr>
            <w:r w:rsidRPr="00993936">
              <w:rPr>
                <w:rFonts w:ascii="Arial" w:hAnsi="Arial" w:cs="Arial"/>
                <w:lang w:val="es-ES"/>
              </w:rPr>
              <w:t>P (%)</w:t>
            </w:r>
          </w:p>
          <w:p w:rsidR="00503A41" w:rsidRPr="00993936" w:rsidRDefault="00503A41" w:rsidP="000452B8">
            <w:pPr>
              <w:jc w:val="both"/>
              <w:rPr>
                <w:rFonts w:ascii="Arial" w:hAnsi="Arial" w:cs="Arial"/>
                <w:lang w:val="es-ES"/>
              </w:rPr>
            </w:pPr>
            <w:r w:rsidRPr="00993936">
              <w:rPr>
                <w:rFonts w:ascii="Arial" w:hAnsi="Arial" w:cs="Arial"/>
                <w:lang w:val="es-ES"/>
              </w:rPr>
              <w:t>K (%)</w:t>
            </w:r>
          </w:p>
          <w:p w:rsidR="00503A41" w:rsidRPr="00993936" w:rsidRDefault="00503A41" w:rsidP="000452B8">
            <w:pPr>
              <w:jc w:val="both"/>
              <w:rPr>
                <w:rFonts w:ascii="Arial" w:hAnsi="Arial" w:cs="Arial"/>
                <w:lang w:val="es-ES"/>
              </w:rPr>
            </w:pPr>
            <w:r w:rsidRPr="00993936">
              <w:rPr>
                <w:rFonts w:ascii="Arial" w:hAnsi="Arial" w:cs="Arial"/>
                <w:lang w:val="es-ES"/>
              </w:rPr>
              <w:t>Casa (%)</w:t>
            </w:r>
          </w:p>
          <w:p w:rsidR="00503A41" w:rsidRPr="00993936" w:rsidRDefault="00503A41" w:rsidP="000452B8">
            <w:pPr>
              <w:pStyle w:val="Textoindependiente"/>
              <w:rPr>
                <w:rFonts w:cs="Arial"/>
                <w:szCs w:val="22"/>
                <w:lang w:val="es-ES"/>
              </w:rPr>
            </w:pPr>
            <w:r w:rsidRPr="00993936">
              <w:rPr>
                <w:rFonts w:cs="Arial"/>
                <w:szCs w:val="22"/>
                <w:lang w:val="es-ES"/>
              </w:rPr>
              <w:t>Mg (%)</w:t>
            </w:r>
          </w:p>
          <w:p w:rsidR="00503A41" w:rsidRPr="00993936" w:rsidRDefault="00503A41" w:rsidP="000452B8">
            <w:pPr>
              <w:jc w:val="both"/>
              <w:rPr>
                <w:rFonts w:ascii="Arial" w:hAnsi="Arial" w:cs="Arial"/>
                <w:lang w:val="es-ES"/>
              </w:rPr>
            </w:pPr>
            <w:r w:rsidRPr="00993936">
              <w:rPr>
                <w:rFonts w:ascii="Arial" w:hAnsi="Arial" w:cs="Arial"/>
                <w:lang w:val="es-ES"/>
              </w:rPr>
              <w:t>S (%)</w:t>
            </w:r>
          </w:p>
          <w:p w:rsidR="00503A41" w:rsidRPr="00993936" w:rsidRDefault="00503A41" w:rsidP="000452B8">
            <w:pPr>
              <w:jc w:val="both"/>
              <w:rPr>
                <w:rFonts w:ascii="Arial" w:hAnsi="Arial" w:cs="Arial"/>
                <w:lang w:val="es-ES"/>
              </w:rPr>
            </w:pPr>
            <w:r w:rsidRPr="00993936">
              <w:rPr>
                <w:rFonts w:ascii="Arial" w:hAnsi="Arial" w:cs="Arial"/>
                <w:lang w:val="es-ES"/>
              </w:rPr>
              <w:t>Fe (ppm)</w:t>
            </w:r>
          </w:p>
          <w:p w:rsidR="00503A41" w:rsidRPr="00993936" w:rsidRDefault="00503A41" w:rsidP="000452B8">
            <w:pPr>
              <w:jc w:val="both"/>
              <w:rPr>
                <w:rFonts w:ascii="Arial" w:hAnsi="Arial" w:cs="Arial"/>
                <w:lang w:val="es-ES"/>
              </w:rPr>
            </w:pPr>
            <w:r w:rsidRPr="00993936">
              <w:rPr>
                <w:rFonts w:ascii="Arial" w:hAnsi="Arial" w:cs="Arial"/>
                <w:lang w:val="es-ES"/>
              </w:rPr>
              <w:t>Mn (ppm)</w:t>
            </w:r>
          </w:p>
          <w:p w:rsidR="00503A41" w:rsidRPr="00993936" w:rsidRDefault="00503A41" w:rsidP="000452B8">
            <w:pPr>
              <w:jc w:val="both"/>
              <w:rPr>
                <w:rFonts w:ascii="Arial" w:hAnsi="Arial" w:cs="Arial"/>
                <w:lang w:val="es-ES"/>
              </w:rPr>
            </w:pPr>
            <w:r w:rsidRPr="00993936">
              <w:rPr>
                <w:rFonts w:ascii="Arial" w:hAnsi="Arial" w:cs="Arial"/>
                <w:lang w:val="es-ES"/>
              </w:rPr>
              <w:t>Zn (ppm)</w:t>
            </w:r>
          </w:p>
          <w:p w:rsidR="00503A41" w:rsidRPr="00993936" w:rsidRDefault="00503A41" w:rsidP="000452B8">
            <w:pPr>
              <w:jc w:val="both"/>
              <w:rPr>
                <w:rFonts w:ascii="Arial" w:hAnsi="Arial" w:cs="Arial"/>
                <w:lang w:val="es-ES"/>
              </w:rPr>
            </w:pPr>
            <w:r w:rsidRPr="00993936">
              <w:rPr>
                <w:rFonts w:ascii="Arial" w:hAnsi="Arial" w:cs="Arial"/>
                <w:lang w:val="es-ES"/>
              </w:rPr>
              <w:t>Cu (ppm)</w:t>
            </w:r>
          </w:p>
          <w:p w:rsidR="00503A41" w:rsidRPr="00993936" w:rsidRDefault="00503A41" w:rsidP="000452B8">
            <w:pPr>
              <w:jc w:val="both"/>
              <w:rPr>
                <w:rFonts w:ascii="Arial" w:hAnsi="Arial" w:cs="Arial"/>
                <w:lang w:val="es-ES"/>
              </w:rPr>
            </w:pPr>
            <w:r w:rsidRPr="00993936">
              <w:rPr>
                <w:rFonts w:ascii="Arial" w:hAnsi="Arial" w:cs="Arial"/>
                <w:lang w:val="es-ES"/>
              </w:rPr>
              <w:t>B (ppm)</w:t>
            </w:r>
          </w:p>
          <w:p w:rsidR="00503A41" w:rsidRPr="00993936" w:rsidRDefault="00503A41" w:rsidP="000452B8">
            <w:pPr>
              <w:jc w:val="both"/>
              <w:rPr>
                <w:rFonts w:ascii="Arial" w:hAnsi="Arial" w:cs="Arial"/>
                <w:lang w:val="es-ES"/>
              </w:rPr>
            </w:pPr>
            <w:r w:rsidRPr="00993936">
              <w:rPr>
                <w:rFonts w:ascii="Arial" w:hAnsi="Arial" w:cs="Arial"/>
                <w:lang w:val="es-ES"/>
              </w:rPr>
              <w:t>Na (ppm)</w:t>
            </w:r>
          </w:p>
        </w:tc>
        <w:tc>
          <w:tcPr>
            <w:tcW w:w="755" w:type="pct"/>
          </w:tcPr>
          <w:p w:rsidR="00503A41" w:rsidRPr="00993936" w:rsidRDefault="00503A41" w:rsidP="000452B8">
            <w:pPr>
              <w:jc w:val="center"/>
              <w:rPr>
                <w:rFonts w:ascii="Arial" w:hAnsi="Arial" w:cs="Arial"/>
                <w:lang w:val="es-ES"/>
              </w:rPr>
            </w:pPr>
            <w:r w:rsidRPr="00993936">
              <w:rPr>
                <w:rFonts w:ascii="Arial" w:hAnsi="Arial" w:cs="Arial"/>
                <w:lang w:val="es-ES"/>
              </w:rPr>
              <w:t>&lt; 2,0</w:t>
            </w:r>
          </w:p>
          <w:p w:rsidR="00503A41" w:rsidRPr="00993936" w:rsidRDefault="00503A41" w:rsidP="000452B8">
            <w:pPr>
              <w:jc w:val="center"/>
              <w:rPr>
                <w:rFonts w:ascii="Arial" w:hAnsi="Arial" w:cs="Arial"/>
                <w:lang w:val="es-ES"/>
              </w:rPr>
            </w:pPr>
            <w:r w:rsidRPr="00993936">
              <w:rPr>
                <w:rFonts w:ascii="Arial" w:hAnsi="Arial" w:cs="Arial"/>
                <w:lang w:val="es-ES"/>
              </w:rPr>
              <w:t>&lt; 0,12</w:t>
            </w:r>
          </w:p>
          <w:p w:rsidR="00503A41" w:rsidRPr="00993936" w:rsidRDefault="00503A41" w:rsidP="000452B8">
            <w:pPr>
              <w:jc w:val="center"/>
              <w:rPr>
                <w:rFonts w:ascii="Arial" w:hAnsi="Arial" w:cs="Arial"/>
                <w:lang w:val="es-ES"/>
              </w:rPr>
            </w:pPr>
            <w:r w:rsidRPr="00993936">
              <w:rPr>
                <w:rFonts w:ascii="Arial" w:hAnsi="Arial" w:cs="Arial"/>
                <w:lang w:val="es-ES"/>
              </w:rPr>
              <w:t>&lt; 1,80</w:t>
            </w:r>
          </w:p>
          <w:p w:rsidR="00503A41" w:rsidRPr="00993936" w:rsidRDefault="00503A41" w:rsidP="000452B8">
            <w:pPr>
              <w:jc w:val="center"/>
              <w:rPr>
                <w:rFonts w:ascii="Arial" w:hAnsi="Arial" w:cs="Arial"/>
                <w:lang w:val="es-ES"/>
              </w:rPr>
            </w:pPr>
            <w:r w:rsidRPr="00993936">
              <w:rPr>
                <w:rFonts w:ascii="Arial" w:hAnsi="Arial" w:cs="Arial"/>
                <w:lang w:val="es-ES"/>
              </w:rPr>
              <w:t>&lt; 1,50</w:t>
            </w:r>
          </w:p>
          <w:p w:rsidR="00503A41" w:rsidRPr="00993936" w:rsidRDefault="00503A41" w:rsidP="000452B8">
            <w:pPr>
              <w:jc w:val="center"/>
              <w:rPr>
                <w:rFonts w:ascii="Arial" w:hAnsi="Arial" w:cs="Arial"/>
                <w:lang w:val="es-ES"/>
              </w:rPr>
            </w:pPr>
            <w:r w:rsidRPr="00993936">
              <w:rPr>
                <w:rFonts w:ascii="Arial" w:hAnsi="Arial" w:cs="Arial"/>
                <w:lang w:val="es-ES"/>
              </w:rPr>
              <w:t>&lt; 0,30</w:t>
            </w:r>
          </w:p>
          <w:p w:rsidR="00503A41" w:rsidRPr="00993936" w:rsidRDefault="00503A41" w:rsidP="000452B8">
            <w:pPr>
              <w:jc w:val="center"/>
              <w:rPr>
                <w:rFonts w:ascii="Arial" w:hAnsi="Arial" w:cs="Arial"/>
                <w:lang w:val="es-ES"/>
              </w:rPr>
            </w:pPr>
            <w:r w:rsidRPr="00993936">
              <w:rPr>
                <w:rFonts w:ascii="Arial" w:hAnsi="Arial" w:cs="Arial"/>
                <w:lang w:val="es-ES"/>
              </w:rPr>
              <w:t>&lt; 0,10</w:t>
            </w:r>
          </w:p>
          <w:p w:rsidR="00503A41" w:rsidRPr="00993936" w:rsidRDefault="00503A41" w:rsidP="000452B8">
            <w:pPr>
              <w:jc w:val="center"/>
              <w:rPr>
                <w:rFonts w:ascii="Arial" w:hAnsi="Arial" w:cs="Arial"/>
                <w:lang w:val="es-ES"/>
              </w:rPr>
            </w:pPr>
            <w:r w:rsidRPr="00993936">
              <w:rPr>
                <w:rFonts w:ascii="Arial" w:hAnsi="Arial" w:cs="Arial"/>
                <w:lang w:val="es-ES"/>
              </w:rPr>
              <w:t>&lt; 60</w:t>
            </w:r>
          </w:p>
          <w:p w:rsidR="00503A41" w:rsidRPr="00993936" w:rsidRDefault="00503A41" w:rsidP="000452B8">
            <w:pPr>
              <w:jc w:val="center"/>
              <w:rPr>
                <w:rFonts w:ascii="Arial" w:hAnsi="Arial" w:cs="Arial"/>
                <w:lang w:val="es-ES"/>
              </w:rPr>
            </w:pPr>
            <w:r w:rsidRPr="00993936">
              <w:rPr>
                <w:rFonts w:ascii="Arial" w:hAnsi="Arial" w:cs="Arial"/>
                <w:lang w:val="es-ES"/>
              </w:rPr>
              <w:t>&lt; 20</w:t>
            </w:r>
          </w:p>
          <w:p w:rsidR="00503A41" w:rsidRPr="00993936" w:rsidRDefault="00503A41" w:rsidP="000452B8">
            <w:pPr>
              <w:jc w:val="center"/>
              <w:rPr>
                <w:rFonts w:ascii="Arial" w:hAnsi="Arial" w:cs="Arial"/>
                <w:lang w:val="es-ES"/>
              </w:rPr>
            </w:pPr>
            <w:r w:rsidRPr="00993936">
              <w:rPr>
                <w:rFonts w:ascii="Arial" w:hAnsi="Arial" w:cs="Arial"/>
                <w:lang w:val="es-ES"/>
              </w:rPr>
              <w:t>&lt; 12</w:t>
            </w:r>
          </w:p>
          <w:p w:rsidR="00503A41" w:rsidRPr="00993936" w:rsidRDefault="00503A41" w:rsidP="000452B8">
            <w:pPr>
              <w:jc w:val="center"/>
              <w:rPr>
                <w:rFonts w:ascii="Arial" w:hAnsi="Arial" w:cs="Arial"/>
                <w:lang w:val="es-ES"/>
              </w:rPr>
            </w:pPr>
            <w:r w:rsidRPr="00993936">
              <w:rPr>
                <w:rFonts w:ascii="Arial" w:hAnsi="Arial" w:cs="Arial"/>
                <w:lang w:val="es-ES"/>
              </w:rPr>
              <w:t>&lt; 5</w:t>
            </w:r>
          </w:p>
          <w:p w:rsidR="00503A41" w:rsidRPr="00993936" w:rsidRDefault="00503A41" w:rsidP="000452B8">
            <w:pPr>
              <w:jc w:val="center"/>
              <w:rPr>
                <w:rFonts w:ascii="Arial" w:hAnsi="Arial" w:cs="Arial"/>
                <w:lang w:val="es-ES"/>
              </w:rPr>
            </w:pPr>
            <w:r w:rsidRPr="00993936">
              <w:rPr>
                <w:rFonts w:ascii="Arial" w:hAnsi="Arial" w:cs="Arial"/>
                <w:lang w:val="es-ES"/>
              </w:rPr>
              <w:t>&lt; 10</w:t>
            </w:r>
          </w:p>
          <w:p w:rsidR="00503A41" w:rsidRPr="00993936" w:rsidRDefault="00503A41" w:rsidP="000452B8">
            <w:pPr>
              <w:jc w:val="center"/>
              <w:rPr>
                <w:rFonts w:ascii="Arial" w:hAnsi="Arial" w:cs="Arial"/>
                <w:lang w:val="es-ES"/>
              </w:rPr>
            </w:pPr>
            <w:r w:rsidRPr="00993936">
              <w:rPr>
                <w:rFonts w:ascii="Arial" w:hAnsi="Arial" w:cs="Arial"/>
                <w:lang w:val="es-ES"/>
              </w:rPr>
              <w:t>-</w:t>
            </w:r>
          </w:p>
        </w:tc>
        <w:tc>
          <w:tcPr>
            <w:tcW w:w="820" w:type="pct"/>
          </w:tcPr>
          <w:p w:rsidR="00503A41" w:rsidRPr="00993936" w:rsidRDefault="00503A41" w:rsidP="000452B8">
            <w:pPr>
              <w:jc w:val="center"/>
              <w:rPr>
                <w:rFonts w:ascii="Arial" w:hAnsi="Arial" w:cs="Arial"/>
                <w:lang w:val="es-ES"/>
              </w:rPr>
            </w:pPr>
            <w:r w:rsidRPr="00993936">
              <w:rPr>
                <w:rFonts w:ascii="Arial" w:hAnsi="Arial" w:cs="Arial"/>
                <w:lang w:val="es-ES"/>
              </w:rPr>
              <w:t>2,00 - 3,50</w:t>
            </w:r>
          </w:p>
          <w:p w:rsidR="00503A41" w:rsidRPr="00993936" w:rsidRDefault="00503A41" w:rsidP="000452B8">
            <w:pPr>
              <w:jc w:val="center"/>
              <w:rPr>
                <w:rFonts w:ascii="Arial" w:hAnsi="Arial" w:cs="Arial"/>
                <w:lang w:val="es-ES"/>
              </w:rPr>
            </w:pPr>
            <w:r w:rsidRPr="00993936">
              <w:rPr>
                <w:rFonts w:ascii="Arial" w:hAnsi="Arial" w:cs="Arial"/>
                <w:lang w:val="es-ES"/>
              </w:rPr>
              <w:t>0,12 - 0,28</w:t>
            </w:r>
          </w:p>
          <w:p w:rsidR="00503A41" w:rsidRPr="00993936" w:rsidRDefault="00503A41" w:rsidP="000452B8">
            <w:pPr>
              <w:jc w:val="center"/>
              <w:rPr>
                <w:rFonts w:ascii="Arial" w:hAnsi="Arial" w:cs="Arial"/>
                <w:lang w:val="es-ES"/>
              </w:rPr>
            </w:pPr>
            <w:r w:rsidRPr="00993936">
              <w:rPr>
                <w:rFonts w:ascii="Arial" w:hAnsi="Arial" w:cs="Arial"/>
                <w:lang w:val="es-ES"/>
              </w:rPr>
              <w:t xml:space="preserve">1,80 - 3,00 </w:t>
            </w:r>
          </w:p>
          <w:p w:rsidR="00503A41" w:rsidRPr="00993936" w:rsidRDefault="00503A41" w:rsidP="000452B8">
            <w:pPr>
              <w:jc w:val="center"/>
              <w:rPr>
                <w:rFonts w:ascii="Arial" w:hAnsi="Arial" w:cs="Arial"/>
                <w:lang w:val="es-ES"/>
              </w:rPr>
            </w:pPr>
            <w:r w:rsidRPr="00993936">
              <w:rPr>
                <w:rFonts w:ascii="Arial" w:hAnsi="Arial" w:cs="Arial"/>
                <w:lang w:val="es-ES"/>
              </w:rPr>
              <w:t xml:space="preserve"> 1,50 - 3,00</w:t>
            </w:r>
          </w:p>
          <w:p w:rsidR="00503A41" w:rsidRPr="00993936" w:rsidRDefault="00503A41" w:rsidP="000452B8">
            <w:pPr>
              <w:jc w:val="center"/>
              <w:rPr>
                <w:rFonts w:ascii="Arial" w:hAnsi="Arial" w:cs="Arial"/>
                <w:lang w:val="es-ES"/>
              </w:rPr>
            </w:pPr>
            <w:r w:rsidRPr="00993936">
              <w:rPr>
                <w:rFonts w:ascii="Arial" w:hAnsi="Arial" w:cs="Arial"/>
                <w:lang w:val="es-ES"/>
              </w:rPr>
              <w:t xml:space="preserve"> 0,30 - 0,65</w:t>
            </w:r>
          </w:p>
          <w:p w:rsidR="00503A41" w:rsidRPr="00993936" w:rsidRDefault="00503A41" w:rsidP="000452B8">
            <w:pPr>
              <w:jc w:val="center"/>
              <w:rPr>
                <w:rFonts w:ascii="Arial" w:hAnsi="Arial" w:cs="Arial"/>
                <w:lang w:val="es-ES"/>
              </w:rPr>
            </w:pPr>
            <w:r w:rsidRPr="00993936">
              <w:rPr>
                <w:rFonts w:ascii="Arial" w:hAnsi="Arial" w:cs="Arial"/>
                <w:lang w:val="es-ES"/>
              </w:rPr>
              <w:t>0,10 - 0,25</w:t>
            </w:r>
          </w:p>
          <w:p w:rsidR="00503A41" w:rsidRPr="00993936" w:rsidRDefault="00503A41" w:rsidP="000452B8">
            <w:pPr>
              <w:jc w:val="center"/>
              <w:rPr>
                <w:rFonts w:ascii="Arial" w:hAnsi="Arial" w:cs="Arial"/>
                <w:lang w:val="es-ES"/>
              </w:rPr>
            </w:pPr>
            <w:r w:rsidRPr="00993936">
              <w:rPr>
                <w:rFonts w:ascii="Arial" w:hAnsi="Arial" w:cs="Arial"/>
                <w:lang w:val="es-ES"/>
              </w:rPr>
              <w:t>60 - 250</w:t>
            </w:r>
          </w:p>
          <w:p w:rsidR="00503A41" w:rsidRPr="00993936" w:rsidRDefault="00503A41" w:rsidP="000452B8">
            <w:pPr>
              <w:jc w:val="center"/>
              <w:rPr>
                <w:rFonts w:ascii="Arial" w:hAnsi="Arial" w:cs="Arial"/>
                <w:lang w:val="es-ES"/>
              </w:rPr>
            </w:pPr>
            <w:r w:rsidRPr="00993936">
              <w:rPr>
                <w:rFonts w:ascii="Arial" w:hAnsi="Arial" w:cs="Arial"/>
                <w:lang w:val="es-ES"/>
              </w:rPr>
              <w:t>20 - 50</w:t>
            </w:r>
          </w:p>
          <w:p w:rsidR="00503A41" w:rsidRPr="00993936" w:rsidRDefault="00503A41" w:rsidP="000452B8">
            <w:pPr>
              <w:jc w:val="center"/>
              <w:rPr>
                <w:rFonts w:ascii="Arial" w:hAnsi="Arial" w:cs="Arial"/>
                <w:lang w:val="es-ES"/>
              </w:rPr>
            </w:pPr>
            <w:r w:rsidRPr="00993936">
              <w:rPr>
                <w:rFonts w:ascii="Arial" w:hAnsi="Arial" w:cs="Arial"/>
                <w:lang w:val="es-ES"/>
              </w:rPr>
              <w:t xml:space="preserve"> 12 - 50 </w:t>
            </w:r>
          </w:p>
          <w:p w:rsidR="00503A41" w:rsidRPr="00993936" w:rsidRDefault="00503A41" w:rsidP="000452B8">
            <w:pPr>
              <w:jc w:val="center"/>
              <w:rPr>
                <w:rFonts w:ascii="Arial" w:hAnsi="Arial" w:cs="Arial"/>
                <w:lang w:val="es-ES"/>
              </w:rPr>
            </w:pPr>
            <w:r w:rsidRPr="00993936">
              <w:rPr>
                <w:rFonts w:ascii="Arial" w:hAnsi="Arial" w:cs="Arial"/>
                <w:lang w:val="es-ES"/>
              </w:rPr>
              <w:t>5 - 20</w:t>
            </w:r>
          </w:p>
          <w:p w:rsidR="00503A41" w:rsidRPr="00993936" w:rsidRDefault="00503A41" w:rsidP="000452B8">
            <w:pPr>
              <w:jc w:val="center"/>
              <w:rPr>
                <w:rFonts w:ascii="Arial" w:hAnsi="Arial" w:cs="Arial"/>
                <w:lang w:val="es-ES"/>
              </w:rPr>
            </w:pPr>
            <w:r w:rsidRPr="00993936">
              <w:rPr>
                <w:rFonts w:ascii="Arial" w:hAnsi="Arial" w:cs="Arial"/>
                <w:lang w:val="es-ES"/>
              </w:rPr>
              <w:t>10 - 50</w:t>
            </w:r>
          </w:p>
          <w:p w:rsidR="00503A41" w:rsidRPr="00993936" w:rsidRDefault="00503A41" w:rsidP="000452B8">
            <w:pPr>
              <w:jc w:val="center"/>
              <w:rPr>
                <w:rFonts w:ascii="Arial" w:hAnsi="Arial" w:cs="Arial"/>
                <w:lang w:val="es-ES"/>
              </w:rPr>
            </w:pPr>
            <w:r w:rsidRPr="00993936">
              <w:rPr>
                <w:rFonts w:ascii="Arial" w:hAnsi="Arial" w:cs="Arial"/>
                <w:lang w:val="es-ES"/>
              </w:rPr>
              <w:t>&lt; 500</w:t>
            </w:r>
          </w:p>
        </w:tc>
        <w:tc>
          <w:tcPr>
            <w:tcW w:w="820" w:type="pct"/>
          </w:tcPr>
          <w:p w:rsidR="00503A41" w:rsidRPr="00993936" w:rsidRDefault="00503A41" w:rsidP="000452B8">
            <w:pPr>
              <w:jc w:val="center"/>
              <w:rPr>
                <w:rFonts w:ascii="Arial" w:hAnsi="Arial" w:cs="Arial"/>
                <w:lang w:val="es-ES"/>
              </w:rPr>
            </w:pPr>
            <w:r w:rsidRPr="00993936">
              <w:rPr>
                <w:rFonts w:ascii="Arial" w:hAnsi="Arial" w:cs="Arial"/>
                <w:lang w:val="es-ES"/>
              </w:rPr>
              <w:t>3,50 - 4,00</w:t>
            </w:r>
          </w:p>
          <w:p w:rsidR="00503A41" w:rsidRPr="00993936" w:rsidRDefault="00503A41" w:rsidP="000452B8">
            <w:pPr>
              <w:jc w:val="center"/>
              <w:rPr>
                <w:rFonts w:ascii="Arial" w:hAnsi="Arial" w:cs="Arial"/>
                <w:lang w:val="es-ES"/>
              </w:rPr>
            </w:pPr>
            <w:r w:rsidRPr="00993936">
              <w:rPr>
                <w:rFonts w:ascii="Arial" w:hAnsi="Arial" w:cs="Arial"/>
                <w:lang w:val="es-ES"/>
              </w:rPr>
              <w:t>&gt; 0,28</w:t>
            </w:r>
          </w:p>
          <w:p w:rsidR="00503A41" w:rsidRPr="00993936" w:rsidRDefault="00503A41" w:rsidP="000452B8">
            <w:pPr>
              <w:jc w:val="center"/>
              <w:rPr>
                <w:rFonts w:ascii="Arial" w:hAnsi="Arial" w:cs="Arial"/>
                <w:lang w:val="es-ES"/>
              </w:rPr>
            </w:pPr>
            <w:r w:rsidRPr="00993936">
              <w:rPr>
                <w:rFonts w:ascii="Arial" w:hAnsi="Arial" w:cs="Arial"/>
                <w:lang w:val="es-ES"/>
              </w:rPr>
              <w:t>3,00 - 4,00</w:t>
            </w:r>
          </w:p>
          <w:p w:rsidR="00503A41" w:rsidRPr="00993936" w:rsidRDefault="00503A41" w:rsidP="000452B8">
            <w:pPr>
              <w:jc w:val="center"/>
              <w:rPr>
                <w:rFonts w:ascii="Arial" w:hAnsi="Arial" w:cs="Arial"/>
                <w:lang w:val="es-ES"/>
              </w:rPr>
            </w:pPr>
            <w:r w:rsidRPr="00993936">
              <w:rPr>
                <w:rFonts w:ascii="Arial" w:hAnsi="Arial" w:cs="Arial"/>
                <w:lang w:val="es-ES"/>
              </w:rPr>
              <w:t>3,00 - 4,00</w:t>
            </w:r>
          </w:p>
          <w:p w:rsidR="00503A41" w:rsidRPr="00993936" w:rsidRDefault="00503A41" w:rsidP="000452B8">
            <w:pPr>
              <w:jc w:val="center"/>
              <w:rPr>
                <w:rFonts w:ascii="Arial" w:hAnsi="Arial" w:cs="Arial"/>
                <w:lang w:val="es-ES"/>
              </w:rPr>
            </w:pPr>
            <w:r w:rsidRPr="00993936">
              <w:rPr>
                <w:rFonts w:ascii="Arial" w:hAnsi="Arial" w:cs="Arial"/>
                <w:lang w:val="es-ES"/>
              </w:rPr>
              <w:t>0,65 - 1,10</w:t>
            </w:r>
          </w:p>
          <w:p w:rsidR="00503A41" w:rsidRPr="00993936" w:rsidRDefault="00503A41" w:rsidP="000452B8">
            <w:pPr>
              <w:jc w:val="center"/>
              <w:rPr>
                <w:rFonts w:ascii="Arial" w:hAnsi="Arial" w:cs="Arial"/>
                <w:lang w:val="es-ES"/>
              </w:rPr>
            </w:pPr>
            <w:r w:rsidRPr="00993936">
              <w:rPr>
                <w:rFonts w:ascii="Arial" w:hAnsi="Arial" w:cs="Arial"/>
                <w:lang w:val="es-ES"/>
              </w:rPr>
              <w:t>0,25 - 0,40</w:t>
            </w:r>
          </w:p>
          <w:p w:rsidR="00503A41" w:rsidRPr="00993936" w:rsidRDefault="00503A41" w:rsidP="000452B8">
            <w:pPr>
              <w:jc w:val="center"/>
              <w:rPr>
                <w:rFonts w:ascii="Arial" w:hAnsi="Arial" w:cs="Arial"/>
                <w:lang w:val="es-ES"/>
              </w:rPr>
            </w:pPr>
            <w:r w:rsidRPr="00993936">
              <w:rPr>
                <w:rFonts w:ascii="Arial" w:hAnsi="Arial" w:cs="Arial"/>
                <w:lang w:val="es-ES"/>
              </w:rPr>
              <w:t>&gt; 250</w:t>
            </w:r>
          </w:p>
          <w:p w:rsidR="00503A41" w:rsidRPr="00993936" w:rsidRDefault="00503A41" w:rsidP="000452B8">
            <w:pPr>
              <w:jc w:val="center"/>
              <w:rPr>
                <w:rFonts w:ascii="Arial" w:hAnsi="Arial" w:cs="Arial"/>
                <w:lang w:val="es-ES"/>
              </w:rPr>
            </w:pPr>
            <w:r w:rsidRPr="00993936">
              <w:rPr>
                <w:rFonts w:ascii="Arial" w:hAnsi="Arial" w:cs="Arial"/>
                <w:lang w:val="es-ES"/>
              </w:rPr>
              <w:t>50 - 80</w:t>
            </w:r>
          </w:p>
          <w:p w:rsidR="00503A41" w:rsidRPr="00993936" w:rsidRDefault="00503A41" w:rsidP="000452B8">
            <w:pPr>
              <w:jc w:val="center"/>
              <w:rPr>
                <w:rFonts w:ascii="Arial" w:hAnsi="Arial" w:cs="Arial"/>
                <w:lang w:val="es-ES"/>
              </w:rPr>
            </w:pPr>
            <w:r w:rsidRPr="00993936">
              <w:rPr>
                <w:rFonts w:ascii="Arial" w:hAnsi="Arial" w:cs="Arial"/>
                <w:lang w:val="es-ES"/>
              </w:rPr>
              <w:t>50 - 100</w:t>
            </w:r>
          </w:p>
          <w:p w:rsidR="00503A41" w:rsidRPr="00993936" w:rsidRDefault="00503A41" w:rsidP="000452B8">
            <w:pPr>
              <w:jc w:val="center"/>
              <w:rPr>
                <w:rFonts w:ascii="Arial" w:hAnsi="Arial" w:cs="Arial"/>
                <w:lang w:val="es-ES"/>
              </w:rPr>
            </w:pPr>
            <w:r w:rsidRPr="00993936">
              <w:rPr>
                <w:rFonts w:ascii="Arial" w:hAnsi="Arial" w:cs="Arial"/>
                <w:lang w:val="es-ES"/>
              </w:rPr>
              <w:t>20 - 50</w:t>
            </w:r>
          </w:p>
          <w:p w:rsidR="00503A41" w:rsidRPr="00993936" w:rsidRDefault="00503A41" w:rsidP="000452B8">
            <w:pPr>
              <w:jc w:val="center"/>
              <w:rPr>
                <w:rFonts w:ascii="Arial" w:hAnsi="Arial" w:cs="Arial"/>
                <w:lang w:val="es-ES"/>
              </w:rPr>
            </w:pPr>
            <w:r w:rsidRPr="00993936">
              <w:rPr>
                <w:rFonts w:ascii="Arial" w:hAnsi="Arial" w:cs="Arial"/>
                <w:lang w:val="es-ES"/>
              </w:rPr>
              <w:t>50 – 80</w:t>
            </w:r>
          </w:p>
          <w:p w:rsidR="00503A41" w:rsidRPr="00993936" w:rsidRDefault="00503A41" w:rsidP="000452B8">
            <w:pPr>
              <w:jc w:val="center"/>
              <w:rPr>
                <w:rFonts w:ascii="Arial" w:hAnsi="Arial" w:cs="Arial"/>
                <w:lang w:val="es-ES"/>
              </w:rPr>
            </w:pPr>
            <w:r w:rsidRPr="00993936">
              <w:rPr>
                <w:rFonts w:ascii="Arial" w:hAnsi="Arial" w:cs="Arial"/>
                <w:lang w:val="es-ES"/>
              </w:rPr>
              <w:t>&gt; 500</w:t>
            </w:r>
          </w:p>
        </w:tc>
        <w:tc>
          <w:tcPr>
            <w:tcW w:w="820" w:type="pct"/>
          </w:tcPr>
          <w:p w:rsidR="00503A41" w:rsidRPr="00993936" w:rsidRDefault="00503A41" w:rsidP="000452B8">
            <w:pPr>
              <w:jc w:val="center"/>
              <w:rPr>
                <w:rFonts w:ascii="Arial" w:hAnsi="Arial" w:cs="Arial"/>
                <w:lang w:val="es-ES"/>
              </w:rPr>
            </w:pPr>
            <w:r w:rsidRPr="00993936">
              <w:rPr>
                <w:rFonts w:ascii="Arial" w:hAnsi="Arial" w:cs="Arial"/>
                <w:lang w:val="es-ES"/>
              </w:rPr>
              <w:t>&gt; 4,00</w:t>
            </w:r>
          </w:p>
          <w:p w:rsidR="00503A41" w:rsidRPr="00993936" w:rsidRDefault="00503A41" w:rsidP="000452B8">
            <w:pPr>
              <w:jc w:val="center"/>
              <w:rPr>
                <w:rFonts w:ascii="Arial" w:hAnsi="Arial" w:cs="Arial"/>
                <w:lang w:val="es-ES"/>
              </w:rPr>
            </w:pPr>
            <w:r w:rsidRPr="00993936">
              <w:rPr>
                <w:rFonts w:ascii="Arial" w:hAnsi="Arial" w:cs="Arial"/>
                <w:lang w:val="es-ES"/>
              </w:rPr>
              <w:t>-</w:t>
            </w:r>
          </w:p>
          <w:p w:rsidR="00503A41" w:rsidRPr="00993936" w:rsidRDefault="00503A41" w:rsidP="000452B8">
            <w:pPr>
              <w:jc w:val="center"/>
              <w:rPr>
                <w:rFonts w:ascii="Arial" w:hAnsi="Arial" w:cs="Arial"/>
                <w:lang w:val="es-ES"/>
              </w:rPr>
            </w:pPr>
            <w:r w:rsidRPr="00993936">
              <w:rPr>
                <w:rFonts w:ascii="Arial" w:hAnsi="Arial" w:cs="Arial"/>
                <w:lang w:val="es-ES"/>
              </w:rPr>
              <w:t>&gt; 4,00</w:t>
            </w:r>
          </w:p>
          <w:p w:rsidR="00503A41" w:rsidRPr="00993936" w:rsidRDefault="00503A41" w:rsidP="000452B8">
            <w:pPr>
              <w:jc w:val="center"/>
              <w:rPr>
                <w:rFonts w:ascii="Arial" w:hAnsi="Arial" w:cs="Arial"/>
                <w:lang w:val="es-ES"/>
              </w:rPr>
            </w:pPr>
            <w:r w:rsidRPr="00993936">
              <w:rPr>
                <w:rFonts w:ascii="Arial" w:hAnsi="Arial" w:cs="Arial"/>
                <w:lang w:val="es-ES"/>
              </w:rPr>
              <w:t>&gt; 4,00</w:t>
            </w:r>
          </w:p>
          <w:p w:rsidR="00503A41" w:rsidRPr="00993936" w:rsidRDefault="00503A41" w:rsidP="000452B8">
            <w:pPr>
              <w:jc w:val="center"/>
              <w:rPr>
                <w:rFonts w:ascii="Arial" w:hAnsi="Arial" w:cs="Arial"/>
                <w:lang w:val="es-ES"/>
              </w:rPr>
            </w:pPr>
            <w:r w:rsidRPr="00993936">
              <w:rPr>
                <w:rFonts w:ascii="Arial" w:hAnsi="Arial" w:cs="Arial"/>
                <w:lang w:val="es-ES"/>
              </w:rPr>
              <w:t>&gt; 1,10</w:t>
            </w:r>
          </w:p>
          <w:p w:rsidR="00503A41" w:rsidRPr="00993936" w:rsidRDefault="00503A41" w:rsidP="000452B8">
            <w:pPr>
              <w:jc w:val="center"/>
              <w:rPr>
                <w:rFonts w:ascii="Arial" w:hAnsi="Arial" w:cs="Arial"/>
                <w:lang w:val="es-ES"/>
              </w:rPr>
            </w:pPr>
            <w:r w:rsidRPr="00993936">
              <w:rPr>
                <w:rFonts w:ascii="Arial" w:hAnsi="Arial" w:cs="Arial"/>
                <w:lang w:val="es-ES"/>
              </w:rPr>
              <w:t>&gt; 0,40</w:t>
            </w:r>
          </w:p>
          <w:p w:rsidR="00503A41" w:rsidRPr="00993936" w:rsidRDefault="00503A41" w:rsidP="000452B8">
            <w:pPr>
              <w:jc w:val="center"/>
              <w:rPr>
                <w:rFonts w:ascii="Arial" w:hAnsi="Arial" w:cs="Arial"/>
                <w:lang w:val="es-ES"/>
              </w:rPr>
            </w:pPr>
            <w:r w:rsidRPr="00993936">
              <w:rPr>
                <w:rFonts w:ascii="Arial" w:hAnsi="Arial" w:cs="Arial"/>
                <w:lang w:val="es-ES"/>
              </w:rPr>
              <w:t>-</w:t>
            </w:r>
          </w:p>
          <w:p w:rsidR="00503A41" w:rsidRPr="00993936" w:rsidRDefault="00503A41" w:rsidP="000452B8">
            <w:pPr>
              <w:jc w:val="center"/>
              <w:rPr>
                <w:rFonts w:ascii="Arial" w:hAnsi="Arial" w:cs="Arial"/>
                <w:lang w:val="es-ES"/>
              </w:rPr>
            </w:pPr>
            <w:r w:rsidRPr="00993936">
              <w:rPr>
                <w:rFonts w:ascii="Arial" w:hAnsi="Arial" w:cs="Arial"/>
                <w:lang w:val="es-ES"/>
              </w:rPr>
              <w:t>80 - 200</w:t>
            </w:r>
          </w:p>
          <w:p w:rsidR="00503A41" w:rsidRPr="00993936" w:rsidRDefault="00503A41" w:rsidP="000452B8">
            <w:pPr>
              <w:jc w:val="center"/>
              <w:rPr>
                <w:rFonts w:ascii="Arial" w:hAnsi="Arial" w:cs="Arial"/>
                <w:lang w:val="es-ES"/>
              </w:rPr>
            </w:pPr>
            <w:r w:rsidRPr="00993936">
              <w:rPr>
                <w:rFonts w:ascii="Arial" w:hAnsi="Arial" w:cs="Arial"/>
                <w:lang w:val="es-ES"/>
              </w:rPr>
              <w:t>100 - 200</w:t>
            </w:r>
          </w:p>
          <w:p w:rsidR="00503A41" w:rsidRPr="00993936" w:rsidRDefault="00503A41" w:rsidP="000452B8">
            <w:pPr>
              <w:jc w:val="center"/>
              <w:rPr>
                <w:rFonts w:ascii="Arial" w:hAnsi="Arial" w:cs="Arial"/>
                <w:lang w:val="es-ES"/>
              </w:rPr>
            </w:pPr>
            <w:r w:rsidRPr="00993936">
              <w:rPr>
                <w:rFonts w:ascii="Arial" w:hAnsi="Arial" w:cs="Arial"/>
                <w:lang w:val="es-ES"/>
              </w:rPr>
              <w:t>50 - 100</w:t>
            </w:r>
          </w:p>
          <w:p w:rsidR="00503A41" w:rsidRPr="00993936" w:rsidRDefault="00503A41" w:rsidP="000452B8">
            <w:pPr>
              <w:jc w:val="center"/>
              <w:rPr>
                <w:rFonts w:ascii="Arial" w:hAnsi="Arial" w:cs="Arial"/>
                <w:lang w:val="es-ES"/>
              </w:rPr>
            </w:pPr>
            <w:r w:rsidRPr="00993936">
              <w:rPr>
                <w:rFonts w:ascii="Arial" w:hAnsi="Arial" w:cs="Arial"/>
                <w:lang w:val="es-ES"/>
              </w:rPr>
              <w:t>&gt; 80</w:t>
            </w:r>
          </w:p>
          <w:p w:rsidR="00503A41" w:rsidRPr="00993936" w:rsidRDefault="00503A41" w:rsidP="000452B8">
            <w:pPr>
              <w:jc w:val="center"/>
              <w:rPr>
                <w:rFonts w:ascii="Arial" w:hAnsi="Arial" w:cs="Arial"/>
                <w:lang w:val="es-ES"/>
              </w:rPr>
            </w:pPr>
            <w:r w:rsidRPr="00993936">
              <w:rPr>
                <w:rFonts w:ascii="Arial" w:hAnsi="Arial" w:cs="Arial"/>
                <w:lang w:val="es-ES"/>
              </w:rPr>
              <w:t>-</w:t>
            </w:r>
          </w:p>
        </w:tc>
      </w:tr>
    </w:tbl>
    <w:p w:rsidR="00503A41" w:rsidRPr="00993936" w:rsidRDefault="00503A41" w:rsidP="000452B8">
      <w:pPr>
        <w:jc w:val="both"/>
        <w:rPr>
          <w:rFonts w:ascii="Arial" w:hAnsi="Arial" w:cs="Arial"/>
          <w:lang w:val="es-ES"/>
        </w:rPr>
      </w:pPr>
      <w:r w:rsidRPr="00993936">
        <w:rPr>
          <w:rFonts w:ascii="Arial" w:hAnsi="Arial" w:cs="Arial"/>
          <w:lang w:val="es-ES"/>
        </w:rPr>
        <w:t xml:space="preserve">Fuente:  Laboratorio de Análisis y Fertilidad del Suelos (Applus Agroambiental S.A.) </w:t>
      </w:r>
    </w:p>
    <w:p w:rsidR="00503A41" w:rsidRPr="00993936" w:rsidRDefault="00503A41" w:rsidP="000452B8">
      <w:pPr>
        <w:pStyle w:val="Ttulo3"/>
        <w:rPr>
          <w:rFonts w:ascii="Arial" w:hAnsi="Arial" w:cs="Arial"/>
          <w:b/>
          <w:color w:val="auto"/>
          <w:szCs w:val="22"/>
          <w:lang w:val="es-ES"/>
        </w:rPr>
      </w:pPr>
    </w:p>
    <w:p w:rsidR="00503A41" w:rsidRPr="00993936" w:rsidRDefault="00503A41" w:rsidP="000452B8">
      <w:pPr>
        <w:pStyle w:val="Ttulo3"/>
        <w:rPr>
          <w:rFonts w:ascii="Arial" w:hAnsi="Arial" w:cs="Arial"/>
          <w:b/>
          <w:color w:val="auto"/>
          <w:szCs w:val="22"/>
          <w:lang w:val="es-ES"/>
        </w:rPr>
      </w:pPr>
      <w:r w:rsidRPr="00993936">
        <w:rPr>
          <w:rFonts w:ascii="Arial" w:hAnsi="Arial" w:cs="Arial"/>
          <w:color w:val="auto"/>
          <w:szCs w:val="22"/>
          <w:lang w:val="es-ES"/>
        </w:rPr>
        <w:br w:type="page"/>
      </w:r>
      <w:r w:rsidRPr="00993936">
        <w:rPr>
          <w:rFonts w:ascii="Arial" w:hAnsi="Arial" w:cs="Arial"/>
          <w:b/>
          <w:color w:val="auto"/>
          <w:szCs w:val="22"/>
          <w:lang w:val="es-ES"/>
        </w:rPr>
        <w:lastRenderedPageBreak/>
        <w:t>ANEXO 8</w:t>
      </w:r>
    </w:p>
    <w:p w:rsidR="00503A41" w:rsidRPr="00993936" w:rsidRDefault="00503A41" w:rsidP="000452B8">
      <w:pPr>
        <w:pStyle w:val="Ttulo3"/>
        <w:rPr>
          <w:rFonts w:ascii="Arial" w:hAnsi="Arial" w:cs="Arial"/>
          <w:color w:val="auto"/>
          <w:szCs w:val="22"/>
          <w:lang w:val="es-ES"/>
        </w:rPr>
      </w:pPr>
      <w:r w:rsidRPr="00993936">
        <w:rPr>
          <w:rFonts w:ascii="Arial" w:hAnsi="Arial" w:cs="Arial"/>
          <w:color w:val="auto"/>
          <w:szCs w:val="22"/>
          <w:lang w:val="es-ES"/>
        </w:rPr>
        <w:t>8.1 Tabla orientativa del contenido de nutrientes de algunos abonos</w:t>
      </w:r>
      <w:r w:rsidRPr="00993936">
        <w:rPr>
          <w:rFonts w:ascii="Arial" w:hAnsi="Arial" w:cs="Arial"/>
          <w:vanish/>
          <w:color w:val="auto"/>
          <w:szCs w:val="22"/>
          <w:lang w:val="es-ES"/>
        </w:rPr>
        <w:t>&lt;A[abonos|adobos]&gt;</w:t>
      </w:r>
      <w:r w:rsidRPr="00993936">
        <w:rPr>
          <w:rFonts w:ascii="Arial" w:hAnsi="Arial" w:cs="Arial"/>
          <w:color w:val="auto"/>
          <w:szCs w:val="22"/>
          <w:lang w:val="es-ES"/>
        </w:rPr>
        <w:t xml:space="preserve"> orgánicos </w:t>
      </w:r>
    </w:p>
    <w:p w:rsidR="00503A41" w:rsidRPr="00993936" w:rsidRDefault="00503A41" w:rsidP="000452B8">
      <w:pPr>
        <w:pStyle w:val="Ttulo3"/>
        <w:rPr>
          <w:rFonts w:ascii="Arial" w:hAnsi="Arial" w:cs="Arial"/>
          <w:color w:val="auto"/>
          <w:sz w:val="8"/>
          <w:szCs w:val="22"/>
          <w:lang w:val="es-ES"/>
        </w:rPr>
      </w:pPr>
    </w:p>
    <w:tbl>
      <w:tblPr>
        <w:tblW w:w="5000" w:type="pct"/>
        <w:tblLayout w:type="fixed"/>
        <w:tblCellMar>
          <w:left w:w="70" w:type="dxa"/>
          <w:right w:w="70" w:type="dxa"/>
        </w:tblCellMar>
        <w:tblLook w:val="0000" w:firstRow="0" w:lastRow="0" w:firstColumn="0" w:lastColumn="0" w:noHBand="0" w:noVBand="0"/>
      </w:tblPr>
      <w:tblGrid>
        <w:gridCol w:w="1011"/>
        <w:gridCol w:w="1465"/>
        <w:gridCol w:w="3036"/>
        <w:gridCol w:w="1044"/>
        <w:gridCol w:w="1044"/>
        <w:gridCol w:w="1044"/>
      </w:tblGrid>
      <w:tr w:rsidR="00503A41" w:rsidRPr="00993936" w:rsidTr="001D205D">
        <w:trPr>
          <w:trHeight w:val="555"/>
        </w:trPr>
        <w:tc>
          <w:tcPr>
            <w:tcW w:w="584"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Ganado</w:t>
            </w:r>
          </w:p>
        </w:tc>
        <w:tc>
          <w:tcPr>
            <w:tcW w:w="847"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Tipo</w:t>
            </w:r>
          </w:p>
        </w:tc>
        <w:tc>
          <w:tcPr>
            <w:tcW w:w="1756" w:type="pct"/>
            <w:tcBorders>
              <w:top w:val="single" w:sz="8" w:space="0" w:color="auto"/>
              <w:left w:val="nil"/>
              <w:bottom w:val="single" w:sz="8" w:space="0" w:color="auto"/>
              <w:right w:val="nil"/>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Fase / Sistema Productivo</w:t>
            </w:r>
          </w:p>
        </w:tc>
        <w:tc>
          <w:tcPr>
            <w:tcW w:w="604"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Kg N/m</w:t>
            </w:r>
            <w:r w:rsidRPr="00993936">
              <w:rPr>
                <w:rFonts w:ascii="Arial" w:hAnsi="Arial" w:cs="Arial"/>
                <w:vertAlign w:val="superscript"/>
                <w:lang w:val="es-ES" w:eastAsia="ca-ES"/>
              </w:rPr>
              <w:t>3</w:t>
            </w:r>
            <w:r w:rsidRPr="00993936">
              <w:rPr>
                <w:rFonts w:ascii="Arial" w:hAnsi="Arial" w:cs="Arial"/>
                <w:lang w:val="es-ES" w:eastAsia="ca-ES"/>
              </w:rPr>
              <w:t xml:space="preserve"> o tonelada *</w:t>
            </w:r>
          </w:p>
        </w:tc>
        <w:tc>
          <w:tcPr>
            <w:tcW w:w="604"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Kg P</w:t>
            </w:r>
            <w:r w:rsidRPr="00993936">
              <w:rPr>
                <w:rFonts w:ascii="Arial" w:hAnsi="Arial" w:cs="Arial"/>
                <w:vertAlign w:val="subscript"/>
                <w:lang w:val="es-ES" w:eastAsia="ca-ES"/>
              </w:rPr>
              <w:t>2</w:t>
            </w:r>
            <w:r w:rsidRPr="00993936">
              <w:rPr>
                <w:rFonts w:ascii="Arial" w:hAnsi="Arial" w:cs="Arial"/>
                <w:lang w:val="es-ES" w:eastAsia="ca-ES"/>
              </w:rPr>
              <w:t>O</w:t>
            </w:r>
            <w:r w:rsidRPr="00993936">
              <w:rPr>
                <w:rFonts w:ascii="Arial" w:hAnsi="Arial" w:cs="Arial"/>
                <w:vertAlign w:val="subscript"/>
                <w:lang w:val="es-ES" w:eastAsia="ca-ES"/>
              </w:rPr>
              <w:t>5</w:t>
            </w:r>
            <w:r w:rsidRPr="00993936">
              <w:rPr>
                <w:rFonts w:ascii="Arial" w:hAnsi="Arial" w:cs="Arial"/>
                <w:lang w:val="es-ES" w:eastAsia="ca-ES"/>
              </w:rPr>
              <w:t>/m</w:t>
            </w:r>
            <w:r w:rsidRPr="00993936">
              <w:rPr>
                <w:rFonts w:ascii="Arial" w:hAnsi="Arial" w:cs="Arial"/>
                <w:vertAlign w:val="superscript"/>
                <w:lang w:val="es-ES" w:eastAsia="ca-ES"/>
              </w:rPr>
              <w:t xml:space="preserve">3 </w:t>
            </w:r>
            <w:r w:rsidRPr="00993936">
              <w:rPr>
                <w:rFonts w:ascii="Arial" w:hAnsi="Arial" w:cs="Arial"/>
                <w:lang w:val="es-ES" w:eastAsia="ca-ES"/>
              </w:rPr>
              <w:t>o tonelada *</w:t>
            </w:r>
          </w:p>
        </w:tc>
        <w:tc>
          <w:tcPr>
            <w:tcW w:w="604"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Kg K</w:t>
            </w:r>
            <w:r w:rsidRPr="00993936">
              <w:rPr>
                <w:rFonts w:ascii="Arial" w:hAnsi="Arial" w:cs="Arial"/>
                <w:vertAlign w:val="subscript"/>
                <w:lang w:val="es-ES" w:eastAsia="ca-ES"/>
              </w:rPr>
              <w:t>2</w:t>
            </w:r>
            <w:r w:rsidRPr="00993936">
              <w:rPr>
                <w:rFonts w:ascii="Arial" w:hAnsi="Arial" w:cs="Arial"/>
                <w:lang w:val="es-ES" w:eastAsia="ca-ES"/>
              </w:rPr>
              <w:t>O/m</w:t>
            </w:r>
            <w:r w:rsidRPr="00993936">
              <w:rPr>
                <w:rFonts w:ascii="Arial" w:hAnsi="Arial" w:cs="Arial"/>
                <w:vertAlign w:val="superscript"/>
                <w:lang w:val="es-ES" w:eastAsia="ca-ES"/>
              </w:rPr>
              <w:t xml:space="preserve">3 </w:t>
            </w:r>
            <w:r w:rsidRPr="00993936">
              <w:rPr>
                <w:rFonts w:ascii="Arial" w:hAnsi="Arial" w:cs="Arial"/>
                <w:lang w:val="es-ES" w:eastAsia="ca-ES"/>
              </w:rPr>
              <w:t>o tonelada *</w:t>
            </w:r>
          </w:p>
        </w:tc>
      </w:tr>
      <w:tr w:rsidR="00503A41" w:rsidRPr="00993936" w:rsidTr="001D205D">
        <w:trPr>
          <w:trHeight w:val="300"/>
        </w:trPr>
        <w:tc>
          <w:tcPr>
            <w:tcW w:w="584" w:type="pct"/>
            <w:vMerge w:val="restart"/>
            <w:tcBorders>
              <w:top w:val="nil"/>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Porcino</w:t>
            </w:r>
          </w:p>
        </w:tc>
        <w:tc>
          <w:tcPr>
            <w:tcW w:w="847" w:type="pct"/>
            <w:vMerge w:val="restart"/>
            <w:tcBorders>
              <w:top w:val="nil"/>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Purín</w:t>
            </w: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Engorde</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5,7</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3,6</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4,2</w:t>
            </w:r>
          </w:p>
        </w:tc>
      </w:tr>
      <w:tr w:rsidR="00503A41" w:rsidRPr="00993936" w:rsidTr="001D205D">
        <w:trPr>
          <w:trHeight w:val="300"/>
        </w:trPr>
        <w:tc>
          <w:tcPr>
            <w:tcW w:w="584" w:type="pct"/>
            <w:vMerge/>
            <w:tcBorders>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Reproductora</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2,9</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2,1</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1,8</w:t>
            </w:r>
          </w:p>
        </w:tc>
      </w:tr>
      <w:tr w:rsidR="00503A41" w:rsidRPr="00993936" w:rsidTr="001D205D">
        <w:trPr>
          <w:trHeight w:val="300"/>
        </w:trPr>
        <w:tc>
          <w:tcPr>
            <w:tcW w:w="584" w:type="pct"/>
            <w:vMerge/>
            <w:tcBorders>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Cochinillos (6-20kg)</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3,4</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2,6</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1,7</w:t>
            </w:r>
          </w:p>
        </w:tc>
      </w:tr>
      <w:tr w:rsidR="00503A41" w:rsidRPr="00993936" w:rsidTr="001D205D">
        <w:trPr>
          <w:trHeight w:val="300"/>
        </w:trPr>
        <w:tc>
          <w:tcPr>
            <w:tcW w:w="584" w:type="pct"/>
            <w:vMerge/>
            <w:tcBorders>
              <w:left w:val="single" w:sz="8" w:space="0" w:color="auto"/>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Ciclo cerrado</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3,4</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2,4</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2,5</w:t>
            </w:r>
          </w:p>
        </w:tc>
      </w:tr>
      <w:tr w:rsidR="00503A41" w:rsidRPr="00993936" w:rsidTr="001D205D">
        <w:trPr>
          <w:trHeight w:val="300"/>
        </w:trPr>
        <w:tc>
          <w:tcPr>
            <w:tcW w:w="584"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Ganado vacuno</w:t>
            </w:r>
          </w:p>
        </w:tc>
        <w:tc>
          <w:tcPr>
            <w:tcW w:w="847" w:type="pct"/>
            <w:vMerge w:val="restart"/>
            <w:tcBorders>
              <w:top w:val="single" w:sz="8" w:space="0" w:color="auto"/>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Purín</w:t>
            </w:r>
          </w:p>
        </w:tc>
        <w:tc>
          <w:tcPr>
            <w:tcW w:w="1756" w:type="pct"/>
            <w:tcBorders>
              <w:top w:val="single" w:sz="8" w:space="0" w:color="auto"/>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Vaca de leche</w:t>
            </w:r>
          </w:p>
        </w:tc>
        <w:tc>
          <w:tcPr>
            <w:tcW w:w="604"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3,3</w:t>
            </w:r>
          </w:p>
        </w:tc>
        <w:tc>
          <w:tcPr>
            <w:tcW w:w="604"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1,5</w:t>
            </w:r>
          </w:p>
        </w:tc>
        <w:tc>
          <w:tcPr>
            <w:tcW w:w="604" w:type="pct"/>
            <w:tcBorders>
              <w:top w:val="single" w:sz="8" w:space="0" w:color="auto"/>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3,4</w:t>
            </w:r>
          </w:p>
        </w:tc>
      </w:tr>
      <w:tr w:rsidR="00503A41" w:rsidRPr="00993936" w:rsidTr="001D205D">
        <w:trPr>
          <w:trHeight w:val="300"/>
        </w:trPr>
        <w:tc>
          <w:tcPr>
            <w:tcW w:w="584"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Engorde terneros</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5,2</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1,7</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3,6</w:t>
            </w:r>
          </w:p>
        </w:tc>
      </w:tr>
      <w:tr w:rsidR="00503A41" w:rsidRPr="00993936" w:rsidTr="001D205D">
        <w:trPr>
          <w:trHeight w:val="300"/>
        </w:trPr>
        <w:tc>
          <w:tcPr>
            <w:tcW w:w="584"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val="restart"/>
            <w:tcBorders>
              <w:top w:val="single" w:sz="8" w:space="0" w:color="auto"/>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Estiércol</w:t>
            </w:r>
          </w:p>
          <w:p w:rsidR="00503A41" w:rsidRPr="00993936" w:rsidRDefault="00503A41" w:rsidP="001D205D">
            <w:pPr>
              <w:pStyle w:val="Sinespaciado"/>
              <w:rPr>
                <w:rFonts w:ascii="Arial" w:hAnsi="Arial" w:cs="Arial"/>
                <w:lang w:val="es-ES" w:eastAsia="ca-ES"/>
              </w:rPr>
            </w:pPr>
          </w:p>
        </w:tc>
        <w:tc>
          <w:tcPr>
            <w:tcW w:w="1756" w:type="pct"/>
            <w:tcBorders>
              <w:top w:val="single" w:sz="8" w:space="0" w:color="auto"/>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Vaca de leche</w:t>
            </w:r>
          </w:p>
        </w:tc>
        <w:tc>
          <w:tcPr>
            <w:tcW w:w="604"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5,5</w:t>
            </w:r>
          </w:p>
        </w:tc>
        <w:tc>
          <w:tcPr>
            <w:tcW w:w="604"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2,0</w:t>
            </w:r>
          </w:p>
        </w:tc>
        <w:tc>
          <w:tcPr>
            <w:tcW w:w="604" w:type="pct"/>
            <w:tcBorders>
              <w:top w:val="single" w:sz="8" w:space="0" w:color="auto"/>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7,9</w:t>
            </w:r>
          </w:p>
        </w:tc>
      </w:tr>
      <w:tr w:rsidR="00503A41" w:rsidRPr="00993936" w:rsidTr="001D205D">
        <w:trPr>
          <w:trHeight w:val="300"/>
        </w:trPr>
        <w:tc>
          <w:tcPr>
            <w:tcW w:w="584"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Vaca de carne</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3,0</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2,0</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5,0</w:t>
            </w:r>
          </w:p>
        </w:tc>
      </w:tr>
      <w:tr w:rsidR="00503A41" w:rsidRPr="00993936" w:rsidTr="001D205D">
        <w:trPr>
          <w:trHeight w:val="300"/>
        </w:trPr>
        <w:tc>
          <w:tcPr>
            <w:tcW w:w="584"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Ternero de engorde</w:t>
            </w:r>
          </w:p>
        </w:tc>
        <w:tc>
          <w:tcPr>
            <w:tcW w:w="60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6,0</w:t>
            </w:r>
          </w:p>
        </w:tc>
        <w:tc>
          <w:tcPr>
            <w:tcW w:w="60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5,0</w:t>
            </w:r>
          </w:p>
        </w:tc>
        <w:tc>
          <w:tcPr>
            <w:tcW w:w="604"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6,0</w:t>
            </w:r>
          </w:p>
        </w:tc>
      </w:tr>
      <w:tr w:rsidR="00503A41" w:rsidRPr="00993936" w:rsidTr="001D205D">
        <w:trPr>
          <w:trHeight w:val="300"/>
        </w:trPr>
        <w:tc>
          <w:tcPr>
            <w:tcW w:w="584"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Aves de corral</w:t>
            </w:r>
          </w:p>
        </w:tc>
        <w:tc>
          <w:tcPr>
            <w:tcW w:w="847" w:type="pct"/>
            <w:vMerge w:val="restart"/>
            <w:tcBorders>
              <w:top w:val="nil"/>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Gallinaza</w:t>
            </w: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Pavo</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24,9</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25,8</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20,0</w:t>
            </w:r>
          </w:p>
        </w:tc>
      </w:tr>
      <w:tr w:rsidR="00503A41" w:rsidRPr="00993936" w:rsidTr="001D205D">
        <w:trPr>
          <w:trHeight w:val="300"/>
        </w:trPr>
        <w:tc>
          <w:tcPr>
            <w:tcW w:w="584"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Pollo de engorde</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22,8</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21,1</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17,7</w:t>
            </w:r>
          </w:p>
        </w:tc>
      </w:tr>
      <w:tr w:rsidR="00503A41" w:rsidRPr="00993936" w:rsidTr="001D205D">
        <w:trPr>
          <w:trHeight w:val="300"/>
        </w:trPr>
        <w:tc>
          <w:tcPr>
            <w:tcW w:w="584"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Gallina ponedora</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12,5</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10,4</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8,0</w:t>
            </w:r>
          </w:p>
        </w:tc>
      </w:tr>
      <w:tr w:rsidR="00503A41" w:rsidRPr="00993936" w:rsidTr="001D205D">
        <w:trPr>
          <w:trHeight w:val="300"/>
        </w:trPr>
        <w:tc>
          <w:tcPr>
            <w:tcW w:w="584"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Gallina reproductora</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17,4</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33,9</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23,6</w:t>
            </w:r>
          </w:p>
        </w:tc>
      </w:tr>
      <w:tr w:rsidR="00503A41" w:rsidRPr="00993936" w:rsidTr="001D205D">
        <w:trPr>
          <w:trHeight w:val="300"/>
        </w:trPr>
        <w:tc>
          <w:tcPr>
            <w:tcW w:w="584"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Gallina reposición</w:t>
            </w:r>
          </w:p>
        </w:tc>
        <w:tc>
          <w:tcPr>
            <w:tcW w:w="60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19,5</w:t>
            </w:r>
          </w:p>
        </w:tc>
        <w:tc>
          <w:tcPr>
            <w:tcW w:w="60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45,8</w:t>
            </w:r>
          </w:p>
        </w:tc>
        <w:tc>
          <w:tcPr>
            <w:tcW w:w="604"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25,5</w:t>
            </w:r>
          </w:p>
        </w:tc>
      </w:tr>
      <w:tr w:rsidR="00503A41" w:rsidRPr="00993936" w:rsidTr="001D205D">
        <w:trPr>
          <w:trHeight w:val="300"/>
        </w:trPr>
        <w:tc>
          <w:tcPr>
            <w:tcW w:w="584"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Ovino-ganado cabrío</w:t>
            </w:r>
          </w:p>
        </w:tc>
        <w:tc>
          <w:tcPr>
            <w:tcW w:w="847" w:type="pct"/>
            <w:vMerge w:val="restart"/>
            <w:tcBorders>
              <w:top w:val="nil"/>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Estiércol</w:t>
            </w:r>
          </w:p>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Oveja de carne</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9,4</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5,0</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10,0</w:t>
            </w:r>
          </w:p>
        </w:tc>
      </w:tr>
      <w:tr w:rsidR="00503A41" w:rsidRPr="00993936" w:rsidTr="001D205D">
        <w:trPr>
          <w:trHeight w:val="300"/>
        </w:trPr>
        <w:tc>
          <w:tcPr>
            <w:tcW w:w="584"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Oveja de leche</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8,1</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3,2</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8,6</w:t>
            </w:r>
          </w:p>
        </w:tc>
      </w:tr>
      <w:tr w:rsidR="00503A41" w:rsidRPr="00993936" w:rsidTr="001D205D">
        <w:trPr>
          <w:trHeight w:val="300"/>
        </w:trPr>
        <w:tc>
          <w:tcPr>
            <w:tcW w:w="584"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1756"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Cabra</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9,4</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5,0</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9,0</w:t>
            </w:r>
          </w:p>
        </w:tc>
      </w:tr>
      <w:tr w:rsidR="00503A41" w:rsidRPr="00993936" w:rsidTr="001D205D">
        <w:trPr>
          <w:trHeight w:val="300"/>
        </w:trPr>
        <w:tc>
          <w:tcPr>
            <w:tcW w:w="584" w:type="pct"/>
            <w:vMerge/>
            <w:tcBorders>
              <w:left w:val="single" w:sz="8" w:space="0" w:color="auto"/>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847" w:type="pct"/>
            <w:tcBorders>
              <w:top w:val="nil"/>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purín</w:t>
            </w:r>
          </w:p>
        </w:tc>
        <w:tc>
          <w:tcPr>
            <w:tcW w:w="1756" w:type="pct"/>
            <w:tcBorders>
              <w:top w:val="single" w:sz="8" w:space="0" w:color="auto"/>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Oveja de leche</w:t>
            </w:r>
          </w:p>
        </w:tc>
        <w:tc>
          <w:tcPr>
            <w:tcW w:w="604" w:type="pct"/>
            <w:tcBorders>
              <w:top w:val="single" w:sz="8" w:space="0" w:color="auto"/>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7,3</w:t>
            </w:r>
          </w:p>
        </w:tc>
        <w:tc>
          <w:tcPr>
            <w:tcW w:w="604" w:type="pct"/>
            <w:tcBorders>
              <w:top w:val="single" w:sz="8" w:space="0" w:color="auto"/>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3,4</w:t>
            </w:r>
          </w:p>
        </w:tc>
        <w:tc>
          <w:tcPr>
            <w:tcW w:w="604" w:type="pct"/>
            <w:tcBorders>
              <w:top w:val="single" w:sz="8" w:space="0" w:color="auto"/>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7,1</w:t>
            </w:r>
          </w:p>
        </w:tc>
      </w:tr>
      <w:tr w:rsidR="00503A41" w:rsidRPr="00993936" w:rsidTr="001D205D">
        <w:trPr>
          <w:trHeight w:val="300"/>
        </w:trPr>
        <w:tc>
          <w:tcPr>
            <w:tcW w:w="584" w:type="pct"/>
            <w:tcBorders>
              <w:top w:val="nil"/>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Equino</w:t>
            </w:r>
          </w:p>
        </w:tc>
        <w:tc>
          <w:tcPr>
            <w:tcW w:w="847"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Estiércol</w:t>
            </w:r>
          </w:p>
          <w:p w:rsidR="00503A41" w:rsidRPr="00993936" w:rsidRDefault="00503A41" w:rsidP="001D205D">
            <w:pPr>
              <w:pStyle w:val="Sinespaciado"/>
              <w:rPr>
                <w:rFonts w:ascii="Arial" w:hAnsi="Arial" w:cs="Arial"/>
                <w:lang w:val="es-ES" w:eastAsia="ca-ES"/>
              </w:rPr>
            </w:pPr>
          </w:p>
        </w:tc>
        <w:tc>
          <w:tcPr>
            <w:tcW w:w="1756" w:type="pct"/>
            <w:tcBorders>
              <w:top w:val="nil"/>
              <w:left w:val="single" w:sz="8" w:space="0" w:color="auto"/>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Caballo</w:t>
            </w:r>
          </w:p>
        </w:tc>
        <w:tc>
          <w:tcPr>
            <w:tcW w:w="60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5,7</w:t>
            </w:r>
          </w:p>
        </w:tc>
        <w:tc>
          <w:tcPr>
            <w:tcW w:w="60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2,1</w:t>
            </w:r>
          </w:p>
        </w:tc>
        <w:tc>
          <w:tcPr>
            <w:tcW w:w="604"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8,2</w:t>
            </w:r>
          </w:p>
        </w:tc>
      </w:tr>
      <w:tr w:rsidR="00503A41" w:rsidRPr="00993936" w:rsidTr="001D205D">
        <w:trPr>
          <w:trHeight w:val="300"/>
        </w:trPr>
        <w:tc>
          <w:tcPr>
            <w:tcW w:w="584" w:type="pct"/>
            <w:tcBorders>
              <w:top w:val="single" w:sz="8" w:space="0" w:color="auto"/>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Cunícola</w:t>
            </w:r>
          </w:p>
        </w:tc>
        <w:tc>
          <w:tcPr>
            <w:tcW w:w="847"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Estiércol</w:t>
            </w:r>
          </w:p>
          <w:p w:rsidR="00503A41" w:rsidRPr="00993936" w:rsidRDefault="00503A41" w:rsidP="001D205D">
            <w:pPr>
              <w:pStyle w:val="Sinespaciado"/>
              <w:rPr>
                <w:rFonts w:ascii="Arial" w:hAnsi="Arial" w:cs="Arial"/>
                <w:lang w:val="es-ES" w:eastAsia="ca-ES"/>
              </w:rPr>
            </w:pPr>
          </w:p>
        </w:tc>
        <w:tc>
          <w:tcPr>
            <w:tcW w:w="1756" w:type="pct"/>
            <w:tcBorders>
              <w:top w:val="nil"/>
              <w:left w:val="single" w:sz="8" w:space="0" w:color="auto"/>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Conejo</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8,4</w:t>
            </w:r>
          </w:p>
        </w:tc>
        <w:tc>
          <w:tcPr>
            <w:tcW w:w="60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10,3</w:t>
            </w:r>
          </w:p>
        </w:tc>
        <w:tc>
          <w:tcPr>
            <w:tcW w:w="604"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9,5</w:t>
            </w:r>
          </w:p>
        </w:tc>
      </w:tr>
      <w:tr w:rsidR="00503A41" w:rsidRPr="00993936" w:rsidTr="001D205D">
        <w:trPr>
          <w:trHeight w:val="300"/>
        </w:trPr>
        <w:tc>
          <w:tcPr>
            <w:tcW w:w="1431" w:type="pct"/>
            <w:gridSpan w:val="2"/>
            <w:vMerge w:val="restart"/>
            <w:tcBorders>
              <w:top w:val="single" w:sz="8" w:space="0" w:color="auto"/>
              <w:left w:val="single" w:sz="8" w:space="0" w:color="auto"/>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OTROS*</w:t>
            </w:r>
          </w:p>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xml:space="preserve"> </w:t>
            </w:r>
          </w:p>
        </w:tc>
        <w:tc>
          <w:tcPr>
            <w:tcW w:w="1756" w:type="pct"/>
            <w:tcBorders>
              <w:top w:val="single" w:sz="8" w:space="0" w:color="auto"/>
              <w:left w:val="single" w:sz="8" w:space="0" w:color="auto"/>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Compuesto de estiércol</w:t>
            </w:r>
          </w:p>
        </w:tc>
        <w:tc>
          <w:tcPr>
            <w:tcW w:w="604" w:type="pct"/>
            <w:tcBorders>
              <w:top w:val="single" w:sz="8" w:space="0" w:color="auto"/>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12,0</w:t>
            </w:r>
          </w:p>
        </w:tc>
        <w:tc>
          <w:tcPr>
            <w:tcW w:w="604" w:type="pct"/>
            <w:tcBorders>
              <w:top w:val="single" w:sz="8" w:space="0" w:color="auto"/>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15,6</w:t>
            </w:r>
          </w:p>
        </w:tc>
        <w:tc>
          <w:tcPr>
            <w:tcW w:w="604" w:type="pct"/>
            <w:tcBorders>
              <w:top w:val="single" w:sz="8" w:space="0" w:color="auto"/>
              <w:left w:val="nil"/>
              <w:bottom w:val="nil"/>
              <w:right w:val="single" w:sz="8" w:space="0" w:color="auto"/>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12,5</w:t>
            </w:r>
          </w:p>
        </w:tc>
      </w:tr>
      <w:tr w:rsidR="00503A41" w:rsidRPr="00993936" w:rsidTr="001D205D">
        <w:trPr>
          <w:trHeight w:val="300"/>
        </w:trPr>
        <w:tc>
          <w:tcPr>
            <w:tcW w:w="1431" w:type="pct"/>
            <w:gridSpan w:val="2"/>
            <w:vMerge/>
            <w:tcBorders>
              <w:left w:val="single" w:sz="8" w:space="0" w:color="auto"/>
              <w:right w:val="nil"/>
            </w:tcBorders>
            <w:shd w:val="clear" w:color="auto" w:fill="FFFFFF"/>
            <w:noWrap/>
            <w:vAlign w:val="bottom"/>
          </w:tcPr>
          <w:p w:rsidR="00503A41" w:rsidRPr="00993936" w:rsidRDefault="00503A41" w:rsidP="001D205D">
            <w:pPr>
              <w:pStyle w:val="Sinespaciado"/>
              <w:rPr>
                <w:rFonts w:ascii="Arial" w:hAnsi="Arial" w:cs="Arial"/>
                <w:lang w:val="es-ES" w:eastAsia="ca-ES"/>
              </w:rPr>
            </w:pPr>
          </w:p>
        </w:tc>
        <w:tc>
          <w:tcPr>
            <w:tcW w:w="1756" w:type="pct"/>
            <w:tcBorders>
              <w:top w:val="nil"/>
              <w:left w:val="single" w:sz="8" w:space="0" w:color="auto"/>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Compuesto de lodos de depuradora</w:t>
            </w:r>
          </w:p>
        </w:tc>
        <w:tc>
          <w:tcPr>
            <w:tcW w:w="604" w:type="pct"/>
            <w:tcBorders>
              <w:top w:val="nil"/>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18,8</w:t>
            </w:r>
          </w:p>
        </w:tc>
        <w:tc>
          <w:tcPr>
            <w:tcW w:w="604" w:type="pct"/>
            <w:tcBorders>
              <w:top w:val="nil"/>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23,3</w:t>
            </w:r>
          </w:p>
        </w:tc>
        <w:tc>
          <w:tcPr>
            <w:tcW w:w="604" w:type="pct"/>
            <w:tcBorders>
              <w:top w:val="nil"/>
              <w:left w:val="nil"/>
              <w:bottom w:val="nil"/>
              <w:right w:val="single" w:sz="8" w:space="0" w:color="auto"/>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6,2</w:t>
            </w:r>
          </w:p>
        </w:tc>
      </w:tr>
      <w:tr w:rsidR="00503A41" w:rsidRPr="00993936" w:rsidTr="001D205D">
        <w:trPr>
          <w:trHeight w:val="300"/>
        </w:trPr>
        <w:tc>
          <w:tcPr>
            <w:tcW w:w="1431" w:type="pct"/>
            <w:gridSpan w:val="2"/>
            <w:vMerge/>
            <w:tcBorders>
              <w:left w:val="single" w:sz="8" w:space="0" w:color="auto"/>
              <w:bottom w:val="single" w:sz="8" w:space="0" w:color="auto"/>
              <w:right w:val="nil"/>
            </w:tcBorders>
            <w:shd w:val="clear" w:color="auto" w:fill="FFFFFF"/>
            <w:noWrap/>
            <w:vAlign w:val="bottom"/>
          </w:tcPr>
          <w:p w:rsidR="00503A41" w:rsidRPr="00993936" w:rsidRDefault="00503A41" w:rsidP="001D205D">
            <w:pPr>
              <w:pStyle w:val="Sinespaciado"/>
              <w:rPr>
                <w:rFonts w:ascii="Arial" w:hAnsi="Arial" w:cs="Arial"/>
                <w:lang w:val="es-ES" w:eastAsia="ca-ES"/>
              </w:rPr>
            </w:pPr>
          </w:p>
        </w:tc>
        <w:tc>
          <w:tcPr>
            <w:tcW w:w="1756" w:type="pct"/>
            <w:tcBorders>
              <w:top w:val="nil"/>
              <w:left w:val="single" w:sz="8" w:space="0" w:color="auto"/>
              <w:bottom w:val="single" w:sz="8" w:space="0" w:color="auto"/>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Lodos de depuradora**</w:t>
            </w:r>
          </w:p>
        </w:tc>
        <w:tc>
          <w:tcPr>
            <w:tcW w:w="604"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10,5</w:t>
            </w:r>
          </w:p>
        </w:tc>
        <w:tc>
          <w:tcPr>
            <w:tcW w:w="604"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13,0</w:t>
            </w:r>
          </w:p>
        </w:tc>
        <w:tc>
          <w:tcPr>
            <w:tcW w:w="604" w:type="pct"/>
            <w:tcBorders>
              <w:top w:val="nil"/>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1,2</w:t>
            </w:r>
          </w:p>
        </w:tc>
      </w:tr>
    </w:tbl>
    <w:p w:rsidR="00503A41" w:rsidRPr="00993936" w:rsidRDefault="00503A41" w:rsidP="000452B8">
      <w:pPr>
        <w:rPr>
          <w:rFonts w:ascii="Arial" w:hAnsi="Arial" w:cs="Arial"/>
          <w:lang w:val="es-ES"/>
        </w:rPr>
      </w:pPr>
      <w:r w:rsidRPr="00993936">
        <w:rPr>
          <w:rFonts w:ascii="Arial" w:hAnsi="Arial" w:cs="Arial"/>
          <w:lang w:val="es-ES"/>
        </w:rPr>
        <w:t>* Estos materiales están sujetos a una variabilidad asociada a las materias primas utilizadas en cada planta</w:t>
      </w:r>
    </w:p>
    <w:p w:rsidR="00503A41" w:rsidRPr="00993936" w:rsidRDefault="00503A41" w:rsidP="000452B8">
      <w:pPr>
        <w:rPr>
          <w:rFonts w:ascii="Arial" w:hAnsi="Arial" w:cs="Arial"/>
          <w:lang w:val="es-ES"/>
        </w:rPr>
      </w:pPr>
      <w:r w:rsidRPr="00993936">
        <w:rPr>
          <w:rFonts w:ascii="Arial" w:hAnsi="Arial" w:cs="Arial"/>
          <w:lang w:val="es-ES"/>
        </w:rPr>
        <w:t>** Sólo se pueden utilizar lodos de depuradora que hayan sido previamente tratados</w:t>
      </w:r>
    </w:p>
    <w:p w:rsidR="00503A41" w:rsidRPr="00993936" w:rsidRDefault="00503A41" w:rsidP="000452B8">
      <w:pPr>
        <w:jc w:val="both"/>
        <w:rPr>
          <w:rFonts w:ascii="Arial" w:hAnsi="Arial" w:cs="Arial"/>
          <w:b/>
          <w:lang w:val="es-ES"/>
        </w:rPr>
      </w:pPr>
      <w:r w:rsidRPr="00993936">
        <w:rPr>
          <w:rFonts w:ascii="Arial" w:hAnsi="Arial" w:cs="Arial"/>
          <w:b/>
          <w:lang w:val="es-ES"/>
        </w:rPr>
        <w:t>Kg/m3 o tonelada = UF</w:t>
      </w:r>
    </w:p>
    <w:p w:rsidR="00503A41" w:rsidRPr="00993936" w:rsidRDefault="00503A41">
      <w:pPr>
        <w:rPr>
          <w:rFonts w:ascii="Arial" w:hAnsi="Arial" w:cs="Arial"/>
          <w:b/>
          <w:lang w:val="es-ES"/>
        </w:rPr>
      </w:pPr>
      <w:r w:rsidRPr="00993936">
        <w:rPr>
          <w:rFonts w:ascii="Arial" w:hAnsi="Arial" w:cs="Arial"/>
          <w:b/>
          <w:lang w:val="es-ES"/>
        </w:rPr>
        <w:br w:type="page"/>
      </w:r>
    </w:p>
    <w:p w:rsidR="00503A41" w:rsidRPr="00993936" w:rsidRDefault="00503A41" w:rsidP="000452B8">
      <w:pPr>
        <w:jc w:val="both"/>
        <w:rPr>
          <w:rFonts w:ascii="Arial" w:hAnsi="Arial" w:cs="Arial"/>
          <w:b/>
          <w:lang w:val="es-ES"/>
        </w:rPr>
      </w:pPr>
      <w:r w:rsidRPr="00993936">
        <w:rPr>
          <w:rFonts w:ascii="Arial" w:hAnsi="Arial" w:cs="Arial"/>
          <w:b/>
          <w:lang w:val="es-ES"/>
        </w:rPr>
        <w:lastRenderedPageBreak/>
        <w:t>ANEXO 9</w:t>
      </w:r>
    </w:p>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9.1 Métode Merrien-Keller para el cálculo del coeficiente de uniformidad de un sistema de riego</w:t>
      </w:r>
    </w:p>
    <w:p w:rsidR="00503A41" w:rsidRPr="00993936" w:rsidRDefault="00503A41" w:rsidP="000452B8">
      <w:pPr>
        <w:jc w:val="both"/>
        <w:rPr>
          <w:rFonts w:ascii="Arial" w:hAnsi="Arial" w:cs="Arial"/>
          <w:b/>
          <w:lang w:val="es-ES"/>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993936">
        <w:tc>
          <w:tcPr>
            <w:tcW w:w="496" w:type="dxa"/>
          </w:tcPr>
          <w:p w:rsidR="00503A41" w:rsidRPr="00993936" w:rsidRDefault="00503A41" w:rsidP="000452B8">
            <w:pPr>
              <w:jc w:val="both"/>
              <w:rPr>
                <w:rFonts w:ascii="Arial" w:hAnsi="Arial" w:cs="Arial"/>
                <w:lang w:val="es-ES"/>
              </w:rPr>
            </w:pPr>
          </w:p>
        </w:tc>
        <w:tc>
          <w:tcPr>
            <w:tcW w:w="283" w:type="dxa"/>
          </w:tcPr>
          <w:p w:rsidR="00503A41" w:rsidRPr="00993936" w:rsidRDefault="00503A41" w:rsidP="000452B8">
            <w:pPr>
              <w:jc w:val="both"/>
              <w:rPr>
                <w:rFonts w:ascii="Arial" w:hAnsi="Arial" w:cs="Arial"/>
                <w:lang w:val="es-ES"/>
              </w:rPr>
            </w:pPr>
          </w:p>
        </w:tc>
        <w:tc>
          <w:tcPr>
            <w:tcW w:w="709" w:type="dxa"/>
          </w:tcPr>
          <w:p w:rsidR="00503A41" w:rsidRPr="00993936" w:rsidRDefault="00503A41" w:rsidP="000452B8">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w:t>
            </w:r>
          </w:p>
        </w:tc>
        <w:tc>
          <w:tcPr>
            <w:tcW w:w="283" w:type="dxa"/>
          </w:tcPr>
          <w:p w:rsidR="00503A41" w:rsidRPr="00993936" w:rsidRDefault="00503A41" w:rsidP="000452B8">
            <w:pPr>
              <w:jc w:val="both"/>
              <w:rPr>
                <w:rFonts w:ascii="Arial" w:hAnsi="Arial" w:cs="Arial"/>
                <w:lang w:val="es-ES"/>
              </w:rPr>
            </w:pPr>
          </w:p>
        </w:tc>
        <w:tc>
          <w:tcPr>
            <w:tcW w:w="4804"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r>
      <w:tr w:rsidR="00503A41" w:rsidRPr="00993936">
        <w:tc>
          <w:tcPr>
            <w:tcW w:w="496" w:type="dxa"/>
          </w:tcPr>
          <w:p w:rsidR="00503A41" w:rsidRPr="00993936" w:rsidRDefault="00C8459C" w:rsidP="000452B8">
            <w:pPr>
              <w:jc w:val="both"/>
              <w:rPr>
                <w:rFonts w:ascii="Arial" w:hAnsi="Arial" w:cs="Arial"/>
                <w:lang w:val="es-ES"/>
              </w:rPr>
            </w:pPr>
            <w:r>
              <w:rPr>
                <w:rFonts w:ascii="Arial" w:hAnsi="Arial" w:cs="Arial"/>
                <w:lang w:val="es-ES"/>
              </w:rPr>
              <w:pict>
                <v:line id="_x0000_s1026" style="position:absolute;left:0;text-align:left;z-index:251846656;mso-position-horizontal-relative:text;mso-position-vertical-relative:text" from="37.1pt,7.95pt" to="65.9pt,7.95pt" o:allowincell="f"/>
              </w:pict>
            </w:r>
            <w:r w:rsidR="00503A41" w:rsidRPr="00993936">
              <w:rPr>
                <w:rFonts w:ascii="Arial" w:hAnsi="Arial" w:cs="Arial"/>
                <w:lang w:val="es-ES"/>
              </w:rPr>
              <w:t>CU</w:t>
            </w:r>
          </w:p>
        </w:tc>
        <w:tc>
          <w:tcPr>
            <w:tcW w:w="283" w:type="dxa"/>
          </w:tcPr>
          <w:p w:rsidR="00503A41" w:rsidRPr="00993936" w:rsidRDefault="00503A41" w:rsidP="000452B8">
            <w:pPr>
              <w:jc w:val="both"/>
              <w:rPr>
                <w:rFonts w:ascii="Arial" w:hAnsi="Arial" w:cs="Arial"/>
                <w:lang w:val="es-ES"/>
              </w:rPr>
            </w:pPr>
            <w:r w:rsidRPr="00993936">
              <w:rPr>
                <w:rFonts w:ascii="Arial" w:hAnsi="Arial" w:cs="Arial"/>
                <w:lang w:val="es-ES"/>
              </w:rPr>
              <w:t>=</w:t>
            </w:r>
          </w:p>
        </w:tc>
        <w:tc>
          <w:tcPr>
            <w:tcW w:w="709" w:type="dxa"/>
          </w:tcPr>
          <w:p w:rsidR="00503A41" w:rsidRPr="00993936" w:rsidRDefault="00503A41" w:rsidP="000452B8">
            <w:pPr>
              <w:jc w:val="center"/>
              <w:rPr>
                <w:rFonts w:ascii="Arial" w:hAnsi="Arial" w:cs="Arial"/>
                <w:lang w:val="es-ES"/>
              </w:rPr>
            </w:pPr>
          </w:p>
        </w:tc>
        <w:tc>
          <w:tcPr>
            <w:tcW w:w="283" w:type="dxa"/>
          </w:tcPr>
          <w:p w:rsidR="00503A41" w:rsidRPr="00993936" w:rsidRDefault="00503A41" w:rsidP="000452B8">
            <w:pPr>
              <w:jc w:val="both"/>
              <w:rPr>
                <w:rFonts w:ascii="Arial" w:hAnsi="Arial" w:cs="Arial"/>
                <w:lang w:val="es-ES"/>
              </w:rPr>
            </w:pPr>
            <w:r w:rsidRPr="00993936">
              <w:rPr>
                <w:rFonts w:ascii="Arial" w:hAnsi="Arial" w:cs="Arial"/>
                <w:lang w:val="es-ES"/>
              </w:rPr>
              <w:t>x</w:t>
            </w:r>
          </w:p>
        </w:tc>
        <w:tc>
          <w:tcPr>
            <w:tcW w:w="4804" w:type="dxa"/>
          </w:tcPr>
          <w:p w:rsidR="00503A41" w:rsidRPr="00993936" w:rsidRDefault="00503A41" w:rsidP="000452B8">
            <w:pPr>
              <w:jc w:val="both"/>
              <w:rPr>
                <w:rFonts w:ascii="Arial" w:hAnsi="Arial" w:cs="Arial"/>
                <w:lang w:val="es-ES"/>
              </w:rPr>
            </w:pPr>
            <w:r w:rsidRPr="00993936">
              <w:rPr>
                <w:rFonts w:ascii="Arial" w:hAnsi="Arial" w:cs="Arial"/>
                <w:lang w:val="es-ES"/>
              </w:rPr>
              <w:t>100</w:t>
            </w:r>
          </w:p>
        </w:tc>
        <w:tc>
          <w:tcPr>
            <w:tcW w:w="1315"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r>
      <w:tr w:rsidR="00503A41" w:rsidRPr="00993936">
        <w:tc>
          <w:tcPr>
            <w:tcW w:w="496" w:type="dxa"/>
          </w:tcPr>
          <w:p w:rsidR="00503A41" w:rsidRPr="00993936" w:rsidRDefault="00503A41" w:rsidP="000452B8">
            <w:pPr>
              <w:jc w:val="both"/>
              <w:rPr>
                <w:rFonts w:ascii="Arial" w:hAnsi="Arial" w:cs="Arial"/>
                <w:lang w:val="es-ES"/>
              </w:rPr>
            </w:pPr>
          </w:p>
        </w:tc>
        <w:tc>
          <w:tcPr>
            <w:tcW w:w="283" w:type="dxa"/>
          </w:tcPr>
          <w:p w:rsidR="00503A41" w:rsidRPr="00993936" w:rsidRDefault="00503A41" w:rsidP="000452B8">
            <w:pPr>
              <w:jc w:val="both"/>
              <w:rPr>
                <w:rFonts w:ascii="Arial" w:hAnsi="Arial" w:cs="Arial"/>
                <w:lang w:val="es-ES"/>
              </w:rPr>
            </w:pPr>
          </w:p>
        </w:tc>
        <w:tc>
          <w:tcPr>
            <w:tcW w:w="709" w:type="dxa"/>
          </w:tcPr>
          <w:p w:rsidR="00503A41" w:rsidRPr="00993936" w:rsidRDefault="00503A41" w:rsidP="000452B8">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3" w:type="dxa"/>
          </w:tcPr>
          <w:p w:rsidR="00503A41" w:rsidRPr="00993936" w:rsidRDefault="00503A41" w:rsidP="000452B8">
            <w:pPr>
              <w:jc w:val="both"/>
              <w:rPr>
                <w:rFonts w:ascii="Arial" w:hAnsi="Arial" w:cs="Arial"/>
                <w:lang w:val="es-ES"/>
              </w:rPr>
            </w:pPr>
          </w:p>
        </w:tc>
        <w:tc>
          <w:tcPr>
            <w:tcW w:w="4804"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r>
    </w:tbl>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CU = Coeficiente de uniformidad.</w:t>
      </w:r>
    </w:p>
    <w:p w:rsidR="00503A41" w:rsidRPr="00993936" w:rsidRDefault="00503A41" w:rsidP="000452B8">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 xml:space="preserve">25% </w:t>
      </w:r>
      <w:r w:rsidRPr="00993936">
        <w:rPr>
          <w:rFonts w:ascii="Arial" w:hAnsi="Arial" w:cs="Arial"/>
          <w:lang w:val="es-ES"/>
        </w:rPr>
        <w:t>= Media aritmética del Caudal de descarga del 25% de los emisores con Caudal más reducido.</w:t>
      </w:r>
    </w:p>
    <w:p w:rsidR="00503A41" w:rsidRPr="00993936" w:rsidRDefault="00503A41" w:rsidP="000452B8">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 xml:space="preserve">n </w:t>
      </w:r>
      <w:r w:rsidRPr="00993936">
        <w:rPr>
          <w:rFonts w:ascii="Arial" w:hAnsi="Arial" w:cs="Arial"/>
          <w:lang w:val="es-ES"/>
        </w:rPr>
        <w:t>= Caudal medio de todos los emisores.</w:t>
      </w:r>
    </w:p>
    <w:p w:rsidR="00503A41" w:rsidRPr="00993936" w:rsidRDefault="00503A41" w:rsidP="000452B8">
      <w:pPr>
        <w:jc w:val="both"/>
        <w:rPr>
          <w:rFonts w:ascii="Arial" w:hAnsi="Arial" w:cs="Arial"/>
          <w:lang w:val="es-ES"/>
        </w:rPr>
      </w:pPr>
      <w:r w:rsidRPr="00993936">
        <w:rPr>
          <w:rFonts w:ascii="Arial" w:hAnsi="Arial" w:cs="Arial"/>
          <w:lang w:val="es-ES"/>
        </w:rPr>
        <w:t xml:space="preserve">n = Número de unidades o puestos de control (Se recomienda que n &gt;= 16). </w:t>
      </w:r>
    </w:p>
    <w:p w:rsidR="00503A41" w:rsidRPr="00993936" w:rsidRDefault="00503A41" w:rsidP="000452B8">
      <w:pPr>
        <w:pStyle w:val="Sangra2detindependiente"/>
        <w:rPr>
          <w:rFonts w:cs="Arial"/>
          <w:szCs w:val="22"/>
          <w:lang w:val="es-ES"/>
        </w:rPr>
      </w:pPr>
      <w:r w:rsidRPr="00993936">
        <w:rPr>
          <w:rFonts w:cs="Arial"/>
          <w:szCs w:val="22"/>
          <w:lang w:val="es-ES"/>
        </w:rPr>
        <w:t>En caso de que la unidad de control tenga más de un emisor, el Caudal total a considerar será la suma del Caudal de todos los emisores que constituyen la unidad.</w:t>
      </w:r>
    </w:p>
    <w:p w:rsidR="00503A41" w:rsidRPr="00993936" w:rsidRDefault="00503A41" w:rsidP="000452B8">
      <w:pPr>
        <w:pStyle w:val="Ttulo1"/>
        <w:jc w:val="center"/>
        <w:rPr>
          <w:rFonts w:ascii="Arial" w:hAnsi="Arial" w:cs="Arial"/>
          <w:b/>
          <w:color w:val="auto"/>
          <w:szCs w:val="22"/>
        </w:rPr>
      </w:pPr>
    </w:p>
    <w:p w:rsidR="00503A41" w:rsidRPr="00993936" w:rsidRDefault="00503A41" w:rsidP="000452B8">
      <w:pPr>
        <w:keepNext/>
        <w:jc w:val="center"/>
        <w:outlineLvl w:val="0"/>
        <w:rPr>
          <w:rFonts w:ascii="Arial" w:hAnsi="Arial" w:cs="Arial"/>
          <w:snapToGrid w:val="0"/>
          <w:lang w:val="es-ES"/>
        </w:rPr>
      </w:pPr>
      <w:r w:rsidRPr="00993936">
        <w:rPr>
          <w:rFonts w:ascii="Arial" w:hAnsi="Arial" w:cs="Arial"/>
          <w:snapToGrid w:val="0"/>
          <w:lang w:val="es-ES"/>
        </w:rPr>
        <w:t>.-.-.-.-.-.-.-.-.-.-.-.-.-.-.-.-.-.-.-.-.-.-.-.-.-.-.-.-.-.-.-.-.</w:t>
      </w:r>
    </w:p>
    <w:p w:rsidR="00503A41" w:rsidRPr="00993936" w:rsidRDefault="00503A41" w:rsidP="00441998">
      <w:pPr>
        <w:jc w:val="both"/>
        <w:rPr>
          <w:rFonts w:ascii="Arial" w:hAnsi="Arial" w:cs="Arial"/>
          <w:lang w:val="es-ES"/>
        </w:rPr>
      </w:pPr>
      <w:r w:rsidRPr="00993936">
        <w:rPr>
          <w:rFonts w:ascii="Arial" w:hAnsi="Arial" w:cs="Arial"/>
          <w:lang w:val="es-ES"/>
        </w:rPr>
        <w:br w:type="page"/>
      </w:r>
    </w:p>
    <w:p w:rsidR="00503A41" w:rsidRPr="00993936" w:rsidRDefault="00503A41" w:rsidP="001D205D">
      <w:pPr>
        <w:rPr>
          <w:rFonts w:ascii="Arial" w:hAnsi="Arial" w:cs="Arial"/>
          <w:b/>
          <w:sz w:val="24"/>
          <w:szCs w:val="24"/>
          <w:lang w:val="es-ES"/>
        </w:rPr>
      </w:pPr>
      <w:r w:rsidRPr="00993936">
        <w:rPr>
          <w:rFonts w:ascii="Arial" w:hAnsi="Arial" w:cs="Arial"/>
          <w:b/>
          <w:sz w:val="24"/>
          <w:szCs w:val="24"/>
          <w:lang w:val="es-ES"/>
        </w:rPr>
        <w:lastRenderedPageBreak/>
        <w:t>Anexo VII. Norma técnica de producción integrada de frutos secos</w:t>
      </w:r>
    </w:p>
    <w:p w:rsidR="00503A41" w:rsidRPr="00993936" w:rsidRDefault="00503A41" w:rsidP="008260E4">
      <w:pPr>
        <w:jc w:val="both"/>
        <w:rPr>
          <w:rFonts w:ascii="Arial" w:hAnsi="Arial" w:cs="Arial"/>
          <w:lang w:val="es-ES"/>
        </w:rPr>
      </w:pPr>
    </w:p>
    <w:p w:rsidR="00503A41" w:rsidRPr="00993936" w:rsidRDefault="00503A41" w:rsidP="00424C28">
      <w:pPr>
        <w:jc w:val="both"/>
        <w:rPr>
          <w:rFonts w:ascii="Arial" w:hAnsi="Arial" w:cs="Arial"/>
          <w:lang w:val="es-ES"/>
        </w:rPr>
      </w:pPr>
      <w:r w:rsidRPr="00993936">
        <w:rPr>
          <w:rFonts w:ascii="Arial" w:hAnsi="Arial" w:cs="Arial"/>
          <w:b/>
          <w:lang w:val="es-ES"/>
        </w:rPr>
        <w:t>Definiciones</w:t>
      </w:r>
      <w:r w:rsidRPr="00993936">
        <w:rPr>
          <w:rFonts w:ascii="Arial" w:hAnsi="Arial" w:cs="Arial"/>
          <w:lang w:val="es-ES"/>
        </w:rPr>
        <w:tab/>
      </w:r>
    </w:p>
    <w:p w:rsidR="00503A41" w:rsidRPr="00993936" w:rsidRDefault="00503A41" w:rsidP="00424C28">
      <w:pPr>
        <w:jc w:val="both"/>
        <w:rPr>
          <w:rFonts w:ascii="Arial" w:hAnsi="Arial" w:cs="Arial"/>
          <w:lang w:val="es-ES"/>
        </w:rPr>
      </w:pPr>
      <w:r w:rsidRPr="00993936">
        <w:rPr>
          <w:rFonts w:ascii="Arial" w:hAnsi="Arial" w:cs="Arial"/>
          <w:lang w:val="es-ES"/>
        </w:rPr>
        <w:t>A los efectos de esta norma se entenderá por</w:t>
      </w:r>
      <w:r w:rsidRPr="00993936">
        <w:rPr>
          <w:rFonts w:ascii="Arial" w:hAnsi="Arial" w:cs="Arial"/>
          <w:vanish/>
          <w:lang w:val="es-ES"/>
        </w:rPr>
        <w:t>&lt;A[por|para]&gt;</w:t>
      </w:r>
      <w:r w:rsidRPr="00993936">
        <w:rPr>
          <w:rFonts w:ascii="Arial" w:hAnsi="Arial" w:cs="Arial"/>
          <w:lang w:val="es-ES"/>
        </w:rPr>
        <w:t>:</w:t>
      </w:r>
    </w:p>
    <w:p w:rsidR="00503A41" w:rsidRPr="00993936" w:rsidRDefault="00503A41" w:rsidP="00424C28">
      <w:pPr>
        <w:jc w:val="both"/>
        <w:rPr>
          <w:rFonts w:ascii="Arial" w:hAnsi="Arial" w:cs="Arial"/>
          <w:lang w:val="es-ES"/>
        </w:rPr>
      </w:pPr>
      <w:r w:rsidRPr="00993936">
        <w:rPr>
          <w:rFonts w:ascii="Arial" w:hAnsi="Arial" w:cs="Arial"/>
          <w:i/>
          <w:lang w:val="es-ES"/>
        </w:rPr>
        <w:t>Agrupación de Producción Integrada:</w:t>
      </w:r>
      <w:r w:rsidRPr="00993936">
        <w:rPr>
          <w:rFonts w:ascii="Arial" w:hAnsi="Arial" w:cs="Arial"/>
          <w:lang w:val="es-ES"/>
        </w:rPr>
        <w:t xml:space="preserve"> aquella agrupación de operadores constituida bajo cualquier fórmula jurídica o integrada en otra agrupación previamente constituida y reconocida por la autoridad competente con el objetivo de obtener productos vegetales bajo los requisitos de producción integrada para ser comercializados.</w:t>
      </w:r>
    </w:p>
    <w:p w:rsidR="00503A41" w:rsidRPr="00993936" w:rsidRDefault="00503A41" w:rsidP="00424C28">
      <w:pPr>
        <w:jc w:val="both"/>
        <w:rPr>
          <w:rFonts w:ascii="Arial" w:hAnsi="Arial" w:cs="Arial"/>
          <w:lang w:val="es-ES"/>
        </w:rPr>
      </w:pPr>
      <w:r w:rsidRPr="00993936">
        <w:rPr>
          <w:rFonts w:ascii="Arial" w:hAnsi="Arial" w:cs="Arial"/>
          <w:i/>
          <w:lang w:val="es-ES"/>
        </w:rPr>
        <w:t>Análisis de Peligros y Puntos de control críticos (APPCC):</w:t>
      </w:r>
      <w:r w:rsidRPr="00993936">
        <w:rPr>
          <w:rFonts w:ascii="Arial" w:hAnsi="Arial" w:cs="Arial"/>
          <w:lang w:val="es-ES"/>
        </w:rPr>
        <w:t xml:space="preserve"> enfoque sistemático de base científica que permite identificar riesgos específicos y medidas para el control, con la finalidad de asegurar la inocuidad de los alimentos. Es un instrumento para evaluar los riesgos y establecer sistemas de control que se orientan hacia la prevención en lugar de fundamentarse en el análisis del producto final.</w:t>
      </w:r>
    </w:p>
    <w:p w:rsidR="00503A41" w:rsidRPr="00993936" w:rsidRDefault="00503A41" w:rsidP="00424C28">
      <w:pPr>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w:t>
      </w:r>
      <w:r w:rsidRPr="00993936">
        <w:rPr>
          <w:rFonts w:ascii="Arial" w:hAnsi="Arial" w:cs="Arial"/>
          <w:vanish/>
          <w:lang w:val="es-ES"/>
        </w:rPr>
        <w:t>&lt;A[especies|especias]&gt;</w:t>
      </w:r>
      <w:r w:rsidRPr="00993936">
        <w:rPr>
          <w:rFonts w:ascii="Arial" w:hAnsi="Arial" w:cs="Arial"/>
          <w:lang w:val="es-ES"/>
        </w:rPr>
        <w:t xml:space="preserve"> diferentes que vive en un ecosistema determinado.</w:t>
      </w:r>
    </w:p>
    <w:p w:rsidR="00503A41" w:rsidRPr="00993936" w:rsidRDefault="00503A41" w:rsidP="00424C28">
      <w:pPr>
        <w:jc w:val="both"/>
        <w:rPr>
          <w:rFonts w:ascii="Arial" w:hAnsi="Arial" w:cs="Arial"/>
          <w:lang w:val="es-ES"/>
        </w:rPr>
      </w:pPr>
      <w:r w:rsidRPr="00993936">
        <w:rPr>
          <w:rFonts w:ascii="Arial" w:hAnsi="Arial" w:cs="Arial"/>
          <w:i/>
          <w:lang w:val="es-ES"/>
        </w:rPr>
        <w:t>Buenas prácticas fitosanitarias:</w:t>
      </w:r>
      <w:r w:rsidRPr="00993936">
        <w:rPr>
          <w:rFonts w:ascii="Arial" w:hAnsi="Arial" w:cs="Arial"/>
          <w:lang w:val="es-ES"/>
        </w:rPr>
        <w:t xml:space="preserve"> utilizar productos fitosanitarios y otros medios de defensa fitosanitaria bajo las condiciones de uso autorizadas.</w:t>
      </w:r>
    </w:p>
    <w:p w:rsidR="00503A41" w:rsidRPr="00993936" w:rsidRDefault="00503A41" w:rsidP="00424C28">
      <w:pPr>
        <w:jc w:val="both"/>
        <w:rPr>
          <w:rFonts w:ascii="Arial" w:hAnsi="Arial" w:cs="Arial"/>
          <w:lang w:val="es-ES"/>
        </w:rPr>
      </w:pPr>
      <w:r w:rsidRPr="00993936">
        <w:rPr>
          <w:rFonts w:ascii="Arial" w:hAnsi="Arial" w:cs="Arial"/>
          <w:i/>
          <w:lang w:val="es-ES"/>
        </w:rPr>
        <w:t>Central:</w:t>
      </w:r>
      <w:r w:rsidRPr="00993936">
        <w:rPr>
          <w:rFonts w:ascii="Arial" w:hAnsi="Arial" w:cs="Arial"/>
          <w:lang w:val="es-ES"/>
        </w:rPr>
        <w:t xml:space="preserve"> instalación o conjunto de instalaciones donde se reciben, se manipulan, almacenan, envasan y expiden las frutos.</w:t>
      </w:r>
    </w:p>
    <w:p w:rsidR="00503A41" w:rsidRPr="00993936" w:rsidRDefault="00503A41" w:rsidP="00424C28">
      <w:pPr>
        <w:jc w:val="both"/>
        <w:rPr>
          <w:rFonts w:ascii="Arial" w:hAnsi="Arial" w:cs="Arial"/>
          <w:lang w:val="es-ES"/>
        </w:rPr>
      </w:pPr>
      <w:r w:rsidRPr="00993936">
        <w:rPr>
          <w:rFonts w:ascii="Arial" w:hAnsi="Arial" w:cs="Arial"/>
          <w:i/>
          <w:lang w:val="es-ES"/>
        </w:rPr>
        <w:t>Coeficiente de uniformidad:</w:t>
      </w:r>
      <w:r w:rsidRPr="00993936">
        <w:rPr>
          <w:rFonts w:ascii="Arial" w:hAnsi="Arial" w:cs="Arial"/>
          <w:lang w:val="es-ES"/>
        </w:rPr>
        <w:t xml:space="preserve"> valor obtenido de aplicar una fórmula que indica la uniformidad en la distribución del agua aplicada por el sistema de riego. </w:t>
      </w:r>
    </w:p>
    <w:p w:rsidR="00503A41" w:rsidRPr="00993936" w:rsidRDefault="00503A41" w:rsidP="00424C28">
      <w:pPr>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productos vegetales.</w:t>
      </w:r>
    </w:p>
    <w:p w:rsidR="00503A41" w:rsidRPr="00993936" w:rsidRDefault="00503A41" w:rsidP="00424C28">
      <w:pPr>
        <w:jc w:val="both"/>
        <w:rPr>
          <w:rFonts w:ascii="Arial" w:hAnsi="Arial" w:cs="Arial"/>
          <w:lang w:val="es-ES"/>
        </w:rPr>
      </w:pPr>
      <w:r w:rsidRPr="00993936">
        <w:rPr>
          <w:rFonts w:ascii="Arial" w:hAnsi="Arial" w:cs="Arial"/>
          <w:i/>
          <w:lang w:val="es-ES"/>
        </w:rPr>
        <w:t>Control o lucha integrada:</w:t>
      </w:r>
      <w:r w:rsidRPr="00993936">
        <w:rPr>
          <w:rFonts w:ascii="Arial" w:hAnsi="Arial" w:cs="Arial"/>
          <w:b/>
          <w:lang w:val="es-ES"/>
        </w:rPr>
        <w:t xml:space="preserve"> </w:t>
      </w:r>
      <w:r w:rsidRPr="00993936">
        <w:rPr>
          <w:rFonts w:ascii="Arial" w:hAnsi="Arial" w:cs="Arial"/>
          <w:lang w:val="es-ES"/>
        </w:rPr>
        <w:t>la aplicación racional de una combinación de medidas biológicas, físicas, biotecnológicas, químicas, de cultivo o de selección de vegetales, de manera que la utilización de productos fitosanitarios se limite al mínimo necesario para controlar las plagas.</w:t>
      </w:r>
    </w:p>
    <w:p w:rsidR="00503A41" w:rsidRPr="00993936" w:rsidRDefault="00503A41" w:rsidP="00424C28">
      <w:pPr>
        <w:jc w:val="both"/>
        <w:rPr>
          <w:rFonts w:ascii="Arial" w:hAnsi="Arial" w:cs="Arial"/>
          <w:lang w:val="es-ES"/>
        </w:rPr>
      </w:pPr>
      <w:r w:rsidRPr="00993936">
        <w:rPr>
          <w:rFonts w:ascii="Arial" w:hAnsi="Arial" w:cs="Arial"/>
          <w:i/>
          <w:lang w:val="es-ES"/>
        </w:rPr>
        <w:t>Criterio de intervención:</w:t>
      </w:r>
      <w:r w:rsidRPr="00993936">
        <w:rPr>
          <w:rFonts w:ascii="Arial" w:hAnsi="Arial" w:cs="Arial"/>
          <w:lang w:val="es-ES"/>
        </w:rPr>
        <w:t xml:space="preserve"> conjunto de condiciones que permiten justificar la realización de un tratamiento contra una plaga o agente patógeno.</w:t>
      </w:r>
    </w:p>
    <w:p w:rsidR="00503A41" w:rsidRPr="00993936" w:rsidRDefault="00503A41" w:rsidP="00424C28">
      <w:pPr>
        <w:jc w:val="both"/>
        <w:rPr>
          <w:rFonts w:ascii="Arial" w:hAnsi="Arial" w:cs="Arial"/>
          <w:i/>
          <w:lang w:val="es-ES"/>
        </w:rPr>
      </w:pPr>
      <w:r w:rsidRPr="00993936">
        <w:rPr>
          <w:rFonts w:ascii="Arial" w:hAnsi="Arial" w:cs="Arial"/>
          <w:i/>
          <w:lang w:val="es-ES"/>
        </w:rPr>
        <w:t>Cultivo:</w:t>
      </w:r>
      <w:r w:rsidRPr="00993936">
        <w:rPr>
          <w:rFonts w:ascii="Arial" w:hAnsi="Arial" w:cs="Arial"/>
          <w:lang w:val="es-ES"/>
        </w:rPr>
        <w:t xml:space="preserve"> para cada especie la totalidad de la producción que gestiona un agricultor</w:t>
      </w:r>
      <w:r w:rsidRPr="00993936">
        <w:rPr>
          <w:rFonts w:ascii="Arial" w:hAnsi="Arial" w:cs="Arial"/>
          <w:i/>
          <w:lang w:val="es-ES"/>
        </w:rPr>
        <w:t>.</w:t>
      </w:r>
    </w:p>
    <w:p w:rsidR="00503A41" w:rsidRPr="00993936" w:rsidRDefault="00503A41" w:rsidP="00424C28">
      <w:pPr>
        <w:jc w:val="both"/>
        <w:rPr>
          <w:rFonts w:ascii="Arial" w:hAnsi="Arial" w:cs="Arial"/>
          <w:lang w:val="es-ES"/>
        </w:rPr>
      </w:pPr>
      <w:r w:rsidRPr="00993936">
        <w:rPr>
          <w:rFonts w:ascii="Arial" w:hAnsi="Arial" w:cs="Arial"/>
          <w:i/>
          <w:lang w:val="es-ES"/>
        </w:rPr>
        <w:t>Ecosistema:</w:t>
      </w:r>
      <w:r w:rsidRPr="00993936">
        <w:rPr>
          <w:rFonts w:ascii="Arial" w:hAnsi="Arial" w:cs="Arial"/>
          <w:lang w:val="es-ES"/>
        </w:rPr>
        <w:t xml:space="preserve"> sistema formado por el conjunto de seres vivos presentes en un lugar</w:t>
      </w:r>
      <w:r w:rsidRPr="00993936">
        <w:rPr>
          <w:rFonts w:ascii="Arial" w:hAnsi="Arial" w:cs="Arial"/>
          <w:vanish/>
          <w:lang w:val="es-ES"/>
        </w:rPr>
        <w:t>&lt;A[lugar|sitio]&gt;</w:t>
      </w:r>
      <w:r w:rsidRPr="00993936">
        <w:rPr>
          <w:rFonts w:ascii="Arial" w:hAnsi="Arial" w:cs="Arial"/>
          <w:lang w:val="es-ES"/>
        </w:rPr>
        <w:t xml:space="preserve"> determinado y el medio ambiente que le es propio.</w:t>
      </w:r>
    </w:p>
    <w:p w:rsidR="00503A41" w:rsidRPr="00993936" w:rsidRDefault="00503A41" w:rsidP="00424C28">
      <w:pPr>
        <w:jc w:val="both"/>
        <w:rPr>
          <w:rFonts w:ascii="Arial" w:hAnsi="Arial" w:cs="Arial"/>
          <w:lang w:val="es-ES"/>
        </w:rPr>
      </w:pPr>
      <w:r w:rsidRPr="00993936">
        <w:rPr>
          <w:rFonts w:ascii="Arial" w:hAnsi="Arial" w:cs="Arial"/>
          <w:i/>
          <w:lang w:val="es-ES"/>
        </w:rPr>
        <w:t>Enemigo natural:</w:t>
      </w:r>
      <w:r w:rsidRPr="00993936">
        <w:rPr>
          <w:rFonts w:ascii="Arial" w:hAnsi="Arial" w:cs="Arial"/>
          <w:lang w:val="es-ES"/>
        </w:rPr>
        <w:t xml:space="preserve"> insecto o ácaro que actúa como agente de control biológico interaccionando con las plagas del cultivo depredándolas o parasitándolas.</w:t>
      </w:r>
    </w:p>
    <w:p w:rsidR="00503A41" w:rsidRPr="00993936" w:rsidRDefault="00503A41" w:rsidP="00424C28">
      <w:pPr>
        <w:jc w:val="both"/>
        <w:rPr>
          <w:rFonts w:ascii="Arial" w:hAnsi="Arial" w:cs="Arial"/>
          <w:lang w:val="es-ES"/>
        </w:rPr>
      </w:pPr>
      <w:r w:rsidRPr="00993936">
        <w:rPr>
          <w:rFonts w:ascii="Arial" w:hAnsi="Arial" w:cs="Arial"/>
          <w:i/>
          <w:lang w:val="es-ES"/>
        </w:rPr>
        <w:t>Entidades de Certificación:</w:t>
      </w:r>
      <w:r w:rsidRPr="00993936">
        <w:rPr>
          <w:rFonts w:ascii="Arial" w:hAnsi="Arial" w:cs="Arial"/>
          <w:lang w:val="es-ES"/>
        </w:rPr>
        <w:t xml:space="preserve"> son aquellas entidades acreditadas por la Entidad Nacional de Acreditación (ENAC) para realizar las funciones de control y certificación, donde tendrá que estar sometida la producción para que los productos obtenidos puedan ser diferenciados con un distintivo de garantía de producción integrada, de acuerdo con el Decreto 241/2002 (DOGC nº. 3744, de 21.10.2002) o, si es el caso, las acreditadas </w:t>
      </w:r>
      <w:r w:rsidRPr="00993936">
        <w:rPr>
          <w:rFonts w:ascii="Arial" w:hAnsi="Arial" w:cs="Arial"/>
          <w:lang w:val="es-ES"/>
        </w:rPr>
        <w:lastRenderedPageBreak/>
        <w:t>por cualquier otro organismo acreditativo firmante del Acuerdo Multilateral de Reconocimiento del European Cooperation for Acreditation (EA).</w:t>
      </w:r>
    </w:p>
    <w:p w:rsidR="00503A41" w:rsidRPr="00993936" w:rsidRDefault="00503A41" w:rsidP="00424C28">
      <w:pPr>
        <w:jc w:val="both"/>
        <w:rPr>
          <w:rFonts w:ascii="Arial" w:hAnsi="Arial" w:cs="Arial"/>
          <w:lang w:val="es-ES"/>
        </w:rPr>
      </w:pPr>
      <w:r w:rsidRPr="00993936">
        <w:rPr>
          <w:rFonts w:ascii="Arial" w:hAnsi="Arial" w:cs="Arial"/>
          <w:i/>
          <w:lang w:val="es-ES"/>
        </w:rPr>
        <w:t>Especie mejorante:</w:t>
      </w:r>
      <w:r w:rsidRPr="00993936">
        <w:rPr>
          <w:rFonts w:ascii="Arial" w:hAnsi="Arial" w:cs="Arial"/>
          <w:lang w:val="es-ES"/>
        </w:rPr>
        <w:t xml:space="preserve"> especie vegetal, normalmente gramíneas o leguminosas que por</w:t>
      </w:r>
      <w:r w:rsidRPr="00993936">
        <w:rPr>
          <w:rFonts w:ascii="Arial" w:hAnsi="Arial" w:cs="Arial"/>
          <w:vanish/>
          <w:lang w:val="es-ES"/>
        </w:rPr>
        <w:t>&lt;A[por|para]&gt;</w:t>
      </w:r>
      <w:r w:rsidRPr="00993936">
        <w:rPr>
          <w:rFonts w:ascii="Arial" w:hAnsi="Arial" w:cs="Arial"/>
          <w:lang w:val="es-ES"/>
        </w:rPr>
        <w:t xml:space="preserve"> sus características biológicas mejoran las propiedades fisicoquímicas del suelo durante su cultivo.</w:t>
      </w:r>
    </w:p>
    <w:p w:rsidR="00503A41" w:rsidRPr="00993936" w:rsidRDefault="00503A41" w:rsidP="00424C28">
      <w:pPr>
        <w:jc w:val="both"/>
        <w:rPr>
          <w:rFonts w:ascii="Arial" w:hAnsi="Arial" w:cs="Arial"/>
          <w:lang w:val="es-ES"/>
        </w:rPr>
      </w:pPr>
      <w:r w:rsidRPr="00993936">
        <w:rPr>
          <w:rFonts w:ascii="Arial" w:hAnsi="Arial" w:cs="Arial"/>
          <w:i/>
          <w:lang w:val="es-ES"/>
        </w:rPr>
        <w:t>Etiquetado:</w:t>
      </w:r>
      <w:r w:rsidRPr="00993936">
        <w:rPr>
          <w:rFonts w:ascii="Arial" w:hAnsi="Arial" w:cs="Arial"/>
          <w:lang w:val="es-ES"/>
        </w:rPr>
        <w:t xml:space="preserve"> todas las menciones, las indicaciones, las identificaciones de fábrica o de comercio, las imágenes o los signos que figuran en los envases, documentos, letreros, etiquetas, argollas</w:t>
      </w:r>
      <w:r w:rsidRPr="00993936">
        <w:rPr>
          <w:rFonts w:ascii="Arial" w:hAnsi="Arial" w:cs="Arial"/>
          <w:vanish/>
          <w:lang w:val="es-ES"/>
        </w:rPr>
        <w:t>&lt;A[argollas|servilleteros]&gt;</w:t>
      </w:r>
      <w:r w:rsidRPr="00993936">
        <w:rPr>
          <w:rFonts w:ascii="Arial" w:hAnsi="Arial" w:cs="Arial"/>
          <w:lang w:val="es-ES"/>
        </w:rPr>
        <w:t xml:space="preserve"> o collares que acompañan o se refieran a productos que prevé el Decreto 241/2002</w:t>
      </w:r>
    </w:p>
    <w:p w:rsidR="00503A41" w:rsidRPr="00993936" w:rsidRDefault="00503A41" w:rsidP="00424C28">
      <w:pPr>
        <w:jc w:val="both"/>
        <w:rPr>
          <w:rFonts w:ascii="Arial" w:hAnsi="Arial" w:cs="Arial"/>
          <w:lang w:val="es-ES"/>
        </w:rPr>
      </w:pPr>
      <w:r w:rsidRPr="00993936">
        <w:rPr>
          <w:rFonts w:ascii="Arial" w:hAnsi="Arial" w:cs="Arial"/>
          <w:i/>
          <w:lang w:val="es-ES"/>
        </w:rPr>
        <w:t>Explotación:</w:t>
      </w:r>
      <w:r w:rsidRPr="00993936">
        <w:rPr>
          <w:rFonts w:ascii="Arial" w:hAnsi="Arial" w:cs="Arial"/>
          <w:b/>
          <w:lang w:val="es-ES"/>
        </w:rPr>
        <w:t xml:space="preserve"> </w:t>
      </w:r>
      <w:r w:rsidRPr="00993936">
        <w:rPr>
          <w:rFonts w:ascii="Arial" w:hAnsi="Arial" w:cs="Arial"/>
          <w:lang w:val="es-ES"/>
        </w:rPr>
        <w:t>conjunto de bienes productivos que dan origen a una actividad económica.</w:t>
      </w:r>
    </w:p>
    <w:p w:rsidR="00503A41" w:rsidRPr="00993936" w:rsidRDefault="00503A41" w:rsidP="00424C28">
      <w:pPr>
        <w:jc w:val="both"/>
        <w:rPr>
          <w:rFonts w:ascii="Arial" w:hAnsi="Arial" w:cs="Arial"/>
          <w:lang w:val="es-ES"/>
        </w:rPr>
      </w:pPr>
      <w:r w:rsidRPr="00993936">
        <w:rPr>
          <w:rFonts w:ascii="Arial" w:hAnsi="Arial" w:cs="Arial"/>
          <w:i/>
          <w:lang w:val="es-ES"/>
        </w:rPr>
        <w:t>Fauna auxiliar:</w:t>
      </w:r>
      <w:r w:rsidRPr="00993936">
        <w:rPr>
          <w:rFonts w:ascii="Arial" w:hAnsi="Arial" w:cs="Arial"/>
          <w:lang w:val="es-ES"/>
        </w:rPr>
        <w:t xml:space="preserve"> ver enemigo natural</w:t>
      </w:r>
    </w:p>
    <w:p w:rsidR="00503A41" w:rsidRPr="00993936" w:rsidRDefault="00503A41" w:rsidP="00424C28">
      <w:pPr>
        <w:jc w:val="both"/>
        <w:rPr>
          <w:rFonts w:ascii="Arial" w:hAnsi="Arial" w:cs="Arial"/>
          <w:lang w:val="es-ES"/>
        </w:rPr>
      </w:pPr>
      <w:r w:rsidRPr="00993936">
        <w:rPr>
          <w:rFonts w:ascii="Arial" w:hAnsi="Arial" w:cs="Arial"/>
          <w:i/>
          <w:lang w:val="es-ES"/>
        </w:rPr>
        <w:t xml:space="preserve">Fertirrigación: </w:t>
      </w:r>
      <w:r w:rsidRPr="00993936">
        <w:rPr>
          <w:rFonts w:ascii="Arial" w:hAnsi="Arial" w:cs="Arial"/>
          <w:lang w:val="es-ES"/>
        </w:rPr>
        <w:t>técnica de aplicación de abonos</w:t>
      </w:r>
      <w:r w:rsidRPr="00993936">
        <w:rPr>
          <w:rFonts w:ascii="Arial" w:hAnsi="Arial" w:cs="Arial"/>
          <w:vanish/>
          <w:lang w:val="es-ES"/>
        </w:rPr>
        <w:t>&lt;A[abonos|adobos]&gt;</w:t>
      </w:r>
      <w:r w:rsidRPr="00993936">
        <w:rPr>
          <w:rFonts w:ascii="Arial" w:hAnsi="Arial" w:cs="Arial"/>
          <w:lang w:val="es-ES"/>
        </w:rPr>
        <w:t xml:space="preserve"> químicos en disolución acuosa mediante el agua de riego.</w:t>
      </w:r>
    </w:p>
    <w:p w:rsidR="00503A41" w:rsidRPr="00993936" w:rsidRDefault="00503A41" w:rsidP="00424C28">
      <w:pPr>
        <w:jc w:val="both"/>
        <w:rPr>
          <w:rFonts w:ascii="Arial" w:hAnsi="Arial" w:cs="Arial"/>
          <w:lang w:val="es-ES"/>
        </w:rPr>
      </w:pPr>
      <w:r w:rsidRPr="00993936">
        <w:rPr>
          <w:rFonts w:ascii="Arial" w:hAnsi="Arial" w:cs="Arial"/>
          <w:i/>
          <w:lang w:val="es-ES"/>
        </w:rPr>
        <w:t>Herbigación:</w:t>
      </w:r>
      <w:r w:rsidRPr="00993936">
        <w:rPr>
          <w:rFonts w:ascii="Arial" w:hAnsi="Arial" w:cs="Arial"/>
          <w:lang w:val="es-ES"/>
        </w:rPr>
        <w:t xml:space="preserve"> Aplicación de herbicidas a través de las instalaciones de acequia localizada.</w:t>
      </w:r>
    </w:p>
    <w:p w:rsidR="00503A41" w:rsidRPr="00993936" w:rsidRDefault="00503A41" w:rsidP="00424C28">
      <w:pPr>
        <w:jc w:val="both"/>
        <w:rPr>
          <w:rFonts w:ascii="Arial" w:hAnsi="Arial" w:cs="Arial"/>
          <w:lang w:val="es-ES"/>
        </w:rPr>
      </w:pPr>
      <w:r w:rsidRPr="00993936">
        <w:rPr>
          <w:rFonts w:ascii="Arial" w:hAnsi="Arial" w:cs="Arial"/>
          <w:i/>
          <w:lang w:val="es-ES"/>
        </w:rPr>
        <w:t>Método de Merrien-Keller:</w:t>
      </w:r>
      <w:r w:rsidRPr="00993936">
        <w:rPr>
          <w:rFonts w:ascii="Arial" w:hAnsi="Arial" w:cs="Arial"/>
          <w:lang w:val="es-ES"/>
        </w:rPr>
        <w:t xml:space="preserve"> método de cálculo del coeficiente de uniformidad de un sistema de riego, expresado por la fórmula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503A41" w:rsidRPr="00993936" w:rsidTr="00424C28">
        <w:trPr>
          <w:cantSplit/>
        </w:trPr>
        <w:tc>
          <w:tcPr>
            <w:tcW w:w="921" w:type="dxa"/>
            <w:vMerge w:val="restart"/>
            <w:tcBorders>
              <w:top w:val="nil"/>
              <w:left w:val="nil"/>
              <w:bottom w:val="nil"/>
              <w:right w:val="nil"/>
            </w:tcBorders>
            <w:vAlign w:val="center"/>
          </w:tcPr>
          <w:p w:rsidR="00503A41" w:rsidRPr="00993936" w:rsidRDefault="00503A41" w:rsidP="00424C28">
            <w:pPr>
              <w:jc w:val="both"/>
              <w:rPr>
                <w:rFonts w:ascii="Arial" w:hAnsi="Arial" w:cs="Arial"/>
                <w:lang w:val="es-ES"/>
              </w:rPr>
            </w:pPr>
            <w:r w:rsidRPr="00993936">
              <w:rPr>
                <w:rFonts w:ascii="Arial" w:hAnsi="Arial" w:cs="Arial"/>
                <w:lang w:val="es-ES"/>
              </w:rPr>
              <w:t xml:space="preserve">CU = </w:t>
            </w:r>
          </w:p>
        </w:tc>
        <w:tc>
          <w:tcPr>
            <w:tcW w:w="992" w:type="dxa"/>
            <w:tcBorders>
              <w:top w:val="nil"/>
              <w:left w:val="nil"/>
              <w:bottom w:val="single" w:sz="4" w:space="0" w:color="auto"/>
              <w:right w:val="nil"/>
            </w:tcBorders>
          </w:tcPr>
          <w:p w:rsidR="00503A41" w:rsidRPr="00993936" w:rsidRDefault="00503A41" w:rsidP="00424C28">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25%</w:t>
            </w:r>
          </w:p>
        </w:tc>
        <w:tc>
          <w:tcPr>
            <w:tcW w:w="992" w:type="dxa"/>
            <w:vMerge w:val="restart"/>
            <w:tcBorders>
              <w:top w:val="nil"/>
              <w:left w:val="nil"/>
              <w:bottom w:val="nil"/>
              <w:right w:val="nil"/>
            </w:tcBorders>
            <w:vAlign w:val="center"/>
          </w:tcPr>
          <w:p w:rsidR="00503A41" w:rsidRPr="00993936" w:rsidRDefault="00503A41" w:rsidP="00424C28">
            <w:pPr>
              <w:jc w:val="both"/>
              <w:rPr>
                <w:rFonts w:ascii="Arial" w:hAnsi="Arial" w:cs="Arial"/>
                <w:lang w:val="es-ES"/>
              </w:rPr>
            </w:pPr>
            <w:r w:rsidRPr="00993936">
              <w:rPr>
                <w:rFonts w:ascii="Arial" w:hAnsi="Arial" w:cs="Arial"/>
                <w:lang w:val="es-ES"/>
              </w:rPr>
              <w:t xml:space="preserve"> X 100</w:t>
            </w:r>
          </w:p>
        </w:tc>
      </w:tr>
      <w:tr w:rsidR="00503A41" w:rsidRPr="00993936" w:rsidTr="00424C28">
        <w:trPr>
          <w:cantSplit/>
        </w:trPr>
        <w:tc>
          <w:tcPr>
            <w:tcW w:w="921" w:type="dxa"/>
            <w:vMerge/>
            <w:tcBorders>
              <w:top w:val="nil"/>
              <w:left w:val="nil"/>
              <w:bottom w:val="nil"/>
              <w:right w:val="nil"/>
            </w:tcBorders>
          </w:tcPr>
          <w:p w:rsidR="00503A41" w:rsidRPr="00993936" w:rsidRDefault="00503A41" w:rsidP="00424C28">
            <w:pPr>
              <w:jc w:val="both"/>
              <w:rPr>
                <w:rFonts w:ascii="Arial" w:hAnsi="Arial" w:cs="Arial"/>
                <w:lang w:val="es-ES"/>
              </w:rPr>
            </w:pPr>
          </w:p>
        </w:tc>
        <w:tc>
          <w:tcPr>
            <w:tcW w:w="992" w:type="dxa"/>
            <w:tcBorders>
              <w:top w:val="single" w:sz="4" w:space="0" w:color="auto"/>
              <w:left w:val="nil"/>
              <w:bottom w:val="nil"/>
              <w:right w:val="nil"/>
            </w:tcBorders>
          </w:tcPr>
          <w:p w:rsidR="00503A41" w:rsidRPr="00993936" w:rsidRDefault="00503A41" w:rsidP="00424C28">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n</w:t>
            </w:r>
          </w:p>
        </w:tc>
        <w:tc>
          <w:tcPr>
            <w:tcW w:w="992" w:type="dxa"/>
            <w:vMerge/>
            <w:tcBorders>
              <w:top w:val="nil"/>
              <w:left w:val="nil"/>
              <w:bottom w:val="nil"/>
              <w:right w:val="nil"/>
            </w:tcBorders>
          </w:tcPr>
          <w:p w:rsidR="00503A41" w:rsidRPr="00993936" w:rsidRDefault="00503A41" w:rsidP="00424C28">
            <w:pPr>
              <w:jc w:val="both"/>
              <w:rPr>
                <w:rFonts w:ascii="Arial" w:hAnsi="Arial" w:cs="Arial"/>
                <w:lang w:val="es-ES"/>
              </w:rPr>
            </w:pPr>
          </w:p>
        </w:tc>
      </w:tr>
    </w:tbl>
    <w:p w:rsidR="00503A41" w:rsidRPr="00993936" w:rsidRDefault="00503A41" w:rsidP="00424C28">
      <w:pPr>
        <w:jc w:val="both"/>
        <w:rPr>
          <w:rFonts w:ascii="Arial" w:hAnsi="Arial" w:cs="Arial"/>
          <w:lang w:val="es-ES"/>
        </w:rPr>
      </w:pPr>
      <w:r w:rsidRPr="00993936">
        <w:rPr>
          <w:rFonts w:ascii="Arial" w:hAnsi="Arial" w:cs="Arial"/>
          <w:lang w:val="es-ES"/>
        </w:rPr>
        <w:t>Donde Q</w:t>
      </w:r>
      <w:r w:rsidRPr="00993936">
        <w:rPr>
          <w:rFonts w:ascii="Arial" w:hAnsi="Arial" w:cs="Arial"/>
          <w:vertAlign w:val="subscript"/>
          <w:lang w:val="es-ES"/>
        </w:rPr>
        <w:t>25%</w:t>
      </w:r>
      <w:r w:rsidRPr="00993936">
        <w:rPr>
          <w:rFonts w:ascii="Arial" w:hAnsi="Arial" w:cs="Arial"/>
          <w:lang w:val="es-ES"/>
        </w:rPr>
        <w:t xml:space="preserve"> es la media del caudal de la descarga del 25% de los emisores del caudal más reducido;  Q</w:t>
      </w:r>
      <w:r w:rsidRPr="00993936">
        <w:rPr>
          <w:rFonts w:ascii="Arial" w:hAnsi="Arial" w:cs="Arial"/>
          <w:vertAlign w:val="subscript"/>
          <w:lang w:val="es-ES"/>
        </w:rPr>
        <w:t>n</w:t>
      </w:r>
      <w:r w:rsidRPr="00993936">
        <w:rPr>
          <w:rFonts w:ascii="Arial" w:hAnsi="Arial" w:cs="Arial"/>
          <w:lang w:val="es-ES"/>
        </w:rPr>
        <w:t xml:space="preserve"> es el caudal medio de todos los emisores, y n el número de unidades o puestos de control (se recomienda que n </w:t>
      </w:r>
      <w:r w:rsidR="00241200" w:rsidRPr="00993936">
        <w:rPr>
          <w:rFonts w:ascii="Arial" w:hAnsi="Arial" w:cs="Arial"/>
          <w:lang w:val="es-ES"/>
        </w:rPr>
        <w:t>≥</w:t>
      </w:r>
      <w:r w:rsidRPr="00993936">
        <w:rPr>
          <w:rFonts w:ascii="Arial" w:hAnsi="Arial" w:cs="Arial"/>
          <w:lang w:val="es-ES"/>
        </w:rPr>
        <w:t xml:space="preserve"> 16). En caso de que la unidad de control tenga más de un emisor, el caudal total a considerar será la suma del caudal de todos los emisores que constituyen la unidad.</w:t>
      </w:r>
    </w:p>
    <w:p w:rsidR="00503A41" w:rsidRPr="00993936" w:rsidRDefault="00503A41" w:rsidP="00424C28">
      <w:pPr>
        <w:jc w:val="both"/>
        <w:rPr>
          <w:rFonts w:ascii="Arial" w:hAnsi="Arial" w:cs="Arial"/>
          <w:lang w:val="es-ES"/>
        </w:rPr>
      </w:pPr>
      <w:r w:rsidRPr="00993936">
        <w:rPr>
          <w:rFonts w:ascii="Arial" w:hAnsi="Arial" w:cs="Arial"/>
          <w:i/>
          <w:lang w:val="es-ES"/>
        </w:rPr>
        <w:t>Operador o persona operadora:</w:t>
      </w:r>
      <w:r w:rsidRPr="00993936">
        <w:rPr>
          <w:rFonts w:ascii="Arial" w:hAnsi="Arial" w:cs="Arial"/>
          <w:lang w:val="es-ES"/>
        </w:rPr>
        <w:t xml:space="preserve"> toda persona física o jurídica que obtiene, manipula, elabora, envasa, etiqueta, almacena o comercializa productos vegetales en las condiciones que establece esta disposición y que como tal figura inscrito en el Registro del Consejo Catalán de la Producción Integrada.</w:t>
      </w:r>
    </w:p>
    <w:p w:rsidR="00503A41" w:rsidRPr="00993936" w:rsidRDefault="00503A41" w:rsidP="00424C28">
      <w:pPr>
        <w:jc w:val="both"/>
        <w:rPr>
          <w:rFonts w:ascii="Arial" w:hAnsi="Arial" w:cs="Arial"/>
          <w:lang w:val="es-ES"/>
        </w:rPr>
      </w:pPr>
      <w:r w:rsidRPr="00993936">
        <w:rPr>
          <w:rFonts w:ascii="Arial" w:hAnsi="Arial" w:cs="Arial"/>
          <w:i/>
          <w:lang w:val="es-ES"/>
        </w:rPr>
        <w:t>Operador individual:</w:t>
      </w:r>
      <w:r w:rsidRPr="00993936">
        <w:rPr>
          <w:rFonts w:ascii="Arial" w:hAnsi="Arial" w:cs="Arial"/>
          <w:lang w:val="es-ES"/>
        </w:rPr>
        <w:t xml:space="preserve"> aquel operador que no está agrupado bajo ninguna forma de Agrupación de Producción Integrada. </w:t>
      </w:r>
    </w:p>
    <w:p w:rsidR="00503A41" w:rsidRPr="00993936" w:rsidRDefault="00503A41" w:rsidP="00424C28">
      <w:pPr>
        <w:jc w:val="both"/>
        <w:rPr>
          <w:rFonts w:ascii="Arial" w:hAnsi="Arial" w:cs="Arial"/>
          <w:lang w:val="es-ES"/>
        </w:rPr>
      </w:pPr>
      <w:r w:rsidRPr="00993936">
        <w:rPr>
          <w:rFonts w:ascii="Arial" w:hAnsi="Arial" w:cs="Arial"/>
          <w:i/>
          <w:lang w:val="es-ES"/>
        </w:rPr>
        <w:t>Organismo de control biológico:</w:t>
      </w:r>
      <w:r w:rsidRPr="00993936">
        <w:rPr>
          <w:rFonts w:ascii="Arial" w:hAnsi="Arial" w:cs="Arial"/>
          <w:lang w:val="es-ES"/>
        </w:rPr>
        <w:t xml:space="preserve"> enemigo natural antagonista o competidor u otra entidad biótica capaz de reproducirse, utilizado para el control de plagas con excepción de los microorganismos y virus contenidos en la definición de sustancia activa.</w:t>
      </w:r>
    </w:p>
    <w:p w:rsidR="00503A41" w:rsidRPr="00993936" w:rsidRDefault="00503A41" w:rsidP="00424C28">
      <w:pPr>
        <w:jc w:val="both"/>
        <w:rPr>
          <w:rFonts w:ascii="Arial" w:hAnsi="Arial" w:cs="Arial"/>
          <w:lang w:val="es-ES"/>
        </w:rPr>
      </w:pPr>
      <w:r w:rsidRPr="00993936">
        <w:rPr>
          <w:rFonts w:ascii="Arial" w:hAnsi="Arial" w:cs="Arial"/>
          <w:i/>
          <w:lang w:val="es-ES"/>
        </w:rPr>
        <w:t>Parcela:</w:t>
      </w:r>
      <w:r w:rsidRPr="00993936">
        <w:rPr>
          <w:rFonts w:ascii="Arial" w:hAnsi="Arial" w:cs="Arial"/>
          <w:lang w:val="es-ES"/>
        </w:rPr>
        <w:t xml:space="preserve"> superficie continua de terreno geográficamente definida e inscrita en el registro catastral a nombre de unos o más titulares, donde el operador realiza las prácticas de producción integrada.</w:t>
      </w:r>
    </w:p>
    <w:p w:rsidR="00503A41" w:rsidRPr="00993936" w:rsidRDefault="00503A41" w:rsidP="00424C28">
      <w:pPr>
        <w:jc w:val="both"/>
        <w:rPr>
          <w:rFonts w:ascii="Arial" w:hAnsi="Arial" w:cs="Arial"/>
          <w:lang w:val="es-ES"/>
        </w:rPr>
      </w:pPr>
      <w:r w:rsidRPr="00993936">
        <w:rPr>
          <w:rFonts w:ascii="Arial" w:hAnsi="Arial" w:cs="Arial"/>
          <w:i/>
          <w:lang w:val="es-ES"/>
        </w:rPr>
        <w:t>Pérdidas técnicas de nutrientes:</w:t>
      </w:r>
      <w:r w:rsidRPr="00993936">
        <w:rPr>
          <w:rFonts w:ascii="Arial" w:hAnsi="Arial" w:cs="Arial"/>
          <w:lang w:val="es-ES"/>
        </w:rPr>
        <w:t xml:space="preserve"> sueño las que se deben a la falta de incorporación de elementos nutritivos a la planta como consecuencia de errores de homogeneidad en la aportación, extracción de vegetación adventicia, lixiviación, pérdida de asimilación </w:t>
      </w:r>
      <w:r w:rsidRPr="00993936">
        <w:rPr>
          <w:rFonts w:ascii="Arial" w:hAnsi="Arial" w:cs="Arial"/>
          <w:lang w:val="es-ES"/>
        </w:rPr>
        <w:lastRenderedPageBreak/>
        <w:t>por</w:t>
      </w:r>
      <w:r w:rsidRPr="00993936">
        <w:rPr>
          <w:rFonts w:ascii="Arial" w:hAnsi="Arial" w:cs="Arial"/>
          <w:vanish/>
          <w:lang w:val="es-ES"/>
        </w:rPr>
        <w:t>&lt;A[por|para]&gt;</w:t>
      </w:r>
      <w:r w:rsidRPr="00993936">
        <w:rPr>
          <w:rFonts w:ascii="Arial" w:hAnsi="Arial" w:cs="Arial"/>
          <w:lang w:val="es-ES"/>
        </w:rPr>
        <w:t xml:space="preserve"> antagonismos, transformación en compuestos orgánicos, precipitación o insolubilización de elementos minerales o cualquier otro factor biótico.</w:t>
      </w:r>
    </w:p>
    <w:p w:rsidR="00503A41" w:rsidRPr="00993936" w:rsidRDefault="00503A41" w:rsidP="00424C28">
      <w:pPr>
        <w:jc w:val="both"/>
        <w:rPr>
          <w:rFonts w:ascii="Arial" w:hAnsi="Arial" w:cs="Arial"/>
          <w:lang w:val="es-ES"/>
        </w:rPr>
      </w:pPr>
      <w:r w:rsidRPr="00993936">
        <w:rPr>
          <w:rFonts w:ascii="Arial" w:hAnsi="Arial" w:cs="Arial"/>
          <w:i/>
          <w:lang w:val="es-ES"/>
        </w:rPr>
        <w:t>Personal técnico competente:</w:t>
      </w:r>
      <w:r w:rsidRPr="00993936">
        <w:rPr>
          <w:rFonts w:ascii="Arial" w:hAnsi="Arial" w:cs="Arial"/>
          <w:lang w:val="es-ES"/>
        </w:rPr>
        <w:t xml:space="preserve"> persona física que presta servicios técnicos de asistencia en producción integrada y que cuenta con titulación universitaria de grado medio o superior de acuerdo con lo que especifica el artículo 11.1 del Decreto 241/2002.</w:t>
      </w:r>
    </w:p>
    <w:p w:rsidR="00503A41" w:rsidRPr="00993936" w:rsidRDefault="00503A41" w:rsidP="00424C28">
      <w:pPr>
        <w:jc w:val="both"/>
        <w:rPr>
          <w:rFonts w:ascii="Arial" w:hAnsi="Arial" w:cs="Arial"/>
          <w:lang w:val="es-ES"/>
        </w:rPr>
      </w:pPr>
      <w:r w:rsidRPr="00993936">
        <w:rPr>
          <w:rFonts w:ascii="Arial" w:hAnsi="Arial" w:cs="Arial"/>
          <w:i/>
          <w:lang w:val="es-ES"/>
        </w:rPr>
        <w:t>Producción integrada:</w:t>
      </w:r>
      <w:r w:rsidRPr="00993936">
        <w:rPr>
          <w:rFonts w:ascii="Arial" w:hAnsi="Arial" w:cs="Arial"/>
          <w:lang w:val="es-ES"/>
        </w:rPr>
        <w:t xml:space="preserve"> el sistema agrario de producción y obtención de alimentos de calidad, frescos o transformados, y otros productos, que prioriza la utilización de los recursos y mecanismos de regulación naturales, con el objetivo de optimizar los métodos de producción, evitar las aportaciones perjudiciales al medio ambiente y asegurar a largo plazo una agricultura y una ganadería sostenibles.</w:t>
      </w:r>
    </w:p>
    <w:p w:rsidR="00503A41" w:rsidRPr="00993936" w:rsidRDefault="00503A41" w:rsidP="00424C28">
      <w:pPr>
        <w:jc w:val="both"/>
        <w:rPr>
          <w:rFonts w:ascii="Arial" w:hAnsi="Arial" w:cs="Arial"/>
          <w:lang w:val="es-ES"/>
        </w:rPr>
      </w:pPr>
      <w:r w:rsidRPr="00993936">
        <w:rPr>
          <w:rFonts w:ascii="Arial" w:hAnsi="Arial" w:cs="Arial"/>
          <w:i/>
          <w:lang w:val="es-ES"/>
        </w:rPr>
        <w:t xml:space="preserve">Producto para consumir en fresco: </w:t>
      </w:r>
      <w:r w:rsidRPr="00993936">
        <w:rPr>
          <w:rFonts w:ascii="Arial" w:hAnsi="Arial" w:cs="Arial"/>
          <w:lang w:val="es-ES"/>
        </w:rPr>
        <w:t xml:space="preserve">aquel que se comercializa en fresco, lo cual supone que después de ser recolectado no ha sufrido procesado, a excepción de las operaciones de limpieza, pelado, roto y/o envasado. </w:t>
      </w:r>
    </w:p>
    <w:p w:rsidR="00503A41" w:rsidRPr="00993936" w:rsidRDefault="00503A41" w:rsidP="00424C28">
      <w:pPr>
        <w:jc w:val="both"/>
        <w:rPr>
          <w:rFonts w:ascii="Arial" w:hAnsi="Arial" w:cs="Arial"/>
          <w:lang w:val="es-ES"/>
        </w:rPr>
      </w:pPr>
      <w:r w:rsidRPr="00993936">
        <w:rPr>
          <w:rFonts w:ascii="Arial" w:hAnsi="Arial" w:cs="Arial"/>
          <w:i/>
          <w:lang w:val="es-ES"/>
        </w:rPr>
        <w:t>Cuaderno de conservación/postcosecha:</w:t>
      </w:r>
      <w:r w:rsidRPr="00993936">
        <w:rPr>
          <w:rFonts w:ascii="Arial" w:hAnsi="Arial" w:cs="Arial"/>
          <w:lang w:val="es-ES"/>
        </w:rPr>
        <w:t xml:space="preserve"> documento donde se registran los datos relativos a las instalaciones de los productos vegetales, mediante el cual es posible hacer un seguimiento detallado de todas las operaciones de recepción, manipulado, almacenamiento, envasado y expedición de frutas y hortalizas</w:t>
      </w:r>
    </w:p>
    <w:p w:rsidR="00503A41" w:rsidRPr="00993936" w:rsidRDefault="00503A41" w:rsidP="00424C28">
      <w:pPr>
        <w:jc w:val="both"/>
        <w:rPr>
          <w:rFonts w:ascii="Arial" w:hAnsi="Arial" w:cs="Arial"/>
          <w:i/>
          <w:lang w:val="es-ES"/>
        </w:rPr>
      </w:pPr>
      <w:r w:rsidRPr="00993936">
        <w:rPr>
          <w:rFonts w:ascii="Arial" w:hAnsi="Arial" w:cs="Arial"/>
          <w:i/>
          <w:lang w:val="es-ES"/>
        </w:rPr>
        <w:t>Cuaderno de explotación:</w:t>
      </w:r>
      <w:r w:rsidRPr="00993936">
        <w:rPr>
          <w:rFonts w:ascii="Arial" w:hAnsi="Arial" w:cs="Arial"/>
          <w:lang w:val="es-ES"/>
        </w:rPr>
        <w:t xml:space="preserve"> documento donde se registran los datos relativos a una parcela o agrupación de parcelas de cultivo (ver definición de la Unidad Homogénea de Cultivo), mediante el cual es posible hacer un seguimiento detallado de todas las operaciones culturales realizadas durante el ciclo de cultivo.</w:t>
      </w:r>
    </w:p>
    <w:p w:rsidR="00503A41" w:rsidRPr="00993936" w:rsidRDefault="00503A41" w:rsidP="00424C28">
      <w:pPr>
        <w:jc w:val="both"/>
        <w:rPr>
          <w:rFonts w:ascii="Arial" w:hAnsi="Arial" w:cs="Arial"/>
          <w:lang w:val="es-ES"/>
        </w:rPr>
      </w:pPr>
      <w:r w:rsidRPr="00993936">
        <w:rPr>
          <w:rFonts w:ascii="Arial" w:hAnsi="Arial" w:cs="Arial"/>
          <w:i/>
          <w:lang w:val="es-ES"/>
        </w:rPr>
        <w:t>Sustancia activa:</w:t>
      </w:r>
      <w:r w:rsidRPr="00993936">
        <w:rPr>
          <w:rFonts w:ascii="Arial" w:hAnsi="Arial" w:cs="Arial"/>
          <w:lang w:val="es-ES"/>
        </w:rPr>
        <w:t xml:space="preserve"> las sustancias o microorganismos, incluidos los virus, que ejercen una acción general o específica contra las plagas, incluidas las enfermedades, o en vegetales, partes de vegetales o productos vegetales.</w:t>
      </w:r>
    </w:p>
    <w:p w:rsidR="00503A41" w:rsidRPr="00993936" w:rsidRDefault="00503A41" w:rsidP="00424C28">
      <w:pPr>
        <w:jc w:val="both"/>
        <w:rPr>
          <w:rFonts w:ascii="Arial" w:hAnsi="Arial" w:cs="Arial"/>
          <w:lang w:val="es-ES"/>
        </w:rPr>
      </w:pPr>
      <w:r w:rsidRPr="00993936">
        <w:rPr>
          <w:rFonts w:ascii="Arial" w:hAnsi="Arial" w:cs="Arial"/>
          <w:i/>
          <w:lang w:val="es-ES"/>
        </w:rPr>
        <w:t>Unidad Homogénea de Cultivo (UHC):</w:t>
      </w:r>
      <w:r w:rsidRPr="00993936">
        <w:rPr>
          <w:rFonts w:ascii="Arial" w:hAnsi="Arial" w:cs="Arial"/>
          <w:lang w:val="es-ES"/>
        </w:rPr>
        <w:t xml:space="preserve"> para cada cultivo, superficie de terreno que presenta unas características similares con respecto al tipo de suelo, al sistema de riego y al tipo de cultivo, en la cual se aplican operaciones culturales y técnicas de cultivo similares, así como los mismos tratamientos fitosanitarios. En caso de agrupaciones de productores, podrá haber UHC que incluyan cultivos o partes de cultivos de varios agricultores. Para cultivos protegidos, la unidad homogénea de cultivo se encontrará dentro de un mismo recinto delimitado bajo un mismo tipo de protección.</w:t>
      </w:r>
    </w:p>
    <w:p w:rsidR="00503A41" w:rsidRPr="00993936" w:rsidRDefault="00503A41" w:rsidP="00424C28">
      <w:pPr>
        <w:jc w:val="both"/>
        <w:rPr>
          <w:rFonts w:ascii="Arial" w:hAnsi="Arial" w:cs="Arial"/>
          <w:lang w:val="es-ES"/>
        </w:rPr>
      </w:pPr>
      <w:r w:rsidRPr="00993936">
        <w:rPr>
          <w:rFonts w:ascii="Arial" w:hAnsi="Arial" w:cs="Arial"/>
          <w:i/>
          <w:lang w:val="es-ES"/>
        </w:rPr>
        <w:t>Venta directa:</w:t>
      </w:r>
      <w:r w:rsidRPr="00993936">
        <w:rPr>
          <w:rFonts w:ascii="Arial" w:hAnsi="Arial" w:cs="Arial"/>
          <w:lang w:val="es-ES"/>
        </w:rPr>
        <w:t xml:space="preserve"> venta realizada por los propios operadores de su producto fresco, envasado y etiquetado en la propia explotación, tanto al consumidor, como al asentador, comerciante o mayorista.</w:t>
      </w:r>
    </w:p>
    <w:p w:rsidR="00503A41" w:rsidRPr="00993936" w:rsidRDefault="00503A41" w:rsidP="00424C28">
      <w:pPr>
        <w:tabs>
          <w:tab w:val="left" w:pos="1815"/>
        </w:tabs>
        <w:jc w:val="both"/>
        <w:outlineLvl w:val="0"/>
        <w:rPr>
          <w:rFonts w:ascii="Arial" w:hAnsi="Arial" w:cs="Arial"/>
          <w:snapToGrid w:val="0"/>
          <w:lang w:val="es-ES"/>
        </w:rPr>
      </w:pPr>
    </w:p>
    <w:p w:rsidR="00503A41" w:rsidRPr="00993936" w:rsidRDefault="00503A41" w:rsidP="00424C28">
      <w:pPr>
        <w:tabs>
          <w:tab w:val="left" w:pos="1815"/>
        </w:tabs>
        <w:jc w:val="both"/>
        <w:outlineLvl w:val="0"/>
        <w:rPr>
          <w:rFonts w:ascii="Arial" w:hAnsi="Arial" w:cs="Arial"/>
          <w:b/>
          <w:snapToGrid w:val="0"/>
          <w:lang w:val="es-ES"/>
        </w:rPr>
      </w:pPr>
      <w:r w:rsidRPr="00993936">
        <w:rPr>
          <w:rFonts w:ascii="Arial" w:hAnsi="Arial" w:cs="Arial"/>
          <w:b/>
          <w:snapToGrid w:val="0"/>
          <w:lang w:val="es-ES"/>
        </w:rPr>
        <w:t>I.  BIODIVERSIDAD Y PRÁCTICAS DE CULTIVO</w:t>
      </w:r>
    </w:p>
    <w:p w:rsidR="00503A41" w:rsidRPr="00993936" w:rsidRDefault="00503A41" w:rsidP="00424C28">
      <w:pPr>
        <w:tabs>
          <w:tab w:val="left" w:pos="1815"/>
        </w:tabs>
        <w:jc w:val="both"/>
        <w:outlineLvl w:val="0"/>
        <w:rPr>
          <w:rFonts w:ascii="Arial" w:hAnsi="Arial" w:cs="Arial"/>
          <w:snapToGrid w:val="0"/>
          <w:lang w:val="es-ES"/>
        </w:rPr>
      </w:pPr>
    </w:p>
    <w:p w:rsidR="00503A41" w:rsidRPr="00993936" w:rsidRDefault="00503A41" w:rsidP="00424C28">
      <w:pPr>
        <w:tabs>
          <w:tab w:val="left" w:pos="1815"/>
        </w:tabs>
        <w:jc w:val="both"/>
        <w:outlineLvl w:val="0"/>
        <w:rPr>
          <w:rFonts w:ascii="Arial" w:hAnsi="Arial" w:cs="Arial"/>
          <w:snapToGrid w:val="0"/>
          <w:lang w:val="es-ES"/>
        </w:rPr>
      </w:pPr>
      <w:r w:rsidRPr="00993936">
        <w:rPr>
          <w:rFonts w:ascii="Arial" w:hAnsi="Arial" w:cs="Arial"/>
          <w:snapToGrid w:val="0"/>
          <w:lang w:val="es-ES"/>
        </w:rPr>
        <w:t>Artículo 1</w:t>
      </w:r>
      <w:r w:rsidRPr="00993936">
        <w:rPr>
          <w:rFonts w:ascii="Arial" w:hAnsi="Arial" w:cs="Arial"/>
          <w:snapToGrid w:val="0"/>
          <w:lang w:val="es-ES"/>
        </w:rPr>
        <w:tab/>
      </w:r>
    </w:p>
    <w:p w:rsidR="00503A41" w:rsidRPr="00993936" w:rsidRDefault="00503A41" w:rsidP="00424C28">
      <w:pPr>
        <w:jc w:val="both"/>
        <w:outlineLvl w:val="0"/>
        <w:rPr>
          <w:rFonts w:ascii="Arial" w:hAnsi="Arial" w:cs="Arial"/>
          <w:snapToGrid w:val="0"/>
          <w:lang w:val="es-ES"/>
        </w:rPr>
      </w:pPr>
      <w:r w:rsidRPr="00993936">
        <w:rPr>
          <w:rFonts w:ascii="Arial" w:hAnsi="Arial" w:cs="Arial"/>
          <w:b/>
          <w:snapToGrid w:val="0"/>
          <w:lang w:val="es-ES"/>
        </w:rPr>
        <w:t>Biodiversidad</w:t>
      </w:r>
    </w:p>
    <w:p w:rsidR="00503A41" w:rsidRPr="00993936" w:rsidRDefault="00503A41" w:rsidP="00424C28">
      <w:pPr>
        <w:jc w:val="both"/>
        <w:rPr>
          <w:rFonts w:ascii="Arial" w:hAnsi="Arial" w:cs="Arial"/>
          <w:snapToGrid w:val="0"/>
          <w:lang w:val="es-ES"/>
        </w:rPr>
      </w:pPr>
      <w:r w:rsidRPr="00993936">
        <w:rPr>
          <w:rFonts w:ascii="Arial" w:hAnsi="Arial" w:cs="Arial"/>
          <w:snapToGrid w:val="0"/>
          <w:lang w:val="es-ES"/>
        </w:rPr>
        <w:t>1.1.</w:t>
      </w:r>
      <w:r w:rsidRPr="00993936">
        <w:rPr>
          <w:rFonts w:ascii="Arial" w:hAnsi="Arial" w:cs="Arial"/>
          <w:i/>
          <w:snapToGrid w:val="0"/>
          <w:lang w:val="es-ES"/>
        </w:rPr>
        <w:t>Obligaciones</w:t>
      </w:r>
    </w:p>
    <w:p w:rsidR="00503A41" w:rsidRPr="00993936" w:rsidRDefault="00503A41" w:rsidP="00424C28">
      <w:pPr>
        <w:pStyle w:val="Textoindependiente"/>
        <w:rPr>
          <w:rFonts w:cs="Arial"/>
          <w:lang w:val="es-ES"/>
        </w:rPr>
      </w:pPr>
      <w:r w:rsidRPr="00993936">
        <w:rPr>
          <w:rFonts w:cs="Arial"/>
          <w:lang w:val="es-ES"/>
        </w:rPr>
        <w:lastRenderedPageBreak/>
        <w:t>1.1.1  Fomentar de manera activa la diversidad biológica de los niveles genéticos, específicos y del ecosistema, ya que constituye un recurso natural importante de la explotación agraria.</w:t>
      </w:r>
    </w:p>
    <w:p w:rsidR="00503A41" w:rsidRPr="00993936" w:rsidRDefault="00503A41" w:rsidP="00424C28">
      <w:pPr>
        <w:pStyle w:val="Textodenotaalfinal"/>
        <w:jc w:val="both"/>
        <w:rPr>
          <w:rFonts w:ascii="Arial" w:hAnsi="Arial" w:cs="Arial"/>
          <w:sz w:val="22"/>
          <w:u w:val="single"/>
          <w:lang w:val="es-ES"/>
        </w:rPr>
      </w:pPr>
      <w:r w:rsidRPr="00993936">
        <w:rPr>
          <w:rFonts w:ascii="Arial" w:hAnsi="Arial" w:cs="Arial"/>
          <w:sz w:val="22"/>
          <w:lang w:val="es-ES"/>
        </w:rPr>
        <w:t>1.1.2 Fomentar y conservar un entorno de la explotación agraria natural y equilibrado, con un ecosistema de plantas y animales diversificado, identificando para cada cultivo y tipo de explotación agraria los elementos importantes de las infraestructuras ecológicas que contribuyan al mantenimiento y a la mejora de la biodiversidad biológica. Cada operador productor tendrá</w:t>
      </w:r>
      <w:r w:rsidRPr="00993936">
        <w:rPr>
          <w:rFonts w:ascii="Arial" w:hAnsi="Arial" w:cs="Arial"/>
          <w:sz w:val="22"/>
          <w:u w:val="single"/>
          <w:lang w:val="es-ES"/>
        </w:rPr>
        <w:t xml:space="preserve"> </w:t>
      </w:r>
      <w:r w:rsidRPr="00993936">
        <w:rPr>
          <w:rFonts w:ascii="Arial" w:hAnsi="Arial" w:cs="Arial"/>
          <w:sz w:val="22"/>
          <w:lang w:val="es-ES"/>
        </w:rPr>
        <w:t>que impulsar la realización de al menos dos opciones ecológicas que contribuyan a la mejora de la biodiversidad de sus plantaciones, seleccionándolas, prioritariamente, de la lista que se describe a continuación. Si no fuera posible la realización de las opciones propuestas el operador podrá establecer una lista de alternativas,</w:t>
      </w:r>
      <w:r w:rsidRPr="00993936">
        <w:rPr>
          <w:rFonts w:ascii="Arial" w:hAnsi="Arial" w:cs="Arial"/>
          <w:sz w:val="22"/>
          <w:szCs w:val="22"/>
          <w:lang w:val="es-ES"/>
        </w:rPr>
        <w:t xml:space="preserve"> que lo tendrá que aprobar el Consejo Catalán de la Producción Integrada</w:t>
      </w:r>
      <w:r w:rsidRPr="00993936">
        <w:rPr>
          <w:rFonts w:ascii="Arial" w:hAnsi="Arial" w:cs="Arial"/>
          <w:sz w:val="22"/>
          <w:lang w:val="es-ES"/>
        </w:rPr>
        <w:t>, de la cual como mínimo tendrá que practicar dos:</w:t>
      </w:r>
      <w:r w:rsidRPr="00993936">
        <w:rPr>
          <w:rFonts w:ascii="Arial" w:hAnsi="Arial" w:cs="Arial"/>
          <w:sz w:val="22"/>
          <w:szCs w:val="22"/>
          <w:lang w:val="es-ES"/>
        </w:rPr>
        <w:t xml:space="preserve"> </w:t>
      </w:r>
    </w:p>
    <w:p w:rsidR="00503A41" w:rsidRPr="00993936" w:rsidRDefault="00503A41" w:rsidP="009D1A2D">
      <w:pPr>
        <w:pStyle w:val="Textodenotaalfinal"/>
        <w:numPr>
          <w:ilvl w:val="0"/>
          <w:numId w:val="163"/>
        </w:numPr>
        <w:jc w:val="both"/>
        <w:rPr>
          <w:rFonts w:ascii="Arial" w:hAnsi="Arial" w:cs="Arial"/>
          <w:sz w:val="22"/>
          <w:lang w:val="es-ES"/>
        </w:rPr>
      </w:pPr>
      <w:r w:rsidRPr="00993936">
        <w:rPr>
          <w:rFonts w:ascii="Arial" w:hAnsi="Arial" w:cs="Arial"/>
          <w:sz w:val="22"/>
          <w:lang w:val="es-ES"/>
        </w:rPr>
        <w:t>Establecer un área de compensación ecológica, en la que no se apliquen plaguicidas ni fertilizantes, para aumentar la biodiversidad faunística y botánica, de al menos un 5% de la superficie total de la explotación (excluidos los bosques). Se podrán considerar dentro de estas áreas, por ejemplo: cortavientos, márgenes de caminos, de canales, de ríos o rieras, etc.</w:t>
      </w:r>
    </w:p>
    <w:p w:rsidR="00503A41" w:rsidRPr="00993936" w:rsidRDefault="00503A41" w:rsidP="00424C28">
      <w:pPr>
        <w:pStyle w:val="Textodenotaalfinal"/>
        <w:ind w:left="708"/>
        <w:jc w:val="both"/>
        <w:rPr>
          <w:rFonts w:ascii="Arial" w:hAnsi="Arial" w:cs="Arial"/>
          <w:sz w:val="22"/>
          <w:lang w:val="es-ES"/>
        </w:rPr>
      </w:pPr>
      <w:r w:rsidRPr="00993936">
        <w:rPr>
          <w:rFonts w:ascii="Arial" w:hAnsi="Arial" w:cs="Arial"/>
          <w:sz w:val="22"/>
          <w:lang w:val="es-ES"/>
        </w:rPr>
        <w:t>Se admitirá que las áreas de compensación ecológica se establezcan a nivel de organización de productores o municipal, siempre que vayan asociadas directamente a las zonas de producción.</w:t>
      </w:r>
    </w:p>
    <w:p w:rsidR="00503A41" w:rsidRPr="00993936" w:rsidRDefault="00503A41" w:rsidP="009D1A2D">
      <w:pPr>
        <w:pStyle w:val="Textodenotaalfinal"/>
        <w:numPr>
          <w:ilvl w:val="0"/>
          <w:numId w:val="163"/>
        </w:numPr>
        <w:ind w:left="714" w:hanging="357"/>
        <w:jc w:val="both"/>
        <w:rPr>
          <w:rFonts w:ascii="Arial" w:hAnsi="Arial" w:cs="Arial"/>
          <w:sz w:val="22"/>
          <w:lang w:val="es-ES"/>
        </w:rPr>
      </w:pPr>
      <w:r w:rsidRPr="00993936">
        <w:rPr>
          <w:rFonts w:ascii="Arial" w:hAnsi="Arial" w:cs="Arial"/>
          <w:sz w:val="22"/>
          <w:lang w:val="es-ES"/>
        </w:rPr>
        <w:t>Establecer o mantener una cubierta vegetal del suelo.</w:t>
      </w:r>
    </w:p>
    <w:p w:rsidR="00503A41" w:rsidRPr="00993936" w:rsidRDefault="00503A41" w:rsidP="009D1A2D">
      <w:pPr>
        <w:pStyle w:val="Textodenotaalfinal"/>
        <w:numPr>
          <w:ilvl w:val="0"/>
          <w:numId w:val="163"/>
        </w:numPr>
        <w:ind w:left="714" w:hanging="357"/>
        <w:jc w:val="both"/>
        <w:rPr>
          <w:rFonts w:ascii="Arial" w:hAnsi="Arial" w:cs="Arial"/>
          <w:sz w:val="22"/>
          <w:lang w:val="es-ES"/>
        </w:rPr>
      </w:pPr>
      <w:r w:rsidRPr="00993936">
        <w:rPr>
          <w:rFonts w:ascii="Arial" w:hAnsi="Arial" w:cs="Arial"/>
          <w:sz w:val="22"/>
          <w:lang w:val="es-ES"/>
        </w:rPr>
        <w:t>No aplicar herbicidas en las plantaciones durante el periodo de otoño-invierno.</w:t>
      </w:r>
    </w:p>
    <w:p w:rsidR="00503A41" w:rsidRPr="00993936" w:rsidRDefault="00503A41" w:rsidP="009D1A2D">
      <w:pPr>
        <w:pStyle w:val="Textodenotaalfinal"/>
        <w:numPr>
          <w:ilvl w:val="0"/>
          <w:numId w:val="163"/>
        </w:numPr>
        <w:ind w:left="714" w:hanging="357"/>
        <w:jc w:val="both"/>
        <w:rPr>
          <w:rFonts w:ascii="Arial" w:hAnsi="Arial" w:cs="Arial"/>
          <w:sz w:val="22"/>
          <w:lang w:val="es-ES"/>
        </w:rPr>
      </w:pPr>
      <w:r w:rsidRPr="00993936">
        <w:rPr>
          <w:rFonts w:ascii="Arial" w:hAnsi="Arial" w:cs="Arial"/>
          <w:sz w:val="22"/>
          <w:lang w:val="es-ES"/>
        </w:rPr>
        <w:t>Establecer refugios artificiales para los pájaros insectívoros.</w:t>
      </w:r>
    </w:p>
    <w:p w:rsidR="00503A41" w:rsidRPr="00993936" w:rsidRDefault="00503A41" w:rsidP="009D1A2D">
      <w:pPr>
        <w:pStyle w:val="Textodenotaalfinal"/>
        <w:numPr>
          <w:ilvl w:val="0"/>
          <w:numId w:val="163"/>
        </w:numPr>
        <w:ind w:left="714" w:hanging="357"/>
        <w:jc w:val="both"/>
        <w:rPr>
          <w:rFonts w:ascii="Arial" w:hAnsi="Arial" w:cs="Arial"/>
          <w:sz w:val="22"/>
          <w:lang w:val="es-ES"/>
        </w:rPr>
      </w:pPr>
      <w:r w:rsidRPr="00993936">
        <w:rPr>
          <w:rFonts w:ascii="Arial" w:hAnsi="Arial" w:cs="Arial"/>
          <w:sz w:val="22"/>
          <w:lang w:val="es-ES"/>
        </w:rPr>
        <w:t>Establecer refugios artificiales para los insectos que favorezcan la polinización.</w:t>
      </w:r>
    </w:p>
    <w:p w:rsidR="00503A41" w:rsidRPr="00993936" w:rsidRDefault="00503A41" w:rsidP="009D1A2D">
      <w:pPr>
        <w:pStyle w:val="Textodenotaalfinal"/>
        <w:numPr>
          <w:ilvl w:val="0"/>
          <w:numId w:val="163"/>
        </w:numPr>
        <w:ind w:left="714" w:hanging="357"/>
        <w:jc w:val="both"/>
        <w:rPr>
          <w:rFonts w:ascii="Arial" w:hAnsi="Arial" w:cs="Arial"/>
          <w:sz w:val="22"/>
          <w:lang w:val="es-ES"/>
        </w:rPr>
      </w:pPr>
      <w:r w:rsidRPr="00993936">
        <w:rPr>
          <w:rFonts w:ascii="Arial" w:hAnsi="Arial" w:cs="Arial"/>
          <w:sz w:val="22"/>
          <w:lang w:val="es-ES"/>
        </w:rPr>
        <w:t>No aplicar productos fitosanitarios, ni herbicidas sobre la vegetación espontánea de los márgenes de las parcelas y realizar el control con medios culturales.</w:t>
      </w:r>
    </w:p>
    <w:p w:rsidR="00503A41" w:rsidRPr="00993936" w:rsidRDefault="00503A41" w:rsidP="009D1A2D">
      <w:pPr>
        <w:pStyle w:val="Textodenotaalfinal"/>
        <w:numPr>
          <w:ilvl w:val="0"/>
          <w:numId w:val="163"/>
        </w:numPr>
        <w:ind w:left="714" w:hanging="357"/>
        <w:jc w:val="both"/>
        <w:rPr>
          <w:rFonts w:ascii="Arial" w:hAnsi="Arial" w:cs="Arial"/>
          <w:sz w:val="22"/>
          <w:lang w:val="es-ES"/>
        </w:rPr>
      </w:pPr>
      <w:r w:rsidRPr="00993936">
        <w:rPr>
          <w:rFonts w:ascii="Arial" w:hAnsi="Arial" w:cs="Arial"/>
          <w:sz w:val="22"/>
          <w:lang w:val="es-ES"/>
        </w:rPr>
        <w:t>Establecer refugios artificiales para las aves de rapiña.</w:t>
      </w:r>
    </w:p>
    <w:p w:rsidR="00503A41" w:rsidRPr="00993936" w:rsidRDefault="00503A41" w:rsidP="009D1A2D">
      <w:pPr>
        <w:pStyle w:val="Textodenotaalfinal"/>
        <w:numPr>
          <w:ilvl w:val="0"/>
          <w:numId w:val="163"/>
        </w:numPr>
        <w:ind w:left="714" w:hanging="357"/>
        <w:jc w:val="both"/>
        <w:rPr>
          <w:rFonts w:ascii="Arial" w:hAnsi="Arial" w:cs="Arial"/>
          <w:sz w:val="22"/>
          <w:lang w:val="es-ES"/>
        </w:rPr>
      </w:pPr>
      <w:r w:rsidRPr="00993936">
        <w:rPr>
          <w:rFonts w:ascii="Arial" w:hAnsi="Arial" w:cs="Arial"/>
          <w:sz w:val="22"/>
          <w:lang w:val="es-ES"/>
        </w:rPr>
        <w:t>Establecer cortavientos en los márgenes de las parcelas, especialmente en zonas ventosas.</w:t>
      </w:r>
    </w:p>
    <w:p w:rsidR="00503A41" w:rsidRPr="00993936" w:rsidRDefault="00503A41" w:rsidP="009D1A2D">
      <w:pPr>
        <w:pStyle w:val="Textodenotaalfinal"/>
        <w:numPr>
          <w:ilvl w:val="0"/>
          <w:numId w:val="163"/>
        </w:numPr>
        <w:ind w:left="714" w:hanging="357"/>
        <w:jc w:val="both"/>
        <w:rPr>
          <w:rFonts w:ascii="Arial" w:hAnsi="Arial" w:cs="Arial"/>
          <w:sz w:val="22"/>
          <w:lang w:val="es-ES"/>
        </w:rPr>
      </w:pPr>
      <w:r w:rsidRPr="00993936">
        <w:rPr>
          <w:rFonts w:ascii="Arial" w:hAnsi="Arial" w:cs="Arial"/>
          <w:sz w:val="22"/>
          <w:lang w:val="es-ES"/>
        </w:rPr>
        <w:t>Proporcionar alimentos a los adultos de los enemigos naturales mediante plantas con flores.</w:t>
      </w:r>
    </w:p>
    <w:p w:rsidR="00503A41" w:rsidRPr="00993936" w:rsidRDefault="00503A41" w:rsidP="001D205D">
      <w:pPr>
        <w:pStyle w:val="Sinespaciado"/>
        <w:rPr>
          <w:rFonts w:ascii="Arial" w:hAnsi="Arial" w:cs="Arial"/>
          <w:i/>
          <w:lang w:val="es-ES"/>
        </w:rPr>
      </w:pPr>
      <w:r w:rsidRPr="00993936">
        <w:rPr>
          <w:rFonts w:ascii="Arial" w:hAnsi="Arial" w:cs="Arial"/>
          <w:i/>
          <w:lang w:val="es-ES"/>
        </w:rPr>
        <w:t>1.2 Recomendaciones</w:t>
      </w:r>
    </w:p>
    <w:p w:rsidR="00503A41" w:rsidRPr="00993936" w:rsidRDefault="00503A41" w:rsidP="001D205D">
      <w:pPr>
        <w:pStyle w:val="Sinespaciado"/>
        <w:rPr>
          <w:rFonts w:ascii="Arial" w:hAnsi="Arial" w:cs="Arial"/>
          <w:lang w:val="es-ES"/>
        </w:rPr>
      </w:pPr>
      <w:r w:rsidRPr="00993936">
        <w:rPr>
          <w:rFonts w:ascii="Arial" w:hAnsi="Arial" w:cs="Arial"/>
          <w:lang w:val="es-ES"/>
        </w:rPr>
        <w:t>1.2.1 En caso de que se implanten cortavientos, siempre que sea posible se realizarán con especies</w:t>
      </w:r>
      <w:r w:rsidRPr="00993936">
        <w:rPr>
          <w:rFonts w:ascii="Arial" w:hAnsi="Arial" w:cs="Arial"/>
          <w:vanish/>
          <w:lang w:val="es-ES"/>
        </w:rPr>
        <w:t>&lt;A[especies|especias]&gt;</w:t>
      </w:r>
      <w:r w:rsidRPr="00993936">
        <w:rPr>
          <w:rFonts w:ascii="Arial" w:hAnsi="Arial" w:cs="Arial"/>
          <w:lang w:val="es-ES"/>
        </w:rPr>
        <w:t xml:space="preserve"> autóctonas, procurando mantener una diversidad de estructura y composición.</w:t>
      </w:r>
    </w:p>
    <w:p w:rsidR="00503A41" w:rsidRPr="00993936" w:rsidRDefault="00503A41" w:rsidP="00424C28">
      <w:pPr>
        <w:jc w:val="both"/>
        <w:rPr>
          <w:rFonts w:ascii="Arial" w:hAnsi="Arial" w:cs="Arial"/>
          <w:lang w:val="es-ES"/>
        </w:rPr>
      </w:pPr>
    </w:p>
    <w:p w:rsidR="00503A41" w:rsidRPr="00993936" w:rsidRDefault="00503A41" w:rsidP="001D205D">
      <w:pPr>
        <w:pStyle w:val="Sinespaciado"/>
        <w:rPr>
          <w:rFonts w:ascii="Arial" w:hAnsi="Arial" w:cs="Arial"/>
          <w:lang w:val="es-ES"/>
        </w:rPr>
      </w:pPr>
      <w:r w:rsidRPr="00993936">
        <w:rPr>
          <w:rFonts w:ascii="Arial" w:hAnsi="Arial" w:cs="Arial"/>
          <w:lang w:val="es-ES"/>
        </w:rPr>
        <w:t>Artículo 2</w:t>
      </w:r>
    </w:p>
    <w:p w:rsidR="00503A41" w:rsidRPr="00993936" w:rsidRDefault="00503A41" w:rsidP="001D205D">
      <w:pPr>
        <w:pStyle w:val="Sinespaciado"/>
        <w:rPr>
          <w:rFonts w:ascii="Arial" w:hAnsi="Arial" w:cs="Arial"/>
          <w:b/>
          <w:lang w:val="es-ES"/>
        </w:rPr>
      </w:pPr>
      <w:r w:rsidRPr="00993936">
        <w:rPr>
          <w:rFonts w:ascii="Arial" w:hAnsi="Arial" w:cs="Arial"/>
          <w:b/>
          <w:lang w:val="es-ES"/>
        </w:rPr>
        <w:t>Aspectos agronómicos generales</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2.1.- </w:t>
      </w:r>
      <w:r w:rsidRPr="00993936">
        <w:rPr>
          <w:rFonts w:ascii="Arial" w:hAnsi="Arial" w:cs="Arial"/>
          <w:i/>
          <w:lang w:val="es-ES"/>
        </w:rPr>
        <w:t>Obligaciones</w:t>
      </w:r>
    </w:p>
    <w:p w:rsidR="00503A41" w:rsidRPr="00993936" w:rsidRDefault="00503A41" w:rsidP="001D205D">
      <w:pPr>
        <w:pStyle w:val="Sinespaciado"/>
        <w:rPr>
          <w:rFonts w:ascii="Arial" w:hAnsi="Arial" w:cs="Arial"/>
          <w:lang w:val="es-ES"/>
        </w:rPr>
      </w:pPr>
      <w:r w:rsidRPr="00993936">
        <w:rPr>
          <w:rFonts w:ascii="Arial" w:hAnsi="Arial" w:cs="Arial"/>
          <w:lang w:val="es-ES"/>
        </w:rPr>
        <w:t>2.1.1 El momento y la intensidad de las operaciones culturales tiene que minimizar los posibles impactos ambientales.</w:t>
      </w:r>
    </w:p>
    <w:p w:rsidR="00503A41" w:rsidRPr="00993936" w:rsidRDefault="00503A41" w:rsidP="001D205D">
      <w:pPr>
        <w:pStyle w:val="Sinespaciado"/>
        <w:rPr>
          <w:rFonts w:ascii="Arial" w:hAnsi="Arial" w:cs="Arial"/>
          <w:lang w:val="es-ES"/>
        </w:rPr>
      </w:pPr>
      <w:r w:rsidRPr="00993936">
        <w:rPr>
          <w:rFonts w:ascii="Arial" w:hAnsi="Arial" w:cs="Arial"/>
          <w:lang w:val="es-ES"/>
        </w:rPr>
        <w:t>2.1.2 En frutos secos, el sistema de cultivo incluye el sistema de formación y tiene que respetar el estado fisiológico óptimo de las plantas.</w:t>
      </w:r>
    </w:p>
    <w:p w:rsidR="00503A41" w:rsidRPr="00993936" w:rsidRDefault="00503A41" w:rsidP="00424C28">
      <w:pPr>
        <w:jc w:val="both"/>
        <w:outlineLvl w:val="0"/>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Suelo, preparación del terreno y cultivo</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 En las nuevas plantaciones, se realizará una caracterización del suelo mediante el examen directo y su análisis. Con esta finalidad, se realizarán zanjas del suelo para obtener información sobre la profundidad, textura, capacidad de retención de agua y posibles problemas de salinidad, permeabilidad y encharcamientos. Las zanjas se </w:t>
      </w:r>
      <w:r w:rsidRPr="00993936">
        <w:rPr>
          <w:rFonts w:ascii="Arial" w:hAnsi="Arial" w:cs="Arial"/>
          <w:lang w:val="es-ES"/>
        </w:rPr>
        <w:lastRenderedPageBreak/>
        <w:t>realizarán por zonas homogéneas, que no hará falta que sean necesariamente coincidentes con las unidades de control. No habrá que realizar esta práctica si la información se puede obtener a través de los mapas de suelos existentes.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En plantaciones establecidas se realizarán análisis del suelo, excepto En caso que se disponga de datos recientes.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3.1.2 En las nuevas plantaciones, eliminar las cepas y restos de cultivos leñosos anteriores.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3.1.3 En nuevas plantaciones la disposición de las filas de árboles será la que minimice la erosión, y si hace falta se adoptarán medidas de conservación de suelos.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3.1.4 Mantener y mejorar la fertilidad del suelo mediante:</w:t>
      </w:r>
    </w:p>
    <w:p w:rsidR="00503A41" w:rsidRPr="00993936" w:rsidRDefault="00503A41" w:rsidP="009D1A2D">
      <w:pPr>
        <w:pStyle w:val="Sinespaciado"/>
        <w:numPr>
          <w:ilvl w:val="0"/>
          <w:numId w:val="165"/>
        </w:numPr>
        <w:jc w:val="both"/>
        <w:rPr>
          <w:rFonts w:ascii="Arial" w:hAnsi="Arial" w:cs="Arial"/>
          <w:lang w:val="es-ES"/>
        </w:rPr>
      </w:pPr>
      <w:r w:rsidRPr="00993936">
        <w:rPr>
          <w:rFonts w:ascii="Arial" w:hAnsi="Arial" w:cs="Arial"/>
          <w:lang w:val="es-ES"/>
        </w:rPr>
        <w:t xml:space="preserve">El conocimiento de los niveles de materia orgánica del suelo y la velocidad de mineralización, la cual estimarán de acuerdo con el tipo de suelo y con las condiciones climáticas de la zona. </w:t>
      </w:r>
    </w:p>
    <w:p w:rsidR="00503A41" w:rsidRPr="00993936" w:rsidRDefault="00503A41" w:rsidP="009D1A2D">
      <w:pPr>
        <w:pStyle w:val="Sinespaciado"/>
        <w:numPr>
          <w:ilvl w:val="0"/>
          <w:numId w:val="165"/>
        </w:numPr>
        <w:jc w:val="both"/>
        <w:rPr>
          <w:rFonts w:ascii="Arial" w:hAnsi="Arial" w:cs="Arial"/>
          <w:lang w:val="es-ES"/>
        </w:rPr>
      </w:pPr>
      <w:r w:rsidRPr="00993936">
        <w:rPr>
          <w:rFonts w:ascii="Arial" w:hAnsi="Arial" w:cs="Arial"/>
          <w:lang w:val="es-ES"/>
        </w:rPr>
        <w:t>El mantenimiento de un nivel de materia orgánica del horizonte superficial del suelo de como mínimo un 1%. Por debajo de este nivel se tendrá que aportar fertilizantes orgánicos o bien realizar un sistema de manejo del cultivo (siembra de especies</w:t>
      </w:r>
      <w:r w:rsidRPr="00993936">
        <w:rPr>
          <w:rFonts w:ascii="Arial" w:hAnsi="Arial" w:cs="Arial"/>
          <w:vanish/>
          <w:lang w:val="es-ES"/>
        </w:rPr>
        <w:t>&lt;A[especies|especias]&gt;</w:t>
      </w:r>
      <w:r w:rsidRPr="00993936">
        <w:rPr>
          <w:rFonts w:ascii="Arial" w:hAnsi="Arial" w:cs="Arial"/>
          <w:lang w:val="es-ES"/>
        </w:rPr>
        <w:t xml:space="preserve"> vegetales para enterrar en verde, implantación de una cubierta vegetal del suelo, incorporación de restos de cosecha, etc.), que permita aumentar progresivamente el nivel de materia orgánica del suelo hasta llegar al nivel establecido. El sistema de manejo se establecerá de acuerdo con las indicaciones del técnico responsable de producción integrada.</w:t>
      </w:r>
    </w:p>
    <w:p w:rsidR="00503A41" w:rsidRPr="00993936" w:rsidRDefault="00503A41" w:rsidP="009D1A2D">
      <w:pPr>
        <w:pStyle w:val="Sinespaciado"/>
        <w:numPr>
          <w:ilvl w:val="0"/>
          <w:numId w:val="165"/>
        </w:numPr>
        <w:jc w:val="both"/>
        <w:rPr>
          <w:rFonts w:ascii="Arial" w:hAnsi="Arial" w:cs="Arial"/>
          <w:lang w:val="es-ES"/>
        </w:rPr>
      </w:pPr>
      <w:r w:rsidRPr="00993936">
        <w:rPr>
          <w:rFonts w:ascii="Arial" w:hAnsi="Arial" w:cs="Arial"/>
          <w:lang w:val="es-ES"/>
        </w:rPr>
        <w:t>La optimización de las propiedades biofísicas del suelo para evitar la compactación minimizando el paso de la maquinaria en condiciones de excesiva humedad del suelo.</w:t>
      </w:r>
    </w:p>
    <w:p w:rsidR="00503A41" w:rsidRPr="00993936" w:rsidRDefault="00503A41" w:rsidP="009D1A2D">
      <w:pPr>
        <w:pStyle w:val="Sinespaciado"/>
        <w:numPr>
          <w:ilvl w:val="0"/>
          <w:numId w:val="165"/>
        </w:numPr>
        <w:jc w:val="both"/>
        <w:rPr>
          <w:rFonts w:ascii="Arial" w:hAnsi="Arial" w:cs="Arial"/>
          <w:lang w:val="es-ES"/>
        </w:rPr>
      </w:pPr>
      <w:r w:rsidRPr="00993936">
        <w:rPr>
          <w:rFonts w:ascii="Arial" w:hAnsi="Arial" w:cs="Arial"/>
          <w:lang w:val="es-ES"/>
        </w:rPr>
        <w:t>El mantenimiento de la protección del suelo durante el máximo tiempo posible mediante el mantenimiento de una cubierta vegetal preferentemente a base de vegetación espontánea.</w:t>
      </w:r>
    </w:p>
    <w:p w:rsidR="00503A41" w:rsidRPr="00993936" w:rsidRDefault="00503A41" w:rsidP="009D1A2D">
      <w:pPr>
        <w:pStyle w:val="Sinespaciado"/>
        <w:numPr>
          <w:ilvl w:val="0"/>
          <w:numId w:val="165"/>
        </w:numPr>
        <w:jc w:val="both"/>
        <w:rPr>
          <w:rFonts w:ascii="Arial" w:hAnsi="Arial" w:cs="Arial"/>
          <w:lang w:val="es-ES"/>
        </w:rPr>
      </w:pPr>
      <w:r w:rsidRPr="00993936">
        <w:rPr>
          <w:rFonts w:ascii="Arial" w:hAnsi="Arial" w:cs="Arial"/>
          <w:lang w:val="es-ES"/>
        </w:rPr>
        <w:t>La mínima perturbación física o química del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3.1.5 Los trabajos de campo se realizarán respetando al máximo la estructura del suelo, evitando la escorrentía superficial y el encharcamiento. También se tendrá en cuenta la pendiente del suelo para la correcta conservación del suelo, adaptando las dimensiones y características de las obras de conservación (terrazas, bancales, cerros) con la finalidad de evitar fenómenos de erosión.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Las técnicas de cultivo utilizadas serán las adecuadas para reducir el consumo energético.</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3.2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 Realizar la desinfección química del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3.2.2 Realizar la labranza del suelo en el sentido de la pendiente en parcelas con pendientes superiores al 10%, así como también efectuar trabajos preparatorios que alteren los horizontes del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3.2.3 La utilización sistemática y permanente de herramientas agrícolas (cavadoras, discos, etc.) que destruyan la estructura del suelo y favorezcan la formación de un estrato o zona de compactación.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3.3.1 Se preferirán los tipos de suelos que tengan una profundidad adecuada para el desarrollo de las raíces, a que estén bien drenados y de textura media. La conductividad eléctrica (CE) tiene que ser menor de 1,5 dS/m en </w:t>
      </w:r>
      <w:smartTag w:uri="urn:schemas-microsoft-com:office:smarttags" w:element="metricconverter">
        <w:smartTagPr>
          <w:attr w:name="ProductID" w:val="25ﾺC"/>
        </w:smartTagPr>
        <w:r w:rsidRPr="00993936">
          <w:rPr>
            <w:rFonts w:ascii="Arial" w:hAnsi="Arial" w:cs="Arial"/>
            <w:lang w:val="es-ES"/>
          </w:rPr>
          <w:t>25ºC</w:t>
        </w:r>
      </w:smartTag>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3.3.2 En caso de que sea necesario realizar la desinfección del suelo, hacerla con técnicas de solarización.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3.3.3 La información sobre el tipo de suelo podrá ser extraída del mapa detallado de suelos de Cataluña, en caso de que haya.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3.3.4 No realizar el cultivo en zonas con factores limitantes: encharcamientos, salinidad, capa freática alta, poca profundidad.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Artículo 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Material vegetal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Para realizar producción integrada de frutos secos se admiten todas las variedades y patrones que hay en las actuales plantaciones.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En las nuevas plantaciones, se escogerán las variedades y patrones más adecuados para la zona de cultivo.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4.1.1 En las nuevas plantaciones, el material vegetal habrá de:</w:t>
      </w:r>
    </w:p>
    <w:p w:rsidR="00503A41" w:rsidRPr="00993936" w:rsidRDefault="00503A41" w:rsidP="009D1A2D">
      <w:pPr>
        <w:pStyle w:val="Sinespaciado"/>
        <w:numPr>
          <w:ilvl w:val="0"/>
          <w:numId w:val="166"/>
        </w:numPr>
        <w:jc w:val="both"/>
        <w:rPr>
          <w:rFonts w:ascii="Arial" w:hAnsi="Arial" w:cs="Arial"/>
          <w:lang w:val="es-ES"/>
        </w:rPr>
      </w:pPr>
      <w:r w:rsidRPr="00993936">
        <w:rPr>
          <w:rFonts w:ascii="Arial" w:hAnsi="Arial" w:cs="Arial"/>
          <w:lang w:val="es-ES"/>
        </w:rPr>
        <w:t xml:space="preserve">Proceder de proveedores oficialmente autorizados y certificado cuando haya, por el Servicio de Ordenación Agrícola o de otros organismos oficiales reconocidos. </w:t>
      </w:r>
    </w:p>
    <w:p w:rsidR="00503A41" w:rsidRPr="00993936" w:rsidRDefault="00503A41" w:rsidP="009D1A2D">
      <w:pPr>
        <w:pStyle w:val="Sinespaciado"/>
        <w:numPr>
          <w:ilvl w:val="0"/>
          <w:numId w:val="166"/>
        </w:numPr>
        <w:jc w:val="both"/>
        <w:rPr>
          <w:rFonts w:ascii="Arial" w:hAnsi="Arial" w:cs="Arial"/>
          <w:lang w:val="es-ES"/>
        </w:rPr>
      </w:pPr>
      <w:r w:rsidRPr="00993936">
        <w:rPr>
          <w:rFonts w:ascii="Arial" w:hAnsi="Arial" w:cs="Arial"/>
          <w:lang w:val="es-ES"/>
        </w:rPr>
        <w:t>Cumplir los requisitos de autenticidad varietal y de sanidad que establece el Reglamento 929/1995, de 9 de junio, de control y certificación de planteles de frutales.</w:t>
      </w:r>
    </w:p>
    <w:p w:rsidR="00503A41" w:rsidRPr="00993936" w:rsidRDefault="00503A41" w:rsidP="009D1A2D">
      <w:pPr>
        <w:pStyle w:val="Sinespaciado"/>
        <w:numPr>
          <w:ilvl w:val="0"/>
          <w:numId w:val="166"/>
        </w:numPr>
        <w:jc w:val="both"/>
        <w:rPr>
          <w:rFonts w:ascii="Arial" w:hAnsi="Arial" w:cs="Arial"/>
          <w:lang w:val="es-ES"/>
        </w:rPr>
      </w:pPr>
      <w:r w:rsidRPr="00993936">
        <w:rPr>
          <w:rFonts w:ascii="Arial" w:hAnsi="Arial" w:cs="Arial"/>
          <w:lang w:val="es-ES"/>
        </w:rPr>
        <w:t>Ir acompañado del preceptivo pasaporte fitosanitario que garantice el cumplimiento</w:t>
      </w:r>
      <w:r w:rsidRPr="00993936">
        <w:rPr>
          <w:rFonts w:ascii="Arial" w:hAnsi="Arial" w:cs="Arial"/>
          <w:vanish/>
          <w:lang w:val="es-ES"/>
        </w:rPr>
        <w:t>&lt;A[cumplimiento|cumplido]&gt;</w:t>
      </w:r>
      <w:r w:rsidRPr="00993936">
        <w:rPr>
          <w:rFonts w:ascii="Arial" w:hAnsi="Arial" w:cs="Arial"/>
          <w:lang w:val="es-ES"/>
        </w:rPr>
        <w:t xml:space="preserve"> de las disposiciones que establece el Real decreto 2071/1993 y el resto de normas vigentes, sobre medidas contra la introducción y la difusión al territorio nacional y de la Comunidad Europea de organismos nocivos para los vegetales o productos vegetales.</w:t>
      </w:r>
    </w:p>
    <w:p w:rsidR="00503A41" w:rsidRPr="00993936" w:rsidRDefault="00503A41" w:rsidP="009D1A2D">
      <w:pPr>
        <w:pStyle w:val="Sinespaciado"/>
        <w:numPr>
          <w:ilvl w:val="0"/>
          <w:numId w:val="166"/>
        </w:numPr>
        <w:jc w:val="both"/>
        <w:rPr>
          <w:rFonts w:ascii="Arial" w:hAnsi="Arial" w:cs="Arial"/>
          <w:snapToGrid w:val="0"/>
          <w:lang w:val="es-ES"/>
        </w:rPr>
      </w:pPr>
      <w:r w:rsidRPr="00993936">
        <w:rPr>
          <w:rFonts w:ascii="Arial" w:hAnsi="Arial" w:cs="Arial"/>
          <w:lang w:val="es-ES"/>
        </w:rPr>
        <w:t>En caso de que en alguna especie no haya disponibilidad de material vegetal, de productores oficialmente autorizados, se admitirá la utilización de material vegetal de la propia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4.1.2 En las plantaciones de cultivos leñosos, los patrones se adaptarán a las condiciones edáficas y no serán sensibles a las fisiopatias habituales de la zona o a otras fisiopatias que tengan una repercusión comercial importante.</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4.1.3 Todas las variedades deben estar inscritas dentro del Catálogo común de variedades de especies</w:t>
      </w:r>
      <w:r w:rsidRPr="00993936">
        <w:rPr>
          <w:rFonts w:ascii="Arial" w:hAnsi="Arial" w:cs="Arial"/>
          <w:vanish/>
          <w:lang w:val="es-ES"/>
        </w:rPr>
        <w:t>&lt;A[especies|especias]&gt;</w:t>
      </w:r>
      <w:r w:rsidRPr="00993936">
        <w:rPr>
          <w:rFonts w:ascii="Arial" w:hAnsi="Arial" w:cs="Arial"/>
          <w:lang w:val="es-ES"/>
        </w:rPr>
        <w:t xml:space="preserve"> de plantas hortícolas de la Unión Europea y/o en la lista española de variedades comerciales de plantas.</w:t>
      </w:r>
      <w:r w:rsidRPr="00993936">
        <w:rPr>
          <w:rFonts w:ascii="Arial" w:hAnsi="Arial" w:cs="Arial"/>
          <w:i/>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4.1.4 Eliminar antes de la plantación todo el material vegetal que presente síntomas de enfermedad o un crecimiento anormal.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4.1.5 El material de plantación, variedades, densidad de plantación, ciclo de cultivo, se adaptarán a las condiciones locales, con el objetivo de conseguir un producto de calidad con las mínimas intervenciones posibles.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4.1.6 Utilizar, si hay, variedades resistentes o tolerantes a alguna de las enfermedades importantes de la especie y adaptadas a las condiciones locales, salvo una justificación técnica expresa.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4.1.7 En las parcelas de cultivos de frutos secos, para incorporarse al programa de producción integrada, se controlará previamente la incidencia de problemas fitopatológicos, virosis o problemas fúngicos, los cuales se harán constar en el cuaderno de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4.2.1 El uso de patrones, combinaciones injerto-patrón o variedades especialmente sensibles a determinadas enfermedades de especial incidencia o relevancia establecidas por la dirección general competente en materia de agricultura.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4.3.1 Se escogerán preferentemente las variedades más adecuadas a la zona y al periodo de cultivo, con el objetivo de conseguir un fruto de calidad con las mínimas intervenciones posibles.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4.3.2 Conocer el grado de susceptibilidad de las variedades elegidas a plagas y enfermedades.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4.3.3 En el momento de plantación de avellanos, sacar las gemas</w:t>
      </w:r>
      <w:r w:rsidRPr="00993936">
        <w:rPr>
          <w:rFonts w:ascii="Arial" w:hAnsi="Arial" w:cs="Arial"/>
          <w:vanish/>
          <w:lang w:val="es-ES"/>
        </w:rPr>
        <w:t>&lt;A[gemas|yemas]&gt;</w:t>
      </w:r>
      <w:r w:rsidRPr="00993936">
        <w:rPr>
          <w:rFonts w:ascii="Arial" w:hAnsi="Arial" w:cs="Arial"/>
          <w:lang w:val="es-ES"/>
        </w:rPr>
        <w:t xml:space="preserve"> situadas en la base del tronco y en la zona radicular.</w:t>
      </w:r>
    </w:p>
    <w:p w:rsidR="00503A41" w:rsidRPr="00993936" w:rsidRDefault="00503A41" w:rsidP="001D205D">
      <w:pPr>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5</w:t>
      </w:r>
    </w:p>
    <w:p w:rsidR="00503A41" w:rsidRPr="00993936" w:rsidRDefault="00503A41" w:rsidP="001D205D">
      <w:pPr>
        <w:pStyle w:val="Sinespaciado"/>
        <w:jc w:val="both"/>
        <w:rPr>
          <w:rFonts w:ascii="Arial" w:hAnsi="Arial" w:cs="Arial"/>
          <w:lang w:val="es-ES"/>
        </w:rPr>
      </w:pPr>
      <w:r w:rsidRPr="00993936">
        <w:rPr>
          <w:rFonts w:ascii="Arial" w:hAnsi="Arial" w:cs="Arial"/>
          <w:b/>
          <w:lang w:val="es-ES"/>
        </w:rPr>
        <w:lastRenderedPageBreak/>
        <w:t>Características de la plantación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 La distancia entre árboles tiene que permitir el adecuado desarrollo de la combinación variedad-patrón escogida, y asegurar que cada árbol dispone del suficiente espacio a lo largo de su vida, sin que haya que realizar podas fuertes.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5.1.2 Plantar polinizadores en las nuevas plantaciones que se establezcan para la obtención de una fruta de calidad.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5.2.1 Orientar las filas de la plantación, si es posible, de norte a sur con el fin de conseguir la máxima iluminación y fructificación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5.2.2 En el almendro: Se recomienda la utilización de agentes polinizantes para la obtención de una adecuada producción.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Para la disposición de los polinizadores, se tendrá que procurar que todos los árboles de la variedad base tengan al lado un polinizador, a excepción de las variedades autofértiles. La proporción ideal de estos es del 50%, pero cuando la calidad agronómico-comercial de las variedades polinizadoras haga deseable la colocación mínima de polinizadores, esta cifra podrá rebajarse, procurando que no esté por debajo del 30%.</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Colocar un mínimo de 5 enjambres por hectárea.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5.2.3. En el avellano: procurar que cada árbol se encuentre a distancias inferiores a </w:t>
      </w:r>
      <w:smartTag w:uri="urn:schemas-microsoft-com:office:smarttags" w:element="metricconverter">
        <w:smartTagPr>
          <w:attr w:name="ProductID" w:val="50 m"/>
        </w:smartTagPr>
        <w:r w:rsidRPr="00993936">
          <w:rPr>
            <w:rFonts w:ascii="Arial" w:hAnsi="Arial" w:cs="Arial"/>
            <w:lang w:val="es-ES"/>
          </w:rPr>
          <w:t>50 m</w:t>
        </w:r>
      </w:smartTag>
      <w:r w:rsidRPr="00993936">
        <w:rPr>
          <w:rFonts w:ascii="Arial" w:hAnsi="Arial" w:cs="Arial"/>
          <w:lang w:val="es-ES"/>
        </w:rPr>
        <w:t xml:space="preserve"> de la variedad polinizadora. Los polinizadores tendrán que localizarse en filas perpendiculares a los viento dominantes en la época de la floración.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5.2.4 En el nogal: procurar que cada árbol se encuentre a distancias inferiores a los </w:t>
      </w:r>
      <w:smartTag w:uri="urn:schemas-microsoft-com:office:smarttags" w:element="metricconverter">
        <w:smartTagPr>
          <w:attr w:name="ProductID" w:val="90 m"/>
        </w:smartTagPr>
        <w:r w:rsidRPr="00993936">
          <w:rPr>
            <w:rFonts w:ascii="Arial" w:hAnsi="Arial" w:cs="Arial"/>
            <w:lang w:val="es-ES"/>
          </w:rPr>
          <w:t>90 m</w:t>
        </w:r>
      </w:smartTag>
      <w:r w:rsidRPr="00993936">
        <w:rPr>
          <w:rFonts w:ascii="Arial" w:hAnsi="Arial" w:cs="Arial"/>
          <w:lang w:val="es-ES"/>
        </w:rPr>
        <w:t xml:space="preserve"> de las variedades polinizadoras. La cantidad de polinizadores tiene que ser entre el 2 y el 5%.</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Se aconseja no utilizar como polinizadores variedades sensibles a la </w:t>
      </w:r>
      <w:r w:rsidRPr="00993936">
        <w:rPr>
          <w:rFonts w:ascii="Arial" w:hAnsi="Arial" w:cs="Arial"/>
          <w:i/>
          <w:snapToGrid w:val="0"/>
          <w:lang w:val="es-ES"/>
        </w:rPr>
        <w:t xml:space="preserve">Xanthomonas arborícola </w:t>
      </w:r>
      <w:r w:rsidRPr="00993936">
        <w:rPr>
          <w:rFonts w:ascii="Arial" w:hAnsi="Arial" w:cs="Arial"/>
          <w:snapToGrid w:val="0"/>
          <w:lang w:val="es-ES"/>
        </w:rPr>
        <w:t xml:space="preserve">pv. </w:t>
      </w:r>
      <w:r w:rsidRPr="00993936">
        <w:rPr>
          <w:rFonts w:ascii="Arial" w:hAnsi="Arial" w:cs="Arial"/>
          <w:i/>
          <w:snapToGrid w:val="0"/>
          <w:lang w:val="es-ES"/>
        </w:rPr>
        <w:t xml:space="preserve">Juglandis </w:t>
      </w:r>
      <w:r w:rsidRPr="00993936">
        <w:rPr>
          <w:rFonts w:ascii="Arial" w:hAnsi="Arial" w:cs="Arial"/>
          <w:snapToGrid w:val="0"/>
          <w:lang w:val="es-ES"/>
        </w:rPr>
        <w:t>(variedades “Amigo”, “Cisco” o “Chico”) en zonas donde esta enfermedad esté muy presente. Los polinizadores tendrán que localizarse en filas perpendiculares a los viento dominantes en la época de la floración.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5.2.5 En pistacho: situar 1 macho rodeado de 8 hembras</w:t>
      </w:r>
      <w:r w:rsidRPr="00993936">
        <w:rPr>
          <w:rFonts w:ascii="Arial" w:hAnsi="Arial" w:cs="Arial"/>
          <w:vanish/>
          <w:lang w:val="es-ES"/>
        </w:rPr>
        <w:t>&lt;A[hembras|tuercas]&gt;</w:t>
      </w:r>
      <w:r w:rsidRPr="00993936">
        <w:rPr>
          <w:rFonts w:ascii="Arial" w:hAnsi="Arial" w:cs="Arial"/>
          <w:lang w:val="es-ES"/>
        </w:rPr>
        <w:t xml:space="preserve"> y reforzar el dispositivo de polinización, colocando polinizadores, en las tiras externas de la plantación, situadas enfrente de los vientos dominantes. La cantidad de polinizadores tiene que ser de un máximo del 10%.</w:t>
      </w:r>
    </w:p>
    <w:p w:rsidR="00503A41" w:rsidRPr="00993936" w:rsidRDefault="00503A41" w:rsidP="00424C28">
      <w:pPr>
        <w:pStyle w:val="Textoindependiente"/>
        <w:rPr>
          <w:rFonts w:cs="Arial"/>
          <w:szCs w:val="22"/>
          <w:lang w:val="es-ES"/>
        </w:rPr>
      </w:pPr>
    </w:p>
    <w:p w:rsidR="00503A41" w:rsidRPr="00993936" w:rsidRDefault="00503A41" w:rsidP="00424C28">
      <w:pPr>
        <w:jc w:val="both"/>
        <w:outlineLvl w:val="0"/>
        <w:rPr>
          <w:rFonts w:ascii="Arial" w:hAnsi="Arial" w:cs="Arial"/>
          <w:lang w:val="es-ES"/>
        </w:rPr>
      </w:pPr>
      <w:r w:rsidRPr="00993936">
        <w:rPr>
          <w:rFonts w:ascii="Arial" w:hAnsi="Arial" w:cs="Arial"/>
          <w:lang w:val="es-ES"/>
        </w:rPr>
        <w:t>Artículo 6</w:t>
      </w:r>
    </w:p>
    <w:p w:rsidR="00503A41" w:rsidRPr="00993936" w:rsidRDefault="00503A41" w:rsidP="00424C28">
      <w:pPr>
        <w:jc w:val="both"/>
        <w:outlineLvl w:val="0"/>
        <w:rPr>
          <w:rFonts w:ascii="Arial" w:hAnsi="Arial" w:cs="Arial"/>
          <w:b/>
          <w:lang w:val="es-ES"/>
        </w:rPr>
      </w:pPr>
      <w:r w:rsidRPr="00993936">
        <w:rPr>
          <w:rFonts w:ascii="Arial" w:hAnsi="Arial" w:cs="Arial"/>
          <w:b/>
          <w:lang w:val="es-ES"/>
        </w:rPr>
        <w:t>Manejo de la plantación y manejo del fruto</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6.1 Generalidades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6.1.1 </w:t>
      </w:r>
      <w:r w:rsidRPr="00993936">
        <w:rPr>
          <w:rFonts w:ascii="Arial" w:hAnsi="Arial" w:cs="Arial"/>
          <w:i/>
          <w:snapToGrid w:val="0"/>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6.1.1.1 El árbol tiene que ser conducido y podado de forma que se consiga una plantación uniforme, un buen equilibrio entre la vegetación y la producción y, a la vez, que permita la suficiente penetración de luz y de los productos de defensa sanitaria aplicados.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6.1.1.2 El equilibrio de los árboles se tendrá que controlar con medidas culturales, como la fertilización, la poda y un adecuado suministro de agua, en caso de regadío.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6.1.2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6.1.2.1  La utilización de productos químicos para la eliminación de retoños de los árboles.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6.1.2.2  La utilización de productos químicos para adelantar</w:t>
      </w:r>
      <w:r w:rsidRPr="00993936">
        <w:rPr>
          <w:rFonts w:ascii="Arial" w:hAnsi="Arial" w:cs="Arial"/>
          <w:snapToGrid w:val="0"/>
          <w:vanish/>
          <w:lang w:val="es-ES"/>
        </w:rPr>
        <w:t>&lt;A[adelantar|avanzar]&gt;</w:t>
      </w:r>
      <w:r w:rsidRPr="00993936">
        <w:rPr>
          <w:rFonts w:ascii="Arial" w:hAnsi="Arial" w:cs="Arial"/>
          <w:snapToGrid w:val="0"/>
          <w:lang w:val="es-ES"/>
        </w:rPr>
        <w:t xml:space="preserve"> la maduración del fruto.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6.1.3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6.1.3.1  Recoger los frutos del suelo lo antes posible.</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6.2 Poda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6.2.1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6.2.1.1 La poda se llevará a cabo con un planteamiento técnico, teniendo en cuenta los principios fundamentales que rigen esta práctica, para maximizar la eficacia y la rentabilidad.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6.2.1.2 El sistema de poda tiene que respetar el estado fisiológico óptimo del árbol, permitir uno bueno aireado y una buena penetración de la luz y de los tratamientos, y mantener una adecuada relación hojas/frutos. El exceso de vigor se corregirá preferentemente mediante prácticas culturales, además de la poda.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6.2.1.3 La poda en verde se realizará con instrumentos cortantes, como tijeras, cuchillos y otros,</w:t>
      </w:r>
      <w:r w:rsidRPr="00993936">
        <w:rPr>
          <w:rFonts w:ascii="Arial" w:hAnsi="Arial" w:cs="Arial"/>
          <w:i/>
          <w:lang w:val="es-ES"/>
        </w:rPr>
        <w:t xml:space="preserve"> </w:t>
      </w:r>
      <w:r w:rsidRPr="00993936">
        <w:rPr>
          <w:rFonts w:ascii="Arial" w:hAnsi="Arial" w:cs="Arial"/>
          <w:lang w:val="es-ES"/>
        </w:rPr>
        <w:t>salvo los pinzamientos, que se podrán hacer manualmente.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6.2.1.4 Desinfectar o sustituir los guantes y los instrumentos de poda cuando se cambie de parcela o de variedad, en caso de haber riesgo de propagación de problemas fitosanitarios.</w:t>
      </w:r>
      <w:r w:rsidRPr="00993936" w:rsidDel="004C0492">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6.2.1.5 El equilibrio de los árboles se tendrá que controlar de manera prioritaria con medidas culturales, como la fertilización, un adecuado suministro de agua, la poda de verano y/o la regulación del número de frutos cuajados.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6.2.2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6.2.2.1 Quemar de manera incontrolada los restos de poda.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6.2.2.2 Abandonar los restos de poda, no procesados, en la parcela o en sus márgenes.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6.2.3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6.2.3.1 Trocear y triturar los restos de poda.</w:t>
      </w:r>
    </w:p>
    <w:p w:rsidR="00503A41" w:rsidRPr="00993936" w:rsidRDefault="00503A41" w:rsidP="00424C28">
      <w:pPr>
        <w:jc w:val="both"/>
        <w:outlineLvl w:val="0"/>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7</w:t>
      </w:r>
    </w:p>
    <w:p w:rsidR="00503A41" w:rsidRPr="00993936" w:rsidRDefault="00503A41" w:rsidP="001D205D">
      <w:pPr>
        <w:pStyle w:val="Sinespaciado"/>
        <w:jc w:val="both"/>
        <w:rPr>
          <w:rFonts w:ascii="Arial" w:hAnsi="Arial" w:cs="Arial"/>
          <w:lang w:val="es-ES"/>
        </w:rPr>
      </w:pPr>
      <w:r w:rsidRPr="00993936">
        <w:rPr>
          <w:rFonts w:ascii="Arial" w:hAnsi="Arial" w:cs="Arial"/>
          <w:b/>
          <w:lang w:val="es-ES"/>
        </w:rPr>
        <w:t>Fertilización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7.1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7.1.1 En las nuevas plantaciones, previamente a la plantación, se realizarán análisis del suelo y del agua de riego. Los resultados de estos análisis determinarán el abonado</w:t>
      </w:r>
      <w:r w:rsidRPr="00993936">
        <w:rPr>
          <w:rFonts w:ascii="Arial" w:hAnsi="Arial" w:cs="Arial"/>
          <w:vanish/>
          <w:lang w:val="es-ES"/>
        </w:rPr>
        <w:t>&lt;A[adobado|arreglado]&gt;</w:t>
      </w:r>
      <w:r w:rsidRPr="00993936">
        <w:rPr>
          <w:rFonts w:ascii="Arial" w:hAnsi="Arial" w:cs="Arial"/>
          <w:lang w:val="es-ES"/>
        </w:rPr>
        <w:t xml:space="preserve"> de fondo previo a la plantación. Los análisis se volverán a realizar cada 5 años</w:t>
      </w:r>
      <w:r w:rsidRPr="00993936">
        <w:rPr>
          <w:rFonts w:ascii="Arial" w:hAnsi="Arial" w:cs="Arial"/>
          <w:i/>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7.1.2  En plantaciones establecidas, cada explotación tendrá que realizar y disponer, de forma justificada, de análisis de suelos y del agua de riego para planificar la fertilización. Los análisis se realizarán cada 5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7.1.2.1 En caso de que el abastecimiento del agua de riego se haga a través de una comunidad de regantes o bien mediante una entidad similar, el cumplimiento</w:t>
      </w:r>
      <w:r w:rsidRPr="00993936">
        <w:rPr>
          <w:rFonts w:ascii="Arial" w:hAnsi="Arial" w:cs="Arial"/>
          <w:vanish/>
          <w:lang w:val="es-ES"/>
        </w:rPr>
        <w:t>&lt;A[cumplimiento|cumplido]&gt;</w:t>
      </w:r>
      <w:r w:rsidRPr="00993936">
        <w:rPr>
          <w:rFonts w:ascii="Arial" w:hAnsi="Arial" w:cs="Arial"/>
          <w:lang w:val="es-ES"/>
        </w:rPr>
        <w:t xml:space="preserve"> del requisito indicado se podrá justificar con la disposición de una analítica de agua, realizada por alguna de las entidades indicadas, siempre que incluya los parámetros que se indican en el artículo 9.1.</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7.1.2.2 En caso de que el abastecimiento del agua de riego sea de pozo, los análisis se harán como mínimo cada dos años. Cuando los resultados de dos analíticas consecutivas del agua, realizadas en el plazo señalado, sean similares los análisis se podrán efectuar cada 5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número de análisis a efectuar será como mínimo un análisis de suelo por unidad homogénea de cultivo. Cuando se integre una UHC en el sistema de producción integrada habrá que realizar un análisis físico y químico siempre que no tenga uno realizado en un periodo de tiempo inferior a cinco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7.1.3 Todas las analíticas de suelo incluirán, al menos, la determinación de fósforo, potasio y magnesio asimilables, la materia orgánica, la prueba previa de salinidad y, si es pertinente</w:t>
      </w:r>
      <w:r w:rsidRPr="00993936">
        <w:rPr>
          <w:rFonts w:ascii="Arial" w:hAnsi="Arial" w:cs="Arial"/>
          <w:vanish/>
          <w:lang w:val="es-ES"/>
        </w:rPr>
        <w:t>&lt;A[pega|ocurre]&gt;</w:t>
      </w:r>
      <w:r w:rsidRPr="00993936">
        <w:rPr>
          <w:rFonts w:ascii="Arial" w:hAnsi="Arial" w:cs="Arial"/>
          <w:lang w:val="es-ES"/>
        </w:rPr>
        <w:t xml:space="preserve">, el análisis de sales solubles. En la primera analítica se incluirá, además, si es pertinente, la determinación de textura y pH, y en caso de establecer una nueva plantación la determinación de carbonatos y cal activa.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7.1.4 A partir del tercer año de la plantación se hará un seguimiento del estado nutritivo de la plantación mediante análisis foliares realizados cada año entre finales de primavera y verano. El análisis foliar servirá para conocer la respuesta de la planta al programa de fertilización, corregir las desviaciones que puedan producirse y validar los </w:t>
      </w:r>
      <w:r w:rsidRPr="00993936">
        <w:rPr>
          <w:rFonts w:ascii="Arial" w:hAnsi="Arial" w:cs="Arial"/>
          <w:lang w:val="es-ES"/>
        </w:rPr>
        <w:lastRenderedPageBreak/>
        <w:t>programas de abonado</w:t>
      </w:r>
      <w:r w:rsidRPr="00993936">
        <w:rPr>
          <w:rFonts w:ascii="Arial" w:hAnsi="Arial" w:cs="Arial"/>
          <w:vanish/>
          <w:lang w:val="es-ES"/>
        </w:rPr>
        <w:t>&lt;A[abono|adobo]&gt;</w:t>
      </w:r>
      <w:r w:rsidRPr="00993936">
        <w:rPr>
          <w:rFonts w:ascii="Arial" w:hAnsi="Arial" w:cs="Arial"/>
          <w:lang w:val="es-ES"/>
        </w:rPr>
        <w:t>. Cada explotación tendrá que disponer de análisis foliares. El número de análisis foliares a realizar anualmente será, como mínimo, de un análisis por</w:t>
      </w:r>
      <w:r w:rsidRPr="00993936">
        <w:rPr>
          <w:rFonts w:ascii="Arial" w:hAnsi="Arial" w:cs="Arial"/>
          <w:vanish/>
          <w:lang w:val="es-ES"/>
        </w:rPr>
        <w:t>&lt;A[para|por]&gt;</w:t>
      </w:r>
      <w:r w:rsidRPr="00993936">
        <w:rPr>
          <w:rFonts w:ascii="Arial" w:hAnsi="Arial" w:cs="Arial"/>
          <w:lang w:val="es-ES"/>
        </w:rPr>
        <w:t xml:space="preserve"> UHC. En cada UHC se analizarán al menos los nutrientes mayoritarios (N, P, K, Ca y Mg). Si hay síntomas de deficiencia o se utilizan fertilizantes con oligoelementos, se tendrán que incluir los microelementos en los análisis, al menos Fe, Mn, Cu y Zn o bien aquellos de los cuales se requiera la aportación.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7.1.5 Las aplicaciones de abonos</w:t>
      </w:r>
      <w:r w:rsidRPr="00993936">
        <w:rPr>
          <w:rFonts w:ascii="Arial" w:hAnsi="Arial" w:cs="Arial"/>
          <w:vanish/>
          <w:lang w:val="es-ES"/>
        </w:rPr>
        <w:t>&lt;A[abonos|adobos]&gt;</w:t>
      </w:r>
      <w:r w:rsidRPr="00993936">
        <w:rPr>
          <w:rFonts w:ascii="Arial" w:hAnsi="Arial" w:cs="Arial"/>
          <w:lang w:val="es-ES"/>
        </w:rPr>
        <w:t xml:space="preserve"> foliares y oligoelementos requerirán siempre de la disposición de un análisis foliar. La fertilización foliar sólo se utilizará cuando el técnico responsable de producción integrada la considere necesaria y siempre en función de las necesidades y exigencias del cultivo.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7.1.6 El suministro de nutrientes se efectuará fundamentalmente a través del sistema radicular.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7.1.7 Utilizar el análisis físico y químico del suelo como base para estimar las necesidades de macronutrientes, a excepción del nitrógeno.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7.1.8 Realizar y aplicar un programa de fertilización de macronutrientes para cada cultivo y unidad homogénea de cultivo que considere los resultados de las análisis y tenga en cuenta, además de las extracciones del cultivo, el estado nutricional y de crecimiento, el tipo y nivel de fertilidad del suelo y las aportaciones efectuadas por otras vías (agua y materia orgánica). El programa determinará las épocas y la forma de aplicación más adecuadas para minimizar las pérdidas por</w:t>
      </w:r>
      <w:r w:rsidRPr="00993936">
        <w:rPr>
          <w:rFonts w:ascii="Arial" w:hAnsi="Arial" w:cs="Arial"/>
          <w:vanish/>
          <w:lang w:val="es-ES"/>
        </w:rPr>
        <w:t>&lt;A[por|para]&gt;</w:t>
      </w:r>
      <w:r w:rsidRPr="00993936">
        <w:rPr>
          <w:rFonts w:ascii="Arial" w:hAnsi="Arial" w:cs="Arial"/>
          <w:lang w:val="es-ES"/>
        </w:rPr>
        <w:t xml:space="preserve"> lixiviación, erosión, etc., potenciando la aportación, de fertilizantes naturales y reduciendo los químicos de síntesis.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7.1.9 La programación tiene que tener en cuenta que los fertilizantes que provienen del exterior (aguas, materias orgánicas y fertilización directa ) deben compensar las extracciones de las cosechas y las pérdidas técnicas. El plan</w:t>
      </w:r>
      <w:r w:rsidRPr="00993936">
        <w:rPr>
          <w:rFonts w:ascii="Arial" w:hAnsi="Arial" w:cs="Arial"/>
          <w:vanish/>
          <w:lang w:val="es-ES"/>
        </w:rPr>
        <w:t>&lt;A[plan|plano]&gt;</w:t>
      </w:r>
      <w:r w:rsidRPr="00993936">
        <w:rPr>
          <w:rFonts w:ascii="Arial" w:hAnsi="Arial" w:cs="Arial"/>
          <w:lang w:val="es-ES"/>
        </w:rPr>
        <w:t xml:space="preserve"> determinará las épocas y la manera de aplicación más adecuadas, según la extracción periódica del cultivo, para minimizar las pérdidas por</w:t>
      </w:r>
      <w:r w:rsidRPr="00993936">
        <w:rPr>
          <w:rFonts w:ascii="Arial" w:hAnsi="Arial" w:cs="Arial"/>
          <w:vanish/>
          <w:lang w:val="es-ES"/>
        </w:rPr>
        <w:t>&lt;A[por|para]&gt;</w:t>
      </w:r>
      <w:r w:rsidRPr="00993936">
        <w:rPr>
          <w:rFonts w:ascii="Arial" w:hAnsi="Arial" w:cs="Arial"/>
          <w:lang w:val="es-ES"/>
        </w:rPr>
        <w:t xml:space="preserve"> lixiviación, volatilización, desnitrificación, erosión, etc.</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7.1.10 Considerando las aportaciones de las diferentes entradas (deyecciones ganaderas, aguas de riego, abonos</w:t>
      </w:r>
      <w:r w:rsidRPr="00993936">
        <w:rPr>
          <w:rFonts w:ascii="Arial" w:hAnsi="Arial" w:cs="Arial"/>
          <w:vanish/>
          <w:lang w:val="es-ES"/>
        </w:rPr>
        <w:t>&lt;A[abonos|adobos]&gt;</w:t>
      </w:r>
      <w:r w:rsidRPr="00993936">
        <w:rPr>
          <w:rFonts w:ascii="Arial" w:hAnsi="Arial" w:cs="Arial"/>
          <w:lang w:val="es-ES"/>
        </w:rPr>
        <w:t xml:space="preserve"> minerales, y otros), se establece el máximo de aportaciones siguientes:</w:t>
      </w:r>
    </w:p>
    <w:p w:rsidR="00503A41" w:rsidRPr="00993936" w:rsidRDefault="00503A41" w:rsidP="001D205D">
      <w:pPr>
        <w:pStyle w:val="Sinespaciado"/>
        <w:jc w:val="both"/>
        <w:rPr>
          <w:rFonts w:ascii="Arial"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102"/>
        <w:gridCol w:w="4656"/>
      </w:tblGrid>
      <w:tr w:rsidR="00503A41" w:rsidRPr="00993936" w:rsidTr="00424C28">
        <w:tc>
          <w:tcPr>
            <w:tcW w:w="1125" w:type="pct"/>
            <w:shd w:val="clear" w:color="auto" w:fill="auto"/>
            <w:vAlign w:val="center"/>
          </w:tcPr>
          <w:p w:rsidR="00503A41" w:rsidRPr="00993936" w:rsidRDefault="00503A41" w:rsidP="001D205D">
            <w:pPr>
              <w:pStyle w:val="Sinespaciado"/>
              <w:jc w:val="both"/>
              <w:rPr>
                <w:rFonts w:ascii="Arial" w:hAnsi="Arial" w:cs="Arial"/>
                <w:b/>
                <w:sz w:val="20"/>
                <w:lang w:val="es-ES"/>
              </w:rPr>
            </w:pPr>
            <w:r w:rsidRPr="00993936">
              <w:rPr>
                <w:rFonts w:ascii="Arial" w:hAnsi="Arial" w:cs="Arial"/>
                <w:b/>
                <w:sz w:val="20"/>
                <w:lang w:val="es-ES"/>
              </w:rPr>
              <w:t>Elemento</w:t>
            </w:r>
          </w:p>
        </w:tc>
        <w:tc>
          <w:tcPr>
            <w:tcW w:w="1205" w:type="pct"/>
            <w:shd w:val="clear" w:color="auto" w:fill="auto"/>
            <w:vAlign w:val="center"/>
          </w:tcPr>
          <w:p w:rsidR="00503A41" w:rsidRPr="00993936" w:rsidRDefault="00503A41" w:rsidP="001D205D">
            <w:pPr>
              <w:pStyle w:val="Sinespaciado"/>
              <w:jc w:val="both"/>
              <w:rPr>
                <w:rFonts w:ascii="Arial" w:hAnsi="Arial" w:cs="Arial"/>
                <w:b/>
                <w:sz w:val="20"/>
                <w:lang w:val="es-ES"/>
              </w:rPr>
            </w:pPr>
            <w:r w:rsidRPr="00993936">
              <w:rPr>
                <w:rFonts w:ascii="Arial" w:hAnsi="Arial" w:cs="Arial"/>
                <w:b/>
                <w:sz w:val="20"/>
                <w:lang w:val="es-ES"/>
              </w:rPr>
              <w:t>Máximo aportaciones</w:t>
            </w:r>
          </w:p>
          <w:p w:rsidR="00503A41" w:rsidRPr="00993936" w:rsidRDefault="00503A41" w:rsidP="001D205D">
            <w:pPr>
              <w:pStyle w:val="Sinespaciado"/>
              <w:jc w:val="both"/>
              <w:rPr>
                <w:rFonts w:ascii="Arial" w:hAnsi="Arial" w:cs="Arial"/>
                <w:b/>
                <w:sz w:val="20"/>
                <w:lang w:val="es-ES"/>
              </w:rPr>
            </w:pPr>
            <w:r w:rsidRPr="00993936">
              <w:rPr>
                <w:rFonts w:ascii="Arial" w:hAnsi="Arial" w:cs="Arial"/>
                <w:b/>
                <w:sz w:val="20"/>
                <w:lang w:val="es-ES"/>
              </w:rPr>
              <w:t>UF/ha y año</w:t>
            </w:r>
          </w:p>
        </w:tc>
        <w:tc>
          <w:tcPr>
            <w:tcW w:w="2670" w:type="pct"/>
            <w:shd w:val="clear" w:color="auto" w:fill="auto"/>
            <w:vAlign w:val="center"/>
          </w:tcPr>
          <w:p w:rsidR="00503A41" w:rsidRPr="00993936" w:rsidRDefault="00503A41" w:rsidP="001D205D">
            <w:pPr>
              <w:pStyle w:val="Sinespaciado"/>
              <w:jc w:val="both"/>
              <w:rPr>
                <w:rFonts w:ascii="Arial" w:hAnsi="Arial" w:cs="Arial"/>
                <w:b/>
                <w:sz w:val="20"/>
                <w:lang w:val="es-ES"/>
              </w:rPr>
            </w:pPr>
            <w:r w:rsidRPr="00993936">
              <w:rPr>
                <w:rFonts w:ascii="Arial" w:hAnsi="Arial" w:cs="Arial"/>
                <w:b/>
                <w:sz w:val="20"/>
                <w:lang w:val="es-ES"/>
              </w:rPr>
              <w:t>Cultivos y condiciones a considerar</w:t>
            </w:r>
          </w:p>
        </w:tc>
      </w:tr>
      <w:tr w:rsidR="00503A41" w:rsidRPr="00993936" w:rsidTr="00424C28">
        <w:tc>
          <w:tcPr>
            <w:tcW w:w="112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 xml:space="preserve">  Nitrógeno (N)</w:t>
            </w:r>
          </w:p>
        </w:tc>
        <w:tc>
          <w:tcPr>
            <w:tcW w:w="120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60</w:t>
            </w:r>
          </w:p>
        </w:tc>
        <w:tc>
          <w:tcPr>
            <w:tcW w:w="2670"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Avellano en secano</w:t>
            </w:r>
          </w:p>
        </w:tc>
      </w:tr>
      <w:tr w:rsidR="00503A41" w:rsidRPr="00993936" w:rsidTr="00424C28">
        <w:tc>
          <w:tcPr>
            <w:tcW w:w="112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 xml:space="preserve">  Nitrógeno (N)</w:t>
            </w:r>
          </w:p>
        </w:tc>
        <w:tc>
          <w:tcPr>
            <w:tcW w:w="120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100</w:t>
            </w:r>
          </w:p>
        </w:tc>
        <w:tc>
          <w:tcPr>
            <w:tcW w:w="2670"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Almendro y pistacho</w:t>
            </w:r>
          </w:p>
        </w:tc>
      </w:tr>
      <w:tr w:rsidR="00503A41" w:rsidRPr="00993936" w:rsidTr="00424C28">
        <w:tc>
          <w:tcPr>
            <w:tcW w:w="112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 xml:space="preserve">  Nitrógeno (N)</w:t>
            </w:r>
          </w:p>
        </w:tc>
        <w:tc>
          <w:tcPr>
            <w:tcW w:w="120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125</w:t>
            </w:r>
          </w:p>
        </w:tc>
        <w:tc>
          <w:tcPr>
            <w:tcW w:w="2670"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Avellano en regadío</w:t>
            </w:r>
          </w:p>
        </w:tc>
      </w:tr>
      <w:tr w:rsidR="00503A41" w:rsidRPr="00993936" w:rsidTr="00424C28">
        <w:tc>
          <w:tcPr>
            <w:tcW w:w="112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 xml:space="preserve">  Nitrógeno (N)</w:t>
            </w:r>
          </w:p>
        </w:tc>
        <w:tc>
          <w:tcPr>
            <w:tcW w:w="120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150</w:t>
            </w:r>
          </w:p>
        </w:tc>
        <w:tc>
          <w:tcPr>
            <w:tcW w:w="2670"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Nogal</w:t>
            </w:r>
          </w:p>
        </w:tc>
      </w:tr>
      <w:tr w:rsidR="00503A41" w:rsidRPr="00993936" w:rsidTr="00424C28">
        <w:tc>
          <w:tcPr>
            <w:tcW w:w="112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 xml:space="preserve">  Fósforo (P</w:t>
            </w:r>
            <w:r w:rsidRPr="00993936">
              <w:rPr>
                <w:rFonts w:ascii="Arial" w:hAnsi="Arial" w:cs="Arial"/>
                <w:sz w:val="20"/>
                <w:vertAlign w:val="subscript"/>
                <w:lang w:val="es-ES"/>
              </w:rPr>
              <w:t>2</w:t>
            </w:r>
            <w:r w:rsidRPr="00993936">
              <w:rPr>
                <w:rFonts w:ascii="Arial" w:hAnsi="Arial" w:cs="Arial"/>
                <w:sz w:val="20"/>
                <w:lang w:val="es-ES"/>
              </w:rPr>
              <w:t>O</w:t>
            </w:r>
            <w:r w:rsidRPr="00993936">
              <w:rPr>
                <w:rFonts w:ascii="Arial" w:hAnsi="Arial" w:cs="Arial"/>
                <w:sz w:val="20"/>
                <w:vertAlign w:val="subscript"/>
                <w:lang w:val="es-ES"/>
              </w:rPr>
              <w:t>5</w:t>
            </w:r>
            <w:r w:rsidRPr="00993936">
              <w:rPr>
                <w:rFonts w:ascii="Arial" w:hAnsi="Arial" w:cs="Arial"/>
                <w:sz w:val="20"/>
                <w:lang w:val="es-ES"/>
              </w:rPr>
              <w:t>)</w:t>
            </w:r>
          </w:p>
        </w:tc>
        <w:tc>
          <w:tcPr>
            <w:tcW w:w="120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250</w:t>
            </w:r>
          </w:p>
        </w:tc>
        <w:tc>
          <w:tcPr>
            <w:tcW w:w="2670"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Si el nivel de fósforo en el suelo es superior a 25 ppm</w:t>
            </w:r>
          </w:p>
        </w:tc>
      </w:tr>
      <w:tr w:rsidR="00503A41" w:rsidRPr="00993936" w:rsidTr="00424C28">
        <w:tc>
          <w:tcPr>
            <w:tcW w:w="112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 xml:space="preserve">  Potasio (K</w:t>
            </w:r>
            <w:r w:rsidRPr="00993936">
              <w:rPr>
                <w:rFonts w:ascii="Arial" w:hAnsi="Arial" w:cs="Arial"/>
                <w:sz w:val="20"/>
                <w:vertAlign w:val="subscript"/>
                <w:lang w:val="es-ES"/>
              </w:rPr>
              <w:t>2</w:t>
            </w:r>
            <w:r w:rsidRPr="00993936">
              <w:rPr>
                <w:rFonts w:ascii="Arial" w:hAnsi="Arial" w:cs="Arial"/>
                <w:sz w:val="20"/>
                <w:lang w:val="es-ES"/>
              </w:rPr>
              <w:t>O)</w:t>
            </w:r>
          </w:p>
        </w:tc>
        <w:tc>
          <w:tcPr>
            <w:tcW w:w="1205"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300</w:t>
            </w:r>
          </w:p>
        </w:tc>
        <w:tc>
          <w:tcPr>
            <w:tcW w:w="2670" w:type="pct"/>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Si el nivel de potasio en el suelo es superior a 125 ppm</w:t>
            </w:r>
          </w:p>
        </w:tc>
      </w:tr>
      <w:tr w:rsidR="00503A41" w:rsidRPr="00993936" w:rsidTr="00424C28">
        <w:tc>
          <w:tcPr>
            <w:tcW w:w="5000" w:type="pct"/>
            <w:gridSpan w:val="3"/>
            <w:shd w:val="clear" w:color="auto" w:fill="auto"/>
          </w:tcPr>
          <w:p w:rsidR="00503A41" w:rsidRPr="00993936" w:rsidRDefault="00503A41" w:rsidP="001D205D">
            <w:pPr>
              <w:pStyle w:val="Sinespaciado"/>
              <w:jc w:val="both"/>
              <w:rPr>
                <w:rFonts w:ascii="Arial" w:hAnsi="Arial" w:cs="Arial"/>
                <w:sz w:val="20"/>
                <w:lang w:val="es-ES"/>
              </w:rPr>
            </w:pPr>
            <w:r w:rsidRPr="00993936">
              <w:rPr>
                <w:rFonts w:ascii="Arial" w:hAnsi="Arial" w:cs="Arial"/>
                <w:sz w:val="20"/>
                <w:lang w:val="es-ES"/>
              </w:rPr>
              <w:t>ppm: partes por millón</w:t>
            </w:r>
          </w:p>
        </w:tc>
      </w:tr>
    </w:tbl>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En caso del nitrógeno las cantidades anteriores se podrán aumentar hasta llegar a un máximo de </w:t>
      </w:r>
      <w:smartTag w:uri="urn:schemas-microsoft-com:office:smarttags" w:element="metricconverter">
        <w:smartTagPr>
          <w:attr w:name="ProductID" w:val="130 kg"/>
        </w:smartTagPr>
        <w:r w:rsidRPr="00993936">
          <w:rPr>
            <w:rFonts w:ascii="Arial" w:hAnsi="Arial" w:cs="Arial"/>
            <w:lang w:val="es-ES"/>
          </w:rPr>
          <w:t>130 kg</w:t>
        </w:r>
      </w:smartTag>
      <w:r w:rsidRPr="00993936">
        <w:rPr>
          <w:rFonts w:ascii="Arial" w:hAnsi="Arial" w:cs="Arial"/>
          <w:lang w:val="es-ES"/>
        </w:rPr>
        <w:t xml:space="preserve"> de N/ha y año en caso de que toda la fertilización o una gran parte de ella se haga con fertilizantes orgánicos.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 aplicación de microelementos se reducirá al mínimo posible y sólo se aplicarán cuando</w:t>
      </w:r>
      <w:r w:rsidRPr="00993936">
        <w:rPr>
          <w:rFonts w:ascii="Arial" w:hAnsi="Arial" w:cs="Arial"/>
          <w:vanish/>
          <w:lang w:val="es-ES"/>
        </w:rPr>
        <w:t>&lt;A[cuando|cuándo]&gt;</w:t>
      </w:r>
      <w:r w:rsidRPr="00993936">
        <w:rPr>
          <w:rFonts w:ascii="Arial" w:hAnsi="Arial" w:cs="Arial"/>
          <w:lang w:val="es-ES"/>
        </w:rPr>
        <w:t xml:space="preserve"> un análisis previo, o su sintomatología evidente determine la insuficiencia para los requerimientos reales del cultivo.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La aplicación de fertilizantes se tendrá que revisar a posteriori por el técnico responsable de producción integrada, y su conformidad figurará en el Cuaderno de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7.1.11 Fraccionar la fertilización nitrogenada en regadío, especialmente en zonas vulnerables, y escoger el tipo de abono</w:t>
      </w:r>
      <w:r w:rsidRPr="00993936">
        <w:rPr>
          <w:rFonts w:ascii="Arial" w:hAnsi="Arial" w:cs="Arial"/>
          <w:vanish/>
          <w:lang w:val="es-ES"/>
        </w:rPr>
        <w:t>&lt;A[abono|adobo]&gt;</w:t>
      </w:r>
      <w:r w:rsidRPr="00993936">
        <w:rPr>
          <w:rFonts w:ascii="Arial" w:hAnsi="Arial" w:cs="Arial"/>
          <w:lang w:val="es-ES"/>
        </w:rPr>
        <w:t xml:space="preserve"> más adecuado en función del manejo del agua de riego, de la pluviometría, del tipo de suelo, de la época del año y de la problemática específica de la plantación.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7.1.12 Cuando se aporte materia orgánica en el suelo, se tendrán que conocer los contenidos medios aportados en 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5</w:t>
      </w:r>
      <w:r w:rsidRPr="00993936">
        <w:rPr>
          <w:rFonts w:ascii="Arial" w:hAnsi="Arial" w:cs="Arial"/>
          <w:lang w:val="es-ES"/>
        </w:rPr>
        <w:t>, K</w:t>
      </w:r>
      <w:r w:rsidRPr="00993936">
        <w:rPr>
          <w:rFonts w:ascii="Arial" w:hAnsi="Arial" w:cs="Arial"/>
          <w:vertAlign w:val="subscript"/>
          <w:lang w:val="es-ES"/>
        </w:rPr>
        <w:t>2</w:t>
      </w:r>
      <w:r w:rsidRPr="00993936">
        <w:rPr>
          <w:rFonts w:ascii="Arial" w:hAnsi="Arial" w:cs="Arial"/>
          <w:lang w:val="es-ES"/>
        </w:rPr>
        <w:t>O. Para el cálculo de los elementos fertilizantes aportados se utiltizaran preferentemente los resultados del análisis de la materia orgánica, o si no hay, se podrán utilizar como valores orientativos los que figuran en el anexo 8.</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7.1.13 Cuando se aporten materias con valor fertilizando de origen urbano o industrial, hace falta disponer o bien realizar un análisis de metales pesados con el fin de conocer que no excedan los límites legales establecidos y teniendo en cuenta el programa de actuaciones para la gestión de los lodos de depuración de aguas residuales urbanas de Cataluña. En cualquier caso, esta aportación tiene que contener la mínima cantidad de metales pesados (cadmio, cromo, cobre, plomo, cinc, níquel y mercurio), patógenos u otros productos tóxicos.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7.1.14 Almacenar los abonos</w:t>
      </w:r>
      <w:r w:rsidRPr="00993936">
        <w:rPr>
          <w:rFonts w:ascii="Arial" w:hAnsi="Arial" w:cs="Arial"/>
          <w:vanish/>
          <w:lang w:val="es-ES"/>
        </w:rPr>
        <w:t>&lt;A[abonos|adobos]&gt;</w:t>
      </w:r>
      <w:r w:rsidRPr="00993936">
        <w:rPr>
          <w:rFonts w:ascii="Arial" w:hAnsi="Arial" w:cs="Arial"/>
          <w:lang w:val="es-ES"/>
        </w:rPr>
        <w:t xml:space="preserve"> orgánicos de manera adecuada, de forma que se reduzca el riesgo de contaminación del medio ambiente.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7.1.15 Realizar las enmiendas necesarias siempre que el pH del suelo se aparte sustancialmente de un nivel de pH comprara entre 6,5 i8,9, o cuando las características físicas o químicas del suelo así lo aconsejen. En cualquier caso, las enmiendas tendrán que ser técnicamente justificadas de acuerdo con un análisis del suelo y con las necesidades reales de la variedad y especie cultivada.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7.1.16 Optimizar el reparto de los fertilizantes en función de los medios disponibles.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7.1.17 Conseguir, mediante un manejo adecuado, un nivel de pH comprendido entre 6,5 i 8,9.</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7.2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7.2.1 Superar la cantidad máxima tolerable por</w:t>
      </w:r>
      <w:r w:rsidRPr="00993936">
        <w:rPr>
          <w:rFonts w:ascii="Arial" w:hAnsi="Arial" w:cs="Arial"/>
          <w:vanish/>
          <w:lang w:val="es-ES"/>
        </w:rPr>
        <w:t>&lt;A[por|para]&gt;</w:t>
      </w:r>
      <w:r w:rsidRPr="00993936">
        <w:rPr>
          <w:rFonts w:ascii="Arial" w:hAnsi="Arial" w:cs="Arial"/>
          <w:lang w:val="es-ES"/>
        </w:rPr>
        <w:t xml:space="preserve"> hectárea y año de nitrógeno total, fósforo y potasio y exceder los límites nacionales e internacionales aplicables a cada territorio relativos a a la contaminación por</w:t>
      </w:r>
      <w:r w:rsidRPr="00993936">
        <w:rPr>
          <w:rFonts w:ascii="Arial" w:hAnsi="Arial" w:cs="Arial"/>
          <w:vanish/>
          <w:lang w:val="es-ES"/>
        </w:rPr>
        <w:t>&lt;A[por|para]&gt;</w:t>
      </w:r>
      <w:r w:rsidRPr="00993936">
        <w:rPr>
          <w:rFonts w:ascii="Arial" w:hAnsi="Arial" w:cs="Arial"/>
          <w:lang w:val="es-ES"/>
        </w:rPr>
        <w:t xml:space="preserve"> nitratos o fosfatos del agua subterránea, así como los límites que se fijan de metales pesados en el anexo 5 de esta norma, de patógenos y de otros productos tóxicos.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7.2.2 Almacenar los fertilizantes y los fitosanitarios sin estar separados físicamente y etiquetados correctamente.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7.2.3 Hacer una programación de la fertilización sin tener en cuenta los resultados de los análisis de suelo, y/o hojas y agua.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7.2.4 Aplicar estiércol y purines sobre los terrenos encharcados o con nieve y a menos de </w:t>
      </w:r>
      <w:smartTag w:uri="urn:schemas-microsoft-com:office:smarttags" w:element="metricconverter">
        <w:smartTagPr>
          <w:attr w:name="ProductID" w:val="50 m"/>
        </w:smartTagPr>
        <w:r w:rsidRPr="00993936">
          <w:rPr>
            <w:rFonts w:ascii="Arial" w:hAnsi="Arial" w:cs="Arial"/>
            <w:lang w:val="es-ES"/>
          </w:rPr>
          <w:t>50 m</w:t>
        </w:r>
      </w:smartTag>
      <w:r w:rsidRPr="00993936">
        <w:rPr>
          <w:rFonts w:ascii="Arial" w:hAnsi="Arial" w:cs="Arial"/>
          <w:lang w:val="es-ES"/>
        </w:rPr>
        <w:t xml:space="preserve"> de una captación de agua destinada al consumo humano.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7.2.5 Utilizar, sin haber realizado tratamiento previo reconocido por la dirección general competente en materia de agricultura, tanto lodos que procedan de depuradora como</w:t>
      </w:r>
      <w:r w:rsidRPr="00993936">
        <w:rPr>
          <w:rFonts w:ascii="Arial" w:hAnsi="Arial" w:cs="Arial"/>
          <w:vanish/>
          <w:lang w:val="es-ES"/>
        </w:rPr>
        <w:t>&lt;A[como|cómo]&gt;</w:t>
      </w:r>
      <w:r w:rsidRPr="00993936">
        <w:rPr>
          <w:rFonts w:ascii="Arial" w:hAnsi="Arial" w:cs="Arial"/>
          <w:lang w:val="es-ES"/>
        </w:rPr>
        <w:t xml:space="preserve"> residuos sólidos urbanos.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7.2.6 Utilizar purines y estiércol directamente sobre cultivos ya establecidos y en que estos productos entren en contacto directo con los órganos comestibles.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Recomendaciones</w:t>
      </w:r>
    </w:p>
    <w:p w:rsidR="00503A41" w:rsidRPr="00993936" w:rsidRDefault="00503A41" w:rsidP="001D205D">
      <w:pPr>
        <w:pStyle w:val="Sinespaciado"/>
        <w:jc w:val="both"/>
        <w:rPr>
          <w:rFonts w:ascii="Arial" w:hAnsi="Arial" w:cs="Arial"/>
          <w:u w:val="single"/>
          <w:lang w:val="es-ES"/>
        </w:rPr>
      </w:pPr>
      <w:r w:rsidRPr="00993936">
        <w:rPr>
          <w:rFonts w:ascii="Arial" w:hAnsi="Arial" w:cs="Arial"/>
          <w:lang w:val="es-ES"/>
        </w:rPr>
        <w:t>7.3.1 Realizar la fertirrigación de manera que se minimice el lavado de nutrientes, evitando la salinización del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7.3.2 En caso de carencias o de desequilibrios, se realizará un seguimiento analítico del cultivo (hojas o frutos) para comprobar que el programa de fertilización adoptado es adecuado, y se harán las correcciones necesarias en este programa. Para la interpretación de estos análisis, se tendrán en cuenta los valores que figuran en el anexo 7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7.3.3 Las aportaciones al suelo de quelatos u otras formulaciones de micronutrientes se limitarán a las situaciones en que los análisis o la experiencia contrastada demuestren que son imprescindibles para una adecuada producción. Específicamente, </w:t>
      </w:r>
      <w:r w:rsidRPr="00993936">
        <w:rPr>
          <w:rFonts w:ascii="Arial" w:hAnsi="Arial" w:cs="Arial"/>
          <w:lang w:val="es-ES"/>
        </w:rPr>
        <w:lastRenderedPageBreak/>
        <w:t>se permite la aplicación de quelatos para controlar la clorosis férrica en suelos con un contenido de carbonatos superior al 15%.</w:t>
      </w:r>
    </w:p>
    <w:p w:rsidR="00503A41" w:rsidRPr="00993936" w:rsidRDefault="00503A41" w:rsidP="00424C28">
      <w:pPr>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8</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Control de malas hierbas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8.1.1 Mantener una cubierta vegetal del suelo, preferentemente a base de flora espontánea o bien siembra, con el fin de mejorar la fertilidad del suelo, reducir las pérdidas de nutrientes y disminuir el riesgo de erosión. El manejo de esta cubierta se hará preferentemente mediante la siega.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8.1.2 Controlar las malas hierbas, siempre que sea posible, con medios físicos, mecánicos, biológicos o aquellos que ofrezcan el menor riesgo de emisiones de CO</w:t>
      </w:r>
      <w:r w:rsidRPr="00993936">
        <w:rPr>
          <w:rFonts w:ascii="Arial" w:hAnsi="Arial" w:cs="Arial"/>
          <w:vertAlign w:val="subscript"/>
          <w:lang w:val="es-ES"/>
        </w:rPr>
        <w:t>2</w:t>
      </w:r>
      <w:r w:rsidRPr="00993936">
        <w:rPr>
          <w:rFonts w:ascii="Arial" w:hAnsi="Arial" w:cs="Arial"/>
          <w:lang w:val="es-ES"/>
        </w:rPr>
        <w:t xml:space="preserve">. Cuando los medios señalados anteriormente no permitan un control adecuado de las malas hierbas, se podrá justificar la aplicación de alguno de los herbicidas que figuran en el anexo 1 de esta norma.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malas hierbas que, por no ser habituales, o que no se haya definido el umbral y/o criterio mínimo de intervención, se podrá actuar en contra con cualquier otro herbicida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Esta excepción también será de aplicación a</w:t>
      </w:r>
      <w:r w:rsidRPr="00993936">
        <w:rPr>
          <w:rFonts w:ascii="Arial" w:hAnsi="Arial" w:cs="Arial"/>
          <w:vanish/>
          <w:lang w:val="es-ES"/>
        </w:rPr>
        <w:t>&lt;A[por|para]&gt;</w:t>
      </w:r>
      <w:r w:rsidRPr="00993936">
        <w:rPr>
          <w:rFonts w:ascii="Arial" w:hAnsi="Arial" w:cs="Arial"/>
          <w:lang w:val="es-ES"/>
        </w:rPr>
        <w:t xml:space="preserve"> aquellos herbicidas que aparezcan en el Registro, para combatir determinadas malas hierbas y que no estén contempladas por</w:t>
      </w:r>
      <w:r w:rsidRPr="00993936">
        <w:rPr>
          <w:rFonts w:ascii="Arial" w:hAnsi="Arial" w:cs="Arial"/>
          <w:vanish/>
          <w:lang w:val="es-ES"/>
        </w:rPr>
        <w:t>&lt;A[por|para]&gt;</w:t>
      </w:r>
      <w:r w:rsidRPr="00993936">
        <w:rPr>
          <w:rFonts w:ascii="Arial" w:hAnsi="Arial" w:cs="Arial"/>
          <w:lang w:val="es-ES"/>
        </w:rPr>
        <w:t xml:space="preserve"> su novedad en el anexo 1 de herbicidas de esta norma. En caso de que sea necesaria la aplicación de herbicidas, se efectuará mediante las técnicas recomendadas en la etiqueta del producto.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8.1.3 En frutos secos, cuando el mantenimiento de la cubierta vegetal dificulte las tareas de recogida, o bien produzca una competencia importante para el agua disponible especialmente en los periodos de sequía en cultivos de secano, podrá justificarse el control más restrictivo o bien la eliminación temporal mediante los métodos señalados en el punto anterior. Estos periodos sin cubierta vegetal se podrán justificar para todos los cultivos desde comienzo del mes de febrero hasta finales de septiembre.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8.1.4 En caso del nogal, el almendro y el pistacho en regadío, se tendrá que permitir el des</w:t>
      </w:r>
      <w:r w:rsidRPr="00993936">
        <w:rPr>
          <w:rFonts w:ascii="Arial" w:hAnsi="Arial" w:cs="Arial"/>
          <w:lang w:val="es-ES"/>
        </w:rPr>
        <w:t>arrollo de la flora espontánea durante todo el año. Para su control, se utilizarán preferentemente los medios mecánicos.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8.1.5 Las materias activas a utilizar serán seleccionadas de acuerdo con los criterios de menor peligrosidad para los humanos, la fauna silvestre y el medio ambiente, y que proporcionen un control efectivo de la mala hierba. En cualquier caso, sólo se podrán utilizar los herbicidas inscritos en el Registro Oficial de Productos y de Material Fitosanitario del Ministerio de Agricultura, Pesca, Alimentación y Medio Ambiente (MAPAMA) y aprobados expresamente para los cultivos autorizados que figuran en el anexo 1.</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8.1.6 La maquinaria utilizada para aplicar los productos herbicidas se tiene que mantener en un adecuado estado de funcionamiento y someterse, periódicamente, a los controles e inspecciones que establece el artículo 16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Los volúmenes máximos de caldo en los tratamientos herbicidas se ajustarán a los parámetros precisos, teniendo en cuenta el estado de desarrollo del cultivo para obtener la máxima eficacia con la menor dosifique.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8.1.7 Adoptar las medidas precisas para evitar que la deriva de las aplicaciones llegue a parcelas y/o UHC diferentes a las que se pretenden tratar.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8.1.8.- En caso de utilización de herbicidas, su aplicación se limitará a la línea de plantación y que afecte como máximo un determinado porcentaje de la superficie total de las entrehileras. En plantaciones de menos de 5 años, este porcentaje no podrá </w:t>
      </w:r>
      <w:r w:rsidRPr="00993936">
        <w:rPr>
          <w:rFonts w:ascii="Arial" w:hAnsi="Arial" w:cs="Arial"/>
          <w:lang w:val="es-ES"/>
        </w:rPr>
        <w:lastRenderedPageBreak/>
        <w:t>superar el 30%. En plantaciones de más edad, este porcentaje en general será como máximo el 50%, salvo aquellas fincas donde no sea posible el paso de la maquinaria y donde lo quiere de los árboles cubra el 100% de la superficie comprendida entre las filas de árboles en que este porcentaje podrá ser superior.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8.1.9.- En el supuesto de que se utilicen herbicidas, la aplicación se hará preferentemente en el momento en que la mala hierba sea más sensible y se utilizarán las dosis mínimas eficaces.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8.2.1 La utilización de herbicidas residuales en los suelos arenosos.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8.2.2 Utilizar herbicidas a menos de 50 metros de las aguas superficiales.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8.2.3 Utilizar cualquier herbicida que, a pesar de figurar en el anexo 1 de esta norma se haya dado de baja del Registro Oficial de Productos y de Material Fitosanitario del MAPAMA con posterioridad a la publicación de la disposición que lo aprueba.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8.3.1 En caso de que la hilera bajo los árboles se mantenga controlada de malas hierbas, para su control se utilizarán preferentemente los métodos como el almohadillado (cobertura con materia inerte), la cobertura con los restos del material vegetal segado, o bien los métodos mecánicos como la siega o el cultivo.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8.3.2 Controlar las malas hierbas utilizando técnicas de control integrado.</w:t>
      </w:r>
    </w:p>
    <w:p w:rsidR="00503A41" w:rsidRPr="00993936" w:rsidRDefault="00503A41" w:rsidP="00424C28">
      <w:pPr>
        <w:jc w:val="both"/>
        <w:outlineLvl w:val="0"/>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9</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Riego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9.1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9.1.1 Disponer de las características analíticas de la calidad del agua de riego con la finalidad de tomar una decisión sobre su utilización. El análisis químico incluirá al menos las determinaciones de nitratos y de conductividad, sin perjuicio de otros elementos que puedan ser de interés. Los análisis se harán en laboratorios autorizados.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9.1.2 Analizar el agua de riego cada 5 años en un laboratorio reconocido por la Administración. Si en razón de su origen la composición del agua es muy variable, se tendrán que hacer análisis con más frecuencia del contenido de nitratos y de la conductividad. En caso de utilizar, para el riego aguas residuales depuradas, que puedan entrar en contacto directo con los órganos vegetales comestibles, analizar la posible presencia de contaminantes microbianos, químicos o bacteriológicos con el fin de tomar una decisión sobre su utilización.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9.1.3 Tomar las medidas necesarias para evitar las pérdidas de agua.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9.1.4 Establecer los volúmenes anuales necesarios mediante el cálculo de las necesidades del cultivo, de acuerdo con los datos locales de la evapotranspiración calculada por medio de los datos de la estación meteorológica más representativa.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9.1.5 Establecer los volúmenes máximos de cada riego en función del sistema, la profundidad radicular del cultivo, el estado hídrico y las características físicas del suelo. Para</w:t>
      </w:r>
      <w:r w:rsidRPr="00993936">
        <w:rPr>
          <w:rFonts w:ascii="Arial" w:hAnsi="Arial" w:cs="Arial"/>
          <w:vanish/>
          <w:lang w:val="es-ES"/>
        </w:rPr>
        <w:t>&lt;A[Por|Para]&gt;</w:t>
      </w:r>
      <w:r w:rsidRPr="00993936">
        <w:rPr>
          <w:rFonts w:ascii="Arial" w:hAnsi="Arial" w:cs="Arial"/>
          <w:lang w:val="es-ES"/>
        </w:rPr>
        <w:t xml:space="preserve"> valores de conductividad eléctrica del agua superiores a de 2,1 dS/m, se utilizará una fracción de lavado complementaria a las dosis normales del riego.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9.1.6  Los riegos se programarán para cada parcela y/o UHC siguiendo métodos técnicamente aceptados.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9.1.7 Al regar, se evitará la aplicación de aguas que conduzcan a una degradación del suelo por salinización y/o sodificación.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9.1.8. Para la programación de los riegos, se establecerá un programa que determine los volúmenes de agua a aplicar y los tiempos de riego.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9.1.9 Se diseñará un sistema de riego para cada parcela que garantice de manera permanente la conservación del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9.1.10 Se utilizarán técnicas de riego que garanticen la máxima eficiencia en el uso del agua y la optimización de los recursos hídricos, evitando las pérdidas de agua, por lo cual se tendrá en cuenta que:</w:t>
      </w:r>
    </w:p>
    <w:p w:rsidR="00503A41" w:rsidRPr="00993936" w:rsidRDefault="00503A41" w:rsidP="009D1A2D">
      <w:pPr>
        <w:pStyle w:val="Sinespaciado"/>
        <w:numPr>
          <w:ilvl w:val="0"/>
          <w:numId w:val="167"/>
        </w:numPr>
        <w:jc w:val="both"/>
        <w:rPr>
          <w:rFonts w:ascii="Arial" w:hAnsi="Arial" w:cs="Arial"/>
          <w:lang w:val="es-ES"/>
        </w:rPr>
      </w:pPr>
      <w:r w:rsidRPr="00993936">
        <w:rPr>
          <w:rFonts w:ascii="Arial" w:hAnsi="Arial" w:cs="Arial"/>
          <w:lang w:val="es-ES"/>
        </w:rPr>
        <w:t>Las dosis de riego se ajustarán a las necesidades de los cultivos y a la textura y a las características de drenaje del suelo.</w:t>
      </w:r>
    </w:p>
    <w:p w:rsidR="00503A41" w:rsidRPr="00993936" w:rsidRDefault="00503A41" w:rsidP="009D1A2D">
      <w:pPr>
        <w:pStyle w:val="Sinespaciado"/>
        <w:numPr>
          <w:ilvl w:val="0"/>
          <w:numId w:val="167"/>
        </w:numPr>
        <w:jc w:val="both"/>
        <w:rPr>
          <w:rFonts w:ascii="Arial" w:hAnsi="Arial" w:cs="Arial"/>
          <w:lang w:val="es-ES"/>
        </w:rPr>
      </w:pPr>
      <w:r w:rsidRPr="00993936">
        <w:rPr>
          <w:rFonts w:ascii="Arial" w:hAnsi="Arial" w:cs="Arial"/>
          <w:lang w:val="es-ES"/>
        </w:rPr>
        <w:t>En riego por gravedad o inundación, la longitud de las tablas y su pendiente máxima se establecerán en función del volumen de riego necesario y de las condiciones hidráulicas y de permeabilidad del terreno.</w:t>
      </w:r>
    </w:p>
    <w:p w:rsidR="00503A41" w:rsidRPr="00993936" w:rsidRDefault="00503A41" w:rsidP="009D1A2D">
      <w:pPr>
        <w:pStyle w:val="Sinespaciado"/>
        <w:numPr>
          <w:ilvl w:val="0"/>
          <w:numId w:val="167"/>
        </w:numPr>
        <w:jc w:val="both"/>
        <w:rPr>
          <w:rFonts w:ascii="Arial" w:hAnsi="Arial" w:cs="Arial"/>
          <w:lang w:val="es-ES"/>
        </w:rPr>
      </w:pPr>
      <w:r w:rsidRPr="00993936">
        <w:rPr>
          <w:rFonts w:ascii="Arial" w:hAnsi="Arial" w:cs="Arial"/>
          <w:lang w:val="es-ES"/>
        </w:rPr>
        <w:t xml:space="preserve">En el riego a presión se justificará que el valor del coeficiente de uniformidad (CU) estará comprendido entre los valores establecidos en función de la separación entre los emisores y la pendiente del terreno. </w:t>
      </w:r>
    </w:p>
    <w:p w:rsidR="00503A41" w:rsidRPr="00993936" w:rsidRDefault="00503A41" w:rsidP="009D1A2D">
      <w:pPr>
        <w:pStyle w:val="Sinespaciado"/>
        <w:numPr>
          <w:ilvl w:val="0"/>
          <w:numId w:val="167"/>
        </w:numPr>
        <w:jc w:val="both"/>
        <w:rPr>
          <w:rFonts w:ascii="Arial" w:hAnsi="Arial" w:cs="Arial"/>
          <w:lang w:val="es-ES"/>
        </w:rPr>
      </w:pPr>
      <w:r w:rsidRPr="00993936">
        <w:rPr>
          <w:rFonts w:ascii="Arial" w:hAnsi="Arial" w:cs="Arial"/>
          <w:lang w:val="es-ES"/>
        </w:rPr>
        <w:t xml:space="preserve">La medida del cálculo del coeficiente de uniformidad se realizará mediante el método de Merrien-Keller (anexo 9). </w:t>
      </w:r>
    </w:p>
    <w:p w:rsidR="00503A41" w:rsidRPr="00993936" w:rsidRDefault="00503A41" w:rsidP="009D1A2D">
      <w:pPr>
        <w:pStyle w:val="Sinespaciado"/>
        <w:numPr>
          <w:ilvl w:val="0"/>
          <w:numId w:val="167"/>
        </w:numPr>
        <w:jc w:val="both"/>
        <w:rPr>
          <w:rFonts w:ascii="Arial" w:hAnsi="Arial" w:cs="Arial"/>
          <w:lang w:val="es-ES"/>
        </w:rPr>
      </w:pPr>
      <w:r w:rsidRPr="00993936">
        <w:rPr>
          <w:rFonts w:ascii="Arial" w:hAnsi="Arial" w:cs="Arial"/>
          <w:lang w:val="es-ES"/>
        </w:rPr>
        <w:t>Mantener en buen estado de conservación los sistemas de distribución del agua.</w:t>
      </w:r>
    </w:p>
    <w:p w:rsidR="00503A41" w:rsidRPr="00993936" w:rsidRDefault="00503A41" w:rsidP="009D1A2D">
      <w:pPr>
        <w:pStyle w:val="Sinespaciado"/>
        <w:numPr>
          <w:ilvl w:val="0"/>
          <w:numId w:val="167"/>
        </w:numPr>
        <w:jc w:val="both"/>
        <w:rPr>
          <w:rFonts w:ascii="Arial" w:hAnsi="Arial" w:cs="Arial"/>
          <w:lang w:val="es-ES"/>
        </w:rPr>
      </w:pPr>
      <w:r w:rsidRPr="00993936">
        <w:rPr>
          <w:rFonts w:ascii="Arial" w:hAnsi="Arial" w:cs="Arial"/>
          <w:lang w:val="es-ES"/>
        </w:rPr>
        <w:t>Registrar el agua de riego aplicada al Cuaderno de Explotación. Si no fuera posible, se efectuará una estimación</w:t>
      </w:r>
      <w:r w:rsidRPr="00993936">
        <w:rPr>
          <w:rFonts w:ascii="Arial" w:hAnsi="Arial" w:cs="Arial"/>
          <w:vanish/>
          <w:lang w:val="es-ES"/>
        </w:rPr>
        <w:t>&lt;A[estimación|estima]&gt;</w:t>
      </w:r>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9.1.11 El agua para el riego se utilizará con criterios de máxima eficiencia. Se tendrá que utilizar algún método de programación de riegos que permita ajustar las dosis de riego a las necesidades de los cultivos y a la textura y el drenaje del suelo. El agua de riego se distribuirá uniformemente en las parcelas minimizando las pérdidas que se produzcan por percolación y escorrentía</w:t>
      </w:r>
      <w:r w:rsidRPr="00993936">
        <w:rPr>
          <w:rFonts w:ascii="Arial" w:hAnsi="Arial" w:cs="Arial"/>
          <w:vanish/>
          <w:lang w:val="es-ES"/>
        </w:rPr>
        <w:t>&lt;A[vaciado|corriente]&gt;</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9.1.12 En los sistemas de presión, hay que alcanzar un coeficiente de uniformidad (CU) superior al 80%. La comprobación de este coeficiente se realizará cada 3 años, en cada sector de riego, de forma que se pueda asegurar el buen funcionamiento de las instalaciones.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9.1.13 Al regar, se evitará la aplicación de aguas que conduzcan a una degradación del suelo por salinización y/o sodificación.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9.1.14 En caso del riego superficial, se tiene que exigir una nivelación precisa en el momento de realizar una nueva plantación, a la vez que una adaptación de la sistematización de la superficie a regar a los módulos de riego que se utilicen y a las condiciones de infiltración. En el riego superficial, habrá que conseguir la máxima uniformidad de distribución.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9.2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9.2.1 La utilización de aguas residuales sin la depuración previa.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9.2.2 Utilizar aguas caracterizadas por parámetros de calidad inadecuados para el cultivo y para 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9.2.3 Utilizar aguas residuales sin depuración previa o aguas que están depuradas pero superaron los parámetros que establece la legislación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9.2.4. El uso de aguas de riego que superen los parámetros siguientes: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Conductividad (CEW)………    3,0 dS/m</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RAS.........................................    4</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Boro.........................................    2 ppm</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Cloruros...................................  10 meq/l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Sodio........................................    9 meq/l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9.3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9.3.1 Para utilizar el agua para el riego con criterios de máxima eficiencia, se recomienda en los sistemas de riego a presión la instalación de un caudalímetro o algún otro sistema de medida de consumo de agua, como instalar contadores en los conductos a presión o bien contar las horas de riego superficial, con que permitan llevar</w:t>
      </w:r>
      <w:r w:rsidRPr="00993936">
        <w:rPr>
          <w:rFonts w:ascii="Arial" w:hAnsi="Arial" w:cs="Arial"/>
          <w:vanish/>
          <w:lang w:val="es-ES"/>
        </w:rPr>
        <w:t>&lt;A[llevar|traer]&gt;</w:t>
      </w:r>
      <w:r w:rsidRPr="00993936">
        <w:rPr>
          <w:rFonts w:ascii="Arial" w:hAnsi="Arial" w:cs="Arial"/>
          <w:lang w:val="es-ES"/>
        </w:rPr>
        <w:t xml:space="preserve"> un control ajustado de las dosis de agua y de los momentos de aplicación.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9.3.2 Para evaluar el estado del agua en el suelo, se recomienda disponer de algún tipo de control de la humedad del suelo (tensiómetros, sondas u otros).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9.3.3 Que el material utilizado en las instalaciones nuevas de microirrigación corresponda a los modelos de emisores, tubos emisores y difusores certificados por el programa de control de características de material de microirrigación del Departamento de Agricultura, Ganadería y Pesca (Orden de 2 de mayo de 1995, DOGC nº. 2050, de 15.5.1995) o por otros programas oficiales.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9.3.4 Establecer un plan</w:t>
      </w:r>
      <w:r w:rsidRPr="00993936">
        <w:rPr>
          <w:rFonts w:ascii="Arial" w:hAnsi="Arial" w:cs="Arial"/>
          <w:vanish/>
          <w:lang w:val="es-ES"/>
        </w:rPr>
        <w:t>&lt;A[plan|plano]&gt;</w:t>
      </w:r>
      <w:r w:rsidRPr="00993936">
        <w:rPr>
          <w:rFonts w:ascii="Arial" w:hAnsi="Arial" w:cs="Arial"/>
          <w:lang w:val="es-ES"/>
        </w:rPr>
        <w:t xml:space="preserve"> de gestión del agua que permita optimizar el uso y reducir las pérdidas.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9.3.5 Evitar el riego por gravedad en suelos de textura arenosa.</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9.3.6 Utilizar el riego por goteo cuando sea posible.</w:t>
      </w:r>
    </w:p>
    <w:p w:rsidR="00503A41" w:rsidRPr="00993936" w:rsidRDefault="00503A41" w:rsidP="00424C28">
      <w:pPr>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10</w:t>
      </w:r>
    </w:p>
    <w:p w:rsidR="00503A41" w:rsidRPr="00993936" w:rsidRDefault="00503A41" w:rsidP="001D205D">
      <w:pPr>
        <w:pStyle w:val="Sinespaciado"/>
        <w:jc w:val="both"/>
        <w:rPr>
          <w:rFonts w:ascii="Arial" w:hAnsi="Arial" w:cs="Arial"/>
          <w:lang w:val="es-ES"/>
        </w:rPr>
      </w:pPr>
      <w:r w:rsidRPr="00993936">
        <w:rPr>
          <w:rFonts w:ascii="Arial" w:hAnsi="Arial" w:cs="Arial"/>
          <w:b/>
          <w:lang w:val="es-ES"/>
        </w:rPr>
        <w:t xml:space="preserve">Control integrado de plagas y enfermedades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10.1.1 Para controlar plagas y enfermedades se deben priorizar, siempre que sea posible, los métodos biológicos, biotecnológicos, culturales, físicos y genéticos antes que los métodos químicos.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10.1.2 La estimación</w:t>
      </w:r>
      <w:r w:rsidRPr="00993936">
        <w:rPr>
          <w:rFonts w:ascii="Arial" w:hAnsi="Arial" w:cs="Arial"/>
          <w:vanish/>
          <w:lang w:val="es-ES"/>
        </w:rPr>
        <w:t>&lt;A[estimación|estima]&gt;</w:t>
      </w:r>
      <w:r w:rsidRPr="00993936">
        <w:rPr>
          <w:rFonts w:ascii="Arial" w:hAnsi="Arial" w:cs="Arial"/>
          <w:lang w:val="es-ES"/>
        </w:rPr>
        <w:t xml:space="preserve"> del riesgo en cada parcela y/o UHC se hará mediante evaluaciones de los niveles de población calculado por mediación de sistemas de muestreo, estado de desarrollo de las plagas, enfermedades, y fauna útil, fenología del cultivo y condiciones climáticas. La aplicación de medidas directas de control de plagas y enfermedades sólo se efectuará cuando los niveles de población o las condiciones ambientales superen los correspondientes umbrales y/o criterios mínimos de intervención que figuran en el anexo 6 de esta norma, y en caso de enfermedades cuando</w:t>
      </w:r>
      <w:r w:rsidRPr="00993936">
        <w:rPr>
          <w:rFonts w:ascii="Arial" w:hAnsi="Arial" w:cs="Arial"/>
          <w:vanish/>
          <w:lang w:val="es-ES"/>
        </w:rPr>
        <w:t>&lt;A[cuando|cuándo]&gt;</w:t>
      </w:r>
      <w:r w:rsidRPr="00993936">
        <w:rPr>
          <w:rFonts w:ascii="Arial" w:hAnsi="Arial" w:cs="Arial"/>
          <w:lang w:val="es-ES"/>
        </w:rPr>
        <w:t xml:space="preserve"> la estimación</w:t>
      </w:r>
      <w:r w:rsidRPr="00993936">
        <w:rPr>
          <w:rFonts w:ascii="Arial" w:hAnsi="Arial" w:cs="Arial"/>
          <w:vanish/>
          <w:lang w:val="es-ES"/>
        </w:rPr>
        <w:t>&lt;A[estimación|estima]&gt;</w:t>
      </w:r>
      <w:r w:rsidRPr="00993936">
        <w:rPr>
          <w:rFonts w:ascii="Arial" w:hAnsi="Arial" w:cs="Arial"/>
          <w:lang w:val="es-ES"/>
        </w:rPr>
        <w:t xml:space="preserve"> del riesgo lo indique.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En caso de que los niveles de población de determinado fitoparásito se amen</w:t>
      </w:r>
      <w:r w:rsidRPr="00993936">
        <w:rPr>
          <w:rFonts w:ascii="Arial" w:hAnsi="Arial" w:cs="Arial"/>
          <w:vanish/>
          <w:lang w:val="es-ES"/>
        </w:rPr>
        <w:t>&lt;A[amen|estimen]&gt;</w:t>
      </w:r>
      <w:r w:rsidRPr="00993936">
        <w:rPr>
          <w:rFonts w:ascii="Arial" w:hAnsi="Arial" w:cs="Arial"/>
          <w:lang w:val="es-ES"/>
        </w:rPr>
        <w:t xml:space="preserve"> mediante trampas equipadas con atrayente sexual y/o trampas alimenticias, estas se colocarán a razón de una batería de trampas (2 ó 3 trampas) por cada 4 hectáreas y serán controlaradas por el productor o por el técnico responsable de producción integrada, haciendo además un control visual de daños o de presencia de parásitos a nivel de parcela. Con esta finalidad, se entiende por parcela la plantación homogénea en cuanto a edad, patrón, variedad (principal+polinizadora), sistema de poda y sistema de riego, con una superficie no mayor de 4 hectáreas, de manera que si la extensión es superior, se tendrá que dividir en unidades de control inferiores a la mencionada superficie.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En caso de agrupaciones de productores o asociación entre ellas el número de trampas a colocar será determinado por los técnicos responsables de producción integrada en función del número y la distribución de las plantaciones, de manera que se garantice un sistema de control fiable y representativo de la zona que se quiera controlar. En este caso cada agrupación de productores tendrá que disponer de un plano de situación de las trampas, con indicación del modelo de trampa, el tipo de parásitos a controlar, así como la relación de fincas, hectáreas y nombres de los productores incluidos, junto con la descripción del plan</w:t>
      </w:r>
      <w:r w:rsidRPr="00993936">
        <w:rPr>
          <w:rFonts w:ascii="Arial" w:hAnsi="Arial" w:cs="Arial"/>
          <w:vanish/>
          <w:lang w:val="es-ES"/>
        </w:rPr>
        <w:t>&lt;A[plan|plano]&gt;</w:t>
      </w:r>
      <w:r w:rsidRPr="00993936">
        <w:rPr>
          <w:rFonts w:ascii="Arial" w:hAnsi="Arial" w:cs="Arial"/>
          <w:lang w:val="es-ES"/>
        </w:rPr>
        <w:t xml:space="preserve"> de control.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Los criterios que se utilicen para la justificación de los posibles tratamientos fitosanitarios tendrán que estar previstos en el Programa de control integrado de plagas y enfermedades (CIP) que prevé esta norma.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10.1.3  En caso de que haga falta una intervención química con productos fitosanitarios, las sustancias activas a utilizar serán seleccionadas de acuerdo con los criterios de menor peligrosidad para los humanos, la fauna y el medio ambiente; la efectividad en el control de la plaga o la enfermedad; la selectividad (se tiene que evitar la toxicidad para los polinizadores y los enemigos naturales); los residuos y el riesgo de aparición de poblaciones resistentes.  En cualquier caso, sólo se podrán utilizar productos fitosanitarios inscritos en el Registro Oficial de Productos y Material </w:t>
      </w:r>
      <w:r w:rsidRPr="00993936">
        <w:rPr>
          <w:rFonts w:ascii="Arial" w:hAnsi="Arial" w:cs="Arial"/>
          <w:lang w:val="es-ES"/>
        </w:rPr>
        <w:lastRenderedPageBreak/>
        <w:t>Fitosanitario del Estado Español y aprobados expresamente para los cultivos y usos autorizados que figuran en el anexo 2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10.1.4 En caso de utilizar para el control de plagas y enfermedades formulados comerciales a base de mezclas de sustancias activas, vista la gran cantidad existente, se consideran admitidas en producción integrada de frutos secos, aunque no estén expresamente definidas en el anexo 2 de esta norma, todas las mezclas de formulados, que incluyan 2 o más sustancias activas incluidas en el mencionado anexo, siempre que la mezcla comercial esté autorizada en el Registro Oficial de Productos y Material Fitosanitario para</w:t>
      </w:r>
      <w:r w:rsidRPr="00993936">
        <w:rPr>
          <w:rFonts w:ascii="Arial" w:hAnsi="Arial" w:cs="Arial"/>
          <w:vanish/>
          <w:lang w:val="es-ES"/>
        </w:rPr>
        <w:t>&lt;A[para|por]&gt;</w:t>
      </w:r>
      <w:r w:rsidRPr="00993936">
        <w:rPr>
          <w:rFonts w:ascii="Arial" w:hAnsi="Arial" w:cs="Arial"/>
          <w:lang w:val="es-ES"/>
        </w:rPr>
        <w:t xml:space="preserve"> el cultivo y para</w:t>
      </w:r>
      <w:r w:rsidRPr="00993936">
        <w:rPr>
          <w:rFonts w:ascii="Arial" w:hAnsi="Arial" w:cs="Arial"/>
          <w:vanish/>
          <w:lang w:val="es-ES"/>
        </w:rPr>
        <w:t>&lt;A[por|para]&gt;</w:t>
      </w:r>
      <w:r w:rsidRPr="00993936">
        <w:rPr>
          <w:rFonts w:ascii="Arial" w:hAnsi="Arial" w:cs="Arial"/>
          <w:lang w:val="es-ES"/>
        </w:rPr>
        <w:t xml:space="preserve"> los usos oficialmente autorizados.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No se podrán utilizar los formulados a base de mezclas de sustancias activas que tengan alguna sustancia no dirigida contra una determinada plaga y/o enfermedad, salvo las ocasiones en que se justifique el tratamiento simultáneo contra varios organismos nocivos.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10.1.5 Para evitar riesgos a los operarios, a los consumidores y al medio ambiente, el uso y la aplicación de productos fitosanitarios se realizará respetando siempre las indicaciones reflejadas en las etiquetas correspondientes de los productos y siguiendo las recomendaciones y/o instrucciones dictadas por el responsable técnico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10.1.6 Se tendrán que registrar en el Cuaderno de explotación todas las aplicaciones de productos químicos indicando como mínimo la fecha, el producto, la sustancia activa, la cantidad y el volumen utilizado, las cuales tendrán que revisarse a posteriori por el técnico responsable de producción integrada y su conformidad figurará en el mencionado Cuaderno.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10.1.7 Cuando se mezclen fitosanitarios, habrá que seguir los procedimientos adecuados para el manejo y la carga, según se indique en las instrucciones de la etiqueta del producto.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10.1.8 Para condiciones de recogida continua de fruta durante un periodo largo de tiempo, se tendrá que tener un plan</w:t>
      </w:r>
      <w:r w:rsidRPr="00993936">
        <w:rPr>
          <w:rFonts w:ascii="Arial" w:hAnsi="Arial" w:cs="Arial"/>
          <w:vanish/>
          <w:lang w:val="es-ES"/>
        </w:rPr>
        <w:t>&lt;A[plan|plano]&gt;</w:t>
      </w:r>
      <w:r w:rsidRPr="00993936">
        <w:rPr>
          <w:rFonts w:ascii="Arial" w:hAnsi="Arial" w:cs="Arial"/>
          <w:lang w:val="es-ES"/>
        </w:rPr>
        <w:t xml:space="preserve"> para la protección vegetal que no comprometa los intervalos de recolección. El plan</w:t>
      </w:r>
      <w:r w:rsidRPr="00993936">
        <w:rPr>
          <w:rFonts w:ascii="Arial" w:hAnsi="Arial" w:cs="Arial"/>
          <w:vanish/>
          <w:lang w:val="es-ES"/>
        </w:rPr>
        <w:t>&lt;A[plan|plano]&gt;</w:t>
      </w:r>
      <w:r w:rsidRPr="00993936">
        <w:rPr>
          <w:rFonts w:ascii="Arial" w:hAnsi="Arial" w:cs="Arial"/>
          <w:lang w:val="es-ES"/>
        </w:rPr>
        <w:t xml:space="preserve"> tendrá que considerar el establecimiento de marcadores de campo que permitan diferenciar las parcelas y variedades que son para la recolección del resto del cultivo.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10.1.9 Con la finalidad de disminuir la contaminación que provenga de los restos de fitosanitarios que quedan en los envases, se realizará un triple lavado. El agua de este lavado se añadirá al tanque de aplicación.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10.1.10 La presencia de residuos se tiene que minimizar mediante la máxima ampliación posible de los plazos de seguridad.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10.1.11 Proteger la fauna auxiliar en general y, en particular, al menos, dos especies</w:t>
      </w:r>
      <w:r w:rsidRPr="00993936">
        <w:rPr>
          <w:rFonts w:ascii="Arial" w:hAnsi="Arial" w:cs="Arial"/>
          <w:vanish/>
          <w:lang w:val="es-ES"/>
        </w:rPr>
        <w:t>&lt;A[especies|especias]&gt;</w:t>
      </w:r>
      <w:r w:rsidRPr="00993936">
        <w:rPr>
          <w:rFonts w:ascii="Arial" w:hAnsi="Arial" w:cs="Arial"/>
          <w:lang w:val="es-ES"/>
        </w:rPr>
        <w:t xml:space="preserve"> de las cuales su protección y aumento de sus poblaciones se considere prioritaria para cada cultivo. Las especies</w:t>
      </w:r>
      <w:r w:rsidRPr="00993936">
        <w:rPr>
          <w:rFonts w:ascii="Arial" w:hAnsi="Arial" w:cs="Arial"/>
          <w:vanish/>
          <w:lang w:val="es-ES"/>
        </w:rPr>
        <w:t>&lt;A[especies|especias]&gt;</w:t>
      </w:r>
      <w:r w:rsidRPr="00993936">
        <w:rPr>
          <w:rFonts w:ascii="Arial" w:hAnsi="Arial" w:cs="Arial"/>
          <w:lang w:val="es-ES"/>
        </w:rPr>
        <w:t xml:space="preserve"> de fauna auxiliar que se pueden proteger en cultivos de frutos secos son las siguientes: </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 xml:space="preserve">Adalia bipunctata, Allothrombium sp., Chrysoperla carnea, Coccinella septempunctata, Phytoseiidae, Parus mayor (pájaro: Herrerillo carbonero), Parus Caeruleus (pájaro: Herrerillo azul), Syrphidae, Trichogramma cacoeciae.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10.1.12 El aplicador de productos fitosanitarios tendrá que estar cualificado</w:t>
      </w:r>
      <w:r w:rsidRPr="00993936">
        <w:rPr>
          <w:rFonts w:ascii="Arial" w:hAnsi="Arial" w:cs="Arial"/>
          <w:vanish/>
          <w:lang w:val="es-ES"/>
        </w:rPr>
        <w:t>&lt;A[cualificado|calificado]&gt;</w:t>
      </w:r>
      <w:r w:rsidRPr="00993936">
        <w:rPr>
          <w:rFonts w:ascii="Arial" w:hAnsi="Arial" w:cs="Arial"/>
          <w:lang w:val="es-ES"/>
        </w:rPr>
        <w:t xml:space="preserve"> específicamente, por</w:t>
      </w:r>
      <w:r w:rsidRPr="00993936">
        <w:rPr>
          <w:rFonts w:ascii="Arial" w:hAnsi="Arial" w:cs="Arial"/>
          <w:vanish/>
          <w:lang w:val="es-ES"/>
        </w:rPr>
        <w:t>&lt;A[por|para]&gt;</w:t>
      </w:r>
      <w:r w:rsidRPr="00993936">
        <w:rPr>
          <w:rFonts w:ascii="Arial" w:hAnsi="Arial" w:cs="Arial"/>
          <w:lang w:val="es-ES"/>
        </w:rPr>
        <w:t xml:space="preserve"> lo cual tendrá que justificar que dispone de la acreditación del carné básico de aplicador de productos fitosanitarios o el carné calificado</w:t>
      </w:r>
      <w:r w:rsidRPr="00993936">
        <w:rPr>
          <w:rFonts w:ascii="Arial" w:hAnsi="Arial" w:cs="Arial"/>
          <w:vanish/>
          <w:lang w:val="es-ES"/>
        </w:rPr>
        <w:t>&lt;A[calificado|cualificado]&gt;</w:t>
      </w:r>
      <w:r w:rsidRPr="00993936">
        <w:rPr>
          <w:rFonts w:ascii="Arial" w:hAnsi="Arial" w:cs="Arial"/>
          <w:lang w:val="es-ES"/>
        </w:rPr>
        <w:t xml:space="preserve"> Cuando le sea obligatorio de acuerdo con lo que establece el RD 1311/2012.</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10.1.13 La maquinaria utilizada para aplicar los productos fitosanitarios debe mantenerse en un adecuado estado de funcionamiento y someterse, periódicamente, a los controles e inspecciones que establece el artículo 16 de esta norma.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10.1.14 En caso de tratamientos fitosanitarios y con la finalidad de obtener la máxima eficacia con la menor dosis, se deben ajustar las concentraciones de los productos, los </w:t>
      </w:r>
      <w:r w:rsidRPr="00993936">
        <w:rPr>
          <w:rFonts w:ascii="Arial" w:hAnsi="Arial" w:cs="Arial"/>
          <w:lang w:val="es-ES"/>
        </w:rPr>
        <w:lastRenderedPageBreak/>
        <w:t xml:space="preserve">volúmenes máximos de caldo y el caudal de aire, con el objetivo de evitar las sobredosificaciones y procurar que las aplicaciones no lleguen a una parcela y/o UHC diferente de la que se pretende tratar, y tener en cuenta el estado fenológico del cultivo.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10.1.15  Reducir el área tratada a foco o rodales con tratamientos químicos siempre que la plaga o enfermedad se encuentre lo bastante localizada y sea posible.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10.2.1 Realizar liberaciones de enemigos naturales no presentes en la fauna española, o cuya introducción esté prohibida por</w:t>
      </w:r>
      <w:r w:rsidRPr="00993936">
        <w:rPr>
          <w:rFonts w:ascii="Arial" w:hAnsi="Arial" w:cs="Arial"/>
          <w:vanish/>
          <w:lang w:val="es-ES"/>
        </w:rPr>
        <w:t>&lt;A[por|para]&gt;</w:t>
      </w:r>
      <w:r w:rsidRPr="00993936">
        <w:rPr>
          <w:rFonts w:ascii="Arial" w:hAnsi="Arial" w:cs="Arial"/>
          <w:lang w:val="es-ES"/>
        </w:rPr>
        <w:t xml:space="preserve"> la legislación correspondiente, salvo autorización expresa de la dirección general competente en materia de agricultura.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10.2.2 Utilizar calendarios de tratamientos y realizar aplicaciones indiscriminadas sin la prescripción técnica.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10.2.3 Abandonar el control fitosanitario antes de finalizar el periodo vegetativo del cultivo, excepto en casos de bastante mayor reconocidos por la dirección general competente en materia de agricultura.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10.2.4 Utilizar de manera sistemática y reiterada, productos fitosanitarios no selectivos, de larga persistencia, alta volatilidad, lixiviables o con otras características negativas.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10.2.5 Utilizar productos fitosanitarios a menos de 50 metros de las aguas superficiales.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10.2.6 En cultivos al aire libre, realizar aplicaciones de productos fitosanitarios en condiciones meteorológicamente desfavorables para evitar la deriva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10.2.7 El vertido</w:t>
      </w:r>
      <w:r w:rsidRPr="00993936">
        <w:rPr>
          <w:rFonts w:ascii="Arial" w:hAnsi="Arial" w:cs="Arial"/>
          <w:vanish/>
          <w:lang w:val="es-ES"/>
        </w:rPr>
        <w:t>&lt;A[derrame|vertido]&gt;</w:t>
      </w:r>
      <w:r w:rsidRPr="00993936">
        <w:rPr>
          <w:rFonts w:ascii="Arial" w:hAnsi="Arial" w:cs="Arial"/>
          <w:lang w:val="es-ES"/>
        </w:rPr>
        <w:t>, al agua y/o en zonas muy próximas, de productos agroquímicos sobrantes y de los líquidos procedentes de la limpieza de la maquinaria de tratamientos.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10.2.8 Utilizar cualquier producto autorizado por estas normas técnicas que sea dado de baja del Registro Oficial de Productos y Material Fitosanitario del Ministerio de Agricultura, Pesca, Alimentación y Medio Ambiente (MAPAMA) con posterioridad en la publicación de la disposición que lo aprueba o que haya perdido la autorización de uso correspondiente.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10.2.9 Utilizar materias activas no incluidas en el anexo 2 de esta norma técnica. Esta prohibición no es de aplicación en las materias activas que tengan una autorización de uso excepcional vigente o a las que aparezcan al Registro Oficial de Productos y Material Fitosanitario, autorizadas para combatir determinadas plagas y/o enfermedades, que no estén contempladas por su novedad en los anexos de fitosanitarios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 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plagas, que, por no ser habituales, no estén reflejadas en el anexo 2 de esta norma, o no se haya definido el umbral y/o criterio mínimo de intervención, se podrá actuar en contra con cualquier otro fitosanitario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Esta excepción también será de aplicación para</w:t>
      </w:r>
      <w:r w:rsidRPr="00993936">
        <w:rPr>
          <w:rFonts w:ascii="Arial" w:hAnsi="Arial" w:cs="Arial"/>
          <w:vanish/>
          <w:lang w:val="es-ES"/>
        </w:rPr>
        <w:t>&lt;A[por|para]&gt;</w:t>
      </w:r>
      <w:r w:rsidRPr="00993936">
        <w:rPr>
          <w:rFonts w:ascii="Arial" w:hAnsi="Arial" w:cs="Arial"/>
          <w:lang w:val="es-ES"/>
        </w:rPr>
        <w:t xml:space="preserve"> aquellos fitosanitarios que aparezcan en el Registro para combatir determinadas plagas y/o enfermedades que no estén contempladas por</w:t>
      </w:r>
      <w:r w:rsidRPr="00993936">
        <w:rPr>
          <w:rFonts w:ascii="Arial" w:hAnsi="Arial" w:cs="Arial"/>
          <w:vanish/>
          <w:lang w:val="es-ES"/>
        </w:rPr>
        <w:t>&lt;A[por|para]&gt;</w:t>
      </w:r>
      <w:r w:rsidRPr="00993936">
        <w:rPr>
          <w:rFonts w:ascii="Arial" w:hAnsi="Arial" w:cs="Arial"/>
          <w:lang w:val="es-ES"/>
        </w:rPr>
        <w:t xml:space="preserve"> su novedad en los anexos de fitosanitarios de esta norma.</w:t>
      </w:r>
    </w:p>
    <w:p w:rsidR="00503A41" w:rsidRPr="00993936" w:rsidRDefault="00503A41" w:rsidP="001D205D">
      <w:pPr>
        <w:pStyle w:val="Sinespaciado"/>
        <w:jc w:val="both"/>
        <w:rPr>
          <w:rFonts w:ascii="Arial" w:hAnsi="Arial" w:cs="Arial"/>
          <w:szCs w:val="20"/>
          <w:lang w:val="es-ES" w:eastAsia="es-ES"/>
        </w:rPr>
      </w:pPr>
      <w:r w:rsidRPr="00993936">
        <w:rPr>
          <w:rFonts w:ascii="Arial" w:hAnsi="Arial" w:cs="Arial"/>
          <w:szCs w:val="20"/>
          <w:lang w:val="es-ES" w:eastAsia="es-ES"/>
        </w:rPr>
        <w:t xml:space="preserve">10.2.10 Aplicar productos fitosanitarios de perfil toxicológico T+ (muy tóxico) o que en su clasificación y etiquetado presenten frases de riesgo con un perfil muy tóxico o mortales para la salud humana. </w:t>
      </w:r>
    </w:p>
    <w:p w:rsidR="00503A41" w:rsidRPr="00993936" w:rsidRDefault="00503A41" w:rsidP="001D205D">
      <w:pPr>
        <w:pStyle w:val="Sinespaciado"/>
        <w:jc w:val="both"/>
        <w:rPr>
          <w:rFonts w:ascii="Arial" w:hAnsi="Arial" w:cs="Arial"/>
          <w:lang w:val="es-ES"/>
        </w:rPr>
      </w:pPr>
      <w:r w:rsidRPr="00993936">
        <w:rPr>
          <w:rFonts w:ascii="Arial" w:hAnsi="Arial" w:cs="Arial"/>
          <w:szCs w:val="20"/>
          <w:lang w:val="es-ES" w:eastAsia="es-ES"/>
        </w:rPr>
        <w:t>10</w:t>
      </w:r>
      <w:r w:rsidRPr="00993936">
        <w:rPr>
          <w:rFonts w:ascii="Arial" w:hAnsi="Arial" w:cs="Arial"/>
          <w:lang w:val="es-ES"/>
        </w:rPr>
        <w:t>.2.11  Aplicar productos fitosanitarios a menos de 50 metros de captaciones de agua de consumo humano.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10.3.1 Realizar los tratamientos fitosanitarios con velocidades de viento inferiores a los </w:t>
      </w:r>
      <w:smartTag w:uri="urn:schemas-microsoft-com:office:smarttags" w:element="metricconverter">
        <w:smartTagPr>
          <w:attr w:name="ProductID" w:val="10,8 km"/>
        </w:smartTagPr>
        <w:r w:rsidRPr="00993936">
          <w:rPr>
            <w:rFonts w:ascii="Arial" w:hAnsi="Arial" w:cs="Arial"/>
            <w:lang w:val="es-ES"/>
          </w:rPr>
          <w:t>10,8 kilómetros</w:t>
        </w:r>
      </w:smartTag>
      <w:r w:rsidRPr="00993936">
        <w:rPr>
          <w:rFonts w:ascii="Arial" w:hAnsi="Arial" w:cs="Arial"/>
          <w:lang w:val="es-ES"/>
        </w:rPr>
        <w:t xml:space="preserve"> por hora.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10.3.2 En caso de tratamientos fitosanitarios, alternar sustancias activas de los diferentes grupos químicos y mecanismos de acción, no realizando más de dos tratamientos consecutivos con la misma sustancia activa.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10.3.3 No utilizar productos fitosanitarios con más de dos años desde la fecha de fabricación a menos que la etiqueta especifique un plazo inferior.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10.3.4 Disponer en la explotación de zonas preparadas expresamente para llenar los cubos, lavar equipos y depositar los restos de caldos no utilizados, etc.</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10.3.5 Utilizar modelos de predicción de plagas y enfermedades, En caso que haya y que se hayan contrastado en la zona de cultivo.</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Recolección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11.1.1 Avellana: la cosecha se hará a partir del momento en que el fruto caiga por natural en el suelo procurando que permanezca el menor tiempo posible en el suelo.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11.1.2. Almendra y pistacho: La recogida de la almendra y el pistacho se realizará en el momento en que los frutos más tardíos del árbol presenten una dehiscencia.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11.1.3. Nuez: se podrá recolectar cuando el fruto haya alcanzado la maduración fisiológica (tabique del fruto marrón) tanto si se quiere consumir como nuevo fresca o como seca. La maduración comercial de la nuez seca se alcanza cuando el fruto se desprende del árbol naturalmente o por</w:t>
      </w:r>
      <w:r w:rsidRPr="00993936">
        <w:rPr>
          <w:rFonts w:ascii="Arial" w:hAnsi="Arial" w:cs="Arial"/>
          <w:vanish/>
          <w:lang w:val="es-ES"/>
        </w:rPr>
        <w:t>&lt;A[por|para]&gt;</w:t>
      </w:r>
      <w:r w:rsidRPr="00993936">
        <w:rPr>
          <w:rFonts w:ascii="Arial" w:hAnsi="Arial" w:cs="Arial"/>
          <w:lang w:val="es-ES"/>
        </w:rPr>
        <w:t xml:space="preserve"> medios mecánicos.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11.1.4 Recoger la nuez del suelo lo antes posible.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11.1.5 Se eliminarán los frutos que presenten síntomas con presencia de patógenos causantes de podredumbres.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11.1.6 En caso de que la manipulación se realice en el campo, retirar diariamente las cajas que sobren cuando haya algún riesgo de contaminación.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11.1.7 Mantener el equipo de recolección en condiciones adecuadas de utilización.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11.1.8 Todos los operadores que quieran obtener la certificación o bien comercializar productos con la identificación de garantía de producción integrada se tendrán que acoger a un programa de autocontrol individual o colectivo, de acuerdo con lo que prevé el artículo 35 de esta norma, durante la recolección y/o elaboración para analizar la posible presencia de residuos de productos fitosanitarios, y en base a lo que establezcan los artículos 12 (f) y 13 (g) del Decreto 241/2002, con el objetivo de garantizar que se han utilizado exclusivamente las materias activas seleccionadas en la estrategia de producción integrada, y que se cumple con lo que establece la legislación española en relación con los límites máximos de residuos (LMR) de productos fitosanitarios.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11.1.9 Para producciones dirigidas a otros mercados diferentes al nacional, se verificará si cumplen la legislación establecida en el lugar</w:t>
      </w:r>
      <w:r w:rsidRPr="00993936">
        <w:rPr>
          <w:rFonts w:ascii="Arial" w:hAnsi="Arial" w:cs="Arial"/>
          <w:vanish/>
          <w:lang w:val="es-ES"/>
        </w:rPr>
        <w:t>&lt;A[lugar|sitio]&gt;</w:t>
      </w:r>
      <w:r w:rsidRPr="00993936">
        <w:rPr>
          <w:rFonts w:ascii="Arial" w:hAnsi="Arial" w:cs="Arial"/>
          <w:lang w:val="es-ES"/>
        </w:rPr>
        <w:t xml:space="preserve"> de destino con respecto al contenido de residuos.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11.1.10 Los operadores tendrán que recibir instrucciones básicas sobre higiene y tendrán que conocer la obligación de comunicar cualquier enfermedad contagiosa que pueda incapacitarlos para realizar este trabajo.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11.1.11 Almacenar los embalajes de forma que se evite la contaminación por plagas y/o enfermedades.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11.1.12 Controlar que los envases reciclables estén limpios</w:t>
      </w:r>
      <w:r w:rsidRPr="00993936">
        <w:rPr>
          <w:rFonts w:ascii="Arial" w:hAnsi="Arial" w:cs="Arial"/>
          <w:vanish/>
          <w:lang w:val="es-ES"/>
        </w:rPr>
        <w:t>&lt;A[limpios|netos]&gt;</w:t>
      </w:r>
      <w:r w:rsidRPr="00993936">
        <w:rPr>
          <w:rFonts w:ascii="Arial" w:hAnsi="Arial" w:cs="Arial"/>
          <w:lang w:val="es-ES"/>
        </w:rPr>
        <w:t xml:space="preserve"> y no tengan materiales extraños que puedan perjudicar al producto y/o la salud del consumidor.</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11.1.13 Los envases de campo tendrán que llevar</w:t>
      </w:r>
      <w:r w:rsidRPr="00993936">
        <w:rPr>
          <w:rFonts w:ascii="Arial" w:hAnsi="Arial" w:cs="Arial"/>
          <w:vanish/>
          <w:lang w:val="es-ES"/>
        </w:rPr>
        <w:t>&lt;A[llevar|traer]&gt;</w:t>
      </w:r>
      <w:r w:rsidRPr="00993936">
        <w:rPr>
          <w:rFonts w:ascii="Arial" w:hAnsi="Arial" w:cs="Arial"/>
          <w:lang w:val="es-ES"/>
        </w:rPr>
        <w:t xml:space="preserve"> una identificación inequívoca de la parcela de procedencia, de la variedad y del tipo de producción.</w:t>
      </w:r>
      <w:r w:rsidRPr="00993936">
        <w:rPr>
          <w:rFonts w:ascii="Arial" w:hAnsi="Arial" w:cs="Arial"/>
          <w:i/>
          <w:u w:val="single"/>
          <w:lang w:val="es-ES"/>
        </w:rPr>
        <w:t xml:space="preserve">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12</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Cuaderno de explotación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12.1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 xml:space="preserve">12.1.1 El modelo de Cuaderno de explotación es único con respecto al contenido de los datos a registrar, y será aprobado por el Departamento de Agricultura, Ganadería, Pesca y Alimentación.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12.1.2 El productor de producción integrada, mediante su firma, se responsabilizará de la veracidad de las anotaciones realizadas en el Cuaderno de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12.1.3 El Cuaderno de explotación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12.1.4 El Cuaderno de explotación estará controlado y supervisado periódicamente por el técnico responsable de producción integrada y, a fin de que quede constancia, se registrará la fecha y la firma en cada revisión.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Normas de calidad</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13.1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13.1.1 Las categorías de frutos secos amparadas por la denominación Producción Integrada serán todas las categorías establecidas de acuerdo con las características que define la normativa vigente, relativas a normas de calidad y otros aspectos referentes a la comercialización. Cada variedad tendrá unas características mínimas de calidad interna y externa para que pueda ser comercializada como frutos secos de producción integrada.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II.  INSTALACIONS, EQUIPOS, PERSONAL, TRANSPORTE Y ALMACENAMIENTO</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Instalaciones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14.1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14.1.1  Las instalaciones, incluidos los baños, los equipos y el entorno productivo deben estar en un estado de orden y de limpieza adecuado.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14.1.2 Todas las instalaciones deben estar ventiladas, iluminadas y con sistemas de desagües adecuados para las actividades que desarrollen.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14.1.3  Existirán zonas diferentes para el almacenamiento de productos y para los envases vacíos.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14.1.4  Los productos químicos deben estar almacenados en un lugar</w:t>
      </w:r>
      <w:r w:rsidRPr="00993936">
        <w:rPr>
          <w:rFonts w:ascii="Arial" w:hAnsi="Arial" w:cs="Arial"/>
          <w:vanish/>
          <w:lang w:val="es-ES"/>
        </w:rPr>
        <w:t>&lt;A[lugar|sitio]&gt;</w:t>
      </w:r>
      <w:r w:rsidRPr="00993936">
        <w:rPr>
          <w:rFonts w:ascii="Arial" w:hAnsi="Arial" w:cs="Arial"/>
          <w:lang w:val="es-ES"/>
        </w:rPr>
        <w:t xml:space="preserve"> que se pueda cerrar y debidamente señalizado. El acceso al lugar</w:t>
      </w:r>
      <w:r w:rsidRPr="00993936">
        <w:rPr>
          <w:rFonts w:ascii="Arial" w:hAnsi="Arial" w:cs="Arial"/>
          <w:vanish/>
          <w:lang w:val="es-ES"/>
        </w:rPr>
        <w:t>&lt;A[lugar|sitio]&gt;</w:t>
      </w:r>
      <w:r w:rsidRPr="00993936">
        <w:rPr>
          <w:rFonts w:ascii="Arial" w:hAnsi="Arial" w:cs="Arial"/>
          <w:lang w:val="es-ES"/>
        </w:rPr>
        <w:t xml:space="preserve"> de almacenamiento de productos químicos, así como su manipulación, sólo les podrá realizar el personal designado por la persona operadora.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14.1.5  Los productos químicos almacenados deben estar etiquetados correctamente y autorizados para usar en la industria alimenticia.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Higiene y mantenimiento de las instalaciones y equipos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 xml:space="preserve">15.1 </w:t>
      </w:r>
      <w:r w:rsidRPr="00993936">
        <w:rPr>
          <w:rFonts w:ascii="Arial" w:hAnsi="Arial" w:cs="Arial"/>
          <w:i/>
          <w:lang w:val="es-ES"/>
        </w:rPr>
        <w:t>Obligaciones</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15.1.1 Cada persona operadora tiene que disponer de un plan</w:t>
      </w:r>
      <w:r w:rsidRPr="00993936">
        <w:rPr>
          <w:rFonts w:ascii="Arial" w:hAnsi="Arial" w:cs="Arial"/>
          <w:vanish/>
          <w:lang w:val="es-ES"/>
        </w:rPr>
        <w:t>&lt;A[plan|plano]&gt;</w:t>
      </w:r>
      <w:r w:rsidRPr="00993936">
        <w:rPr>
          <w:rFonts w:ascii="Arial" w:hAnsi="Arial" w:cs="Arial"/>
          <w:lang w:val="es-ES"/>
        </w:rPr>
        <w:t xml:space="preserve"> general de limpieza y de desinfección detallado de las instalaciones, los equipos, las líneas de manipulación, el almacenamiento, el envasado y las cámaras frigoríficas, con la finalidad que en todo momento estén en buen estado de conservación. El plan</w:t>
      </w:r>
      <w:r w:rsidRPr="00993936">
        <w:rPr>
          <w:rFonts w:ascii="Arial" w:hAnsi="Arial" w:cs="Arial"/>
          <w:vanish/>
          <w:lang w:val="es-ES"/>
        </w:rPr>
        <w:t>&lt;A[plan|plano]&gt;</w:t>
      </w:r>
      <w:r w:rsidRPr="00993936">
        <w:rPr>
          <w:rFonts w:ascii="Arial" w:hAnsi="Arial" w:cs="Arial"/>
          <w:lang w:val="es-ES"/>
        </w:rPr>
        <w:t xml:space="preserve"> tendrá que prever:</w:t>
      </w:r>
    </w:p>
    <w:p w:rsidR="00503A41" w:rsidRPr="00993936" w:rsidRDefault="00503A41" w:rsidP="009D1A2D">
      <w:pPr>
        <w:pStyle w:val="Sinespaciado"/>
        <w:numPr>
          <w:ilvl w:val="0"/>
          <w:numId w:val="168"/>
        </w:numPr>
        <w:jc w:val="both"/>
        <w:rPr>
          <w:rFonts w:ascii="Arial" w:hAnsi="Arial" w:cs="Arial"/>
          <w:lang w:val="es-ES"/>
        </w:rPr>
      </w:pPr>
      <w:r w:rsidRPr="00993936">
        <w:rPr>
          <w:rFonts w:ascii="Arial" w:hAnsi="Arial" w:cs="Arial"/>
          <w:lang w:val="es-ES"/>
        </w:rPr>
        <w:t>Las instalaciones y la maquinaria de la línea de confección se limpiarán y se desinfectarán al inicio de la campaña y al menos una vez al mes en el periodo de funcionamiento.</w:t>
      </w:r>
    </w:p>
    <w:p w:rsidR="00503A41" w:rsidRPr="00993936" w:rsidRDefault="00503A41" w:rsidP="009D1A2D">
      <w:pPr>
        <w:pStyle w:val="Sinespaciado"/>
        <w:numPr>
          <w:ilvl w:val="0"/>
          <w:numId w:val="168"/>
        </w:numPr>
        <w:jc w:val="both"/>
        <w:rPr>
          <w:rFonts w:ascii="Arial" w:hAnsi="Arial" w:cs="Arial"/>
          <w:lang w:val="es-ES"/>
        </w:rPr>
      </w:pPr>
      <w:r w:rsidRPr="00993936">
        <w:rPr>
          <w:rFonts w:ascii="Arial" w:hAnsi="Arial" w:cs="Arial"/>
          <w:lang w:val="es-ES"/>
        </w:rPr>
        <w:t>Los envases se limpiarán y desinfectarán como mínimo una vez al año.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15.1.2 Cada persona operadora dispondrá de un plan</w:t>
      </w:r>
      <w:r w:rsidRPr="00993936">
        <w:rPr>
          <w:rFonts w:ascii="Arial" w:hAnsi="Arial" w:cs="Arial"/>
          <w:vanish/>
          <w:lang w:val="es-ES"/>
        </w:rPr>
        <w:t>&lt;A[plan|plano]&gt;</w:t>
      </w:r>
      <w:r w:rsidRPr="00993936">
        <w:rPr>
          <w:rFonts w:ascii="Arial" w:hAnsi="Arial" w:cs="Arial"/>
          <w:lang w:val="es-ES"/>
        </w:rPr>
        <w:t xml:space="preserve"> de limpieza, desinfección y desratización, practicado por un equipo con autorización legal para esta finalidad. El plan</w:t>
      </w:r>
      <w:r w:rsidRPr="00993936">
        <w:rPr>
          <w:rFonts w:ascii="Arial" w:hAnsi="Arial" w:cs="Arial"/>
          <w:vanish/>
          <w:lang w:val="es-ES"/>
        </w:rPr>
        <w:t>&lt;A[plan|plano]&gt;</w:t>
      </w:r>
      <w:r w:rsidRPr="00993936">
        <w:rPr>
          <w:rFonts w:ascii="Arial" w:hAnsi="Arial" w:cs="Arial"/>
          <w:lang w:val="es-ES"/>
        </w:rPr>
        <w:t xml:space="preserve"> contendrá, al menos, la información siguiente: identificación del equipo de trabajo, trabajos y su frecuencia, material y productos que se utilizarán y método de aplicación. Los cebos deben estar señalizados y numerados debidamente, y tiene que existir un plano de señalización. </w:t>
      </w:r>
      <w:r w:rsidRPr="00993936">
        <w:rPr>
          <w:rFonts w:ascii="Arial" w:hAnsi="Arial" w:cs="Arial"/>
          <w:lang w:val="es-ES"/>
        </w:rPr>
        <w:tab/>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15.1.3 Evitar oberturas y ventanas e instalar elementos que impidan la entrada de insectos, pájaros y otros animales en las instalaciones.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15.1.4 Las instalaciones, los equipos y las herramientas estarán en buen estado de conservación mediante un adecuado plan</w:t>
      </w:r>
      <w:r w:rsidRPr="00993936">
        <w:rPr>
          <w:rFonts w:ascii="Arial" w:hAnsi="Arial" w:cs="Arial"/>
          <w:vanish/>
          <w:lang w:val="es-ES"/>
        </w:rPr>
        <w:t>&lt;A[plan|plano]&gt;</w:t>
      </w:r>
      <w:r w:rsidRPr="00993936">
        <w:rPr>
          <w:rFonts w:ascii="Arial" w:hAnsi="Arial" w:cs="Arial"/>
          <w:lang w:val="es-ES"/>
        </w:rPr>
        <w:t xml:space="preserve"> de mantenimiento.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15.1.5 La persona operadora tiene que tomar las medidas necesarias para evitar el contacto de los productos con sustancias químicas, aguas no potables u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15.1.6 Los recipientes de evacuación de residuos serán exclusivamente para esta finalidad y se limpiarán periódicamente, de acuerdo con el plan</w:t>
      </w:r>
      <w:r w:rsidRPr="00993936">
        <w:rPr>
          <w:rFonts w:ascii="Arial" w:hAnsi="Arial" w:cs="Arial"/>
          <w:vanish/>
          <w:lang w:val="es-ES"/>
        </w:rPr>
        <w:t>&lt;A[plan|plano]&gt;</w:t>
      </w:r>
      <w:r w:rsidRPr="00993936">
        <w:rPr>
          <w:rFonts w:ascii="Arial" w:hAnsi="Arial" w:cs="Arial"/>
          <w:lang w:val="es-ES"/>
        </w:rPr>
        <w:t xml:space="preserve"> de limpieza establecido.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15.1.7 La persona operadora tiene que disponer de un plan</w:t>
      </w:r>
      <w:r w:rsidRPr="00993936">
        <w:rPr>
          <w:rFonts w:ascii="Arial" w:hAnsi="Arial" w:cs="Arial"/>
          <w:vanish/>
          <w:lang w:val="es-ES"/>
        </w:rPr>
        <w:t>&lt;A[plan|plano]&gt;</w:t>
      </w:r>
      <w:r w:rsidRPr="00993936">
        <w:rPr>
          <w:rFonts w:ascii="Arial" w:hAnsi="Arial" w:cs="Arial"/>
          <w:lang w:val="es-ES"/>
        </w:rPr>
        <w:t xml:space="preserve"> de mantenimiento de las instalaciones, de los equipos y de las herramientas, a fin de que en todo momento estén en buen estado de conservación.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15.1.8 Proceder a la desinfección total de la central como mínimo una vez al año.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15.2.1</w:t>
      </w:r>
      <w:r w:rsidRPr="00993936">
        <w:rPr>
          <w:rFonts w:ascii="Arial" w:hAnsi="Arial" w:cs="Arial"/>
          <w:b/>
          <w:lang w:val="es-ES"/>
        </w:rPr>
        <w:t xml:space="preserve"> </w:t>
      </w:r>
      <w:r w:rsidRPr="00993936">
        <w:rPr>
          <w:rFonts w:ascii="Arial" w:hAnsi="Arial" w:cs="Arial"/>
          <w:lang w:val="es-ES"/>
        </w:rPr>
        <w:t>Utilizar carretillas</w:t>
      </w:r>
      <w:r w:rsidRPr="00993936">
        <w:rPr>
          <w:rFonts w:ascii="Arial" w:hAnsi="Arial" w:cs="Arial"/>
          <w:vanish/>
          <w:lang w:val="es-ES"/>
        </w:rPr>
        <w:t>&lt;A[carretillas|carretones]&gt;</w:t>
      </w:r>
      <w:r w:rsidRPr="00993936">
        <w:rPr>
          <w:rFonts w:ascii="Arial" w:hAnsi="Arial" w:cs="Arial"/>
          <w:lang w:val="es-ES"/>
        </w:rPr>
        <w:t xml:space="preserve"> elevadoras de gasóleo dentro de la central.</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Artículo 16</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 xml:space="preserve">Equipos de tratamientos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16.1 </w:t>
      </w:r>
      <w:r w:rsidRPr="00993936">
        <w:rPr>
          <w:rFonts w:ascii="Arial" w:hAnsi="Arial" w:cs="Arial"/>
          <w:i/>
          <w:snapToGrid w:val="0"/>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16.1.1 La maquinaria utilizada para los tratamientos fitosanitarios, abonos</w:t>
      </w:r>
      <w:r w:rsidRPr="00993936">
        <w:rPr>
          <w:rFonts w:ascii="Arial" w:hAnsi="Arial" w:cs="Arial"/>
          <w:vanish/>
          <w:lang w:val="es-ES"/>
        </w:rPr>
        <w:t>&lt;A[abonos|adobos]&gt;</w:t>
      </w:r>
      <w:r w:rsidRPr="00993936">
        <w:rPr>
          <w:rFonts w:ascii="Arial" w:hAnsi="Arial" w:cs="Arial"/>
          <w:lang w:val="es-ES"/>
        </w:rPr>
        <w:t xml:space="preserve"> foliares y otros similares tiene que estar en buen estado de funcionamiento y someterse a una revisión y calibrado periódico. La persona operadora tiene que realizar una revisión y uno calibrado cada año validado or el/la la técnico/a responsable de producción integrada, y además una vez cada cuatro años tiene que ser inspeccionada por un centro oficial o reconocido, de conformidad con las disposiciones vigentes en materia. La inspección se efectuará de conformidad </w:t>
      </w:r>
      <w:r w:rsidRPr="00993936">
        <w:rPr>
          <w:rFonts w:ascii="Arial" w:hAnsi="Arial" w:cs="Arial"/>
          <w:snapToGrid w:val="0"/>
          <w:lang w:val="es-ES"/>
        </w:rPr>
        <w:t>con las normas de inspección de pulverizadores EN 13790/1 y 2, de seguridad UNE-EN-907 y de protección medioambiental UNO-EN 12761/1,2 y 3</w:t>
      </w:r>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En caso de contratar servicios externos, la persona productora les exigirá estar al corriente de las inspecciones y los calibrados estipulados a la legislación vigente de aplicación.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16.1.2 Antes de cada tratamiento hará falta regular la máquina en función del estado de la plantación o cultivo y de la plaga o enfermedad a combatir.</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16.1.3 Utilizar maquinaria correctamente adaptada a la aplicación de herbicidas a la línea de la plantación.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16.1.4 Realizar revisiones periódicas de los elementos de protección y seguridad de los equipos de tratamiento, procurando un buen mantenimiento y uno calibrado esmerado.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16.1.5  Cuando los equipos no se utilicen se deben mantener limpios</w:t>
      </w:r>
      <w:r w:rsidRPr="00993936">
        <w:rPr>
          <w:rFonts w:ascii="Arial" w:hAnsi="Arial" w:cs="Arial"/>
          <w:vanish/>
          <w:lang w:val="es-ES"/>
        </w:rPr>
        <w:t>&lt;A[limpios|netos]&gt;</w:t>
      </w:r>
      <w:r w:rsidRPr="00993936">
        <w:rPr>
          <w:rFonts w:ascii="Arial" w:hAnsi="Arial" w:cs="Arial"/>
          <w:lang w:val="es-ES"/>
        </w:rPr>
        <w:t xml:space="preserve"> y no deben contener productos fitosanitarios.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16.2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16.2.1 La utilización de equipos de tratamiento que tengan carencias graves en elementos de seguridad, de protección y de funcionamiento.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16.3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16.3.1 Los pulverizadores nuevos corresponderán a modelos certificados del Programa de Control de Características de Maquinaria de Tratamientos del </w:t>
      </w:r>
      <w:r w:rsidRPr="00993936">
        <w:rPr>
          <w:rFonts w:ascii="Arial" w:hAnsi="Arial" w:cs="Arial"/>
          <w:snapToGrid w:val="0"/>
          <w:lang w:val="es-ES"/>
        </w:rPr>
        <w:lastRenderedPageBreak/>
        <w:t>Departamento de Agricultura, Ganadería, Pesca y Alimentación, o por</w:t>
      </w:r>
      <w:r w:rsidRPr="00993936">
        <w:rPr>
          <w:rFonts w:ascii="Arial" w:hAnsi="Arial" w:cs="Arial"/>
          <w:snapToGrid w:val="0"/>
          <w:vanish/>
          <w:lang w:val="es-ES"/>
        </w:rPr>
        <w:t>&lt;A[para|por]&gt;</w:t>
      </w:r>
      <w:r w:rsidRPr="00993936">
        <w:rPr>
          <w:rFonts w:ascii="Arial" w:hAnsi="Arial" w:cs="Arial"/>
          <w:snapToGrid w:val="0"/>
          <w:lang w:val="es-ES"/>
        </w:rPr>
        <w:t xml:space="preserve"> otros programas oficiales de control.</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Artículo 17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Equipos de protección</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17.1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17.1.1  La persona que manipule los productos fitosanitarios tiene que utilizar un equipo adecuado para la protección personal, de acuerdo con la legislación vigente de aplicación y las indicaciones de las etiquetas de cada producto.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17.1.2  La ropa y el equipo se almacenarán de manera que no entren en contacto con los productos fitosanitarios.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Personal </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18.1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18.1.1 Dar instrucciones a los trabajadores y a las trabajadoras que, en caso de sufrir enfermedades de transmisión alimenticia, o estar afectados, entre otras patologías, de heridas infectadas, infecciones cutáneas o diarreas, deben informar a la dirección.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18.1.2 Documentar los procedimientos de actuación en caso de accidentes o de emergencias de forma que sean comprensibles para las personas afectadas.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18.1.3  Disponer de botiquines de primeros auxilios accesibles para los trabajadores.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18.1.4  Fomentar la formación del personal del almacén en materia de buenas prácticas de higiene y seguridad alimenticia, y conservar un registro de las actividades formativas que ha impartido la persona operadora o una entidad externa autorizada.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18.1.5  Elaborar instrucciones para los trabajadores en las cuales se consideren los aspectos higiénicos que se deben respetar en cada puesto de trabajo, y de acuerdo con las características de la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18.1.6 Disponer de un Plan</w:t>
      </w:r>
      <w:r w:rsidRPr="00993936">
        <w:rPr>
          <w:rFonts w:ascii="Arial" w:hAnsi="Arial" w:cs="Arial"/>
          <w:vanish/>
          <w:lang w:val="es-ES"/>
        </w:rPr>
        <w:t>&lt;A[Plan|Plano]&gt;</w:t>
      </w:r>
      <w:r w:rsidRPr="00993936">
        <w:rPr>
          <w:rFonts w:ascii="Arial" w:hAnsi="Arial" w:cs="Arial"/>
          <w:lang w:val="es-ES"/>
        </w:rPr>
        <w:t xml:space="preserve"> de prevención de riesgos laborales y un Plan</w:t>
      </w:r>
      <w:r w:rsidRPr="00993936">
        <w:rPr>
          <w:rFonts w:ascii="Arial" w:hAnsi="Arial" w:cs="Arial"/>
          <w:vanish/>
          <w:lang w:val="es-ES"/>
        </w:rPr>
        <w:t>&lt;A[Plan|Plano]&gt;</w:t>
      </w:r>
      <w:r w:rsidRPr="00993936">
        <w:rPr>
          <w:rFonts w:ascii="Arial" w:hAnsi="Arial" w:cs="Arial"/>
          <w:lang w:val="es-ES"/>
        </w:rPr>
        <w:t xml:space="preserve"> de APPCC (Análisis de Peligros y Puntos Críticos) implantado y aprobado, si procede</w:t>
      </w:r>
      <w:r w:rsidRPr="00993936">
        <w:rPr>
          <w:rFonts w:ascii="Arial" w:hAnsi="Arial" w:cs="Arial"/>
          <w:vanish/>
          <w:lang w:val="es-ES"/>
        </w:rPr>
        <w:t>&lt;A[pega|ocurre]&gt;</w:t>
      </w:r>
      <w:r w:rsidRPr="00993936">
        <w:rPr>
          <w:rFonts w:ascii="Arial" w:hAnsi="Arial" w:cs="Arial"/>
          <w:lang w:val="es-ES"/>
        </w:rPr>
        <w:t>, por</w:t>
      </w:r>
      <w:r w:rsidRPr="00993936">
        <w:rPr>
          <w:rFonts w:ascii="Arial" w:hAnsi="Arial" w:cs="Arial"/>
          <w:vanish/>
          <w:lang w:val="es-ES"/>
        </w:rPr>
        <w:t>&lt;A[para|por]&gt;</w:t>
      </w:r>
      <w:r w:rsidRPr="00993936">
        <w:rPr>
          <w:rFonts w:ascii="Arial" w:hAnsi="Arial" w:cs="Arial"/>
          <w:lang w:val="es-ES"/>
        </w:rPr>
        <w:t xml:space="preserve"> la autoridad competente.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Artículo 19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Transporte del producto vegetal y contenedores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19.1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  Los receptáculos y contenedores de los vehículos utilizados para transportar los productos vegetales deben estar limpios</w:t>
      </w:r>
      <w:r w:rsidRPr="00993936">
        <w:rPr>
          <w:rFonts w:ascii="Arial" w:hAnsi="Arial" w:cs="Arial"/>
          <w:vanish/>
          <w:lang w:val="es-ES"/>
        </w:rPr>
        <w:t>&lt;A[limpios|netos]&gt;</w:t>
      </w:r>
      <w:r w:rsidRPr="00993936">
        <w:rPr>
          <w:rFonts w:ascii="Arial" w:hAnsi="Arial" w:cs="Arial"/>
          <w:lang w:val="es-ES"/>
        </w:rPr>
        <w:t xml:space="preserve"> y en condiciones adecuadas de mantenimiento, para protegerlos de la contaminación. Su forma y composición deben permitir una limpieza y desinfección adecuadas.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19.1.2  Cuando se utilizan los receptáculos de vehículos o contenedores para transportar una carga diferente de productos vegetales o de productos alimentarios, se tiene que realitzar una limpieza eficaz entre las cargas para evitar el riesgo de contaminación.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19.1.3 Conservar limpios</w:t>
      </w:r>
      <w:r w:rsidRPr="00993936">
        <w:rPr>
          <w:rFonts w:ascii="Arial" w:hAnsi="Arial" w:cs="Arial"/>
          <w:vanish/>
          <w:lang w:val="es-ES"/>
        </w:rPr>
        <w:t>&lt;A[limpios|netos]&gt;</w:t>
      </w:r>
      <w:r w:rsidRPr="00993936">
        <w:rPr>
          <w:rFonts w:ascii="Arial" w:hAnsi="Arial" w:cs="Arial"/>
          <w:lang w:val="es-ES"/>
        </w:rPr>
        <w:t xml:space="preserve"> los cajones y recipientes utilizados para transportar y recolectar los productos vegetales y desinfectarlos cuando haga falta.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Artículo 20</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Almacenamiento de productos fitosanitarios y fertilizantes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20.1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20.1.1 </w:t>
      </w:r>
      <w:r w:rsidRPr="00993936">
        <w:rPr>
          <w:rFonts w:ascii="Arial" w:hAnsi="Arial" w:cs="Arial"/>
          <w:i/>
          <w:lang w:val="es-ES"/>
        </w:rPr>
        <w:t>Condiciones de almacenamiento: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20.1.1.1 Los productos fitosanitarios y fertilizantes tendrán que almacenarse en un lugar</w:t>
      </w:r>
      <w:r w:rsidRPr="00993936">
        <w:rPr>
          <w:rFonts w:ascii="Arial" w:hAnsi="Arial" w:cs="Arial"/>
          <w:vanish/>
          <w:lang w:val="es-ES"/>
        </w:rPr>
        <w:t>&lt;A[lugar|sitio]&gt;</w:t>
      </w:r>
      <w:r w:rsidRPr="00993936">
        <w:rPr>
          <w:rFonts w:ascii="Arial" w:hAnsi="Arial" w:cs="Arial"/>
          <w:lang w:val="es-ES"/>
        </w:rPr>
        <w:t xml:space="preserve"> cerrado, separados del material vegetal y de los productos frescos, para evitar cualquier riesgo de contaminación.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20.1.1.2 El almacén dispondrá de llave</w:t>
      </w:r>
      <w:r w:rsidRPr="00993936">
        <w:rPr>
          <w:rFonts w:ascii="Arial" w:hAnsi="Arial" w:cs="Arial"/>
          <w:vanish/>
          <w:lang w:val="es-ES"/>
        </w:rPr>
        <w:t>&lt;A[clave|clavo|llave]&gt;</w:t>
      </w:r>
      <w:r w:rsidRPr="00993936">
        <w:rPr>
          <w:rFonts w:ascii="Arial" w:hAnsi="Arial" w:cs="Arial"/>
          <w:lang w:val="es-ES"/>
        </w:rPr>
        <w:t xml:space="preserve"> y ventilación permanente y suficiente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20.1.1.3  El almacenamiento tiene que disponer de medios para retener posibles derrames</w:t>
      </w:r>
      <w:r w:rsidRPr="00993936">
        <w:rPr>
          <w:rFonts w:ascii="Arial" w:hAnsi="Arial" w:cs="Arial"/>
          <w:vanish/>
          <w:lang w:val="es-ES"/>
        </w:rPr>
        <w:t>&lt;A[derrames|vertidos]&gt;</w:t>
      </w:r>
      <w:r w:rsidRPr="00993936">
        <w:rPr>
          <w:rFonts w:ascii="Arial" w:hAnsi="Arial" w:cs="Arial"/>
          <w:lang w:val="es-ES"/>
        </w:rPr>
        <w:t xml:space="preserve"> accidentales.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20.1.1.4 El lugar</w:t>
      </w:r>
      <w:r w:rsidRPr="00993936">
        <w:rPr>
          <w:rFonts w:ascii="Arial" w:hAnsi="Arial" w:cs="Arial"/>
          <w:vanish/>
          <w:lang w:val="es-ES"/>
        </w:rPr>
        <w:t>&lt;A[lugar|sitio]&gt;</w:t>
      </w:r>
      <w:r w:rsidRPr="00993936">
        <w:rPr>
          <w:rFonts w:ascii="Arial" w:hAnsi="Arial" w:cs="Arial"/>
          <w:lang w:val="es-ES"/>
        </w:rPr>
        <w:t xml:space="preserve"> del almacén tiene que estar debidamente señalizado haciendo una especial insistencia en la prohibición de acceso a personas no autorizadas.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20.1.1.5 En el almacenamiento de productos fitosanitarios se deben tener en cuenta además el resto de obligaciones que establece el artículo 40 del RD 1311/2012.20.1.2 </w:t>
      </w:r>
      <w:r w:rsidRPr="00993936">
        <w:rPr>
          <w:rFonts w:ascii="Arial" w:hAnsi="Arial" w:cs="Arial"/>
          <w:i/>
          <w:lang w:val="es-ES"/>
        </w:rPr>
        <w:t>Almacenamiento de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20.1.2.1 Los fitosanitarios deben mantenerse dentro de su envase original y las etiquetas deben ser perfectamente legibles.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20.1.2.2 Los productos fitosanitarios y fertilizantes deben estar debidamente etiquetados, ordenados y separados físicamente.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20.1.2.3 Los fitosanitarios en polvo deben almacenarse en estantes situados por encima de los líquidos.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20.1.2.4 La conservación de los justificantes de las compras y gastos de los productos fitosanitarios reflejados en el cuaderno de explotación es obligatoria durante tres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20.1.2.5 En caso de existir almacén de productos fitosanitarios y/o fertilizantes en la central hortofrutícola, se aplicarán las obligaciones de la RTS (Reglamentación técnica sanitaria) y las del RD 1311/2012..</w:t>
      </w:r>
    </w:p>
    <w:p w:rsidR="00503A41" w:rsidRPr="00993936" w:rsidRDefault="00503A41" w:rsidP="001D205D">
      <w:pPr>
        <w:pStyle w:val="Sinespaciado"/>
        <w:jc w:val="both"/>
        <w:rPr>
          <w:rFonts w:ascii="Arial" w:hAnsi="Arial" w:cs="Arial"/>
          <w:b/>
        </w:rPr>
      </w:pPr>
      <w:r w:rsidRPr="00993936">
        <w:rPr>
          <w:rFonts w:ascii="Arial" w:hAnsi="Arial" w:cs="Arial"/>
          <w:b/>
        </w:rPr>
        <w:t>20.2</w:t>
      </w:r>
      <w:r w:rsidRPr="00993936">
        <w:rPr>
          <w:rFonts w:ascii="Arial" w:hAnsi="Arial" w:cs="Arial"/>
          <w:b/>
          <w:i/>
        </w:rPr>
        <w:t xml:space="preserve">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20.2.1 No almacenar los productos fitosanitarios ni fertilizantes en contacto con 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20.2.2 Utilizar estantes de almacén de materiales no absorbentes.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20.2.3 No almacenar productos innecesariamente.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Señalización de seguridad</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21.1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21.1.1 Utilizar las señalizaciones que prevee la legislación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21.1.2 En el almacén de productos fitosanitarios deben estar presentes, de manera accesible y legible, las normas generales de actuación en caso de intoxicación y derrame</w:t>
      </w:r>
      <w:r w:rsidRPr="00993936">
        <w:rPr>
          <w:rFonts w:ascii="Arial" w:hAnsi="Arial" w:cs="Arial"/>
          <w:vanish/>
          <w:lang w:val="es-ES"/>
        </w:rPr>
        <w:t>&lt;A[derrame|vertido]&gt;</w:t>
      </w:r>
      <w:r w:rsidRPr="00993936">
        <w:rPr>
          <w:rFonts w:ascii="Arial" w:hAnsi="Arial" w:cs="Arial"/>
          <w:lang w:val="es-ES"/>
        </w:rPr>
        <w:t xml:space="preserve"> accidental, y es obligatorio disponer de los números de teléfono del instituto de Toxicología y de otros organismos que puedan ser competentes en esta materia.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III.CENTRAL Y INDUSTRIA DE TRANSFORMACIÓN Y/O DE ELABORACIÓN Y/O DE CONSERVACIÓN </w:t>
      </w:r>
    </w:p>
    <w:p w:rsidR="00503A41" w:rsidRPr="00993936" w:rsidRDefault="00C8459C" w:rsidP="001D205D">
      <w:pPr>
        <w:pStyle w:val="Sinespaciado"/>
        <w:jc w:val="both"/>
        <w:rPr>
          <w:rFonts w:ascii="Arial" w:hAnsi="Arial" w:cs="Arial"/>
          <w:lang w:val="es-ES"/>
        </w:rPr>
      </w:pPr>
      <w:r>
        <w:rPr>
          <w:rFonts w:ascii="Arial" w:hAnsi="Arial" w:cs="Arial"/>
          <w:lang w:val="es-ES" w:eastAsia="ca-ES"/>
        </w:rPr>
        <w:pict>
          <v:line id="_x0000_s1045" style="position:absolute;left:0;text-align:left;flip:y;z-index:251866112" from="0,-187.7pt" to="0,-178.7pt"/>
        </w:pic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22</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Central e industria de transformación y/o de elaboración y conservación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22.1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22.1.1 Estar inscrita en el Registro sanitario de industrias y productos alimentarios de Cataluña.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22.1.2  Disponer de un Plan</w:t>
      </w:r>
      <w:r w:rsidRPr="00993936">
        <w:rPr>
          <w:rFonts w:ascii="Arial" w:hAnsi="Arial" w:cs="Arial"/>
          <w:vanish/>
          <w:lang w:val="es-ES"/>
        </w:rPr>
        <w:t>&lt;A[Plan|Plano]&gt;</w:t>
      </w:r>
      <w:r w:rsidRPr="00993936">
        <w:rPr>
          <w:rFonts w:ascii="Arial" w:hAnsi="Arial" w:cs="Arial"/>
          <w:lang w:val="es-ES"/>
        </w:rPr>
        <w:t xml:space="preserve"> de prevención de riesgos laborales y de un Plan</w:t>
      </w:r>
      <w:r w:rsidRPr="00993936">
        <w:rPr>
          <w:rFonts w:ascii="Arial" w:hAnsi="Arial" w:cs="Arial"/>
          <w:vanish/>
          <w:lang w:val="es-ES"/>
        </w:rPr>
        <w:t>&lt;A[Plan|Plano]&gt;</w:t>
      </w:r>
      <w:r w:rsidRPr="00993936">
        <w:rPr>
          <w:rFonts w:ascii="Arial" w:hAnsi="Arial" w:cs="Arial"/>
          <w:lang w:val="es-ES"/>
        </w:rPr>
        <w:t xml:space="preserve"> de análisis de peligros y puntos de control críticos (APPCC) implantados y aprobados por</w:t>
      </w:r>
      <w:r w:rsidRPr="00993936">
        <w:rPr>
          <w:rFonts w:ascii="Arial" w:hAnsi="Arial" w:cs="Arial"/>
          <w:vanish/>
          <w:lang w:val="es-ES"/>
        </w:rPr>
        <w:t>&lt;A[para|por]&gt;</w:t>
      </w:r>
      <w:r w:rsidRPr="00993936">
        <w:rPr>
          <w:rFonts w:ascii="Arial" w:hAnsi="Arial" w:cs="Arial"/>
          <w:lang w:val="es-ES"/>
        </w:rPr>
        <w:t xml:space="preserve"> los organismos competentes en razón de la materia.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22.1.3  En caso de almacenarse productos fitosanitarios y/o fertilizantes en la central o en la industria de transformación, se aplicarán las obligaciones que establecen los artículos 7 y 20 de esta Norma.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22.1.4  Aplicar métodos o técnicas que permitan mantener intacta la calidad del producto, conservar la integridad y asegurar la respiración, si favorece la conservación de las características organolépticas.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22.1.5 Todas las máquinas, los recipientes, los elementos de transporte, los envases y los lugares</w:t>
      </w:r>
      <w:r w:rsidRPr="00993936">
        <w:rPr>
          <w:rFonts w:ascii="Arial" w:hAnsi="Arial" w:cs="Arial"/>
          <w:vanish/>
          <w:lang w:val="es-ES"/>
        </w:rPr>
        <w:t>&lt;A[lugares|sitios]&gt;</w:t>
      </w:r>
      <w:r w:rsidRPr="00993936">
        <w:rPr>
          <w:rFonts w:ascii="Arial" w:hAnsi="Arial" w:cs="Arial"/>
          <w:lang w:val="es-ES"/>
        </w:rPr>
        <w:t xml:space="preserve"> de almacenamiento deben reunir las condiciones siguientes: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22.1.5.1 No transmitir a los productos con los cuales entren en contacto sustancias tóxicas o que puedan contaminar, ni originar reacciones químicas perjudiciales.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22.1.5.2 No alterar las características de composición y los caracteres organolépticos de los productos.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Artículo 23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Transporte y recepción en la central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23.1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23.1.1 Los vehículos que lleguen a las instalaciones deben estar en condiciones de higiene adecuadas y cargados exclusivamente con productos vegetales.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23.1.2  Habrá una separación física, definida y señalizada, de los productos vegetales que procedan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23.1.3 Realizar una inspección visual de las partidas de productos vegetales cuando lleguen a la recepción, establecer un sistema de verificación de la calidad de los productos que entran. Habrá un registro de incidencias En caso de incumplimiento. Las partidas que no cumplan los requisitos anteriores se dejarán de considerar como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23.1.4  Antes de cargar todos los elementos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olores y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23.2.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23.2.1 Almacenar productos químicos y desperdicios en la zona de recepción de productos vegetales.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Tratamientos de postrecolección y lavado </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24.1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24.1.1  Anteponer los métodos físicos o productos naturales a los productos de síntesis. Los métodos químicos sólo se permitirán cuando esté técnicamente justificado. En este supuesto sólo se pueden utilizar materias activas autorizadas para producción integrada, con los mismos criterios señalados para los productos fitosanitarios.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24.1.2 Para tratar con productos químicos de síntesis se utilizarán, de entre los autorizados en producción integrada, los que tengan un perfil toxicológico más favorable y, de entre estos, los que sus límites máximos de residuos estén armonizados a nivel comunitario.</w:t>
      </w:r>
    </w:p>
    <w:p w:rsidR="00503A41" w:rsidRPr="00993936" w:rsidRDefault="00503A41" w:rsidP="001D205D">
      <w:pPr>
        <w:pStyle w:val="Sinespaciado"/>
        <w:jc w:val="both"/>
        <w:rPr>
          <w:rFonts w:ascii="Arial" w:hAnsi="Arial" w:cs="Arial"/>
          <w:u w:val="single"/>
          <w:lang w:val="es-ES"/>
        </w:rPr>
      </w:pPr>
      <w:r w:rsidRPr="00993936">
        <w:rPr>
          <w:rFonts w:ascii="Arial" w:hAnsi="Arial" w:cs="Arial"/>
          <w:lang w:val="es-ES"/>
        </w:rPr>
        <w:t>24.1.3 Todas las aplicaciones en los tratamientos postrecolección se deben registrar en el Cuaderno de conservación y/o postcosecha/postrecolección indicando en las anotaciones, como mínimo, los datos siguientes: fecha de aplicación, especie y/o variedad, la justificación de la aplicación, producto, sustancia activa y cantidad aplicada y el sistema que se ha utilizado para la aplicación.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24.1.4 La manipulación de los productos se tendrá que hacer por series completas separadas físicamente o en el tiempo de operaciones de productos no obtenidos bajo normas de producción integrada, con la finalidad de evitar superposiciones y contaminaciones y asegurar la trazabilidad.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24.1.5 Cuando</w:t>
      </w:r>
      <w:r w:rsidRPr="00993936">
        <w:rPr>
          <w:rFonts w:ascii="Arial" w:hAnsi="Arial" w:cs="Arial"/>
          <w:vanish/>
          <w:lang w:val="es-ES"/>
        </w:rPr>
        <w:t>&lt;A[Cuando|Cuándo]&gt;</w:t>
      </w:r>
      <w:r w:rsidRPr="00993936">
        <w:rPr>
          <w:rFonts w:ascii="Arial" w:hAnsi="Arial" w:cs="Arial"/>
          <w:lang w:val="es-ES"/>
        </w:rPr>
        <w:t xml:space="preserve"> se recircule el agua del lavado de los productos, se tiene que filtrar y tratar de manera que no comprometa la salubridad de los productos.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24.2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24.2.1 Utilizar para el lavado de los productos vegetales, aguas no potables, de acuerdo con la normativa vigente, y para el resto de usos las que superen los parámetros establecidos en la normativa de aplicación.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24.2.2 El uso de aditivos o coadyuvantes tecnológicos que no estén contemplados en esta norma.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Proceso de transformación y elaboración de frutos secos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25.1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25.1.1  Todos los frutos que se utilicen para la elaboración del producto transformado tendrán que cumplir las condiciones establecidas por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25.1.2  Los tratamientos que se realicen y los coadyuvantes que se utilicen, deben estar autorizados e incluidos en los anexos de esta norma.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Almacenamiento de los productos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26.1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26.1.1 Almacenar los productos mediante procedimientos que garanticen la mejor calidad posible.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26.1.2 Eliminar todos los frutos que presenten síntomas de presencia de patógenos causantes de podredumbres.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26.1.3 Realizar la limpieza, la desinfección y la lucha contra los parásitos de los lugares</w:t>
      </w:r>
      <w:r w:rsidRPr="00993936">
        <w:rPr>
          <w:rFonts w:ascii="Arial" w:hAnsi="Arial" w:cs="Arial"/>
          <w:vanish/>
          <w:lang w:val="es-ES"/>
        </w:rPr>
        <w:t>&lt;A[lugares|sitios]&gt;</w:t>
      </w:r>
      <w:r w:rsidRPr="00993936">
        <w:rPr>
          <w:rFonts w:ascii="Arial" w:hAnsi="Arial" w:cs="Arial"/>
          <w:lang w:val="es-ES"/>
        </w:rPr>
        <w:t xml:space="preserve"> del almacenamiento de manera que no se produzca ningún tipo de contaminación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26.1.4  Establecer en los almacenes una separación clara y definida de los productos procedentes de cultivos de producción integrada de otros productos convencionales, indicando, en caso de coexistir ambos tipos de productos, en un croquis su situación dentro de cada almacén. Las recipientes, cajas y palets tendrán que estar identificados debidamente y colocados de forma que se pueda ver claramente la identificación de manera que permita un recuento fácil.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26.1.5 Mantener limpios</w:t>
      </w:r>
      <w:r w:rsidRPr="00993936">
        <w:rPr>
          <w:rFonts w:ascii="Arial" w:hAnsi="Arial" w:cs="Arial"/>
          <w:vanish/>
          <w:lang w:val="es-ES"/>
        </w:rPr>
        <w:t>&lt;A[limpios|netos]&gt;</w:t>
      </w:r>
      <w:r w:rsidRPr="00993936">
        <w:rPr>
          <w:rFonts w:ascii="Arial" w:hAnsi="Arial" w:cs="Arial"/>
          <w:lang w:val="es-ES"/>
        </w:rPr>
        <w:t xml:space="preserve"> los recipientes utilizados en el almacenamiento de los productos vegetales. Como norma general, todos los elementos que puedan afectar a la condición del producto se limpiarán cuando se inicie la utilización y se desinfectarán cuando sea conveniente, en cualquier caso al menos una vez</w:t>
      </w:r>
      <w:r w:rsidRPr="00993936">
        <w:rPr>
          <w:rFonts w:ascii="Arial" w:hAnsi="Arial" w:cs="Arial"/>
          <w:vanish/>
          <w:lang w:val="es-ES"/>
        </w:rPr>
        <w:t>&lt;A[vez|golpe]&gt;</w:t>
      </w:r>
      <w:r w:rsidRPr="00993936">
        <w:rPr>
          <w:rFonts w:ascii="Arial" w:hAnsi="Arial" w:cs="Arial"/>
          <w:lang w:val="es-ES"/>
        </w:rPr>
        <w:t xml:space="preserve"> el año.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26.2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26.2.1 La utilización de productos químicos de síntesis para la lucha de plagas y parásitos del almacén, salvo los casos que estén justificados técnicamente donde se utilizarán sustancias activas autorizadas en producción integrada.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26.2.2 Almacenar productos químicos o desperdicios en la zona de almacenamiento de los productos envasados.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Conservación</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27.1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27.1.1 Utilizar métodos de conservación que mantengan una alta calidad interna y externa.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27.1.2  Controlar periódicamente la calidad y, específicamente, antes de la comercialización, teniendo en cuenta aspectos de muestreo y tipo de determinación analítica y límites de residuos que garanticen la seguridad del consumidor.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27.1.3 Conservar los registros de cada recinto de conservación en frío donde se almacenen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27.1.4 La duración de conservación de los frutos estará en función del sistema de conservación utilizado y de la evolución de los frutos.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27.1.5 Se utilizarán métodos de conservación autorizados, que tengan la menor toxicidad posible y sean preferentemente métodos físicos o con productos naturales, antes que de síntesis.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Artículo 28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Envasado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28.1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28.1.1 Todas las máquinas, los recipientes, elementos de transporte, envases provisionales y lugares</w:t>
      </w:r>
      <w:r w:rsidRPr="00993936">
        <w:rPr>
          <w:rFonts w:ascii="Arial" w:hAnsi="Arial" w:cs="Arial"/>
          <w:vanish/>
          <w:lang w:val="es-ES"/>
        </w:rPr>
        <w:t>&lt;A[lugares|sitios]&gt;</w:t>
      </w:r>
      <w:r w:rsidRPr="00993936">
        <w:rPr>
          <w:rFonts w:ascii="Arial" w:hAnsi="Arial" w:cs="Arial"/>
          <w:lang w:val="es-ES"/>
        </w:rPr>
        <w:t xml:space="preserve"> de almacenamiento deben reunir las condiciones siguientes:</w:t>
      </w:r>
    </w:p>
    <w:p w:rsidR="00503A41" w:rsidRPr="00993936" w:rsidRDefault="00503A41" w:rsidP="009D1A2D">
      <w:pPr>
        <w:pStyle w:val="Sinespaciado"/>
        <w:numPr>
          <w:ilvl w:val="0"/>
          <w:numId w:val="169"/>
        </w:numPr>
        <w:jc w:val="both"/>
        <w:rPr>
          <w:rFonts w:ascii="Arial" w:hAnsi="Arial" w:cs="Arial"/>
          <w:lang w:val="es-ES"/>
        </w:rPr>
      </w:pPr>
      <w:r w:rsidRPr="00993936">
        <w:rPr>
          <w:rFonts w:ascii="Arial" w:hAnsi="Arial" w:cs="Arial"/>
          <w:lang w:val="es-ES"/>
        </w:rPr>
        <w:t>No transmitir a los productos con que entren en contacto sustancias tóxicas o que puedan contaminar ni originar reacciones químicas perjudiciales.</w:t>
      </w:r>
    </w:p>
    <w:p w:rsidR="00503A41" w:rsidRPr="00993936" w:rsidRDefault="00503A41" w:rsidP="009D1A2D">
      <w:pPr>
        <w:pStyle w:val="Sinespaciado"/>
        <w:numPr>
          <w:ilvl w:val="0"/>
          <w:numId w:val="169"/>
        </w:numPr>
        <w:jc w:val="both"/>
        <w:rPr>
          <w:rFonts w:ascii="Arial" w:hAnsi="Arial" w:cs="Arial"/>
          <w:lang w:val="es-ES"/>
        </w:rPr>
      </w:pPr>
      <w:r w:rsidRPr="00993936">
        <w:rPr>
          <w:rFonts w:ascii="Arial" w:hAnsi="Arial" w:cs="Arial"/>
          <w:lang w:val="es-ES"/>
        </w:rPr>
        <w:t>No alterar las características de composición y las organolépticas de los productos.</w:t>
      </w:r>
    </w:p>
    <w:p w:rsidR="00503A41" w:rsidRPr="00993936" w:rsidRDefault="00503A41" w:rsidP="009D1A2D">
      <w:pPr>
        <w:pStyle w:val="Sinespaciado"/>
        <w:numPr>
          <w:ilvl w:val="0"/>
          <w:numId w:val="169"/>
        </w:numPr>
        <w:jc w:val="both"/>
        <w:rPr>
          <w:rFonts w:ascii="Arial" w:hAnsi="Arial" w:cs="Arial"/>
          <w:lang w:val="es-ES"/>
        </w:rPr>
      </w:pPr>
      <w:r w:rsidRPr="00993936">
        <w:rPr>
          <w:rFonts w:ascii="Arial" w:hAnsi="Arial" w:cs="Arial"/>
          <w:lang w:val="es-ES"/>
        </w:rPr>
        <w:t>La limpieza se realizará con métodos y productos autorizados, de igual manera que el control de los roedores y de los insectos.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28.1.2 Las operaciones de envasado se tendrán que efectuar por</w:t>
      </w:r>
      <w:r w:rsidRPr="00993936">
        <w:rPr>
          <w:rFonts w:ascii="Arial" w:hAnsi="Arial" w:cs="Arial"/>
          <w:vanish/>
          <w:lang w:val="es-ES"/>
        </w:rPr>
        <w:t>&lt;A[por|para]&gt;</w:t>
      </w:r>
      <w:r w:rsidRPr="00993936">
        <w:rPr>
          <w:rFonts w:ascii="Arial" w:hAnsi="Arial" w:cs="Arial"/>
          <w:lang w:val="es-ES"/>
        </w:rPr>
        <w:t xml:space="preserve"> series completas, separadas físicamente o en el tiempo, de operaciones de productos convencionales.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28.1.3 Los operadores que realizan envasado de productos certificados de producción integrada y convencionales deben avisar el órgano o la entidad de control. La comunicación se tiene que hacer a principios de campaña, con antelación suficiente y antes del inicio de las operaciones de los productos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28.1.4 Los manipuladores de alimentos tendrán que tener una formación específica al respecto o justificar que están en proceso en obtenerla de acuerdo con lo que establece la normativa legal vigente, por lo cual se establecen las normas relativas a los manipuladores de alimentos.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28.1.5  La zona de almacenamiento de envases y materiales de envasado estará claramente diferenciada de la zona de manipulación.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28.2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28.2.1 La utilización de aguas no potables para el lavado de los frutos.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rPr>
      </w:pPr>
      <w:r w:rsidRPr="00993936">
        <w:rPr>
          <w:rFonts w:ascii="Arial" w:hAnsi="Arial" w:cs="Arial"/>
        </w:rPr>
        <w:t>Artículo 29</w:t>
      </w:r>
    </w:p>
    <w:p w:rsidR="00503A41" w:rsidRPr="00993936" w:rsidRDefault="00503A41" w:rsidP="001D205D">
      <w:pPr>
        <w:pStyle w:val="Sinespaciado"/>
        <w:jc w:val="both"/>
        <w:rPr>
          <w:rFonts w:ascii="Arial" w:hAnsi="Arial" w:cs="Arial"/>
          <w:b/>
        </w:rPr>
      </w:pPr>
      <w:r w:rsidRPr="00993936">
        <w:rPr>
          <w:rFonts w:ascii="Arial" w:hAnsi="Arial" w:cs="Arial"/>
          <w:b/>
        </w:rPr>
        <w:t>Expedición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29.1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29.1.1</w:t>
      </w:r>
      <w:r w:rsidRPr="00993936">
        <w:rPr>
          <w:rFonts w:ascii="Arial" w:hAnsi="Arial" w:cs="Arial"/>
          <w:b/>
          <w:lang w:val="es-ES"/>
        </w:rPr>
        <w:t xml:space="preserve"> </w:t>
      </w:r>
      <w:r w:rsidRPr="00993936">
        <w:rPr>
          <w:rFonts w:ascii="Arial" w:hAnsi="Arial" w:cs="Arial"/>
          <w:lang w:val="es-ES"/>
        </w:rPr>
        <w:t>Antes de cargar, todos los elementos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malos olores</w:t>
      </w:r>
      <w:r w:rsidRPr="00993936">
        <w:rPr>
          <w:rFonts w:ascii="Arial" w:hAnsi="Arial" w:cs="Arial"/>
          <w:vanish/>
          <w:lang w:val="es-ES"/>
        </w:rPr>
        <w:t>&lt;A[pestes|pudores]&gt;</w:t>
      </w:r>
      <w:r w:rsidRPr="00993936">
        <w:rPr>
          <w:rFonts w:ascii="Arial" w:hAnsi="Arial" w:cs="Arial"/>
          <w:lang w:val="es-ES"/>
        </w:rPr>
        <w:t xml:space="preserve"> y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29.1.2  El producto tiene que ser transportado a la temperatura estipulada por la persona operadora y reflejado en el contrato de transporte.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30</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Cuaderno de conservación/postcosecha</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30.1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30.1.1 El modelo de Cuaderno de conservación es único con respecto al contenido de los datos a registrar, y será aprobado por el Departamento de Agricultura, Ganadería, Pesca y Alimentación.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30.1.2 El técnico responsable de conservación de productos de producción integrada se responsabilizará periódicamente, mediante su firma, de la conformidad de las anotaciones realizadas en el Cuaderno de conservación con respecto al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30.1.3 El Cuaderno de conservación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Formación del personal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31.1.1 La empresa tendrá que fomentar la formación y proporcionar la que sea necesaria al personal implicado en la aplicación de esta norma y el resto de partes afectadas por su actividad. Por otra parte, todos los agentes que participen en producción integrada deben tener una formación específica al respecto.</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 xml:space="preserve">31.1.1.1 </w:t>
      </w:r>
      <w:r w:rsidRPr="00993936">
        <w:rPr>
          <w:rFonts w:ascii="Arial" w:hAnsi="Arial" w:cs="Arial"/>
          <w:u w:val="single"/>
          <w:lang w:val="es-ES"/>
        </w:rPr>
        <w:t>Personal de la central</w:t>
      </w:r>
      <w:r w:rsidRPr="00993936">
        <w:rPr>
          <w:rFonts w:ascii="Arial" w:hAnsi="Arial" w:cs="Arial"/>
          <w:b/>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 empresa tiene que asegurar la formación del personal de la central hortofrutícola en materia de buenas prácticas de higiene y manipulación, conservando un registro de los cursos impartidos.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31.1.1.2 </w:t>
      </w:r>
      <w:r w:rsidRPr="00993936">
        <w:rPr>
          <w:rFonts w:ascii="Arial" w:hAnsi="Arial" w:cs="Arial"/>
          <w:u w:val="single"/>
          <w:lang w:val="es-ES"/>
        </w:rPr>
        <w:t>Personal técnico competente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personal técnico competente que participe en producción integrada tiene que tener una formación universitaria de acuerdo con lo que establece el artículo 11.1 del Decreto 241/2002 y acreditar una formación específica en producción integrada de acuerdo con lo que establece el artículo 24.1 del mencionado Decreto. Esta formación, en Cataluña, se regula por</w:t>
      </w:r>
      <w:r w:rsidRPr="00993936">
        <w:rPr>
          <w:rFonts w:ascii="Arial" w:hAnsi="Arial" w:cs="Arial"/>
          <w:vanish/>
          <w:lang w:val="es-ES"/>
        </w:rPr>
        <w:t>&lt;A[por|para]&gt;</w:t>
      </w:r>
      <w:r w:rsidRPr="00993936">
        <w:rPr>
          <w:rFonts w:ascii="Arial" w:hAnsi="Arial" w:cs="Arial"/>
          <w:lang w:val="es-ES"/>
        </w:rPr>
        <w:t xml:space="preserve">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la cual se establecen y se regulan los cursos de formación en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31.1.1.3 </w:t>
      </w:r>
      <w:r w:rsidRPr="00993936">
        <w:rPr>
          <w:rFonts w:ascii="Arial" w:hAnsi="Arial" w:cs="Arial"/>
          <w:u w:val="single"/>
          <w:lang w:val="es-ES"/>
        </w:rPr>
        <w:t>Operadores o personas operadoras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Todos los operadores de producción integrada (productores y/o elaboradores) deben tener una formación específica en producción integrada, para</w:t>
      </w:r>
      <w:r w:rsidRPr="00993936">
        <w:rPr>
          <w:rFonts w:ascii="Arial" w:hAnsi="Arial" w:cs="Arial"/>
          <w:vanish/>
          <w:lang w:val="es-ES"/>
        </w:rPr>
        <w:t>&lt;A[por|para]&gt;</w:t>
      </w:r>
      <w:r w:rsidRPr="00993936">
        <w:rPr>
          <w:rFonts w:ascii="Arial" w:hAnsi="Arial" w:cs="Arial"/>
          <w:lang w:val="es-ES"/>
        </w:rPr>
        <w:t xml:space="preserve"> lo cual deben acreditar la realización de un curso de producción integrada impartido por la Administración Pública o por alguna entidad reconocida, de acuerdo con lo que establecen el Decreto 241/2002 y la Orden ARP/69/2003, de 14 de febrero (DOGC nº. 3832, de 27.02.2003), para</w:t>
      </w:r>
      <w:r w:rsidRPr="00993936">
        <w:rPr>
          <w:rFonts w:ascii="Arial" w:hAnsi="Arial" w:cs="Arial"/>
          <w:vanish/>
          <w:lang w:val="es-ES"/>
        </w:rPr>
        <w:t>&lt;A[por|para]&gt;</w:t>
      </w:r>
      <w:r w:rsidRPr="00993936">
        <w:rPr>
          <w:rFonts w:ascii="Arial" w:hAnsi="Arial" w:cs="Arial"/>
          <w:lang w:val="es-ES"/>
        </w:rPr>
        <w:t xml:space="preserve"> los cuales se establecen y se regulan los cursos de formación en producción integrada.</w:t>
      </w:r>
    </w:p>
    <w:p w:rsidR="00503A41" w:rsidRPr="00993936" w:rsidRDefault="00503A41" w:rsidP="001D205D">
      <w:pPr>
        <w:pStyle w:val="Sinespaciado"/>
        <w:jc w:val="both"/>
        <w:rPr>
          <w:rFonts w:ascii="Arial" w:hAnsi="Arial" w:cs="Arial"/>
        </w:rPr>
      </w:pPr>
      <w:r w:rsidRPr="00993936">
        <w:rPr>
          <w:rFonts w:ascii="Arial" w:hAnsi="Arial" w:cs="Arial"/>
        </w:rPr>
        <w:t xml:space="preserve">31.1.1.4 </w:t>
      </w:r>
      <w:r w:rsidRPr="00993936">
        <w:rPr>
          <w:rFonts w:ascii="Arial" w:hAnsi="Arial" w:cs="Arial"/>
          <w:u w:val="single"/>
        </w:rPr>
        <w:t>Manipulador de productos fitosanitarios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manipulador de productos fitosanitarios tiene que estar en posesión del carné de manipulador de nivel básico que lo capacita para desarrollar su actividad salvo las excepciones que prevé la legislación vigente.</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IV. IDENTIFICACIÓN, TRAZABILIDAD Y COMERCIALIZACIÓN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32</w:t>
      </w:r>
    </w:p>
    <w:p w:rsidR="00503A41" w:rsidRPr="00993936" w:rsidRDefault="00C8459C" w:rsidP="001D205D">
      <w:pPr>
        <w:pStyle w:val="Sinespaciado"/>
        <w:jc w:val="both"/>
        <w:rPr>
          <w:rFonts w:ascii="Arial" w:hAnsi="Arial" w:cs="Arial"/>
          <w:b/>
          <w:lang w:val="es-ES"/>
        </w:rPr>
      </w:pPr>
      <w:r>
        <w:rPr>
          <w:rFonts w:ascii="Arial" w:hAnsi="Arial" w:cs="Arial"/>
          <w:b/>
          <w:lang w:val="es-ES" w:eastAsia="ca-ES"/>
        </w:rPr>
        <w:pict>
          <v:line id="_x0000_s1048" style="position:absolute;left:0;text-align:left;z-index:251869184" from="63pt,-229.3pt" to="63pt,-229.3pt"/>
        </w:pict>
      </w:r>
      <w:r>
        <w:rPr>
          <w:rFonts w:ascii="Arial" w:hAnsi="Arial" w:cs="Arial"/>
          <w:b/>
          <w:lang w:val="es-ES" w:eastAsia="ca-ES"/>
        </w:rPr>
        <w:pict>
          <v:line id="_x0000_s1047" style="position:absolute;left:0;text-align:left;z-index:251868160" from="450pt,-292.55pt" to="450pt,-292.55pt"/>
        </w:pict>
      </w:r>
      <w:r>
        <w:rPr>
          <w:rFonts w:ascii="Arial" w:hAnsi="Arial" w:cs="Arial"/>
          <w:b/>
          <w:lang w:val="es-ES" w:eastAsia="ca-ES"/>
        </w:rPr>
        <w:pict>
          <v:line id="_x0000_s1046" style="position:absolute;left:0;text-align:left;z-index:251867136" from="180pt,-292.55pt" to="180pt,-292.55pt"/>
        </w:pict>
      </w:r>
      <w:r w:rsidR="00503A41" w:rsidRPr="00993936">
        <w:rPr>
          <w:rFonts w:ascii="Arial" w:hAnsi="Arial" w:cs="Arial"/>
          <w:b/>
          <w:lang w:val="es-ES"/>
        </w:rPr>
        <w:t>Identificación y trazabilidad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32.1.1 Cumplimentar una declaración de responsabilidad del agricultor que permita la identificación de los productos que proceden de parcelas acogidas a  la producción integrada. En un plano o croquis de la parcela y/o UHC se justificará el conocimiento de la ubicación de los diferentes lotes del material vegetal utilizado.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32.1.2 En cada centro de recepción y/o manipulación tiene que haber un albarán de control de entrada, donde figure el producto, la cantidad, la parcela de origen, la unidad homogénea de cultivo y la fecha de entrada, firmado por la persona que hace la entrega.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32.1.3 Los operadores que no tengan la totalidad de la producción de cultivo bajo normas de producción integrada, tendrán que cumplir los requisitos siguientes:</w:t>
      </w:r>
    </w:p>
    <w:p w:rsidR="00503A41" w:rsidRPr="00993936" w:rsidRDefault="00503A41" w:rsidP="009D1A2D">
      <w:pPr>
        <w:pStyle w:val="Sinespaciado"/>
        <w:numPr>
          <w:ilvl w:val="0"/>
          <w:numId w:val="170"/>
        </w:numPr>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de otros origenes. </w:t>
      </w:r>
    </w:p>
    <w:p w:rsidR="00503A41" w:rsidRPr="00993936" w:rsidRDefault="00503A41" w:rsidP="009D1A2D">
      <w:pPr>
        <w:pStyle w:val="Sinespaciado"/>
        <w:numPr>
          <w:ilvl w:val="0"/>
          <w:numId w:val="170"/>
        </w:numPr>
        <w:jc w:val="both"/>
        <w:rPr>
          <w:rFonts w:ascii="Arial" w:hAnsi="Arial" w:cs="Arial"/>
          <w:lang w:val="es-ES"/>
        </w:rPr>
      </w:pPr>
      <w:r w:rsidRPr="00993936">
        <w:rPr>
          <w:rFonts w:ascii="Arial" w:hAnsi="Arial" w:cs="Arial"/>
          <w:lang w:val="es-ES"/>
        </w:rPr>
        <w:t>En caso de utilizar la misma línea de manipulación o confección para los dos tipos de producto, tendrá que quedar claramente definido el intervalo de tiempo durante el cual se manipula cada tipo de producto, y tiene que ser conocido por todo el personal implicado en el proceso.</w:t>
      </w:r>
    </w:p>
    <w:p w:rsidR="00503A41" w:rsidRPr="00993936" w:rsidRDefault="00503A41" w:rsidP="009D1A2D">
      <w:pPr>
        <w:pStyle w:val="Sinespaciado"/>
        <w:numPr>
          <w:ilvl w:val="0"/>
          <w:numId w:val="170"/>
        </w:numPr>
        <w:jc w:val="both"/>
        <w:rPr>
          <w:rFonts w:ascii="Arial" w:hAnsi="Arial" w:cs="Arial"/>
          <w:lang w:val="es-ES"/>
        </w:rPr>
      </w:pPr>
      <w:r w:rsidRPr="00993936">
        <w:rPr>
          <w:rFonts w:ascii="Arial" w:hAnsi="Arial" w:cs="Arial"/>
          <w:lang w:val="es-ES"/>
        </w:rPr>
        <w:t>Antes de proceder a la manipulación del producto de producción integrada, 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productos de otros orígenes.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32.1.4 Los productos de producción integrada serán identificados y considerados, en cualquier momento del proceso técnico, administrativo y de comercialización como un producto diferente del resto de los productos manipulados por la persona operadora.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32.1.5 Las cajas de campo y otros envases utilizados para la recolección o el transporte de productos de producción integrada deben estar claramente diferenciados de los utilizados para otros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32.2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32.2.1</w:t>
      </w:r>
      <w:r w:rsidRPr="00993936">
        <w:rPr>
          <w:rFonts w:ascii="Arial" w:hAnsi="Arial" w:cs="Arial"/>
          <w:b/>
          <w:lang w:val="es-ES"/>
        </w:rPr>
        <w:t xml:space="preserve"> </w:t>
      </w:r>
      <w:r w:rsidRPr="00993936">
        <w:rPr>
          <w:rFonts w:ascii="Arial" w:hAnsi="Arial" w:cs="Arial"/>
          <w:lang w:val="es-ES"/>
        </w:rPr>
        <w:t>Comercializar, como productos amparados por esta norma, los procedentes de unidades de cultivo que no cumplan las indicaciones de cultivo que establece la normativa de producción integrada en toda su producción.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32.2.2 La presencia de cajas, etiquetas o marcas comerciales, de productos de producción integrada en parcelas y/o UHC que no estén acogidas a Producción Integrada.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de calidad</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33.1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33.1.1 La persona operadora tiene que tener definido e implantado un muestreo sistemático de la producción que sirva para comprobar que se cumplen las especificaciones de la legislación vigente referentes a la normalización comercial. Los parámetros a comprobar son los especificados para cada producto en la legislación vigente de calidad de frutas y hortalizas (categoría, calibre, color, peso, etc.).</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33.1.2 La persona operadora tiene que conservar los registros de los controles.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33.1.3 La persona operadora verificará el funcionamiento correcto del instrumental de medida.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33.1.4 Controlar periódicamente la calidad y, específicamente, antes de la comercialización, teniendo en cuenta aspectos de muestreo, tipo de determinación analítica que garantice la seguridad del consumidor.</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V. RESIDUOS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Gestión de Residuos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34.1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34.1.1 Reciclar adecuadamente los sustratos inertes, siempre que sea agronómicamente aconsejable.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34.1.2 Retirar para su reciclaje o, si procede</w:t>
      </w:r>
      <w:r w:rsidRPr="00993936">
        <w:rPr>
          <w:rFonts w:ascii="Arial" w:hAnsi="Arial" w:cs="Arial"/>
          <w:vanish/>
          <w:lang w:val="es-ES"/>
        </w:rPr>
        <w:t>&lt;A[pega|ocurre]&gt;</w:t>
      </w:r>
      <w:r w:rsidRPr="00993936">
        <w:rPr>
          <w:rFonts w:ascii="Arial" w:hAnsi="Arial" w:cs="Arial"/>
          <w:lang w:val="es-ES"/>
        </w:rPr>
        <w:t>, para hacer un vertido controlado, los plásticos de acolchado, mallas o cualquier otro material utilizado en las estructuras del cultivo, siempre que haya un sistema de gestión de estos residuos.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34.1.3 Retirar y almacenar los envases de los productos fitosanitarios y fertilizantes, una vez utilizados, hasta entregarlos a un gestor autorizado de acuerdo con el Decreto 1416/2001, de 14 de diciembre, sobre envases de productos fitosanitarios.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34.1.4  Gestionar los productos fitosanitarios de desecho mediante un gestor autorizado de residuos de productos químicos o a través de una compañía proveedora o cualquier otro método seguro para el medio.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34.1.5 Establecer sistemas de recogida de aceites usados o de todo tipo de sustancias tóxicas y peligrosas que haya en la explotación dándoles el destino previsto en la legislación vigente.</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 xml:space="preserve">34.2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34.2.1 Abandonar restos de plástico, envases y otros residuos en el interior o en los márgenes de la parcela y/o UHC.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34.2.2 Utilizar plásticos o mallas de las estructuras de cultivo, una vez retirados, para otros usos que supongan un riesgo para el cultivo, las personas o la fauna.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34.2.3  Destruir, mediante el fuego u otros procedimientos, triturar o enterrar en la parcela y/o UHC o limítrofes, los envasas vacíos</w:t>
      </w:r>
      <w:r w:rsidRPr="00993936">
        <w:rPr>
          <w:rFonts w:ascii="Arial" w:hAnsi="Arial" w:cs="Arial"/>
          <w:vanish/>
          <w:lang w:val="es-ES"/>
        </w:rPr>
        <w:t>&lt;A[vacíos|huecos]&gt;</w:t>
      </w:r>
      <w:r w:rsidRPr="00993936">
        <w:rPr>
          <w:rFonts w:ascii="Arial" w:hAnsi="Arial" w:cs="Arial"/>
          <w:lang w:val="es-ES"/>
        </w:rPr>
        <w:t xml:space="preserve"> de los productos </w:t>
      </w:r>
      <w:r w:rsidRPr="00993936">
        <w:rPr>
          <w:rFonts w:ascii="Arial" w:hAnsi="Arial" w:cs="Arial"/>
          <w:lang w:val="es-ES"/>
        </w:rPr>
        <w:lastRenderedPageBreak/>
        <w:t>fitosanitarios y fertilizantes, los plásticos o las mallas de las estructuras de cultivo, a excepción de que se haga en lugares</w:t>
      </w:r>
      <w:r w:rsidRPr="00993936">
        <w:rPr>
          <w:rFonts w:ascii="Arial" w:hAnsi="Arial" w:cs="Arial"/>
          <w:vanish/>
          <w:lang w:val="es-ES"/>
        </w:rPr>
        <w:t>&lt;A[lugares|sitios]&gt;</w:t>
      </w:r>
      <w:r w:rsidRPr="00993936">
        <w:rPr>
          <w:rFonts w:ascii="Arial" w:hAnsi="Arial" w:cs="Arial"/>
          <w:lang w:val="es-ES"/>
        </w:rPr>
        <w:t xml:space="preserve"> autorizados por la autoridad competente.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34.2.4  Depositar en cursos de agua, canales o embalses de agua, o dentro del perímetro de protección de captación de agua de consumo humano, los restos de caldo de los equipos de aplicación de productos fitosanitarios y lavarlos en esta zona.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34.2.5  Quemar restos vegetales de manera incontrolada, sin tener en consideración la normativa vigente que sea de aplicación.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de residuos de productos fitosanitarios en vegetales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35.1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35.1.1 La persona operadora tiene que disponer de un programa de autocontrol individual o colectivo para verificar la ausencia de residuos de productos fitosanitarios, por medio de la toma de muestras correspondiente, garantizando que han sido utilizadas exclusivamente las sustancias activas autorizadas y comprobar que se cumple la normativa de aplicación y, dado el caso, la del estado de destinación</w:t>
      </w:r>
      <w:r w:rsidRPr="00993936">
        <w:rPr>
          <w:rFonts w:ascii="Arial" w:hAnsi="Arial" w:cs="Arial"/>
          <w:vanish/>
          <w:lang w:val="es-ES"/>
        </w:rPr>
        <w:t>&lt;A[destinación|destino]&gt;</w:t>
      </w:r>
      <w:r w:rsidRPr="00993936">
        <w:rPr>
          <w:rFonts w:ascii="Arial" w:hAnsi="Arial" w:cs="Arial"/>
          <w:lang w:val="es-ES"/>
        </w:rPr>
        <w:t>, en relación con los límites máximos de residuos de productos fitosanitarios. La planificación de la recogida de las muestras tiene que tenir en consideración especialmente la época de recolección y/o de manipulación.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VI. PROTECCIÓN MEDIOAMBIENTAL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Protección medio ambiental</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36.1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36.1.1 La empresa tiene que cumplir con la política de conservación del entorno natural según la legislación medio ambiental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36.1.2  Disponer de medidas de prevención de vertidos accidentales de aceites, hidrocarburos u otros productos químicos peligrosos para el medio ambiente.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36.1.3  Implantar, si no están, medidas de ahorro en el consumo de agua y de energía en las instalaciones y en los procesos.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VII. CONTROL Y CERTIFICACIÓN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Tratamiento de No conformidades</w:t>
      </w:r>
    </w:p>
    <w:p w:rsidR="00503A41" w:rsidRPr="00993936" w:rsidRDefault="00503A41" w:rsidP="001D205D">
      <w:pPr>
        <w:pStyle w:val="Sinespaciado"/>
        <w:jc w:val="both"/>
        <w:rPr>
          <w:rFonts w:ascii="Arial" w:hAnsi="Arial" w:cs="Arial"/>
          <w:b/>
          <w:lang w:val="es-ES"/>
        </w:rPr>
      </w:pPr>
      <w:r w:rsidRPr="00993936">
        <w:rPr>
          <w:rFonts w:ascii="Arial" w:hAnsi="Arial" w:cs="Arial"/>
          <w:i/>
          <w:lang w:val="es-ES"/>
        </w:rPr>
        <w:t>37.1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37.1.1 Cuando durante la realización de los controles internos o externos se detecte el incumplimiento total o parcial de alguna de las prácticas establecidas en esta norma como “obligatorias” o “prohibidas”, se tendrá que dejar registro como “no conformidad” de las desviaciones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37.1.2 Establecer y documentar las acciones correctivas que correspondan para dar el tratamiento adecuado a estas no conformidades, de manera que se eliminen los efectos y las causas que las motivaron y se impida una repetición futura.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37.1.3 El operador tiene que realizar el seguimiento de la implantación de las acciones correctivas y comprobar que sean efectivas antes de proceder al cierre de las no conformidades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37.1.4 Siempre que se detecten no conformidades sobre las materias primas, productos en proceso y productos finales obtenidos a partir de los productos vegetales de producción integrada, se tendrán que adoptar las medidas adecuadas de identificación, trazabilidad y segregación, de estos, de manera que se evidencie claramente su estado “no conforme” y se evite la utilización o comercialización de manera no intencionada como productos de producción integrada.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Artículo 38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y certificación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38.1 Obligaciones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38.1.1 Con la finalidad de verificar el cumplimiento</w:t>
      </w:r>
      <w:r w:rsidRPr="00993936">
        <w:rPr>
          <w:rFonts w:ascii="Arial" w:hAnsi="Arial" w:cs="Arial"/>
          <w:vanish/>
          <w:lang w:val="es-ES"/>
        </w:rPr>
        <w:t>&lt;A[cumplimiento|cumplido]&gt;</w:t>
      </w:r>
      <w:r w:rsidRPr="00993936">
        <w:rPr>
          <w:rFonts w:ascii="Arial" w:hAnsi="Arial" w:cs="Arial"/>
          <w:lang w:val="es-ES"/>
        </w:rPr>
        <w:t xml:space="preserve"> de los requisitos que establece la normativa vigente de producción integrada, todos los operadores inscritos en el Registro del Consejo Catalán de la Producción Integrada tendrán que superar un proceso de control y certificación, realizado por una entidad de control y certificación reconocida por el Consejo.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38.1.2 El control y la certificación del sistema de la producción integrada se regirá por</w:t>
      </w:r>
      <w:r w:rsidRPr="00993936">
        <w:rPr>
          <w:rFonts w:ascii="Arial" w:hAnsi="Arial" w:cs="Arial"/>
          <w:vanish/>
          <w:lang w:val="es-ES"/>
        </w:rPr>
        <w:t>&lt;A[por|para]&gt;</w:t>
      </w:r>
      <w:r w:rsidRPr="00993936">
        <w:rPr>
          <w:rFonts w:ascii="Arial" w:hAnsi="Arial" w:cs="Arial"/>
          <w:lang w:val="es-ES"/>
        </w:rPr>
        <w:t xml:space="preserve"> lo que determina la Ley 14/2003, de 13 de junio, de calidad agroalimentaria, el Decreto 285/2006, de 4 de julio, por el cual se desarrolla la Ley 14/2003, el Decreto 241/2002, de 8 de octubre, por</w:t>
      </w:r>
      <w:r w:rsidRPr="00993936">
        <w:rPr>
          <w:rFonts w:ascii="Arial" w:hAnsi="Arial" w:cs="Arial"/>
          <w:vanish/>
          <w:lang w:val="es-ES"/>
        </w:rPr>
        <w:t>&lt;A[por|para]&gt;</w:t>
      </w:r>
      <w:r w:rsidRPr="00993936">
        <w:rPr>
          <w:rFonts w:ascii="Arial" w:hAnsi="Arial" w:cs="Arial"/>
          <w:lang w:val="es-ES"/>
        </w:rPr>
        <w:t xml:space="preserve"> el cual se regula la producción integrada en Cataluña y la Orden ARP/208/2003, de 7 de mayo, por</w:t>
      </w:r>
      <w:r w:rsidRPr="00993936">
        <w:rPr>
          <w:rFonts w:ascii="Arial" w:hAnsi="Arial" w:cs="Arial"/>
          <w:vanish/>
          <w:lang w:val="es-ES"/>
        </w:rPr>
        <w:t>&lt;A[por|para]&gt;</w:t>
      </w:r>
      <w:r w:rsidRPr="00993936">
        <w:rPr>
          <w:rFonts w:ascii="Arial" w:hAnsi="Arial" w:cs="Arial"/>
          <w:lang w:val="es-ES"/>
        </w:rPr>
        <w:t xml:space="preserve"> la cual se aprueba el Reglamento de régimen interior del Consejo Catalán de la Producción Integrada.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39</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Distintivo de garantía de producción integrada</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39.1</w:t>
      </w:r>
      <w:r w:rsidRPr="00993936">
        <w:rPr>
          <w:rFonts w:ascii="Arial" w:hAnsi="Arial" w:cs="Arial"/>
          <w:i/>
          <w:lang w:val="es-ES"/>
        </w:rPr>
        <w:t xml:space="preserve">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39.1.2 La utilización del distintivo de garantía de producción integrada, en las etiquetas de los envases, frutos y otros lugares</w:t>
      </w:r>
      <w:r w:rsidRPr="00993936">
        <w:rPr>
          <w:rFonts w:ascii="Arial" w:hAnsi="Arial" w:cs="Arial"/>
          <w:vanish/>
          <w:lang w:val="es-ES"/>
        </w:rPr>
        <w:t>&lt;A[lugares|sitios]&gt;</w:t>
      </w:r>
      <w:r w:rsidRPr="00993936">
        <w:rPr>
          <w:rFonts w:ascii="Arial" w:hAnsi="Arial" w:cs="Arial"/>
          <w:lang w:val="es-ES"/>
        </w:rPr>
        <w:t>, se ajustará al sistema establecido por el libro de estilo del Consejo Catalán de la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39.1.3 La concesión del distintivo de garantía de producción integrada será concedido por</w:t>
      </w:r>
      <w:r w:rsidRPr="00993936">
        <w:rPr>
          <w:rFonts w:ascii="Arial" w:hAnsi="Arial" w:cs="Arial"/>
          <w:vanish/>
          <w:lang w:val="es-ES"/>
        </w:rPr>
        <w:t>&lt;A[para|por]&gt;</w:t>
      </w:r>
      <w:r w:rsidRPr="00993936">
        <w:rPr>
          <w:rFonts w:ascii="Arial" w:hAnsi="Arial" w:cs="Arial"/>
          <w:lang w:val="es-ES"/>
        </w:rPr>
        <w:t xml:space="preserve"> el Consejo.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39.2</w:t>
      </w:r>
      <w:r w:rsidRPr="00993936">
        <w:rPr>
          <w:rFonts w:ascii="Arial" w:hAnsi="Arial" w:cs="Arial"/>
          <w:i/>
          <w:lang w:val="es-ES"/>
        </w:rPr>
        <w:t xml:space="preserve">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39.2.1 Utilización del distintivo de garantía, sin disponer de la preceptiva certificación.</w:t>
      </w:r>
    </w:p>
    <w:p w:rsidR="00503A41" w:rsidRPr="00993936" w:rsidRDefault="00503A41" w:rsidP="00424C28">
      <w:pPr>
        <w:pStyle w:val="Encabezado"/>
        <w:tabs>
          <w:tab w:val="clear" w:pos="4252"/>
          <w:tab w:val="clear" w:pos="8504"/>
        </w:tabs>
        <w:rPr>
          <w:rFonts w:ascii="Arial" w:hAnsi="Arial" w:cs="Arial"/>
          <w:lang w:val="es-ES"/>
        </w:rPr>
      </w:pPr>
    </w:p>
    <w:p w:rsidR="00503A41" w:rsidRPr="00993936" w:rsidRDefault="00503A41">
      <w:pPr>
        <w:rPr>
          <w:rFonts w:ascii="Arial" w:eastAsia="Times New Roman" w:hAnsi="Arial" w:cs="Arial"/>
          <w:b/>
          <w:sz w:val="20"/>
          <w:szCs w:val="20"/>
          <w:lang w:val="es-ES" w:eastAsia="es-ES"/>
        </w:rPr>
      </w:pPr>
      <w:r w:rsidRPr="00993936">
        <w:rPr>
          <w:rFonts w:ascii="Arial" w:hAnsi="Arial" w:cs="Arial"/>
          <w:lang w:val="es-ES"/>
        </w:rPr>
        <w:br w:type="page"/>
      </w:r>
    </w:p>
    <w:p w:rsidR="00503A41" w:rsidRPr="00993936" w:rsidRDefault="00503A41" w:rsidP="00424C28">
      <w:pPr>
        <w:pStyle w:val="Ttulo5"/>
        <w:rPr>
          <w:rFonts w:ascii="Arial" w:hAnsi="Arial" w:cs="Arial"/>
          <w:color w:val="auto"/>
          <w:lang w:val="es-ES"/>
        </w:rPr>
      </w:pPr>
      <w:r w:rsidRPr="00993936">
        <w:rPr>
          <w:rFonts w:ascii="Arial" w:hAnsi="Arial" w:cs="Arial"/>
          <w:color w:val="auto"/>
          <w:lang w:val="es-ES"/>
        </w:rPr>
        <w:lastRenderedPageBreak/>
        <w:t>ANEXOS</w:t>
      </w:r>
    </w:p>
    <w:p w:rsidR="00503A41" w:rsidRPr="00993936" w:rsidRDefault="00503A41" w:rsidP="00424C28">
      <w:pPr>
        <w:pStyle w:val="Ttulo3"/>
        <w:rPr>
          <w:rFonts w:ascii="Arial" w:hAnsi="Arial" w:cs="Arial"/>
          <w:b/>
          <w:color w:val="auto"/>
          <w:lang w:val="es-ES"/>
        </w:rPr>
      </w:pPr>
    </w:p>
    <w:p w:rsidR="00503A41" w:rsidRPr="00993936" w:rsidRDefault="00503A41" w:rsidP="00424C28">
      <w:pPr>
        <w:pStyle w:val="Ttulo3"/>
        <w:rPr>
          <w:rFonts w:ascii="Arial" w:hAnsi="Arial" w:cs="Arial"/>
          <w:b/>
          <w:color w:val="auto"/>
          <w:lang w:val="es-ES"/>
        </w:rPr>
      </w:pPr>
      <w:r w:rsidRPr="00993936">
        <w:rPr>
          <w:rFonts w:ascii="Arial" w:hAnsi="Arial" w:cs="Arial"/>
          <w:color w:val="auto"/>
          <w:lang w:val="es-ES"/>
        </w:rPr>
        <w:t>ANEXO 1</w:t>
      </w:r>
    </w:p>
    <w:p w:rsidR="00503A41" w:rsidRPr="00993936" w:rsidRDefault="00503A41" w:rsidP="009D1A2D">
      <w:pPr>
        <w:pStyle w:val="Sangradetextonormal"/>
        <w:numPr>
          <w:ilvl w:val="1"/>
          <w:numId w:val="129"/>
        </w:numPr>
        <w:jc w:val="both"/>
        <w:rPr>
          <w:rFonts w:cs="Arial"/>
          <w:b/>
          <w:lang w:val="es-ES"/>
        </w:rPr>
      </w:pPr>
      <w:r w:rsidRPr="00993936">
        <w:rPr>
          <w:rFonts w:cs="Arial"/>
          <w:b/>
          <w:lang w:val="es-ES"/>
        </w:rPr>
        <w:t>Materias activas de herbicidas para la Producción Integrada de frutos secos</w:t>
      </w:r>
    </w:p>
    <w:p w:rsidR="00503A41" w:rsidRPr="00993936" w:rsidRDefault="00503A41" w:rsidP="00424C28">
      <w:pPr>
        <w:pStyle w:val="Sangradetextonormal"/>
        <w:ind w:left="0"/>
        <w:rPr>
          <w:rFonts w:cs="Arial"/>
          <w:b/>
          <w:lang w:val="es-E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678"/>
        <w:gridCol w:w="4404"/>
      </w:tblGrid>
      <w:tr w:rsidR="00503A41" w:rsidRPr="00993936" w:rsidTr="00424C28">
        <w:trPr>
          <w:cantSplit/>
          <w:trHeight w:val="400"/>
          <w:jc w:val="center"/>
        </w:trPr>
        <w:tc>
          <w:tcPr>
            <w:tcW w:w="4678" w:type="dxa"/>
            <w:shd w:val="clear" w:color="auto" w:fill="D9D9D9"/>
            <w:vAlign w:val="center"/>
          </w:tcPr>
          <w:p w:rsidR="00503A41" w:rsidRPr="00993936" w:rsidRDefault="00503A41" w:rsidP="00424C28">
            <w:pPr>
              <w:widowControl w:val="0"/>
              <w:jc w:val="center"/>
              <w:rPr>
                <w:rFonts w:ascii="Arial" w:hAnsi="Arial" w:cs="Arial"/>
                <w:snapToGrid w:val="0"/>
                <w:lang w:val="es-ES"/>
              </w:rPr>
            </w:pPr>
            <w:r w:rsidRPr="00993936">
              <w:rPr>
                <w:rFonts w:ascii="Arial" w:hAnsi="Arial" w:cs="Arial"/>
                <w:b/>
                <w:snapToGrid w:val="0"/>
                <w:lang w:val="es-ES"/>
              </w:rPr>
              <w:t>TIPO DE HERBICIDAS (*)</w:t>
            </w:r>
          </w:p>
        </w:tc>
        <w:tc>
          <w:tcPr>
            <w:tcW w:w="4404" w:type="dxa"/>
            <w:shd w:val="clear" w:color="auto" w:fill="D9D9D9"/>
            <w:vAlign w:val="center"/>
          </w:tcPr>
          <w:p w:rsidR="00503A41" w:rsidRPr="00993936" w:rsidRDefault="00503A41" w:rsidP="00424C28">
            <w:pPr>
              <w:widowControl w:val="0"/>
              <w:jc w:val="center"/>
              <w:rPr>
                <w:rFonts w:ascii="Arial" w:hAnsi="Arial" w:cs="Arial"/>
                <w:snapToGrid w:val="0"/>
                <w:lang w:val="es-ES"/>
              </w:rPr>
            </w:pPr>
            <w:r w:rsidRPr="00993936">
              <w:rPr>
                <w:rFonts w:ascii="Arial" w:hAnsi="Arial" w:cs="Arial"/>
                <w:b/>
                <w:snapToGrid w:val="0"/>
                <w:lang w:val="es-ES"/>
              </w:rPr>
              <w:t>RESTRICCIONES</w:t>
            </w:r>
          </w:p>
        </w:tc>
      </w:tr>
      <w:tr w:rsidR="00503A41" w:rsidRPr="00993936" w:rsidTr="00424C28">
        <w:trPr>
          <w:trHeight w:val="400"/>
          <w:tblHeader/>
          <w:jc w:val="center"/>
        </w:trPr>
        <w:tc>
          <w:tcPr>
            <w:tcW w:w="4678" w:type="dxa"/>
            <w:shd w:val="clear" w:color="auto" w:fill="D9D9D9"/>
            <w:vAlign w:val="center"/>
          </w:tcPr>
          <w:p w:rsidR="00503A41" w:rsidRPr="00993936" w:rsidRDefault="00503A41" w:rsidP="00424C28">
            <w:pPr>
              <w:widowControl w:val="0"/>
              <w:jc w:val="center"/>
              <w:rPr>
                <w:rFonts w:ascii="Arial" w:hAnsi="Arial" w:cs="Arial"/>
                <w:b/>
                <w:snapToGrid w:val="0"/>
                <w:lang w:val="es-ES"/>
              </w:rPr>
            </w:pPr>
            <w:r w:rsidRPr="00993936">
              <w:rPr>
                <w:rFonts w:ascii="Arial" w:hAnsi="Arial" w:cs="Arial"/>
                <w:b/>
                <w:snapToGrid w:val="0"/>
                <w:lang w:val="es-ES"/>
              </w:rPr>
              <w:t>Materia activa</w:t>
            </w:r>
          </w:p>
        </w:tc>
        <w:tc>
          <w:tcPr>
            <w:tcW w:w="4404" w:type="dxa"/>
            <w:shd w:val="clear" w:color="auto" w:fill="D9D9D9"/>
            <w:vAlign w:val="center"/>
          </w:tcPr>
          <w:p w:rsidR="00503A41" w:rsidRPr="00993936" w:rsidRDefault="00503A41" w:rsidP="00424C28">
            <w:pPr>
              <w:widowControl w:val="0"/>
              <w:jc w:val="center"/>
              <w:rPr>
                <w:rFonts w:ascii="Arial" w:hAnsi="Arial" w:cs="Arial"/>
                <w:b/>
                <w:snapToGrid w:val="0"/>
                <w:lang w:val="es-ES"/>
              </w:rPr>
            </w:pPr>
            <w:r w:rsidRPr="00993936">
              <w:rPr>
                <w:rFonts w:ascii="Arial" w:hAnsi="Arial" w:cs="Arial"/>
                <w:b/>
                <w:snapToGrid w:val="0"/>
                <w:lang w:val="es-ES"/>
              </w:rPr>
              <w:t>Obligaciones</w:t>
            </w:r>
          </w:p>
        </w:tc>
      </w:tr>
      <w:tr w:rsidR="00503A41" w:rsidRPr="00993936" w:rsidTr="00424C28">
        <w:trPr>
          <w:trHeight w:val="400"/>
          <w:tblHeader/>
          <w:jc w:val="center"/>
        </w:trPr>
        <w:tc>
          <w:tcPr>
            <w:tcW w:w="4678" w:type="dxa"/>
            <w:vMerge w:val="restart"/>
            <w:shd w:val="clear" w:color="auto" w:fill="FFFFFF"/>
            <w:vAlign w:val="center"/>
          </w:tcPr>
          <w:p w:rsidR="00503A41" w:rsidRPr="00993936" w:rsidRDefault="00503A41" w:rsidP="00424C28">
            <w:pPr>
              <w:pStyle w:val="Textoindependiente"/>
              <w:jc w:val="left"/>
              <w:rPr>
                <w:rFonts w:cs="Arial"/>
                <w:lang w:val="es-ES"/>
              </w:rPr>
            </w:pPr>
            <w:r w:rsidRPr="00993936">
              <w:rPr>
                <w:rFonts w:cs="Arial"/>
                <w:lang w:val="es-ES"/>
              </w:rPr>
              <w:t>2,4-D + Glifosato (2)(3)(4)</w:t>
            </w:r>
          </w:p>
          <w:p w:rsidR="00503A41" w:rsidRPr="00993936" w:rsidRDefault="00503A41" w:rsidP="00424C28">
            <w:pPr>
              <w:pStyle w:val="Textoindependiente"/>
              <w:jc w:val="left"/>
              <w:rPr>
                <w:rFonts w:cs="Arial"/>
                <w:lang w:val="es-ES"/>
              </w:rPr>
            </w:pPr>
            <w:r w:rsidRPr="00993936">
              <w:rPr>
                <w:rFonts w:cs="Arial"/>
                <w:lang w:val="es-ES"/>
              </w:rPr>
              <w:t>Glifosato + piraflufen-etil (5)</w:t>
            </w:r>
          </w:p>
          <w:p w:rsidR="00503A41" w:rsidRPr="00993936" w:rsidRDefault="00503A41" w:rsidP="00424C28">
            <w:pPr>
              <w:pStyle w:val="Textoindependiente"/>
              <w:rPr>
                <w:rFonts w:cs="Arial"/>
                <w:lang w:val="es-ES"/>
              </w:rPr>
            </w:pPr>
            <w:r w:rsidRPr="00993936">
              <w:rPr>
                <w:rFonts w:cs="Arial"/>
                <w:lang w:val="es-ES"/>
              </w:rPr>
              <w:t>Carfentrazona-etil (2)</w:t>
            </w:r>
          </w:p>
          <w:p w:rsidR="00503A41" w:rsidRPr="00993936" w:rsidRDefault="00503A41" w:rsidP="00424C28">
            <w:pPr>
              <w:pStyle w:val="Textoindependiente"/>
              <w:rPr>
                <w:rFonts w:cs="Arial"/>
                <w:lang w:val="es-ES"/>
              </w:rPr>
            </w:pPr>
            <w:r w:rsidRPr="00993936">
              <w:rPr>
                <w:rFonts w:cs="Arial"/>
                <w:lang w:val="es-ES"/>
              </w:rPr>
              <w:t>Diflufenicán + Glifosato</w:t>
            </w:r>
          </w:p>
          <w:p w:rsidR="00503A41" w:rsidRPr="00993936" w:rsidRDefault="00503A41" w:rsidP="00424C28">
            <w:pPr>
              <w:pStyle w:val="Textoindependiente"/>
              <w:rPr>
                <w:rFonts w:cs="Arial"/>
                <w:lang w:val="es-ES"/>
              </w:rPr>
            </w:pPr>
            <w:r w:rsidRPr="00993936">
              <w:rPr>
                <w:rFonts w:cs="Arial"/>
                <w:lang w:val="es-ES"/>
              </w:rPr>
              <w:t>Fluazifop-p-butil (1)(2)</w:t>
            </w:r>
          </w:p>
          <w:p w:rsidR="00503A41" w:rsidRPr="00993936" w:rsidRDefault="00503A41" w:rsidP="00424C28">
            <w:pPr>
              <w:pStyle w:val="Textoindependiente"/>
              <w:rPr>
                <w:rFonts w:cs="Arial"/>
                <w:lang w:val="es-ES"/>
              </w:rPr>
            </w:pPr>
            <w:r w:rsidRPr="00993936">
              <w:rPr>
                <w:rFonts w:cs="Arial"/>
                <w:lang w:val="es-ES"/>
              </w:rPr>
              <w:t>Fluroxipir (2)</w:t>
            </w:r>
          </w:p>
          <w:p w:rsidR="00503A41" w:rsidRPr="00993936" w:rsidRDefault="00503A41" w:rsidP="00424C28">
            <w:pPr>
              <w:pStyle w:val="Textoindependiente"/>
              <w:rPr>
                <w:rFonts w:cs="Arial"/>
                <w:lang w:val="es-ES"/>
              </w:rPr>
            </w:pPr>
            <w:r w:rsidRPr="00993936">
              <w:rPr>
                <w:rFonts w:cs="Arial"/>
                <w:lang w:val="es-ES"/>
              </w:rPr>
              <w:t>Glifosato</w:t>
            </w:r>
          </w:p>
          <w:p w:rsidR="00503A41" w:rsidRPr="00993936" w:rsidRDefault="00503A41" w:rsidP="00424C28">
            <w:pPr>
              <w:pStyle w:val="Textoindependiente"/>
              <w:rPr>
                <w:rFonts w:cs="Arial"/>
                <w:lang w:val="es-ES"/>
              </w:rPr>
            </w:pPr>
            <w:r w:rsidRPr="00993936">
              <w:rPr>
                <w:rFonts w:cs="Arial"/>
                <w:lang w:val="es-ES"/>
              </w:rPr>
              <w:t>Glufosinato (1)(2)</w:t>
            </w:r>
          </w:p>
          <w:p w:rsidR="00503A41" w:rsidRPr="00993936" w:rsidRDefault="00503A41" w:rsidP="00424C28">
            <w:pPr>
              <w:pStyle w:val="Textoindependiente"/>
              <w:jc w:val="left"/>
              <w:rPr>
                <w:rFonts w:cs="Arial"/>
                <w:lang w:val="es-ES"/>
              </w:rPr>
            </w:pPr>
            <w:r w:rsidRPr="00993936">
              <w:rPr>
                <w:rFonts w:cs="Arial"/>
                <w:lang w:val="es-ES"/>
              </w:rPr>
              <w:t>MCPA</w:t>
            </w:r>
          </w:p>
          <w:p w:rsidR="00503A41" w:rsidRPr="00993936" w:rsidRDefault="00503A41" w:rsidP="00424C28">
            <w:pPr>
              <w:pStyle w:val="Textoindependiente"/>
              <w:jc w:val="left"/>
              <w:rPr>
                <w:rFonts w:cs="Arial"/>
                <w:i/>
                <w:sz w:val="18"/>
                <w:szCs w:val="18"/>
                <w:lang w:val="es-ES"/>
              </w:rPr>
            </w:pPr>
            <w:r w:rsidRPr="00993936">
              <w:rPr>
                <w:rFonts w:cs="Arial"/>
                <w:lang w:val="es-ES"/>
              </w:rPr>
              <w:t xml:space="preserve">Napropamida (1)(2) </w:t>
            </w:r>
          </w:p>
          <w:p w:rsidR="00503A41" w:rsidRPr="00993936" w:rsidRDefault="00503A41" w:rsidP="00424C28">
            <w:pPr>
              <w:pStyle w:val="Textoindependiente"/>
              <w:tabs>
                <w:tab w:val="left" w:pos="3750"/>
              </w:tabs>
              <w:jc w:val="left"/>
              <w:rPr>
                <w:rFonts w:cs="Arial"/>
                <w:sz w:val="18"/>
                <w:szCs w:val="18"/>
                <w:lang w:val="es-ES"/>
              </w:rPr>
            </w:pPr>
            <w:r w:rsidRPr="00993936">
              <w:rPr>
                <w:rFonts w:cs="Arial"/>
                <w:lang w:val="es-ES"/>
              </w:rPr>
              <w:t>Oxifluorfén (1)(2) (6)</w:t>
            </w:r>
          </w:p>
          <w:p w:rsidR="00503A41" w:rsidRPr="00993936" w:rsidRDefault="00503A41" w:rsidP="00424C28">
            <w:pPr>
              <w:pStyle w:val="Textoindependiente"/>
              <w:rPr>
                <w:rFonts w:cs="Arial"/>
                <w:b/>
                <w:lang w:val="es-ES"/>
              </w:rPr>
            </w:pPr>
            <w:r w:rsidRPr="00993936">
              <w:rPr>
                <w:rFonts w:cs="Arial"/>
                <w:lang w:val="es-ES"/>
              </w:rPr>
              <w:t>Pendimetalina (1)(2)</w:t>
            </w:r>
          </w:p>
          <w:p w:rsidR="00503A41" w:rsidRPr="00993936" w:rsidRDefault="00503A41" w:rsidP="00424C28">
            <w:pPr>
              <w:pStyle w:val="Textoindependiente"/>
              <w:jc w:val="left"/>
              <w:rPr>
                <w:rFonts w:cs="Arial"/>
                <w:lang w:val="es-ES"/>
              </w:rPr>
            </w:pPr>
            <w:r w:rsidRPr="00993936">
              <w:rPr>
                <w:rFonts w:cs="Arial"/>
                <w:lang w:val="es-ES"/>
              </w:rPr>
              <w:t>Piraflufen-etil</w:t>
            </w:r>
          </w:p>
          <w:p w:rsidR="00503A41" w:rsidRPr="00993936" w:rsidRDefault="00503A41" w:rsidP="00424C28">
            <w:pPr>
              <w:pStyle w:val="Textoindependiente"/>
              <w:jc w:val="left"/>
              <w:rPr>
                <w:rFonts w:cs="Arial"/>
                <w:lang w:val="es-ES"/>
              </w:rPr>
            </w:pPr>
            <w:r w:rsidRPr="00993936">
              <w:rPr>
                <w:rFonts w:cs="Arial"/>
                <w:lang w:val="es-ES"/>
              </w:rPr>
              <w:t>Propaquizafop</w:t>
            </w:r>
          </w:p>
          <w:p w:rsidR="00503A41" w:rsidRPr="00993936" w:rsidDel="008A3CB6" w:rsidRDefault="00503A41" w:rsidP="00424C28">
            <w:pPr>
              <w:pStyle w:val="Textoindependiente"/>
              <w:rPr>
                <w:rFonts w:cs="Arial"/>
                <w:b/>
                <w:lang w:val="es-ES"/>
              </w:rPr>
            </w:pPr>
            <w:r w:rsidRPr="00993936">
              <w:rPr>
                <w:rFonts w:cs="Arial"/>
                <w:lang w:val="es-ES"/>
              </w:rPr>
              <w:t xml:space="preserve">Quizalofop-p-etil  </w:t>
            </w:r>
          </w:p>
          <w:p w:rsidR="00503A41" w:rsidRPr="00993936" w:rsidRDefault="00503A41" w:rsidP="00424C28">
            <w:pPr>
              <w:pStyle w:val="Textoindependiente"/>
              <w:rPr>
                <w:rFonts w:cs="Arial"/>
                <w:b/>
                <w:lang w:val="es-ES"/>
              </w:rPr>
            </w:pPr>
          </w:p>
        </w:tc>
        <w:tc>
          <w:tcPr>
            <w:tcW w:w="4404" w:type="dxa"/>
            <w:shd w:val="clear" w:color="auto" w:fill="FFFFFF"/>
            <w:vAlign w:val="center"/>
          </w:tcPr>
          <w:p w:rsidR="00503A41" w:rsidRPr="00993936" w:rsidRDefault="00503A41" w:rsidP="009D1A2D">
            <w:pPr>
              <w:pStyle w:val="Prrafodelista"/>
              <w:widowControl w:val="0"/>
              <w:numPr>
                <w:ilvl w:val="0"/>
                <w:numId w:val="22"/>
              </w:numPr>
              <w:spacing w:after="0" w:line="240" w:lineRule="auto"/>
              <w:jc w:val="both"/>
              <w:rPr>
                <w:rFonts w:ascii="Arial" w:hAnsi="Arial" w:cs="Arial"/>
                <w:snapToGrid w:val="0"/>
                <w:lang w:val="es-ES"/>
              </w:rPr>
            </w:pPr>
            <w:r w:rsidRPr="00993936">
              <w:rPr>
                <w:rFonts w:ascii="Arial" w:hAnsi="Arial" w:cs="Arial"/>
                <w:snapToGrid w:val="0"/>
                <w:lang w:val="es-ES"/>
              </w:rPr>
              <w:t>Controlar las malas hierbas, siempre que sea posible, con medios físicos, mecánicos, biológicos o aquellos que ofrezcan el menor riesgo de emisiones de CO</w:t>
            </w:r>
            <w:r w:rsidRPr="00993936">
              <w:rPr>
                <w:rFonts w:ascii="Arial" w:hAnsi="Arial" w:cs="Arial"/>
                <w:snapToGrid w:val="0"/>
                <w:vertAlign w:val="subscript"/>
                <w:lang w:val="es-ES"/>
              </w:rPr>
              <w:t>2</w:t>
            </w:r>
            <w:r w:rsidRPr="00993936">
              <w:rPr>
                <w:rFonts w:ascii="Arial" w:hAnsi="Arial" w:cs="Arial"/>
                <w:snapToGrid w:val="0"/>
                <w:lang w:val="es-ES"/>
              </w:rPr>
              <w:t>. Cuando los medios señalados anteriormente no permitan un control adecuado de las malas hierbas, se podrá justificar la aplicación de alguno de los herbicidas que figuran en esta tabla</w:t>
            </w:r>
            <w:r w:rsidRPr="00993936">
              <w:rPr>
                <w:rFonts w:ascii="Arial" w:hAnsi="Arial" w:cs="Arial"/>
                <w:snapToGrid w:val="0"/>
                <w:vanish/>
                <w:lang w:val="es-ES"/>
              </w:rPr>
              <w:t>&lt;A[mesa|tabla]&gt;</w:t>
            </w:r>
            <w:r w:rsidRPr="00993936">
              <w:rPr>
                <w:rFonts w:ascii="Arial" w:hAnsi="Arial" w:cs="Arial"/>
                <w:snapToGrid w:val="0"/>
                <w:lang w:val="es-ES"/>
              </w:rPr>
              <w:t>.</w:t>
            </w:r>
          </w:p>
          <w:p w:rsidR="00503A41" w:rsidRPr="00993936" w:rsidRDefault="00503A41" w:rsidP="00424C28">
            <w:pPr>
              <w:pStyle w:val="Prrafodelista"/>
              <w:widowControl w:val="0"/>
              <w:jc w:val="both"/>
              <w:rPr>
                <w:rFonts w:ascii="Arial" w:hAnsi="Arial" w:cs="Arial"/>
                <w:snapToGrid w:val="0"/>
                <w:lang w:val="es-ES"/>
              </w:rPr>
            </w:pPr>
          </w:p>
          <w:p w:rsidR="00503A41" w:rsidRPr="00993936" w:rsidRDefault="00503A41" w:rsidP="009D1A2D">
            <w:pPr>
              <w:pStyle w:val="Prrafodelista"/>
              <w:widowControl w:val="0"/>
              <w:numPr>
                <w:ilvl w:val="0"/>
                <w:numId w:val="23"/>
              </w:numPr>
              <w:spacing w:after="0" w:line="240" w:lineRule="auto"/>
              <w:jc w:val="both"/>
              <w:rPr>
                <w:rFonts w:ascii="Arial" w:hAnsi="Arial" w:cs="Arial"/>
                <w:snapToGrid w:val="0"/>
                <w:lang w:val="es-ES"/>
              </w:rPr>
            </w:pPr>
            <w:r w:rsidRPr="00993936">
              <w:rPr>
                <w:rFonts w:ascii="Arial" w:hAnsi="Arial" w:cs="Arial"/>
                <w:snapToGrid w:val="0"/>
                <w:lang w:val="es-ES"/>
              </w:rPr>
              <w:t>Las materias activas a utilizar serán seleccionadas de acuerdo con los criterios de menor peligrosidad para los humanos, la fauna silvestre y el medio ambiente, y que proporcionen un control efectivo de la mala hierba.</w:t>
            </w:r>
          </w:p>
          <w:p w:rsidR="00503A41" w:rsidRPr="00993936" w:rsidRDefault="00503A41" w:rsidP="00424C28">
            <w:pPr>
              <w:widowControl w:val="0"/>
              <w:jc w:val="center"/>
              <w:rPr>
                <w:rFonts w:ascii="Arial" w:hAnsi="Arial" w:cs="Arial"/>
                <w:b/>
                <w:snapToGrid w:val="0"/>
                <w:lang w:val="es-ES"/>
              </w:rPr>
            </w:pPr>
          </w:p>
        </w:tc>
      </w:tr>
      <w:tr w:rsidR="00503A41" w:rsidRPr="00993936" w:rsidTr="00424C28">
        <w:trPr>
          <w:trHeight w:val="400"/>
          <w:tblHeader/>
          <w:jc w:val="center"/>
        </w:trPr>
        <w:tc>
          <w:tcPr>
            <w:tcW w:w="4678" w:type="dxa"/>
            <w:vMerge/>
            <w:shd w:val="clear" w:color="auto" w:fill="FFFFFF"/>
            <w:vAlign w:val="center"/>
          </w:tcPr>
          <w:p w:rsidR="00503A41" w:rsidRPr="00993936" w:rsidRDefault="00503A41" w:rsidP="00424C28">
            <w:pPr>
              <w:pStyle w:val="Textoindependiente"/>
              <w:rPr>
                <w:rFonts w:cs="Arial"/>
                <w:b/>
                <w:lang w:val="es-ES"/>
              </w:rPr>
            </w:pPr>
          </w:p>
        </w:tc>
        <w:tc>
          <w:tcPr>
            <w:tcW w:w="4404" w:type="dxa"/>
            <w:shd w:val="clear" w:color="auto" w:fill="D9D9D9"/>
            <w:vAlign w:val="center"/>
          </w:tcPr>
          <w:p w:rsidR="00503A41" w:rsidRPr="00993936" w:rsidRDefault="00503A41" w:rsidP="00424C28">
            <w:pPr>
              <w:widowControl w:val="0"/>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424C28">
        <w:trPr>
          <w:cantSplit/>
          <w:trHeight w:val="2094"/>
          <w:jc w:val="center"/>
        </w:trPr>
        <w:tc>
          <w:tcPr>
            <w:tcW w:w="4678" w:type="dxa"/>
            <w:vMerge/>
            <w:shd w:val="clear" w:color="auto" w:fill="FFFFFF"/>
            <w:vAlign w:val="center"/>
          </w:tcPr>
          <w:p w:rsidR="00503A41" w:rsidRPr="00993936" w:rsidRDefault="00503A41" w:rsidP="00424C28">
            <w:pPr>
              <w:pStyle w:val="Textoindependiente"/>
              <w:rPr>
                <w:rFonts w:cs="Arial"/>
                <w:b/>
                <w:lang w:val="es-ES"/>
              </w:rPr>
            </w:pPr>
          </w:p>
        </w:tc>
        <w:tc>
          <w:tcPr>
            <w:tcW w:w="4404" w:type="dxa"/>
            <w:shd w:val="clear" w:color="auto" w:fill="FFFFFF"/>
            <w:vAlign w:val="center"/>
          </w:tcPr>
          <w:p w:rsidR="00503A41" w:rsidRPr="00993936" w:rsidRDefault="00503A41" w:rsidP="00424C28">
            <w:pPr>
              <w:widowControl w:val="0"/>
              <w:ind w:left="284"/>
              <w:jc w:val="both"/>
              <w:rPr>
                <w:rFonts w:ascii="Arial" w:hAnsi="Arial" w:cs="Arial"/>
                <w:snapToGrid w:val="0"/>
                <w:lang w:val="es-ES"/>
              </w:rPr>
            </w:pPr>
          </w:p>
          <w:p w:rsidR="00503A41" w:rsidRPr="00993936" w:rsidRDefault="00503A41" w:rsidP="00424C28">
            <w:pPr>
              <w:widowControl w:val="0"/>
              <w:rPr>
                <w:rFonts w:ascii="Arial" w:hAnsi="Arial" w:cs="Arial"/>
                <w:snapToGrid w:val="0"/>
                <w:lang w:val="es-ES"/>
              </w:rPr>
            </w:pPr>
          </w:p>
          <w:p w:rsidR="00503A41" w:rsidRPr="00993936" w:rsidRDefault="00503A41" w:rsidP="009D1A2D">
            <w:pPr>
              <w:widowControl w:val="0"/>
              <w:numPr>
                <w:ilvl w:val="0"/>
                <w:numId w:val="106"/>
              </w:numPr>
              <w:tabs>
                <w:tab w:val="clear" w:pos="737"/>
                <w:tab w:val="num" w:pos="644"/>
              </w:tabs>
              <w:spacing w:after="0" w:line="240" w:lineRule="auto"/>
              <w:ind w:left="644" w:hanging="360"/>
              <w:rPr>
                <w:rFonts w:ascii="Arial" w:hAnsi="Arial" w:cs="Arial"/>
                <w:snapToGrid w:val="0"/>
                <w:lang w:val="es-ES"/>
              </w:rPr>
            </w:pPr>
            <w:r w:rsidRPr="00993936">
              <w:rPr>
                <w:rFonts w:ascii="Arial" w:hAnsi="Arial" w:cs="Arial"/>
                <w:snapToGrid w:val="0"/>
                <w:lang w:val="es-ES"/>
              </w:rPr>
              <w:t>Almendras, pistacho y nueces</w:t>
            </w:r>
          </w:p>
          <w:p w:rsidR="00503A41" w:rsidRPr="00993936" w:rsidRDefault="00503A41" w:rsidP="009D1A2D">
            <w:pPr>
              <w:widowControl w:val="0"/>
              <w:numPr>
                <w:ilvl w:val="0"/>
                <w:numId w:val="106"/>
              </w:numPr>
              <w:tabs>
                <w:tab w:val="clear" w:pos="737"/>
                <w:tab w:val="num" w:pos="644"/>
              </w:tabs>
              <w:spacing w:after="0" w:line="240" w:lineRule="auto"/>
              <w:ind w:left="644" w:hanging="360"/>
              <w:rPr>
                <w:rFonts w:ascii="Arial" w:hAnsi="Arial" w:cs="Arial"/>
                <w:snapToGrid w:val="0"/>
                <w:lang w:val="es-ES"/>
              </w:rPr>
            </w:pPr>
            <w:r w:rsidRPr="00993936">
              <w:rPr>
                <w:rFonts w:ascii="Arial" w:hAnsi="Arial" w:cs="Arial"/>
                <w:snapToGrid w:val="0"/>
                <w:lang w:val="es-ES"/>
              </w:rPr>
              <w:t>Avellanas</w:t>
            </w:r>
          </w:p>
          <w:p w:rsidR="00503A41" w:rsidRPr="00993936" w:rsidRDefault="00503A41" w:rsidP="009D1A2D">
            <w:pPr>
              <w:widowControl w:val="0"/>
              <w:numPr>
                <w:ilvl w:val="0"/>
                <w:numId w:val="106"/>
              </w:numPr>
              <w:tabs>
                <w:tab w:val="clear" w:pos="737"/>
                <w:tab w:val="num" w:pos="644"/>
              </w:tabs>
              <w:spacing w:after="0" w:line="240" w:lineRule="auto"/>
              <w:ind w:left="644" w:hanging="360"/>
              <w:rPr>
                <w:rFonts w:ascii="Arial" w:hAnsi="Arial" w:cs="Arial"/>
                <w:snapToGrid w:val="0"/>
                <w:lang w:val="es-ES"/>
              </w:rPr>
            </w:pPr>
            <w:r w:rsidRPr="00993936">
              <w:rPr>
                <w:rFonts w:ascii="Arial" w:hAnsi="Arial" w:cs="Arial"/>
                <w:snapToGrid w:val="0"/>
                <w:lang w:val="es-ES"/>
              </w:rPr>
              <w:t>Nueces</w:t>
            </w:r>
          </w:p>
          <w:p w:rsidR="00503A41" w:rsidRPr="00993936" w:rsidRDefault="00503A41" w:rsidP="009D1A2D">
            <w:pPr>
              <w:widowControl w:val="0"/>
              <w:numPr>
                <w:ilvl w:val="0"/>
                <w:numId w:val="106"/>
              </w:numPr>
              <w:tabs>
                <w:tab w:val="clear" w:pos="737"/>
                <w:tab w:val="num" w:pos="644"/>
              </w:tabs>
              <w:spacing w:after="0" w:line="240" w:lineRule="auto"/>
              <w:ind w:left="644" w:hanging="360"/>
              <w:rPr>
                <w:rFonts w:ascii="Arial" w:hAnsi="Arial" w:cs="Arial"/>
                <w:snapToGrid w:val="0"/>
                <w:lang w:val="es-ES"/>
              </w:rPr>
            </w:pPr>
            <w:r w:rsidRPr="00993936">
              <w:rPr>
                <w:rFonts w:ascii="Arial" w:hAnsi="Arial" w:cs="Arial"/>
                <w:snapToGrid w:val="0"/>
                <w:lang w:val="es-ES"/>
              </w:rPr>
              <w:t xml:space="preserve">Almendro </w:t>
            </w:r>
          </w:p>
          <w:p w:rsidR="00503A41" w:rsidRPr="00993936" w:rsidRDefault="00503A41" w:rsidP="009D1A2D">
            <w:pPr>
              <w:widowControl w:val="0"/>
              <w:numPr>
                <w:ilvl w:val="0"/>
                <w:numId w:val="106"/>
              </w:numPr>
              <w:tabs>
                <w:tab w:val="clear" w:pos="737"/>
                <w:tab w:val="num" w:pos="644"/>
              </w:tabs>
              <w:spacing w:after="0" w:line="240" w:lineRule="auto"/>
              <w:ind w:left="644" w:hanging="360"/>
              <w:rPr>
                <w:rFonts w:ascii="Arial" w:hAnsi="Arial" w:cs="Arial"/>
                <w:snapToGrid w:val="0"/>
                <w:lang w:val="es-ES"/>
              </w:rPr>
            </w:pPr>
            <w:r w:rsidRPr="00993936">
              <w:rPr>
                <w:rFonts w:ascii="Arial" w:hAnsi="Arial" w:cs="Arial"/>
                <w:snapToGrid w:val="0"/>
                <w:lang w:val="es-ES"/>
              </w:rPr>
              <w:t>Sólo formulaciones comerciales registradas.</w:t>
            </w:r>
          </w:p>
          <w:p w:rsidR="00503A41" w:rsidRPr="00993936" w:rsidRDefault="00503A41" w:rsidP="009D1A2D">
            <w:pPr>
              <w:widowControl w:val="0"/>
              <w:numPr>
                <w:ilvl w:val="0"/>
                <w:numId w:val="106"/>
              </w:numPr>
              <w:tabs>
                <w:tab w:val="clear" w:pos="737"/>
                <w:tab w:val="num" w:pos="644"/>
              </w:tabs>
              <w:spacing w:after="0" w:line="240" w:lineRule="auto"/>
              <w:ind w:left="644" w:hanging="360"/>
              <w:rPr>
                <w:rFonts w:ascii="Arial" w:hAnsi="Arial" w:cs="Arial"/>
                <w:snapToGrid w:val="0"/>
                <w:lang w:val="es-ES"/>
              </w:rPr>
            </w:pPr>
            <w:r w:rsidRPr="00993936">
              <w:rPr>
                <w:rFonts w:ascii="Arial" w:hAnsi="Arial" w:cs="Arial"/>
                <w:snapToGrid w:val="0"/>
                <w:lang w:val="es-ES"/>
              </w:rPr>
              <w:t>Desde octubre hasta primavera</w:t>
            </w:r>
          </w:p>
          <w:p w:rsidR="00503A41" w:rsidRPr="00993936" w:rsidRDefault="00503A41" w:rsidP="00424C28">
            <w:pPr>
              <w:widowControl w:val="0"/>
              <w:ind w:left="644"/>
              <w:rPr>
                <w:rFonts w:ascii="Arial" w:hAnsi="Arial" w:cs="Arial"/>
                <w:snapToGrid w:val="0"/>
                <w:lang w:val="es-ES"/>
              </w:rPr>
            </w:pPr>
          </w:p>
        </w:tc>
      </w:tr>
    </w:tbl>
    <w:p w:rsidR="00503A41" w:rsidRPr="00993936" w:rsidRDefault="00503A41" w:rsidP="00424C28">
      <w:pPr>
        <w:pStyle w:val="Sangradetextonormal"/>
        <w:ind w:left="0"/>
        <w:rPr>
          <w:rFonts w:cs="Arial"/>
          <w:b/>
          <w:lang w:val="es-ES"/>
        </w:rPr>
      </w:pPr>
    </w:p>
    <w:p w:rsidR="00503A41" w:rsidRPr="00993936" w:rsidRDefault="00503A41" w:rsidP="00424C28">
      <w:pPr>
        <w:pStyle w:val="Sangradetextonormal"/>
        <w:ind w:left="0"/>
        <w:jc w:val="both"/>
        <w:rPr>
          <w:rFonts w:cs="Arial"/>
          <w:b/>
          <w:lang w:val="es-ES"/>
        </w:rPr>
      </w:pPr>
      <w:r w:rsidRPr="00993936">
        <w:rPr>
          <w:rFonts w:cs="Arial"/>
          <w:lang w:val="es-ES"/>
        </w:rPr>
        <w:br w:type="page"/>
      </w:r>
      <w:r w:rsidRPr="00993936">
        <w:rPr>
          <w:rFonts w:cs="Arial"/>
          <w:b/>
          <w:lang w:val="es-ES"/>
        </w:rPr>
        <w:lastRenderedPageBreak/>
        <w:t>1.2 Materias activas de herbicidas para la producción integrada de Frutos secos con indicación del código de resistencia HRAC</w:t>
      </w:r>
    </w:p>
    <w:p w:rsidR="00503A41" w:rsidRPr="00993936" w:rsidRDefault="00503A41" w:rsidP="00424C28">
      <w:pPr>
        <w:pStyle w:val="Textoindependiente2"/>
        <w:rPr>
          <w:rFonts w:cs="Arial"/>
          <w:lang w:val="es-ES"/>
        </w:rPr>
      </w:pPr>
    </w:p>
    <w:p w:rsidR="00503A41" w:rsidRPr="00993936" w:rsidRDefault="00503A41" w:rsidP="00424C28">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424C28">
        <w:trPr>
          <w:trHeight w:val="393"/>
        </w:trPr>
        <w:tc>
          <w:tcPr>
            <w:tcW w:w="5000" w:type="pct"/>
            <w:gridSpan w:val="2"/>
            <w:shd w:val="solid" w:color="C0C0C0" w:fill="auto"/>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TIPO DE HERBICIDAS</w:t>
            </w:r>
          </w:p>
        </w:tc>
      </w:tr>
      <w:tr w:rsidR="00503A41" w:rsidRPr="00993936" w:rsidTr="00424C28">
        <w:trPr>
          <w:trHeight w:val="270"/>
        </w:trPr>
        <w:tc>
          <w:tcPr>
            <w:tcW w:w="2500" w:type="pct"/>
            <w:vMerge w:val="restart"/>
            <w:shd w:val="solid" w:color="C0C0C0" w:fill="auto"/>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xml:space="preserve">Materia activa </w:t>
            </w:r>
          </w:p>
        </w:tc>
        <w:tc>
          <w:tcPr>
            <w:tcW w:w="2500" w:type="pct"/>
            <w:shd w:val="solid" w:color="C0C0C0"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Indicación del código de resistencia</w:t>
            </w:r>
          </w:p>
        </w:tc>
      </w:tr>
      <w:tr w:rsidR="00503A41" w:rsidRPr="00993936" w:rsidTr="00424C28">
        <w:trPr>
          <w:trHeight w:val="270"/>
        </w:trPr>
        <w:tc>
          <w:tcPr>
            <w:tcW w:w="2500" w:type="pct"/>
            <w:vMerge/>
            <w:shd w:val="solid" w:color="C0C0C0" w:fill="auto"/>
          </w:tcPr>
          <w:p w:rsidR="00503A41" w:rsidRPr="00993936" w:rsidRDefault="00503A41" w:rsidP="001D205D">
            <w:pPr>
              <w:pStyle w:val="Sinespaciado"/>
              <w:rPr>
                <w:rFonts w:ascii="Arial" w:hAnsi="Arial" w:cs="Arial"/>
                <w:lang w:val="es-ES" w:eastAsia="ca-ES"/>
              </w:rPr>
            </w:pPr>
          </w:p>
        </w:tc>
        <w:tc>
          <w:tcPr>
            <w:tcW w:w="2500" w:type="pct"/>
            <w:shd w:val="solid" w:color="C0C0C0"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HRAC (*)</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2,4-D + Glifosato</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O+G</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Carfentrazona-etil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E</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Diflufenicán + Glifosato</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F1+G</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Fluazifop-p-butil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A</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xml:space="preserve">Fluroxipir </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O</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Glifosato</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G</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Glifosato + Piraflufen-etil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G+E</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Glufosinato</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H</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MCPA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O</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Napropamida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K3</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Oxifluorfén</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E</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Pendimetalina</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K1</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Piraflufen-etil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E</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Propaquizafop</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A</w:t>
            </w:r>
          </w:p>
        </w:tc>
      </w:tr>
      <w:tr w:rsidR="00503A41" w:rsidRPr="00993936" w:rsidTr="00424C28">
        <w:trPr>
          <w:trHeight w:val="270"/>
        </w:trPr>
        <w:tc>
          <w:tcPr>
            <w:tcW w:w="2500" w:type="pct"/>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Quizalofop-p-etil</w:t>
            </w:r>
          </w:p>
        </w:tc>
        <w:tc>
          <w:tcPr>
            <w:tcW w:w="2500" w:type="pct"/>
            <w:shd w:val="solid" w:color="FFFFFF" w:fill="auto"/>
          </w:tcPr>
          <w:p w:rsidR="00503A41" w:rsidRPr="00993936" w:rsidRDefault="00503A41" w:rsidP="001D205D">
            <w:pPr>
              <w:pStyle w:val="Sinespaciado"/>
              <w:jc w:val="center"/>
              <w:rPr>
                <w:rFonts w:ascii="Arial" w:hAnsi="Arial" w:cs="Arial"/>
                <w:lang w:val="es-ES" w:eastAsia="ca-ES"/>
              </w:rPr>
            </w:pPr>
            <w:r w:rsidRPr="00993936">
              <w:rPr>
                <w:rFonts w:ascii="Arial" w:hAnsi="Arial" w:cs="Arial"/>
                <w:lang w:val="es-ES" w:eastAsia="ca-ES"/>
              </w:rPr>
              <w:t>A</w:t>
            </w:r>
          </w:p>
        </w:tc>
      </w:tr>
      <w:tr w:rsidR="00503A41" w:rsidRPr="00993936" w:rsidTr="00424C28">
        <w:trPr>
          <w:trHeight w:val="270"/>
        </w:trPr>
        <w:tc>
          <w:tcPr>
            <w:tcW w:w="5000" w:type="pct"/>
            <w:gridSpan w:val="2"/>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(HRAC) diferentes</w:t>
            </w:r>
          </w:p>
        </w:tc>
      </w:tr>
      <w:tr w:rsidR="00503A41" w:rsidRPr="00993936" w:rsidTr="00424C28">
        <w:trPr>
          <w:trHeight w:val="270"/>
        </w:trPr>
        <w:tc>
          <w:tcPr>
            <w:tcW w:w="5000" w:type="pct"/>
            <w:gridSpan w:val="2"/>
            <w:shd w:val="solid" w:color="FFFFFF"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Fuente: Comité de Acción de Resistencia en Herbicidas</w:t>
            </w:r>
          </w:p>
        </w:tc>
      </w:tr>
    </w:tbl>
    <w:p w:rsidR="00503A41" w:rsidRPr="00993936" w:rsidRDefault="00503A41" w:rsidP="00424C28">
      <w:pPr>
        <w:pStyle w:val="Textoindependiente2"/>
        <w:rPr>
          <w:rFonts w:cs="Arial"/>
          <w:lang w:val="es-ES"/>
        </w:rPr>
      </w:pPr>
    </w:p>
    <w:p w:rsidR="00503A41" w:rsidRPr="00993936" w:rsidRDefault="00503A41" w:rsidP="00424C28">
      <w:pPr>
        <w:rPr>
          <w:rFonts w:ascii="Arial" w:hAnsi="Arial" w:cs="Arial"/>
          <w:lang w:val="es-ES"/>
        </w:rPr>
      </w:pPr>
    </w:p>
    <w:p w:rsidR="00503A41" w:rsidRPr="00993936" w:rsidRDefault="00503A41" w:rsidP="00424C28">
      <w:pPr>
        <w:rPr>
          <w:rFonts w:ascii="Arial" w:hAnsi="Arial" w:cs="Arial"/>
          <w:lang w:val="es-ES"/>
        </w:rPr>
        <w:sectPr w:rsidR="00503A41" w:rsidRPr="00993936" w:rsidSect="00424C28">
          <w:pgSz w:w="11906" w:h="16838"/>
          <w:pgMar w:top="1417" w:right="1701" w:bottom="1417" w:left="1701" w:header="708" w:footer="708" w:gutter="0"/>
          <w:cols w:space="708"/>
          <w:docGrid w:linePitch="360"/>
        </w:sectPr>
      </w:pPr>
    </w:p>
    <w:p w:rsidR="00503A41" w:rsidRPr="00993936" w:rsidRDefault="00503A41" w:rsidP="00424C28">
      <w:pPr>
        <w:pStyle w:val="Ttulo2"/>
        <w:rPr>
          <w:rFonts w:ascii="Arial" w:hAnsi="Arial" w:cs="Arial"/>
          <w:color w:val="auto"/>
          <w:lang w:val="es-ES"/>
        </w:rPr>
      </w:pPr>
      <w:r w:rsidRPr="00993936">
        <w:rPr>
          <w:rFonts w:ascii="Arial" w:hAnsi="Arial" w:cs="Arial"/>
          <w:color w:val="auto"/>
          <w:lang w:val="es-ES"/>
        </w:rPr>
        <w:lastRenderedPageBreak/>
        <w:t>ANEXO 2</w:t>
      </w:r>
    </w:p>
    <w:p w:rsidR="00503A41" w:rsidRPr="00993936" w:rsidRDefault="00503A41" w:rsidP="00424C28">
      <w:pPr>
        <w:pStyle w:val="Sangradetextonormal"/>
        <w:ind w:left="0"/>
        <w:rPr>
          <w:rFonts w:cs="Arial"/>
          <w:b/>
          <w:lang w:val="es-ES"/>
        </w:rPr>
      </w:pPr>
      <w:r w:rsidRPr="00993936">
        <w:rPr>
          <w:rFonts w:cs="Arial"/>
          <w:b/>
          <w:lang w:val="es-ES"/>
        </w:rPr>
        <w:t>2.1 Materias activas de insecticidas para la Producción Integrada de frutos secos</w:t>
      </w:r>
    </w:p>
    <w:p w:rsidR="00503A41" w:rsidRPr="00993936" w:rsidRDefault="00503A41" w:rsidP="00424C28">
      <w:pPr>
        <w:pStyle w:val="Sangradetextonormal"/>
        <w:ind w:left="0"/>
        <w:rPr>
          <w:rFonts w:cs="Arial"/>
          <w:b/>
          <w:lang w:val="es-ES"/>
        </w:rPr>
      </w:pPr>
    </w:p>
    <w:p w:rsidR="00503A41" w:rsidRPr="00993936" w:rsidRDefault="00503A41" w:rsidP="00424C28">
      <w:pPr>
        <w:pStyle w:val="Sangradetextonormal"/>
        <w:ind w:left="0"/>
        <w:rPr>
          <w:rFonts w:cs="Arial"/>
          <w:b/>
          <w:lang w:val="es-ES"/>
        </w:rPr>
      </w:pPr>
      <w:r w:rsidRPr="00993936">
        <w:rPr>
          <w:rFonts w:cs="Arial"/>
          <w:b/>
          <w:lang w:val="es-ES"/>
        </w:rPr>
        <w:t>2.1.1 Almendro</w:t>
      </w:r>
    </w:p>
    <w:p w:rsidR="00503A41" w:rsidRPr="00993936" w:rsidRDefault="00503A41" w:rsidP="00424C28">
      <w:pPr>
        <w:pStyle w:val="Sangradetextonormal"/>
        <w:ind w:left="0"/>
        <w:rPr>
          <w:rFonts w:cs="Arial"/>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3338"/>
        <w:gridCol w:w="4111"/>
        <w:gridCol w:w="2458"/>
      </w:tblGrid>
      <w:tr w:rsidR="00503A41" w:rsidRPr="00993936" w:rsidTr="00424C28">
        <w:trPr>
          <w:jc w:val="center"/>
        </w:trPr>
        <w:tc>
          <w:tcPr>
            <w:tcW w:w="3686" w:type="dxa"/>
            <w:shd w:val="pct12" w:color="auto" w:fill="FFFFFF"/>
          </w:tcPr>
          <w:p w:rsidR="00503A41" w:rsidRPr="00993936" w:rsidRDefault="00503A41" w:rsidP="007003E1">
            <w:pPr>
              <w:pStyle w:val="Sinespaciado"/>
              <w:rPr>
                <w:rFonts w:ascii="Arial" w:hAnsi="Arial" w:cs="Arial"/>
                <w:lang w:val="es-ES"/>
              </w:rPr>
            </w:pPr>
            <w:r w:rsidRPr="00993936">
              <w:rPr>
                <w:rFonts w:ascii="Arial" w:hAnsi="Arial" w:cs="Arial"/>
                <w:lang w:val="es-ES"/>
              </w:rPr>
              <w:t>PLAGA/ENFERMEDAD</w:t>
            </w:r>
          </w:p>
        </w:tc>
        <w:tc>
          <w:tcPr>
            <w:tcW w:w="3338" w:type="dxa"/>
            <w:shd w:val="pct12" w:color="auto" w:fill="FFFFFF"/>
          </w:tcPr>
          <w:p w:rsidR="00503A41" w:rsidRPr="00993936" w:rsidRDefault="00503A41" w:rsidP="007003E1">
            <w:pPr>
              <w:pStyle w:val="Sinespaciado"/>
              <w:rPr>
                <w:rFonts w:ascii="Arial" w:hAnsi="Arial" w:cs="Arial"/>
                <w:lang w:val="es-ES"/>
              </w:rPr>
            </w:pPr>
            <w:r w:rsidRPr="00993936">
              <w:rPr>
                <w:rFonts w:ascii="Arial" w:hAnsi="Arial" w:cs="Arial"/>
                <w:lang w:val="es-ES"/>
              </w:rPr>
              <w:t>UMBRAL DE TOLERANCIA</w:t>
            </w:r>
          </w:p>
        </w:tc>
        <w:tc>
          <w:tcPr>
            <w:tcW w:w="4111" w:type="dxa"/>
            <w:shd w:val="pct12" w:color="auto" w:fill="FFFFFF"/>
          </w:tcPr>
          <w:p w:rsidR="00503A41" w:rsidRPr="00993936" w:rsidRDefault="00503A41" w:rsidP="007003E1">
            <w:pPr>
              <w:pStyle w:val="Sinespaciado"/>
              <w:rPr>
                <w:rFonts w:ascii="Arial" w:hAnsi="Arial" w:cs="Arial"/>
                <w:lang w:val="es-ES"/>
              </w:rPr>
            </w:pPr>
            <w:r w:rsidRPr="00993936">
              <w:rPr>
                <w:rFonts w:ascii="Arial" w:hAnsi="Arial" w:cs="Arial"/>
                <w:lang w:val="es-ES"/>
              </w:rPr>
              <w:t>MATERIA ACTIVA</w:t>
            </w:r>
          </w:p>
        </w:tc>
        <w:tc>
          <w:tcPr>
            <w:tcW w:w="2458" w:type="dxa"/>
            <w:shd w:val="pct12" w:color="auto" w:fill="FFFFFF"/>
          </w:tcPr>
          <w:p w:rsidR="00503A41" w:rsidRPr="00993936" w:rsidRDefault="00503A41" w:rsidP="007003E1">
            <w:pPr>
              <w:pStyle w:val="Sinespaciado"/>
              <w:rPr>
                <w:rFonts w:ascii="Arial" w:hAnsi="Arial" w:cs="Arial"/>
                <w:lang w:val="es-ES"/>
              </w:rPr>
            </w:pPr>
            <w:r w:rsidRPr="00993936">
              <w:rPr>
                <w:rFonts w:ascii="Arial" w:hAnsi="Arial" w:cs="Arial"/>
                <w:lang w:val="es-ES"/>
              </w:rPr>
              <w:t>RESTRICCIONES</w:t>
            </w:r>
          </w:p>
        </w:tc>
      </w:tr>
      <w:tr w:rsidR="00503A41" w:rsidRPr="00993936" w:rsidTr="00424C28">
        <w:trPr>
          <w:jc w:val="center"/>
        </w:trPr>
        <w:tc>
          <w:tcPr>
            <w:tcW w:w="3686" w:type="dxa"/>
            <w:vAlign w:val="center"/>
          </w:tcPr>
          <w:p w:rsidR="00503A41" w:rsidRPr="00993936" w:rsidRDefault="00503A41" w:rsidP="007003E1">
            <w:pPr>
              <w:pStyle w:val="Sinespaciado"/>
              <w:rPr>
                <w:rFonts w:ascii="Arial" w:hAnsi="Arial" w:cs="Arial"/>
                <w:sz w:val="20"/>
              </w:rPr>
            </w:pPr>
            <w:r w:rsidRPr="00993936">
              <w:rPr>
                <w:rFonts w:ascii="Arial" w:hAnsi="Arial" w:cs="Arial"/>
                <w:sz w:val="20"/>
              </w:rPr>
              <w:t>Anarsia</w:t>
            </w:r>
          </w:p>
          <w:p w:rsidR="00503A41" w:rsidRPr="00993936" w:rsidRDefault="00503A41" w:rsidP="007003E1">
            <w:pPr>
              <w:pStyle w:val="Sinespaciado"/>
              <w:rPr>
                <w:rFonts w:ascii="Arial" w:hAnsi="Arial" w:cs="Arial"/>
                <w:sz w:val="20"/>
                <w:lang w:val="es-ES"/>
              </w:rPr>
            </w:pPr>
            <w:r w:rsidRPr="00993936">
              <w:rPr>
                <w:rFonts w:ascii="Arial" w:hAnsi="Arial" w:cs="Arial"/>
                <w:i/>
                <w:sz w:val="20"/>
                <w:lang w:val="es-ES"/>
              </w:rPr>
              <w:t>Anarsia lineatella</w:t>
            </w:r>
          </w:p>
        </w:tc>
        <w:tc>
          <w:tcPr>
            <w:tcW w:w="3338" w:type="dxa"/>
            <w:vAlign w:val="center"/>
          </w:tcPr>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7 capturas trampa sexual INRA y semana</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3% de brotes atacados</w:t>
            </w:r>
          </w:p>
        </w:tc>
        <w:tc>
          <w:tcPr>
            <w:tcW w:w="4111" w:type="dxa"/>
            <w:vAlign w:val="center"/>
          </w:tcPr>
          <w:p w:rsidR="00503A41" w:rsidRPr="00993936" w:rsidRDefault="00503A41" w:rsidP="007003E1">
            <w:pPr>
              <w:pStyle w:val="Sinespaciado"/>
              <w:rPr>
                <w:rFonts w:ascii="Arial" w:hAnsi="Arial" w:cs="Arial"/>
                <w:i/>
                <w:sz w:val="20"/>
                <w:szCs w:val="18"/>
                <w:lang w:val="es-ES"/>
              </w:rPr>
            </w:pPr>
            <w:r w:rsidRPr="00993936">
              <w:rPr>
                <w:rFonts w:ascii="Arial" w:hAnsi="Arial" w:cs="Arial"/>
                <w:i/>
                <w:sz w:val="20"/>
                <w:szCs w:val="18"/>
                <w:lang w:val="es-ES"/>
              </w:rPr>
              <w:t>Bacillus thuringensis (kurstaki)</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Clorantraniliprol</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Deltametrín</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Lambda-cihalotrín</w:t>
            </w:r>
          </w:p>
          <w:p w:rsidR="00503A41" w:rsidRPr="00993936" w:rsidRDefault="00503A41" w:rsidP="007003E1">
            <w:pPr>
              <w:pStyle w:val="Sinespaciado"/>
              <w:rPr>
                <w:rFonts w:ascii="Arial" w:hAnsi="Arial" w:cs="Arial"/>
                <w:i/>
                <w:sz w:val="20"/>
                <w:szCs w:val="18"/>
                <w:lang w:val="es-ES"/>
              </w:rPr>
            </w:pPr>
            <w:r w:rsidRPr="00993936">
              <w:rPr>
                <w:rFonts w:ascii="Arial" w:hAnsi="Arial" w:cs="Arial"/>
                <w:sz w:val="20"/>
                <w:szCs w:val="18"/>
                <w:lang w:val="es-ES"/>
              </w:rPr>
              <w:t>Método de confusión sexual</w:t>
            </w:r>
          </w:p>
        </w:tc>
        <w:tc>
          <w:tcPr>
            <w:tcW w:w="2458" w:type="dxa"/>
            <w:vMerge w:val="restart"/>
            <w:vAlign w:val="center"/>
          </w:tcPr>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Máximo: 2 tratamientos /año</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 xml:space="preserve">Utilizar sólo formulaciones que no sean de clasificación toxicológica T </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No utilizar en floración (peligroso para las abejas)</w:t>
            </w:r>
          </w:p>
          <w:p w:rsidR="00503A41" w:rsidRPr="00993936" w:rsidRDefault="00503A41" w:rsidP="007003E1">
            <w:pPr>
              <w:pStyle w:val="Sinespaciado"/>
              <w:rPr>
                <w:rFonts w:ascii="Arial" w:hAnsi="Arial" w:cs="Arial"/>
                <w:sz w:val="20"/>
                <w:lang w:val="es-ES"/>
              </w:rPr>
            </w:pPr>
          </w:p>
        </w:tc>
      </w:tr>
      <w:tr w:rsidR="00503A41" w:rsidRPr="00993936" w:rsidTr="00424C28">
        <w:trPr>
          <w:jc w:val="center"/>
        </w:trPr>
        <w:tc>
          <w:tcPr>
            <w:tcW w:w="3686" w:type="dxa"/>
            <w:vAlign w:val="center"/>
          </w:tcPr>
          <w:p w:rsidR="00503A41" w:rsidRPr="00993936" w:rsidRDefault="00503A41" w:rsidP="007003E1">
            <w:pPr>
              <w:pStyle w:val="Sinespaciado"/>
              <w:rPr>
                <w:rFonts w:ascii="Arial" w:hAnsi="Arial" w:cs="Arial"/>
                <w:sz w:val="20"/>
              </w:rPr>
            </w:pPr>
            <w:r w:rsidRPr="00993936">
              <w:rPr>
                <w:rFonts w:ascii="Arial" w:hAnsi="Arial" w:cs="Arial"/>
                <w:sz w:val="20"/>
              </w:rPr>
              <w:t>Mosquito verde</w:t>
            </w:r>
          </w:p>
          <w:p w:rsidR="00503A41" w:rsidRPr="00993936" w:rsidRDefault="00503A41" w:rsidP="007003E1">
            <w:pPr>
              <w:pStyle w:val="Sinespaciado"/>
              <w:rPr>
                <w:rFonts w:ascii="Arial" w:hAnsi="Arial" w:cs="Arial"/>
                <w:i/>
                <w:sz w:val="20"/>
                <w:lang w:val="es-ES"/>
              </w:rPr>
            </w:pPr>
            <w:r w:rsidRPr="00993936">
              <w:rPr>
                <w:rFonts w:ascii="Arial" w:hAnsi="Arial" w:cs="Arial"/>
                <w:i/>
                <w:iCs/>
                <w:sz w:val="20"/>
                <w:lang w:val="es-ES"/>
              </w:rPr>
              <w:t>Empoasca decedens</w:t>
            </w:r>
          </w:p>
        </w:tc>
        <w:tc>
          <w:tcPr>
            <w:tcW w:w="3338" w:type="dxa"/>
            <w:vAlign w:val="center"/>
          </w:tcPr>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Presencia</w:t>
            </w:r>
          </w:p>
        </w:tc>
        <w:tc>
          <w:tcPr>
            <w:tcW w:w="4111" w:type="dxa"/>
            <w:vAlign w:val="center"/>
          </w:tcPr>
          <w:p w:rsidR="00503A41" w:rsidRPr="00993936" w:rsidRDefault="00503A41" w:rsidP="007003E1">
            <w:pPr>
              <w:pStyle w:val="Sinespaciado"/>
              <w:rPr>
                <w:rFonts w:ascii="Arial" w:hAnsi="Arial" w:cs="Arial"/>
                <w:snapToGrid w:val="0"/>
                <w:sz w:val="20"/>
                <w:szCs w:val="18"/>
                <w:lang w:val="es-ES"/>
              </w:rPr>
            </w:pPr>
            <w:r w:rsidRPr="00993936">
              <w:rPr>
                <w:rFonts w:ascii="Arial" w:hAnsi="Arial" w:cs="Arial"/>
                <w:sz w:val="20"/>
                <w:szCs w:val="18"/>
                <w:lang w:val="es-ES"/>
              </w:rPr>
              <w:t>Tau-fluvalinat (2)</w:t>
            </w:r>
            <w:r w:rsidRPr="00993936">
              <w:rPr>
                <w:rFonts w:ascii="Arial" w:hAnsi="Arial" w:cs="Arial"/>
                <w:snapToGrid w:val="0"/>
                <w:sz w:val="20"/>
                <w:szCs w:val="18"/>
                <w:shd w:val="clear" w:color="auto" w:fill="FFFFFF"/>
                <w:lang w:val="es-ES"/>
              </w:rPr>
              <w:t xml:space="preserve"> </w:t>
            </w:r>
          </w:p>
        </w:tc>
        <w:tc>
          <w:tcPr>
            <w:tcW w:w="2458" w:type="dxa"/>
            <w:vMerge/>
          </w:tcPr>
          <w:p w:rsidR="00503A41" w:rsidRPr="00993936" w:rsidRDefault="00503A41" w:rsidP="007003E1">
            <w:pPr>
              <w:pStyle w:val="Sinespaciado"/>
              <w:rPr>
                <w:rFonts w:ascii="Arial" w:hAnsi="Arial" w:cs="Arial"/>
                <w:sz w:val="20"/>
                <w:lang w:val="es-ES"/>
              </w:rPr>
            </w:pPr>
          </w:p>
        </w:tc>
      </w:tr>
      <w:tr w:rsidR="00503A41" w:rsidRPr="00993936" w:rsidTr="001D205D">
        <w:trPr>
          <w:trHeight w:val="2496"/>
          <w:jc w:val="center"/>
        </w:trPr>
        <w:tc>
          <w:tcPr>
            <w:tcW w:w="3686" w:type="dxa"/>
            <w:vAlign w:val="center"/>
          </w:tcPr>
          <w:p w:rsidR="00503A41" w:rsidRPr="00993936" w:rsidRDefault="00503A41" w:rsidP="007003E1">
            <w:pPr>
              <w:pStyle w:val="Sinespaciado"/>
              <w:rPr>
                <w:rFonts w:ascii="Arial" w:hAnsi="Arial" w:cs="Arial"/>
                <w:sz w:val="20"/>
              </w:rPr>
            </w:pPr>
            <w:r w:rsidRPr="00993936">
              <w:rPr>
                <w:rFonts w:ascii="Arial" w:hAnsi="Arial" w:cs="Arial"/>
                <w:sz w:val="20"/>
              </w:rPr>
              <w:t>Pulgón verde</w:t>
            </w:r>
          </w:p>
          <w:p w:rsidR="00503A41" w:rsidRPr="00993936" w:rsidRDefault="00503A41" w:rsidP="007003E1">
            <w:pPr>
              <w:pStyle w:val="Sinespaciado"/>
              <w:rPr>
                <w:rFonts w:ascii="Arial" w:hAnsi="Arial" w:cs="Arial"/>
                <w:sz w:val="20"/>
                <w:lang w:val="es-ES"/>
              </w:rPr>
            </w:pPr>
            <w:r w:rsidRPr="00993936">
              <w:rPr>
                <w:rFonts w:ascii="Arial" w:hAnsi="Arial" w:cs="Arial"/>
                <w:i/>
                <w:sz w:val="20"/>
                <w:lang w:val="es-ES"/>
              </w:rPr>
              <w:t>Myzus persicae, Myzus varians</w:t>
            </w:r>
            <w:r w:rsidRPr="00993936">
              <w:rPr>
                <w:rFonts w:ascii="Arial" w:hAnsi="Arial" w:cs="Arial"/>
                <w:sz w:val="20"/>
                <w:lang w:val="es-ES"/>
              </w:rPr>
              <w:t xml:space="preserve"> </w:t>
            </w:r>
          </w:p>
          <w:p w:rsidR="00503A41" w:rsidRPr="00993936" w:rsidRDefault="00503A41" w:rsidP="007003E1">
            <w:pPr>
              <w:pStyle w:val="Sinespaciado"/>
              <w:rPr>
                <w:rFonts w:ascii="Arial" w:hAnsi="Arial" w:cs="Arial"/>
                <w:sz w:val="20"/>
                <w:lang w:val="es-ES"/>
              </w:rPr>
            </w:pPr>
            <w:r w:rsidRPr="00993936">
              <w:rPr>
                <w:rFonts w:ascii="Arial" w:hAnsi="Arial" w:cs="Arial"/>
                <w:sz w:val="20"/>
                <w:lang w:val="es-ES"/>
              </w:rPr>
              <w:t>Pulgón harinoso</w:t>
            </w:r>
          </w:p>
          <w:p w:rsidR="00503A41" w:rsidRPr="00993936" w:rsidRDefault="00503A41" w:rsidP="007003E1">
            <w:pPr>
              <w:pStyle w:val="Sinespaciado"/>
              <w:rPr>
                <w:rFonts w:ascii="Arial" w:hAnsi="Arial" w:cs="Arial"/>
                <w:sz w:val="20"/>
                <w:lang w:val="es-ES"/>
              </w:rPr>
            </w:pPr>
            <w:r w:rsidRPr="00993936">
              <w:rPr>
                <w:rFonts w:ascii="Arial" w:hAnsi="Arial" w:cs="Arial"/>
                <w:i/>
                <w:sz w:val="20"/>
                <w:lang w:val="es-ES"/>
              </w:rPr>
              <w:t>Hyalopterus amygdali</w:t>
            </w:r>
            <w:r w:rsidRPr="00993936">
              <w:rPr>
                <w:rFonts w:ascii="Arial" w:hAnsi="Arial" w:cs="Arial"/>
                <w:sz w:val="20"/>
                <w:lang w:val="es-ES"/>
              </w:rPr>
              <w:t xml:space="preserve"> </w:t>
            </w:r>
          </w:p>
          <w:p w:rsidR="00503A41" w:rsidRPr="00993936" w:rsidRDefault="00503A41" w:rsidP="007003E1">
            <w:pPr>
              <w:pStyle w:val="Sinespaciado"/>
              <w:rPr>
                <w:rFonts w:ascii="Arial" w:hAnsi="Arial" w:cs="Arial"/>
                <w:i/>
                <w:sz w:val="20"/>
                <w:lang w:val="es-ES"/>
              </w:rPr>
            </w:pPr>
            <w:r w:rsidRPr="00993936">
              <w:rPr>
                <w:rFonts w:ascii="Arial" w:hAnsi="Arial" w:cs="Arial"/>
                <w:sz w:val="20"/>
                <w:lang w:val="es-ES"/>
              </w:rPr>
              <w:t>Pulgón de la madera</w:t>
            </w:r>
            <w:r w:rsidRPr="00993936">
              <w:rPr>
                <w:rFonts w:ascii="Arial" w:hAnsi="Arial" w:cs="Arial"/>
                <w:i/>
                <w:sz w:val="20"/>
                <w:lang w:val="es-ES"/>
              </w:rPr>
              <w:t xml:space="preserve"> </w:t>
            </w:r>
          </w:p>
          <w:p w:rsidR="00503A41" w:rsidRPr="00993936" w:rsidRDefault="00503A41" w:rsidP="007003E1">
            <w:pPr>
              <w:pStyle w:val="Sinespaciado"/>
              <w:rPr>
                <w:rFonts w:ascii="Arial" w:hAnsi="Arial" w:cs="Arial"/>
                <w:sz w:val="20"/>
                <w:lang w:val="es-ES"/>
              </w:rPr>
            </w:pPr>
            <w:r w:rsidRPr="00993936">
              <w:rPr>
                <w:rFonts w:ascii="Arial" w:hAnsi="Arial" w:cs="Arial"/>
                <w:i/>
                <w:sz w:val="20"/>
                <w:lang w:val="es-ES"/>
              </w:rPr>
              <w:t>Pterochloroides persicae</w:t>
            </w:r>
            <w:r w:rsidRPr="00993936">
              <w:rPr>
                <w:rFonts w:ascii="Arial" w:hAnsi="Arial" w:cs="Arial"/>
                <w:sz w:val="20"/>
                <w:lang w:val="es-ES"/>
              </w:rPr>
              <w:t xml:space="preserve"> </w:t>
            </w:r>
          </w:p>
          <w:p w:rsidR="00503A41" w:rsidRPr="00993936" w:rsidRDefault="00503A41" w:rsidP="007003E1">
            <w:pPr>
              <w:pStyle w:val="Sinespaciado"/>
              <w:rPr>
                <w:rFonts w:ascii="Arial" w:hAnsi="Arial" w:cs="Arial"/>
                <w:sz w:val="20"/>
                <w:lang w:val="es-ES"/>
              </w:rPr>
            </w:pPr>
          </w:p>
        </w:tc>
        <w:tc>
          <w:tcPr>
            <w:tcW w:w="3338" w:type="dxa"/>
            <w:vAlign w:val="center"/>
          </w:tcPr>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 xml:space="preserve">Prefloración: presencia. </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Postfloración:</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Myzus (5% de brotes ocupados)</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Hyalopterus amygdali (5% de brotes ocupados)</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Perochlororides. Presencia. Tratamiento localizado</w:t>
            </w:r>
          </w:p>
        </w:tc>
        <w:tc>
          <w:tcPr>
            <w:tcW w:w="4111" w:type="dxa"/>
            <w:vAlign w:val="center"/>
          </w:tcPr>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Deltametrín(3)</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Imidacloprid (máximo 1 aplicación en primavera)</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Lambda-cihalotrín (1)</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Pirimicarb (1)</w:t>
            </w:r>
          </w:p>
          <w:p w:rsidR="00503A41" w:rsidRPr="00993936" w:rsidRDefault="00503A41" w:rsidP="007003E1">
            <w:pPr>
              <w:pStyle w:val="Sinespaciado"/>
              <w:rPr>
                <w:rFonts w:ascii="Arial" w:hAnsi="Arial" w:cs="Arial"/>
                <w:sz w:val="20"/>
                <w:szCs w:val="18"/>
                <w:lang w:val="es-ES"/>
              </w:rPr>
            </w:pPr>
            <w:r w:rsidRPr="00993936">
              <w:rPr>
                <w:rFonts w:ascii="Arial" w:hAnsi="Arial" w:cs="Arial"/>
                <w:sz w:val="20"/>
                <w:szCs w:val="18"/>
                <w:lang w:val="es-ES"/>
              </w:rPr>
              <w:t>Tau-fluvalinat</w:t>
            </w:r>
          </w:p>
        </w:tc>
        <w:tc>
          <w:tcPr>
            <w:tcW w:w="2458" w:type="dxa"/>
            <w:vMerge/>
          </w:tcPr>
          <w:p w:rsidR="00503A41" w:rsidRPr="00993936" w:rsidRDefault="00503A41" w:rsidP="007003E1">
            <w:pPr>
              <w:pStyle w:val="Sinespaciado"/>
              <w:rPr>
                <w:rFonts w:ascii="Arial" w:hAnsi="Arial" w:cs="Arial"/>
                <w:sz w:val="20"/>
                <w:lang w:val="es-ES"/>
              </w:rPr>
            </w:pPr>
          </w:p>
        </w:tc>
      </w:tr>
    </w:tbl>
    <w:p w:rsidR="00503A41" w:rsidRPr="00993936" w:rsidRDefault="00503A41">
      <w:pPr>
        <w:rPr>
          <w:rFonts w:ascii="Arial" w:hAnsi="Arial" w:cs="Arial"/>
          <w:lang w:val="es-ES"/>
        </w:rPr>
      </w:pPr>
    </w:p>
    <w:p w:rsidR="00503A41" w:rsidRPr="00993936" w:rsidRDefault="00503A41">
      <w:pPr>
        <w:rPr>
          <w:rFonts w:ascii="Arial" w:hAnsi="Arial" w:cs="Arial"/>
          <w:lang w:val="es-ES"/>
        </w:rPr>
      </w:pPr>
    </w:p>
    <w:p w:rsidR="00503A41" w:rsidRPr="00993936" w:rsidRDefault="00503A41">
      <w:pPr>
        <w:rPr>
          <w:rFonts w:ascii="Arial" w:hAnsi="Arial" w:cs="Arial"/>
          <w:lang w:val="es-ES"/>
        </w:rPr>
      </w:pPr>
    </w:p>
    <w:p w:rsidR="007003E1" w:rsidRPr="00993936" w:rsidRDefault="007003E1">
      <w:pPr>
        <w:rPr>
          <w:rFonts w:ascii="Arial" w:eastAsia="Times New Roman" w:hAnsi="Arial" w:cs="Arial"/>
          <w:b/>
          <w:szCs w:val="20"/>
          <w:lang w:val="es-ES" w:eastAsia="es-ES"/>
        </w:rPr>
      </w:pPr>
      <w:r w:rsidRPr="00993936">
        <w:rPr>
          <w:rFonts w:cs="Arial"/>
          <w:b/>
          <w:lang w:val="es-ES"/>
        </w:rPr>
        <w:br w:type="page"/>
      </w:r>
    </w:p>
    <w:p w:rsidR="00503A41" w:rsidRPr="00993936" w:rsidRDefault="00503A41" w:rsidP="001D205D">
      <w:pPr>
        <w:pStyle w:val="Sangradetextonormal"/>
        <w:ind w:left="0"/>
        <w:rPr>
          <w:rFonts w:cs="Arial"/>
          <w:b/>
          <w:lang w:val="es-ES"/>
        </w:rPr>
      </w:pPr>
      <w:r w:rsidRPr="00993936">
        <w:rPr>
          <w:rFonts w:cs="Arial"/>
          <w:b/>
          <w:lang w:val="es-ES"/>
        </w:rPr>
        <w:lastRenderedPageBreak/>
        <w:t>2.1.1 Almendro (continuación)</w:t>
      </w:r>
    </w:p>
    <w:p w:rsidR="00503A41" w:rsidRPr="00993936" w:rsidRDefault="00503A41">
      <w:pPr>
        <w:rPr>
          <w:rFonts w:ascii="Arial" w:hAnsi="Arial"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3338"/>
        <w:gridCol w:w="4111"/>
        <w:gridCol w:w="2458"/>
      </w:tblGrid>
      <w:tr w:rsidR="00503A41" w:rsidRPr="00993936" w:rsidTr="001D205D">
        <w:trPr>
          <w:trHeight w:val="1343"/>
          <w:jc w:val="center"/>
        </w:trPr>
        <w:tc>
          <w:tcPr>
            <w:tcW w:w="3686" w:type="dxa"/>
            <w:vAlign w:val="center"/>
          </w:tcPr>
          <w:p w:rsidR="00503A41" w:rsidRPr="00993936" w:rsidRDefault="00503A41" w:rsidP="00424C28">
            <w:pPr>
              <w:pStyle w:val="Ttulo1"/>
              <w:rPr>
                <w:rFonts w:ascii="Arial" w:hAnsi="Arial" w:cs="Arial"/>
                <w:b/>
                <w:color w:val="auto"/>
                <w:sz w:val="20"/>
                <w:szCs w:val="22"/>
              </w:rPr>
            </w:pPr>
            <w:r w:rsidRPr="00993936">
              <w:rPr>
                <w:rFonts w:ascii="Arial" w:hAnsi="Arial" w:cs="Arial"/>
                <w:b/>
                <w:color w:val="auto"/>
                <w:sz w:val="20"/>
                <w:szCs w:val="22"/>
              </w:rPr>
              <w:t>Orugueta</w:t>
            </w:r>
          </w:p>
          <w:p w:rsidR="00503A41" w:rsidRPr="00993936" w:rsidRDefault="00503A41" w:rsidP="001D205D">
            <w:pPr>
              <w:pStyle w:val="Ttulo8"/>
              <w:rPr>
                <w:rFonts w:ascii="Arial" w:hAnsi="Arial" w:cs="Arial"/>
                <w:b/>
                <w:i/>
                <w:color w:val="auto"/>
                <w:szCs w:val="22"/>
                <w:lang w:val="es-ES"/>
              </w:rPr>
            </w:pPr>
            <w:r w:rsidRPr="00993936">
              <w:rPr>
                <w:rFonts w:ascii="Arial" w:hAnsi="Arial" w:cs="Arial"/>
                <w:i/>
                <w:color w:val="auto"/>
                <w:szCs w:val="22"/>
                <w:lang w:val="es-ES"/>
              </w:rPr>
              <w:t>Aglaope infausta</w:t>
            </w:r>
          </w:p>
          <w:p w:rsidR="00503A41" w:rsidRPr="00993936" w:rsidRDefault="00503A41" w:rsidP="00424C28">
            <w:pPr>
              <w:rPr>
                <w:rFonts w:ascii="Arial" w:hAnsi="Arial" w:cs="Arial"/>
                <w:i/>
                <w:sz w:val="20"/>
                <w:lang w:val="es-ES"/>
              </w:rPr>
            </w:pPr>
            <w:r w:rsidRPr="00993936">
              <w:rPr>
                <w:rFonts w:ascii="Arial" w:hAnsi="Arial" w:cs="Arial"/>
                <w:i/>
                <w:sz w:val="20"/>
                <w:lang w:val="es-ES"/>
              </w:rPr>
              <w:t>Ectoamyelois cerationae</w:t>
            </w:r>
          </w:p>
        </w:tc>
        <w:tc>
          <w:tcPr>
            <w:tcW w:w="3338" w:type="dxa"/>
            <w:vAlign w:val="center"/>
          </w:tcPr>
          <w:p w:rsidR="00503A41" w:rsidRPr="00993936" w:rsidRDefault="00503A41" w:rsidP="00424C28">
            <w:pPr>
              <w:rPr>
                <w:rFonts w:ascii="Arial" w:hAnsi="Arial" w:cs="Arial"/>
                <w:sz w:val="20"/>
                <w:szCs w:val="18"/>
                <w:lang w:val="es-ES"/>
              </w:rPr>
            </w:pPr>
            <w:r w:rsidRPr="00993936">
              <w:rPr>
                <w:rFonts w:ascii="Arial" w:hAnsi="Arial" w:cs="Arial"/>
                <w:sz w:val="20"/>
                <w:szCs w:val="18"/>
                <w:lang w:val="es-ES"/>
              </w:rPr>
              <w:t>Presencia</w:t>
            </w:r>
          </w:p>
        </w:tc>
        <w:tc>
          <w:tcPr>
            <w:tcW w:w="4111" w:type="dxa"/>
            <w:vAlign w:val="center"/>
          </w:tcPr>
          <w:p w:rsidR="00503A41" w:rsidRPr="00993936" w:rsidRDefault="00503A41" w:rsidP="00424C28">
            <w:pPr>
              <w:rPr>
                <w:rFonts w:ascii="Arial" w:hAnsi="Arial" w:cs="Arial"/>
                <w:sz w:val="20"/>
                <w:szCs w:val="18"/>
                <w:lang w:val="es-ES"/>
              </w:rPr>
            </w:pPr>
            <w:r w:rsidRPr="00993936">
              <w:rPr>
                <w:rFonts w:ascii="Arial" w:hAnsi="Arial" w:cs="Arial"/>
                <w:i/>
                <w:sz w:val="20"/>
                <w:szCs w:val="18"/>
                <w:lang w:val="es-ES"/>
              </w:rPr>
              <w:t>Bacillus thuringiensis</w:t>
            </w:r>
            <w:r w:rsidRPr="00993936">
              <w:rPr>
                <w:rFonts w:ascii="Arial" w:hAnsi="Arial" w:cs="Arial"/>
                <w:sz w:val="20"/>
                <w:szCs w:val="18"/>
                <w:lang w:val="es-ES"/>
              </w:rPr>
              <w:t xml:space="preserve"> (</w:t>
            </w:r>
            <w:r w:rsidRPr="00993936">
              <w:rPr>
                <w:rFonts w:ascii="Arial" w:hAnsi="Arial" w:cs="Arial"/>
                <w:i/>
                <w:sz w:val="20"/>
                <w:szCs w:val="18"/>
                <w:lang w:val="es-ES"/>
              </w:rPr>
              <w:t>kurstaki)</w:t>
            </w:r>
          </w:p>
          <w:p w:rsidR="00503A41" w:rsidRPr="00993936" w:rsidRDefault="00503A41" w:rsidP="00424C28">
            <w:pPr>
              <w:widowControl w:val="0"/>
              <w:rPr>
                <w:rFonts w:ascii="Arial" w:hAnsi="Arial" w:cs="Arial"/>
                <w:sz w:val="20"/>
                <w:szCs w:val="18"/>
                <w:lang w:val="es-ES"/>
              </w:rPr>
            </w:pPr>
            <w:r w:rsidRPr="00993936">
              <w:rPr>
                <w:rFonts w:ascii="Arial" w:hAnsi="Arial" w:cs="Arial"/>
                <w:sz w:val="20"/>
                <w:szCs w:val="18"/>
                <w:lang w:val="es-ES"/>
              </w:rPr>
              <w:t>Clorantraniliprol</w:t>
            </w:r>
          </w:p>
          <w:p w:rsidR="00503A41" w:rsidRPr="00993936" w:rsidRDefault="00503A41" w:rsidP="00424C28">
            <w:pPr>
              <w:rPr>
                <w:rFonts w:ascii="Arial" w:hAnsi="Arial" w:cs="Arial"/>
                <w:sz w:val="20"/>
                <w:szCs w:val="18"/>
                <w:lang w:val="es-ES"/>
              </w:rPr>
            </w:pPr>
            <w:r w:rsidRPr="00993936">
              <w:rPr>
                <w:rFonts w:ascii="Arial" w:hAnsi="Arial" w:cs="Arial"/>
                <w:sz w:val="20"/>
                <w:szCs w:val="18"/>
                <w:lang w:val="es-ES"/>
              </w:rPr>
              <w:t>Deltametrín</w:t>
            </w:r>
          </w:p>
          <w:p w:rsidR="00503A41" w:rsidRPr="00993936" w:rsidRDefault="00503A41" w:rsidP="00424C28">
            <w:pPr>
              <w:widowControl w:val="0"/>
              <w:rPr>
                <w:rFonts w:ascii="Arial" w:hAnsi="Arial" w:cs="Arial"/>
                <w:sz w:val="20"/>
                <w:szCs w:val="18"/>
                <w:lang w:val="es-ES"/>
              </w:rPr>
            </w:pPr>
            <w:r w:rsidRPr="00993936">
              <w:rPr>
                <w:rFonts w:ascii="Arial" w:hAnsi="Arial" w:cs="Arial"/>
                <w:sz w:val="20"/>
                <w:szCs w:val="18"/>
                <w:lang w:val="es-ES"/>
              </w:rPr>
              <w:t>Lambda-cihalotrín (1)</w:t>
            </w:r>
          </w:p>
        </w:tc>
        <w:tc>
          <w:tcPr>
            <w:tcW w:w="2458" w:type="dxa"/>
            <w:vMerge w:val="restart"/>
          </w:tcPr>
          <w:p w:rsidR="00503A41" w:rsidRPr="00993936" w:rsidRDefault="00503A41" w:rsidP="00424C28">
            <w:pPr>
              <w:rPr>
                <w:rFonts w:ascii="Arial" w:hAnsi="Arial" w:cs="Arial"/>
                <w:sz w:val="20"/>
                <w:lang w:val="es-ES"/>
              </w:rPr>
            </w:pPr>
          </w:p>
        </w:tc>
      </w:tr>
      <w:tr w:rsidR="00503A41" w:rsidRPr="00993936" w:rsidTr="00424C28">
        <w:trPr>
          <w:jc w:val="center"/>
        </w:trPr>
        <w:tc>
          <w:tcPr>
            <w:tcW w:w="3686" w:type="dxa"/>
            <w:vAlign w:val="center"/>
          </w:tcPr>
          <w:p w:rsidR="00503A41" w:rsidRPr="00993936" w:rsidRDefault="00503A41" w:rsidP="00424C28">
            <w:pPr>
              <w:pStyle w:val="Ttulo1"/>
              <w:rPr>
                <w:rFonts w:ascii="Arial" w:hAnsi="Arial" w:cs="Arial"/>
                <w:b/>
                <w:color w:val="auto"/>
                <w:sz w:val="20"/>
                <w:szCs w:val="22"/>
              </w:rPr>
            </w:pPr>
            <w:r w:rsidRPr="00993936">
              <w:rPr>
                <w:rFonts w:ascii="Arial" w:hAnsi="Arial" w:cs="Arial"/>
                <w:b/>
                <w:color w:val="auto"/>
                <w:sz w:val="20"/>
                <w:szCs w:val="22"/>
              </w:rPr>
              <w:t>Gusano cabezudo</w:t>
            </w:r>
          </w:p>
          <w:p w:rsidR="00503A41" w:rsidRPr="00993936" w:rsidRDefault="00503A41" w:rsidP="00424C28">
            <w:pPr>
              <w:rPr>
                <w:rFonts w:ascii="Arial" w:hAnsi="Arial" w:cs="Arial"/>
                <w:sz w:val="20"/>
                <w:lang w:val="es-ES"/>
              </w:rPr>
            </w:pPr>
            <w:r w:rsidRPr="00993936">
              <w:rPr>
                <w:rFonts w:ascii="Arial" w:hAnsi="Arial" w:cs="Arial"/>
                <w:i/>
                <w:sz w:val="20"/>
                <w:lang w:val="es-ES"/>
              </w:rPr>
              <w:t>Capnodis tenebrionis</w:t>
            </w:r>
          </w:p>
        </w:tc>
        <w:tc>
          <w:tcPr>
            <w:tcW w:w="3338" w:type="dxa"/>
            <w:vAlign w:val="center"/>
          </w:tcPr>
          <w:p w:rsidR="00503A41" w:rsidRPr="00993936" w:rsidRDefault="00503A41" w:rsidP="00424C28">
            <w:pPr>
              <w:rPr>
                <w:rFonts w:ascii="Arial" w:hAnsi="Arial" w:cs="Arial"/>
                <w:sz w:val="20"/>
                <w:szCs w:val="18"/>
                <w:lang w:val="es-ES"/>
              </w:rPr>
            </w:pPr>
            <w:r w:rsidRPr="00993936">
              <w:rPr>
                <w:rFonts w:ascii="Arial" w:hAnsi="Arial" w:cs="Arial"/>
                <w:sz w:val="20"/>
                <w:szCs w:val="18"/>
                <w:lang w:val="es-ES"/>
              </w:rPr>
              <w:t>Presencia</w:t>
            </w:r>
          </w:p>
        </w:tc>
        <w:tc>
          <w:tcPr>
            <w:tcW w:w="4111" w:type="dxa"/>
            <w:vAlign w:val="center"/>
          </w:tcPr>
          <w:p w:rsidR="00503A41" w:rsidRPr="00993936" w:rsidRDefault="00503A41" w:rsidP="00424C28">
            <w:pPr>
              <w:widowControl w:val="0"/>
              <w:rPr>
                <w:rFonts w:ascii="Arial" w:hAnsi="Arial" w:cs="Arial"/>
                <w:i/>
                <w:sz w:val="20"/>
                <w:szCs w:val="18"/>
                <w:lang w:val="es-ES"/>
              </w:rPr>
            </w:pPr>
            <w:r w:rsidRPr="00993936">
              <w:rPr>
                <w:rFonts w:ascii="Arial" w:hAnsi="Arial" w:cs="Arial"/>
                <w:sz w:val="20"/>
                <w:szCs w:val="18"/>
                <w:lang w:val="es-ES"/>
              </w:rPr>
              <w:t>Clorantraniliprol</w:t>
            </w:r>
          </w:p>
          <w:p w:rsidR="00503A41" w:rsidRPr="00993936" w:rsidRDefault="00503A41" w:rsidP="00424C28">
            <w:pPr>
              <w:rPr>
                <w:rFonts w:ascii="Arial" w:hAnsi="Arial" w:cs="Arial"/>
                <w:sz w:val="20"/>
                <w:szCs w:val="18"/>
                <w:lang w:val="es-ES"/>
              </w:rPr>
            </w:pPr>
            <w:r w:rsidRPr="00993936">
              <w:rPr>
                <w:rFonts w:ascii="Arial" w:hAnsi="Arial" w:cs="Arial"/>
                <w:sz w:val="20"/>
                <w:szCs w:val="18"/>
                <w:lang w:val="es-ES"/>
              </w:rPr>
              <w:t>Imidacloprid</w:t>
            </w:r>
          </w:p>
          <w:p w:rsidR="00503A41" w:rsidRPr="00993936" w:rsidRDefault="00503A41" w:rsidP="00424C28">
            <w:pPr>
              <w:widowControl w:val="0"/>
              <w:rPr>
                <w:rFonts w:ascii="Arial" w:hAnsi="Arial" w:cs="Arial"/>
                <w:i/>
                <w:sz w:val="20"/>
                <w:szCs w:val="18"/>
                <w:lang w:val="es-ES"/>
              </w:rPr>
            </w:pPr>
          </w:p>
        </w:tc>
        <w:tc>
          <w:tcPr>
            <w:tcW w:w="2458" w:type="dxa"/>
            <w:vMerge/>
          </w:tcPr>
          <w:p w:rsidR="00503A41" w:rsidRPr="00993936" w:rsidRDefault="00503A41" w:rsidP="00424C28">
            <w:pPr>
              <w:rPr>
                <w:rFonts w:ascii="Arial" w:hAnsi="Arial" w:cs="Arial"/>
                <w:sz w:val="20"/>
                <w:lang w:val="es-ES"/>
              </w:rPr>
            </w:pPr>
          </w:p>
        </w:tc>
      </w:tr>
      <w:tr w:rsidR="00503A41" w:rsidRPr="00993936" w:rsidTr="00424C28">
        <w:trPr>
          <w:jc w:val="center"/>
        </w:trPr>
        <w:tc>
          <w:tcPr>
            <w:tcW w:w="3686" w:type="dxa"/>
            <w:vAlign w:val="center"/>
          </w:tcPr>
          <w:p w:rsidR="00503A41" w:rsidRPr="00993936" w:rsidRDefault="00503A41" w:rsidP="00424C28">
            <w:pPr>
              <w:pStyle w:val="Ttulo1"/>
              <w:rPr>
                <w:rFonts w:ascii="Arial" w:hAnsi="Arial" w:cs="Arial"/>
                <w:b/>
                <w:color w:val="auto"/>
                <w:sz w:val="20"/>
                <w:szCs w:val="22"/>
              </w:rPr>
            </w:pPr>
            <w:r w:rsidRPr="00993936">
              <w:rPr>
                <w:rFonts w:ascii="Arial" w:hAnsi="Arial" w:cs="Arial"/>
                <w:b/>
                <w:color w:val="auto"/>
                <w:sz w:val="20"/>
                <w:szCs w:val="22"/>
              </w:rPr>
              <w:t>Tigre</w:t>
            </w:r>
          </w:p>
          <w:p w:rsidR="00503A41" w:rsidRPr="00993936" w:rsidRDefault="00503A41" w:rsidP="00424C28">
            <w:pPr>
              <w:rPr>
                <w:rFonts w:ascii="Arial" w:hAnsi="Arial" w:cs="Arial"/>
                <w:i/>
                <w:sz w:val="20"/>
                <w:lang w:val="es-ES"/>
              </w:rPr>
            </w:pPr>
            <w:r w:rsidRPr="00993936">
              <w:rPr>
                <w:rFonts w:ascii="Arial" w:hAnsi="Arial" w:cs="Arial"/>
                <w:i/>
                <w:sz w:val="20"/>
                <w:lang w:val="es-ES"/>
              </w:rPr>
              <w:t>Monosteira unicostata</w:t>
            </w:r>
          </w:p>
        </w:tc>
        <w:tc>
          <w:tcPr>
            <w:tcW w:w="3338" w:type="dxa"/>
            <w:vAlign w:val="center"/>
          </w:tcPr>
          <w:p w:rsidR="00503A41" w:rsidRPr="00993936" w:rsidRDefault="00503A41" w:rsidP="00424C28">
            <w:pPr>
              <w:rPr>
                <w:rFonts w:ascii="Arial" w:hAnsi="Arial" w:cs="Arial"/>
                <w:sz w:val="20"/>
                <w:szCs w:val="18"/>
                <w:lang w:val="es-ES"/>
              </w:rPr>
            </w:pPr>
            <w:r w:rsidRPr="00993936">
              <w:rPr>
                <w:rFonts w:ascii="Arial" w:hAnsi="Arial" w:cs="Arial"/>
                <w:sz w:val="20"/>
                <w:szCs w:val="18"/>
                <w:lang w:val="es-ES"/>
              </w:rPr>
              <w:t>Prefloración: presencia</w:t>
            </w:r>
          </w:p>
          <w:p w:rsidR="00503A41" w:rsidRPr="00993936" w:rsidRDefault="00503A41" w:rsidP="00424C28">
            <w:pPr>
              <w:rPr>
                <w:rFonts w:ascii="Arial" w:hAnsi="Arial" w:cs="Arial"/>
                <w:sz w:val="20"/>
                <w:szCs w:val="18"/>
                <w:lang w:val="es-ES"/>
              </w:rPr>
            </w:pPr>
            <w:r w:rsidRPr="00993936">
              <w:rPr>
                <w:rFonts w:ascii="Arial" w:hAnsi="Arial" w:cs="Arial"/>
                <w:sz w:val="20"/>
                <w:szCs w:val="18"/>
                <w:lang w:val="es-ES"/>
              </w:rPr>
              <w:t>Postfloración: 10% de los brotes ocupados</w:t>
            </w:r>
          </w:p>
        </w:tc>
        <w:tc>
          <w:tcPr>
            <w:tcW w:w="4111" w:type="dxa"/>
            <w:vAlign w:val="center"/>
          </w:tcPr>
          <w:p w:rsidR="00503A41" w:rsidRPr="00993936" w:rsidRDefault="00503A41" w:rsidP="00424C28">
            <w:pPr>
              <w:rPr>
                <w:rFonts w:ascii="Arial" w:hAnsi="Arial" w:cs="Arial"/>
                <w:sz w:val="20"/>
                <w:szCs w:val="18"/>
                <w:lang w:val="es-ES"/>
              </w:rPr>
            </w:pPr>
            <w:r w:rsidRPr="00993936">
              <w:rPr>
                <w:rFonts w:ascii="Arial" w:hAnsi="Arial" w:cs="Arial"/>
                <w:sz w:val="20"/>
                <w:szCs w:val="18"/>
                <w:lang w:val="es-ES"/>
              </w:rPr>
              <w:t>Deltametrín</w:t>
            </w:r>
          </w:p>
          <w:p w:rsidR="00503A41" w:rsidRPr="00993936" w:rsidRDefault="00503A41" w:rsidP="00424C28">
            <w:pPr>
              <w:rPr>
                <w:rFonts w:ascii="Arial" w:hAnsi="Arial" w:cs="Arial"/>
                <w:sz w:val="20"/>
                <w:szCs w:val="18"/>
                <w:lang w:val="es-ES"/>
              </w:rPr>
            </w:pPr>
            <w:r w:rsidRPr="00993936">
              <w:rPr>
                <w:rFonts w:ascii="Arial" w:hAnsi="Arial" w:cs="Arial"/>
                <w:sz w:val="20"/>
                <w:szCs w:val="18"/>
                <w:lang w:val="es-ES"/>
              </w:rPr>
              <w:t>Tau-fluvalinato (2)</w:t>
            </w:r>
          </w:p>
        </w:tc>
        <w:tc>
          <w:tcPr>
            <w:tcW w:w="2458" w:type="dxa"/>
            <w:vMerge/>
          </w:tcPr>
          <w:p w:rsidR="00503A41" w:rsidRPr="00993936" w:rsidRDefault="00503A41" w:rsidP="00424C28">
            <w:pPr>
              <w:rPr>
                <w:rFonts w:ascii="Arial" w:hAnsi="Arial" w:cs="Arial"/>
                <w:sz w:val="20"/>
                <w:lang w:val="es-ES"/>
              </w:rPr>
            </w:pPr>
          </w:p>
        </w:tc>
      </w:tr>
    </w:tbl>
    <w:p w:rsidR="00503A41" w:rsidRPr="00993936" w:rsidRDefault="00503A41" w:rsidP="00424C28">
      <w:pPr>
        <w:pStyle w:val="Sangradetextonormal"/>
        <w:ind w:left="0"/>
        <w:rPr>
          <w:rFonts w:cs="Arial"/>
          <w:b/>
          <w:lang w:val="es-ES"/>
        </w:rPr>
      </w:pPr>
    </w:p>
    <w:p w:rsidR="00503A41" w:rsidRPr="00993936" w:rsidRDefault="00503A41" w:rsidP="00424C28">
      <w:pPr>
        <w:pStyle w:val="Sangradetextonormal"/>
        <w:ind w:left="0"/>
        <w:rPr>
          <w:rFonts w:cs="Arial"/>
          <w:b/>
          <w:lang w:val="es-ES"/>
        </w:rPr>
      </w:pPr>
    </w:p>
    <w:p w:rsidR="00503A41" w:rsidRPr="00993936" w:rsidRDefault="00503A41" w:rsidP="00424C28">
      <w:pPr>
        <w:pStyle w:val="Sangradetextonormal"/>
        <w:ind w:left="0"/>
        <w:rPr>
          <w:rFonts w:cs="Arial"/>
          <w:b/>
          <w:lang w:val="es-ES"/>
        </w:rPr>
      </w:pPr>
    </w:p>
    <w:p w:rsidR="00503A41" w:rsidRPr="00993936" w:rsidRDefault="00503A41" w:rsidP="00424C28">
      <w:pPr>
        <w:pStyle w:val="Sangradetextonormal"/>
        <w:ind w:left="0"/>
        <w:rPr>
          <w:rFonts w:cs="Arial"/>
          <w:b/>
          <w:lang w:val="es-ES"/>
        </w:rPr>
      </w:pPr>
      <w:r w:rsidRPr="00993936">
        <w:rPr>
          <w:rFonts w:cs="Arial"/>
          <w:b/>
          <w:lang w:val="es-ES"/>
        </w:rPr>
        <w:br w:type="page"/>
      </w:r>
    </w:p>
    <w:p w:rsidR="00503A41" w:rsidRPr="00993936" w:rsidRDefault="00503A41" w:rsidP="00424C28">
      <w:pPr>
        <w:pStyle w:val="Sangradetextonormal"/>
        <w:ind w:left="0"/>
        <w:rPr>
          <w:rFonts w:cs="Arial"/>
          <w:b/>
          <w:lang w:val="es-ES"/>
        </w:rPr>
      </w:pPr>
      <w:r w:rsidRPr="00993936">
        <w:rPr>
          <w:rFonts w:cs="Arial"/>
          <w:b/>
          <w:lang w:val="es-ES"/>
        </w:rPr>
        <w:lastRenderedPageBreak/>
        <w:t>2.1.2 Avellano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8"/>
        <w:gridCol w:w="3245"/>
        <w:gridCol w:w="4111"/>
        <w:gridCol w:w="3130"/>
      </w:tblGrid>
      <w:tr w:rsidR="00503A41" w:rsidRPr="00993936" w:rsidTr="00424C28">
        <w:trPr>
          <w:tblHeader/>
          <w:jc w:val="center"/>
        </w:trPr>
        <w:tc>
          <w:tcPr>
            <w:tcW w:w="3318" w:type="dxa"/>
            <w:shd w:val="pct12" w:color="auto" w:fill="FFFFFF"/>
          </w:tcPr>
          <w:p w:rsidR="00503A41" w:rsidRPr="00993936" w:rsidRDefault="00503A41" w:rsidP="007003E1">
            <w:pPr>
              <w:pStyle w:val="Sinespaciado"/>
              <w:jc w:val="center"/>
              <w:rPr>
                <w:rFonts w:ascii="Arial" w:hAnsi="Arial" w:cs="Arial"/>
                <w:b/>
                <w:lang w:val="es-ES"/>
              </w:rPr>
            </w:pPr>
            <w:r w:rsidRPr="00993936">
              <w:rPr>
                <w:rFonts w:ascii="Arial" w:hAnsi="Arial" w:cs="Arial"/>
                <w:b/>
                <w:lang w:val="es-ES"/>
              </w:rPr>
              <w:t>PLAGA</w:t>
            </w:r>
          </w:p>
        </w:tc>
        <w:tc>
          <w:tcPr>
            <w:tcW w:w="3245" w:type="dxa"/>
            <w:shd w:val="pct12" w:color="auto" w:fill="FFFFFF"/>
          </w:tcPr>
          <w:p w:rsidR="00503A41" w:rsidRPr="00993936" w:rsidRDefault="00503A41" w:rsidP="007003E1">
            <w:pPr>
              <w:pStyle w:val="Sinespaciado"/>
              <w:jc w:val="center"/>
              <w:rPr>
                <w:rFonts w:ascii="Arial" w:hAnsi="Arial" w:cs="Arial"/>
                <w:b/>
                <w:lang w:val="es-ES"/>
              </w:rPr>
            </w:pPr>
            <w:r w:rsidRPr="00993936">
              <w:rPr>
                <w:rFonts w:ascii="Arial" w:hAnsi="Arial" w:cs="Arial"/>
                <w:b/>
                <w:lang w:val="es-ES"/>
              </w:rPr>
              <w:t>UMBRAL DE TOLERANCIA</w:t>
            </w:r>
          </w:p>
        </w:tc>
        <w:tc>
          <w:tcPr>
            <w:tcW w:w="4111" w:type="dxa"/>
            <w:shd w:val="pct12" w:color="auto" w:fill="FFFFFF"/>
          </w:tcPr>
          <w:p w:rsidR="00503A41" w:rsidRPr="00993936" w:rsidRDefault="00503A41" w:rsidP="007003E1">
            <w:pPr>
              <w:pStyle w:val="Sinespaciado"/>
              <w:jc w:val="center"/>
              <w:rPr>
                <w:rFonts w:ascii="Arial" w:hAnsi="Arial" w:cs="Arial"/>
                <w:b/>
                <w:lang w:val="es-ES"/>
              </w:rPr>
            </w:pPr>
            <w:r w:rsidRPr="00993936">
              <w:rPr>
                <w:rFonts w:ascii="Arial" w:hAnsi="Arial" w:cs="Arial"/>
                <w:b/>
                <w:lang w:val="es-ES"/>
              </w:rPr>
              <w:t>MATERIA ACTIVA</w:t>
            </w:r>
          </w:p>
        </w:tc>
        <w:tc>
          <w:tcPr>
            <w:tcW w:w="3130" w:type="dxa"/>
            <w:shd w:val="pct12" w:color="auto" w:fill="FFFFFF"/>
          </w:tcPr>
          <w:p w:rsidR="00503A41" w:rsidRPr="00993936" w:rsidRDefault="00503A41" w:rsidP="007003E1">
            <w:pPr>
              <w:pStyle w:val="Sinespaciado"/>
              <w:jc w:val="center"/>
              <w:rPr>
                <w:rFonts w:ascii="Arial" w:hAnsi="Arial" w:cs="Arial"/>
                <w:b/>
                <w:lang w:val="es-ES"/>
              </w:rPr>
            </w:pPr>
            <w:r w:rsidRPr="00993936">
              <w:rPr>
                <w:rFonts w:ascii="Arial" w:hAnsi="Arial" w:cs="Arial"/>
                <w:b/>
                <w:lang w:val="es-ES"/>
              </w:rPr>
              <w:t>RESTRICCIONES</w:t>
            </w:r>
          </w:p>
        </w:tc>
      </w:tr>
      <w:tr w:rsidR="00503A41" w:rsidRPr="00993936" w:rsidTr="00424C28">
        <w:trPr>
          <w:cantSplit/>
          <w:jc w:val="center"/>
        </w:trPr>
        <w:tc>
          <w:tcPr>
            <w:tcW w:w="3318" w:type="dxa"/>
            <w:vAlign w:val="center"/>
          </w:tcPr>
          <w:p w:rsidR="00503A41" w:rsidRPr="00993936" w:rsidRDefault="00503A41" w:rsidP="007003E1">
            <w:pPr>
              <w:pStyle w:val="Sinespaciado"/>
              <w:rPr>
                <w:rFonts w:ascii="Arial" w:hAnsi="Arial" w:cs="Arial"/>
              </w:rPr>
            </w:pPr>
            <w:r w:rsidRPr="00993936">
              <w:rPr>
                <w:rFonts w:ascii="Arial" w:hAnsi="Arial" w:cs="Arial"/>
              </w:rPr>
              <w:t>Barrenador de la madera</w:t>
            </w:r>
          </w:p>
          <w:p w:rsidR="00503A41" w:rsidRPr="00993936" w:rsidRDefault="00503A41" w:rsidP="007003E1">
            <w:pPr>
              <w:pStyle w:val="Sinespaciado"/>
              <w:rPr>
                <w:rFonts w:ascii="Arial" w:hAnsi="Arial" w:cs="Arial"/>
                <w:lang w:val="es-ES"/>
              </w:rPr>
            </w:pPr>
            <w:r w:rsidRPr="00993936">
              <w:rPr>
                <w:rFonts w:ascii="Arial" w:hAnsi="Arial" w:cs="Arial"/>
                <w:i/>
                <w:lang w:val="es-ES"/>
              </w:rPr>
              <w:t>Zeuzera pyrina</w:t>
            </w:r>
          </w:p>
        </w:tc>
        <w:tc>
          <w:tcPr>
            <w:tcW w:w="3245"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15% de los árboles atacados</w:t>
            </w:r>
          </w:p>
        </w:tc>
        <w:tc>
          <w:tcPr>
            <w:tcW w:w="4111"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Clorpirifos</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 xml:space="preserve">Deltametrín </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Lambda-cihalotrín (2)</w:t>
            </w:r>
          </w:p>
        </w:tc>
        <w:tc>
          <w:tcPr>
            <w:tcW w:w="3130" w:type="dxa"/>
            <w:vMerge w:val="restart"/>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Máximo: 2 tratamientos /año</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Utilizar sólo formulaciones que no sean de clasificación toxicológica T</w:t>
            </w:r>
          </w:p>
          <w:p w:rsidR="00503A41" w:rsidRPr="00993936" w:rsidRDefault="00503A41" w:rsidP="007003E1">
            <w:pPr>
              <w:pStyle w:val="Sinespaciado"/>
              <w:rPr>
                <w:rFonts w:ascii="Arial" w:hAnsi="Arial" w:cs="Arial"/>
                <w:sz w:val="18"/>
                <w:szCs w:val="18"/>
                <w:lang w:val="es-ES"/>
              </w:rPr>
            </w:pPr>
          </w:p>
          <w:p w:rsidR="00503A41" w:rsidRPr="00993936" w:rsidRDefault="00503A41" w:rsidP="007003E1">
            <w:pPr>
              <w:pStyle w:val="Sinespaciado"/>
              <w:rPr>
                <w:rFonts w:ascii="Arial" w:hAnsi="Arial" w:cs="Arial"/>
                <w:sz w:val="18"/>
                <w:szCs w:val="18"/>
                <w:lang w:val="es-ES"/>
              </w:rPr>
            </w:pPr>
          </w:p>
        </w:tc>
      </w:tr>
      <w:tr w:rsidR="00503A41" w:rsidRPr="00993936" w:rsidTr="00424C28">
        <w:trPr>
          <w:cantSplit/>
          <w:jc w:val="center"/>
        </w:trPr>
        <w:tc>
          <w:tcPr>
            <w:tcW w:w="3318" w:type="dxa"/>
            <w:vAlign w:val="center"/>
          </w:tcPr>
          <w:p w:rsidR="00503A41" w:rsidRPr="00993936" w:rsidRDefault="00503A41" w:rsidP="007003E1">
            <w:pPr>
              <w:pStyle w:val="Sinespaciado"/>
              <w:rPr>
                <w:rFonts w:ascii="Arial" w:hAnsi="Arial" w:cs="Arial"/>
              </w:rPr>
            </w:pPr>
            <w:r w:rsidRPr="00993936">
              <w:rPr>
                <w:rFonts w:ascii="Arial" w:hAnsi="Arial" w:cs="Arial"/>
              </w:rPr>
              <w:t>Pulgón amarillo</w:t>
            </w:r>
          </w:p>
          <w:p w:rsidR="00503A41" w:rsidRPr="00993936" w:rsidRDefault="00503A41" w:rsidP="007003E1">
            <w:pPr>
              <w:pStyle w:val="Sinespaciado"/>
              <w:rPr>
                <w:rFonts w:ascii="Arial" w:hAnsi="Arial" w:cs="Arial"/>
                <w:lang w:val="es-ES"/>
              </w:rPr>
            </w:pPr>
            <w:r w:rsidRPr="00993936">
              <w:rPr>
                <w:rFonts w:ascii="Arial" w:hAnsi="Arial" w:cs="Arial"/>
                <w:i/>
                <w:lang w:val="es-ES"/>
              </w:rPr>
              <w:t>Myzocallis corylii</w:t>
            </w:r>
            <w:r w:rsidRPr="00993936">
              <w:rPr>
                <w:rFonts w:ascii="Arial" w:hAnsi="Arial" w:cs="Arial"/>
                <w:lang w:val="es-ES"/>
              </w:rPr>
              <w:t xml:space="preserve"> </w:t>
            </w:r>
          </w:p>
          <w:p w:rsidR="00503A41" w:rsidRPr="00993936" w:rsidRDefault="00503A41" w:rsidP="007003E1">
            <w:pPr>
              <w:pStyle w:val="Sinespaciado"/>
              <w:rPr>
                <w:rFonts w:ascii="Arial" w:hAnsi="Arial" w:cs="Arial"/>
                <w:lang w:val="es-ES"/>
              </w:rPr>
            </w:pPr>
          </w:p>
          <w:p w:rsidR="00503A41" w:rsidRPr="00993936" w:rsidRDefault="00503A41" w:rsidP="007003E1">
            <w:pPr>
              <w:pStyle w:val="Sinespaciado"/>
              <w:rPr>
                <w:rFonts w:ascii="Arial" w:hAnsi="Arial" w:cs="Arial"/>
              </w:rPr>
            </w:pPr>
            <w:r w:rsidRPr="00993936">
              <w:rPr>
                <w:rFonts w:ascii="Arial" w:hAnsi="Arial" w:cs="Arial"/>
              </w:rPr>
              <w:t>Pulgón verde</w:t>
            </w:r>
          </w:p>
          <w:p w:rsidR="00503A41" w:rsidRPr="00993936" w:rsidRDefault="00503A41" w:rsidP="007003E1">
            <w:pPr>
              <w:pStyle w:val="Sinespaciado"/>
              <w:rPr>
                <w:rFonts w:ascii="Arial" w:hAnsi="Arial" w:cs="Arial"/>
                <w:lang w:val="es-ES"/>
              </w:rPr>
            </w:pPr>
            <w:r w:rsidRPr="00993936">
              <w:rPr>
                <w:rFonts w:ascii="Arial" w:hAnsi="Arial" w:cs="Arial"/>
                <w:i/>
                <w:lang w:val="es-ES"/>
              </w:rPr>
              <w:t>Corylobium avellanae</w:t>
            </w:r>
            <w:r w:rsidRPr="00993936">
              <w:rPr>
                <w:rFonts w:ascii="Arial" w:hAnsi="Arial" w:cs="Arial"/>
                <w:lang w:val="es-ES"/>
              </w:rPr>
              <w:t xml:space="preserve"> </w:t>
            </w:r>
          </w:p>
          <w:p w:rsidR="00503A41" w:rsidRPr="00993936" w:rsidRDefault="00503A41" w:rsidP="007003E1">
            <w:pPr>
              <w:pStyle w:val="Sinespaciado"/>
              <w:rPr>
                <w:rFonts w:ascii="Arial" w:hAnsi="Arial" w:cs="Arial"/>
                <w:lang w:val="es-ES"/>
              </w:rPr>
            </w:pPr>
          </w:p>
        </w:tc>
        <w:tc>
          <w:tcPr>
            <w:tcW w:w="3245"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Presencia en primera colonia establecida.</w:t>
            </w:r>
          </w:p>
          <w:p w:rsidR="00503A41" w:rsidRPr="00993936" w:rsidRDefault="00503A41" w:rsidP="007003E1">
            <w:pPr>
              <w:pStyle w:val="Sinespaciado"/>
              <w:rPr>
                <w:rFonts w:ascii="Arial" w:hAnsi="Arial" w:cs="Arial"/>
                <w:sz w:val="18"/>
                <w:szCs w:val="18"/>
                <w:lang w:val="es-ES"/>
              </w:rPr>
            </w:pPr>
          </w:p>
        </w:tc>
        <w:tc>
          <w:tcPr>
            <w:tcW w:w="4111"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 xml:space="preserve">Deltametrín </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Lambda-cihalotrín (2)</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 xml:space="preserve">Pirimicarb </w:t>
            </w:r>
          </w:p>
          <w:p w:rsidR="00503A41" w:rsidRPr="00993936" w:rsidRDefault="00503A41" w:rsidP="007003E1">
            <w:pPr>
              <w:pStyle w:val="Sinespaciado"/>
              <w:rPr>
                <w:rFonts w:ascii="Arial" w:hAnsi="Arial" w:cs="Arial"/>
                <w:sz w:val="18"/>
                <w:szCs w:val="18"/>
                <w:lang w:val="es-ES"/>
              </w:rPr>
            </w:pPr>
          </w:p>
        </w:tc>
        <w:tc>
          <w:tcPr>
            <w:tcW w:w="3130" w:type="dxa"/>
            <w:vMerge/>
          </w:tcPr>
          <w:p w:rsidR="00503A41" w:rsidRPr="00993936" w:rsidRDefault="00503A41" w:rsidP="007003E1">
            <w:pPr>
              <w:pStyle w:val="Sinespaciado"/>
              <w:rPr>
                <w:rFonts w:ascii="Arial" w:hAnsi="Arial" w:cs="Arial"/>
                <w:sz w:val="18"/>
                <w:szCs w:val="18"/>
                <w:lang w:val="es-ES"/>
              </w:rPr>
            </w:pPr>
          </w:p>
        </w:tc>
      </w:tr>
      <w:tr w:rsidR="00503A41" w:rsidRPr="00993936" w:rsidTr="00424C28">
        <w:trPr>
          <w:cantSplit/>
          <w:trHeight w:val="210"/>
          <w:jc w:val="center"/>
        </w:trPr>
        <w:tc>
          <w:tcPr>
            <w:tcW w:w="3318" w:type="dxa"/>
            <w:vMerge w:val="restart"/>
            <w:vAlign w:val="center"/>
          </w:tcPr>
          <w:p w:rsidR="00503A41" w:rsidRPr="00993936" w:rsidRDefault="00503A41" w:rsidP="007003E1">
            <w:pPr>
              <w:pStyle w:val="Sinespaciado"/>
              <w:rPr>
                <w:rFonts w:ascii="Arial" w:hAnsi="Arial" w:cs="Arial"/>
              </w:rPr>
            </w:pPr>
            <w:r w:rsidRPr="00993936">
              <w:rPr>
                <w:rFonts w:ascii="Arial" w:hAnsi="Arial" w:cs="Arial"/>
              </w:rPr>
              <w:t>Caparreta</w:t>
            </w:r>
          </w:p>
          <w:p w:rsidR="00503A41" w:rsidRPr="00993936" w:rsidRDefault="00503A41" w:rsidP="007003E1">
            <w:pPr>
              <w:pStyle w:val="Sinespaciado"/>
              <w:rPr>
                <w:rFonts w:ascii="Arial" w:hAnsi="Arial" w:cs="Arial"/>
                <w:lang w:val="es-ES"/>
              </w:rPr>
            </w:pPr>
            <w:r w:rsidRPr="00993936">
              <w:rPr>
                <w:rFonts w:ascii="Arial" w:hAnsi="Arial" w:cs="Arial"/>
                <w:i/>
                <w:lang w:val="es-ES"/>
              </w:rPr>
              <w:t>Eulecanium coryli</w:t>
            </w:r>
          </w:p>
        </w:tc>
        <w:tc>
          <w:tcPr>
            <w:tcW w:w="3245" w:type="dxa"/>
            <w:vMerge w:val="restart"/>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5% de ramas ocupadas</w:t>
            </w:r>
          </w:p>
        </w:tc>
        <w:tc>
          <w:tcPr>
            <w:tcW w:w="4111"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En invierno:</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Piriproxifen</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Polisulfuro de calcio</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Clorpirifos</w:t>
            </w:r>
          </w:p>
        </w:tc>
        <w:tc>
          <w:tcPr>
            <w:tcW w:w="3130" w:type="dxa"/>
            <w:vMerge/>
          </w:tcPr>
          <w:p w:rsidR="00503A41" w:rsidRPr="00993936" w:rsidRDefault="00503A41" w:rsidP="007003E1">
            <w:pPr>
              <w:pStyle w:val="Sinespaciado"/>
              <w:rPr>
                <w:rFonts w:ascii="Arial" w:hAnsi="Arial" w:cs="Arial"/>
                <w:sz w:val="18"/>
                <w:szCs w:val="18"/>
                <w:lang w:val="es-ES"/>
              </w:rPr>
            </w:pPr>
          </w:p>
        </w:tc>
      </w:tr>
      <w:tr w:rsidR="00503A41" w:rsidRPr="00993936" w:rsidTr="00424C28">
        <w:trPr>
          <w:cantSplit/>
          <w:trHeight w:val="210"/>
          <w:jc w:val="center"/>
        </w:trPr>
        <w:tc>
          <w:tcPr>
            <w:tcW w:w="3318" w:type="dxa"/>
            <w:vMerge/>
            <w:vAlign w:val="center"/>
          </w:tcPr>
          <w:p w:rsidR="00503A41" w:rsidRPr="00993936" w:rsidRDefault="00503A41" w:rsidP="007003E1">
            <w:pPr>
              <w:pStyle w:val="Sinespaciado"/>
              <w:rPr>
                <w:rFonts w:ascii="Arial" w:hAnsi="Arial" w:cs="Arial"/>
                <w:lang w:val="es-ES"/>
              </w:rPr>
            </w:pPr>
          </w:p>
        </w:tc>
        <w:tc>
          <w:tcPr>
            <w:tcW w:w="3245" w:type="dxa"/>
            <w:vMerge/>
            <w:vAlign w:val="center"/>
          </w:tcPr>
          <w:p w:rsidR="00503A41" w:rsidRPr="00993936" w:rsidRDefault="00503A41" w:rsidP="007003E1">
            <w:pPr>
              <w:pStyle w:val="Sinespaciado"/>
              <w:rPr>
                <w:rFonts w:ascii="Arial" w:hAnsi="Arial" w:cs="Arial"/>
                <w:sz w:val="18"/>
                <w:szCs w:val="18"/>
                <w:lang w:val="es-ES"/>
              </w:rPr>
            </w:pPr>
          </w:p>
        </w:tc>
        <w:tc>
          <w:tcPr>
            <w:tcW w:w="4111"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Al 100% de eclosión de los huevos:</w:t>
            </w:r>
          </w:p>
          <w:p w:rsidR="00503A41" w:rsidRPr="00993936" w:rsidRDefault="00503A41" w:rsidP="007003E1">
            <w:pPr>
              <w:pStyle w:val="Sinespaciado"/>
              <w:rPr>
                <w:rFonts w:ascii="Arial" w:hAnsi="Arial" w:cs="Arial"/>
                <w:sz w:val="18"/>
                <w:szCs w:val="18"/>
                <w:lang w:val="es-ES"/>
              </w:rPr>
            </w:pPr>
          </w:p>
        </w:tc>
        <w:tc>
          <w:tcPr>
            <w:tcW w:w="3130" w:type="dxa"/>
            <w:vMerge/>
          </w:tcPr>
          <w:p w:rsidR="00503A41" w:rsidRPr="00993936" w:rsidRDefault="00503A41" w:rsidP="007003E1">
            <w:pPr>
              <w:pStyle w:val="Sinespaciado"/>
              <w:rPr>
                <w:rFonts w:ascii="Arial" w:hAnsi="Arial" w:cs="Arial"/>
                <w:sz w:val="18"/>
                <w:szCs w:val="18"/>
                <w:lang w:val="es-ES"/>
              </w:rPr>
            </w:pPr>
          </w:p>
        </w:tc>
      </w:tr>
      <w:tr w:rsidR="00503A41" w:rsidRPr="00993936" w:rsidTr="00424C28">
        <w:trPr>
          <w:cantSplit/>
          <w:jc w:val="center"/>
        </w:trPr>
        <w:tc>
          <w:tcPr>
            <w:tcW w:w="3318" w:type="dxa"/>
            <w:vAlign w:val="center"/>
          </w:tcPr>
          <w:p w:rsidR="00503A41" w:rsidRPr="00993936" w:rsidRDefault="00503A41" w:rsidP="007003E1">
            <w:pPr>
              <w:pStyle w:val="Sinespaciado"/>
              <w:rPr>
                <w:rFonts w:ascii="Arial" w:hAnsi="Arial" w:cs="Arial"/>
                <w:i/>
                <w:lang w:val="es-ES"/>
              </w:rPr>
            </w:pPr>
            <w:r w:rsidRPr="00993936">
              <w:rPr>
                <w:rFonts w:ascii="Arial" w:hAnsi="Arial" w:cs="Arial"/>
                <w:lang w:val="es-ES"/>
              </w:rPr>
              <w:t>Cigarrero</w:t>
            </w:r>
          </w:p>
          <w:p w:rsidR="00503A41" w:rsidRPr="00993936" w:rsidRDefault="00503A41" w:rsidP="007003E1">
            <w:pPr>
              <w:pStyle w:val="Sinespaciado"/>
              <w:rPr>
                <w:rFonts w:ascii="Arial" w:hAnsi="Arial" w:cs="Arial"/>
                <w:i/>
                <w:lang w:val="es-ES"/>
              </w:rPr>
            </w:pPr>
            <w:r w:rsidRPr="00993936">
              <w:rPr>
                <w:rFonts w:ascii="Arial" w:hAnsi="Arial" w:cs="Arial"/>
                <w:i/>
                <w:lang w:val="es-ES"/>
              </w:rPr>
              <w:t xml:space="preserve">Archips rosanus, </w:t>
            </w:r>
          </w:p>
          <w:p w:rsidR="00503A41" w:rsidRPr="00993936" w:rsidRDefault="00503A41" w:rsidP="007003E1">
            <w:pPr>
              <w:pStyle w:val="Sinespaciado"/>
              <w:rPr>
                <w:rFonts w:ascii="Arial" w:hAnsi="Arial" w:cs="Arial"/>
                <w:lang w:val="es-ES"/>
              </w:rPr>
            </w:pPr>
            <w:r w:rsidRPr="00993936">
              <w:rPr>
                <w:rFonts w:ascii="Arial" w:hAnsi="Arial" w:cs="Arial"/>
                <w:i/>
                <w:lang w:val="es-ES"/>
              </w:rPr>
              <w:t>Archips xylosteana</w:t>
            </w:r>
          </w:p>
        </w:tc>
        <w:tc>
          <w:tcPr>
            <w:tcW w:w="3245"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10% de árboles con posta</w:t>
            </w:r>
            <w:r w:rsidRPr="00993936">
              <w:rPr>
                <w:rFonts w:ascii="Arial" w:hAnsi="Arial" w:cs="Arial"/>
                <w:vanish/>
                <w:sz w:val="18"/>
                <w:szCs w:val="18"/>
                <w:lang w:val="es-ES"/>
              </w:rPr>
              <w:t>&lt;A[posta|apostadero]&gt;</w:t>
            </w:r>
          </w:p>
        </w:tc>
        <w:tc>
          <w:tcPr>
            <w:tcW w:w="4111" w:type="dxa"/>
            <w:vAlign w:val="center"/>
          </w:tcPr>
          <w:p w:rsidR="00503A41" w:rsidRPr="00993936" w:rsidRDefault="00503A41" w:rsidP="007003E1">
            <w:pPr>
              <w:pStyle w:val="Sinespaciado"/>
              <w:rPr>
                <w:rFonts w:ascii="Arial" w:hAnsi="Arial" w:cs="Arial"/>
                <w:i/>
                <w:sz w:val="18"/>
                <w:szCs w:val="18"/>
                <w:lang w:val="es-ES"/>
              </w:rPr>
            </w:pPr>
            <w:r w:rsidRPr="00993936">
              <w:rPr>
                <w:rFonts w:ascii="Arial" w:hAnsi="Arial" w:cs="Arial"/>
                <w:i/>
                <w:sz w:val="18"/>
                <w:szCs w:val="18"/>
                <w:lang w:val="es-ES"/>
              </w:rPr>
              <w:t>Bacillus thuringensis (kurstaki)</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Deltametrín</w:t>
            </w:r>
          </w:p>
          <w:p w:rsidR="00503A41" w:rsidRPr="00993936" w:rsidRDefault="00503A41" w:rsidP="007003E1">
            <w:pPr>
              <w:pStyle w:val="Sinespaciado"/>
              <w:rPr>
                <w:rFonts w:ascii="Arial" w:hAnsi="Arial" w:cs="Arial"/>
                <w:dstrike/>
                <w:sz w:val="18"/>
                <w:szCs w:val="18"/>
                <w:lang w:val="es-ES"/>
              </w:rPr>
            </w:pPr>
            <w:r w:rsidRPr="00993936">
              <w:rPr>
                <w:rFonts w:ascii="Arial" w:hAnsi="Arial" w:cs="Arial"/>
                <w:sz w:val="18"/>
                <w:szCs w:val="18"/>
                <w:lang w:val="es-ES"/>
              </w:rPr>
              <w:t>Lambda-cihalotrín (2)</w:t>
            </w:r>
          </w:p>
        </w:tc>
        <w:tc>
          <w:tcPr>
            <w:tcW w:w="3130" w:type="dxa"/>
            <w:vMerge/>
          </w:tcPr>
          <w:p w:rsidR="00503A41" w:rsidRPr="00993936" w:rsidRDefault="00503A41" w:rsidP="007003E1">
            <w:pPr>
              <w:pStyle w:val="Sinespaciado"/>
              <w:rPr>
                <w:rFonts w:ascii="Arial" w:hAnsi="Arial" w:cs="Arial"/>
                <w:sz w:val="18"/>
                <w:szCs w:val="18"/>
                <w:lang w:val="es-ES"/>
              </w:rPr>
            </w:pPr>
          </w:p>
        </w:tc>
      </w:tr>
      <w:tr w:rsidR="00503A41" w:rsidRPr="00993936" w:rsidTr="00424C28">
        <w:trPr>
          <w:cantSplit/>
          <w:jc w:val="center"/>
        </w:trPr>
        <w:tc>
          <w:tcPr>
            <w:tcW w:w="3318" w:type="dxa"/>
            <w:vAlign w:val="center"/>
          </w:tcPr>
          <w:p w:rsidR="00503A41" w:rsidRPr="00993936" w:rsidRDefault="00503A41" w:rsidP="007003E1">
            <w:pPr>
              <w:pStyle w:val="Sinespaciado"/>
              <w:rPr>
                <w:rFonts w:ascii="Arial" w:hAnsi="Arial" w:cs="Arial"/>
                <w:lang w:val="es-ES"/>
              </w:rPr>
            </w:pPr>
            <w:r w:rsidRPr="00993936">
              <w:rPr>
                <w:rFonts w:ascii="Arial" w:hAnsi="Arial" w:cs="Arial"/>
                <w:lang w:val="es-ES"/>
              </w:rPr>
              <w:t xml:space="preserve">Diablo </w:t>
            </w:r>
          </w:p>
          <w:p w:rsidR="00503A41" w:rsidRPr="00993936" w:rsidRDefault="00503A41" w:rsidP="007003E1">
            <w:pPr>
              <w:pStyle w:val="Sinespaciado"/>
              <w:rPr>
                <w:rFonts w:ascii="Arial" w:hAnsi="Arial" w:cs="Arial"/>
                <w:lang w:val="es-ES"/>
              </w:rPr>
            </w:pPr>
            <w:r w:rsidRPr="00993936">
              <w:rPr>
                <w:rFonts w:ascii="Arial" w:hAnsi="Arial" w:cs="Arial"/>
                <w:i/>
                <w:lang w:val="es-ES"/>
              </w:rPr>
              <w:t>Curculio nucum</w:t>
            </w:r>
          </w:p>
        </w:tc>
        <w:tc>
          <w:tcPr>
            <w:tcW w:w="3245"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4 individus/100 veces</w:t>
            </w:r>
            <w:r w:rsidRPr="00993936">
              <w:rPr>
                <w:rFonts w:ascii="Arial" w:hAnsi="Arial" w:cs="Arial"/>
                <w:vanish/>
                <w:sz w:val="18"/>
                <w:szCs w:val="18"/>
                <w:lang w:val="es-ES"/>
              </w:rPr>
              <w:t>&lt;A[veces|golpes]&gt;</w:t>
            </w:r>
            <w:r w:rsidRPr="00993936">
              <w:rPr>
                <w:rFonts w:ascii="Arial" w:hAnsi="Arial" w:cs="Arial"/>
                <w:sz w:val="18"/>
                <w:szCs w:val="18"/>
                <w:lang w:val="es-ES"/>
              </w:rPr>
              <w:t xml:space="preserve"> (frappage de </w:t>
            </w:r>
            <w:smartTag w:uri="urn:schemas-microsoft-com:office:smarttags" w:element="metricconverter">
              <w:smartTagPr>
                <w:attr w:name="ProductID" w:val="45 cm"/>
              </w:smartTagPr>
              <w:r w:rsidRPr="00993936">
                <w:rPr>
                  <w:rFonts w:ascii="Arial" w:hAnsi="Arial" w:cs="Arial"/>
                  <w:sz w:val="18"/>
                  <w:szCs w:val="18"/>
                  <w:lang w:val="es-ES"/>
                </w:rPr>
                <w:t>45 cm</w:t>
              </w:r>
            </w:smartTag>
            <w:r w:rsidRPr="00993936">
              <w:rPr>
                <w:rFonts w:ascii="Arial" w:hAnsi="Arial" w:cs="Arial"/>
                <w:sz w:val="18"/>
                <w:szCs w:val="18"/>
                <w:lang w:val="es-ES"/>
              </w:rPr>
              <w:t xml:space="preserve"> x </w:t>
            </w:r>
            <w:smartTag w:uri="urn:schemas-microsoft-com:office:smarttags" w:element="metricconverter">
              <w:smartTagPr>
                <w:attr w:name="ProductID" w:val="74 cm"/>
              </w:smartTagPr>
              <w:r w:rsidRPr="00993936">
                <w:rPr>
                  <w:rFonts w:ascii="Arial" w:hAnsi="Arial" w:cs="Arial"/>
                  <w:sz w:val="18"/>
                  <w:szCs w:val="18"/>
                  <w:lang w:val="es-ES"/>
                </w:rPr>
                <w:t>74 cm</w:t>
              </w:r>
            </w:smartTag>
            <w:r w:rsidRPr="00993936">
              <w:rPr>
                <w:rFonts w:ascii="Arial" w:hAnsi="Arial" w:cs="Arial"/>
                <w:sz w:val="18"/>
                <w:szCs w:val="18"/>
                <w:lang w:val="es-ES"/>
              </w:rPr>
              <w:t>)</w:t>
            </w:r>
          </w:p>
        </w:tc>
        <w:tc>
          <w:tcPr>
            <w:tcW w:w="4111"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 xml:space="preserve">Clorpirifos </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Deltametrín</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Lambda-cihalotrín (2)</w:t>
            </w:r>
          </w:p>
        </w:tc>
        <w:tc>
          <w:tcPr>
            <w:tcW w:w="3130" w:type="dxa"/>
            <w:vMerge/>
            <w:vAlign w:val="center"/>
          </w:tcPr>
          <w:p w:rsidR="00503A41" w:rsidRPr="00993936" w:rsidRDefault="00503A41" w:rsidP="007003E1">
            <w:pPr>
              <w:pStyle w:val="Sinespaciado"/>
              <w:rPr>
                <w:rFonts w:ascii="Arial" w:hAnsi="Arial" w:cs="Arial"/>
                <w:sz w:val="18"/>
                <w:szCs w:val="18"/>
                <w:lang w:val="es-ES"/>
              </w:rPr>
            </w:pPr>
          </w:p>
        </w:tc>
      </w:tr>
      <w:tr w:rsidR="00503A41" w:rsidRPr="00993936" w:rsidTr="00424C28">
        <w:trPr>
          <w:cantSplit/>
          <w:jc w:val="center"/>
        </w:trPr>
        <w:tc>
          <w:tcPr>
            <w:tcW w:w="3318" w:type="dxa"/>
            <w:vAlign w:val="center"/>
          </w:tcPr>
          <w:p w:rsidR="00503A41" w:rsidRPr="00993936" w:rsidRDefault="00503A41" w:rsidP="007003E1">
            <w:pPr>
              <w:pStyle w:val="Sinespaciado"/>
              <w:rPr>
                <w:rFonts w:ascii="Arial" w:hAnsi="Arial" w:cs="Arial"/>
                <w:i/>
                <w:lang w:val="es-ES"/>
              </w:rPr>
            </w:pPr>
            <w:r w:rsidRPr="00993936">
              <w:rPr>
                <w:rFonts w:ascii="Arial" w:hAnsi="Arial" w:cs="Arial"/>
                <w:i/>
                <w:lang w:val="es-ES"/>
              </w:rPr>
              <w:t>Gusano cabezudo</w:t>
            </w:r>
          </w:p>
          <w:p w:rsidR="00503A41" w:rsidRPr="00993936" w:rsidRDefault="00503A41" w:rsidP="007003E1">
            <w:pPr>
              <w:pStyle w:val="Sinespaciado"/>
              <w:rPr>
                <w:rFonts w:ascii="Arial" w:hAnsi="Arial" w:cs="Arial"/>
                <w:lang w:val="es-ES"/>
              </w:rPr>
            </w:pPr>
            <w:r w:rsidRPr="00993936">
              <w:rPr>
                <w:rFonts w:ascii="Arial" w:hAnsi="Arial" w:cs="Arial"/>
                <w:i/>
                <w:lang w:val="es-ES"/>
              </w:rPr>
              <w:t>Capnodis tenebrionis</w:t>
            </w:r>
            <w:r w:rsidRPr="00993936">
              <w:rPr>
                <w:rFonts w:ascii="Arial" w:hAnsi="Arial" w:cs="Arial"/>
                <w:lang w:val="es-ES"/>
              </w:rPr>
              <w:t xml:space="preserve"> </w:t>
            </w:r>
          </w:p>
        </w:tc>
        <w:tc>
          <w:tcPr>
            <w:tcW w:w="3245"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Presencia</w:t>
            </w:r>
          </w:p>
        </w:tc>
        <w:tc>
          <w:tcPr>
            <w:tcW w:w="4111" w:type="dxa"/>
            <w:vAlign w:val="center"/>
          </w:tcPr>
          <w:p w:rsidR="00503A41" w:rsidRPr="00993936" w:rsidRDefault="00503A41" w:rsidP="007003E1">
            <w:pPr>
              <w:pStyle w:val="Sinespaciado"/>
              <w:rPr>
                <w:rFonts w:ascii="Arial" w:hAnsi="Arial" w:cs="Arial"/>
                <w:sz w:val="18"/>
                <w:szCs w:val="18"/>
                <w:lang w:val="es-ES"/>
              </w:rPr>
            </w:pP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7003E1">
            <w:pPr>
              <w:pStyle w:val="Sinespaciado"/>
              <w:rPr>
                <w:rFonts w:ascii="Arial" w:hAnsi="Arial" w:cs="Arial"/>
                <w:sz w:val="18"/>
                <w:szCs w:val="18"/>
                <w:lang w:val="es-ES"/>
              </w:rPr>
            </w:pPr>
          </w:p>
        </w:tc>
        <w:tc>
          <w:tcPr>
            <w:tcW w:w="3130" w:type="dxa"/>
            <w:vMerge/>
            <w:vAlign w:val="center"/>
          </w:tcPr>
          <w:p w:rsidR="00503A41" w:rsidRPr="00993936" w:rsidRDefault="00503A41" w:rsidP="007003E1">
            <w:pPr>
              <w:pStyle w:val="Sinespaciado"/>
              <w:rPr>
                <w:rFonts w:ascii="Arial" w:hAnsi="Arial" w:cs="Arial"/>
                <w:sz w:val="18"/>
                <w:szCs w:val="18"/>
                <w:lang w:val="es-ES"/>
              </w:rPr>
            </w:pPr>
          </w:p>
        </w:tc>
      </w:tr>
      <w:tr w:rsidR="00503A41" w:rsidRPr="00993936" w:rsidTr="00424C28">
        <w:trPr>
          <w:cantSplit/>
          <w:jc w:val="center"/>
        </w:trPr>
        <w:tc>
          <w:tcPr>
            <w:tcW w:w="3318" w:type="dxa"/>
            <w:vAlign w:val="center"/>
          </w:tcPr>
          <w:p w:rsidR="00503A41" w:rsidRPr="00993936" w:rsidRDefault="00503A41" w:rsidP="007003E1">
            <w:pPr>
              <w:pStyle w:val="Sinespaciado"/>
              <w:rPr>
                <w:rFonts w:ascii="Arial" w:hAnsi="Arial" w:cs="Arial"/>
                <w:i/>
                <w:lang w:val="es-ES"/>
              </w:rPr>
            </w:pPr>
            <w:r w:rsidRPr="00993936">
              <w:rPr>
                <w:rFonts w:ascii="Arial" w:hAnsi="Arial" w:cs="Arial"/>
                <w:i/>
                <w:lang w:val="es-ES"/>
              </w:rPr>
              <w:t>Gusanos del tocón</w:t>
            </w:r>
          </w:p>
          <w:p w:rsidR="00503A41" w:rsidRPr="00993936" w:rsidRDefault="00503A41" w:rsidP="007003E1">
            <w:pPr>
              <w:pStyle w:val="Sinespaciado"/>
              <w:rPr>
                <w:rFonts w:ascii="Arial" w:hAnsi="Arial" w:cs="Arial"/>
                <w:lang w:val="es-ES"/>
              </w:rPr>
            </w:pPr>
            <w:r w:rsidRPr="00993936">
              <w:rPr>
                <w:rFonts w:ascii="Arial" w:hAnsi="Arial" w:cs="Arial"/>
                <w:lang w:val="es-ES"/>
              </w:rPr>
              <w:t>Cerambix sp., Melolontha melolontha</w:t>
            </w:r>
          </w:p>
        </w:tc>
        <w:tc>
          <w:tcPr>
            <w:tcW w:w="3245"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Presencia</w:t>
            </w:r>
          </w:p>
        </w:tc>
        <w:tc>
          <w:tcPr>
            <w:tcW w:w="4111" w:type="dxa"/>
            <w:vAlign w:val="center"/>
          </w:tcPr>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7003E1">
            <w:pPr>
              <w:pStyle w:val="Sinespaciado"/>
              <w:rPr>
                <w:rFonts w:ascii="Arial" w:hAnsi="Arial" w:cs="Arial"/>
                <w:sz w:val="18"/>
                <w:szCs w:val="18"/>
                <w:lang w:val="es-ES"/>
              </w:rPr>
            </w:pPr>
            <w:r w:rsidRPr="00993936">
              <w:rPr>
                <w:rFonts w:ascii="Arial" w:hAnsi="Arial" w:cs="Arial"/>
                <w:sz w:val="18"/>
                <w:szCs w:val="18"/>
                <w:lang w:val="es-ES"/>
              </w:rPr>
              <w:t>Medida cultural: sulfato de hierro</w:t>
            </w:r>
          </w:p>
          <w:p w:rsidR="00503A41" w:rsidRPr="00993936" w:rsidRDefault="00503A41" w:rsidP="007003E1">
            <w:pPr>
              <w:pStyle w:val="Sinespaciado"/>
              <w:rPr>
                <w:rFonts w:ascii="Arial" w:hAnsi="Arial" w:cs="Arial"/>
                <w:sz w:val="18"/>
                <w:szCs w:val="18"/>
                <w:lang w:val="es-ES"/>
              </w:rPr>
            </w:pPr>
          </w:p>
        </w:tc>
        <w:tc>
          <w:tcPr>
            <w:tcW w:w="3130" w:type="dxa"/>
            <w:vMerge/>
            <w:vAlign w:val="center"/>
          </w:tcPr>
          <w:p w:rsidR="00503A41" w:rsidRPr="00993936" w:rsidRDefault="00503A41" w:rsidP="007003E1">
            <w:pPr>
              <w:pStyle w:val="Sinespaciado"/>
              <w:rPr>
                <w:rFonts w:ascii="Arial" w:hAnsi="Arial" w:cs="Arial"/>
                <w:sz w:val="18"/>
                <w:szCs w:val="18"/>
                <w:lang w:val="es-ES"/>
              </w:rPr>
            </w:pPr>
          </w:p>
        </w:tc>
      </w:tr>
    </w:tbl>
    <w:p w:rsidR="00503A41" w:rsidRPr="00993936" w:rsidRDefault="00503A41" w:rsidP="00424C28">
      <w:pPr>
        <w:rPr>
          <w:rFonts w:ascii="Arial" w:hAnsi="Arial" w:cs="Arial"/>
          <w:sz w:val="18"/>
          <w:szCs w:val="18"/>
          <w:lang w:val="es-ES"/>
        </w:rPr>
      </w:pPr>
    </w:p>
    <w:p w:rsidR="00503A41" w:rsidRPr="00993936" w:rsidRDefault="00503A41" w:rsidP="00424C28">
      <w:pPr>
        <w:rPr>
          <w:rFonts w:ascii="Arial" w:hAnsi="Arial" w:cs="Arial"/>
          <w:lang w:val="es-ES"/>
        </w:rPr>
      </w:pPr>
    </w:p>
    <w:p w:rsidR="00503A41" w:rsidRPr="00993936" w:rsidRDefault="00503A41" w:rsidP="00424C28">
      <w:pPr>
        <w:rPr>
          <w:rFonts w:ascii="Arial" w:hAnsi="Arial" w:cs="Arial"/>
          <w:b/>
          <w:lang w:val="es-ES"/>
        </w:rPr>
      </w:pPr>
    </w:p>
    <w:p w:rsidR="00503A41" w:rsidRPr="00993936" w:rsidRDefault="00503A41" w:rsidP="00424C28">
      <w:pPr>
        <w:rPr>
          <w:rFonts w:ascii="Arial" w:hAnsi="Arial" w:cs="Arial"/>
          <w:b/>
          <w:lang w:val="es-ES"/>
        </w:rPr>
      </w:pPr>
      <w:r w:rsidRPr="00993936">
        <w:rPr>
          <w:rFonts w:ascii="Arial" w:hAnsi="Arial" w:cs="Arial"/>
          <w:b/>
          <w:lang w:val="es-ES"/>
        </w:rPr>
        <w:t xml:space="preserve">2.1.3 Pistacho </w:t>
      </w:r>
    </w:p>
    <w:tbl>
      <w:tblPr>
        <w:tblW w:w="13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96"/>
        <w:gridCol w:w="3536"/>
        <w:gridCol w:w="4175"/>
        <w:gridCol w:w="2897"/>
      </w:tblGrid>
      <w:tr w:rsidR="00503A41" w:rsidRPr="00993936" w:rsidTr="00424C28">
        <w:trPr>
          <w:jc w:val="center"/>
        </w:trPr>
        <w:tc>
          <w:tcPr>
            <w:tcW w:w="3296"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PLAGA</w:t>
            </w:r>
          </w:p>
        </w:tc>
        <w:tc>
          <w:tcPr>
            <w:tcW w:w="3536"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UMBRAL DE TOLERANCIA</w:t>
            </w:r>
          </w:p>
        </w:tc>
        <w:tc>
          <w:tcPr>
            <w:tcW w:w="4175"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MATERIA ACTIVA</w:t>
            </w:r>
          </w:p>
        </w:tc>
        <w:tc>
          <w:tcPr>
            <w:tcW w:w="2897"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RESTRICCIONES</w:t>
            </w:r>
          </w:p>
        </w:tc>
      </w:tr>
      <w:tr w:rsidR="00503A41" w:rsidRPr="00993936" w:rsidTr="00424C28">
        <w:trPr>
          <w:cantSplit/>
          <w:jc w:val="center"/>
        </w:trPr>
        <w:tc>
          <w:tcPr>
            <w:tcW w:w="3296" w:type="dxa"/>
            <w:vAlign w:val="center"/>
          </w:tcPr>
          <w:p w:rsidR="00503A41" w:rsidRPr="00993936" w:rsidRDefault="00503A41" w:rsidP="00424C28">
            <w:pPr>
              <w:pStyle w:val="Ttulo1"/>
              <w:rPr>
                <w:rFonts w:ascii="Arial" w:hAnsi="Arial" w:cs="Arial"/>
                <w:b/>
                <w:color w:val="auto"/>
                <w:sz w:val="22"/>
                <w:szCs w:val="22"/>
              </w:rPr>
            </w:pPr>
            <w:r w:rsidRPr="00993936">
              <w:rPr>
                <w:rFonts w:ascii="Arial" w:hAnsi="Arial" w:cs="Arial"/>
                <w:b/>
                <w:color w:val="auto"/>
                <w:sz w:val="22"/>
                <w:szCs w:val="22"/>
              </w:rPr>
              <w:t>Pulgón de la madera</w:t>
            </w:r>
          </w:p>
          <w:p w:rsidR="00503A41" w:rsidRPr="00993936" w:rsidRDefault="00503A41" w:rsidP="00424C28">
            <w:pPr>
              <w:rPr>
                <w:rFonts w:ascii="Arial" w:hAnsi="Arial" w:cs="Arial"/>
                <w:lang w:val="es-ES"/>
              </w:rPr>
            </w:pPr>
            <w:r w:rsidRPr="00993936">
              <w:rPr>
                <w:rFonts w:ascii="Arial" w:hAnsi="Arial" w:cs="Arial"/>
                <w:i/>
                <w:lang w:val="es-ES"/>
              </w:rPr>
              <w:t>Pterochloroides persicae</w:t>
            </w:r>
          </w:p>
        </w:tc>
        <w:tc>
          <w:tcPr>
            <w:tcW w:w="3536" w:type="dxa"/>
            <w:vAlign w:val="center"/>
          </w:tcPr>
          <w:p w:rsidR="00503A41" w:rsidRPr="00993936" w:rsidRDefault="00503A41" w:rsidP="00424C28">
            <w:pPr>
              <w:rPr>
                <w:rFonts w:ascii="Arial" w:hAnsi="Arial" w:cs="Arial"/>
                <w:lang w:val="es-ES"/>
              </w:rPr>
            </w:pPr>
            <w:r w:rsidRPr="00993936">
              <w:rPr>
                <w:rFonts w:ascii="Arial" w:hAnsi="Arial" w:cs="Arial"/>
                <w:lang w:val="es-ES"/>
              </w:rPr>
              <w:t>Presencia</w:t>
            </w:r>
          </w:p>
        </w:tc>
        <w:tc>
          <w:tcPr>
            <w:tcW w:w="4175" w:type="dxa"/>
            <w:vAlign w:val="center"/>
          </w:tcPr>
          <w:p w:rsidR="00503A41" w:rsidRPr="00993936" w:rsidRDefault="00503A41" w:rsidP="00424C28">
            <w:pPr>
              <w:pStyle w:val="Textoindependiente3"/>
              <w:rPr>
                <w:rFonts w:eastAsiaTheme="minorHAnsi" w:cs="Arial"/>
                <w:b w:val="0"/>
                <w:snapToGrid/>
                <w:szCs w:val="22"/>
                <w:lang w:val="es-ES" w:eastAsia="en-US"/>
              </w:rPr>
            </w:pPr>
            <w:r w:rsidRPr="00993936">
              <w:rPr>
                <w:rFonts w:eastAsiaTheme="minorHAnsi" w:cs="Arial"/>
                <w:b w:val="0"/>
                <w:snapToGrid/>
                <w:szCs w:val="22"/>
                <w:lang w:val="es-ES" w:eastAsia="en-US"/>
              </w:rPr>
              <w:t>Pirimicarb (1)</w:t>
            </w:r>
          </w:p>
          <w:p w:rsidR="00503A41" w:rsidRPr="00993936" w:rsidRDefault="00503A41" w:rsidP="00424C28">
            <w:pPr>
              <w:pStyle w:val="Textoindependiente3"/>
              <w:rPr>
                <w:rFonts w:cs="Arial"/>
                <w:dstrike/>
                <w:szCs w:val="22"/>
                <w:lang w:val="es-ES"/>
              </w:rPr>
            </w:pPr>
          </w:p>
        </w:tc>
        <w:tc>
          <w:tcPr>
            <w:tcW w:w="2897" w:type="dxa"/>
            <w:vMerge w:val="restart"/>
            <w:vAlign w:val="center"/>
          </w:tcPr>
          <w:p w:rsidR="00503A41" w:rsidRPr="00993936" w:rsidRDefault="00503A41" w:rsidP="00424C28">
            <w:pPr>
              <w:rPr>
                <w:rFonts w:ascii="Arial" w:hAnsi="Arial" w:cs="Arial"/>
                <w:lang w:val="es-ES"/>
              </w:rPr>
            </w:pPr>
          </w:p>
          <w:p w:rsidR="00503A41" w:rsidRPr="00993936" w:rsidRDefault="00503A41" w:rsidP="009D1A2D">
            <w:pPr>
              <w:numPr>
                <w:ilvl w:val="0"/>
                <w:numId w:val="130"/>
              </w:numPr>
              <w:spacing w:after="0" w:line="240" w:lineRule="auto"/>
              <w:rPr>
                <w:rFonts w:ascii="Arial" w:hAnsi="Arial" w:cs="Arial"/>
                <w:lang w:val="es-ES"/>
              </w:rPr>
            </w:pPr>
            <w:r w:rsidRPr="00993936">
              <w:rPr>
                <w:rFonts w:ascii="Arial" w:hAnsi="Arial" w:cs="Arial"/>
                <w:lang w:val="es-ES"/>
              </w:rPr>
              <w:t>Máximo: 2 tratamientos /año</w:t>
            </w:r>
          </w:p>
          <w:p w:rsidR="00503A41" w:rsidRPr="00993936" w:rsidRDefault="00503A41" w:rsidP="00424C28">
            <w:pPr>
              <w:pStyle w:val="Textoindependiente"/>
              <w:ind w:left="360"/>
              <w:rPr>
                <w:rFonts w:cs="Arial"/>
                <w:szCs w:val="22"/>
                <w:lang w:val="es-ES"/>
              </w:rPr>
            </w:pPr>
          </w:p>
        </w:tc>
      </w:tr>
      <w:tr w:rsidR="00503A41" w:rsidRPr="00993936" w:rsidTr="00424C28">
        <w:trPr>
          <w:cantSplit/>
          <w:jc w:val="center"/>
        </w:trPr>
        <w:tc>
          <w:tcPr>
            <w:tcW w:w="3296" w:type="dxa"/>
            <w:vAlign w:val="center"/>
          </w:tcPr>
          <w:p w:rsidR="00503A41" w:rsidRPr="00993936" w:rsidRDefault="00503A41" w:rsidP="00424C28">
            <w:pPr>
              <w:pStyle w:val="Ttulo1"/>
              <w:rPr>
                <w:rFonts w:ascii="Arial" w:hAnsi="Arial" w:cs="Arial"/>
                <w:b/>
                <w:color w:val="auto"/>
                <w:sz w:val="22"/>
                <w:szCs w:val="22"/>
              </w:rPr>
            </w:pPr>
            <w:r w:rsidRPr="00993936">
              <w:rPr>
                <w:rFonts w:ascii="Arial" w:hAnsi="Arial" w:cs="Arial"/>
                <w:b/>
                <w:color w:val="auto"/>
                <w:sz w:val="22"/>
                <w:szCs w:val="22"/>
              </w:rPr>
              <w:t>Caparreta</w:t>
            </w:r>
          </w:p>
          <w:p w:rsidR="00503A41" w:rsidRPr="00993936" w:rsidRDefault="00503A41" w:rsidP="00424C28">
            <w:pPr>
              <w:rPr>
                <w:rFonts w:ascii="Arial" w:hAnsi="Arial" w:cs="Arial"/>
                <w:lang w:val="es-ES"/>
              </w:rPr>
            </w:pPr>
            <w:r w:rsidRPr="00993936">
              <w:rPr>
                <w:rFonts w:ascii="Arial" w:hAnsi="Arial" w:cs="Arial"/>
                <w:i/>
                <w:lang w:val="es-ES"/>
              </w:rPr>
              <w:t>Saissetia oleae</w:t>
            </w:r>
          </w:p>
        </w:tc>
        <w:tc>
          <w:tcPr>
            <w:tcW w:w="3536" w:type="dxa"/>
            <w:vAlign w:val="center"/>
          </w:tcPr>
          <w:p w:rsidR="00503A41" w:rsidRPr="00993936" w:rsidRDefault="00503A41" w:rsidP="00424C28">
            <w:pPr>
              <w:rPr>
                <w:rFonts w:ascii="Arial" w:hAnsi="Arial" w:cs="Arial"/>
                <w:lang w:val="es-ES"/>
              </w:rPr>
            </w:pPr>
            <w:r w:rsidRPr="00993936">
              <w:rPr>
                <w:rFonts w:ascii="Arial" w:hAnsi="Arial" w:cs="Arial"/>
                <w:lang w:val="es-ES"/>
              </w:rPr>
              <w:t>Porcentaje de hojas ocupadas</w:t>
            </w:r>
          </w:p>
          <w:p w:rsidR="00503A41" w:rsidRPr="00993936" w:rsidRDefault="00503A41" w:rsidP="00424C28">
            <w:pPr>
              <w:rPr>
                <w:rFonts w:ascii="Arial" w:hAnsi="Arial" w:cs="Arial"/>
                <w:lang w:val="es-ES"/>
              </w:rPr>
            </w:pPr>
          </w:p>
        </w:tc>
        <w:tc>
          <w:tcPr>
            <w:tcW w:w="4175" w:type="dxa"/>
            <w:vAlign w:val="center"/>
          </w:tcPr>
          <w:p w:rsidR="00503A41" w:rsidRPr="00993936" w:rsidRDefault="00503A41" w:rsidP="00424C28">
            <w:pPr>
              <w:rPr>
                <w:rFonts w:ascii="Arial" w:hAnsi="Arial" w:cs="Arial"/>
                <w:lang w:val="es-ES"/>
              </w:rPr>
            </w:pPr>
            <w:r w:rsidRPr="00993936">
              <w:rPr>
                <w:rFonts w:ascii="Arial" w:hAnsi="Arial" w:cs="Arial"/>
                <w:lang w:val="es-ES"/>
              </w:rPr>
              <w:t>Polisulfuro de calcio</w:t>
            </w:r>
          </w:p>
        </w:tc>
        <w:tc>
          <w:tcPr>
            <w:tcW w:w="2897" w:type="dxa"/>
            <w:vMerge/>
          </w:tcPr>
          <w:p w:rsidR="00503A41" w:rsidRPr="00993936" w:rsidRDefault="00503A41" w:rsidP="00424C28">
            <w:pPr>
              <w:rPr>
                <w:rFonts w:ascii="Arial" w:hAnsi="Arial" w:cs="Arial"/>
                <w:lang w:val="es-ES"/>
              </w:rPr>
            </w:pPr>
          </w:p>
        </w:tc>
      </w:tr>
      <w:tr w:rsidR="00503A41" w:rsidRPr="00993936" w:rsidTr="00424C28">
        <w:trPr>
          <w:cantSplit/>
          <w:jc w:val="center"/>
        </w:trPr>
        <w:tc>
          <w:tcPr>
            <w:tcW w:w="3296" w:type="dxa"/>
            <w:vAlign w:val="center"/>
          </w:tcPr>
          <w:p w:rsidR="00503A41" w:rsidRPr="00993936" w:rsidRDefault="00503A41" w:rsidP="00424C28">
            <w:pPr>
              <w:pStyle w:val="Ttulo1"/>
              <w:rPr>
                <w:rFonts w:ascii="Arial" w:hAnsi="Arial" w:cs="Arial"/>
                <w:b/>
                <w:color w:val="auto"/>
                <w:sz w:val="22"/>
                <w:szCs w:val="22"/>
              </w:rPr>
            </w:pPr>
            <w:r w:rsidRPr="00993936">
              <w:rPr>
                <w:rFonts w:ascii="Arial" w:hAnsi="Arial" w:cs="Arial"/>
                <w:b/>
                <w:color w:val="auto"/>
                <w:sz w:val="22"/>
                <w:szCs w:val="22"/>
              </w:rPr>
              <w:t>Gusano cabezudo</w:t>
            </w:r>
          </w:p>
          <w:p w:rsidR="00503A41" w:rsidRPr="00993936" w:rsidRDefault="00503A41" w:rsidP="00424C28">
            <w:pPr>
              <w:rPr>
                <w:rFonts w:ascii="Arial" w:hAnsi="Arial" w:cs="Arial"/>
                <w:lang w:val="es-ES"/>
              </w:rPr>
            </w:pPr>
            <w:r w:rsidRPr="00993936">
              <w:rPr>
                <w:rFonts w:ascii="Arial" w:hAnsi="Arial" w:cs="Arial"/>
                <w:i/>
                <w:lang w:val="es-ES"/>
              </w:rPr>
              <w:t>Capnodis tenebrionis</w:t>
            </w:r>
            <w:r w:rsidRPr="00993936">
              <w:rPr>
                <w:rFonts w:ascii="Arial" w:hAnsi="Arial" w:cs="Arial"/>
                <w:lang w:val="es-ES"/>
              </w:rPr>
              <w:t xml:space="preserve">  </w:t>
            </w:r>
          </w:p>
        </w:tc>
        <w:tc>
          <w:tcPr>
            <w:tcW w:w="3536" w:type="dxa"/>
            <w:vAlign w:val="center"/>
          </w:tcPr>
          <w:p w:rsidR="00503A41" w:rsidRPr="00993936" w:rsidRDefault="00503A41" w:rsidP="00424C28">
            <w:pPr>
              <w:rPr>
                <w:rFonts w:ascii="Arial" w:hAnsi="Arial" w:cs="Arial"/>
                <w:lang w:val="es-ES"/>
              </w:rPr>
            </w:pPr>
            <w:r w:rsidRPr="00993936">
              <w:rPr>
                <w:rFonts w:ascii="Arial" w:hAnsi="Arial" w:cs="Arial"/>
                <w:lang w:val="es-ES"/>
              </w:rPr>
              <w:t>Presencia</w:t>
            </w:r>
          </w:p>
        </w:tc>
        <w:tc>
          <w:tcPr>
            <w:tcW w:w="4175" w:type="dxa"/>
            <w:vAlign w:val="center"/>
          </w:tcPr>
          <w:p w:rsidR="00503A41" w:rsidRPr="00993936" w:rsidRDefault="00503A41" w:rsidP="00424C28">
            <w:pPr>
              <w:widowControl w:val="0"/>
              <w:rPr>
                <w:rFonts w:ascii="Arial" w:hAnsi="Arial" w:cs="Arial"/>
                <w:lang w:val="es-ES"/>
              </w:rPr>
            </w:pPr>
            <w:r w:rsidRPr="00993936">
              <w:rPr>
                <w:rFonts w:ascii="Arial" w:hAnsi="Arial" w:cs="Arial"/>
                <w:lang w:val="es-ES"/>
              </w:rPr>
              <w:t>Clorantraniliprol</w:t>
            </w:r>
          </w:p>
          <w:p w:rsidR="00503A41" w:rsidRPr="00993936" w:rsidRDefault="00503A41" w:rsidP="00424C28">
            <w:pPr>
              <w:rPr>
                <w:rFonts w:ascii="Arial" w:hAnsi="Arial" w:cs="Arial"/>
                <w:lang w:val="es-ES"/>
              </w:rPr>
            </w:pPr>
            <w:r w:rsidRPr="00993936">
              <w:rPr>
                <w:rFonts w:ascii="Arial" w:hAnsi="Arial" w:cs="Arial"/>
                <w:lang w:val="es-ES"/>
              </w:rPr>
              <w:t xml:space="preserve"> </w:t>
            </w:r>
          </w:p>
        </w:tc>
        <w:tc>
          <w:tcPr>
            <w:tcW w:w="2897" w:type="dxa"/>
            <w:vMerge/>
          </w:tcPr>
          <w:p w:rsidR="00503A41" w:rsidRPr="00993936" w:rsidRDefault="00503A41" w:rsidP="00424C28">
            <w:pPr>
              <w:rPr>
                <w:rFonts w:ascii="Arial" w:hAnsi="Arial" w:cs="Arial"/>
                <w:lang w:val="es-ES"/>
              </w:rPr>
            </w:pPr>
          </w:p>
        </w:tc>
      </w:tr>
      <w:tr w:rsidR="00503A41" w:rsidRPr="00993936" w:rsidTr="00424C28">
        <w:trPr>
          <w:cantSplit/>
          <w:jc w:val="center"/>
        </w:trPr>
        <w:tc>
          <w:tcPr>
            <w:tcW w:w="3296" w:type="dxa"/>
            <w:vAlign w:val="center"/>
          </w:tcPr>
          <w:p w:rsidR="00503A41" w:rsidRPr="00993936" w:rsidRDefault="00503A41" w:rsidP="00424C28">
            <w:pPr>
              <w:pStyle w:val="Ttulo1"/>
              <w:rPr>
                <w:rFonts w:ascii="Arial" w:hAnsi="Arial" w:cs="Arial"/>
                <w:b/>
                <w:color w:val="auto"/>
                <w:sz w:val="22"/>
                <w:szCs w:val="22"/>
              </w:rPr>
            </w:pPr>
            <w:r w:rsidRPr="00993936">
              <w:rPr>
                <w:rFonts w:ascii="Arial" w:hAnsi="Arial" w:cs="Arial"/>
                <w:b/>
                <w:color w:val="auto"/>
                <w:sz w:val="22"/>
                <w:szCs w:val="22"/>
              </w:rPr>
              <w:t>Chinches</w:t>
            </w:r>
          </w:p>
        </w:tc>
        <w:tc>
          <w:tcPr>
            <w:tcW w:w="3536" w:type="dxa"/>
            <w:vAlign w:val="center"/>
          </w:tcPr>
          <w:p w:rsidR="00503A41" w:rsidRPr="00993936" w:rsidRDefault="00503A41" w:rsidP="00424C28">
            <w:pPr>
              <w:rPr>
                <w:rFonts w:ascii="Arial" w:hAnsi="Arial" w:cs="Arial"/>
                <w:lang w:val="es-ES"/>
              </w:rPr>
            </w:pPr>
            <w:r w:rsidRPr="00993936">
              <w:rPr>
                <w:rFonts w:ascii="Arial" w:hAnsi="Arial" w:cs="Arial"/>
                <w:lang w:val="es-ES"/>
              </w:rPr>
              <w:t>1% de flores o frutos ocupados</w:t>
            </w:r>
          </w:p>
        </w:tc>
        <w:tc>
          <w:tcPr>
            <w:tcW w:w="4175" w:type="dxa"/>
            <w:vAlign w:val="center"/>
          </w:tcPr>
          <w:p w:rsidR="00503A41" w:rsidRPr="00993936" w:rsidRDefault="00503A41" w:rsidP="00424C28">
            <w:pPr>
              <w:rPr>
                <w:rFonts w:ascii="Arial" w:hAnsi="Arial" w:cs="Arial"/>
                <w:dstrike/>
                <w:lang w:val="es-ES"/>
              </w:rPr>
            </w:pPr>
          </w:p>
        </w:tc>
        <w:tc>
          <w:tcPr>
            <w:tcW w:w="2897" w:type="dxa"/>
            <w:vMerge/>
          </w:tcPr>
          <w:p w:rsidR="00503A41" w:rsidRPr="00993936" w:rsidRDefault="00503A41" w:rsidP="00424C28">
            <w:pPr>
              <w:rPr>
                <w:rFonts w:ascii="Arial" w:hAnsi="Arial" w:cs="Arial"/>
                <w:lang w:val="es-ES"/>
              </w:rPr>
            </w:pPr>
          </w:p>
        </w:tc>
      </w:tr>
    </w:tbl>
    <w:p w:rsidR="00503A41" w:rsidRPr="00993936" w:rsidRDefault="00503A41" w:rsidP="00424C28">
      <w:pPr>
        <w:pStyle w:val="Sangradetextonormal"/>
        <w:ind w:left="0"/>
        <w:rPr>
          <w:rFonts w:cs="Arial"/>
          <w:b/>
          <w:lang w:val="es-ES"/>
        </w:rPr>
      </w:pPr>
    </w:p>
    <w:p w:rsidR="007003E1" w:rsidRPr="00993936" w:rsidRDefault="007003E1">
      <w:pPr>
        <w:rPr>
          <w:rFonts w:ascii="Arial" w:eastAsia="Times New Roman" w:hAnsi="Arial" w:cs="Arial"/>
          <w:b/>
          <w:szCs w:val="20"/>
          <w:lang w:val="es-ES" w:eastAsia="es-ES"/>
        </w:rPr>
      </w:pPr>
      <w:r w:rsidRPr="00993936">
        <w:rPr>
          <w:rFonts w:cs="Arial"/>
          <w:b/>
          <w:lang w:val="es-ES"/>
        </w:rPr>
        <w:br w:type="page"/>
      </w:r>
    </w:p>
    <w:p w:rsidR="00503A41" w:rsidRPr="00993936" w:rsidRDefault="00503A41" w:rsidP="00424C28">
      <w:pPr>
        <w:pStyle w:val="Sangradetextonormal"/>
        <w:ind w:left="0"/>
        <w:rPr>
          <w:rFonts w:cs="Arial"/>
          <w:b/>
          <w:lang w:val="es-ES"/>
        </w:rPr>
      </w:pPr>
      <w:r w:rsidRPr="00993936">
        <w:rPr>
          <w:rFonts w:cs="Arial"/>
          <w:b/>
          <w:lang w:val="es-ES"/>
        </w:rPr>
        <w:lastRenderedPageBreak/>
        <w:t xml:space="preserve">2.1.4 Nogal </w:t>
      </w:r>
    </w:p>
    <w:p w:rsidR="00503A41" w:rsidRPr="00993936" w:rsidRDefault="00503A41" w:rsidP="00424C28">
      <w:pPr>
        <w:rPr>
          <w:rFonts w:ascii="Arial" w:hAnsi="Arial" w:cs="Arial"/>
          <w:sz w:val="12"/>
          <w:lang w:val="es-ES"/>
        </w:rPr>
      </w:pPr>
    </w:p>
    <w:tbl>
      <w:tblPr>
        <w:tblW w:w="13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89"/>
        <w:gridCol w:w="3536"/>
        <w:gridCol w:w="3753"/>
        <w:gridCol w:w="3319"/>
      </w:tblGrid>
      <w:tr w:rsidR="00503A41" w:rsidRPr="00993936" w:rsidTr="00424C28">
        <w:trPr>
          <w:tblHeader/>
          <w:jc w:val="center"/>
        </w:trPr>
        <w:tc>
          <w:tcPr>
            <w:tcW w:w="3289"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PLAGA</w:t>
            </w:r>
          </w:p>
        </w:tc>
        <w:tc>
          <w:tcPr>
            <w:tcW w:w="3536"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UMBRAL DE TOLERANCIA</w:t>
            </w:r>
          </w:p>
        </w:tc>
        <w:tc>
          <w:tcPr>
            <w:tcW w:w="3753"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MATERIA ACTIVA</w:t>
            </w:r>
          </w:p>
        </w:tc>
        <w:tc>
          <w:tcPr>
            <w:tcW w:w="3319" w:type="dxa"/>
            <w:shd w:val="pct12" w:color="auto" w:fill="FFFFFF"/>
          </w:tcPr>
          <w:p w:rsidR="00503A41" w:rsidRPr="00993936" w:rsidRDefault="00503A41" w:rsidP="00424C28">
            <w:pPr>
              <w:pStyle w:val="Ttulo6"/>
              <w:rPr>
                <w:rFonts w:ascii="Arial" w:hAnsi="Arial" w:cs="Arial"/>
                <w:color w:val="auto"/>
                <w:lang w:val="es-ES"/>
              </w:rPr>
            </w:pPr>
            <w:r w:rsidRPr="00993936">
              <w:rPr>
                <w:rFonts w:ascii="Arial" w:hAnsi="Arial" w:cs="Arial"/>
                <w:color w:val="auto"/>
                <w:lang w:val="es-ES"/>
              </w:rPr>
              <w:t>RESTRICCIONES</w:t>
            </w:r>
          </w:p>
        </w:tc>
      </w:tr>
      <w:tr w:rsidR="00503A41" w:rsidRPr="00993936" w:rsidTr="00424C28">
        <w:trPr>
          <w:cantSplit/>
          <w:jc w:val="center"/>
        </w:trPr>
        <w:tc>
          <w:tcPr>
            <w:tcW w:w="3289" w:type="dxa"/>
            <w:vAlign w:val="center"/>
          </w:tcPr>
          <w:p w:rsidR="00503A41" w:rsidRPr="00993936" w:rsidRDefault="00503A41" w:rsidP="00424C28">
            <w:pPr>
              <w:pStyle w:val="Encabezado"/>
              <w:tabs>
                <w:tab w:val="clear" w:pos="4252"/>
                <w:tab w:val="clear" w:pos="8504"/>
              </w:tabs>
              <w:rPr>
                <w:rFonts w:ascii="Arial" w:hAnsi="Arial" w:cs="Arial"/>
                <w:b/>
                <w:lang w:val="es-ES"/>
              </w:rPr>
            </w:pPr>
            <w:r w:rsidRPr="00993936">
              <w:rPr>
                <w:rFonts w:ascii="Arial" w:hAnsi="Arial" w:cs="Arial"/>
                <w:b/>
                <w:lang w:val="es-ES"/>
              </w:rPr>
              <w:t>Barrenador de la madera</w:t>
            </w:r>
          </w:p>
          <w:p w:rsidR="00503A41" w:rsidRPr="00993936" w:rsidRDefault="00503A41" w:rsidP="00424C28">
            <w:pPr>
              <w:pStyle w:val="Encabezado"/>
              <w:tabs>
                <w:tab w:val="clear" w:pos="4252"/>
                <w:tab w:val="clear" w:pos="8504"/>
              </w:tabs>
              <w:rPr>
                <w:rFonts w:ascii="Arial" w:hAnsi="Arial" w:cs="Arial"/>
                <w:lang w:val="es-ES"/>
              </w:rPr>
            </w:pPr>
            <w:r w:rsidRPr="00993936">
              <w:rPr>
                <w:rFonts w:ascii="Arial" w:hAnsi="Arial" w:cs="Arial"/>
                <w:i/>
                <w:lang w:val="es-ES"/>
              </w:rPr>
              <w:t>Zeuzera pyrina</w:t>
            </w:r>
          </w:p>
        </w:tc>
        <w:tc>
          <w:tcPr>
            <w:tcW w:w="3536" w:type="dxa"/>
            <w:vAlign w:val="center"/>
          </w:tcPr>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15% de los árboles atacados</w:t>
            </w:r>
          </w:p>
        </w:tc>
        <w:tc>
          <w:tcPr>
            <w:tcW w:w="3753" w:type="dxa"/>
            <w:vAlign w:val="center"/>
          </w:tcPr>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Deltametrín</w:t>
            </w:r>
          </w:p>
        </w:tc>
        <w:tc>
          <w:tcPr>
            <w:tcW w:w="3319" w:type="dxa"/>
            <w:vMerge w:val="restart"/>
            <w:vAlign w:val="center"/>
          </w:tcPr>
          <w:p w:rsidR="00503A41" w:rsidRPr="00993936" w:rsidRDefault="00503A41" w:rsidP="009D1A2D">
            <w:pPr>
              <w:numPr>
                <w:ilvl w:val="0"/>
                <w:numId w:val="131"/>
              </w:numPr>
              <w:spacing w:after="0" w:line="240" w:lineRule="auto"/>
              <w:rPr>
                <w:rFonts w:ascii="Arial" w:hAnsi="Arial" w:cs="Arial"/>
                <w:sz w:val="18"/>
                <w:szCs w:val="18"/>
                <w:lang w:val="es-ES"/>
              </w:rPr>
            </w:pPr>
            <w:r w:rsidRPr="00993936">
              <w:rPr>
                <w:rFonts w:ascii="Arial" w:hAnsi="Arial" w:cs="Arial"/>
                <w:sz w:val="18"/>
                <w:szCs w:val="18"/>
                <w:lang w:val="es-ES"/>
              </w:rPr>
              <w:t>Máximo: 2 tratamientos /año</w:t>
            </w:r>
          </w:p>
          <w:p w:rsidR="00503A41" w:rsidRPr="00993936" w:rsidRDefault="00503A41" w:rsidP="009D1A2D">
            <w:pPr>
              <w:numPr>
                <w:ilvl w:val="0"/>
                <w:numId w:val="131"/>
              </w:numPr>
              <w:spacing w:after="0" w:line="240" w:lineRule="auto"/>
              <w:rPr>
                <w:rFonts w:ascii="Arial" w:hAnsi="Arial" w:cs="Arial"/>
                <w:sz w:val="18"/>
                <w:szCs w:val="18"/>
                <w:lang w:val="es-ES"/>
              </w:rPr>
            </w:pPr>
            <w:r w:rsidRPr="00993936">
              <w:rPr>
                <w:rFonts w:ascii="Arial" w:hAnsi="Arial" w:cs="Arial"/>
                <w:sz w:val="18"/>
                <w:szCs w:val="18"/>
                <w:lang w:val="es-ES"/>
              </w:rPr>
              <w:t>Utilizar sólo formulaciones que no sean de clasificación toxicológica T</w:t>
            </w:r>
          </w:p>
          <w:p w:rsidR="00503A41" w:rsidRPr="00993936" w:rsidRDefault="00503A41" w:rsidP="001D205D">
            <w:pPr>
              <w:spacing w:after="0" w:line="240" w:lineRule="auto"/>
              <w:rPr>
                <w:rFonts w:ascii="Arial" w:hAnsi="Arial" w:cs="Arial"/>
                <w:sz w:val="18"/>
                <w:szCs w:val="18"/>
                <w:lang w:val="es-ES"/>
              </w:rPr>
            </w:pPr>
          </w:p>
          <w:p w:rsidR="00503A41" w:rsidRPr="00993936" w:rsidRDefault="00503A41" w:rsidP="001D205D">
            <w:pPr>
              <w:spacing w:after="0" w:line="240" w:lineRule="auto"/>
              <w:rPr>
                <w:rFonts w:ascii="Arial" w:hAnsi="Arial" w:cs="Arial"/>
                <w:sz w:val="18"/>
                <w:szCs w:val="18"/>
                <w:lang w:val="es-ES"/>
              </w:rPr>
            </w:pPr>
          </w:p>
          <w:p w:rsidR="00503A41" w:rsidRPr="00993936" w:rsidRDefault="00503A41" w:rsidP="009D1A2D">
            <w:pPr>
              <w:pStyle w:val="Prrafodelista"/>
              <w:numPr>
                <w:ilvl w:val="0"/>
                <w:numId w:val="149"/>
              </w:numPr>
              <w:spacing w:after="0" w:line="240" w:lineRule="auto"/>
              <w:rPr>
                <w:rFonts w:ascii="Arial" w:hAnsi="Arial" w:cs="Arial"/>
                <w:sz w:val="18"/>
                <w:szCs w:val="18"/>
                <w:lang w:val="es-ES"/>
              </w:rPr>
            </w:pPr>
            <w:r w:rsidRPr="00993936">
              <w:rPr>
                <w:rFonts w:ascii="Arial" w:hAnsi="Arial" w:cs="Arial"/>
                <w:sz w:val="18"/>
                <w:szCs w:val="18"/>
                <w:lang w:val="es-ES"/>
              </w:rPr>
              <w:t>Máximo: 2 tratamientos /año</w:t>
            </w:r>
          </w:p>
          <w:p w:rsidR="00503A41" w:rsidRPr="00993936" w:rsidRDefault="00503A41" w:rsidP="009D1A2D">
            <w:pPr>
              <w:numPr>
                <w:ilvl w:val="0"/>
                <w:numId w:val="149"/>
              </w:numPr>
              <w:spacing w:after="0" w:line="240" w:lineRule="auto"/>
              <w:rPr>
                <w:rFonts w:ascii="Arial" w:hAnsi="Arial" w:cs="Arial"/>
                <w:sz w:val="18"/>
                <w:szCs w:val="18"/>
                <w:lang w:val="es-ES"/>
              </w:rPr>
            </w:pPr>
            <w:r w:rsidRPr="00993936">
              <w:rPr>
                <w:rFonts w:ascii="Arial" w:hAnsi="Arial" w:cs="Arial"/>
                <w:sz w:val="18"/>
                <w:szCs w:val="18"/>
                <w:lang w:val="es-ES"/>
              </w:rPr>
              <w:t>Utilizar sólo formulaciones que no sean de clasificación toxicológica T</w:t>
            </w:r>
          </w:p>
          <w:p w:rsidR="00503A41" w:rsidRPr="00993936" w:rsidRDefault="00503A41" w:rsidP="001D205D">
            <w:pPr>
              <w:spacing w:after="0" w:line="240" w:lineRule="auto"/>
              <w:rPr>
                <w:rFonts w:ascii="Arial" w:hAnsi="Arial" w:cs="Arial"/>
                <w:sz w:val="18"/>
                <w:szCs w:val="18"/>
                <w:lang w:val="es-ES"/>
              </w:rPr>
            </w:pPr>
          </w:p>
          <w:p w:rsidR="00503A41" w:rsidRPr="00993936" w:rsidRDefault="00503A41" w:rsidP="00424C28">
            <w:pPr>
              <w:pStyle w:val="Textoindependiente"/>
              <w:ind w:left="360"/>
              <w:rPr>
                <w:rFonts w:cs="Arial"/>
                <w:sz w:val="18"/>
                <w:szCs w:val="18"/>
                <w:lang w:val="es-ES"/>
              </w:rPr>
            </w:pPr>
          </w:p>
        </w:tc>
      </w:tr>
      <w:tr w:rsidR="00503A41" w:rsidRPr="00993936" w:rsidTr="00424C28">
        <w:trPr>
          <w:cantSplit/>
          <w:jc w:val="center"/>
        </w:trPr>
        <w:tc>
          <w:tcPr>
            <w:tcW w:w="3289" w:type="dxa"/>
            <w:vAlign w:val="center"/>
          </w:tcPr>
          <w:p w:rsidR="00503A41" w:rsidRPr="00993936" w:rsidRDefault="00503A41" w:rsidP="00424C28">
            <w:pPr>
              <w:pStyle w:val="Encabezado"/>
              <w:tabs>
                <w:tab w:val="clear" w:pos="4252"/>
                <w:tab w:val="clear" w:pos="8504"/>
              </w:tabs>
              <w:rPr>
                <w:rFonts w:ascii="Arial" w:hAnsi="Arial" w:cs="Arial"/>
                <w:b/>
                <w:lang w:val="es-ES"/>
              </w:rPr>
            </w:pPr>
            <w:r w:rsidRPr="00993936">
              <w:rPr>
                <w:rFonts w:ascii="Arial" w:hAnsi="Arial" w:cs="Arial"/>
                <w:b/>
                <w:lang w:val="es-ES"/>
              </w:rPr>
              <w:t>Carpocapsa</w:t>
            </w:r>
          </w:p>
          <w:p w:rsidR="00503A41" w:rsidRPr="00993936" w:rsidRDefault="00503A41" w:rsidP="00424C28">
            <w:pPr>
              <w:pStyle w:val="Encabezado"/>
              <w:tabs>
                <w:tab w:val="clear" w:pos="4252"/>
                <w:tab w:val="clear" w:pos="8504"/>
              </w:tabs>
              <w:rPr>
                <w:rFonts w:ascii="Arial" w:hAnsi="Arial" w:cs="Arial"/>
                <w:b/>
                <w:lang w:val="es-ES"/>
              </w:rPr>
            </w:pPr>
            <w:r w:rsidRPr="00993936">
              <w:rPr>
                <w:rFonts w:ascii="Arial" w:hAnsi="Arial" w:cs="Arial"/>
                <w:i/>
                <w:lang w:val="es-ES"/>
              </w:rPr>
              <w:t>Cydia pomonellaa</w:t>
            </w:r>
          </w:p>
        </w:tc>
        <w:tc>
          <w:tcPr>
            <w:tcW w:w="3536" w:type="dxa"/>
            <w:vAlign w:val="center"/>
          </w:tcPr>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2 adultos/trampa/semana</w:t>
            </w:r>
          </w:p>
          <w:p w:rsidR="00503A41" w:rsidRPr="00993936" w:rsidRDefault="00503A41" w:rsidP="00424C28">
            <w:pPr>
              <w:rPr>
                <w:rFonts w:ascii="Arial" w:hAnsi="Arial" w:cs="Arial"/>
                <w:sz w:val="18"/>
                <w:szCs w:val="18"/>
                <w:lang w:val="es-ES"/>
              </w:rPr>
            </w:pPr>
          </w:p>
        </w:tc>
        <w:tc>
          <w:tcPr>
            <w:tcW w:w="3753" w:type="dxa"/>
            <w:vAlign w:val="center"/>
          </w:tcPr>
          <w:p w:rsidR="00503A41" w:rsidRPr="00993936" w:rsidRDefault="00503A41" w:rsidP="00424C28">
            <w:pPr>
              <w:rPr>
                <w:rFonts w:ascii="Arial" w:hAnsi="Arial" w:cs="Arial"/>
                <w:sz w:val="18"/>
                <w:szCs w:val="18"/>
                <w:lang w:val="es-ES"/>
              </w:rPr>
            </w:pPr>
            <w:r w:rsidRPr="00993936">
              <w:rPr>
                <w:rFonts w:ascii="Arial" w:hAnsi="Arial" w:cs="Arial"/>
                <w:i/>
                <w:sz w:val="18"/>
                <w:szCs w:val="18"/>
                <w:lang w:val="es-ES"/>
              </w:rPr>
              <w:t>Bacillus thuringiensis</w:t>
            </w:r>
            <w:r w:rsidRPr="00993936">
              <w:rPr>
                <w:rFonts w:ascii="Arial" w:hAnsi="Arial" w:cs="Arial"/>
                <w:sz w:val="18"/>
                <w:szCs w:val="18"/>
                <w:lang w:val="es-ES"/>
              </w:rPr>
              <w:t xml:space="preserve"> (kurstaki)</w:t>
            </w:r>
          </w:p>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Deltametrín</w:t>
            </w:r>
          </w:p>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Fosmet (2)</w:t>
            </w:r>
          </w:p>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Lambda-cihalotrín</w:t>
            </w:r>
          </w:p>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Método de confusión sexual</w:t>
            </w:r>
          </w:p>
          <w:p w:rsidR="00503A41" w:rsidRPr="00993936" w:rsidRDefault="00503A41" w:rsidP="00424C28">
            <w:pPr>
              <w:rPr>
                <w:rFonts w:ascii="Arial" w:hAnsi="Arial" w:cs="Arial"/>
                <w:snapToGrid w:val="0"/>
                <w:sz w:val="18"/>
                <w:szCs w:val="18"/>
                <w:lang w:val="es-ES"/>
              </w:rPr>
            </w:pPr>
            <w:r w:rsidRPr="00993936">
              <w:rPr>
                <w:rFonts w:ascii="Arial" w:hAnsi="Arial" w:cs="Arial"/>
                <w:sz w:val="18"/>
                <w:szCs w:val="18"/>
                <w:lang w:val="es-ES"/>
              </w:rPr>
              <w:t xml:space="preserve">Tebufenocida </w:t>
            </w:r>
            <w:r w:rsidRPr="00993936">
              <w:rPr>
                <w:rFonts w:ascii="Arial" w:hAnsi="Arial" w:cs="Arial"/>
                <w:snapToGrid w:val="0"/>
                <w:sz w:val="18"/>
                <w:szCs w:val="18"/>
                <w:lang w:val="es-ES"/>
              </w:rPr>
              <w:t xml:space="preserve"> </w:t>
            </w:r>
          </w:p>
          <w:p w:rsidR="00503A41" w:rsidRPr="00993936" w:rsidRDefault="00503A41" w:rsidP="00424C28">
            <w:pPr>
              <w:rPr>
                <w:rFonts w:ascii="Arial" w:hAnsi="Arial" w:cs="Arial"/>
                <w:sz w:val="18"/>
                <w:szCs w:val="18"/>
                <w:lang w:val="es-ES"/>
              </w:rPr>
            </w:pPr>
            <w:r w:rsidRPr="00993936">
              <w:rPr>
                <w:rFonts w:ascii="Arial" w:hAnsi="Arial" w:cs="Arial"/>
                <w:snapToGrid w:val="0"/>
                <w:sz w:val="18"/>
                <w:szCs w:val="18"/>
                <w:lang w:val="es-ES"/>
              </w:rPr>
              <w:t>Virus de la granulosis</w:t>
            </w:r>
          </w:p>
        </w:tc>
        <w:tc>
          <w:tcPr>
            <w:tcW w:w="3319" w:type="dxa"/>
            <w:vMerge/>
            <w:vAlign w:val="center"/>
          </w:tcPr>
          <w:p w:rsidR="00503A41" w:rsidRPr="00993936" w:rsidRDefault="00503A41" w:rsidP="00424C28">
            <w:pPr>
              <w:rPr>
                <w:rFonts w:ascii="Arial" w:hAnsi="Arial" w:cs="Arial"/>
                <w:sz w:val="18"/>
                <w:lang w:val="es-ES"/>
              </w:rPr>
            </w:pPr>
          </w:p>
        </w:tc>
      </w:tr>
      <w:tr w:rsidR="00503A41" w:rsidRPr="00993936" w:rsidTr="00424C28">
        <w:trPr>
          <w:cantSplit/>
          <w:jc w:val="center"/>
        </w:trPr>
        <w:tc>
          <w:tcPr>
            <w:tcW w:w="3289" w:type="dxa"/>
            <w:vAlign w:val="center"/>
          </w:tcPr>
          <w:p w:rsidR="00503A41" w:rsidRPr="00993936" w:rsidRDefault="00503A41" w:rsidP="00424C28">
            <w:pPr>
              <w:rPr>
                <w:rFonts w:ascii="Arial" w:hAnsi="Arial" w:cs="Arial"/>
                <w:b/>
                <w:lang w:val="es-ES"/>
              </w:rPr>
            </w:pPr>
            <w:r w:rsidRPr="00993936">
              <w:rPr>
                <w:rFonts w:ascii="Arial" w:hAnsi="Arial" w:cs="Arial"/>
                <w:b/>
                <w:lang w:val="es-ES"/>
              </w:rPr>
              <w:t>Gusano cabezudo</w:t>
            </w:r>
          </w:p>
          <w:p w:rsidR="00503A41" w:rsidRPr="00993936" w:rsidRDefault="00503A41" w:rsidP="00424C28">
            <w:pPr>
              <w:rPr>
                <w:rFonts w:ascii="Arial" w:hAnsi="Arial" w:cs="Arial"/>
                <w:i/>
                <w:lang w:val="es-ES"/>
              </w:rPr>
            </w:pPr>
            <w:r w:rsidRPr="00993936">
              <w:rPr>
                <w:rFonts w:ascii="Arial" w:hAnsi="Arial" w:cs="Arial"/>
                <w:i/>
                <w:lang w:val="es-ES"/>
              </w:rPr>
              <w:t xml:space="preserve">Capnodis tenebrionis  </w:t>
            </w:r>
          </w:p>
        </w:tc>
        <w:tc>
          <w:tcPr>
            <w:tcW w:w="3536" w:type="dxa"/>
            <w:vAlign w:val="center"/>
          </w:tcPr>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Presencia</w:t>
            </w:r>
          </w:p>
        </w:tc>
        <w:tc>
          <w:tcPr>
            <w:tcW w:w="3753" w:type="dxa"/>
            <w:vAlign w:val="center"/>
          </w:tcPr>
          <w:p w:rsidR="00503A41" w:rsidRPr="00993936" w:rsidRDefault="00503A41" w:rsidP="00424C28">
            <w:pPr>
              <w:rPr>
                <w:rFonts w:ascii="Arial" w:hAnsi="Arial" w:cs="Arial"/>
                <w:sz w:val="18"/>
                <w:szCs w:val="18"/>
                <w:lang w:val="es-ES"/>
              </w:rPr>
            </w:pPr>
          </w:p>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424C28">
            <w:pPr>
              <w:rPr>
                <w:rFonts w:ascii="Arial" w:hAnsi="Arial" w:cs="Arial"/>
                <w:sz w:val="18"/>
                <w:szCs w:val="18"/>
                <w:lang w:val="es-ES"/>
              </w:rPr>
            </w:pPr>
          </w:p>
        </w:tc>
        <w:tc>
          <w:tcPr>
            <w:tcW w:w="3319" w:type="dxa"/>
            <w:vMerge/>
            <w:vAlign w:val="center"/>
          </w:tcPr>
          <w:p w:rsidR="00503A41" w:rsidRPr="00993936" w:rsidRDefault="00503A41" w:rsidP="00424C28">
            <w:pPr>
              <w:rPr>
                <w:rFonts w:ascii="Arial" w:hAnsi="Arial" w:cs="Arial"/>
                <w:sz w:val="18"/>
                <w:lang w:val="es-ES"/>
              </w:rPr>
            </w:pPr>
          </w:p>
        </w:tc>
      </w:tr>
      <w:tr w:rsidR="00503A41" w:rsidRPr="00993936" w:rsidTr="00424C28">
        <w:trPr>
          <w:cantSplit/>
          <w:jc w:val="center"/>
        </w:trPr>
        <w:tc>
          <w:tcPr>
            <w:tcW w:w="3289" w:type="dxa"/>
            <w:vAlign w:val="center"/>
          </w:tcPr>
          <w:p w:rsidR="00503A41" w:rsidRPr="00993936" w:rsidRDefault="00503A41" w:rsidP="00424C28">
            <w:pPr>
              <w:pStyle w:val="Ttulo1"/>
              <w:rPr>
                <w:rFonts w:ascii="Arial" w:hAnsi="Arial" w:cs="Arial"/>
                <w:b/>
                <w:i/>
                <w:color w:val="auto"/>
                <w:sz w:val="22"/>
                <w:szCs w:val="22"/>
              </w:rPr>
            </w:pPr>
            <w:r w:rsidRPr="00993936">
              <w:rPr>
                <w:rFonts w:ascii="Arial" w:hAnsi="Arial" w:cs="Arial"/>
                <w:b/>
                <w:color w:val="auto"/>
                <w:sz w:val="22"/>
                <w:szCs w:val="22"/>
              </w:rPr>
              <w:lastRenderedPageBreak/>
              <w:t>Pulgón amarillo</w:t>
            </w:r>
          </w:p>
          <w:p w:rsidR="00503A41" w:rsidRPr="00993936" w:rsidRDefault="00503A41" w:rsidP="00424C28">
            <w:pPr>
              <w:rPr>
                <w:rFonts w:ascii="Arial" w:hAnsi="Arial" w:cs="Arial"/>
                <w:lang w:val="es-ES"/>
              </w:rPr>
            </w:pPr>
            <w:r w:rsidRPr="00993936">
              <w:rPr>
                <w:rFonts w:ascii="Arial" w:hAnsi="Arial" w:cs="Arial"/>
                <w:i/>
                <w:lang w:val="es-ES"/>
              </w:rPr>
              <w:t>Callaphis juglandis</w:t>
            </w:r>
            <w:r w:rsidRPr="00993936">
              <w:rPr>
                <w:rFonts w:ascii="Arial" w:hAnsi="Arial" w:cs="Arial"/>
                <w:lang w:val="es-ES"/>
              </w:rPr>
              <w:t xml:space="preserve"> </w:t>
            </w:r>
          </w:p>
          <w:p w:rsidR="00503A41" w:rsidRPr="00993936" w:rsidRDefault="00503A41" w:rsidP="00424C28">
            <w:pPr>
              <w:pStyle w:val="Ttulo1"/>
              <w:rPr>
                <w:rFonts w:ascii="Arial" w:hAnsi="Arial" w:cs="Arial"/>
                <w:b/>
                <w:color w:val="auto"/>
                <w:sz w:val="22"/>
                <w:szCs w:val="22"/>
              </w:rPr>
            </w:pPr>
            <w:r w:rsidRPr="00993936">
              <w:rPr>
                <w:rFonts w:ascii="Arial" w:hAnsi="Arial" w:cs="Arial"/>
                <w:b/>
                <w:color w:val="auto"/>
                <w:sz w:val="22"/>
                <w:szCs w:val="22"/>
              </w:rPr>
              <w:t>Pulgón</w:t>
            </w:r>
          </w:p>
          <w:p w:rsidR="00503A41" w:rsidRPr="00993936" w:rsidRDefault="00503A41" w:rsidP="00424C28">
            <w:pPr>
              <w:pStyle w:val="Encabezado"/>
              <w:tabs>
                <w:tab w:val="clear" w:pos="4252"/>
                <w:tab w:val="clear" w:pos="8504"/>
              </w:tabs>
              <w:rPr>
                <w:rFonts w:ascii="Arial" w:hAnsi="Arial" w:cs="Arial"/>
                <w:b/>
                <w:lang w:val="es-ES"/>
              </w:rPr>
            </w:pPr>
            <w:r w:rsidRPr="00993936">
              <w:rPr>
                <w:rFonts w:ascii="Arial" w:hAnsi="Arial" w:cs="Arial"/>
                <w:i/>
                <w:lang w:val="es-ES"/>
              </w:rPr>
              <w:t>Cromaphis juglandicola</w:t>
            </w:r>
            <w:r w:rsidRPr="00993936">
              <w:rPr>
                <w:rFonts w:ascii="Arial" w:hAnsi="Arial" w:cs="Arial"/>
                <w:lang w:val="es-ES"/>
              </w:rPr>
              <w:t xml:space="preserve"> </w:t>
            </w:r>
          </w:p>
        </w:tc>
        <w:tc>
          <w:tcPr>
            <w:tcW w:w="3536" w:type="dxa"/>
            <w:vAlign w:val="center"/>
          </w:tcPr>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En postfloración:</w:t>
            </w:r>
          </w:p>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Tratamientos no localizados únicamente si hay un 10% de árboles afectados.</w:t>
            </w:r>
          </w:p>
        </w:tc>
        <w:tc>
          <w:tcPr>
            <w:tcW w:w="3753" w:type="dxa"/>
            <w:vAlign w:val="center"/>
          </w:tcPr>
          <w:p w:rsidR="00503A41" w:rsidRPr="00993936" w:rsidRDefault="00503A41" w:rsidP="001D205D">
            <w:pPr>
              <w:rPr>
                <w:rFonts w:ascii="Arial" w:hAnsi="Arial" w:cs="Arial"/>
                <w:sz w:val="18"/>
                <w:szCs w:val="18"/>
                <w:lang w:val="es-ES"/>
              </w:rPr>
            </w:pPr>
            <w:r w:rsidRPr="00993936">
              <w:rPr>
                <w:rFonts w:ascii="Arial" w:hAnsi="Arial" w:cs="Arial"/>
                <w:sz w:val="18"/>
                <w:szCs w:val="18"/>
                <w:lang w:val="es-ES"/>
              </w:rPr>
              <w:t>Deltametrín</w:t>
            </w:r>
          </w:p>
          <w:p w:rsidR="00503A41" w:rsidRPr="00993936" w:rsidRDefault="00503A41" w:rsidP="00424C28">
            <w:pPr>
              <w:pStyle w:val="Textoindependiente3"/>
              <w:rPr>
                <w:rFonts w:cs="Arial"/>
                <w:b w:val="0"/>
                <w:sz w:val="18"/>
                <w:szCs w:val="18"/>
                <w:lang w:val="es-ES"/>
              </w:rPr>
            </w:pPr>
            <w:r w:rsidRPr="00993936">
              <w:rPr>
                <w:rFonts w:cs="Arial"/>
                <w:b w:val="0"/>
                <w:sz w:val="18"/>
                <w:szCs w:val="18"/>
                <w:lang w:val="es-ES"/>
              </w:rPr>
              <w:t>Pirimicarb (1)(2)</w:t>
            </w:r>
          </w:p>
          <w:p w:rsidR="00503A41" w:rsidRPr="00993936" w:rsidRDefault="00503A41" w:rsidP="00424C28">
            <w:pPr>
              <w:rPr>
                <w:rFonts w:ascii="Arial" w:hAnsi="Arial" w:cs="Arial"/>
                <w:dstrike/>
                <w:sz w:val="18"/>
                <w:szCs w:val="18"/>
                <w:lang w:val="es-ES"/>
              </w:rPr>
            </w:pPr>
          </w:p>
        </w:tc>
        <w:tc>
          <w:tcPr>
            <w:tcW w:w="3319" w:type="dxa"/>
            <w:vMerge/>
            <w:vAlign w:val="center"/>
          </w:tcPr>
          <w:p w:rsidR="00503A41" w:rsidRPr="00993936" w:rsidRDefault="00503A41" w:rsidP="00424C28">
            <w:pPr>
              <w:rPr>
                <w:rFonts w:ascii="Arial" w:hAnsi="Arial" w:cs="Arial"/>
                <w:sz w:val="18"/>
                <w:lang w:val="es-ES"/>
              </w:rPr>
            </w:pPr>
          </w:p>
        </w:tc>
      </w:tr>
      <w:tr w:rsidR="00503A41" w:rsidRPr="00993936" w:rsidTr="00424C28">
        <w:trPr>
          <w:cantSplit/>
          <w:jc w:val="center"/>
        </w:trPr>
        <w:tc>
          <w:tcPr>
            <w:tcW w:w="3289" w:type="dxa"/>
            <w:vAlign w:val="center"/>
          </w:tcPr>
          <w:p w:rsidR="00503A41" w:rsidRPr="00993936" w:rsidRDefault="00503A41" w:rsidP="00424C28">
            <w:pPr>
              <w:pStyle w:val="Ttulo1"/>
              <w:rPr>
                <w:rFonts w:ascii="Arial" w:hAnsi="Arial" w:cs="Arial"/>
                <w:b/>
                <w:color w:val="auto"/>
                <w:sz w:val="22"/>
                <w:szCs w:val="22"/>
              </w:rPr>
            </w:pPr>
            <w:r w:rsidRPr="00993936">
              <w:rPr>
                <w:rFonts w:ascii="Arial" w:hAnsi="Arial" w:cs="Arial"/>
                <w:b/>
                <w:color w:val="auto"/>
                <w:sz w:val="22"/>
                <w:szCs w:val="22"/>
              </w:rPr>
              <w:t>Orugueta</w:t>
            </w:r>
          </w:p>
          <w:p w:rsidR="00503A41" w:rsidRPr="00993936" w:rsidRDefault="00503A41" w:rsidP="00424C28">
            <w:pPr>
              <w:pStyle w:val="Encabezado"/>
              <w:tabs>
                <w:tab w:val="clear" w:pos="4252"/>
                <w:tab w:val="clear" w:pos="8504"/>
              </w:tabs>
              <w:rPr>
                <w:rFonts w:ascii="Arial" w:hAnsi="Arial" w:cs="Arial"/>
                <w:b/>
                <w:i/>
                <w:lang w:val="es-ES"/>
              </w:rPr>
            </w:pPr>
            <w:r w:rsidRPr="00993936">
              <w:rPr>
                <w:rFonts w:ascii="Arial" w:hAnsi="Arial" w:cs="Arial"/>
                <w:i/>
                <w:lang w:val="es-ES"/>
              </w:rPr>
              <w:t>Ectoamyelois cerationae</w:t>
            </w:r>
          </w:p>
        </w:tc>
        <w:tc>
          <w:tcPr>
            <w:tcW w:w="3536" w:type="dxa"/>
            <w:vAlign w:val="center"/>
          </w:tcPr>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Presencia</w:t>
            </w:r>
          </w:p>
        </w:tc>
        <w:tc>
          <w:tcPr>
            <w:tcW w:w="3753" w:type="dxa"/>
            <w:vAlign w:val="center"/>
          </w:tcPr>
          <w:p w:rsidR="00503A41" w:rsidRPr="00993936" w:rsidRDefault="00503A41" w:rsidP="00424C28">
            <w:pPr>
              <w:rPr>
                <w:rFonts w:ascii="Arial" w:hAnsi="Arial" w:cs="Arial"/>
                <w:sz w:val="18"/>
                <w:szCs w:val="18"/>
                <w:lang w:val="es-ES"/>
              </w:rPr>
            </w:pPr>
            <w:r w:rsidRPr="00993936">
              <w:rPr>
                <w:rFonts w:ascii="Arial" w:hAnsi="Arial" w:cs="Arial"/>
                <w:i/>
                <w:sz w:val="18"/>
                <w:szCs w:val="18"/>
                <w:lang w:val="es-ES"/>
              </w:rPr>
              <w:t>Bacillus thuringiensis</w:t>
            </w:r>
            <w:r w:rsidRPr="00993936">
              <w:rPr>
                <w:rFonts w:ascii="Arial" w:hAnsi="Arial" w:cs="Arial"/>
                <w:sz w:val="18"/>
                <w:szCs w:val="18"/>
                <w:lang w:val="es-ES"/>
              </w:rPr>
              <w:t xml:space="preserve"> (kurstaki)</w:t>
            </w:r>
          </w:p>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Clorantraniliprol</w:t>
            </w:r>
          </w:p>
          <w:p w:rsidR="00503A41" w:rsidRPr="00993936" w:rsidRDefault="00503A41" w:rsidP="001D205D">
            <w:pPr>
              <w:rPr>
                <w:rFonts w:ascii="Arial" w:hAnsi="Arial" w:cs="Arial"/>
                <w:sz w:val="18"/>
                <w:szCs w:val="18"/>
                <w:lang w:val="es-ES"/>
              </w:rPr>
            </w:pPr>
            <w:r w:rsidRPr="00993936">
              <w:rPr>
                <w:rFonts w:ascii="Arial" w:hAnsi="Arial" w:cs="Arial"/>
                <w:sz w:val="18"/>
                <w:szCs w:val="18"/>
                <w:lang w:val="es-ES"/>
              </w:rPr>
              <w:t>Deltametrín</w:t>
            </w:r>
          </w:p>
        </w:tc>
        <w:tc>
          <w:tcPr>
            <w:tcW w:w="3319" w:type="dxa"/>
            <w:vMerge/>
            <w:vAlign w:val="center"/>
          </w:tcPr>
          <w:p w:rsidR="00503A41" w:rsidRPr="00993936" w:rsidRDefault="00503A41" w:rsidP="00424C28">
            <w:pPr>
              <w:rPr>
                <w:rFonts w:ascii="Arial" w:hAnsi="Arial" w:cs="Arial"/>
                <w:sz w:val="18"/>
                <w:lang w:val="es-ES"/>
              </w:rPr>
            </w:pPr>
          </w:p>
        </w:tc>
      </w:tr>
    </w:tbl>
    <w:p w:rsidR="00503A41" w:rsidRPr="00993936" w:rsidRDefault="00503A41" w:rsidP="00424C28">
      <w:pPr>
        <w:rPr>
          <w:rFonts w:ascii="Arial" w:hAnsi="Arial" w:cs="Arial"/>
          <w:lang w:val="es-ES"/>
        </w:rPr>
      </w:pPr>
    </w:p>
    <w:p w:rsidR="00503A41" w:rsidRPr="00993936" w:rsidRDefault="00503A41" w:rsidP="00424C28">
      <w:pPr>
        <w:pStyle w:val="Textoindependiente"/>
        <w:rPr>
          <w:rFonts w:cs="Arial"/>
          <w:b/>
          <w:lang w:val="es-ES"/>
        </w:rPr>
        <w:sectPr w:rsidR="00503A41" w:rsidRPr="00993936" w:rsidSect="00424C28">
          <w:headerReference w:type="even" r:id="rId22"/>
          <w:headerReference w:type="default" r:id="rId23"/>
          <w:footerReference w:type="even" r:id="rId24"/>
          <w:footerReference w:type="default" r:id="rId25"/>
          <w:headerReference w:type="first" r:id="rId26"/>
          <w:footerReference w:type="first" r:id="rId27"/>
          <w:type w:val="evenPage"/>
          <w:pgSz w:w="16840" w:h="11907" w:orient="landscape" w:code="9"/>
          <w:pgMar w:top="1418" w:right="1701" w:bottom="1701" w:left="1418" w:header="709" w:footer="709" w:gutter="0"/>
          <w:cols w:space="708"/>
        </w:sectPr>
      </w:pPr>
    </w:p>
    <w:p w:rsidR="00503A41" w:rsidRPr="00993936" w:rsidRDefault="00503A41" w:rsidP="00424C28">
      <w:pPr>
        <w:pStyle w:val="Textoindependiente"/>
        <w:rPr>
          <w:rFonts w:cs="Arial"/>
          <w:b/>
          <w:lang w:val="es-ES"/>
        </w:rPr>
      </w:pPr>
    </w:p>
    <w:p w:rsidR="00503A41" w:rsidRPr="00993936" w:rsidRDefault="00503A41" w:rsidP="00424C28">
      <w:pPr>
        <w:pStyle w:val="Textoindependiente"/>
        <w:rPr>
          <w:rFonts w:cs="Arial"/>
          <w:b/>
          <w:lang w:val="es-ES"/>
        </w:rPr>
      </w:pPr>
    </w:p>
    <w:p w:rsidR="00503A41" w:rsidRPr="00993936" w:rsidRDefault="00503A41" w:rsidP="00424C28">
      <w:pPr>
        <w:tabs>
          <w:tab w:val="left" w:pos="3750"/>
        </w:tabs>
        <w:rPr>
          <w:rFonts w:ascii="Arial" w:hAnsi="Arial" w:cs="Arial"/>
          <w:b/>
          <w:lang w:val="es-ES"/>
        </w:rPr>
      </w:pPr>
      <w:r w:rsidRPr="00993936">
        <w:rPr>
          <w:rFonts w:ascii="Arial" w:hAnsi="Arial" w:cs="Arial"/>
          <w:b/>
          <w:lang w:val="es-ES"/>
        </w:rPr>
        <w:t>2.1.5 Materias activas de insecticidas para la producción integrada de frutos secos con indicación del código de resistencia IRAC</w:t>
      </w:r>
    </w:p>
    <w:p w:rsidR="00503A41" w:rsidRPr="00993936" w:rsidRDefault="00503A41" w:rsidP="00424C28">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434"/>
        <w:gridCol w:w="4434"/>
      </w:tblGrid>
      <w:tr w:rsidR="00503A41" w:rsidRPr="00993936" w:rsidTr="00424C28">
        <w:trPr>
          <w:trHeight w:val="393"/>
        </w:trPr>
        <w:tc>
          <w:tcPr>
            <w:tcW w:w="5000" w:type="pct"/>
            <w:gridSpan w:val="2"/>
            <w:shd w:val="solid" w:color="C0C0C0" w:fill="auto"/>
            <w:vAlign w:val="center"/>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TIPO DE INSECTICIDAS</w:t>
            </w:r>
          </w:p>
        </w:tc>
      </w:tr>
      <w:tr w:rsidR="00503A41" w:rsidRPr="00993936" w:rsidTr="00424C28">
        <w:trPr>
          <w:trHeight w:val="270"/>
        </w:trPr>
        <w:tc>
          <w:tcPr>
            <w:tcW w:w="2500" w:type="pct"/>
            <w:vMerge w:val="restart"/>
            <w:shd w:val="solid" w:color="C0C0C0" w:fill="auto"/>
            <w:vAlign w:val="center"/>
          </w:tcPr>
          <w:p w:rsidR="00503A41" w:rsidRPr="00993936" w:rsidRDefault="00503A41" w:rsidP="00424C28">
            <w:pPr>
              <w:autoSpaceDE w:val="0"/>
              <w:autoSpaceDN w:val="0"/>
              <w:adjustRightInd w:val="0"/>
              <w:rPr>
                <w:rFonts w:ascii="Arial" w:hAnsi="Arial" w:cs="Arial"/>
                <w:b/>
                <w:bCs/>
                <w:sz w:val="18"/>
                <w:lang w:val="es-ES" w:eastAsia="ca-ES"/>
              </w:rPr>
            </w:pPr>
            <w:r w:rsidRPr="00993936">
              <w:rPr>
                <w:rFonts w:ascii="Arial" w:hAnsi="Arial" w:cs="Arial"/>
                <w:b/>
                <w:bCs/>
                <w:sz w:val="18"/>
                <w:lang w:val="es-ES" w:eastAsia="ca-ES"/>
              </w:rPr>
              <w:t xml:space="preserve">Materia activa </w:t>
            </w:r>
          </w:p>
        </w:tc>
        <w:tc>
          <w:tcPr>
            <w:tcW w:w="2500" w:type="pct"/>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Indicación del código de resistencia</w:t>
            </w:r>
          </w:p>
        </w:tc>
      </w:tr>
      <w:tr w:rsidR="00503A41" w:rsidRPr="00993936" w:rsidTr="00424C28">
        <w:trPr>
          <w:trHeight w:val="270"/>
        </w:trPr>
        <w:tc>
          <w:tcPr>
            <w:tcW w:w="2500" w:type="pct"/>
            <w:vMerge/>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p>
        </w:tc>
        <w:tc>
          <w:tcPr>
            <w:tcW w:w="2500" w:type="pct"/>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IRAC (*)</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Bacillus thuringiensis kurstaki</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11A</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Clorantraniliprol</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28</w:t>
            </w:r>
          </w:p>
        </w:tc>
      </w:tr>
      <w:tr w:rsidR="00503A41" w:rsidRPr="00993936" w:rsidTr="00424C28">
        <w:trPr>
          <w:trHeight w:val="260"/>
        </w:trPr>
        <w:tc>
          <w:tcPr>
            <w:tcW w:w="2500" w:type="pct"/>
            <w:shd w:val="solid" w:color="FFFFFF" w:fill="auto"/>
          </w:tcPr>
          <w:p w:rsidR="00503A41" w:rsidRPr="00993936" w:rsidRDefault="00503A41" w:rsidP="001D205D">
            <w:pPr>
              <w:autoSpaceDE w:val="0"/>
              <w:autoSpaceDN w:val="0"/>
              <w:adjustRightInd w:val="0"/>
              <w:rPr>
                <w:rFonts w:ascii="Arial" w:hAnsi="Arial" w:cs="Arial"/>
                <w:sz w:val="18"/>
                <w:lang w:val="es-ES" w:eastAsia="ca-ES"/>
              </w:rPr>
            </w:pPr>
            <w:r w:rsidRPr="00993936">
              <w:rPr>
                <w:rFonts w:ascii="Arial" w:hAnsi="Arial" w:cs="Arial"/>
                <w:sz w:val="20"/>
                <w:lang w:val="es-ES" w:eastAsia="ca-ES"/>
              </w:rPr>
              <w:t>Clorpirifos</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1B</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Deltametrín</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3A</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Fosmet</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1B</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Imidacloprid</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4A</w:t>
            </w:r>
          </w:p>
        </w:tc>
      </w:tr>
      <w:tr w:rsidR="00503A41" w:rsidRPr="00993936" w:rsidTr="00424C28">
        <w:trPr>
          <w:trHeight w:val="260"/>
        </w:trPr>
        <w:tc>
          <w:tcPr>
            <w:tcW w:w="2500" w:type="pct"/>
            <w:shd w:val="solid" w:color="FFFFFF" w:fill="auto"/>
          </w:tcPr>
          <w:p w:rsidR="00503A41" w:rsidRPr="00993936" w:rsidRDefault="00503A41" w:rsidP="001D205D">
            <w:pPr>
              <w:autoSpaceDE w:val="0"/>
              <w:autoSpaceDN w:val="0"/>
              <w:adjustRightInd w:val="0"/>
              <w:rPr>
                <w:rFonts w:ascii="Arial" w:hAnsi="Arial" w:cs="Arial"/>
                <w:sz w:val="18"/>
                <w:lang w:val="es-ES" w:eastAsia="ca-ES"/>
              </w:rPr>
            </w:pPr>
            <w:r w:rsidRPr="00993936">
              <w:rPr>
                <w:rFonts w:ascii="Arial" w:hAnsi="Arial" w:cs="Arial"/>
                <w:sz w:val="20"/>
                <w:lang w:val="es-ES" w:eastAsia="ca-ES"/>
              </w:rPr>
              <w:t>Lambda-cihalotrín</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3A</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Pirimicarb</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1A</w:t>
            </w:r>
          </w:p>
        </w:tc>
      </w:tr>
      <w:tr w:rsidR="00503A41" w:rsidRPr="00993936" w:rsidTr="00424C28">
        <w:trPr>
          <w:trHeight w:val="260"/>
        </w:trPr>
        <w:tc>
          <w:tcPr>
            <w:tcW w:w="2500" w:type="pct"/>
            <w:shd w:val="solid" w:color="FFFFFF" w:fill="auto"/>
          </w:tcPr>
          <w:p w:rsidR="00503A41" w:rsidRPr="00993936" w:rsidRDefault="00503A41" w:rsidP="001D205D">
            <w:pPr>
              <w:autoSpaceDE w:val="0"/>
              <w:autoSpaceDN w:val="0"/>
              <w:adjustRightInd w:val="0"/>
              <w:rPr>
                <w:rFonts w:ascii="Arial" w:hAnsi="Arial" w:cs="Arial"/>
                <w:sz w:val="20"/>
                <w:lang w:val="es-ES" w:eastAsia="ca-ES"/>
              </w:rPr>
            </w:pPr>
            <w:r w:rsidRPr="00993936">
              <w:rPr>
                <w:rFonts w:ascii="Arial" w:hAnsi="Arial" w:cs="Arial"/>
                <w:sz w:val="20"/>
                <w:lang w:val="es-ES" w:eastAsia="ca-ES"/>
              </w:rPr>
              <w:t>Piriproxifén</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7C</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Polisulfuro de calcio</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Tau-fluvalinato</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3A</w:t>
            </w:r>
          </w:p>
        </w:tc>
      </w:tr>
      <w:tr w:rsidR="00503A41" w:rsidRPr="00993936" w:rsidTr="00424C28">
        <w:trPr>
          <w:trHeight w:val="260"/>
        </w:trPr>
        <w:tc>
          <w:tcPr>
            <w:tcW w:w="2500" w:type="pct"/>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20"/>
                <w:lang w:val="es-ES" w:eastAsia="ca-ES"/>
              </w:rPr>
              <w:t>Tebufenocida</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18"/>
                <w:lang w:val="es-ES" w:eastAsia="ca-ES"/>
              </w:rPr>
            </w:pPr>
            <w:r w:rsidRPr="00993936">
              <w:rPr>
                <w:rFonts w:ascii="Arial" w:hAnsi="Arial" w:cs="Arial"/>
                <w:sz w:val="20"/>
                <w:lang w:val="es-ES" w:eastAsia="ca-ES"/>
              </w:rPr>
              <w:t>18</w:t>
            </w:r>
          </w:p>
        </w:tc>
      </w:tr>
      <w:tr w:rsidR="00503A41" w:rsidRPr="00993936" w:rsidTr="00424C28">
        <w:trPr>
          <w:trHeight w:val="270"/>
        </w:trPr>
        <w:tc>
          <w:tcPr>
            <w:tcW w:w="5000" w:type="pct"/>
            <w:gridSpan w:val="2"/>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18"/>
                <w:lang w:val="es-ES" w:eastAsia="ca-ES"/>
              </w:rPr>
              <w:t>Para evitar la aparición de resistencias alternar el uso de materias activas que presenten códigos de resistencia (IRAC) diferentes</w:t>
            </w:r>
          </w:p>
        </w:tc>
      </w:tr>
      <w:tr w:rsidR="00503A41" w:rsidRPr="00993936" w:rsidTr="00424C28">
        <w:trPr>
          <w:trHeight w:val="270"/>
        </w:trPr>
        <w:tc>
          <w:tcPr>
            <w:tcW w:w="5000" w:type="pct"/>
            <w:gridSpan w:val="2"/>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18"/>
                <w:lang w:val="es-ES" w:eastAsia="ca-ES"/>
              </w:rPr>
              <w:t>(*) Fuente: Comité de Acción de Resistencia en Insecticidas</w:t>
            </w:r>
          </w:p>
        </w:tc>
      </w:tr>
    </w:tbl>
    <w:p w:rsidR="00503A41" w:rsidRPr="00993936" w:rsidRDefault="00503A41" w:rsidP="00424C28">
      <w:pPr>
        <w:pStyle w:val="Textoindependiente2"/>
        <w:rPr>
          <w:rFonts w:cs="Arial"/>
          <w:lang w:val="es-ES"/>
        </w:rPr>
      </w:pPr>
    </w:p>
    <w:p w:rsidR="00503A41" w:rsidRPr="00993936" w:rsidRDefault="00503A41" w:rsidP="00424C28">
      <w:pPr>
        <w:pStyle w:val="Textoindependiente"/>
        <w:rPr>
          <w:rFonts w:cs="Arial"/>
          <w:b/>
          <w:lang w:val="es-ES"/>
        </w:rPr>
      </w:pPr>
    </w:p>
    <w:p w:rsidR="00503A41" w:rsidRPr="00993936" w:rsidRDefault="00503A41" w:rsidP="00424C28">
      <w:pPr>
        <w:pStyle w:val="Textoindependiente"/>
        <w:rPr>
          <w:rFonts w:cs="Arial"/>
          <w:b/>
          <w:lang w:val="es-ES"/>
        </w:rPr>
      </w:pPr>
    </w:p>
    <w:p w:rsidR="00503A41" w:rsidRPr="00993936" w:rsidRDefault="00503A41" w:rsidP="00424C28">
      <w:pPr>
        <w:pStyle w:val="Textoindependiente"/>
        <w:rPr>
          <w:rFonts w:cs="Arial"/>
          <w:b/>
          <w:lang w:val="es-ES"/>
        </w:rPr>
      </w:pPr>
    </w:p>
    <w:p w:rsidR="00503A41" w:rsidRPr="00993936" w:rsidRDefault="00503A41" w:rsidP="00424C28">
      <w:pPr>
        <w:pStyle w:val="Textoindependiente"/>
        <w:rPr>
          <w:rFonts w:cs="Arial"/>
          <w:b/>
          <w:lang w:val="es-ES"/>
        </w:rPr>
      </w:pPr>
    </w:p>
    <w:p w:rsidR="00503A41" w:rsidRPr="00993936" w:rsidRDefault="00503A41" w:rsidP="00424C28">
      <w:pPr>
        <w:pStyle w:val="Textoindependiente"/>
        <w:rPr>
          <w:rFonts w:cs="Arial"/>
          <w:b/>
          <w:lang w:val="es-ES"/>
        </w:rPr>
      </w:pPr>
    </w:p>
    <w:p w:rsidR="00503A41" w:rsidRPr="00993936" w:rsidRDefault="00503A41" w:rsidP="00424C28">
      <w:pPr>
        <w:pStyle w:val="Textoindependiente"/>
        <w:rPr>
          <w:rFonts w:cs="Arial"/>
          <w:b/>
          <w:lang w:val="es-ES"/>
        </w:rPr>
        <w:sectPr w:rsidR="00503A41" w:rsidRPr="00993936" w:rsidSect="00424C28">
          <w:pgSz w:w="11907" w:h="16840" w:code="9"/>
          <w:pgMar w:top="1701" w:right="1701" w:bottom="1418" w:left="1418" w:header="709" w:footer="709" w:gutter="0"/>
          <w:cols w:space="708"/>
          <w:docGrid w:linePitch="299"/>
        </w:sectPr>
      </w:pPr>
    </w:p>
    <w:p w:rsidR="00503A41" w:rsidRPr="00993936" w:rsidRDefault="00503A41" w:rsidP="00424C28">
      <w:pPr>
        <w:pStyle w:val="Textoindependiente"/>
        <w:rPr>
          <w:rFonts w:cs="Arial"/>
          <w:b/>
          <w:sz w:val="20"/>
          <w:lang w:val="es-ES"/>
        </w:rPr>
      </w:pPr>
      <w:r w:rsidRPr="00993936">
        <w:rPr>
          <w:rFonts w:cs="Arial"/>
          <w:b/>
          <w:sz w:val="20"/>
          <w:lang w:val="es-ES"/>
        </w:rPr>
        <w:lastRenderedPageBreak/>
        <w:t>2.2 Materias activas de acaricidas para la Producción Integrada de frutos secos</w:t>
      </w:r>
    </w:p>
    <w:p w:rsidR="00503A41" w:rsidRPr="00993936" w:rsidRDefault="00503A41" w:rsidP="00424C28">
      <w:pPr>
        <w:pStyle w:val="Textoindependiente"/>
        <w:rPr>
          <w:rFonts w:cs="Arial"/>
          <w:b/>
          <w:sz w:val="20"/>
          <w:lang w:val="es-ES"/>
        </w:rPr>
      </w:pPr>
    </w:p>
    <w:p w:rsidR="00503A41" w:rsidRPr="00993936" w:rsidRDefault="00503A41" w:rsidP="00424C28">
      <w:pPr>
        <w:pStyle w:val="Textoindependiente"/>
        <w:rPr>
          <w:rFonts w:cs="Arial"/>
          <w:b/>
          <w:sz w:val="20"/>
          <w:lang w:val="es-ES"/>
        </w:rPr>
      </w:pPr>
      <w:r w:rsidRPr="00993936">
        <w:rPr>
          <w:rFonts w:cs="Arial"/>
          <w:b/>
          <w:sz w:val="20"/>
          <w:lang w:val="es-ES"/>
        </w:rPr>
        <w:t>2.2.1.- Almendro y nogal</w:t>
      </w:r>
    </w:p>
    <w:p w:rsidR="00503A41" w:rsidRPr="00993936" w:rsidRDefault="00503A41" w:rsidP="00424C28">
      <w:pPr>
        <w:pStyle w:val="Textoindependiente"/>
        <w:rPr>
          <w:rFonts w:cs="Arial"/>
          <w:b/>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3536"/>
        <w:gridCol w:w="3536"/>
        <w:gridCol w:w="3536"/>
      </w:tblGrid>
      <w:tr w:rsidR="00503A41" w:rsidRPr="00993936" w:rsidTr="00424C28">
        <w:trPr>
          <w:jc w:val="center"/>
        </w:trPr>
        <w:tc>
          <w:tcPr>
            <w:tcW w:w="3182"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PLAGA</w:t>
            </w:r>
          </w:p>
        </w:tc>
        <w:tc>
          <w:tcPr>
            <w:tcW w:w="3536"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UMBRAL DE TOLERANCIA</w:t>
            </w:r>
          </w:p>
        </w:tc>
        <w:tc>
          <w:tcPr>
            <w:tcW w:w="3536"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MATERIA ACTIVA</w:t>
            </w:r>
          </w:p>
        </w:tc>
        <w:tc>
          <w:tcPr>
            <w:tcW w:w="3536"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RESTRICCIONES</w:t>
            </w:r>
          </w:p>
        </w:tc>
      </w:tr>
      <w:tr w:rsidR="00503A41" w:rsidRPr="00993936" w:rsidTr="00424C28">
        <w:trPr>
          <w:cantSplit/>
          <w:jc w:val="center"/>
        </w:trPr>
        <w:tc>
          <w:tcPr>
            <w:tcW w:w="3182" w:type="dxa"/>
            <w:vMerge w:val="restar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Araña roja</w:t>
            </w:r>
          </w:p>
          <w:p w:rsidR="00503A41" w:rsidRPr="00993936" w:rsidRDefault="00503A41" w:rsidP="001D205D">
            <w:pPr>
              <w:pStyle w:val="Sinespaciado"/>
              <w:rPr>
                <w:rFonts w:ascii="Arial" w:hAnsi="Arial" w:cs="Arial"/>
                <w:lang w:val="es-ES"/>
              </w:rPr>
            </w:pPr>
            <w:r w:rsidRPr="00993936">
              <w:rPr>
                <w:rFonts w:ascii="Arial" w:hAnsi="Arial" w:cs="Arial"/>
                <w:i/>
                <w:lang w:val="es-ES"/>
              </w:rPr>
              <w:t>Panonychus ulmi</w:t>
            </w:r>
          </w:p>
        </w:tc>
        <w:tc>
          <w:tcPr>
            <w:tcW w:w="3536"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 prefloración en caso de fuerte afectación el año anterior</w:t>
            </w:r>
          </w:p>
        </w:tc>
        <w:tc>
          <w:tcPr>
            <w:tcW w:w="3536"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Polisulfuro de calcio</w:t>
            </w:r>
          </w:p>
          <w:p w:rsidR="00503A41" w:rsidRPr="00993936" w:rsidRDefault="00503A41" w:rsidP="001D205D">
            <w:pPr>
              <w:pStyle w:val="Sinespaciado"/>
              <w:rPr>
                <w:rFonts w:ascii="Arial" w:hAnsi="Arial" w:cs="Arial"/>
                <w:lang w:val="es-ES"/>
              </w:rPr>
            </w:pPr>
          </w:p>
        </w:tc>
        <w:tc>
          <w:tcPr>
            <w:tcW w:w="3536" w:type="dxa"/>
            <w:vMerge w:val="restar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w:t>
            </w:r>
          </w:p>
          <w:p w:rsidR="00503A41" w:rsidRPr="00993936" w:rsidRDefault="00503A41" w:rsidP="001D205D">
            <w:pPr>
              <w:pStyle w:val="Sinespaciado"/>
              <w:rPr>
                <w:rFonts w:ascii="Arial" w:hAnsi="Arial" w:cs="Arial"/>
                <w:lang w:val="es-ES"/>
              </w:rPr>
            </w:pPr>
          </w:p>
        </w:tc>
      </w:tr>
      <w:tr w:rsidR="00503A41" w:rsidRPr="00993936" w:rsidTr="00424C28">
        <w:trPr>
          <w:cantSplit/>
          <w:jc w:val="center"/>
        </w:trPr>
        <w:tc>
          <w:tcPr>
            <w:tcW w:w="3182" w:type="dxa"/>
            <w:vMerge/>
            <w:vAlign w:val="center"/>
          </w:tcPr>
          <w:p w:rsidR="00503A41" w:rsidRPr="00993936" w:rsidRDefault="00503A41" w:rsidP="001D205D">
            <w:pPr>
              <w:pStyle w:val="Sinespaciado"/>
              <w:rPr>
                <w:rFonts w:ascii="Arial" w:hAnsi="Arial" w:cs="Arial"/>
                <w:lang w:val="es-ES"/>
              </w:rPr>
            </w:pPr>
          </w:p>
        </w:tc>
        <w:tc>
          <w:tcPr>
            <w:tcW w:w="3536"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Cuadro 1</w:t>
            </w:r>
          </w:p>
        </w:tc>
        <w:tc>
          <w:tcPr>
            <w:tcW w:w="3536"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Hexitiazox </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tc>
        <w:tc>
          <w:tcPr>
            <w:tcW w:w="3536" w:type="dxa"/>
            <w:vMerge/>
            <w:vAlign w:val="center"/>
          </w:tcPr>
          <w:p w:rsidR="00503A41" w:rsidRPr="00993936" w:rsidRDefault="00503A41" w:rsidP="001D205D">
            <w:pPr>
              <w:pStyle w:val="Sinespaciado"/>
              <w:rPr>
                <w:rFonts w:ascii="Arial" w:hAnsi="Arial" w:cs="Arial"/>
                <w:lang w:val="es-ES"/>
              </w:rPr>
            </w:pPr>
          </w:p>
        </w:tc>
      </w:tr>
      <w:tr w:rsidR="00503A41" w:rsidRPr="00993936" w:rsidTr="00424C28">
        <w:trPr>
          <w:cantSplit/>
          <w:jc w:val="center"/>
        </w:trPr>
        <w:tc>
          <w:tcPr>
            <w:tcW w:w="3182" w:type="dxa"/>
            <w:vMerge w:val="restar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Araña amarilla</w:t>
            </w:r>
          </w:p>
          <w:p w:rsidR="00503A41" w:rsidRPr="00993936" w:rsidRDefault="00503A41" w:rsidP="001D205D">
            <w:pPr>
              <w:pStyle w:val="Sinespaciado"/>
              <w:rPr>
                <w:rFonts w:ascii="Arial" w:hAnsi="Arial" w:cs="Arial"/>
                <w:lang w:val="es-ES"/>
              </w:rPr>
            </w:pPr>
            <w:r w:rsidRPr="00993936">
              <w:rPr>
                <w:rFonts w:ascii="Arial" w:hAnsi="Arial" w:cs="Arial"/>
                <w:i/>
                <w:lang w:val="es-ES"/>
              </w:rPr>
              <w:t>Tetranychus urticae, Eotetranychus carpinii</w:t>
            </w:r>
          </w:p>
        </w:tc>
        <w:tc>
          <w:tcPr>
            <w:tcW w:w="3536"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 prefloración en caso de fuerte afectación el año anterior</w:t>
            </w:r>
          </w:p>
        </w:tc>
        <w:tc>
          <w:tcPr>
            <w:tcW w:w="3536"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Polisulfuro de calcio</w:t>
            </w:r>
          </w:p>
          <w:p w:rsidR="00503A41" w:rsidRPr="00993936" w:rsidRDefault="00503A41" w:rsidP="001D205D">
            <w:pPr>
              <w:pStyle w:val="Sinespaciado"/>
              <w:rPr>
                <w:rFonts w:ascii="Arial" w:hAnsi="Arial" w:cs="Arial"/>
                <w:lang w:val="es-ES"/>
              </w:rPr>
            </w:pPr>
          </w:p>
        </w:tc>
        <w:tc>
          <w:tcPr>
            <w:tcW w:w="3536" w:type="dxa"/>
            <w:vMerge/>
          </w:tcPr>
          <w:p w:rsidR="00503A41" w:rsidRPr="00993936" w:rsidRDefault="00503A41" w:rsidP="001D205D">
            <w:pPr>
              <w:pStyle w:val="Sinespaciado"/>
              <w:rPr>
                <w:rFonts w:ascii="Arial" w:hAnsi="Arial" w:cs="Arial"/>
                <w:lang w:val="es-ES"/>
              </w:rPr>
            </w:pPr>
          </w:p>
        </w:tc>
      </w:tr>
      <w:tr w:rsidR="00503A41" w:rsidRPr="00993936" w:rsidTr="00424C28">
        <w:trPr>
          <w:cantSplit/>
          <w:jc w:val="center"/>
        </w:trPr>
        <w:tc>
          <w:tcPr>
            <w:tcW w:w="3182" w:type="dxa"/>
            <w:vMerge/>
            <w:vAlign w:val="center"/>
          </w:tcPr>
          <w:p w:rsidR="00503A41" w:rsidRPr="00993936" w:rsidRDefault="00503A41" w:rsidP="001D205D">
            <w:pPr>
              <w:pStyle w:val="Sinespaciado"/>
              <w:rPr>
                <w:rFonts w:ascii="Arial" w:hAnsi="Arial" w:cs="Arial"/>
                <w:i/>
                <w:lang w:val="es-ES"/>
              </w:rPr>
            </w:pPr>
          </w:p>
        </w:tc>
        <w:tc>
          <w:tcPr>
            <w:tcW w:w="3536"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Cuadro 2</w:t>
            </w:r>
          </w:p>
          <w:p w:rsidR="00503A41" w:rsidRPr="00993936" w:rsidRDefault="00503A41" w:rsidP="001D205D">
            <w:pPr>
              <w:pStyle w:val="Sinespaciado"/>
              <w:rPr>
                <w:rFonts w:ascii="Arial" w:hAnsi="Arial" w:cs="Arial"/>
                <w:lang w:val="es-ES"/>
              </w:rPr>
            </w:pPr>
          </w:p>
        </w:tc>
        <w:tc>
          <w:tcPr>
            <w:tcW w:w="3536"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Hexitiazox </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tc>
        <w:tc>
          <w:tcPr>
            <w:tcW w:w="3536" w:type="dxa"/>
            <w:vMerge/>
          </w:tcPr>
          <w:p w:rsidR="00503A41" w:rsidRPr="00993936" w:rsidRDefault="00503A41" w:rsidP="001D205D">
            <w:pPr>
              <w:pStyle w:val="Sinespaciado"/>
              <w:rPr>
                <w:rFonts w:ascii="Arial" w:hAnsi="Arial" w:cs="Arial"/>
                <w:lang w:val="es-ES"/>
              </w:rPr>
            </w:pPr>
          </w:p>
        </w:tc>
      </w:tr>
    </w:tbl>
    <w:p w:rsidR="00503A41" w:rsidRPr="00993936" w:rsidRDefault="00503A41" w:rsidP="00424C28">
      <w:pPr>
        <w:pStyle w:val="Textoindependiente"/>
        <w:rPr>
          <w:rFonts w:cs="Arial"/>
          <w:b/>
          <w:sz w:val="20"/>
          <w:lang w:val="es-ES"/>
        </w:rPr>
      </w:pPr>
    </w:p>
    <w:p w:rsidR="00503A41" w:rsidRPr="00993936" w:rsidRDefault="00503A41" w:rsidP="00424C28">
      <w:pPr>
        <w:pStyle w:val="Textoindependiente"/>
        <w:rPr>
          <w:rFonts w:cs="Arial"/>
          <w:b/>
          <w:sz w:val="20"/>
          <w:lang w:val="es-ES"/>
        </w:rPr>
      </w:pPr>
      <w:r w:rsidRPr="00993936">
        <w:rPr>
          <w:rFonts w:cs="Arial"/>
          <w:b/>
          <w:sz w:val="20"/>
          <w:lang w:val="es-ES"/>
        </w:rPr>
        <w:t>Cuadro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118"/>
        <w:gridCol w:w="2551"/>
        <w:gridCol w:w="3356"/>
      </w:tblGrid>
      <w:tr w:rsidR="00503A41" w:rsidRPr="00993936" w:rsidTr="00424C28">
        <w:trPr>
          <w:cantSplit/>
          <w:jc w:val="center"/>
        </w:trPr>
        <w:tc>
          <w:tcPr>
            <w:tcW w:w="5669" w:type="dxa"/>
            <w:gridSpan w:val="2"/>
            <w:shd w:val="pct30" w:color="auto" w:fill="FFFFFF"/>
            <w:vAlign w:val="center"/>
          </w:tcPr>
          <w:p w:rsidR="00503A41" w:rsidRPr="00993936" w:rsidRDefault="00503A41" w:rsidP="00424C28">
            <w:pPr>
              <w:widowControl w:val="0"/>
              <w:jc w:val="center"/>
              <w:rPr>
                <w:rFonts w:ascii="Arial" w:hAnsi="Arial" w:cs="Arial"/>
                <w:snapToGrid w:val="0"/>
                <w:sz w:val="16"/>
                <w:lang w:val="es-ES"/>
              </w:rPr>
            </w:pPr>
            <w:r w:rsidRPr="00993936">
              <w:rPr>
                <w:rFonts w:ascii="Arial" w:hAnsi="Arial" w:cs="Arial"/>
                <w:b/>
                <w:snapToGrid w:val="0"/>
                <w:sz w:val="16"/>
                <w:lang w:val="es-ES"/>
              </w:rPr>
              <w:t>PORCENTAJE DE HOJAS OCUPADAS</w:t>
            </w:r>
          </w:p>
        </w:tc>
        <w:tc>
          <w:tcPr>
            <w:tcW w:w="3356" w:type="dxa"/>
            <w:vMerge w:val="restart"/>
            <w:shd w:val="pct30" w:color="auto" w:fill="FFFFFF"/>
            <w:vAlign w:val="center"/>
          </w:tcPr>
          <w:p w:rsidR="00503A41" w:rsidRPr="00993936" w:rsidRDefault="00503A41" w:rsidP="00424C28">
            <w:pPr>
              <w:widowControl w:val="0"/>
              <w:jc w:val="center"/>
              <w:rPr>
                <w:rFonts w:ascii="Arial" w:hAnsi="Arial" w:cs="Arial"/>
                <w:b/>
                <w:snapToGrid w:val="0"/>
                <w:sz w:val="16"/>
                <w:lang w:val="es-ES"/>
              </w:rPr>
            </w:pPr>
            <w:r w:rsidRPr="00993936">
              <w:rPr>
                <w:rFonts w:ascii="Arial" w:hAnsi="Arial" w:cs="Arial"/>
                <w:b/>
                <w:snapToGrid w:val="0"/>
                <w:sz w:val="16"/>
                <w:lang w:val="es-ES"/>
              </w:rPr>
              <w:t>DECISIÓN</w:t>
            </w:r>
          </w:p>
        </w:tc>
      </w:tr>
      <w:tr w:rsidR="00503A41" w:rsidRPr="00993936" w:rsidTr="00424C28">
        <w:trPr>
          <w:cantSplit/>
          <w:jc w:val="center"/>
        </w:trPr>
        <w:tc>
          <w:tcPr>
            <w:tcW w:w="3118" w:type="dxa"/>
            <w:shd w:val="pct30" w:color="auto" w:fill="FFFFFF"/>
            <w:vAlign w:val="center"/>
          </w:tcPr>
          <w:p w:rsidR="00503A41" w:rsidRPr="00993936" w:rsidRDefault="00503A41" w:rsidP="001D205D">
            <w:pPr>
              <w:widowControl w:val="0"/>
              <w:jc w:val="center"/>
              <w:rPr>
                <w:rFonts w:ascii="Arial" w:hAnsi="Arial" w:cs="Arial"/>
                <w:snapToGrid w:val="0"/>
                <w:sz w:val="16"/>
                <w:lang w:val="es-ES"/>
              </w:rPr>
            </w:pPr>
            <w:r w:rsidRPr="00993936">
              <w:rPr>
                <w:rFonts w:ascii="Arial" w:hAnsi="Arial" w:cs="Arial"/>
                <w:b/>
                <w:snapToGrid w:val="0"/>
                <w:sz w:val="16"/>
                <w:lang w:val="es-ES"/>
              </w:rPr>
              <w:t>POR ARAÑA ROJA (AR)</w:t>
            </w:r>
          </w:p>
        </w:tc>
        <w:tc>
          <w:tcPr>
            <w:tcW w:w="2551" w:type="dxa"/>
            <w:shd w:val="pct30" w:color="auto" w:fill="FFFFFF"/>
            <w:vAlign w:val="center"/>
          </w:tcPr>
          <w:p w:rsidR="00503A41" w:rsidRPr="00993936" w:rsidRDefault="00503A41" w:rsidP="00424C28">
            <w:pPr>
              <w:widowControl w:val="0"/>
              <w:jc w:val="center"/>
              <w:rPr>
                <w:rFonts w:ascii="Arial" w:hAnsi="Arial" w:cs="Arial"/>
                <w:snapToGrid w:val="0"/>
                <w:sz w:val="16"/>
                <w:lang w:val="es-ES"/>
              </w:rPr>
            </w:pPr>
            <w:r w:rsidRPr="00993936">
              <w:rPr>
                <w:rFonts w:ascii="Arial" w:hAnsi="Arial" w:cs="Arial"/>
                <w:b/>
                <w:snapToGrid w:val="0"/>
                <w:sz w:val="16"/>
                <w:lang w:val="es-ES"/>
              </w:rPr>
              <w:t>POR FITOSEIDOS (FIJO)</w:t>
            </w:r>
          </w:p>
        </w:tc>
        <w:tc>
          <w:tcPr>
            <w:tcW w:w="3356" w:type="dxa"/>
            <w:vMerge/>
          </w:tcPr>
          <w:p w:rsidR="00503A41" w:rsidRPr="00993936" w:rsidRDefault="00503A41" w:rsidP="00424C28">
            <w:pPr>
              <w:widowControl w:val="0"/>
              <w:jc w:val="center"/>
              <w:rPr>
                <w:rFonts w:ascii="Arial" w:hAnsi="Arial" w:cs="Arial"/>
                <w:snapToGrid w:val="0"/>
                <w:sz w:val="16"/>
                <w:lang w:val="es-ES"/>
              </w:rPr>
            </w:pPr>
          </w:p>
        </w:tc>
      </w:tr>
      <w:tr w:rsidR="00503A41" w:rsidRPr="00993936" w:rsidTr="00424C28">
        <w:trPr>
          <w:cantSplit/>
          <w:jc w:val="center"/>
        </w:trPr>
        <w:tc>
          <w:tcPr>
            <w:tcW w:w="3118"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&gt;= 70%</w:t>
            </w:r>
          </w:p>
        </w:tc>
        <w:tc>
          <w:tcPr>
            <w:tcW w:w="2551"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0-20 %</w:t>
            </w:r>
          </w:p>
        </w:tc>
        <w:tc>
          <w:tcPr>
            <w:tcW w:w="3356"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TRATAR</w:t>
            </w:r>
          </w:p>
        </w:tc>
      </w:tr>
      <w:tr w:rsidR="00503A41" w:rsidRPr="00993936" w:rsidTr="001D205D">
        <w:trPr>
          <w:cantSplit/>
          <w:trHeight w:val="556"/>
          <w:jc w:val="center"/>
        </w:trPr>
        <w:tc>
          <w:tcPr>
            <w:tcW w:w="3118"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&gt;= 70%</w:t>
            </w:r>
          </w:p>
        </w:tc>
        <w:tc>
          <w:tcPr>
            <w:tcW w:w="2551"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20-60 %</w:t>
            </w:r>
          </w:p>
        </w:tc>
        <w:tc>
          <w:tcPr>
            <w:tcW w:w="3356"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Volver a controlar a los 7-10 días</w:t>
            </w:r>
          </w:p>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y tratar si AR&gt;=90 y FIJO &lt;=40</w:t>
            </w:r>
          </w:p>
        </w:tc>
      </w:tr>
      <w:tr w:rsidR="00503A41" w:rsidRPr="00993936" w:rsidTr="00424C28">
        <w:trPr>
          <w:cantSplit/>
          <w:jc w:val="center"/>
        </w:trPr>
        <w:tc>
          <w:tcPr>
            <w:tcW w:w="3118"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&gt;=70%</w:t>
            </w:r>
          </w:p>
        </w:tc>
        <w:tc>
          <w:tcPr>
            <w:tcW w:w="2551"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60-100 %</w:t>
            </w:r>
          </w:p>
        </w:tc>
        <w:tc>
          <w:tcPr>
            <w:tcW w:w="3356"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NO TRATAR</w:t>
            </w:r>
          </w:p>
        </w:tc>
      </w:tr>
    </w:tbl>
    <w:p w:rsidR="00503A41" w:rsidRPr="00993936" w:rsidRDefault="00503A41" w:rsidP="00424C28">
      <w:pPr>
        <w:pStyle w:val="Textoindependiente"/>
        <w:rPr>
          <w:rFonts w:cs="Arial"/>
          <w:b/>
          <w:sz w:val="20"/>
          <w:lang w:val="es-ES"/>
        </w:rPr>
      </w:pPr>
    </w:p>
    <w:p w:rsidR="00503A41" w:rsidRPr="00993936" w:rsidRDefault="00503A41" w:rsidP="00424C28">
      <w:pPr>
        <w:pStyle w:val="Textoindependiente"/>
        <w:rPr>
          <w:rFonts w:cs="Arial"/>
          <w:b/>
          <w:sz w:val="20"/>
          <w:lang w:val="es-ES"/>
        </w:rPr>
      </w:pPr>
      <w:r w:rsidRPr="00993936">
        <w:rPr>
          <w:rFonts w:cs="Arial"/>
          <w:b/>
          <w:sz w:val="20"/>
          <w:lang w:val="es-ES"/>
        </w:rPr>
        <w:t>Cuadro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118"/>
        <w:gridCol w:w="2551"/>
        <w:gridCol w:w="3356"/>
      </w:tblGrid>
      <w:tr w:rsidR="00503A41" w:rsidRPr="00993936" w:rsidTr="00424C28">
        <w:trPr>
          <w:cantSplit/>
          <w:jc w:val="center"/>
        </w:trPr>
        <w:tc>
          <w:tcPr>
            <w:tcW w:w="5669" w:type="dxa"/>
            <w:gridSpan w:val="2"/>
            <w:shd w:val="pct30" w:color="auto" w:fill="FFFFFF"/>
            <w:vAlign w:val="center"/>
          </w:tcPr>
          <w:p w:rsidR="00503A41" w:rsidRPr="00993936" w:rsidRDefault="00503A41" w:rsidP="001D205D">
            <w:pPr>
              <w:pStyle w:val="Sinespaciado"/>
              <w:jc w:val="center"/>
              <w:rPr>
                <w:rFonts w:ascii="Arial" w:hAnsi="Arial" w:cs="Arial"/>
                <w:snapToGrid w:val="0"/>
                <w:sz w:val="20"/>
                <w:szCs w:val="20"/>
                <w:lang w:val="es-ES"/>
              </w:rPr>
            </w:pPr>
            <w:r w:rsidRPr="00993936">
              <w:rPr>
                <w:rFonts w:ascii="Arial" w:hAnsi="Arial" w:cs="Arial"/>
                <w:snapToGrid w:val="0"/>
                <w:sz w:val="20"/>
                <w:szCs w:val="20"/>
                <w:lang w:val="es-ES"/>
              </w:rPr>
              <w:t>PORCENTAJE DE HOJAS OCUPADAS</w:t>
            </w:r>
          </w:p>
        </w:tc>
        <w:tc>
          <w:tcPr>
            <w:tcW w:w="3356" w:type="dxa"/>
            <w:vMerge w:val="restart"/>
            <w:shd w:val="pct30" w:color="auto" w:fill="FFFFFF"/>
            <w:vAlign w:val="center"/>
          </w:tcPr>
          <w:p w:rsidR="00503A41" w:rsidRPr="00993936" w:rsidRDefault="00503A41" w:rsidP="001D205D">
            <w:pPr>
              <w:pStyle w:val="Sinespaciado"/>
              <w:jc w:val="center"/>
              <w:rPr>
                <w:rFonts w:ascii="Arial" w:hAnsi="Arial" w:cs="Arial"/>
                <w:snapToGrid w:val="0"/>
                <w:sz w:val="20"/>
                <w:szCs w:val="20"/>
                <w:lang w:val="es-ES"/>
              </w:rPr>
            </w:pPr>
            <w:r w:rsidRPr="00993936">
              <w:rPr>
                <w:rFonts w:ascii="Arial" w:hAnsi="Arial" w:cs="Arial"/>
                <w:snapToGrid w:val="0"/>
                <w:sz w:val="20"/>
                <w:szCs w:val="20"/>
                <w:lang w:val="es-ES"/>
              </w:rPr>
              <w:t>DECISIÓN</w:t>
            </w:r>
          </w:p>
        </w:tc>
      </w:tr>
      <w:tr w:rsidR="00503A41" w:rsidRPr="00993936" w:rsidTr="00424C28">
        <w:trPr>
          <w:cantSplit/>
          <w:jc w:val="center"/>
        </w:trPr>
        <w:tc>
          <w:tcPr>
            <w:tcW w:w="3118" w:type="dxa"/>
            <w:shd w:val="pct30" w:color="auto" w:fill="FFFFFF"/>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POR ARAÑA AMARILLA (AR)</w:t>
            </w:r>
          </w:p>
        </w:tc>
        <w:tc>
          <w:tcPr>
            <w:tcW w:w="2551" w:type="dxa"/>
            <w:shd w:val="pct30" w:color="auto" w:fill="FFFFFF"/>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 xml:space="preserve">PREDADOR Stethorus </w:t>
            </w:r>
          </w:p>
        </w:tc>
        <w:tc>
          <w:tcPr>
            <w:tcW w:w="3356" w:type="dxa"/>
            <w:vMerge/>
          </w:tcPr>
          <w:p w:rsidR="00503A41" w:rsidRPr="00993936" w:rsidRDefault="00503A41" w:rsidP="001D205D">
            <w:pPr>
              <w:pStyle w:val="Sinespaciado"/>
              <w:rPr>
                <w:rFonts w:ascii="Arial" w:hAnsi="Arial" w:cs="Arial"/>
                <w:snapToGrid w:val="0"/>
                <w:sz w:val="20"/>
                <w:szCs w:val="20"/>
                <w:lang w:val="es-ES"/>
              </w:rPr>
            </w:pPr>
          </w:p>
        </w:tc>
      </w:tr>
      <w:tr w:rsidR="00503A41" w:rsidRPr="00993936" w:rsidTr="00424C28">
        <w:trPr>
          <w:cantSplit/>
          <w:jc w:val="center"/>
        </w:trPr>
        <w:tc>
          <w:tcPr>
            <w:tcW w:w="3118"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&gt;60%</w:t>
            </w:r>
          </w:p>
        </w:tc>
        <w:tc>
          <w:tcPr>
            <w:tcW w:w="2551"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&lt;30 %</w:t>
            </w:r>
          </w:p>
        </w:tc>
        <w:tc>
          <w:tcPr>
            <w:tcW w:w="3356"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TRATAR</w:t>
            </w:r>
          </w:p>
        </w:tc>
      </w:tr>
      <w:tr w:rsidR="00503A41" w:rsidRPr="00993936" w:rsidTr="00424C28">
        <w:trPr>
          <w:cantSplit/>
          <w:jc w:val="center"/>
        </w:trPr>
        <w:tc>
          <w:tcPr>
            <w:tcW w:w="3118"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&gt;30%</w:t>
            </w:r>
          </w:p>
        </w:tc>
        <w:tc>
          <w:tcPr>
            <w:tcW w:w="2551"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0 %</w:t>
            </w:r>
          </w:p>
        </w:tc>
        <w:tc>
          <w:tcPr>
            <w:tcW w:w="3356" w:type="dxa"/>
            <w:vAlign w:val="center"/>
          </w:tcPr>
          <w:p w:rsidR="00503A41" w:rsidRPr="00993936" w:rsidRDefault="00503A41" w:rsidP="001D205D">
            <w:pPr>
              <w:pStyle w:val="Sinespaciado"/>
              <w:rPr>
                <w:rFonts w:ascii="Arial" w:hAnsi="Arial" w:cs="Arial"/>
                <w:snapToGrid w:val="0"/>
                <w:sz w:val="20"/>
                <w:szCs w:val="20"/>
                <w:lang w:val="es-ES"/>
              </w:rPr>
            </w:pPr>
            <w:r w:rsidRPr="00993936">
              <w:rPr>
                <w:rFonts w:ascii="Arial" w:hAnsi="Arial" w:cs="Arial"/>
                <w:snapToGrid w:val="0"/>
                <w:sz w:val="20"/>
                <w:szCs w:val="20"/>
                <w:lang w:val="es-ES"/>
              </w:rPr>
              <w:t>TRATAR</w:t>
            </w:r>
          </w:p>
        </w:tc>
      </w:tr>
    </w:tbl>
    <w:p w:rsidR="00503A41" w:rsidRPr="00993936" w:rsidRDefault="00503A41" w:rsidP="00424C28">
      <w:pPr>
        <w:pStyle w:val="Textoindependiente"/>
        <w:rPr>
          <w:rFonts w:cs="Arial"/>
          <w:b/>
          <w:sz w:val="20"/>
          <w:lang w:val="es-ES"/>
        </w:rPr>
      </w:pPr>
    </w:p>
    <w:p w:rsidR="00503A41" w:rsidRPr="00993936" w:rsidRDefault="00503A41" w:rsidP="00424C28">
      <w:pPr>
        <w:pStyle w:val="Textoindependiente"/>
        <w:rPr>
          <w:rFonts w:cs="Arial"/>
          <w:b/>
          <w:lang w:val="es-ES"/>
        </w:rPr>
      </w:pPr>
    </w:p>
    <w:p w:rsidR="00503A41" w:rsidRPr="00993936" w:rsidRDefault="00503A41" w:rsidP="00424C28">
      <w:pPr>
        <w:pStyle w:val="Textoindependiente"/>
        <w:rPr>
          <w:rFonts w:cs="Arial"/>
          <w:b/>
          <w:lang w:val="es-ES"/>
        </w:rPr>
      </w:pPr>
      <w:r w:rsidRPr="00993936">
        <w:rPr>
          <w:rFonts w:cs="Arial"/>
          <w:b/>
          <w:lang w:val="es-ES"/>
        </w:rPr>
        <w:br w:type="page"/>
      </w:r>
    </w:p>
    <w:p w:rsidR="00503A41" w:rsidRPr="00993936" w:rsidRDefault="00503A41" w:rsidP="00424C28">
      <w:pPr>
        <w:pStyle w:val="Textoindependiente"/>
        <w:rPr>
          <w:rFonts w:cs="Arial"/>
          <w:b/>
          <w:lang w:val="es-ES"/>
        </w:rPr>
      </w:pPr>
      <w:r w:rsidRPr="00993936">
        <w:rPr>
          <w:rFonts w:cs="Arial"/>
          <w:b/>
          <w:lang w:val="es-ES"/>
        </w:rPr>
        <w:lastRenderedPageBreak/>
        <w:t>2.2.2.- Avellano</w:t>
      </w:r>
    </w:p>
    <w:p w:rsidR="00503A41" w:rsidRPr="00993936" w:rsidRDefault="00503A41" w:rsidP="00424C28">
      <w:pPr>
        <w:pStyle w:val="Textoindependiente"/>
        <w:rPr>
          <w:rFonts w:cs="Arial"/>
          <w:b/>
          <w:lang w:val="es-ES"/>
        </w:rPr>
      </w:pPr>
    </w:p>
    <w:tbl>
      <w:tblPr>
        <w:tblW w:w="13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8"/>
        <w:gridCol w:w="3536"/>
        <w:gridCol w:w="3729"/>
        <w:gridCol w:w="3343"/>
      </w:tblGrid>
      <w:tr w:rsidR="00503A41" w:rsidRPr="00993936" w:rsidTr="00424C28">
        <w:trPr>
          <w:jc w:val="center"/>
        </w:trPr>
        <w:tc>
          <w:tcPr>
            <w:tcW w:w="3338"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PLAGA</w:t>
            </w:r>
          </w:p>
        </w:tc>
        <w:tc>
          <w:tcPr>
            <w:tcW w:w="3536"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UMBRAL DE TOLERANCIA</w:t>
            </w:r>
          </w:p>
        </w:tc>
        <w:tc>
          <w:tcPr>
            <w:tcW w:w="3729"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MATERIA ACTIVA</w:t>
            </w:r>
          </w:p>
        </w:tc>
        <w:tc>
          <w:tcPr>
            <w:tcW w:w="3343" w:type="dxa"/>
            <w:shd w:val="pct12" w:color="auto" w:fill="FFFFFF"/>
          </w:tcPr>
          <w:p w:rsidR="00503A41" w:rsidRPr="00993936" w:rsidRDefault="00503A41" w:rsidP="00424C28">
            <w:pPr>
              <w:pStyle w:val="Ttulo6"/>
              <w:rPr>
                <w:rFonts w:ascii="Arial" w:hAnsi="Arial" w:cs="Arial"/>
                <w:color w:val="auto"/>
                <w:lang w:val="es-ES"/>
              </w:rPr>
            </w:pPr>
            <w:r w:rsidRPr="00993936">
              <w:rPr>
                <w:rFonts w:ascii="Arial" w:hAnsi="Arial" w:cs="Arial"/>
                <w:color w:val="auto"/>
                <w:lang w:val="es-ES"/>
              </w:rPr>
              <w:t>RESTRICCIONES</w:t>
            </w:r>
          </w:p>
        </w:tc>
      </w:tr>
      <w:tr w:rsidR="00503A41" w:rsidRPr="00993936" w:rsidTr="00424C28">
        <w:trPr>
          <w:cantSplit/>
          <w:jc w:val="center"/>
        </w:trPr>
        <w:tc>
          <w:tcPr>
            <w:tcW w:w="3338" w:type="dxa"/>
            <w:vMerge w:val="restart"/>
            <w:vAlign w:val="center"/>
          </w:tcPr>
          <w:p w:rsidR="00503A41" w:rsidRPr="00993936" w:rsidRDefault="00503A41" w:rsidP="00424C28">
            <w:pPr>
              <w:pStyle w:val="Encabezado"/>
              <w:tabs>
                <w:tab w:val="clear" w:pos="4252"/>
                <w:tab w:val="clear" w:pos="8504"/>
              </w:tabs>
              <w:rPr>
                <w:rFonts w:ascii="Arial" w:hAnsi="Arial" w:cs="Arial"/>
                <w:b/>
                <w:lang w:val="es-ES"/>
              </w:rPr>
            </w:pPr>
            <w:r w:rsidRPr="00993936">
              <w:rPr>
                <w:rFonts w:ascii="Arial" w:hAnsi="Arial" w:cs="Arial"/>
                <w:b/>
                <w:lang w:val="es-ES"/>
              </w:rPr>
              <w:t>Araña roja</w:t>
            </w:r>
          </w:p>
          <w:p w:rsidR="00503A41" w:rsidRPr="00993936" w:rsidRDefault="00503A41" w:rsidP="00424C28">
            <w:pPr>
              <w:pStyle w:val="Encabezado"/>
              <w:rPr>
                <w:rFonts w:ascii="Arial" w:hAnsi="Arial" w:cs="Arial"/>
                <w:b/>
                <w:lang w:val="es-ES"/>
              </w:rPr>
            </w:pPr>
            <w:r w:rsidRPr="00993936">
              <w:rPr>
                <w:rFonts w:ascii="Arial" w:hAnsi="Arial" w:cs="Arial"/>
                <w:i/>
                <w:lang w:val="es-ES"/>
              </w:rPr>
              <w:t>Tetranycopsis horridus</w:t>
            </w:r>
          </w:p>
        </w:tc>
        <w:tc>
          <w:tcPr>
            <w:tcW w:w="3536" w:type="dxa"/>
            <w:vAlign w:val="center"/>
          </w:tcPr>
          <w:p w:rsidR="00503A41" w:rsidRPr="00993936" w:rsidRDefault="00503A41" w:rsidP="00424C28">
            <w:pPr>
              <w:rPr>
                <w:rFonts w:ascii="Arial" w:hAnsi="Arial" w:cs="Arial"/>
                <w:sz w:val="18"/>
                <w:lang w:val="es-ES"/>
              </w:rPr>
            </w:pPr>
            <w:r w:rsidRPr="00993936">
              <w:rPr>
                <w:rFonts w:ascii="Arial" w:hAnsi="Arial" w:cs="Arial"/>
                <w:sz w:val="18"/>
                <w:lang w:val="es-ES"/>
              </w:rPr>
              <w:t>En prefloración en caso de fuerte afectación el año anterior</w:t>
            </w:r>
          </w:p>
        </w:tc>
        <w:tc>
          <w:tcPr>
            <w:tcW w:w="3729" w:type="dxa"/>
            <w:vAlign w:val="center"/>
          </w:tcPr>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Polisulfuro de calcio</w:t>
            </w:r>
          </w:p>
        </w:tc>
        <w:tc>
          <w:tcPr>
            <w:tcW w:w="3343" w:type="dxa"/>
            <w:vMerge w:val="restart"/>
            <w:vAlign w:val="center"/>
          </w:tcPr>
          <w:p w:rsidR="00503A41" w:rsidRPr="00993936" w:rsidRDefault="00503A41" w:rsidP="009D1A2D">
            <w:pPr>
              <w:numPr>
                <w:ilvl w:val="0"/>
                <w:numId w:val="132"/>
              </w:numPr>
              <w:spacing w:after="0" w:line="240" w:lineRule="auto"/>
              <w:rPr>
                <w:rFonts w:ascii="Arial" w:hAnsi="Arial" w:cs="Arial"/>
                <w:sz w:val="18"/>
                <w:lang w:val="es-ES"/>
              </w:rPr>
            </w:pPr>
            <w:r w:rsidRPr="00993936">
              <w:rPr>
                <w:rFonts w:ascii="Arial" w:hAnsi="Arial" w:cs="Arial"/>
                <w:sz w:val="18"/>
                <w:lang w:val="es-ES"/>
              </w:rPr>
              <w:t>Máximo: 2 tratamientos /año</w:t>
            </w:r>
          </w:p>
          <w:p w:rsidR="00503A41" w:rsidRPr="00993936" w:rsidRDefault="00503A41" w:rsidP="009D1A2D">
            <w:pPr>
              <w:pStyle w:val="Textoindependiente"/>
              <w:numPr>
                <w:ilvl w:val="0"/>
                <w:numId w:val="132"/>
              </w:numPr>
              <w:rPr>
                <w:rFonts w:cs="Arial"/>
                <w:sz w:val="18"/>
                <w:lang w:val="es-ES"/>
              </w:rPr>
            </w:pPr>
            <w:r w:rsidRPr="00993936">
              <w:rPr>
                <w:rFonts w:cs="Arial"/>
                <w:sz w:val="18"/>
                <w:lang w:val="es-ES"/>
              </w:rPr>
              <w:t>Utilizar sólo formulaciones que no sean de clasificación toxicológica T</w:t>
            </w:r>
          </w:p>
          <w:p w:rsidR="00503A41" w:rsidRPr="00993936" w:rsidRDefault="00503A41" w:rsidP="00424C28">
            <w:pPr>
              <w:ind w:left="360"/>
              <w:rPr>
                <w:rFonts w:ascii="Arial" w:hAnsi="Arial" w:cs="Arial"/>
                <w:sz w:val="18"/>
                <w:lang w:val="es-ES"/>
              </w:rPr>
            </w:pPr>
          </w:p>
        </w:tc>
      </w:tr>
      <w:tr w:rsidR="00503A41" w:rsidRPr="00993936" w:rsidTr="00424C28">
        <w:trPr>
          <w:cantSplit/>
          <w:jc w:val="center"/>
        </w:trPr>
        <w:tc>
          <w:tcPr>
            <w:tcW w:w="3338" w:type="dxa"/>
            <w:vMerge/>
            <w:vAlign w:val="center"/>
          </w:tcPr>
          <w:p w:rsidR="00503A41" w:rsidRPr="00993936" w:rsidRDefault="00503A41" w:rsidP="00424C28">
            <w:pPr>
              <w:pStyle w:val="Encabezado"/>
              <w:tabs>
                <w:tab w:val="clear" w:pos="4252"/>
                <w:tab w:val="clear" w:pos="8504"/>
              </w:tabs>
              <w:rPr>
                <w:rFonts w:ascii="Arial" w:hAnsi="Arial" w:cs="Arial"/>
                <w:lang w:val="es-ES"/>
              </w:rPr>
            </w:pPr>
          </w:p>
        </w:tc>
        <w:tc>
          <w:tcPr>
            <w:tcW w:w="3536" w:type="dxa"/>
            <w:vAlign w:val="center"/>
          </w:tcPr>
          <w:p w:rsidR="00503A41" w:rsidRPr="00993936" w:rsidRDefault="00503A41" w:rsidP="00424C28">
            <w:pPr>
              <w:rPr>
                <w:rFonts w:ascii="Arial" w:hAnsi="Arial" w:cs="Arial"/>
                <w:sz w:val="18"/>
                <w:lang w:val="es-ES"/>
              </w:rPr>
            </w:pPr>
            <w:r w:rsidRPr="00993936">
              <w:rPr>
                <w:rFonts w:ascii="Arial" w:hAnsi="Arial" w:cs="Arial"/>
                <w:sz w:val="18"/>
                <w:lang w:val="es-ES"/>
              </w:rPr>
              <w:t>25% de hojas exteriores y no inferiores ocupadas</w:t>
            </w:r>
          </w:p>
        </w:tc>
        <w:tc>
          <w:tcPr>
            <w:tcW w:w="3729" w:type="dxa"/>
            <w:vAlign w:val="center"/>
          </w:tcPr>
          <w:p w:rsidR="00503A41" w:rsidRPr="00993936" w:rsidRDefault="00503A41" w:rsidP="00424C28">
            <w:pPr>
              <w:rPr>
                <w:rFonts w:ascii="Arial" w:hAnsi="Arial" w:cs="Arial"/>
                <w:i/>
                <w:snapToGrid w:val="0"/>
                <w:sz w:val="16"/>
                <w:szCs w:val="16"/>
                <w:lang w:val="es-ES"/>
              </w:rPr>
            </w:pPr>
            <w:r w:rsidRPr="00993936">
              <w:rPr>
                <w:rFonts w:ascii="Arial" w:hAnsi="Arial" w:cs="Arial"/>
                <w:sz w:val="18"/>
                <w:szCs w:val="18"/>
                <w:lang w:val="es-ES"/>
              </w:rPr>
              <w:t xml:space="preserve">Hexitiazox </w:t>
            </w:r>
          </w:p>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Azufre</w:t>
            </w:r>
          </w:p>
        </w:tc>
        <w:tc>
          <w:tcPr>
            <w:tcW w:w="3343" w:type="dxa"/>
            <w:vMerge/>
            <w:vAlign w:val="center"/>
          </w:tcPr>
          <w:p w:rsidR="00503A41" w:rsidRPr="00993936" w:rsidRDefault="00503A41" w:rsidP="009D1A2D">
            <w:pPr>
              <w:pStyle w:val="Textoindependiente"/>
              <w:numPr>
                <w:ilvl w:val="0"/>
                <w:numId w:val="132"/>
              </w:numPr>
              <w:rPr>
                <w:rFonts w:cs="Arial"/>
                <w:sz w:val="18"/>
                <w:lang w:val="es-ES"/>
              </w:rPr>
            </w:pPr>
          </w:p>
        </w:tc>
      </w:tr>
      <w:tr w:rsidR="00503A41" w:rsidRPr="00993936" w:rsidTr="00424C28">
        <w:trPr>
          <w:cantSplit/>
          <w:jc w:val="center"/>
        </w:trPr>
        <w:tc>
          <w:tcPr>
            <w:tcW w:w="3338" w:type="dxa"/>
            <w:vMerge w:val="restart"/>
            <w:vAlign w:val="center"/>
          </w:tcPr>
          <w:p w:rsidR="00503A41" w:rsidRPr="00993936" w:rsidRDefault="00503A41" w:rsidP="00424C28">
            <w:pPr>
              <w:pStyle w:val="Encabezado"/>
              <w:tabs>
                <w:tab w:val="clear" w:pos="4252"/>
                <w:tab w:val="clear" w:pos="8504"/>
              </w:tabs>
              <w:rPr>
                <w:rFonts w:ascii="Arial" w:hAnsi="Arial" w:cs="Arial"/>
                <w:b/>
                <w:lang w:val="es-ES"/>
              </w:rPr>
            </w:pPr>
            <w:r w:rsidRPr="00993936">
              <w:rPr>
                <w:rFonts w:ascii="Arial" w:hAnsi="Arial" w:cs="Arial"/>
                <w:b/>
                <w:lang w:val="es-ES"/>
              </w:rPr>
              <w:t>Araña amarilla</w:t>
            </w:r>
          </w:p>
          <w:p w:rsidR="00503A41" w:rsidRPr="00993936" w:rsidRDefault="00503A41" w:rsidP="00424C28">
            <w:pPr>
              <w:pStyle w:val="Encabezado"/>
              <w:rPr>
                <w:rFonts w:ascii="Arial" w:hAnsi="Arial" w:cs="Arial"/>
                <w:b/>
                <w:lang w:val="es-ES"/>
              </w:rPr>
            </w:pPr>
            <w:r w:rsidRPr="00993936">
              <w:rPr>
                <w:rFonts w:ascii="Arial" w:hAnsi="Arial" w:cs="Arial"/>
                <w:i/>
                <w:lang w:val="es-ES"/>
              </w:rPr>
              <w:t>Tetranychus urticae, Eotetranychus carpinii</w:t>
            </w:r>
          </w:p>
        </w:tc>
        <w:tc>
          <w:tcPr>
            <w:tcW w:w="3536" w:type="dxa"/>
            <w:vAlign w:val="center"/>
          </w:tcPr>
          <w:p w:rsidR="00503A41" w:rsidRPr="00993936" w:rsidRDefault="00503A41" w:rsidP="00424C28">
            <w:pPr>
              <w:rPr>
                <w:rFonts w:ascii="Arial" w:hAnsi="Arial" w:cs="Arial"/>
                <w:sz w:val="18"/>
                <w:lang w:val="es-ES"/>
              </w:rPr>
            </w:pPr>
            <w:r w:rsidRPr="00993936">
              <w:rPr>
                <w:rFonts w:ascii="Arial" w:hAnsi="Arial" w:cs="Arial"/>
                <w:sz w:val="18"/>
                <w:lang w:val="es-ES"/>
              </w:rPr>
              <w:t>En prefloración en caso de fuerte afectación el año anterior</w:t>
            </w:r>
          </w:p>
        </w:tc>
        <w:tc>
          <w:tcPr>
            <w:tcW w:w="3729" w:type="dxa"/>
            <w:vAlign w:val="center"/>
          </w:tcPr>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Polisulfuro de calcio</w:t>
            </w:r>
          </w:p>
          <w:p w:rsidR="00503A41" w:rsidRPr="00993936" w:rsidRDefault="00503A41" w:rsidP="00424C28">
            <w:pPr>
              <w:rPr>
                <w:rFonts w:ascii="Arial" w:hAnsi="Arial" w:cs="Arial"/>
                <w:sz w:val="18"/>
                <w:szCs w:val="18"/>
                <w:lang w:val="es-ES"/>
              </w:rPr>
            </w:pPr>
          </w:p>
        </w:tc>
        <w:tc>
          <w:tcPr>
            <w:tcW w:w="3343" w:type="dxa"/>
            <w:vMerge/>
          </w:tcPr>
          <w:p w:rsidR="00503A41" w:rsidRPr="00993936" w:rsidRDefault="00503A41" w:rsidP="00424C28">
            <w:pPr>
              <w:rPr>
                <w:rFonts w:ascii="Arial" w:hAnsi="Arial" w:cs="Arial"/>
                <w:sz w:val="18"/>
                <w:lang w:val="es-ES"/>
              </w:rPr>
            </w:pPr>
          </w:p>
        </w:tc>
      </w:tr>
      <w:tr w:rsidR="00503A41" w:rsidRPr="00993936" w:rsidTr="00424C28">
        <w:trPr>
          <w:cantSplit/>
          <w:jc w:val="center"/>
        </w:trPr>
        <w:tc>
          <w:tcPr>
            <w:tcW w:w="3338" w:type="dxa"/>
            <w:vMerge/>
            <w:vAlign w:val="center"/>
          </w:tcPr>
          <w:p w:rsidR="00503A41" w:rsidRPr="00993936" w:rsidRDefault="00503A41" w:rsidP="00424C28">
            <w:pPr>
              <w:pStyle w:val="Encabezado"/>
              <w:tabs>
                <w:tab w:val="clear" w:pos="4252"/>
                <w:tab w:val="clear" w:pos="8504"/>
              </w:tabs>
              <w:rPr>
                <w:rFonts w:ascii="Arial" w:hAnsi="Arial" w:cs="Arial"/>
                <w:i/>
                <w:lang w:val="es-ES"/>
              </w:rPr>
            </w:pPr>
          </w:p>
        </w:tc>
        <w:tc>
          <w:tcPr>
            <w:tcW w:w="3536" w:type="dxa"/>
            <w:vAlign w:val="center"/>
          </w:tcPr>
          <w:p w:rsidR="00503A41" w:rsidRPr="00993936" w:rsidRDefault="00503A41" w:rsidP="00424C28">
            <w:pPr>
              <w:rPr>
                <w:rFonts w:ascii="Arial" w:hAnsi="Arial" w:cs="Arial"/>
                <w:sz w:val="18"/>
                <w:lang w:val="es-ES"/>
              </w:rPr>
            </w:pPr>
            <w:r w:rsidRPr="00993936">
              <w:rPr>
                <w:rFonts w:ascii="Arial" w:hAnsi="Arial" w:cs="Arial"/>
                <w:sz w:val="18"/>
                <w:lang w:val="es-ES"/>
              </w:rPr>
              <w:t>10% de hojas interiores inferiores ocupades con más de 7 tetraniquidos/fitoseido</w:t>
            </w:r>
          </w:p>
          <w:p w:rsidR="00503A41" w:rsidRPr="00993936" w:rsidRDefault="00503A41" w:rsidP="00424C28">
            <w:pPr>
              <w:rPr>
                <w:rFonts w:ascii="Arial" w:hAnsi="Arial" w:cs="Arial"/>
                <w:sz w:val="18"/>
                <w:lang w:val="es-ES"/>
              </w:rPr>
            </w:pPr>
          </w:p>
        </w:tc>
        <w:tc>
          <w:tcPr>
            <w:tcW w:w="3729" w:type="dxa"/>
            <w:vAlign w:val="center"/>
          </w:tcPr>
          <w:p w:rsidR="00503A41" w:rsidRPr="00993936" w:rsidRDefault="00503A41" w:rsidP="00424C28">
            <w:pPr>
              <w:rPr>
                <w:rFonts w:ascii="Arial" w:hAnsi="Arial" w:cs="Arial"/>
                <w:i/>
                <w:snapToGrid w:val="0"/>
                <w:sz w:val="16"/>
                <w:szCs w:val="16"/>
                <w:lang w:val="es-ES"/>
              </w:rPr>
            </w:pPr>
            <w:r w:rsidRPr="00993936">
              <w:rPr>
                <w:rFonts w:ascii="Arial" w:hAnsi="Arial" w:cs="Arial"/>
                <w:sz w:val="18"/>
                <w:szCs w:val="18"/>
                <w:lang w:val="es-ES"/>
              </w:rPr>
              <w:t xml:space="preserve">Hexitiazox </w:t>
            </w:r>
          </w:p>
          <w:p w:rsidR="00503A41" w:rsidRPr="00993936" w:rsidRDefault="00503A41" w:rsidP="00424C28">
            <w:pPr>
              <w:rPr>
                <w:rFonts w:ascii="Arial" w:hAnsi="Arial" w:cs="Arial"/>
                <w:sz w:val="18"/>
                <w:szCs w:val="18"/>
                <w:lang w:val="es-ES"/>
              </w:rPr>
            </w:pPr>
            <w:r w:rsidRPr="00993936">
              <w:rPr>
                <w:rFonts w:ascii="Arial" w:hAnsi="Arial" w:cs="Arial"/>
                <w:sz w:val="18"/>
                <w:szCs w:val="18"/>
                <w:lang w:val="es-ES"/>
              </w:rPr>
              <w:t>Azufre</w:t>
            </w:r>
          </w:p>
        </w:tc>
        <w:tc>
          <w:tcPr>
            <w:tcW w:w="3343" w:type="dxa"/>
            <w:vMerge/>
          </w:tcPr>
          <w:p w:rsidR="00503A41" w:rsidRPr="00993936" w:rsidRDefault="00503A41" w:rsidP="00424C28">
            <w:pPr>
              <w:rPr>
                <w:rFonts w:ascii="Arial" w:hAnsi="Arial" w:cs="Arial"/>
                <w:sz w:val="18"/>
                <w:lang w:val="es-ES"/>
              </w:rPr>
            </w:pPr>
          </w:p>
        </w:tc>
      </w:tr>
      <w:tr w:rsidR="00503A41" w:rsidRPr="00993936" w:rsidTr="00424C28">
        <w:trPr>
          <w:cantSplit/>
          <w:jc w:val="center"/>
        </w:trPr>
        <w:tc>
          <w:tcPr>
            <w:tcW w:w="3338" w:type="dxa"/>
            <w:vAlign w:val="center"/>
          </w:tcPr>
          <w:p w:rsidR="00503A41" w:rsidRPr="00993936" w:rsidRDefault="00503A41" w:rsidP="00424C28">
            <w:pPr>
              <w:pStyle w:val="Ttulo1"/>
              <w:rPr>
                <w:rFonts w:ascii="Arial" w:hAnsi="Arial" w:cs="Arial"/>
                <w:b/>
                <w:color w:val="auto"/>
                <w:sz w:val="22"/>
                <w:szCs w:val="22"/>
              </w:rPr>
            </w:pPr>
            <w:r w:rsidRPr="00993936">
              <w:rPr>
                <w:rFonts w:ascii="Arial" w:hAnsi="Arial" w:cs="Arial"/>
                <w:b/>
                <w:color w:val="auto"/>
                <w:sz w:val="22"/>
                <w:szCs w:val="22"/>
              </w:rPr>
              <w:t>Badoc</w:t>
            </w:r>
          </w:p>
          <w:p w:rsidR="00503A41" w:rsidRPr="00993936" w:rsidRDefault="00503A41" w:rsidP="00424C28">
            <w:pPr>
              <w:rPr>
                <w:rFonts w:ascii="Arial" w:hAnsi="Arial" w:cs="Arial"/>
                <w:lang w:val="es-ES"/>
              </w:rPr>
            </w:pPr>
            <w:r w:rsidRPr="00993936">
              <w:rPr>
                <w:rFonts w:ascii="Arial" w:hAnsi="Arial" w:cs="Arial"/>
                <w:i/>
                <w:lang w:val="es-ES"/>
              </w:rPr>
              <w:t>Phytoptus avellanae</w:t>
            </w:r>
          </w:p>
        </w:tc>
        <w:tc>
          <w:tcPr>
            <w:tcW w:w="3536" w:type="dxa"/>
            <w:vAlign w:val="center"/>
          </w:tcPr>
          <w:p w:rsidR="00503A41" w:rsidRPr="00993936" w:rsidRDefault="00503A41" w:rsidP="00424C28">
            <w:pPr>
              <w:rPr>
                <w:rFonts w:ascii="Arial" w:hAnsi="Arial" w:cs="Arial"/>
                <w:sz w:val="18"/>
                <w:lang w:val="es-ES"/>
              </w:rPr>
            </w:pPr>
            <w:r w:rsidRPr="00993936">
              <w:rPr>
                <w:rFonts w:ascii="Arial" w:hAnsi="Arial" w:cs="Arial"/>
                <w:sz w:val="18"/>
                <w:lang w:val="es-ES"/>
              </w:rPr>
              <w:t>15% de yemas afectados</w:t>
            </w:r>
          </w:p>
        </w:tc>
        <w:tc>
          <w:tcPr>
            <w:tcW w:w="3729" w:type="dxa"/>
            <w:vAlign w:val="center"/>
          </w:tcPr>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Clorpirifos</w:t>
            </w:r>
          </w:p>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Polisulfuro de calcio</w:t>
            </w:r>
          </w:p>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Azufre</w:t>
            </w:r>
          </w:p>
        </w:tc>
        <w:tc>
          <w:tcPr>
            <w:tcW w:w="3343" w:type="dxa"/>
            <w:vMerge/>
          </w:tcPr>
          <w:p w:rsidR="00503A41" w:rsidRPr="00993936" w:rsidRDefault="00503A41" w:rsidP="00424C28">
            <w:pPr>
              <w:rPr>
                <w:rFonts w:ascii="Arial" w:hAnsi="Arial" w:cs="Arial"/>
                <w:sz w:val="18"/>
                <w:lang w:val="es-ES"/>
              </w:rPr>
            </w:pPr>
          </w:p>
        </w:tc>
      </w:tr>
    </w:tbl>
    <w:p w:rsidR="00503A41" w:rsidRPr="00993936" w:rsidRDefault="00503A41" w:rsidP="00424C28">
      <w:pPr>
        <w:spacing w:before="120"/>
        <w:jc w:val="both"/>
        <w:rPr>
          <w:rFonts w:ascii="Arial" w:hAnsi="Arial" w:cs="Arial"/>
          <w:lang w:val="es-ES"/>
        </w:rPr>
      </w:pPr>
    </w:p>
    <w:p w:rsidR="00503A41" w:rsidRPr="00993936" w:rsidRDefault="00503A41" w:rsidP="00424C28">
      <w:pPr>
        <w:spacing w:before="120"/>
        <w:jc w:val="both"/>
        <w:rPr>
          <w:rFonts w:ascii="Arial" w:hAnsi="Arial" w:cs="Arial"/>
          <w:lang w:val="es-ES"/>
        </w:rPr>
        <w:sectPr w:rsidR="00503A41" w:rsidRPr="00993936" w:rsidSect="00424C28">
          <w:pgSz w:w="16840" w:h="11907" w:orient="landscape" w:code="9"/>
          <w:pgMar w:top="1418" w:right="1701" w:bottom="1701" w:left="1418" w:header="709" w:footer="709" w:gutter="0"/>
          <w:cols w:space="708"/>
        </w:sectPr>
      </w:pPr>
    </w:p>
    <w:p w:rsidR="00503A41" w:rsidRPr="00993936" w:rsidRDefault="00503A41" w:rsidP="00424C28">
      <w:pPr>
        <w:spacing w:before="120"/>
        <w:jc w:val="both"/>
        <w:rPr>
          <w:rFonts w:ascii="Arial" w:hAnsi="Arial" w:cs="Arial"/>
          <w:b/>
          <w:lang w:val="es-ES"/>
        </w:rPr>
      </w:pPr>
      <w:r w:rsidRPr="00993936">
        <w:rPr>
          <w:rFonts w:ascii="Arial" w:hAnsi="Arial" w:cs="Arial"/>
          <w:b/>
          <w:lang w:val="es-ES"/>
        </w:rPr>
        <w:lastRenderedPageBreak/>
        <w:t>2.2.3 Materias activas de acaricidas para la producción integrada de Frutos secos con indicación del código de resistencia IRAC</w:t>
      </w:r>
    </w:p>
    <w:p w:rsidR="00503A41" w:rsidRPr="00993936" w:rsidRDefault="00503A41" w:rsidP="00424C28">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75"/>
        <w:gridCol w:w="4576"/>
      </w:tblGrid>
      <w:tr w:rsidR="00503A41" w:rsidRPr="00993936" w:rsidTr="00424C28">
        <w:trPr>
          <w:trHeight w:val="393"/>
        </w:trPr>
        <w:tc>
          <w:tcPr>
            <w:tcW w:w="5000" w:type="pct"/>
            <w:gridSpan w:val="2"/>
            <w:shd w:val="solid" w:color="C0C0C0" w:fill="auto"/>
            <w:vAlign w:val="center"/>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TIPO DE ACARICIDAS</w:t>
            </w:r>
          </w:p>
        </w:tc>
      </w:tr>
      <w:tr w:rsidR="00503A41" w:rsidRPr="00993936" w:rsidTr="00424C28">
        <w:trPr>
          <w:trHeight w:val="270"/>
        </w:trPr>
        <w:tc>
          <w:tcPr>
            <w:tcW w:w="2500" w:type="pct"/>
            <w:vMerge w:val="restart"/>
            <w:shd w:val="solid" w:color="C0C0C0" w:fill="auto"/>
            <w:vAlign w:val="center"/>
          </w:tcPr>
          <w:p w:rsidR="00503A41" w:rsidRPr="00993936" w:rsidRDefault="00503A41" w:rsidP="00424C28">
            <w:pPr>
              <w:autoSpaceDE w:val="0"/>
              <w:autoSpaceDN w:val="0"/>
              <w:adjustRightInd w:val="0"/>
              <w:rPr>
                <w:rFonts w:ascii="Arial" w:hAnsi="Arial" w:cs="Arial"/>
                <w:b/>
                <w:bCs/>
                <w:sz w:val="18"/>
                <w:lang w:val="es-ES" w:eastAsia="ca-ES"/>
              </w:rPr>
            </w:pPr>
            <w:r w:rsidRPr="00993936">
              <w:rPr>
                <w:rFonts w:ascii="Arial" w:hAnsi="Arial" w:cs="Arial"/>
                <w:b/>
                <w:bCs/>
                <w:sz w:val="18"/>
                <w:lang w:val="es-ES" w:eastAsia="ca-ES"/>
              </w:rPr>
              <w:t xml:space="preserve">Materia activa </w:t>
            </w:r>
          </w:p>
        </w:tc>
        <w:tc>
          <w:tcPr>
            <w:tcW w:w="2500" w:type="pct"/>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Indicación del código de resistencia</w:t>
            </w:r>
          </w:p>
        </w:tc>
      </w:tr>
      <w:tr w:rsidR="00503A41" w:rsidRPr="00993936" w:rsidTr="00424C28">
        <w:trPr>
          <w:trHeight w:val="270"/>
        </w:trPr>
        <w:tc>
          <w:tcPr>
            <w:tcW w:w="2500" w:type="pct"/>
            <w:vMerge/>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p>
        </w:tc>
        <w:tc>
          <w:tcPr>
            <w:tcW w:w="2500" w:type="pct"/>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IRAC (*)</w:t>
            </w:r>
          </w:p>
        </w:tc>
      </w:tr>
      <w:tr w:rsidR="00503A41" w:rsidRPr="00993936" w:rsidTr="00424C28">
        <w:trPr>
          <w:trHeight w:val="270"/>
        </w:trPr>
        <w:tc>
          <w:tcPr>
            <w:tcW w:w="2500" w:type="pct"/>
            <w:shd w:val="solid" w:color="FFFFFF" w:fill="auto"/>
          </w:tcPr>
          <w:p w:rsidR="00503A41" w:rsidRPr="00993936" w:rsidRDefault="00503A41" w:rsidP="001D205D">
            <w:pPr>
              <w:autoSpaceDE w:val="0"/>
              <w:autoSpaceDN w:val="0"/>
              <w:adjustRightInd w:val="0"/>
              <w:rPr>
                <w:rFonts w:ascii="Arial" w:hAnsi="Arial" w:cs="Arial"/>
                <w:sz w:val="20"/>
                <w:lang w:val="es-ES" w:eastAsia="ca-ES"/>
              </w:rPr>
            </w:pPr>
            <w:r w:rsidRPr="00993936">
              <w:rPr>
                <w:rFonts w:ascii="Arial" w:hAnsi="Arial" w:cs="Arial"/>
                <w:sz w:val="20"/>
                <w:lang w:val="es-ES" w:eastAsia="ca-ES"/>
              </w:rPr>
              <w:t>Clorpirifos</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1B</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Hexitiazox</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10A</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Polisulfuro de calcio</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Azufre</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M2</w:t>
            </w:r>
          </w:p>
        </w:tc>
      </w:tr>
      <w:tr w:rsidR="00503A41" w:rsidRPr="00993936" w:rsidTr="00424C28">
        <w:trPr>
          <w:trHeight w:val="270"/>
        </w:trPr>
        <w:tc>
          <w:tcPr>
            <w:tcW w:w="5000" w:type="pct"/>
            <w:gridSpan w:val="2"/>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18"/>
                <w:lang w:val="es-ES" w:eastAsia="ca-ES"/>
              </w:rPr>
              <w:t>Para evitar la aparición de resistencias alternar el uso de materias activas que presenten códigos de resistencia (IRAC) diferentes</w:t>
            </w:r>
          </w:p>
        </w:tc>
      </w:tr>
      <w:tr w:rsidR="00503A41" w:rsidRPr="00993936" w:rsidTr="00424C28">
        <w:trPr>
          <w:trHeight w:val="270"/>
        </w:trPr>
        <w:tc>
          <w:tcPr>
            <w:tcW w:w="5000" w:type="pct"/>
            <w:gridSpan w:val="2"/>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18"/>
                <w:lang w:val="es-ES" w:eastAsia="ca-ES"/>
              </w:rPr>
              <w:t>(*) Fuente: Comité de Acción de Resistencia en Insecticidas</w:t>
            </w:r>
          </w:p>
        </w:tc>
      </w:tr>
    </w:tbl>
    <w:p w:rsidR="00503A41" w:rsidRPr="00993936" w:rsidRDefault="00503A41" w:rsidP="00424C28">
      <w:pPr>
        <w:jc w:val="both"/>
        <w:rPr>
          <w:rFonts w:ascii="Arial" w:hAnsi="Arial" w:cs="Arial"/>
          <w:b/>
          <w:snapToGrid w:val="0"/>
          <w:lang w:val="es-ES"/>
        </w:rPr>
      </w:pPr>
    </w:p>
    <w:p w:rsidR="00503A41" w:rsidRPr="00993936" w:rsidRDefault="00503A41" w:rsidP="00424C28">
      <w:pPr>
        <w:jc w:val="both"/>
        <w:rPr>
          <w:rFonts w:ascii="Arial" w:hAnsi="Arial" w:cs="Arial"/>
          <w:b/>
          <w:snapToGrid w:val="0"/>
          <w:lang w:val="es-ES"/>
        </w:rPr>
      </w:pPr>
      <w:r w:rsidRPr="00993936">
        <w:rPr>
          <w:rFonts w:ascii="Arial" w:hAnsi="Arial" w:cs="Arial"/>
          <w:b/>
          <w:snapToGrid w:val="0"/>
          <w:lang w:val="es-ES"/>
        </w:rPr>
        <w:t>2.3 Materias activas de fungicidas para la Producción Integrada de frutos secos</w:t>
      </w:r>
    </w:p>
    <w:p w:rsidR="00503A41" w:rsidRPr="00993936" w:rsidRDefault="00503A41" w:rsidP="00424C28">
      <w:pPr>
        <w:jc w:val="both"/>
        <w:rPr>
          <w:rFonts w:ascii="Arial" w:hAnsi="Arial" w:cs="Arial"/>
          <w:b/>
          <w:snapToGrid w:val="0"/>
          <w:lang w:val="es-ES"/>
        </w:rPr>
      </w:pPr>
      <w:r w:rsidRPr="00993936">
        <w:rPr>
          <w:rFonts w:ascii="Arial" w:hAnsi="Arial" w:cs="Arial"/>
          <w:b/>
          <w:snapToGrid w:val="0"/>
          <w:lang w:val="es-ES"/>
        </w:rPr>
        <w:t xml:space="preserve">2.3.1 Almendro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3685"/>
        <w:gridCol w:w="2903"/>
      </w:tblGrid>
      <w:tr w:rsidR="00503A41" w:rsidRPr="00993936" w:rsidTr="00424C28">
        <w:tc>
          <w:tcPr>
            <w:tcW w:w="2552" w:type="dxa"/>
            <w:shd w:val="pct12"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ENFERMEDAD</w:t>
            </w:r>
          </w:p>
        </w:tc>
        <w:tc>
          <w:tcPr>
            <w:tcW w:w="3685" w:type="dxa"/>
            <w:shd w:val="pct12"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MATERIA ACTIVA</w:t>
            </w:r>
          </w:p>
        </w:tc>
        <w:tc>
          <w:tcPr>
            <w:tcW w:w="2903" w:type="dxa"/>
            <w:shd w:val="pct12"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RESTRICCIONES</w:t>
            </w:r>
          </w:p>
        </w:tc>
      </w:tr>
      <w:tr w:rsidR="00503A41" w:rsidRPr="00993936" w:rsidTr="00424C28">
        <w:trPr>
          <w:cantSplit/>
        </w:trPr>
        <w:tc>
          <w:tcPr>
            <w:tcW w:w="2552" w:type="dxa"/>
            <w:vAlign w:val="center"/>
          </w:tcPr>
          <w:p w:rsidR="00503A41" w:rsidRPr="00993936" w:rsidRDefault="00503A41" w:rsidP="001D205D">
            <w:pPr>
              <w:pStyle w:val="Sinespaciado"/>
              <w:rPr>
                <w:rFonts w:ascii="Arial" w:hAnsi="Arial" w:cs="Arial"/>
                <w:b/>
                <w:sz w:val="18"/>
                <w:szCs w:val="18"/>
                <w:lang w:val="es-ES"/>
              </w:rPr>
            </w:pPr>
            <w:r w:rsidRPr="00993936">
              <w:rPr>
                <w:rFonts w:ascii="Arial" w:hAnsi="Arial" w:cs="Arial"/>
                <w:b/>
                <w:sz w:val="18"/>
                <w:szCs w:val="18"/>
                <w:lang w:val="es-ES"/>
              </w:rPr>
              <w:t>Brote seco</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i/>
                <w:sz w:val="18"/>
                <w:szCs w:val="18"/>
                <w:lang w:val="es-ES"/>
              </w:rPr>
              <w:t>Fusicoccum amygdali</w:t>
            </w:r>
          </w:p>
        </w:tc>
        <w:tc>
          <w:tcPr>
            <w:tcW w:w="3685" w:type="dxa"/>
            <w:vAlign w:val="center"/>
          </w:tcPr>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Folpet</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Metil-tiofanato</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Óxido cuproso</w:t>
            </w:r>
          </w:p>
          <w:p w:rsidR="00503A41" w:rsidRPr="00993936" w:rsidRDefault="00503A41" w:rsidP="001D205D">
            <w:pPr>
              <w:pStyle w:val="Sinespaciado"/>
              <w:rPr>
                <w:rFonts w:ascii="Arial" w:hAnsi="Arial" w:cs="Arial"/>
                <w:snapToGrid w:val="0"/>
                <w:sz w:val="18"/>
                <w:szCs w:val="18"/>
                <w:lang w:val="es-ES"/>
              </w:rPr>
            </w:pPr>
          </w:p>
        </w:tc>
        <w:tc>
          <w:tcPr>
            <w:tcW w:w="2903" w:type="dxa"/>
            <w:vMerge w:val="restart"/>
            <w:vAlign w:val="center"/>
          </w:tcPr>
          <w:p w:rsidR="00503A41" w:rsidRPr="00993936" w:rsidRDefault="00503A41" w:rsidP="001D205D">
            <w:pPr>
              <w:pStyle w:val="Sinespaciado"/>
              <w:rPr>
                <w:rFonts w:ascii="Arial" w:hAnsi="Arial" w:cs="Arial"/>
                <w:sz w:val="18"/>
                <w:szCs w:val="18"/>
                <w:lang w:val="es-ES"/>
              </w:rPr>
            </w:pPr>
            <w:r w:rsidRPr="00993936">
              <w:rPr>
                <w:rFonts w:ascii="Arial" w:hAnsi="Arial" w:cs="Arial"/>
                <w:sz w:val="18"/>
                <w:szCs w:val="18"/>
                <w:lang w:val="es-ES"/>
              </w:rPr>
              <w:t>Máximo: 2 tratamientos /año</w:t>
            </w:r>
          </w:p>
          <w:p w:rsidR="00503A41" w:rsidRPr="00993936" w:rsidRDefault="00503A41" w:rsidP="001D205D">
            <w:pPr>
              <w:pStyle w:val="Sinespaciado"/>
              <w:rPr>
                <w:rFonts w:ascii="Arial" w:hAnsi="Arial" w:cs="Arial"/>
                <w:sz w:val="18"/>
                <w:szCs w:val="18"/>
                <w:lang w:val="es-ES"/>
              </w:rPr>
            </w:pPr>
            <w:r w:rsidRPr="00993936">
              <w:rPr>
                <w:rFonts w:ascii="Arial" w:hAnsi="Arial" w:cs="Arial"/>
                <w:sz w:val="18"/>
                <w:szCs w:val="18"/>
                <w:lang w:val="es-ES"/>
              </w:rPr>
              <w:t>Utilizar sólo formulaciones que no sean de clasificación toxicológica T</w:t>
            </w:r>
          </w:p>
          <w:p w:rsidR="00503A41" w:rsidRPr="00993936" w:rsidRDefault="00503A41" w:rsidP="001D205D">
            <w:pPr>
              <w:pStyle w:val="Sinespaciado"/>
              <w:rPr>
                <w:rFonts w:ascii="Arial" w:hAnsi="Arial" w:cs="Arial"/>
                <w:sz w:val="18"/>
                <w:szCs w:val="18"/>
                <w:lang w:val="es-ES"/>
              </w:rPr>
            </w:pPr>
            <w:r w:rsidRPr="00993936">
              <w:rPr>
                <w:rFonts w:ascii="Arial" w:hAnsi="Arial" w:cs="Arial"/>
                <w:sz w:val="18"/>
                <w:szCs w:val="18"/>
                <w:lang w:val="es-ES"/>
              </w:rPr>
              <w:t>Tratamiento preventivo de otoño</w:t>
            </w:r>
          </w:p>
          <w:p w:rsidR="00503A41" w:rsidRPr="00993936" w:rsidRDefault="00503A41" w:rsidP="001D205D">
            <w:pPr>
              <w:pStyle w:val="Sinespaciado"/>
              <w:rPr>
                <w:rFonts w:ascii="Arial" w:hAnsi="Arial" w:cs="Arial"/>
                <w:sz w:val="18"/>
                <w:szCs w:val="18"/>
                <w:lang w:val="es-ES"/>
              </w:rPr>
            </w:pPr>
          </w:p>
        </w:tc>
      </w:tr>
      <w:tr w:rsidR="00503A41" w:rsidRPr="00993936" w:rsidTr="00424C28">
        <w:trPr>
          <w:cantSplit/>
        </w:trPr>
        <w:tc>
          <w:tcPr>
            <w:tcW w:w="2552" w:type="dxa"/>
            <w:vAlign w:val="center"/>
          </w:tcPr>
          <w:p w:rsidR="00503A41" w:rsidRPr="00993936" w:rsidRDefault="00503A41" w:rsidP="001D205D">
            <w:pPr>
              <w:pStyle w:val="Sinespaciado"/>
              <w:rPr>
                <w:rFonts w:ascii="Arial" w:hAnsi="Arial" w:cs="Arial"/>
                <w:b/>
                <w:sz w:val="18"/>
                <w:szCs w:val="18"/>
                <w:lang w:val="es-ES"/>
              </w:rPr>
            </w:pPr>
            <w:r w:rsidRPr="00993936">
              <w:rPr>
                <w:rFonts w:ascii="Arial" w:hAnsi="Arial" w:cs="Arial"/>
                <w:b/>
                <w:sz w:val="18"/>
                <w:szCs w:val="18"/>
                <w:lang w:val="es-ES"/>
              </w:rPr>
              <w:t>Abolladura</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i/>
                <w:sz w:val="18"/>
                <w:szCs w:val="18"/>
                <w:lang w:val="es-ES"/>
              </w:rPr>
              <w:t>Taphrina deformans</w:t>
            </w:r>
          </w:p>
        </w:tc>
        <w:tc>
          <w:tcPr>
            <w:tcW w:w="3685" w:type="dxa"/>
          </w:tcPr>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Folpet</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Oxicloruro de cobre</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Óxido cuproso</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Piraclostrobín + Boscalida</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Sulfato cuprocálcico</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Sulfato tribásico de cobre</w:t>
            </w:r>
          </w:p>
        </w:tc>
        <w:tc>
          <w:tcPr>
            <w:tcW w:w="2903" w:type="dxa"/>
            <w:vMerge/>
          </w:tcPr>
          <w:p w:rsidR="00503A41" w:rsidRPr="00993936" w:rsidRDefault="00503A41" w:rsidP="001D205D">
            <w:pPr>
              <w:pStyle w:val="Sinespaciado"/>
              <w:rPr>
                <w:rFonts w:ascii="Arial" w:hAnsi="Arial" w:cs="Arial"/>
                <w:snapToGrid w:val="0"/>
                <w:sz w:val="18"/>
                <w:szCs w:val="18"/>
                <w:lang w:val="es-ES"/>
              </w:rPr>
            </w:pPr>
          </w:p>
        </w:tc>
      </w:tr>
      <w:tr w:rsidR="00503A41" w:rsidRPr="00993936" w:rsidTr="00424C28">
        <w:trPr>
          <w:cantSplit/>
        </w:trPr>
        <w:tc>
          <w:tcPr>
            <w:tcW w:w="2552" w:type="dxa"/>
            <w:vAlign w:val="center"/>
          </w:tcPr>
          <w:p w:rsidR="00503A41" w:rsidRPr="00993936" w:rsidRDefault="00503A41" w:rsidP="001D205D">
            <w:pPr>
              <w:pStyle w:val="Sinespaciado"/>
              <w:rPr>
                <w:rFonts w:ascii="Arial" w:hAnsi="Arial" w:cs="Arial"/>
                <w:b/>
                <w:sz w:val="18"/>
                <w:szCs w:val="18"/>
                <w:lang w:val="es-ES"/>
              </w:rPr>
            </w:pPr>
            <w:r w:rsidRPr="00993936">
              <w:rPr>
                <w:rFonts w:ascii="Arial" w:hAnsi="Arial" w:cs="Arial"/>
                <w:b/>
                <w:sz w:val="18"/>
                <w:szCs w:val="18"/>
                <w:lang w:val="es-ES"/>
              </w:rPr>
              <w:t>Cribado</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i/>
                <w:sz w:val="18"/>
                <w:szCs w:val="18"/>
                <w:lang w:val="es-ES"/>
              </w:rPr>
              <w:t>Stigmina carpophila</w:t>
            </w:r>
          </w:p>
        </w:tc>
        <w:tc>
          <w:tcPr>
            <w:tcW w:w="3685" w:type="dxa"/>
          </w:tcPr>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Folpet</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Metil-tiofanato</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Oxicloruro de cobre (3)</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Óxido cuproso (3)</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Piraclostrobín + Boscalida</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Sulfato cuprocálcico (3)</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Sulfato tribásico de cobre (3)</w:t>
            </w:r>
          </w:p>
        </w:tc>
        <w:tc>
          <w:tcPr>
            <w:tcW w:w="2903" w:type="dxa"/>
            <w:vMerge/>
          </w:tcPr>
          <w:p w:rsidR="00503A41" w:rsidRPr="00993936" w:rsidRDefault="00503A41" w:rsidP="001D205D">
            <w:pPr>
              <w:pStyle w:val="Sinespaciado"/>
              <w:rPr>
                <w:rFonts w:ascii="Arial" w:hAnsi="Arial" w:cs="Arial"/>
                <w:snapToGrid w:val="0"/>
                <w:sz w:val="18"/>
                <w:szCs w:val="18"/>
                <w:lang w:val="es-ES"/>
              </w:rPr>
            </w:pPr>
          </w:p>
        </w:tc>
      </w:tr>
      <w:tr w:rsidR="00503A41" w:rsidRPr="00993936" w:rsidTr="00424C28">
        <w:trPr>
          <w:cantSplit/>
        </w:trPr>
        <w:tc>
          <w:tcPr>
            <w:tcW w:w="2552" w:type="dxa"/>
            <w:vAlign w:val="center"/>
          </w:tcPr>
          <w:p w:rsidR="00503A41" w:rsidRPr="00993936" w:rsidRDefault="00503A41" w:rsidP="001D205D">
            <w:pPr>
              <w:pStyle w:val="Sinespaciado"/>
              <w:rPr>
                <w:rFonts w:ascii="Arial" w:hAnsi="Arial" w:cs="Arial"/>
                <w:b/>
                <w:sz w:val="18"/>
                <w:szCs w:val="18"/>
                <w:lang w:val="es-ES"/>
              </w:rPr>
            </w:pPr>
            <w:r w:rsidRPr="00993936">
              <w:rPr>
                <w:rFonts w:ascii="Arial" w:hAnsi="Arial" w:cs="Arial"/>
                <w:b/>
                <w:sz w:val="18"/>
                <w:szCs w:val="18"/>
                <w:lang w:val="es-ES"/>
              </w:rPr>
              <w:t>Monília</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i/>
                <w:sz w:val="18"/>
                <w:szCs w:val="18"/>
                <w:lang w:val="es-ES"/>
              </w:rPr>
              <w:t>Monilia laxa</w:t>
            </w:r>
          </w:p>
        </w:tc>
        <w:tc>
          <w:tcPr>
            <w:tcW w:w="3685" w:type="dxa"/>
          </w:tcPr>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Fenbuconazol</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 xml:space="preserve">Folpet </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Mancozeb</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Metil-tiofanato</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Oxicloruro de cobre (3)</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Óxido cuproso (3)</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Penconazol</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Piraclostrobín + Boscalida</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Sulfato cuprocálcico (3)</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Sulfato tribásico de cobre (3)</w:t>
            </w:r>
          </w:p>
        </w:tc>
        <w:tc>
          <w:tcPr>
            <w:tcW w:w="2903" w:type="dxa"/>
            <w:vMerge/>
          </w:tcPr>
          <w:p w:rsidR="00503A41" w:rsidRPr="00993936" w:rsidRDefault="00503A41" w:rsidP="001D205D">
            <w:pPr>
              <w:pStyle w:val="Sinespaciado"/>
              <w:rPr>
                <w:rFonts w:ascii="Arial" w:hAnsi="Arial" w:cs="Arial"/>
                <w:snapToGrid w:val="0"/>
                <w:sz w:val="18"/>
                <w:szCs w:val="18"/>
                <w:lang w:val="es-ES"/>
              </w:rPr>
            </w:pPr>
          </w:p>
        </w:tc>
      </w:tr>
      <w:tr w:rsidR="00503A41" w:rsidRPr="00993936" w:rsidTr="00424C28">
        <w:trPr>
          <w:cantSplit/>
        </w:trPr>
        <w:tc>
          <w:tcPr>
            <w:tcW w:w="2552" w:type="dxa"/>
            <w:vAlign w:val="center"/>
          </w:tcPr>
          <w:p w:rsidR="00503A41" w:rsidRPr="00993936" w:rsidRDefault="00503A41" w:rsidP="001D205D">
            <w:pPr>
              <w:pStyle w:val="Sinespaciado"/>
              <w:rPr>
                <w:rFonts w:ascii="Arial" w:hAnsi="Arial" w:cs="Arial"/>
                <w:b/>
                <w:sz w:val="18"/>
                <w:szCs w:val="18"/>
                <w:lang w:val="es-ES"/>
              </w:rPr>
            </w:pPr>
            <w:r w:rsidRPr="00993936">
              <w:rPr>
                <w:rFonts w:ascii="Arial" w:hAnsi="Arial" w:cs="Arial"/>
                <w:b/>
                <w:sz w:val="18"/>
                <w:szCs w:val="18"/>
                <w:lang w:val="es-ES"/>
              </w:rPr>
              <w:t>Mancha ocre</w:t>
            </w:r>
          </w:p>
          <w:p w:rsidR="00503A41" w:rsidRPr="00993936" w:rsidRDefault="00503A41" w:rsidP="001D205D">
            <w:pPr>
              <w:pStyle w:val="Sinespaciado"/>
              <w:rPr>
                <w:rFonts w:ascii="Arial" w:hAnsi="Arial" w:cs="Arial"/>
                <w:sz w:val="18"/>
                <w:szCs w:val="18"/>
                <w:lang w:val="es-ES"/>
              </w:rPr>
            </w:pPr>
            <w:r w:rsidRPr="00993936">
              <w:rPr>
                <w:rFonts w:ascii="Arial" w:hAnsi="Arial" w:cs="Arial"/>
                <w:i/>
                <w:sz w:val="18"/>
                <w:szCs w:val="18"/>
                <w:lang w:val="es-ES"/>
              </w:rPr>
              <w:t>Polystima ocraceum</w:t>
            </w:r>
          </w:p>
        </w:tc>
        <w:tc>
          <w:tcPr>
            <w:tcW w:w="3685" w:type="dxa"/>
          </w:tcPr>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Penconazol</w:t>
            </w:r>
          </w:p>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Tiram</w:t>
            </w:r>
          </w:p>
        </w:tc>
        <w:tc>
          <w:tcPr>
            <w:tcW w:w="2903" w:type="dxa"/>
            <w:vMerge/>
          </w:tcPr>
          <w:p w:rsidR="00503A41" w:rsidRPr="00993936" w:rsidRDefault="00503A41" w:rsidP="001D205D">
            <w:pPr>
              <w:pStyle w:val="Sinespaciado"/>
              <w:rPr>
                <w:rFonts w:ascii="Arial" w:hAnsi="Arial" w:cs="Arial"/>
                <w:snapToGrid w:val="0"/>
                <w:sz w:val="18"/>
                <w:szCs w:val="18"/>
                <w:lang w:val="es-ES"/>
              </w:rPr>
            </w:pPr>
          </w:p>
        </w:tc>
      </w:tr>
      <w:tr w:rsidR="00503A41" w:rsidRPr="00993936" w:rsidTr="00424C28">
        <w:trPr>
          <w:cantSplit/>
        </w:trPr>
        <w:tc>
          <w:tcPr>
            <w:tcW w:w="2552" w:type="dxa"/>
            <w:vAlign w:val="center"/>
          </w:tcPr>
          <w:p w:rsidR="00503A41" w:rsidRPr="00993936" w:rsidRDefault="00503A41" w:rsidP="001D205D">
            <w:pPr>
              <w:pStyle w:val="Sinespaciado"/>
              <w:rPr>
                <w:rFonts w:ascii="Arial" w:hAnsi="Arial" w:cs="Arial"/>
                <w:b/>
                <w:sz w:val="18"/>
                <w:szCs w:val="18"/>
                <w:lang w:val="es-ES"/>
              </w:rPr>
            </w:pPr>
            <w:r w:rsidRPr="00993936">
              <w:rPr>
                <w:rFonts w:ascii="Arial" w:hAnsi="Arial" w:cs="Arial"/>
                <w:b/>
                <w:sz w:val="18"/>
                <w:szCs w:val="18"/>
                <w:lang w:val="es-ES"/>
              </w:rPr>
              <w:t>Roya</w:t>
            </w:r>
          </w:p>
        </w:tc>
        <w:tc>
          <w:tcPr>
            <w:tcW w:w="3685" w:type="dxa"/>
          </w:tcPr>
          <w:p w:rsidR="00503A41" w:rsidRPr="00993936" w:rsidRDefault="00503A41" w:rsidP="001D205D">
            <w:pPr>
              <w:pStyle w:val="Sinespaciado"/>
              <w:rPr>
                <w:rFonts w:ascii="Arial" w:hAnsi="Arial" w:cs="Arial"/>
                <w:snapToGrid w:val="0"/>
                <w:sz w:val="18"/>
                <w:szCs w:val="18"/>
                <w:lang w:val="es-ES"/>
              </w:rPr>
            </w:pPr>
            <w:r w:rsidRPr="00993936">
              <w:rPr>
                <w:rFonts w:ascii="Arial" w:hAnsi="Arial" w:cs="Arial"/>
                <w:snapToGrid w:val="0"/>
                <w:sz w:val="18"/>
                <w:szCs w:val="18"/>
                <w:lang w:val="es-ES"/>
              </w:rPr>
              <w:t>Mancozeb</w:t>
            </w:r>
          </w:p>
        </w:tc>
        <w:tc>
          <w:tcPr>
            <w:tcW w:w="2903" w:type="dxa"/>
            <w:vMerge/>
          </w:tcPr>
          <w:p w:rsidR="00503A41" w:rsidRPr="00993936" w:rsidRDefault="00503A41" w:rsidP="001D205D">
            <w:pPr>
              <w:pStyle w:val="Sinespaciado"/>
              <w:rPr>
                <w:rFonts w:ascii="Arial" w:hAnsi="Arial" w:cs="Arial"/>
                <w:snapToGrid w:val="0"/>
                <w:sz w:val="18"/>
                <w:szCs w:val="18"/>
                <w:lang w:val="es-ES"/>
              </w:rPr>
            </w:pPr>
          </w:p>
        </w:tc>
      </w:tr>
    </w:tbl>
    <w:p w:rsidR="00503A41" w:rsidRPr="00993936" w:rsidRDefault="00503A41" w:rsidP="00424C28">
      <w:pPr>
        <w:rPr>
          <w:rFonts w:ascii="Arial" w:hAnsi="Arial" w:cs="Arial"/>
          <w:lang w:val="es-ES"/>
        </w:rPr>
      </w:pPr>
    </w:p>
    <w:p w:rsidR="00503A41" w:rsidRPr="00993936" w:rsidRDefault="00503A41" w:rsidP="00424C28">
      <w:pPr>
        <w:jc w:val="both"/>
        <w:rPr>
          <w:rFonts w:ascii="Arial" w:hAnsi="Arial" w:cs="Arial"/>
          <w:b/>
          <w:snapToGrid w:val="0"/>
          <w:lang w:val="es-ES"/>
        </w:rPr>
      </w:pPr>
      <w:r w:rsidRPr="00993936">
        <w:rPr>
          <w:rFonts w:ascii="Arial" w:hAnsi="Arial" w:cs="Arial"/>
          <w:b/>
          <w:snapToGrid w:val="0"/>
          <w:lang w:val="es-ES"/>
        </w:rPr>
        <w:lastRenderedPageBreak/>
        <w:t>2.3.2 Avellano</w:t>
      </w:r>
    </w:p>
    <w:p w:rsidR="00503A41" w:rsidRPr="00993936" w:rsidRDefault="00503A41" w:rsidP="00424C28">
      <w:pPr>
        <w:jc w:val="both"/>
        <w:rPr>
          <w:rFonts w:ascii="Arial" w:hAnsi="Arial" w:cs="Arial"/>
          <w:b/>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11"/>
        <w:gridCol w:w="3435"/>
      </w:tblGrid>
      <w:tr w:rsidR="00503A41" w:rsidRPr="00993936" w:rsidTr="00424C28">
        <w:trPr>
          <w:jc w:val="center"/>
        </w:trPr>
        <w:tc>
          <w:tcPr>
            <w:tcW w:w="2694"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ENFERMEDAD</w:t>
            </w:r>
          </w:p>
        </w:tc>
        <w:tc>
          <w:tcPr>
            <w:tcW w:w="3011"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MATERIA ACTIVA</w:t>
            </w:r>
          </w:p>
        </w:tc>
        <w:tc>
          <w:tcPr>
            <w:tcW w:w="3435"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RESTRICCIONES</w:t>
            </w:r>
          </w:p>
        </w:tc>
      </w:tr>
      <w:tr w:rsidR="00503A41" w:rsidRPr="00993936" w:rsidTr="00424C28">
        <w:trPr>
          <w:jc w:val="center"/>
        </w:trPr>
        <w:tc>
          <w:tcPr>
            <w:tcW w:w="2694" w:type="dxa"/>
            <w:vAlign w:val="center"/>
          </w:tcPr>
          <w:p w:rsidR="00503A41" w:rsidRPr="00993936" w:rsidRDefault="00503A41" w:rsidP="00424C28">
            <w:pPr>
              <w:pStyle w:val="Ttulo1"/>
              <w:rPr>
                <w:rFonts w:ascii="Arial" w:hAnsi="Arial" w:cs="Arial"/>
                <w:color w:val="auto"/>
                <w:sz w:val="18"/>
                <w:szCs w:val="18"/>
              </w:rPr>
            </w:pPr>
            <w:r w:rsidRPr="00993936">
              <w:rPr>
                <w:rFonts w:ascii="Arial" w:hAnsi="Arial" w:cs="Arial"/>
                <w:color w:val="auto"/>
                <w:sz w:val="18"/>
                <w:szCs w:val="18"/>
              </w:rPr>
              <w:t>Brote seco</w:t>
            </w:r>
          </w:p>
          <w:p w:rsidR="00503A41" w:rsidRPr="00993936" w:rsidRDefault="00503A41" w:rsidP="00424C28">
            <w:pPr>
              <w:rPr>
                <w:rFonts w:ascii="Arial" w:hAnsi="Arial" w:cs="Arial"/>
                <w:snapToGrid w:val="0"/>
                <w:sz w:val="18"/>
                <w:szCs w:val="18"/>
                <w:lang w:val="es-ES"/>
              </w:rPr>
            </w:pPr>
            <w:r w:rsidRPr="00993936">
              <w:rPr>
                <w:rFonts w:ascii="Arial" w:hAnsi="Arial" w:cs="Arial"/>
                <w:i/>
                <w:sz w:val="18"/>
                <w:szCs w:val="18"/>
                <w:lang w:val="es-ES"/>
              </w:rPr>
              <w:t>Cryptopsporiopsis coryli</w:t>
            </w:r>
          </w:p>
        </w:tc>
        <w:tc>
          <w:tcPr>
            <w:tcW w:w="3011" w:type="dxa"/>
            <w:vAlign w:val="center"/>
          </w:tcPr>
          <w:p w:rsidR="00503A41" w:rsidRPr="00993936" w:rsidRDefault="00503A41" w:rsidP="00424C28">
            <w:pPr>
              <w:rPr>
                <w:rFonts w:ascii="Arial" w:hAnsi="Arial" w:cs="Arial"/>
                <w:snapToGrid w:val="0"/>
                <w:sz w:val="18"/>
                <w:szCs w:val="18"/>
                <w:lang w:val="es-ES"/>
              </w:rPr>
            </w:pPr>
            <w:r w:rsidRPr="00993936">
              <w:rPr>
                <w:rFonts w:ascii="Arial" w:hAnsi="Arial" w:cs="Arial"/>
                <w:snapToGrid w:val="0"/>
                <w:sz w:val="18"/>
                <w:szCs w:val="18"/>
                <w:lang w:val="es-ES"/>
              </w:rPr>
              <w:t>Metil-tiofanato</w:t>
            </w:r>
          </w:p>
        </w:tc>
        <w:tc>
          <w:tcPr>
            <w:tcW w:w="3435" w:type="dxa"/>
            <w:vMerge w:val="restart"/>
            <w:vAlign w:val="center"/>
          </w:tcPr>
          <w:p w:rsidR="00503A41" w:rsidRPr="00993936" w:rsidRDefault="00503A41" w:rsidP="009D1A2D">
            <w:pPr>
              <w:numPr>
                <w:ilvl w:val="0"/>
                <w:numId w:val="134"/>
              </w:numPr>
              <w:spacing w:after="0" w:line="240" w:lineRule="auto"/>
              <w:rPr>
                <w:rFonts w:ascii="Arial" w:hAnsi="Arial" w:cs="Arial"/>
                <w:sz w:val="18"/>
                <w:szCs w:val="18"/>
                <w:lang w:val="es-ES"/>
              </w:rPr>
            </w:pPr>
            <w:r w:rsidRPr="00993936">
              <w:rPr>
                <w:rFonts w:ascii="Arial" w:hAnsi="Arial" w:cs="Arial"/>
                <w:sz w:val="18"/>
                <w:szCs w:val="18"/>
                <w:lang w:val="es-ES"/>
              </w:rPr>
              <w:t>Máximo: 2 tratamientos /año</w:t>
            </w:r>
          </w:p>
          <w:p w:rsidR="00503A41" w:rsidRPr="00993936" w:rsidRDefault="00503A41" w:rsidP="009D1A2D">
            <w:pPr>
              <w:numPr>
                <w:ilvl w:val="0"/>
                <w:numId w:val="134"/>
              </w:numPr>
              <w:spacing w:after="0" w:line="240" w:lineRule="auto"/>
              <w:jc w:val="both"/>
              <w:rPr>
                <w:rFonts w:ascii="Arial" w:hAnsi="Arial" w:cs="Arial"/>
                <w:snapToGrid w:val="0"/>
                <w:sz w:val="18"/>
                <w:szCs w:val="18"/>
                <w:lang w:val="es-ES"/>
              </w:rPr>
            </w:pPr>
            <w:r w:rsidRPr="00993936">
              <w:rPr>
                <w:rFonts w:ascii="Arial" w:hAnsi="Arial" w:cs="Arial"/>
                <w:sz w:val="18"/>
                <w:szCs w:val="18"/>
                <w:lang w:val="es-ES"/>
              </w:rPr>
              <w:t>Utilizar sólo formulaciones que no sean de clasificación toxicológica T</w:t>
            </w:r>
          </w:p>
          <w:p w:rsidR="00503A41" w:rsidRPr="00993936" w:rsidRDefault="00503A41" w:rsidP="00424C28">
            <w:pPr>
              <w:pStyle w:val="Textoindependiente"/>
              <w:jc w:val="left"/>
              <w:rPr>
                <w:rFonts w:cs="Arial"/>
                <w:sz w:val="18"/>
                <w:szCs w:val="18"/>
                <w:lang w:val="es-ES"/>
              </w:rPr>
            </w:pPr>
          </w:p>
        </w:tc>
      </w:tr>
      <w:tr w:rsidR="00503A41" w:rsidRPr="00993936" w:rsidTr="00424C28">
        <w:trPr>
          <w:jc w:val="center"/>
        </w:trPr>
        <w:tc>
          <w:tcPr>
            <w:tcW w:w="2694" w:type="dxa"/>
            <w:vAlign w:val="center"/>
          </w:tcPr>
          <w:p w:rsidR="00503A41" w:rsidRPr="00993936" w:rsidRDefault="00503A41" w:rsidP="00424C28">
            <w:pPr>
              <w:pStyle w:val="Ttulo1"/>
              <w:rPr>
                <w:rFonts w:ascii="Arial" w:hAnsi="Arial" w:cs="Arial"/>
                <w:color w:val="auto"/>
                <w:sz w:val="18"/>
                <w:szCs w:val="18"/>
              </w:rPr>
            </w:pPr>
            <w:r w:rsidRPr="00993936">
              <w:rPr>
                <w:rFonts w:ascii="Arial" w:hAnsi="Arial" w:cs="Arial"/>
                <w:color w:val="auto"/>
                <w:sz w:val="18"/>
                <w:szCs w:val="18"/>
              </w:rPr>
              <w:t>Bacteriosis</w:t>
            </w:r>
          </w:p>
          <w:p w:rsidR="00503A41" w:rsidRPr="00993936" w:rsidRDefault="00503A41" w:rsidP="00424C28">
            <w:pPr>
              <w:rPr>
                <w:rFonts w:ascii="Arial" w:hAnsi="Arial" w:cs="Arial"/>
                <w:snapToGrid w:val="0"/>
                <w:sz w:val="18"/>
                <w:szCs w:val="18"/>
                <w:lang w:val="es-ES"/>
              </w:rPr>
            </w:pPr>
            <w:r w:rsidRPr="00993936">
              <w:rPr>
                <w:rFonts w:ascii="Arial" w:hAnsi="Arial" w:cs="Arial"/>
                <w:i/>
                <w:sz w:val="18"/>
                <w:szCs w:val="18"/>
                <w:lang w:val="es-ES"/>
              </w:rPr>
              <w:t>Xanthomonas</w:t>
            </w:r>
          </w:p>
        </w:tc>
        <w:tc>
          <w:tcPr>
            <w:tcW w:w="3011" w:type="dxa"/>
            <w:vAlign w:val="center"/>
          </w:tcPr>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Oxicloruro de cobre</w:t>
            </w:r>
          </w:p>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Sulfato cuprocálcico</w:t>
            </w:r>
          </w:p>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Sulfato tribásico de cobre</w:t>
            </w:r>
          </w:p>
        </w:tc>
        <w:tc>
          <w:tcPr>
            <w:tcW w:w="3435" w:type="dxa"/>
            <w:vMerge/>
          </w:tcPr>
          <w:p w:rsidR="00503A41" w:rsidRPr="00993936" w:rsidRDefault="00503A41" w:rsidP="00424C28">
            <w:pPr>
              <w:jc w:val="both"/>
              <w:rPr>
                <w:rFonts w:ascii="Arial" w:hAnsi="Arial" w:cs="Arial"/>
                <w:b/>
                <w:snapToGrid w:val="0"/>
                <w:sz w:val="18"/>
                <w:szCs w:val="18"/>
                <w:lang w:val="es-ES"/>
              </w:rPr>
            </w:pPr>
          </w:p>
        </w:tc>
      </w:tr>
      <w:tr w:rsidR="00503A41" w:rsidRPr="00993936" w:rsidTr="00424C28">
        <w:trPr>
          <w:jc w:val="center"/>
        </w:trPr>
        <w:tc>
          <w:tcPr>
            <w:tcW w:w="2694" w:type="dxa"/>
            <w:vAlign w:val="center"/>
          </w:tcPr>
          <w:p w:rsidR="00503A41" w:rsidRPr="00993936" w:rsidRDefault="00503A41" w:rsidP="00424C28">
            <w:pPr>
              <w:pStyle w:val="Ttulo2"/>
              <w:rPr>
                <w:rFonts w:ascii="Arial" w:hAnsi="Arial" w:cs="Arial"/>
                <w:color w:val="auto"/>
                <w:sz w:val="18"/>
                <w:szCs w:val="18"/>
                <w:lang w:val="es-ES"/>
              </w:rPr>
            </w:pPr>
            <w:r w:rsidRPr="00993936">
              <w:rPr>
                <w:rFonts w:ascii="Arial" w:hAnsi="Arial" w:cs="Arial"/>
                <w:color w:val="auto"/>
                <w:sz w:val="18"/>
                <w:szCs w:val="18"/>
                <w:lang w:val="es-ES"/>
              </w:rPr>
              <w:t>Oidio</w:t>
            </w:r>
          </w:p>
          <w:p w:rsidR="00503A41" w:rsidRPr="00993936" w:rsidRDefault="00503A41" w:rsidP="00424C28">
            <w:pPr>
              <w:jc w:val="both"/>
              <w:rPr>
                <w:rFonts w:ascii="Arial" w:hAnsi="Arial" w:cs="Arial"/>
                <w:snapToGrid w:val="0"/>
                <w:sz w:val="18"/>
                <w:szCs w:val="18"/>
                <w:lang w:val="es-ES"/>
              </w:rPr>
            </w:pPr>
            <w:r w:rsidRPr="00993936">
              <w:rPr>
                <w:rFonts w:ascii="Arial" w:hAnsi="Arial" w:cs="Arial"/>
                <w:i/>
                <w:sz w:val="18"/>
                <w:szCs w:val="18"/>
                <w:lang w:val="es-ES"/>
              </w:rPr>
              <w:t>Phyllactinia sp.</w:t>
            </w:r>
          </w:p>
        </w:tc>
        <w:tc>
          <w:tcPr>
            <w:tcW w:w="3011" w:type="dxa"/>
            <w:vAlign w:val="center"/>
          </w:tcPr>
          <w:p w:rsidR="00503A41" w:rsidRPr="00993936" w:rsidRDefault="00503A41" w:rsidP="00424C28">
            <w:pPr>
              <w:rPr>
                <w:rFonts w:ascii="Arial" w:hAnsi="Arial" w:cs="Arial"/>
                <w:snapToGrid w:val="0"/>
                <w:sz w:val="18"/>
                <w:szCs w:val="18"/>
                <w:lang w:val="es-ES"/>
              </w:rPr>
            </w:pPr>
            <w:r w:rsidRPr="00993936">
              <w:rPr>
                <w:rFonts w:ascii="Arial" w:hAnsi="Arial" w:cs="Arial"/>
                <w:snapToGrid w:val="0"/>
                <w:sz w:val="18"/>
                <w:szCs w:val="18"/>
                <w:lang w:val="es-ES"/>
              </w:rPr>
              <w:t>Metil-tiofanato</w:t>
            </w:r>
          </w:p>
          <w:p w:rsidR="00503A41" w:rsidRPr="00993936" w:rsidRDefault="00503A41" w:rsidP="00424C28">
            <w:pPr>
              <w:widowControl w:val="0"/>
              <w:rPr>
                <w:rFonts w:ascii="Arial" w:hAnsi="Arial" w:cs="Arial"/>
                <w:sz w:val="18"/>
                <w:szCs w:val="18"/>
                <w:lang w:val="es-ES"/>
              </w:rPr>
            </w:pPr>
            <w:r w:rsidRPr="00993936">
              <w:rPr>
                <w:rFonts w:ascii="Arial" w:hAnsi="Arial" w:cs="Arial"/>
                <w:sz w:val="18"/>
                <w:szCs w:val="18"/>
                <w:lang w:val="es-ES"/>
              </w:rPr>
              <w:t>Polisulfuro de calcio</w:t>
            </w:r>
          </w:p>
          <w:p w:rsidR="00503A41" w:rsidRPr="00993936" w:rsidRDefault="00503A41" w:rsidP="00424C28">
            <w:pPr>
              <w:pStyle w:val="Encabezado"/>
              <w:tabs>
                <w:tab w:val="clear" w:pos="4252"/>
                <w:tab w:val="clear" w:pos="8504"/>
              </w:tabs>
              <w:rPr>
                <w:rFonts w:ascii="Arial" w:hAnsi="Arial" w:cs="Arial"/>
                <w:snapToGrid w:val="0"/>
                <w:sz w:val="18"/>
                <w:szCs w:val="18"/>
                <w:lang w:val="es-ES"/>
              </w:rPr>
            </w:pPr>
            <w:r w:rsidRPr="00993936">
              <w:rPr>
                <w:rFonts w:ascii="Arial" w:hAnsi="Arial" w:cs="Arial"/>
                <w:snapToGrid w:val="0"/>
                <w:sz w:val="18"/>
                <w:szCs w:val="18"/>
                <w:lang w:val="es-ES"/>
              </w:rPr>
              <w:t>Azufre</w:t>
            </w:r>
          </w:p>
        </w:tc>
        <w:tc>
          <w:tcPr>
            <w:tcW w:w="3435" w:type="dxa"/>
            <w:vMerge/>
          </w:tcPr>
          <w:p w:rsidR="00503A41" w:rsidRPr="00993936" w:rsidRDefault="00503A41" w:rsidP="00424C28">
            <w:pPr>
              <w:jc w:val="both"/>
              <w:rPr>
                <w:rFonts w:ascii="Arial" w:hAnsi="Arial" w:cs="Arial"/>
                <w:b/>
                <w:snapToGrid w:val="0"/>
                <w:sz w:val="18"/>
                <w:szCs w:val="18"/>
                <w:lang w:val="es-ES"/>
              </w:rPr>
            </w:pPr>
          </w:p>
        </w:tc>
      </w:tr>
    </w:tbl>
    <w:p w:rsidR="00503A41" w:rsidRPr="00993936" w:rsidRDefault="00503A41" w:rsidP="00424C28">
      <w:pPr>
        <w:jc w:val="both"/>
        <w:rPr>
          <w:rFonts w:ascii="Arial" w:hAnsi="Arial" w:cs="Arial"/>
          <w:b/>
          <w:snapToGrid w:val="0"/>
          <w:lang w:val="es-ES"/>
        </w:rPr>
      </w:pPr>
    </w:p>
    <w:p w:rsidR="00503A41" w:rsidRPr="00993936" w:rsidRDefault="00503A41" w:rsidP="00424C28">
      <w:pPr>
        <w:jc w:val="both"/>
        <w:rPr>
          <w:rFonts w:ascii="Arial" w:hAnsi="Arial" w:cs="Arial"/>
          <w:b/>
          <w:snapToGrid w:val="0"/>
          <w:lang w:val="es-ES"/>
        </w:rPr>
      </w:pPr>
      <w:r w:rsidRPr="00993936">
        <w:rPr>
          <w:rFonts w:ascii="Arial" w:hAnsi="Arial" w:cs="Arial"/>
          <w:b/>
          <w:snapToGrid w:val="0"/>
          <w:lang w:val="es-ES"/>
        </w:rPr>
        <w:t>2.3.3 Pistacho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11"/>
        <w:gridCol w:w="3435"/>
      </w:tblGrid>
      <w:tr w:rsidR="00503A41" w:rsidRPr="00993936" w:rsidTr="00424C28">
        <w:trPr>
          <w:jc w:val="center"/>
        </w:trPr>
        <w:tc>
          <w:tcPr>
            <w:tcW w:w="2694"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ENFERMEDAD</w:t>
            </w:r>
          </w:p>
        </w:tc>
        <w:tc>
          <w:tcPr>
            <w:tcW w:w="3011"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MATERIA ACTIVA</w:t>
            </w:r>
          </w:p>
        </w:tc>
        <w:tc>
          <w:tcPr>
            <w:tcW w:w="3435"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RESTRICCIONES</w:t>
            </w:r>
          </w:p>
        </w:tc>
      </w:tr>
      <w:tr w:rsidR="00503A41" w:rsidRPr="00993936" w:rsidTr="00424C28">
        <w:trPr>
          <w:jc w:val="center"/>
        </w:trPr>
        <w:tc>
          <w:tcPr>
            <w:tcW w:w="2694" w:type="dxa"/>
            <w:vAlign w:val="center"/>
          </w:tcPr>
          <w:p w:rsidR="00503A41" w:rsidRPr="00993936" w:rsidRDefault="00503A41" w:rsidP="00424C28">
            <w:pPr>
              <w:pStyle w:val="Ttulo9"/>
              <w:rPr>
                <w:rFonts w:ascii="Arial" w:hAnsi="Arial" w:cs="Arial"/>
                <w:b/>
                <w:color w:val="auto"/>
                <w:sz w:val="18"/>
                <w:szCs w:val="18"/>
                <w:lang w:val="es-ES"/>
              </w:rPr>
            </w:pPr>
          </w:p>
          <w:p w:rsidR="00503A41" w:rsidRPr="00993936" w:rsidRDefault="00503A41" w:rsidP="00424C28">
            <w:pPr>
              <w:rPr>
                <w:rFonts w:ascii="Arial" w:hAnsi="Arial" w:cs="Arial"/>
                <w:b/>
                <w:sz w:val="18"/>
                <w:szCs w:val="18"/>
                <w:lang w:val="es-ES"/>
              </w:rPr>
            </w:pPr>
            <w:r w:rsidRPr="00993936">
              <w:rPr>
                <w:rFonts w:ascii="Arial" w:hAnsi="Arial" w:cs="Arial"/>
                <w:b/>
                <w:sz w:val="18"/>
                <w:szCs w:val="18"/>
                <w:lang w:val="es-ES"/>
              </w:rPr>
              <w:t>Botiosfaeria</w:t>
            </w:r>
          </w:p>
          <w:p w:rsidR="00503A41" w:rsidRPr="00993936" w:rsidRDefault="00503A41" w:rsidP="00424C28">
            <w:pPr>
              <w:rPr>
                <w:rFonts w:ascii="Arial" w:hAnsi="Arial" w:cs="Arial"/>
                <w:lang w:val="es-ES"/>
              </w:rPr>
            </w:pPr>
            <w:r w:rsidRPr="00993936">
              <w:rPr>
                <w:rFonts w:ascii="Arial" w:hAnsi="Arial" w:cs="Arial"/>
                <w:i/>
                <w:sz w:val="18"/>
                <w:szCs w:val="18"/>
                <w:lang w:val="es-ES"/>
              </w:rPr>
              <w:t>Botryosphaeria</w:t>
            </w:r>
          </w:p>
        </w:tc>
        <w:tc>
          <w:tcPr>
            <w:tcW w:w="3011" w:type="dxa"/>
            <w:vAlign w:val="center"/>
          </w:tcPr>
          <w:p w:rsidR="00503A41" w:rsidRPr="00993936" w:rsidRDefault="00503A41" w:rsidP="00424C28">
            <w:pPr>
              <w:jc w:val="both"/>
              <w:rPr>
                <w:rFonts w:ascii="Arial" w:hAnsi="Arial" w:cs="Arial"/>
                <w:snapToGrid w:val="0"/>
                <w:sz w:val="18"/>
                <w:szCs w:val="18"/>
                <w:lang w:val="es-ES"/>
              </w:rPr>
            </w:pPr>
          </w:p>
          <w:p w:rsidR="00503A41" w:rsidRPr="00993936" w:rsidRDefault="00503A41" w:rsidP="00424C28">
            <w:pPr>
              <w:pStyle w:val="Encabezado"/>
              <w:tabs>
                <w:tab w:val="clear" w:pos="4252"/>
                <w:tab w:val="clear" w:pos="8504"/>
              </w:tabs>
              <w:rPr>
                <w:rFonts w:ascii="Arial" w:hAnsi="Arial" w:cs="Arial"/>
                <w:snapToGrid w:val="0"/>
                <w:sz w:val="18"/>
                <w:szCs w:val="18"/>
                <w:lang w:val="es-ES"/>
              </w:rPr>
            </w:pPr>
            <w:r w:rsidRPr="00993936">
              <w:rPr>
                <w:rFonts w:ascii="Arial" w:hAnsi="Arial" w:cs="Arial"/>
                <w:snapToGrid w:val="0"/>
                <w:sz w:val="18"/>
                <w:szCs w:val="18"/>
                <w:lang w:val="es-ES"/>
              </w:rPr>
              <w:t xml:space="preserve"> </w:t>
            </w:r>
          </w:p>
        </w:tc>
        <w:tc>
          <w:tcPr>
            <w:tcW w:w="3435" w:type="dxa"/>
            <w:vMerge w:val="restart"/>
            <w:vAlign w:val="center"/>
          </w:tcPr>
          <w:p w:rsidR="00503A41" w:rsidRPr="00993936" w:rsidRDefault="00503A41" w:rsidP="00424C28">
            <w:pPr>
              <w:rPr>
                <w:rFonts w:ascii="Arial" w:hAnsi="Arial" w:cs="Arial"/>
                <w:sz w:val="18"/>
                <w:szCs w:val="18"/>
                <w:lang w:val="es-ES"/>
              </w:rPr>
            </w:pPr>
          </w:p>
          <w:p w:rsidR="00503A41" w:rsidRPr="00993936" w:rsidRDefault="00503A41" w:rsidP="00424C28">
            <w:pPr>
              <w:rPr>
                <w:rFonts w:ascii="Arial" w:hAnsi="Arial" w:cs="Arial"/>
                <w:sz w:val="18"/>
                <w:szCs w:val="18"/>
                <w:lang w:val="es-ES"/>
              </w:rPr>
            </w:pPr>
          </w:p>
        </w:tc>
      </w:tr>
      <w:tr w:rsidR="00503A41" w:rsidRPr="00993936" w:rsidTr="00424C28">
        <w:trPr>
          <w:jc w:val="center"/>
        </w:trPr>
        <w:tc>
          <w:tcPr>
            <w:tcW w:w="2694" w:type="dxa"/>
            <w:vAlign w:val="center"/>
          </w:tcPr>
          <w:p w:rsidR="00503A41" w:rsidRPr="00993936" w:rsidRDefault="00503A41" w:rsidP="00424C28">
            <w:pPr>
              <w:pStyle w:val="Ttulo2"/>
              <w:rPr>
                <w:rFonts w:ascii="Arial" w:hAnsi="Arial" w:cs="Arial"/>
                <w:color w:val="auto"/>
                <w:sz w:val="18"/>
                <w:szCs w:val="18"/>
                <w:lang w:val="es-ES"/>
              </w:rPr>
            </w:pPr>
            <w:r w:rsidRPr="00993936">
              <w:rPr>
                <w:rFonts w:ascii="Arial" w:hAnsi="Arial" w:cs="Arial"/>
                <w:color w:val="auto"/>
                <w:sz w:val="18"/>
                <w:szCs w:val="18"/>
                <w:lang w:val="es-ES"/>
              </w:rPr>
              <w:t>Oidio</w:t>
            </w:r>
          </w:p>
          <w:p w:rsidR="00503A41" w:rsidRPr="00993936" w:rsidRDefault="00503A41" w:rsidP="00424C28">
            <w:pPr>
              <w:jc w:val="both"/>
              <w:rPr>
                <w:rFonts w:ascii="Arial" w:hAnsi="Arial" w:cs="Arial"/>
                <w:snapToGrid w:val="0"/>
                <w:sz w:val="18"/>
                <w:szCs w:val="18"/>
                <w:lang w:val="es-ES"/>
              </w:rPr>
            </w:pPr>
            <w:r w:rsidRPr="00993936">
              <w:rPr>
                <w:rFonts w:ascii="Arial" w:hAnsi="Arial" w:cs="Arial"/>
                <w:i/>
                <w:sz w:val="18"/>
                <w:szCs w:val="18"/>
                <w:lang w:val="es-ES"/>
              </w:rPr>
              <w:t>Phyllactinia sp.</w:t>
            </w:r>
          </w:p>
        </w:tc>
        <w:tc>
          <w:tcPr>
            <w:tcW w:w="3011" w:type="dxa"/>
            <w:vAlign w:val="center"/>
          </w:tcPr>
          <w:p w:rsidR="00503A41" w:rsidRPr="00993936" w:rsidRDefault="00503A41" w:rsidP="00424C28">
            <w:pPr>
              <w:rPr>
                <w:rFonts w:ascii="Arial" w:hAnsi="Arial" w:cs="Arial"/>
                <w:snapToGrid w:val="0"/>
                <w:sz w:val="18"/>
                <w:szCs w:val="18"/>
                <w:lang w:val="es-ES"/>
              </w:rPr>
            </w:pPr>
            <w:r w:rsidRPr="00993936">
              <w:rPr>
                <w:rFonts w:ascii="Arial" w:hAnsi="Arial" w:cs="Arial"/>
                <w:snapToGrid w:val="0"/>
                <w:sz w:val="18"/>
                <w:szCs w:val="18"/>
                <w:lang w:val="es-ES"/>
              </w:rPr>
              <w:t>Metil-tiofanato</w:t>
            </w:r>
          </w:p>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Polisulfuro de calcio</w:t>
            </w:r>
          </w:p>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Azufre</w:t>
            </w:r>
          </w:p>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Azufre + Oxicloruro de cobre</w:t>
            </w:r>
          </w:p>
        </w:tc>
        <w:tc>
          <w:tcPr>
            <w:tcW w:w="3435" w:type="dxa"/>
            <w:vMerge/>
            <w:vAlign w:val="center"/>
          </w:tcPr>
          <w:p w:rsidR="00503A41" w:rsidRPr="00993936" w:rsidRDefault="00503A41" w:rsidP="009D1A2D">
            <w:pPr>
              <w:numPr>
                <w:ilvl w:val="0"/>
                <w:numId w:val="65"/>
              </w:numPr>
              <w:spacing w:after="0" w:line="240" w:lineRule="auto"/>
              <w:rPr>
                <w:rFonts w:ascii="Arial" w:hAnsi="Arial" w:cs="Arial"/>
                <w:sz w:val="18"/>
                <w:szCs w:val="18"/>
                <w:lang w:val="es-ES"/>
              </w:rPr>
            </w:pPr>
          </w:p>
        </w:tc>
      </w:tr>
    </w:tbl>
    <w:p w:rsidR="00503A41" w:rsidRPr="00993936" w:rsidRDefault="00503A41" w:rsidP="00424C28">
      <w:pPr>
        <w:jc w:val="both"/>
        <w:rPr>
          <w:rFonts w:ascii="Arial" w:hAnsi="Arial" w:cs="Arial"/>
          <w:b/>
          <w:snapToGrid w:val="0"/>
          <w:lang w:val="es-ES"/>
        </w:rPr>
      </w:pPr>
    </w:p>
    <w:p w:rsidR="00503A41" w:rsidRPr="00993936" w:rsidRDefault="00503A41" w:rsidP="00424C28">
      <w:pPr>
        <w:jc w:val="both"/>
        <w:rPr>
          <w:rFonts w:ascii="Arial" w:hAnsi="Arial" w:cs="Arial"/>
          <w:b/>
          <w:snapToGrid w:val="0"/>
          <w:lang w:val="es-ES"/>
        </w:rPr>
      </w:pPr>
      <w:r w:rsidRPr="00993936">
        <w:rPr>
          <w:rFonts w:ascii="Arial" w:hAnsi="Arial" w:cs="Arial"/>
          <w:b/>
          <w:snapToGrid w:val="0"/>
          <w:lang w:val="es-ES"/>
        </w:rPr>
        <w:t>2.3.4 Nogal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11"/>
        <w:gridCol w:w="3435"/>
      </w:tblGrid>
      <w:tr w:rsidR="00503A41" w:rsidRPr="00993936" w:rsidTr="00424C28">
        <w:trPr>
          <w:jc w:val="center"/>
        </w:trPr>
        <w:tc>
          <w:tcPr>
            <w:tcW w:w="2694"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ENFERMEDAD</w:t>
            </w:r>
          </w:p>
        </w:tc>
        <w:tc>
          <w:tcPr>
            <w:tcW w:w="3011"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MATERIA ACTIVA</w:t>
            </w:r>
          </w:p>
        </w:tc>
        <w:tc>
          <w:tcPr>
            <w:tcW w:w="3435"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RESTRICCIONES</w:t>
            </w:r>
          </w:p>
        </w:tc>
      </w:tr>
      <w:tr w:rsidR="00503A41" w:rsidRPr="00993936" w:rsidTr="00424C28">
        <w:trPr>
          <w:trHeight w:val="310"/>
          <w:jc w:val="center"/>
        </w:trPr>
        <w:tc>
          <w:tcPr>
            <w:tcW w:w="2694" w:type="dxa"/>
            <w:vAlign w:val="center"/>
          </w:tcPr>
          <w:p w:rsidR="00503A41" w:rsidRPr="00993936" w:rsidRDefault="00503A41" w:rsidP="00424C28">
            <w:pPr>
              <w:pStyle w:val="Ttulo1"/>
              <w:rPr>
                <w:rFonts w:ascii="Arial" w:hAnsi="Arial" w:cs="Arial"/>
                <w:color w:val="auto"/>
                <w:sz w:val="18"/>
                <w:szCs w:val="18"/>
              </w:rPr>
            </w:pPr>
            <w:r w:rsidRPr="00993936">
              <w:rPr>
                <w:rFonts w:ascii="Arial" w:hAnsi="Arial" w:cs="Arial"/>
                <w:color w:val="auto"/>
                <w:sz w:val="18"/>
                <w:szCs w:val="18"/>
              </w:rPr>
              <w:t>Bacteriosis</w:t>
            </w:r>
          </w:p>
          <w:p w:rsidR="00503A41" w:rsidRPr="00993936" w:rsidRDefault="00503A41" w:rsidP="00424C28">
            <w:pPr>
              <w:rPr>
                <w:rFonts w:ascii="Arial" w:hAnsi="Arial" w:cs="Arial"/>
                <w:snapToGrid w:val="0"/>
                <w:sz w:val="18"/>
                <w:szCs w:val="18"/>
                <w:lang w:val="es-ES"/>
              </w:rPr>
            </w:pPr>
            <w:r w:rsidRPr="00993936">
              <w:rPr>
                <w:rFonts w:ascii="Arial" w:hAnsi="Arial" w:cs="Arial"/>
                <w:i/>
                <w:sz w:val="18"/>
                <w:szCs w:val="18"/>
                <w:lang w:val="es-ES"/>
              </w:rPr>
              <w:t>Xanthomonas juglandis</w:t>
            </w:r>
          </w:p>
        </w:tc>
        <w:tc>
          <w:tcPr>
            <w:tcW w:w="3011" w:type="dxa"/>
            <w:vAlign w:val="center"/>
          </w:tcPr>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Oxicloruro de cobre</w:t>
            </w:r>
          </w:p>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Sulfato cuprocálcico</w:t>
            </w:r>
          </w:p>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Sulfato tribásico de cobre</w:t>
            </w:r>
          </w:p>
        </w:tc>
        <w:tc>
          <w:tcPr>
            <w:tcW w:w="3435" w:type="dxa"/>
            <w:vMerge w:val="restart"/>
            <w:vAlign w:val="center"/>
          </w:tcPr>
          <w:p w:rsidR="00503A41" w:rsidRPr="00993936" w:rsidRDefault="00503A41" w:rsidP="009D1A2D">
            <w:pPr>
              <w:numPr>
                <w:ilvl w:val="0"/>
                <w:numId w:val="147"/>
              </w:numPr>
              <w:spacing w:after="0" w:line="240" w:lineRule="auto"/>
              <w:rPr>
                <w:rFonts w:ascii="Arial" w:hAnsi="Arial" w:cs="Arial"/>
                <w:sz w:val="18"/>
                <w:szCs w:val="18"/>
                <w:lang w:val="es-ES"/>
              </w:rPr>
            </w:pPr>
            <w:r w:rsidRPr="00993936">
              <w:rPr>
                <w:rFonts w:ascii="Arial" w:hAnsi="Arial" w:cs="Arial"/>
                <w:sz w:val="18"/>
                <w:szCs w:val="18"/>
                <w:lang w:val="es-ES"/>
              </w:rPr>
              <w:t>Máximo: 2 tratamientos /año</w:t>
            </w:r>
          </w:p>
          <w:p w:rsidR="00503A41" w:rsidRPr="00993936" w:rsidRDefault="00503A41" w:rsidP="009D1A2D">
            <w:pPr>
              <w:numPr>
                <w:ilvl w:val="0"/>
                <w:numId w:val="147"/>
              </w:numPr>
              <w:spacing w:after="0" w:line="240" w:lineRule="auto"/>
              <w:rPr>
                <w:rFonts w:ascii="Arial" w:hAnsi="Arial" w:cs="Arial"/>
                <w:snapToGrid w:val="0"/>
                <w:sz w:val="18"/>
                <w:szCs w:val="18"/>
                <w:lang w:val="es-ES"/>
              </w:rPr>
            </w:pPr>
            <w:r w:rsidRPr="00993936">
              <w:rPr>
                <w:rFonts w:ascii="Arial" w:hAnsi="Arial" w:cs="Arial"/>
                <w:sz w:val="18"/>
                <w:szCs w:val="18"/>
                <w:lang w:val="es-ES"/>
              </w:rPr>
              <w:t>Utilizar sólo formulaciones que no sean de clasificación toxicológica T</w:t>
            </w:r>
          </w:p>
        </w:tc>
      </w:tr>
      <w:tr w:rsidR="00503A41" w:rsidRPr="00993936" w:rsidTr="00424C28">
        <w:trPr>
          <w:jc w:val="center"/>
        </w:trPr>
        <w:tc>
          <w:tcPr>
            <w:tcW w:w="2694" w:type="dxa"/>
            <w:vAlign w:val="center"/>
          </w:tcPr>
          <w:p w:rsidR="00503A41" w:rsidRPr="00993936" w:rsidRDefault="00503A41" w:rsidP="00424C28">
            <w:pPr>
              <w:pStyle w:val="Ttulo2"/>
              <w:rPr>
                <w:rFonts w:ascii="Arial" w:hAnsi="Arial" w:cs="Arial"/>
                <w:color w:val="auto"/>
                <w:sz w:val="18"/>
                <w:szCs w:val="18"/>
                <w:lang w:val="es-ES"/>
              </w:rPr>
            </w:pPr>
            <w:r w:rsidRPr="00993936">
              <w:rPr>
                <w:rFonts w:ascii="Arial" w:hAnsi="Arial" w:cs="Arial"/>
                <w:color w:val="auto"/>
                <w:sz w:val="18"/>
                <w:szCs w:val="18"/>
                <w:lang w:val="es-ES"/>
              </w:rPr>
              <w:t>Antracnosis</w:t>
            </w:r>
          </w:p>
          <w:p w:rsidR="00503A41" w:rsidRPr="00993936" w:rsidRDefault="00503A41" w:rsidP="00424C28">
            <w:pPr>
              <w:jc w:val="both"/>
              <w:rPr>
                <w:rFonts w:ascii="Arial" w:hAnsi="Arial" w:cs="Arial"/>
                <w:snapToGrid w:val="0"/>
                <w:sz w:val="18"/>
                <w:szCs w:val="18"/>
                <w:lang w:val="es-ES"/>
              </w:rPr>
            </w:pPr>
            <w:r w:rsidRPr="00993936">
              <w:rPr>
                <w:rFonts w:ascii="Arial" w:hAnsi="Arial" w:cs="Arial"/>
                <w:i/>
                <w:sz w:val="18"/>
                <w:szCs w:val="18"/>
                <w:lang w:val="es-ES"/>
              </w:rPr>
              <w:t>Gnomonia leptsostyla</w:t>
            </w:r>
          </w:p>
        </w:tc>
        <w:tc>
          <w:tcPr>
            <w:tcW w:w="3011" w:type="dxa"/>
            <w:vAlign w:val="center"/>
          </w:tcPr>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Mancozeb</w:t>
            </w:r>
          </w:p>
          <w:p w:rsidR="00503A41" w:rsidRPr="00993936" w:rsidRDefault="00503A41" w:rsidP="00424C28">
            <w:pPr>
              <w:jc w:val="both"/>
              <w:rPr>
                <w:rFonts w:ascii="Arial" w:hAnsi="Arial" w:cs="Arial"/>
                <w:snapToGrid w:val="0"/>
                <w:sz w:val="18"/>
                <w:szCs w:val="18"/>
                <w:lang w:val="es-ES"/>
              </w:rPr>
            </w:pPr>
            <w:r w:rsidRPr="00993936">
              <w:rPr>
                <w:rFonts w:ascii="Arial" w:hAnsi="Arial" w:cs="Arial"/>
                <w:snapToGrid w:val="0"/>
                <w:sz w:val="18"/>
                <w:szCs w:val="18"/>
                <w:lang w:val="es-ES"/>
              </w:rPr>
              <w:t xml:space="preserve">Miclobutanil </w:t>
            </w:r>
          </w:p>
        </w:tc>
        <w:tc>
          <w:tcPr>
            <w:tcW w:w="3435" w:type="dxa"/>
            <w:vMerge/>
          </w:tcPr>
          <w:p w:rsidR="00503A41" w:rsidRPr="00993936" w:rsidRDefault="00503A41" w:rsidP="00424C28">
            <w:pPr>
              <w:jc w:val="both"/>
              <w:rPr>
                <w:rFonts w:ascii="Arial" w:hAnsi="Arial" w:cs="Arial"/>
                <w:b/>
                <w:snapToGrid w:val="0"/>
                <w:sz w:val="18"/>
                <w:szCs w:val="18"/>
                <w:lang w:val="es-ES"/>
              </w:rPr>
            </w:pPr>
          </w:p>
        </w:tc>
      </w:tr>
    </w:tbl>
    <w:p w:rsidR="00503A41" w:rsidRPr="00993936" w:rsidRDefault="00503A41" w:rsidP="00424C28">
      <w:pPr>
        <w:jc w:val="both"/>
        <w:rPr>
          <w:rFonts w:ascii="Arial" w:hAnsi="Arial" w:cs="Arial"/>
          <w:b/>
          <w:lang w:val="es-ES"/>
        </w:rPr>
      </w:pPr>
    </w:p>
    <w:p w:rsidR="00503A41" w:rsidRPr="00993936" w:rsidRDefault="00503A41" w:rsidP="00424C28">
      <w:pPr>
        <w:jc w:val="both"/>
        <w:rPr>
          <w:rFonts w:ascii="Arial" w:hAnsi="Arial" w:cs="Arial"/>
          <w:b/>
          <w:lang w:val="es-ES"/>
        </w:rPr>
      </w:pPr>
    </w:p>
    <w:p w:rsidR="00503A41" w:rsidRPr="00993936" w:rsidRDefault="00503A41" w:rsidP="00424C28">
      <w:pPr>
        <w:jc w:val="both"/>
        <w:rPr>
          <w:rFonts w:ascii="Arial" w:hAnsi="Arial" w:cs="Arial"/>
          <w:b/>
          <w:snapToGrid w:val="0"/>
          <w:lang w:val="es-ES"/>
        </w:rPr>
        <w:sectPr w:rsidR="00503A41" w:rsidRPr="00993936" w:rsidSect="00424C28">
          <w:headerReference w:type="default" r:id="rId28"/>
          <w:footerReference w:type="default" r:id="rId29"/>
          <w:pgSz w:w="11907" w:h="16840" w:code="9"/>
          <w:pgMar w:top="1985" w:right="1418" w:bottom="1701" w:left="1418" w:header="708" w:footer="708" w:gutter="0"/>
          <w:cols w:space="708"/>
        </w:sectPr>
      </w:pPr>
    </w:p>
    <w:p w:rsidR="00503A41" w:rsidRPr="00993936" w:rsidRDefault="00503A41" w:rsidP="00424C28">
      <w:pPr>
        <w:jc w:val="both"/>
        <w:rPr>
          <w:rFonts w:ascii="Arial" w:hAnsi="Arial" w:cs="Arial"/>
          <w:b/>
          <w:snapToGrid w:val="0"/>
          <w:lang w:val="es-ES"/>
        </w:rPr>
      </w:pPr>
    </w:p>
    <w:p w:rsidR="00503A41" w:rsidRPr="00993936" w:rsidRDefault="00503A41" w:rsidP="00424C28">
      <w:pPr>
        <w:spacing w:before="120"/>
        <w:jc w:val="both"/>
        <w:rPr>
          <w:rFonts w:ascii="Arial" w:hAnsi="Arial" w:cs="Arial"/>
          <w:b/>
          <w:lang w:val="es-ES"/>
        </w:rPr>
      </w:pPr>
      <w:r w:rsidRPr="00993936">
        <w:rPr>
          <w:rFonts w:ascii="Arial" w:hAnsi="Arial" w:cs="Arial"/>
          <w:b/>
          <w:lang w:val="es-ES"/>
        </w:rPr>
        <w:t>2.3.5 Materias activas de fungicidas para la producción integrada de Frutos secos con indicación del código de resistencia FRAC</w:t>
      </w:r>
    </w:p>
    <w:p w:rsidR="00503A41" w:rsidRPr="00993936" w:rsidRDefault="00503A41" w:rsidP="00424C28">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575"/>
        <w:gridCol w:w="4575"/>
      </w:tblGrid>
      <w:tr w:rsidR="00503A41" w:rsidRPr="00993936" w:rsidTr="00424C28">
        <w:trPr>
          <w:trHeight w:val="393"/>
        </w:trPr>
        <w:tc>
          <w:tcPr>
            <w:tcW w:w="5000" w:type="pct"/>
            <w:gridSpan w:val="2"/>
            <w:shd w:val="solid" w:color="C0C0C0" w:fill="auto"/>
            <w:vAlign w:val="center"/>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TIPO DE FUNGICIDAS</w:t>
            </w:r>
          </w:p>
        </w:tc>
      </w:tr>
      <w:tr w:rsidR="00503A41" w:rsidRPr="00993936" w:rsidTr="00424C28">
        <w:trPr>
          <w:trHeight w:val="270"/>
        </w:trPr>
        <w:tc>
          <w:tcPr>
            <w:tcW w:w="2500" w:type="pct"/>
            <w:vMerge w:val="restart"/>
            <w:shd w:val="solid" w:color="C0C0C0" w:fill="auto"/>
            <w:vAlign w:val="center"/>
          </w:tcPr>
          <w:p w:rsidR="00503A41" w:rsidRPr="00993936" w:rsidRDefault="00503A41" w:rsidP="00424C28">
            <w:pPr>
              <w:autoSpaceDE w:val="0"/>
              <w:autoSpaceDN w:val="0"/>
              <w:adjustRightInd w:val="0"/>
              <w:rPr>
                <w:rFonts w:ascii="Arial" w:hAnsi="Arial" w:cs="Arial"/>
                <w:b/>
                <w:bCs/>
                <w:sz w:val="18"/>
                <w:lang w:val="es-ES" w:eastAsia="ca-ES"/>
              </w:rPr>
            </w:pPr>
            <w:r w:rsidRPr="00993936">
              <w:rPr>
                <w:rFonts w:ascii="Arial" w:hAnsi="Arial" w:cs="Arial"/>
                <w:b/>
                <w:bCs/>
                <w:sz w:val="18"/>
                <w:lang w:val="es-ES" w:eastAsia="ca-ES"/>
              </w:rPr>
              <w:t xml:space="preserve">Materia activa </w:t>
            </w:r>
          </w:p>
        </w:tc>
        <w:tc>
          <w:tcPr>
            <w:tcW w:w="2500" w:type="pct"/>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Indicación del código de resistencia</w:t>
            </w:r>
          </w:p>
        </w:tc>
      </w:tr>
      <w:tr w:rsidR="00503A41" w:rsidRPr="00993936" w:rsidTr="00424C28">
        <w:trPr>
          <w:trHeight w:val="270"/>
        </w:trPr>
        <w:tc>
          <w:tcPr>
            <w:tcW w:w="2500" w:type="pct"/>
            <w:vMerge/>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p>
        </w:tc>
        <w:tc>
          <w:tcPr>
            <w:tcW w:w="2500" w:type="pct"/>
            <w:shd w:val="solid" w:color="C0C0C0" w:fill="auto"/>
          </w:tcPr>
          <w:p w:rsidR="00503A41" w:rsidRPr="00993936" w:rsidRDefault="00503A41" w:rsidP="00424C28">
            <w:pPr>
              <w:autoSpaceDE w:val="0"/>
              <w:autoSpaceDN w:val="0"/>
              <w:adjustRightInd w:val="0"/>
              <w:jc w:val="center"/>
              <w:rPr>
                <w:rFonts w:ascii="Arial" w:hAnsi="Arial" w:cs="Arial"/>
                <w:b/>
                <w:bCs/>
                <w:sz w:val="18"/>
                <w:lang w:val="es-ES" w:eastAsia="ca-ES"/>
              </w:rPr>
            </w:pPr>
            <w:r w:rsidRPr="00993936">
              <w:rPr>
                <w:rFonts w:ascii="Arial" w:hAnsi="Arial" w:cs="Arial"/>
                <w:b/>
                <w:bCs/>
                <w:sz w:val="18"/>
                <w:lang w:val="es-ES" w:eastAsia="ca-ES"/>
              </w:rPr>
              <w:t>FRAC (*)</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Boscalida + Piraclostrobín</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7+11</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Carbonato de hidrógeno de potasio</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Fenbuconazol</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G1</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Folpet</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M4</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Mancozeb</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M3+B1</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Metil-tiofanato</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1</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Miclobutanil</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3</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Oxicloruro de cobre</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M1</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Óxido cuproso</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M1</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Penconazol</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3</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Polisulfuro de calcio</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Azufre</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M2</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Azufre + Oxicloruro de cobre</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M2+M1</w:t>
            </w:r>
          </w:p>
        </w:tc>
      </w:tr>
      <w:tr w:rsidR="00503A41" w:rsidRPr="00993936" w:rsidTr="00424C28">
        <w:trPr>
          <w:trHeight w:val="270"/>
        </w:trPr>
        <w:tc>
          <w:tcPr>
            <w:tcW w:w="2500" w:type="pct"/>
            <w:shd w:val="solid" w:color="FFFFFF" w:fill="auto"/>
          </w:tcPr>
          <w:p w:rsidR="00503A41" w:rsidRPr="00993936" w:rsidRDefault="00503A41" w:rsidP="001D205D">
            <w:pPr>
              <w:autoSpaceDE w:val="0"/>
              <w:autoSpaceDN w:val="0"/>
              <w:adjustRightInd w:val="0"/>
              <w:rPr>
                <w:rFonts w:ascii="Arial" w:hAnsi="Arial" w:cs="Arial"/>
                <w:sz w:val="20"/>
                <w:lang w:val="es-ES" w:eastAsia="ca-ES"/>
              </w:rPr>
            </w:pPr>
            <w:r w:rsidRPr="00993936">
              <w:rPr>
                <w:rFonts w:ascii="Arial" w:hAnsi="Arial" w:cs="Arial"/>
                <w:sz w:val="20"/>
                <w:lang w:val="es-ES" w:eastAsia="ca-ES"/>
              </w:rPr>
              <w:t>Sulfato cuprocálcico</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M1</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Sulfato tribásico de cobre</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M1</w:t>
            </w:r>
          </w:p>
        </w:tc>
      </w:tr>
      <w:tr w:rsidR="00503A41" w:rsidRPr="00993936" w:rsidTr="00424C28">
        <w:trPr>
          <w:trHeight w:val="270"/>
        </w:trPr>
        <w:tc>
          <w:tcPr>
            <w:tcW w:w="2500" w:type="pct"/>
            <w:shd w:val="solid" w:color="FFFFFF" w:fill="auto"/>
          </w:tcPr>
          <w:p w:rsidR="00503A41" w:rsidRPr="00993936" w:rsidRDefault="00503A41" w:rsidP="00424C28">
            <w:pPr>
              <w:autoSpaceDE w:val="0"/>
              <w:autoSpaceDN w:val="0"/>
              <w:adjustRightInd w:val="0"/>
              <w:rPr>
                <w:rFonts w:ascii="Arial" w:hAnsi="Arial" w:cs="Arial"/>
                <w:sz w:val="20"/>
                <w:lang w:val="es-ES" w:eastAsia="ca-ES"/>
              </w:rPr>
            </w:pPr>
            <w:r w:rsidRPr="00993936">
              <w:rPr>
                <w:rFonts w:ascii="Arial" w:hAnsi="Arial" w:cs="Arial"/>
                <w:sz w:val="20"/>
                <w:lang w:val="es-ES" w:eastAsia="ca-ES"/>
              </w:rPr>
              <w:t>Tiram</w:t>
            </w:r>
          </w:p>
        </w:tc>
        <w:tc>
          <w:tcPr>
            <w:tcW w:w="2500" w:type="pct"/>
            <w:shd w:val="solid" w:color="FFFFFF" w:fill="auto"/>
          </w:tcPr>
          <w:p w:rsidR="00503A41" w:rsidRPr="00993936" w:rsidRDefault="00503A41" w:rsidP="00424C28">
            <w:pPr>
              <w:autoSpaceDE w:val="0"/>
              <w:autoSpaceDN w:val="0"/>
              <w:adjustRightInd w:val="0"/>
              <w:jc w:val="center"/>
              <w:rPr>
                <w:rFonts w:ascii="Arial" w:hAnsi="Arial" w:cs="Arial"/>
                <w:sz w:val="20"/>
                <w:lang w:val="es-ES" w:eastAsia="ca-ES"/>
              </w:rPr>
            </w:pPr>
            <w:r w:rsidRPr="00993936">
              <w:rPr>
                <w:rFonts w:ascii="Arial" w:hAnsi="Arial" w:cs="Arial"/>
                <w:sz w:val="20"/>
                <w:lang w:val="es-ES" w:eastAsia="ca-ES"/>
              </w:rPr>
              <w:t>M3</w:t>
            </w:r>
          </w:p>
        </w:tc>
      </w:tr>
      <w:tr w:rsidR="00503A41" w:rsidRPr="00993936" w:rsidTr="00424C28">
        <w:trPr>
          <w:trHeight w:val="270"/>
        </w:trPr>
        <w:tc>
          <w:tcPr>
            <w:tcW w:w="5000" w:type="pct"/>
            <w:gridSpan w:val="2"/>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18"/>
                <w:lang w:val="es-ES" w:eastAsia="ca-ES"/>
              </w:rPr>
              <w:t>Para evitar la aparición de resistencias alternar el uso de materias activas que presenten códigos de resistencia (FRAC) diferentes</w:t>
            </w:r>
          </w:p>
        </w:tc>
      </w:tr>
      <w:tr w:rsidR="00503A41" w:rsidRPr="00993936" w:rsidTr="00424C28">
        <w:trPr>
          <w:trHeight w:val="270"/>
        </w:trPr>
        <w:tc>
          <w:tcPr>
            <w:tcW w:w="5000" w:type="pct"/>
            <w:gridSpan w:val="2"/>
            <w:shd w:val="solid" w:color="FFFFFF" w:fill="auto"/>
          </w:tcPr>
          <w:p w:rsidR="00503A41" w:rsidRPr="00993936" w:rsidRDefault="00503A41" w:rsidP="00424C28">
            <w:pPr>
              <w:autoSpaceDE w:val="0"/>
              <w:autoSpaceDN w:val="0"/>
              <w:adjustRightInd w:val="0"/>
              <w:rPr>
                <w:rFonts w:ascii="Arial" w:hAnsi="Arial" w:cs="Arial"/>
                <w:sz w:val="18"/>
                <w:lang w:val="es-ES" w:eastAsia="ca-ES"/>
              </w:rPr>
            </w:pPr>
            <w:r w:rsidRPr="00993936">
              <w:rPr>
                <w:rFonts w:ascii="Arial" w:hAnsi="Arial" w:cs="Arial"/>
                <w:sz w:val="18"/>
                <w:lang w:val="es-ES" w:eastAsia="ca-ES"/>
              </w:rPr>
              <w:t>(*) Fuente: Comité de Acción de Resistencia en Fungicidas</w:t>
            </w:r>
          </w:p>
        </w:tc>
      </w:tr>
    </w:tbl>
    <w:p w:rsidR="00503A41" w:rsidRPr="00993936" w:rsidRDefault="00503A41" w:rsidP="00424C28">
      <w:pPr>
        <w:rPr>
          <w:rFonts w:ascii="Arial" w:hAnsi="Arial" w:cs="Arial"/>
          <w:lang w:val="es-ES"/>
        </w:rPr>
      </w:pPr>
    </w:p>
    <w:p w:rsidR="00503A41" w:rsidRPr="00993936" w:rsidRDefault="00503A41" w:rsidP="00424C28">
      <w:pPr>
        <w:jc w:val="both"/>
        <w:rPr>
          <w:rFonts w:ascii="Arial" w:hAnsi="Arial" w:cs="Arial"/>
          <w:b/>
          <w:snapToGrid w:val="0"/>
          <w:lang w:val="es-ES"/>
        </w:rPr>
      </w:pPr>
      <w:r w:rsidRPr="00993936">
        <w:rPr>
          <w:rFonts w:ascii="Arial" w:hAnsi="Arial" w:cs="Arial"/>
          <w:b/>
          <w:snapToGrid w:val="0"/>
          <w:lang w:val="es-ES"/>
        </w:rPr>
        <w:t>2.4 Materias activas contra líquenes para la Producción Integrada de Frutos secos.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both"/>
        <w:rPr>
          <w:rFonts w:ascii="Arial" w:hAnsi="Arial" w:cs="Arial"/>
          <w:b/>
          <w:snapToGrid w:val="0"/>
          <w:lang w:val="es-ES"/>
        </w:rPr>
      </w:pPr>
      <w:r w:rsidRPr="00993936">
        <w:rPr>
          <w:rFonts w:ascii="Arial" w:hAnsi="Arial" w:cs="Arial"/>
          <w:b/>
          <w:snapToGrid w:val="0"/>
          <w:lang w:val="es-ES"/>
        </w:rPr>
        <w:t>2.4.1.- Avellano y Nogal</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both"/>
        <w:rPr>
          <w:rFonts w:ascii="Arial" w:hAnsi="Arial" w:cs="Arial"/>
          <w:b/>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3011"/>
        <w:gridCol w:w="3435"/>
      </w:tblGrid>
      <w:tr w:rsidR="00503A41" w:rsidRPr="00993936" w:rsidTr="00424C28">
        <w:trPr>
          <w:jc w:val="center"/>
        </w:trPr>
        <w:tc>
          <w:tcPr>
            <w:tcW w:w="2694"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ENFERMEDAD</w:t>
            </w:r>
          </w:p>
        </w:tc>
        <w:tc>
          <w:tcPr>
            <w:tcW w:w="3011"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MATERIA ACTIVA</w:t>
            </w:r>
          </w:p>
        </w:tc>
        <w:tc>
          <w:tcPr>
            <w:tcW w:w="3435" w:type="dxa"/>
            <w:shd w:val="pct12" w:color="auto" w:fill="FFFFFF"/>
          </w:tcPr>
          <w:p w:rsidR="00503A41" w:rsidRPr="00993936" w:rsidRDefault="00503A41" w:rsidP="00424C28">
            <w:pPr>
              <w:jc w:val="center"/>
              <w:rPr>
                <w:rFonts w:ascii="Arial" w:hAnsi="Arial" w:cs="Arial"/>
                <w:b/>
                <w:lang w:val="es-ES"/>
              </w:rPr>
            </w:pPr>
            <w:r w:rsidRPr="00993936">
              <w:rPr>
                <w:rFonts w:ascii="Arial" w:hAnsi="Arial" w:cs="Arial"/>
                <w:b/>
                <w:lang w:val="es-ES"/>
              </w:rPr>
              <w:t>RESTRICCIONES</w:t>
            </w:r>
          </w:p>
        </w:tc>
      </w:tr>
      <w:tr w:rsidR="00503A41" w:rsidRPr="00993936" w:rsidTr="00424C28">
        <w:trPr>
          <w:trHeight w:val="635"/>
          <w:jc w:val="center"/>
        </w:trPr>
        <w:tc>
          <w:tcPr>
            <w:tcW w:w="2694" w:type="dxa"/>
            <w:vAlign w:val="center"/>
          </w:tcPr>
          <w:p w:rsidR="00503A41" w:rsidRPr="00993936" w:rsidRDefault="00503A41" w:rsidP="00424C28">
            <w:pPr>
              <w:rPr>
                <w:rFonts w:ascii="Arial" w:hAnsi="Arial" w:cs="Arial"/>
                <w:b/>
                <w:snapToGrid w:val="0"/>
                <w:sz w:val="18"/>
                <w:szCs w:val="18"/>
                <w:lang w:val="es-ES"/>
              </w:rPr>
            </w:pPr>
            <w:r w:rsidRPr="00993936">
              <w:rPr>
                <w:rFonts w:ascii="Arial" w:hAnsi="Arial" w:cs="Arial"/>
                <w:b/>
                <w:i/>
                <w:snapToGrid w:val="0"/>
                <w:sz w:val="18"/>
                <w:szCs w:val="18"/>
                <w:lang w:val="es-ES"/>
              </w:rPr>
              <w:t>Xantoria parietina</w:t>
            </w:r>
          </w:p>
        </w:tc>
        <w:tc>
          <w:tcPr>
            <w:tcW w:w="3011" w:type="dxa"/>
            <w:vAlign w:val="center"/>
          </w:tcPr>
          <w:p w:rsidR="00503A41" w:rsidRPr="00993936" w:rsidRDefault="00503A41" w:rsidP="00424C28">
            <w:pPr>
              <w:jc w:val="both"/>
              <w:rPr>
                <w:rFonts w:ascii="Arial" w:hAnsi="Arial" w:cs="Arial"/>
                <w:snapToGrid w:val="0"/>
                <w:sz w:val="18"/>
                <w:szCs w:val="18"/>
                <w:lang w:val="es-ES"/>
              </w:rPr>
            </w:pPr>
          </w:p>
        </w:tc>
        <w:tc>
          <w:tcPr>
            <w:tcW w:w="3435" w:type="dxa"/>
            <w:vAlign w:val="center"/>
          </w:tcPr>
          <w:p w:rsidR="00503A41" w:rsidRPr="00993936" w:rsidRDefault="00503A41" w:rsidP="00424C28">
            <w:pPr>
              <w:ind w:left="284"/>
              <w:rPr>
                <w:rFonts w:ascii="Arial" w:hAnsi="Arial" w:cs="Arial"/>
                <w:snapToGrid w:val="0"/>
                <w:sz w:val="18"/>
                <w:szCs w:val="18"/>
                <w:lang w:val="es-ES"/>
              </w:rPr>
            </w:pPr>
          </w:p>
        </w:tc>
      </w:tr>
    </w:tbl>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both"/>
        <w:rPr>
          <w:rFonts w:ascii="Arial" w:hAnsi="Arial" w:cs="Arial"/>
          <w:b/>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both"/>
        <w:rPr>
          <w:rFonts w:ascii="Arial" w:hAnsi="Arial" w:cs="Arial"/>
          <w:snapToGrid w:val="0"/>
          <w:lang w:val="es-ES"/>
        </w:rPr>
      </w:pPr>
    </w:p>
    <w:p w:rsidR="00503A41" w:rsidRPr="00993936" w:rsidRDefault="00503A41" w:rsidP="00424C28">
      <w:pPr>
        <w:pStyle w:val="Ttulo2"/>
        <w:rPr>
          <w:rFonts w:ascii="Arial" w:hAnsi="Arial" w:cs="Arial"/>
          <w:color w:val="auto"/>
          <w:sz w:val="22"/>
          <w:lang w:val="es-ES"/>
        </w:rPr>
      </w:pPr>
      <w:r w:rsidRPr="00993936">
        <w:rPr>
          <w:rFonts w:ascii="Arial" w:hAnsi="Arial" w:cs="Arial"/>
          <w:color w:val="auto"/>
          <w:sz w:val="22"/>
          <w:lang w:val="es-ES"/>
        </w:rPr>
        <w:t>ANEXO 3</w:t>
      </w:r>
    </w:p>
    <w:p w:rsidR="00503A41" w:rsidRPr="00993936" w:rsidRDefault="00503A41" w:rsidP="00424C28">
      <w:pPr>
        <w:jc w:val="both"/>
        <w:rPr>
          <w:rFonts w:ascii="Arial" w:hAnsi="Arial" w:cs="Arial"/>
          <w:b/>
          <w:snapToGrid w:val="0"/>
          <w:lang w:val="es-ES"/>
        </w:rPr>
      </w:pPr>
      <w:r w:rsidRPr="00993936">
        <w:rPr>
          <w:rFonts w:ascii="Arial" w:hAnsi="Arial" w:cs="Arial"/>
          <w:b/>
          <w:snapToGrid w:val="0"/>
          <w:lang w:val="es-ES"/>
        </w:rPr>
        <w:t>Condiciones de trabajo recomendables para realizar los tratamientos fitosanitarios.</w:t>
      </w:r>
    </w:p>
    <w:p w:rsidR="00503A41" w:rsidRPr="00993936" w:rsidRDefault="00503A41" w:rsidP="001D2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En los cuadros 3.1, 3.2 y 3.3 se incluyen las </w:t>
      </w:r>
      <w:r w:rsidRPr="00993936">
        <w:rPr>
          <w:rFonts w:ascii="Arial" w:hAnsi="Arial" w:cs="Arial"/>
          <w:i/>
          <w:snapToGrid w:val="0"/>
          <w:lang w:val="es-ES"/>
        </w:rPr>
        <w:t>Recomendaciones</w:t>
      </w:r>
      <w:r w:rsidRPr="00993936">
        <w:rPr>
          <w:rFonts w:ascii="Arial" w:hAnsi="Arial" w:cs="Arial"/>
          <w:snapToGrid w:val="0"/>
          <w:lang w:val="es-ES"/>
        </w:rPr>
        <w:t xml:space="preserve"> generales de regulación de los equipos y las condiciones ambientales óptimas para realizar los tratamientos.</w:t>
      </w:r>
    </w:p>
    <w:p w:rsidR="00503A41" w:rsidRPr="00993936" w:rsidRDefault="00503A41" w:rsidP="001D2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1D2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3.1 Recomendaciones generales de regulación de los equipos hidroneumáticos en ventilador axial.</w:t>
      </w:r>
    </w:p>
    <w:tbl>
      <w:tblPr>
        <w:tblW w:w="9019" w:type="dxa"/>
        <w:jc w:val="center"/>
        <w:tblBorders>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184"/>
        <w:gridCol w:w="3177"/>
        <w:gridCol w:w="1658"/>
        <w:gridCol w:w="2000"/>
      </w:tblGrid>
      <w:tr w:rsidR="00503A41" w:rsidRPr="00993936" w:rsidTr="001D205D">
        <w:trPr>
          <w:jc w:val="center"/>
        </w:trPr>
        <w:tc>
          <w:tcPr>
            <w:tcW w:w="2184" w:type="dxa"/>
            <w:tcBorders>
              <w:top w:val="single" w:sz="4" w:space="0" w:color="auto"/>
              <w:left w:val="single" w:sz="4" w:space="0" w:color="auto"/>
              <w:bottom w:val="single" w:sz="4" w:space="0" w:color="auto"/>
            </w:tcBorders>
          </w:tcPr>
          <w:p w:rsidR="00503A41" w:rsidRPr="00993936" w:rsidRDefault="00503A41" w:rsidP="001D205D">
            <w:pPr>
              <w:pStyle w:val="Sinespaciado"/>
              <w:rPr>
                <w:rFonts w:ascii="Arial" w:hAnsi="Arial" w:cs="Arial"/>
                <w:snapToGrid w:val="0"/>
                <w:lang w:val="es-ES"/>
              </w:rPr>
            </w:pPr>
          </w:p>
        </w:tc>
        <w:tc>
          <w:tcPr>
            <w:tcW w:w="3177" w:type="dxa"/>
            <w:tcBorders>
              <w:top w:val="single" w:sz="4" w:space="0" w:color="auto"/>
              <w:bottom w:val="single" w:sz="4" w:space="0" w:color="auto"/>
            </w:tcBorders>
            <w:shd w:val="pct30" w:color="auto" w:fill="FFFFFF"/>
          </w:tcPr>
          <w:p w:rsidR="00503A41" w:rsidRPr="00993936" w:rsidRDefault="00503A41" w:rsidP="001D205D">
            <w:pPr>
              <w:pStyle w:val="Sinespaciado"/>
              <w:rPr>
                <w:rFonts w:ascii="Arial" w:hAnsi="Arial" w:cs="Arial"/>
                <w:snapToGrid w:val="0"/>
                <w:lang w:val="es-ES"/>
              </w:rPr>
            </w:pPr>
            <w:r w:rsidRPr="00993936">
              <w:rPr>
                <w:rFonts w:ascii="Arial" w:hAnsi="Arial" w:cs="Arial"/>
                <w:b/>
                <w:snapToGrid w:val="0"/>
                <w:lang w:val="es-ES"/>
              </w:rPr>
              <w:t>Tratamientos otoño-invierno</w:t>
            </w:r>
          </w:p>
        </w:tc>
        <w:tc>
          <w:tcPr>
            <w:tcW w:w="3658" w:type="dxa"/>
            <w:gridSpan w:val="2"/>
            <w:tcBorders>
              <w:top w:val="single" w:sz="4" w:space="0" w:color="auto"/>
              <w:bottom w:val="single" w:sz="4" w:space="0" w:color="auto"/>
            </w:tcBorders>
            <w:shd w:val="pct30" w:color="auto" w:fill="FFFFFF"/>
          </w:tcPr>
          <w:p w:rsidR="00503A41" w:rsidRPr="00993936" w:rsidRDefault="00503A41" w:rsidP="001D205D">
            <w:pPr>
              <w:pStyle w:val="Sinespaciado"/>
              <w:rPr>
                <w:rFonts w:ascii="Arial" w:hAnsi="Arial" w:cs="Arial"/>
                <w:snapToGrid w:val="0"/>
                <w:lang w:val="es-ES"/>
              </w:rPr>
            </w:pPr>
            <w:r w:rsidRPr="00993936">
              <w:rPr>
                <w:rFonts w:ascii="Arial" w:hAnsi="Arial" w:cs="Arial"/>
                <w:b/>
                <w:snapToGrid w:val="0"/>
                <w:lang w:val="es-ES"/>
              </w:rPr>
              <w:t>Tratamientos de primavera-verano</w:t>
            </w:r>
          </w:p>
        </w:tc>
      </w:tr>
      <w:tr w:rsidR="00503A41" w:rsidRPr="00993936" w:rsidTr="001D205D">
        <w:trPr>
          <w:jc w:val="center"/>
        </w:trPr>
        <w:tc>
          <w:tcPr>
            <w:tcW w:w="2184"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Tipo de plantación</w:t>
            </w:r>
          </w:p>
        </w:tc>
        <w:tc>
          <w:tcPr>
            <w:tcW w:w="3177" w:type="dxa"/>
            <w:tcBorders>
              <w:top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Todas las plantaciones</w:t>
            </w:r>
          </w:p>
        </w:tc>
        <w:tc>
          <w:tcPr>
            <w:tcW w:w="1658" w:type="dxa"/>
            <w:tcBorders>
              <w:top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Tipo vaso</w:t>
            </w:r>
          </w:p>
        </w:tc>
        <w:tc>
          <w:tcPr>
            <w:tcW w:w="2000" w:type="dxa"/>
            <w:tcBorders>
              <w:top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Plant. Intensivas</w:t>
            </w:r>
          </w:p>
        </w:tc>
      </w:tr>
      <w:tr w:rsidR="00503A41" w:rsidRPr="00993936" w:rsidTr="001D205D">
        <w:trPr>
          <w:jc w:val="center"/>
        </w:trPr>
        <w:tc>
          <w:tcPr>
            <w:tcW w:w="2184"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Estadio vegetativo</w:t>
            </w:r>
          </w:p>
        </w:tc>
        <w:tc>
          <w:tcPr>
            <w:tcW w:w="317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Caída de hoja</w:t>
            </w:r>
          </w:p>
        </w:tc>
        <w:tc>
          <w:tcPr>
            <w:tcW w:w="3658" w:type="dxa"/>
            <w:gridSpan w:val="2"/>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Plena vegetación</w:t>
            </w:r>
          </w:p>
        </w:tc>
      </w:tr>
      <w:tr w:rsidR="00503A41" w:rsidRPr="00993936" w:rsidTr="00424C28">
        <w:trPr>
          <w:jc w:val="center"/>
        </w:trPr>
        <w:tc>
          <w:tcPr>
            <w:tcW w:w="2184"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Boquillas</w:t>
            </w:r>
          </w:p>
        </w:tc>
        <w:tc>
          <w:tcPr>
            <w:tcW w:w="6835" w:type="dxa"/>
            <w:gridSpan w:val="3"/>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                              Tipo cónico de difusión vacía</w:t>
            </w:r>
          </w:p>
        </w:tc>
      </w:tr>
      <w:tr w:rsidR="00503A41" w:rsidRPr="00993936" w:rsidTr="001D205D">
        <w:trPr>
          <w:jc w:val="center"/>
        </w:trPr>
        <w:tc>
          <w:tcPr>
            <w:tcW w:w="2184"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Presión</w:t>
            </w:r>
          </w:p>
        </w:tc>
        <w:tc>
          <w:tcPr>
            <w:tcW w:w="317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&lt; 5bar</w:t>
            </w:r>
          </w:p>
        </w:tc>
        <w:tc>
          <w:tcPr>
            <w:tcW w:w="3658" w:type="dxa"/>
            <w:gridSpan w:val="2"/>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5 - 15 bar</w:t>
            </w:r>
          </w:p>
        </w:tc>
      </w:tr>
      <w:tr w:rsidR="00503A41" w:rsidRPr="00993936" w:rsidTr="001D205D">
        <w:trPr>
          <w:jc w:val="center"/>
        </w:trPr>
        <w:tc>
          <w:tcPr>
            <w:tcW w:w="2184"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Velocidad de trabajo</w:t>
            </w:r>
          </w:p>
        </w:tc>
        <w:tc>
          <w:tcPr>
            <w:tcW w:w="3177" w:type="dxa"/>
          </w:tcPr>
          <w:p w:rsidR="00503A41" w:rsidRPr="00993936" w:rsidRDefault="00503A41" w:rsidP="001D205D">
            <w:pPr>
              <w:pStyle w:val="Sinespaciado"/>
              <w:rPr>
                <w:rFonts w:ascii="Arial" w:hAnsi="Arial" w:cs="Arial"/>
                <w:snapToGrid w:val="0"/>
                <w:lang w:val="es-ES"/>
              </w:rPr>
            </w:pPr>
            <w:smartTag w:uri="urn:schemas-microsoft-com:office:smarttags" w:element="metricconverter">
              <w:smartTagPr>
                <w:attr w:name="ProductID" w:val="4 km/h"/>
              </w:smartTagPr>
              <w:r w:rsidRPr="00993936">
                <w:rPr>
                  <w:rFonts w:ascii="Arial" w:hAnsi="Arial" w:cs="Arial"/>
                  <w:snapToGrid w:val="0"/>
                  <w:lang w:val="es-ES"/>
                </w:rPr>
                <w:t>4 km/h</w:t>
              </w:r>
            </w:smartTag>
          </w:p>
        </w:tc>
        <w:tc>
          <w:tcPr>
            <w:tcW w:w="3658" w:type="dxa"/>
            <w:gridSpan w:val="2"/>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4 - </w:t>
            </w:r>
            <w:smartTag w:uri="urn:schemas-microsoft-com:office:smarttags" w:element="metricconverter">
              <w:smartTagPr>
                <w:attr w:name="ProductID" w:val="6 km/h"/>
              </w:smartTagPr>
              <w:r w:rsidRPr="00993936">
                <w:rPr>
                  <w:rFonts w:ascii="Arial" w:hAnsi="Arial" w:cs="Arial"/>
                  <w:snapToGrid w:val="0"/>
                  <w:lang w:val="es-ES"/>
                </w:rPr>
                <w:t>6 km/h</w:t>
              </w:r>
            </w:smartTag>
          </w:p>
        </w:tc>
      </w:tr>
      <w:tr w:rsidR="00503A41" w:rsidRPr="00993936" w:rsidTr="001D205D">
        <w:trPr>
          <w:jc w:val="center"/>
        </w:trPr>
        <w:tc>
          <w:tcPr>
            <w:tcW w:w="2184"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Volumen unitario</w:t>
            </w:r>
          </w:p>
        </w:tc>
        <w:tc>
          <w:tcPr>
            <w:tcW w:w="317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350 – 700 L/ha</w:t>
            </w:r>
          </w:p>
        </w:tc>
        <w:tc>
          <w:tcPr>
            <w:tcW w:w="1658"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1000 - 1500 L/ha</w:t>
            </w:r>
          </w:p>
        </w:tc>
        <w:tc>
          <w:tcPr>
            <w:tcW w:w="2000"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800 – 1200 L/ha</w:t>
            </w:r>
          </w:p>
        </w:tc>
      </w:tr>
      <w:tr w:rsidR="00503A41" w:rsidRPr="00993936" w:rsidTr="001D205D">
        <w:trPr>
          <w:jc w:val="center"/>
        </w:trPr>
        <w:tc>
          <w:tcPr>
            <w:tcW w:w="2184"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Caudal de aire (m3/h)</w:t>
            </w:r>
          </w:p>
        </w:tc>
        <w:tc>
          <w:tcPr>
            <w:tcW w:w="317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10.000 - 15.000 m</w:t>
            </w:r>
            <w:r w:rsidRPr="00993936">
              <w:rPr>
                <w:rFonts w:ascii="Arial" w:hAnsi="Arial" w:cs="Arial"/>
                <w:snapToGrid w:val="0"/>
                <w:position w:val="6"/>
                <w:lang w:val="es-ES"/>
              </w:rPr>
              <w:t>3</w:t>
            </w:r>
            <w:r w:rsidRPr="00993936">
              <w:rPr>
                <w:rFonts w:ascii="Arial" w:hAnsi="Arial" w:cs="Arial"/>
                <w:snapToGrid w:val="0"/>
                <w:lang w:val="es-ES"/>
              </w:rPr>
              <w:t>/h</w:t>
            </w:r>
          </w:p>
        </w:tc>
        <w:tc>
          <w:tcPr>
            <w:tcW w:w="3658" w:type="dxa"/>
            <w:gridSpan w:val="2"/>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15.000 - 30.000 m</w:t>
            </w:r>
            <w:r w:rsidRPr="00993936">
              <w:rPr>
                <w:rFonts w:ascii="Arial" w:hAnsi="Arial" w:cs="Arial"/>
                <w:snapToGrid w:val="0"/>
                <w:position w:val="6"/>
                <w:lang w:val="es-ES"/>
              </w:rPr>
              <w:t>3</w:t>
            </w:r>
            <w:r w:rsidRPr="00993936">
              <w:rPr>
                <w:rFonts w:ascii="Arial" w:hAnsi="Arial" w:cs="Arial"/>
                <w:snapToGrid w:val="0"/>
                <w:lang w:val="es-ES"/>
              </w:rPr>
              <w:t>/h</w:t>
            </w:r>
          </w:p>
        </w:tc>
      </w:tr>
    </w:tbl>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1D2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3.2 Recomendaciones generales para los equipos hidráulicos (barras) de herbicidas.</w:t>
      </w:r>
    </w:p>
    <w:tbl>
      <w:tblPr>
        <w:tblW w:w="8977" w:type="dxa"/>
        <w:jc w:val="center"/>
        <w:tblBorders>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440"/>
        <w:gridCol w:w="4537"/>
      </w:tblGrid>
      <w:tr w:rsidR="00503A41" w:rsidRPr="00993936" w:rsidTr="001D205D">
        <w:trPr>
          <w:jc w:val="center"/>
        </w:trPr>
        <w:tc>
          <w:tcPr>
            <w:tcW w:w="4440" w:type="dxa"/>
            <w:tcBorders>
              <w:bottom w:val="nil"/>
            </w:tcBorders>
          </w:tcPr>
          <w:p w:rsidR="00503A41" w:rsidRPr="00993936" w:rsidRDefault="00503A41" w:rsidP="001D205D">
            <w:pPr>
              <w:pStyle w:val="Sinespaciado"/>
              <w:rPr>
                <w:rFonts w:ascii="Arial" w:hAnsi="Arial" w:cs="Arial"/>
                <w:snapToGrid w:val="0"/>
                <w:lang w:val="es-ES"/>
              </w:rPr>
            </w:pPr>
          </w:p>
        </w:tc>
        <w:tc>
          <w:tcPr>
            <w:tcW w:w="4537" w:type="dxa"/>
            <w:tcBorders>
              <w:top w:val="single" w:sz="4" w:space="0" w:color="auto"/>
            </w:tcBorders>
            <w:shd w:val="pct30" w:color="auto" w:fill="FFFFFF"/>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Condiciones de trabajo</w:t>
            </w:r>
          </w:p>
        </w:tc>
      </w:tr>
      <w:tr w:rsidR="00503A41" w:rsidRPr="00993936" w:rsidTr="001D205D">
        <w:trPr>
          <w:jc w:val="center"/>
        </w:trPr>
        <w:tc>
          <w:tcPr>
            <w:tcW w:w="4440"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Estadio vegetativo</w:t>
            </w:r>
          </w:p>
        </w:tc>
        <w:tc>
          <w:tcPr>
            <w:tcW w:w="453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Pre y post-emergencia</w:t>
            </w:r>
          </w:p>
        </w:tc>
      </w:tr>
      <w:tr w:rsidR="00503A41" w:rsidRPr="00993936" w:rsidTr="001D205D">
        <w:trPr>
          <w:jc w:val="center"/>
        </w:trPr>
        <w:tc>
          <w:tcPr>
            <w:tcW w:w="4440"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Boquillas</w:t>
            </w:r>
          </w:p>
        </w:tc>
        <w:tc>
          <w:tcPr>
            <w:tcW w:w="453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Abanico o de espejo</w:t>
            </w:r>
          </w:p>
        </w:tc>
      </w:tr>
      <w:tr w:rsidR="00503A41" w:rsidRPr="00993936" w:rsidTr="001D205D">
        <w:trPr>
          <w:jc w:val="center"/>
        </w:trPr>
        <w:tc>
          <w:tcPr>
            <w:tcW w:w="4440"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Presión (bar)</w:t>
            </w:r>
          </w:p>
        </w:tc>
        <w:tc>
          <w:tcPr>
            <w:tcW w:w="4537" w:type="dxa"/>
          </w:tcPr>
          <w:p w:rsidR="00503A41" w:rsidRPr="00993936" w:rsidRDefault="00503A41" w:rsidP="001D205D">
            <w:pPr>
              <w:pStyle w:val="Sinespaciado"/>
              <w:rPr>
                <w:rFonts w:ascii="Arial" w:hAnsi="Arial" w:cs="Arial"/>
                <w:snapToGrid w:val="0"/>
                <w:lang w:val="es-ES"/>
              </w:rPr>
            </w:pPr>
            <w:smartTag w:uri="urn:schemas-microsoft-com:office:smarttags" w:element="metricconverter">
              <w:smartTagPr>
                <w:attr w:name="ProductID" w:val="1,5 a"/>
              </w:smartTagPr>
              <w:r w:rsidRPr="00993936">
                <w:rPr>
                  <w:rFonts w:ascii="Arial" w:hAnsi="Arial" w:cs="Arial"/>
                  <w:snapToGrid w:val="0"/>
                  <w:lang w:val="es-ES"/>
                </w:rPr>
                <w:t>1,5 a</w:t>
              </w:r>
            </w:smartTag>
            <w:r w:rsidRPr="00993936">
              <w:rPr>
                <w:rFonts w:ascii="Arial" w:hAnsi="Arial" w:cs="Arial"/>
                <w:snapToGrid w:val="0"/>
                <w:lang w:val="es-ES"/>
              </w:rPr>
              <w:t xml:space="preserve"> 5</w:t>
            </w:r>
          </w:p>
        </w:tc>
      </w:tr>
      <w:tr w:rsidR="00503A41" w:rsidRPr="00993936" w:rsidTr="001D205D">
        <w:trPr>
          <w:jc w:val="center"/>
        </w:trPr>
        <w:tc>
          <w:tcPr>
            <w:tcW w:w="4440"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Velocidad de trabajo (km/h)</w:t>
            </w:r>
          </w:p>
        </w:tc>
        <w:tc>
          <w:tcPr>
            <w:tcW w:w="453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3 –4</w:t>
            </w:r>
          </w:p>
        </w:tc>
      </w:tr>
      <w:tr w:rsidR="00503A41" w:rsidRPr="00993936" w:rsidTr="001D205D">
        <w:trPr>
          <w:jc w:val="center"/>
        </w:trPr>
        <w:tc>
          <w:tcPr>
            <w:tcW w:w="4440"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Volumen medio (l/ha)</w:t>
            </w:r>
          </w:p>
        </w:tc>
        <w:tc>
          <w:tcPr>
            <w:tcW w:w="453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300</w:t>
            </w:r>
          </w:p>
        </w:tc>
      </w:tr>
      <w:tr w:rsidR="00503A41" w:rsidRPr="00993936" w:rsidTr="001D205D">
        <w:trPr>
          <w:jc w:val="center"/>
        </w:trPr>
        <w:tc>
          <w:tcPr>
            <w:tcW w:w="4440" w:type="dxa"/>
            <w:tcBorders>
              <w:top w:val="single" w:sz="4" w:space="0" w:color="auto"/>
              <w:left w:val="single" w:sz="4" w:space="0" w:color="auto"/>
            </w:tcBorders>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Altura de trabajo</w:t>
            </w:r>
          </w:p>
        </w:tc>
        <w:tc>
          <w:tcPr>
            <w:tcW w:w="453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&lt; </w:t>
            </w:r>
            <w:smartTag w:uri="urn:schemas-microsoft-com:office:smarttags" w:element="metricconverter">
              <w:smartTagPr>
                <w:attr w:name="ProductID" w:val="20 cm"/>
              </w:smartTagPr>
              <w:r w:rsidRPr="00993936">
                <w:rPr>
                  <w:rFonts w:ascii="Arial" w:hAnsi="Arial" w:cs="Arial"/>
                  <w:snapToGrid w:val="0"/>
                  <w:lang w:val="es-ES"/>
                </w:rPr>
                <w:t>20 cm</w:t>
              </w:r>
            </w:smartTag>
          </w:p>
        </w:tc>
      </w:tr>
    </w:tbl>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1D2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3.3 Condiciones ambientales para la realización de los tratamientos.</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557"/>
        <w:gridCol w:w="4348"/>
      </w:tblGrid>
      <w:tr w:rsidR="00503A41" w:rsidRPr="00993936" w:rsidTr="001D205D">
        <w:trPr>
          <w:jc w:val="center"/>
        </w:trPr>
        <w:tc>
          <w:tcPr>
            <w:tcW w:w="455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Temperatura</w:t>
            </w:r>
          </w:p>
        </w:tc>
        <w:tc>
          <w:tcPr>
            <w:tcW w:w="4348"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&lt; 25º C</w:t>
            </w:r>
          </w:p>
        </w:tc>
      </w:tr>
      <w:tr w:rsidR="00503A41" w:rsidRPr="00993936" w:rsidTr="001D205D">
        <w:trPr>
          <w:jc w:val="center"/>
        </w:trPr>
        <w:tc>
          <w:tcPr>
            <w:tcW w:w="455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Viento</w:t>
            </w:r>
          </w:p>
        </w:tc>
        <w:tc>
          <w:tcPr>
            <w:tcW w:w="4348"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&lt; 2 m/s a </w:t>
            </w:r>
            <w:smartTag w:uri="urn:schemas-microsoft-com:office:smarttags" w:element="metricconverter">
              <w:smartTagPr>
                <w:attr w:name="ProductID" w:val="2 m"/>
              </w:smartTagPr>
              <w:r w:rsidRPr="00993936">
                <w:rPr>
                  <w:rFonts w:ascii="Arial" w:hAnsi="Arial" w:cs="Arial"/>
                  <w:snapToGrid w:val="0"/>
                  <w:lang w:val="es-ES"/>
                </w:rPr>
                <w:t>2 m</w:t>
              </w:r>
            </w:smartTag>
            <w:r w:rsidRPr="00993936">
              <w:rPr>
                <w:rFonts w:ascii="Arial" w:hAnsi="Arial" w:cs="Arial"/>
                <w:snapToGrid w:val="0"/>
                <w:lang w:val="es-ES"/>
              </w:rPr>
              <w:t xml:space="preserve"> de altura</w:t>
            </w:r>
          </w:p>
        </w:tc>
      </w:tr>
      <w:tr w:rsidR="00503A41" w:rsidRPr="00993936" w:rsidTr="001D205D">
        <w:trPr>
          <w:jc w:val="center"/>
        </w:trPr>
        <w:tc>
          <w:tcPr>
            <w:tcW w:w="4557"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Humedad relativa</w:t>
            </w:r>
          </w:p>
        </w:tc>
        <w:tc>
          <w:tcPr>
            <w:tcW w:w="4348" w:type="dxa"/>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&gt; 50%</w:t>
            </w:r>
          </w:p>
        </w:tc>
      </w:tr>
    </w:tbl>
    <w:p w:rsidR="00503A41" w:rsidRPr="00993936" w:rsidRDefault="00503A41" w:rsidP="00424C28">
      <w:pPr>
        <w:pStyle w:val="Textoindependiente"/>
        <w:rPr>
          <w:rFonts w:cs="Arial"/>
          <w:lang w:val="es-ES"/>
        </w:rPr>
      </w:pPr>
    </w:p>
    <w:p w:rsidR="00503A41" w:rsidRPr="00993936" w:rsidRDefault="00503A41" w:rsidP="00424C28">
      <w:pPr>
        <w:pStyle w:val="Textoindependiente"/>
        <w:rPr>
          <w:rFonts w:cs="Arial"/>
          <w:lang w:val="es-ES"/>
        </w:rPr>
      </w:pPr>
      <w:r w:rsidRPr="00993936">
        <w:rPr>
          <w:rFonts w:cs="Arial"/>
          <w:lang w:val="es-ES"/>
        </w:rPr>
        <w:t xml:space="preserve">El volumen de caldo recomendado para la aplicación de herbicidas es de 300 l/ha. Hay que tener siempre en cuenta las </w:t>
      </w:r>
      <w:r w:rsidRPr="00993936">
        <w:rPr>
          <w:rFonts w:cs="Arial"/>
          <w:i/>
          <w:lang w:val="es-ES"/>
        </w:rPr>
        <w:t>Recomendaciones</w:t>
      </w:r>
      <w:r w:rsidRPr="00993936">
        <w:rPr>
          <w:rFonts w:cs="Arial"/>
          <w:lang w:val="es-ES"/>
        </w:rPr>
        <w:t xml:space="preserve"> específicas de cada producto y formulación.</w:t>
      </w:r>
    </w:p>
    <w:p w:rsidR="00503A41" w:rsidRPr="00993936" w:rsidRDefault="00503A41" w:rsidP="00424C28">
      <w:pPr>
        <w:jc w:val="both"/>
        <w:rPr>
          <w:rFonts w:ascii="Arial" w:hAnsi="Arial" w:cs="Arial"/>
          <w:snapToGrid w:val="0"/>
          <w:lang w:val="es-ES"/>
        </w:rPr>
      </w:pPr>
    </w:p>
    <w:p w:rsidR="00503A41" w:rsidRPr="00993936" w:rsidRDefault="00503A41" w:rsidP="00424C28">
      <w:pPr>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ANEXO 4</w:t>
      </w:r>
    </w:p>
    <w:p w:rsidR="00503A41" w:rsidRPr="00993936" w:rsidRDefault="00503A41" w:rsidP="00424C28">
      <w:pPr>
        <w:jc w:val="both"/>
        <w:rPr>
          <w:rFonts w:ascii="Arial" w:hAnsi="Arial" w:cs="Arial"/>
          <w:b/>
          <w:snapToGrid w:val="0"/>
          <w:lang w:val="es-ES"/>
        </w:rPr>
      </w:pPr>
      <w:r w:rsidRPr="00993936">
        <w:rPr>
          <w:rFonts w:ascii="Arial" w:hAnsi="Arial" w:cs="Arial"/>
          <w:b/>
          <w:snapToGrid w:val="0"/>
          <w:lang w:val="es-ES"/>
        </w:rPr>
        <w:t>Porcentaje de humedad tolerable en el almacenamiento de frutos secos con cáscara</w:t>
      </w:r>
      <w:r w:rsidRPr="00993936">
        <w:rPr>
          <w:rFonts w:ascii="Arial" w:hAnsi="Arial" w:cs="Arial"/>
          <w:b/>
          <w:snapToGrid w:val="0"/>
          <w:vanish/>
          <w:lang w:val="es-ES"/>
        </w:rPr>
        <w:t>&lt;A[caparazón|concha]&gt;</w:t>
      </w:r>
      <w:r w:rsidRPr="00993936">
        <w:rPr>
          <w:rFonts w:ascii="Arial" w:hAnsi="Arial" w:cs="Arial"/>
          <w:b/>
          <w:snapToGrid w:val="0"/>
          <w:lang w:val="es-ES"/>
        </w:rPr>
        <w:t>.</w:t>
      </w:r>
    </w:p>
    <w:p w:rsidR="00503A41" w:rsidRPr="00993936" w:rsidRDefault="00503A41" w:rsidP="00424C28">
      <w:pPr>
        <w:jc w:val="both"/>
        <w:rPr>
          <w:rFonts w:ascii="Arial" w:hAnsi="Arial" w:cs="Arial"/>
          <w:b/>
          <w:snapToGrid w:val="0"/>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6378"/>
      </w:tblGrid>
      <w:tr w:rsidR="00503A41" w:rsidRPr="00993936" w:rsidTr="00424C28">
        <w:tc>
          <w:tcPr>
            <w:tcW w:w="2694" w:type="dxa"/>
            <w:shd w:val="pct12" w:color="auto" w:fill="FFFFFF"/>
          </w:tcPr>
          <w:p w:rsidR="00503A41" w:rsidRPr="00993936" w:rsidRDefault="00503A41" w:rsidP="00424C28">
            <w:pPr>
              <w:jc w:val="center"/>
              <w:rPr>
                <w:rFonts w:ascii="Arial" w:hAnsi="Arial" w:cs="Arial"/>
                <w:b/>
                <w:snapToGrid w:val="0"/>
                <w:lang w:val="es-ES"/>
              </w:rPr>
            </w:pPr>
            <w:r w:rsidRPr="00993936">
              <w:rPr>
                <w:rFonts w:ascii="Arial" w:hAnsi="Arial" w:cs="Arial"/>
                <w:b/>
                <w:snapToGrid w:val="0"/>
                <w:lang w:val="es-ES"/>
              </w:rPr>
              <w:t>CULTIVO</w:t>
            </w:r>
          </w:p>
        </w:tc>
        <w:tc>
          <w:tcPr>
            <w:tcW w:w="6378" w:type="dxa"/>
            <w:shd w:val="pct12" w:color="auto" w:fill="FFFFFF"/>
          </w:tcPr>
          <w:p w:rsidR="00503A41" w:rsidRPr="00993936" w:rsidRDefault="00503A41" w:rsidP="00424C28">
            <w:pPr>
              <w:jc w:val="center"/>
              <w:rPr>
                <w:rFonts w:ascii="Arial" w:hAnsi="Arial" w:cs="Arial"/>
                <w:b/>
                <w:snapToGrid w:val="0"/>
                <w:lang w:val="es-ES"/>
              </w:rPr>
            </w:pPr>
            <w:r w:rsidRPr="00993936">
              <w:rPr>
                <w:rFonts w:ascii="Arial" w:hAnsi="Arial" w:cs="Arial"/>
                <w:b/>
                <w:snapToGrid w:val="0"/>
                <w:lang w:val="es-ES"/>
              </w:rPr>
              <w:t>HUMEDAD</w:t>
            </w:r>
          </w:p>
        </w:tc>
      </w:tr>
      <w:tr w:rsidR="00503A41" w:rsidRPr="00993936" w:rsidTr="00424C28">
        <w:tc>
          <w:tcPr>
            <w:tcW w:w="2694" w:type="dxa"/>
          </w:tcPr>
          <w:p w:rsidR="00503A41" w:rsidRPr="00993936" w:rsidRDefault="00503A41" w:rsidP="00424C28">
            <w:pPr>
              <w:pStyle w:val="Encabezado"/>
              <w:tabs>
                <w:tab w:val="clear" w:pos="4252"/>
                <w:tab w:val="clear" w:pos="8504"/>
              </w:tabs>
              <w:jc w:val="center"/>
              <w:rPr>
                <w:rFonts w:ascii="Arial" w:hAnsi="Arial" w:cs="Arial"/>
                <w:snapToGrid w:val="0"/>
                <w:lang w:val="es-ES"/>
              </w:rPr>
            </w:pPr>
            <w:r w:rsidRPr="00993936">
              <w:rPr>
                <w:rFonts w:ascii="Arial" w:hAnsi="Arial" w:cs="Arial"/>
                <w:snapToGrid w:val="0"/>
                <w:lang w:val="es-ES"/>
              </w:rPr>
              <w:t>Almendras</w:t>
            </w:r>
          </w:p>
        </w:tc>
        <w:tc>
          <w:tcPr>
            <w:tcW w:w="6378" w:type="dxa"/>
          </w:tcPr>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7,5%</w:t>
            </w:r>
          </w:p>
        </w:tc>
      </w:tr>
      <w:tr w:rsidR="00503A41" w:rsidRPr="00993936" w:rsidTr="00424C28">
        <w:tc>
          <w:tcPr>
            <w:tcW w:w="2694" w:type="dxa"/>
          </w:tcPr>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Avellanas</w:t>
            </w:r>
          </w:p>
        </w:tc>
        <w:tc>
          <w:tcPr>
            <w:tcW w:w="6378" w:type="dxa"/>
          </w:tcPr>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 xml:space="preserve"> 7-8 %</w:t>
            </w:r>
          </w:p>
        </w:tc>
      </w:tr>
      <w:tr w:rsidR="00503A41" w:rsidRPr="00993936" w:rsidTr="00424C28">
        <w:tc>
          <w:tcPr>
            <w:tcW w:w="2694" w:type="dxa"/>
          </w:tcPr>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Pistacho</w:t>
            </w:r>
          </w:p>
        </w:tc>
        <w:tc>
          <w:tcPr>
            <w:tcW w:w="6378" w:type="dxa"/>
          </w:tcPr>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7-8%.</w:t>
            </w:r>
          </w:p>
        </w:tc>
      </w:tr>
      <w:tr w:rsidR="00503A41" w:rsidRPr="00993936" w:rsidTr="00424C28">
        <w:tc>
          <w:tcPr>
            <w:tcW w:w="2694" w:type="dxa"/>
          </w:tcPr>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Nueces secas</w:t>
            </w:r>
          </w:p>
        </w:tc>
        <w:tc>
          <w:tcPr>
            <w:tcW w:w="6378" w:type="dxa"/>
          </w:tcPr>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No podrán superar el 12% (entre 8-12% sería el aconsejable)</w:t>
            </w:r>
          </w:p>
        </w:tc>
      </w:tr>
      <w:tr w:rsidR="00503A41" w:rsidRPr="00993936" w:rsidTr="00424C28">
        <w:tc>
          <w:tcPr>
            <w:tcW w:w="2694" w:type="dxa"/>
          </w:tcPr>
          <w:p w:rsidR="00503A41" w:rsidRPr="00993936" w:rsidRDefault="00503A41" w:rsidP="001D205D">
            <w:pPr>
              <w:jc w:val="center"/>
              <w:rPr>
                <w:rFonts w:ascii="Arial" w:hAnsi="Arial" w:cs="Arial"/>
                <w:snapToGrid w:val="0"/>
                <w:lang w:val="es-ES"/>
              </w:rPr>
            </w:pPr>
            <w:r w:rsidRPr="00993936">
              <w:rPr>
                <w:rFonts w:ascii="Arial" w:hAnsi="Arial" w:cs="Arial"/>
                <w:snapToGrid w:val="0"/>
                <w:lang w:val="es-ES"/>
              </w:rPr>
              <w:t>Nueces frescas</w:t>
            </w:r>
          </w:p>
        </w:tc>
        <w:tc>
          <w:tcPr>
            <w:tcW w:w="6378" w:type="dxa"/>
          </w:tcPr>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superior al 20%.</w:t>
            </w:r>
          </w:p>
        </w:tc>
      </w:tr>
    </w:tbl>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r w:rsidRPr="00993936">
        <w:rPr>
          <w:rFonts w:ascii="Arial" w:hAnsi="Arial" w:cs="Arial"/>
          <w:b/>
          <w:snapToGrid w:val="0"/>
          <w:lang w:val="es-ES"/>
        </w:rPr>
        <w:t>ANEXO 5</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Los materiales con valor fertilizante aportados al suelo no contendrán metales pesados en valores superiores a los siguientes:</w:t>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4581"/>
        <w:gridCol w:w="4493"/>
      </w:tblGrid>
      <w:tr w:rsidR="00503A41" w:rsidRPr="00993936" w:rsidTr="001D205D">
        <w:trPr>
          <w:trHeight w:val="400"/>
          <w:jc w:val="center"/>
        </w:trPr>
        <w:tc>
          <w:tcPr>
            <w:tcW w:w="2524" w:type="pct"/>
            <w:shd w:val="pct12" w:color="auto" w:fill="FFFFFF"/>
            <w:vAlign w:val="center"/>
          </w:tcPr>
          <w:p w:rsidR="00503A41" w:rsidRPr="00993936" w:rsidRDefault="00503A41" w:rsidP="00424C28">
            <w:pPr>
              <w:widowControl w:val="0"/>
              <w:jc w:val="center"/>
              <w:rPr>
                <w:rFonts w:ascii="Arial" w:hAnsi="Arial" w:cs="Arial"/>
                <w:snapToGrid w:val="0"/>
                <w:lang w:val="es-ES"/>
              </w:rPr>
            </w:pPr>
            <w:r w:rsidRPr="00993936">
              <w:rPr>
                <w:rFonts w:ascii="Arial" w:hAnsi="Arial" w:cs="Arial"/>
                <w:b/>
                <w:snapToGrid w:val="0"/>
                <w:lang w:val="es-ES"/>
              </w:rPr>
              <w:t>Metales Pesados</w:t>
            </w:r>
          </w:p>
        </w:tc>
        <w:tc>
          <w:tcPr>
            <w:tcW w:w="2476" w:type="pct"/>
            <w:shd w:val="pct12" w:color="auto" w:fill="FFFFFF"/>
            <w:vAlign w:val="center"/>
          </w:tcPr>
          <w:p w:rsidR="00503A41" w:rsidRPr="00993936" w:rsidRDefault="00503A41" w:rsidP="00424C28">
            <w:pPr>
              <w:widowControl w:val="0"/>
              <w:jc w:val="center"/>
              <w:rPr>
                <w:rFonts w:ascii="Arial" w:hAnsi="Arial" w:cs="Arial"/>
                <w:snapToGrid w:val="0"/>
                <w:lang w:val="es-ES"/>
              </w:rPr>
            </w:pPr>
            <w:r w:rsidRPr="00993936">
              <w:rPr>
                <w:rFonts w:ascii="Arial" w:hAnsi="Arial" w:cs="Arial"/>
                <w:b/>
                <w:snapToGrid w:val="0"/>
                <w:lang w:val="es-ES"/>
              </w:rPr>
              <w:t xml:space="preserve">Valores </w:t>
            </w:r>
          </w:p>
        </w:tc>
      </w:tr>
      <w:tr w:rsidR="00503A41" w:rsidRPr="00993936" w:rsidTr="001D205D">
        <w:trPr>
          <w:trHeight w:val="400"/>
          <w:jc w:val="center"/>
        </w:trPr>
        <w:tc>
          <w:tcPr>
            <w:tcW w:w="2524" w:type="pct"/>
            <w:vAlign w:val="center"/>
          </w:tcPr>
          <w:p w:rsidR="00503A41" w:rsidRPr="00993936" w:rsidRDefault="00503A41" w:rsidP="00424C28">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 xml:space="preserve">   Cadmio</w:t>
            </w:r>
          </w:p>
        </w:tc>
        <w:tc>
          <w:tcPr>
            <w:tcW w:w="2476"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3 mg/kg de materia seca</w:t>
            </w:r>
          </w:p>
        </w:tc>
      </w:tr>
      <w:tr w:rsidR="00503A41" w:rsidRPr="00993936" w:rsidTr="001D205D">
        <w:trPr>
          <w:trHeight w:val="400"/>
          <w:jc w:val="center"/>
        </w:trPr>
        <w:tc>
          <w:tcPr>
            <w:tcW w:w="2524"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Cobre</w:t>
            </w:r>
          </w:p>
        </w:tc>
        <w:tc>
          <w:tcPr>
            <w:tcW w:w="2476"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400 mg/kg de materia seca</w:t>
            </w:r>
          </w:p>
        </w:tc>
      </w:tr>
      <w:tr w:rsidR="00503A41" w:rsidRPr="00993936" w:rsidTr="001D205D">
        <w:trPr>
          <w:trHeight w:val="400"/>
          <w:jc w:val="center"/>
        </w:trPr>
        <w:tc>
          <w:tcPr>
            <w:tcW w:w="2524"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Níquel </w:t>
            </w:r>
          </w:p>
        </w:tc>
        <w:tc>
          <w:tcPr>
            <w:tcW w:w="2476"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100 mg/kg de materia seca</w:t>
            </w:r>
          </w:p>
        </w:tc>
      </w:tr>
      <w:tr w:rsidR="00503A41" w:rsidRPr="00993936" w:rsidTr="001D205D">
        <w:trPr>
          <w:trHeight w:val="400"/>
          <w:jc w:val="center"/>
        </w:trPr>
        <w:tc>
          <w:tcPr>
            <w:tcW w:w="2524"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Plomo</w:t>
            </w:r>
          </w:p>
        </w:tc>
        <w:tc>
          <w:tcPr>
            <w:tcW w:w="2476"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200 mg/kg de materia seca</w:t>
            </w:r>
          </w:p>
        </w:tc>
      </w:tr>
      <w:tr w:rsidR="00503A41" w:rsidRPr="00993936" w:rsidTr="001D205D">
        <w:trPr>
          <w:trHeight w:val="400"/>
          <w:jc w:val="center"/>
        </w:trPr>
        <w:tc>
          <w:tcPr>
            <w:tcW w:w="2524"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Cinc  </w:t>
            </w:r>
          </w:p>
        </w:tc>
        <w:tc>
          <w:tcPr>
            <w:tcW w:w="2476"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1.000 mg/kg de materia seca</w:t>
            </w:r>
          </w:p>
        </w:tc>
      </w:tr>
      <w:tr w:rsidR="00503A41" w:rsidRPr="00993936" w:rsidTr="001D205D">
        <w:trPr>
          <w:trHeight w:val="400"/>
          <w:jc w:val="center"/>
        </w:trPr>
        <w:tc>
          <w:tcPr>
            <w:tcW w:w="2524"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Mercurio</w:t>
            </w:r>
          </w:p>
        </w:tc>
        <w:tc>
          <w:tcPr>
            <w:tcW w:w="2476"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2,5 mg/kg de materia seca</w:t>
            </w:r>
          </w:p>
        </w:tc>
      </w:tr>
      <w:tr w:rsidR="00503A41" w:rsidRPr="00993936" w:rsidTr="001D205D">
        <w:trPr>
          <w:trHeight w:val="400"/>
          <w:jc w:val="center"/>
        </w:trPr>
        <w:tc>
          <w:tcPr>
            <w:tcW w:w="2524"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Cromo    </w:t>
            </w:r>
          </w:p>
        </w:tc>
        <w:tc>
          <w:tcPr>
            <w:tcW w:w="2476" w:type="pct"/>
            <w:vAlign w:val="center"/>
          </w:tcPr>
          <w:p w:rsidR="00503A41" w:rsidRPr="00993936" w:rsidRDefault="00503A41" w:rsidP="00424C28">
            <w:pPr>
              <w:widowControl w:val="0"/>
              <w:rPr>
                <w:rFonts w:ascii="Arial" w:hAnsi="Arial" w:cs="Arial"/>
                <w:snapToGrid w:val="0"/>
                <w:lang w:val="es-ES"/>
              </w:rPr>
            </w:pPr>
            <w:r w:rsidRPr="00993936">
              <w:rPr>
                <w:rFonts w:ascii="Arial" w:hAnsi="Arial" w:cs="Arial"/>
                <w:snapToGrid w:val="0"/>
                <w:lang w:val="es-ES"/>
              </w:rPr>
              <w:t xml:space="preserve">  300 mg/kg de materia seca</w:t>
            </w:r>
          </w:p>
        </w:tc>
      </w:tr>
    </w:tbl>
    <w:p w:rsidR="00503A41" w:rsidRPr="00993936" w:rsidRDefault="00503A41" w:rsidP="00424C28">
      <w:pPr>
        <w:pStyle w:val="Encabezado"/>
        <w:tabs>
          <w:tab w:val="clear" w:pos="4252"/>
          <w:tab w:val="clear" w:pos="8504"/>
        </w:tabs>
        <w:rPr>
          <w:rFonts w:ascii="Arial" w:hAnsi="Arial" w:cs="Arial"/>
          <w:lang w:val="es-ES"/>
        </w:rPr>
      </w:pPr>
      <w:r w:rsidRPr="00993936">
        <w:rPr>
          <w:rFonts w:ascii="Arial" w:hAnsi="Arial" w:cs="Arial"/>
          <w:lang w:val="es-ES"/>
        </w:rPr>
        <w:t>mg/kg: miligramo por kilo</w:t>
      </w:r>
    </w:p>
    <w:p w:rsidR="00503A41" w:rsidRPr="00993936" w:rsidRDefault="00503A41" w:rsidP="00424C28">
      <w:pPr>
        <w:pStyle w:val="Ttulo3"/>
        <w:rPr>
          <w:rFonts w:ascii="Arial" w:hAnsi="Arial" w:cs="Arial"/>
          <w:color w:val="auto"/>
          <w:szCs w:val="22"/>
          <w:lang w:val="es-ES"/>
        </w:rPr>
      </w:pPr>
    </w:p>
    <w:p w:rsidR="00503A41" w:rsidRPr="00993936" w:rsidRDefault="00503A41" w:rsidP="00424C28">
      <w:pPr>
        <w:pStyle w:val="Textoindependiente"/>
        <w:rPr>
          <w:rFonts w:cs="Arial"/>
          <w:b/>
          <w:lang w:val="es-ES"/>
        </w:rPr>
      </w:pPr>
    </w:p>
    <w:p w:rsidR="00503A41" w:rsidRPr="00993936" w:rsidRDefault="00503A41">
      <w:pPr>
        <w:rPr>
          <w:rFonts w:ascii="Arial" w:eastAsia="Times New Roman" w:hAnsi="Arial" w:cs="Arial"/>
          <w:b/>
          <w:szCs w:val="20"/>
          <w:lang w:val="es-ES" w:eastAsia="es-ES"/>
        </w:rPr>
      </w:pPr>
      <w:r w:rsidRPr="00993936">
        <w:rPr>
          <w:rFonts w:ascii="Arial" w:hAnsi="Arial" w:cs="Arial"/>
          <w:b/>
          <w:lang w:val="es-ES"/>
        </w:rPr>
        <w:br w:type="page"/>
      </w:r>
    </w:p>
    <w:p w:rsidR="00503A41" w:rsidRPr="00993936" w:rsidRDefault="00503A41" w:rsidP="00424C28">
      <w:pPr>
        <w:pStyle w:val="Textoindependiente"/>
        <w:rPr>
          <w:rFonts w:cs="Arial"/>
          <w:b/>
          <w:lang w:val="es-ES"/>
        </w:rPr>
      </w:pPr>
      <w:r w:rsidRPr="00993936">
        <w:rPr>
          <w:rFonts w:cs="Arial"/>
          <w:b/>
          <w:lang w:val="es-ES"/>
        </w:rPr>
        <w:lastRenderedPageBreak/>
        <w:t>ANEXO 6</w:t>
      </w:r>
    </w:p>
    <w:p w:rsidR="00503A41" w:rsidRPr="00993936" w:rsidRDefault="00503A41" w:rsidP="00424C28">
      <w:pPr>
        <w:pStyle w:val="Textoindependiente"/>
        <w:rPr>
          <w:rFonts w:cs="Arial"/>
          <w:b/>
          <w:lang w:val="es-ES"/>
        </w:rPr>
      </w:pPr>
    </w:p>
    <w:p w:rsidR="00503A41" w:rsidRPr="00993936" w:rsidRDefault="00503A41" w:rsidP="00424C28">
      <w:pPr>
        <w:pStyle w:val="Textoindependiente"/>
        <w:rPr>
          <w:rFonts w:cs="Arial"/>
          <w:b/>
          <w:lang w:val="es-ES"/>
        </w:rPr>
      </w:pPr>
      <w:r w:rsidRPr="00993936">
        <w:rPr>
          <w:rFonts w:cs="Arial"/>
          <w:b/>
          <w:lang w:val="es-ES"/>
        </w:rPr>
        <w:t>CRITERIOS PARA</w:t>
      </w:r>
      <w:r w:rsidRPr="00993936">
        <w:rPr>
          <w:rFonts w:cs="Arial"/>
          <w:b/>
          <w:vanish/>
          <w:lang w:val="es-ES"/>
        </w:rPr>
        <w:t>&lt;A[POR|PARA]&gt;</w:t>
      </w:r>
      <w:r w:rsidRPr="00993936">
        <w:rPr>
          <w:rFonts w:cs="Arial"/>
          <w:b/>
          <w:lang w:val="es-ES"/>
        </w:rPr>
        <w:t xml:space="preserve"> LA TOMA DE DECISIONES DE LOS TRATAMIENTOS CONTRA PLAGAS Y ENFERMEDADES EN PLANTACIONES DE FRUTOS SECOS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6.1 ALMENDRO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u w:val="single"/>
          <w:lang w:val="es-ES"/>
        </w:rPr>
      </w:pPr>
      <w:r w:rsidRPr="00993936">
        <w:rPr>
          <w:rFonts w:ascii="Arial" w:hAnsi="Arial" w:cs="Arial"/>
          <w:b/>
          <w:snapToGrid w:val="0"/>
          <w:u w:val="single"/>
          <w:lang w:val="es-ES"/>
        </w:rPr>
        <w:t>6.1.1 PLAGAS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'Anarsia'.  </w:t>
      </w:r>
      <w:r w:rsidRPr="00993936">
        <w:rPr>
          <w:rFonts w:ascii="Arial" w:hAnsi="Arial" w:cs="Arial"/>
          <w:i/>
          <w:snapToGrid w:val="0"/>
          <w:lang w:val="es-ES"/>
        </w:rPr>
        <w:t>Anarsia lineatella</w:t>
      </w:r>
      <w:r w:rsidRPr="00993936">
        <w:rPr>
          <w:rFonts w:ascii="Arial" w:hAnsi="Arial" w:cs="Arial"/>
          <w:b/>
          <w:snapToGrid w:val="0"/>
          <w:lang w:val="es-ES"/>
        </w:rPr>
        <w:t xml:space="preserve"> </w:t>
      </w:r>
      <w:r w:rsidRPr="00993936">
        <w:rPr>
          <w:rFonts w:ascii="Arial" w:hAnsi="Arial" w:cs="Arial"/>
          <w:snapToGrid w:val="0"/>
          <w:lang w:val="es-ES"/>
        </w:rPr>
        <w:t xml:space="preserv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Ataca especialmente plantaciones jóvenes e injertos.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Las posibilidades de control biológico por</w:t>
      </w:r>
      <w:r w:rsidRPr="00993936">
        <w:rPr>
          <w:rFonts w:ascii="Arial" w:hAnsi="Arial" w:cs="Arial"/>
          <w:snapToGrid w:val="0"/>
          <w:vanish/>
          <w:lang w:val="es-ES"/>
        </w:rPr>
        <w:t>&lt;A[por|para]&gt;</w:t>
      </w:r>
      <w:r w:rsidRPr="00993936">
        <w:rPr>
          <w:rFonts w:ascii="Arial" w:hAnsi="Arial" w:cs="Arial"/>
          <w:snapToGrid w:val="0"/>
          <w:lang w:val="es-ES"/>
        </w:rPr>
        <w:t xml:space="preserve"> media de la fauna auxiliar autóctona es muy limitado.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es el siguiente:</w:t>
      </w:r>
    </w:p>
    <w:p w:rsidR="00503A41" w:rsidRPr="00993936" w:rsidRDefault="00503A41" w:rsidP="009D1A2D">
      <w:pPr>
        <w:widowControl w:val="0"/>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7 capturas trampa y semana (trampa INRA).</w:t>
      </w:r>
    </w:p>
    <w:p w:rsidR="00503A41" w:rsidRPr="00993936" w:rsidRDefault="00503A41" w:rsidP="009D1A2D">
      <w:pPr>
        <w:widowControl w:val="0"/>
        <w:numPr>
          <w:ilvl w:val="0"/>
          <w:numId w:val="61"/>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3% de brotes atacados.</w:t>
      </w:r>
    </w:p>
    <w:p w:rsidR="00503A41" w:rsidRPr="00993936" w:rsidRDefault="00503A41" w:rsidP="00424C28">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snapToGrid w:val="0"/>
          <w:lang w:val="es-ES"/>
        </w:rPr>
      </w:pPr>
      <w:r w:rsidRPr="00993936">
        <w:rPr>
          <w:rFonts w:ascii="Arial" w:hAnsi="Arial" w:cs="Arial"/>
          <w:b/>
          <w:snapToGrid w:val="0"/>
          <w:lang w:val="es-ES"/>
        </w:rPr>
        <w:t xml:space="preserve">'Gusano cabezudo’.  </w:t>
      </w:r>
      <w:r w:rsidRPr="00993936">
        <w:rPr>
          <w:rFonts w:ascii="Arial" w:hAnsi="Arial" w:cs="Arial"/>
          <w:i/>
          <w:snapToGrid w:val="0"/>
          <w:lang w:val="es-ES"/>
        </w:rPr>
        <w:t xml:space="preserve">Capnodis tenebrionis.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su fase larvaria ataca las raíces y el tronco del árbol; en la fase adulta se alimenta de la parte aérea, pecíolos de hojas, partes terminales de los brotes, etc.</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Lucha química: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Tratar para eliminar a los adultos invernantes que harán la posta</w:t>
      </w:r>
      <w:r w:rsidRPr="00993936">
        <w:rPr>
          <w:rFonts w:ascii="Arial" w:hAnsi="Arial" w:cs="Arial"/>
          <w:snapToGrid w:val="0"/>
          <w:vanish/>
          <w:lang w:val="es-ES"/>
        </w:rPr>
        <w:t>&lt;A[posta|apostadero]&gt;</w:t>
      </w:r>
      <w:r w:rsidRPr="00993936">
        <w:rPr>
          <w:rFonts w:ascii="Arial" w:hAnsi="Arial" w:cs="Arial"/>
          <w:snapToGrid w:val="0"/>
          <w:lang w:val="es-ES"/>
        </w:rPr>
        <w:t>. Tratamiento dirigidos a la copa del árbol durante los meses de mayo, junio y julio. Los adultos que salen posteriormente no harán posta</w:t>
      </w:r>
      <w:r w:rsidRPr="00993936">
        <w:rPr>
          <w:rFonts w:ascii="Arial" w:hAnsi="Arial" w:cs="Arial"/>
          <w:snapToGrid w:val="0"/>
          <w:vanish/>
          <w:lang w:val="es-ES"/>
        </w:rPr>
        <w:t>&lt;A[posta|apostadero]&gt;</w:t>
      </w:r>
      <w:r w:rsidRPr="00993936">
        <w:rPr>
          <w:rFonts w:ascii="Arial" w:hAnsi="Arial" w:cs="Arial"/>
          <w:snapToGrid w:val="0"/>
          <w:lang w:val="es-ES"/>
        </w:rPr>
        <w:t xml:space="preserve"> este año.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424C28">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i/>
          <w:color w:val="auto"/>
          <w:sz w:val="22"/>
          <w:lang w:val="es-ES"/>
        </w:rPr>
      </w:pPr>
      <w:r w:rsidRPr="00993936">
        <w:rPr>
          <w:rFonts w:ascii="Arial" w:hAnsi="Arial" w:cs="Arial"/>
          <w:b/>
          <w:snapToGrid w:val="0"/>
          <w:color w:val="auto"/>
          <w:sz w:val="22"/>
          <w:lang w:val="es-ES"/>
        </w:rPr>
        <w:t xml:space="preserve">'Pulgones'.  </w:t>
      </w:r>
      <w:r w:rsidRPr="00993936">
        <w:rPr>
          <w:rFonts w:ascii="Arial" w:hAnsi="Arial" w:cs="Arial"/>
          <w:b/>
          <w:i/>
          <w:snapToGrid w:val="0"/>
          <w:color w:val="auto"/>
          <w:sz w:val="22"/>
          <w:lang w:val="es-ES"/>
        </w:rPr>
        <w:t xml:space="preserve"> </w:t>
      </w:r>
      <w:r w:rsidRPr="00993936">
        <w:rPr>
          <w:rFonts w:ascii="Arial" w:hAnsi="Arial" w:cs="Arial"/>
          <w:i/>
          <w:snapToGrid w:val="0"/>
          <w:color w:val="auto"/>
          <w:sz w:val="22"/>
          <w:lang w:val="es-ES"/>
        </w:rPr>
        <w:t>Myzus persicae, Hyalopterus amygdali</w:t>
      </w:r>
    </w:p>
    <w:p w:rsidR="00503A41" w:rsidRPr="00993936" w:rsidRDefault="00503A41" w:rsidP="00424C28">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color w:val="auto"/>
          <w:sz w:val="22"/>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Los pulgones tienen muchos enemigos naturales, si bien muchas veces no controlan totalmente las poblaciones, las pueden reducir sustancialmente. </w:t>
      </w:r>
    </w:p>
    <w:p w:rsidR="00503A41" w:rsidRPr="00993936" w:rsidRDefault="00503A41" w:rsidP="009D1A2D">
      <w:pPr>
        <w:widowControl w:val="0"/>
        <w:numPr>
          <w:ilvl w:val="0"/>
          <w:numId w:val="13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En caso de tener problemas anualmente, habrá que tratar en prefloración (presencia de huevos)</w:t>
      </w:r>
    </w:p>
    <w:p w:rsidR="00503A41" w:rsidRPr="00993936" w:rsidRDefault="00503A41" w:rsidP="009D1A2D">
      <w:pPr>
        <w:widowControl w:val="0"/>
        <w:numPr>
          <w:ilvl w:val="0"/>
          <w:numId w:val="135"/>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 xml:space="preserve">Si no se tienen problemas graves, un tratamiento desde caída de pétalos hasta caída del collarillo es en principio suficiente. De esta manera conseguiremos un buen </w:t>
      </w:r>
      <w:r w:rsidRPr="00993936">
        <w:rPr>
          <w:rFonts w:ascii="Arial" w:hAnsi="Arial" w:cs="Arial"/>
          <w:snapToGrid w:val="0"/>
          <w:lang w:val="es-ES"/>
        </w:rPr>
        <w:lastRenderedPageBreak/>
        <w:t>control de la población de áfidos sin eliminar la fauna útil que nos ayudará a controlarla y así probablemente no será necesario hacer posteriores tratamientos afidicidas que provocarán fácilmente problemas de araña en verano.</w:t>
      </w:r>
    </w:p>
    <w:p w:rsidR="00503A41" w:rsidRPr="00993936" w:rsidRDefault="00503A41" w:rsidP="009D1A2D">
      <w:pPr>
        <w:widowControl w:val="0"/>
        <w:numPr>
          <w:ilvl w:val="0"/>
          <w:numId w:val="136"/>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Posteriormente, únicamente se tratará si se supera el umbral de tolerancia, aconsejando realizar tratamientos localizados si se forman colonias aisladas:</w:t>
      </w:r>
    </w:p>
    <w:p w:rsidR="00503A41" w:rsidRPr="00993936" w:rsidRDefault="00503A41" w:rsidP="009D1A2D">
      <w:pPr>
        <w:widowControl w:val="0"/>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lang w:val="es-ES"/>
        </w:rPr>
      </w:pPr>
      <w:r w:rsidRPr="00993936">
        <w:rPr>
          <w:rFonts w:ascii="Arial" w:hAnsi="Arial" w:cs="Arial"/>
          <w:i/>
          <w:snapToGrid w:val="0"/>
          <w:lang w:val="es-ES"/>
        </w:rPr>
        <w:t>Myzus persicae</w:t>
      </w:r>
      <w:r w:rsidRPr="00993936">
        <w:rPr>
          <w:rFonts w:ascii="Arial" w:hAnsi="Arial" w:cs="Arial"/>
          <w:snapToGrid w:val="0"/>
          <w:lang w:val="es-ES"/>
        </w:rPr>
        <w:t xml:space="preserve"> :5% de brotes ocupados.</w:t>
      </w:r>
    </w:p>
    <w:p w:rsidR="00503A41" w:rsidRPr="00993936" w:rsidRDefault="00503A41" w:rsidP="009D1A2D">
      <w:pPr>
        <w:widowControl w:val="0"/>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lang w:val="es-ES"/>
        </w:rPr>
      </w:pPr>
      <w:r w:rsidRPr="00993936">
        <w:rPr>
          <w:rFonts w:ascii="Arial" w:hAnsi="Arial" w:cs="Arial"/>
          <w:i/>
          <w:snapToGrid w:val="0"/>
          <w:lang w:val="es-ES"/>
        </w:rPr>
        <w:t>Hyalopterus amygdali</w:t>
      </w:r>
      <w:r w:rsidRPr="00993936">
        <w:rPr>
          <w:rFonts w:ascii="Arial" w:hAnsi="Arial" w:cs="Arial"/>
          <w:lang w:val="es-ES"/>
        </w:rPr>
        <w:t xml:space="preserve">: </w:t>
      </w:r>
      <w:r w:rsidRPr="00993936">
        <w:rPr>
          <w:rFonts w:ascii="Arial" w:hAnsi="Arial" w:cs="Arial"/>
          <w:snapToGrid w:val="0"/>
          <w:lang w:val="es-ES"/>
        </w:rPr>
        <w:t>5% de brotes ocupados.</w:t>
      </w:r>
    </w:p>
    <w:p w:rsidR="00503A41" w:rsidRPr="00993936" w:rsidRDefault="00503A41" w:rsidP="009D1A2D">
      <w:pPr>
        <w:widowControl w:val="0"/>
        <w:numPr>
          <w:ilvl w:val="0"/>
          <w:numId w:val="5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lang w:val="es-ES"/>
        </w:rPr>
      </w:pPr>
      <w:r w:rsidRPr="00993936">
        <w:rPr>
          <w:rFonts w:ascii="Arial" w:hAnsi="Arial" w:cs="Arial"/>
          <w:i/>
          <w:snapToGrid w:val="0"/>
          <w:lang w:val="es-ES"/>
        </w:rPr>
        <w:t>Pterochloroides persicae:</w:t>
      </w:r>
      <w:r w:rsidRPr="00993936">
        <w:rPr>
          <w:rFonts w:ascii="Arial" w:hAnsi="Arial" w:cs="Arial"/>
          <w:lang w:val="es-ES"/>
        </w:rPr>
        <w:t xml:space="preserve"> presencia. Tratamiento localizado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b/>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snapToGrid w:val="0"/>
          <w:lang w:val="es-ES"/>
        </w:rPr>
      </w:pPr>
      <w:r w:rsidRPr="00993936">
        <w:rPr>
          <w:rFonts w:ascii="Arial" w:hAnsi="Arial" w:cs="Arial"/>
          <w:b/>
          <w:snapToGrid w:val="0"/>
          <w:lang w:val="es-ES"/>
        </w:rPr>
        <w:t xml:space="preserve"> 'Tigre'. </w:t>
      </w:r>
      <w:r w:rsidRPr="00993936">
        <w:rPr>
          <w:rFonts w:ascii="Arial" w:hAnsi="Arial" w:cs="Arial"/>
          <w:i/>
          <w:snapToGrid w:val="0"/>
          <w:lang w:val="es-ES"/>
        </w:rPr>
        <w:t>Monosteira unicostata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napToGrid w:val="0"/>
          <w:lang w:val="es-ES"/>
        </w:rPr>
      </w:pPr>
    </w:p>
    <w:p w:rsidR="00503A41" w:rsidRPr="00993936" w:rsidRDefault="00503A41" w:rsidP="00424C28">
      <w:pPr>
        <w:pStyle w:val="Textoindependiente3"/>
        <w:rPr>
          <w:rFonts w:cs="Arial"/>
          <w:lang w:val="es-ES"/>
        </w:rPr>
      </w:pPr>
      <w:r w:rsidRPr="00993936">
        <w:rPr>
          <w:rFonts w:cs="Arial"/>
          <w:lang w:val="es-ES"/>
        </w:rPr>
        <w:t>Aunque sea difícil ver a este pequeño insecto, se detecta fácilmente por las deyecciones que realiza en el reverso de las hojas en forma de pequeños puntos negros.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9D1A2D">
      <w:pPr>
        <w:widowControl w:val="0"/>
        <w:numPr>
          <w:ilvl w:val="0"/>
          <w:numId w:val="13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Sino únicamente habrá que tratar en el momento que se supere el umbral de 10% de brotes ocupados.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'Ácaros tetraníquidos'.  </w:t>
      </w:r>
      <w:r w:rsidRPr="00993936">
        <w:rPr>
          <w:rFonts w:ascii="Arial" w:hAnsi="Arial" w:cs="Arial"/>
          <w:i/>
          <w:snapToGrid w:val="0"/>
          <w:lang w:val="es-ES"/>
        </w:rPr>
        <w:t>Panonychus ulmi, Tetranychus urticae, Eotetranychus carpinii</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Los productos seleccionados, para el tratamiento de las diferentes plagas, deben ser respetuosos con los ácaros fitoseidos.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Los ácaros fitoseidos controlan las poblaciones de los ácaros tetraníquidos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Se dará absoluta preferencia al control biológico y la utilización de acaricidas sólo se plantea de forma transitoria hasta alcanzar el equilibrio biológico.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el momento de la recolección se puede justificar un tratamiento para</w:t>
      </w:r>
      <w:r w:rsidRPr="00993936">
        <w:rPr>
          <w:rFonts w:ascii="Arial" w:hAnsi="Arial" w:cs="Arial"/>
          <w:snapToGrid w:val="0"/>
          <w:vanish/>
          <w:lang w:val="es-ES"/>
        </w:rPr>
        <w:t>&lt;A[por|para]&gt;</w:t>
      </w:r>
      <w:r w:rsidRPr="00993936">
        <w:rPr>
          <w:rFonts w:ascii="Arial" w:hAnsi="Arial" w:cs="Arial"/>
          <w:snapToGrid w:val="0"/>
          <w:lang w:val="es-ES"/>
        </w:rPr>
        <w:t xml:space="preserve"> la prevención de alergias de los recolectores a los ácaros.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 xml:space="preserve">'Araña roja. </w:t>
      </w:r>
      <w:r w:rsidRPr="00993936">
        <w:rPr>
          <w:rFonts w:ascii="Arial" w:hAnsi="Arial" w:cs="Arial"/>
          <w:snapToGrid w:val="0"/>
          <w:lang w:val="es-ES"/>
        </w:rPr>
        <w:t>(</w:t>
      </w:r>
      <w:r w:rsidRPr="00993936">
        <w:rPr>
          <w:rFonts w:ascii="Arial" w:hAnsi="Arial" w:cs="Arial"/>
          <w:i/>
          <w:snapToGrid w:val="0"/>
          <w:lang w:val="es-ES"/>
        </w:rPr>
        <w:t>Panonychus ulmi</w:t>
      </w:r>
      <w:r w:rsidRPr="00993936">
        <w:rPr>
          <w:rFonts w:ascii="Arial" w:hAnsi="Arial" w:cs="Arial"/>
          <w:snapToGrid w:val="0"/>
          <w:lang w:val="es-ES"/>
        </w:rPr>
        <w:t>).</w:t>
      </w:r>
      <w:r w:rsidRPr="00993936">
        <w:rPr>
          <w:rFonts w:ascii="Arial" w:hAnsi="Arial" w:cs="Arial"/>
          <w:b/>
          <w:snapToGrid w:val="0"/>
          <w:lang w:val="es-ES"/>
        </w:rPr>
        <w:t xml:space="preserv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 partir del 30 de junio, la muestra de hojas hace falta tomarla del tercio central de las brindillas del año. La estrategia de control se fundamenta en el porcentaje de ocupación</w:t>
      </w:r>
      <w:r w:rsidRPr="00993936">
        <w:rPr>
          <w:rFonts w:ascii="Arial" w:hAnsi="Arial" w:cs="Arial"/>
          <w:snapToGrid w:val="0"/>
          <w:vanish/>
          <w:lang w:val="es-ES"/>
        </w:rPr>
        <w:t>&lt;A[empleo|ocupación]&gt;</w:t>
      </w:r>
      <w:r w:rsidRPr="00993936">
        <w:rPr>
          <w:rFonts w:ascii="Arial" w:hAnsi="Arial" w:cs="Arial"/>
          <w:snapToGrid w:val="0"/>
          <w:lang w:val="es-ES"/>
        </w:rPr>
        <w:t xml:space="preserve"> calculado a partir de 50 hojas de acuerdo con la siguiente Tabla</w:t>
      </w:r>
      <w:r w:rsidRPr="00993936">
        <w:rPr>
          <w:rFonts w:ascii="Arial" w:hAnsi="Arial" w:cs="Arial"/>
          <w:snapToGrid w:val="0"/>
          <w:vanish/>
          <w:lang w:val="es-ES"/>
        </w:rPr>
        <w:t>&lt;A[mesa|tabla]&gt;</w:t>
      </w:r>
      <w:r w:rsidRPr="00993936">
        <w:rPr>
          <w:rFonts w:ascii="Arial" w:hAnsi="Arial" w:cs="Arial"/>
          <w:snapToGrid w:val="0"/>
          <w:lang w:val="es-ES"/>
        </w:rPr>
        <w:t>:</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793"/>
        <w:gridCol w:w="2410"/>
        <w:gridCol w:w="3218"/>
      </w:tblGrid>
      <w:tr w:rsidR="00503A41" w:rsidRPr="00993936" w:rsidTr="00424C28">
        <w:trPr>
          <w:cantSplit/>
          <w:trHeight w:val="400"/>
          <w:jc w:val="center"/>
        </w:trPr>
        <w:tc>
          <w:tcPr>
            <w:tcW w:w="5203" w:type="dxa"/>
            <w:gridSpan w:val="2"/>
            <w:shd w:val="pct30" w:color="auto" w:fill="FFFFFF"/>
            <w:vAlign w:val="center"/>
          </w:tcPr>
          <w:p w:rsidR="00503A41" w:rsidRPr="00993936" w:rsidRDefault="00503A41" w:rsidP="007003E1">
            <w:pPr>
              <w:pStyle w:val="Sinespaciado"/>
              <w:jc w:val="center"/>
              <w:rPr>
                <w:rFonts w:ascii="Arial" w:hAnsi="Arial" w:cs="Arial"/>
                <w:b/>
                <w:snapToGrid w:val="0"/>
                <w:lang w:val="es-ES"/>
              </w:rPr>
            </w:pPr>
            <w:r w:rsidRPr="00993936">
              <w:rPr>
                <w:rFonts w:ascii="Arial" w:hAnsi="Arial" w:cs="Arial"/>
                <w:b/>
                <w:snapToGrid w:val="0"/>
                <w:lang w:val="es-ES"/>
              </w:rPr>
              <w:t>PORCENTAJE DE HOJAS OCUPADAS</w:t>
            </w:r>
          </w:p>
        </w:tc>
        <w:tc>
          <w:tcPr>
            <w:tcW w:w="3218" w:type="dxa"/>
            <w:vMerge w:val="restart"/>
            <w:shd w:val="pct30" w:color="auto" w:fill="FFFFFF"/>
            <w:vAlign w:val="center"/>
          </w:tcPr>
          <w:p w:rsidR="00503A41" w:rsidRPr="00993936" w:rsidRDefault="00503A41" w:rsidP="007003E1">
            <w:pPr>
              <w:pStyle w:val="Sinespaciado"/>
              <w:jc w:val="center"/>
              <w:rPr>
                <w:rFonts w:ascii="Arial" w:hAnsi="Arial" w:cs="Arial"/>
                <w:b/>
                <w:snapToGrid w:val="0"/>
                <w:lang w:val="es-ES"/>
              </w:rPr>
            </w:pPr>
            <w:r w:rsidRPr="00993936">
              <w:rPr>
                <w:rFonts w:ascii="Arial" w:hAnsi="Arial" w:cs="Arial"/>
                <w:b/>
                <w:snapToGrid w:val="0"/>
                <w:lang w:val="es-ES"/>
              </w:rPr>
              <w:t>DECISIÓN</w:t>
            </w:r>
          </w:p>
        </w:tc>
      </w:tr>
      <w:tr w:rsidR="00503A41" w:rsidRPr="00993936" w:rsidTr="00424C28">
        <w:trPr>
          <w:cantSplit/>
          <w:jc w:val="center"/>
        </w:trPr>
        <w:tc>
          <w:tcPr>
            <w:tcW w:w="2793" w:type="dxa"/>
            <w:shd w:val="pct30" w:color="auto" w:fill="FFFFFF"/>
            <w:vAlign w:val="center"/>
          </w:tcPr>
          <w:p w:rsidR="00503A41" w:rsidRPr="00993936" w:rsidRDefault="00503A41" w:rsidP="007003E1">
            <w:pPr>
              <w:pStyle w:val="Sinespaciado"/>
              <w:jc w:val="center"/>
              <w:rPr>
                <w:rFonts w:ascii="Arial" w:hAnsi="Arial" w:cs="Arial"/>
                <w:b/>
                <w:snapToGrid w:val="0"/>
                <w:lang w:val="es-ES"/>
              </w:rPr>
            </w:pPr>
            <w:r w:rsidRPr="00993936">
              <w:rPr>
                <w:rFonts w:ascii="Arial" w:hAnsi="Arial" w:cs="Arial"/>
                <w:b/>
                <w:snapToGrid w:val="0"/>
                <w:lang w:val="es-ES"/>
              </w:rPr>
              <w:t>POR ARAÑA ROJA (AR)</w:t>
            </w:r>
          </w:p>
        </w:tc>
        <w:tc>
          <w:tcPr>
            <w:tcW w:w="2410" w:type="dxa"/>
            <w:shd w:val="pct30" w:color="auto" w:fill="FFFFFF"/>
            <w:vAlign w:val="center"/>
          </w:tcPr>
          <w:p w:rsidR="00503A41" w:rsidRPr="00993936" w:rsidRDefault="00503A41" w:rsidP="007003E1">
            <w:pPr>
              <w:pStyle w:val="Sinespaciado"/>
              <w:jc w:val="center"/>
              <w:rPr>
                <w:rFonts w:ascii="Arial" w:hAnsi="Arial" w:cs="Arial"/>
                <w:b/>
                <w:snapToGrid w:val="0"/>
                <w:lang w:val="es-ES"/>
              </w:rPr>
            </w:pPr>
            <w:r w:rsidRPr="00993936">
              <w:rPr>
                <w:rFonts w:ascii="Arial" w:hAnsi="Arial" w:cs="Arial"/>
                <w:b/>
                <w:snapToGrid w:val="0"/>
                <w:lang w:val="es-ES"/>
              </w:rPr>
              <w:t>POR FITOSEIDOS (FIJO)</w:t>
            </w:r>
          </w:p>
        </w:tc>
        <w:tc>
          <w:tcPr>
            <w:tcW w:w="3218" w:type="dxa"/>
            <w:vMerge/>
            <w:shd w:val="pct30" w:color="auto" w:fill="FFFFFF"/>
            <w:vAlign w:val="center"/>
          </w:tcPr>
          <w:p w:rsidR="00503A41" w:rsidRPr="00993936" w:rsidRDefault="00503A41" w:rsidP="007003E1">
            <w:pPr>
              <w:pStyle w:val="Sinespaciado"/>
              <w:jc w:val="center"/>
              <w:rPr>
                <w:rFonts w:ascii="Arial" w:hAnsi="Arial" w:cs="Arial"/>
                <w:b/>
                <w:snapToGrid w:val="0"/>
                <w:lang w:val="es-ES"/>
              </w:rPr>
            </w:pPr>
          </w:p>
        </w:tc>
      </w:tr>
      <w:tr w:rsidR="00503A41" w:rsidRPr="00993936" w:rsidTr="00424C28">
        <w:trPr>
          <w:jc w:val="center"/>
        </w:trPr>
        <w:tc>
          <w:tcPr>
            <w:tcW w:w="2793"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&gt;= 70%</w:t>
            </w:r>
          </w:p>
        </w:tc>
        <w:tc>
          <w:tcPr>
            <w:tcW w:w="2410"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0-20 %</w:t>
            </w:r>
          </w:p>
        </w:tc>
        <w:tc>
          <w:tcPr>
            <w:tcW w:w="3218"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TRATAR</w:t>
            </w:r>
          </w:p>
        </w:tc>
      </w:tr>
      <w:tr w:rsidR="00503A41" w:rsidRPr="00993936" w:rsidTr="00424C28">
        <w:trPr>
          <w:jc w:val="center"/>
        </w:trPr>
        <w:tc>
          <w:tcPr>
            <w:tcW w:w="2793"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&gt;= 70%</w:t>
            </w:r>
          </w:p>
        </w:tc>
        <w:tc>
          <w:tcPr>
            <w:tcW w:w="2410"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20-60 %</w:t>
            </w:r>
          </w:p>
        </w:tc>
        <w:tc>
          <w:tcPr>
            <w:tcW w:w="3218"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Volver a controlar a los 7-10 días</w:t>
            </w:r>
          </w:p>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y tratar si AR&gt;=90 y FIJO &lt;=40</w:t>
            </w:r>
          </w:p>
        </w:tc>
      </w:tr>
      <w:tr w:rsidR="00503A41" w:rsidRPr="00993936" w:rsidTr="00424C28">
        <w:trPr>
          <w:jc w:val="center"/>
        </w:trPr>
        <w:tc>
          <w:tcPr>
            <w:tcW w:w="2793"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lastRenderedPageBreak/>
              <w:t>&gt;=70%</w:t>
            </w:r>
          </w:p>
        </w:tc>
        <w:tc>
          <w:tcPr>
            <w:tcW w:w="2410"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60-100 %</w:t>
            </w:r>
          </w:p>
        </w:tc>
        <w:tc>
          <w:tcPr>
            <w:tcW w:w="3218" w:type="dxa"/>
          </w:tcPr>
          <w:p w:rsidR="00503A41" w:rsidRPr="00993936" w:rsidRDefault="00503A41" w:rsidP="007003E1">
            <w:pPr>
              <w:pStyle w:val="Sinespaciado"/>
              <w:rPr>
                <w:rFonts w:ascii="Arial" w:hAnsi="Arial" w:cs="Arial"/>
                <w:snapToGrid w:val="0"/>
                <w:lang w:val="es-ES"/>
              </w:rPr>
            </w:pPr>
            <w:r w:rsidRPr="00993936">
              <w:rPr>
                <w:rFonts w:ascii="Arial" w:hAnsi="Arial" w:cs="Arial"/>
                <w:snapToGrid w:val="0"/>
                <w:lang w:val="es-ES"/>
              </w:rPr>
              <w:t>NO TRATAR</w:t>
            </w:r>
          </w:p>
        </w:tc>
      </w:tr>
    </w:tbl>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'Araña amarilla</w:t>
      </w:r>
      <w:r w:rsidRPr="00993936">
        <w:rPr>
          <w:rFonts w:ascii="Arial" w:hAnsi="Arial" w:cs="Arial"/>
          <w:snapToGrid w:val="0"/>
          <w:lang w:val="es-ES"/>
        </w:rPr>
        <w:t xml:space="preserve">'.  </w:t>
      </w:r>
      <w:r w:rsidRPr="00993936">
        <w:rPr>
          <w:rFonts w:ascii="Arial" w:hAnsi="Arial" w:cs="Arial"/>
          <w:i/>
          <w:snapToGrid w:val="0"/>
          <w:lang w:val="es-ES"/>
        </w:rPr>
        <w:t>Tetraninchus urticae, Eotetranychus carpinii</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Sus poblaciones son controladas por el coleóptero S</w:t>
      </w:r>
      <w:r w:rsidRPr="00993936">
        <w:rPr>
          <w:rFonts w:ascii="Arial" w:hAnsi="Arial" w:cs="Arial"/>
          <w:i/>
          <w:snapToGrid w:val="0"/>
          <w:lang w:val="es-ES"/>
        </w:rPr>
        <w:t xml:space="preserve">tethorus punctillum </w:t>
      </w:r>
      <w:r w:rsidRPr="00993936">
        <w:rPr>
          <w:rFonts w:ascii="Arial" w:hAnsi="Arial" w:cs="Arial"/>
          <w:snapToGrid w:val="0"/>
          <w:lang w:val="es-ES"/>
        </w:rPr>
        <w:t>en almendro. Se procurará favorecer el establecimiento de estos por qué realice el correspondiente control biológico.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A partir de los primeros síntomas hay que hacer un seguimiento semanalmente mirando el reverso de las hojas interiores del árbol. Solamente habrá que realizar alguna intervención en caso de que se den las circunstancias siguientes: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t>Almendro: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CASO A:</w:t>
      </w:r>
    </w:p>
    <w:p w:rsidR="00503A41" w:rsidRPr="00993936" w:rsidRDefault="00503A41" w:rsidP="009D1A2D">
      <w:pPr>
        <w:widowControl w:val="0"/>
        <w:numPr>
          <w:ilvl w:val="0"/>
          <w:numId w:val="63"/>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Índice de fitófago superior al 60% de hojas ocupadas y</w:t>
      </w:r>
    </w:p>
    <w:p w:rsidR="00503A41" w:rsidRPr="00993936" w:rsidRDefault="00503A41" w:rsidP="009D1A2D">
      <w:pPr>
        <w:widowControl w:val="0"/>
        <w:numPr>
          <w:ilvl w:val="0"/>
          <w:numId w:val="63"/>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Índice de predador (Stethorus) inferior al 30% de hojas ocupadas.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CASO B:</w:t>
      </w:r>
    </w:p>
    <w:p w:rsidR="00503A41" w:rsidRPr="00993936" w:rsidRDefault="00503A41" w:rsidP="009D1A2D">
      <w:pPr>
        <w:widowControl w:val="0"/>
        <w:numPr>
          <w:ilvl w:val="0"/>
          <w:numId w:val="63"/>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Índice de fitófago superior al 30% de hojas ocupadas y</w:t>
      </w:r>
    </w:p>
    <w:p w:rsidR="00503A41" w:rsidRPr="00993936" w:rsidRDefault="00503A41" w:rsidP="009D1A2D">
      <w:pPr>
        <w:widowControl w:val="0"/>
        <w:numPr>
          <w:ilvl w:val="0"/>
          <w:numId w:val="63"/>
        </w:numPr>
        <w:tabs>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Índice de predador (Stethorus) al 0% de hojas ocupadas.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u w:val="single"/>
          <w:lang w:val="es-ES"/>
        </w:rPr>
      </w:pPr>
      <w:r w:rsidRPr="00993936">
        <w:rPr>
          <w:rFonts w:ascii="Arial" w:hAnsi="Arial" w:cs="Arial"/>
          <w:b/>
          <w:snapToGrid w:val="0"/>
          <w:u w:val="single"/>
          <w:lang w:val="es-ES"/>
        </w:rPr>
        <w:t>6.1.2  ENFERMEDADES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control de enfermedades que pueden afectar a los frutales de frutos secos tiene que realizarse de forma preventiva ,i viene condicionado</w:t>
      </w:r>
      <w:r w:rsidRPr="00993936">
        <w:rPr>
          <w:rFonts w:ascii="Arial" w:hAnsi="Arial" w:cs="Arial"/>
          <w:snapToGrid w:val="0"/>
          <w:vanish/>
          <w:lang w:val="es-ES"/>
        </w:rPr>
        <w:t>&lt;A[acondicionado|condicionado]&gt;</w:t>
      </w:r>
      <w:r w:rsidRPr="00993936">
        <w:rPr>
          <w:rFonts w:ascii="Arial" w:hAnsi="Arial" w:cs="Arial"/>
          <w:snapToGrid w:val="0"/>
          <w:lang w:val="es-ES"/>
        </w:rPr>
        <w:t xml:space="preserve"> por la problemática existente durante periodo vegetativo anterior (nivel de inóculo), los estados fenológicos más sensibles y su epidemiología.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'Abolladura', 'Taphrina deformans', Cribado', 'Stigmina carpophila'.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Suele tener incidencia al principio de la brotación si se producen durante esta época periodos de lluvia y mucha humedad.</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Lucha química:</w:t>
      </w:r>
    </w:p>
    <w:p w:rsidR="00503A41" w:rsidRPr="00993936" w:rsidRDefault="00503A41" w:rsidP="009D1A2D">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Tratamiento desde el estadio B hasta la caída de pétalos, en caso de que durante la anterior campaña se hubiera producido una fuerte afectación.</w:t>
      </w:r>
    </w:p>
    <w:p w:rsidR="00503A41" w:rsidRPr="00993936" w:rsidRDefault="00503A41" w:rsidP="009D1A2D">
      <w:pPr>
        <w:widowControl w:val="0"/>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Sino, tratamiento a caída de pétalos, en caso de tiempo lluvioso se pueden hacer hasta 2 tratamientos.</w:t>
      </w:r>
    </w:p>
    <w:p w:rsidR="00503A41" w:rsidRPr="00993936" w:rsidRDefault="00503A41" w:rsidP="009D1A2D">
      <w:pPr>
        <w:widowControl w:val="0"/>
        <w:numPr>
          <w:ilvl w:val="0"/>
          <w:numId w:val="1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snapToGrid w:val="0"/>
          <w:lang w:val="es-ES"/>
        </w:rPr>
      </w:pPr>
      <w:r w:rsidRPr="00993936">
        <w:rPr>
          <w:rFonts w:ascii="Arial" w:hAnsi="Arial" w:cs="Arial"/>
          <w:snapToGrid w:val="0"/>
          <w:lang w:val="es-ES"/>
        </w:rPr>
        <w:t>Tratamiento a la caída de la hoja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u w:val="single"/>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snapToGrid w:val="0"/>
          <w:lang w:val="es-ES"/>
        </w:rPr>
      </w:pPr>
      <w:r w:rsidRPr="00993936">
        <w:rPr>
          <w:rFonts w:ascii="Arial" w:hAnsi="Arial" w:cs="Arial"/>
          <w:b/>
          <w:snapToGrid w:val="0"/>
          <w:lang w:val="es-ES"/>
        </w:rPr>
        <w:t xml:space="preserve">'Brote seco'.  </w:t>
      </w:r>
      <w:r w:rsidRPr="00993936">
        <w:rPr>
          <w:rFonts w:ascii="Arial" w:hAnsi="Arial" w:cs="Arial"/>
          <w:i/>
          <w:snapToGrid w:val="0"/>
          <w:lang w:val="es-ES"/>
        </w:rPr>
        <w:t>Phomopsis amygdali</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Lucha cultural: </w:t>
      </w:r>
    </w:p>
    <w:p w:rsidR="00503A41" w:rsidRPr="00993936" w:rsidRDefault="00503A41" w:rsidP="009D1A2D">
      <w:pPr>
        <w:widowControl w:val="0"/>
        <w:numPr>
          <w:ilvl w:val="0"/>
          <w:numId w:val="1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lastRenderedPageBreak/>
        <w:t>En invierno: poda y crema de las ramas atacadas</w:t>
      </w:r>
    </w:p>
    <w:p w:rsidR="00503A41" w:rsidRPr="00993936" w:rsidRDefault="00503A41" w:rsidP="009D1A2D">
      <w:pPr>
        <w:widowControl w:val="0"/>
        <w:numPr>
          <w:ilvl w:val="0"/>
          <w:numId w:val="1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verano: poda en verde y crema de ramas afectadas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Lucha química: </w:t>
      </w:r>
    </w:p>
    <w:p w:rsidR="00503A41" w:rsidRPr="00993936" w:rsidRDefault="00503A41" w:rsidP="009D1A2D">
      <w:pPr>
        <w:widowControl w:val="0"/>
        <w:numPr>
          <w:ilvl w:val="0"/>
          <w:numId w:val="1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Desde mediados de mayo a mediados de junio, En caso de afectación importante o tiempo lluvioso.</w:t>
      </w:r>
    </w:p>
    <w:p w:rsidR="00503A41" w:rsidRPr="00993936" w:rsidRDefault="00503A41" w:rsidP="009D1A2D">
      <w:pPr>
        <w:widowControl w:val="0"/>
        <w:numPr>
          <w:ilvl w:val="0"/>
          <w:numId w:val="1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Tratamiento a caída del 50% de la hoja añadiendo un benzimidazol al tratamiento cúprico.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napToGrid w:val="0"/>
          <w:lang w:val="es-ES"/>
        </w:rPr>
      </w:pPr>
      <w:r w:rsidRPr="00993936">
        <w:rPr>
          <w:rFonts w:ascii="Arial" w:hAnsi="Arial" w:cs="Arial"/>
          <w:b/>
          <w:snapToGrid w:val="0"/>
          <w:lang w:val="es-ES"/>
        </w:rPr>
        <w:t xml:space="preserve">'Mal de cuello’. </w:t>
      </w:r>
      <w:r w:rsidRPr="00993936">
        <w:rPr>
          <w:rFonts w:ascii="Arial" w:hAnsi="Arial" w:cs="Arial"/>
          <w:i/>
          <w:snapToGrid w:val="0"/>
          <w:lang w:val="es-ES"/>
        </w:rPr>
        <w:t>Phytophtora infestants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Para evitar esta enfermedad hace falta: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9D1A2D">
      <w:pPr>
        <w:widowControl w:val="0"/>
        <w:numPr>
          <w:ilvl w:val="0"/>
          <w:numId w:val="1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40"/>
        <w:jc w:val="both"/>
        <w:rPr>
          <w:rFonts w:ascii="Arial" w:hAnsi="Arial" w:cs="Arial"/>
          <w:snapToGrid w:val="0"/>
          <w:lang w:val="es-ES"/>
        </w:rPr>
      </w:pPr>
      <w:r w:rsidRPr="00993936">
        <w:rPr>
          <w:rFonts w:ascii="Arial" w:hAnsi="Arial" w:cs="Arial"/>
          <w:snapToGrid w:val="0"/>
          <w:lang w:val="es-ES"/>
        </w:rPr>
        <w:t>evitar el estancamiento de agua en torno al cuello</w:t>
      </w:r>
      <w:r w:rsidRPr="00993936">
        <w:rPr>
          <w:rFonts w:ascii="Arial" w:hAnsi="Arial" w:cs="Arial"/>
          <w:snapToGrid w:val="0"/>
          <w:vanish/>
          <w:lang w:val="es-ES"/>
        </w:rPr>
        <w:t>&lt;A[cuello|garganta]&gt;</w:t>
      </w:r>
    </w:p>
    <w:p w:rsidR="00503A41" w:rsidRPr="00993936" w:rsidRDefault="00503A41" w:rsidP="009D1A2D">
      <w:pPr>
        <w:widowControl w:val="0"/>
        <w:numPr>
          <w:ilvl w:val="0"/>
          <w:numId w:val="1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40"/>
        <w:jc w:val="both"/>
        <w:rPr>
          <w:rFonts w:ascii="Arial" w:hAnsi="Arial" w:cs="Arial"/>
          <w:snapToGrid w:val="0"/>
          <w:lang w:val="es-ES"/>
        </w:rPr>
      </w:pPr>
      <w:r w:rsidRPr="00993936">
        <w:rPr>
          <w:rFonts w:ascii="Arial" w:hAnsi="Arial" w:cs="Arial"/>
          <w:snapToGrid w:val="0"/>
          <w:lang w:val="es-ES"/>
        </w:rPr>
        <w:t>evitar introducir al agente patógeno utilizando agua de riego contaminada</w:t>
      </w:r>
    </w:p>
    <w:p w:rsidR="00503A41" w:rsidRPr="00993936" w:rsidRDefault="00503A41" w:rsidP="009D1A2D">
      <w:pPr>
        <w:widowControl w:val="0"/>
        <w:numPr>
          <w:ilvl w:val="0"/>
          <w:numId w:val="1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40"/>
        <w:jc w:val="both"/>
        <w:rPr>
          <w:rFonts w:ascii="Arial" w:hAnsi="Arial" w:cs="Arial"/>
          <w:snapToGrid w:val="0"/>
          <w:lang w:val="es-ES"/>
        </w:rPr>
      </w:pPr>
      <w:r w:rsidRPr="00993936">
        <w:rPr>
          <w:rFonts w:ascii="Arial" w:hAnsi="Arial" w:cs="Arial"/>
          <w:snapToGrid w:val="0"/>
          <w:lang w:val="es-ES"/>
        </w:rPr>
        <w:t>evitar plantar los árboles más profundos de lo que lo estaban en el vivero</w:t>
      </w:r>
    </w:p>
    <w:p w:rsidR="00503A41" w:rsidRPr="00993936" w:rsidRDefault="00503A41" w:rsidP="009D1A2D">
      <w:pPr>
        <w:widowControl w:val="0"/>
        <w:numPr>
          <w:ilvl w:val="0"/>
          <w:numId w:val="1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140"/>
        <w:jc w:val="both"/>
        <w:rPr>
          <w:rFonts w:ascii="Arial" w:hAnsi="Arial" w:cs="Arial"/>
          <w:b/>
          <w:snapToGrid w:val="0"/>
          <w:lang w:val="es-ES"/>
        </w:rPr>
      </w:pPr>
      <w:r w:rsidRPr="00993936">
        <w:rPr>
          <w:rFonts w:ascii="Arial" w:hAnsi="Arial" w:cs="Arial"/>
          <w:snapToGrid w:val="0"/>
          <w:lang w:val="es-ES"/>
        </w:rPr>
        <w:t>eliminar las malas hierbas en torno al árbol que mantienen la humedad.</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'Monilia'. </w:t>
      </w:r>
      <w:r w:rsidRPr="00993936">
        <w:rPr>
          <w:rFonts w:ascii="Arial" w:hAnsi="Arial" w:cs="Arial"/>
          <w:i/>
          <w:snapToGrid w:val="0"/>
          <w:lang w:val="es-ES"/>
        </w:rPr>
        <w:t>Monilia laxa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Lucha cultural: poda y quema de ramas afectadas y frutos momificados.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Lucha química: </w:t>
      </w:r>
    </w:p>
    <w:p w:rsidR="00503A41" w:rsidRPr="00993936" w:rsidRDefault="00503A41" w:rsidP="009D1A2D">
      <w:pPr>
        <w:widowControl w:val="0"/>
        <w:numPr>
          <w:ilvl w:val="0"/>
          <w:numId w:val="1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En primaveras lluviosas, tratamiento en botón blanco (estadios D-E). En caso que durante la floración se viese un botón seco repetir el tratamiento al caer los pétalos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snapToGrid w:val="0"/>
          <w:lang w:val="es-ES"/>
        </w:rPr>
      </w:pPr>
      <w:r w:rsidRPr="00993936">
        <w:rPr>
          <w:rFonts w:ascii="Arial" w:hAnsi="Arial" w:cs="Arial"/>
          <w:b/>
          <w:snapToGrid w:val="0"/>
          <w:lang w:val="es-ES"/>
        </w:rPr>
        <w:t>'Roya</w:t>
      </w:r>
      <w:r w:rsidRPr="00993936">
        <w:rPr>
          <w:rFonts w:ascii="Arial" w:hAnsi="Arial" w:cs="Arial"/>
          <w:b/>
          <w:snapToGrid w:val="0"/>
          <w:vanish/>
          <w:lang w:val="es-ES"/>
        </w:rPr>
        <w:t>&lt;A[Óxido|Yema]&gt;</w:t>
      </w:r>
      <w:r w:rsidRPr="00993936">
        <w:rPr>
          <w:rFonts w:ascii="Arial" w:hAnsi="Arial" w:cs="Arial"/>
          <w:b/>
          <w:snapToGrid w:val="0"/>
          <w:lang w:val="es-ES"/>
        </w:rPr>
        <w:t>'.</w:t>
      </w:r>
      <w:r w:rsidRPr="00993936">
        <w:rPr>
          <w:rFonts w:ascii="Arial" w:hAnsi="Arial" w:cs="Arial"/>
          <w:snapToGrid w:val="0"/>
          <w:lang w:val="es-ES"/>
        </w:rPr>
        <w:t xml:space="preserve"> </w:t>
      </w:r>
      <w:r w:rsidRPr="00993936">
        <w:rPr>
          <w:rFonts w:ascii="Arial" w:hAnsi="Arial" w:cs="Arial"/>
          <w:i/>
          <w:snapToGrid w:val="0"/>
          <w:lang w:val="es-ES"/>
        </w:rPr>
        <w:t>Tranzschelia pruni-spinosa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Lucha química:</w:t>
      </w:r>
    </w:p>
    <w:p w:rsidR="00503A41" w:rsidRPr="00993936" w:rsidRDefault="00503A41" w:rsidP="009D1A2D">
      <w:pPr>
        <w:widowControl w:val="0"/>
        <w:numPr>
          <w:ilvl w:val="0"/>
          <w:numId w:val="1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Tratamiento en junio. En caso de afectación importante hay que hacer dos tratamientos con intervalo de un mes.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snapToGrid w:val="0"/>
          <w:lang w:val="es-ES"/>
        </w:rPr>
      </w:pPr>
      <w:r w:rsidRPr="00993936">
        <w:rPr>
          <w:rFonts w:ascii="Arial" w:hAnsi="Arial" w:cs="Arial"/>
          <w:b/>
          <w:snapToGrid w:val="0"/>
          <w:lang w:val="es-ES"/>
        </w:rPr>
        <w:t xml:space="preserve"> 'Mancha ocre'. </w:t>
      </w:r>
      <w:r w:rsidRPr="00993936">
        <w:rPr>
          <w:rFonts w:ascii="Arial" w:hAnsi="Arial" w:cs="Arial"/>
          <w:i/>
          <w:snapToGrid w:val="0"/>
          <w:lang w:val="es-ES"/>
        </w:rPr>
        <w:t>Polystigma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pStyle w:val="Textoindependiente3"/>
        <w:rPr>
          <w:rFonts w:cs="Arial"/>
          <w:b w:val="0"/>
          <w:lang w:val="es-ES"/>
        </w:rPr>
      </w:pPr>
      <w:r w:rsidRPr="00993936">
        <w:rPr>
          <w:rFonts w:cs="Arial"/>
          <w:b w:val="0"/>
          <w:lang w:val="es-ES"/>
        </w:rPr>
        <w:t>Lucha química:</w:t>
      </w:r>
    </w:p>
    <w:p w:rsidR="00503A41" w:rsidRPr="00993936" w:rsidRDefault="00503A41" w:rsidP="009D1A2D">
      <w:pPr>
        <w:pStyle w:val="Textoindependiente3"/>
        <w:numPr>
          <w:ilvl w:val="0"/>
          <w:numId w:val="140"/>
        </w:numPr>
        <w:rPr>
          <w:rFonts w:cs="Arial"/>
          <w:b w:val="0"/>
          <w:szCs w:val="22"/>
          <w:lang w:val="es-ES"/>
        </w:rPr>
      </w:pPr>
      <w:r w:rsidRPr="00993936">
        <w:rPr>
          <w:rFonts w:cs="Arial"/>
          <w:b w:val="0"/>
          <w:lang w:val="es-ES"/>
        </w:rPr>
        <w:t>Para</w:t>
      </w:r>
      <w:r w:rsidRPr="00993936">
        <w:rPr>
          <w:rFonts w:cs="Arial"/>
          <w:b w:val="0"/>
          <w:vanish/>
          <w:lang w:val="es-ES"/>
        </w:rPr>
        <w:t>&lt;A[Por|Para]&gt;</w:t>
      </w:r>
      <w:r w:rsidRPr="00993936">
        <w:rPr>
          <w:rFonts w:cs="Arial"/>
          <w:b w:val="0"/>
          <w:lang w:val="es-ES"/>
        </w:rPr>
        <w:t xml:space="preserve"> las variedades muy sensibles (como Guara y Tuono) </w:t>
      </w:r>
      <w:r w:rsidRPr="00993936">
        <w:rPr>
          <w:rFonts w:cs="Arial"/>
          <w:b w:val="0"/>
          <w:szCs w:val="22"/>
          <w:lang w:val="es-ES"/>
        </w:rPr>
        <w:t>tratar a caída de pétalos, si se dan fuertes humedades en este periodo, y desde principios a finales de mayo de forma general.</w:t>
      </w:r>
    </w:p>
    <w:p w:rsidR="00503A41" w:rsidRPr="00993936" w:rsidRDefault="00503A41" w:rsidP="009D1A2D">
      <w:pPr>
        <w:pStyle w:val="Textoindependiente3"/>
        <w:numPr>
          <w:ilvl w:val="0"/>
          <w:numId w:val="140"/>
        </w:numPr>
        <w:rPr>
          <w:rFonts w:cs="Arial"/>
          <w:b w:val="0"/>
          <w:szCs w:val="22"/>
          <w:lang w:val="es-ES"/>
        </w:rPr>
      </w:pPr>
      <w:r w:rsidRPr="00993936">
        <w:rPr>
          <w:rFonts w:cs="Arial"/>
          <w:b w:val="0"/>
          <w:szCs w:val="22"/>
          <w:lang w:val="es-ES"/>
        </w:rPr>
        <w:lastRenderedPageBreak/>
        <w:t>En el resto de variedades, tratar si tienen lugar fuertes humedades a lo largo de mayo. El tratamiento se tiene que realizar justo después del periodo de humedad.</w:t>
      </w:r>
    </w:p>
    <w:p w:rsidR="00503A41" w:rsidRPr="00993936" w:rsidRDefault="00503A41" w:rsidP="00424C28">
      <w:pPr>
        <w:pStyle w:val="Textoindependiente3"/>
        <w:rPr>
          <w:rFonts w:cs="Arial"/>
          <w:lang w:val="es-ES"/>
        </w:rPr>
      </w:pPr>
    </w:p>
    <w:p w:rsidR="00503A41" w:rsidRPr="00993936" w:rsidRDefault="00503A41">
      <w:pPr>
        <w:rPr>
          <w:rFonts w:ascii="Arial" w:eastAsia="Times New Roman" w:hAnsi="Arial" w:cs="Arial"/>
          <w:snapToGrid w:val="0"/>
          <w:szCs w:val="20"/>
          <w:lang w:val="es-ES" w:eastAsia="es-ES"/>
        </w:rPr>
      </w:pPr>
      <w:r w:rsidRPr="00993936">
        <w:rPr>
          <w:rFonts w:ascii="Arial" w:hAnsi="Arial" w:cs="Arial"/>
          <w:b/>
          <w:lang w:val="es-ES"/>
        </w:rPr>
        <w:br w:type="page"/>
      </w:r>
    </w:p>
    <w:p w:rsidR="00503A41" w:rsidRPr="00993936" w:rsidRDefault="00503A41" w:rsidP="00424C28">
      <w:pPr>
        <w:pStyle w:val="Textoindependiente3"/>
        <w:rPr>
          <w:rFonts w:cs="Arial"/>
          <w:lang w:val="es-ES"/>
        </w:rPr>
      </w:pPr>
      <w:r w:rsidRPr="00993936">
        <w:rPr>
          <w:rFonts w:cs="Arial"/>
          <w:lang w:val="es-ES"/>
        </w:rPr>
        <w:lastRenderedPageBreak/>
        <w:t>6.2 AVELLANO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u w:val="single"/>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u w:val="single"/>
          <w:lang w:val="es-ES"/>
        </w:rPr>
      </w:pPr>
      <w:r w:rsidRPr="00993936">
        <w:rPr>
          <w:rFonts w:ascii="Arial" w:hAnsi="Arial" w:cs="Arial"/>
          <w:b/>
          <w:snapToGrid w:val="0"/>
          <w:u w:val="single"/>
          <w:lang w:val="es-ES"/>
        </w:rPr>
        <w:t>6.2.1  PLAGAS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'Taladro de la madera'. </w:t>
      </w:r>
      <w:r w:rsidRPr="00993936">
        <w:rPr>
          <w:rFonts w:ascii="Arial" w:hAnsi="Arial" w:cs="Arial"/>
          <w:i/>
          <w:snapToGrid w:val="0"/>
          <w:lang w:val="es-ES"/>
        </w:rPr>
        <w:t>Zeuzera pyrina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febrero o marzo, cuando todavía no haya vegetación, hay que controlar el porcentaje de árboles atacados.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Lucha cultural:  es muy importante y eficaz, especialmente durante el invierno actuar sobre las galerías activas con alambres, migas o jeringas. Hay que quemar las ramas rotas por el viento a consecuencia de las galerías.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 técnica de confusión sexual para carpocapsa se utilizará con preferencia sobre los métodos de control químico siempre que se den las condiciones técnicas adecuadas.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Lucha química: se hará atendiendo la primera captura de machos con feromonas y valorando desde este momento cuándo se inicia la eclosión de los huevos.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es-ES"/>
        </w:rPr>
      </w:pPr>
      <w:r w:rsidRPr="00993936">
        <w:rPr>
          <w:rFonts w:ascii="Arial" w:hAnsi="Arial" w:cs="Arial"/>
          <w:lang w:val="es-ES"/>
        </w:rPr>
        <w:t>A finales de marzo hay que colocar las trampas. A partir de la 1ª captura, añadir una semana e ir mirando la temperatura media para conocer cuando se inicia la eclosión de los huevos según las tablas del Servicio de Sanidad Vegetal.</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es el siguiente: 15% los árboles atacados.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 'Caparreta'</w:t>
      </w:r>
      <w:r w:rsidRPr="00993936">
        <w:rPr>
          <w:rFonts w:ascii="Arial" w:hAnsi="Arial" w:cs="Arial"/>
          <w:snapToGrid w:val="0"/>
          <w:lang w:val="es-ES"/>
        </w:rPr>
        <w:t xml:space="preserve"> </w:t>
      </w:r>
      <w:r w:rsidRPr="00993936">
        <w:rPr>
          <w:rFonts w:ascii="Arial" w:hAnsi="Arial" w:cs="Arial"/>
          <w:i/>
          <w:snapToGrid w:val="0"/>
          <w:lang w:val="es-ES"/>
        </w:rPr>
        <w:t>Eulecanium coryli</w:t>
      </w:r>
      <w:r w:rsidRPr="00993936">
        <w:rPr>
          <w:rFonts w:ascii="Arial" w:hAnsi="Arial" w:cs="Arial"/>
          <w:snapToGrid w:val="0"/>
          <w:lang w:val="es-ES"/>
        </w:rPr>
        <w:t>.</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es el siguiente: 5% de ramas ocupadas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lugares</w:t>
      </w:r>
      <w:r w:rsidRPr="00993936">
        <w:rPr>
          <w:rFonts w:ascii="Arial" w:hAnsi="Arial" w:cs="Arial"/>
          <w:snapToGrid w:val="0"/>
          <w:vanish/>
          <w:lang w:val="es-ES"/>
        </w:rPr>
        <w:t>&lt;A[lugares|sitios]&gt;</w:t>
      </w:r>
      <w:r w:rsidRPr="00993936">
        <w:rPr>
          <w:rFonts w:ascii="Arial" w:hAnsi="Arial" w:cs="Arial"/>
          <w:snapToGrid w:val="0"/>
          <w:lang w:val="es-ES"/>
        </w:rPr>
        <w:t xml:space="preserve"> con problemas, hay dos momentos de tratamiento: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1.- En invierno con oliofosforados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2.- En junio-julio, al 100% de eclosión de los huevos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napToGrid w:val="0"/>
          <w:lang w:val="es-ES"/>
        </w:rPr>
      </w:pPr>
      <w:r w:rsidRPr="00993936">
        <w:rPr>
          <w:rFonts w:ascii="Arial" w:hAnsi="Arial" w:cs="Arial"/>
          <w:b/>
          <w:snapToGrid w:val="0"/>
          <w:lang w:val="es-ES"/>
        </w:rPr>
        <w:t xml:space="preserve">'Gusano cabezudo'.  </w:t>
      </w:r>
      <w:r w:rsidRPr="00993936">
        <w:rPr>
          <w:rFonts w:ascii="Arial" w:hAnsi="Arial" w:cs="Arial"/>
          <w:i/>
          <w:snapToGrid w:val="0"/>
          <w:lang w:val="es-ES"/>
        </w:rPr>
        <w:t>Capnodis tenebrionis</w:t>
      </w:r>
      <w:r w:rsidRPr="00993936">
        <w:rPr>
          <w:rFonts w:ascii="Arial" w:hAnsi="Arial" w:cs="Arial"/>
          <w:b/>
          <w:i/>
          <w:snapToGrid w:val="0"/>
          <w:lang w:val="es-ES"/>
        </w:rPr>
        <w:t xml:space="preserv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su fase larvaria ataca a las raíces y al tronco del árbol; en la fase adulta se alimenta de la parte aérea, pecíolos de hojas, partes terminales de los brotes, etc.</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Lucha química: </w:t>
      </w:r>
    </w:p>
    <w:p w:rsidR="00503A41" w:rsidRPr="00993936" w:rsidRDefault="00503A41" w:rsidP="009D1A2D">
      <w:pPr>
        <w:widowControl w:val="0"/>
        <w:numPr>
          <w:ilvl w:val="0"/>
          <w:numId w:val="1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snapToGrid w:val="0"/>
          <w:lang w:val="es-ES"/>
        </w:rPr>
      </w:pPr>
      <w:r w:rsidRPr="00993936">
        <w:rPr>
          <w:rFonts w:ascii="Arial" w:hAnsi="Arial" w:cs="Arial"/>
          <w:snapToGrid w:val="0"/>
          <w:lang w:val="es-ES"/>
        </w:rPr>
        <w:t xml:space="preserve">Tratar para eliminar a los adultos invernantes que harán la </w:t>
      </w:r>
      <w:r w:rsidRPr="00993936">
        <w:rPr>
          <w:rFonts w:ascii="Arial" w:hAnsi="Arial" w:cs="Arial"/>
          <w:snapToGrid w:val="0"/>
          <w:lang w:val="es-ES"/>
        </w:rPr>
        <w:lastRenderedPageBreak/>
        <w:t>puesta</w:t>
      </w:r>
      <w:r w:rsidRPr="00993936">
        <w:rPr>
          <w:rFonts w:ascii="Arial" w:hAnsi="Arial" w:cs="Arial"/>
          <w:snapToGrid w:val="0"/>
          <w:vanish/>
          <w:lang w:val="es-ES"/>
        </w:rPr>
        <w:t>&lt;A[posta|apostadero]&gt;</w:t>
      </w:r>
      <w:r w:rsidRPr="00993936">
        <w:rPr>
          <w:rFonts w:ascii="Arial" w:hAnsi="Arial" w:cs="Arial"/>
          <w:snapToGrid w:val="0"/>
          <w:lang w:val="es-ES"/>
        </w:rPr>
        <w:t>. Tratamiento dirigido a la copa del árbol durante los meses de mayo, junio y julio. Los adultos que salen posteriormente no harán puesta</w:t>
      </w:r>
      <w:r w:rsidRPr="00993936">
        <w:rPr>
          <w:rFonts w:ascii="Arial" w:hAnsi="Arial" w:cs="Arial"/>
          <w:snapToGrid w:val="0"/>
          <w:vanish/>
          <w:lang w:val="es-ES"/>
        </w:rPr>
        <w:t>&lt;A[posta|apostadero]&gt;</w:t>
      </w:r>
      <w:r w:rsidRPr="00993936">
        <w:rPr>
          <w:rFonts w:ascii="Arial" w:hAnsi="Arial" w:cs="Arial"/>
          <w:snapToGrid w:val="0"/>
          <w:lang w:val="es-ES"/>
        </w:rPr>
        <w:t xml:space="preserve"> este año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 </w:t>
      </w:r>
    </w:p>
    <w:p w:rsidR="00503A41" w:rsidRPr="00993936" w:rsidRDefault="00503A41" w:rsidP="00424C28">
      <w:pPr>
        <w:framePr w:hSpace="135" w:wrap="auto" w:vAnchor="text" w:hAnchor="page" w:x="1" w:y="376"/>
        <w:rPr>
          <w:rFonts w:ascii="Arial" w:hAnsi="Arial" w:cs="Arial"/>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'Gusanos del tocón'</w:t>
      </w:r>
      <w:r w:rsidRPr="00993936">
        <w:rPr>
          <w:rFonts w:ascii="Arial" w:hAnsi="Arial" w:cs="Arial"/>
          <w:snapToGrid w:val="0"/>
          <w:lang w:val="es-ES"/>
        </w:rPr>
        <w:t xml:space="preserve">. </w:t>
      </w:r>
      <w:r w:rsidRPr="00993936">
        <w:rPr>
          <w:rFonts w:ascii="Arial" w:hAnsi="Arial" w:cs="Arial"/>
          <w:i/>
          <w:snapToGrid w:val="0"/>
          <w:lang w:val="es-ES"/>
        </w:rPr>
        <w:t xml:space="preserve">Melolontha melolontha, Cerambix </w:t>
      </w:r>
      <w:r w:rsidRPr="00993936">
        <w:rPr>
          <w:rFonts w:ascii="Arial" w:hAnsi="Arial" w:cs="Arial"/>
          <w:snapToGrid w:val="0"/>
          <w:lang w:val="es-ES"/>
        </w:rPr>
        <w:t>sp.</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jc w:val="both"/>
        <w:rPr>
          <w:rFonts w:ascii="Arial" w:hAnsi="Arial" w:cs="Arial"/>
          <w:lang w:val="es-ES"/>
        </w:rPr>
      </w:pPr>
      <w:r w:rsidRPr="00993936">
        <w:rPr>
          <w:rFonts w:ascii="Arial" w:hAnsi="Arial" w:cs="Arial"/>
          <w:snapToGrid w:val="0"/>
          <w:lang w:val="es-ES"/>
        </w:rPr>
        <w:t>En su fase larvaria ataca a las raíces y al tronco del árbol</w:t>
      </w:r>
      <w:r w:rsidRPr="00993936">
        <w:rPr>
          <w:rFonts w:ascii="Arial" w:hAnsi="Arial" w:cs="Arial"/>
          <w:lang w:val="es-ES"/>
        </w:rPr>
        <w:t xml:space="preserve">. Hacen largas galerías cada vez más anchas. </w:t>
      </w:r>
    </w:p>
    <w:p w:rsidR="00503A41" w:rsidRPr="00993936" w:rsidRDefault="00503A41" w:rsidP="00424C28">
      <w:pPr>
        <w:jc w:val="both"/>
        <w:rPr>
          <w:rFonts w:ascii="Arial" w:hAnsi="Arial" w:cs="Arial"/>
          <w:lang w:val="es-ES"/>
        </w:rPr>
      </w:pPr>
    </w:p>
    <w:p w:rsidR="00503A41" w:rsidRPr="00993936" w:rsidRDefault="00503A41" w:rsidP="00424C28">
      <w:pPr>
        <w:jc w:val="both"/>
        <w:rPr>
          <w:rFonts w:ascii="Arial" w:hAnsi="Arial" w:cs="Arial"/>
          <w:lang w:val="es-ES"/>
        </w:rPr>
      </w:pPr>
      <w:r w:rsidRPr="00993936">
        <w:rPr>
          <w:rFonts w:ascii="Arial" w:hAnsi="Arial" w:cs="Arial"/>
          <w:lang w:val="es-ES"/>
        </w:rPr>
        <w:t>Lucha cultural:</w:t>
      </w:r>
    </w:p>
    <w:p w:rsidR="00503A41" w:rsidRPr="00993936" w:rsidRDefault="00503A41" w:rsidP="009D1A2D">
      <w:pPr>
        <w:numPr>
          <w:ilvl w:val="0"/>
          <w:numId w:val="141"/>
        </w:numPr>
        <w:spacing w:after="0" w:line="240" w:lineRule="auto"/>
        <w:jc w:val="both"/>
        <w:rPr>
          <w:rFonts w:ascii="Arial" w:hAnsi="Arial" w:cs="Arial"/>
          <w:lang w:val="es-ES"/>
        </w:rPr>
      </w:pPr>
      <w:r w:rsidRPr="00993936">
        <w:rPr>
          <w:rFonts w:ascii="Arial" w:hAnsi="Arial" w:cs="Arial"/>
          <w:lang w:val="es-ES"/>
        </w:rPr>
        <w:t xml:space="preserve">eliminar los árboles muertos o moribundos. </w:t>
      </w:r>
    </w:p>
    <w:p w:rsidR="00503A41" w:rsidRPr="00993936" w:rsidRDefault="00503A41" w:rsidP="009D1A2D">
      <w:pPr>
        <w:numPr>
          <w:ilvl w:val="0"/>
          <w:numId w:val="141"/>
        </w:numPr>
        <w:spacing w:after="0" w:line="240" w:lineRule="auto"/>
        <w:jc w:val="both"/>
        <w:rPr>
          <w:rFonts w:ascii="Arial" w:hAnsi="Arial" w:cs="Arial"/>
          <w:lang w:val="es-ES"/>
        </w:rPr>
      </w:pPr>
      <w:r w:rsidRPr="00993936">
        <w:rPr>
          <w:rFonts w:ascii="Arial" w:hAnsi="Arial" w:cs="Arial"/>
          <w:lang w:val="es-ES"/>
        </w:rPr>
        <w:t>aplicar sulfato de hierro</w:t>
      </w:r>
    </w:p>
    <w:p w:rsidR="00503A41" w:rsidRPr="00993936" w:rsidRDefault="00503A41" w:rsidP="00424C28">
      <w:pPr>
        <w:framePr w:hSpace="135" w:wrap="auto" w:vAnchor="text" w:hAnchor="text" w:xAlign="right" w:y="1"/>
        <w:rPr>
          <w:rFonts w:ascii="Arial" w:hAnsi="Arial" w:cs="Arial"/>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 'Cigarrero'. </w:t>
      </w:r>
      <w:r w:rsidRPr="00993936">
        <w:rPr>
          <w:rFonts w:ascii="Arial" w:hAnsi="Arial" w:cs="Arial"/>
          <w:i/>
          <w:snapToGrid w:val="0"/>
          <w:lang w:val="es-ES"/>
        </w:rPr>
        <w:t xml:space="preserve">Archips </w:t>
      </w:r>
      <w:r w:rsidRPr="00993936">
        <w:rPr>
          <w:rFonts w:ascii="Arial" w:hAnsi="Arial" w:cs="Arial"/>
          <w:snapToGrid w:val="0"/>
          <w:lang w:val="es-ES"/>
        </w:rPr>
        <w:t>sp.</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principio, esta plaga sería causada por un desequilibrio ecológico provocado por los tratamientos con insecticidas.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invierno, habrá que observar las puestas</w:t>
      </w:r>
      <w:r w:rsidRPr="00993936">
        <w:rPr>
          <w:rFonts w:ascii="Arial" w:hAnsi="Arial" w:cs="Arial"/>
          <w:snapToGrid w:val="0"/>
          <w:vanish/>
          <w:lang w:val="es-ES"/>
        </w:rPr>
        <w:t>&lt;A[postas|apostaderos]&gt;</w:t>
      </w:r>
      <w:r w:rsidRPr="00993936">
        <w:rPr>
          <w:rFonts w:ascii="Arial" w:hAnsi="Arial" w:cs="Arial"/>
          <w:snapToGrid w:val="0"/>
          <w:lang w:val="es-ES"/>
        </w:rPr>
        <w:t xml:space="preserve"> en la madera.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tolerancia es el siguiente: 10% de árboles con puestas</w:t>
      </w:r>
      <w:r w:rsidRPr="00993936">
        <w:rPr>
          <w:rFonts w:ascii="Arial" w:hAnsi="Arial" w:cs="Arial"/>
          <w:snapToGrid w:val="0"/>
          <w:vanish/>
          <w:lang w:val="es-ES"/>
        </w:rPr>
        <w:t>&lt;A[postas|apostaderos]&gt;</w:t>
      </w:r>
      <w:r w:rsidRPr="00993936">
        <w:rPr>
          <w:rFonts w:ascii="Arial" w:hAnsi="Arial" w:cs="Arial"/>
          <w:snapToGrid w:val="0"/>
          <w:lang w:val="es-ES"/>
        </w:rPr>
        <w:t>.</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i/>
          <w:snapToGrid w:val="0"/>
          <w:lang w:val="es-ES"/>
        </w:rPr>
      </w:pPr>
      <w:r w:rsidRPr="00993936">
        <w:rPr>
          <w:rFonts w:ascii="Arial" w:hAnsi="Arial" w:cs="Arial"/>
          <w:b/>
          <w:snapToGrid w:val="0"/>
          <w:lang w:val="es-ES"/>
        </w:rPr>
        <w:t xml:space="preserve">'Diablo'. </w:t>
      </w:r>
      <w:r w:rsidRPr="00993936">
        <w:rPr>
          <w:rFonts w:ascii="Arial" w:hAnsi="Arial" w:cs="Arial"/>
          <w:i/>
          <w:snapToGrid w:val="0"/>
          <w:lang w:val="es-ES"/>
        </w:rPr>
        <w:t>Curculio nucum</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La posibilidad de control biológico por medio de la fauna auxiliar autóctona es muy limitada.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control de la plaga se hará con tratamientos químicos aplicados para luchar contra la picada</w:t>
      </w:r>
      <w:r w:rsidRPr="00993936">
        <w:rPr>
          <w:rFonts w:ascii="Arial" w:hAnsi="Arial" w:cs="Arial"/>
          <w:snapToGrid w:val="0"/>
          <w:vanish/>
          <w:lang w:val="es-ES"/>
        </w:rPr>
        <w:t>&lt;A[picadura|picotazo]&gt;</w:t>
      </w:r>
      <w:r w:rsidRPr="00993936">
        <w:rPr>
          <w:rFonts w:ascii="Arial" w:hAnsi="Arial" w:cs="Arial"/>
          <w:snapToGrid w:val="0"/>
          <w:lang w:val="es-ES"/>
        </w:rPr>
        <w:t xml:space="preserve"> alimenticia y contra la picada</w:t>
      </w:r>
      <w:r w:rsidRPr="00993936">
        <w:rPr>
          <w:rFonts w:ascii="Arial" w:hAnsi="Arial" w:cs="Arial"/>
          <w:snapToGrid w:val="0"/>
          <w:vanish/>
          <w:lang w:val="es-ES"/>
        </w:rPr>
        <w:t>&lt;A[picadura|picotazo]&gt;</w:t>
      </w:r>
      <w:r w:rsidRPr="00993936">
        <w:rPr>
          <w:rFonts w:ascii="Arial" w:hAnsi="Arial" w:cs="Arial"/>
          <w:snapToGrid w:val="0"/>
          <w:lang w:val="es-ES"/>
        </w:rPr>
        <w:t xml:space="preserve"> de puesta</w:t>
      </w:r>
      <w:r w:rsidRPr="00993936">
        <w:rPr>
          <w:rFonts w:ascii="Arial" w:hAnsi="Arial" w:cs="Arial"/>
          <w:snapToGrid w:val="0"/>
          <w:vanish/>
          <w:lang w:val="es-ES"/>
        </w:rPr>
        <w:t>&lt;A[posta|apostadero]&gt;</w:t>
      </w:r>
      <w:r w:rsidRPr="00993936">
        <w:rPr>
          <w:rFonts w:ascii="Arial" w:hAnsi="Arial" w:cs="Arial"/>
          <w:snapToGrid w:val="0"/>
          <w:lang w:val="es-ES"/>
        </w:rPr>
        <w:t>.</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Para definir el umbral de tolerancia, de mayo a junio se sacudirán de madrugada los árboles de las zonas tradicionalmente afectadas (un golpe por rama y árbol en las cuatro orientaciones), recogiendo por frapage los insectos que se caigan.</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El umbral de tratamiento para la picada</w:t>
      </w:r>
      <w:r w:rsidRPr="00993936">
        <w:rPr>
          <w:rFonts w:ascii="Arial" w:hAnsi="Arial" w:cs="Arial"/>
          <w:snapToGrid w:val="0"/>
          <w:vanish/>
          <w:lang w:val="es-ES"/>
        </w:rPr>
        <w:t>&lt;A[picadura|picotazo]&gt;</w:t>
      </w:r>
      <w:r w:rsidRPr="00993936">
        <w:rPr>
          <w:rFonts w:ascii="Arial" w:hAnsi="Arial" w:cs="Arial"/>
          <w:snapToGrid w:val="0"/>
          <w:lang w:val="es-ES"/>
        </w:rPr>
        <w:t xml:space="preserve"> alimenticia es: 4 individuos por</w:t>
      </w:r>
      <w:r w:rsidRPr="00993936">
        <w:rPr>
          <w:rFonts w:ascii="Arial" w:hAnsi="Arial" w:cs="Arial"/>
          <w:snapToGrid w:val="0"/>
          <w:vanish/>
          <w:lang w:val="es-ES"/>
        </w:rPr>
        <w:t>&lt;A[por|para]&gt;</w:t>
      </w:r>
      <w:r w:rsidRPr="00993936">
        <w:rPr>
          <w:rFonts w:ascii="Arial" w:hAnsi="Arial" w:cs="Arial"/>
          <w:snapToGrid w:val="0"/>
          <w:lang w:val="es-ES"/>
        </w:rPr>
        <w:t xml:space="preserve"> 100 veces</w:t>
      </w:r>
      <w:r w:rsidRPr="00993936">
        <w:rPr>
          <w:rFonts w:ascii="Arial" w:hAnsi="Arial" w:cs="Arial"/>
          <w:snapToGrid w:val="0"/>
          <w:vanish/>
          <w:lang w:val="es-ES"/>
        </w:rPr>
        <w:t>&lt;A[veces|golpes]&gt;</w:t>
      </w:r>
      <w:r w:rsidRPr="00993936">
        <w:rPr>
          <w:rFonts w:ascii="Arial" w:hAnsi="Arial" w:cs="Arial"/>
          <w:snapToGrid w:val="0"/>
          <w:lang w:val="es-ES"/>
        </w:rPr>
        <w:t xml:space="preserve"> (por frapage de 45cm x </w:t>
      </w:r>
      <w:smartTag w:uri="urn:schemas-microsoft-com:office:smarttags" w:element="metricconverter">
        <w:smartTagPr>
          <w:attr w:name="ProductID" w:val="74 cm"/>
        </w:smartTagPr>
        <w:r w:rsidRPr="00993936">
          <w:rPr>
            <w:rFonts w:ascii="Arial" w:hAnsi="Arial" w:cs="Arial"/>
            <w:snapToGrid w:val="0"/>
            <w:lang w:val="es-ES"/>
          </w:rPr>
          <w:t>74 cm</w:t>
        </w:r>
      </w:smartTag>
      <w:r w:rsidRPr="00993936">
        <w:rPr>
          <w:rFonts w:ascii="Arial" w:hAnsi="Arial" w:cs="Arial"/>
          <w:snapToGrid w:val="0"/>
          <w:lang w:val="es-ES"/>
        </w:rPr>
        <w:t>).</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lastRenderedPageBreak/>
        <w:t>La protección en el periodo de picada</w:t>
      </w:r>
      <w:r w:rsidRPr="00993936">
        <w:rPr>
          <w:rFonts w:ascii="Arial" w:hAnsi="Arial" w:cs="Arial"/>
          <w:snapToGrid w:val="0"/>
          <w:vanish/>
          <w:lang w:val="es-ES"/>
        </w:rPr>
        <w:t>&lt;A[picadura|picotazo]&gt;</w:t>
      </w:r>
      <w:r w:rsidRPr="00993936">
        <w:rPr>
          <w:rFonts w:ascii="Arial" w:hAnsi="Arial" w:cs="Arial"/>
          <w:snapToGrid w:val="0"/>
          <w:lang w:val="es-ES"/>
        </w:rPr>
        <w:t xml:space="preserve"> de puesta</w:t>
      </w:r>
      <w:r w:rsidRPr="00993936">
        <w:rPr>
          <w:rFonts w:ascii="Arial" w:hAnsi="Arial" w:cs="Arial"/>
          <w:snapToGrid w:val="0"/>
          <w:vanish/>
          <w:lang w:val="es-ES"/>
        </w:rPr>
        <w:t>&lt;A[posta|apostadero]&gt;</w:t>
      </w:r>
      <w:r w:rsidRPr="00993936">
        <w:rPr>
          <w:rFonts w:ascii="Arial" w:hAnsi="Arial" w:cs="Arial"/>
          <w:snapToGrid w:val="0"/>
          <w:lang w:val="es-ES"/>
        </w:rPr>
        <w:t xml:space="preserve"> se hará en el momento que se encuentren hembra con huevos maduros (mediante disección de las hembras</w:t>
      </w:r>
      <w:r w:rsidRPr="00993936">
        <w:rPr>
          <w:rFonts w:ascii="Arial" w:hAnsi="Arial" w:cs="Arial"/>
          <w:snapToGrid w:val="0"/>
          <w:vanish/>
          <w:lang w:val="es-ES"/>
        </w:rPr>
        <w:t>&lt;A[hembras|tuercas]&gt;</w:t>
      </w:r>
      <w:r w:rsidRPr="00993936">
        <w:rPr>
          <w:rFonts w:ascii="Arial" w:hAnsi="Arial" w:cs="Arial"/>
          <w:snapToGrid w:val="0"/>
          <w:lang w:val="es-ES"/>
        </w:rPr>
        <w:t>).</w:t>
      </w:r>
    </w:p>
    <w:p w:rsidR="00503A41" w:rsidRPr="00993936" w:rsidRDefault="00503A41" w:rsidP="00424C28">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b/>
          <w:snapToGrid w:val="0"/>
          <w:color w:val="auto"/>
          <w:sz w:val="22"/>
          <w:lang w:val="es-ES"/>
        </w:rPr>
      </w:pPr>
    </w:p>
    <w:p w:rsidR="00503A41" w:rsidRPr="00993936" w:rsidRDefault="00503A41" w:rsidP="00424C28">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ascii="Arial" w:hAnsi="Arial" w:cs="Arial"/>
          <w:i/>
          <w:color w:val="auto"/>
          <w:sz w:val="22"/>
          <w:lang w:val="es-ES"/>
        </w:rPr>
      </w:pPr>
      <w:r w:rsidRPr="00993936">
        <w:rPr>
          <w:rFonts w:ascii="Arial" w:hAnsi="Arial" w:cs="Arial"/>
          <w:b/>
          <w:snapToGrid w:val="0"/>
          <w:color w:val="auto"/>
          <w:sz w:val="22"/>
          <w:lang w:val="es-ES"/>
        </w:rPr>
        <w:t xml:space="preserve">'Pulgones'. </w:t>
      </w:r>
      <w:r w:rsidRPr="00993936">
        <w:rPr>
          <w:rFonts w:ascii="Arial" w:hAnsi="Arial" w:cs="Arial"/>
          <w:i/>
          <w:snapToGrid w:val="0"/>
          <w:color w:val="auto"/>
          <w:sz w:val="22"/>
          <w:lang w:val="es-ES"/>
        </w:rPr>
        <w:t>Myzocallis corylii, Corylobium avellanae</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 xml:space="preserve">Los pulgones tienen muchos enemigos naturales; si bien muchas veces no controlan totalmente las poblaciones, si qué pueden reducirlas sustancialmente.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snapToGrid w:val="0"/>
          <w:lang w:val="es-ES"/>
        </w:rPr>
        <w:t>En caso de que durante la campaña anterior se hayan tenido problemas hay que hacer un tratamiento oleofosforado con el fin de reducir poblaciones.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 xml:space="preserve">En caso de tener problemas anualmente hará falta prestar atención desde la aparición de las primeras hojas y tratar al encontrar la presencia del insecto. De esta manera, haciendo un tratamiento temprano conseguiremos un buen control de la población de áfidos sin eliminar la fauna útil que nos ayudará a controlarla y así no será necesario hacer posteriores tratamientos afidicides que provocarán fácilmente problemas de araña en verano.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caso de formarse colonias aisladas, se recomienda realizar tratamientos localizados. El umbral de tratamiento: presencia. Teniendo en cuenta que el calor y la lignificación de los brotes tiernos hacen que las poblaciones de pulgón bajen, no realizáis tratamiento al inicio de los calores de verano.</w:t>
      </w:r>
      <w:r w:rsidRPr="00993936">
        <w:rPr>
          <w:rFonts w:ascii="Arial" w:hAnsi="Arial" w:cs="Arial"/>
          <w:snapToGrid w:val="0"/>
          <w:lang w:val="es-ES"/>
        </w:rPr>
        <w:tab/>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lang w:val="es-ES"/>
        </w:rPr>
        <w:t xml:space="preserve">'Ácaros tetraníquidos'.  </w:t>
      </w:r>
      <w:r w:rsidRPr="00993936">
        <w:rPr>
          <w:rFonts w:ascii="Arial" w:hAnsi="Arial" w:cs="Arial"/>
          <w:i/>
          <w:snapToGrid w:val="0"/>
          <w:lang w:val="es-ES"/>
        </w:rPr>
        <w:t xml:space="preserve"> Tetranychus urticae, Eotetranychus carpinii</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Los productos seleccionados, para el tratamiento de las diferentes plagas, deben ser respetuosos de los ácaros fitoseidos.</w:t>
      </w:r>
    </w:p>
    <w:p w:rsidR="00503A41" w:rsidRPr="00993936" w:rsidRDefault="00503A41" w:rsidP="00424C28">
      <w:pPr>
        <w:pStyle w:val="Textoindependiente2"/>
        <w:spacing w:before="120"/>
        <w:rPr>
          <w:rFonts w:cs="Arial"/>
          <w:lang w:val="es-ES"/>
        </w:rPr>
      </w:pPr>
      <w:r w:rsidRPr="00993936">
        <w:rPr>
          <w:rFonts w:cs="Arial"/>
          <w:lang w:val="es-ES"/>
        </w:rPr>
        <w:t>Los ácaros fitoseidos controlan las poblaciones de los ácaros tetraníquidos. Se procurará favorecer el establecimiento de estos por qué realice el correspondiente control biológico.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Se dará absoluta preferencia al control biológico, y la utilización de acaricidas sólo se plantea de forma transitoria, hasta alcanzar el equilibrio biológico.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caso de que durante la campaña anterior se hayan tenido problemas hay que hacer un tratamiento oleofosforado con el fin de reducir poblaciones.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el momento de la recolección se puede justificar un tratamiento para la prevención de alérgias de los recolectores a los ácaros.</w:t>
      </w:r>
    </w:p>
    <w:p w:rsidR="00503A41" w:rsidRPr="00993936" w:rsidRDefault="00503A41" w:rsidP="00424C28">
      <w:pPr>
        <w:pStyle w:val="Textindependent1"/>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color w:val="auto"/>
          <w:sz w:val="22"/>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lang w:val="es-ES"/>
        </w:rPr>
      </w:pPr>
      <w:r w:rsidRPr="00993936">
        <w:rPr>
          <w:rFonts w:ascii="Arial" w:hAnsi="Arial" w:cs="Arial"/>
          <w:b/>
          <w:snapToGrid w:val="0"/>
          <w:lang w:val="es-ES"/>
        </w:rPr>
        <w:t xml:space="preserve">'Araña roja </w:t>
      </w:r>
      <w:r w:rsidRPr="00993936">
        <w:rPr>
          <w:rFonts w:ascii="Arial" w:hAnsi="Arial" w:cs="Arial"/>
          <w:snapToGrid w:val="0"/>
          <w:lang w:val="es-ES"/>
        </w:rPr>
        <w:t>(</w:t>
      </w:r>
      <w:r w:rsidRPr="00993936">
        <w:rPr>
          <w:rFonts w:ascii="Arial" w:hAnsi="Arial" w:cs="Arial"/>
          <w:i/>
          <w:snapToGrid w:val="0"/>
          <w:lang w:val="es-ES"/>
        </w:rPr>
        <w:t>Tetranycopsis horridus</w:t>
      </w:r>
      <w:r w:rsidRPr="00993936">
        <w:rPr>
          <w:rFonts w:ascii="Arial" w:hAnsi="Arial" w:cs="Arial"/>
          <w:snapToGrid w:val="0"/>
          <w:lang w:val="es-ES"/>
        </w:rPr>
        <w:t>).</w:t>
      </w:r>
      <w:r w:rsidRPr="00993936">
        <w:rPr>
          <w:rFonts w:ascii="Arial" w:hAnsi="Arial" w:cs="Arial"/>
          <w:b/>
          <w:snapToGrid w:val="0"/>
          <w:lang w:val="es-ES"/>
        </w:rPr>
        <w:t xml:space="preserv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A partir de abril, la muestra de hojas hace falta tomarla del tercio central de las brindillas del año. La estrategia de control se fundamenta en el porcentaje de ocupación</w:t>
      </w:r>
      <w:r w:rsidRPr="00993936">
        <w:rPr>
          <w:rFonts w:ascii="Arial" w:hAnsi="Arial" w:cs="Arial"/>
          <w:snapToGrid w:val="0"/>
          <w:vanish/>
          <w:lang w:val="es-ES"/>
        </w:rPr>
        <w:t>&lt;A[empleo|ocupación]&gt;</w:t>
      </w:r>
      <w:r w:rsidRPr="00993936">
        <w:rPr>
          <w:rFonts w:ascii="Arial" w:hAnsi="Arial" w:cs="Arial"/>
          <w:snapToGrid w:val="0"/>
          <w:lang w:val="es-ES"/>
        </w:rPr>
        <w:t xml:space="preserve"> calculado a partir de 50 hojas.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Umbral de tolerancia: 25% de hojas ocupadas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u w:val="single"/>
          <w:lang w:val="es-ES"/>
        </w:rPr>
      </w:pPr>
      <w:r w:rsidRPr="00993936">
        <w:rPr>
          <w:rFonts w:ascii="Arial" w:hAnsi="Arial" w:cs="Arial"/>
          <w:b/>
          <w:snapToGrid w:val="0"/>
          <w:lang w:val="es-ES"/>
        </w:rPr>
        <w:lastRenderedPageBreak/>
        <w:t xml:space="preserve">'Araña amarilla' </w:t>
      </w:r>
      <w:r w:rsidRPr="00993936">
        <w:rPr>
          <w:rFonts w:ascii="Arial" w:hAnsi="Arial" w:cs="Arial"/>
          <w:snapToGrid w:val="0"/>
          <w:lang w:val="es-ES"/>
        </w:rPr>
        <w:t>(</w:t>
      </w:r>
      <w:r w:rsidRPr="00993936">
        <w:rPr>
          <w:rFonts w:ascii="Arial" w:hAnsi="Arial" w:cs="Arial"/>
          <w:i/>
          <w:snapToGrid w:val="0"/>
          <w:lang w:val="es-ES"/>
        </w:rPr>
        <w:t>Tetranychus urticae, Eotetranychus carpinii)</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La muestra de hojas debe tomarse de las partes bajas e interiores del árbol. El umbral de tolerancia es el siguiente: 10% de hojas ocupadas con más de 7 tetraníquidos/fitoseido (decoloración de las hojas interiores del árbol y principio de caída de las hojas).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b/>
          <w:snapToGrid w:val="0"/>
          <w:lang w:val="es-ES"/>
        </w:rPr>
        <w:t>'Badoc'.</w:t>
      </w:r>
      <w:r w:rsidRPr="00993936">
        <w:rPr>
          <w:rFonts w:ascii="Arial" w:hAnsi="Arial" w:cs="Arial"/>
          <w:b/>
          <w:i/>
          <w:snapToGrid w:val="0"/>
          <w:lang w:val="es-ES"/>
        </w:rPr>
        <w:t xml:space="preserve"> </w:t>
      </w:r>
      <w:r w:rsidRPr="00993936">
        <w:rPr>
          <w:rFonts w:ascii="Arial" w:hAnsi="Arial" w:cs="Arial"/>
          <w:i/>
          <w:snapToGrid w:val="0"/>
          <w:lang w:val="es-ES"/>
        </w:rPr>
        <w:t>Phytoptus avellanae</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control de la plaga se realiza mediante un tratamiento químico aplicado al estadio fenológico de 3-6 hojas.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umbral de tratamiento es de 15% de tallos afectados. Hay que realizar controles sobre tallos en enero-febrero.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u w:val="single"/>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u w:val="single"/>
          <w:lang w:val="es-ES"/>
        </w:rPr>
      </w:pPr>
      <w:r w:rsidRPr="00993936">
        <w:rPr>
          <w:rFonts w:ascii="Arial" w:hAnsi="Arial" w:cs="Arial"/>
          <w:b/>
          <w:snapToGrid w:val="0"/>
          <w:u w:val="single"/>
          <w:lang w:val="es-ES"/>
        </w:rPr>
        <w:t>6.2.2  ENFERMEDADES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control de la mayoría de enfermedades que pueden atacar a los frutales de frutos secos tiene que realizarse de forma preventiva, y viene condicionado por</w:t>
      </w:r>
      <w:r w:rsidRPr="00993936">
        <w:rPr>
          <w:rFonts w:ascii="Arial" w:hAnsi="Arial" w:cs="Arial"/>
          <w:snapToGrid w:val="0"/>
          <w:vanish/>
          <w:lang w:val="es-ES"/>
        </w:rPr>
        <w:t>&lt;A[por|para]&gt;</w:t>
      </w:r>
      <w:r w:rsidRPr="00993936">
        <w:rPr>
          <w:rFonts w:ascii="Arial" w:hAnsi="Arial" w:cs="Arial"/>
          <w:snapToGrid w:val="0"/>
          <w:lang w:val="es-ES"/>
        </w:rPr>
        <w:t xml:space="preserve"> la problemática existente durante el periodo vegetativo anterior (nivel de inóculo), los estados fenológicos más sensibles y su epidemiología.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b/>
          <w:snapToGrid w:val="0"/>
          <w:lang w:val="es-ES"/>
        </w:rPr>
        <w:t>Bacterosis</w:t>
      </w:r>
      <w:r w:rsidRPr="00993936">
        <w:rPr>
          <w:rFonts w:ascii="Arial" w:hAnsi="Arial" w:cs="Arial"/>
          <w:snapToGrid w:val="0"/>
          <w:lang w:val="es-ES"/>
        </w:rPr>
        <w:t xml:space="preserve"> (</w:t>
      </w:r>
      <w:r w:rsidRPr="00993936">
        <w:rPr>
          <w:rFonts w:ascii="Arial" w:hAnsi="Arial" w:cs="Arial"/>
          <w:i/>
          <w:snapToGrid w:val="0"/>
          <w:lang w:val="es-ES"/>
        </w:rPr>
        <w:t>Xanthomonas</w:t>
      </w:r>
      <w:r w:rsidRPr="00993936">
        <w:rPr>
          <w:rFonts w:ascii="Arial" w:hAnsi="Arial" w:cs="Arial"/>
          <w:snapToGrid w:val="0"/>
          <w:lang w:val="es-ES"/>
        </w:rPr>
        <w:t xml:space="preserve"> sp.)</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Umbral de tolerancia: Presencia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b/>
          <w:snapToGrid w:val="0"/>
          <w:lang w:val="es-ES"/>
        </w:rPr>
        <w:t xml:space="preserve">'Brote seco'.  </w:t>
      </w:r>
      <w:r w:rsidRPr="00993936">
        <w:rPr>
          <w:rFonts w:ascii="Arial" w:hAnsi="Arial" w:cs="Arial"/>
          <w:i/>
          <w:snapToGrid w:val="0"/>
          <w:lang w:val="es-ES"/>
        </w:rPr>
        <w:t>Cryptosporiopsis coryli</w:t>
      </w:r>
      <w:r w:rsidRPr="00993936">
        <w:rPr>
          <w:rFonts w:ascii="Arial" w:hAnsi="Arial" w:cs="Arial"/>
          <w:snapToGrid w:val="0"/>
          <w:lang w:val="es-ES"/>
        </w:rPr>
        <w:t xml:space="preserv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Al empezar a brotar el árbol hará falta observar los brotes afectados.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control de la enfermedad se realizará por medio de tratamientos químicos aplicados durante la primera quincena de julio con benzimidazols y a caída del 75% de hojas con cobre +benzimidazols.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umbral de tolerancia es el siguiente: 10% de los brotes afectados o presencia en hojas.</w:t>
      </w:r>
    </w:p>
    <w:p w:rsidR="00503A41" w:rsidRPr="00993936" w:rsidRDefault="00503A41" w:rsidP="00424C28">
      <w:pPr>
        <w:spacing w:before="120"/>
        <w:jc w:val="both"/>
        <w:rPr>
          <w:rFonts w:ascii="Arial" w:hAnsi="Arial" w:cs="Arial"/>
          <w:lang w:val="es-ES"/>
        </w:rPr>
      </w:pPr>
      <w:r w:rsidRPr="00993936">
        <w:rPr>
          <w:rFonts w:ascii="Arial" w:hAnsi="Arial" w:cs="Arial"/>
          <w:b/>
          <w:lang w:val="es-ES"/>
        </w:rPr>
        <w:t>Oidio</w:t>
      </w:r>
      <w:r w:rsidRPr="00993936">
        <w:rPr>
          <w:rFonts w:ascii="Arial" w:hAnsi="Arial" w:cs="Arial"/>
          <w:lang w:val="es-ES"/>
        </w:rPr>
        <w:t xml:space="preserve">. </w:t>
      </w:r>
      <w:r w:rsidRPr="00993936">
        <w:rPr>
          <w:rFonts w:ascii="Arial" w:hAnsi="Arial" w:cs="Arial"/>
          <w:i/>
          <w:lang w:val="es-ES"/>
        </w:rPr>
        <w:t xml:space="preserve">Phyllactinia </w:t>
      </w:r>
      <w:r w:rsidRPr="00993936">
        <w:rPr>
          <w:rFonts w:ascii="Arial" w:hAnsi="Arial" w:cs="Arial"/>
          <w:lang w:val="es-ES"/>
        </w:rPr>
        <w:t>sp.</w:t>
      </w:r>
    </w:p>
    <w:p w:rsidR="00503A41" w:rsidRPr="00993936" w:rsidRDefault="00503A41" w:rsidP="00424C28">
      <w:pPr>
        <w:spacing w:before="120"/>
        <w:jc w:val="both"/>
        <w:rPr>
          <w:rFonts w:ascii="Arial" w:hAnsi="Arial" w:cs="Arial"/>
          <w:snapToGrid w:val="0"/>
          <w:lang w:val="es-ES"/>
        </w:rPr>
      </w:pPr>
      <w:r w:rsidRPr="00993936">
        <w:rPr>
          <w:rFonts w:ascii="Arial" w:hAnsi="Arial" w:cs="Arial"/>
          <w:snapToGrid w:val="0"/>
          <w:lang w:val="es-ES"/>
        </w:rPr>
        <w:t>El control de la enfermedad se realizará por medio de tratamientos químicos aplicados durante la primera quincena de julio mediante lucha química y a caída de hojas.</w:t>
      </w:r>
    </w:p>
    <w:p w:rsidR="00503A41" w:rsidRPr="00993936" w:rsidRDefault="00503A41" w:rsidP="00424C28">
      <w:pPr>
        <w:pStyle w:val="Ttulo3"/>
        <w:rPr>
          <w:rFonts w:ascii="Arial" w:hAnsi="Arial" w:cs="Arial"/>
          <w:b/>
          <w:color w:val="auto"/>
          <w:lang w:val="es-ES"/>
        </w:rPr>
      </w:pPr>
      <w:r w:rsidRPr="00993936">
        <w:rPr>
          <w:rFonts w:ascii="Arial" w:hAnsi="Arial" w:cs="Arial"/>
          <w:color w:val="auto"/>
          <w:lang w:val="es-ES"/>
        </w:rPr>
        <w:t>Umbral de tolerancia: Presencia en primavera y a inicio de verano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i/>
          <w:snapToGrid w:val="0"/>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i/>
          <w:snapToGrid w:val="0"/>
          <w:lang w:val="es-ES"/>
        </w:rPr>
      </w:pPr>
      <w:r w:rsidRPr="00993936">
        <w:rPr>
          <w:rFonts w:ascii="Arial" w:hAnsi="Arial" w:cs="Arial"/>
          <w:b/>
          <w:i/>
          <w:snapToGrid w:val="0"/>
          <w:lang w:val="es-ES"/>
        </w:rPr>
        <w:t>Cytospora corylicola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Este hongo ataca plantaciones viejas o debilitadas.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La lucha tan sólo se puede hacer de manera preventiva.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 xml:space="preserve">Lucha cultural: </w:t>
      </w:r>
    </w:p>
    <w:p w:rsidR="00503A41" w:rsidRPr="00993936" w:rsidRDefault="00503A41" w:rsidP="009D1A2D">
      <w:pPr>
        <w:widowControl w:val="0"/>
        <w:numPr>
          <w:ilvl w:val="0"/>
          <w:numId w:val="1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t>Mantener las plantaciones en un buen estado vegetativo.</w:t>
      </w:r>
    </w:p>
    <w:p w:rsidR="00503A41" w:rsidRPr="00993936" w:rsidRDefault="00503A41" w:rsidP="009D1A2D">
      <w:pPr>
        <w:widowControl w:val="0"/>
        <w:numPr>
          <w:ilvl w:val="0"/>
          <w:numId w:val="1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t>Evitar heridas</w:t>
      </w:r>
    </w:p>
    <w:p w:rsidR="00503A41" w:rsidRPr="00993936" w:rsidRDefault="00503A41" w:rsidP="009D1A2D">
      <w:pPr>
        <w:widowControl w:val="0"/>
        <w:numPr>
          <w:ilvl w:val="0"/>
          <w:numId w:val="1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lastRenderedPageBreak/>
        <w:t>Cortar y quemar ramas afectadas</w:t>
      </w:r>
    </w:p>
    <w:p w:rsidR="00503A41" w:rsidRPr="00993936" w:rsidRDefault="00503A41" w:rsidP="009D1A2D">
      <w:pPr>
        <w:widowControl w:val="0"/>
        <w:numPr>
          <w:ilvl w:val="0"/>
          <w:numId w:val="1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t>Desinfectar herramientas utilizadas</w:t>
      </w:r>
    </w:p>
    <w:p w:rsidR="00503A41" w:rsidRPr="00993936" w:rsidRDefault="00503A41" w:rsidP="009D1A2D">
      <w:pPr>
        <w:widowControl w:val="0"/>
        <w:numPr>
          <w:ilvl w:val="0"/>
          <w:numId w:val="1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t>Aplicar cicatrizante a heridas de poda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u w:val="single"/>
          <w:lang w:val="es-ES"/>
        </w:rPr>
      </w:pP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u w:val="single"/>
          <w:lang w:val="es-ES"/>
        </w:rPr>
      </w:pPr>
      <w:r w:rsidRPr="00993936">
        <w:rPr>
          <w:rFonts w:ascii="Arial" w:hAnsi="Arial" w:cs="Arial"/>
          <w:b/>
          <w:snapToGrid w:val="0"/>
          <w:u w:val="single"/>
          <w:lang w:val="es-ES"/>
        </w:rPr>
        <w:t>6.2.3  LÍQUENES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i/>
          <w:snapToGrid w:val="0"/>
          <w:lang w:val="es-ES"/>
        </w:rPr>
      </w:pPr>
      <w:r w:rsidRPr="00993936">
        <w:rPr>
          <w:rFonts w:ascii="Arial" w:hAnsi="Arial" w:cs="Arial"/>
          <w:b/>
          <w:i/>
          <w:snapToGrid w:val="0"/>
          <w:lang w:val="es-ES"/>
        </w:rPr>
        <w:t>Xantoria parietina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invierno, hay que observar el porcentaje de madera ocupada por el liquen.</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umbral de tratamiento es el siguiente: 30-40% de la madera ocupada.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lang w:val="es-ES"/>
        </w:rPr>
      </w:pPr>
      <w:r w:rsidRPr="00993936">
        <w:rPr>
          <w:rFonts w:ascii="Arial" w:hAnsi="Arial" w:cs="Arial"/>
          <w:b/>
          <w:snapToGrid w:val="0"/>
          <w:lang w:val="es-ES"/>
        </w:rPr>
        <w:t>6.3.  PISTACHO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Productos admitidos sin restricciones: Aceite de verano y polisurfuro de calcio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u w:val="single"/>
          <w:lang w:val="es-ES"/>
        </w:rPr>
      </w:pPr>
      <w:r w:rsidRPr="00993936">
        <w:rPr>
          <w:rFonts w:ascii="Arial" w:hAnsi="Arial" w:cs="Arial"/>
          <w:b/>
          <w:snapToGrid w:val="0"/>
          <w:u w:val="single"/>
          <w:lang w:val="es-ES"/>
        </w:rPr>
        <w:t>6.3.1  PLAGAS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i/>
          <w:snapToGrid w:val="0"/>
          <w:lang w:val="es-ES"/>
        </w:rPr>
      </w:pPr>
      <w:r w:rsidRPr="00993936">
        <w:rPr>
          <w:rFonts w:ascii="Arial" w:hAnsi="Arial" w:cs="Arial"/>
          <w:b/>
          <w:snapToGrid w:val="0"/>
          <w:lang w:val="es-ES"/>
        </w:rPr>
        <w:t xml:space="preserve">'Pulgón de la madera' </w:t>
      </w:r>
      <w:r w:rsidRPr="00993936">
        <w:rPr>
          <w:rFonts w:ascii="Arial" w:hAnsi="Arial" w:cs="Arial"/>
          <w:i/>
          <w:snapToGrid w:val="0"/>
          <w:lang w:val="es-ES"/>
        </w:rPr>
        <w:t>Pterochloroides persicae</w:t>
      </w:r>
    </w:p>
    <w:p w:rsidR="00503A41" w:rsidRPr="00993936" w:rsidRDefault="00503A41" w:rsidP="00424C28">
      <w:pPr>
        <w:pStyle w:val="Textoindependiente2"/>
        <w:spacing w:before="120"/>
        <w:rPr>
          <w:rFonts w:cs="Arial"/>
          <w:lang w:val="es-ES"/>
        </w:rPr>
      </w:pPr>
      <w:r w:rsidRPr="00993936">
        <w:rPr>
          <w:rFonts w:cs="Arial"/>
          <w:lang w:val="es-ES"/>
        </w:rPr>
        <w:t>Cuando se observen colonias de estos pulgones de forma gregaria se puede hacer un tratamiento localizado contra estos áfidos.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i/>
          <w:snapToGrid w:val="0"/>
          <w:lang w:val="es-ES"/>
        </w:rPr>
      </w:pPr>
      <w:r w:rsidRPr="00993936">
        <w:rPr>
          <w:rFonts w:ascii="Arial" w:hAnsi="Arial" w:cs="Arial"/>
          <w:b/>
          <w:snapToGrid w:val="0"/>
          <w:lang w:val="es-ES"/>
        </w:rPr>
        <w:t xml:space="preserve">‘Gusano cabezudo'.  </w:t>
      </w:r>
      <w:r w:rsidRPr="00993936">
        <w:rPr>
          <w:rFonts w:ascii="Arial" w:hAnsi="Arial" w:cs="Arial"/>
          <w:i/>
          <w:snapToGrid w:val="0"/>
          <w:lang w:val="es-ES"/>
        </w:rPr>
        <w:t>Capnodis tenebrionis.</w:t>
      </w:r>
      <w:r w:rsidRPr="00993936">
        <w:rPr>
          <w:rFonts w:ascii="Arial" w:hAnsi="Arial" w:cs="Arial"/>
          <w:b/>
          <w:i/>
          <w:snapToGrid w:val="0"/>
          <w:lang w:val="es-ES"/>
        </w:rPr>
        <w:t xml:space="preserv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su fase larvaria ataca a las raíces y al tronco del árbol; en la fase adulta se alimenta de la parte aérea, pecíolos de hojas, partes terminales de los brotes, etc.</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 xml:space="preserve">Lucha química: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Tratar para eliminar a los adultos invernantes que harán la puesta</w:t>
      </w:r>
      <w:r w:rsidRPr="00993936">
        <w:rPr>
          <w:rFonts w:ascii="Arial" w:hAnsi="Arial" w:cs="Arial"/>
          <w:snapToGrid w:val="0"/>
          <w:vanish/>
          <w:lang w:val="es-ES"/>
        </w:rPr>
        <w:t>&lt;A[posta|apostadero]&gt;</w:t>
      </w:r>
      <w:r w:rsidRPr="00993936">
        <w:rPr>
          <w:rFonts w:ascii="Arial" w:hAnsi="Arial" w:cs="Arial"/>
          <w:snapToGrid w:val="0"/>
          <w:lang w:val="es-ES"/>
        </w:rPr>
        <w:t>. Tratamiento dirigido en la copa del árbol durante los meses de mayo, junio y julio. Los adultos que salen posteriormente no harán puesta</w:t>
      </w:r>
      <w:r w:rsidRPr="00993936">
        <w:rPr>
          <w:rFonts w:ascii="Arial" w:hAnsi="Arial" w:cs="Arial"/>
          <w:snapToGrid w:val="0"/>
          <w:vanish/>
          <w:lang w:val="es-ES"/>
        </w:rPr>
        <w:t>&lt;A[posta|apostadero]&gt;</w:t>
      </w:r>
      <w:r w:rsidRPr="00993936">
        <w:rPr>
          <w:rFonts w:ascii="Arial" w:hAnsi="Arial" w:cs="Arial"/>
          <w:snapToGrid w:val="0"/>
          <w:lang w:val="es-ES"/>
        </w:rPr>
        <w:t xml:space="preserve"> este año.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b/>
          <w:snapToGrid w:val="0"/>
          <w:lang w:val="es-ES"/>
        </w:rPr>
        <w:t>'Caparreta'</w:t>
      </w:r>
      <w:r w:rsidRPr="00993936">
        <w:rPr>
          <w:rFonts w:ascii="Arial" w:hAnsi="Arial" w:cs="Arial"/>
          <w:b/>
          <w:i/>
          <w:snapToGrid w:val="0"/>
          <w:lang w:val="es-ES"/>
        </w:rPr>
        <w:t xml:space="preserve">.  </w:t>
      </w:r>
      <w:r w:rsidRPr="00993936">
        <w:rPr>
          <w:rFonts w:ascii="Arial" w:hAnsi="Arial" w:cs="Arial"/>
          <w:i/>
          <w:snapToGrid w:val="0"/>
          <w:lang w:val="es-ES"/>
        </w:rPr>
        <w:t>Saissetia oleae</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Este insecto tiene una elevada cantidad de parasitoides y depredadores autóctonos que regulan sus poblaciones.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1) Las acciones para su control irán encaminadas a preservar la fauna auxiliar, a regular el equilibrio del árbol con podas de aireación y abonados nitrogenados equilibrados.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 xml:space="preserve">2) Muestreo. El técnico observará 40 ramas por U.C.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u w:val="single"/>
          <w:lang w:val="es-ES"/>
        </w:rPr>
        <w:t>1º muestreo:</w:t>
      </w:r>
      <w:r w:rsidRPr="00993936">
        <w:rPr>
          <w:rFonts w:ascii="Arial" w:hAnsi="Arial" w:cs="Arial"/>
          <w:snapToGrid w:val="0"/>
          <w:lang w:val="es-ES"/>
        </w:rPr>
        <w:t xml:space="preserve"> antes de iniciarse la eclosión se observará el número de hembras</w:t>
      </w:r>
      <w:r w:rsidRPr="00993936">
        <w:rPr>
          <w:rFonts w:ascii="Arial" w:hAnsi="Arial" w:cs="Arial"/>
          <w:snapToGrid w:val="0"/>
          <w:vanish/>
          <w:lang w:val="es-ES"/>
        </w:rPr>
        <w:t>&lt;A[hembras|tuercas]&gt;</w:t>
      </w:r>
      <w:r w:rsidRPr="00993936">
        <w:rPr>
          <w:rFonts w:ascii="Arial" w:hAnsi="Arial" w:cs="Arial"/>
          <w:snapToGrid w:val="0"/>
          <w:lang w:val="es-ES"/>
        </w:rPr>
        <w:t xml:space="preserve"> vivas no parasitadas.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caso de superar el umbral de dos hembras</w:t>
      </w:r>
      <w:r w:rsidRPr="00993936">
        <w:rPr>
          <w:rFonts w:ascii="Arial" w:hAnsi="Arial" w:cs="Arial"/>
          <w:snapToGrid w:val="0"/>
          <w:vanish/>
          <w:lang w:val="es-ES"/>
        </w:rPr>
        <w:t>&lt;A[hembras|tuercas]&gt;</w:t>
      </w:r>
      <w:r w:rsidRPr="00993936">
        <w:rPr>
          <w:rFonts w:ascii="Arial" w:hAnsi="Arial" w:cs="Arial"/>
          <w:snapToGrid w:val="0"/>
          <w:lang w:val="es-ES"/>
        </w:rPr>
        <w:t xml:space="preserve"> adultas no parasitadas en 40 ramas, se hará el 2º muestreo.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u w:val="single"/>
          <w:lang w:val="es-ES"/>
        </w:rPr>
        <w:t>2º muestreo:</w:t>
      </w:r>
      <w:r w:rsidRPr="00993936">
        <w:rPr>
          <w:rFonts w:ascii="Arial" w:hAnsi="Arial" w:cs="Arial"/>
          <w:snapToGrid w:val="0"/>
          <w:lang w:val="es-ES"/>
        </w:rPr>
        <w:t xml:space="preserve"> se observará 120 hojas por U.C. finalizada la eclosión. Se podrán realizar tratamientos cuando el porcentaje de hojas ocupadas sea &gt;= 3%.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Se recomiendan tratamientos localizados cuando se detecten focos aislados de la plaga.</w:t>
      </w:r>
    </w:p>
    <w:p w:rsidR="00503A41" w:rsidRPr="00993936" w:rsidRDefault="00503A41" w:rsidP="00424C28">
      <w:pPr>
        <w:pStyle w:val="Ttulo5"/>
        <w:spacing w:before="120"/>
        <w:rPr>
          <w:rFonts w:ascii="Arial" w:hAnsi="Arial" w:cs="Arial"/>
          <w:color w:val="auto"/>
          <w:lang w:val="es-ES"/>
        </w:rPr>
      </w:pPr>
      <w:r w:rsidRPr="00993936">
        <w:rPr>
          <w:rFonts w:ascii="Arial" w:hAnsi="Arial" w:cs="Arial"/>
          <w:color w:val="auto"/>
          <w:lang w:val="es-ES"/>
        </w:rPr>
        <w:lastRenderedPageBreak/>
        <w:t>'Chinches'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Estos insectos atacan al fruto al mayo-junio, aunque nosotros no observemos nada, los daños los observaremos en la maduración del fruto, que será mala.</w:t>
      </w:r>
    </w:p>
    <w:p w:rsidR="00503A41" w:rsidRPr="00993936" w:rsidRDefault="00503A41" w:rsidP="00424C28">
      <w:pPr>
        <w:pStyle w:val="Textoindependiente2"/>
        <w:spacing w:before="120"/>
        <w:rPr>
          <w:rFonts w:cs="Arial"/>
          <w:lang w:val="es-ES"/>
        </w:rPr>
      </w:pPr>
      <w:r w:rsidRPr="00993936">
        <w:rPr>
          <w:rFonts w:cs="Arial"/>
          <w:lang w:val="es-ES"/>
        </w:rPr>
        <w:t>Lucha química: hacer un tratamiento al mayo-junio. En caso de encontrarnos en una finca con importantes problemas de maduración se pueden hacer dos tratamientos.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u w:val="single"/>
          <w:lang w:val="es-ES"/>
        </w:rPr>
      </w:pPr>
      <w:r w:rsidRPr="00993936">
        <w:rPr>
          <w:rFonts w:ascii="Arial" w:hAnsi="Arial" w:cs="Arial"/>
          <w:b/>
          <w:snapToGrid w:val="0"/>
          <w:u w:val="single"/>
          <w:lang w:val="es-ES"/>
        </w:rPr>
        <w:t>6.3.2  ENFERMEDADES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control de la mayoría de enfermedades que pueden atacar la frutos secos tiene que realizarse de forma preventiva, y viene condicionado por</w:t>
      </w:r>
      <w:r w:rsidRPr="00993936">
        <w:rPr>
          <w:rFonts w:ascii="Arial" w:hAnsi="Arial" w:cs="Arial"/>
          <w:snapToGrid w:val="0"/>
          <w:vanish/>
          <w:lang w:val="es-ES"/>
        </w:rPr>
        <w:t>&lt;A[por|para]&gt;</w:t>
      </w:r>
      <w:r w:rsidRPr="00993936">
        <w:rPr>
          <w:rFonts w:ascii="Arial" w:hAnsi="Arial" w:cs="Arial"/>
          <w:snapToGrid w:val="0"/>
          <w:lang w:val="es-ES"/>
        </w:rPr>
        <w:t xml:space="preserve"> la problemática existente durante periodo vegetativo anterior (nivel de inóculo), los estados fenológicos más sensibles y su epidemiología.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lang w:val="es-ES"/>
        </w:rPr>
      </w:pPr>
      <w:r w:rsidRPr="00993936">
        <w:rPr>
          <w:rFonts w:ascii="Arial" w:hAnsi="Arial" w:cs="Arial"/>
          <w:b/>
          <w:snapToGrid w:val="0"/>
          <w:lang w:val="es-ES"/>
        </w:rPr>
        <w:t>6.4  NOGAL</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u w:val="single"/>
          <w:lang w:val="es-ES"/>
        </w:rPr>
      </w:pPr>
      <w:r w:rsidRPr="00993936">
        <w:rPr>
          <w:rFonts w:ascii="Arial" w:hAnsi="Arial" w:cs="Arial"/>
          <w:b/>
          <w:snapToGrid w:val="0"/>
          <w:u w:val="single"/>
          <w:lang w:val="es-ES"/>
        </w:rPr>
        <w:t>6.4.1  PLAGAS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b/>
          <w:snapToGrid w:val="0"/>
          <w:lang w:val="es-ES"/>
        </w:rPr>
        <w:t xml:space="preserve">'Taladro de la madera'. </w:t>
      </w:r>
      <w:r w:rsidRPr="00993936">
        <w:rPr>
          <w:rFonts w:ascii="Arial" w:hAnsi="Arial" w:cs="Arial"/>
          <w:i/>
          <w:snapToGrid w:val="0"/>
          <w:lang w:val="es-ES"/>
        </w:rPr>
        <w:t>Zeuzera pyrina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A en febrero o marzo, cuando todavía no haya vegetación, hay que controlar el porcentaje de árboles atacados.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La técnica de confusión sexual por carpocapsa se utilizará con preferencia sobre los métodos de control químico siempre que se den las condiciones técnicas adecuadas.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La lucha química se hará atendiendo la primera captura de machos con feromonas y valorando desde este momento cuándo se inicia la eclosión de los huevos.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lang w:val="es-ES"/>
        </w:rPr>
      </w:pPr>
      <w:r w:rsidRPr="00993936">
        <w:rPr>
          <w:rFonts w:ascii="Arial" w:hAnsi="Arial" w:cs="Arial"/>
          <w:lang w:val="es-ES"/>
        </w:rPr>
        <w:t>A finales de marzo hay que colocar las trampas. A partir de la 1ª captura añadir una semana e ir mirando la temperatura media para conocer cuando se inicia la eclosión de los huevos según las tablas del Servicio de Sanidad Vegetal.</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umbral de tolerancia es el siguiente: 15% los árboles atacados.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Lucha cultural: es muy importante y eficaz, especialmente durante el invierno, actuar sobre las galerías activas con alambres, migas o jeringas. Hay que quemar las ramas rotas por el viento a consecuencia de las galerías.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i/>
          <w:snapToGrid w:val="0"/>
          <w:lang w:val="es-ES"/>
        </w:rPr>
      </w:pPr>
      <w:r w:rsidRPr="00993936">
        <w:rPr>
          <w:rFonts w:ascii="Arial" w:hAnsi="Arial" w:cs="Arial"/>
          <w:b/>
          <w:snapToGrid w:val="0"/>
          <w:lang w:val="es-ES"/>
        </w:rPr>
        <w:t xml:space="preserve">'Gusano cabezudo'.  </w:t>
      </w:r>
      <w:r w:rsidRPr="00993936">
        <w:rPr>
          <w:rFonts w:ascii="Arial" w:hAnsi="Arial" w:cs="Arial"/>
          <w:i/>
          <w:snapToGrid w:val="0"/>
          <w:lang w:val="es-ES"/>
        </w:rPr>
        <w:t>Capnodis tenebrionis.</w:t>
      </w:r>
      <w:r w:rsidRPr="00993936">
        <w:rPr>
          <w:rFonts w:ascii="Arial" w:hAnsi="Arial" w:cs="Arial"/>
          <w:b/>
          <w:i/>
          <w:snapToGrid w:val="0"/>
          <w:lang w:val="es-ES"/>
        </w:rPr>
        <w:t xml:space="preserv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su fase larvaria ataca a las raíces y al tronco del árbol; en la fase adulta se alimenta de la parte aérea, pecíolos de hojas, partes terminales de los brotes, etc.</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Lucha química: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Tratar para eliminar a los adultos invernantes que harán la puesta</w:t>
      </w:r>
      <w:r w:rsidRPr="00993936">
        <w:rPr>
          <w:rFonts w:ascii="Arial" w:hAnsi="Arial" w:cs="Arial"/>
          <w:snapToGrid w:val="0"/>
          <w:vanish/>
          <w:lang w:val="es-ES"/>
        </w:rPr>
        <w:t>&lt;A[posta|apostadero]&gt;</w:t>
      </w:r>
      <w:r w:rsidRPr="00993936">
        <w:rPr>
          <w:rFonts w:ascii="Arial" w:hAnsi="Arial" w:cs="Arial"/>
          <w:snapToGrid w:val="0"/>
          <w:lang w:val="es-ES"/>
        </w:rPr>
        <w:t>. Tratamiento dirigido a la copa del árbol durante los meses de mayo, junio y julio. Los adultos que salgan posteriormente no harán puesta</w:t>
      </w:r>
      <w:r w:rsidRPr="00993936">
        <w:rPr>
          <w:rFonts w:ascii="Arial" w:hAnsi="Arial" w:cs="Arial"/>
          <w:snapToGrid w:val="0"/>
          <w:vanish/>
          <w:lang w:val="es-ES"/>
        </w:rPr>
        <w:t>&lt;A[posta|apostadero]&gt;</w:t>
      </w:r>
      <w:r w:rsidRPr="00993936">
        <w:rPr>
          <w:rFonts w:ascii="Arial" w:hAnsi="Arial" w:cs="Arial"/>
          <w:snapToGrid w:val="0"/>
          <w:lang w:val="es-ES"/>
        </w:rPr>
        <w:t xml:space="preserve"> este año</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lang w:val="es-ES"/>
        </w:rPr>
      </w:pPr>
      <w:r w:rsidRPr="00993936">
        <w:rPr>
          <w:rFonts w:ascii="Arial" w:hAnsi="Arial" w:cs="Arial"/>
          <w:b/>
          <w:snapToGrid w:val="0"/>
          <w:lang w:val="es-ES"/>
        </w:rPr>
        <w:t>'Carpocapsa'</w:t>
      </w:r>
      <w:r w:rsidRPr="00993936">
        <w:rPr>
          <w:rFonts w:ascii="Arial" w:hAnsi="Arial" w:cs="Arial"/>
          <w:b/>
          <w:i/>
          <w:snapToGrid w:val="0"/>
          <w:lang w:val="es-ES"/>
        </w:rPr>
        <w:t xml:space="preserve">. </w:t>
      </w:r>
      <w:r w:rsidRPr="00993936">
        <w:rPr>
          <w:rFonts w:ascii="Arial" w:hAnsi="Arial" w:cs="Arial"/>
          <w:i/>
          <w:snapToGrid w:val="0"/>
          <w:lang w:val="es-ES"/>
        </w:rPr>
        <w:t>Cydia pomonella</w:t>
      </w:r>
      <w:r w:rsidRPr="00993936">
        <w:rPr>
          <w:rFonts w:ascii="Arial" w:hAnsi="Arial" w:cs="Arial"/>
          <w:b/>
          <w:i/>
          <w:snapToGrid w:val="0"/>
          <w:lang w:val="es-ES"/>
        </w:rPr>
        <w:t xml:space="preserv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La técnica de confusión sexual para carpocapsa se utilizará con preferencia sobre los métodos de control químico siempre que se den las condiciones técnicas adecuadas.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lastRenderedPageBreak/>
        <w:t>La lucha química se hará atendiendo a la primera captura de machos con feromonas y valorando desde este momento cuándo se inicia la eclosión de los huevos.</w:t>
      </w:r>
    </w:p>
    <w:p w:rsidR="00503A41" w:rsidRPr="00993936" w:rsidRDefault="00503A41" w:rsidP="00424C2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jc w:val="both"/>
        <w:rPr>
          <w:rFonts w:ascii="Arial" w:hAnsi="Arial" w:cs="Arial"/>
          <w:lang w:val="es-ES"/>
        </w:rPr>
      </w:pPr>
      <w:r w:rsidRPr="00993936">
        <w:rPr>
          <w:rFonts w:ascii="Arial" w:hAnsi="Arial" w:cs="Arial"/>
          <w:lang w:val="es-ES"/>
        </w:rPr>
        <w:t xml:space="preserve">A mediados de marzo hay que colocar las trampas. A partir de la 1ª captura añadir una semana e ir acumulando la Ta. media (Ta. màx.-Ta. mín./2) menos </w:t>
      </w:r>
      <w:smartTag w:uri="urn:schemas-microsoft-com:office:smarttags" w:element="metricconverter">
        <w:smartTagPr>
          <w:attr w:name="ProductID" w:val="10ﾺC"/>
        </w:smartTagPr>
        <w:r w:rsidRPr="00993936">
          <w:rPr>
            <w:rFonts w:ascii="Arial" w:hAnsi="Arial" w:cs="Arial"/>
            <w:lang w:val="es-ES"/>
          </w:rPr>
          <w:t>10ºC</w:t>
        </w:r>
      </w:smartTag>
      <w:r w:rsidRPr="00993936">
        <w:rPr>
          <w:rFonts w:ascii="Arial" w:hAnsi="Arial" w:cs="Arial"/>
          <w:lang w:val="es-ES"/>
        </w:rPr>
        <w:t xml:space="preserve"> hasta llegar a los </w:t>
      </w:r>
      <w:smartTag w:uri="urn:schemas-microsoft-com:office:smarttags" w:element="metricconverter">
        <w:smartTagPr>
          <w:attr w:name="ProductID" w:val="90ﾺC"/>
        </w:smartTagPr>
        <w:r w:rsidRPr="00993936">
          <w:rPr>
            <w:rFonts w:ascii="Arial" w:hAnsi="Arial" w:cs="Arial"/>
            <w:lang w:val="es-ES"/>
          </w:rPr>
          <w:t>90ºC</w:t>
        </w:r>
      </w:smartTag>
      <w:r w:rsidRPr="00993936">
        <w:rPr>
          <w:rFonts w:ascii="Arial" w:hAnsi="Arial" w:cs="Arial"/>
          <w:lang w:val="es-ES"/>
        </w:rPr>
        <w:t xml:space="preserve"> acumulados que equivale a la eclosión de los huevos. A partir de entonces hay que ir mirando la persistencia del producto y cuando supera el umbral de tolerancia (2 adultos/trampa y semana) volver a esperar que se llegue a los </w:t>
      </w:r>
      <w:smartTag w:uri="urn:schemas-microsoft-com:office:smarttags" w:element="metricconverter">
        <w:smartTagPr>
          <w:attr w:name="ProductID" w:val="90ﾺC"/>
        </w:smartTagPr>
        <w:r w:rsidRPr="00993936">
          <w:rPr>
            <w:rFonts w:ascii="Arial" w:hAnsi="Arial" w:cs="Arial"/>
            <w:lang w:val="es-ES"/>
          </w:rPr>
          <w:t>90ºC</w:t>
        </w:r>
      </w:smartTag>
      <w:r w:rsidRPr="00993936">
        <w:rPr>
          <w:rFonts w:ascii="Arial" w:hAnsi="Arial" w:cs="Arial"/>
          <w:lang w:val="es-ES"/>
        </w:rPr>
        <w:t>. Tenéis presente que el acoplamiento</w:t>
      </w:r>
      <w:r w:rsidRPr="00993936">
        <w:rPr>
          <w:rFonts w:ascii="Arial" w:hAnsi="Arial" w:cs="Arial"/>
          <w:vanish/>
          <w:lang w:val="es-ES"/>
        </w:rPr>
        <w:t>&lt;A[acoplamiento|ensamblaje]&gt;</w:t>
      </w:r>
      <w:r w:rsidRPr="00993936">
        <w:rPr>
          <w:rFonts w:ascii="Arial" w:hAnsi="Arial" w:cs="Arial"/>
          <w:lang w:val="es-ES"/>
        </w:rPr>
        <w:t xml:space="preserve"> sólo se realiza si la temperatura crepuscular llega a </w:t>
      </w:r>
      <w:smartTag w:uri="urn:schemas-microsoft-com:office:smarttags" w:element="metricconverter">
        <w:smartTagPr>
          <w:attr w:name="ProductID" w:val="15ﾺC"/>
        </w:smartTagPr>
        <w:r w:rsidRPr="00993936">
          <w:rPr>
            <w:rFonts w:ascii="Arial" w:hAnsi="Arial" w:cs="Arial"/>
            <w:lang w:val="es-ES"/>
          </w:rPr>
          <w:t>15ºC</w:t>
        </w:r>
      </w:smartTag>
      <w:r w:rsidRPr="00993936">
        <w:rPr>
          <w:rFonts w:ascii="Arial" w:hAnsi="Arial" w:cs="Arial"/>
          <w:lang w:val="es-ES"/>
        </w:rPr>
        <w:t>.</w:t>
      </w:r>
    </w:p>
    <w:p w:rsidR="00503A41" w:rsidRPr="00993936" w:rsidRDefault="00503A41" w:rsidP="00424C28">
      <w:pPr>
        <w:pStyle w:val="Textindependent1"/>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jc w:val="both"/>
        <w:rPr>
          <w:rFonts w:ascii="Arial" w:hAnsi="Arial" w:cs="Arial"/>
          <w:color w:val="auto"/>
          <w:sz w:val="22"/>
          <w:lang w:val="es-ES"/>
        </w:rPr>
      </w:pPr>
      <w:r w:rsidRPr="00993936">
        <w:rPr>
          <w:rFonts w:ascii="Arial" w:hAnsi="Arial" w:cs="Arial"/>
          <w:b/>
          <w:snapToGrid w:val="0"/>
          <w:color w:val="auto"/>
          <w:sz w:val="22"/>
          <w:lang w:val="es-ES"/>
        </w:rPr>
        <w:t>'Pulgones'.</w:t>
      </w:r>
      <w:r w:rsidRPr="00993936">
        <w:rPr>
          <w:rFonts w:ascii="Arial" w:hAnsi="Arial" w:cs="Arial"/>
          <w:b/>
          <w:i/>
          <w:snapToGrid w:val="0"/>
          <w:color w:val="auto"/>
          <w:sz w:val="22"/>
          <w:lang w:val="es-ES"/>
        </w:rPr>
        <w:t xml:space="preserve"> </w:t>
      </w:r>
      <w:r w:rsidRPr="00993936">
        <w:rPr>
          <w:rFonts w:ascii="Arial" w:hAnsi="Arial" w:cs="Arial"/>
          <w:i/>
          <w:color w:val="auto"/>
          <w:sz w:val="22"/>
          <w:lang w:val="es-ES"/>
        </w:rPr>
        <w:t>Callaphis juglandis, Cromaphis juglandicola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 xml:space="preserve">Los pulgones tienen muchos enemigos naturales; si bien muchas veces no controlan totalmente las poblaciones, si que pueden reducirlas sustancialmente. </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caso de que durante la campaña anterior se hayan tenido problemas hay que hacer un tratamiento oleofosforado con el fin de reducir poblaciones.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En caso de formarse colonias aisladas, se aconseja realizar tratamientos localizados.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i/>
          <w:snapToGrid w:val="0"/>
          <w:u w:val="single"/>
          <w:lang w:val="es-ES"/>
        </w:rPr>
      </w:pPr>
      <w:r w:rsidRPr="00993936">
        <w:rPr>
          <w:rFonts w:ascii="Arial" w:hAnsi="Arial" w:cs="Arial"/>
          <w:snapToGrid w:val="0"/>
          <w:lang w:val="es-ES"/>
        </w:rPr>
        <w:t xml:space="preserve"> El umbral de tratamiento en postfloración es el siguiente:</w:t>
      </w:r>
    </w:p>
    <w:p w:rsidR="00503A41" w:rsidRPr="00993936" w:rsidRDefault="00503A41" w:rsidP="009D1A2D">
      <w:pPr>
        <w:widowControl w:val="0"/>
        <w:numPr>
          <w:ilvl w:val="0"/>
          <w:numId w:val="1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u w:val="single"/>
          <w:lang w:val="es-ES"/>
        </w:rPr>
      </w:pPr>
      <w:r w:rsidRPr="00993936">
        <w:rPr>
          <w:rFonts w:ascii="Arial" w:hAnsi="Arial" w:cs="Arial"/>
          <w:i/>
          <w:lang w:val="es-ES"/>
        </w:rPr>
        <w:t>Callaphis juglandis</w:t>
      </w:r>
      <w:r w:rsidRPr="00993936">
        <w:rPr>
          <w:rFonts w:ascii="Arial" w:hAnsi="Arial" w:cs="Arial"/>
          <w:lang w:val="es-ES"/>
        </w:rPr>
        <w:t>:</w:t>
      </w:r>
      <w:r w:rsidRPr="00993936">
        <w:rPr>
          <w:rFonts w:ascii="Arial" w:hAnsi="Arial" w:cs="Arial"/>
          <w:b/>
          <w:lang w:val="es-ES"/>
        </w:rPr>
        <w:t xml:space="preserve"> </w:t>
      </w:r>
      <w:r w:rsidRPr="00993936">
        <w:rPr>
          <w:rFonts w:ascii="Arial" w:hAnsi="Arial" w:cs="Arial"/>
          <w:lang w:val="es-ES"/>
        </w:rPr>
        <w:t>10% de árboles afectados</w:t>
      </w:r>
    </w:p>
    <w:p w:rsidR="00503A41" w:rsidRPr="00993936" w:rsidRDefault="00503A41" w:rsidP="009D1A2D">
      <w:pPr>
        <w:widowControl w:val="0"/>
        <w:numPr>
          <w:ilvl w:val="0"/>
          <w:numId w:val="1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u w:val="single"/>
          <w:lang w:val="es-ES"/>
        </w:rPr>
      </w:pPr>
      <w:r w:rsidRPr="00993936">
        <w:rPr>
          <w:rFonts w:ascii="Arial" w:hAnsi="Arial" w:cs="Arial"/>
          <w:i/>
          <w:lang w:val="es-ES"/>
        </w:rPr>
        <w:t>Cromaphis juglandicola</w:t>
      </w:r>
      <w:r w:rsidRPr="00993936">
        <w:rPr>
          <w:rFonts w:ascii="Arial" w:hAnsi="Arial" w:cs="Arial"/>
          <w:snapToGrid w:val="0"/>
          <w:lang w:val="es-ES"/>
        </w:rPr>
        <w:t xml:space="preserve">: </w:t>
      </w:r>
      <w:r w:rsidRPr="00993936">
        <w:rPr>
          <w:rFonts w:ascii="Arial" w:hAnsi="Arial" w:cs="Arial"/>
          <w:lang w:val="es-ES"/>
        </w:rPr>
        <w:t>10% de árboles afectados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u w:val="single"/>
          <w:lang w:val="es-ES"/>
        </w:rPr>
      </w:pPr>
      <w:r w:rsidRPr="00993936">
        <w:rPr>
          <w:rFonts w:ascii="Arial" w:hAnsi="Arial" w:cs="Arial"/>
          <w:b/>
          <w:snapToGrid w:val="0"/>
          <w:u w:val="single"/>
          <w:lang w:val="es-ES"/>
        </w:rPr>
        <w:t>6.4.2  ENFERMEDADES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snapToGrid w:val="0"/>
          <w:lang w:val="es-ES"/>
        </w:rPr>
      </w:pPr>
      <w:r w:rsidRPr="00993936">
        <w:rPr>
          <w:rFonts w:ascii="Arial" w:hAnsi="Arial" w:cs="Arial"/>
          <w:snapToGrid w:val="0"/>
          <w:lang w:val="es-ES"/>
        </w:rPr>
        <w:t>El control de la mayoría de enfermedades que pueden atacar la frutos secos tiene que realizarse de forma preventiva y viene condicionado por</w:t>
      </w:r>
      <w:r w:rsidRPr="00993936">
        <w:rPr>
          <w:rFonts w:ascii="Arial" w:hAnsi="Arial" w:cs="Arial"/>
          <w:snapToGrid w:val="0"/>
          <w:vanish/>
          <w:lang w:val="es-ES"/>
        </w:rPr>
        <w:t>&lt;A[por|para]&gt;</w:t>
      </w:r>
      <w:r w:rsidRPr="00993936">
        <w:rPr>
          <w:rFonts w:ascii="Arial" w:hAnsi="Arial" w:cs="Arial"/>
          <w:snapToGrid w:val="0"/>
          <w:lang w:val="es-ES"/>
        </w:rPr>
        <w:t xml:space="preserve"> la problemática existente durante el periodo vegetativo anterior (nivel de inóculo), los estados fenológicos más sensibles y su epidemiología.</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i/>
          <w:snapToGrid w:val="0"/>
          <w:lang w:val="es-ES"/>
        </w:rPr>
      </w:pPr>
      <w:r w:rsidRPr="00993936">
        <w:rPr>
          <w:rFonts w:ascii="Arial" w:hAnsi="Arial" w:cs="Arial"/>
          <w:b/>
          <w:snapToGrid w:val="0"/>
          <w:lang w:val="es-ES"/>
        </w:rPr>
        <w:t xml:space="preserve"> 'Antracnosis'. </w:t>
      </w:r>
      <w:r w:rsidRPr="00993936">
        <w:rPr>
          <w:rFonts w:ascii="Arial" w:hAnsi="Arial" w:cs="Arial"/>
          <w:i/>
          <w:snapToGrid w:val="0"/>
          <w:lang w:val="es-ES"/>
        </w:rPr>
        <w:t>Gnomonia leptsostyla</w:t>
      </w:r>
    </w:p>
    <w:p w:rsidR="00503A41" w:rsidRPr="00993936" w:rsidRDefault="00503A41" w:rsidP="00424C28">
      <w:pPr>
        <w:pStyle w:val="Textoindependiente3"/>
        <w:spacing w:before="120"/>
        <w:rPr>
          <w:rFonts w:cs="Arial"/>
          <w:lang w:val="es-ES"/>
        </w:rPr>
      </w:pPr>
      <w:r w:rsidRPr="00993936">
        <w:rPr>
          <w:rFonts w:cs="Arial"/>
          <w:lang w:val="es-ES"/>
        </w:rPr>
        <w:t>Lucha cultural: eliminación de brotes afectados.</w:t>
      </w:r>
    </w:p>
    <w:p w:rsidR="00503A41" w:rsidRPr="00993936" w:rsidRDefault="00503A41" w:rsidP="00424C28">
      <w:pPr>
        <w:pStyle w:val="Textoindependiente3"/>
        <w:spacing w:before="120"/>
        <w:rPr>
          <w:rFonts w:cs="Arial"/>
          <w:lang w:val="es-ES"/>
        </w:rPr>
      </w:pPr>
      <w:r w:rsidRPr="00993936">
        <w:rPr>
          <w:rFonts w:cs="Arial"/>
          <w:lang w:val="es-ES"/>
        </w:rPr>
        <w:t>Lucha química:</w:t>
      </w:r>
    </w:p>
    <w:p w:rsidR="00503A41" w:rsidRPr="00993936" w:rsidRDefault="00503A41" w:rsidP="009D1A2D">
      <w:pPr>
        <w:widowControl w:val="0"/>
        <w:numPr>
          <w:ilvl w:val="0"/>
          <w:numId w:val="1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t>tratar en el inicio de la floración femenina</w:t>
      </w:r>
    </w:p>
    <w:p w:rsidR="00503A41" w:rsidRPr="00993936" w:rsidRDefault="00503A41" w:rsidP="009D1A2D">
      <w:pPr>
        <w:widowControl w:val="0"/>
        <w:numPr>
          <w:ilvl w:val="0"/>
          <w:numId w:val="1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t>tratar en el cuajado del fruto</w:t>
      </w:r>
    </w:p>
    <w:p w:rsidR="00503A41" w:rsidRPr="00993936" w:rsidRDefault="00503A41" w:rsidP="009D1A2D">
      <w:pPr>
        <w:widowControl w:val="0"/>
        <w:numPr>
          <w:ilvl w:val="0"/>
          <w:numId w:val="1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t>tratar 15 días después del cuajado del fruto</w:t>
      </w:r>
    </w:p>
    <w:p w:rsidR="00503A41" w:rsidRPr="00993936" w:rsidRDefault="00503A41" w:rsidP="009D1A2D">
      <w:pPr>
        <w:widowControl w:val="0"/>
        <w:numPr>
          <w:ilvl w:val="0"/>
          <w:numId w:val="14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0" w:line="240" w:lineRule="auto"/>
        <w:jc w:val="both"/>
        <w:rPr>
          <w:rFonts w:ascii="Arial" w:hAnsi="Arial" w:cs="Arial"/>
          <w:snapToGrid w:val="0"/>
          <w:lang w:val="es-ES"/>
        </w:rPr>
      </w:pPr>
      <w:r w:rsidRPr="00993936">
        <w:rPr>
          <w:rFonts w:ascii="Arial" w:hAnsi="Arial" w:cs="Arial"/>
          <w:snapToGrid w:val="0"/>
          <w:lang w:val="es-ES"/>
        </w:rPr>
        <w:t>tratar a la caída de las hojas con productos cúpricos</w:t>
      </w:r>
    </w:p>
    <w:p w:rsidR="00503A41" w:rsidRPr="00993936" w:rsidRDefault="00503A41" w:rsidP="00424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i/>
          <w:snapToGrid w:val="0"/>
          <w:lang w:val="es-ES"/>
        </w:rPr>
      </w:pPr>
      <w:r w:rsidRPr="00993936">
        <w:rPr>
          <w:rFonts w:ascii="Arial" w:hAnsi="Arial" w:cs="Arial"/>
          <w:b/>
          <w:snapToGrid w:val="0"/>
          <w:lang w:val="es-ES"/>
        </w:rPr>
        <w:t xml:space="preserve">'Bacteriosis' </w:t>
      </w:r>
      <w:r w:rsidRPr="00993936">
        <w:rPr>
          <w:rFonts w:ascii="Arial" w:hAnsi="Arial" w:cs="Arial"/>
          <w:i/>
          <w:snapToGrid w:val="0"/>
          <w:lang w:val="es-ES"/>
        </w:rPr>
        <w:t>Xanthomonas juglandis</w:t>
      </w:r>
    </w:p>
    <w:p w:rsidR="00503A41" w:rsidRPr="00993936" w:rsidRDefault="00503A41" w:rsidP="00424C28">
      <w:pPr>
        <w:pStyle w:val="Textoindependiente3"/>
        <w:spacing w:before="120"/>
        <w:rPr>
          <w:rFonts w:cs="Arial"/>
          <w:lang w:val="es-ES"/>
        </w:rPr>
      </w:pPr>
      <w:r w:rsidRPr="00993936">
        <w:rPr>
          <w:rFonts w:cs="Arial"/>
          <w:lang w:val="es-ES"/>
        </w:rPr>
        <w:t>Lucha química:</w:t>
      </w:r>
    </w:p>
    <w:p w:rsidR="00503A41" w:rsidRPr="00993936" w:rsidRDefault="00503A41" w:rsidP="009D1A2D">
      <w:pPr>
        <w:pStyle w:val="Textoindependiente3"/>
        <w:numPr>
          <w:ilvl w:val="0"/>
          <w:numId w:val="145"/>
        </w:numPr>
        <w:spacing w:before="120"/>
        <w:rPr>
          <w:rFonts w:cs="Arial"/>
          <w:b w:val="0"/>
          <w:lang w:val="es-ES"/>
        </w:rPr>
      </w:pPr>
      <w:r w:rsidRPr="00993936">
        <w:rPr>
          <w:rFonts w:cs="Arial"/>
          <w:b w:val="0"/>
          <w:lang w:val="es-ES"/>
        </w:rPr>
        <w:t>Tratar en la fase de tamo con productos cúpricos (</w:t>
      </w:r>
      <w:smartTag w:uri="urn:schemas-microsoft-com:office:smarttags" w:element="metricconverter">
        <w:smartTagPr>
          <w:attr w:name="ProductID" w:val="250 g"/>
        </w:smartTagPr>
        <w:r w:rsidRPr="00993936">
          <w:rPr>
            <w:rFonts w:cs="Arial"/>
            <w:b w:val="0"/>
            <w:lang w:val="es-ES"/>
          </w:rPr>
          <w:t>250 g</w:t>
        </w:r>
      </w:smartTag>
      <w:r w:rsidRPr="00993936">
        <w:rPr>
          <w:rFonts w:cs="Arial"/>
          <w:b w:val="0"/>
          <w:lang w:val="es-ES"/>
        </w:rPr>
        <w:t xml:space="preserve"> Cu/100 l de agua)</w:t>
      </w:r>
    </w:p>
    <w:p w:rsidR="00503A41" w:rsidRPr="00993936" w:rsidRDefault="00503A41" w:rsidP="009D1A2D">
      <w:pPr>
        <w:pStyle w:val="Textoindependiente3"/>
        <w:numPr>
          <w:ilvl w:val="0"/>
          <w:numId w:val="145"/>
        </w:numPr>
        <w:spacing w:before="120"/>
        <w:rPr>
          <w:rFonts w:cs="Arial"/>
          <w:b w:val="0"/>
          <w:lang w:val="es-ES"/>
        </w:rPr>
      </w:pPr>
      <w:r w:rsidRPr="00993936">
        <w:rPr>
          <w:rFonts w:cs="Arial"/>
          <w:b w:val="0"/>
          <w:lang w:val="es-ES"/>
        </w:rPr>
        <w:t>Tratar al inicio de floración femenina con productos cúpricos (</w:t>
      </w:r>
      <w:smartTag w:uri="urn:schemas-microsoft-com:office:smarttags" w:element="metricconverter">
        <w:smartTagPr>
          <w:attr w:name="ProductID" w:val="200 g"/>
        </w:smartTagPr>
        <w:r w:rsidRPr="00993936">
          <w:rPr>
            <w:rFonts w:cs="Arial"/>
            <w:b w:val="0"/>
            <w:lang w:val="es-ES"/>
          </w:rPr>
          <w:t>200 g</w:t>
        </w:r>
      </w:smartTag>
      <w:r w:rsidRPr="00993936">
        <w:rPr>
          <w:rFonts w:cs="Arial"/>
          <w:b w:val="0"/>
          <w:lang w:val="es-ES"/>
        </w:rPr>
        <w:t xml:space="preserve"> Cu/ </w:t>
      </w:r>
      <w:smartTag w:uri="urn:schemas-microsoft-com:office:smarttags" w:element="metricconverter">
        <w:smartTagPr>
          <w:attr w:name="ProductID" w:val="100 l"/>
        </w:smartTagPr>
        <w:r w:rsidRPr="00993936">
          <w:rPr>
            <w:rFonts w:cs="Arial"/>
            <w:b w:val="0"/>
            <w:lang w:val="es-ES"/>
          </w:rPr>
          <w:t>100 l.</w:t>
        </w:r>
      </w:smartTag>
      <w:r w:rsidRPr="00993936">
        <w:rPr>
          <w:rFonts w:cs="Arial"/>
          <w:b w:val="0"/>
          <w:lang w:val="es-ES"/>
        </w:rPr>
        <w:t xml:space="preserve"> de agua)</w:t>
      </w:r>
    </w:p>
    <w:p w:rsidR="00503A41" w:rsidRPr="00993936" w:rsidRDefault="00503A41" w:rsidP="009D1A2D">
      <w:pPr>
        <w:pStyle w:val="Textoindependiente3"/>
        <w:numPr>
          <w:ilvl w:val="0"/>
          <w:numId w:val="145"/>
        </w:numPr>
        <w:spacing w:before="120"/>
        <w:rPr>
          <w:rFonts w:cs="Arial"/>
          <w:b w:val="0"/>
          <w:lang w:val="es-ES"/>
        </w:rPr>
      </w:pPr>
      <w:r w:rsidRPr="00993936">
        <w:rPr>
          <w:rFonts w:cs="Arial"/>
          <w:b w:val="0"/>
          <w:lang w:val="es-ES"/>
        </w:rPr>
        <w:t>Tratar el cuajado de fruto con productos cúpricos (</w:t>
      </w:r>
      <w:smartTag w:uri="urn:schemas-microsoft-com:office:smarttags" w:element="metricconverter">
        <w:smartTagPr>
          <w:attr w:name="ProductID" w:val="250 g"/>
        </w:smartTagPr>
        <w:r w:rsidRPr="00993936">
          <w:rPr>
            <w:rFonts w:cs="Arial"/>
            <w:b w:val="0"/>
            <w:lang w:val="es-ES"/>
          </w:rPr>
          <w:t>250 g</w:t>
        </w:r>
      </w:smartTag>
      <w:r w:rsidRPr="00993936">
        <w:rPr>
          <w:rFonts w:cs="Arial"/>
          <w:b w:val="0"/>
          <w:lang w:val="es-ES"/>
        </w:rPr>
        <w:t xml:space="preserve"> Cu/100 l de agua)</w:t>
      </w:r>
    </w:p>
    <w:p w:rsidR="00503A41" w:rsidRPr="00993936" w:rsidRDefault="00503A41" w:rsidP="009D1A2D">
      <w:pPr>
        <w:pStyle w:val="Textoindependiente3"/>
        <w:numPr>
          <w:ilvl w:val="0"/>
          <w:numId w:val="145"/>
        </w:numPr>
        <w:spacing w:before="120"/>
        <w:rPr>
          <w:rFonts w:cs="Arial"/>
          <w:b w:val="0"/>
          <w:lang w:val="es-ES"/>
        </w:rPr>
      </w:pPr>
      <w:r w:rsidRPr="00993936">
        <w:rPr>
          <w:rFonts w:cs="Arial"/>
          <w:b w:val="0"/>
          <w:lang w:val="es-ES"/>
        </w:rPr>
        <w:t>Tratar a caída de hoja con productos cúpricos (</w:t>
      </w:r>
      <w:smartTag w:uri="urn:schemas-microsoft-com:office:smarttags" w:element="metricconverter">
        <w:smartTagPr>
          <w:attr w:name="ProductID" w:val="400 g"/>
        </w:smartTagPr>
        <w:r w:rsidRPr="00993936">
          <w:rPr>
            <w:rFonts w:cs="Arial"/>
            <w:b w:val="0"/>
            <w:lang w:val="es-ES"/>
          </w:rPr>
          <w:t>400 g</w:t>
        </w:r>
      </w:smartTag>
      <w:r w:rsidRPr="00993936">
        <w:rPr>
          <w:rFonts w:cs="Arial"/>
          <w:b w:val="0"/>
          <w:lang w:val="es-ES"/>
        </w:rPr>
        <w:t xml:space="preserve"> Cu/100l de agua)</w:t>
      </w:r>
    </w:p>
    <w:p w:rsidR="00503A41" w:rsidRPr="00993936" w:rsidRDefault="00503A41" w:rsidP="00424C28">
      <w:pPr>
        <w:pStyle w:val="Ttulo2"/>
        <w:rPr>
          <w:rFonts w:ascii="Arial" w:hAnsi="Arial" w:cs="Arial"/>
          <w:color w:val="auto"/>
          <w:lang w:val="es-ES"/>
        </w:rPr>
      </w:pPr>
    </w:p>
    <w:p w:rsidR="00503A41" w:rsidRPr="00993936" w:rsidRDefault="00503A41" w:rsidP="00424C28">
      <w:pPr>
        <w:rPr>
          <w:rFonts w:ascii="Arial" w:hAnsi="Arial" w:cs="Arial"/>
          <w:lang w:val="es-ES"/>
        </w:rPr>
      </w:pPr>
    </w:p>
    <w:p w:rsidR="007003E1" w:rsidRPr="00993936" w:rsidRDefault="007003E1">
      <w:pPr>
        <w:rPr>
          <w:rFonts w:ascii="Arial" w:eastAsiaTheme="majorEastAsia" w:hAnsi="Arial" w:cs="Arial"/>
          <w:b/>
          <w:szCs w:val="26"/>
          <w:lang w:val="es-ES"/>
        </w:rPr>
      </w:pPr>
      <w:r w:rsidRPr="00993936">
        <w:rPr>
          <w:rFonts w:ascii="Arial" w:hAnsi="Arial" w:cs="Arial"/>
          <w:b/>
          <w:lang w:val="es-ES"/>
        </w:rPr>
        <w:br w:type="page"/>
      </w:r>
    </w:p>
    <w:p w:rsidR="00503A41" w:rsidRPr="00993936" w:rsidRDefault="00503A41" w:rsidP="00424C28">
      <w:pPr>
        <w:pStyle w:val="Ttulo2"/>
        <w:rPr>
          <w:rFonts w:ascii="Arial" w:hAnsi="Arial" w:cs="Arial"/>
          <w:b/>
          <w:color w:val="auto"/>
          <w:sz w:val="22"/>
          <w:lang w:val="es-ES"/>
        </w:rPr>
      </w:pPr>
      <w:r w:rsidRPr="00993936">
        <w:rPr>
          <w:rFonts w:ascii="Arial" w:hAnsi="Arial" w:cs="Arial"/>
          <w:b/>
          <w:color w:val="auto"/>
          <w:sz w:val="22"/>
          <w:lang w:val="es-ES"/>
        </w:rPr>
        <w:lastRenderedPageBreak/>
        <w:t>ANEXO 7</w:t>
      </w:r>
    </w:p>
    <w:p w:rsidR="00503A41" w:rsidRPr="00993936" w:rsidRDefault="00503A41" w:rsidP="00424C28">
      <w:pPr>
        <w:pStyle w:val="Ttulo2"/>
        <w:rPr>
          <w:rFonts w:ascii="Arial" w:hAnsi="Arial" w:cs="Arial"/>
          <w:b/>
          <w:color w:val="auto"/>
          <w:sz w:val="22"/>
          <w:lang w:val="es-ES"/>
        </w:rPr>
      </w:pPr>
      <w:r w:rsidRPr="00993936">
        <w:rPr>
          <w:rFonts w:ascii="Arial" w:hAnsi="Arial" w:cs="Arial"/>
          <w:b/>
          <w:color w:val="auto"/>
          <w:sz w:val="22"/>
          <w:lang w:val="es-ES"/>
        </w:rPr>
        <w:t>Niveles orientativos del contenido de elementos en análisis foliares (*)</w:t>
      </w:r>
    </w:p>
    <w:p w:rsidR="00503A41" w:rsidRPr="00993936" w:rsidRDefault="00503A41" w:rsidP="00424C28">
      <w:pPr>
        <w:jc w:val="both"/>
        <w:rPr>
          <w:rFonts w:ascii="Arial" w:hAnsi="Arial" w:cs="Arial"/>
          <w:u w:val="single"/>
          <w:lang w:val="es-ES"/>
        </w:rPr>
      </w:pPr>
      <w:r w:rsidRPr="00993936">
        <w:rPr>
          <w:rFonts w:ascii="Arial" w:hAnsi="Arial" w:cs="Arial"/>
          <w:i/>
          <w:u w:val="single"/>
          <w:lang w:val="es-ES"/>
        </w:rPr>
        <w:t>Criterio para la toma</w:t>
      </w:r>
      <w:r w:rsidRPr="00993936">
        <w:rPr>
          <w:rFonts w:ascii="Arial" w:hAnsi="Arial" w:cs="Arial"/>
          <w:i/>
          <w:vanish/>
          <w:u w:val="single"/>
          <w:lang w:val="es-ES"/>
        </w:rPr>
        <w:t>&lt;A[toma|presa]&gt;</w:t>
      </w:r>
      <w:r w:rsidRPr="00993936">
        <w:rPr>
          <w:rFonts w:ascii="Arial" w:hAnsi="Arial" w:cs="Arial"/>
          <w:i/>
          <w:u w:val="single"/>
          <w:lang w:val="es-ES"/>
        </w:rPr>
        <w:t xml:space="preserve"> de la muestra de hojas:</w:t>
      </w:r>
      <w:r w:rsidRPr="00993936">
        <w:rPr>
          <w:rFonts w:ascii="Arial" w:hAnsi="Arial" w:cs="Arial"/>
          <w:u w:val="single"/>
          <w:lang w:val="es-ES"/>
        </w:rPr>
        <w:t xml:space="preserve"> </w:t>
      </w:r>
    </w:p>
    <w:p w:rsidR="00503A41" w:rsidRPr="00993936" w:rsidRDefault="00503A41" w:rsidP="00424C28">
      <w:pPr>
        <w:jc w:val="both"/>
        <w:rPr>
          <w:rFonts w:ascii="Arial" w:hAnsi="Arial" w:cs="Arial"/>
          <w:lang w:val="es-ES"/>
        </w:rPr>
      </w:pPr>
      <w:r w:rsidRPr="00993936">
        <w:rPr>
          <w:rFonts w:ascii="Arial" w:hAnsi="Arial" w:cs="Arial"/>
          <w:lang w:val="es-ES"/>
        </w:rPr>
        <w:t>Para evaluar el estado de nutrición del cultivo se necesario obtener hojas en buen estado. El criterio general de selección de las muestras se basa en la obtención de hojas del año plenamente desarrolladas.</w:t>
      </w:r>
    </w:p>
    <w:p w:rsidR="00503A41" w:rsidRPr="00993936" w:rsidRDefault="00503A41" w:rsidP="00424C28">
      <w:pPr>
        <w:jc w:val="both"/>
        <w:rPr>
          <w:rFonts w:ascii="Arial" w:hAnsi="Arial" w:cs="Arial"/>
          <w:i/>
          <w:u w:val="single"/>
          <w:lang w:val="es-ES"/>
        </w:rPr>
      </w:pPr>
      <w:r w:rsidRPr="00993936">
        <w:rPr>
          <w:rFonts w:ascii="Arial" w:hAnsi="Arial" w:cs="Arial"/>
          <w:i/>
          <w:u w:val="single"/>
          <w:lang w:val="es-ES"/>
        </w:rPr>
        <w:t>Número de hojas:</w:t>
      </w:r>
    </w:p>
    <w:p w:rsidR="00503A41" w:rsidRPr="00993936" w:rsidRDefault="00503A41" w:rsidP="00424C28">
      <w:pPr>
        <w:jc w:val="both"/>
        <w:rPr>
          <w:rFonts w:ascii="Arial" w:hAnsi="Arial" w:cs="Arial"/>
          <w:b/>
          <w:lang w:val="es-ES"/>
        </w:rPr>
      </w:pPr>
      <w:r w:rsidRPr="00993936">
        <w:rPr>
          <w:rFonts w:ascii="Arial" w:hAnsi="Arial" w:cs="Arial"/>
          <w:b/>
          <w:lang w:val="es-ES"/>
        </w:rPr>
        <w:t>Almendro</w:t>
      </w:r>
    </w:p>
    <w:p w:rsidR="00503A41" w:rsidRPr="00993936" w:rsidRDefault="00503A41" w:rsidP="00424C28">
      <w:pPr>
        <w:jc w:val="both"/>
        <w:rPr>
          <w:rFonts w:ascii="Arial" w:hAnsi="Arial" w:cs="Arial"/>
          <w:lang w:val="es-ES"/>
        </w:rPr>
      </w:pPr>
      <w:r w:rsidRPr="00993936">
        <w:rPr>
          <w:rFonts w:ascii="Arial" w:hAnsi="Arial" w:cs="Arial"/>
          <w:lang w:val="es-ES"/>
        </w:rPr>
        <w:t>Se recomienda coger 50 hojas totalmente desarrolladas de la parte central de los brotes del año.</w:t>
      </w:r>
    </w:p>
    <w:p w:rsidR="00503A41" w:rsidRPr="00993936" w:rsidRDefault="00503A41" w:rsidP="00424C28">
      <w:pPr>
        <w:jc w:val="both"/>
        <w:rPr>
          <w:rFonts w:ascii="Arial" w:hAnsi="Arial" w:cs="Arial"/>
          <w:b/>
          <w:lang w:val="es-ES"/>
        </w:rPr>
      </w:pPr>
      <w:r w:rsidRPr="00993936">
        <w:rPr>
          <w:rFonts w:ascii="Arial" w:hAnsi="Arial" w:cs="Arial"/>
          <w:b/>
          <w:lang w:val="es-ES"/>
        </w:rPr>
        <w:t>Avellano</w:t>
      </w:r>
    </w:p>
    <w:p w:rsidR="00503A41" w:rsidRPr="00993936" w:rsidRDefault="00503A41" w:rsidP="00424C28">
      <w:pPr>
        <w:jc w:val="both"/>
        <w:rPr>
          <w:rFonts w:ascii="Arial" w:hAnsi="Arial" w:cs="Arial"/>
          <w:lang w:val="es-ES"/>
        </w:rPr>
      </w:pPr>
      <w:r w:rsidRPr="00993936">
        <w:rPr>
          <w:rFonts w:ascii="Arial" w:hAnsi="Arial" w:cs="Arial"/>
          <w:lang w:val="es-ES"/>
        </w:rPr>
        <w:t>Se recomienda coger 25 hojas totalmente desarrolladas de la parte central de los brotes del año.</w:t>
      </w:r>
    </w:p>
    <w:p w:rsidR="00503A41" w:rsidRPr="00993936" w:rsidRDefault="00503A41" w:rsidP="00424C28">
      <w:pPr>
        <w:jc w:val="both"/>
        <w:rPr>
          <w:rFonts w:ascii="Arial" w:hAnsi="Arial" w:cs="Arial"/>
          <w:b/>
          <w:lang w:val="es-ES"/>
        </w:rPr>
      </w:pPr>
      <w:r w:rsidRPr="00993936">
        <w:rPr>
          <w:rFonts w:ascii="Arial" w:hAnsi="Arial" w:cs="Arial"/>
          <w:b/>
          <w:lang w:val="es-ES"/>
        </w:rPr>
        <w:t>Nogal</w:t>
      </w:r>
    </w:p>
    <w:p w:rsidR="00503A41" w:rsidRPr="00993936" w:rsidRDefault="00503A41" w:rsidP="00424C28">
      <w:pPr>
        <w:jc w:val="both"/>
        <w:rPr>
          <w:rFonts w:ascii="Arial" w:hAnsi="Arial" w:cs="Arial"/>
          <w:lang w:val="es-ES"/>
        </w:rPr>
      </w:pPr>
      <w:r w:rsidRPr="00993936">
        <w:rPr>
          <w:rFonts w:ascii="Arial" w:hAnsi="Arial" w:cs="Arial"/>
          <w:lang w:val="es-ES"/>
        </w:rPr>
        <w:t>Se recomienda coger 25 hojas totalmente desarrolladas de la parte central de los brotes del año.</w:t>
      </w:r>
    </w:p>
    <w:p w:rsidR="00503A41" w:rsidRPr="00993936" w:rsidRDefault="00503A41" w:rsidP="00424C28">
      <w:pPr>
        <w:jc w:val="both"/>
        <w:rPr>
          <w:rFonts w:ascii="Arial" w:hAnsi="Arial" w:cs="Arial"/>
          <w:i/>
          <w:u w:val="single"/>
          <w:lang w:val="es-ES"/>
        </w:rPr>
      </w:pPr>
    </w:p>
    <w:p w:rsidR="00503A41" w:rsidRPr="00993936" w:rsidRDefault="00503A41" w:rsidP="00424C28">
      <w:pPr>
        <w:jc w:val="both"/>
        <w:rPr>
          <w:rFonts w:ascii="Arial" w:hAnsi="Arial" w:cs="Arial"/>
          <w:i/>
          <w:u w:val="single"/>
          <w:lang w:val="es-ES"/>
        </w:rPr>
      </w:pPr>
      <w:r w:rsidRPr="00993936">
        <w:rPr>
          <w:rFonts w:ascii="Arial" w:hAnsi="Arial" w:cs="Arial"/>
          <w:i/>
          <w:u w:val="single"/>
          <w:lang w:val="es-ES"/>
        </w:rPr>
        <w:t xml:space="preserve">Periodo: </w:t>
      </w:r>
    </w:p>
    <w:p w:rsidR="00503A41" w:rsidRPr="00993936" w:rsidRDefault="00503A41" w:rsidP="00424C28">
      <w:pPr>
        <w:jc w:val="both"/>
        <w:rPr>
          <w:rFonts w:ascii="Arial" w:hAnsi="Arial" w:cs="Arial"/>
          <w:lang w:val="es-ES"/>
        </w:rPr>
      </w:pPr>
      <w:r w:rsidRPr="00993936">
        <w:rPr>
          <w:rFonts w:ascii="Arial" w:hAnsi="Arial" w:cs="Arial"/>
          <w:lang w:val="es-ES"/>
        </w:rPr>
        <w:t>Parada</w:t>
      </w:r>
      <w:r w:rsidRPr="00993936">
        <w:rPr>
          <w:rFonts w:ascii="Arial" w:hAnsi="Arial" w:cs="Arial"/>
          <w:vanish/>
          <w:lang w:val="es-ES"/>
        </w:rPr>
        <w:t>&lt;A[Parada|Puesto]&gt;</w:t>
      </w:r>
      <w:r w:rsidRPr="00993936">
        <w:rPr>
          <w:rFonts w:ascii="Arial" w:hAnsi="Arial" w:cs="Arial"/>
          <w:lang w:val="es-ES"/>
        </w:rPr>
        <w:t xml:space="preserve"> estival (junio - julio).</w:t>
      </w:r>
    </w:p>
    <w:p w:rsidR="00503A41" w:rsidRPr="00993936" w:rsidRDefault="00503A41" w:rsidP="00424C28">
      <w:pPr>
        <w:jc w:val="both"/>
        <w:rPr>
          <w:rFonts w:ascii="Arial" w:hAnsi="Arial" w:cs="Arial"/>
          <w:b/>
          <w:lang w:val="es-ES"/>
        </w:rPr>
      </w:pPr>
    </w:p>
    <w:p w:rsidR="00503A41" w:rsidRPr="00993936" w:rsidRDefault="00503A41" w:rsidP="00424C28">
      <w:pPr>
        <w:jc w:val="both"/>
        <w:rPr>
          <w:rFonts w:ascii="Arial" w:hAnsi="Arial" w:cs="Arial"/>
          <w:b/>
          <w:lang w:val="es-ES"/>
        </w:rPr>
      </w:pPr>
      <w:r w:rsidRPr="00993936">
        <w:rPr>
          <w:rFonts w:ascii="Arial" w:hAnsi="Arial" w:cs="Arial"/>
          <w:b/>
          <w:lang w:val="es-ES"/>
        </w:rPr>
        <w:t>7.1.- Almendro</w:t>
      </w:r>
    </w:p>
    <w:tbl>
      <w:tblPr>
        <w:tblW w:w="89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693"/>
        <w:gridCol w:w="1465"/>
        <w:gridCol w:w="1465"/>
        <w:gridCol w:w="1466"/>
      </w:tblGrid>
      <w:tr w:rsidR="00503A41" w:rsidRPr="00993936" w:rsidTr="001D205D">
        <w:trPr>
          <w:cantSplit/>
        </w:trPr>
        <w:tc>
          <w:tcPr>
            <w:tcW w:w="4536" w:type="dxa"/>
            <w:gridSpan w:val="2"/>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Elemento</w:t>
            </w:r>
          </w:p>
        </w:tc>
        <w:tc>
          <w:tcPr>
            <w:tcW w:w="1465"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Bajo</w:t>
            </w:r>
          </w:p>
        </w:tc>
        <w:tc>
          <w:tcPr>
            <w:tcW w:w="1465"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Normal</w:t>
            </w:r>
          </w:p>
        </w:tc>
        <w:tc>
          <w:tcPr>
            <w:tcW w:w="1466"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Alto</w:t>
            </w:r>
          </w:p>
        </w:tc>
      </w:tr>
      <w:tr w:rsidR="00503A41" w:rsidRPr="00993936" w:rsidTr="001D205D">
        <w:trPr>
          <w:cantSplit/>
          <w:trHeight w:val="3040"/>
        </w:trPr>
        <w:tc>
          <w:tcPr>
            <w:tcW w:w="1843" w:type="dxa"/>
          </w:tcPr>
          <w:p w:rsidR="00503A41" w:rsidRPr="00993936" w:rsidRDefault="00503A41" w:rsidP="001D205D">
            <w:pPr>
              <w:pStyle w:val="Sinespaciado"/>
              <w:rPr>
                <w:rFonts w:ascii="Arial" w:hAnsi="Arial" w:cs="Arial"/>
                <w:lang w:val="es-ES"/>
              </w:rPr>
            </w:pPr>
            <w:r w:rsidRPr="00993936">
              <w:rPr>
                <w:rFonts w:ascii="Arial" w:hAnsi="Arial" w:cs="Arial"/>
                <w:lang w:val="es-ES"/>
              </w:rPr>
              <w:t>Nitrógeno</w:t>
            </w:r>
          </w:p>
          <w:p w:rsidR="00503A41" w:rsidRPr="00993936" w:rsidRDefault="00503A41" w:rsidP="001D205D">
            <w:pPr>
              <w:pStyle w:val="Sinespaciado"/>
              <w:rPr>
                <w:rFonts w:ascii="Arial" w:hAnsi="Arial" w:cs="Arial"/>
                <w:lang w:val="es-ES"/>
              </w:rPr>
            </w:pPr>
            <w:r w:rsidRPr="00993936">
              <w:rPr>
                <w:rFonts w:ascii="Arial" w:hAnsi="Arial" w:cs="Arial"/>
                <w:lang w:val="es-ES"/>
              </w:rPr>
              <w:t>Fósforo</w:t>
            </w:r>
          </w:p>
          <w:p w:rsidR="00503A41" w:rsidRPr="00993936" w:rsidRDefault="00503A41" w:rsidP="001D205D">
            <w:pPr>
              <w:pStyle w:val="Sinespaciado"/>
              <w:rPr>
                <w:rFonts w:ascii="Arial" w:hAnsi="Arial" w:cs="Arial"/>
                <w:lang w:val="es-ES"/>
              </w:rPr>
            </w:pPr>
            <w:r w:rsidRPr="00993936">
              <w:rPr>
                <w:rFonts w:ascii="Arial" w:hAnsi="Arial" w:cs="Arial"/>
                <w:lang w:val="es-ES"/>
              </w:rPr>
              <w:t>Potasio</w:t>
            </w:r>
          </w:p>
          <w:p w:rsidR="00503A41" w:rsidRPr="00993936" w:rsidRDefault="00503A41" w:rsidP="001D205D">
            <w:pPr>
              <w:pStyle w:val="Sinespaciado"/>
              <w:rPr>
                <w:rFonts w:ascii="Arial" w:hAnsi="Arial" w:cs="Arial"/>
                <w:lang w:val="es-ES"/>
              </w:rPr>
            </w:pPr>
            <w:r w:rsidRPr="00993936">
              <w:rPr>
                <w:rFonts w:ascii="Arial" w:hAnsi="Arial" w:cs="Arial"/>
                <w:lang w:val="es-ES"/>
              </w:rPr>
              <w:t>Calcio</w:t>
            </w:r>
          </w:p>
          <w:p w:rsidR="00503A41" w:rsidRPr="00993936" w:rsidRDefault="00503A41" w:rsidP="001D205D">
            <w:pPr>
              <w:pStyle w:val="Sinespaciado"/>
              <w:rPr>
                <w:rFonts w:ascii="Arial" w:hAnsi="Arial" w:cs="Arial"/>
                <w:lang w:val="es-ES"/>
              </w:rPr>
            </w:pPr>
            <w:r w:rsidRPr="00993936">
              <w:rPr>
                <w:rFonts w:ascii="Arial" w:hAnsi="Arial" w:cs="Arial"/>
                <w:lang w:val="es-ES"/>
              </w:rPr>
              <w:t>Magnesio</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p w:rsidR="00503A41" w:rsidRPr="00993936" w:rsidRDefault="00503A41" w:rsidP="001D205D">
            <w:pPr>
              <w:pStyle w:val="Sinespaciado"/>
              <w:rPr>
                <w:rFonts w:ascii="Arial" w:hAnsi="Arial" w:cs="Arial"/>
                <w:lang w:val="es-ES"/>
              </w:rPr>
            </w:pPr>
            <w:r w:rsidRPr="00993936">
              <w:rPr>
                <w:rFonts w:ascii="Arial" w:hAnsi="Arial" w:cs="Arial"/>
                <w:lang w:val="es-ES"/>
              </w:rPr>
              <w:t>Hierro</w:t>
            </w:r>
          </w:p>
          <w:p w:rsidR="00503A41" w:rsidRPr="00993936" w:rsidRDefault="00503A41" w:rsidP="001D205D">
            <w:pPr>
              <w:pStyle w:val="Sinespaciado"/>
              <w:rPr>
                <w:rFonts w:ascii="Arial" w:hAnsi="Arial" w:cs="Arial"/>
                <w:lang w:val="es-ES"/>
              </w:rPr>
            </w:pPr>
            <w:r w:rsidRPr="00993936">
              <w:rPr>
                <w:rFonts w:ascii="Arial" w:hAnsi="Arial" w:cs="Arial"/>
                <w:lang w:val="es-ES"/>
              </w:rPr>
              <w:t>Manganeso</w:t>
            </w:r>
          </w:p>
          <w:p w:rsidR="00503A41" w:rsidRPr="00993936" w:rsidRDefault="00503A41" w:rsidP="001D205D">
            <w:pPr>
              <w:pStyle w:val="Sinespaciado"/>
              <w:rPr>
                <w:rFonts w:ascii="Arial" w:hAnsi="Arial" w:cs="Arial"/>
                <w:lang w:val="es-ES"/>
              </w:rPr>
            </w:pPr>
            <w:r w:rsidRPr="00993936">
              <w:rPr>
                <w:rFonts w:ascii="Arial" w:hAnsi="Arial" w:cs="Arial"/>
                <w:lang w:val="es-ES"/>
              </w:rPr>
              <w:t>Cinc</w:t>
            </w:r>
          </w:p>
          <w:p w:rsidR="00503A41" w:rsidRPr="00993936" w:rsidRDefault="00503A41" w:rsidP="001D205D">
            <w:pPr>
              <w:pStyle w:val="Sinespaciado"/>
              <w:rPr>
                <w:rFonts w:ascii="Arial" w:hAnsi="Arial" w:cs="Arial"/>
                <w:lang w:val="es-ES"/>
              </w:rPr>
            </w:pPr>
            <w:r w:rsidRPr="00993936">
              <w:rPr>
                <w:rFonts w:ascii="Arial" w:hAnsi="Arial" w:cs="Arial"/>
                <w:lang w:val="es-ES"/>
              </w:rPr>
              <w:t>Cobre</w:t>
            </w:r>
          </w:p>
          <w:p w:rsidR="00503A41" w:rsidRPr="00993936" w:rsidRDefault="00503A41" w:rsidP="001D205D">
            <w:pPr>
              <w:pStyle w:val="Sinespaciado"/>
              <w:rPr>
                <w:rFonts w:ascii="Arial" w:hAnsi="Arial" w:cs="Arial"/>
                <w:lang w:val="es-ES"/>
              </w:rPr>
            </w:pPr>
            <w:r w:rsidRPr="00993936">
              <w:rPr>
                <w:rFonts w:ascii="Arial" w:hAnsi="Arial" w:cs="Arial"/>
                <w:lang w:val="es-ES"/>
              </w:rPr>
              <w:t>Boro</w:t>
            </w:r>
          </w:p>
          <w:p w:rsidR="00503A41" w:rsidRPr="00993936" w:rsidRDefault="00503A41" w:rsidP="001D205D">
            <w:pPr>
              <w:pStyle w:val="Sinespaciado"/>
              <w:rPr>
                <w:rFonts w:ascii="Arial" w:hAnsi="Arial" w:cs="Arial"/>
                <w:lang w:val="es-ES"/>
              </w:rPr>
            </w:pPr>
            <w:r w:rsidRPr="00993936">
              <w:rPr>
                <w:rFonts w:ascii="Arial" w:hAnsi="Arial" w:cs="Arial"/>
                <w:lang w:val="es-ES"/>
              </w:rPr>
              <w:t>Sodio</w:t>
            </w:r>
          </w:p>
          <w:p w:rsidR="00503A41" w:rsidRPr="00993936" w:rsidRDefault="00503A41" w:rsidP="001D205D">
            <w:pPr>
              <w:pStyle w:val="Sinespaciado"/>
              <w:rPr>
                <w:rFonts w:ascii="Arial" w:hAnsi="Arial" w:cs="Arial"/>
                <w:lang w:val="es-ES"/>
              </w:rPr>
            </w:pPr>
          </w:p>
        </w:tc>
        <w:tc>
          <w:tcPr>
            <w:tcW w:w="2693" w:type="dxa"/>
          </w:tcPr>
          <w:p w:rsidR="00503A41" w:rsidRPr="00993936" w:rsidRDefault="00503A41" w:rsidP="001D205D">
            <w:pPr>
              <w:pStyle w:val="Sinespaciado"/>
              <w:rPr>
                <w:rFonts w:ascii="Arial" w:hAnsi="Arial" w:cs="Arial"/>
                <w:lang w:val="es-ES"/>
              </w:rPr>
            </w:pPr>
            <w:r w:rsidRPr="00993936">
              <w:rPr>
                <w:rFonts w:ascii="Arial" w:hAnsi="Arial" w:cs="Arial"/>
                <w:lang w:val="es-ES"/>
              </w:rPr>
              <w:t>N (%)</w:t>
            </w:r>
          </w:p>
          <w:p w:rsidR="00503A41" w:rsidRPr="00993936" w:rsidRDefault="00503A41" w:rsidP="001D205D">
            <w:pPr>
              <w:pStyle w:val="Sinespaciado"/>
              <w:rPr>
                <w:rFonts w:ascii="Arial" w:hAnsi="Arial" w:cs="Arial"/>
                <w:lang w:val="es-ES"/>
              </w:rPr>
            </w:pPr>
            <w:r w:rsidRPr="00993936">
              <w:rPr>
                <w:rFonts w:ascii="Arial" w:hAnsi="Arial" w:cs="Arial"/>
                <w:lang w:val="es-ES"/>
              </w:rPr>
              <w:t>P (%)</w:t>
            </w:r>
          </w:p>
          <w:p w:rsidR="00503A41" w:rsidRPr="00993936" w:rsidRDefault="00503A41" w:rsidP="001D205D">
            <w:pPr>
              <w:pStyle w:val="Sinespaciado"/>
              <w:rPr>
                <w:rFonts w:ascii="Arial" w:hAnsi="Arial" w:cs="Arial"/>
                <w:lang w:val="es-ES"/>
              </w:rPr>
            </w:pPr>
            <w:r w:rsidRPr="00993936">
              <w:rPr>
                <w:rFonts w:ascii="Arial" w:hAnsi="Arial" w:cs="Arial"/>
                <w:lang w:val="es-ES"/>
              </w:rPr>
              <w:t>K (%)</w:t>
            </w:r>
          </w:p>
          <w:p w:rsidR="00503A41" w:rsidRPr="00993936" w:rsidRDefault="00503A41" w:rsidP="001D205D">
            <w:pPr>
              <w:pStyle w:val="Sinespaciado"/>
              <w:rPr>
                <w:rFonts w:ascii="Arial" w:hAnsi="Arial" w:cs="Arial"/>
                <w:lang w:val="es-ES"/>
              </w:rPr>
            </w:pPr>
            <w:r w:rsidRPr="00993936">
              <w:rPr>
                <w:rFonts w:ascii="Arial" w:hAnsi="Arial" w:cs="Arial"/>
                <w:lang w:val="es-ES"/>
              </w:rPr>
              <w:t>Casa (%)</w:t>
            </w:r>
          </w:p>
          <w:p w:rsidR="00503A41" w:rsidRPr="00993936" w:rsidRDefault="00503A41" w:rsidP="001D205D">
            <w:pPr>
              <w:pStyle w:val="Sinespaciado"/>
              <w:rPr>
                <w:rFonts w:ascii="Arial" w:hAnsi="Arial" w:cs="Arial"/>
                <w:lang w:val="es-ES"/>
              </w:rPr>
            </w:pPr>
            <w:r w:rsidRPr="00993936">
              <w:rPr>
                <w:rFonts w:ascii="Arial" w:hAnsi="Arial" w:cs="Arial"/>
                <w:lang w:val="es-ES"/>
              </w:rPr>
              <w:t>Mg (%)</w:t>
            </w:r>
          </w:p>
          <w:p w:rsidR="00503A41" w:rsidRPr="00993936" w:rsidRDefault="00503A41" w:rsidP="001D205D">
            <w:pPr>
              <w:pStyle w:val="Sinespaciado"/>
              <w:rPr>
                <w:rFonts w:ascii="Arial" w:hAnsi="Arial" w:cs="Arial"/>
                <w:lang w:val="es-ES"/>
              </w:rPr>
            </w:pPr>
            <w:r w:rsidRPr="00993936">
              <w:rPr>
                <w:rFonts w:ascii="Arial" w:hAnsi="Arial" w:cs="Arial"/>
                <w:lang w:val="es-ES"/>
              </w:rPr>
              <w:t>S (%)</w:t>
            </w:r>
          </w:p>
          <w:p w:rsidR="00503A41" w:rsidRPr="00993936" w:rsidRDefault="00503A41" w:rsidP="001D205D">
            <w:pPr>
              <w:pStyle w:val="Sinespaciado"/>
              <w:rPr>
                <w:rFonts w:ascii="Arial" w:hAnsi="Arial" w:cs="Arial"/>
                <w:lang w:val="es-ES"/>
              </w:rPr>
            </w:pPr>
            <w:r w:rsidRPr="00993936">
              <w:rPr>
                <w:rFonts w:ascii="Arial" w:hAnsi="Arial" w:cs="Arial"/>
                <w:lang w:val="es-ES"/>
              </w:rPr>
              <w:t>Fe (ppm)</w:t>
            </w:r>
          </w:p>
          <w:p w:rsidR="00503A41" w:rsidRPr="00993936" w:rsidRDefault="00503A41" w:rsidP="001D205D">
            <w:pPr>
              <w:pStyle w:val="Sinespaciado"/>
              <w:rPr>
                <w:rFonts w:ascii="Arial" w:hAnsi="Arial" w:cs="Arial"/>
                <w:lang w:val="es-ES"/>
              </w:rPr>
            </w:pPr>
            <w:r w:rsidRPr="00993936">
              <w:rPr>
                <w:rFonts w:ascii="Arial" w:hAnsi="Arial" w:cs="Arial"/>
                <w:lang w:val="es-ES"/>
              </w:rPr>
              <w:t>Mn (ppm)</w:t>
            </w:r>
          </w:p>
          <w:p w:rsidR="00503A41" w:rsidRPr="00993936" w:rsidRDefault="00503A41" w:rsidP="001D205D">
            <w:pPr>
              <w:pStyle w:val="Sinespaciado"/>
              <w:rPr>
                <w:rFonts w:ascii="Arial" w:hAnsi="Arial" w:cs="Arial"/>
                <w:lang w:val="es-ES"/>
              </w:rPr>
            </w:pPr>
            <w:r w:rsidRPr="00993936">
              <w:rPr>
                <w:rFonts w:ascii="Arial" w:hAnsi="Arial" w:cs="Arial"/>
                <w:lang w:val="es-ES"/>
              </w:rPr>
              <w:t>Zn (ppm)</w:t>
            </w:r>
          </w:p>
          <w:p w:rsidR="00503A41" w:rsidRPr="00993936" w:rsidRDefault="00503A41" w:rsidP="001D205D">
            <w:pPr>
              <w:pStyle w:val="Sinespaciado"/>
              <w:rPr>
                <w:rFonts w:ascii="Arial" w:hAnsi="Arial" w:cs="Arial"/>
                <w:lang w:val="es-ES"/>
              </w:rPr>
            </w:pPr>
            <w:r w:rsidRPr="00993936">
              <w:rPr>
                <w:rFonts w:ascii="Arial" w:hAnsi="Arial" w:cs="Arial"/>
                <w:lang w:val="es-ES"/>
              </w:rPr>
              <w:t>Cu (ppm)</w:t>
            </w:r>
          </w:p>
          <w:p w:rsidR="00503A41" w:rsidRPr="00993936" w:rsidRDefault="00503A41" w:rsidP="001D205D">
            <w:pPr>
              <w:pStyle w:val="Sinespaciado"/>
              <w:rPr>
                <w:rFonts w:ascii="Arial" w:hAnsi="Arial" w:cs="Arial"/>
                <w:lang w:val="es-ES"/>
              </w:rPr>
            </w:pPr>
            <w:r w:rsidRPr="00993936">
              <w:rPr>
                <w:rFonts w:ascii="Arial" w:hAnsi="Arial" w:cs="Arial"/>
                <w:lang w:val="es-ES"/>
              </w:rPr>
              <w:t>B (ppm)</w:t>
            </w:r>
          </w:p>
          <w:p w:rsidR="00503A41" w:rsidRPr="00993936" w:rsidRDefault="00503A41" w:rsidP="001D205D">
            <w:pPr>
              <w:pStyle w:val="Sinespaciado"/>
              <w:rPr>
                <w:rFonts w:ascii="Arial" w:hAnsi="Arial" w:cs="Arial"/>
                <w:lang w:val="es-ES"/>
              </w:rPr>
            </w:pPr>
            <w:r w:rsidRPr="00993936">
              <w:rPr>
                <w:rFonts w:ascii="Arial" w:hAnsi="Arial" w:cs="Arial"/>
                <w:lang w:val="es-ES"/>
              </w:rPr>
              <w:t>Na (ppm))</w:t>
            </w:r>
          </w:p>
          <w:p w:rsidR="00503A41" w:rsidRPr="00993936" w:rsidRDefault="00503A41" w:rsidP="001D205D">
            <w:pPr>
              <w:pStyle w:val="Sinespaciado"/>
              <w:rPr>
                <w:rFonts w:ascii="Arial" w:hAnsi="Arial" w:cs="Arial"/>
                <w:lang w:val="es-ES"/>
              </w:rPr>
            </w:pPr>
          </w:p>
        </w:tc>
        <w:tc>
          <w:tcPr>
            <w:tcW w:w="1465" w:type="dxa"/>
          </w:tcPr>
          <w:p w:rsidR="00503A41" w:rsidRPr="00993936" w:rsidRDefault="00503A41" w:rsidP="001D205D">
            <w:pPr>
              <w:pStyle w:val="Sinespaciado"/>
              <w:rPr>
                <w:rFonts w:ascii="Arial" w:hAnsi="Arial" w:cs="Arial"/>
                <w:lang w:val="es-ES"/>
              </w:rPr>
            </w:pPr>
            <w:r w:rsidRPr="00993936">
              <w:rPr>
                <w:rFonts w:ascii="Arial" w:hAnsi="Arial" w:cs="Arial"/>
                <w:lang w:val="es-ES"/>
              </w:rPr>
              <w:t>&lt;1,50</w:t>
            </w:r>
          </w:p>
          <w:p w:rsidR="00503A41" w:rsidRPr="00993936" w:rsidRDefault="00503A41" w:rsidP="001D205D">
            <w:pPr>
              <w:pStyle w:val="Sinespaciado"/>
              <w:rPr>
                <w:rFonts w:ascii="Arial" w:hAnsi="Arial" w:cs="Arial"/>
                <w:lang w:val="es-ES"/>
              </w:rPr>
            </w:pPr>
            <w:r w:rsidRPr="00993936">
              <w:rPr>
                <w:rFonts w:ascii="Arial" w:hAnsi="Arial" w:cs="Arial"/>
                <w:lang w:val="es-ES"/>
              </w:rPr>
              <w:t>&lt;0,07</w:t>
            </w:r>
          </w:p>
          <w:p w:rsidR="00503A41" w:rsidRPr="00993936" w:rsidRDefault="00503A41" w:rsidP="001D205D">
            <w:pPr>
              <w:pStyle w:val="Sinespaciado"/>
              <w:rPr>
                <w:rFonts w:ascii="Arial" w:hAnsi="Arial" w:cs="Arial"/>
                <w:lang w:val="es-ES"/>
              </w:rPr>
            </w:pPr>
            <w:r w:rsidRPr="00993936">
              <w:rPr>
                <w:rFonts w:ascii="Arial" w:hAnsi="Arial" w:cs="Arial"/>
                <w:lang w:val="es-ES"/>
              </w:rPr>
              <w:t>&lt;0,40</w:t>
            </w:r>
          </w:p>
          <w:p w:rsidR="00503A41" w:rsidRPr="00993936" w:rsidRDefault="00503A41" w:rsidP="001D205D">
            <w:pPr>
              <w:pStyle w:val="Sinespaciado"/>
              <w:rPr>
                <w:rFonts w:ascii="Arial" w:hAnsi="Arial" w:cs="Arial"/>
                <w:lang w:val="es-ES"/>
              </w:rPr>
            </w:pPr>
            <w:r w:rsidRPr="00993936">
              <w:rPr>
                <w:rFonts w:ascii="Arial" w:hAnsi="Arial" w:cs="Arial"/>
                <w:lang w:val="es-ES"/>
              </w:rPr>
              <w:t>&lt;0,90</w:t>
            </w:r>
          </w:p>
          <w:p w:rsidR="00503A41" w:rsidRPr="00993936" w:rsidRDefault="00503A41" w:rsidP="001D205D">
            <w:pPr>
              <w:pStyle w:val="Sinespaciado"/>
              <w:rPr>
                <w:rFonts w:ascii="Arial" w:hAnsi="Arial" w:cs="Arial"/>
                <w:lang w:val="es-ES"/>
              </w:rPr>
            </w:pPr>
            <w:r w:rsidRPr="00993936">
              <w:rPr>
                <w:rFonts w:ascii="Arial" w:hAnsi="Arial" w:cs="Arial"/>
                <w:lang w:val="es-ES"/>
              </w:rPr>
              <w:t>&lt;0,10</w:t>
            </w:r>
          </w:p>
          <w:p w:rsidR="00503A41" w:rsidRPr="00993936" w:rsidRDefault="00503A41" w:rsidP="001D205D">
            <w:pPr>
              <w:pStyle w:val="Sinespaciado"/>
              <w:rPr>
                <w:rFonts w:ascii="Arial" w:hAnsi="Arial" w:cs="Arial"/>
                <w:lang w:val="es-ES"/>
              </w:rPr>
            </w:pPr>
            <w:r w:rsidRPr="00993936">
              <w:rPr>
                <w:rFonts w:ascii="Arial" w:hAnsi="Arial" w:cs="Arial"/>
                <w:lang w:val="es-ES"/>
              </w:rPr>
              <w:t>&lt; 0,08</w:t>
            </w:r>
          </w:p>
          <w:p w:rsidR="00503A41" w:rsidRPr="00993936" w:rsidRDefault="00503A41" w:rsidP="001D205D">
            <w:pPr>
              <w:pStyle w:val="Sinespaciado"/>
              <w:rPr>
                <w:rFonts w:ascii="Arial" w:hAnsi="Arial" w:cs="Arial"/>
                <w:lang w:val="es-ES"/>
              </w:rPr>
            </w:pPr>
            <w:r w:rsidRPr="00993936">
              <w:rPr>
                <w:rFonts w:ascii="Arial" w:hAnsi="Arial" w:cs="Arial"/>
                <w:lang w:val="es-ES"/>
              </w:rPr>
              <w:t>&lt; 50</w:t>
            </w:r>
          </w:p>
          <w:p w:rsidR="00503A41" w:rsidRPr="00993936" w:rsidRDefault="00503A41" w:rsidP="001D205D">
            <w:pPr>
              <w:pStyle w:val="Sinespaciado"/>
              <w:rPr>
                <w:rFonts w:ascii="Arial" w:hAnsi="Arial" w:cs="Arial"/>
                <w:lang w:val="es-ES"/>
              </w:rPr>
            </w:pPr>
            <w:r w:rsidRPr="00993936">
              <w:rPr>
                <w:rFonts w:ascii="Arial" w:hAnsi="Arial" w:cs="Arial"/>
                <w:lang w:val="es-ES"/>
              </w:rPr>
              <w:t>&lt; 20</w:t>
            </w:r>
          </w:p>
          <w:p w:rsidR="00503A41" w:rsidRPr="00993936" w:rsidRDefault="00503A41" w:rsidP="001D205D">
            <w:pPr>
              <w:pStyle w:val="Sinespaciado"/>
              <w:rPr>
                <w:rFonts w:ascii="Arial" w:hAnsi="Arial" w:cs="Arial"/>
                <w:lang w:val="es-ES"/>
              </w:rPr>
            </w:pPr>
            <w:r w:rsidRPr="00993936">
              <w:rPr>
                <w:rFonts w:ascii="Arial" w:hAnsi="Arial" w:cs="Arial"/>
                <w:lang w:val="es-ES"/>
              </w:rPr>
              <w:t>&lt; 30</w:t>
            </w:r>
          </w:p>
          <w:p w:rsidR="00503A41" w:rsidRPr="00993936" w:rsidRDefault="00503A41" w:rsidP="001D205D">
            <w:pPr>
              <w:pStyle w:val="Sinespaciado"/>
              <w:rPr>
                <w:rFonts w:ascii="Arial" w:hAnsi="Arial" w:cs="Arial"/>
                <w:lang w:val="es-ES"/>
              </w:rPr>
            </w:pPr>
            <w:r w:rsidRPr="00993936">
              <w:rPr>
                <w:rFonts w:ascii="Arial" w:hAnsi="Arial" w:cs="Arial"/>
                <w:lang w:val="es-ES"/>
              </w:rPr>
              <w:t>&lt; 5</w:t>
            </w:r>
          </w:p>
          <w:p w:rsidR="00503A41" w:rsidRPr="00993936" w:rsidRDefault="00503A41" w:rsidP="001D205D">
            <w:pPr>
              <w:pStyle w:val="Sinespaciado"/>
              <w:rPr>
                <w:rFonts w:ascii="Arial" w:hAnsi="Arial" w:cs="Arial"/>
                <w:lang w:val="es-ES"/>
              </w:rPr>
            </w:pPr>
            <w:r w:rsidRPr="00993936">
              <w:rPr>
                <w:rFonts w:ascii="Arial" w:hAnsi="Arial" w:cs="Arial"/>
                <w:lang w:val="es-ES"/>
              </w:rPr>
              <w:t>&gt;12</w:t>
            </w:r>
          </w:p>
          <w:p w:rsidR="00503A41" w:rsidRPr="00993936" w:rsidRDefault="00503A41" w:rsidP="001D205D">
            <w:pPr>
              <w:pStyle w:val="Sinespaciado"/>
              <w:rPr>
                <w:rFonts w:ascii="Arial" w:hAnsi="Arial" w:cs="Arial"/>
                <w:lang w:val="es-ES"/>
              </w:rPr>
            </w:pPr>
          </w:p>
        </w:tc>
        <w:tc>
          <w:tcPr>
            <w:tcW w:w="1465" w:type="dxa"/>
          </w:tcPr>
          <w:p w:rsidR="00503A41" w:rsidRPr="00993936" w:rsidRDefault="00503A41" w:rsidP="001D205D">
            <w:pPr>
              <w:pStyle w:val="Sinespaciado"/>
              <w:rPr>
                <w:rFonts w:ascii="Arial" w:hAnsi="Arial" w:cs="Arial"/>
                <w:lang w:val="es-ES"/>
              </w:rPr>
            </w:pPr>
            <w:r w:rsidRPr="00993936">
              <w:rPr>
                <w:rFonts w:ascii="Arial" w:hAnsi="Arial" w:cs="Arial"/>
                <w:lang w:val="es-ES"/>
              </w:rPr>
              <w:t>1,50 - 2,20</w:t>
            </w:r>
          </w:p>
          <w:p w:rsidR="00503A41" w:rsidRPr="00993936" w:rsidRDefault="00503A41" w:rsidP="001D205D">
            <w:pPr>
              <w:pStyle w:val="Sinespaciado"/>
              <w:rPr>
                <w:rFonts w:ascii="Arial" w:hAnsi="Arial" w:cs="Arial"/>
                <w:lang w:val="es-ES"/>
              </w:rPr>
            </w:pPr>
            <w:r w:rsidRPr="00993936">
              <w:rPr>
                <w:rFonts w:ascii="Arial" w:hAnsi="Arial" w:cs="Arial"/>
                <w:lang w:val="es-ES"/>
              </w:rPr>
              <w:t>0,07 - 0,35</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0,40 – 1,20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0,90 – 2,00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0,10 – 0,60</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0,08 – 0,25</w:t>
            </w:r>
          </w:p>
          <w:p w:rsidR="00503A41" w:rsidRPr="00993936" w:rsidRDefault="00503A41" w:rsidP="001D205D">
            <w:pPr>
              <w:pStyle w:val="Sinespaciado"/>
              <w:rPr>
                <w:rFonts w:ascii="Arial" w:hAnsi="Arial" w:cs="Arial"/>
                <w:lang w:val="es-ES"/>
              </w:rPr>
            </w:pPr>
            <w:r w:rsidRPr="00993936">
              <w:rPr>
                <w:rFonts w:ascii="Arial" w:hAnsi="Arial" w:cs="Arial"/>
                <w:lang w:val="es-ES"/>
              </w:rPr>
              <w:t>50 - 125</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20 - 50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30 - 100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5 - 30</w:t>
            </w:r>
          </w:p>
          <w:p w:rsidR="00503A41" w:rsidRPr="00993936" w:rsidRDefault="00503A41" w:rsidP="001D205D">
            <w:pPr>
              <w:pStyle w:val="Sinespaciado"/>
              <w:rPr>
                <w:rFonts w:ascii="Arial" w:hAnsi="Arial" w:cs="Arial"/>
                <w:lang w:val="es-ES"/>
              </w:rPr>
            </w:pPr>
            <w:r w:rsidRPr="00993936">
              <w:rPr>
                <w:rFonts w:ascii="Arial" w:hAnsi="Arial" w:cs="Arial"/>
                <w:lang w:val="es-ES"/>
              </w:rPr>
              <w:t>12 - 50</w:t>
            </w:r>
          </w:p>
          <w:p w:rsidR="00503A41" w:rsidRPr="00993936" w:rsidRDefault="00503A41" w:rsidP="001D205D">
            <w:pPr>
              <w:pStyle w:val="Sinespaciado"/>
              <w:rPr>
                <w:rFonts w:ascii="Arial" w:hAnsi="Arial" w:cs="Arial"/>
                <w:lang w:val="es-ES"/>
              </w:rPr>
            </w:pPr>
            <w:r w:rsidRPr="00993936">
              <w:rPr>
                <w:rFonts w:ascii="Arial" w:hAnsi="Arial" w:cs="Arial"/>
                <w:lang w:val="es-ES"/>
              </w:rPr>
              <w:t>&lt; 500</w:t>
            </w:r>
          </w:p>
        </w:tc>
        <w:tc>
          <w:tcPr>
            <w:tcW w:w="1466" w:type="dxa"/>
          </w:tcPr>
          <w:p w:rsidR="00503A41" w:rsidRPr="00993936" w:rsidRDefault="00503A41" w:rsidP="001D205D">
            <w:pPr>
              <w:pStyle w:val="Sinespaciado"/>
              <w:rPr>
                <w:rFonts w:ascii="Arial" w:hAnsi="Arial" w:cs="Arial"/>
                <w:lang w:val="es-ES"/>
              </w:rPr>
            </w:pPr>
            <w:r w:rsidRPr="00993936">
              <w:rPr>
                <w:rFonts w:ascii="Arial" w:hAnsi="Arial" w:cs="Arial"/>
                <w:lang w:val="es-ES"/>
              </w:rPr>
              <w:t>&gt; 2,20</w:t>
            </w:r>
          </w:p>
          <w:p w:rsidR="00503A41" w:rsidRPr="00993936" w:rsidRDefault="00503A41" w:rsidP="001D205D">
            <w:pPr>
              <w:pStyle w:val="Sinespaciado"/>
              <w:rPr>
                <w:rFonts w:ascii="Arial" w:hAnsi="Arial" w:cs="Arial"/>
                <w:lang w:val="es-ES"/>
              </w:rPr>
            </w:pPr>
            <w:r w:rsidRPr="00993936">
              <w:rPr>
                <w:rFonts w:ascii="Arial" w:hAnsi="Arial" w:cs="Arial"/>
                <w:lang w:val="es-ES"/>
              </w:rPr>
              <w:t>&gt; 0,35</w:t>
            </w:r>
          </w:p>
          <w:p w:rsidR="00503A41" w:rsidRPr="00993936" w:rsidRDefault="00503A41" w:rsidP="001D205D">
            <w:pPr>
              <w:pStyle w:val="Sinespaciado"/>
              <w:rPr>
                <w:rFonts w:ascii="Arial" w:hAnsi="Arial" w:cs="Arial"/>
                <w:lang w:val="es-ES"/>
              </w:rPr>
            </w:pPr>
            <w:r w:rsidRPr="00993936">
              <w:rPr>
                <w:rFonts w:ascii="Arial" w:hAnsi="Arial" w:cs="Arial"/>
                <w:lang w:val="es-ES"/>
              </w:rPr>
              <w:t>&gt; 1,20</w:t>
            </w:r>
          </w:p>
          <w:p w:rsidR="00503A41" w:rsidRPr="00993936" w:rsidRDefault="00503A41" w:rsidP="001D205D">
            <w:pPr>
              <w:pStyle w:val="Sinespaciado"/>
              <w:rPr>
                <w:rFonts w:ascii="Arial" w:hAnsi="Arial" w:cs="Arial"/>
                <w:lang w:val="es-ES"/>
              </w:rPr>
            </w:pPr>
            <w:r w:rsidRPr="00993936">
              <w:rPr>
                <w:rFonts w:ascii="Arial" w:hAnsi="Arial" w:cs="Arial"/>
                <w:lang w:val="es-ES"/>
              </w:rPr>
              <w:t>&gt; 2,00</w:t>
            </w:r>
          </w:p>
          <w:p w:rsidR="00503A41" w:rsidRPr="00993936" w:rsidRDefault="00503A41" w:rsidP="001D205D">
            <w:pPr>
              <w:pStyle w:val="Sinespaciado"/>
              <w:rPr>
                <w:rFonts w:ascii="Arial" w:hAnsi="Arial" w:cs="Arial"/>
                <w:lang w:val="es-ES"/>
              </w:rPr>
            </w:pPr>
            <w:r w:rsidRPr="00993936">
              <w:rPr>
                <w:rFonts w:ascii="Arial" w:hAnsi="Arial" w:cs="Arial"/>
                <w:lang w:val="es-ES"/>
              </w:rPr>
              <w:t>&gt; 0,60</w:t>
            </w:r>
          </w:p>
          <w:p w:rsidR="00503A41" w:rsidRPr="00993936" w:rsidRDefault="00503A41" w:rsidP="001D205D">
            <w:pPr>
              <w:pStyle w:val="Sinespaciado"/>
              <w:rPr>
                <w:rFonts w:ascii="Arial" w:hAnsi="Arial" w:cs="Arial"/>
                <w:lang w:val="es-ES"/>
              </w:rPr>
            </w:pPr>
            <w:r w:rsidRPr="00993936">
              <w:rPr>
                <w:rFonts w:ascii="Arial" w:hAnsi="Arial" w:cs="Arial"/>
                <w:lang w:val="es-ES"/>
              </w:rPr>
              <w:t>&gt; 0,25</w:t>
            </w:r>
          </w:p>
          <w:p w:rsidR="00503A41" w:rsidRPr="00993936" w:rsidRDefault="00503A41" w:rsidP="001D205D">
            <w:pPr>
              <w:pStyle w:val="Sinespaciado"/>
              <w:rPr>
                <w:rFonts w:ascii="Arial" w:hAnsi="Arial" w:cs="Arial"/>
                <w:lang w:val="es-ES"/>
              </w:rPr>
            </w:pPr>
            <w:r w:rsidRPr="00993936">
              <w:rPr>
                <w:rFonts w:ascii="Arial" w:hAnsi="Arial" w:cs="Arial"/>
                <w:lang w:val="es-ES"/>
              </w:rPr>
              <w:t>&gt; 125</w:t>
            </w:r>
          </w:p>
          <w:p w:rsidR="00503A41" w:rsidRPr="00993936" w:rsidRDefault="00503A41" w:rsidP="001D205D">
            <w:pPr>
              <w:pStyle w:val="Sinespaciado"/>
              <w:rPr>
                <w:rFonts w:ascii="Arial" w:hAnsi="Arial" w:cs="Arial"/>
                <w:lang w:val="es-ES"/>
              </w:rPr>
            </w:pPr>
            <w:r w:rsidRPr="00993936">
              <w:rPr>
                <w:rFonts w:ascii="Arial" w:hAnsi="Arial" w:cs="Arial"/>
                <w:lang w:val="es-ES"/>
              </w:rPr>
              <w:t>&gt;  50</w:t>
            </w:r>
          </w:p>
          <w:p w:rsidR="00503A41" w:rsidRPr="00993936" w:rsidRDefault="00503A41" w:rsidP="001D205D">
            <w:pPr>
              <w:pStyle w:val="Sinespaciado"/>
              <w:rPr>
                <w:rFonts w:ascii="Arial" w:hAnsi="Arial" w:cs="Arial"/>
                <w:lang w:val="es-ES"/>
              </w:rPr>
            </w:pPr>
            <w:r w:rsidRPr="00993936">
              <w:rPr>
                <w:rFonts w:ascii="Arial" w:hAnsi="Arial" w:cs="Arial"/>
                <w:lang w:val="es-ES"/>
              </w:rPr>
              <w:t>&gt; 100</w:t>
            </w:r>
          </w:p>
          <w:p w:rsidR="00503A41" w:rsidRPr="00993936" w:rsidRDefault="00503A41" w:rsidP="001D205D">
            <w:pPr>
              <w:pStyle w:val="Sinespaciado"/>
              <w:rPr>
                <w:rFonts w:ascii="Arial" w:hAnsi="Arial" w:cs="Arial"/>
                <w:lang w:val="es-ES"/>
              </w:rPr>
            </w:pPr>
            <w:r w:rsidRPr="00993936">
              <w:rPr>
                <w:rFonts w:ascii="Arial" w:hAnsi="Arial" w:cs="Arial"/>
                <w:lang w:val="es-ES"/>
              </w:rPr>
              <w:t>&gt; 30</w:t>
            </w:r>
          </w:p>
          <w:p w:rsidR="00503A41" w:rsidRPr="00993936" w:rsidRDefault="00503A41" w:rsidP="001D205D">
            <w:pPr>
              <w:pStyle w:val="Sinespaciado"/>
              <w:rPr>
                <w:rFonts w:ascii="Arial" w:hAnsi="Arial" w:cs="Arial"/>
                <w:lang w:val="es-ES"/>
              </w:rPr>
            </w:pPr>
            <w:r w:rsidRPr="00993936">
              <w:rPr>
                <w:rFonts w:ascii="Arial" w:hAnsi="Arial" w:cs="Arial"/>
                <w:lang w:val="es-ES"/>
              </w:rPr>
              <w:t>&gt; 50</w:t>
            </w:r>
          </w:p>
          <w:p w:rsidR="00503A41" w:rsidRPr="00993936" w:rsidRDefault="00503A41" w:rsidP="001D205D">
            <w:pPr>
              <w:pStyle w:val="Sinespaciado"/>
              <w:rPr>
                <w:rFonts w:ascii="Arial" w:hAnsi="Arial" w:cs="Arial"/>
                <w:lang w:val="es-ES"/>
              </w:rPr>
            </w:pPr>
            <w:r w:rsidRPr="00993936">
              <w:rPr>
                <w:rFonts w:ascii="Arial" w:hAnsi="Arial" w:cs="Arial"/>
                <w:lang w:val="es-ES"/>
              </w:rPr>
              <w:t>&gt; 500</w:t>
            </w:r>
          </w:p>
        </w:tc>
      </w:tr>
    </w:tbl>
    <w:p w:rsidR="00503A41" w:rsidRPr="00993936" w:rsidRDefault="00503A41" w:rsidP="00424C28">
      <w:pPr>
        <w:rPr>
          <w:rFonts w:ascii="Arial" w:hAnsi="Arial" w:cs="Arial"/>
          <w:lang w:val="es-ES"/>
        </w:rPr>
      </w:pPr>
    </w:p>
    <w:p w:rsidR="00503A41" w:rsidRPr="00993936" w:rsidRDefault="00503A41" w:rsidP="00424C28">
      <w:pPr>
        <w:jc w:val="both"/>
        <w:rPr>
          <w:rFonts w:ascii="Arial" w:hAnsi="Arial" w:cs="Arial"/>
          <w:lang w:val="es-ES"/>
        </w:rPr>
      </w:pPr>
      <w:r w:rsidRPr="00993936">
        <w:rPr>
          <w:rFonts w:ascii="Arial" w:hAnsi="Arial" w:cs="Arial"/>
          <w:lang w:val="es-ES"/>
        </w:rPr>
        <w:t>(*) Fuente:  Laboratorio de Análisis y Fertilidad de Suelos (Applus Agroambiental S.A.)</w:t>
      </w:r>
    </w:p>
    <w:p w:rsidR="00503A41" w:rsidRPr="00993936" w:rsidRDefault="00503A41" w:rsidP="00424C28">
      <w:pPr>
        <w:jc w:val="both"/>
        <w:rPr>
          <w:rFonts w:ascii="Arial" w:hAnsi="Arial" w:cs="Arial"/>
          <w:b/>
          <w:lang w:val="es-ES"/>
        </w:rPr>
      </w:pPr>
    </w:p>
    <w:p w:rsidR="007003E1" w:rsidRPr="00993936" w:rsidRDefault="007003E1">
      <w:pPr>
        <w:rPr>
          <w:rFonts w:ascii="Arial" w:hAnsi="Arial" w:cs="Arial"/>
          <w:b/>
          <w:lang w:val="es-ES"/>
        </w:rPr>
      </w:pPr>
      <w:r w:rsidRPr="00993936">
        <w:rPr>
          <w:rFonts w:ascii="Arial" w:hAnsi="Arial" w:cs="Arial"/>
          <w:b/>
          <w:lang w:val="es-ES"/>
        </w:rPr>
        <w:br w:type="page"/>
      </w:r>
    </w:p>
    <w:p w:rsidR="00503A41" w:rsidRPr="00993936" w:rsidRDefault="00503A41" w:rsidP="00424C28">
      <w:pPr>
        <w:jc w:val="both"/>
        <w:rPr>
          <w:rFonts w:ascii="Arial" w:hAnsi="Arial" w:cs="Arial"/>
          <w:b/>
          <w:lang w:val="es-ES"/>
        </w:rPr>
      </w:pPr>
      <w:r w:rsidRPr="00993936">
        <w:rPr>
          <w:rFonts w:ascii="Arial" w:hAnsi="Arial" w:cs="Arial"/>
          <w:b/>
          <w:lang w:val="es-ES"/>
        </w:rPr>
        <w:lastRenderedPageBreak/>
        <w:t>7.2.-</w:t>
      </w:r>
      <w:r w:rsidRPr="00993936">
        <w:rPr>
          <w:rFonts w:ascii="Arial" w:hAnsi="Arial" w:cs="Arial"/>
          <w:lang w:val="es-ES"/>
        </w:rPr>
        <w:t xml:space="preserve"> </w:t>
      </w:r>
      <w:r w:rsidRPr="00993936">
        <w:rPr>
          <w:rFonts w:ascii="Arial" w:hAnsi="Arial" w:cs="Arial"/>
          <w:b/>
          <w:lang w:val="es-ES"/>
        </w:rPr>
        <w:t>Avellano</w:t>
      </w:r>
    </w:p>
    <w:p w:rsidR="00503A41" w:rsidRPr="00993936" w:rsidRDefault="00503A41" w:rsidP="00424C28">
      <w:pPr>
        <w:jc w:val="both"/>
        <w:rPr>
          <w:rFonts w:ascii="Arial" w:hAnsi="Arial" w:cs="Arial"/>
          <w:b/>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693"/>
        <w:gridCol w:w="1465"/>
        <w:gridCol w:w="1465"/>
        <w:gridCol w:w="1466"/>
      </w:tblGrid>
      <w:tr w:rsidR="00503A41" w:rsidRPr="00993936" w:rsidTr="00424C28">
        <w:trPr>
          <w:cantSplit/>
        </w:trPr>
        <w:tc>
          <w:tcPr>
            <w:tcW w:w="4536" w:type="dxa"/>
            <w:gridSpan w:val="2"/>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Elemento</w:t>
            </w:r>
          </w:p>
        </w:tc>
        <w:tc>
          <w:tcPr>
            <w:tcW w:w="1465"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Bajo</w:t>
            </w:r>
          </w:p>
        </w:tc>
        <w:tc>
          <w:tcPr>
            <w:tcW w:w="1465"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Normal</w:t>
            </w:r>
          </w:p>
        </w:tc>
        <w:tc>
          <w:tcPr>
            <w:tcW w:w="1466" w:type="dxa"/>
            <w:shd w:val="pct12"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Alto</w:t>
            </w:r>
          </w:p>
        </w:tc>
      </w:tr>
      <w:tr w:rsidR="00503A41" w:rsidRPr="00993936" w:rsidTr="00424C28">
        <w:trPr>
          <w:cantSplit/>
        </w:trPr>
        <w:tc>
          <w:tcPr>
            <w:tcW w:w="1843" w:type="dxa"/>
          </w:tcPr>
          <w:p w:rsidR="00503A41" w:rsidRPr="00993936" w:rsidRDefault="00503A41" w:rsidP="001D205D">
            <w:pPr>
              <w:pStyle w:val="Sinespaciado"/>
              <w:rPr>
                <w:rFonts w:ascii="Arial" w:hAnsi="Arial" w:cs="Arial"/>
                <w:lang w:val="es-ES"/>
              </w:rPr>
            </w:pPr>
            <w:r w:rsidRPr="00993936">
              <w:rPr>
                <w:rFonts w:ascii="Arial" w:hAnsi="Arial" w:cs="Arial"/>
                <w:lang w:val="es-ES"/>
              </w:rPr>
              <w:t>Nitrógeno</w:t>
            </w:r>
          </w:p>
          <w:p w:rsidR="00503A41" w:rsidRPr="00993936" w:rsidRDefault="00503A41" w:rsidP="001D205D">
            <w:pPr>
              <w:pStyle w:val="Sinespaciado"/>
              <w:rPr>
                <w:rFonts w:ascii="Arial" w:hAnsi="Arial" w:cs="Arial"/>
                <w:lang w:val="es-ES"/>
              </w:rPr>
            </w:pPr>
            <w:r w:rsidRPr="00993936">
              <w:rPr>
                <w:rFonts w:ascii="Arial" w:hAnsi="Arial" w:cs="Arial"/>
                <w:lang w:val="es-ES"/>
              </w:rPr>
              <w:t>Fósforo</w:t>
            </w:r>
          </w:p>
          <w:p w:rsidR="00503A41" w:rsidRPr="00993936" w:rsidRDefault="00503A41" w:rsidP="001D205D">
            <w:pPr>
              <w:pStyle w:val="Sinespaciado"/>
              <w:rPr>
                <w:rFonts w:ascii="Arial" w:hAnsi="Arial" w:cs="Arial"/>
                <w:lang w:val="es-ES"/>
              </w:rPr>
            </w:pPr>
            <w:r w:rsidRPr="00993936">
              <w:rPr>
                <w:rFonts w:ascii="Arial" w:hAnsi="Arial" w:cs="Arial"/>
                <w:lang w:val="es-ES"/>
              </w:rPr>
              <w:t>Potasio</w:t>
            </w:r>
          </w:p>
          <w:p w:rsidR="00503A41" w:rsidRPr="00993936" w:rsidRDefault="00503A41" w:rsidP="001D205D">
            <w:pPr>
              <w:pStyle w:val="Sinespaciado"/>
              <w:rPr>
                <w:rFonts w:ascii="Arial" w:hAnsi="Arial" w:cs="Arial"/>
                <w:lang w:val="es-ES"/>
              </w:rPr>
            </w:pPr>
            <w:r w:rsidRPr="00993936">
              <w:rPr>
                <w:rFonts w:ascii="Arial" w:hAnsi="Arial" w:cs="Arial"/>
                <w:lang w:val="es-ES"/>
              </w:rPr>
              <w:t>Calcio</w:t>
            </w:r>
          </w:p>
          <w:p w:rsidR="00503A41" w:rsidRPr="00993936" w:rsidRDefault="00503A41" w:rsidP="001D205D">
            <w:pPr>
              <w:pStyle w:val="Sinespaciado"/>
              <w:rPr>
                <w:rFonts w:ascii="Arial" w:hAnsi="Arial" w:cs="Arial"/>
                <w:lang w:val="es-ES"/>
              </w:rPr>
            </w:pPr>
            <w:r w:rsidRPr="00993936">
              <w:rPr>
                <w:rFonts w:ascii="Arial" w:hAnsi="Arial" w:cs="Arial"/>
                <w:lang w:val="es-ES"/>
              </w:rPr>
              <w:t>Magnesio</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p w:rsidR="00503A41" w:rsidRPr="00993936" w:rsidRDefault="00503A41" w:rsidP="001D205D">
            <w:pPr>
              <w:pStyle w:val="Sinespaciado"/>
              <w:rPr>
                <w:rFonts w:ascii="Arial" w:hAnsi="Arial" w:cs="Arial"/>
                <w:lang w:val="es-ES"/>
              </w:rPr>
            </w:pPr>
            <w:r w:rsidRPr="00993936">
              <w:rPr>
                <w:rFonts w:ascii="Arial" w:hAnsi="Arial" w:cs="Arial"/>
                <w:lang w:val="es-ES"/>
              </w:rPr>
              <w:t>Hierro</w:t>
            </w:r>
          </w:p>
          <w:p w:rsidR="00503A41" w:rsidRPr="00993936" w:rsidRDefault="00503A41" w:rsidP="001D205D">
            <w:pPr>
              <w:pStyle w:val="Sinespaciado"/>
              <w:rPr>
                <w:rFonts w:ascii="Arial" w:hAnsi="Arial" w:cs="Arial"/>
                <w:lang w:val="es-ES"/>
              </w:rPr>
            </w:pPr>
            <w:r w:rsidRPr="00993936">
              <w:rPr>
                <w:rFonts w:ascii="Arial" w:hAnsi="Arial" w:cs="Arial"/>
                <w:lang w:val="es-ES"/>
              </w:rPr>
              <w:t>Manganeso</w:t>
            </w:r>
          </w:p>
          <w:p w:rsidR="00503A41" w:rsidRPr="00993936" w:rsidRDefault="00503A41" w:rsidP="001D205D">
            <w:pPr>
              <w:pStyle w:val="Sinespaciado"/>
              <w:rPr>
                <w:rFonts w:ascii="Arial" w:hAnsi="Arial" w:cs="Arial"/>
                <w:lang w:val="es-ES"/>
              </w:rPr>
            </w:pPr>
            <w:r w:rsidRPr="00993936">
              <w:rPr>
                <w:rFonts w:ascii="Arial" w:hAnsi="Arial" w:cs="Arial"/>
                <w:lang w:val="es-ES"/>
              </w:rPr>
              <w:t>Cinc</w:t>
            </w:r>
          </w:p>
          <w:p w:rsidR="00503A41" w:rsidRPr="00993936" w:rsidRDefault="00503A41" w:rsidP="001D205D">
            <w:pPr>
              <w:pStyle w:val="Sinespaciado"/>
              <w:rPr>
                <w:rFonts w:ascii="Arial" w:hAnsi="Arial" w:cs="Arial"/>
                <w:lang w:val="es-ES"/>
              </w:rPr>
            </w:pPr>
            <w:r w:rsidRPr="00993936">
              <w:rPr>
                <w:rFonts w:ascii="Arial" w:hAnsi="Arial" w:cs="Arial"/>
                <w:lang w:val="es-ES"/>
              </w:rPr>
              <w:t>Cobre</w:t>
            </w:r>
          </w:p>
          <w:p w:rsidR="00503A41" w:rsidRPr="00993936" w:rsidRDefault="00503A41" w:rsidP="001D205D">
            <w:pPr>
              <w:pStyle w:val="Sinespaciado"/>
              <w:rPr>
                <w:rFonts w:ascii="Arial" w:hAnsi="Arial" w:cs="Arial"/>
                <w:lang w:val="es-ES"/>
              </w:rPr>
            </w:pPr>
            <w:r w:rsidRPr="00993936">
              <w:rPr>
                <w:rFonts w:ascii="Arial" w:hAnsi="Arial" w:cs="Arial"/>
                <w:lang w:val="es-ES"/>
              </w:rPr>
              <w:t>Boro</w:t>
            </w:r>
          </w:p>
          <w:p w:rsidR="00503A41" w:rsidRPr="00993936" w:rsidRDefault="00503A41" w:rsidP="001D205D">
            <w:pPr>
              <w:pStyle w:val="Sinespaciado"/>
              <w:rPr>
                <w:rFonts w:ascii="Arial" w:hAnsi="Arial" w:cs="Arial"/>
                <w:lang w:val="es-ES"/>
              </w:rPr>
            </w:pPr>
            <w:r w:rsidRPr="00993936">
              <w:rPr>
                <w:rFonts w:ascii="Arial" w:hAnsi="Arial" w:cs="Arial"/>
                <w:lang w:val="es-ES"/>
              </w:rPr>
              <w:t>Sodio</w:t>
            </w:r>
          </w:p>
          <w:p w:rsidR="00503A41" w:rsidRPr="00993936" w:rsidRDefault="00503A41" w:rsidP="001D205D">
            <w:pPr>
              <w:pStyle w:val="Sinespaciado"/>
              <w:rPr>
                <w:rFonts w:ascii="Arial" w:hAnsi="Arial" w:cs="Arial"/>
                <w:lang w:val="es-ES"/>
              </w:rPr>
            </w:pPr>
          </w:p>
        </w:tc>
        <w:tc>
          <w:tcPr>
            <w:tcW w:w="2693" w:type="dxa"/>
          </w:tcPr>
          <w:p w:rsidR="00503A41" w:rsidRPr="00993936" w:rsidRDefault="00503A41" w:rsidP="001D205D">
            <w:pPr>
              <w:pStyle w:val="Sinespaciado"/>
              <w:rPr>
                <w:rFonts w:ascii="Arial" w:hAnsi="Arial" w:cs="Arial"/>
                <w:lang w:val="es-ES"/>
              </w:rPr>
            </w:pPr>
            <w:r w:rsidRPr="00993936">
              <w:rPr>
                <w:rFonts w:ascii="Arial" w:hAnsi="Arial" w:cs="Arial"/>
                <w:lang w:val="es-ES"/>
              </w:rPr>
              <w:t>N (%)</w:t>
            </w:r>
          </w:p>
          <w:p w:rsidR="00503A41" w:rsidRPr="00993936" w:rsidRDefault="00503A41" w:rsidP="001D205D">
            <w:pPr>
              <w:pStyle w:val="Sinespaciado"/>
              <w:rPr>
                <w:rFonts w:ascii="Arial" w:hAnsi="Arial" w:cs="Arial"/>
                <w:lang w:val="es-ES"/>
              </w:rPr>
            </w:pPr>
            <w:r w:rsidRPr="00993936">
              <w:rPr>
                <w:rFonts w:ascii="Arial" w:hAnsi="Arial" w:cs="Arial"/>
                <w:lang w:val="es-ES"/>
              </w:rPr>
              <w:t>P (%)</w:t>
            </w:r>
          </w:p>
          <w:p w:rsidR="00503A41" w:rsidRPr="00993936" w:rsidRDefault="00503A41" w:rsidP="001D205D">
            <w:pPr>
              <w:pStyle w:val="Sinespaciado"/>
              <w:rPr>
                <w:rFonts w:ascii="Arial" w:hAnsi="Arial" w:cs="Arial"/>
                <w:lang w:val="es-ES"/>
              </w:rPr>
            </w:pPr>
            <w:r w:rsidRPr="00993936">
              <w:rPr>
                <w:rFonts w:ascii="Arial" w:hAnsi="Arial" w:cs="Arial"/>
                <w:lang w:val="es-ES"/>
              </w:rPr>
              <w:t>K (%)</w:t>
            </w:r>
          </w:p>
          <w:p w:rsidR="00503A41" w:rsidRPr="00993936" w:rsidRDefault="00503A41" w:rsidP="001D205D">
            <w:pPr>
              <w:pStyle w:val="Sinespaciado"/>
              <w:rPr>
                <w:rFonts w:ascii="Arial" w:hAnsi="Arial" w:cs="Arial"/>
                <w:lang w:val="es-ES"/>
              </w:rPr>
            </w:pPr>
            <w:r w:rsidRPr="00993936">
              <w:rPr>
                <w:rFonts w:ascii="Arial" w:hAnsi="Arial" w:cs="Arial"/>
                <w:lang w:val="es-ES"/>
              </w:rPr>
              <w:t>Casa (%)</w:t>
            </w:r>
          </w:p>
          <w:p w:rsidR="00503A41" w:rsidRPr="00993936" w:rsidRDefault="00503A41" w:rsidP="001D205D">
            <w:pPr>
              <w:pStyle w:val="Sinespaciado"/>
              <w:rPr>
                <w:rFonts w:ascii="Arial" w:hAnsi="Arial" w:cs="Arial"/>
                <w:lang w:val="es-ES"/>
              </w:rPr>
            </w:pPr>
            <w:r w:rsidRPr="00993936">
              <w:rPr>
                <w:rFonts w:ascii="Arial" w:hAnsi="Arial" w:cs="Arial"/>
                <w:lang w:val="es-ES"/>
              </w:rPr>
              <w:t>Mg (%)</w:t>
            </w:r>
          </w:p>
          <w:p w:rsidR="00503A41" w:rsidRPr="00993936" w:rsidRDefault="00503A41" w:rsidP="001D205D">
            <w:pPr>
              <w:pStyle w:val="Sinespaciado"/>
              <w:rPr>
                <w:rFonts w:ascii="Arial" w:hAnsi="Arial" w:cs="Arial"/>
                <w:lang w:val="es-ES"/>
              </w:rPr>
            </w:pPr>
            <w:r w:rsidRPr="00993936">
              <w:rPr>
                <w:rFonts w:ascii="Arial" w:hAnsi="Arial" w:cs="Arial"/>
                <w:lang w:val="es-ES"/>
              </w:rPr>
              <w:t>S (%)</w:t>
            </w:r>
          </w:p>
          <w:p w:rsidR="00503A41" w:rsidRPr="00993936" w:rsidRDefault="00503A41" w:rsidP="001D205D">
            <w:pPr>
              <w:pStyle w:val="Sinespaciado"/>
              <w:rPr>
                <w:rFonts w:ascii="Arial" w:hAnsi="Arial" w:cs="Arial"/>
                <w:lang w:val="es-ES"/>
              </w:rPr>
            </w:pPr>
            <w:r w:rsidRPr="00993936">
              <w:rPr>
                <w:rFonts w:ascii="Arial" w:hAnsi="Arial" w:cs="Arial"/>
                <w:lang w:val="es-ES"/>
              </w:rPr>
              <w:t>Fe (ppm)</w:t>
            </w:r>
          </w:p>
          <w:p w:rsidR="00503A41" w:rsidRPr="00993936" w:rsidRDefault="00503A41" w:rsidP="001D205D">
            <w:pPr>
              <w:pStyle w:val="Sinespaciado"/>
              <w:rPr>
                <w:rFonts w:ascii="Arial" w:hAnsi="Arial" w:cs="Arial"/>
                <w:lang w:val="es-ES"/>
              </w:rPr>
            </w:pPr>
            <w:r w:rsidRPr="00993936">
              <w:rPr>
                <w:rFonts w:ascii="Arial" w:hAnsi="Arial" w:cs="Arial"/>
                <w:lang w:val="es-ES"/>
              </w:rPr>
              <w:t>Mn (ppm)</w:t>
            </w:r>
          </w:p>
          <w:p w:rsidR="00503A41" w:rsidRPr="00993936" w:rsidRDefault="00503A41" w:rsidP="001D205D">
            <w:pPr>
              <w:pStyle w:val="Sinespaciado"/>
              <w:rPr>
                <w:rFonts w:ascii="Arial" w:hAnsi="Arial" w:cs="Arial"/>
                <w:lang w:val="es-ES"/>
              </w:rPr>
            </w:pPr>
            <w:r w:rsidRPr="00993936">
              <w:rPr>
                <w:rFonts w:ascii="Arial" w:hAnsi="Arial" w:cs="Arial"/>
                <w:lang w:val="es-ES"/>
              </w:rPr>
              <w:t>Zn (ppm)</w:t>
            </w:r>
          </w:p>
          <w:p w:rsidR="00503A41" w:rsidRPr="00993936" w:rsidRDefault="00503A41" w:rsidP="001D205D">
            <w:pPr>
              <w:pStyle w:val="Sinespaciado"/>
              <w:rPr>
                <w:rFonts w:ascii="Arial" w:hAnsi="Arial" w:cs="Arial"/>
                <w:lang w:val="es-ES"/>
              </w:rPr>
            </w:pPr>
            <w:r w:rsidRPr="00993936">
              <w:rPr>
                <w:rFonts w:ascii="Arial" w:hAnsi="Arial" w:cs="Arial"/>
                <w:lang w:val="es-ES"/>
              </w:rPr>
              <w:t>Cu (ppm)</w:t>
            </w:r>
          </w:p>
          <w:p w:rsidR="00503A41" w:rsidRPr="00993936" w:rsidRDefault="00503A41" w:rsidP="001D205D">
            <w:pPr>
              <w:pStyle w:val="Sinespaciado"/>
              <w:rPr>
                <w:rFonts w:ascii="Arial" w:hAnsi="Arial" w:cs="Arial"/>
                <w:lang w:val="es-ES"/>
              </w:rPr>
            </w:pPr>
            <w:r w:rsidRPr="00993936">
              <w:rPr>
                <w:rFonts w:ascii="Arial" w:hAnsi="Arial" w:cs="Arial"/>
                <w:lang w:val="es-ES"/>
              </w:rPr>
              <w:t>B (ppm)</w:t>
            </w:r>
          </w:p>
          <w:p w:rsidR="00503A41" w:rsidRPr="00993936" w:rsidRDefault="00503A41" w:rsidP="001D205D">
            <w:pPr>
              <w:pStyle w:val="Sinespaciado"/>
              <w:rPr>
                <w:rFonts w:ascii="Arial" w:hAnsi="Arial" w:cs="Arial"/>
                <w:lang w:val="es-ES"/>
              </w:rPr>
            </w:pPr>
            <w:r w:rsidRPr="00993936">
              <w:rPr>
                <w:rFonts w:ascii="Arial" w:hAnsi="Arial" w:cs="Arial"/>
                <w:lang w:val="es-ES"/>
              </w:rPr>
              <w:t>Na (ppm))</w:t>
            </w:r>
          </w:p>
          <w:p w:rsidR="00503A41" w:rsidRPr="00993936" w:rsidRDefault="00503A41" w:rsidP="001D205D">
            <w:pPr>
              <w:pStyle w:val="Sinespaciado"/>
              <w:rPr>
                <w:rFonts w:ascii="Arial" w:hAnsi="Arial" w:cs="Arial"/>
                <w:lang w:val="es-ES"/>
              </w:rPr>
            </w:pPr>
          </w:p>
        </w:tc>
        <w:tc>
          <w:tcPr>
            <w:tcW w:w="1465" w:type="dxa"/>
          </w:tcPr>
          <w:p w:rsidR="00503A41" w:rsidRPr="00993936" w:rsidRDefault="00503A41" w:rsidP="001D205D">
            <w:pPr>
              <w:pStyle w:val="Sinespaciado"/>
              <w:rPr>
                <w:rFonts w:ascii="Arial" w:hAnsi="Arial" w:cs="Arial"/>
                <w:lang w:val="es-ES"/>
              </w:rPr>
            </w:pPr>
            <w:r w:rsidRPr="00993936">
              <w:rPr>
                <w:rFonts w:ascii="Arial" w:hAnsi="Arial" w:cs="Arial"/>
                <w:lang w:val="es-ES"/>
              </w:rPr>
              <w:t>&lt;2,00</w:t>
            </w:r>
          </w:p>
          <w:p w:rsidR="00503A41" w:rsidRPr="00993936" w:rsidRDefault="00503A41" w:rsidP="001D205D">
            <w:pPr>
              <w:pStyle w:val="Sinespaciado"/>
              <w:rPr>
                <w:rFonts w:ascii="Arial" w:hAnsi="Arial" w:cs="Arial"/>
                <w:lang w:val="es-ES"/>
              </w:rPr>
            </w:pPr>
            <w:r w:rsidRPr="00993936">
              <w:rPr>
                <w:rFonts w:ascii="Arial" w:hAnsi="Arial" w:cs="Arial"/>
                <w:lang w:val="es-ES"/>
              </w:rPr>
              <w:t>&lt;0,15</w:t>
            </w:r>
          </w:p>
          <w:p w:rsidR="00503A41" w:rsidRPr="00993936" w:rsidRDefault="00503A41" w:rsidP="001D205D">
            <w:pPr>
              <w:pStyle w:val="Sinespaciado"/>
              <w:rPr>
                <w:rFonts w:ascii="Arial" w:hAnsi="Arial" w:cs="Arial"/>
                <w:lang w:val="es-ES"/>
              </w:rPr>
            </w:pPr>
            <w:r w:rsidRPr="00993936">
              <w:rPr>
                <w:rFonts w:ascii="Arial" w:hAnsi="Arial" w:cs="Arial"/>
                <w:lang w:val="es-ES"/>
              </w:rPr>
              <w:t>&lt;0,70</w:t>
            </w:r>
          </w:p>
          <w:p w:rsidR="00503A41" w:rsidRPr="00993936" w:rsidRDefault="00503A41" w:rsidP="001D205D">
            <w:pPr>
              <w:pStyle w:val="Sinespaciado"/>
              <w:rPr>
                <w:rFonts w:ascii="Arial" w:hAnsi="Arial" w:cs="Arial"/>
                <w:lang w:val="es-ES"/>
              </w:rPr>
            </w:pPr>
            <w:r w:rsidRPr="00993936">
              <w:rPr>
                <w:rFonts w:ascii="Arial" w:hAnsi="Arial" w:cs="Arial"/>
                <w:lang w:val="es-ES"/>
              </w:rPr>
              <w:t>&lt;1,00</w:t>
            </w:r>
          </w:p>
          <w:p w:rsidR="00503A41" w:rsidRPr="00993936" w:rsidRDefault="00503A41" w:rsidP="001D205D">
            <w:pPr>
              <w:pStyle w:val="Sinespaciado"/>
              <w:rPr>
                <w:rFonts w:ascii="Arial" w:hAnsi="Arial" w:cs="Arial"/>
                <w:lang w:val="es-ES"/>
              </w:rPr>
            </w:pPr>
            <w:r w:rsidRPr="00993936">
              <w:rPr>
                <w:rFonts w:ascii="Arial" w:hAnsi="Arial" w:cs="Arial"/>
                <w:lang w:val="es-ES"/>
              </w:rPr>
              <w:t>&lt;0,20</w:t>
            </w:r>
          </w:p>
          <w:p w:rsidR="00503A41" w:rsidRPr="00993936" w:rsidRDefault="00503A41" w:rsidP="001D205D">
            <w:pPr>
              <w:pStyle w:val="Sinespaciado"/>
              <w:rPr>
                <w:rFonts w:ascii="Arial" w:hAnsi="Arial" w:cs="Arial"/>
                <w:lang w:val="es-ES"/>
              </w:rPr>
            </w:pPr>
            <w:r w:rsidRPr="00993936">
              <w:rPr>
                <w:rFonts w:ascii="Arial" w:hAnsi="Arial" w:cs="Arial"/>
                <w:lang w:val="es-ES"/>
              </w:rPr>
              <w:t>&lt; 0,10</w:t>
            </w:r>
          </w:p>
          <w:p w:rsidR="00503A41" w:rsidRPr="00993936" w:rsidRDefault="00503A41" w:rsidP="001D205D">
            <w:pPr>
              <w:pStyle w:val="Sinespaciado"/>
              <w:rPr>
                <w:rFonts w:ascii="Arial" w:hAnsi="Arial" w:cs="Arial"/>
                <w:lang w:val="es-ES"/>
              </w:rPr>
            </w:pPr>
            <w:r w:rsidRPr="00993936">
              <w:rPr>
                <w:rFonts w:ascii="Arial" w:hAnsi="Arial" w:cs="Arial"/>
                <w:lang w:val="es-ES"/>
              </w:rPr>
              <w:t>&lt; 50</w:t>
            </w:r>
          </w:p>
          <w:p w:rsidR="00503A41" w:rsidRPr="00993936" w:rsidRDefault="00503A41" w:rsidP="001D205D">
            <w:pPr>
              <w:pStyle w:val="Sinespaciado"/>
              <w:rPr>
                <w:rFonts w:ascii="Arial" w:hAnsi="Arial" w:cs="Arial"/>
                <w:lang w:val="es-ES"/>
              </w:rPr>
            </w:pPr>
            <w:r w:rsidRPr="00993936">
              <w:rPr>
                <w:rFonts w:ascii="Arial" w:hAnsi="Arial" w:cs="Arial"/>
                <w:lang w:val="es-ES"/>
              </w:rPr>
              <w:t>&lt; 20</w:t>
            </w:r>
          </w:p>
          <w:p w:rsidR="00503A41" w:rsidRPr="00993936" w:rsidRDefault="00503A41" w:rsidP="001D205D">
            <w:pPr>
              <w:pStyle w:val="Sinespaciado"/>
              <w:rPr>
                <w:rFonts w:ascii="Arial" w:hAnsi="Arial" w:cs="Arial"/>
                <w:lang w:val="es-ES"/>
              </w:rPr>
            </w:pPr>
            <w:r w:rsidRPr="00993936">
              <w:rPr>
                <w:rFonts w:ascii="Arial" w:hAnsi="Arial" w:cs="Arial"/>
                <w:lang w:val="es-ES"/>
              </w:rPr>
              <w:t>&lt; 15</w:t>
            </w:r>
          </w:p>
          <w:p w:rsidR="00503A41" w:rsidRPr="00993936" w:rsidRDefault="00503A41" w:rsidP="001D205D">
            <w:pPr>
              <w:pStyle w:val="Sinespaciado"/>
              <w:rPr>
                <w:rFonts w:ascii="Arial" w:hAnsi="Arial" w:cs="Arial"/>
                <w:lang w:val="es-ES"/>
              </w:rPr>
            </w:pPr>
            <w:r w:rsidRPr="00993936">
              <w:rPr>
                <w:rFonts w:ascii="Arial" w:hAnsi="Arial" w:cs="Arial"/>
                <w:lang w:val="es-ES"/>
              </w:rPr>
              <w:t>&lt; 4</w:t>
            </w:r>
          </w:p>
          <w:p w:rsidR="00503A41" w:rsidRPr="00993936" w:rsidRDefault="00503A41" w:rsidP="001D205D">
            <w:pPr>
              <w:pStyle w:val="Sinespaciado"/>
              <w:rPr>
                <w:rFonts w:ascii="Arial" w:hAnsi="Arial" w:cs="Arial"/>
                <w:lang w:val="es-ES"/>
              </w:rPr>
            </w:pPr>
            <w:r w:rsidRPr="00993936">
              <w:rPr>
                <w:rFonts w:ascii="Arial" w:hAnsi="Arial" w:cs="Arial"/>
                <w:lang w:val="es-ES"/>
              </w:rPr>
              <w:t>&gt;14</w:t>
            </w:r>
          </w:p>
          <w:p w:rsidR="00503A41" w:rsidRPr="00993936" w:rsidRDefault="00503A41" w:rsidP="001D205D">
            <w:pPr>
              <w:pStyle w:val="Sinespaciado"/>
              <w:rPr>
                <w:rFonts w:ascii="Arial" w:hAnsi="Arial" w:cs="Arial"/>
                <w:lang w:val="es-ES"/>
              </w:rPr>
            </w:pPr>
            <w:r w:rsidRPr="00993936">
              <w:rPr>
                <w:rFonts w:ascii="Arial" w:hAnsi="Arial" w:cs="Arial"/>
                <w:lang w:val="es-ES"/>
              </w:rPr>
              <w:t>-</w:t>
            </w:r>
          </w:p>
        </w:tc>
        <w:tc>
          <w:tcPr>
            <w:tcW w:w="1465" w:type="dxa"/>
          </w:tcPr>
          <w:p w:rsidR="00503A41" w:rsidRPr="00993936" w:rsidRDefault="00503A41" w:rsidP="001D205D">
            <w:pPr>
              <w:pStyle w:val="Sinespaciado"/>
              <w:rPr>
                <w:rFonts w:ascii="Arial" w:hAnsi="Arial" w:cs="Arial"/>
                <w:lang w:val="es-ES"/>
              </w:rPr>
            </w:pPr>
            <w:r w:rsidRPr="00993936">
              <w:rPr>
                <w:rFonts w:ascii="Arial" w:hAnsi="Arial" w:cs="Arial"/>
                <w:lang w:val="es-ES"/>
              </w:rPr>
              <w:t>2,00 - 2,50</w:t>
            </w:r>
          </w:p>
          <w:p w:rsidR="00503A41" w:rsidRPr="00993936" w:rsidRDefault="00503A41" w:rsidP="001D205D">
            <w:pPr>
              <w:pStyle w:val="Sinespaciado"/>
              <w:rPr>
                <w:rFonts w:ascii="Arial" w:hAnsi="Arial" w:cs="Arial"/>
                <w:lang w:val="es-ES"/>
              </w:rPr>
            </w:pPr>
            <w:r w:rsidRPr="00993936">
              <w:rPr>
                <w:rFonts w:ascii="Arial" w:hAnsi="Arial" w:cs="Arial"/>
                <w:lang w:val="es-ES"/>
              </w:rPr>
              <w:t>0,15 - 0,50</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0,70 – 1,20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1,00 – 2,50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0,20 – 0,50</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0,10 – 0,25</w:t>
            </w:r>
          </w:p>
          <w:p w:rsidR="00503A41" w:rsidRPr="00993936" w:rsidRDefault="00503A41" w:rsidP="001D205D">
            <w:pPr>
              <w:pStyle w:val="Sinespaciado"/>
              <w:rPr>
                <w:rFonts w:ascii="Arial" w:hAnsi="Arial" w:cs="Arial"/>
                <w:lang w:val="es-ES"/>
              </w:rPr>
            </w:pPr>
            <w:r w:rsidRPr="00993936">
              <w:rPr>
                <w:rFonts w:ascii="Arial" w:hAnsi="Arial" w:cs="Arial"/>
                <w:lang w:val="es-ES"/>
              </w:rPr>
              <w:t>50 - 300</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20 - 150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15 -  150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4 - 40</w:t>
            </w:r>
          </w:p>
          <w:p w:rsidR="00503A41" w:rsidRPr="00993936" w:rsidRDefault="00503A41" w:rsidP="001D205D">
            <w:pPr>
              <w:pStyle w:val="Sinespaciado"/>
              <w:rPr>
                <w:rFonts w:ascii="Arial" w:hAnsi="Arial" w:cs="Arial"/>
                <w:lang w:val="es-ES"/>
              </w:rPr>
            </w:pPr>
            <w:r w:rsidRPr="00993936">
              <w:rPr>
                <w:rFonts w:ascii="Arial" w:hAnsi="Arial" w:cs="Arial"/>
                <w:lang w:val="es-ES"/>
              </w:rPr>
              <w:t>14 - 100</w:t>
            </w:r>
          </w:p>
          <w:p w:rsidR="00503A41" w:rsidRPr="00993936" w:rsidRDefault="00503A41" w:rsidP="001D205D">
            <w:pPr>
              <w:pStyle w:val="Sinespaciado"/>
              <w:rPr>
                <w:rFonts w:ascii="Arial" w:hAnsi="Arial" w:cs="Arial"/>
                <w:lang w:val="es-ES"/>
              </w:rPr>
            </w:pPr>
            <w:r w:rsidRPr="00993936">
              <w:rPr>
                <w:rFonts w:ascii="Arial" w:hAnsi="Arial" w:cs="Arial"/>
                <w:lang w:val="es-ES"/>
              </w:rPr>
              <w:t>&lt; 500</w:t>
            </w:r>
          </w:p>
        </w:tc>
        <w:tc>
          <w:tcPr>
            <w:tcW w:w="1466" w:type="dxa"/>
          </w:tcPr>
          <w:p w:rsidR="00503A41" w:rsidRPr="00993936" w:rsidRDefault="00503A41" w:rsidP="001D205D">
            <w:pPr>
              <w:pStyle w:val="Sinespaciado"/>
              <w:rPr>
                <w:rFonts w:ascii="Arial" w:hAnsi="Arial" w:cs="Arial"/>
                <w:lang w:val="es-ES"/>
              </w:rPr>
            </w:pPr>
            <w:r w:rsidRPr="00993936">
              <w:rPr>
                <w:rFonts w:ascii="Arial" w:hAnsi="Arial" w:cs="Arial"/>
                <w:lang w:val="es-ES"/>
              </w:rPr>
              <w:t>&gt; 2,50</w:t>
            </w:r>
          </w:p>
          <w:p w:rsidR="00503A41" w:rsidRPr="00993936" w:rsidRDefault="00503A41" w:rsidP="001D205D">
            <w:pPr>
              <w:pStyle w:val="Sinespaciado"/>
              <w:rPr>
                <w:rFonts w:ascii="Arial" w:hAnsi="Arial" w:cs="Arial"/>
                <w:lang w:val="es-ES"/>
              </w:rPr>
            </w:pPr>
            <w:r w:rsidRPr="00993936">
              <w:rPr>
                <w:rFonts w:ascii="Arial" w:hAnsi="Arial" w:cs="Arial"/>
                <w:lang w:val="es-ES"/>
              </w:rPr>
              <w:t>&gt; 0,50</w:t>
            </w:r>
          </w:p>
          <w:p w:rsidR="00503A41" w:rsidRPr="00993936" w:rsidRDefault="00503A41" w:rsidP="001D205D">
            <w:pPr>
              <w:pStyle w:val="Sinespaciado"/>
              <w:rPr>
                <w:rFonts w:ascii="Arial" w:hAnsi="Arial" w:cs="Arial"/>
                <w:lang w:val="es-ES"/>
              </w:rPr>
            </w:pPr>
            <w:r w:rsidRPr="00993936">
              <w:rPr>
                <w:rFonts w:ascii="Arial" w:hAnsi="Arial" w:cs="Arial"/>
                <w:lang w:val="es-ES"/>
              </w:rPr>
              <w:t>&gt; 1,20</w:t>
            </w:r>
          </w:p>
          <w:p w:rsidR="00503A41" w:rsidRPr="00993936" w:rsidRDefault="00503A41" w:rsidP="001D205D">
            <w:pPr>
              <w:pStyle w:val="Sinespaciado"/>
              <w:rPr>
                <w:rFonts w:ascii="Arial" w:hAnsi="Arial" w:cs="Arial"/>
                <w:lang w:val="es-ES"/>
              </w:rPr>
            </w:pPr>
            <w:r w:rsidRPr="00993936">
              <w:rPr>
                <w:rFonts w:ascii="Arial" w:hAnsi="Arial" w:cs="Arial"/>
                <w:lang w:val="es-ES"/>
              </w:rPr>
              <w:t>&gt; 2,50</w:t>
            </w:r>
          </w:p>
          <w:p w:rsidR="00503A41" w:rsidRPr="00993936" w:rsidRDefault="00503A41" w:rsidP="001D205D">
            <w:pPr>
              <w:pStyle w:val="Sinespaciado"/>
              <w:rPr>
                <w:rFonts w:ascii="Arial" w:hAnsi="Arial" w:cs="Arial"/>
                <w:lang w:val="es-ES"/>
              </w:rPr>
            </w:pPr>
            <w:r w:rsidRPr="00993936">
              <w:rPr>
                <w:rFonts w:ascii="Arial" w:hAnsi="Arial" w:cs="Arial"/>
                <w:lang w:val="es-ES"/>
              </w:rPr>
              <w:t>&gt; 0,50</w:t>
            </w:r>
          </w:p>
          <w:p w:rsidR="00503A41" w:rsidRPr="00993936" w:rsidRDefault="00503A41" w:rsidP="001D205D">
            <w:pPr>
              <w:pStyle w:val="Sinespaciado"/>
              <w:rPr>
                <w:rFonts w:ascii="Arial" w:hAnsi="Arial" w:cs="Arial"/>
                <w:lang w:val="es-ES"/>
              </w:rPr>
            </w:pPr>
            <w:r w:rsidRPr="00993936">
              <w:rPr>
                <w:rFonts w:ascii="Arial" w:hAnsi="Arial" w:cs="Arial"/>
                <w:lang w:val="es-ES"/>
              </w:rPr>
              <w:t>&gt; 0,25</w:t>
            </w:r>
          </w:p>
          <w:p w:rsidR="00503A41" w:rsidRPr="00993936" w:rsidRDefault="00503A41" w:rsidP="001D205D">
            <w:pPr>
              <w:pStyle w:val="Sinespaciado"/>
              <w:rPr>
                <w:rFonts w:ascii="Arial" w:hAnsi="Arial" w:cs="Arial"/>
                <w:lang w:val="es-ES"/>
              </w:rPr>
            </w:pPr>
            <w:r w:rsidRPr="00993936">
              <w:rPr>
                <w:rFonts w:ascii="Arial" w:hAnsi="Arial" w:cs="Arial"/>
                <w:lang w:val="es-ES"/>
              </w:rPr>
              <w:t>&gt; 300</w:t>
            </w:r>
          </w:p>
          <w:p w:rsidR="00503A41" w:rsidRPr="00993936" w:rsidRDefault="00503A41" w:rsidP="001D205D">
            <w:pPr>
              <w:pStyle w:val="Sinespaciado"/>
              <w:rPr>
                <w:rFonts w:ascii="Arial" w:hAnsi="Arial" w:cs="Arial"/>
                <w:lang w:val="es-ES"/>
              </w:rPr>
            </w:pPr>
            <w:r w:rsidRPr="00993936">
              <w:rPr>
                <w:rFonts w:ascii="Arial" w:hAnsi="Arial" w:cs="Arial"/>
                <w:lang w:val="es-ES"/>
              </w:rPr>
              <w:t>&gt;  150</w:t>
            </w:r>
          </w:p>
          <w:p w:rsidR="00503A41" w:rsidRPr="00993936" w:rsidRDefault="00503A41" w:rsidP="001D205D">
            <w:pPr>
              <w:pStyle w:val="Sinespaciado"/>
              <w:rPr>
                <w:rFonts w:ascii="Arial" w:hAnsi="Arial" w:cs="Arial"/>
                <w:lang w:val="es-ES"/>
              </w:rPr>
            </w:pPr>
            <w:r w:rsidRPr="00993936">
              <w:rPr>
                <w:rFonts w:ascii="Arial" w:hAnsi="Arial" w:cs="Arial"/>
                <w:lang w:val="es-ES"/>
              </w:rPr>
              <w:t>&gt; 150</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&gt;   40</w:t>
            </w:r>
          </w:p>
          <w:p w:rsidR="00503A41" w:rsidRPr="00993936" w:rsidRDefault="00503A41" w:rsidP="001D205D">
            <w:pPr>
              <w:pStyle w:val="Sinespaciado"/>
              <w:rPr>
                <w:rFonts w:ascii="Arial" w:hAnsi="Arial" w:cs="Arial"/>
                <w:lang w:val="es-ES"/>
              </w:rPr>
            </w:pPr>
            <w:r w:rsidRPr="00993936">
              <w:rPr>
                <w:rFonts w:ascii="Arial" w:hAnsi="Arial" w:cs="Arial"/>
                <w:lang w:val="es-ES"/>
              </w:rPr>
              <w:t>&gt; 100</w:t>
            </w:r>
          </w:p>
          <w:p w:rsidR="00503A41" w:rsidRPr="00993936" w:rsidRDefault="00503A41" w:rsidP="001D205D">
            <w:pPr>
              <w:pStyle w:val="Sinespaciado"/>
              <w:rPr>
                <w:rFonts w:ascii="Arial" w:hAnsi="Arial" w:cs="Arial"/>
                <w:lang w:val="es-ES"/>
              </w:rPr>
            </w:pPr>
            <w:r w:rsidRPr="00993936">
              <w:rPr>
                <w:rFonts w:ascii="Arial" w:hAnsi="Arial" w:cs="Arial"/>
                <w:lang w:val="es-ES"/>
              </w:rPr>
              <w:t>&gt; 500</w:t>
            </w:r>
          </w:p>
        </w:tc>
      </w:tr>
    </w:tbl>
    <w:p w:rsidR="00503A41" w:rsidRPr="00993936" w:rsidRDefault="00503A41" w:rsidP="00424C28">
      <w:pPr>
        <w:jc w:val="both"/>
        <w:rPr>
          <w:rFonts w:ascii="Arial" w:hAnsi="Arial" w:cs="Arial"/>
          <w:lang w:val="es-ES"/>
        </w:rPr>
      </w:pPr>
      <w:r w:rsidRPr="00993936">
        <w:rPr>
          <w:rFonts w:ascii="Arial" w:hAnsi="Arial" w:cs="Arial"/>
          <w:lang w:val="es-ES"/>
        </w:rPr>
        <w:t>(*) Fuente:  Laboratorio de Análisis y Fertilidad de Suelos (Applus Agroambiental S.A.)</w:t>
      </w:r>
    </w:p>
    <w:p w:rsidR="00503A41" w:rsidRPr="00993936" w:rsidRDefault="00503A41" w:rsidP="00424C28">
      <w:pPr>
        <w:rPr>
          <w:rFonts w:ascii="Arial" w:hAnsi="Arial" w:cs="Arial"/>
          <w:lang w:val="es-ES"/>
        </w:rPr>
      </w:pPr>
    </w:p>
    <w:p w:rsidR="00503A41" w:rsidRPr="00993936" w:rsidRDefault="00503A41" w:rsidP="00424C28">
      <w:pPr>
        <w:pStyle w:val="Ttulo3"/>
        <w:rPr>
          <w:rFonts w:ascii="Arial" w:hAnsi="Arial" w:cs="Arial"/>
          <w:b/>
          <w:color w:val="auto"/>
          <w:lang w:val="es-ES"/>
        </w:rPr>
      </w:pPr>
      <w:r w:rsidRPr="00993936">
        <w:rPr>
          <w:rFonts w:ascii="Arial" w:hAnsi="Arial" w:cs="Arial"/>
          <w:color w:val="auto"/>
          <w:lang w:val="es-ES"/>
        </w:rPr>
        <w:br w:type="page"/>
      </w:r>
      <w:r w:rsidRPr="00993936">
        <w:rPr>
          <w:rFonts w:ascii="Arial" w:hAnsi="Arial" w:cs="Arial"/>
          <w:color w:val="auto"/>
          <w:lang w:val="es-ES"/>
        </w:rPr>
        <w:lastRenderedPageBreak/>
        <w:t>ANEXO 8</w:t>
      </w:r>
    </w:p>
    <w:p w:rsidR="00503A41" w:rsidRPr="00993936" w:rsidRDefault="00503A41" w:rsidP="00424C28">
      <w:pPr>
        <w:rPr>
          <w:rFonts w:ascii="Arial" w:hAnsi="Arial" w:cs="Arial"/>
          <w:lang w:val="es-ES"/>
        </w:rPr>
      </w:pPr>
    </w:p>
    <w:p w:rsidR="00503A41" w:rsidRPr="00993936" w:rsidRDefault="00503A41" w:rsidP="00424C28">
      <w:pPr>
        <w:rPr>
          <w:rFonts w:ascii="Arial" w:hAnsi="Arial" w:cs="Arial"/>
          <w:lang w:val="es-ES"/>
        </w:rPr>
      </w:pPr>
      <w:r w:rsidRPr="00993936">
        <w:rPr>
          <w:rFonts w:ascii="Arial" w:hAnsi="Arial" w:cs="Arial"/>
          <w:b/>
          <w:lang w:val="es-ES"/>
        </w:rPr>
        <w:t>8.1 Tabla orientativa del contenido de nutrientes de algunos abonos</w:t>
      </w:r>
      <w:r w:rsidRPr="00993936">
        <w:rPr>
          <w:rFonts w:ascii="Arial" w:hAnsi="Arial" w:cs="Arial"/>
          <w:b/>
          <w:vanish/>
          <w:lang w:val="es-ES"/>
        </w:rPr>
        <w:t>&lt;A[abonos|adobos]&gt;</w:t>
      </w:r>
      <w:r w:rsidRPr="00993936">
        <w:rPr>
          <w:rFonts w:ascii="Arial" w:hAnsi="Arial" w:cs="Arial"/>
          <w:b/>
          <w:lang w:val="es-ES"/>
        </w:rPr>
        <w:t xml:space="preserve"> orgánicos </w:t>
      </w:r>
    </w:p>
    <w:p w:rsidR="00503A41" w:rsidRPr="00993936" w:rsidRDefault="00503A41" w:rsidP="00424C28">
      <w:pPr>
        <w:pStyle w:val="Ttulo3"/>
        <w:rPr>
          <w:rFonts w:ascii="Arial" w:hAnsi="Arial" w:cs="Arial"/>
          <w:color w:val="auto"/>
          <w:lang w:val="es-ES"/>
        </w:rPr>
      </w:pPr>
    </w:p>
    <w:tbl>
      <w:tblPr>
        <w:tblW w:w="5000" w:type="pct"/>
        <w:tblCellMar>
          <w:left w:w="70" w:type="dxa"/>
          <w:right w:w="70" w:type="dxa"/>
        </w:tblCellMar>
        <w:tblLook w:val="0000" w:firstRow="0" w:lastRow="0" w:firstColumn="0" w:lastColumn="0" w:noHBand="0" w:noVBand="0"/>
      </w:tblPr>
      <w:tblGrid>
        <w:gridCol w:w="1084"/>
        <w:gridCol w:w="1435"/>
        <w:gridCol w:w="3890"/>
        <w:gridCol w:w="851"/>
        <w:gridCol w:w="1011"/>
        <w:gridCol w:w="939"/>
      </w:tblGrid>
      <w:tr w:rsidR="00503A41" w:rsidRPr="00993936" w:rsidTr="001D205D">
        <w:trPr>
          <w:trHeight w:val="555"/>
        </w:trPr>
        <w:tc>
          <w:tcPr>
            <w:tcW w:w="588"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Ganado</w:t>
            </w:r>
          </w:p>
        </w:tc>
        <w:tc>
          <w:tcPr>
            <w:tcW w:w="779"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Tipo</w:t>
            </w:r>
          </w:p>
        </w:tc>
        <w:tc>
          <w:tcPr>
            <w:tcW w:w="2112" w:type="pct"/>
            <w:tcBorders>
              <w:top w:val="single" w:sz="8" w:space="0" w:color="auto"/>
              <w:left w:val="nil"/>
              <w:bottom w:val="single" w:sz="8" w:space="0" w:color="auto"/>
              <w:right w:val="nil"/>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Fase / Sistema Productivo</w:t>
            </w:r>
          </w:p>
        </w:tc>
        <w:tc>
          <w:tcPr>
            <w:tcW w:w="462"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Kg N/m</w:t>
            </w:r>
            <w:r w:rsidRPr="00993936">
              <w:rPr>
                <w:rFonts w:ascii="Arial" w:hAnsi="Arial" w:cs="Arial"/>
                <w:vertAlign w:val="superscript"/>
                <w:lang w:val="es-ES" w:eastAsia="ca-ES"/>
              </w:rPr>
              <w:t>3</w:t>
            </w:r>
            <w:r w:rsidRPr="00993936">
              <w:rPr>
                <w:rFonts w:ascii="Arial" w:hAnsi="Arial" w:cs="Arial"/>
                <w:lang w:val="es-ES" w:eastAsia="ca-ES"/>
              </w:rPr>
              <w:t xml:space="preserve"> o </w:t>
            </w:r>
            <w:r w:rsidRPr="00993936">
              <w:rPr>
                <w:rFonts w:ascii="Arial" w:hAnsi="Arial" w:cs="Arial"/>
                <w:sz w:val="16"/>
                <w:lang w:val="es-ES" w:eastAsia="ca-ES"/>
              </w:rPr>
              <w:t>tonelada</w:t>
            </w:r>
          </w:p>
        </w:tc>
        <w:tc>
          <w:tcPr>
            <w:tcW w:w="549"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Kg P</w:t>
            </w:r>
            <w:r w:rsidRPr="00993936">
              <w:rPr>
                <w:rFonts w:ascii="Arial" w:hAnsi="Arial" w:cs="Arial"/>
                <w:vertAlign w:val="subscript"/>
                <w:lang w:val="es-ES" w:eastAsia="ca-ES"/>
              </w:rPr>
              <w:t>2</w:t>
            </w:r>
            <w:r w:rsidRPr="00993936">
              <w:rPr>
                <w:rFonts w:ascii="Arial" w:hAnsi="Arial" w:cs="Arial"/>
                <w:lang w:val="es-ES" w:eastAsia="ca-ES"/>
              </w:rPr>
              <w:t>O</w:t>
            </w:r>
            <w:r w:rsidRPr="00993936">
              <w:rPr>
                <w:rFonts w:ascii="Arial" w:hAnsi="Arial" w:cs="Arial"/>
                <w:vertAlign w:val="subscript"/>
                <w:lang w:val="es-ES" w:eastAsia="ca-ES"/>
              </w:rPr>
              <w:t>5</w:t>
            </w:r>
            <w:r w:rsidRPr="00993936">
              <w:rPr>
                <w:rFonts w:ascii="Arial" w:hAnsi="Arial" w:cs="Arial"/>
                <w:lang w:val="es-ES" w:eastAsia="ca-ES"/>
              </w:rPr>
              <w:t>/m</w:t>
            </w:r>
            <w:r w:rsidRPr="00993936">
              <w:rPr>
                <w:rFonts w:ascii="Arial" w:hAnsi="Arial" w:cs="Arial"/>
                <w:vertAlign w:val="superscript"/>
                <w:lang w:val="es-ES" w:eastAsia="ca-ES"/>
              </w:rPr>
              <w:t xml:space="preserve">3 </w:t>
            </w:r>
            <w:r w:rsidRPr="00993936">
              <w:rPr>
                <w:rFonts w:ascii="Arial" w:hAnsi="Arial" w:cs="Arial"/>
                <w:lang w:val="es-ES" w:eastAsia="ca-ES"/>
              </w:rPr>
              <w:t xml:space="preserve">o </w:t>
            </w:r>
            <w:r w:rsidRPr="00993936">
              <w:rPr>
                <w:rFonts w:ascii="Arial" w:hAnsi="Arial" w:cs="Arial"/>
                <w:sz w:val="16"/>
                <w:lang w:val="es-ES" w:eastAsia="ca-ES"/>
              </w:rPr>
              <w:t>tonelada</w:t>
            </w:r>
          </w:p>
        </w:tc>
        <w:tc>
          <w:tcPr>
            <w:tcW w:w="511"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Kg K</w:t>
            </w:r>
            <w:r w:rsidRPr="00993936">
              <w:rPr>
                <w:rFonts w:ascii="Arial" w:hAnsi="Arial" w:cs="Arial"/>
                <w:vertAlign w:val="subscript"/>
                <w:lang w:val="es-ES" w:eastAsia="ca-ES"/>
              </w:rPr>
              <w:t>2</w:t>
            </w:r>
            <w:r w:rsidRPr="00993936">
              <w:rPr>
                <w:rFonts w:ascii="Arial" w:hAnsi="Arial" w:cs="Arial"/>
                <w:lang w:val="es-ES" w:eastAsia="ca-ES"/>
              </w:rPr>
              <w:t>O/m</w:t>
            </w:r>
            <w:r w:rsidRPr="00993936">
              <w:rPr>
                <w:rFonts w:ascii="Arial" w:hAnsi="Arial" w:cs="Arial"/>
                <w:vertAlign w:val="superscript"/>
                <w:lang w:val="es-ES" w:eastAsia="ca-ES"/>
              </w:rPr>
              <w:t xml:space="preserve">3 </w:t>
            </w:r>
            <w:r w:rsidRPr="00993936">
              <w:rPr>
                <w:rFonts w:ascii="Arial" w:hAnsi="Arial" w:cs="Arial"/>
                <w:lang w:val="es-ES" w:eastAsia="ca-ES"/>
              </w:rPr>
              <w:t xml:space="preserve">o </w:t>
            </w:r>
            <w:r w:rsidRPr="00993936">
              <w:rPr>
                <w:rFonts w:ascii="Arial" w:hAnsi="Arial" w:cs="Arial"/>
                <w:sz w:val="16"/>
                <w:lang w:val="es-ES" w:eastAsia="ca-ES"/>
              </w:rPr>
              <w:t>tonelada</w:t>
            </w:r>
          </w:p>
        </w:tc>
      </w:tr>
      <w:tr w:rsidR="00503A41" w:rsidRPr="00993936" w:rsidTr="001D205D">
        <w:trPr>
          <w:trHeight w:val="300"/>
        </w:trPr>
        <w:tc>
          <w:tcPr>
            <w:tcW w:w="588" w:type="pct"/>
            <w:vMerge w:val="restart"/>
            <w:tcBorders>
              <w:top w:val="nil"/>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Porcino</w:t>
            </w:r>
          </w:p>
        </w:tc>
        <w:tc>
          <w:tcPr>
            <w:tcW w:w="779" w:type="pct"/>
            <w:vMerge w:val="restart"/>
            <w:tcBorders>
              <w:top w:val="nil"/>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Purín</w:t>
            </w: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Engorde</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5,7</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3,6</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4,2</w:t>
            </w:r>
          </w:p>
        </w:tc>
      </w:tr>
      <w:tr w:rsidR="00503A41" w:rsidRPr="00993936" w:rsidTr="001D205D">
        <w:trPr>
          <w:trHeight w:val="300"/>
        </w:trPr>
        <w:tc>
          <w:tcPr>
            <w:tcW w:w="588" w:type="pct"/>
            <w:vMerge/>
            <w:tcBorders>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Reproductora</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2,9</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2,1</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1,8</w:t>
            </w:r>
          </w:p>
        </w:tc>
      </w:tr>
      <w:tr w:rsidR="00503A41" w:rsidRPr="00993936" w:rsidTr="001D205D">
        <w:trPr>
          <w:trHeight w:val="300"/>
        </w:trPr>
        <w:tc>
          <w:tcPr>
            <w:tcW w:w="588" w:type="pct"/>
            <w:vMerge/>
            <w:tcBorders>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Cochinillos (6-20kg)</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3,4</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2,6</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1,7</w:t>
            </w:r>
          </w:p>
        </w:tc>
      </w:tr>
      <w:tr w:rsidR="00503A41" w:rsidRPr="00993936" w:rsidTr="001D205D">
        <w:trPr>
          <w:trHeight w:val="300"/>
        </w:trPr>
        <w:tc>
          <w:tcPr>
            <w:tcW w:w="588" w:type="pct"/>
            <w:vMerge/>
            <w:tcBorders>
              <w:left w:val="single" w:sz="8" w:space="0" w:color="auto"/>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Ciclo cerrado</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3,4</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2,4</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2,5</w:t>
            </w:r>
          </w:p>
        </w:tc>
      </w:tr>
      <w:tr w:rsidR="00503A41" w:rsidRPr="00993936" w:rsidTr="001D205D">
        <w:trPr>
          <w:trHeight w:val="300"/>
        </w:trPr>
        <w:tc>
          <w:tcPr>
            <w:tcW w:w="588"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Ganado vacuno</w:t>
            </w:r>
          </w:p>
        </w:tc>
        <w:tc>
          <w:tcPr>
            <w:tcW w:w="779" w:type="pct"/>
            <w:vMerge w:val="restart"/>
            <w:tcBorders>
              <w:top w:val="single" w:sz="8" w:space="0" w:color="auto"/>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Purín</w:t>
            </w:r>
          </w:p>
        </w:tc>
        <w:tc>
          <w:tcPr>
            <w:tcW w:w="2112" w:type="pct"/>
            <w:tcBorders>
              <w:top w:val="single" w:sz="8" w:space="0" w:color="auto"/>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Vaca de leche</w:t>
            </w:r>
          </w:p>
        </w:tc>
        <w:tc>
          <w:tcPr>
            <w:tcW w:w="462"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3,3</w:t>
            </w:r>
          </w:p>
        </w:tc>
        <w:tc>
          <w:tcPr>
            <w:tcW w:w="549"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1,5</w:t>
            </w:r>
          </w:p>
        </w:tc>
        <w:tc>
          <w:tcPr>
            <w:tcW w:w="511" w:type="pct"/>
            <w:tcBorders>
              <w:top w:val="single" w:sz="8" w:space="0" w:color="auto"/>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3,4</w:t>
            </w:r>
          </w:p>
        </w:tc>
      </w:tr>
      <w:tr w:rsidR="00503A41" w:rsidRPr="00993936" w:rsidTr="001D205D">
        <w:trPr>
          <w:trHeight w:val="300"/>
        </w:trPr>
        <w:tc>
          <w:tcPr>
            <w:tcW w:w="588"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Engorde terneros</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5,2</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1,7</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3,6</w:t>
            </w:r>
          </w:p>
        </w:tc>
      </w:tr>
      <w:tr w:rsidR="00503A41" w:rsidRPr="00993936" w:rsidTr="001D205D">
        <w:trPr>
          <w:trHeight w:val="300"/>
        </w:trPr>
        <w:tc>
          <w:tcPr>
            <w:tcW w:w="588"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val="restart"/>
            <w:tcBorders>
              <w:top w:val="single" w:sz="8" w:space="0" w:color="auto"/>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Estiércol</w:t>
            </w:r>
          </w:p>
          <w:p w:rsidR="00503A41" w:rsidRPr="00993936" w:rsidRDefault="00503A41" w:rsidP="001D205D">
            <w:pPr>
              <w:pStyle w:val="Sinespaciado"/>
              <w:rPr>
                <w:rFonts w:ascii="Arial" w:hAnsi="Arial" w:cs="Arial"/>
                <w:lang w:val="es-ES" w:eastAsia="ca-ES"/>
              </w:rPr>
            </w:pPr>
          </w:p>
        </w:tc>
        <w:tc>
          <w:tcPr>
            <w:tcW w:w="2112" w:type="pct"/>
            <w:tcBorders>
              <w:top w:val="single" w:sz="8" w:space="0" w:color="auto"/>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Vaca de leche</w:t>
            </w:r>
          </w:p>
        </w:tc>
        <w:tc>
          <w:tcPr>
            <w:tcW w:w="462"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5,5</w:t>
            </w:r>
          </w:p>
        </w:tc>
        <w:tc>
          <w:tcPr>
            <w:tcW w:w="549"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2,0</w:t>
            </w:r>
          </w:p>
        </w:tc>
        <w:tc>
          <w:tcPr>
            <w:tcW w:w="511" w:type="pct"/>
            <w:tcBorders>
              <w:top w:val="single" w:sz="8" w:space="0" w:color="auto"/>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7,9</w:t>
            </w:r>
          </w:p>
        </w:tc>
      </w:tr>
      <w:tr w:rsidR="00503A41" w:rsidRPr="00993936" w:rsidTr="001D205D">
        <w:trPr>
          <w:trHeight w:val="300"/>
        </w:trPr>
        <w:tc>
          <w:tcPr>
            <w:tcW w:w="588"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Vaca de carne</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3,0</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2,0</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5,0</w:t>
            </w:r>
          </w:p>
        </w:tc>
      </w:tr>
      <w:tr w:rsidR="00503A41" w:rsidRPr="00993936" w:rsidTr="001D205D">
        <w:trPr>
          <w:trHeight w:val="300"/>
        </w:trPr>
        <w:tc>
          <w:tcPr>
            <w:tcW w:w="588"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Ternero de engorde</w:t>
            </w:r>
          </w:p>
        </w:tc>
        <w:tc>
          <w:tcPr>
            <w:tcW w:w="462"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6,0</w:t>
            </w:r>
          </w:p>
        </w:tc>
        <w:tc>
          <w:tcPr>
            <w:tcW w:w="549"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5,0</w:t>
            </w:r>
          </w:p>
        </w:tc>
        <w:tc>
          <w:tcPr>
            <w:tcW w:w="511"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6,0</w:t>
            </w:r>
          </w:p>
        </w:tc>
      </w:tr>
      <w:tr w:rsidR="00503A41" w:rsidRPr="00993936" w:rsidTr="001D205D">
        <w:trPr>
          <w:trHeight w:val="300"/>
        </w:trPr>
        <w:tc>
          <w:tcPr>
            <w:tcW w:w="588"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Aves de corral</w:t>
            </w:r>
          </w:p>
        </w:tc>
        <w:tc>
          <w:tcPr>
            <w:tcW w:w="779" w:type="pct"/>
            <w:vMerge w:val="restart"/>
            <w:tcBorders>
              <w:top w:val="nil"/>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Gallinaza</w:t>
            </w: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Pavo</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24,9</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25,8</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20,0</w:t>
            </w:r>
          </w:p>
        </w:tc>
      </w:tr>
      <w:tr w:rsidR="00503A41" w:rsidRPr="00993936" w:rsidTr="001D205D">
        <w:trPr>
          <w:trHeight w:val="300"/>
        </w:trPr>
        <w:tc>
          <w:tcPr>
            <w:tcW w:w="588"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Pollo de engorde</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22,8</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21,1</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17,7</w:t>
            </w:r>
          </w:p>
        </w:tc>
      </w:tr>
      <w:tr w:rsidR="00503A41" w:rsidRPr="00993936" w:rsidTr="001D205D">
        <w:trPr>
          <w:trHeight w:val="300"/>
        </w:trPr>
        <w:tc>
          <w:tcPr>
            <w:tcW w:w="588"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Gallina ponedora</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12,5</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10,4</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8,0</w:t>
            </w:r>
          </w:p>
        </w:tc>
      </w:tr>
      <w:tr w:rsidR="00503A41" w:rsidRPr="00993936" w:rsidTr="001D205D">
        <w:trPr>
          <w:trHeight w:val="300"/>
        </w:trPr>
        <w:tc>
          <w:tcPr>
            <w:tcW w:w="588"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Gallina reproductora</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17,4</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33,9</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23,6</w:t>
            </w:r>
          </w:p>
        </w:tc>
      </w:tr>
      <w:tr w:rsidR="00503A41" w:rsidRPr="00993936" w:rsidTr="001D205D">
        <w:trPr>
          <w:trHeight w:val="300"/>
        </w:trPr>
        <w:tc>
          <w:tcPr>
            <w:tcW w:w="588"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Gallina reposición</w:t>
            </w:r>
          </w:p>
        </w:tc>
        <w:tc>
          <w:tcPr>
            <w:tcW w:w="462"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19,5</w:t>
            </w:r>
          </w:p>
        </w:tc>
        <w:tc>
          <w:tcPr>
            <w:tcW w:w="549"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45,8</w:t>
            </w:r>
          </w:p>
        </w:tc>
        <w:tc>
          <w:tcPr>
            <w:tcW w:w="511"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25,5</w:t>
            </w:r>
          </w:p>
        </w:tc>
      </w:tr>
      <w:tr w:rsidR="00503A41" w:rsidRPr="00993936" w:rsidTr="001D205D">
        <w:trPr>
          <w:trHeight w:val="300"/>
        </w:trPr>
        <w:tc>
          <w:tcPr>
            <w:tcW w:w="588"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Ovino-ganado cabrío</w:t>
            </w:r>
          </w:p>
        </w:tc>
        <w:tc>
          <w:tcPr>
            <w:tcW w:w="779" w:type="pct"/>
            <w:vMerge w:val="restart"/>
            <w:tcBorders>
              <w:top w:val="nil"/>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Estiércol</w:t>
            </w:r>
          </w:p>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Oveja de carne</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9,4</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5,0</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10,0</w:t>
            </w:r>
          </w:p>
        </w:tc>
      </w:tr>
      <w:tr w:rsidR="00503A41" w:rsidRPr="00993936" w:rsidTr="001D205D">
        <w:trPr>
          <w:trHeight w:val="300"/>
        </w:trPr>
        <w:tc>
          <w:tcPr>
            <w:tcW w:w="588"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Oveja de leche</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8,1</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3,2</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8,6</w:t>
            </w:r>
          </w:p>
        </w:tc>
      </w:tr>
      <w:tr w:rsidR="00503A41" w:rsidRPr="00993936" w:rsidTr="001D205D">
        <w:trPr>
          <w:trHeight w:val="300"/>
        </w:trPr>
        <w:tc>
          <w:tcPr>
            <w:tcW w:w="588"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2112"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Cabra</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9,4</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5,0</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9,0</w:t>
            </w:r>
          </w:p>
        </w:tc>
      </w:tr>
      <w:tr w:rsidR="00503A41" w:rsidRPr="00993936" w:rsidTr="001D205D">
        <w:trPr>
          <w:trHeight w:val="300"/>
        </w:trPr>
        <w:tc>
          <w:tcPr>
            <w:tcW w:w="588" w:type="pct"/>
            <w:vMerge/>
            <w:tcBorders>
              <w:left w:val="single" w:sz="8" w:space="0" w:color="auto"/>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p>
        </w:tc>
        <w:tc>
          <w:tcPr>
            <w:tcW w:w="779" w:type="pct"/>
            <w:tcBorders>
              <w:top w:val="nil"/>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Purín</w:t>
            </w:r>
          </w:p>
        </w:tc>
        <w:tc>
          <w:tcPr>
            <w:tcW w:w="2112" w:type="pct"/>
            <w:tcBorders>
              <w:top w:val="single" w:sz="8" w:space="0" w:color="auto"/>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Oveja de leche</w:t>
            </w:r>
          </w:p>
        </w:tc>
        <w:tc>
          <w:tcPr>
            <w:tcW w:w="462" w:type="pct"/>
            <w:tcBorders>
              <w:top w:val="single" w:sz="8" w:space="0" w:color="auto"/>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7,3</w:t>
            </w:r>
          </w:p>
        </w:tc>
        <w:tc>
          <w:tcPr>
            <w:tcW w:w="549" w:type="pct"/>
            <w:tcBorders>
              <w:top w:val="single" w:sz="8" w:space="0" w:color="auto"/>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3,4</w:t>
            </w:r>
          </w:p>
        </w:tc>
        <w:tc>
          <w:tcPr>
            <w:tcW w:w="511" w:type="pct"/>
            <w:tcBorders>
              <w:top w:val="single" w:sz="8" w:space="0" w:color="auto"/>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7,1</w:t>
            </w:r>
          </w:p>
        </w:tc>
      </w:tr>
      <w:tr w:rsidR="00503A41" w:rsidRPr="00993936" w:rsidTr="001D205D">
        <w:trPr>
          <w:trHeight w:val="300"/>
        </w:trPr>
        <w:tc>
          <w:tcPr>
            <w:tcW w:w="588" w:type="pct"/>
            <w:tcBorders>
              <w:top w:val="nil"/>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Equino</w:t>
            </w:r>
          </w:p>
        </w:tc>
        <w:tc>
          <w:tcPr>
            <w:tcW w:w="779"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Estiércol</w:t>
            </w:r>
          </w:p>
        </w:tc>
        <w:tc>
          <w:tcPr>
            <w:tcW w:w="2112" w:type="pct"/>
            <w:tcBorders>
              <w:top w:val="nil"/>
              <w:left w:val="single" w:sz="8" w:space="0" w:color="auto"/>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Caballo</w:t>
            </w:r>
          </w:p>
        </w:tc>
        <w:tc>
          <w:tcPr>
            <w:tcW w:w="462"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5,7</w:t>
            </w:r>
          </w:p>
        </w:tc>
        <w:tc>
          <w:tcPr>
            <w:tcW w:w="549"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2,1</w:t>
            </w:r>
          </w:p>
        </w:tc>
        <w:tc>
          <w:tcPr>
            <w:tcW w:w="511"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8,2</w:t>
            </w:r>
          </w:p>
        </w:tc>
      </w:tr>
      <w:tr w:rsidR="00503A41" w:rsidRPr="00993936" w:rsidTr="001D205D">
        <w:trPr>
          <w:trHeight w:val="300"/>
        </w:trPr>
        <w:tc>
          <w:tcPr>
            <w:tcW w:w="588" w:type="pct"/>
            <w:tcBorders>
              <w:top w:val="single" w:sz="8" w:space="0" w:color="auto"/>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Cunícola</w:t>
            </w:r>
          </w:p>
        </w:tc>
        <w:tc>
          <w:tcPr>
            <w:tcW w:w="779" w:type="pct"/>
            <w:tcBorders>
              <w:top w:val="single" w:sz="8" w:space="0" w:color="auto"/>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Estiércol</w:t>
            </w:r>
          </w:p>
        </w:tc>
        <w:tc>
          <w:tcPr>
            <w:tcW w:w="2112" w:type="pct"/>
            <w:tcBorders>
              <w:top w:val="nil"/>
              <w:left w:val="single" w:sz="8" w:space="0" w:color="auto"/>
              <w:bottom w:val="nil"/>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Conejo</w:t>
            </w:r>
          </w:p>
        </w:tc>
        <w:tc>
          <w:tcPr>
            <w:tcW w:w="462"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8,4</w:t>
            </w:r>
          </w:p>
        </w:tc>
        <w:tc>
          <w:tcPr>
            <w:tcW w:w="549"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10,3</w:t>
            </w:r>
          </w:p>
        </w:tc>
        <w:tc>
          <w:tcPr>
            <w:tcW w:w="511"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9,5</w:t>
            </w:r>
          </w:p>
        </w:tc>
      </w:tr>
      <w:tr w:rsidR="00503A41" w:rsidRPr="00993936" w:rsidTr="001D205D">
        <w:trPr>
          <w:trHeight w:val="300"/>
        </w:trPr>
        <w:tc>
          <w:tcPr>
            <w:tcW w:w="1366" w:type="pct"/>
            <w:gridSpan w:val="2"/>
            <w:vMerge w:val="restart"/>
            <w:tcBorders>
              <w:top w:val="single" w:sz="8" w:space="0" w:color="auto"/>
              <w:left w:val="single" w:sz="8" w:space="0" w:color="auto"/>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Otros*</w:t>
            </w:r>
          </w:p>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xml:space="preserve"> </w:t>
            </w:r>
          </w:p>
        </w:tc>
        <w:tc>
          <w:tcPr>
            <w:tcW w:w="2112" w:type="pct"/>
            <w:tcBorders>
              <w:top w:val="single" w:sz="8" w:space="0" w:color="auto"/>
              <w:left w:val="single" w:sz="8" w:space="0" w:color="auto"/>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Compuesto de estiércol</w:t>
            </w:r>
          </w:p>
        </w:tc>
        <w:tc>
          <w:tcPr>
            <w:tcW w:w="462" w:type="pct"/>
            <w:tcBorders>
              <w:top w:val="single" w:sz="8" w:space="0" w:color="auto"/>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12,0</w:t>
            </w:r>
          </w:p>
        </w:tc>
        <w:tc>
          <w:tcPr>
            <w:tcW w:w="549" w:type="pct"/>
            <w:tcBorders>
              <w:top w:val="single" w:sz="8" w:space="0" w:color="auto"/>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15,6</w:t>
            </w:r>
          </w:p>
        </w:tc>
        <w:tc>
          <w:tcPr>
            <w:tcW w:w="511" w:type="pct"/>
            <w:tcBorders>
              <w:top w:val="single" w:sz="8" w:space="0" w:color="auto"/>
              <w:left w:val="nil"/>
              <w:bottom w:val="nil"/>
              <w:right w:val="single" w:sz="8" w:space="0" w:color="auto"/>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12,5</w:t>
            </w:r>
          </w:p>
        </w:tc>
      </w:tr>
      <w:tr w:rsidR="00503A41" w:rsidRPr="00993936" w:rsidTr="001D205D">
        <w:trPr>
          <w:trHeight w:val="300"/>
        </w:trPr>
        <w:tc>
          <w:tcPr>
            <w:tcW w:w="1366" w:type="pct"/>
            <w:gridSpan w:val="2"/>
            <w:vMerge/>
            <w:tcBorders>
              <w:left w:val="single" w:sz="8" w:space="0" w:color="auto"/>
              <w:right w:val="nil"/>
            </w:tcBorders>
            <w:shd w:val="clear" w:color="auto" w:fill="FFFFFF"/>
            <w:noWrap/>
            <w:vAlign w:val="bottom"/>
          </w:tcPr>
          <w:p w:rsidR="00503A41" w:rsidRPr="00993936" w:rsidRDefault="00503A41" w:rsidP="001D205D">
            <w:pPr>
              <w:pStyle w:val="Sinespaciado"/>
              <w:rPr>
                <w:rFonts w:ascii="Arial" w:hAnsi="Arial" w:cs="Arial"/>
                <w:lang w:val="es-ES" w:eastAsia="ca-ES"/>
              </w:rPr>
            </w:pPr>
          </w:p>
        </w:tc>
        <w:tc>
          <w:tcPr>
            <w:tcW w:w="2112" w:type="pct"/>
            <w:tcBorders>
              <w:top w:val="nil"/>
              <w:left w:val="single" w:sz="8" w:space="0" w:color="auto"/>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Compuesto de lodos de depuradora</w:t>
            </w:r>
          </w:p>
        </w:tc>
        <w:tc>
          <w:tcPr>
            <w:tcW w:w="462" w:type="pct"/>
            <w:tcBorders>
              <w:top w:val="nil"/>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18,8</w:t>
            </w:r>
          </w:p>
        </w:tc>
        <w:tc>
          <w:tcPr>
            <w:tcW w:w="549" w:type="pct"/>
            <w:tcBorders>
              <w:top w:val="nil"/>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23,3</w:t>
            </w:r>
          </w:p>
        </w:tc>
        <w:tc>
          <w:tcPr>
            <w:tcW w:w="511" w:type="pct"/>
            <w:tcBorders>
              <w:top w:val="nil"/>
              <w:left w:val="nil"/>
              <w:bottom w:val="nil"/>
              <w:right w:val="single" w:sz="8" w:space="0" w:color="auto"/>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6,2</w:t>
            </w:r>
          </w:p>
        </w:tc>
      </w:tr>
      <w:tr w:rsidR="00503A41" w:rsidRPr="00993936" w:rsidTr="001D205D">
        <w:trPr>
          <w:trHeight w:val="300"/>
        </w:trPr>
        <w:tc>
          <w:tcPr>
            <w:tcW w:w="1366" w:type="pct"/>
            <w:gridSpan w:val="2"/>
            <w:vMerge/>
            <w:tcBorders>
              <w:left w:val="single" w:sz="8" w:space="0" w:color="auto"/>
              <w:bottom w:val="single" w:sz="8" w:space="0" w:color="auto"/>
              <w:right w:val="nil"/>
            </w:tcBorders>
            <w:shd w:val="clear" w:color="auto" w:fill="FFFFFF"/>
            <w:noWrap/>
            <w:vAlign w:val="bottom"/>
          </w:tcPr>
          <w:p w:rsidR="00503A41" w:rsidRPr="00993936" w:rsidRDefault="00503A41" w:rsidP="001D205D">
            <w:pPr>
              <w:pStyle w:val="Sinespaciado"/>
              <w:rPr>
                <w:rFonts w:ascii="Arial" w:hAnsi="Arial" w:cs="Arial"/>
                <w:lang w:val="es-ES" w:eastAsia="ca-ES"/>
              </w:rPr>
            </w:pPr>
          </w:p>
        </w:tc>
        <w:tc>
          <w:tcPr>
            <w:tcW w:w="2112" w:type="pct"/>
            <w:tcBorders>
              <w:top w:val="nil"/>
              <w:left w:val="single" w:sz="8" w:space="0" w:color="auto"/>
              <w:bottom w:val="single" w:sz="8" w:space="0" w:color="auto"/>
              <w:right w:val="nil"/>
            </w:tcBorders>
            <w:shd w:val="clear" w:color="auto" w:fill="FFFFFF"/>
            <w:noWrap/>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Lodos de depuradora**</w:t>
            </w:r>
          </w:p>
        </w:tc>
        <w:tc>
          <w:tcPr>
            <w:tcW w:w="462"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10,5</w:t>
            </w:r>
          </w:p>
        </w:tc>
        <w:tc>
          <w:tcPr>
            <w:tcW w:w="549"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13,0</w:t>
            </w:r>
          </w:p>
        </w:tc>
        <w:tc>
          <w:tcPr>
            <w:tcW w:w="511" w:type="pct"/>
            <w:tcBorders>
              <w:top w:val="nil"/>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1,2</w:t>
            </w:r>
          </w:p>
        </w:tc>
      </w:tr>
    </w:tbl>
    <w:p w:rsidR="00503A41" w:rsidRPr="00993936" w:rsidRDefault="00503A41" w:rsidP="001D205D">
      <w:pPr>
        <w:pStyle w:val="Sinespaciado"/>
        <w:rPr>
          <w:rFonts w:ascii="Arial" w:hAnsi="Arial" w:cs="Arial"/>
          <w:sz w:val="20"/>
          <w:lang w:val="es-ES"/>
        </w:rPr>
      </w:pPr>
      <w:r w:rsidRPr="00993936">
        <w:rPr>
          <w:rFonts w:ascii="Arial" w:hAnsi="Arial" w:cs="Arial"/>
          <w:sz w:val="20"/>
          <w:lang w:val="es-ES"/>
        </w:rPr>
        <w:t>* Estos materiales están sujetos a una variabilidad asociada a las materias primas utilizadas en cada planta.</w:t>
      </w:r>
    </w:p>
    <w:p w:rsidR="00503A41" w:rsidRPr="00993936" w:rsidRDefault="00503A41" w:rsidP="001D205D">
      <w:pPr>
        <w:pStyle w:val="Sinespaciado"/>
        <w:rPr>
          <w:rFonts w:ascii="Arial" w:hAnsi="Arial" w:cs="Arial"/>
          <w:sz w:val="20"/>
          <w:lang w:val="es-ES"/>
        </w:rPr>
      </w:pPr>
      <w:r w:rsidRPr="00993936">
        <w:rPr>
          <w:rFonts w:ascii="Arial" w:hAnsi="Arial" w:cs="Arial"/>
          <w:sz w:val="20"/>
          <w:lang w:val="es-ES"/>
        </w:rPr>
        <w:t>** Sólo se pueden utilizar lodos de depuradora que hayan sido previamente tratados.</w:t>
      </w:r>
    </w:p>
    <w:p w:rsidR="00503A41" w:rsidRPr="00993936" w:rsidRDefault="00503A41" w:rsidP="00424C28">
      <w:pPr>
        <w:jc w:val="both"/>
        <w:outlineLvl w:val="0"/>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ANEXO 9</w:t>
      </w:r>
    </w:p>
    <w:p w:rsidR="00503A41" w:rsidRPr="00993936" w:rsidRDefault="00503A41" w:rsidP="00424C28">
      <w:pPr>
        <w:jc w:val="both"/>
        <w:rPr>
          <w:rFonts w:ascii="Arial" w:hAnsi="Arial" w:cs="Arial"/>
          <w:b/>
          <w:lang w:val="es-ES"/>
        </w:rPr>
      </w:pPr>
    </w:p>
    <w:p w:rsidR="00503A41" w:rsidRPr="00993936" w:rsidRDefault="00503A41" w:rsidP="00424C28">
      <w:pPr>
        <w:outlineLvl w:val="0"/>
        <w:rPr>
          <w:rFonts w:ascii="Arial" w:hAnsi="Arial" w:cs="Arial"/>
          <w:b/>
          <w:lang w:val="es-ES"/>
        </w:rPr>
      </w:pPr>
      <w:r w:rsidRPr="00993936">
        <w:rPr>
          <w:rFonts w:ascii="Arial" w:hAnsi="Arial" w:cs="Arial"/>
          <w:b/>
          <w:lang w:val="es-ES"/>
        </w:rPr>
        <w:t>9.1 Mètode Merrien-Keller para el cálculo del coeficiente de uniformidad de un sistema de riego</w:t>
      </w:r>
    </w:p>
    <w:p w:rsidR="00503A41" w:rsidRPr="00993936" w:rsidRDefault="00503A41" w:rsidP="00424C28">
      <w:pPr>
        <w:jc w:val="both"/>
        <w:rPr>
          <w:rFonts w:ascii="Arial" w:hAnsi="Arial" w:cs="Arial"/>
          <w:b/>
          <w:lang w:val="es-ES"/>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993936" w:rsidTr="00424C28">
        <w:tc>
          <w:tcPr>
            <w:tcW w:w="496" w:type="dxa"/>
          </w:tcPr>
          <w:p w:rsidR="00503A41" w:rsidRPr="00993936" w:rsidRDefault="00503A41" w:rsidP="00424C28">
            <w:pPr>
              <w:jc w:val="both"/>
              <w:rPr>
                <w:rFonts w:ascii="Arial" w:hAnsi="Arial" w:cs="Arial"/>
                <w:lang w:val="es-ES"/>
              </w:rPr>
            </w:pPr>
          </w:p>
        </w:tc>
        <w:tc>
          <w:tcPr>
            <w:tcW w:w="283" w:type="dxa"/>
          </w:tcPr>
          <w:p w:rsidR="00503A41" w:rsidRPr="00993936" w:rsidRDefault="00503A41" w:rsidP="00424C28">
            <w:pPr>
              <w:jc w:val="both"/>
              <w:rPr>
                <w:rFonts w:ascii="Arial" w:hAnsi="Arial" w:cs="Arial"/>
                <w:lang w:val="es-ES"/>
              </w:rPr>
            </w:pPr>
          </w:p>
        </w:tc>
        <w:tc>
          <w:tcPr>
            <w:tcW w:w="709" w:type="dxa"/>
          </w:tcPr>
          <w:p w:rsidR="00503A41" w:rsidRPr="00993936" w:rsidRDefault="00503A41" w:rsidP="00424C28">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w:t>
            </w:r>
          </w:p>
        </w:tc>
        <w:tc>
          <w:tcPr>
            <w:tcW w:w="283" w:type="dxa"/>
          </w:tcPr>
          <w:p w:rsidR="00503A41" w:rsidRPr="00993936" w:rsidRDefault="00503A41" w:rsidP="00424C28">
            <w:pPr>
              <w:jc w:val="both"/>
              <w:rPr>
                <w:rFonts w:ascii="Arial" w:hAnsi="Arial" w:cs="Arial"/>
                <w:lang w:val="es-ES"/>
              </w:rPr>
            </w:pPr>
          </w:p>
        </w:tc>
        <w:tc>
          <w:tcPr>
            <w:tcW w:w="4804" w:type="dxa"/>
          </w:tcPr>
          <w:p w:rsidR="00503A41" w:rsidRPr="00993936" w:rsidRDefault="00503A41" w:rsidP="00424C28">
            <w:pPr>
              <w:jc w:val="both"/>
              <w:rPr>
                <w:rFonts w:ascii="Arial" w:hAnsi="Arial" w:cs="Arial"/>
                <w:lang w:val="es-ES"/>
              </w:rPr>
            </w:pPr>
          </w:p>
        </w:tc>
        <w:tc>
          <w:tcPr>
            <w:tcW w:w="1315" w:type="dxa"/>
          </w:tcPr>
          <w:p w:rsidR="00503A41" w:rsidRPr="00993936" w:rsidRDefault="00503A41" w:rsidP="00424C28">
            <w:pPr>
              <w:jc w:val="both"/>
              <w:rPr>
                <w:rFonts w:ascii="Arial" w:hAnsi="Arial" w:cs="Arial"/>
                <w:lang w:val="es-ES"/>
              </w:rPr>
            </w:pPr>
          </w:p>
        </w:tc>
        <w:tc>
          <w:tcPr>
            <w:tcW w:w="1315" w:type="dxa"/>
          </w:tcPr>
          <w:p w:rsidR="00503A41" w:rsidRPr="00993936" w:rsidRDefault="00503A41" w:rsidP="00424C28">
            <w:pPr>
              <w:jc w:val="both"/>
              <w:rPr>
                <w:rFonts w:ascii="Arial" w:hAnsi="Arial" w:cs="Arial"/>
                <w:lang w:val="es-ES"/>
              </w:rPr>
            </w:pPr>
          </w:p>
        </w:tc>
      </w:tr>
      <w:tr w:rsidR="00503A41" w:rsidRPr="00993936" w:rsidTr="00424C28">
        <w:tc>
          <w:tcPr>
            <w:tcW w:w="496" w:type="dxa"/>
          </w:tcPr>
          <w:p w:rsidR="00503A41" w:rsidRPr="00993936" w:rsidRDefault="00C8459C" w:rsidP="00424C28">
            <w:pPr>
              <w:jc w:val="both"/>
              <w:rPr>
                <w:rFonts w:ascii="Arial" w:hAnsi="Arial" w:cs="Arial"/>
                <w:lang w:val="es-ES"/>
              </w:rPr>
            </w:pPr>
            <w:r>
              <w:rPr>
                <w:rFonts w:ascii="Arial" w:hAnsi="Arial" w:cs="Arial"/>
                <w:lang w:val="es-ES"/>
              </w:rPr>
              <w:pict>
                <v:line id="_x0000_s1049" style="position:absolute;left:0;text-align:left;z-index:251870208;mso-position-horizontal-relative:text;mso-position-vertical-relative:text" from="37.1pt,7.95pt" to="65.9pt,7.95pt" o:allowincell="f"/>
              </w:pict>
            </w:r>
            <w:r w:rsidR="00503A41" w:rsidRPr="00993936">
              <w:rPr>
                <w:rFonts w:ascii="Arial" w:hAnsi="Arial" w:cs="Arial"/>
                <w:lang w:val="es-ES"/>
              </w:rPr>
              <w:t>CU</w:t>
            </w:r>
          </w:p>
        </w:tc>
        <w:tc>
          <w:tcPr>
            <w:tcW w:w="283" w:type="dxa"/>
          </w:tcPr>
          <w:p w:rsidR="00503A41" w:rsidRPr="00993936" w:rsidRDefault="00503A41" w:rsidP="00424C28">
            <w:pPr>
              <w:jc w:val="both"/>
              <w:rPr>
                <w:rFonts w:ascii="Arial" w:hAnsi="Arial" w:cs="Arial"/>
                <w:lang w:val="es-ES"/>
              </w:rPr>
            </w:pPr>
            <w:r w:rsidRPr="00993936">
              <w:rPr>
                <w:rFonts w:ascii="Arial" w:hAnsi="Arial" w:cs="Arial"/>
                <w:lang w:val="es-ES"/>
              </w:rPr>
              <w:t>=</w:t>
            </w:r>
          </w:p>
        </w:tc>
        <w:tc>
          <w:tcPr>
            <w:tcW w:w="709" w:type="dxa"/>
          </w:tcPr>
          <w:p w:rsidR="00503A41" w:rsidRPr="00993936" w:rsidRDefault="00503A41" w:rsidP="00424C28">
            <w:pPr>
              <w:jc w:val="center"/>
              <w:rPr>
                <w:rFonts w:ascii="Arial" w:hAnsi="Arial" w:cs="Arial"/>
                <w:lang w:val="es-ES"/>
              </w:rPr>
            </w:pPr>
          </w:p>
        </w:tc>
        <w:tc>
          <w:tcPr>
            <w:tcW w:w="283" w:type="dxa"/>
          </w:tcPr>
          <w:p w:rsidR="00503A41" w:rsidRPr="00993936" w:rsidRDefault="00503A41" w:rsidP="00424C28">
            <w:pPr>
              <w:jc w:val="both"/>
              <w:rPr>
                <w:rFonts w:ascii="Arial" w:hAnsi="Arial" w:cs="Arial"/>
                <w:lang w:val="es-ES"/>
              </w:rPr>
            </w:pPr>
            <w:r w:rsidRPr="00993936">
              <w:rPr>
                <w:rFonts w:ascii="Arial" w:hAnsi="Arial" w:cs="Arial"/>
                <w:lang w:val="es-ES"/>
              </w:rPr>
              <w:t>x</w:t>
            </w:r>
          </w:p>
        </w:tc>
        <w:tc>
          <w:tcPr>
            <w:tcW w:w="4804" w:type="dxa"/>
          </w:tcPr>
          <w:p w:rsidR="00503A41" w:rsidRPr="00993936" w:rsidRDefault="00503A41" w:rsidP="00424C28">
            <w:pPr>
              <w:jc w:val="both"/>
              <w:rPr>
                <w:rFonts w:ascii="Arial" w:hAnsi="Arial" w:cs="Arial"/>
                <w:lang w:val="es-ES"/>
              </w:rPr>
            </w:pPr>
            <w:r w:rsidRPr="00993936">
              <w:rPr>
                <w:rFonts w:ascii="Arial" w:hAnsi="Arial" w:cs="Arial"/>
                <w:lang w:val="es-ES"/>
              </w:rPr>
              <w:t>100</w:t>
            </w:r>
          </w:p>
        </w:tc>
        <w:tc>
          <w:tcPr>
            <w:tcW w:w="1315" w:type="dxa"/>
          </w:tcPr>
          <w:p w:rsidR="00503A41" w:rsidRPr="00993936" w:rsidRDefault="00503A41" w:rsidP="00424C28">
            <w:pPr>
              <w:jc w:val="both"/>
              <w:rPr>
                <w:rFonts w:ascii="Arial" w:hAnsi="Arial" w:cs="Arial"/>
                <w:lang w:val="es-ES"/>
              </w:rPr>
            </w:pPr>
          </w:p>
        </w:tc>
        <w:tc>
          <w:tcPr>
            <w:tcW w:w="1315" w:type="dxa"/>
          </w:tcPr>
          <w:p w:rsidR="00503A41" w:rsidRPr="00993936" w:rsidRDefault="00503A41" w:rsidP="00424C28">
            <w:pPr>
              <w:jc w:val="both"/>
              <w:rPr>
                <w:rFonts w:ascii="Arial" w:hAnsi="Arial" w:cs="Arial"/>
                <w:lang w:val="es-ES"/>
              </w:rPr>
            </w:pPr>
          </w:p>
        </w:tc>
      </w:tr>
      <w:tr w:rsidR="00503A41" w:rsidRPr="00993936" w:rsidTr="00424C28">
        <w:tc>
          <w:tcPr>
            <w:tcW w:w="496" w:type="dxa"/>
          </w:tcPr>
          <w:p w:rsidR="00503A41" w:rsidRPr="00993936" w:rsidRDefault="00503A41" w:rsidP="00424C28">
            <w:pPr>
              <w:jc w:val="both"/>
              <w:rPr>
                <w:rFonts w:ascii="Arial" w:hAnsi="Arial" w:cs="Arial"/>
                <w:lang w:val="es-ES"/>
              </w:rPr>
            </w:pPr>
          </w:p>
        </w:tc>
        <w:tc>
          <w:tcPr>
            <w:tcW w:w="283" w:type="dxa"/>
          </w:tcPr>
          <w:p w:rsidR="00503A41" w:rsidRPr="00993936" w:rsidRDefault="00503A41" w:rsidP="00424C28">
            <w:pPr>
              <w:jc w:val="both"/>
              <w:rPr>
                <w:rFonts w:ascii="Arial" w:hAnsi="Arial" w:cs="Arial"/>
                <w:lang w:val="es-ES"/>
              </w:rPr>
            </w:pPr>
          </w:p>
        </w:tc>
        <w:tc>
          <w:tcPr>
            <w:tcW w:w="709" w:type="dxa"/>
          </w:tcPr>
          <w:p w:rsidR="00503A41" w:rsidRPr="00993936" w:rsidRDefault="00503A41" w:rsidP="00424C28">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3" w:type="dxa"/>
          </w:tcPr>
          <w:p w:rsidR="00503A41" w:rsidRPr="00993936" w:rsidRDefault="00503A41" w:rsidP="00424C28">
            <w:pPr>
              <w:jc w:val="both"/>
              <w:rPr>
                <w:rFonts w:ascii="Arial" w:hAnsi="Arial" w:cs="Arial"/>
                <w:lang w:val="es-ES"/>
              </w:rPr>
            </w:pPr>
          </w:p>
        </w:tc>
        <w:tc>
          <w:tcPr>
            <w:tcW w:w="4804" w:type="dxa"/>
          </w:tcPr>
          <w:p w:rsidR="00503A41" w:rsidRPr="00993936" w:rsidRDefault="00503A41" w:rsidP="00424C28">
            <w:pPr>
              <w:jc w:val="both"/>
              <w:rPr>
                <w:rFonts w:ascii="Arial" w:hAnsi="Arial" w:cs="Arial"/>
                <w:lang w:val="es-ES"/>
              </w:rPr>
            </w:pPr>
          </w:p>
        </w:tc>
        <w:tc>
          <w:tcPr>
            <w:tcW w:w="1315" w:type="dxa"/>
          </w:tcPr>
          <w:p w:rsidR="00503A41" w:rsidRPr="00993936" w:rsidRDefault="00503A41" w:rsidP="00424C28">
            <w:pPr>
              <w:jc w:val="both"/>
              <w:rPr>
                <w:rFonts w:ascii="Arial" w:hAnsi="Arial" w:cs="Arial"/>
                <w:lang w:val="es-ES"/>
              </w:rPr>
            </w:pPr>
          </w:p>
        </w:tc>
        <w:tc>
          <w:tcPr>
            <w:tcW w:w="1315" w:type="dxa"/>
          </w:tcPr>
          <w:p w:rsidR="00503A41" w:rsidRPr="00993936" w:rsidRDefault="00503A41" w:rsidP="00424C28">
            <w:pPr>
              <w:jc w:val="both"/>
              <w:rPr>
                <w:rFonts w:ascii="Arial" w:hAnsi="Arial" w:cs="Arial"/>
                <w:lang w:val="es-ES"/>
              </w:rPr>
            </w:pPr>
          </w:p>
        </w:tc>
      </w:tr>
    </w:tbl>
    <w:p w:rsidR="00503A41" w:rsidRPr="00993936" w:rsidRDefault="00503A41" w:rsidP="00424C28">
      <w:pPr>
        <w:jc w:val="both"/>
        <w:rPr>
          <w:rFonts w:ascii="Arial" w:hAnsi="Arial" w:cs="Arial"/>
          <w:lang w:val="es-ES"/>
        </w:rPr>
      </w:pPr>
    </w:p>
    <w:p w:rsidR="00503A41" w:rsidRPr="00993936" w:rsidRDefault="00503A41" w:rsidP="00424C28">
      <w:pPr>
        <w:jc w:val="both"/>
        <w:rPr>
          <w:rFonts w:ascii="Arial" w:hAnsi="Arial" w:cs="Arial"/>
          <w:lang w:val="es-ES"/>
        </w:rPr>
      </w:pPr>
      <w:r w:rsidRPr="00993936">
        <w:rPr>
          <w:rFonts w:ascii="Arial" w:hAnsi="Arial" w:cs="Arial"/>
          <w:lang w:val="es-ES"/>
        </w:rPr>
        <w:t xml:space="preserve">CU = </w:t>
      </w:r>
      <w:r w:rsidRPr="00993936">
        <w:rPr>
          <w:rFonts w:ascii="Arial" w:hAnsi="Arial" w:cs="Arial"/>
          <w:sz w:val="20"/>
          <w:lang w:val="es-ES"/>
        </w:rPr>
        <w:t>Coeficiente de uniformidad.</w:t>
      </w:r>
    </w:p>
    <w:p w:rsidR="00503A41" w:rsidRPr="00993936" w:rsidRDefault="00503A41" w:rsidP="00424C28">
      <w:pPr>
        <w:jc w:val="both"/>
        <w:outlineLvl w:val="0"/>
        <w:rPr>
          <w:rFonts w:ascii="Arial" w:hAnsi="Arial" w:cs="Arial"/>
          <w:sz w:val="20"/>
          <w:lang w:val="es-ES"/>
        </w:rPr>
      </w:pPr>
      <w:r w:rsidRPr="00993936">
        <w:rPr>
          <w:rFonts w:ascii="Arial" w:hAnsi="Arial" w:cs="Arial"/>
          <w:lang w:val="es-ES"/>
        </w:rPr>
        <w:t>Q</w:t>
      </w:r>
      <w:r w:rsidRPr="00993936">
        <w:rPr>
          <w:rFonts w:ascii="Arial" w:hAnsi="Arial" w:cs="Arial"/>
          <w:vertAlign w:val="subscript"/>
          <w:lang w:val="es-ES"/>
        </w:rPr>
        <w:t xml:space="preserve">25% </w:t>
      </w:r>
      <w:r w:rsidRPr="00993936">
        <w:rPr>
          <w:rFonts w:ascii="Arial" w:hAnsi="Arial" w:cs="Arial"/>
          <w:lang w:val="es-ES"/>
        </w:rPr>
        <w:t xml:space="preserve">= </w:t>
      </w:r>
      <w:r w:rsidRPr="00993936">
        <w:rPr>
          <w:rFonts w:ascii="Arial" w:hAnsi="Arial" w:cs="Arial"/>
          <w:sz w:val="20"/>
          <w:lang w:val="es-ES"/>
        </w:rPr>
        <w:t>Media aritmética del caudal de descarga del 25% de los emisores con caudal más reducido.</w:t>
      </w:r>
    </w:p>
    <w:p w:rsidR="00503A41" w:rsidRPr="00993936" w:rsidRDefault="00503A41" w:rsidP="00424C28">
      <w:pPr>
        <w:jc w:val="both"/>
        <w:rPr>
          <w:rFonts w:ascii="Arial" w:hAnsi="Arial" w:cs="Arial"/>
          <w:sz w:val="20"/>
          <w:lang w:val="es-ES"/>
        </w:rPr>
      </w:pPr>
      <w:r w:rsidRPr="00993936">
        <w:rPr>
          <w:rFonts w:ascii="Arial" w:hAnsi="Arial" w:cs="Arial"/>
          <w:lang w:val="es-ES"/>
        </w:rPr>
        <w:t>Q</w:t>
      </w:r>
      <w:r w:rsidRPr="00993936">
        <w:rPr>
          <w:rFonts w:ascii="Arial" w:hAnsi="Arial" w:cs="Arial"/>
          <w:vertAlign w:val="subscript"/>
          <w:lang w:val="es-ES"/>
        </w:rPr>
        <w:t xml:space="preserve">n </w:t>
      </w:r>
      <w:r w:rsidRPr="00993936">
        <w:rPr>
          <w:rFonts w:ascii="Arial" w:hAnsi="Arial" w:cs="Arial"/>
          <w:lang w:val="es-ES"/>
        </w:rPr>
        <w:t xml:space="preserve">= </w:t>
      </w:r>
      <w:r w:rsidRPr="00993936">
        <w:rPr>
          <w:rFonts w:ascii="Arial" w:hAnsi="Arial" w:cs="Arial"/>
          <w:sz w:val="20"/>
          <w:lang w:val="es-ES"/>
        </w:rPr>
        <w:t>Caudal medio de todos los emisores.</w:t>
      </w:r>
    </w:p>
    <w:p w:rsidR="00503A41" w:rsidRPr="00993936" w:rsidRDefault="00503A41" w:rsidP="00424C28">
      <w:pPr>
        <w:jc w:val="both"/>
        <w:rPr>
          <w:rFonts w:ascii="Arial" w:hAnsi="Arial" w:cs="Arial"/>
          <w:sz w:val="20"/>
          <w:lang w:val="es-ES"/>
        </w:rPr>
      </w:pPr>
      <w:r w:rsidRPr="00993936">
        <w:rPr>
          <w:rFonts w:ascii="Arial" w:hAnsi="Arial" w:cs="Arial"/>
          <w:lang w:val="es-ES"/>
        </w:rPr>
        <w:t xml:space="preserve">n = </w:t>
      </w:r>
      <w:r w:rsidRPr="00993936">
        <w:rPr>
          <w:rFonts w:ascii="Arial" w:hAnsi="Arial" w:cs="Arial"/>
          <w:sz w:val="20"/>
          <w:lang w:val="es-ES"/>
        </w:rPr>
        <w:t xml:space="preserve">Número de unidades de control (Se recomienda que n &gt;= 16). </w:t>
      </w:r>
    </w:p>
    <w:p w:rsidR="00503A41" w:rsidRPr="00993936" w:rsidRDefault="00503A41" w:rsidP="00424C28">
      <w:pPr>
        <w:jc w:val="both"/>
        <w:rPr>
          <w:rFonts w:ascii="Arial" w:hAnsi="Arial" w:cs="Arial"/>
          <w:sz w:val="20"/>
          <w:lang w:val="es-ES"/>
        </w:rPr>
      </w:pPr>
      <w:r w:rsidRPr="00993936">
        <w:rPr>
          <w:rFonts w:ascii="Arial" w:hAnsi="Arial" w:cs="Arial"/>
          <w:sz w:val="20"/>
          <w:lang w:val="es-ES"/>
        </w:rPr>
        <w:t>En caso de que la unidad de control tenga más de un emisor, el caudal total a considerar será la suma del caudal de todos los emisores que constituyen la unidad.</w:t>
      </w:r>
    </w:p>
    <w:p w:rsidR="00503A41" w:rsidRPr="00993936" w:rsidRDefault="00503A41" w:rsidP="00424C28">
      <w:pPr>
        <w:jc w:val="both"/>
        <w:rPr>
          <w:rFonts w:ascii="Arial" w:hAnsi="Arial" w:cs="Arial"/>
          <w:snapToGrid w:val="0"/>
          <w:lang w:val="es-ES"/>
        </w:rPr>
      </w:pPr>
      <w:r w:rsidRPr="00993936">
        <w:rPr>
          <w:rFonts w:ascii="Arial" w:hAnsi="Arial" w:cs="Arial"/>
          <w:snapToGrid w:val="0"/>
          <w:lang w:val="es-ES"/>
        </w:rPr>
        <w:t xml:space="preserve"> </w:t>
      </w:r>
    </w:p>
    <w:p w:rsidR="00503A41" w:rsidRPr="00993936" w:rsidRDefault="00503A41" w:rsidP="00424C28">
      <w:pPr>
        <w:jc w:val="center"/>
        <w:rPr>
          <w:rFonts w:ascii="Arial" w:hAnsi="Arial" w:cs="Arial"/>
          <w:snapToGrid w:val="0"/>
          <w:lang w:val="es-ES"/>
        </w:rPr>
      </w:pPr>
      <w:r w:rsidRPr="00993936">
        <w:rPr>
          <w:rFonts w:ascii="Arial" w:hAnsi="Arial" w:cs="Arial"/>
          <w:snapToGrid w:val="0"/>
          <w:lang w:val="es-ES"/>
        </w:rPr>
        <w:t>-.-.-.-.-.-.-.-.-.-.-.-.-.-.-.-.-.-.-.-.-.</w:t>
      </w:r>
    </w:p>
    <w:p w:rsidR="00503A41" w:rsidRPr="00993936" w:rsidRDefault="00503A41" w:rsidP="00424C28">
      <w:pPr>
        <w:rPr>
          <w:rFonts w:ascii="Arial" w:hAnsi="Arial" w:cs="Arial"/>
          <w:b/>
          <w:lang w:val="es-ES"/>
        </w:rPr>
      </w:pPr>
    </w:p>
    <w:p w:rsidR="00503A41" w:rsidRPr="00993936" w:rsidRDefault="00503A41" w:rsidP="00424C28">
      <w:pPr>
        <w:pStyle w:val="Ttulo3"/>
        <w:rPr>
          <w:rFonts w:ascii="Arial" w:hAnsi="Arial" w:cs="Arial"/>
          <w:b/>
          <w:color w:val="auto"/>
          <w:lang w:val="es-ES"/>
        </w:rPr>
      </w:pPr>
    </w:p>
    <w:p w:rsidR="00503A41" w:rsidRPr="00993936" w:rsidRDefault="00503A41" w:rsidP="001D205D">
      <w:pPr>
        <w:pStyle w:val="Textoindependiente"/>
        <w:rPr>
          <w:rFonts w:cs="Arial"/>
          <w:snapToGrid w:val="0"/>
          <w:lang w:val="es-ES"/>
        </w:rPr>
      </w:pPr>
      <w:r w:rsidRPr="00993936">
        <w:rPr>
          <w:rFonts w:cs="Arial"/>
          <w:lang w:val="es-ES"/>
        </w:rPr>
        <w:br w:type="page"/>
      </w:r>
    </w:p>
    <w:p w:rsidR="00503A41" w:rsidRPr="00993936" w:rsidRDefault="00503A41" w:rsidP="001D205D">
      <w:pPr>
        <w:jc w:val="both"/>
        <w:rPr>
          <w:rFonts w:ascii="Arial" w:hAnsi="Arial" w:cs="Arial"/>
          <w:b/>
          <w:sz w:val="24"/>
          <w:szCs w:val="24"/>
          <w:lang w:val="es-ES"/>
        </w:rPr>
      </w:pPr>
      <w:r w:rsidRPr="00993936">
        <w:rPr>
          <w:rFonts w:ascii="Arial" w:hAnsi="Arial" w:cs="Arial"/>
          <w:b/>
          <w:sz w:val="24"/>
          <w:szCs w:val="24"/>
          <w:lang w:val="es-ES"/>
        </w:rPr>
        <w:lastRenderedPageBreak/>
        <w:t>Anexo VIII. Norma técnica de producción integrada de hortalizas y legumbres.</w:t>
      </w:r>
    </w:p>
    <w:p w:rsidR="00503A41" w:rsidRPr="00993936" w:rsidRDefault="00503A41" w:rsidP="000452B8">
      <w:pPr>
        <w:jc w:val="both"/>
        <w:rPr>
          <w:rFonts w:ascii="Arial" w:hAnsi="Arial" w:cs="Arial"/>
          <w:sz w:val="24"/>
          <w:szCs w:val="24"/>
          <w:lang w:val="es-ES"/>
        </w:rPr>
      </w:pP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CULTIVOS INCLUIDOS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La norma técnica de producción integrada de hortalizas y legumbres así como los anexos comunes es de aplicación a los siguientes cultivos: </w:t>
      </w:r>
    </w:p>
    <w:p w:rsidR="00503A41" w:rsidRPr="00993936" w:rsidRDefault="00503A41" w:rsidP="001D205D">
      <w:pPr>
        <w:pStyle w:val="Sinespaciado"/>
        <w:jc w:val="both"/>
        <w:rPr>
          <w:rFonts w:ascii="Arial" w:hAnsi="Arial" w:cs="Arial"/>
          <w:lang w:val="es-ES"/>
        </w:rPr>
      </w:pPr>
    </w:p>
    <w:tbl>
      <w:tblPr>
        <w:tblW w:w="0" w:type="auto"/>
        <w:jc w:val="center"/>
        <w:tblLook w:val="01E0" w:firstRow="1" w:lastRow="1" w:firstColumn="1" w:lastColumn="1" w:noHBand="0" w:noVBand="0"/>
      </w:tblPr>
      <w:tblGrid>
        <w:gridCol w:w="522"/>
        <w:gridCol w:w="6415"/>
      </w:tblGrid>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1.</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Berenjena</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2.</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Apio, hinojo, perejil y zanahoria</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3.</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Acelgas</w:t>
            </w:r>
            <w:r w:rsidRPr="00993936">
              <w:rPr>
                <w:rFonts w:ascii="Arial" w:hAnsi="Arial" w:cs="Arial"/>
                <w:vanish/>
                <w:lang w:val="es-ES"/>
              </w:rPr>
              <w:t>&lt;A[Acelgas|Pánfilas]&gt;</w:t>
            </w:r>
            <w:r w:rsidRPr="00993936">
              <w:rPr>
                <w:rFonts w:ascii="Arial" w:hAnsi="Arial" w:cs="Arial"/>
                <w:lang w:val="es-ES"/>
              </w:rPr>
              <w:t xml:space="preserve"> y espinacas</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4.</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Alcachofa</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5.</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Cebolla, puerro</w:t>
            </w:r>
            <w:r w:rsidRPr="00993936">
              <w:rPr>
                <w:rFonts w:ascii="Arial" w:hAnsi="Arial" w:cs="Arial"/>
                <w:vanish/>
                <w:lang w:val="es-ES"/>
              </w:rPr>
              <w:t>&lt;A[puerro|porro]&gt;</w:t>
            </w:r>
            <w:r w:rsidRPr="00993936">
              <w:rPr>
                <w:rFonts w:ascii="Arial" w:hAnsi="Arial" w:cs="Arial"/>
                <w:lang w:val="es-ES"/>
              </w:rPr>
              <w:t>, ajo y calçot</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6.</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Col, coliflor, bróculi y otros</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7.</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Cucurbitáceas (pepino, calabacín, calabaza, melón y sandía)</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8.</w:t>
            </w:r>
          </w:p>
        </w:tc>
        <w:tc>
          <w:tcPr>
            <w:tcW w:w="6415"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Lechuga y escarola</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9.</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Alubia, garbanzo y lenteja</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10.</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Judía tierna, haba y guisante</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11.</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Patata</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12.</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Pimiento</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13.</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Rábano</w:t>
            </w:r>
          </w:p>
        </w:tc>
      </w:tr>
      <w:tr w:rsidR="00503A41" w:rsidRPr="00993936" w:rsidTr="000452B8">
        <w:trPr>
          <w:jc w:val="center"/>
        </w:trPr>
        <w:tc>
          <w:tcPr>
            <w:tcW w:w="522" w:type="dxa"/>
            <w:shd w:val="clear" w:color="auto" w:fill="auto"/>
          </w:tcPr>
          <w:p w:rsidR="00503A41" w:rsidRPr="00993936" w:rsidRDefault="00503A41" w:rsidP="001D205D">
            <w:pPr>
              <w:pStyle w:val="Sinespaciado"/>
              <w:jc w:val="both"/>
              <w:rPr>
                <w:rFonts w:ascii="Arial" w:hAnsi="Arial" w:cs="Arial"/>
                <w:snapToGrid w:val="0"/>
                <w:lang w:val="es-ES" w:eastAsia="es-ES"/>
              </w:rPr>
            </w:pPr>
            <w:r w:rsidRPr="00993936">
              <w:rPr>
                <w:rFonts w:ascii="Arial" w:hAnsi="Arial" w:cs="Arial"/>
                <w:snapToGrid w:val="0"/>
                <w:lang w:val="es-ES" w:eastAsia="es-ES"/>
              </w:rPr>
              <w:t xml:space="preserve">14. </w:t>
            </w:r>
          </w:p>
        </w:tc>
        <w:tc>
          <w:tcPr>
            <w:tcW w:w="6415" w:type="dxa"/>
            <w:shd w:val="clear" w:color="auto" w:fill="auto"/>
          </w:tcPr>
          <w:p w:rsidR="00503A41" w:rsidRPr="00993936" w:rsidRDefault="00503A41" w:rsidP="001D205D">
            <w:pPr>
              <w:pStyle w:val="Sinespaciado"/>
              <w:jc w:val="both"/>
              <w:rPr>
                <w:rFonts w:ascii="Arial" w:hAnsi="Arial" w:cs="Arial"/>
                <w:lang w:val="es-ES"/>
              </w:rPr>
            </w:pPr>
            <w:r w:rsidRPr="00993936">
              <w:rPr>
                <w:rFonts w:ascii="Arial" w:hAnsi="Arial" w:cs="Arial"/>
                <w:lang w:val="es-ES"/>
              </w:rPr>
              <w:t>Tomate</w:t>
            </w:r>
          </w:p>
        </w:tc>
      </w:tr>
    </w:tbl>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I. DEFINICIONES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 los efectos de esta norma se entenderá por</w:t>
      </w:r>
      <w:r w:rsidRPr="00993936">
        <w:rPr>
          <w:rFonts w:ascii="Arial" w:hAnsi="Arial" w:cs="Arial"/>
          <w:vanish/>
          <w:lang w:val="es-ES"/>
        </w:rPr>
        <w:t>&lt;A[por|para]&gt;</w:t>
      </w:r>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Agrupación de Producción Integrada:</w:t>
      </w:r>
      <w:r w:rsidRPr="00993936">
        <w:rPr>
          <w:rFonts w:ascii="Arial" w:hAnsi="Arial" w:cs="Arial"/>
          <w:lang w:val="es-ES"/>
        </w:rPr>
        <w:t xml:space="preserve"> aquella agrupación de operadores constituida bajo cualquier fórmula jurídica o integrada en otra agrupación previamente constituida y reconocida por la autoridad competente con el objetivo de obtener productos vegetales bajo los requisitos de producción integrada para ser comercializados.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Análisis de Peligros y Puntos de control críticos (APPCC):</w:t>
      </w:r>
      <w:r w:rsidRPr="00993936">
        <w:rPr>
          <w:rFonts w:ascii="Arial" w:hAnsi="Arial" w:cs="Arial"/>
          <w:lang w:val="es-ES"/>
        </w:rPr>
        <w:t xml:space="preserve"> enfoque sistemático de base científica que permite identificar riesgos específicos y medidas para el control, con la finalidad de asegurar la inocuidad de los alimentos. Es un instrumento para evaluar los riesgos y establecer sistemas de control que se orientan hacia la prevención en lugar de fundamentarse en el análisis del producto final.</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w:t>
      </w:r>
      <w:r w:rsidRPr="00993936">
        <w:rPr>
          <w:rFonts w:ascii="Arial" w:hAnsi="Arial" w:cs="Arial"/>
          <w:vanish/>
          <w:lang w:val="es-ES"/>
        </w:rPr>
        <w:t>&lt;A[especies|especias]&gt;</w:t>
      </w:r>
      <w:r w:rsidRPr="00993936">
        <w:rPr>
          <w:rFonts w:ascii="Arial" w:hAnsi="Arial" w:cs="Arial"/>
          <w:lang w:val="es-ES"/>
        </w:rPr>
        <w:t xml:space="preserve"> diferentes que vive en un ecosistema determinado.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Buenas prácticas fitosanitarias:</w:t>
      </w:r>
      <w:r w:rsidRPr="00993936">
        <w:rPr>
          <w:rFonts w:ascii="Arial" w:hAnsi="Arial" w:cs="Arial"/>
          <w:lang w:val="es-ES"/>
        </w:rPr>
        <w:t xml:space="preserve"> utilizar productos fitosanitarios y otros medios de defensa fitosanitaria bajo las condiciones de uso autorizadas.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Central hortofrutícola:</w:t>
      </w:r>
      <w:r w:rsidRPr="00993936">
        <w:rPr>
          <w:rFonts w:ascii="Arial" w:hAnsi="Arial" w:cs="Arial"/>
          <w:lang w:val="es-ES"/>
        </w:rPr>
        <w:t xml:space="preserve"> instalación o conjunto de instalaciones donde se reciben, se manipulan, almacenan, envasan y expiden frutas y hortalizas.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Coeficiente de uniformidad:</w:t>
      </w:r>
      <w:r w:rsidRPr="00993936">
        <w:rPr>
          <w:rFonts w:ascii="Arial" w:hAnsi="Arial" w:cs="Arial"/>
          <w:lang w:val="es-ES"/>
        </w:rPr>
        <w:t xml:space="preserve"> valor obtenido de aplicar una fórmula que indica la uniformidad en la distribución del agua aplicada por el sistema de riego.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productos vegetales.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Control o lucha integrada:</w:t>
      </w:r>
      <w:r w:rsidRPr="00993936">
        <w:rPr>
          <w:rFonts w:ascii="Arial" w:hAnsi="Arial" w:cs="Arial"/>
          <w:lang w:val="es-ES"/>
        </w:rPr>
        <w:t xml:space="preserve"> la aplicación racional de una combinación de medidas biológicas, físicas, biotecnológicas, químicas, de cultivo o de selección de vegetales, de manera que la utilización de productos fitosanitarios se limite al mínimo necesario para controlar las plagas.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Criterio de intervención:</w:t>
      </w:r>
      <w:r w:rsidRPr="00993936">
        <w:rPr>
          <w:rFonts w:ascii="Arial" w:hAnsi="Arial" w:cs="Arial"/>
          <w:lang w:val="es-ES"/>
        </w:rPr>
        <w:t xml:space="preserve"> conjunto de condiciones que permiten justificar la realización de un tratamiento contra una plaga o agente patógeno.</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Cultivo:</w:t>
      </w:r>
      <w:r w:rsidRPr="00993936">
        <w:rPr>
          <w:rFonts w:ascii="Arial" w:hAnsi="Arial" w:cs="Arial"/>
          <w:lang w:val="es-ES"/>
        </w:rPr>
        <w:t xml:space="preserve"> para cada especie la totalidad de la producción que gestiona un agricultor</w:t>
      </w:r>
      <w:r w:rsidRPr="00993936">
        <w:rPr>
          <w:rFonts w:ascii="Arial" w:hAnsi="Arial" w:cs="Arial"/>
          <w:i/>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lastRenderedPageBreak/>
        <w:t>Cultivo al aire libre:</w:t>
      </w:r>
      <w:r w:rsidRPr="00993936">
        <w:rPr>
          <w:rFonts w:ascii="Arial" w:hAnsi="Arial" w:cs="Arial"/>
          <w:lang w:val="es-ES"/>
        </w:rPr>
        <w:t xml:space="preserve"> cultivo realizado sin estructuras de protección permanentes.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Cultivo protegido:</w:t>
      </w:r>
      <w:r w:rsidRPr="00993936">
        <w:rPr>
          <w:rFonts w:ascii="Arial" w:hAnsi="Arial" w:cs="Arial"/>
          <w:lang w:val="es-ES"/>
        </w:rPr>
        <w:t xml:space="preserve"> cultivo realizado bajo una estructura de protección que lo protege de las variaciones de las condiciones climáticas. Se incluyen los invernaderos y los túneles y se excluyen las estructuras cubiertas de malla.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Cultivo sin suelo:</w:t>
      </w:r>
      <w:r w:rsidRPr="00993936">
        <w:rPr>
          <w:rFonts w:ascii="Arial" w:hAnsi="Arial" w:cs="Arial"/>
          <w:lang w:val="es-ES"/>
        </w:rPr>
        <w:t xml:space="preserve"> cultivo realizado sobre sustrato inerte donde se suministran los nutrientes necesarios para desarrollarse.</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Cultivo entre plantas</w:t>
      </w:r>
      <w:r w:rsidRPr="00993936">
        <w:rPr>
          <w:rFonts w:ascii="Arial" w:hAnsi="Arial" w:cs="Arial"/>
          <w:lang w:val="es-ES"/>
        </w:rPr>
        <w:t>: técnica de cultivo consistente en trasplantar las nuevas plantas antes de arrancar las viejas.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Ecosistema:</w:t>
      </w:r>
      <w:r w:rsidRPr="00993936">
        <w:rPr>
          <w:rFonts w:ascii="Arial" w:hAnsi="Arial" w:cs="Arial"/>
          <w:lang w:val="es-ES"/>
        </w:rPr>
        <w:t xml:space="preserve"> sistema formado por el conjunto de seres vivos presentes en un lugar</w:t>
      </w:r>
      <w:r w:rsidRPr="00993936">
        <w:rPr>
          <w:rFonts w:ascii="Arial" w:hAnsi="Arial" w:cs="Arial"/>
          <w:vanish/>
          <w:lang w:val="es-ES"/>
        </w:rPr>
        <w:t>&lt;A[lugar|sitio]&gt;</w:t>
      </w:r>
      <w:r w:rsidRPr="00993936">
        <w:rPr>
          <w:rFonts w:ascii="Arial" w:hAnsi="Arial" w:cs="Arial"/>
          <w:lang w:val="es-ES"/>
        </w:rPr>
        <w:t xml:space="preserve"> determinado y el medio ambiente que le es propio.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Enemigo natural:</w:t>
      </w:r>
      <w:r w:rsidRPr="00993936">
        <w:rPr>
          <w:rFonts w:ascii="Arial" w:hAnsi="Arial" w:cs="Arial"/>
          <w:lang w:val="es-ES"/>
        </w:rPr>
        <w:t xml:space="preserve"> insecto o ácaro que actúa como agente de control biológico interaccionando con las plagas del cultivo, depredándolas o parasitándolas.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Entidades de Certificación:</w:t>
      </w:r>
      <w:r w:rsidRPr="00993936">
        <w:rPr>
          <w:rFonts w:ascii="Arial" w:hAnsi="Arial" w:cs="Arial"/>
          <w:lang w:val="es-ES"/>
        </w:rPr>
        <w:t xml:space="preserve"> son aquellas entidades acreditadas por la Entidad Nacional de Acreditación (ENAC) para realizar las funciones de control y certificación, donde tendrá que estar sometida la producción para que los productos obtenidos puedan ser diferenciados con un distintivo de garantía de producción integrada, de acuerdo con el Decreto 241/2002 (DOGC nº. 3744, de 21.10.2002) o, si procede, las acreditadas por cualquier otro organismo acreditativo firmante del Acuerdo Multilateral de Reconocimiento del European Cooperation for Acreditation (EA).</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Especie mejorante:</w:t>
      </w:r>
      <w:r w:rsidRPr="00993936">
        <w:rPr>
          <w:rFonts w:ascii="Arial" w:hAnsi="Arial" w:cs="Arial"/>
          <w:lang w:val="es-ES"/>
        </w:rPr>
        <w:t xml:space="preserve"> especie vegetal, normalmente gramíneas o leguminosas, que por</w:t>
      </w:r>
      <w:r w:rsidRPr="00993936">
        <w:rPr>
          <w:rFonts w:ascii="Arial" w:hAnsi="Arial" w:cs="Arial"/>
          <w:vanish/>
          <w:lang w:val="es-ES"/>
        </w:rPr>
        <w:t>&lt;A[por|para]&gt;</w:t>
      </w:r>
      <w:r w:rsidRPr="00993936">
        <w:rPr>
          <w:rFonts w:ascii="Arial" w:hAnsi="Arial" w:cs="Arial"/>
          <w:lang w:val="es-ES"/>
        </w:rPr>
        <w:t xml:space="preserve"> sus características biológicas mejoran las propiedades fisicoquímicas del suelo durante su cultivo.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Etiquetado:</w:t>
      </w:r>
      <w:r w:rsidRPr="00993936">
        <w:rPr>
          <w:rFonts w:ascii="Arial" w:hAnsi="Arial" w:cs="Arial"/>
          <w:lang w:val="es-ES"/>
        </w:rPr>
        <w:t xml:space="preserve"> todas las menciones, las indicaciones, las identificaciones de fábrica o de comercio, las imágenes o los signos que figuran en los envases, documentos, letreros, etiquetas, argollas</w:t>
      </w:r>
      <w:r w:rsidRPr="00993936">
        <w:rPr>
          <w:rFonts w:ascii="Arial" w:hAnsi="Arial" w:cs="Arial"/>
          <w:vanish/>
          <w:lang w:val="es-ES"/>
        </w:rPr>
        <w:t>&lt;A[argollas|servilleteros]&gt;</w:t>
      </w:r>
      <w:r w:rsidRPr="00993936">
        <w:rPr>
          <w:rFonts w:ascii="Arial" w:hAnsi="Arial" w:cs="Arial"/>
          <w:lang w:val="es-ES"/>
        </w:rPr>
        <w:t xml:space="preserve"> o collares que acompañan o se refieran a productos que prevee el Decreto 241/2002.</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Explotación:</w:t>
      </w:r>
      <w:r w:rsidRPr="00993936">
        <w:rPr>
          <w:rFonts w:ascii="Arial" w:hAnsi="Arial" w:cs="Arial"/>
          <w:lang w:val="es-ES"/>
        </w:rPr>
        <w:t xml:space="preserve"> conjunto de bienes productivos que dan origen a una actividad económica.</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Fauna auxiliar:</w:t>
      </w:r>
      <w:r w:rsidRPr="00993936">
        <w:rPr>
          <w:rFonts w:ascii="Arial" w:hAnsi="Arial" w:cs="Arial"/>
          <w:lang w:val="es-ES"/>
        </w:rPr>
        <w:t xml:space="preserve"> ver enemigo natural.</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 xml:space="preserve">Hoja: </w:t>
      </w:r>
      <w:r w:rsidRPr="00993936">
        <w:rPr>
          <w:rFonts w:ascii="Arial" w:hAnsi="Arial" w:cs="Arial"/>
          <w:lang w:val="es-ES"/>
        </w:rPr>
        <w:t>término utilizado en la rotación de cultivos para indicar el número de cultivos que la integran.</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Método de Merrien-Keller:</w:t>
      </w:r>
      <w:r w:rsidRPr="00993936">
        <w:rPr>
          <w:rFonts w:ascii="Arial" w:hAnsi="Arial" w:cs="Arial"/>
          <w:lang w:val="es-ES"/>
        </w:rPr>
        <w:t xml:space="preserve"> método de cálculo del coeficiente de uniformidad de un sistema de riego.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Operador o persona operadora:</w:t>
      </w:r>
      <w:r w:rsidRPr="00993936">
        <w:rPr>
          <w:rFonts w:ascii="Arial" w:hAnsi="Arial" w:cs="Arial"/>
          <w:lang w:val="es-ES"/>
        </w:rPr>
        <w:t xml:space="preserve"> toda persona física o jurídica que obtiene, manipula, elabora, envasa, etiqueta, almacena o comercializa productos vegetales en las condiciones que establece esta disposición y que como tal figura inscrito en el Registro del Consejo Catalán de la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Operador individual:</w:t>
      </w:r>
      <w:r w:rsidRPr="00993936">
        <w:rPr>
          <w:rFonts w:ascii="Arial" w:hAnsi="Arial" w:cs="Arial"/>
          <w:lang w:val="es-ES"/>
        </w:rPr>
        <w:t xml:space="preserve"> aquel operador que no está agrupado bajo ninguna forma de Agrupación de Producción Integrada.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Parcela:</w:t>
      </w:r>
      <w:r w:rsidRPr="00993936">
        <w:rPr>
          <w:rFonts w:ascii="Arial" w:hAnsi="Arial" w:cs="Arial"/>
          <w:lang w:val="es-ES"/>
        </w:rPr>
        <w:t xml:space="preserve"> superficie continua de terreno geográficamente definida e inscrita en el registro catastral a nombre de unos o más titulares, donde el operador realiza las prácticas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Pérdidas técnicas de nutrientes:</w:t>
      </w:r>
      <w:r w:rsidRPr="00993936">
        <w:rPr>
          <w:rFonts w:ascii="Arial" w:hAnsi="Arial" w:cs="Arial"/>
          <w:lang w:val="es-ES"/>
        </w:rPr>
        <w:t xml:space="preserve"> son las que se deben a la falta de incorporación de elementos nutritivos a la planta como consecuencia de errores de homogeneidad en la aportación, extracción de vegetación adventicia, lixiviación, pérdida de asimilación por</w:t>
      </w:r>
      <w:r w:rsidRPr="00993936">
        <w:rPr>
          <w:rFonts w:ascii="Arial" w:hAnsi="Arial" w:cs="Arial"/>
          <w:vanish/>
          <w:lang w:val="es-ES"/>
        </w:rPr>
        <w:t>&lt;A[por|para]&gt;</w:t>
      </w:r>
      <w:r w:rsidRPr="00993936">
        <w:rPr>
          <w:rFonts w:ascii="Arial" w:hAnsi="Arial" w:cs="Arial"/>
          <w:lang w:val="es-ES"/>
        </w:rPr>
        <w:t xml:space="preserve"> antagonismos, transformación en compuestos orgánicos, precipitación o insolubilización de elementos minerales o cualquier otro factor biótico.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Personal técnico competente:</w:t>
      </w:r>
      <w:r w:rsidRPr="00993936">
        <w:rPr>
          <w:rFonts w:ascii="Arial" w:hAnsi="Arial" w:cs="Arial"/>
          <w:lang w:val="es-ES"/>
        </w:rPr>
        <w:t xml:space="preserve"> persona/s física/s que presta/n servicio/s técnico/s de asistencia a la producción integrada y que cuenta/n con titulación universitaria de grado medio o superior, de acuerdo con lo que especifica el artículo 11.1 del Decreto 241/2002.</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Producción integrada:</w:t>
      </w:r>
      <w:r w:rsidRPr="00993936">
        <w:rPr>
          <w:rFonts w:ascii="Arial" w:hAnsi="Arial" w:cs="Arial"/>
          <w:lang w:val="es-ES"/>
        </w:rPr>
        <w:t xml:space="preserve"> el sistema agrario de producción y obtención de alimentos de calidad, frescos o transformados, y otros productos, que prioriza la utilización de los recursos y mecanismos de regulación naturales, con el objetivo de optimizar los métodos de </w:t>
      </w:r>
      <w:r w:rsidRPr="00993936">
        <w:rPr>
          <w:rFonts w:ascii="Arial" w:hAnsi="Arial" w:cs="Arial"/>
          <w:lang w:val="es-ES"/>
        </w:rPr>
        <w:lastRenderedPageBreak/>
        <w:t>producción, evitar las aportaciones perjudiciales al medio ambiente y asegurar a largo plazo una agricultura y una ganadería sostenibles.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 xml:space="preserve">Producto para consumir en fresco: </w:t>
      </w:r>
      <w:r w:rsidRPr="00993936">
        <w:rPr>
          <w:rFonts w:ascii="Arial" w:hAnsi="Arial" w:cs="Arial"/>
          <w:lang w:val="es-ES"/>
        </w:rPr>
        <w:t xml:space="preserve">aquel que se comercializa en fresco, lo cual supone que después de ser recolectado no ha sufrido procesado, a excepción de las operaciones de limpieza, pelado, cortado y/o envasado.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Cuaderno de conservación/postcosecha:</w:t>
      </w:r>
      <w:r w:rsidRPr="00993936">
        <w:rPr>
          <w:rFonts w:ascii="Arial" w:hAnsi="Arial" w:cs="Arial"/>
          <w:lang w:val="es-ES"/>
        </w:rPr>
        <w:t xml:space="preserve"> documento donde se registran los datos relativos a las instalaciones de los productos vegetales, mediante el cual es posible hacer un seguimiento detallado de todas las operaciones de recepción, manipulado, almacenamiento, envasado y expedición de frutas y hortalizas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Cuaderno de explotación:</w:t>
      </w:r>
      <w:r w:rsidRPr="00993936">
        <w:rPr>
          <w:rFonts w:ascii="Arial" w:hAnsi="Arial" w:cs="Arial"/>
          <w:lang w:val="es-ES"/>
        </w:rPr>
        <w:t xml:space="preserve"> documento donde se registran los datos relativos a una parcela o agrupación de parcelas de cultivo (ver definición de la Unidad Homogénea de Cultivo), mediante el cual es posible hacer un seguimiento detallado de todas las operaciones culturales realizadas durante el ciclo de cultivo.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 xml:space="preserve">Rotación: </w:t>
      </w:r>
      <w:r w:rsidRPr="00993936">
        <w:rPr>
          <w:rFonts w:ascii="Arial" w:hAnsi="Arial" w:cs="Arial"/>
          <w:lang w:val="es-ES"/>
        </w:rPr>
        <w:t>secuencia de cultivos realizada en una parcela en un periodo de tiempo determinado.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Sustancia activa:</w:t>
      </w:r>
      <w:r w:rsidRPr="00993936">
        <w:rPr>
          <w:rFonts w:ascii="Arial" w:hAnsi="Arial" w:cs="Arial"/>
          <w:lang w:val="es-ES"/>
        </w:rPr>
        <w:t xml:space="preserve"> las sustancias o microorganismos, incluidos los virus, que ejercen una acción general o específica contra las plagas, incluidas las enfermedades, o en vegetales, partes de vegetales o productos vegetales.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Unidad Homogénea de Cultivo (UHC):</w:t>
      </w:r>
      <w:r w:rsidRPr="00993936">
        <w:rPr>
          <w:rFonts w:ascii="Arial" w:hAnsi="Arial" w:cs="Arial"/>
          <w:lang w:val="es-ES"/>
        </w:rPr>
        <w:t xml:space="preserve"> para cada cultivo, es la superficie de terreno que presenta unas características similares con respecto al tipo de suelo, al sistema de riego y al tipo de cultivo, en la cual se aplican operaciones culturales y técnicas de cultivo similares, así como los mismos tratamientos fitosanitarios. En caso de agrupaciones de productores, podrá haber UHC que incluyan cultivos o partes de cultivos de varios agricultors. Para cultivos protegidos, la unidad homogénea de cultivo se encontrará dentro de un mismo recinto delimitado bajo un mismo tipo de protección.</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Venta directa:</w:t>
      </w:r>
      <w:r w:rsidRPr="00993936">
        <w:rPr>
          <w:rFonts w:ascii="Arial" w:hAnsi="Arial" w:cs="Arial"/>
          <w:lang w:val="es-ES"/>
        </w:rPr>
        <w:t xml:space="preserve"> venta realizada por los propios operadores de su producto fresco, envasado y etiquetado en la propia explotación, tanto al consumidor, como al asentador, comerciante o mayorista.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 BIODIVERSIDAD Y PRÁCTICAS DE CULTIVO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w:t>
      </w:r>
    </w:p>
    <w:p w:rsidR="00503A41" w:rsidRPr="00993936" w:rsidRDefault="00503A41" w:rsidP="001D205D">
      <w:pPr>
        <w:pStyle w:val="Sinespaciado"/>
        <w:jc w:val="both"/>
        <w:rPr>
          <w:rFonts w:ascii="Arial" w:hAnsi="Arial" w:cs="Arial"/>
          <w:b/>
        </w:rPr>
      </w:pPr>
      <w:r w:rsidRPr="00993936">
        <w:rPr>
          <w:rFonts w:ascii="Arial" w:hAnsi="Arial" w:cs="Arial"/>
          <w:b/>
        </w:rPr>
        <w:t>Biodiversidad</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1.1 </w:t>
      </w:r>
      <w:r w:rsidRPr="00993936">
        <w:rPr>
          <w:rFonts w:ascii="Arial" w:hAnsi="Arial" w:cs="Arial"/>
          <w:i/>
          <w:snapToGrid w:val="0"/>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  Fomentar de manera activa la diversidad biológica de los niveles genéticos, específicos y del ecosistema, ya que constituye un recurso natural importante de la explotación agraria.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1.1.2 Fomentar y conservar un entorno de la explotación agraria natural y equilibrado, con un ecosistema de plantas y animales diversificado, identificando para cada cultivo y tipo de explotación agraria los elementos importantes de las infraestructuras ecológicas que contribuyan al mantenimiento y a la mejora de la biodiversidad. Cada operador productor tendrá que impulsar la realización de al menos dos opciones ecológicas que contribuyan a la mejora de la biodiversidad de su explotación, seleccionándolas, prioritariamente, de la lista que se describe a continuación. Si no fuera posible la realización de las opciones propuestas, el operador podrá establecer una lista de alternativas, que tendrá que aprobar el Consejo Catalán de la Producción Integrada, de las cuales como mínimo tendrá que practicar dos:</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 xml:space="preserve">Establecer un área de compensación ecológica, en la que no se apliquen plaguicidas ni fertilizantes, para aumentar la biodiversidad faunística y botánica, de al menos un 5% de la superficie total de la explotación (excluidos los bosques). Se podrán considerar dentro de estas áreas, por ejemplo: cortavientos, márgenes de caminos, de canales, de ríos o rieras, etc. Se admitirá que las áreas de compensación </w:t>
      </w:r>
      <w:r w:rsidRPr="00993936">
        <w:rPr>
          <w:rFonts w:ascii="Arial" w:hAnsi="Arial" w:cs="Arial"/>
          <w:lang w:val="es-ES"/>
        </w:rPr>
        <w:lastRenderedPageBreak/>
        <w:t xml:space="preserve">ecológica se establezcan a nivel de organización de productores o municipal, siempre que vayan asociadas directamente a las zonas de producción. </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Establecer o mantener una cubierta vegetal del suelo en los periodos de no cultivo.</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No aplicar herbicidas en las parcelas durante los periodos improductivos.</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Establecer refugios artificiales para los pájaros insectívoros.</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Establecer refugios artificiales para los insectos polinizadores.</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Establecer refugios artificiales para las aves de rapiña.</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No aplicar productos fitosanitarios ni herbicidas sobre la vegetación espontánea de los márgenes de las parcelas y realizar el control con medios culturales.</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Establecer cortavientos en los márgenes de las parcelas, especialmente en zonas ventosas.</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Favorecer márgenes con vegetación en flor en las inmediaciones de los campos que favorezcan la presencia de aquellos enemigos naturales que en alguna fase de su ciclo necesitan polen o néctar como fuente de alimento.</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Establecer plantas insectario (“banker plants”) que sirvan como  punto de cría y liberación de parasitoides o depredadores que contribuyan al control biológico de las plagas que afectan al cultivo.</w:t>
      </w:r>
    </w:p>
    <w:p w:rsidR="00503A41" w:rsidRPr="00993936" w:rsidRDefault="00503A41" w:rsidP="009D1A2D">
      <w:pPr>
        <w:pStyle w:val="Sinespaciado"/>
        <w:numPr>
          <w:ilvl w:val="0"/>
          <w:numId w:val="171"/>
        </w:numPr>
        <w:jc w:val="both"/>
        <w:rPr>
          <w:rFonts w:ascii="Arial" w:hAnsi="Arial" w:cs="Arial"/>
          <w:lang w:val="es-ES"/>
        </w:rPr>
      </w:pPr>
      <w:r w:rsidRPr="00993936">
        <w:rPr>
          <w:rFonts w:ascii="Arial" w:hAnsi="Arial" w:cs="Arial"/>
          <w:lang w:val="es-ES"/>
        </w:rPr>
        <w:t>Establecer plantas trampa con el fin de atraer las plagas que afectan al cultivo y evitar así la colonización.</w:t>
      </w:r>
      <w:r w:rsidRPr="00993936">
        <w:rPr>
          <w:rFonts w:ascii="Arial" w:hAnsi="Arial" w:cs="Arial"/>
          <w:lang w:val="es-ES"/>
        </w:rPr>
        <w:tab/>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1.2.1 En caso que se implanten cortavientos, siempre que sea posible se realizarán con especies</w:t>
      </w:r>
      <w:r w:rsidRPr="00993936">
        <w:rPr>
          <w:rFonts w:ascii="Arial" w:hAnsi="Arial" w:cs="Arial"/>
          <w:vanish/>
          <w:lang w:val="es-ES"/>
        </w:rPr>
        <w:t>&lt;A[especies|especias]&gt;</w:t>
      </w:r>
      <w:r w:rsidRPr="00993936">
        <w:rPr>
          <w:rFonts w:ascii="Arial" w:hAnsi="Arial" w:cs="Arial"/>
          <w:lang w:val="es-ES"/>
        </w:rPr>
        <w:t xml:space="preserve"> autóctonas, procurando mantener una diversidad de estructura y composición.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Aspectos agronómicos generales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2.1.1 El momento y la intensidad de las operaciones culturales tiene que minimizar los posibles impactos ambientales.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2.1.2 En cultivos anuales se tendrá que establecer un programa de rotación de cultivos de al menos tres hojas. En cualquier caso, se tendrá que dejar un periodo mínimo de tiempo sin cultivo. Se tendrá que justificar por el técnico responsable de producción integrada la no aplicación del programa.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2.1.3 En cultivos sin suelo, se tendrá que disponer de instalaciones que permitan la recirculación de los lixiviados, salvo autorización del técnico responsable de producción integrada que incluya plazos determinados para su disposición y siempre que sea agronómicamente aconsejable.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2.1.4 Los sustratos inertes tendrán que reciclarse adecuadamente, siempre que sea agronómicamente aconsejable.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 Procurar que las plantas cultivadas bajo protección se encuentren en condiciones de humedad, temperatura y radiación solar incidente lo más cerca posible de sus óptimos biológicos.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2.2.2 Cuándo no se puedan hacer rotaciones de cultivos, aplicar técnicas que conserven la fertilidad del suelo (parcelas libres de cultivo, cubiertas de especies</w:t>
      </w:r>
      <w:r w:rsidRPr="00993936">
        <w:rPr>
          <w:rFonts w:ascii="Arial" w:hAnsi="Arial" w:cs="Arial"/>
          <w:vanish/>
          <w:lang w:val="es-ES"/>
        </w:rPr>
        <w:t>&lt;A[especies|especias]&gt;</w:t>
      </w:r>
      <w:r w:rsidRPr="00993936">
        <w:rPr>
          <w:rFonts w:ascii="Arial" w:hAnsi="Arial" w:cs="Arial"/>
          <w:lang w:val="es-ES"/>
        </w:rPr>
        <w:t xml:space="preserve"> mejorantes), o bien realizar solarización y/o biofumigación.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Suelo, preparación del terreno y cultivo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3.1.1 Las características fisicoquímicas del suelo y del sustrato, en caso de que se utilice, tendrán que figurar en el Cuaderno de Explotación al cual hace referencia el artículo 12 de esta norma técnica.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3.1.2 Mantener y mejorar la fertilidad del suelo mediante:</w:t>
      </w:r>
    </w:p>
    <w:p w:rsidR="00503A41" w:rsidRPr="00993936" w:rsidRDefault="00503A41" w:rsidP="009D1A2D">
      <w:pPr>
        <w:pStyle w:val="Sinespaciado"/>
        <w:numPr>
          <w:ilvl w:val="0"/>
          <w:numId w:val="172"/>
        </w:numPr>
        <w:jc w:val="both"/>
        <w:rPr>
          <w:rFonts w:ascii="Arial" w:hAnsi="Arial" w:cs="Arial"/>
          <w:lang w:val="es-ES"/>
        </w:rPr>
      </w:pPr>
      <w:r w:rsidRPr="00993936">
        <w:rPr>
          <w:rFonts w:ascii="Arial" w:hAnsi="Arial" w:cs="Arial"/>
          <w:lang w:val="es-ES"/>
        </w:rPr>
        <w:t xml:space="preserve">El conocimiento de los niveles de materia orgánica del suelo y la velocidad de mineralización, los cuales se estimarán de acuerdo con el tipo de suelo y con las condiciones climáticas de la zona.  </w:t>
      </w:r>
    </w:p>
    <w:p w:rsidR="00503A41" w:rsidRPr="00993936" w:rsidRDefault="00503A41" w:rsidP="009D1A2D">
      <w:pPr>
        <w:pStyle w:val="Sinespaciado"/>
        <w:numPr>
          <w:ilvl w:val="0"/>
          <w:numId w:val="172"/>
        </w:numPr>
        <w:jc w:val="both"/>
        <w:rPr>
          <w:rFonts w:ascii="Arial" w:hAnsi="Arial" w:cs="Arial"/>
          <w:lang w:val="es-ES"/>
        </w:rPr>
      </w:pPr>
      <w:r w:rsidRPr="00993936">
        <w:rPr>
          <w:rFonts w:ascii="Arial" w:hAnsi="Arial" w:cs="Arial"/>
          <w:lang w:val="es-ES"/>
        </w:rPr>
        <w:t>El mantenimiento de un nivel de materia orgánica del horizonte superficial del suelo de como mínimo un 1%. Por debajo de este nivel se tendrá que aportar materia orgánica, de acuerdo con las indicaciones del técnico responsable de producción integrada (estarán exentos de esta obligación los cultivos sin suelo).</w:t>
      </w:r>
    </w:p>
    <w:p w:rsidR="00503A41" w:rsidRPr="00993936" w:rsidRDefault="00503A41" w:rsidP="009D1A2D">
      <w:pPr>
        <w:pStyle w:val="Sinespaciado"/>
        <w:numPr>
          <w:ilvl w:val="0"/>
          <w:numId w:val="172"/>
        </w:numPr>
        <w:jc w:val="both"/>
        <w:rPr>
          <w:rFonts w:ascii="Arial" w:hAnsi="Arial" w:cs="Arial"/>
          <w:lang w:val="es-ES"/>
        </w:rPr>
      </w:pPr>
      <w:r w:rsidRPr="00993936">
        <w:rPr>
          <w:rFonts w:ascii="Arial" w:hAnsi="Arial" w:cs="Arial"/>
          <w:lang w:val="es-ES"/>
        </w:rPr>
        <w:t>La optimización de las propiedades biofísicas del suelo para evitar la compactación (p.e., dimensión de los agregados, estabilidad estructural, conductividad hidráulica, etc). minimizando el paso de la maquinaria en condiciones de excesiva humedad del suelo.</w:t>
      </w:r>
    </w:p>
    <w:p w:rsidR="00503A41" w:rsidRPr="00993936" w:rsidRDefault="00503A41" w:rsidP="009D1A2D">
      <w:pPr>
        <w:pStyle w:val="Sinespaciado"/>
        <w:numPr>
          <w:ilvl w:val="0"/>
          <w:numId w:val="172"/>
        </w:numPr>
        <w:jc w:val="both"/>
        <w:rPr>
          <w:rFonts w:ascii="Arial" w:hAnsi="Arial" w:cs="Arial"/>
          <w:lang w:val="es-ES"/>
        </w:rPr>
      </w:pPr>
      <w:r w:rsidRPr="00993936">
        <w:rPr>
          <w:rFonts w:ascii="Arial" w:hAnsi="Arial" w:cs="Arial"/>
          <w:lang w:val="es-ES"/>
        </w:rPr>
        <w:t>En zonas con riesgo de erosión y en los periodos de ausencia del cultivo, la protección del suelo el máximo tiempo posible mediante el mantenimiento de una cubierta vegetal preferentemente a base de vegetación espontánea.</w:t>
      </w:r>
    </w:p>
    <w:p w:rsidR="00503A41" w:rsidRPr="00993936" w:rsidRDefault="00503A41" w:rsidP="009D1A2D">
      <w:pPr>
        <w:pStyle w:val="Sinespaciado"/>
        <w:numPr>
          <w:ilvl w:val="0"/>
          <w:numId w:val="172"/>
        </w:numPr>
        <w:jc w:val="both"/>
        <w:rPr>
          <w:rFonts w:ascii="Arial" w:hAnsi="Arial" w:cs="Arial"/>
          <w:lang w:val="es-ES"/>
        </w:rPr>
      </w:pPr>
      <w:r w:rsidRPr="00993936">
        <w:rPr>
          <w:rFonts w:ascii="Arial" w:hAnsi="Arial" w:cs="Arial"/>
          <w:lang w:val="es-ES"/>
        </w:rPr>
        <w:t>La mínima perturbación física o química del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3.1.3 Eliminar adecuadamente y con antelación suficiente las malas hierbas y los restos vegetales de cultivos anteriores, pudiendo quedar los restos sobre el suelo cuando no representen un riesgo de transmisión de plagas o enfermedades de los vegetales.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3.1.4 Los trabajos de campo se realizarán respetando al máximo la estructura del suelo, y si es posible sin volteo, evitando las escorrentías y el encharcamiento. También se tendrá en cuenta la pendiente del terreno para su adecuada conservación, adaptando las dimensiones y características de las obras de conservación (terrazas, bancales, cerros) con la finalidad de evitar fenómenos de erosión.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 Desinfectar el suelo mediante tratamientos químicos, salvo los casos técnicamente justificados y autorizados por el organismo oficial correspondiente. Las autorizaciones podrán establecerse para una determinada zona o región.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3.2.2 Realizar los trabajos del suelo en el sentido de la pendiente en parcelas con pendientes superiores al 10%, así como también efectuar trabajos preparatorios que alteren los horizontes del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3.2.3 Utilizar sistemáticamente herramientas agrícolas (cavadoras, discos, etc.) que destruyan la estructura del suelo y favorezcan la formación de un estrato o zona de compactación.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 Examinar el perfil de suelo antes de iniciar la producción integrada. La información sobre el tipo de suelo podrá ser extraída del mapa detallado de suelos de Cataluña, en caso de que haya.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3.3.2  En caso de la puesta en cultivo de un nuevo terreno, el productor tendrá que justificar que este es adecuado para el desarrollo del cultivo en cuestión. Con esta finalidad, dispondrá de un plan</w:t>
      </w:r>
      <w:r w:rsidRPr="00993936">
        <w:rPr>
          <w:rFonts w:ascii="Arial" w:hAnsi="Arial" w:cs="Arial"/>
          <w:vanish/>
          <w:lang w:val="es-ES"/>
        </w:rPr>
        <w:t>&lt;A[plan|plano]&gt;</w:t>
      </w:r>
      <w:r w:rsidRPr="00993936">
        <w:rPr>
          <w:rFonts w:ascii="Arial" w:hAnsi="Arial" w:cs="Arial"/>
          <w:lang w:val="es-ES"/>
        </w:rPr>
        <w:t xml:space="preserve"> de gestión, en el cual se indicará el uso anterior del suelo y el impacto ambiental de la nueva producción.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3.3.3 Utilizar sustratos reciclables.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3.3.4 Realizar los trabajos de trabajo del suelo preferentemente con subsoladores o utensilios similares, y evitar los trabajos con cavadoras.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3.3.5 Realizar trabajos preparatorios adecuados que faciliten el drenaje y aireado del terreno para mantener la estructura del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3.3.6 En caso que sea necesario realizar la desinfección del suelo, hacerla con técnicas de solarización y/o biofumigación. Se recomienda que el plástico para la solarización sea de </w:t>
      </w:r>
      <w:r w:rsidRPr="00993936">
        <w:rPr>
          <w:rFonts w:ascii="Arial" w:hAnsi="Arial" w:cs="Arial"/>
          <w:lang w:val="es-ES"/>
        </w:rPr>
        <w:lastRenderedPageBreak/>
        <w:t>una espesura entre 150 y 200 galgas de polietileno normal transparente. En caso de cultivo protegido, realizar la solarización con la cubierta cerrada.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3.3.7 Se preferirán los tipos de suelos que tengan una profundidad adecuada para el desarrollo de las raíces, que estén bien drenados y de textura media. La conductividad eléctrica (CE) tiene que ser menor de 1,5 dS/m en </w:t>
      </w:r>
      <w:smartTag w:uri="urn:schemas-microsoft-com:office:smarttags" w:element="metricconverter">
        <w:smartTagPr>
          <w:attr w:name="ProductID" w:val="25ﾺC"/>
        </w:smartTagPr>
        <w:r w:rsidRPr="00993936">
          <w:rPr>
            <w:rFonts w:ascii="Arial" w:hAnsi="Arial" w:cs="Arial"/>
            <w:lang w:val="es-ES"/>
          </w:rPr>
          <w:t>25ºC</w:t>
        </w:r>
      </w:smartTag>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3.3.8 No realizar el cultivo en zonas con factores limitantes: encharcamientos, salinidad, capa freática alta, poca profundidad.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Siembra y plantación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4.1.1 Utilizar material vegetal que proceda de productores oficialmente autorizados y conservar durante un año el pasaporte fitosanitario de las plántulas, así como el de las semillas que lo requieran. En caso de hacerse el propio plantel, hay que comunicarlo a la Unidad de Sanidad Vegetal de los servicios territoriales del Departamento de Agricultura, Ganadería, Pesca y Alimentación (Orden ARP/107/2005, de 15 de marzo, DOGC nº. 4352, artículo 3.a)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4.1.2 Todas las variedades deben estar inscritas dentro del Catálogo común de variedades de especies</w:t>
      </w:r>
      <w:r w:rsidRPr="00993936">
        <w:rPr>
          <w:rFonts w:ascii="Arial" w:hAnsi="Arial" w:cs="Arial"/>
          <w:vanish/>
          <w:lang w:val="es-ES"/>
        </w:rPr>
        <w:t>&lt;A[especies|especias]&gt;</w:t>
      </w:r>
      <w:r w:rsidRPr="00993936">
        <w:rPr>
          <w:rFonts w:ascii="Arial" w:hAnsi="Arial" w:cs="Arial"/>
          <w:lang w:val="es-ES"/>
        </w:rPr>
        <w:t xml:space="preserve"> de plantas hortícolas de la Unión Europea y/o en la lista española de variedades comerciales de plantas.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material vegetal se tiene que obtener a partir de semillas garantizadas según el Reglamento técnico de control y certificación de semillas de plantas hortícolas. El operador tendrá que conservar los registros documentales durante al menos 2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4.1.3 Utilizar semillas garantizadas y desinfectadas debidamente cuando esta práctica pueda evitar enfermedades posteriores.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4.1.4 Efectuar la siembra o el trasplante, como mínimo, una semana después de arrancar el cultivo anterior y de realizar las labores de preparación del terreno. Cuándo no sea posible cumplir este plazo de tiempo, se tendrá que justificar con un informe del técnico responsable de producción integrada.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4.1.5 Eliminar antes de la siembra o plantación todo el material vegetal que presente síntomas de enfermedad o un crecimiento anormal.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4.1.6 El material de plantación, variedades, densidad de plantación, ciclo de cultivo, el momento y las dosis de siembra, rotaciones, marco de plantación y la posibilidad de asociación con otros cultivos, se adaptarán a las condiciones locales, con el objetivo de conseguir un producto de calidad con las mínimas intervenciones posibles.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4.2.1 El uso de pies, combinaciones injerto-patrón o variedades especialmente sensibles a determinadas enfermedades de especial incidencia o relevancia establecidas por la dirección general competente en materia de agricultura.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4.3.1 Se escogerán preferentemente las variedades más adecuadas a la zona y al periodo de cultivo, con el objetivo de conseguir un fruto de calidad con las mínimas intervenciones posibles.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4.3.2 Conocer el grado de susceptibilidad de la/s variedad/des elegidas a plagas y enfermedades.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Fertilización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 Efectuar el suministro de nutrientes fundamentalmente a través del sistema radicular.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5.1.2 Realizar y aplicar un programa de fertilización de macronutrientes para cada cultivo y unidad homogénea de cultivo que considere los resultados de los análisis y tenga en cuenta, </w:t>
      </w:r>
      <w:r w:rsidRPr="00993936">
        <w:rPr>
          <w:rFonts w:ascii="Arial" w:hAnsi="Arial" w:cs="Arial"/>
          <w:lang w:val="es-ES"/>
        </w:rPr>
        <w:lastRenderedPageBreak/>
        <w:t>además de las extracciones del cultivo, el estado nutricional y de crecimiento, el tipo y nivel de fertilidad del suelo y las aportaciones efectuadas por otras vías (agua, fertilización directa y materia orgánica). El programa determinará las épocas y la forma de aplicación más adecuadas para minimizar las pérdidas por</w:t>
      </w:r>
      <w:r w:rsidRPr="00993936">
        <w:rPr>
          <w:rFonts w:ascii="Arial" w:hAnsi="Arial" w:cs="Arial"/>
          <w:vanish/>
          <w:lang w:val="es-ES"/>
        </w:rPr>
        <w:t>&lt;A[por|para]&gt;</w:t>
      </w:r>
      <w:r w:rsidRPr="00993936">
        <w:rPr>
          <w:rFonts w:ascii="Arial" w:hAnsi="Arial" w:cs="Arial"/>
          <w:lang w:val="es-ES"/>
        </w:rPr>
        <w:t xml:space="preserve"> lixiviación, erosión, etc.</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5.1.3 Cada explotación tendrá que realizar y disponer, de forma justificada, de análisis de suelos y del agua de riego para planificar la fertilización. Los análisis se realizarán cada 5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5.1.3.1 En caso de que el abastecimiento del agua de riego se haga a través de una comunidad de regantes o bien por una entidad similar, el cumplimiento</w:t>
      </w:r>
      <w:r w:rsidRPr="00993936">
        <w:rPr>
          <w:rFonts w:ascii="Arial" w:hAnsi="Arial" w:cs="Arial"/>
          <w:vanish/>
          <w:lang w:val="es-ES"/>
        </w:rPr>
        <w:t>&lt;A[cumplimiento|cumplido]&gt;</w:t>
      </w:r>
      <w:r w:rsidRPr="00993936">
        <w:rPr>
          <w:rFonts w:ascii="Arial" w:hAnsi="Arial" w:cs="Arial"/>
          <w:lang w:val="es-ES"/>
        </w:rPr>
        <w:t xml:space="preserve"> del requisito indicado se podrá justificar con la disposición de una analítica de agua, realizada por alguna de las entidades indicadas, siempre que incluya los parámetros que se indican en el artículo 8.1.</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5.1.3.2 En caso de que el abastecimiento del agua de riego sea de pozo, los análisis se harán como mínimo cada dos años. Cuando los resultados de dos analíticas consecutivas del agua, realizadas en el plazo señalado, sean similares los análisis se podrán efectuar cada 5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número de análisis a efectuar será como mínimo de un análisis de suelo por unidad homogénea de cultivo. Cuando se integre una UHC en el sistema de producción integrada habrá que realizar un análisis físico y químico siempre que no se tenga uno realizado en un periodo de tiempo inferior a cinco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5.1.4 Todas las analíticas de suelo incluirán, al menos, la determinación de fósforo, potasio y magnesio asimilables, la materia orgánica, la prueba previa de salinidad y, si procede, el análisis de sales solubles. En la primera analítica se incluirá, además, la determinación de textura y pH.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5.1.5 En cultivos sin suelo, realizar el ajuste de la fertilización en función del balance entre la solución nutritiva de entrada y la de drenaje o la solución nutritiva del sustrato, escogiendo una u otra según las características fisicoquímicas del sustrato, preveyendo además la fase fenológica del cultivo y la actividad de absorción de los nutrientes por la planta. Se tendrá que controlar periódicamente el pH y la conductividad eléctrica de la solución de drenaje.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5.1.6 Considerando las aportaciones de las diferentes entradas (deyecciones ganaderas, aguas de riego, abonos</w:t>
      </w:r>
      <w:r w:rsidRPr="00993936">
        <w:rPr>
          <w:rFonts w:ascii="Arial" w:hAnsi="Arial" w:cs="Arial"/>
          <w:vanish/>
          <w:lang w:val="es-ES"/>
        </w:rPr>
        <w:t>&lt;A[abonos|adobos]&gt;</w:t>
      </w:r>
      <w:r w:rsidRPr="00993936">
        <w:rPr>
          <w:rFonts w:ascii="Arial" w:hAnsi="Arial" w:cs="Arial"/>
          <w:lang w:val="es-ES"/>
        </w:rPr>
        <w:t xml:space="preserve"> minerales, y otros), se establece el máximo de aportaciones siguientes: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7"/>
        <w:gridCol w:w="2097"/>
        <w:gridCol w:w="4568"/>
      </w:tblGrid>
      <w:tr w:rsidR="00503A41" w:rsidRPr="00993936" w:rsidTr="001D205D">
        <w:tc>
          <w:tcPr>
            <w:tcW w:w="1947" w:type="dxa"/>
            <w:shd w:val="clear" w:color="auto" w:fill="auto"/>
            <w:vAlign w:val="center"/>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Elemento</w:t>
            </w:r>
          </w:p>
        </w:tc>
        <w:tc>
          <w:tcPr>
            <w:tcW w:w="2097" w:type="dxa"/>
            <w:shd w:val="clear" w:color="auto" w:fill="auto"/>
            <w:vAlign w:val="center"/>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Máximo aportaciones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UF/ha y año</w:t>
            </w:r>
          </w:p>
        </w:tc>
        <w:tc>
          <w:tcPr>
            <w:tcW w:w="4568" w:type="dxa"/>
            <w:shd w:val="clear" w:color="auto" w:fill="auto"/>
            <w:vAlign w:val="center"/>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Cultivos y condiciones a considerar</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380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Berenjena</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280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Apio, hinojo, perejil y zanahoria</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Acelgas</w:t>
            </w:r>
            <w:r w:rsidRPr="00993936">
              <w:rPr>
                <w:rFonts w:ascii="Arial" w:hAnsi="Arial" w:cs="Arial"/>
                <w:snapToGrid w:val="0"/>
                <w:vanish/>
                <w:lang w:val="es-ES"/>
              </w:rPr>
              <w:t>&lt;A[Acelgas|Pánfilas]&gt;</w:t>
            </w:r>
            <w:r w:rsidRPr="00993936">
              <w:rPr>
                <w:rFonts w:ascii="Arial" w:hAnsi="Arial" w:cs="Arial"/>
                <w:snapToGrid w:val="0"/>
                <w:lang w:val="es-ES"/>
              </w:rPr>
              <w:t xml:space="preserve"> y espinacas</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Alcachofa</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220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Cebolla, puerro</w:t>
            </w:r>
            <w:r w:rsidRPr="00993936">
              <w:rPr>
                <w:rFonts w:ascii="Arial" w:hAnsi="Arial" w:cs="Arial"/>
                <w:snapToGrid w:val="0"/>
                <w:vanish/>
                <w:lang w:val="es-ES"/>
              </w:rPr>
              <w:t>&lt;A[puerro|porro]&gt;</w:t>
            </w:r>
            <w:r w:rsidRPr="00993936">
              <w:rPr>
                <w:rFonts w:ascii="Arial" w:hAnsi="Arial" w:cs="Arial"/>
                <w:snapToGrid w:val="0"/>
                <w:lang w:val="es-ES"/>
              </w:rPr>
              <w:t>, ajo y calçot</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280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Col, coliflor, bróculi y otros brassicaceas</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420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Cucurbitáceas</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Lechuga y escarola</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200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Judía, haba y guisante</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220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Patata</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380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Pimiento</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190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Rábano</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Nitrógeno (N)</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450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Tomate</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Fósforo (P</w:t>
            </w:r>
            <w:r w:rsidRPr="00993936">
              <w:rPr>
                <w:rFonts w:ascii="Arial" w:hAnsi="Arial" w:cs="Arial"/>
                <w:snapToGrid w:val="0"/>
                <w:vertAlign w:val="subscript"/>
                <w:lang w:val="es-ES"/>
              </w:rPr>
              <w:t>2</w:t>
            </w:r>
            <w:r w:rsidRPr="00993936">
              <w:rPr>
                <w:rFonts w:ascii="Arial" w:hAnsi="Arial" w:cs="Arial"/>
                <w:snapToGrid w:val="0"/>
                <w:lang w:val="es-ES"/>
              </w:rPr>
              <w:t>O)</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250</w:t>
            </w:r>
          </w:p>
        </w:tc>
        <w:tc>
          <w:tcPr>
            <w:tcW w:w="4568"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Si el nivel de fósforo en el suelo es superior a 25 ppm </w:t>
            </w:r>
          </w:p>
        </w:tc>
      </w:tr>
      <w:tr w:rsidR="00503A41" w:rsidRPr="00993936" w:rsidTr="001D205D">
        <w:tc>
          <w:tcPr>
            <w:tcW w:w="194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lastRenderedPageBreak/>
              <w:t xml:space="preserve">  Potasio (K</w:t>
            </w:r>
            <w:r w:rsidRPr="00993936">
              <w:rPr>
                <w:rFonts w:ascii="Arial" w:hAnsi="Arial" w:cs="Arial"/>
                <w:snapToGrid w:val="0"/>
                <w:vertAlign w:val="subscript"/>
                <w:lang w:val="es-ES"/>
              </w:rPr>
              <w:t>2</w:t>
            </w:r>
            <w:r w:rsidRPr="00993936">
              <w:rPr>
                <w:rFonts w:ascii="Arial" w:hAnsi="Arial" w:cs="Arial"/>
                <w:snapToGrid w:val="0"/>
                <w:lang w:val="es-ES"/>
              </w:rPr>
              <w:t>O)</w:t>
            </w:r>
          </w:p>
        </w:tc>
        <w:tc>
          <w:tcPr>
            <w:tcW w:w="2097" w:type="dxa"/>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300</w:t>
            </w:r>
          </w:p>
        </w:tc>
        <w:tc>
          <w:tcPr>
            <w:tcW w:w="4568" w:type="dxa"/>
            <w:shd w:val="clear" w:color="auto" w:fill="auto"/>
          </w:tcPr>
          <w:p w:rsidR="00503A41" w:rsidRPr="00993936" w:rsidRDefault="00503A41" w:rsidP="001D205D">
            <w:pPr>
              <w:pStyle w:val="Sinespaciado"/>
              <w:jc w:val="both"/>
              <w:rPr>
                <w:rFonts w:ascii="Arial" w:hAnsi="Arial" w:cs="Arial"/>
                <w:i/>
                <w:snapToGrid w:val="0"/>
                <w:lang w:val="es-ES"/>
              </w:rPr>
            </w:pPr>
            <w:r w:rsidRPr="00993936">
              <w:rPr>
                <w:rFonts w:ascii="Arial" w:hAnsi="Arial" w:cs="Arial"/>
                <w:snapToGrid w:val="0"/>
                <w:lang w:val="es-ES"/>
              </w:rPr>
              <w:t>Si el nivel de potasio en el suelo es superior a 125 ppm</w:t>
            </w:r>
          </w:p>
        </w:tc>
      </w:tr>
      <w:tr w:rsidR="00503A41" w:rsidRPr="00993936" w:rsidTr="001D205D">
        <w:tc>
          <w:tcPr>
            <w:tcW w:w="8612" w:type="dxa"/>
            <w:gridSpan w:val="3"/>
            <w:shd w:val="clear" w:color="auto" w:fill="auto"/>
          </w:tcPr>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ppm: partes por millón</w:t>
            </w:r>
          </w:p>
        </w:tc>
      </w:tr>
    </w:tbl>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 aplicación de microelementos se reducirá al mínimo posible y sólo se aplicarán cuando</w:t>
      </w:r>
      <w:r w:rsidRPr="00993936">
        <w:rPr>
          <w:rFonts w:ascii="Arial" w:hAnsi="Arial" w:cs="Arial"/>
          <w:vanish/>
          <w:lang w:val="es-ES"/>
        </w:rPr>
        <w:t>&lt;A[cuando|cuándo]&gt;</w:t>
      </w:r>
      <w:r w:rsidRPr="00993936">
        <w:rPr>
          <w:rFonts w:ascii="Arial" w:hAnsi="Arial" w:cs="Arial"/>
          <w:lang w:val="es-ES"/>
        </w:rPr>
        <w:t xml:space="preserve"> un análisis previo, o su sintomatología evidente determine la insuficiencia para los requerimientos reales del cultivo.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La aplicación de fertilizantes se tendrá que revisar a posteriori por el técnico responsable de producción integrada, y su conformidad figurará en el Cuaderno de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5.1.7 Las aportaciones de abonos</w:t>
      </w:r>
      <w:r w:rsidRPr="00993936">
        <w:rPr>
          <w:rFonts w:ascii="Arial" w:hAnsi="Arial" w:cs="Arial"/>
          <w:vanish/>
          <w:lang w:val="es-ES"/>
        </w:rPr>
        <w:t>&lt;A[abonos|adobos]&gt;</w:t>
      </w:r>
      <w:r w:rsidRPr="00993936">
        <w:rPr>
          <w:rFonts w:ascii="Arial" w:hAnsi="Arial" w:cs="Arial"/>
          <w:lang w:val="es-ES"/>
        </w:rPr>
        <w:t xml:space="preserve"> foliares y oligoelementos se reducirá al mínimo posible y sólo se utilizarán cuando</w:t>
      </w:r>
      <w:r w:rsidRPr="00993936">
        <w:rPr>
          <w:rFonts w:ascii="Arial" w:hAnsi="Arial" w:cs="Arial"/>
          <w:vanish/>
          <w:lang w:val="es-ES"/>
        </w:rPr>
        <w:t>&lt;A[cuando|cuándo]&gt;</w:t>
      </w:r>
      <w:r w:rsidRPr="00993936">
        <w:rPr>
          <w:rFonts w:ascii="Arial" w:hAnsi="Arial" w:cs="Arial"/>
          <w:lang w:val="es-ES"/>
        </w:rPr>
        <w:t xml:space="preserve"> el/la técnico/a responsable de producción integrada las considere justificadas y en función de las necesidades y exigencias del cultivo. Las aplicaciones de estos elementos requerirán siempre la disposición previa de un análisis foliar.</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La aplicación de fertilizantes se tendrá que revisar a posteriori por el técnico responsable de producción integrada, y su conformidad figurará en el cuaderno de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5.1.8 Se fraccionará el abonado</w:t>
      </w:r>
      <w:r w:rsidRPr="00993936">
        <w:rPr>
          <w:rFonts w:ascii="Arial" w:hAnsi="Arial" w:cs="Arial"/>
          <w:vanish/>
          <w:lang w:val="es-ES"/>
        </w:rPr>
        <w:t>&lt;A[adobado|arreglado]&gt;</w:t>
      </w:r>
      <w:r w:rsidRPr="00993936">
        <w:rPr>
          <w:rFonts w:ascii="Arial" w:hAnsi="Arial" w:cs="Arial"/>
          <w:lang w:val="es-ES"/>
        </w:rPr>
        <w:t xml:space="preserve"> nitrogenado, especialmente en zonas vulnerables, y se escogerá el tipo de abono</w:t>
      </w:r>
      <w:r w:rsidRPr="00993936">
        <w:rPr>
          <w:rFonts w:ascii="Arial" w:hAnsi="Arial" w:cs="Arial"/>
          <w:vanish/>
          <w:lang w:val="es-ES"/>
        </w:rPr>
        <w:t>&lt;A[abono|adobo]&gt;</w:t>
      </w:r>
      <w:r w:rsidRPr="00993936">
        <w:rPr>
          <w:rFonts w:ascii="Arial" w:hAnsi="Arial" w:cs="Arial"/>
          <w:lang w:val="es-ES"/>
        </w:rPr>
        <w:t xml:space="preserve"> más adecuado en función del manejo del agua de riego, de la pluviometría, del tipo de suelo, de la época del año y de la problemática específica del cultivo.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productor se asegurará del cumplimiento</w:t>
      </w:r>
      <w:r w:rsidRPr="00993936">
        <w:rPr>
          <w:rFonts w:ascii="Arial" w:hAnsi="Arial" w:cs="Arial"/>
          <w:vanish/>
          <w:lang w:val="es-ES"/>
        </w:rPr>
        <w:t>&lt;A[cumplimiento|cumplido]&gt;</w:t>
      </w:r>
      <w:r w:rsidRPr="00993936">
        <w:rPr>
          <w:rFonts w:ascii="Arial" w:hAnsi="Arial" w:cs="Arial"/>
          <w:lang w:val="es-ES"/>
        </w:rPr>
        <w:t xml:space="preserve"> de la reglamentación aplicable a cada territorio, relativa a la contaminación de nitratos o de fosfatos del agua subterránea de forma que no se excedan los límites nacionales ni internacionales.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5.1.9 Adecuar el programa de fertilización de manera que no comprometa el contenido de nitratos en hortalizas, cuando así lo establezca la legislación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5.1.10 Cuando se aporten materias con valor fertilizando de origen urbano o industrial, hace falta disponer o bien realizar un análisis de metales pesados con el fin de conocer que no excedan los límites legales establecidos y teniendo en cuenta el programa de actuaciones para la gestión de los lodos de depuración de aguas residuales urbanas de Cataluña. En cualquier caso, esta aportación tiene que contener la mínima cantidad de metales pesados (cadmio, cromo, cobre, plomo, cinc, níquel y mercurio), patógenos u otros productos tóxicos.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5.1.11 Cuando se aporte materia orgánica al suelo, se tendrán que conocer los contenidos medios aportados en 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5</w:t>
      </w:r>
      <w:r w:rsidRPr="00993936">
        <w:rPr>
          <w:rFonts w:ascii="Arial" w:hAnsi="Arial" w:cs="Arial"/>
          <w:lang w:val="es-ES"/>
        </w:rPr>
        <w:t>, K</w:t>
      </w:r>
      <w:r w:rsidRPr="00993936">
        <w:rPr>
          <w:rFonts w:ascii="Arial" w:hAnsi="Arial" w:cs="Arial"/>
          <w:vertAlign w:val="subscript"/>
          <w:lang w:val="es-ES"/>
        </w:rPr>
        <w:t>2</w:t>
      </w:r>
      <w:r w:rsidRPr="00993936">
        <w:rPr>
          <w:rFonts w:ascii="Arial" w:hAnsi="Arial" w:cs="Arial"/>
          <w:lang w:val="es-ES"/>
        </w:rPr>
        <w:t>O. Para el cálculo de las unidades fertilizantes aportadas se utiltizaran preferentemente los resultados del análisis de la materia orgánica, o si no hay, se podrán utilizar como valores orientativos los que figuran en el anexo ﻿núm. 1 correspondiendo a la tabla de contenido de nutrientes de algunos abonos</w:t>
      </w:r>
      <w:r w:rsidRPr="00993936">
        <w:rPr>
          <w:rFonts w:ascii="Arial" w:hAnsi="Arial" w:cs="Arial"/>
          <w:vanish/>
          <w:lang w:val="es-ES"/>
        </w:rPr>
        <w:t>&lt;A[abonos|adobos]&gt;</w:t>
      </w:r>
      <w:r w:rsidRPr="00993936">
        <w:rPr>
          <w:rFonts w:ascii="Arial" w:hAnsi="Arial" w:cs="Arial"/>
          <w:lang w:val="es-ES"/>
        </w:rPr>
        <w:t xml:space="preserve"> orgánicos.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5.1.12 Almacenar los abonos</w:t>
      </w:r>
      <w:r w:rsidRPr="00993936">
        <w:rPr>
          <w:rFonts w:ascii="Arial" w:hAnsi="Arial" w:cs="Arial"/>
          <w:vanish/>
          <w:lang w:val="es-ES"/>
        </w:rPr>
        <w:t>&lt;A[abonos|adobos]&gt;</w:t>
      </w:r>
      <w:r w:rsidRPr="00993936">
        <w:rPr>
          <w:rFonts w:ascii="Arial" w:hAnsi="Arial" w:cs="Arial"/>
          <w:lang w:val="es-ES"/>
        </w:rPr>
        <w:t xml:space="preserve"> orgánicos de manera adecuada, de forma que se reduzca el riesgo de contaminación del medio ambiente.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5.1.13 Realizar las enmiendas necesarias siempre que el pH del suelo se aparte sustancialmente de los valores 6,5-8,9; o cuándo las características físicas o químicas del suelo así lo aconsejen en una zona o comarca determinada. En cualquier caso, las enmiendas tendrán que ser técnicamente justificadas de acuerdo con un análisis del suelo y con las necesidades reales de la variedad y la especie cultivadas.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5.1.14 Optimizar el reparto de los fertilizantes en función de los medios disponibles.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5.2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5.2.1 Superar la cantidad máxima tolerable por</w:t>
      </w:r>
      <w:r w:rsidRPr="00993936">
        <w:rPr>
          <w:rFonts w:ascii="Arial" w:hAnsi="Arial" w:cs="Arial"/>
          <w:vanish/>
          <w:lang w:val="es-ES"/>
        </w:rPr>
        <w:t>&lt;A[por|para]&gt;</w:t>
      </w:r>
      <w:r w:rsidRPr="00993936">
        <w:rPr>
          <w:rFonts w:ascii="Arial" w:hAnsi="Arial" w:cs="Arial"/>
          <w:lang w:val="es-ES"/>
        </w:rPr>
        <w:t xml:space="preserve"> hectárea y año de nitrógeno total, fósforo y potasio y exceder los límites nacionales e internacionales aplicables a cada territorio relativos a la contaminación por</w:t>
      </w:r>
      <w:r w:rsidRPr="00993936">
        <w:rPr>
          <w:rFonts w:ascii="Arial" w:hAnsi="Arial" w:cs="Arial"/>
          <w:vanish/>
          <w:lang w:val="es-ES"/>
        </w:rPr>
        <w:t>&lt;A[por|para]&gt;</w:t>
      </w:r>
      <w:r w:rsidRPr="00993936">
        <w:rPr>
          <w:rFonts w:ascii="Arial" w:hAnsi="Arial" w:cs="Arial"/>
          <w:lang w:val="es-ES"/>
        </w:rPr>
        <w:t xml:space="preserve"> nitratos o fosfatos del agua </w:t>
      </w:r>
      <w:r w:rsidRPr="00993936">
        <w:rPr>
          <w:rFonts w:ascii="Arial" w:hAnsi="Arial" w:cs="Arial"/>
          <w:lang w:val="es-ES"/>
        </w:rPr>
        <w:lastRenderedPageBreak/>
        <w:t>subterránea, así como los límites que se fijan de metales pesados en el anexo 2 de esta norma, de patógenos y de otros productos tóxicos.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5.2.2 Aplicar estiércol y purines sobre los terrenos encharcados o con nieve y a menos de </w:t>
      </w:r>
      <w:smartTag w:uri="urn:schemas-microsoft-com:office:smarttags" w:element="metricconverter">
        <w:smartTagPr>
          <w:attr w:name="ProductID" w:val="50 m"/>
        </w:smartTagPr>
        <w:r w:rsidRPr="00993936">
          <w:rPr>
            <w:rFonts w:ascii="Arial" w:hAnsi="Arial" w:cs="Arial"/>
            <w:lang w:val="es-ES"/>
          </w:rPr>
          <w:t>50 m</w:t>
        </w:r>
      </w:smartTag>
      <w:r w:rsidRPr="00993936">
        <w:rPr>
          <w:rFonts w:ascii="Arial" w:hAnsi="Arial" w:cs="Arial"/>
          <w:lang w:val="es-ES"/>
        </w:rPr>
        <w:t xml:space="preserve"> de una captación de agua destinada al consumo humano.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5.2.3 Utilizar, sin haber realizado tratamiento previo reconocido por la dirección general competente en materia de agricultura, tanto lodos que procedan de depuradora como</w:t>
      </w:r>
      <w:r w:rsidRPr="00993936">
        <w:rPr>
          <w:rFonts w:ascii="Arial" w:hAnsi="Arial" w:cs="Arial"/>
          <w:vanish/>
          <w:lang w:val="es-ES"/>
        </w:rPr>
        <w:t>&lt;A[como|cómo]&gt;</w:t>
      </w:r>
      <w:r w:rsidRPr="00993936">
        <w:rPr>
          <w:rFonts w:ascii="Arial" w:hAnsi="Arial" w:cs="Arial"/>
          <w:lang w:val="es-ES"/>
        </w:rPr>
        <w:t xml:space="preserve"> residuos sólidos urbanos.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5.2.4 Utilizar purines y estiércol directamente sobre cultivos ya establecidos y en los que estos productos entren en contacto directo con los órganos comestibles.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5.3.1 Analizar el suelo antes de la siembra o plantación.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5.3.2 En caso de cultivos con suelo, realizar un seguimiento analítico del extracto saturado, o varios análisis foliares.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5.3.3 En caso de cultivos sin suelo, realizar al menos un análisis foliar durante el desarrollo del cultivo, analizar mensualmente la solución del drenaje y, al menos una vez al año, la solución nutritiva.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5.3.4 Realizar enmiendas calcáreas si las aguas presentan elevadas concentraciones de sales no deseables o si se producen desequilibrios entre la cal y otros cationes.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5.3.5 Corregir la salinidad y la alcalinidad del suelo mediante azufre, yeso</w:t>
      </w:r>
      <w:r w:rsidRPr="00993936">
        <w:rPr>
          <w:rFonts w:ascii="Arial" w:hAnsi="Arial" w:cs="Arial"/>
          <w:vanish/>
          <w:lang w:val="es-ES"/>
        </w:rPr>
        <w:t>&lt;A[yeso|tiza]&gt;</w:t>
      </w:r>
      <w:r w:rsidRPr="00993936">
        <w:rPr>
          <w:rFonts w:ascii="Arial" w:hAnsi="Arial" w:cs="Arial"/>
          <w:lang w:val="es-ES"/>
        </w:rPr>
        <w:t xml:space="preserve"> y riegos abundantes antes de la nueva plantación.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5.3.6 Conseguir, mediante un manejo adecuado, un nivel de pH del suelo comprendido entre 6,5 y 8,9.</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Poda</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 xml:space="preserve">6.1 Obligaciones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6.1.1 La poda en verde, en caso de ser necesaria, se llevará a cabo con un planteamiento técnico, teniendo en cuenta los principios fundamentales que rigen esta práctica, para maximizar su eficacia y rentabilidad.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6.1.2 El sistema de poda tiene que respetar el estado fisiológico óptimo de la planta, permitir una buena ventilación y penetración de la luz y de los tratamientos.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6.1.3 Corregir el exceso de vigor mediante prácticas culturales, además de la poda.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6.1.4 Desinfectar o sustituir los guantes y los instrumentos de poda cuando se cambie de parcela o de variedad, y en caso de haber riesgo de propagación de problemas fitosanitarios.</w:t>
      </w:r>
      <w:r w:rsidRPr="00993936" w:rsidDel="004C0492">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6.1.5 Eliminar los restos de poda, deshojado, frutos procedentes del aclareo y plantas o bien órganos sobre los cuales se manifieste algún tipo de enfermedad. Estos restos vegetales deben sacarse de la plantación lo antes posible, a menos que por condiciones meteorológicas o biológicas no se pueda realizar esta operación.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6.2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6.2.1 Quemar de manera incontrolada los restos de poda.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6.2.2 Abandonar los restos de poda no procesados dentro de la parcela y/o unidad homogénea de cultivo cuando</w:t>
      </w:r>
      <w:r w:rsidRPr="00993936">
        <w:rPr>
          <w:rFonts w:ascii="Arial" w:hAnsi="Arial" w:cs="Arial"/>
          <w:vanish/>
          <w:lang w:val="es-ES"/>
        </w:rPr>
        <w:t>&lt;A[cuando|cuándo]&gt;</w:t>
      </w:r>
      <w:r w:rsidRPr="00993936">
        <w:rPr>
          <w:rFonts w:ascii="Arial" w:hAnsi="Arial" w:cs="Arial"/>
          <w:lang w:val="es-ES"/>
        </w:rPr>
        <w:t xml:space="preserve"> puedan suponer un riesgo fitosanitario.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6.3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6.3.1 Evitar realizar la poda con alta humedad relativa ambiental.</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Polinización y cuajado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7.1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7.1.1 Disponer de la autorización y el estricto control del responsable técnico correspondiente En caso de uso de fitoreguladores.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7.1.2 Seleccionar los fitorreguladores a utilizar teniendo en cuenta su toxicidad para los insectos polinizadores.</w:t>
      </w:r>
    </w:p>
    <w:p w:rsidR="00503A41" w:rsidRPr="00993936" w:rsidRDefault="00503A41" w:rsidP="001D205D">
      <w:pPr>
        <w:pStyle w:val="Sinespaciado"/>
        <w:jc w:val="both"/>
        <w:rPr>
          <w:rFonts w:ascii="Arial" w:hAnsi="Arial" w:cs="Arial"/>
          <w:lang w:val="es-ES"/>
        </w:rPr>
      </w:pPr>
      <w:r w:rsidRPr="00993936">
        <w:rPr>
          <w:rStyle w:val="Textoennegrita"/>
          <w:rFonts w:ascii="Arial" w:hAnsi="Arial" w:cs="Arial"/>
          <w:b w:val="0"/>
          <w:lang w:val="es-ES"/>
        </w:rPr>
        <w:t>7.2</w:t>
      </w:r>
      <w:r w:rsidRPr="00993936">
        <w:rPr>
          <w:rStyle w:val="Textoennegrita"/>
          <w:rFonts w:ascii="Arial" w:hAnsi="Arial" w:cs="Arial"/>
          <w:lang w:val="es-ES"/>
        </w:rPr>
        <w:t xml:space="preserve">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7.2.1 Utilizar fitoreguladores cuando las condiciones ambientales permitan la utilización de técnicas alternativas (insectos polinizadores, viento, vibradores, etc.).</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Artículo 8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Riego</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8.1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8.1.1 Disponer de las características analíticas de la calidad del agua de riego con la finalidad de tomar una decisión sobre su utilización. El análisis químico incluirá al menos las determinaciones de nitratos y de conductividad, sin perjuicio de otros elementos que puedan ser de interés. Los análisis se harán en laboratorios autorizados.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8.1.2 Analizar el agua de riego cada 2 años en un laboratorio reconocido por la Administración. Si la composición del agua es muy variable, se tendrán que hacer análisis del contenido de nitratos y de la conductividad con más frecuencia. En caso de utilizar, para regar, aguas residuales depuradas, que puedan entrar en contacto directo con los órganos vegetales comestibles, analizar la posible presencia de contaminantes microbianos, químicos o bacteriológicos con el fin de tomar una decisión sobre su utilización.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8.1.3 En cultivos al aire libre, establecer los volúmenes anuales necesarios mediante el cálculo de las necesidades del cultivo, de acuerdo con los datos locales de la evapotranspiración, calculada por medio de los datos de la estación meteorológica más representativa.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8.1.4 Establecer los volúmenes máximos de cada riego en función del sistema de aportación de agua, la profundidad radicular del cultivo, el estado hídrico y las características físicas del suelo. Para</w:t>
      </w:r>
      <w:r w:rsidRPr="00993936">
        <w:rPr>
          <w:rFonts w:ascii="Arial" w:hAnsi="Arial" w:cs="Arial"/>
          <w:vanish/>
          <w:lang w:val="es-ES"/>
        </w:rPr>
        <w:t>&lt;A[Por|Para]&gt;</w:t>
      </w:r>
      <w:r w:rsidRPr="00993936">
        <w:rPr>
          <w:rFonts w:ascii="Arial" w:hAnsi="Arial" w:cs="Arial"/>
          <w:lang w:val="es-ES"/>
        </w:rPr>
        <w:t xml:space="preserve"> valores de conductividad eléctrica del agua superiores a 2,1 dS/m, se utilizará una fracción de lavado complementaria a las dosis normales del riego.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8.1.5  Los riegos se programarán para cada parcela y/o UHC siguiendo métodos técnicamente aceptados.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8.1.6 Se utilizarán técnicas de riego que garanticen la máxima eficiencia en el uso del agua y la optimización de los recursos hídricos, evitando las pérdidas de agua, por lo cual se tendrá en cuenta que:</w:t>
      </w:r>
    </w:p>
    <w:p w:rsidR="00503A41" w:rsidRPr="00993936" w:rsidRDefault="00503A41" w:rsidP="009D1A2D">
      <w:pPr>
        <w:pStyle w:val="Sinespaciado"/>
        <w:numPr>
          <w:ilvl w:val="0"/>
          <w:numId w:val="173"/>
        </w:numPr>
        <w:jc w:val="both"/>
        <w:rPr>
          <w:rFonts w:ascii="Arial" w:hAnsi="Arial" w:cs="Arial"/>
          <w:lang w:val="es-ES"/>
        </w:rPr>
      </w:pPr>
      <w:r w:rsidRPr="00993936">
        <w:rPr>
          <w:rFonts w:ascii="Arial" w:hAnsi="Arial" w:cs="Arial"/>
          <w:lang w:val="es-ES"/>
        </w:rPr>
        <w:t>Las dosis de riego se ajustarán a las necesidades de los cultivos, a la textura y a las características del drenaje del suelo.</w:t>
      </w:r>
    </w:p>
    <w:p w:rsidR="00503A41" w:rsidRPr="00993936" w:rsidRDefault="00503A41" w:rsidP="009D1A2D">
      <w:pPr>
        <w:pStyle w:val="Sinespaciado"/>
        <w:numPr>
          <w:ilvl w:val="0"/>
          <w:numId w:val="173"/>
        </w:numPr>
        <w:jc w:val="both"/>
        <w:rPr>
          <w:rFonts w:ascii="Arial" w:hAnsi="Arial" w:cs="Arial"/>
          <w:lang w:val="es-ES"/>
        </w:rPr>
      </w:pPr>
      <w:r w:rsidRPr="00993936">
        <w:rPr>
          <w:rFonts w:ascii="Arial" w:hAnsi="Arial" w:cs="Arial"/>
          <w:lang w:val="es-ES"/>
        </w:rPr>
        <w:t>En el riego por gravedad o inundación, la longitud de los surcos o de las parcelas a regar y su pendiente máxima se establecerán en función del volumen de riego necesario y de las condiciones hidráulicas y de permeabilidad del terreno.</w:t>
      </w:r>
    </w:p>
    <w:p w:rsidR="00503A41" w:rsidRPr="00993936" w:rsidRDefault="00503A41" w:rsidP="009D1A2D">
      <w:pPr>
        <w:pStyle w:val="Sinespaciado"/>
        <w:numPr>
          <w:ilvl w:val="0"/>
          <w:numId w:val="173"/>
        </w:numPr>
        <w:jc w:val="both"/>
        <w:rPr>
          <w:rFonts w:ascii="Arial" w:hAnsi="Arial" w:cs="Arial"/>
          <w:lang w:val="es-ES"/>
        </w:rPr>
      </w:pPr>
      <w:r w:rsidRPr="00993936">
        <w:rPr>
          <w:rFonts w:ascii="Arial" w:hAnsi="Arial" w:cs="Arial"/>
          <w:lang w:val="es-ES"/>
        </w:rPr>
        <w:t>En el riego a presión se justificará que el valor del coeficiente de uniformidad (CU) estará comprendido entre los valores establecidos en función de la separación entre los emisores y la pendiente del terreno. El coeficiente de uniformidad, según el método de Merrian &amp; Keller (o los que determine la normativa vigente), será como mínimo del 80% (anexo 3). La comprobación de este coeficiente se realizará cada 3 años en cada sector de riego, para asegurar el buen funcionamiento de las instalaciones.</w:t>
      </w:r>
    </w:p>
    <w:p w:rsidR="00503A41" w:rsidRPr="00993936" w:rsidRDefault="00503A41" w:rsidP="009D1A2D">
      <w:pPr>
        <w:pStyle w:val="Sinespaciado"/>
        <w:numPr>
          <w:ilvl w:val="0"/>
          <w:numId w:val="173"/>
        </w:numPr>
        <w:jc w:val="both"/>
        <w:rPr>
          <w:rFonts w:ascii="Arial" w:hAnsi="Arial" w:cs="Arial"/>
          <w:lang w:val="es-ES"/>
        </w:rPr>
      </w:pPr>
      <w:r w:rsidRPr="00993936">
        <w:rPr>
          <w:rFonts w:ascii="Arial" w:hAnsi="Arial" w:cs="Arial"/>
          <w:lang w:val="es-ES"/>
        </w:rPr>
        <w:t>Mantener en buen estado de conservación los sistemas de distribución del agua.</w:t>
      </w:r>
    </w:p>
    <w:p w:rsidR="00503A41" w:rsidRPr="00993936" w:rsidRDefault="00503A41" w:rsidP="009D1A2D">
      <w:pPr>
        <w:pStyle w:val="Sinespaciado"/>
        <w:numPr>
          <w:ilvl w:val="0"/>
          <w:numId w:val="173"/>
        </w:numPr>
        <w:jc w:val="both"/>
        <w:rPr>
          <w:rFonts w:ascii="Arial" w:hAnsi="Arial" w:cs="Arial"/>
          <w:lang w:val="es-ES"/>
        </w:rPr>
      </w:pPr>
      <w:r w:rsidRPr="00993936">
        <w:rPr>
          <w:rFonts w:ascii="Arial" w:hAnsi="Arial" w:cs="Arial"/>
          <w:lang w:val="es-ES"/>
        </w:rPr>
        <w:t>Registrar el agua de riego aplicada en el cuaderno de explotación. Si no fuera posible, se efectuará una estimación</w:t>
      </w:r>
      <w:r w:rsidRPr="00993936">
        <w:rPr>
          <w:rFonts w:ascii="Arial" w:hAnsi="Arial" w:cs="Arial"/>
          <w:vanish/>
          <w:lang w:val="es-ES"/>
        </w:rPr>
        <w:t>&lt;A[estimación|estima]&gt;</w:t>
      </w:r>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8.1.7 Al regar, se evitará la aplicación de aguas que conduzcan a una degradación del suelo por salinización y/o sodificación.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8.2.1 Utilizar aguas caracterizadas por parámetros de calidad inadecuados para el cultivo y para 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8.2.2 Utilizar aguas residuales sin depuración previa o aguas que están depuradas, pero superaron los parámetros que establece la legislación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8.3.1 Colocar las líneas de goteros en surcos separados al menos </w:t>
      </w:r>
      <w:smartTag w:uri="urn:schemas-microsoft-com:office:smarttags" w:element="metricconverter">
        <w:smartTagPr>
          <w:attr w:name="ProductID" w:val="10 cm"/>
        </w:smartTagPr>
        <w:r w:rsidRPr="00993936">
          <w:rPr>
            <w:rFonts w:ascii="Arial" w:hAnsi="Arial" w:cs="Arial"/>
            <w:lang w:val="es-ES"/>
          </w:rPr>
          <w:t>10 cm</w:t>
        </w:r>
      </w:smartTag>
      <w:r w:rsidRPr="00993936">
        <w:rPr>
          <w:rFonts w:ascii="Arial" w:hAnsi="Arial" w:cs="Arial"/>
          <w:lang w:val="es-ES"/>
        </w:rPr>
        <w:t xml:space="preserve"> de la hilera de plantas y, En cualquier caso, de forma que no mojen el cuello de las plantas.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8.3.2 En caso de cultivo sin suelo, los riegos se efectuarán cuando se haya consumido entre el 5 y el 10% del agua retenida para sustratos de baja capacidad de retención de agua, y entre el 10 y el 20% para sustratos de elevada capacidad de retención, corrigiendo el volumen de riego en función de los iones perjudiciales.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8.3.3 Se recomienda que el material utilizado en las instalaciones nuevas de microirrigación corresponda a los modelos de emisores, tubos emisores y difusores certificados por el programa de control de características de material de microirrigación del Departamento de Agricultura, Ganadería y Pesca (Orden de 2 de mayo de 1995, DOGC nº. 2050, de 15.5.1995) o por otros programas oficiales.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8.3.4 Evitar el riego por gravedad en suelos de textura arenosa.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8.3.5 Utilizar el riego por goteo cuando sea posible.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9</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Control de malas hierbas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9.1 </w:t>
      </w:r>
      <w:r w:rsidRPr="00993936">
        <w:rPr>
          <w:rFonts w:ascii="Arial" w:hAnsi="Arial" w:cs="Arial"/>
          <w:i/>
          <w:snapToGrid w:val="0"/>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9.1.1 Controlar las malas hierbas, siempre que sea posible, mediante medios físicos, mecánicos, biológicos, biofísicos o aquellos que ofrezcan el menor riesgo de emisiones de CO</w:t>
      </w:r>
      <w:r w:rsidRPr="00993936">
        <w:rPr>
          <w:rFonts w:ascii="Arial" w:hAnsi="Arial" w:cs="Arial"/>
          <w:vertAlign w:val="subscript"/>
          <w:lang w:val="es-ES"/>
        </w:rPr>
        <w:t>2</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9.1.2 Cuando los medios señalados anteriormente no permitan un control adecuado de las malas hierbas, se podrá justificar la aplicación de algún herbicida.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malas hierbas que no son habituales en cada uno de los diferentes cultivos de esta norma, se podrá actuar en contra con cualquier otro herbicida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Esta excepción también será de aplicación para</w:t>
      </w:r>
      <w:r w:rsidRPr="00993936">
        <w:rPr>
          <w:rFonts w:ascii="Arial" w:hAnsi="Arial" w:cs="Arial"/>
          <w:vanish/>
          <w:lang w:val="es-ES"/>
        </w:rPr>
        <w:t>&lt;A[por|para]&gt;</w:t>
      </w:r>
      <w:r w:rsidRPr="00993936">
        <w:rPr>
          <w:rFonts w:ascii="Arial" w:hAnsi="Arial" w:cs="Arial"/>
          <w:lang w:val="es-ES"/>
        </w:rPr>
        <w:t xml:space="preserve"> aquellos herbicidas que aparezcan al Registro, para combatir determinadas malas hierbas y que no estén contemplados por</w:t>
      </w:r>
      <w:r w:rsidRPr="00993936">
        <w:rPr>
          <w:rFonts w:ascii="Arial" w:hAnsi="Arial" w:cs="Arial"/>
          <w:vanish/>
          <w:lang w:val="es-ES"/>
        </w:rPr>
        <w:t>&lt;A[por|para]&gt;</w:t>
      </w:r>
      <w:r w:rsidRPr="00993936">
        <w:rPr>
          <w:rFonts w:ascii="Arial" w:hAnsi="Arial" w:cs="Arial"/>
          <w:lang w:val="es-ES"/>
        </w:rPr>
        <w:t xml:space="preserve"> su novedad en el anexo de herbicidas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En caso de ser necesaria la aplicación de herbicidas, se efectuará mediante las técnicas recomendadas en la etiqueta del producto.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9.1.3 En el supuesto de que se utilicen herbicidas, el tratamiento herbicida se hará, preferentemente, en el momento en que la mala hierba sea más sensible con la finalidad de utilizar las mínimas dosis eficaces.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9.1.4 Las materias activas a utilizar serán seleccionadas de acuerdo con los criterios de menor peligrosidad para los humanos, la fauna silvestre y el medio ambiente, y que proporcionen un control efectivo de la mala hierba. En cualquier caso, sólo se podrán utilizar los herbicidas inscritos en el Registro Oficial de Productos y Material Fitosanitario del Ministerio de Agricultura, Pesca, Alimentación y Medio Ambiente, (MAPAMA) y aprobados expresamente para los cultivos autorizados que figuran en el anexo 4 de cada uno de los diferentes cultivos.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9.1.5 Los volúmenes máximos de caldo en los tratamientos herbicidas se ajustarán a los parámetros precisos, teniendo en cuenta el estado de desarrollo del cultivo para obtener la máxima eficacia con la menor dosificación.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9.1.6 Adoptar las medidas precisas para evitar que la deriva de las aplicaciones llegue a parcelas y/o UHC diferentes a las que se pretenden tratar.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 9.2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9.2.1 Utilizar herbicidas residuales en suelos arenosos, enarenados y en general en suelos muy ligeros. En suelos medios y pesados, se permite la utilización de herbicidas, siempre bajo la prescripción técnica y justificada, según niveles de colonización.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9.2.2 Utilizar herbicidas a menos de 5 metros de las aguas superficiales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9.2.3 Utilizar cualquier herbicida que, a pesar de figurar en el anexo 4 de cada uno de los diferentes cultivos se haya dado de baja del Registro Oficial de Productos y Material Fitosanitario del Ministerio de Agricultura, Pesca, Alimentación y Medio Ambiente, (MAPAMA) con posterioridad a la publicación de la disposición que lo aprueba o que haya perdido la autorización de uso correspondiente.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9.3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9.3.1 Realizar los tratamientos en cavallones ya estabilizados.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9.3.2 Controlar las malas hierbas utilizando técnicas de control integrado, y preferentemente mediante la adopción de medidas preventivas antes de la implantación del cultivo.</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10</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Control integrado de plagas y enfermedades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10.1.1 Para controlar plagas y enfermedades se deben priorizar, siempre que sea posible, los métodos biológicos, biotecnológicos, culturales, físicos y genéticos antes que los métodos químicos.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10.1.2 Mantener la parcela y/o UHC y sus márgenes libres de vegetación ajena al cultivo, salvo aquellos casos en que se justifique que el mantenimiento de esta sea positivo para la potenciación de algún organismo beneficioso.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10.1.3 Proteger la fauna auxiliar en general y, en particular, un mínimo de dos especies</w:t>
      </w:r>
      <w:r w:rsidRPr="00993936">
        <w:rPr>
          <w:rFonts w:ascii="Arial" w:hAnsi="Arial" w:cs="Arial"/>
          <w:vanish/>
          <w:lang w:val="es-ES"/>
        </w:rPr>
        <w:t>&lt;A[especies|especias]&gt;</w:t>
      </w:r>
      <w:r w:rsidRPr="00993936">
        <w:rPr>
          <w:rFonts w:ascii="Arial" w:hAnsi="Arial" w:cs="Arial"/>
          <w:lang w:val="es-ES"/>
        </w:rPr>
        <w:t xml:space="preserve"> de enemigos naturales que se consideren prioritarios o clave</w:t>
      </w:r>
      <w:r w:rsidRPr="00993936">
        <w:rPr>
          <w:rFonts w:ascii="Arial" w:hAnsi="Arial" w:cs="Arial"/>
          <w:vanish/>
          <w:lang w:val="es-ES"/>
        </w:rPr>
        <w:t>&lt;A[clave|clavo|llave]&gt;</w:t>
      </w:r>
      <w:r w:rsidRPr="00993936">
        <w:rPr>
          <w:rFonts w:ascii="Arial" w:hAnsi="Arial" w:cs="Arial"/>
          <w:lang w:val="es-ES"/>
        </w:rPr>
        <w:t xml:space="preserve"> para el control biológico de plagas para el cultivo en cuestión. En caso de esta norma la fauna auxiliar que se considera prioritaria para cada uno de los cultivos se recoge en el anexo 5.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10.1.4 El técnico competente evaluará la situación fitopatológica del cultivo y su evolución con una periodicidad de entre 7 y 15 días, salvo los casos en que el riesgo fitosanitario obligue a realizarlos con una periodicidad inferior. Para hacer esta evaluación se adoptará uno de los programas incluidos en en el anexo 6 de</w:t>
      </w:r>
      <w:r w:rsidRPr="00993936">
        <w:rPr>
          <w:rFonts w:ascii="Arial" w:hAnsi="Arial" w:cs="Arial"/>
          <w:snapToGrid w:val="0"/>
          <w:lang w:val="es-ES" w:eastAsia="es-ES"/>
        </w:rPr>
        <w:t xml:space="preserve"> </w:t>
      </w:r>
      <w:r w:rsidRPr="00993936">
        <w:rPr>
          <w:rFonts w:ascii="Arial" w:hAnsi="Arial" w:cs="Arial"/>
          <w:lang w:val="es-ES"/>
        </w:rPr>
        <w:t xml:space="preserve">cada uno de los diferentes cultivos.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10.1.5 Retirar de forma inmediata de la plantación las plantas y los órganos con signos de determinadas enfermedades (con especial atención a las virosis y bacteriosis) cuando represente un riesgo importante para su transmisión. El servicio técnico competente justificará la no aplicación de esta medida.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10.1.6 La aplicación de medidas directas de control de plagas y enfermedades sólo se efectuará cuando la estimación</w:t>
      </w:r>
      <w:r w:rsidRPr="00993936">
        <w:rPr>
          <w:rFonts w:ascii="Arial" w:hAnsi="Arial" w:cs="Arial"/>
          <w:vanish/>
          <w:lang w:val="es-ES"/>
        </w:rPr>
        <w:t>&lt;A[estimación|estima]&gt;</w:t>
      </w:r>
      <w:r w:rsidRPr="00993936">
        <w:rPr>
          <w:rFonts w:ascii="Arial" w:hAnsi="Arial" w:cs="Arial"/>
          <w:lang w:val="es-ES"/>
        </w:rPr>
        <w:t xml:space="preserve"> del riesgo lo haga técnicamente recomendable o bien cuando los niveles de población superen los correspondientes umbrales y/o criterios mínimos de intervención que figuran en los anexos de</w:t>
      </w:r>
      <w:r w:rsidRPr="00993936">
        <w:rPr>
          <w:rFonts w:ascii="Arial" w:hAnsi="Arial" w:cs="Arial"/>
          <w:snapToGrid w:val="0"/>
          <w:lang w:val="es-ES" w:eastAsia="es-ES"/>
        </w:rPr>
        <w:t xml:space="preserve"> </w:t>
      </w:r>
      <w:r w:rsidRPr="00993936">
        <w:rPr>
          <w:rFonts w:ascii="Arial" w:hAnsi="Arial" w:cs="Arial"/>
          <w:lang w:val="es-ES"/>
        </w:rPr>
        <w:t xml:space="preserve">cada uno de los diferentes cultivos de esta norma. Los criterios que se utilicen para la justificación de los posibles tratamientos fitosanitarios tendrán que estar previstos en los Programas de control integrado de plagas y enfermedades (CIP) que recoge esta norma.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10.1.7 En caso de que haga falta una intervención con productos fitosanitarios, las sustancias activas a utilizar serán seleccionadas de acuerdo con los criterios de menor peligrosidad para los humanos, la fauna y el medio ambiente; la efectividad en el control de la plaga o la enfermedad, la selectividad (se tiene que evitar la toxicidad para los polinizadores y los enemigos naturales); los residuos y el riesgo de aparición de poblaciones resistentes.  En cualquier caso, sólo se podrán utilizar productos fitosanitarios inscritos en el Registro Oficial de Productos y de Material Fitosanitario del Estado Español y aprobados expresamente para los cultivos y usos autorizados y de acuerdo con las instrucciones y/o </w:t>
      </w:r>
      <w:r w:rsidRPr="00993936">
        <w:rPr>
          <w:rFonts w:ascii="Arial" w:hAnsi="Arial" w:cs="Arial"/>
          <w:lang w:val="es-ES"/>
        </w:rPr>
        <w:lastRenderedPageBreak/>
        <w:t>restricciones que figuran en los anexos de</w:t>
      </w:r>
      <w:r w:rsidRPr="00993936">
        <w:rPr>
          <w:rFonts w:ascii="Arial" w:hAnsi="Arial" w:cs="Arial"/>
          <w:snapToGrid w:val="0"/>
          <w:lang w:val="es-ES" w:eastAsia="es-ES"/>
        </w:rPr>
        <w:t xml:space="preserve"> </w:t>
      </w:r>
      <w:r w:rsidRPr="00993936">
        <w:rPr>
          <w:rFonts w:ascii="Arial" w:hAnsi="Arial" w:cs="Arial"/>
          <w:lang w:val="es-ES"/>
        </w:rPr>
        <w:t>cada uno de los diferentes cultivos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10.1.8 En caso de utilizar para el control de plagas y enfermedades formulados comerciales a base de mezclas de sustancias activas, vista la gran cantidad existente, se consideran admitidas en producción integrada de hortalizas, aunque no estén expresamente definidas en los anexos de esta norma, todas las mezclas de formulados, que incluyan 2 o más sustancias activas incluidas en el mencionado anexo, siempre que la mezcla comercial esté autorizada en el Registro Oficial de Productos y Material Fitosanitario del Ministerio de Agricultura, Pesca, Alimentación y Medio Ambiente (MAPAMA) por el cultivo y para los usos oficialmente autorizados.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No se podrán utilizar los formulados a base de mezclas de sustancias activas que tengan alguna sustancia no dirigida contra una determinada plaga y/o enfermedad, salvo las ocasiones en que se justifique el tratamiento simultáneo contra varios organismos nocivos.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10.1.9 Para evitar riesgos a los operarios, a los consumidores y al medio ambiente, el uso y la aplicación de productos fitosanitarios se realizará respetando siempre las indicaciones de las etiquetas de los productos y siguiendo las recomendaciones y/o instrucciones dictadas por el responsable técnico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10.1.10 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plagas, que, por no ser habituales, no están reflejadas en los anexos de esta norma, o no se haya definido el umbral y/o criterio mínimo de intervención, se podrá actuar en contra con cualquier otro fitosanitario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Esta excepción también será de aplicación para</w:t>
      </w:r>
      <w:r w:rsidRPr="00993936">
        <w:rPr>
          <w:rFonts w:ascii="Arial" w:hAnsi="Arial" w:cs="Arial"/>
          <w:vanish/>
          <w:lang w:val="es-ES"/>
        </w:rPr>
        <w:t>&lt;A[por|para]&gt;</w:t>
      </w:r>
      <w:r w:rsidRPr="00993936">
        <w:rPr>
          <w:rFonts w:ascii="Arial" w:hAnsi="Arial" w:cs="Arial"/>
          <w:lang w:val="es-ES"/>
        </w:rPr>
        <w:t xml:space="preserve"> aquellos fitosanitarios que aparezcan en el Registro para combatir determinadas plagas y/o enfermedades que no estén contempladas por</w:t>
      </w:r>
      <w:r w:rsidRPr="00993936">
        <w:rPr>
          <w:rFonts w:ascii="Arial" w:hAnsi="Arial" w:cs="Arial"/>
          <w:vanish/>
          <w:lang w:val="es-ES"/>
        </w:rPr>
        <w:t>&lt;A[por|para]&gt;</w:t>
      </w:r>
      <w:r w:rsidRPr="00993936">
        <w:rPr>
          <w:rFonts w:ascii="Arial" w:hAnsi="Arial" w:cs="Arial"/>
          <w:lang w:val="es-ES"/>
        </w:rPr>
        <w:t xml:space="preserve"> su novedad en los anexos de fitosanitarios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10.1.11 En caso de tratamientos fitosanitarios y con la finalidad de obtener la máxima eficacia con la menor dosis, y teniendo en cuenta el estado fenológico del cultivo se deben ajustar las concentraciones de los productos, los volúmenes máximos de caldo y el caudal de aire, con el objetivo de evitar las sobre dosificaciones y procurar que las aplicaciones no lleguen a una parcela y/o UHC diferente de la que se pretende tratar.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10.1.12  Reducir el área tratada a foco o rodales con tratamientos químicos siempre que la plaga o enfermedad se encuentre lo bastante localizada y sea posible.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10.1.13 Se tendrán que registrar en el cuaderno de explotación todas las aplicaciones de productos fitosanitarios indicando como mínimo la fecha, el producto, el principio activo, la cantidad y el volumen utilizado, las cuales tendrán que revisarse periódicamente por el técnico responsable de producción integrada y su conformidad figurará en el cuaderno de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10.1.14 Cuando se mezclen fitosanitarios, habrá que seguir los procedimientos adecuados para el manejo y la carga, según se indique en las instrucciones de la etiqueta del producto.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10.1.15 Con la finalidad de disminuir la contaminación que provenga de los restos de fitosanitarios que quedan en los envases, se realizará un triple enjuague. El agua de este lavado se añadirá al tanque de aplicación.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10.1.16  La presencia de residuos se tiene que minimizar mediante la máxima ampliación posible de los plazos de seguridad.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10.1.17 El aplicador de productos fitosanitarios tendrá que estar cualificado</w:t>
      </w:r>
      <w:r w:rsidRPr="00993936">
        <w:rPr>
          <w:rFonts w:ascii="Arial" w:hAnsi="Arial" w:cs="Arial"/>
          <w:vanish/>
          <w:lang w:val="es-ES"/>
        </w:rPr>
        <w:t>&lt;A[cualificado|calificado]&gt;</w:t>
      </w:r>
      <w:r w:rsidRPr="00993936">
        <w:rPr>
          <w:rFonts w:ascii="Arial" w:hAnsi="Arial" w:cs="Arial"/>
          <w:lang w:val="es-ES"/>
        </w:rPr>
        <w:t xml:space="preserve"> específicamente, por</w:t>
      </w:r>
      <w:r w:rsidRPr="00993936">
        <w:rPr>
          <w:rFonts w:ascii="Arial" w:hAnsi="Arial" w:cs="Arial"/>
          <w:vanish/>
          <w:lang w:val="es-ES"/>
        </w:rPr>
        <w:t>&lt;A[por|para]&gt;</w:t>
      </w:r>
      <w:r w:rsidRPr="00993936">
        <w:rPr>
          <w:rFonts w:ascii="Arial" w:hAnsi="Arial" w:cs="Arial"/>
          <w:lang w:val="es-ES"/>
        </w:rPr>
        <w:t xml:space="preserve"> lo cual tendrá que justificar que dispone de la acreditación del carné básico de aplicador de productos fitosanitarios o el carné cualificado</w:t>
      </w:r>
      <w:r w:rsidRPr="00993936">
        <w:rPr>
          <w:rFonts w:ascii="Arial" w:hAnsi="Arial" w:cs="Arial"/>
          <w:vanish/>
          <w:lang w:val="es-ES"/>
        </w:rPr>
        <w:t>&lt;A[calificado|cualificado]&gt;</w:t>
      </w:r>
      <w:r w:rsidRPr="00993936">
        <w:rPr>
          <w:rFonts w:ascii="Arial" w:hAnsi="Arial" w:cs="Arial"/>
          <w:lang w:val="es-ES"/>
        </w:rPr>
        <w:t xml:space="preserve"> En caso que le sea obligatorio de acuerdo con lo que establece el RD 1311/2012</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10.1.18 La maquinaria utilizada para aplicar los productos fitosanitarios se tiene que mantener en adecuado estado de funcionamiento y someterse, periódicamente, a los controles e inspecciones que establece el artículo 16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10.2.1 Realizar liberaciones de enemigos naturales no presentes en la fauna española, o cuya introducción esté prohibida por</w:t>
      </w:r>
      <w:r w:rsidRPr="00993936">
        <w:rPr>
          <w:rFonts w:ascii="Arial" w:hAnsi="Arial" w:cs="Arial"/>
          <w:vanish/>
          <w:lang w:val="es-ES"/>
        </w:rPr>
        <w:t>&lt;A[por|para]&gt;</w:t>
      </w:r>
      <w:r w:rsidRPr="00993936">
        <w:rPr>
          <w:rFonts w:ascii="Arial" w:hAnsi="Arial" w:cs="Arial"/>
          <w:lang w:val="es-ES"/>
        </w:rPr>
        <w:t xml:space="preserve"> la legislación correspondiente, salvo autorización expresa de la dirección general competente en materia de agricultura..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10.2.2 Utilizar calendarios de tratamientos y realizar aplicaciones indiscriminadas sin la prescripción técnica.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10.2.3 Utilizar materias activas no incluidas en los anexos de</w:t>
      </w:r>
      <w:r w:rsidRPr="00993936">
        <w:rPr>
          <w:rFonts w:ascii="Arial" w:hAnsi="Arial" w:cs="Arial"/>
          <w:snapToGrid w:val="0"/>
          <w:lang w:val="es-ES" w:eastAsia="es-ES"/>
        </w:rPr>
        <w:t xml:space="preserve"> </w:t>
      </w:r>
      <w:r w:rsidRPr="00993936">
        <w:rPr>
          <w:rFonts w:ascii="Arial" w:hAnsi="Arial" w:cs="Arial"/>
          <w:lang w:val="es-ES"/>
        </w:rPr>
        <w:t>cada uno de los diferentes cultivos de esta norma técnica. Esta prohibición no es de aplicación en las materias activas que tengan una autorización de uso excepcional vigente o a las que aparezcan al Registro Oficial de Productos y Material Fitosanitario, autorizadas para combatir determinadas plagas y/o enfermedades, que no estén contempladas por su novedad en los anexos de fitosanitarios de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10.2.4 Utilizar cualquier producto fitosanitario que, figurando en los anexos de</w:t>
      </w:r>
      <w:r w:rsidRPr="00993936">
        <w:rPr>
          <w:rFonts w:ascii="Arial" w:hAnsi="Arial" w:cs="Arial"/>
          <w:snapToGrid w:val="0"/>
          <w:lang w:val="es-ES" w:eastAsia="es-ES"/>
        </w:rPr>
        <w:t xml:space="preserve"> </w:t>
      </w:r>
      <w:r w:rsidRPr="00993936">
        <w:rPr>
          <w:rFonts w:ascii="Arial" w:hAnsi="Arial" w:cs="Arial"/>
          <w:lang w:val="es-ES"/>
        </w:rPr>
        <w:t>cada uno de los diferentes cultivos de esta norma, se haya dado de baja del Registro Oficial de Productos y Material Fitosanitario del Ministerio de Agricultura, Pesca, Alimentación y Medio Ambiente (MAPAMA) con posterioridad a la publicación de esta norma y que haya perdido la autorización de uso correspondiente.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10.2.5 Utilizar productos fitosanitarios a menos de 5 metros de las aguas superficiales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10.2.6 En cultivos al aire libre, realizar aplicaciones de productos fitosanitarios en condiciones meteorológicamente desfavorables para evitar la deriva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10.2.7 Abandonar el control fitosanitario antes de finalizar el periodo vegetativo del cultivo, excepto en casos de fuerza mayor reconocidos por la dirección general competente en materia de agricultura.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10.2.8 Utilizar de manera sistemática y reiterada productos fitosanitarios no selectivos, de larga persistencia, alta volatilidad, lixiviables o con otras características negativas.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10.2.9 Aplicar productos fitosanitarios de perfil toxicológico T+ (muy tóxico) o que en su clasificación y etiquetado presenten frases de riesgo con un perfil muy tóxico o mortales para la salud humana.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10.2.10  Aplicar productos fitosanitarios a menos de 50 metros de captaciones de agua de consumo humano.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10.2.11  Verter a cualquier curso de agua, temporal o permanente, los restos de fitosanitarios o las aguas de limpieza de la maquinaria utilizada para aplicarlos.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10.3.1 Desinfectar la estructura, las mallas y la cubierta de las protecciones de los cultivos, así como conducciones de riego cuando sea necesario.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10.3.2 En caso de tratamientos fitosanitarios, alternar sustancias activas de los diferentes grupos químicos y mecanismos de acción, no realizando más de dos tratamientos consecutivos con la misma sustancia activa.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10.3.3 No utilizar productos fitosanitarios con más de dos años desde la fecha de fabricación, a no ser que la etiqueta especifique un plazo diferente.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10.3.4 Disponer en la explotación de zonas preparadas expresamente para llenar las cisternas, lavar equipos y depositar los restos de caldos no utilizados, etc.</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10.3.5 Utilizar modelos de predicción de plagas y enfermedades, En caso que haya y que se hayan contrastado en la zona de cultivo.</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Recolección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 xml:space="preserve">11.1.1 Realizar la recolección en las fechas y condiciones adecuadas para evitar heridas en los productos vegetales que reduzcan su calidad y propicien infecciones de patógenos causantes de podredumbres.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11.1.2 Recolectar los productos vegetales en un estado de madurez que permita obtener las exigencias de la calidad comercial.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11.1.3 Eliminar los productos hortícolas que presenten síntomas de patógenos causantes de podredumbres siempre que afecten al cultivo presente o posterior.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11.1.4 Cuando</w:t>
      </w:r>
      <w:r w:rsidRPr="00993936">
        <w:rPr>
          <w:rFonts w:ascii="Arial" w:hAnsi="Arial" w:cs="Arial"/>
          <w:vanish/>
          <w:lang w:val="es-ES"/>
        </w:rPr>
        <w:t>&lt;A[Cuando|Cuándo]&gt;</w:t>
      </w:r>
      <w:r w:rsidRPr="00993936">
        <w:rPr>
          <w:rFonts w:ascii="Arial" w:hAnsi="Arial" w:cs="Arial"/>
          <w:lang w:val="es-ES"/>
        </w:rPr>
        <w:t xml:space="preserve"> los productos recolectados no sean trasladados al almacén de manipulación el mismo día de la recolección, se tendrán que colocar bajo cubierta o en condiciones que eviten la incidencia directa de los agentes atmosféricos y en un lugar</w:t>
      </w:r>
      <w:r w:rsidRPr="00993936">
        <w:rPr>
          <w:rFonts w:ascii="Arial" w:hAnsi="Arial" w:cs="Arial"/>
          <w:vanish/>
          <w:lang w:val="es-ES"/>
        </w:rPr>
        <w:t>&lt;A[lugar|sitio]&gt;</w:t>
      </w:r>
      <w:r w:rsidRPr="00993936">
        <w:rPr>
          <w:rFonts w:ascii="Arial" w:hAnsi="Arial" w:cs="Arial"/>
          <w:lang w:val="es-ES"/>
        </w:rPr>
        <w:t xml:space="preserve"> con la máxima ventilación hasta el momento de su envío al almacén manipulador. En caso de que su manipulación se realice en el campo y cuando haya algún riesgo de contaminación, el embalaje se tendrá que retirar durante la noche.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11.1.5 En caso de que la manipulación se realice en campo, retirar diariamente las cajas que sobren cuando haya algún riesgo de contaminación.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11.1.6 Mantener el equipo de recolección en condiciones adecuadas de utilización.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11.1.7 Todos los operadores que quieran obtener la certificación o bien comercializar productos con la identificación de garantía de producción integrada se tendrán que acoger a un programa de autocontrol individual o colectivo, de acuerdo con lo que prevé el artículo 35 de esta norma,durant la recolección y/o elaboración para analizar la posible presencia de residuos de productos fitosanitarios, de acuerdo con lo que establezcan los artículos 12 (f) y 13 (g) del Decreto 241/2002, y con el objetivo de garantizar que se han utilizado exclusivamente las materias activas seleccionadas en la estrategia de producción integrada, y que se cumple con lo que establece la legislación española en relación con los límites máximos de residuos (LMR) de productos fitosanitarios.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11.1.8 Los operadores tendrán que recibir instrucciones básicas sobre higiene y tendrán que conocer la obligación de comunicar cualquier enfermedad contagiosa que pueda incapacitarlos para realizar este trabajo.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11.1.9 Almacenar los embalajes de forma que se evite la contaminación por plagas y/o enfermedades.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11.1.10 Controlar que los envases reciclables estén limpios</w:t>
      </w:r>
      <w:r w:rsidRPr="00993936">
        <w:rPr>
          <w:rFonts w:ascii="Arial" w:hAnsi="Arial" w:cs="Arial"/>
          <w:vanish/>
          <w:lang w:val="es-ES"/>
        </w:rPr>
        <w:t>&lt;A[limpios|netos]&gt;</w:t>
      </w:r>
      <w:r w:rsidRPr="00993936">
        <w:rPr>
          <w:rFonts w:ascii="Arial" w:hAnsi="Arial" w:cs="Arial"/>
          <w:lang w:val="es-ES"/>
        </w:rPr>
        <w:t xml:space="preserve"> y no tengan materiales extraños que puedan perjudicar la calidad del producto y/o la salud del consumidor.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11.1.11 Los envases o palets de campo tendrán que llevar</w:t>
      </w:r>
      <w:r w:rsidRPr="00993936">
        <w:rPr>
          <w:rFonts w:ascii="Arial" w:hAnsi="Arial" w:cs="Arial"/>
          <w:vanish/>
          <w:lang w:val="es-ES"/>
        </w:rPr>
        <w:t>&lt;A[llevar|traer]&gt;</w:t>
      </w:r>
      <w:r w:rsidRPr="00993936">
        <w:rPr>
          <w:rFonts w:ascii="Arial" w:hAnsi="Arial" w:cs="Arial"/>
          <w:lang w:val="es-ES"/>
        </w:rPr>
        <w:t xml:space="preserve"> una identificación inequívoca de la parcela de procedencia, de la variedad y del tipo de producción.</w:t>
      </w:r>
      <w:r w:rsidRPr="00993936">
        <w:rPr>
          <w:rFonts w:ascii="Arial" w:hAnsi="Arial" w:cs="Arial"/>
          <w:u w:val="single"/>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11.2.1  Efectuar la recolección cuando los productos vegetales estén mojados por causa de la lluvia. No será de aplicación esta prohibición en condiciones de humedad relativa elevada por causa de la niebla, rocío u otros agentes climatológicos.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11.2.2 Abandonar los productos hortícolas de destrío en la parcela si su presencia representa un peligro grave de propagación de plagas o de enfermedades de los vegetales.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11.3.1 Realizar la recolección en un momento adecuado para cada variedad y tipo de presentación.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11.3.2 Disponer de los instrumentos adecuados que permitan evaluar el grado de madurez del producto.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11.3.3 Utilizar agua potable para el lavado de los productos vegetales, que se realice en campo, y que vayan destinados a la comercialización.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12</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Cuaderno de explotación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12.1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 xml:space="preserve">12.1.1 El modelo de Cuaderno de explotación es único con respecto al contenido de los datos a registrar, y será aprobado por el Departamento de Agricultura, Ganadería, Pesca y Alimentación.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12.1.2 El productor de producción integrada, mediante su firma, se responsabilizará de la veracidad de las anotaciones realizadas en el Cuaderno de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12.1.3 El Cuaderno de explotación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12.1.4 El Cuaderno de explotación estará controlado y supervisado periódicamente por el técnico responsable de producción integrada y, a fin de que quede constancia, se registrará la fecha y la firma en cada revisión.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Normas de calidad</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13.1.1 Las categorías comerciales amparadas por la denominación Producción Integrada serán todas las categorías establecidas de acuerdo con las características que define la normativa vigente, relativas a normas de calidad y otros aspectos referentes a la comercialización.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II. INSTALACIONES, EQUIPOS, PERSONAL, TRANSPORTE Y ALMACENAMIENTO</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Instalaciones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14.1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14.1.1  Las instalaciones, incluidos los baños, los equipos y el entorno productivo deben estar en un estado de orden y limpieza adecuado.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14.1.2 Todas las instalaciones deben estar ventiladas, iluminadas y disponer de sistemas de desagües adecuados para las actividades que desarrollen.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14.1.3  Habrá zonas diferentes para el almacenamiento de productos y para los envases vacíos.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14.1.4  Los productos químicos deben estar almacenados en un lugar</w:t>
      </w:r>
      <w:r w:rsidRPr="00993936">
        <w:rPr>
          <w:rFonts w:ascii="Arial" w:hAnsi="Arial" w:cs="Arial"/>
          <w:vanish/>
          <w:lang w:val="es-ES"/>
        </w:rPr>
        <w:t>&lt;A[lugar|sitio]&gt;</w:t>
      </w:r>
      <w:r w:rsidRPr="00993936">
        <w:rPr>
          <w:rFonts w:ascii="Arial" w:hAnsi="Arial" w:cs="Arial"/>
          <w:lang w:val="es-ES"/>
        </w:rPr>
        <w:t xml:space="preserve"> que se pueda cerrar y debidamente señalizado. El acceso al lugar</w:t>
      </w:r>
      <w:r w:rsidRPr="00993936">
        <w:rPr>
          <w:rFonts w:ascii="Arial" w:hAnsi="Arial" w:cs="Arial"/>
          <w:vanish/>
          <w:lang w:val="es-ES"/>
        </w:rPr>
        <w:t>&lt;A[lugar|sitio]&gt;</w:t>
      </w:r>
      <w:r w:rsidRPr="00993936">
        <w:rPr>
          <w:rFonts w:ascii="Arial" w:hAnsi="Arial" w:cs="Arial"/>
          <w:lang w:val="es-ES"/>
        </w:rPr>
        <w:t xml:space="preserve"> de almacenamiento de productos químicos, así como su manipulación, sólo les podrá realizar el personal designado por la persona operadora.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14.1.5  Los productos químicos almacenados deben estar etiquetados correctamente y autorizados para usar en la industria alimenticia.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Higiene y mantenimiento de las instalaciones y equipos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15.1 </w:t>
      </w:r>
      <w:r w:rsidRPr="00993936">
        <w:rPr>
          <w:rFonts w:ascii="Arial" w:hAnsi="Arial" w:cs="Arial"/>
          <w:i/>
          <w:lang w:val="es-ES"/>
        </w:rPr>
        <w:t>Obligaciones</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15.1.1 Cada persona operadora debe disponer de un plan</w:t>
      </w:r>
      <w:r w:rsidRPr="00993936">
        <w:rPr>
          <w:rFonts w:ascii="Arial" w:hAnsi="Arial" w:cs="Arial"/>
          <w:vanish/>
          <w:lang w:val="es-ES"/>
        </w:rPr>
        <w:t>&lt;A[plan|plano]&gt;</w:t>
      </w:r>
      <w:r w:rsidRPr="00993936">
        <w:rPr>
          <w:rFonts w:ascii="Arial" w:hAnsi="Arial" w:cs="Arial"/>
          <w:lang w:val="es-ES"/>
        </w:rPr>
        <w:t xml:space="preserve"> general de limpieza y de desinfección detallado de las instalaciones, los equipos, las líneas de manipulación, el almacenamiento, el envasado y las cámaras frigoríficas, con la finalidad que en todo momento estén en buen estado de conservación.  El plan</w:t>
      </w:r>
      <w:r w:rsidRPr="00993936">
        <w:rPr>
          <w:rFonts w:ascii="Arial" w:hAnsi="Arial" w:cs="Arial"/>
          <w:vanish/>
          <w:lang w:val="es-ES"/>
        </w:rPr>
        <w:t>&lt;A[plan|plano]&gt;</w:t>
      </w:r>
      <w:r w:rsidRPr="00993936">
        <w:rPr>
          <w:rFonts w:ascii="Arial" w:hAnsi="Arial" w:cs="Arial"/>
          <w:lang w:val="es-ES"/>
        </w:rPr>
        <w:t xml:space="preserve"> tendrá que preveer:</w:t>
      </w:r>
    </w:p>
    <w:p w:rsidR="00503A41" w:rsidRPr="00993936" w:rsidRDefault="00503A41" w:rsidP="009D1A2D">
      <w:pPr>
        <w:pStyle w:val="Sinespaciado"/>
        <w:numPr>
          <w:ilvl w:val="0"/>
          <w:numId w:val="174"/>
        </w:numPr>
        <w:jc w:val="both"/>
        <w:rPr>
          <w:rFonts w:ascii="Arial" w:hAnsi="Arial" w:cs="Arial"/>
          <w:lang w:val="es-ES"/>
        </w:rPr>
      </w:pPr>
      <w:r w:rsidRPr="00993936">
        <w:rPr>
          <w:rFonts w:ascii="Arial" w:hAnsi="Arial" w:cs="Arial"/>
          <w:lang w:val="es-ES"/>
        </w:rPr>
        <w:t>Las instalaciones y la maquinaria de la línea de confección se limpiarán y se desinfectarán al inicio de la campaña y al menos una vez al mes en el periodo de funcionamiento.</w:t>
      </w:r>
    </w:p>
    <w:p w:rsidR="00503A41" w:rsidRPr="00993936" w:rsidRDefault="00503A41" w:rsidP="009D1A2D">
      <w:pPr>
        <w:pStyle w:val="Sinespaciado"/>
        <w:numPr>
          <w:ilvl w:val="0"/>
          <w:numId w:val="174"/>
        </w:numPr>
        <w:jc w:val="both"/>
        <w:rPr>
          <w:rFonts w:ascii="Arial" w:hAnsi="Arial" w:cs="Arial"/>
          <w:lang w:val="es-ES"/>
        </w:rPr>
      </w:pPr>
      <w:r w:rsidRPr="00993936">
        <w:rPr>
          <w:rFonts w:ascii="Arial" w:hAnsi="Arial" w:cs="Arial"/>
          <w:lang w:val="es-ES"/>
        </w:rPr>
        <w:t>Los envases se limpiarán y desinfectarán como mínimo una vez al año.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15.1.2 Cada persona operadora dispondrá de un plan</w:t>
      </w:r>
      <w:r w:rsidRPr="00993936">
        <w:rPr>
          <w:rFonts w:ascii="Arial" w:hAnsi="Arial" w:cs="Arial"/>
          <w:vanish/>
          <w:lang w:val="es-ES"/>
        </w:rPr>
        <w:t>&lt;A[plan|plano]&gt;</w:t>
      </w:r>
      <w:r w:rsidRPr="00993936">
        <w:rPr>
          <w:rFonts w:ascii="Arial" w:hAnsi="Arial" w:cs="Arial"/>
          <w:lang w:val="es-ES"/>
        </w:rPr>
        <w:t xml:space="preserve"> de limpieza, desinfección y desratización, practicado por un equipo con autorización legal para esta </w:t>
      </w:r>
      <w:r w:rsidRPr="00993936">
        <w:rPr>
          <w:rFonts w:ascii="Arial" w:hAnsi="Arial" w:cs="Arial"/>
          <w:lang w:val="es-ES"/>
        </w:rPr>
        <w:lastRenderedPageBreak/>
        <w:t>finalidad. El plan</w:t>
      </w:r>
      <w:r w:rsidRPr="00993936">
        <w:rPr>
          <w:rFonts w:ascii="Arial" w:hAnsi="Arial" w:cs="Arial"/>
          <w:vanish/>
          <w:lang w:val="es-ES"/>
        </w:rPr>
        <w:t>&lt;A[plan|plano]&gt;</w:t>
      </w:r>
      <w:r w:rsidRPr="00993936">
        <w:rPr>
          <w:rFonts w:ascii="Arial" w:hAnsi="Arial" w:cs="Arial"/>
          <w:lang w:val="es-ES"/>
        </w:rPr>
        <w:t xml:space="preserve"> contendrá, al menos, la información siguiente: identificación del equipo de trabajo, trabajos y su frecuencia, material y productos que se utilizarán y método de aplicación. Los cebos deben estar señalizados y numerados debidamente, y tiene que existir un plano de señalización. </w:t>
      </w:r>
      <w:r w:rsidRPr="00993936">
        <w:rPr>
          <w:rFonts w:ascii="Arial" w:hAnsi="Arial" w:cs="Arial"/>
          <w:lang w:val="es-ES"/>
        </w:rPr>
        <w:tab/>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15.1.3 Evitar agujeros y ventanas e instalar elementos que impidan la entrada de insectos, pájaros y otros animales en las instalaciones.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15.1.4 Las instalaciones, los equipos y las herramientas estarán en buen estado de conservación mediante un adecuado plan</w:t>
      </w:r>
      <w:r w:rsidRPr="00993936">
        <w:rPr>
          <w:rFonts w:ascii="Arial" w:hAnsi="Arial" w:cs="Arial"/>
          <w:vanish/>
          <w:lang w:val="es-ES"/>
        </w:rPr>
        <w:t>&lt;A[plan|plano]&gt;</w:t>
      </w:r>
      <w:r w:rsidRPr="00993936">
        <w:rPr>
          <w:rFonts w:ascii="Arial" w:hAnsi="Arial" w:cs="Arial"/>
          <w:lang w:val="es-ES"/>
        </w:rPr>
        <w:t xml:space="preserve"> de mantenimiento.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15.1.5 La persona operadora tiene que tomar las medidas necesarias para evitar el contacto de los productos hortícolas y de las superficies con sustancias químicas, aguas no potables u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15.1.6 Los recipientes de evacuación de residuos serán exclusivamente para esta finalidad y se limpiarán periódicamente, de acuerdo con el plan</w:t>
      </w:r>
      <w:r w:rsidRPr="00993936">
        <w:rPr>
          <w:rFonts w:ascii="Arial" w:hAnsi="Arial" w:cs="Arial"/>
          <w:vanish/>
          <w:lang w:val="es-ES"/>
        </w:rPr>
        <w:t>&lt;A[plan|plano]&gt;</w:t>
      </w:r>
      <w:r w:rsidRPr="00993936">
        <w:rPr>
          <w:rFonts w:ascii="Arial" w:hAnsi="Arial" w:cs="Arial"/>
          <w:lang w:val="es-ES"/>
        </w:rPr>
        <w:t xml:space="preserve"> de limpieza establecido.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15.1.7 La persona operadora tiene que disponer de un plan</w:t>
      </w:r>
      <w:r w:rsidRPr="00993936">
        <w:rPr>
          <w:rFonts w:ascii="Arial" w:hAnsi="Arial" w:cs="Arial"/>
          <w:vanish/>
          <w:lang w:val="es-ES"/>
        </w:rPr>
        <w:t>&lt;A[plan|plano]&gt;</w:t>
      </w:r>
      <w:r w:rsidRPr="00993936">
        <w:rPr>
          <w:rFonts w:ascii="Arial" w:hAnsi="Arial" w:cs="Arial"/>
          <w:lang w:val="es-ES"/>
        </w:rPr>
        <w:t xml:space="preserve"> de mantenimiento de las instalaciones, de los equipos y de las herramientas, a fin de que en todo momento estén en buen estado de conservación.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15.1.8 Proceder a la desinfección total de la central como mínimo una vez al año.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15.2.1 Utilizar carretillas</w:t>
      </w:r>
      <w:r w:rsidRPr="00993936">
        <w:rPr>
          <w:rFonts w:ascii="Arial" w:hAnsi="Arial" w:cs="Arial"/>
          <w:vanish/>
          <w:lang w:val="es-ES"/>
        </w:rPr>
        <w:t>&lt;A[carretillas|carretones]&gt;</w:t>
      </w:r>
      <w:r w:rsidRPr="00993936">
        <w:rPr>
          <w:rFonts w:ascii="Arial" w:hAnsi="Arial" w:cs="Arial"/>
          <w:lang w:val="es-ES"/>
        </w:rPr>
        <w:t xml:space="preserve"> elevadoras de gasóleo dentro de la central.</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16</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 xml:space="preserve">Equipos de tratamientos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16.1 </w:t>
      </w:r>
      <w:r w:rsidRPr="00993936">
        <w:rPr>
          <w:rFonts w:ascii="Arial" w:hAnsi="Arial" w:cs="Arial"/>
          <w:i/>
          <w:snapToGrid w:val="0"/>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16.1.1 La maquinaria utilizada para los tratamientos fitosanitarios, abonos</w:t>
      </w:r>
      <w:r w:rsidRPr="00993936">
        <w:rPr>
          <w:rFonts w:ascii="Arial" w:hAnsi="Arial" w:cs="Arial"/>
          <w:vanish/>
          <w:lang w:val="es-ES"/>
        </w:rPr>
        <w:t>&lt;A[abonos|adobos]&gt;</w:t>
      </w:r>
      <w:r w:rsidRPr="00993936">
        <w:rPr>
          <w:rFonts w:ascii="Arial" w:hAnsi="Arial" w:cs="Arial"/>
          <w:lang w:val="es-ES"/>
        </w:rPr>
        <w:t xml:space="preserve"> foliares y otros similares ha de estar en buen estado de funcionamiento y someterse a una revisión y una calibración periódicas. La persona operadora tiene que realizar una revisión y una calibración cada año validada por el/la técnico/a responsable de producción integrada, y además una vez cada cuatro años tiene que ser inspeccionada por un centro oficial o reconocido, de conformidad con las disposiciones vigentes en la materia. La inspección se efectuará de conformidad </w:t>
      </w:r>
      <w:r w:rsidRPr="00993936">
        <w:rPr>
          <w:rFonts w:ascii="Arial" w:hAnsi="Arial" w:cs="Arial"/>
          <w:snapToGrid w:val="0"/>
          <w:lang w:val="es-ES"/>
        </w:rPr>
        <w:t>con las normas de inspección de pulverizadores EN 13790/1 y 2 de seguridad UNE-EN-907, y de protección medioambiental UNO-EN 12761/1, 2 y 3</w:t>
      </w:r>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En caso de contratar servicios externos, la persona productora les exigirá estar al corriente de las inspecciones y los calibrados estipulados a la legislación vigente de aplicación.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16.1.2 Antes de cada tratamiento será necesario regular la máquina en función del estado de la plantación o cultivo y de la plaga o enfermedad a combatir.</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16.1.3 Utilizar maquinaria correctamente adaptada para la aplicación de herbicidas a la línea de la plantación.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16.1.4 Realizar revisiones periódicas de los elementos de protección y seguridad de los equipos de tratamiento, procurando un buen mantenimiento y una calibración precisa.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16.1.5  Cuando los equipos no se utilicen, se deben mantener limpios</w:t>
      </w:r>
      <w:r w:rsidRPr="00993936">
        <w:rPr>
          <w:rFonts w:ascii="Arial" w:hAnsi="Arial" w:cs="Arial"/>
          <w:vanish/>
          <w:lang w:val="es-ES"/>
        </w:rPr>
        <w:t>&lt;A[limpios|netos]&gt;</w:t>
      </w:r>
      <w:r w:rsidRPr="00993936">
        <w:rPr>
          <w:rFonts w:ascii="Arial" w:hAnsi="Arial" w:cs="Arial"/>
          <w:lang w:val="es-ES"/>
        </w:rPr>
        <w:t xml:space="preserve"> y no deben contener productos fitosanitarios.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16.2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16.2.1 La utilización de equipos de tratamiento que tengan carencias graves en elementos de seguridad, de protección y de funcionamiento.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16.3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16.3.1 Los pulverizadores nuevos corresponderán a modelos certificados del Programa de Control de Características de Maquinaria de Tratamientos del Departamento de Agricultura, Ganadería, Pesca y Alimentación, o por otros programas oficiales de control.</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Artículo 17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lastRenderedPageBreak/>
        <w:t>Equipos de protección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17.1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17.1.1  La persona que manipule los productos fitosanitarios tiene que utilizar un equipo adecuado para la protección personal, de acuerdo con la legislación vigente de aplicación y las indicaciones de las etiquetas de cada producto.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17.1.2  La ropa y el equipo se almacenarán de manera que no entren en contacto con los productos fitosanitarios.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18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Personal </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18.1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18.1.1  Dar instrucciones a los trabajadores y a las trabajadoras que, en caso de sufrir enfermedades de transmisión alimentaria, o estar afectados, entre otras patologías, de heridas infectadas, infecciones cutáneas o diarreas, deben informar a la dirección.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18.1.2 Documentar los procedimientos de actuación en caso de accidentes o de emergencias de forma que sean comprensibles para las personas afectadas.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18.1.3  Disponer de botiquines de primeros auxilios accesibles para los trabajadores.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18.1.4  Fomentar la formación del personal del almacén en materia de buenas prácticas de higiene y seguridad alimentaria, y conservar un registro de las actividades formativas que ha impartido la persona operadora o una entidad externa autorizada.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18.1.5  Elaborar instrucciones para sus trabajadores, en las cuales se tengan en consideración los aspectos higiénicos que se deben respetar en cada puesto de trabajo, y de acuerdo con las características de la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18.1.6 Disponer de un Plan</w:t>
      </w:r>
      <w:r w:rsidRPr="00993936">
        <w:rPr>
          <w:rFonts w:ascii="Arial" w:hAnsi="Arial" w:cs="Arial"/>
          <w:vanish/>
          <w:lang w:val="es-ES"/>
        </w:rPr>
        <w:t>&lt;A[Plan|Plano]&gt;</w:t>
      </w:r>
      <w:r w:rsidRPr="00993936">
        <w:rPr>
          <w:rFonts w:ascii="Arial" w:hAnsi="Arial" w:cs="Arial"/>
          <w:lang w:val="es-ES"/>
        </w:rPr>
        <w:t xml:space="preserve"> de prevención de riesgos laborales y un Plan</w:t>
      </w:r>
      <w:r w:rsidRPr="00993936">
        <w:rPr>
          <w:rFonts w:ascii="Arial" w:hAnsi="Arial" w:cs="Arial"/>
          <w:vanish/>
          <w:lang w:val="es-ES"/>
        </w:rPr>
        <w:t>&lt;A[Plan|Plano]&gt;</w:t>
      </w:r>
      <w:r w:rsidRPr="00993936">
        <w:rPr>
          <w:rFonts w:ascii="Arial" w:hAnsi="Arial" w:cs="Arial"/>
          <w:lang w:val="es-ES"/>
        </w:rPr>
        <w:t xml:space="preserve"> de APPCC (Análisis de Peligros y Puntos Críticos) implantado y aprobado, si procede</w:t>
      </w:r>
      <w:r w:rsidRPr="00993936">
        <w:rPr>
          <w:rFonts w:ascii="Arial" w:hAnsi="Arial" w:cs="Arial"/>
          <w:vanish/>
          <w:lang w:val="es-ES"/>
        </w:rPr>
        <w:t>&lt;A[pega|ocurre]&gt;</w:t>
      </w:r>
      <w:r w:rsidRPr="00993936">
        <w:rPr>
          <w:rFonts w:ascii="Arial" w:hAnsi="Arial" w:cs="Arial"/>
          <w:lang w:val="es-ES"/>
        </w:rPr>
        <w:t xml:space="preserve">, por la autoridad competente.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Artículo 19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Transporte del producto vegetal y contenidores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19.1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  Los receptáculos y contenedores de los vehículos utilizados para transportar los productos vegetales deben estar limpios</w:t>
      </w:r>
      <w:r w:rsidRPr="00993936">
        <w:rPr>
          <w:rFonts w:ascii="Arial" w:hAnsi="Arial" w:cs="Arial"/>
          <w:vanish/>
          <w:lang w:val="es-ES"/>
        </w:rPr>
        <w:t>&lt;A[limpios|netos]&gt;</w:t>
      </w:r>
      <w:r w:rsidRPr="00993936">
        <w:rPr>
          <w:rFonts w:ascii="Arial" w:hAnsi="Arial" w:cs="Arial"/>
          <w:lang w:val="es-ES"/>
        </w:rPr>
        <w:t xml:space="preserve"> y en condiciones adecuadas de mantenimiento para protegerlos de la contaminación. Su forma y la composición deben permitir una limpieza y desinfección adecuadas.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19.1.2  Cuando se utilizen los receptáculos de vehículos o contenedores para transportar una carga diferente a los productos vegetales o productos alimentarios, se tiene que proceder a una limpieza eficaz entre las cargas para evitar el riesgo de contaminación.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19.1.3 Conservar limpios</w:t>
      </w:r>
      <w:r w:rsidRPr="00993936">
        <w:rPr>
          <w:rFonts w:ascii="Arial" w:hAnsi="Arial" w:cs="Arial"/>
          <w:vanish/>
          <w:lang w:val="es-ES"/>
        </w:rPr>
        <w:t>&lt;A[limpios|netos]&gt;</w:t>
      </w:r>
      <w:r w:rsidRPr="00993936">
        <w:rPr>
          <w:rFonts w:ascii="Arial" w:hAnsi="Arial" w:cs="Arial"/>
          <w:lang w:val="es-ES"/>
        </w:rPr>
        <w:t xml:space="preserve"> los cajones y recipientes utilizados para transportar y recolectar los productos vegetales y desinfectarlos cuando haga falta.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20</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Almacenamiento de productos fitosanitarios y fertilizantes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20.1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u w:val="single"/>
          <w:lang w:val="es-ES"/>
        </w:rPr>
      </w:pPr>
      <w:r w:rsidRPr="00993936">
        <w:rPr>
          <w:rFonts w:ascii="Arial" w:hAnsi="Arial" w:cs="Arial"/>
          <w:lang w:val="es-ES"/>
        </w:rPr>
        <w:t xml:space="preserve">20.1.1 </w:t>
      </w:r>
      <w:r w:rsidRPr="00993936">
        <w:rPr>
          <w:rFonts w:ascii="Arial" w:hAnsi="Arial" w:cs="Arial"/>
          <w:i/>
          <w:u w:val="single"/>
          <w:lang w:val="es-ES"/>
        </w:rPr>
        <w:t>Condiciones de almacenamiento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20.1.1.1 Los productos fitosanitarios y fertilizantes tendrán que almacenarse en un lugar</w:t>
      </w:r>
      <w:r w:rsidRPr="00993936">
        <w:rPr>
          <w:rFonts w:ascii="Arial" w:hAnsi="Arial" w:cs="Arial"/>
          <w:vanish/>
          <w:lang w:val="es-ES"/>
        </w:rPr>
        <w:t>&lt;A[lugar|sitio]&gt;</w:t>
      </w:r>
      <w:r w:rsidRPr="00993936">
        <w:rPr>
          <w:rFonts w:ascii="Arial" w:hAnsi="Arial" w:cs="Arial"/>
          <w:lang w:val="es-ES"/>
        </w:rPr>
        <w:t xml:space="preserve"> cerrado, separados del material vegetal y de los productos frescos, para evitar cualquier riesgo de contaminación.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20.1.1.2 El almacén dispondrá de llave y ventilación permanente y suficiente.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20.1.1.3  El almacenamiento tiene que disponer de medios para retener posibles derrames accidentales.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20.1.1.4 El lugar</w:t>
      </w:r>
      <w:r w:rsidRPr="00993936">
        <w:rPr>
          <w:rFonts w:ascii="Arial" w:hAnsi="Arial" w:cs="Arial"/>
          <w:vanish/>
          <w:lang w:val="es-ES"/>
        </w:rPr>
        <w:t>&lt;A[lugar|sitio]&gt;</w:t>
      </w:r>
      <w:r w:rsidRPr="00993936">
        <w:rPr>
          <w:rFonts w:ascii="Arial" w:hAnsi="Arial" w:cs="Arial"/>
          <w:lang w:val="es-ES"/>
        </w:rPr>
        <w:t xml:space="preserve"> del almacén tiene que estar debidamente señalizado haciendo una especial incidencia en la prohibición de acceso a personas no autorizadas.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 xml:space="preserve">20.1.1.5  En el almacenamiento de productos fitosanitarios se tiene que tener en cuenta además el resto de obligaciones que establece el artículo 40 del RD 1311/2012. </w:t>
      </w:r>
    </w:p>
    <w:p w:rsidR="00503A41" w:rsidRPr="00993936" w:rsidRDefault="00503A41" w:rsidP="001D205D">
      <w:pPr>
        <w:pStyle w:val="Sinespaciado"/>
        <w:jc w:val="both"/>
        <w:rPr>
          <w:rFonts w:ascii="Arial" w:hAnsi="Arial" w:cs="Arial"/>
          <w:u w:val="single"/>
          <w:lang w:val="es-ES"/>
        </w:rPr>
      </w:pPr>
      <w:r w:rsidRPr="00993936">
        <w:rPr>
          <w:rFonts w:ascii="Arial" w:hAnsi="Arial" w:cs="Arial"/>
          <w:lang w:val="es-ES"/>
        </w:rPr>
        <w:t xml:space="preserve">20.1.2 </w:t>
      </w:r>
      <w:r w:rsidRPr="00993936">
        <w:rPr>
          <w:rFonts w:ascii="Arial" w:hAnsi="Arial" w:cs="Arial"/>
          <w:i/>
          <w:u w:val="single"/>
          <w:lang w:val="es-ES"/>
        </w:rPr>
        <w:t>Almacenamiento de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20.1.2.1 Los fitosanitarios deben mantenerse dentro de su envase original y las etiquetas deben ser perfectamente legibles.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20.1.2.2 Los productos fitosanitarios y fertilizantes deben estar debidamente etiquetados, ordenados y separados físicamente.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20.1.2.3 Los fitosanitarios en polvo deben almacenarse en estantes situados por encima de los líquidos.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20.1.2.4 La conservación de los justificantes de compras y gastos de los productos fitosanitarios reflejados en el cuaderno de explotación es obligatoria durante tres 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20.1.2.5 En caso de disponer de almacén de productos fitosanitarios y/o fertilizantes en la central hortofrutícola, se aplicarán las obligaciones del RTS (Reglamentación técnica sanitaria) y las del RD 1311/2012.</w:t>
      </w:r>
    </w:p>
    <w:p w:rsidR="00503A41" w:rsidRPr="00993936" w:rsidRDefault="00503A41" w:rsidP="001D205D">
      <w:pPr>
        <w:pStyle w:val="Sinespaciado"/>
        <w:jc w:val="both"/>
        <w:rPr>
          <w:rFonts w:ascii="Arial" w:hAnsi="Arial" w:cs="Arial"/>
          <w:i/>
        </w:rPr>
      </w:pPr>
      <w:r w:rsidRPr="00993936">
        <w:rPr>
          <w:rFonts w:ascii="Arial" w:hAnsi="Arial" w:cs="Arial"/>
        </w:rPr>
        <w:t>20.2</w:t>
      </w:r>
      <w:r w:rsidRPr="00993936">
        <w:rPr>
          <w:rFonts w:ascii="Arial" w:hAnsi="Arial" w:cs="Arial"/>
          <w:i/>
        </w:rPr>
        <w:t xml:space="preserve">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20.2.1 No almacenar los productos fitosanitarios ni fertilizantes en contacto con el suelo.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20.2.2 Utilizar estantes en el almacén de materiales no absorbentes.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20.2.3 No almacenar productos innecesariamente.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Señalización de Seguridad</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21.1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21.1.1  Utilizar las señalizaciones que prevee la legislación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21.1.2  En el almacén de productos fitosanitarios deben estar presentes, de manera accesible y legible, las normas generales de actuación en caso de intoxicación y vertidos accidentales, y es obligatorio disponer de los números de teléfono del Instituto de Toxicología y de otros organismos que puedan ser competentes en esta materia.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III. CENTRAL E INDUSTRIA DE TRANSFORMACIÓN Y/O DE ELABORACIÓN Y/O DE CONSERVACIÓN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22</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Central e industria de transformación y/o de elaboración y conservación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22.1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22.1.1 Estar inscrita en el Registro sanitario de industrias y productos alimentarios de Cataluña.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22.1.2  Disponer de un Plan</w:t>
      </w:r>
      <w:r w:rsidRPr="00993936">
        <w:rPr>
          <w:rFonts w:ascii="Arial" w:hAnsi="Arial" w:cs="Arial"/>
          <w:vanish/>
          <w:lang w:val="es-ES"/>
        </w:rPr>
        <w:t>&lt;A[Plan|Plano]&gt;</w:t>
      </w:r>
      <w:r w:rsidRPr="00993936">
        <w:rPr>
          <w:rFonts w:ascii="Arial" w:hAnsi="Arial" w:cs="Arial"/>
          <w:lang w:val="es-ES"/>
        </w:rPr>
        <w:t xml:space="preserve"> de prevención de riesgos laborales y de un Plan</w:t>
      </w:r>
      <w:r w:rsidRPr="00993936">
        <w:rPr>
          <w:rFonts w:ascii="Arial" w:hAnsi="Arial" w:cs="Arial"/>
          <w:vanish/>
          <w:lang w:val="es-ES"/>
        </w:rPr>
        <w:t>&lt;A[Plan|Plano]&gt;</w:t>
      </w:r>
      <w:r w:rsidRPr="00993936">
        <w:rPr>
          <w:rFonts w:ascii="Arial" w:hAnsi="Arial" w:cs="Arial"/>
          <w:lang w:val="es-ES"/>
        </w:rPr>
        <w:t xml:space="preserve"> de análisis de peligros y puntos de control críticos (APPCC) implantados y aprobados por  los organismos competentes en esta materia.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22.1.3  En caso de almacenarse productos fitosanitarios y/o fertilizantes en la central o en la industria de transformación, se aplicarán las obligaciones que establecen los artículos 5 y 20 de esta Norma.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22.1.4  Aplicar métodos o técnicas que permitan mantener intacta la calidad del producto, conservar la integridad y asegurar la respiración, si favorece la conservación de las características organolépticas.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22.1.5 Todas las máquinas, los recipientes, los elementos de transporte, los envases y los lugares</w:t>
      </w:r>
      <w:r w:rsidRPr="00993936">
        <w:rPr>
          <w:rFonts w:ascii="Arial" w:hAnsi="Arial" w:cs="Arial"/>
          <w:vanish/>
          <w:lang w:val="es-ES"/>
        </w:rPr>
        <w:t>&lt;A[lugares|sitios]&gt;</w:t>
      </w:r>
      <w:r w:rsidRPr="00993936">
        <w:rPr>
          <w:rFonts w:ascii="Arial" w:hAnsi="Arial" w:cs="Arial"/>
          <w:lang w:val="es-ES"/>
        </w:rPr>
        <w:t xml:space="preserve"> de almacenamiento deben reunir las condiciones siguientes: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22.1.5.1 No transmitir a los productos con los cuales entren en contacto sustancias tóxicas o que puedan contaminar, ni originar reacciones químicas perjudiciales.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22.1.5.2 No alterar las características de composición y los caracteres organolépticos de los productos.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 xml:space="preserve">Artículo 23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Transporte y recepción en la central hortofrutícola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23.1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23.1.1 Los vehículos que lleguen a las instalaciones deben estar en condiciones de higiene adecuadas y cargados exclusivamente con productos vegetales.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23.1.2  Habrá una separación física, definida y señalizada, de los productos vegetales que proceden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23.1.3 Realizar una inspección visual de las partidas de productos vegetales cuando lleguen a la recepción, establecer un sistema de verificación de la calidad de los productos que entran. Habrá un registro de incidencias En caso de incumplimiento. Las partidas que no cumplan los requisitos anteriores se dejarán de considerar como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23.1.4  Antes de cargar todos los recintos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malos olores y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23.2.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23.2.1 Almacenar productos químicos y desperdicios en la zona de recepción de productos vegetales.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Artículo 24 </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Tratamientos de postrecolección y lavado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24.1.1 Los tratamientos postcosecha sólo se permitirán en cosechas destinadas a la conservación prolongada o bien cuando estén técnicamente justificados.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24.1.2  Anteponer los métodos físicos o productos naturales a los productos de síntesis. Los métodos químicos sólo se permitirán cuando estén técnicamente justificados. En este supuesto, sólo se pueden utilizar materias activas autorizadas para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24.1.3 Para tratar con productos químicos de síntesis se utilizarán, dentro de los autorizados en producción integrada, los que tengan el perfil toxicológico más favorable y que tengan los límites máximos de residuos armonizados en el ámbito comunitario.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24.1.4 Cuando</w:t>
      </w:r>
      <w:r w:rsidRPr="00993936">
        <w:rPr>
          <w:rFonts w:ascii="Arial" w:hAnsi="Arial" w:cs="Arial"/>
          <w:vanish/>
          <w:lang w:val="es-ES"/>
        </w:rPr>
        <w:t>&lt;A[Cuando|Cuándo]&gt;</w:t>
      </w:r>
      <w:r w:rsidRPr="00993936">
        <w:rPr>
          <w:rFonts w:ascii="Arial" w:hAnsi="Arial" w:cs="Arial"/>
          <w:lang w:val="es-ES"/>
        </w:rPr>
        <w:t xml:space="preserve"> se recircule el agua de lavado de los productos, se tiene que filtrar y tratar de manera que no comprometa la salubridad de los productos hortícolas.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24.1.5 Disponer de un registro documentado de todos los tratamientos y controles realizados. Todas las aplicaciones en los tratamientos postcosecha se deben registrar en el cuaderno de conservación y/o postcosecha indicando, como mínimo, en las anotaciones los datos siguientes: fecha de aplicación, especie y/o variedad, justificación de la aplicación, producto, principio activo y cantidad aplicada y el sistema que se ha utilizado para la aplicación.</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24.2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24.2.1  Utilizar para el lavado de los productos vegetales aguas no potables, de acuerdo con la normativa vigente, y para el resto de usos las que superen los parámetros establecidos a la normativa de aplicación.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24.2.2 El uso de aditivos o coadyuvantes tecnológicos diferentes a los que autoriza esta norma técnica.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Proceso de transformación y elaboración del producto vegetal</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25.1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25.1.1  Todos los productos vegetales que se utilicen para la elaboración del producto transformado tendrán que cumplir las condiciones establecidas por esta norma.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25.1.2  Los tratamientos que se realicen y los coadyuvantes que se utilicen deben estar autorizados e incluidos en los anexos de esta norma.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Artículo 26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Conservación</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26.1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26.1.1 Utilizar métodos de conservación que mantengan una alta calidad interna y externa.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26.1.2  Conservar los registros de cada cámara frigorífica donde se almacenen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26.1.3  Controlar periódicamente la calidad y, específicamente, antes de la comercialización, teniendo en cuenta aspectos de muestreo y tipo de determinación analítica que garanticen la seguridad del consumidor.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26.1.4  En las cámaras frigoríficas los palets guardarán una distancia entre ellos y entre las paredes para una ventilación correcta.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26.1.5  En caso de realizar tratamientos de conservación, hay que adecuarlos a la situación y a la destinación</w:t>
      </w:r>
      <w:r w:rsidRPr="00993936">
        <w:rPr>
          <w:rFonts w:ascii="Arial" w:hAnsi="Arial" w:cs="Arial"/>
          <w:vanish/>
          <w:lang w:val="es-ES"/>
        </w:rPr>
        <w:t>&lt;A[destinación|destino]&gt;</w:t>
      </w:r>
      <w:r w:rsidRPr="00993936">
        <w:rPr>
          <w:rFonts w:ascii="Arial" w:hAnsi="Arial" w:cs="Arial"/>
          <w:lang w:val="es-ES"/>
        </w:rPr>
        <w:t xml:space="preserve"> del producto.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26.1.6  Se utilizarán métodos de conservación autorizados, que tengan la menor toxicidad posible y sean preferentemente métodos físicos o con productos naturales, antes que de síntesis.</w:t>
      </w:r>
    </w:p>
    <w:p w:rsidR="00503A41" w:rsidRPr="00993936" w:rsidRDefault="00503A41" w:rsidP="001D205D">
      <w:pPr>
        <w:pStyle w:val="Sinespaciado"/>
        <w:jc w:val="both"/>
        <w:rPr>
          <w:rFonts w:ascii="Arial" w:hAnsi="Arial" w:cs="Arial"/>
          <w:lang w:val="es-ES"/>
        </w:rPr>
      </w:pPr>
    </w:p>
    <w:p w:rsidR="00503A41" w:rsidRPr="00993936" w:rsidRDefault="00503A41">
      <w:pPr>
        <w:rPr>
          <w:rFonts w:ascii="Arial" w:hAnsi="Arial" w:cs="Arial"/>
          <w:lang w:val="es-ES"/>
        </w:rPr>
      </w:pPr>
      <w:r w:rsidRPr="00993936">
        <w:rPr>
          <w:rFonts w:ascii="Arial" w:hAnsi="Arial" w:cs="Arial"/>
          <w:lang w:val="es-ES"/>
        </w:rPr>
        <w:br w:type="page"/>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Artículo 27</w:t>
      </w:r>
    </w:p>
    <w:p w:rsidR="00503A41" w:rsidRPr="00993936" w:rsidRDefault="00503A41" w:rsidP="001D205D">
      <w:pPr>
        <w:pStyle w:val="Sinespaciado"/>
        <w:jc w:val="both"/>
        <w:rPr>
          <w:rFonts w:ascii="Arial" w:hAnsi="Arial" w:cs="Arial"/>
          <w:b/>
          <w:i/>
          <w:lang w:val="es-ES"/>
        </w:rPr>
      </w:pPr>
      <w:r w:rsidRPr="00993936">
        <w:rPr>
          <w:rFonts w:ascii="Arial" w:hAnsi="Arial" w:cs="Arial"/>
          <w:b/>
          <w:lang w:val="es-ES"/>
        </w:rPr>
        <w:t>Almacenamiento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27.1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27.1.1 Establecer en los almacenes una separación clara y definida de los productos procedentes de cultivos de producción integrada de otros productos convencionales, indicando en un croquis su situación dentro de cada almacén. Las cajas y los palets tendrán que estar identificados debidamente y colocados de forma que se pueda ver claramente la identificación de manera que permita un conteo fácil.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27.1.2 Mantener limpios</w:t>
      </w:r>
      <w:r w:rsidRPr="00993936">
        <w:rPr>
          <w:rFonts w:ascii="Arial" w:hAnsi="Arial" w:cs="Arial"/>
          <w:vanish/>
          <w:lang w:val="es-ES"/>
        </w:rPr>
        <w:t>&lt;A[limpios|netos]&gt;</w:t>
      </w:r>
      <w:r w:rsidRPr="00993936">
        <w:rPr>
          <w:rFonts w:ascii="Arial" w:hAnsi="Arial" w:cs="Arial"/>
          <w:lang w:val="es-ES"/>
        </w:rPr>
        <w:t xml:space="preserve"> los recipientes y las cajas utilizadas en el almacenamiento de los productos vegetales. Como norma general, todos los elementos que puedan afectar a la condición del producto se limpiarán cuando se inicie la utilización y se desinfectarán cuando sea conveniente, en cualquier caso al menos una vez</w:t>
      </w:r>
      <w:r w:rsidRPr="00993936">
        <w:rPr>
          <w:rFonts w:ascii="Arial" w:hAnsi="Arial" w:cs="Arial"/>
          <w:vanish/>
          <w:lang w:val="es-ES"/>
        </w:rPr>
        <w:t>&lt;A[vez|golpe]&gt;</w:t>
      </w:r>
      <w:r w:rsidRPr="00993936">
        <w:rPr>
          <w:rFonts w:ascii="Arial" w:hAnsi="Arial" w:cs="Arial"/>
          <w:lang w:val="es-ES"/>
        </w:rPr>
        <w:t xml:space="preserve"> el año.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27.1.3 El almacenamiento se tiene que realizar mediante procedimientos que permitan garantizar la mejor calidad posible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27.1.4 Realizar la limpieza, la desinfección y la lucha contra los parásitos de los lugares</w:t>
      </w:r>
      <w:r w:rsidRPr="00993936">
        <w:rPr>
          <w:rFonts w:ascii="Arial" w:hAnsi="Arial" w:cs="Arial"/>
          <w:vanish/>
          <w:lang w:val="es-ES"/>
        </w:rPr>
        <w:t>&lt;A[lugares|sitios]&gt;</w:t>
      </w:r>
      <w:r w:rsidRPr="00993936">
        <w:rPr>
          <w:rFonts w:ascii="Arial" w:hAnsi="Arial" w:cs="Arial"/>
          <w:lang w:val="es-ES"/>
        </w:rPr>
        <w:t xml:space="preserve"> del almacenamiento de manera que no se produzca ningún tipo de contaminación de los productos hortícolas.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27.2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27.2.1 La utilización de productos químicos de síntesis para la lucha de plagas y parásitos del almacén, salvo los casos que estén justificados técnicamente en que se utilizarán sustancias activas autorizadas en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27.2.2 Almacenar productos químicos o desperdicios en la zona de almacenamiento de los productos envasados.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Envasado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28.1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28.1.1 Todas las máquinas, los recipientes, los elementos de transporte, los envases provisionales y los lugares</w:t>
      </w:r>
      <w:r w:rsidRPr="00993936">
        <w:rPr>
          <w:rFonts w:ascii="Arial" w:hAnsi="Arial" w:cs="Arial"/>
          <w:vanish/>
          <w:lang w:val="es-ES"/>
        </w:rPr>
        <w:t>&lt;A[lugares|sitios]&gt;</w:t>
      </w:r>
      <w:r w:rsidRPr="00993936">
        <w:rPr>
          <w:rFonts w:ascii="Arial" w:hAnsi="Arial" w:cs="Arial"/>
          <w:lang w:val="es-ES"/>
        </w:rPr>
        <w:t xml:space="preserve"> de envasado deben reunir las condiciones siguientes:</w:t>
      </w:r>
    </w:p>
    <w:p w:rsidR="00503A41" w:rsidRPr="00993936" w:rsidRDefault="00503A41" w:rsidP="009D1A2D">
      <w:pPr>
        <w:pStyle w:val="Sinespaciado"/>
        <w:numPr>
          <w:ilvl w:val="0"/>
          <w:numId w:val="175"/>
        </w:numPr>
        <w:jc w:val="both"/>
        <w:rPr>
          <w:rFonts w:ascii="Arial" w:hAnsi="Arial" w:cs="Arial"/>
          <w:lang w:val="es-ES"/>
        </w:rPr>
      </w:pPr>
      <w:r w:rsidRPr="00993936">
        <w:rPr>
          <w:rFonts w:ascii="Arial" w:hAnsi="Arial" w:cs="Arial"/>
          <w:lang w:val="es-ES"/>
        </w:rPr>
        <w:t>No transmitir a los productos con que entren en contacto sustancias tóxicas o que puedan contaminar ni originar reacciones químicas perjudiciales.</w:t>
      </w:r>
    </w:p>
    <w:p w:rsidR="00503A41" w:rsidRPr="00993936" w:rsidRDefault="00503A41" w:rsidP="009D1A2D">
      <w:pPr>
        <w:pStyle w:val="Sinespaciado"/>
        <w:numPr>
          <w:ilvl w:val="0"/>
          <w:numId w:val="175"/>
        </w:numPr>
        <w:jc w:val="both"/>
        <w:rPr>
          <w:rFonts w:ascii="Arial" w:hAnsi="Arial" w:cs="Arial"/>
          <w:lang w:val="es-ES"/>
        </w:rPr>
      </w:pPr>
      <w:r w:rsidRPr="00993936">
        <w:rPr>
          <w:rFonts w:ascii="Arial" w:hAnsi="Arial" w:cs="Arial"/>
          <w:lang w:val="es-ES"/>
        </w:rPr>
        <w:t>No alterar las características de composición y organolépticas de los productos.</w:t>
      </w:r>
    </w:p>
    <w:p w:rsidR="00503A41" w:rsidRPr="00993936" w:rsidRDefault="00503A41" w:rsidP="009D1A2D">
      <w:pPr>
        <w:pStyle w:val="Sinespaciado"/>
        <w:numPr>
          <w:ilvl w:val="0"/>
          <w:numId w:val="175"/>
        </w:numPr>
        <w:jc w:val="both"/>
        <w:rPr>
          <w:rFonts w:ascii="Arial" w:hAnsi="Arial" w:cs="Arial"/>
          <w:lang w:val="es-ES"/>
        </w:rPr>
      </w:pPr>
      <w:r w:rsidRPr="00993936">
        <w:rPr>
          <w:rFonts w:ascii="Arial" w:hAnsi="Arial" w:cs="Arial"/>
          <w:lang w:val="es-ES"/>
        </w:rPr>
        <w:t>La limpieza se realizará con métodos y productos autorizados.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28.1.2 Las zonas de almacenamiento de envases y material de envasado estarán claramente diferenciadas de la zona de manipulación.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28.3 Las operaciones de envasado deben efectuarse por</w:t>
      </w:r>
      <w:r w:rsidRPr="00993936">
        <w:rPr>
          <w:rFonts w:ascii="Arial" w:hAnsi="Arial" w:cs="Arial"/>
          <w:vanish/>
          <w:lang w:val="es-ES"/>
        </w:rPr>
        <w:t>&lt;A[por|para]&gt;</w:t>
      </w:r>
      <w:r w:rsidRPr="00993936">
        <w:rPr>
          <w:rFonts w:ascii="Arial" w:hAnsi="Arial" w:cs="Arial"/>
          <w:lang w:val="es-ES"/>
        </w:rPr>
        <w:t xml:space="preserve"> series completas, separadas físicamente o en tiempo de operaciones de productos convencionales.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28.1.4 Los operadores que realicen el envasado de productos certificados de producción integrada y convencionales deben avisar al órgano o la entidad de control. La comunicación se tiene que hacer a principios de campaña, con antelación suficiente y antes del inicio de las operaciones de los productos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28.1.5 Los manipuladores de alimentos tendrán que tener una formación específica o justificar que están en proceso de obtenerla, de acuerdo con lo que establece la normativa legal vigente, por la cual se establecen las normas relativas a los manipuladores de alimentos.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rPr>
      </w:pPr>
      <w:r w:rsidRPr="00993936">
        <w:rPr>
          <w:rFonts w:ascii="Arial" w:hAnsi="Arial" w:cs="Arial"/>
        </w:rPr>
        <w:t>Artículo 29</w:t>
      </w:r>
    </w:p>
    <w:p w:rsidR="00503A41" w:rsidRPr="00993936" w:rsidRDefault="00503A41" w:rsidP="001D205D">
      <w:pPr>
        <w:pStyle w:val="Sinespaciado"/>
        <w:jc w:val="both"/>
        <w:rPr>
          <w:rFonts w:ascii="Arial" w:hAnsi="Arial" w:cs="Arial"/>
          <w:b/>
        </w:rPr>
      </w:pPr>
      <w:r w:rsidRPr="00993936">
        <w:rPr>
          <w:rFonts w:ascii="Arial" w:hAnsi="Arial" w:cs="Arial"/>
          <w:b/>
        </w:rPr>
        <w:t>Expedición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29.1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29.1.1 Antes de cargar, todos los recintos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malos olores y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29.1.2  El producto tiene que ser transportado a la temperatura estipulada por la persona operadora y reflejado en el contrato de transporte.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30</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Cuaderno de conservación/postcosecha</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30.1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30.1.1 El modelo de Cuaderno de conservación es único con respecto al contenido de los datos a registrar, y será aprobado por el Departamento de Agricultura, Ganadería, Pesca y Alimentación.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30.1.2 El técnico responsable de conservación de productos de producción integrada se responsabilizará periódicamente, mediante su firma, de la conformidad de las anotaciones realizadas en el Cuaderno de conservación sobre el sistema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30.1.3 El Cuaderno de conservación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Formación del personal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31.1.1 La empresa tendrá que fomentar la formación y proporcionar la que sea necesaria al personal implicado en la aplicación de esta norma y el resto de partes afectadas por su actividad. Por otra parte, todos los agentes que participen en producción integrada deben tener una formación específica.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31.1.1.1 </w:t>
      </w:r>
      <w:r w:rsidRPr="00993936">
        <w:rPr>
          <w:rFonts w:ascii="Arial" w:hAnsi="Arial" w:cs="Arial"/>
          <w:u w:val="single"/>
          <w:lang w:val="es-ES"/>
        </w:rPr>
        <w:t>Personal de la central hortofrutícola</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 empresa tiene que asegurar la formación del personal de la central hortofrutícola en materia de buenas prácticas de higiene y manipulación, conservando un registro de los cursos impartidos.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31.1.1.2 </w:t>
      </w:r>
      <w:r w:rsidRPr="00993936">
        <w:rPr>
          <w:rFonts w:ascii="Arial" w:hAnsi="Arial" w:cs="Arial"/>
          <w:u w:val="single"/>
          <w:lang w:val="es-ES"/>
        </w:rPr>
        <w:t>Personal técnico competente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personal técnico competente que participe en producción integrada tiene que tener una formación universitaria, de acuerdo con lo que establece el artículo 11.1 del Decreto 241/2002, y acreditar una formación específica en producción integrada de acuerdo con lo que establece el artículo 24.1 del mencionado Decreto. Esta formación, en Cataluña, se regula por&lt;A[por|para]&gt; la Orden ARP/69/2003, de 14 de febrero (DOGC nº. 3832, de 27.02.2003), porla cual se establecen y se regulan los cursos de formación en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31.1.1.3 </w:t>
      </w:r>
      <w:r w:rsidRPr="00993936">
        <w:rPr>
          <w:rFonts w:ascii="Arial" w:hAnsi="Arial" w:cs="Arial"/>
          <w:u w:val="single"/>
          <w:lang w:val="es-ES"/>
        </w:rPr>
        <w:t>Operadores o personas operadoras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Todos los operadores de producción integrada (productores y/o elaboradores) deben tener una formación específica en producción integrada, para</w:t>
      </w:r>
      <w:r w:rsidRPr="00993936">
        <w:rPr>
          <w:rFonts w:ascii="Arial" w:hAnsi="Arial" w:cs="Arial"/>
          <w:vanish/>
          <w:lang w:val="es-ES"/>
        </w:rPr>
        <w:t>&lt;A[por|para]&gt;</w:t>
      </w:r>
      <w:r w:rsidRPr="00993936">
        <w:rPr>
          <w:rFonts w:ascii="Arial" w:hAnsi="Arial" w:cs="Arial"/>
          <w:lang w:val="es-ES"/>
        </w:rPr>
        <w:t xml:space="preserve"> lo cual deben acreditar la realización de un curso de producción integrada impartido por la Administración Pública o por alguna entidad reconocida, de acuerdo con lo que establecen el Decreto 241/2002 y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los que se establecen y regulan los cursos de formación en producción integrada.</w:t>
      </w:r>
    </w:p>
    <w:p w:rsidR="00503A41" w:rsidRPr="00993936" w:rsidRDefault="00503A41" w:rsidP="001D205D">
      <w:pPr>
        <w:pStyle w:val="Sinespaciado"/>
        <w:jc w:val="both"/>
        <w:rPr>
          <w:rFonts w:ascii="Arial" w:hAnsi="Arial" w:cs="Arial"/>
        </w:rPr>
      </w:pPr>
      <w:r w:rsidRPr="00993936">
        <w:rPr>
          <w:rFonts w:ascii="Arial" w:hAnsi="Arial" w:cs="Arial"/>
        </w:rPr>
        <w:t xml:space="preserve">31.1.1.4 </w:t>
      </w:r>
      <w:r w:rsidRPr="00993936">
        <w:rPr>
          <w:rFonts w:ascii="Arial" w:hAnsi="Arial" w:cs="Arial"/>
          <w:u w:val="single"/>
        </w:rPr>
        <w:t>Manipulador de productos fitosanitarios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manipulador de productos fitosanitarios tiene que estar en posesión del carné de manipulador de nivel básico que lo capacita para desarrollar su actividad salvo las excepciones que prevé la legislación vigente.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IV. IDENTIFICACIÓN, TRAZABILIDAD Y COMERCIALIZACIÓN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32</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lastRenderedPageBreak/>
        <w:t>Identificación y trazabilidad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32.1.1 Complimentar una declaración de responsabilidad del agricultor que permita la identificación de los productos que proceden de parcelas acogidas a  la producción integrada. En un plano o croquis de la parcela y/o UHC se justificará el conocimiento de la ubicación de los diferentes lotes del material vegetal utilizado.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32.1.2 En cada centro de recepción y/o manipulación tiene que haber un albarán de control de entrada, donde figure el producto, la cantidad, la parcela de origen, la unidad homogénea de cultivo y la fecha de entrada, firmado por la persona que hace la entrega.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32.1.3 Los operadores que no tengan la totalidad de la producción de cultivo bajo normas de producción integrada tendrán que cumplir los requisitos siguientes:</w:t>
      </w:r>
    </w:p>
    <w:p w:rsidR="00503A41" w:rsidRPr="00993936" w:rsidRDefault="00503A41" w:rsidP="009D1A2D">
      <w:pPr>
        <w:pStyle w:val="Sinespaciado"/>
        <w:numPr>
          <w:ilvl w:val="0"/>
          <w:numId w:val="176"/>
        </w:numPr>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otros orígenes. </w:t>
      </w:r>
    </w:p>
    <w:p w:rsidR="00503A41" w:rsidRPr="00993936" w:rsidRDefault="00503A41" w:rsidP="009D1A2D">
      <w:pPr>
        <w:pStyle w:val="Sinespaciado"/>
        <w:numPr>
          <w:ilvl w:val="0"/>
          <w:numId w:val="176"/>
        </w:numPr>
        <w:jc w:val="both"/>
        <w:rPr>
          <w:rFonts w:ascii="Arial" w:hAnsi="Arial" w:cs="Arial"/>
          <w:lang w:val="es-ES"/>
        </w:rPr>
      </w:pPr>
      <w:r w:rsidRPr="00993936">
        <w:rPr>
          <w:rFonts w:ascii="Arial" w:hAnsi="Arial" w:cs="Arial"/>
          <w:lang w:val="es-ES"/>
        </w:rPr>
        <w:t>En caso de utilizar la misma línea de manipulación o confección para los dos tipos de producto, tendrá que quedar claramente definido el intervalo de tiempo durante el cual se manipula cada tipo de producto, y tiene que ser conocido por todo el personal implicado en el proceso.</w:t>
      </w:r>
    </w:p>
    <w:p w:rsidR="00503A41" w:rsidRPr="00993936" w:rsidRDefault="00503A41" w:rsidP="009D1A2D">
      <w:pPr>
        <w:pStyle w:val="Sinespaciado"/>
        <w:numPr>
          <w:ilvl w:val="0"/>
          <w:numId w:val="176"/>
        </w:numPr>
        <w:jc w:val="both"/>
        <w:rPr>
          <w:rFonts w:ascii="Arial" w:hAnsi="Arial" w:cs="Arial"/>
          <w:lang w:val="es-ES"/>
        </w:rPr>
      </w:pPr>
      <w:r w:rsidRPr="00993936">
        <w:rPr>
          <w:rFonts w:ascii="Arial" w:hAnsi="Arial" w:cs="Arial"/>
          <w:lang w:val="es-ES"/>
        </w:rPr>
        <w:t>Antes de proceder a la manipulación del producto de producción integrada, 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productos de otros orígenes.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32.1.4 Los productos de producción integrada serán identificados y considerados, en cualquier momento del proceso técnico, administrativo y de comercialización como un producto diferente del resto de los productos manipulados por la persona operadora.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32.1.5 Las cajas de campo y otros envases utilizados para la recolección o el transporte de productos de producción integrada deben estar claramente diferenciados de los utilizados para otros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32.2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32.2.1 Comercializar, como productos amparados por esta norma, los procedentes de unidades de cultivo que no cumplan las indicaciones de cultivo que establece la normativa de producción integrada en toda su producción.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32.2.2 La presencia de cajas, etiquetas o marcas comerciales, de productos de producción integrada en parcelas y/o UHC que no estén acogidas a  Producción Integrada.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de calidad</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33.1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33.1.1 La persona operadora tiene que tener definido e implantado un muestreo sistemático de la producción que sirva para comprobar que se cumplen las especificaciones de la legislación vigente referentes a la normalización comercial. Los parámetros a comprobar son los especificados para cada producto en la legislación vigente de calidad de frutas y hortalizas (categoría, calibre, color, peso, etc.).</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33.1.2 La persona operadora tiene que conservar los registros de los controles.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33.1.3 La persona operadora verificará el funcionamiento correcto del instrumental de medida.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33.1.4 Controlar periódicamente la calidad y, específicamente, antes de la comercialización, teniendo en cuenta aspectos de muestreo, tipo de determinación analítica que garantice la seguridad del consumidor.</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V. CONTROL DE RESIDUOS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Artículo 34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Gestión de Residuos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34.1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34.1.1 Reciclar adecuadamente los sustratos inertes, siempre que sea agronómicamente aconsejable.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34.1.2 Retirar para su reciclaje o, si procede</w:t>
      </w:r>
      <w:r w:rsidRPr="00993936">
        <w:rPr>
          <w:rFonts w:ascii="Arial" w:hAnsi="Arial" w:cs="Arial"/>
          <w:vanish/>
          <w:lang w:val="es-ES"/>
        </w:rPr>
        <w:t>&lt;A[pega|ocurre]&gt;</w:t>
      </w:r>
      <w:r w:rsidRPr="00993936">
        <w:rPr>
          <w:rFonts w:ascii="Arial" w:hAnsi="Arial" w:cs="Arial"/>
          <w:lang w:val="es-ES"/>
        </w:rPr>
        <w:t>, para hacer un depósito controlado, los plásticos de almohadillados, malla o cualquier otro material utilizado en las estructuras del cultivo, siempre que haya un sistema de gestión de estos residuos.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34.1.3 Retirar y almacenar los envases de los productos fitosanitarios y fertilizantes una vez utilizados, hasta entregarlos a un gestor autorizado, de acuerdo con el Decreto 1416/2001, de 14 de diciembre, sobre envases de productos fitosanitarios.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34.1.4  Gestionar los productos fitosanitarios de desecho mediante un gestor autorizado de residuos de productos químicos o a través de una compañía proveedora o cualquier otro método seguro para el medio.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34.1.5 Establecer sistemas de recogida de aceites usados o de todo tipo de sustancias tóxicas y peligrosas que haya a la explotación dándolos los destino previsto en la legislación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34.2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34.2.1 Abandonar restos de plástico, envases y otros residuos en el interior o en los márgenes de la parcela y/o UHC.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34.2.2 Utilizar plásticos o mallas de las estructuras de cultivo, una vez retirados, para otros usos que supongan un riesgo para el cultivo, las personas o la fauna.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34.2.3  Destruir, mediante el fuego u otros procedimientos, triturar o enterrar en la parcela y/o UHC o limítrofes los envasas vacíos</w:t>
      </w:r>
      <w:r w:rsidRPr="00993936">
        <w:rPr>
          <w:rFonts w:ascii="Arial" w:hAnsi="Arial" w:cs="Arial"/>
          <w:vanish/>
          <w:lang w:val="es-ES"/>
        </w:rPr>
        <w:t>&lt;A[vacíos|huecos]&gt;</w:t>
      </w:r>
      <w:r w:rsidRPr="00993936">
        <w:rPr>
          <w:rFonts w:ascii="Arial" w:hAnsi="Arial" w:cs="Arial"/>
          <w:lang w:val="es-ES"/>
        </w:rPr>
        <w:t xml:space="preserve"> de productos fitosanitarios y fertilizantes, los plásticos o las mallas de las estructuras de cultivo, a excepción de que se haga en lugares</w:t>
      </w:r>
      <w:r w:rsidRPr="00993936">
        <w:rPr>
          <w:rFonts w:ascii="Arial" w:hAnsi="Arial" w:cs="Arial"/>
          <w:vanish/>
          <w:lang w:val="es-ES"/>
        </w:rPr>
        <w:t>&lt;A[lugares|sitios]&gt;</w:t>
      </w:r>
      <w:r w:rsidRPr="00993936">
        <w:rPr>
          <w:rFonts w:ascii="Arial" w:hAnsi="Arial" w:cs="Arial"/>
          <w:lang w:val="es-ES"/>
        </w:rPr>
        <w:t xml:space="preserve"> autorizados por la autoridad competente.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34.2.4  Depositar en cursos de agua, canales o embalses de agua, o dentro del perímetro de protección de captaciones de agua de consumo humano, los restos de caldo de los equipos de aplicación de productos fitosanitarios y lavarlos en esta zona.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34.2.5  Quemar restos vegetales de manera incontrolada, sin tener en consideración la normativa vigente que sea de aplicación.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de residuos de productos fitosanitarios en vegetales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35.1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35.1.1 La persona operadora tiene que disponer de un programa de autocontrol individual o colectivo para verificar la ausencia de residuos de productos fitosanitarios, por medio de la toma de muestras correspondientes, garantizando que han sido utilizadas exclusivamente las sustancias activas autorizadas y comprobar que se cumple la normativa de aplicación y, si procede, la del estado de destinación</w:t>
      </w:r>
      <w:r w:rsidRPr="00993936">
        <w:rPr>
          <w:rFonts w:ascii="Arial" w:hAnsi="Arial" w:cs="Arial"/>
          <w:vanish/>
          <w:lang w:val="es-ES"/>
        </w:rPr>
        <w:t>&lt;A[destinación|destino]&gt;</w:t>
      </w:r>
      <w:r w:rsidRPr="00993936">
        <w:rPr>
          <w:rFonts w:ascii="Arial" w:hAnsi="Arial" w:cs="Arial"/>
          <w:lang w:val="es-ES"/>
        </w:rPr>
        <w:t>, en relación con los límites máximos de residuos de productos fitosanitarios. La planificación de la recogida de las muestras tiene que considerar especialmente la época de recolección y/o de manipulación.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VI. PROTECCIÓN MEDIOAMBIENTAL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Protección medio ambiental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w:t>
      </w:r>
      <w:r w:rsidRPr="00993936">
        <w:rPr>
          <w:rFonts w:ascii="Arial" w:hAnsi="Arial" w:cs="Arial"/>
          <w:i/>
          <w:lang w:val="es-ES"/>
        </w:rPr>
        <w:t xml:space="preserve">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36.1.1 La empresa debe cumplir con la política de conservación del entorno natural según la legislación medio ambiental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36.1.2  Disponer de medidas de prevención de derrames accidentales de aceites, hidrocarburos u otros productos químicos peligrosos para el medio ambiente.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36.1.3  Implantar, si no se disponen, medidas de ahorro en el consumo de agua y de energía en las instalaciones y en los procesos.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VII. CONTROL Y CERTIFICACIÓN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Tratamiento de No conformidades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37.1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37.1.1 Cuando durante la realización de los controles internos o externos se detecte el incumplimiento total o parcial de alguna de las prácticas establecidas en esta norma como “obligatorias” o “prohibidas”, se tendrá que dejar registro como “no conformidad” de las desviaciones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37.1.2 Establecer y documentar las acciones correctivas que procedan para dar el tratamiento adecuado a estas no conformidades, de manera que se eliminen los efectos y las causas que las motivan y se impida una repetición futura.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37.1.3 El operador tiene que realizar el seguimiento de la implantación de las acciones correctivas y comprobar que sean efectivas antes de proceder al cierre de las no conformidades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37.1.4 Siempre que se detecten no conformidades sobre las materias primas, productos en proceso y los productos finales obtenidos de los productos vegetales de producción integrada, se tendrán que adoptar las medidas adecuadas de identificación, trazabilidad y segregación, de manera que se manifieste claramente su estado “no conforme” y se prevenga la utilización o comercialización de manera no intencionada como productos de producción integrada.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y certificación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38.1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38.1.1 El control y la certificación del sistema de la producción integrada se regirá por</w:t>
      </w:r>
      <w:r w:rsidRPr="00993936">
        <w:rPr>
          <w:rFonts w:ascii="Arial" w:hAnsi="Arial" w:cs="Arial"/>
          <w:vanish/>
          <w:lang w:val="es-ES"/>
        </w:rPr>
        <w:t>&lt;A[por|para]&gt;</w:t>
      </w:r>
      <w:r w:rsidRPr="00993936">
        <w:rPr>
          <w:rFonts w:ascii="Arial" w:hAnsi="Arial" w:cs="Arial"/>
          <w:lang w:val="es-ES"/>
        </w:rPr>
        <w:t xml:space="preserve"> lo que determina la Ley 14/2003, de 13 de junio, de calidad agroalimentaria; el Decreto 285/2006, de 4 de julio, por el cual se desarrolla la Ley 14/2003; el Decreto 241/2002, de 8 de octubre, por</w:t>
      </w:r>
      <w:r w:rsidRPr="00993936">
        <w:rPr>
          <w:rFonts w:ascii="Arial" w:hAnsi="Arial" w:cs="Arial"/>
          <w:vanish/>
          <w:lang w:val="es-ES"/>
        </w:rPr>
        <w:t>&lt;A[por|para]&gt;</w:t>
      </w:r>
      <w:r w:rsidRPr="00993936">
        <w:rPr>
          <w:rFonts w:ascii="Arial" w:hAnsi="Arial" w:cs="Arial"/>
          <w:lang w:val="es-ES"/>
        </w:rPr>
        <w:t xml:space="preserve"> el cual se regula la producción integrada en Cataluña, y la Orden ARP/208/2003, de 7 de mayo, por</w:t>
      </w:r>
      <w:r w:rsidRPr="00993936">
        <w:rPr>
          <w:rFonts w:ascii="Arial" w:hAnsi="Arial" w:cs="Arial"/>
          <w:vanish/>
          <w:lang w:val="es-ES"/>
        </w:rPr>
        <w:t>&lt;A[por|para]&gt;</w:t>
      </w:r>
      <w:r w:rsidRPr="00993936">
        <w:rPr>
          <w:rFonts w:ascii="Arial" w:hAnsi="Arial" w:cs="Arial"/>
          <w:lang w:val="es-ES"/>
        </w:rPr>
        <w:t xml:space="preserve"> la cual se aprueba el Reglamento de régimen interior del Consejo Catalán de la Producción Integrada.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39</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Distintivo de garantía de producción integrada</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39.1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39.1.2 La utilización del distintivo de garantía de producción integrada, en las etiquetas de los envases, frutos y otros lugares</w:t>
      </w:r>
      <w:r w:rsidRPr="00993936">
        <w:rPr>
          <w:rFonts w:ascii="Arial" w:hAnsi="Arial" w:cs="Arial"/>
          <w:vanish/>
          <w:lang w:val="es-ES"/>
        </w:rPr>
        <w:t>&lt;A[lugares|sitios]&gt;</w:t>
      </w:r>
      <w:r w:rsidRPr="00993936">
        <w:rPr>
          <w:rFonts w:ascii="Arial" w:hAnsi="Arial" w:cs="Arial"/>
          <w:lang w:val="es-ES"/>
        </w:rPr>
        <w:t>, se ajustará al sistema establecido por el libro de estilo del Consejo Catalán de la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39.1.3 La concesión del distintivo de garantía de producción integrada será concedido por el Consejo.</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39.2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39.2.1 Utilizar el distintivo de garantía sin disponer de la preceptiva certificación.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w:t>
      </w:r>
    </w:p>
    <w:p w:rsidR="00503A41" w:rsidRPr="00993936" w:rsidRDefault="00503A41" w:rsidP="000452B8">
      <w:pPr>
        <w:autoSpaceDE w:val="0"/>
        <w:autoSpaceDN w:val="0"/>
        <w:adjustRightInd w:val="0"/>
        <w:jc w:val="both"/>
        <w:rPr>
          <w:rFonts w:ascii="Arial" w:hAnsi="Arial" w:cs="Arial"/>
          <w:lang w:val="es-ES"/>
        </w:rPr>
      </w:pPr>
    </w:p>
    <w:p w:rsidR="00503A41" w:rsidRPr="00993936" w:rsidRDefault="00503A41" w:rsidP="000452B8">
      <w:pPr>
        <w:autoSpaceDE w:val="0"/>
        <w:autoSpaceDN w:val="0"/>
        <w:adjustRightInd w:val="0"/>
        <w:jc w:val="both"/>
        <w:rPr>
          <w:rFonts w:ascii="Arial" w:hAnsi="Arial" w:cs="Arial"/>
          <w:lang w:val="es-ES"/>
        </w:rPr>
      </w:pPr>
    </w:p>
    <w:p w:rsidR="007003E1" w:rsidRPr="00993936" w:rsidRDefault="007003E1">
      <w:pPr>
        <w:rPr>
          <w:rFonts w:ascii="Arial" w:hAnsi="Arial" w:cs="Arial"/>
          <w:b/>
          <w:snapToGrid w:val="0"/>
          <w:sz w:val="24"/>
          <w:szCs w:val="24"/>
          <w:u w:val="single"/>
          <w:lang w:val="es-ES" w:eastAsia="es-ES"/>
        </w:rPr>
      </w:pPr>
      <w:r w:rsidRPr="00993936">
        <w:rPr>
          <w:rFonts w:ascii="Arial" w:hAnsi="Arial" w:cs="Arial"/>
          <w:b/>
          <w:snapToGrid w:val="0"/>
          <w:sz w:val="24"/>
          <w:szCs w:val="24"/>
          <w:u w:val="single"/>
          <w:lang w:val="es-ES" w:eastAsia="es-ES"/>
        </w:rPr>
        <w:br w:type="page"/>
      </w:r>
    </w:p>
    <w:p w:rsidR="00503A41" w:rsidRPr="00993936" w:rsidRDefault="00503A41" w:rsidP="000452B8">
      <w:pPr>
        <w:rPr>
          <w:rFonts w:ascii="Arial" w:hAnsi="Arial" w:cs="Arial"/>
          <w:b/>
          <w:snapToGrid w:val="0"/>
          <w:sz w:val="24"/>
          <w:szCs w:val="24"/>
          <w:u w:val="single"/>
          <w:lang w:val="es-ES" w:eastAsia="es-ES"/>
        </w:rPr>
      </w:pPr>
      <w:r w:rsidRPr="00993936">
        <w:rPr>
          <w:rFonts w:ascii="Arial" w:hAnsi="Arial" w:cs="Arial"/>
          <w:b/>
          <w:snapToGrid w:val="0"/>
          <w:sz w:val="24"/>
          <w:szCs w:val="24"/>
          <w:u w:val="single"/>
          <w:lang w:val="es-ES" w:eastAsia="es-ES"/>
        </w:rPr>
        <w:lastRenderedPageBreak/>
        <w:t>CULTIVOS INCLUIDOS</w:t>
      </w:r>
    </w:p>
    <w:p w:rsidR="00503A41" w:rsidRPr="00993936" w:rsidRDefault="00503A41" w:rsidP="000452B8">
      <w:pPr>
        <w:rPr>
          <w:rFonts w:ascii="Arial" w:hAnsi="Arial" w:cs="Arial"/>
          <w:b/>
          <w:snapToGrid w:val="0"/>
          <w:sz w:val="24"/>
          <w:szCs w:val="24"/>
          <w:lang w:val="es-ES" w:eastAsia="es-ES"/>
        </w:rPr>
      </w:pPr>
    </w:p>
    <w:p w:rsidR="00503A41" w:rsidRPr="00993936" w:rsidRDefault="00503A41" w:rsidP="000452B8">
      <w:pPr>
        <w:jc w:val="both"/>
        <w:rPr>
          <w:rFonts w:ascii="Arial" w:hAnsi="Arial" w:cs="Arial"/>
          <w:snapToGrid w:val="0"/>
          <w:sz w:val="24"/>
          <w:szCs w:val="24"/>
          <w:lang w:val="es-ES" w:eastAsia="es-ES"/>
        </w:rPr>
      </w:pPr>
      <w:r w:rsidRPr="00993936">
        <w:rPr>
          <w:rFonts w:ascii="Arial" w:hAnsi="Arial" w:cs="Arial"/>
          <w:snapToGrid w:val="0"/>
          <w:sz w:val="24"/>
          <w:szCs w:val="24"/>
          <w:lang w:val="es-ES" w:eastAsia="es-ES"/>
        </w:rPr>
        <w:t>Los anexos de la norma técnica de producción integrada de hortalizas y legumbres, que se describen acto seguido, son de aplicación a los siguientes cultivos:</w:t>
      </w:r>
    </w:p>
    <w:p w:rsidR="00503A41" w:rsidRPr="00993936" w:rsidRDefault="00503A41" w:rsidP="000452B8">
      <w:pPr>
        <w:jc w:val="both"/>
        <w:rPr>
          <w:rFonts w:ascii="Arial" w:hAnsi="Arial" w:cs="Arial"/>
          <w:snapToGrid w:val="0"/>
          <w:sz w:val="24"/>
          <w:szCs w:val="24"/>
          <w:lang w:val="es-ES" w:eastAsia="es-ES"/>
        </w:rPr>
      </w:pP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1. Berenjena</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 xml:space="preserve">2. Apio, hinojo, perejil y zanahoria </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3. Acelgas</w:t>
      </w:r>
      <w:r w:rsidRPr="00993936">
        <w:rPr>
          <w:rFonts w:ascii="Arial" w:hAnsi="Arial" w:cs="Arial"/>
          <w:snapToGrid w:val="0"/>
          <w:vanish/>
          <w:sz w:val="24"/>
          <w:szCs w:val="24"/>
          <w:lang w:val="es-ES" w:eastAsia="es-ES"/>
        </w:rPr>
        <w:t>&lt;A[Acelgas|Pánfilas]&gt;</w:t>
      </w:r>
      <w:r w:rsidRPr="00993936">
        <w:rPr>
          <w:rFonts w:ascii="Arial" w:hAnsi="Arial" w:cs="Arial"/>
          <w:snapToGrid w:val="0"/>
          <w:sz w:val="24"/>
          <w:szCs w:val="24"/>
          <w:lang w:val="es-ES" w:eastAsia="es-ES"/>
        </w:rPr>
        <w:t xml:space="preserve"> y espinacas</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4. Alcachofa</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5. Cebolla, puerro</w:t>
      </w:r>
      <w:r w:rsidRPr="00993936">
        <w:rPr>
          <w:rFonts w:ascii="Arial" w:hAnsi="Arial" w:cs="Arial"/>
          <w:snapToGrid w:val="0"/>
          <w:vanish/>
          <w:sz w:val="24"/>
          <w:szCs w:val="24"/>
          <w:lang w:val="es-ES" w:eastAsia="es-ES"/>
        </w:rPr>
        <w:t>&lt;A[puerro|porro]&gt;</w:t>
      </w:r>
      <w:r w:rsidRPr="00993936">
        <w:rPr>
          <w:rFonts w:ascii="Arial" w:hAnsi="Arial" w:cs="Arial"/>
          <w:snapToGrid w:val="0"/>
          <w:sz w:val="24"/>
          <w:szCs w:val="24"/>
          <w:lang w:val="es-ES" w:eastAsia="es-ES"/>
        </w:rPr>
        <w:t>, ajo y calçot</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6. Col, coliflor, bróculi y otros</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7. Cucurbitáceas (pepino calabacín, calabaza, melón y sandía)</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8. Lechuga y escarola</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9. Alubia, garbanzo y lenteja</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10. Judía verde, haba y guisante</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11. Patata</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12. Pimiento</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13. Rábano</w:t>
      </w:r>
    </w:p>
    <w:p w:rsidR="00503A41" w:rsidRPr="00993936" w:rsidRDefault="00503A41" w:rsidP="000452B8">
      <w:pPr>
        <w:rPr>
          <w:rFonts w:ascii="Arial" w:hAnsi="Arial" w:cs="Arial"/>
          <w:snapToGrid w:val="0"/>
          <w:sz w:val="24"/>
          <w:szCs w:val="24"/>
          <w:lang w:val="es-ES" w:eastAsia="es-ES"/>
        </w:rPr>
      </w:pPr>
      <w:r w:rsidRPr="00993936">
        <w:rPr>
          <w:rFonts w:ascii="Arial" w:hAnsi="Arial" w:cs="Arial"/>
          <w:snapToGrid w:val="0"/>
          <w:sz w:val="24"/>
          <w:szCs w:val="24"/>
          <w:lang w:val="es-ES" w:eastAsia="es-ES"/>
        </w:rPr>
        <w:t>14. Tomate</w:t>
      </w:r>
    </w:p>
    <w:p w:rsidR="00503A41" w:rsidRPr="00993936" w:rsidRDefault="00503A41" w:rsidP="000452B8">
      <w:pPr>
        <w:jc w:val="both"/>
        <w:rPr>
          <w:rFonts w:ascii="Arial" w:hAnsi="Arial" w:cs="Arial"/>
          <w:lang w:val="es-ES"/>
        </w:rPr>
      </w:pPr>
    </w:p>
    <w:p w:rsidR="00503A41" w:rsidRPr="00993936" w:rsidRDefault="00503A41" w:rsidP="000452B8">
      <w:pPr>
        <w:rPr>
          <w:rFonts w:ascii="Arial" w:hAnsi="Arial" w:cs="Arial"/>
          <w:b/>
          <w:sz w:val="24"/>
          <w:szCs w:val="28"/>
          <w:u w:val="single"/>
          <w:lang w:val="es-ES"/>
        </w:rPr>
      </w:pPr>
      <w:r w:rsidRPr="00993936">
        <w:rPr>
          <w:rFonts w:ascii="Arial" w:hAnsi="Arial" w:cs="Arial"/>
          <w:b/>
          <w:sz w:val="24"/>
          <w:szCs w:val="28"/>
          <w:u w:val="single"/>
          <w:lang w:val="es-ES"/>
        </w:rPr>
        <w:t>CÓDIGOS DE RESISTENCIA HRAC - IRAC - FRAC</w:t>
      </w:r>
    </w:p>
    <w:p w:rsidR="00503A41" w:rsidRPr="00993936" w:rsidRDefault="00503A41" w:rsidP="000452B8">
      <w:pPr>
        <w:rPr>
          <w:rFonts w:ascii="Arial" w:hAnsi="Arial" w:cs="Arial"/>
          <w:b/>
          <w:sz w:val="24"/>
          <w:szCs w:val="28"/>
          <w:u w:val="single"/>
          <w:lang w:val="es-ES"/>
        </w:rPr>
      </w:pPr>
    </w:p>
    <w:p w:rsidR="00503A41" w:rsidRPr="00993936" w:rsidRDefault="00503A41" w:rsidP="000452B8">
      <w:pPr>
        <w:jc w:val="both"/>
        <w:rPr>
          <w:rFonts w:ascii="Arial" w:hAnsi="Arial" w:cs="Arial"/>
          <w:szCs w:val="28"/>
          <w:lang w:val="es-ES"/>
        </w:rPr>
      </w:pPr>
      <w:r w:rsidRPr="00993936">
        <w:rPr>
          <w:rFonts w:ascii="Arial" w:hAnsi="Arial" w:cs="Arial"/>
          <w:szCs w:val="28"/>
          <w:lang w:val="es-ES"/>
        </w:rPr>
        <w:t>Para evitar la aparición de resistencias en la utilización de productos fitosanitarios para el control de plagas, enfermedades y malas hierbas, es importante alternar el uso de materias activas utilizando aquellas materias que presenten códigos de resistencia diferentes. En el apéndice final de este documento se indican los códigos de resistencia HRAC, IRAC y FRAC para cada una de las materias activas autorizadas por la producción integrada de hortalizas y legumbres.</w:t>
      </w:r>
    </w:p>
    <w:p w:rsidR="00503A41" w:rsidRPr="00993936" w:rsidRDefault="00503A41" w:rsidP="000452B8">
      <w:pPr>
        <w:rPr>
          <w:rFonts w:ascii="Arial" w:hAnsi="Arial" w:cs="Arial"/>
          <w:szCs w:val="28"/>
          <w:lang w:val="es-ES"/>
        </w:rPr>
      </w:pPr>
    </w:p>
    <w:p w:rsidR="00503A41" w:rsidRPr="00993936" w:rsidRDefault="00503A41" w:rsidP="000452B8">
      <w:pPr>
        <w:rPr>
          <w:rFonts w:ascii="Arial" w:hAnsi="Arial" w:cs="Arial"/>
          <w:b/>
          <w:sz w:val="24"/>
          <w:szCs w:val="28"/>
          <w:u w:val="single"/>
          <w:lang w:val="es-ES"/>
        </w:rPr>
      </w:pPr>
    </w:p>
    <w:p w:rsidR="00503A41" w:rsidRPr="00993936" w:rsidRDefault="00503A41" w:rsidP="000452B8">
      <w:pPr>
        <w:jc w:val="center"/>
        <w:rPr>
          <w:rFonts w:ascii="Arial" w:hAnsi="Arial" w:cs="Arial"/>
          <w:b/>
          <w:snapToGrid w:val="0"/>
          <w:sz w:val="24"/>
          <w:szCs w:val="28"/>
          <w:u w:val="single"/>
          <w:lang w:val="es-ES" w:eastAsia="es-ES"/>
        </w:rPr>
      </w:pPr>
      <w:r w:rsidRPr="00993936">
        <w:rPr>
          <w:rFonts w:ascii="Arial" w:hAnsi="Arial" w:cs="Arial"/>
          <w:b/>
          <w:snapToGrid w:val="0"/>
          <w:sz w:val="24"/>
          <w:szCs w:val="28"/>
          <w:u w:val="single"/>
          <w:lang w:val="es-ES" w:eastAsia="es-ES"/>
        </w:rPr>
        <w:br w:type="page"/>
      </w:r>
      <w:r w:rsidRPr="00993936">
        <w:rPr>
          <w:rFonts w:ascii="Arial" w:hAnsi="Arial" w:cs="Arial"/>
          <w:b/>
          <w:snapToGrid w:val="0"/>
          <w:sz w:val="24"/>
          <w:szCs w:val="28"/>
          <w:u w:val="single"/>
          <w:lang w:val="es-ES" w:eastAsia="es-ES"/>
        </w:rPr>
        <w:lastRenderedPageBreak/>
        <w:t xml:space="preserve">ANEXOS COMUNES  </w:t>
      </w:r>
    </w:p>
    <w:p w:rsidR="00503A41" w:rsidRPr="00993936" w:rsidRDefault="00503A41" w:rsidP="000452B8">
      <w:pPr>
        <w:pStyle w:val="Ttulo3"/>
        <w:jc w:val="center"/>
        <w:rPr>
          <w:rFonts w:ascii="Arial" w:hAnsi="Arial" w:cs="Arial"/>
          <w:color w:val="auto"/>
          <w:szCs w:val="22"/>
          <w:lang w:val="es-ES"/>
        </w:rPr>
      </w:pPr>
    </w:p>
    <w:p w:rsidR="00503A41" w:rsidRPr="00993936" w:rsidRDefault="00503A41" w:rsidP="000452B8">
      <w:pPr>
        <w:pStyle w:val="Ttulo3"/>
        <w:rPr>
          <w:rFonts w:ascii="Arial" w:hAnsi="Arial" w:cs="Arial"/>
          <w:color w:val="auto"/>
          <w:szCs w:val="22"/>
          <w:lang w:val="es-ES"/>
        </w:rPr>
      </w:pPr>
    </w:p>
    <w:p w:rsidR="00503A41" w:rsidRPr="00993936" w:rsidRDefault="00503A41" w:rsidP="00527396">
      <w:pPr>
        <w:pStyle w:val="Ttulo3"/>
        <w:rPr>
          <w:rFonts w:ascii="Arial" w:hAnsi="Arial" w:cs="Arial"/>
          <w:b/>
          <w:color w:val="auto"/>
          <w:lang w:val="es-ES"/>
        </w:rPr>
      </w:pPr>
      <w:r w:rsidRPr="00993936">
        <w:rPr>
          <w:rFonts w:ascii="Arial" w:hAnsi="Arial" w:cs="Arial"/>
          <w:color w:val="auto"/>
          <w:szCs w:val="22"/>
          <w:lang w:val="es-ES"/>
        </w:rPr>
        <w:t xml:space="preserve">ANEXO 1: </w:t>
      </w:r>
      <w:r w:rsidRPr="00993936">
        <w:rPr>
          <w:rFonts w:ascii="Arial" w:hAnsi="Arial" w:cs="Arial"/>
          <w:color w:val="auto"/>
          <w:lang w:val="es-ES"/>
        </w:rPr>
        <w:t>Tabla orientativa del contenido de nutrientes de algunos abonos</w:t>
      </w:r>
      <w:r w:rsidRPr="00993936">
        <w:rPr>
          <w:rFonts w:ascii="Arial" w:hAnsi="Arial" w:cs="Arial"/>
          <w:vanish/>
          <w:color w:val="auto"/>
          <w:lang w:val="es-ES"/>
        </w:rPr>
        <w:t>&lt;A[abonos|adobos]&gt;</w:t>
      </w:r>
      <w:r w:rsidRPr="00993936">
        <w:rPr>
          <w:rFonts w:ascii="Arial" w:hAnsi="Arial" w:cs="Arial"/>
          <w:color w:val="auto"/>
          <w:lang w:val="es-ES"/>
        </w:rPr>
        <w:t xml:space="preserve"> orgánicos por tonelada de materia fresca</w:t>
      </w:r>
    </w:p>
    <w:p w:rsidR="00503A41" w:rsidRPr="00993936" w:rsidRDefault="00503A41" w:rsidP="000452B8">
      <w:pPr>
        <w:pStyle w:val="Ttulo3"/>
        <w:rPr>
          <w:rFonts w:ascii="Arial" w:hAnsi="Arial" w:cs="Arial"/>
          <w:color w:val="auto"/>
          <w:lang w:val="es-ES"/>
        </w:rPr>
      </w:pPr>
    </w:p>
    <w:tbl>
      <w:tblPr>
        <w:tblW w:w="5000" w:type="pct"/>
        <w:tblCellMar>
          <w:left w:w="70" w:type="dxa"/>
          <w:right w:w="70" w:type="dxa"/>
        </w:tblCellMar>
        <w:tblLook w:val="0000" w:firstRow="0" w:lastRow="0" w:firstColumn="0" w:lastColumn="0" w:noHBand="0" w:noVBand="0"/>
      </w:tblPr>
      <w:tblGrid>
        <w:gridCol w:w="1163"/>
        <w:gridCol w:w="1517"/>
        <w:gridCol w:w="3527"/>
        <w:gridCol w:w="985"/>
        <w:gridCol w:w="1033"/>
        <w:gridCol w:w="985"/>
      </w:tblGrid>
      <w:tr w:rsidR="00503A41" w:rsidRPr="00993936" w:rsidTr="001D205D">
        <w:trPr>
          <w:trHeight w:val="555"/>
        </w:trPr>
        <w:tc>
          <w:tcPr>
            <w:tcW w:w="645"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Ganado</w:t>
            </w:r>
          </w:p>
        </w:tc>
        <w:tc>
          <w:tcPr>
            <w:tcW w:w="837"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Tipo</w:t>
            </w:r>
          </w:p>
        </w:tc>
        <w:tc>
          <w:tcPr>
            <w:tcW w:w="1928" w:type="pct"/>
            <w:tcBorders>
              <w:top w:val="single" w:sz="8" w:space="0" w:color="auto"/>
              <w:left w:val="nil"/>
              <w:bottom w:val="single" w:sz="8" w:space="0" w:color="auto"/>
              <w:right w:val="nil"/>
            </w:tcBorders>
            <w:shd w:val="clear" w:color="auto" w:fill="D9D9D9"/>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Fase / Sistema Productivo</w:t>
            </w:r>
          </w:p>
        </w:tc>
        <w:tc>
          <w:tcPr>
            <w:tcW w:w="478"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Kg N/m</w:t>
            </w:r>
            <w:r w:rsidRPr="00993936">
              <w:rPr>
                <w:rFonts w:ascii="Arial" w:hAnsi="Arial" w:cs="Arial"/>
                <w:vertAlign w:val="superscript"/>
                <w:lang w:val="es-ES"/>
              </w:rPr>
              <w:t>3</w:t>
            </w:r>
            <w:r w:rsidRPr="00993936">
              <w:rPr>
                <w:rFonts w:ascii="Arial" w:hAnsi="Arial" w:cs="Arial"/>
                <w:lang w:val="es-ES"/>
              </w:rPr>
              <w:t xml:space="preserve"> o tonelada</w:t>
            </w:r>
          </w:p>
        </w:tc>
        <w:tc>
          <w:tcPr>
            <w:tcW w:w="574"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Kg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5</w:t>
            </w:r>
            <w:r w:rsidRPr="00993936">
              <w:rPr>
                <w:rFonts w:ascii="Arial" w:hAnsi="Arial" w:cs="Arial"/>
                <w:lang w:val="es-ES"/>
              </w:rPr>
              <w:t>/m</w:t>
            </w:r>
            <w:r w:rsidRPr="00993936">
              <w:rPr>
                <w:rFonts w:ascii="Arial" w:hAnsi="Arial" w:cs="Arial"/>
                <w:vertAlign w:val="superscript"/>
                <w:lang w:val="es-ES"/>
              </w:rPr>
              <w:t xml:space="preserve">3 </w:t>
            </w:r>
            <w:r w:rsidRPr="00993936">
              <w:rPr>
                <w:rFonts w:ascii="Arial" w:hAnsi="Arial" w:cs="Arial"/>
                <w:lang w:val="es-ES"/>
              </w:rPr>
              <w:t>o tonelada</w:t>
            </w:r>
          </w:p>
        </w:tc>
        <w:tc>
          <w:tcPr>
            <w:tcW w:w="539"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Kg K</w:t>
            </w:r>
            <w:r w:rsidRPr="00993936">
              <w:rPr>
                <w:rFonts w:ascii="Arial" w:hAnsi="Arial" w:cs="Arial"/>
                <w:vertAlign w:val="subscript"/>
                <w:lang w:val="es-ES"/>
              </w:rPr>
              <w:t>2</w:t>
            </w:r>
            <w:r w:rsidRPr="00993936">
              <w:rPr>
                <w:rFonts w:ascii="Arial" w:hAnsi="Arial" w:cs="Arial"/>
                <w:lang w:val="es-ES"/>
              </w:rPr>
              <w:t>O/m</w:t>
            </w:r>
            <w:r w:rsidRPr="00993936">
              <w:rPr>
                <w:rFonts w:ascii="Arial" w:hAnsi="Arial" w:cs="Arial"/>
                <w:vertAlign w:val="superscript"/>
                <w:lang w:val="es-ES"/>
              </w:rPr>
              <w:t xml:space="preserve">3 </w:t>
            </w:r>
            <w:r w:rsidRPr="00993936">
              <w:rPr>
                <w:rFonts w:ascii="Arial" w:hAnsi="Arial" w:cs="Arial"/>
                <w:lang w:val="es-ES"/>
              </w:rPr>
              <w:t>o tonelada</w:t>
            </w:r>
          </w:p>
        </w:tc>
      </w:tr>
      <w:tr w:rsidR="00503A41" w:rsidRPr="00993936" w:rsidTr="001D205D">
        <w:trPr>
          <w:trHeight w:val="300"/>
        </w:trPr>
        <w:tc>
          <w:tcPr>
            <w:tcW w:w="645" w:type="pct"/>
            <w:vMerge w:val="restart"/>
            <w:tcBorders>
              <w:top w:val="nil"/>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Porcino</w:t>
            </w:r>
          </w:p>
        </w:tc>
        <w:tc>
          <w:tcPr>
            <w:tcW w:w="837" w:type="pct"/>
            <w:vMerge w:val="restart"/>
            <w:tcBorders>
              <w:top w:val="nil"/>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Purín</w:t>
            </w: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Engorde</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5,7</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3,6</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4,2</w:t>
            </w:r>
          </w:p>
        </w:tc>
      </w:tr>
      <w:tr w:rsidR="00503A41" w:rsidRPr="00993936" w:rsidTr="001D205D">
        <w:trPr>
          <w:trHeight w:val="300"/>
        </w:trPr>
        <w:tc>
          <w:tcPr>
            <w:tcW w:w="645" w:type="pct"/>
            <w:vMerge/>
            <w:tcBorders>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Reproductora</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2,9</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2,1</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1,8</w:t>
            </w:r>
          </w:p>
        </w:tc>
      </w:tr>
      <w:tr w:rsidR="00503A41" w:rsidRPr="00993936" w:rsidTr="001D205D">
        <w:trPr>
          <w:trHeight w:val="300"/>
        </w:trPr>
        <w:tc>
          <w:tcPr>
            <w:tcW w:w="645" w:type="pct"/>
            <w:vMerge/>
            <w:tcBorders>
              <w:left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Cochinillos (6-20kg)</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3,4</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2,6</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1,7</w:t>
            </w:r>
          </w:p>
        </w:tc>
      </w:tr>
      <w:tr w:rsidR="00503A41" w:rsidRPr="00993936" w:rsidTr="001D205D">
        <w:trPr>
          <w:trHeight w:val="300"/>
        </w:trPr>
        <w:tc>
          <w:tcPr>
            <w:tcW w:w="645" w:type="pct"/>
            <w:vMerge/>
            <w:tcBorders>
              <w:left w:val="single" w:sz="8" w:space="0" w:color="auto"/>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Ciclo cerrado</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3,4</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2,4</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2,5</w:t>
            </w:r>
          </w:p>
        </w:tc>
      </w:tr>
      <w:tr w:rsidR="00503A41" w:rsidRPr="00993936" w:rsidTr="001D205D">
        <w:trPr>
          <w:trHeight w:val="300"/>
        </w:trPr>
        <w:tc>
          <w:tcPr>
            <w:tcW w:w="645"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Ganado vacuno</w:t>
            </w:r>
          </w:p>
        </w:tc>
        <w:tc>
          <w:tcPr>
            <w:tcW w:w="837" w:type="pct"/>
            <w:vMerge w:val="restart"/>
            <w:tcBorders>
              <w:top w:val="single" w:sz="8" w:space="0" w:color="auto"/>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Purín</w:t>
            </w:r>
          </w:p>
        </w:tc>
        <w:tc>
          <w:tcPr>
            <w:tcW w:w="1928" w:type="pct"/>
            <w:tcBorders>
              <w:top w:val="single" w:sz="8" w:space="0" w:color="auto"/>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Vaca de leche</w:t>
            </w:r>
          </w:p>
        </w:tc>
        <w:tc>
          <w:tcPr>
            <w:tcW w:w="478"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3,3</w:t>
            </w:r>
          </w:p>
        </w:tc>
        <w:tc>
          <w:tcPr>
            <w:tcW w:w="574"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1,5</w:t>
            </w:r>
          </w:p>
        </w:tc>
        <w:tc>
          <w:tcPr>
            <w:tcW w:w="539" w:type="pct"/>
            <w:tcBorders>
              <w:top w:val="single" w:sz="8" w:space="0" w:color="auto"/>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3,4</w:t>
            </w:r>
          </w:p>
        </w:tc>
      </w:tr>
      <w:tr w:rsidR="00503A41" w:rsidRPr="00993936" w:rsidTr="001D205D">
        <w:trPr>
          <w:trHeight w:val="300"/>
        </w:trPr>
        <w:tc>
          <w:tcPr>
            <w:tcW w:w="645"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Engorde terneros</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5,2</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1,7</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3,6</w:t>
            </w:r>
          </w:p>
        </w:tc>
      </w:tr>
      <w:tr w:rsidR="00503A41" w:rsidRPr="00993936" w:rsidTr="001D205D">
        <w:trPr>
          <w:trHeight w:val="300"/>
        </w:trPr>
        <w:tc>
          <w:tcPr>
            <w:tcW w:w="645"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val="restart"/>
            <w:tcBorders>
              <w:top w:val="single" w:sz="8" w:space="0" w:color="auto"/>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Estiércol</w:t>
            </w:r>
          </w:p>
          <w:p w:rsidR="00503A41" w:rsidRPr="00993936" w:rsidRDefault="00503A41" w:rsidP="001D205D">
            <w:pPr>
              <w:pStyle w:val="Sinespaciado"/>
              <w:rPr>
                <w:rFonts w:ascii="Arial" w:hAnsi="Arial" w:cs="Arial"/>
                <w:lang w:val="es-ES"/>
              </w:rPr>
            </w:pPr>
          </w:p>
        </w:tc>
        <w:tc>
          <w:tcPr>
            <w:tcW w:w="1928" w:type="pct"/>
            <w:tcBorders>
              <w:top w:val="single" w:sz="8" w:space="0" w:color="auto"/>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Vaca de leche</w:t>
            </w:r>
          </w:p>
        </w:tc>
        <w:tc>
          <w:tcPr>
            <w:tcW w:w="478"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5,5</w:t>
            </w:r>
          </w:p>
        </w:tc>
        <w:tc>
          <w:tcPr>
            <w:tcW w:w="574"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2,0</w:t>
            </w:r>
          </w:p>
        </w:tc>
        <w:tc>
          <w:tcPr>
            <w:tcW w:w="539" w:type="pct"/>
            <w:tcBorders>
              <w:top w:val="single" w:sz="8" w:space="0" w:color="auto"/>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7,9</w:t>
            </w:r>
          </w:p>
        </w:tc>
      </w:tr>
      <w:tr w:rsidR="00503A41" w:rsidRPr="00993936" w:rsidTr="001D205D">
        <w:trPr>
          <w:trHeight w:val="300"/>
        </w:trPr>
        <w:tc>
          <w:tcPr>
            <w:tcW w:w="645"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Vaca de carne</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3,0</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2,0</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5,0</w:t>
            </w:r>
          </w:p>
        </w:tc>
      </w:tr>
      <w:tr w:rsidR="00503A41" w:rsidRPr="00993936" w:rsidTr="001D205D">
        <w:trPr>
          <w:trHeight w:val="300"/>
        </w:trPr>
        <w:tc>
          <w:tcPr>
            <w:tcW w:w="645"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Ternero de engorde</w:t>
            </w:r>
          </w:p>
        </w:tc>
        <w:tc>
          <w:tcPr>
            <w:tcW w:w="478"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6,0</w:t>
            </w:r>
          </w:p>
        </w:tc>
        <w:tc>
          <w:tcPr>
            <w:tcW w:w="57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5,0</w:t>
            </w:r>
          </w:p>
        </w:tc>
        <w:tc>
          <w:tcPr>
            <w:tcW w:w="539"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6,0</w:t>
            </w:r>
          </w:p>
        </w:tc>
      </w:tr>
      <w:tr w:rsidR="00503A41" w:rsidRPr="00993936" w:rsidTr="001D205D">
        <w:trPr>
          <w:trHeight w:val="300"/>
        </w:trPr>
        <w:tc>
          <w:tcPr>
            <w:tcW w:w="645"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Aves de corral</w:t>
            </w:r>
          </w:p>
        </w:tc>
        <w:tc>
          <w:tcPr>
            <w:tcW w:w="837" w:type="pct"/>
            <w:vMerge w:val="restart"/>
            <w:tcBorders>
              <w:top w:val="nil"/>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Gallinaza</w:t>
            </w: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Pavo</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24,9</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25,8</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20,0</w:t>
            </w:r>
          </w:p>
        </w:tc>
      </w:tr>
      <w:tr w:rsidR="00503A41" w:rsidRPr="00993936" w:rsidTr="001D205D">
        <w:trPr>
          <w:trHeight w:val="300"/>
        </w:trPr>
        <w:tc>
          <w:tcPr>
            <w:tcW w:w="645"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Pollo de engorde</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22,8</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21,1</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17,7</w:t>
            </w:r>
          </w:p>
        </w:tc>
      </w:tr>
      <w:tr w:rsidR="00503A41" w:rsidRPr="00993936" w:rsidTr="001D205D">
        <w:trPr>
          <w:trHeight w:val="300"/>
        </w:trPr>
        <w:tc>
          <w:tcPr>
            <w:tcW w:w="645"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Gallina ponedora</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12,5</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10,4</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8,0</w:t>
            </w:r>
          </w:p>
        </w:tc>
      </w:tr>
      <w:tr w:rsidR="00503A41" w:rsidRPr="00993936" w:rsidTr="001D205D">
        <w:trPr>
          <w:trHeight w:val="300"/>
        </w:trPr>
        <w:tc>
          <w:tcPr>
            <w:tcW w:w="645"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Gallina reproductora</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17,4</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33,9</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23,6</w:t>
            </w:r>
          </w:p>
        </w:tc>
      </w:tr>
      <w:tr w:rsidR="00503A41" w:rsidRPr="00993936" w:rsidTr="001D205D">
        <w:trPr>
          <w:trHeight w:val="300"/>
        </w:trPr>
        <w:tc>
          <w:tcPr>
            <w:tcW w:w="645" w:type="pct"/>
            <w:vMerge/>
            <w:tcBorders>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Gallina reposición</w:t>
            </w:r>
          </w:p>
        </w:tc>
        <w:tc>
          <w:tcPr>
            <w:tcW w:w="478"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19,5</w:t>
            </w:r>
          </w:p>
        </w:tc>
        <w:tc>
          <w:tcPr>
            <w:tcW w:w="57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45,8</w:t>
            </w:r>
          </w:p>
        </w:tc>
        <w:tc>
          <w:tcPr>
            <w:tcW w:w="539"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25,5</w:t>
            </w:r>
          </w:p>
        </w:tc>
      </w:tr>
      <w:tr w:rsidR="00503A41" w:rsidRPr="00993936" w:rsidTr="001D205D">
        <w:trPr>
          <w:trHeight w:val="300"/>
        </w:trPr>
        <w:tc>
          <w:tcPr>
            <w:tcW w:w="645"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Ovino-ganado cabrío</w:t>
            </w:r>
          </w:p>
        </w:tc>
        <w:tc>
          <w:tcPr>
            <w:tcW w:w="837" w:type="pct"/>
            <w:vMerge w:val="restart"/>
            <w:tcBorders>
              <w:top w:val="nil"/>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Estiércol</w:t>
            </w: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Oveja de carne</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9,4</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5,0</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10,0</w:t>
            </w:r>
          </w:p>
        </w:tc>
      </w:tr>
      <w:tr w:rsidR="00503A41" w:rsidRPr="00993936" w:rsidTr="001D205D">
        <w:trPr>
          <w:trHeight w:val="300"/>
        </w:trPr>
        <w:tc>
          <w:tcPr>
            <w:tcW w:w="645"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Oveja de leche</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8,1</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3,2</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8,6</w:t>
            </w:r>
          </w:p>
        </w:tc>
      </w:tr>
      <w:tr w:rsidR="00503A41" w:rsidRPr="00993936" w:rsidTr="001D205D">
        <w:trPr>
          <w:trHeight w:val="300"/>
        </w:trPr>
        <w:tc>
          <w:tcPr>
            <w:tcW w:w="645" w:type="pct"/>
            <w:vMerge/>
            <w:tcBorders>
              <w:left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vMerge/>
            <w:tcBorders>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1928" w:type="pct"/>
            <w:tcBorders>
              <w:top w:val="nil"/>
              <w:left w:val="nil"/>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Cabra</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9,4</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5,0</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9,0</w:t>
            </w:r>
          </w:p>
        </w:tc>
      </w:tr>
      <w:tr w:rsidR="00503A41" w:rsidRPr="00993936" w:rsidTr="001D205D">
        <w:trPr>
          <w:trHeight w:val="300"/>
        </w:trPr>
        <w:tc>
          <w:tcPr>
            <w:tcW w:w="645" w:type="pct"/>
            <w:vMerge/>
            <w:tcBorders>
              <w:left w:val="single" w:sz="8" w:space="0" w:color="auto"/>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p>
        </w:tc>
        <w:tc>
          <w:tcPr>
            <w:tcW w:w="837" w:type="pct"/>
            <w:tcBorders>
              <w:top w:val="nil"/>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purín</w:t>
            </w:r>
          </w:p>
        </w:tc>
        <w:tc>
          <w:tcPr>
            <w:tcW w:w="1928" w:type="pct"/>
            <w:tcBorders>
              <w:top w:val="single" w:sz="8" w:space="0" w:color="auto"/>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Oveja de leche</w:t>
            </w:r>
          </w:p>
        </w:tc>
        <w:tc>
          <w:tcPr>
            <w:tcW w:w="478" w:type="pct"/>
            <w:tcBorders>
              <w:top w:val="single" w:sz="8" w:space="0" w:color="auto"/>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7,3</w:t>
            </w:r>
          </w:p>
        </w:tc>
        <w:tc>
          <w:tcPr>
            <w:tcW w:w="574" w:type="pct"/>
            <w:tcBorders>
              <w:top w:val="single" w:sz="8" w:space="0" w:color="auto"/>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3,4</w:t>
            </w:r>
          </w:p>
        </w:tc>
        <w:tc>
          <w:tcPr>
            <w:tcW w:w="539" w:type="pct"/>
            <w:tcBorders>
              <w:top w:val="single" w:sz="8" w:space="0" w:color="auto"/>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7,1</w:t>
            </w:r>
          </w:p>
        </w:tc>
      </w:tr>
      <w:tr w:rsidR="00503A41" w:rsidRPr="00993936" w:rsidTr="001D205D">
        <w:trPr>
          <w:trHeight w:val="300"/>
        </w:trPr>
        <w:tc>
          <w:tcPr>
            <w:tcW w:w="645" w:type="pct"/>
            <w:tcBorders>
              <w:top w:val="nil"/>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Equino</w:t>
            </w:r>
          </w:p>
        </w:tc>
        <w:tc>
          <w:tcPr>
            <w:tcW w:w="837"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Estiércol</w:t>
            </w:r>
          </w:p>
        </w:tc>
        <w:tc>
          <w:tcPr>
            <w:tcW w:w="1928" w:type="pct"/>
            <w:tcBorders>
              <w:top w:val="nil"/>
              <w:left w:val="single" w:sz="8" w:space="0" w:color="auto"/>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Caballo</w:t>
            </w:r>
          </w:p>
        </w:tc>
        <w:tc>
          <w:tcPr>
            <w:tcW w:w="478"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5,7</w:t>
            </w:r>
          </w:p>
        </w:tc>
        <w:tc>
          <w:tcPr>
            <w:tcW w:w="574" w:type="pct"/>
            <w:tcBorders>
              <w:top w:val="nil"/>
              <w:left w:val="nil"/>
              <w:bottom w:val="single" w:sz="8" w:space="0" w:color="auto"/>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2,1</w:t>
            </w:r>
          </w:p>
        </w:tc>
        <w:tc>
          <w:tcPr>
            <w:tcW w:w="539" w:type="pct"/>
            <w:tcBorders>
              <w:top w:val="nil"/>
              <w:left w:val="nil"/>
              <w:bottom w:val="single" w:sz="8" w:space="0" w:color="auto"/>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8,2</w:t>
            </w:r>
          </w:p>
        </w:tc>
      </w:tr>
      <w:tr w:rsidR="00503A41" w:rsidRPr="00993936" w:rsidTr="001D205D">
        <w:trPr>
          <w:trHeight w:val="300"/>
        </w:trPr>
        <w:tc>
          <w:tcPr>
            <w:tcW w:w="645" w:type="pct"/>
            <w:tcBorders>
              <w:top w:val="single" w:sz="8" w:space="0" w:color="auto"/>
              <w:left w:val="single" w:sz="8" w:space="0" w:color="auto"/>
              <w:bottom w:val="nil"/>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Cunícola</w:t>
            </w:r>
          </w:p>
        </w:tc>
        <w:tc>
          <w:tcPr>
            <w:tcW w:w="837" w:type="pct"/>
            <w:tcBorders>
              <w:top w:val="single" w:sz="8" w:space="0" w:color="auto"/>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Estiércol</w:t>
            </w:r>
          </w:p>
        </w:tc>
        <w:tc>
          <w:tcPr>
            <w:tcW w:w="1928" w:type="pct"/>
            <w:tcBorders>
              <w:top w:val="nil"/>
              <w:left w:val="single" w:sz="8" w:space="0" w:color="auto"/>
              <w:bottom w:val="nil"/>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Conejo</w:t>
            </w:r>
          </w:p>
        </w:tc>
        <w:tc>
          <w:tcPr>
            <w:tcW w:w="478"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8,4</w:t>
            </w:r>
          </w:p>
        </w:tc>
        <w:tc>
          <w:tcPr>
            <w:tcW w:w="574" w:type="pct"/>
            <w:tcBorders>
              <w:top w:val="nil"/>
              <w:left w:val="nil"/>
              <w:bottom w:val="nil"/>
              <w:right w:val="nil"/>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10,3</w:t>
            </w:r>
          </w:p>
        </w:tc>
        <w:tc>
          <w:tcPr>
            <w:tcW w:w="539" w:type="pct"/>
            <w:tcBorders>
              <w:top w:val="nil"/>
              <w:left w:val="nil"/>
              <w:bottom w:val="nil"/>
              <w:right w:val="single" w:sz="8"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9,5</w:t>
            </w:r>
          </w:p>
        </w:tc>
      </w:tr>
      <w:tr w:rsidR="00503A41" w:rsidRPr="00993936" w:rsidTr="001D205D">
        <w:trPr>
          <w:trHeight w:val="300"/>
        </w:trPr>
        <w:tc>
          <w:tcPr>
            <w:tcW w:w="1482" w:type="pct"/>
            <w:gridSpan w:val="2"/>
            <w:vMerge w:val="restart"/>
            <w:tcBorders>
              <w:top w:val="single" w:sz="8" w:space="0" w:color="auto"/>
              <w:left w:val="single" w:sz="8" w:space="0" w:color="auto"/>
              <w:right w:val="nil"/>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Otros*</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w:t>
            </w:r>
          </w:p>
        </w:tc>
        <w:tc>
          <w:tcPr>
            <w:tcW w:w="1928" w:type="pct"/>
            <w:tcBorders>
              <w:top w:val="single" w:sz="8" w:space="0" w:color="auto"/>
              <w:left w:val="single" w:sz="8" w:space="0" w:color="auto"/>
              <w:bottom w:val="nil"/>
              <w:right w:val="nil"/>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Compost de estiércol</w:t>
            </w:r>
          </w:p>
        </w:tc>
        <w:tc>
          <w:tcPr>
            <w:tcW w:w="478" w:type="pct"/>
            <w:tcBorders>
              <w:top w:val="single" w:sz="8" w:space="0" w:color="auto"/>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12,0</w:t>
            </w:r>
          </w:p>
        </w:tc>
        <w:tc>
          <w:tcPr>
            <w:tcW w:w="574" w:type="pct"/>
            <w:tcBorders>
              <w:top w:val="single" w:sz="8" w:space="0" w:color="auto"/>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15,6</w:t>
            </w:r>
          </w:p>
        </w:tc>
        <w:tc>
          <w:tcPr>
            <w:tcW w:w="539" w:type="pct"/>
            <w:tcBorders>
              <w:top w:val="single" w:sz="8" w:space="0" w:color="auto"/>
              <w:left w:val="nil"/>
              <w:bottom w:val="nil"/>
              <w:right w:val="single" w:sz="8" w:space="0" w:color="auto"/>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12,5</w:t>
            </w:r>
          </w:p>
        </w:tc>
      </w:tr>
      <w:tr w:rsidR="00503A41" w:rsidRPr="00993936" w:rsidTr="001D205D">
        <w:trPr>
          <w:trHeight w:val="300"/>
        </w:trPr>
        <w:tc>
          <w:tcPr>
            <w:tcW w:w="1482" w:type="pct"/>
            <w:gridSpan w:val="2"/>
            <w:vMerge/>
            <w:tcBorders>
              <w:left w:val="single" w:sz="8" w:space="0" w:color="auto"/>
              <w:right w:val="nil"/>
            </w:tcBorders>
            <w:shd w:val="clear" w:color="auto" w:fill="FFFFFF"/>
            <w:noWrap/>
            <w:vAlign w:val="bottom"/>
          </w:tcPr>
          <w:p w:rsidR="00503A41" w:rsidRPr="00993936" w:rsidRDefault="00503A41" w:rsidP="001D205D">
            <w:pPr>
              <w:pStyle w:val="Sinespaciado"/>
              <w:rPr>
                <w:rFonts w:ascii="Arial" w:hAnsi="Arial" w:cs="Arial"/>
                <w:lang w:val="es-ES"/>
              </w:rPr>
            </w:pPr>
          </w:p>
        </w:tc>
        <w:tc>
          <w:tcPr>
            <w:tcW w:w="1928" w:type="pct"/>
            <w:tcBorders>
              <w:top w:val="nil"/>
              <w:left w:val="single" w:sz="8" w:space="0" w:color="auto"/>
              <w:bottom w:val="nil"/>
              <w:right w:val="nil"/>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Compost de lodos de depuradora</w:t>
            </w:r>
          </w:p>
        </w:tc>
        <w:tc>
          <w:tcPr>
            <w:tcW w:w="478" w:type="pct"/>
            <w:tcBorders>
              <w:top w:val="nil"/>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18,8</w:t>
            </w:r>
          </w:p>
        </w:tc>
        <w:tc>
          <w:tcPr>
            <w:tcW w:w="574" w:type="pct"/>
            <w:tcBorders>
              <w:top w:val="nil"/>
              <w:left w:val="nil"/>
              <w:bottom w:val="nil"/>
              <w:right w:val="nil"/>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23,3</w:t>
            </w:r>
          </w:p>
        </w:tc>
        <w:tc>
          <w:tcPr>
            <w:tcW w:w="539" w:type="pct"/>
            <w:tcBorders>
              <w:top w:val="nil"/>
              <w:left w:val="nil"/>
              <w:bottom w:val="nil"/>
              <w:right w:val="single" w:sz="8" w:space="0" w:color="auto"/>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6,2</w:t>
            </w:r>
          </w:p>
        </w:tc>
      </w:tr>
      <w:tr w:rsidR="00503A41" w:rsidRPr="00993936" w:rsidTr="001D205D">
        <w:trPr>
          <w:trHeight w:val="300"/>
        </w:trPr>
        <w:tc>
          <w:tcPr>
            <w:tcW w:w="1482" w:type="pct"/>
            <w:gridSpan w:val="2"/>
            <w:vMerge/>
            <w:tcBorders>
              <w:left w:val="single" w:sz="8" w:space="0" w:color="auto"/>
              <w:bottom w:val="single" w:sz="8" w:space="0" w:color="auto"/>
              <w:right w:val="nil"/>
            </w:tcBorders>
            <w:shd w:val="clear" w:color="auto" w:fill="FFFFFF"/>
            <w:noWrap/>
            <w:vAlign w:val="bottom"/>
          </w:tcPr>
          <w:p w:rsidR="00503A41" w:rsidRPr="00993936" w:rsidRDefault="00503A41" w:rsidP="001D205D">
            <w:pPr>
              <w:pStyle w:val="Sinespaciado"/>
              <w:rPr>
                <w:rFonts w:ascii="Arial" w:hAnsi="Arial" w:cs="Arial"/>
                <w:lang w:val="es-ES"/>
              </w:rPr>
            </w:pPr>
          </w:p>
        </w:tc>
        <w:tc>
          <w:tcPr>
            <w:tcW w:w="1928" w:type="pct"/>
            <w:tcBorders>
              <w:top w:val="nil"/>
              <w:left w:val="single" w:sz="8" w:space="0" w:color="auto"/>
              <w:bottom w:val="single" w:sz="8" w:space="0" w:color="auto"/>
              <w:right w:val="nil"/>
            </w:tcBorders>
            <w:shd w:val="clear" w:color="auto" w:fill="FFFFFF"/>
            <w:noWrap/>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Lodos de depuradora**</w:t>
            </w:r>
          </w:p>
        </w:tc>
        <w:tc>
          <w:tcPr>
            <w:tcW w:w="478"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10,5</w:t>
            </w:r>
          </w:p>
        </w:tc>
        <w:tc>
          <w:tcPr>
            <w:tcW w:w="574" w:type="pct"/>
            <w:tcBorders>
              <w:top w:val="nil"/>
              <w:left w:val="nil"/>
              <w:bottom w:val="single" w:sz="8" w:space="0" w:color="auto"/>
              <w:right w:val="nil"/>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13,0</w:t>
            </w:r>
          </w:p>
        </w:tc>
        <w:tc>
          <w:tcPr>
            <w:tcW w:w="539" w:type="pct"/>
            <w:tcBorders>
              <w:top w:val="nil"/>
              <w:left w:val="nil"/>
              <w:bottom w:val="single" w:sz="8" w:space="0" w:color="auto"/>
              <w:right w:val="single" w:sz="8" w:space="0" w:color="auto"/>
            </w:tcBorders>
            <w:shd w:val="clear"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1,2</w:t>
            </w:r>
          </w:p>
        </w:tc>
      </w:tr>
    </w:tbl>
    <w:p w:rsidR="00503A41" w:rsidRPr="00993936" w:rsidRDefault="00503A41" w:rsidP="000452B8">
      <w:pPr>
        <w:rPr>
          <w:rFonts w:ascii="Arial" w:hAnsi="Arial" w:cs="Arial"/>
          <w:sz w:val="18"/>
          <w:szCs w:val="16"/>
          <w:lang w:val="es-ES"/>
        </w:rPr>
      </w:pPr>
      <w:r w:rsidRPr="00993936">
        <w:rPr>
          <w:rFonts w:ascii="Arial" w:hAnsi="Arial" w:cs="Arial"/>
          <w:sz w:val="18"/>
          <w:szCs w:val="16"/>
          <w:lang w:val="es-ES"/>
        </w:rPr>
        <w:t xml:space="preserve">*   Estos materiales están sujetos a una variabilidad asociada a las materias primas utilizadas en cada </w:t>
      </w:r>
    </w:p>
    <w:p w:rsidR="00503A41" w:rsidRPr="00993936" w:rsidRDefault="00503A41" w:rsidP="000452B8">
      <w:pPr>
        <w:rPr>
          <w:rFonts w:ascii="Arial" w:hAnsi="Arial" w:cs="Arial"/>
          <w:sz w:val="18"/>
          <w:szCs w:val="16"/>
          <w:lang w:val="es-ES"/>
        </w:rPr>
      </w:pPr>
      <w:r w:rsidRPr="00993936">
        <w:rPr>
          <w:rFonts w:ascii="Arial" w:hAnsi="Arial" w:cs="Arial"/>
          <w:sz w:val="18"/>
          <w:szCs w:val="16"/>
          <w:lang w:val="es-ES"/>
        </w:rPr>
        <w:t xml:space="preserve">    planta</w:t>
      </w:r>
    </w:p>
    <w:p w:rsidR="00503A41" w:rsidRPr="00993936" w:rsidRDefault="00503A41" w:rsidP="000452B8">
      <w:pPr>
        <w:rPr>
          <w:rFonts w:ascii="Arial" w:hAnsi="Arial" w:cs="Arial"/>
          <w:sz w:val="18"/>
          <w:szCs w:val="16"/>
          <w:lang w:val="es-ES"/>
        </w:rPr>
      </w:pPr>
      <w:r w:rsidRPr="00993936">
        <w:rPr>
          <w:rFonts w:ascii="Arial" w:hAnsi="Arial" w:cs="Arial"/>
          <w:sz w:val="18"/>
          <w:szCs w:val="16"/>
          <w:lang w:val="es-ES"/>
        </w:rPr>
        <w:t>** Sólo se pueden utilizar lodos de depuradora que hayan sido previamente tratados</w:t>
      </w:r>
    </w:p>
    <w:p w:rsidR="00503A41" w:rsidRPr="00993936" w:rsidRDefault="00503A41" w:rsidP="000452B8">
      <w:pPr>
        <w:rPr>
          <w:rFonts w:ascii="Arial" w:hAnsi="Arial" w:cs="Arial"/>
          <w:sz w:val="24"/>
          <w:lang w:val="es-ES"/>
        </w:rPr>
      </w:pPr>
    </w:p>
    <w:p w:rsidR="00503A41" w:rsidRPr="00993936" w:rsidRDefault="00503A41">
      <w:pPr>
        <w:rPr>
          <w:rFonts w:ascii="Arial" w:hAnsi="Arial" w:cs="Arial"/>
          <w:b/>
          <w:lang w:val="es-ES"/>
        </w:rPr>
      </w:pPr>
      <w:r w:rsidRPr="00993936">
        <w:rPr>
          <w:rFonts w:ascii="Arial" w:hAnsi="Arial" w:cs="Arial"/>
          <w:b/>
          <w:lang w:val="es-ES"/>
        </w:rPr>
        <w:br w:type="page"/>
      </w:r>
    </w:p>
    <w:p w:rsidR="00503A41" w:rsidRPr="00993936" w:rsidRDefault="00503A41" w:rsidP="000452B8">
      <w:pPr>
        <w:jc w:val="both"/>
        <w:rPr>
          <w:rFonts w:ascii="Arial" w:hAnsi="Arial" w:cs="Arial"/>
          <w:lang w:val="es-ES"/>
        </w:rPr>
      </w:pPr>
      <w:r w:rsidRPr="00993936">
        <w:rPr>
          <w:rFonts w:ascii="Arial" w:hAnsi="Arial" w:cs="Arial"/>
          <w:b/>
          <w:lang w:val="es-ES"/>
        </w:rPr>
        <w:lastRenderedPageBreak/>
        <w:t>ANEXO 2</w:t>
      </w:r>
    </w:p>
    <w:p w:rsidR="00503A41" w:rsidRPr="00993936" w:rsidRDefault="00503A41" w:rsidP="000452B8">
      <w:pPr>
        <w:jc w:val="both"/>
        <w:rPr>
          <w:rFonts w:ascii="Arial" w:hAnsi="Arial" w:cs="Arial"/>
          <w:b/>
          <w:lang w:val="es-ES"/>
        </w:rPr>
      </w:pPr>
    </w:p>
    <w:p w:rsidR="00503A41" w:rsidRPr="00993936" w:rsidRDefault="00503A41" w:rsidP="000452B8">
      <w:pPr>
        <w:pStyle w:val="Textoindependiente"/>
        <w:rPr>
          <w:rFonts w:cs="Arial"/>
          <w:lang w:val="es-ES"/>
        </w:rPr>
      </w:pPr>
      <w:r w:rsidRPr="00993936">
        <w:rPr>
          <w:rFonts w:cs="Arial"/>
          <w:lang w:val="es-ES"/>
        </w:rPr>
        <w:t>Los materiales con valor fertilizante aportados en el suelo no deben contener metales pesados en valores superiores a los siguientes:</w:t>
      </w:r>
    </w:p>
    <w:p w:rsidR="00503A41" w:rsidRPr="00993936" w:rsidRDefault="00503A41" w:rsidP="000452B8">
      <w:pPr>
        <w:pStyle w:val="Textoindependiente"/>
        <w:rPr>
          <w:rFonts w:cs="Arial"/>
          <w:lang w:val="es-ES"/>
        </w:rPr>
      </w:pPr>
    </w:p>
    <w:p w:rsidR="00503A41" w:rsidRPr="00993936" w:rsidRDefault="00503A41" w:rsidP="000452B8">
      <w:pPr>
        <w:jc w:val="both"/>
        <w:rPr>
          <w:rFonts w:ascii="Arial" w:hAnsi="Arial" w:cs="Arial"/>
          <w:snapToGrid w:val="0"/>
          <w:lang w:val="es-ES"/>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503A41" w:rsidRPr="00993936" w:rsidTr="00527396">
        <w:trPr>
          <w:trHeight w:val="400"/>
          <w:jc w:val="center"/>
        </w:trPr>
        <w:tc>
          <w:tcPr>
            <w:tcW w:w="4548" w:type="dxa"/>
            <w:shd w:val="clear" w:color="auto" w:fill="F2F2F2" w:themeFill="background1" w:themeFillShade="F2"/>
            <w:vAlign w:val="center"/>
          </w:tcPr>
          <w:p w:rsidR="00503A41" w:rsidRPr="00993936" w:rsidRDefault="00503A41" w:rsidP="00527396">
            <w:pPr>
              <w:pStyle w:val="Encabezado"/>
              <w:widowControl w:val="0"/>
              <w:tabs>
                <w:tab w:val="clear" w:pos="4252"/>
                <w:tab w:val="clear" w:pos="8504"/>
              </w:tabs>
              <w:jc w:val="center"/>
              <w:rPr>
                <w:rFonts w:ascii="Arial" w:hAnsi="Arial" w:cs="Arial"/>
                <w:snapToGrid w:val="0"/>
                <w:lang w:val="es-ES"/>
              </w:rPr>
            </w:pPr>
            <w:r w:rsidRPr="00993936">
              <w:rPr>
                <w:rFonts w:ascii="Arial" w:hAnsi="Arial" w:cs="Arial"/>
                <w:b/>
                <w:snapToGrid w:val="0"/>
                <w:lang w:val="es-ES"/>
              </w:rPr>
              <w:t>Metal Pesado</w:t>
            </w:r>
          </w:p>
        </w:tc>
        <w:tc>
          <w:tcPr>
            <w:tcW w:w="4464" w:type="dxa"/>
            <w:shd w:val="clear" w:color="auto" w:fill="F2F2F2" w:themeFill="background1" w:themeFillShade="F2"/>
            <w:vAlign w:val="center"/>
          </w:tcPr>
          <w:p w:rsidR="00503A41" w:rsidRPr="00993936" w:rsidRDefault="00503A41" w:rsidP="00527396">
            <w:pPr>
              <w:widowControl w:val="0"/>
              <w:jc w:val="center"/>
              <w:rPr>
                <w:rFonts w:ascii="Arial" w:hAnsi="Arial" w:cs="Arial"/>
                <w:snapToGrid w:val="0"/>
                <w:lang w:val="es-ES"/>
              </w:rPr>
            </w:pPr>
            <w:r w:rsidRPr="00993936">
              <w:rPr>
                <w:rFonts w:ascii="Arial" w:hAnsi="Arial" w:cs="Arial"/>
                <w:b/>
                <w:snapToGrid w:val="0"/>
                <w:lang w:val="es-ES"/>
              </w:rPr>
              <w:t>Valores</w:t>
            </w:r>
          </w:p>
        </w:tc>
      </w:tr>
      <w:tr w:rsidR="00503A41" w:rsidRPr="00993936" w:rsidTr="00527396">
        <w:trPr>
          <w:trHeight w:val="400"/>
          <w:jc w:val="center"/>
        </w:trPr>
        <w:tc>
          <w:tcPr>
            <w:tcW w:w="4548" w:type="dxa"/>
            <w:vAlign w:val="center"/>
          </w:tcPr>
          <w:p w:rsidR="00503A41" w:rsidRPr="00993936" w:rsidRDefault="00503A41" w:rsidP="000452B8">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 xml:space="preserve">   Cadmio</w:t>
            </w:r>
          </w:p>
        </w:tc>
        <w:tc>
          <w:tcPr>
            <w:tcW w:w="4464"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3 mg/kg de materia seca</w:t>
            </w:r>
          </w:p>
        </w:tc>
      </w:tr>
      <w:tr w:rsidR="00503A41" w:rsidRPr="00993936" w:rsidTr="00527396">
        <w:trPr>
          <w:trHeight w:val="400"/>
          <w:jc w:val="center"/>
        </w:trPr>
        <w:tc>
          <w:tcPr>
            <w:tcW w:w="4548"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Cobre</w:t>
            </w:r>
          </w:p>
        </w:tc>
        <w:tc>
          <w:tcPr>
            <w:tcW w:w="4464"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400 mg/kg de materia seca</w:t>
            </w:r>
          </w:p>
        </w:tc>
      </w:tr>
      <w:tr w:rsidR="00503A41" w:rsidRPr="00993936" w:rsidTr="00527396">
        <w:trPr>
          <w:trHeight w:val="400"/>
          <w:jc w:val="center"/>
        </w:trPr>
        <w:tc>
          <w:tcPr>
            <w:tcW w:w="4548"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Níquel </w:t>
            </w:r>
          </w:p>
        </w:tc>
        <w:tc>
          <w:tcPr>
            <w:tcW w:w="4464"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100 mg/kg de materia seca</w:t>
            </w:r>
          </w:p>
        </w:tc>
      </w:tr>
      <w:tr w:rsidR="00503A41" w:rsidRPr="00993936" w:rsidTr="00527396">
        <w:trPr>
          <w:trHeight w:val="400"/>
          <w:jc w:val="center"/>
        </w:trPr>
        <w:tc>
          <w:tcPr>
            <w:tcW w:w="4548"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Plomo</w:t>
            </w:r>
          </w:p>
        </w:tc>
        <w:tc>
          <w:tcPr>
            <w:tcW w:w="4464"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200 mg/kg de materia seca</w:t>
            </w:r>
          </w:p>
        </w:tc>
      </w:tr>
      <w:tr w:rsidR="00503A41" w:rsidRPr="00993936" w:rsidTr="00527396">
        <w:trPr>
          <w:trHeight w:val="400"/>
          <w:jc w:val="center"/>
        </w:trPr>
        <w:tc>
          <w:tcPr>
            <w:tcW w:w="4548"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Cinc  </w:t>
            </w:r>
          </w:p>
        </w:tc>
        <w:tc>
          <w:tcPr>
            <w:tcW w:w="4464"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1.000 mg/kg de materia seca</w:t>
            </w:r>
          </w:p>
        </w:tc>
      </w:tr>
      <w:tr w:rsidR="00503A41" w:rsidRPr="00993936" w:rsidTr="00527396">
        <w:trPr>
          <w:trHeight w:val="400"/>
          <w:jc w:val="center"/>
        </w:trPr>
        <w:tc>
          <w:tcPr>
            <w:tcW w:w="4548"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Mercurio</w:t>
            </w:r>
          </w:p>
        </w:tc>
        <w:tc>
          <w:tcPr>
            <w:tcW w:w="4464"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2,5 mg/kg de materia seca</w:t>
            </w:r>
          </w:p>
        </w:tc>
      </w:tr>
      <w:tr w:rsidR="00503A41" w:rsidRPr="00993936" w:rsidTr="00527396">
        <w:trPr>
          <w:trHeight w:val="400"/>
          <w:jc w:val="center"/>
        </w:trPr>
        <w:tc>
          <w:tcPr>
            <w:tcW w:w="4548"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Cromo    </w:t>
            </w:r>
          </w:p>
        </w:tc>
        <w:tc>
          <w:tcPr>
            <w:tcW w:w="4464" w:type="dxa"/>
            <w:vAlign w:val="center"/>
          </w:tcPr>
          <w:p w:rsidR="00503A41" w:rsidRPr="00993936" w:rsidRDefault="00503A41" w:rsidP="000452B8">
            <w:pPr>
              <w:widowControl w:val="0"/>
              <w:rPr>
                <w:rFonts w:ascii="Arial" w:hAnsi="Arial" w:cs="Arial"/>
                <w:snapToGrid w:val="0"/>
                <w:lang w:val="es-ES"/>
              </w:rPr>
            </w:pPr>
            <w:r w:rsidRPr="00993936">
              <w:rPr>
                <w:rFonts w:ascii="Arial" w:hAnsi="Arial" w:cs="Arial"/>
                <w:snapToGrid w:val="0"/>
                <w:lang w:val="es-ES"/>
              </w:rPr>
              <w:t xml:space="preserve">  300 mg/kg de materia seca</w:t>
            </w:r>
          </w:p>
        </w:tc>
      </w:tr>
    </w:tbl>
    <w:p w:rsidR="00503A41" w:rsidRPr="00993936" w:rsidRDefault="00503A41" w:rsidP="000452B8">
      <w:pPr>
        <w:pStyle w:val="Encabezado"/>
        <w:tabs>
          <w:tab w:val="clear" w:pos="4252"/>
          <w:tab w:val="clear" w:pos="8504"/>
        </w:tabs>
        <w:rPr>
          <w:rFonts w:ascii="Arial" w:hAnsi="Arial" w:cs="Arial"/>
          <w:lang w:val="es-ES"/>
        </w:rPr>
      </w:pPr>
      <w:r w:rsidRPr="00993936">
        <w:rPr>
          <w:rFonts w:ascii="Arial" w:hAnsi="Arial" w:cs="Arial"/>
          <w:lang w:val="es-ES"/>
        </w:rPr>
        <w:t>mg/kg: miligramo por kilo</w:t>
      </w:r>
    </w:p>
    <w:p w:rsidR="00503A41" w:rsidRPr="00993936" w:rsidRDefault="00503A41" w:rsidP="000452B8">
      <w:pPr>
        <w:pStyle w:val="Ttulo3"/>
        <w:rPr>
          <w:rFonts w:ascii="Arial" w:hAnsi="Arial" w:cs="Arial"/>
          <w:color w:val="auto"/>
          <w:szCs w:val="22"/>
          <w:lang w:val="es-ES"/>
        </w:rPr>
      </w:pP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jc w:val="both"/>
        <w:outlineLvl w:val="0"/>
        <w:rPr>
          <w:rFonts w:ascii="Arial" w:hAnsi="Arial" w:cs="Arial"/>
          <w:b/>
          <w:lang w:val="es-ES"/>
        </w:rPr>
      </w:pPr>
      <w:r w:rsidRPr="00993936">
        <w:rPr>
          <w:rFonts w:ascii="Arial" w:hAnsi="Arial" w:cs="Arial"/>
          <w:b/>
          <w:lang w:val="es-ES"/>
        </w:rPr>
        <w:t>ANEXO 3: Mètode Merrien-Keller para el cálculo del coeficiente de uniformidad de un sistema de riego</w:t>
      </w:r>
    </w:p>
    <w:p w:rsidR="00503A41" w:rsidRPr="00993936" w:rsidRDefault="00503A41" w:rsidP="000452B8">
      <w:pPr>
        <w:jc w:val="both"/>
        <w:rPr>
          <w:rFonts w:ascii="Arial" w:hAnsi="Arial" w:cs="Arial"/>
          <w:b/>
          <w:lang w:val="es-ES"/>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993936" w:rsidTr="000452B8">
        <w:tc>
          <w:tcPr>
            <w:tcW w:w="496" w:type="dxa"/>
          </w:tcPr>
          <w:p w:rsidR="00503A41" w:rsidRPr="00993936" w:rsidRDefault="00503A41" w:rsidP="000452B8">
            <w:pPr>
              <w:jc w:val="both"/>
              <w:rPr>
                <w:rFonts w:ascii="Arial" w:hAnsi="Arial" w:cs="Arial"/>
                <w:lang w:val="es-ES"/>
              </w:rPr>
            </w:pPr>
          </w:p>
        </w:tc>
        <w:tc>
          <w:tcPr>
            <w:tcW w:w="283" w:type="dxa"/>
          </w:tcPr>
          <w:p w:rsidR="00503A41" w:rsidRPr="00993936" w:rsidRDefault="00503A41" w:rsidP="000452B8">
            <w:pPr>
              <w:jc w:val="both"/>
              <w:rPr>
                <w:rFonts w:ascii="Arial" w:hAnsi="Arial" w:cs="Arial"/>
                <w:lang w:val="es-ES"/>
              </w:rPr>
            </w:pPr>
          </w:p>
        </w:tc>
        <w:tc>
          <w:tcPr>
            <w:tcW w:w="709" w:type="dxa"/>
          </w:tcPr>
          <w:p w:rsidR="00503A41" w:rsidRPr="00993936" w:rsidRDefault="00503A41" w:rsidP="000452B8">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w:t>
            </w:r>
          </w:p>
        </w:tc>
        <w:tc>
          <w:tcPr>
            <w:tcW w:w="283" w:type="dxa"/>
          </w:tcPr>
          <w:p w:rsidR="00503A41" w:rsidRPr="00993936" w:rsidRDefault="00503A41" w:rsidP="000452B8">
            <w:pPr>
              <w:jc w:val="both"/>
              <w:rPr>
                <w:rFonts w:ascii="Arial" w:hAnsi="Arial" w:cs="Arial"/>
                <w:lang w:val="es-ES"/>
              </w:rPr>
            </w:pPr>
          </w:p>
        </w:tc>
        <w:tc>
          <w:tcPr>
            <w:tcW w:w="4804"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r>
      <w:tr w:rsidR="00503A41" w:rsidRPr="00993936" w:rsidTr="000452B8">
        <w:tc>
          <w:tcPr>
            <w:tcW w:w="496" w:type="dxa"/>
          </w:tcPr>
          <w:p w:rsidR="00503A41" w:rsidRPr="00993936" w:rsidRDefault="00C8459C" w:rsidP="000452B8">
            <w:pPr>
              <w:jc w:val="both"/>
              <w:rPr>
                <w:rFonts w:ascii="Arial" w:hAnsi="Arial" w:cs="Arial"/>
                <w:lang w:val="es-ES"/>
              </w:rPr>
            </w:pPr>
            <w:r>
              <w:rPr>
                <w:rFonts w:ascii="Arial" w:hAnsi="Arial" w:cs="Arial"/>
                <w:lang w:val="es-ES"/>
              </w:rPr>
              <w:pict>
                <v:line id="_x0000_s1038" style="position:absolute;left:0;text-align:left;z-index:251858944;mso-position-horizontal-relative:text;mso-position-vertical-relative:text" from="37.1pt,7.95pt" to="65.9pt,7.95pt" o:allowincell="f"/>
              </w:pict>
            </w:r>
            <w:r w:rsidR="00503A41" w:rsidRPr="00993936">
              <w:rPr>
                <w:rFonts w:ascii="Arial" w:hAnsi="Arial" w:cs="Arial"/>
                <w:lang w:val="es-ES"/>
              </w:rPr>
              <w:t>CU</w:t>
            </w:r>
          </w:p>
        </w:tc>
        <w:tc>
          <w:tcPr>
            <w:tcW w:w="283" w:type="dxa"/>
          </w:tcPr>
          <w:p w:rsidR="00503A41" w:rsidRPr="00993936" w:rsidRDefault="00503A41" w:rsidP="000452B8">
            <w:pPr>
              <w:jc w:val="both"/>
              <w:rPr>
                <w:rFonts w:ascii="Arial" w:hAnsi="Arial" w:cs="Arial"/>
                <w:lang w:val="es-ES"/>
              </w:rPr>
            </w:pPr>
            <w:r w:rsidRPr="00993936">
              <w:rPr>
                <w:rFonts w:ascii="Arial" w:hAnsi="Arial" w:cs="Arial"/>
                <w:lang w:val="es-ES"/>
              </w:rPr>
              <w:t>=</w:t>
            </w:r>
          </w:p>
        </w:tc>
        <w:tc>
          <w:tcPr>
            <w:tcW w:w="709" w:type="dxa"/>
          </w:tcPr>
          <w:p w:rsidR="00503A41" w:rsidRPr="00993936" w:rsidRDefault="00503A41" w:rsidP="000452B8">
            <w:pPr>
              <w:jc w:val="center"/>
              <w:rPr>
                <w:rFonts w:ascii="Arial" w:hAnsi="Arial" w:cs="Arial"/>
                <w:lang w:val="es-ES"/>
              </w:rPr>
            </w:pPr>
          </w:p>
        </w:tc>
        <w:tc>
          <w:tcPr>
            <w:tcW w:w="283" w:type="dxa"/>
          </w:tcPr>
          <w:p w:rsidR="00503A41" w:rsidRPr="00993936" w:rsidRDefault="00503A41" w:rsidP="000452B8">
            <w:pPr>
              <w:jc w:val="both"/>
              <w:rPr>
                <w:rFonts w:ascii="Arial" w:hAnsi="Arial" w:cs="Arial"/>
                <w:lang w:val="es-ES"/>
              </w:rPr>
            </w:pPr>
            <w:r w:rsidRPr="00993936">
              <w:rPr>
                <w:rFonts w:ascii="Arial" w:hAnsi="Arial" w:cs="Arial"/>
                <w:lang w:val="es-ES"/>
              </w:rPr>
              <w:t>x</w:t>
            </w:r>
          </w:p>
        </w:tc>
        <w:tc>
          <w:tcPr>
            <w:tcW w:w="4804" w:type="dxa"/>
          </w:tcPr>
          <w:p w:rsidR="00503A41" w:rsidRPr="00993936" w:rsidRDefault="00503A41" w:rsidP="000452B8">
            <w:pPr>
              <w:jc w:val="both"/>
              <w:rPr>
                <w:rFonts w:ascii="Arial" w:hAnsi="Arial" w:cs="Arial"/>
                <w:lang w:val="es-ES"/>
              </w:rPr>
            </w:pPr>
            <w:r w:rsidRPr="00993936">
              <w:rPr>
                <w:rFonts w:ascii="Arial" w:hAnsi="Arial" w:cs="Arial"/>
                <w:lang w:val="es-ES"/>
              </w:rPr>
              <w:t>100</w:t>
            </w:r>
          </w:p>
        </w:tc>
        <w:tc>
          <w:tcPr>
            <w:tcW w:w="1315"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r>
      <w:tr w:rsidR="00503A41" w:rsidRPr="00993936" w:rsidTr="000452B8">
        <w:tc>
          <w:tcPr>
            <w:tcW w:w="496" w:type="dxa"/>
          </w:tcPr>
          <w:p w:rsidR="00503A41" w:rsidRPr="00993936" w:rsidRDefault="00503A41" w:rsidP="000452B8">
            <w:pPr>
              <w:jc w:val="both"/>
              <w:rPr>
                <w:rFonts w:ascii="Arial" w:hAnsi="Arial" w:cs="Arial"/>
                <w:lang w:val="es-ES"/>
              </w:rPr>
            </w:pPr>
          </w:p>
        </w:tc>
        <w:tc>
          <w:tcPr>
            <w:tcW w:w="283" w:type="dxa"/>
          </w:tcPr>
          <w:p w:rsidR="00503A41" w:rsidRPr="00993936" w:rsidRDefault="00503A41" w:rsidP="000452B8">
            <w:pPr>
              <w:jc w:val="both"/>
              <w:rPr>
                <w:rFonts w:ascii="Arial" w:hAnsi="Arial" w:cs="Arial"/>
                <w:lang w:val="es-ES"/>
              </w:rPr>
            </w:pPr>
          </w:p>
        </w:tc>
        <w:tc>
          <w:tcPr>
            <w:tcW w:w="709" w:type="dxa"/>
          </w:tcPr>
          <w:p w:rsidR="00503A41" w:rsidRPr="00993936" w:rsidRDefault="00503A41" w:rsidP="000452B8">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3" w:type="dxa"/>
          </w:tcPr>
          <w:p w:rsidR="00503A41" w:rsidRPr="00993936" w:rsidRDefault="00503A41" w:rsidP="000452B8">
            <w:pPr>
              <w:jc w:val="both"/>
              <w:rPr>
                <w:rFonts w:ascii="Arial" w:hAnsi="Arial" w:cs="Arial"/>
                <w:lang w:val="es-ES"/>
              </w:rPr>
            </w:pPr>
          </w:p>
        </w:tc>
        <w:tc>
          <w:tcPr>
            <w:tcW w:w="4804"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c>
          <w:tcPr>
            <w:tcW w:w="1315" w:type="dxa"/>
          </w:tcPr>
          <w:p w:rsidR="00503A41" w:rsidRPr="00993936" w:rsidRDefault="00503A41" w:rsidP="000452B8">
            <w:pPr>
              <w:jc w:val="both"/>
              <w:rPr>
                <w:rFonts w:ascii="Arial" w:hAnsi="Arial" w:cs="Arial"/>
                <w:lang w:val="es-ES"/>
              </w:rPr>
            </w:pPr>
          </w:p>
        </w:tc>
      </w:tr>
    </w:tbl>
    <w:p w:rsidR="00503A41" w:rsidRPr="00993936" w:rsidRDefault="00503A41" w:rsidP="000452B8">
      <w:pPr>
        <w:jc w:val="both"/>
        <w:rPr>
          <w:rFonts w:ascii="Arial" w:hAnsi="Arial" w:cs="Arial"/>
          <w:b/>
          <w:snapToGrid w:val="0"/>
          <w:lang w:val="es-E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503A41" w:rsidRPr="00993936" w:rsidTr="000452B8">
        <w:tc>
          <w:tcPr>
            <w:tcW w:w="779" w:type="dxa"/>
          </w:tcPr>
          <w:p w:rsidR="00503A41" w:rsidRPr="00993936" w:rsidRDefault="00503A41" w:rsidP="000452B8">
            <w:pPr>
              <w:jc w:val="both"/>
              <w:rPr>
                <w:rFonts w:ascii="Arial" w:hAnsi="Arial" w:cs="Arial"/>
                <w:lang w:val="es-ES"/>
              </w:rPr>
            </w:pPr>
            <w:r w:rsidRPr="00993936">
              <w:rPr>
                <w:rFonts w:ascii="Arial" w:hAnsi="Arial" w:cs="Arial"/>
                <w:lang w:val="es-ES"/>
              </w:rPr>
              <w:t>CU</w:t>
            </w:r>
          </w:p>
        </w:tc>
        <w:tc>
          <w:tcPr>
            <w:tcW w:w="284" w:type="dxa"/>
          </w:tcPr>
          <w:p w:rsidR="00503A41" w:rsidRPr="00993936" w:rsidRDefault="00503A41" w:rsidP="000452B8">
            <w:pPr>
              <w:jc w:val="both"/>
              <w:rPr>
                <w:rFonts w:ascii="Arial" w:hAnsi="Arial" w:cs="Arial"/>
                <w:lang w:val="es-ES"/>
              </w:rPr>
            </w:pPr>
            <w:r w:rsidRPr="00993936">
              <w:rPr>
                <w:rFonts w:ascii="Arial" w:hAnsi="Arial" w:cs="Arial"/>
                <w:lang w:val="es-ES"/>
              </w:rPr>
              <w:t>=</w:t>
            </w:r>
          </w:p>
        </w:tc>
        <w:tc>
          <w:tcPr>
            <w:tcW w:w="8147" w:type="dxa"/>
          </w:tcPr>
          <w:p w:rsidR="00503A41" w:rsidRPr="00993936" w:rsidRDefault="00503A41" w:rsidP="000452B8">
            <w:pPr>
              <w:jc w:val="both"/>
              <w:rPr>
                <w:rFonts w:ascii="Arial" w:hAnsi="Arial" w:cs="Arial"/>
                <w:lang w:val="es-ES"/>
              </w:rPr>
            </w:pPr>
            <w:r w:rsidRPr="00993936">
              <w:rPr>
                <w:rFonts w:ascii="Arial" w:hAnsi="Arial" w:cs="Arial"/>
                <w:sz w:val="20"/>
                <w:lang w:val="es-ES"/>
              </w:rPr>
              <w:t>Coeficiente de uniformidad.</w:t>
            </w:r>
          </w:p>
        </w:tc>
      </w:tr>
      <w:tr w:rsidR="00503A41" w:rsidRPr="00993936" w:rsidTr="000452B8">
        <w:tc>
          <w:tcPr>
            <w:tcW w:w="779" w:type="dxa"/>
          </w:tcPr>
          <w:p w:rsidR="00503A41" w:rsidRPr="00993936" w:rsidRDefault="00503A41" w:rsidP="000452B8">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w:t>
            </w:r>
          </w:p>
        </w:tc>
        <w:tc>
          <w:tcPr>
            <w:tcW w:w="284" w:type="dxa"/>
          </w:tcPr>
          <w:p w:rsidR="00503A41" w:rsidRPr="00993936" w:rsidRDefault="00503A41" w:rsidP="000452B8">
            <w:pPr>
              <w:jc w:val="both"/>
              <w:rPr>
                <w:rFonts w:ascii="Arial" w:hAnsi="Arial" w:cs="Arial"/>
                <w:lang w:val="es-ES"/>
              </w:rPr>
            </w:pPr>
            <w:r w:rsidRPr="00993936">
              <w:rPr>
                <w:rFonts w:ascii="Arial" w:hAnsi="Arial" w:cs="Arial"/>
                <w:lang w:val="es-ES"/>
              </w:rPr>
              <w:t>=</w:t>
            </w:r>
          </w:p>
        </w:tc>
        <w:tc>
          <w:tcPr>
            <w:tcW w:w="8147" w:type="dxa"/>
          </w:tcPr>
          <w:p w:rsidR="00503A41" w:rsidRPr="00993936" w:rsidRDefault="00503A41" w:rsidP="000452B8">
            <w:pPr>
              <w:jc w:val="both"/>
              <w:outlineLvl w:val="0"/>
              <w:rPr>
                <w:rFonts w:ascii="Arial" w:hAnsi="Arial" w:cs="Arial"/>
                <w:lang w:val="es-ES"/>
              </w:rPr>
            </w:pPr>
            <w:r w:rsidRPr="00993936">
              <w:rPr>
                <w:rFonts w:ascii="Arial" w:hAnsi="Arial" w:cs="Arial"/>
                <w:sz w:val="20"/>
                <w:lang w:val="es-ES"/>
              </w:rPr>
              <w:t>Media aritmética del caudal de descarga del 25% de los emisores con caudal más reducido.</w:t>
            </w:r>
          </w:p>
        </w:tc>
      </w:tr>
      <w:tr w:rsidR="00503A41" w:rsidRPr="00993936" w:rsidTr="000452B8">
        <w:tc>
          <w:tcPr>
            <w:tcW w:w="779" w:type="dxa"/>
          </w:tcPr>
          <w:p w:rsidR="00503A41" w:rsidRPr="00993936" w:rsidRDefault="00503A41" w:rsidP="000452B8">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4" w:type="dxa"/>
          </w:tcPr>
          <w:p w:rsidR="00503A41" w:rsidRPr="00993936" w:rsidRDefault="00503A41" w:rsidP="000452B8">
            <w:pPr>
              <w:jc w:val="both"/>
              <w:rPr>
                <w:rFonts w:ascii="Arial" w:hAnsi="Arial" w:cs="Arial"/>
                <w:lang w:val="es-ES"/>
              </w:rPr>
            </w:pPr>
            <w:r w:rsidRPr="00993936">
              <w:rPr>
                <w:rFonts w:ascii="Arial" w:hAnsi="Arial" w:cs="Arial"/>
                <w:lang w:val="es-ES"/>
              </w:rPr>
              <w:t>=</w:t>
            </w:r>
          </w:p>
        </w:tc>
        <w:tc>
          <w:tcPr>
            <w:tcW w:w="8147" w:type="dxa"/>
          </w:tcPr>
          <w:p w:rsidR="00503A41" w:rsidRPr="00993936" w:rsidRDefault="00503A41" w:rsidP="000452B8">
            <w:pPr>
              <w:jc w:val="both"/>
              <w:rPr>
                <w:rFonts w:ascii="Arial" w:hAnsi="Arial" w:cs="Arial"/>
                <w:lang w:val="es-ES"/>
              </w:rPr>
            </w:pPr>
            <w:r w:rsidRPr="00993936">
              <w:rPr>
                <w:rFonts w:ascii="Arial" w:hAnsi="Arial" w:cs="Arial"/>
                <w:sz w:val="20"/>
                <w:lang w:val="es-ES"/>
              </w:rPr>
              <w:t>Caudal medio de todos los emisores</w:t>
            </w:r>
            <w:r w:rsidRPr="00993936">
              <w:rPr>
                <w:rFonts w:ascii="Arial" w:hAnsi="Arial" w:cs="Arial"/>
                <w:lang w:val="es-ES"/>
              </w:rPr>
              <w:t>.</w:t>
            </w:r>
          </w:p>
        </w:tc>
      </w:tr>
      <w:tr w:rsidR="00503A41" w:rsidRPr="00993936" w:rsidTr="000452B8">
        <w:tc>
          <w:tcPr>
            <w:tcW w:w="779" w:type="dxa"/>
          </w:tcPr>
          <w:p w:rsidR="00503A41" w:rsidRPr="00993936" w:rsidRDefault="00503A41" w:rsidP="000452B8">
            <w:pPr>
              <w:jc w:val="both"/>
              <w:rPr>
                <w:rFonts w:ascii="Arial" w:hAnsi="Arial" w:cs="Arial"/>
                <w:lang w:val="es-ES"/>
              </w:rPr>
            </w:pPr>
            <w:r w:rsidRPr="00993936">
              <w:rPr>
                <w:rFonts w:ascii="Arial" w:hAnsi="Arial" w:cs="Arial"/>
                <w:lang w:val="es-ES"/>
              </w:rPr>
              <w:t>n</w:t>
            </w:r>
          </w:p>
        </w:tc>
        <w:tc>
          <w:tcPr>
            <w:tcW w:w="284" w:type="dxa"/>
          </w:tcPr>
          <w:p w:rsidR="00503A41" w:rsidRPr="00993936" w:rsidRDefault="00503A41" w:rsidP="000452B8">
            <w:pPr>
              <w:jc w:val="both"/>
              <w:rPr>
                <w:rFonts w:ascii="Arial" w:hAnsi="Arial" w:cs="Arial"/>
                <w:lang w:val="es-ES"/>
              </w:rPr>
            </w:pPr>
            <w:r w:rsidRPr="00993936">
              <w:rPr>
                <w:rFonts w:ascii="Arial" w:hAnsi="Arial" w:cs="Arial"/>
                <w:lang w:val="es-ES"/>
              </w:rPr>
              <w:t>=</w:t>
            </w:r>
          </w:p>
        </w:tc>
        <w:tc>
          <w:tcPr>
            <w:tcW w:w="8147" w:type="dxa"/>
          </w:tcPr>
          <w:p w:rsidR="00503A41" w:rsidRPr="00993936" w:rsidRDefault="00503A41" w:rsidP="000452B8">
            <w:pPr>
              <w:jc w:val="both"/>
              <w:rPr>
                <w:rFonts w:ascii="Arial" w:hAnsi="Arial" w:cs="Arial"/>
                <w:lang w:val="es-ES"/>
              </w:rPr>
            </w:pPr>
            <w:r w:rsidRPr="00993936">
              <w:rPr>
                <w:rFonts w:ascii="Arial" w:hAnsi="Arial" w:cs="Arial"/>
                <w:sz w:val="20"/>
                <w:lang w:val="es-ES"/>
              </w:rPr>
              <w:t xml:space="preserve">Número de unidades o puestos de control (se recomienda que n </w:t>
            </w:r>
            <w:r w:rsidR="00241200" w:rsidRPr="00993936">
              <w:rPr>
                <w:rFonts w:ascii="Arial" w:hAnsi="Arial" w:cs="Arial"/>
                <w:sz w:val="20"/>
                <w:lang w:val="es-ES"/>
              </w:rPr>
              <w:t>≥</w:t>
            </w:r>
            <w:r w:rsidRPr="00993936">
              <w:rPr>
                <w:rFonts w:ascii="Arial" w:hAnsi="Arial" w:cs="Arial"/>
                <w:sz w:val="20"/>
                <w:lang w:val="es-ES"/>
              </w:rPr>
              <w:t xml:space="preserve"> 16). En caso de que la unidad de control tenga más de un emisor, el caudal total a considerar será la suma del caudal de todos los emisores que constituyen la unidad.</w:t>
            </w:r>
          </w:p>
        </w:tc>
      </w:tr>
    </w:tbl>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rPr>
      </w:pPr>
    </w:p>
    <w:p w:rsidR="00503A41" w:rsidRPr="00993936" w:rsidRDefault="00503A41" w:rsidP="007003E1">
      <w:pPr>
        <w:spacing w:before="120"/>
        <w:jc w:val="center"/>
        <w:rPr>
          <w:rFonts w:ascii="Arial" w:hAnsi="Arial" w:cs="Arial"/>
          <w:b/>
          <w:snapToGrid w:val="0"/>
          <w:sz w:val="24"/>
          <w:szCs w:val="28"/>
          <w:lang w:val="es-ES" w:eastAsia="es-ES"/>
        </w:rPr>
      </w:pPr>
      <w:r w:rsidRPr="00993936">
        <w:rPr>
          <w:rFonts w:ascii="Arial" w:hAnsi="Arial" w:cs="Arial"/>
          <w:b/>
          <w:snapToGrid w:val="0"/>
          <w:sz w:val="24"/>
          <w:szCs w:val="28"/>
          <w:lang w:val="es-ES" w:eastAsia="es-ES"/>
        </w:rPr>
        <w:t>ANEXOS ESPECÍFICOS DE LA NORMA TÉCNICA DE PRODUCCIÓN INTEGRADA DE HORTALIZAS Y LEGUMBRES</w:t>
      </w:r>
    </w:p>
    <w:p w:rsidR="00503A41" w:rsidRPr="00993936" w:rsidRDefault="00503A41" w:rsidP="000452B8">
      <w:pPr>
        <w:widowControl w:val="0"/>
        <w:spacing w:before="120"/>
        <w:jc w:val="center"/>
        <w:rPr>
          <w:rFonts w:ascii="Arial" w:hAnsi="Arial" w:cs="Arial"/>
          <w:b/>
          <w:sz w:val="28"/>
          <w:szCs w:val="28"/>
          <w:u w:val="single"/>
          <w:lang w:val="es-ES"/>
        </w:rPr>
      </w:pPr>
    </w:p>
    <w:p w:rsidR="00503A41" w:rsidRPr="00993936" w:rsidRDefault="00503A41" w:rsidP="000452B8">
      <w:pPr>
        <w:rPr>
          <w:rFonts w:ascii="Arial" w:hAnsi="Arial" w:cs="Arial"/>
          <w:b/>
          <w:sz w:val="28"/>
          <w:szCs w:val="28"/>
          <w:u w:val="single"/>
          <w:lang w:val="es-ES"/>
        </w:rPr>
      </w:pPr>
    </w:p>
    <w:p w:rsidR="00503A41" w:rsidRPr="00993936" w:rsidRDefault="00503A41" w:rsidP="000452B8">
      <w:pPr>
        <w:rPr>
          <w:rFonts w:ascii="Arial" w:hAnsi="Arial" w:cs="Arial"/>
          <w:b/>
          <w:sz w:val="28"/>
          <w:szCs w:val="28"/>
          <w:u w:val="single"/>
          <w:lang w:val="es-ES"/>
        </w:rPr>
      </w:pPr>
      <w:r w:rsidRPr="00993936">
        <w:rPr>
          <w:rFonts w:ascii="Arial" w:hAnsi="Arial" w:cs="Arial"/>
          <w:b/>
          <w:sz w:val="28"/>
          <w:szCs w:val="28"/>
          <w:u w:val="single"/>
          <w:lang w:val="es-ES"/>
        </w:rPr>
        <w:t>CULTIVO: BERENJENA</w:t>
      </w:r>
    </w:p>
    <w:p w:rsidR="00503A41" w:rsidRPr="00993936" w:rsidRDefault="00503A41" w:rsidP="000452B8">
      <w:pPr>
        <w:spacing w:before="120"/>
        <w:jc w:val="both"/>
        <w:rPr>
          <w:rFonts w:ascii="Arial" w:hAnsi="Arial" w:cs="Arial"/>
          <w:b/>
          <w:snapToGrid w:val="0"/>
          <w:lang w:val="es-ES"/>
        </w:rPr>
      </w:pPr>
      <w:r w:rsidRPr="00993936">
        <w:rPr>
          <w:rFonts w:ascii="Arial" w:hAnsi="Arial" w:cs="Arial"/>
          <w:b/>
          <w:snapToGrid w:val="0"/>
          <w:lang w:val="es-ES"/>
        </w:rPr>
        <w:t>ANEXO 4</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Materias activas de herbicidas para la producción integrada de berenjenas</w:t>
      </w:r>
    </w:p>
    <w:p w:rsidR="00503A41" w:rsidRPr="00993936" w:rsidRDefault="00503A41" w:rsidP="000452B8">
      <w:pPr>
        <w:pStyle w:val="Textoindependiente3"/>
        <w:rPr>
          <w:rFonts w:cs="Arial"/>
          <w:b w:val="0"/>
          <w:lang w:val="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9"/>
        <w:gridCol w:w="471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z w:val="24"/>
                <w:lang w:val="es-ES"/>
              </w:rPr>
              <w:t>Restricciones</w:t>
            </w:r>
          </w:p>
        </w:tc>
      </w:tr>
      <w:tr w:rsidR="00503A41" w:rsidRPr="00993936" w:rsidTr="001D205D">
        <w:trPr>
          <w:cantSplit/>
          <w:trHeight w:val="4352"/>
          <w:jc w:val="center"/>
        </w:trPr>
        <w:tc>
          <w:tcPr>
            <w:tcW w:w="2418" w:type="pct"/>
            <w:vAlign w:val="center"/>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pelárgonico  + Glifosato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Diquat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Fluazifop-p-butil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rPr>
              <w:t>Piridato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Propaquizafop</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rPr>
              <w:t xml:space="preserve">Quizalofop-p-etil </w:t>
            </w:r>
          </w:p>
        </w:tc>
        <w:tc>
          <w:tcPr>
            <w:tcW w:w="2582" w:type="pct"/>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b/>
                <w:snapToGrid w:val="0"/>
                <w:sz w:val="20"/>
                <w:lang w:val="es-ES"/>
              </w:rPr>
            </w:pPr>
            <w:r w:rsidRPr="00993936">
              <w:rPr>
                <w:rFonts w:ascii="Arial" w:hAnsi="Arial" w:cs="Arial"/>
                <w:snapToGrid w:val="0"/>
                <w:sz w:val="18"/>
                <w:lang w:val="es-ES"/>
              </w:rPr>
              <w:t>Las restricciones numéricas se detallan al final de este documento.</w:t>
            </w:r>
          </w:p>
        </w:tc>
      </w:tr>
    </w:tbl>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widowControl w:val="0"/>
        <w:rPr>
          <w:rFonts w:ascii="Arial" w:hAnsi="Arial" w:cs="Arial"/>
          <w:b/>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numPr>
          <w:ilvl w:val="0"/>
          <w:numId w:val="78"/>
        </w:numPr>
        <w:spacing w:before="120" w:after="0" w:line="240" w:lineRule="auto"/>
        <w:jc w:val="both"/>
        <w:rPr>
          <w:rFonts w:ascii="Arial" w:hAnsi="Arial" w:cs="Arial"/>
          <w:i/>
          <w:lang w:val="es-ES"/>
        </w:rPr>
      </w:pPr>
      <w:r w:rsidRPr="00993936">
        <w:rPr>
          <w:rFonts w:ascii="Arial" w:hAnsi="Arial" w:cs="Arial"/>
          <w:i/>
          <w:lang w:val="es-ES"/>
        </w:rPr>
        <w:t>Aphidius matricariae.</w:t>
      </w:r>
    </w:p>
    <w:p w:rsidR="00503A41" w:rsidRPr="00993936" w:rsidRDefault="00503A41" w:rsidP="009D1A2D">
      <w:pPr>
        <w:numPr>
          <w:ilvl w:val="0"/>
          <w:numId w:val="78"/>
        </w:numPr>
        <w:spacing w:before="120" w:after="0" w:line="240" w:lineRule="auto"/>
        <w:jc w:val="both"/>
        <w:rPr>
          <w:rFonts w:ascii="Arial" w:hAnsi="Arial" w:cs="Arial"/>
          <w:i/>
          <w:lang w:val="es-ES"/>
        </w:rPr>
      </w:pPr>
      <w:r w:rsidRPr="00993936">
        <w:rPr>
          <w:rFonts w:ascii="Arial" w:hAnsi="Arial" w:cs="Arial"/>
          <w:i/>
          <w:lang w:val="es-ES"/>
        </w:rPr>
        <w:t>Eretmocerus mundus.</w:t>
      </w:r>
    </w:p>
    <w:p w:rsidR="00503A41" w:rsidRPr="00993936" w:rsidRDefault="00503A41" w:rsidP="009D1A2D">
      <w:pPr>
        <w:numPr>
          <w:ilvl w:val="0"/>
          <w:numId w:val="78"/>
        </w:numPr>
        <w:spacing w:before="120" w:after="0" w:line="240" w:lineRule="auto"/>
        <w:jc w:val="both"/>
        <w:rPr>
          <w:rFonts w:ascii="Arial" w:hAnsi="Arial" w:cs="Arial"/>
          <w:i/>
          <w:lang w:val="es-ES"/>
        </w:rPr>
      </w:pPr>
      <w:r w:rsidRPr="00993936">
        <w:rPr>
          <w:rFonts w:ascii="Arial" w:hAnsi="Arial" w:cs="Arial"/>
          <w:i/>
          <w:lang w:val="es-ES"/>
        </w:rPr>
        <w:t>Lysiphlebus testaceipes.</w:t>
      </w:r>
    </w:p>
    <w:p w:rsidR="00503A41" w:rsidRPr="00993936" w:rsidRDefault="00503A41" w:rsidP="009D1A2D">
      <w:pPr>
        <w:numPr>
          <w:ilvl w:val="0"/>
          <w:numId w:val="78"/>
        </w:numPr>
        <w:spacing w:before="120" w:after="0" w:line="240" w:lineRule="auto"/>
        <w:jc w:val="both"/>
        <w:rPr>
          <w:rFonts w:ascii="Arial" w:hAnsi="Arial" w:cs="Arial"/>
          <w:i/>
          <w:lang w:val="es-ES"/>
        </w:rPr>
      </w:pPr>
      <w:r w:rsidRPr="00993936">
        <w:rPr>
          <w:rFonts w:ascii="Arial" w:hAnsi="Arial" w:cs="Arial"/>
          <w:i/>
          <w:lang w:val="es-ES"/>
        </w:rPr>
        <w:t>Macrolophus pygmaeus</w:t>
      </w:r>
      <w:r w:rsidRPr="00993936">
        <w:rPr>
          <w:rFonts w:ascii="Arial" w:hAnsi="Arial" w:cs="Arial"/>
          <w:lang w:val="es-ES"/>
        </w:rPr>
        <w:t>.</w:t>
      </w:r>
      <w:r w:rsidRPr="00993936">
        <w:rPr>
          <w:rFonts w:ascii="Arial" w:hAnsi="Arial" w:cs="Arial"/>
          <w:i/>
          <w:lang w:val="es-ES"/>
        </w:rPr>
        <w:t xml:space="preserve"> </w:t>
      </w:r>
    </w:p>
    <w:p w:rsidR="00503A41" w:rsidRPr="00993936" w:rsidRDefault="00503A41" w:rsidP="000452B8">
      <w:pPr>
        <w:spacing w:before="120"/>
        <w:jc w:val="both"/>
        <w:rPr>
          <w:rFonts w:ascii="Arial" w:hAnsi="Arial" w:cs="Arial"/>
          <w:b/>
          <w:caps/>
          <w:lang w:val="es-ES"/>
        </w:rPr>
      </w:pPr>
    </w:p>
    <w:p w:rsidR="00503A41" w:rsidRPr="00993936" w:rsidRDefault="00503A41" w:rsidP="000452B8">
      <w:pPr>
        <w:spacing w:before="120"/>
        <w:jc w:val="both"/>
        <w:rPr>
          <w:rFonts w:ascii="Arial" w:hAnsi="Arial" w:cs="Arial"/>
          <w:b/>
          <w:lang w:val="es-ES"/>
        </w:rPr>
      </w:pPr>
      <w:r w:rsidRPr="00993936">
        <w:rPr>
          <w:rFonts w:ascii="Arial" w:hAnsi="Arial" w:cs="Arial"/>
          <w:b/>
          <w:caps/>
          <w:lang w:val="es-ES"/>
        </w:rPr>
        <w:br w:type="page"/>
      </w:r>
      <w:r w:rsidRPr="00993936">
        <w:rPr>
          <w:rFonts w:ascii="Arial" w:hAnsi="Arial" w:cs="Arial"/>
          <w:b/>
          <w:caps/>
          <w:lang w:val="es-ES"/>
        </w:rPr>
        <w:lastRenderedPageBreak/>
        <w:t>ANEXO 6</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Programa de control fitosanitario</w:t>
      </w:r>
    </w:p>
    <w:p w:rsidR="00503A41" w:rsidRPr="00993936" w:rsidRDefault="00503A41" w:rsidP="000452B8">
      <w:pPr>
        <w:spacing w:before="120"/>
        <w:jc w:val="both"/>
        <w:rPr>
          <w:rFonts w:ascii="Arial" w:hAnsi="Arial" w:cs="Arial"/>
          <w:lang w:val="es-ES"/>
        </w:rPr>
      </w:pPr>
      <w:r w:rsidRPr="00993936">
        <w:rPr>
          <w:rFonts w:ascii="Arial" w:hAnsi="Arial" w:cs="Arial"/>
          <w:lang w:val="es-ES"/>
        </w:rPr>
        <w:t xml:space="preserve">Para la aplicación con éxito de este programa, es imprescindible aplicar unas buenas medidas culturales con el objetivo de iniciar el cultivo con plantas exentas de plagas y enfermedades, disminuir la entrada en el cultivo y la posterior proliferación. </w:t>
      </w:r>
    </w:p>
    <w:p w:rsidR="00503A41" w:rsidRPr="00993936" w:rsidRDefault="00503A41" w:rsidP="000452B8">
      <w:pPr>
        <w:spacing w:before="120"/>
        <w:jc w:val="both"/>
        <w:rPr>
          <w:rFonts w:ascii="Arial" w:hAnsi="Arial" w:cs="Arial"/>
          <w:lang w:val="es-ES"/>
        </w:rPr>
      </w:pPr>
      <w:r w:rsidRPr="00993936">
        <w:rPr>
          <w:rFonts w:ascii="Arial" w:hAnsi="Arial" w:cs="Arial"/>
          <w:lang w:val="es-ES"/>
        </w:rPr>
        <w:t>El programa específico para el cultivo de la berenjena se recoge en el Cuadro 1 de este Anexo, donde</w:t>
      </w:r>
      <w:r w:rsidRPr="00993936">
        <w:rPr>
          <w:rFonts w:ascii="Arial" w:hAnsi="Arial" w:cs="Arial"/>
          <w:vanish/>
          <w:lang w:val="es-ES"/>
        </w:rPr>
        <w:t>&lt;A[donde|dónde]&gt;</w:t>
      </w:r>
      <w:r w:rsidRPr="00993936">
        <w:rPr>
          <w:rFonts w:ascii="Arial" w:hAnsi="Arial" w:cs="Arial"/>
          <w:lang w:val="es-ES"/>
        </w:rPr>
        <w:t xml:space="preserve"> se especifican los métodos de muestreo a utilizar, así como los umbrales de intervención para cada una de las plagas y enfermedades más comunes en el cultivo. 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La Hoja 3 del Cuaderno de Explotación se complimentará en el momento de realizar el muestreo siguiendo las indicaciones del Cuadro 1.1 de este Anexo.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993936">
        <w:rPr>
          <w:rFonts w:ascii="Arial" w:hAnsi="Arial" w:cs="Arial"/>
          <w:vanish/>
          <w:lang w:val="es-ES"/>
        </w:rPr>
        <w:t>&lt;A[empleo|ocupación]&gt;</w:t>
      </w:r>
      <w:r w:rsidRPr="00993936">
        <w:rPr>
          <w:rFonts w:ascii="Arial" w:hAnsi="Arial" w:cs="Arial"/>
          <w:lang w:val="es-ES"/>
        </w:rPr>
        <w:t>) o la infestación media cuando sea requerida. También se calculará el porcentaje de plantas que presentan fauna útil asociada a cada una de las plagas.</w:t>
      </w:r>
    </w:p>
    <w:p w:rsidR="00503A41" w:rsidRPr="00993936" w:rsidRDefault="00503A41" w:rsidP="000452B8">
      <w:pPr>
        <w:spacing w:before="120"/>
        <w:jc w:val="both"/>
        <w:rPr>
          <w:rFonts w:ascii="Arial" w:hAnsi="Arial" w:cs="Arial"/>
          <w:lang w:val="es-ES"/>
        </w:rPr>
      </w:pPr>
      <w:r w:rsidRPr="00993936">
        <w:rPr>
          <w:rFonts w:ascii="Arial" w:hAnsi="Arial" w:cs="Arial"/>
          <w:lang w:val="es-ES"/>
        </w:rPr>
        <w:t>En caso de que el técnico detectara alguna plaga o enfermedad no explícitamente prevista en el Cuadro 1.1 de este Anexo, y que según su criterio pudiera producir pérdidas en el cultivo, podrá aconsejar un tratamiento con alguno de los productos autorizados en la protección fitosanitaria de aquel cultivo y que aparezca en el Cuadro 1.2. En la selección del producto se tendrá en cuenta, además de la eficacia en el control de la plaga o enfermedad, la toxicidad del producto y su efecto sobre la fauna útil.</w:t>
      </w:r>
    </w:p>
    <w:p w:rsidR="00503A41" w:rsidRPr="00993936" w:rsidRDefault="00503A41" w:rsidP="000452B8">
      <w:pPr>
        <w:spacing w:before="120"/>
        <w:jc w:val="both"/>
        <w:rPr>
          <w:rFonts w:ascii="Arial" w:hAnsi="Arial" w:cs="Arial"/>
          <w:lang w:val="es-ES"/>
        </w:rPr>
      </w:pPr>
      <w:r w:rsidRPr="00993936">
        <w:rPr>
          <w:rFonts w:ascii="Arial" w:hAnsi="Arial" w:cs="Arial"/>
          <w:lang w:val="es-ES"/>
        </w:rPr>
        <w:t xml:space="preserve">Además de los muestreos especificados en el Cuadro 1.1, se hará una observación general del cultivo que permita estimar su estado general así como la presencia de plagas y/o enfermedades. Los recuentos y las observaciones, así como las instrucciones dejadas, se anotarán en la correspondiente Hoja 3 del Cuaderno de Explotación. </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6.1.  Mosca blanca</w:t>
      </w:r>
      <w:r w:rsidRPr="00993936">
        <w:rPr>
          <w:rFonts w:ascii="Arial" w:hAnsi="Arial" w:cs="Arial"/>
          <w:b/>
          <w:i/>
          <w:lang w:val="es-ES"/>
        </w:rPr>
        <w:t xml:space="preserve"> </w:t>
      </w:r>
      <w:r w:rsidRPr="00993936">
        <w:rPr>
          <w:rFonts w:ascii="Arial" w:hAnsi="Arial" w:cs="Arial"/>
          <w:b/>
          <w:lang w:val="es-ES"/>
        </w:rPr>
        <w:t>(MB)</w:t>
      </w:r>
    </w:p>
    <w:p w:rsidR="00503A41" w:rsidRPr="00993936" w:rsidRDefault="00503A41" w:rsidP="000452B8">
      <w:pPr>
        <w:spacing w:before="120"/>
        <w:jc w:val="both"/>
        <w:rPr>
          <w:rFonts w:ascii="Arial" w:hAnsi="Arial" w:cs="Arial"/>
          <w:lang w:val="es-ES"/>
        </w:rPr>
      </w:pPr>
      <w:r w:rsidRPr="00993936">
        <w:rPr>
          <w:rFonts w:ascii="Arial" w:hAnsi="Arial" w:cs="Arial"/>
          <w:lang w:val="es-ES"/>
        </w:rPr>
        <w:t xml:space="preserve">En la columna correspondiente (MB) se anotará la presencia/ausencia (+/-) de negrita en planta producida por una elevada población de </w:t>
      </w:r>
      <w:r w:rsidRPr="00993936">
        <w:rPr>
          <w:rFonts w:ascii="Arial" w:hAnsi="Arial" w:cs="Arial"/>
          <w:i/>
          <w:lang w:val="es-ES"/>
        </w:rPr>
        <w:t>Trialeurodes vaporariorum</w:t>
      </w:r>
      <w:r w:rsidRPr="00993936">
        <w:rPr>
          <w:rFonts w:ascii="Arial" w:hAnsi="Arial" w:cs="Arial"/>
          <w:lang w:val="es-ES"/>
        </w:rPr>
        <w:t xml:space="preserve"> y/o de </w:t>
      </w:r>
      <w:r w:rsidRPr="00993936">
        <w:rPr>
          <w:rFonts w:ascii="Arial" w:hAnsi="Arial" w:cs="Arial"/>
          <w:i/>
          <w:lang w:val="es-ES"/>
        </w:rPr>
        <w:t>Bemisia tabaci</w:t>
      </w:r>
      <w:r w:rsidRPr="00993936">
        <w:rPr>
          <w:rFonts w:ascii="Arial" w:hAnsi="Arial" w:cs="Arial"/>
          <w:lang w:val="es-ES"/>
        </w:rPr>
        <w:t>.</w:t>
      </w:r>
    </w:p>
    <w:p w:rsidR="00503A41" w:rsidRPr="00993936" w:rsidRDefault="00503A41" w:rsidP="000452B8">
      <w:pPr>
        <w:spacing w:before="120"/>
        <w:jc w:val="both"/>
        <w:rPr>
          <w:rFonts w:ascii="Arial" w:hAnsi="Arial" w:cs="Arial"/>
          <w:b/>
          <w:i/>
          <w:lang w:val="es-ES"/>
        </w:rPr>
      </w:pPr>
      <w:r w:rsidRPr="00993936">
        <w:rPr>
          <w:rFonts w:ascii="Arial" w:hAnsi="Arial" w:cs="Arial"/>
          <w:b/>
          <w:lang w:val="es-ES"/>
        </w:rPr>
        <w:t>6.2. Pulgón (PG)</w:t>
      </w:r>
    </w:p>
    <w:p w:rsidR="00503A41" w:rsidRPr="00993936" w:rsidRDefault="00503A41" w:rsidP="000452B8">
      <w:pPr>
        <w:pStyle w:val="Textoindependiente"/>
        <w:spacing w:before="120"/>
        <w:rPr>
          <w:rFonts w:cs="Arial"/>
          <w:b/>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Es importante anotar la presencia de fauna auxiliar. Siempre que sea posible, el tratamiento se hará en los focos o grupos de plantas afectados.</w:t>
      </w:r>
    </w:p>
    <w:p w:rsidR="00503A41" w:rsidRPr="00993936" w:rsidRDefault="00503A41" w:rsidP="000452B8">
      <w:pPr>
        <w:pStyle w:val="Textoindependiente"/>
        <w:spacing w:before="120"/>
        <w:rPr>
          <w:rFonts w:cs="Arial"/>
          <w:b/>
          <w:szCs w:val="22"/>
          <w:lang w:val="es-ES"/>
        </w:rPr>
      </w:pPr>
      <w:r w:rsidRPr="00993936">
        <w:rPr>
          <w:rFonts w:cs="Arial"/>
          <w:b/>
          <w:szCs w:val="22"/>
          <w:lang w:val="es-ES"/>
        </w:rPr>
        <w:t xml:space="preserve">6.3. Trips (TRIPS) </w:t>
      </w:r>
    </w:p>
    <w:p w:rsidR="00503A41" w:rsidRPr="00993936" w:rsidRDefault="00503A41" w:rsidP="000452B8">
      <w:pPr>
        <w:spacing w:before="120"/>
        <w:jc w:val="both"/>
        <w:rPr>
          <w:rFonts w:ascii="Arial" w:hAnsi="Arial" w:cs="Arial"/>
          <w:lang w:val="es-ES"/>
        </w:rPr>
      </w:pPr>
      <w:r w:rsidRPr="00993936">
        <w:rPr>
          <w:rFonts w:ascii="Arial" w:hAnsi="Arial" w:cs="Arial"/>
          <w:lang w:val="es-ES"/>
        </w:rPr>
        <w:lastRenderedPageBreak/>
        <w:t xml:space="preserve">En los muestreos se anotará la ausencia (-) o la presencia o número de larvas (L), adultos (A) y daños (D) de trips. En aquellos cultivos donde el virus del bronceado del tomate (TSWV) es un problema importante, se tendrá en cuenta la incidencia de esta enfermedad en la decisión a adoptar. </w:t>
      </w:r>
    </w:p>
    <w:p w:rsidR="00503A41" w:rsidRPr="00993936" w:rsidRDefault="00503A41" w:rsidP="000452B8">
      <w:pPr>
        <w:spacing w:before="120"/>
        <w:jc w:val="both"/>
        <w:rPr>
          <w:rFonts w:ascii="Arial" w:hAnsi="Arial" w:cs="Arial"/>
          <w:lang w:val="es-ES"/>
        </w:rPr>
      </w:pPr>
      <w:r w:rsidRPr="00993936">
        <w:rPr>
          <w:rFonts w:ascii="Arial" w:hAnsi="Arial" w:cs="Arial"/>
          <w:lang w:val="es-ES"/>
        </w:rPr>
        <w:t>Es particularmente importante seguir todas las medidas culturales que permitan evitar la extensión de la plaga y reducir la incidencia de este virus.</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 xml:space="preserve">6.4. Ácaros </w:t>
      </w:r>
    </w:p>
    <w:p w:rsidR="00503A41" w:rsidRPr="00993936" w:rsidRDefault="00503A41" w:rsidP="000452B8">
      <w:pPr>
        <w:spacing w:before="120"/>
        <w:jc w:val="both"/>
        <w:rPr>
          <w:rFonts w:ascii="Arial" w:hAnsi="Arial" w:cs="Arial"/>
          <w:lang w:val="es-ES"/>
        </w:rPr>
      </w:pPr>
      <w:r w:rsidRPr="00993936">
        <w:rPr>
          <w:rFonts w:ascii="Arial" w:hAnsi="Arial" w:cs="Arial"/>
          <w:lang w:val="es-ES"/>
        </w:rPr>
        <w:t xml:space="preserve">Se anotará la presencia de síntomas (S) de </w:t>
      </w:r>
      <w:r w:rsidRPr="00993936">
        <w:rPr>
          <w:rFonts w:ascii="Arial" w:hAnsi="Arial" w:cs="Arial"/>
          <w:i/>
          <w:lang w:val="es-ES"/>
        </w:rPr>
        <w:t>Polyphagotarsonemus latus</w:t>
      </w:r>
      <w:r w:rsidRPr="00993936">
        <w:rPr>
          <w:rFonts w:ascii="Arial" w:hAnsi="Arial" w:cs="Arial"/>
          <w:lang w:val="es-ES"/>
        </w:rPr>
        <w:t xml:space="preserve"> o de </w:t>
      </w:r>
      <w:r w:rsidRPr="00993936">
        <w:rPr>
          <w:rFonts w:ascii="Arial" w:hAnsi="Arial" w:cs="Arial"/>
          <w:i/>
          <w:lang w:val="es-ES"/>
        </w:rPr>
        <w:t xml:space="preserve">Tetranychus urticae </w:t>
      </w:r>
      <w:r w:rsidRPr="00993936">
        <w:rPr>
          <w:rFonts w:ascii="Arial" w:hAnsi="Arial" w:cs="Arial"/>
          <w:lang w:val="es-ES"/>
        </w:rPr>
        <w:t>en los brotes tiernos. Siempre que sea posible, los tratamientos se aplicarán en los focos de cultivo afectado y sus alrededores.</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6.5. Otras plagas (ALTRES PLG)</w:t>
      </w:r>
    </w:p>
    <w:p w:rsidR="00503A41" w:rsidRPr="00993936" w:rsidRDefault="00503A41" w:rsidP="000452B8">
      <w:pPr>
        <w:spacing w:before="120"/>
        <w:jc w:val="both"/>
        <w:rPr>
          <w:rFonts w:ascii="Arial" w:hAnsi="Arial" w:cs="Arial"/>
          <w:lang w:val="es-ES"/>
        </w:rPr>
      </w:pPr>
      <w:r w:rsidRPr="00993936">
        <w:rPr>
          <w:rFonts w:ascii="Arial" w:hAnsi="Arial" w:cs="Arial"/>
          <w:lang w:val="es-ES"/>
        </w:rPr>
        <w:t>Se anotará la presencia/ausencia (+/-) de huevos (O), larvas (L) y adultos (A) de escarabajo de la patata. Si hubiera otras plagas no explícitamente previstas en el Cuadro 1.1, se anotará también en esta columna haciendo mención en el apartado de observaciones y especificando la plaga a qué se refiere el seguimiento.</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6.6. Depredadores polífagos (DEP POLF)</w:t>
      </w:r>
    </w:p>
    <w:p w:rsidR="00503A41" w:rsidRPr="00993936" w:rsidRDefault="00503A41" w:rsidP="000452B8">
      <w:pPr>
        <w:spacing w:before="120"/>
        <w:jc w:val="both"/>
        <w:rPr>
          <w:rFonts w:ascii="Arial" w:hAnsi="Arial" w:cs="Arial"/>
          <w:lang w:val="es-ES"/>
        </w:rPr>
      </w:pPr>
      <w:r w:rsidRPr="00993936">
        <w:rPr>
          <w:rFonts w:ascii="Arial" w:hAnsi="Arial" w:cs="Arial"/>
          <w:lang w:val="es-ES"/>
        </w:rPr>
        <w:t>Se anotará la presencia/ausencia (+ / -) de depredadores polífagos, especificando en observaciones de qué depredadores se trata.</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6.7. Enfermedades</w:t>
      </w:r>
    </w:p>
    <w:p w:rsidR="00503A41" w:rsidRPr="00993936" w:rsidRDefault="00503A41" w:rsidP="000452B8">
      <w:pPr>
        <w:spacing w:before="120"/>
        <w:jc w:val="both"/>
        <w:rPr>
          <w:rFonts w:ascii="Arial" w:hAnsi="Arial" w:cs="Arial"/>
          <w:b/>
          <w:lang w:val="es-ES"/>
        </w:rPr>
      </w:pPr>
      <w:r w:rsidRPr="00993936">
        <w:rPr>
          <w:rFonts w:ascii="Arial" w:hAnsi="Arial" w:cs="Arial"/>
          <w:lang w:val="es-ES"/>
        </w:rPr>
        <w:t>En las columnas correspondientes de la Hoja 3 del Cuaderno de Explotación se anotará la presencia/ausencia (+/-) de síntomas recientes de las enfermedades más comunas como oídio (OÍDIO), botritis (BOT</w:t>
      </w:r>
      <w:r w:rsidRPr="00993936">
        <w:rPr>
          <w:rFonts w:ascii="Arial" w:hAnsi="Arial" w:cs="Arial"/>
          <w:vanish/>
          <w:lang w:val="es-ES"/>
        </w:rPr>
        <w:t>&lt;A[BOTE|ODRE]&gt;</w:t>
      </w:r>
      <w:r w:rsidRPr="00993936">
        <w:rPr>
          <w:rFonts w:ascii="Arial" w:hAnsi="Arial" w:cs="Arial"/>
          <w:lang w:val="es-ES"/>
        </w:rPr>
        <w:t>), mildiu (MILD) y bacterias (BACT). En caso de observarse síntomas y/o cuando las condiciones agronómicas y/o meteorológicas hagan suponer la aparición de la enfermedad, se realizarán tratamientos con el producto más adecuado de los indicados en los Cuadro 1.2.</w:t>
      </w:r>
      <w:r w:rsidRPr="00993936">
        <w:rPr>
          <w:rFonts w:ascii="Arial" w:hAnsi="Arial" w:cs="Arial"/>
          <w:b/>
          <w:lang w:val="es-ES"/>
        </w:rPr>
        <w:t>6.8. Otras enfermedades (ALTRES MLT)</w:t>
      </w:r>
    </w:p>
    <w:p w:rsidR="00503A41" w:rsidRPr="00993936" w:rsidRDefault="00503A41" w:rsidP="000452B8">
      <w:pPr>
        <w:spacing w:before="120"/>
        <w:jc w:val="both"/>
        <w:rPr>
          <w:rFonts w:ascii="Arial" w:hAnsi="Arial" w:cs="Arial"/>
          <w:lang w:val="es-ES"/>
        </w:rPr>
      </w:pPr>
      <w:r w:rsidRPr="00993936">
        <w:rPr>
          <w:rFonts w:ascii="Arial" w:hAnsi="Arial" w:cs="Arial"/>
          <w:lang w:val="es-ES"/>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br w:type="page"/>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lastRenderedPageBreak/>
        <w:t>Cuadro 1.-  Control fitosanitario en berenjena</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 la berenjena</w:t>
      </w:r>
    </w:p>
    <w:p w:rsidR="00503A41" w:rsidRPr="00993936" w:rsidRDefault="00503A41" w:rsidP="000452B8">
      <w:pPr>
        <w:pStyle w:val="Textoindependiente"/>
        <w:jc w:val="left"/>
        <w:rPr>
          <w:rFonts w:cs="Arial"/>
          <w:sz w:val="1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2"/>
        <w:gridCol w:w="1982"/>
        <w:gridCol w:w="1985"/>
        <w:gridCol w:w="1278"/>
        <w:gridCol w:w="1511"/>
      </w:tblGrid>
      <w:tr w:rsidR="00503A41" w:rsidRPr="00993936" w:rsidTr="000452B8">
        <w:trPr>
          <w:cantSplit/>
          <w:tblHeader/>
          <w:jc w:val="center"/>
        </w:trPr>
        <w:tc>
          <w:tcPr>
            <w:tcW w:w="2222"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PLAGA / ENFERMEDAD</w:t>
            </w:r>
          </w:p>
        </w:tc>
        <w:tc>
          <w:tcPr>
            <w:tcW w:w="1982"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MÉTODO DE EVALUACIÓN DE INCIDENCIA</w:t>
            </w:r>
          </w:p>
        </w:tc>
        <w:tc>
          <w:tcPr>
            <w:tcW w:w="1985"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CRITERIO DE INTERVENCIÓN</w:t>
            </w:r>
          </w:p>
        </w:tc>
        <w:tc>
          <w:tcPr>
            <w:tcW w:w="1278"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FAUNA AUXILIAR</w:t>
            </w:r>
          </w:p>
        </w:tc>
        <w:tc>
          <w:tcPr>
            <w:tcW w:w="1511"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OTROS MÉTODOS</w:t>
            </w:r>
          </w:p>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(culturales, etc.)</w:t>
            </w:r>
          </w:p>
        </w:tc>
      </w:tr>
      <w:tr w:rsidR="00503A41" w:rsidRPr="00993936" w:rsidTr="000452B8">
        <w:trPr>
          <w:cantSplit/>
          <w:jc w:val="center"/>
        </w:trPr>
        <w:tc>
          <w:tcPr>
            <w:tcW w:w="222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Escarabajo (</w:t>
            </w:r>
            <w:r w:rsidRPr="00993936">
              <w:rPr>
                <w:rFonts w:cs="Arial"/>
                <w:i/>
                <w:noProof w:val="0"/>
                <w:sz w:val="18"/>
                <w:szCs w:val="18"/>
                <w:lang w:val="es-ES"/>
              </w:rPr>
              <w:t>Leptinotarsa decemlineata</w:t>
            </w:r>
            <w:r w:rsidRPr="00993936">
              <w:rPr>
                <w:rFonts w:cs="Arial"/>
                <w:noProof w:val="0"/>
                <w:sz w:val="18"/>
                <w:szCs w:val="18"/>
                <w:lang w:val="es-ES"/>
              </w:rPr>
              <w:t>)</w:t>
            </w:r>
          </w:p>
        </w:tc>
        <w:tc>
          <w:tcPr>
            <w:tcW w:w="1982" w:type="dxa"/>
            <w:vAlign w:val="center"/>
          </w:tcPr>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15 plantas por parcela o hectárea</w:t>
            </w:r>
          </w:p>
        </w:tc>
        <w:tc>
          <w:tcPr>
            <w:tcW w:w="1985" w:type="dxa"/>
            <w:vAlign w:val="center"/>
          </w:tcPr>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3 plantas ocupadas para cualquier estadio (huevo, larva, adulto)</w:t>
            </w:r>
          </w:p>
        </w:tc>
        <w:tc>
          <w:tcPr>
            <w:tcW w:w="1278" w:type="dxa"/>
            <w:vAlign w:val="center"/>
          </w:tcPr>
          <w:p w:rsidR="00503A41" w:rsidRPr="00993936" w:rsidRDefault="00503A41" w:rsidP="000452B8">
            <w:pPr>
              <w:pStyle w:val="taula"/>
              <w:rPr>
                <w:rFonts w:cs="Arial"/>
                <w:noProof w:val="0"/>
                <w:sz w:val="18"/>
                <w:szCs w:val="18"/>
                <w:lang w:val="es-ES"/>
              </w:rPr>
            </w:pPr>
          </w:p>
        </w:tc>
        <w:tc>
          <w:tcPr>
            <w:tcW w:w="1511"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22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Orugas </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(Spodoptera exigua)</w:t>
            </w:r>
          </w:p>
        </w:tc>
        <w:tc>
          <w:tcPr>
            <w:tcW w:w="198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Colocación de trampas de feromona específica</w:t>
            </w:r>
          </w:p>
        </w:tc>
        <w:tc>
          <w:tcPr>
            <w:tcW w:w="1985" w:type="dxa"/>
            <w:vAlign w:val="center"/>
          </w:tcPr>
          <w:p w:rsidR="00503A41" w:rsidRPr="00993936" w:rsidRDefault="00503A41" w:rsidP="000452B8">
            <w:pPr>
              <w:pStyle w:val="taula"/>
              <w:rPr>
                <w:rFonts w:cs="Arial"/>
                <w:noProof w:val="0"/>
                <w:sz w:val="18"/>
                <w:szCs w:val="18"/>
                <w:lang w:val="es-ES"/>
              </w:rPr>
            </w:pPr>
          </w:p>
        </w:tc>
        <w:tc>
          <w:tcPr>
            <w:tcW w:w="1278" w:type="dxa"/>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Macrolophus pygmaeus</w:t>
            </w:r>
          </w:p>
        </w:tc>
        <w:tc>
          <w:tcPr>
            <w:tcW w:w="1511"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22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Mosca blanca (</w:t>
            </w:r>
            <w:r w:rsidRPr="00993936">
              <w:rPr>
                <w:rFonts w:cs="Arial"/>
                <w:i/>
                <w:noProof w:val="0"/>
                <w:sz w:val="18"/>
                <w:szCs w:val="18"/>
                <w:lang w:val="es-ES"/>
              </w:rPr>
              <w:t>Trialeurodes vaporariorum</w:t>
            </w:r>
            <w:r w:rsidRPr="00993936">
              <w:rPr>
                <w:rFonts w:cs="Arial"/>
                <w:noProof w:val="0"/>
                <w:sz w:val="18"/>
                <w:szCs w:val="18"/>
                <w:lang w:val="es-ES"/>
              </w:rPr>
              <w:t>,</w:t>
            </w:r>
            <w:r w:rsidRPr="00993936">
              <w:rPr>
                <w:rFonts w:cs="Arial"/>
                <w:i/>
                <w:noProof w:val="0"/>
                <w:sz w:val="18"/>
                <w:szCs w:val="18"/>
                <w:lang w:val="es-ES"/>
              </w:rPr>
              <w:t xml:space="preserve"> Bemisia tabaci)</w:t>
            </w:r>
          </w:p>
        </w:tc>
        <w:tc>
          <w:tcPr>
            <w:tcW w:w="198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15 plantas por parcela o hectárea</w:t>
            </w:r>
          </w:p>
        </w:tc>
        <w:tc>
          <w:tcPr>
            <w:tcW w:w="1985" w:type="dxa"/>
            <w:vAlign w:val="center"/>
          </w:tcPr>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Presencia de negrilla en alguna planta</w:t>
            </w:r>
          </w:p>
        </w:tc>
        <w:tc>
          <w:tcPr>
            <w:tcW w:w="1278" w:type="dxa"/>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Eretmocerus mundus, Macrolophus pygmaeus</w:t>
            </w:r>
          </w:p>
        </w:tc>
        <w:tc>
          <w:tcPr>
            <w:tcW w:w="1511"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22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Ácaros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w:t>
            </w:r>
            <w:r w:rsidRPr="00993936">
              <w:rPr>
                <w:rFonts w:cs="Arial"/>
                <w:i/>
                <w:noProof w:val="0"/>
                <w:sz w:val="18"/>
                <w:szCs w:val="18"/>
                <w:lang w:val="es-ES"/>
              </w:rPr>
              <w:t xml:space="preserve">Tetranychus </w:t>
            </w:r>
            <w:r w:rsidRPr="00993936">
              <w:rPr>
                <w:rFonts w:cs="Arial"/>
                <w:noProof w:val="0"/>
                <w:sz w:val="18"/>
                <w:szCs w:val="18"/>
                <w:lang w:val="es-ES"/>
              </w:rPr>
              <w:t>spp</w:t>
            </w:r>
            <w:r w:rsidRPr="00993936">
              <w:rPr>
                <w:rFonts w:cs="Arial"/>
                <w:i/>
                <w:noProof w:val="0"/>
                <w:sz w:val="18"/>
                <w:szCs w:val="18"/>
                <w:lang w:val="es-ES"/>
              </w:rPr>
              <w:t>. Polyphagotarsonemus latus</w:t>
            </w:r>
            <w:r w:rsidRPr="00993936">
              <w:rPr>
                <w:rFonts w:cs="Arial"/>
                <w:noProof w:val="0"/>
                <w:sz w:val="18"/>
                <w:szCs w:val="18"/>
                <w:lang w:val="es-ES"/>
              </w:rPr>
              <w:t xml:space="preserve">) </w:t>
            </w:r>
          </w:p>
        </w:tc>
        <w:tc>
          <w:tcPr>
            <w:tcW w:w="198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15 plantas por parcela o hectárea</w:t>
            </w:r>
          </w:p>
        </w:tc>
        <w:tc>
          <w:tcPr>
            <w:tcW w:w="198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50% de plantas con síntomas</w:t>
            </w:r>
          </w:p>
        </w:tc>
        <w:tc>
          <w:tcPr>
            <w:tcW w:w="1278" w:type="dxa"/>
            <w:vAlign w:val="center"/>
          </w:tcPr>
          <w:p w:rsidR="00503A41" w:rsidRPr="00993936" w:rsidRDefault="00503A41" w:rsidP="000452B8">
            <w:pPr>
              <w:pStyle w:val="taula"/>
              <w:rPr>
                <w:rFonts w:cs="Arial"/>
                <w:noProof w:val="0"/>
                <w:sz w:val="18"/>
                <w:szCs w:val="18"/>
                <w:lang w:val="es-ES"/>
              </w:rPr>
            </w:pPr>
          </w:p>
        </w:tc>
        <w:tc>
          <w:tcPr>
            <w:tcW w:w="1511"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222" w:type="dxa"/>
            <w:vAlign w:val="center"/>
          </w:tcPr>
          <w:p w:rsidR="00503A41" w:rsidRPr="00993936" w:rsidRDefault="00503A41" w:rsidP="000452B8">
            <w:pPr>
              <w:pStyle w:val="taula"/>
              <w:rPr>
                <w:rFonts w:cs="Arial"/>
                <w:i/>
                <w:noProof w:val="0"/>
                <w:sz w:val="18"/>
                <w:szCs w:val="18"/>
                <w:lang w:val="es-ES"/>
              </w:rPr>
            </w:pPr>
            <w:r w:rsidRPr="00993936">
              <w:rPr>
                <w:rFonts w:cs="Arial"/>
                <w:noProof w:val="0"/>
                <w:sz w:val="18"/>
                <w:szCs w:val="18"/>
                <w:lang w:val="es-ES"/>
              </w:rPr>
              <w:t>Trips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(Frankliniella occidentalis)</w:t>
            </w:r>
          </w:p>
        </w:tc>
        <w:tc>
          <w:tcPr>
            <w:tcW w:w="198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15 plantas por parcela o hectárea</w:t>
            </w:r>
          </w:p>
        </w:tc>
        <w:tc>
          <w:tcPr>
            <w:tcW w:w="198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50% de plantas con síntomas</w:t>
            </w:r>
          </w:p>
        </w:tc>
        <w:tc>
          <w:tcPr>
            <w:tcW w:w="1278" w:type="dxa"/>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Macrolophus pygmaeus</w:t>
            </w:r>
          </w:p>
        </w:tc>
        <w:tc>
          <w:tcPr>
            <w:tcW w:w="1511"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22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Pulgones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(Myzys persicae, Aulacorthum solani, Macrosiphum euphorbiae,Aphis craccivora </w:t>
            </w:r>
            <w:r w:rsidRPr="00993936">
              <w:rPr>
                <w:rFonts w:cs="Arial"/>
                <w:noProof w:val="0"/>
                <w:sz w:val="18"/>
                <w:szCs w:val="18"/>
                <w:lang w:val="es-ES"/>
              </w:rPr>
              <w:t>y otros)</w:t>
            </w:r>
            <w:r w:rsidRPr="00993936">
              <w:rPr>
                <w:rFonts w:cs="Arial"/>
                <w:i/>
                <w:noProof w:val="0"/>
                <w:sz w:val="18"/>
                <w:szCs w:val="18"/>
                <w:lang w:val="es-ES"/>
              </w:rPr>
              <w:t xml:space="preserve"> </w:t>
            </w:r>
          </w:p>
        </w:tc>
        <w:tc>
          <w:tcPr>
            <w:tcW w:w="198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15 plantas por parcela o hectárea</w:t>
            </w:r>
          </w:p>
        </w:tc>
        <w:tc>
          <w:tcPr>
            <w:tcW w:w="198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40% de plantas con colonias. Si se observa fauna auxiliar, esperar el recuento siguiente</w:t>
            </w:r>
          </w:p>
        </w:tc>
        <w:tc>
          <w:tcPr>
            <w:tcW w:w="1278"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Coccinélidos, sírfidos, momias parasitadas</w:t>
            </w:r>
          </w:p>
        </w:tc>
        <w:tc>
          <w:tcPr>
            <w:tcW w:w="1511"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222" w:type="dxa"/>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Botrytis</w:t>
            </w:r>
            <w:r w:rsidRPr="00993936">
              <w:rPr>
                <w:rFonts w:cs="Arial"/>
                <w:noProof w:val="0"/>
                <w:sz w:val="18"/>
                <w:szCs w:val="18"/>
                <w:lang w:val="es-ES"/>
              </w:rPr>
              <w:t xml:space="preserve"> spp.</w:t>
            </w:r>
          </w:p>
        </w:tc>
        <w:tc>
          <w:tcPr>
            <w:tcW w:w="198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15 plantas por parcela o hectárea</w:t>
            </w:r>
          </w:p>
        </w:tc>
        <w:tc>
          <w:tcPr>
            <w:tcW w:w="198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Plantas con síntomas recientes</w:t>
            </w:r>
          </w:p>
        </w:tc>
        <w:tc>
          <w:tcPr>
            <w:tcW w:w="1278" w:type="dxa"/>
            <w:vAlign w:val="center"/>
          </w:tcPr>
          <w:p w:rsidR="00503A41" w:rsidRPr="00993936" w:rsidRDefault="00503A41" w:rsidP="000452B8">
            <w:pPr>
              <w:pStyle w:val="taula"/>
              <w:rPr>
                <w:rFonts w:cs="Arial"/>
                <w:noProof w:val="0"/>
                <w:sz w:val="18"/>
                <w:szCs w:val="18"/>
                <w:lang w:val="es-ES"/>
              </w:rPr>
            </w:pPr>
          </w:p>
        </w:tc>
        <w:tc>
          <w:tcPr>
            <w:tcW w:w="1511"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22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Enfermedades vasculares (</w:t>
            </w:r>
            <w:r w:rsidRPr="00993936">
              <w:rPr>
                <w:rFonts w:cs="Arial"/>
                <w:i/>
                <w:noProof w:val="0"/>
                <w:sz w:val="18"/>
                <w:szCs w:val="18"/>
                <w:lang w:val="es-ES"/>
              </w:rPr>
              <w:t>Verticilium</w:t>
            </w:r>
            <w:r w:rsidRPr="00993936">
              <w:rPr>
                <w:rFonts w:cs="Arial"/>
                <w:noProof w:val="0"/>
                <w:sz w:val="18"/>
                <w:szCs w:val="18"/>
                <w:lang w:val="es-ES"/>
              </w:rPr>
              <w:t xml:space="preserve"> spp., </w:t>
            </w:r>
            <w:r w:rsidRPr="00993936">
              <w:rPr>
                <w:rFonts w:cs="Arial"/>
                <w:i/>
                <w:noProof w:val="0"/>
                <w:sz w:val="18"/>
                <w:szCs w:val="18"/>
                <w:lang w:val="es-ES"/>
              </w:rPr>
              <w:t>Fusarium</w:t>
            </w:r>
            <w:r w:rsidRPr="00993936">
              <w:rPr>
                <w:rFonts w:cs="Arial"/>
                <w:noProof w:val="0"/>
                <w:sz w:val="18"/>
                <w:szCs w:val="18"/>
                <w:lang w:val="es-ES"/>
              </w:rPr>
              <w:t xml:space="preserve"> spp.)</w:t>
            </w:r>
          </w:p>
        </w:tc>
        <w:tc>
          <w:tcPr>
            <w:tcW w:w="198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15 plantas por parcela o hectárea</w:t>
            </w:r>
          </w:p>
        </w:tc>
        <w:tc>
          <w:tcPr>
            <w:tcW w:w="198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Plantas con síntomas recientes</w:t>
            </w:r>
          </w:p>
        </w:tc>
        <w:tc>
          <w:tcPr>
            <w:tcW w:w="1278" w:type="dxa"/>
            <w:vAlign w:val="center"/>
          </w:tcPr>
          <w:p w:rsidR="00503A41" w:rsidRPr="00993936" w:rsidRDefault="00503A41" w:rsidP="000452B8">
            <w:pPr>
              <w:pStyle w:val="taula"/>
              <w:rPr>
                <w:rFonts w:cs="Arial"/>
                <w:noProof w:val="0"/>
                <w:sz w:val="18"/>
                <w:szCs w:val="18"/>
                <w:lang w:val="es-ES"/>
              </w:rPr>
            </w:pPr>
          </w:p>
        </w:tc>
        <w:tc>
          <w:tcPr>
            <w:tcW w:w="1511"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222"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Otras plagas y enfermedades</w:t>
            </w:r>
          </w:p>
        </w:tc>
        <w:tc>
          <w:tcPr>
            <w:tcW w:w="1982" w:type="dxa"/>
            <w:vAlign w:val="center"/>
          </w:tcPr>
          <w:p w:rsidR="00503A41" w:rsidRPr="00993936" w:rsidRDefault="00503A41" w:rsidP="000452B8">
            <w:pPr>
              <w:pStyle w:val="taula"/>
              <w:rPr>
                <w:rFonts w:cs="Arial"/>
                <w:noProof w:val="0"/>
                <w:sz w:val="18"/>
                <w:szCs w:val="18"/>
                <w:lang w:val="es-ES"/>
              </w:rPr>
            </w:pPr>
          </w:p>
        </w:tc>
        <w:tc>
          <w:tcPr>
            <w:tcW w:w="198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Intervenciones en función de las prescripciones técnicas</w:t>
            </w:r>
          </w:p>
        </w:tc>
        <w:tc>
          <w:tcPr>
            <w:tcW w:w="1278" w:type="dxa"/>
            <w:vAlign w:val="center"/>
          </w:tcPr>
          <w:p w:rsidR="00503A41" w:rsidRPr="00993936" w:rsidRDefault="00503A41" w:rsidP="000452B8">
            <w:pPr>
              <w:pStyle w:val="taula"/>
              <w:rPr>
                <w:rFonts w:cs="Arial"/>
                <w:noProof w:val="0"/>
                <w:sz w:val="18"/>
                <w:szCs w:val="18"/>
                <w:lang w:val="es-ES"/>
              </w:rPr>
            </w:pPr>
          </w:p>
        </w:tc>
        <w:tc>
          <w:tcPr>
            <w:tcW w:w="1511" w:type="dxa"/>
            <w:vAlign w:val="center"/>
          </w:tcPr>
          <w:p w:rsidR="00503A41" w:rsidRPr="00993936" w:rsidRDefault="00503A41" w:rsidP="000452B8">
            <w:pPr>
              <w:pStyle w:val="taula"/>
              <w:rPr>
                <w:rFonts w:cs="Arial"/>
                <w:noProof w:val="0"/>
                <w:sz w:val="18"/>
                <w:szCs w:val="18"/>
                <w:lang w:val="es-ES"/>
              </w:rPr>
            </w:pPr>
          </w:p>
        </w:tc>
      </w:tr>
    </w:tbl>
    <w:p w:rsidR="00503A41" w:rsidRPr="00993936" w:rsidRDefault="00503A41" w:rsidP="000452B8">
      <w:pPr>
        <w:pStyle w:val="Textoindependiente3"/>
        <w:rPr>
          <w:rFonts w:cs="Arial"/>
          <w:lang w:val="es-ES"/>
        </w:rPr>
      </w:pPr>
    </w:p>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r w:rsidRPr="00993936">
        <w:rPr>
          <w:rFonts w:cs="Arial"/>
          <w:b w:val="0"/>
          <w:szCs w:val="22"/>
          <w:lang w:val="es-ES"/>
        </w:rPr>
        <w:br w:type="page"/>
      </w:r>
      <w:r w:rsidRPr="00993936">
        <w:rPr>
          <w:rFonts w:cs="Arial"/>
          <w:b w:val="0"/>
          <w:szCs w:val="22"/>
          <w:lang w:val="es-ES"/>
        </w:rPr>
        <w:lastRenderedPageBreak/>
        <w:t>1.2 Materias activas para la producción integrada de berenjena, teniendo en cuenta las indicaciones del Cuaderno de explotación y el Programa de control integrado de plagas y enfermedades.</w:t>
      </w:r>
    </w:p>
    <w:p w:rsidR="00503A41" w:rsidRPr="00993936" w:rsidRDefault="00503A41" w:rsidP="000452B8">
      <w:pPr>
        <w:jc w:val="both"/>
        <w:rPr>
          <w:rFonts w:ascii="Arial" w:hAnsi="Arial" w:cs="Arial"/>
          <w:b/>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blHeader/>
          <w:jc w:val="center"/>
        </w:trPr>
        <w:tc>
          <w:tcPr>
            <w:tcW w:w="3544" w:type="dxa"/>
            <w:tcBorders>
              <w:top w:val="single" w:sz="4" w:space="0" w:color="auto"/>
            </w:tcBorders>
            <w:shd w:val="pct15" w:color="auto" w:fill="FFFFFF"/>
          </w:tcPr>
          <w:p w:rsidR="00503A41" w:rsidRPr="00993936" w:rsidRDefault="00503A41" w:rsidP="000452B8">
            <w:pPr>
              <w:jc w:val="center"/>
              <w:rPr>
                <w:rFonts w:ascii="Arial" w:hAnsi="Arial" w:cs="Arial"/>
                <w:b/>
                <w:lang w:val="es-ES"/>
              </w:rPr>
            </w:pPr>
            <w:r w:rsidRPr="00993936">
              <w:rPr>
                <w:rFonts w:ascii="Arial" w:hAnsi="Arial" w:cs="Arial"/>
                <w:b/>
                <w:lang w:val="es-ES"/>
              </w:rPr>
              <w:t>Plaga/enfermedad</w:t>
            </w:r>
          </w:p>
        </w:tc>
        <w:tc>
          <w:tcPr>
            <w:tcW w:w="5440" w:type="dxa"/>
            <w:tcBorders>
              <w:top w:val="single" w:sz="4" w:space="0" w:color="auto"/>
            </w:tcBorders>
            <w:shd w:val="pct15" w:color="auto" w:fill="FFFFFF"/>
          </w:tcPr>
          <w:p w:rsidR="00503A41" w:rsidRPr="00993936" w:rsidRDefault="00503A41" w:rsidP="000452B8">
            <w:pPr>
              <w:pStyle w:val="Ttulo1"/>
              <w:jc w:val="center"/>
              <w:rPr>
                <w:rFonts w:ascii="Arial" w:hAnsi="Arial" w:cs="Arial"/>
                <w:b/>
                <w:color w:val="auto"/>
                <w:sz w:val="22"/>
                <w:szCs w:val="22"/>
              </w:rPr>
            </w:pPr>
            <w:r w:rsidRPr="00993936">
              <w:rPr>
                <w:rFonts w:ascii="Arial" w:hAnsi="Arial" w:cs="Arial"/>
                <w:b/>
                <w:color w:val="auto"/>
                <w:sz w:val="22"/>
                <w:szCs w:val="22"/>
              </w:rPr>
              <w:t>Materias Activas</w:t>
            </w:r>
          </w:p>
        </w:tc>
      </w:tr>
      <w:tr w:rsidR="00503A41" w:rsidRPr="00993936" w:rsidTr="000452B8">
        <w:trPr>
          <w:cantSplit/>
          <w:jc w:val="center"/>
        </w:trPr>
        <w:tc>
          <w:tcPr>
            <w:tcW w:w="3544" w:type="dxa"/>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 xml:space="preserve">Escarabajo de la patata </w:t>
            </w:r>
          </w:p>
          <w:p w:rsidR="00503A41" w:rsidRPr="00993936" w:rsidRDefault="00503A41" w:rsidP="001D205D">
            <w:pPr>
              <w:pStyle w:val="Sinespaciado"/>
              <w:rPr>
                <w:rFonts w:ascii="Arial" w:hAnsi="Arial" w:cs="Arial"/>
                <w:i/>
                <w:lang w:val="es-ES"/>
              </w:rPr>
            </w:pPr>
            <w:r w:rsidRPr="00993936">
              <w:rPr>
                <w:rFonts w:ascii="Arial" w:hAnsi="Arial" w:cs="Arial"/>
                <w:i/>
                <w:lang w:val="es-ES"/>
              </w:rPr>
              <w:t>Leptinotarsa decemlineata</w:t>
            </w:r>
          </w:p>
          <w:p w:rsidR="00503A41" w:rsidRPr="00993936" w:rsidRDefault="00503A41" w:rsidP="001D205D">
            <w:pPr>
              <w:pStyle w:val="Sinespaciado"/>
              <w:rPr>
                <w:rFonts w:ascii="Arial" w:hAnsi="Arial" w:cs="Arial"/>
                <w:i/>
                <w:lang w:val="es-ES"/>
              </w:rPr>
            </w:pP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Cipermetrín + Clorpirifos</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p w:rsidR="00503A41" w:rsidRPr="00993936" w:rsidRDefault="00503A41" w:rsidP="001D205D">
            <w:pPr>
              <w:pStyle w:val="Sinespaciado"/>
              <w:rPr>
                <w:rFonts w:ascii="Arial" w:hAnsi="Arial" w:cs="Arial"/>
                <w:lang w:val="es-ES"/>
              </w:rPr>
            </w:pPr>
            <w:r w:rsidRPr="00993936">
              <w:rPr>
                <w:rFonts w:ascii="Arial" w:hAnsi="Arial" w:cs="Arial"/>
                <w:lang w:val="es-ES"/>
              </w:rPr>
              <w:t>Metaflumizona</w:t>
            </w:r>
          </w:p>
          <w:p w:rsidR="00503A41" w:rsidRPr="00993936" w:rsidRDefault="00503A41" w:rsidP="001D205D">
            <w:pPr>
              <w:pStyle w:val="Sinespaciado"/>
              <w:rPr>
                <w:rFonts w:ascii="Arial" w:hAnsi="Arial" w:cs="Arial"/>
                <w:dstrike/>
                <w:lang w:val="es-ES"/>
              </w:rPr>
            </w:pPr>
            <w:r w:rsidRPr="00993936">
              <w:rPr>
                <w:rFonts w:ascii="Arial" w:hAnsi="Arial" w:cs="Arial"/>
                <w:lang w:val="es-ES"/>
              </w:rPr>
              <w:t>Piretrinas</w:t>
            </w:r>
          </w:p>
        </w:tc>
      </w:tr>
      <w:tr w:rsidR="00503A41" w:rsidRPr="00993936" w:rsidTr="000452B8">
        <w:trPr>
          <w:cantSplit/>
          <w:trHeight w:val="2500"/>
          <w:jc w:val="center"/>
        </w:trPr>
        <w:tc>
          <w:tcPr>
            <w:tcW w:w="3544" w:type="dxa"/>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 xml:space="preserve">Mosca blanca </w:t>
            </w:r>
          </w:p>
          <w:p w:rsidR="00503A41" w:rsidRPr="00993936" w:rsidRDefault="00503A41" w:rsidP="001D205D">
            <w:pPr>
              <w:pStyle w:val="Sinespaciado"/>
              <w:rPr>
                <w:rFonts w:ascii="Arial" w:hAnsi="Arial" w:cs="Arial"/>
                <w:lang w:val="es-ES"/>
              </w:rPr>
            </w:pPr>
            <w:r w:rsidRPr="00993936">
              <w:rPr>
                <w:rFonts w:ascii="Arial" w:hAnsi="Arial" w:cs="Arial"/>
                <w:i/>
                <w:lang w:val="es-ES"/>
              </w:rPr>
              <w:t>Trialeurodes vaporariorum</w:t>
            </w:r>
            <w:r w:rsidRPr="00993936">
              <w:rPr>
                <w:rFonts w:ascii="Arial" w:hAnsi="Arial" w:cs="Arial"/>
                <w:lang w:val="es-ES"/>
              </w:rPr>
              <w:t xml:space="preserve"> y</w:t>
            </w:r>
            <w:r w:rsidRPr="00993936">
              <w:rPr>
                <w:rFonts w:ascii="Arial" w:hAnsi="Arial" w:cs="Arial"/>
                <w:i/>
                <w:lang w:val="es-ES"/>
              </w:rPr>
              <w:t xml:space="preserve"> Bemisia tabaci</w:t>
            </w:r>
          </w:p>
          <w:p w:rsidR="00503A41" w:rsidRPr="00993936" w:rsidRDefault="00503A41" w:rsidP="000452B8">
            <w:pPr>
              <w:pStyle w:val="Ttulo2"/>
              <w:rPr>
                <w:rFonts w:ascii="Arial" w:hAnsi="Arial" w:cs="Arial"/>
                <w:b/>
                <w:color w:val="auto"/>
                <w:sz w:val="22"/>
                <w:szCs w:val="22"/>
                <w:lang w:val="es-ES"/>
              </w:rPr>
            </w:pP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Acetamiprid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p w:rsidR="00503A41" w:rsidRPr="00993936" w:rsidRDefault="00503A41" w:rsidP="001D205D">
            <w:pPr>
              <w:pStyle w:val="Sinespaciado"/>
              <w:rPr>
                <w:rFonts w:ascii="Arial" w:hAnsi="Arial" w:cs="Arial"/>
                <w:b/>
                <w:i/>
                <w:lang w:val="es-ES"/>
              </w:rPr>
            </w:pPr>
            <w:r w:rsidRPr="00993936">
              <w:rPr>
                <w:rFonts w:ascii="Arial" w:hAnsi="Arial" w:cs="Arial"/>
                <w:b/>
                <w:i/>
                <w:lang w:val="es-ES"/>
              </w:rPr>
              <w:t>Beauveria bassiana</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b/>
                <w:lang w:val="es-ES"/>
              </w:rPr>
            </w:pPr>
            <w:r w:rsidRPr="00993936">
              <w:rPr>
                <w:rFonts w:ascii="Arial" w:hAnsi="Arial" w:cs="Arial"/>
                <w:b/>
                <w:lang w:val="es-ES"/>
              </w:rPr>
              <w:t xml:space="preserve">Imidacloprid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Lambda-cihalotrín </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Aceite de Naranja</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Oxamilo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Pimetrozina </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Piriproxifén</w:t>
            </w:r>
          </w:p>
          <w:p w:rsidR="00503A41" w:rsidRPr="00993936" w:rsidRDefault="00503A41" w:rsidP="001D205D">
            <w:pPr>
              <w:pStyle w:val="Sinespaciado"/>
              <w:rPr>
                <w:rFonts w:ascii="Arial" w:hAnsi="Arial" w:cs="Arial"/>
                <w:lang w:val="es-ES"/>
              </w:rPr>
            </w:pPr>
            <w:r w:rsidRPr="00993936">
              <w:rPr>
                <w:rFonts w:ascii="Arial" w:hAnsi="Arial" w:cs="Arial"/>
                <w:lang w:val="es-ES"/>
              </w:rPr>
              <w:t>Espiromesifén</w:t>
            </w:r>
          </w:p>
          <w:p w:rsidR="00503A41" w:rsidRPr="00993936" w:rsidRDefault="00503A41" w:rsidP="001D205D">
            <w:pPr>
              <w:pStyle w:val="Sinespaciado"/>
              <w:rPr>
                <w:rFonts w:ascii="Arial" w:hAnsi="Arial" w:cs="Arial"/>
                <w:lang w:val="es-ES"/>
              </w:rPr>
            </w:pPr>
            <w:r w:rsidRPr="00993936">
              <w:rPr>
                <w:rFonts w:ascii="Arial" w:hAnsi="Arial" w:cs="Arial"/>
                <w:lang w:val="es-ES"/>
              </w:rPr>
              <w:t>Spirotetramato</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Tiacloprid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Tiametoxam </w:t>
            </w:r>
          </w:p>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r>
      <w:tr w:rsidR="00503A41" w:rsidRPr="00993936" w:rsidTr="000452B8">
        <w:trPr>
          <w:cantSplit/>
          <w:trHeight w:val="2427"/>
          <w:jc w:val="center"/>
        </w:trPr>
        <w:tc>
          <w:tcPr>
            <w:tcW w:w="3544" w:type="dxa"/>
            <w:vAlign w:val="center"/>
          </w:tcPr>
          <w:p w:rsidR="00503A41" w:rsidRPr="00993936" w:rsidRDefault="00503A41" w:rsidP="000452B8">
            <w:pPr>
              <w:rPr>
                <w:rFonts w:ascii="Arial" w:hAnsi="Arial" w:cs="Arial"/>
                <w:b/>
                <w:lang w:val="es-ES"/>
              </w:rPr>
            </w:pPr>
            <w:r w:rsidRPr="00993936">
              <w:rPr>
                <w:rFonts w:ascii="Arial" w:hAnsi="Arial" w:cs="Arial"/>
                <w:b/>
                <w:lang w:val="es-ES"/>
              </w:rPr>
              <w:t xml:space="preserve">Araña roja </w:t>
            </w:r>
          </w:p>
          <w:p w:rsidR="00503A41" w:rsidRPr="00993936" w:rsidRDefault="00503A41" w:rsidP="000452B8">
            <w:pPr>
              <w:rPr>
                <w:rFonts w:ascii="Arial" w:hAnsi="Arial" w:cs="Arial"/>
                <w:lang w:val="es-ES"/>
              </w:rPr>
            </w:pPr>
            <w:r w:rsidRPr="00993936">
              <w:rPr>
                <w:rFonts w:ascii="Arial" w:hAnsi="Arial" w:cs="Arial"/>
                <w:i/>
                <w:lang w:val="es-ES"/>
              </w:rPr>
              <w:t>Tetranychus urticae, T. turkestani</w:t>
            </w:r>
          </w:p>
        </w:tc>
        <w:tc>
          <w:tcPr>
            <w:tcW w:w="5440" w:type="dxa"/>
            <w:vAlign w:val="center"/>
          </w:tcPr>
          <w:p w:rsidR="00503A41" w:rsidRPr="00993936" w:rsidRDefault="00503A41" w:rsidP="001D205D">
            <w:pPr>
              <w:pStyle w:val="Sinespaciado"/>
              <w:rPr>
                <w:rFonts w:ascii="Arial" w:hAnsi="Arial" w:cs="Arial"/>
              </w:rPr>
            </w:pPr>
            <w:r w:rsidRPr="00993936">
              <w:rPr>
                <w:rFonts w:ascii="Arial" w:hAnsi="Arial" w:cs="Arial"/>
              </w:rPr>
              <w:t>Abamectina (4)</w:t>
            </w:r>
          </w:p>
          <w:p w:rsidR="00503A41" w:rsidRPr="00993936" w:rsidRDefault="00503A41" w:rsidP="001D205D">
            <w:pPr>
              <w:pStyle w:val="Sinespaciado"/>
              <w:rPr>
                <w:rFonts w:ascii="Arial" w:hAnsi="Arial" w:cs="Arial"/>
                <w:lang w:val="es-ES"/>
              </w:rPr>
            </w:pPr>
            <w:r w:rsidRPr="00993936">
              <w:rPr>
                <w:rFonts w:ascii="Arial" w:hAnsi="Arial" w:cs="Arial"/>
                <w:lang w:val="es-ES"/>
              </w:rPr>
              <w:t>Acrinatrín</w:t>
            </w:r>
          </w:p>
          <w:p w:rsidR="00503A41" w:rsidRPr="00993936" w:rsidRDefault="00503A41" w:rsidP="001D205D">
            <w:pPr>
              <w:pStyle w:val="Sinespaciado"/>
              <w:rPr>
                <w:rFonts w:ascii="Arial" w:hAnsi="Arial" w:cs="Arial"/>
                <w:lang w:val="es-ES" w:eastAsia="es-ES"/>
              </w:rPr>
            </w:pPr>
            <w:r w:rsidRPr="00993936">
              <w:rPr>
                <w:rFonts w:ascii="Arial" w:hAnsi="Arial" w:cs="Arial"/>
                <w:lang w:val="es-ES"/>
              </w:rPr>
              <w:t>Azadiractín</w:t>
            </w:r>
          </w:p>
          <w:p w:rsidR="00503A41" w:rsidRPr="00993936" w:rsidRDefault="00503A41" w:rsidP="001D205D">
            <w:pPr>
              <w:pStyle w:val="Sinespaciado"/>
              <w:rPr>
                <w:rFonts w:ascii="Arial" w:hAnsi="Arial" w:cs="Arial"/>
                <w:lang w:val="es-ES" w:eastAsia="es-ES"/>
              </w:rPr>
            </w:pPr>
            <w:r w:rsidRPr="00993936">
              <w:rPr>
                <w:rFonts w:ascii="Arial" w:hAnsi="Arial" w:cs="Arial"/>
                <w:lang w:val="es-ES"/>
              </w:rPr>
              <w:t xml:space="preserve">Fenbutatina  </w:t>
            </w:r>
          </w:p>
          <w:p w:rsidR="00503A41" w:rsidRPr="00993936" w:rsidRDefault="00503A41" w:rsidP="001D205D">
            <w:pPr>
              <w:pStyle w:val="Sinespaciado"/>
              <w:rPr>
                <w:rFonts w:ascii="Arial" w:hAnsi="Arial" w:cs="Arial"/>
              </w:rPr>
            </w:pPr>
            <w:r w:rsidRPr="00993936">
              <w:rPr>
                <w:rFonts w:ascii="Arial" w:hAnsi="Arial" w:cs="Arial"/>
              </w:rPr>
              <w:t xml:space="preserve">Fenpiroximato </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rPr>
            </w:pPr>
            <w:r w:rsidRPr="00993936">
              <w:rPr>
                <w:rFonts w:ascii="Arial" w:hAnsi="Arial" w:cs="Arial"/>
              </w:rPr>
              <w:t>Azufre</w:t>
            </w:r>
          </w:p>
          <w:p w:rsidR="00503A41" w:rsidRPr="00993936" w:rsidRDefault="00503A41" w:rsidP="001D205D">
            <w:pPr>
              <w:pStyle w:val="Sinespaciado"/>
              <w:rPr>
                <w:rFonts w:ascii="Arial" w:hAnsi="Arial" w:cs="Arial"/>
                <w:lang w:val="es-ES"/>
              </w:rPr>
            </w:pPr>
            <w:r w:rsidRPr="00993936">
              <w:rPr>
                <w:rFonts w:ascii="Arial" w:hAnsi="Arial" w:cs="Arial"/>
                <w:lang w:val="es-ES"/>
              </w:rPr>
              <w:t>Espiromesifén</w:t>
            </w:r>
          </w:p>
          <w:p w:rsidR="00503A41" w:rsidRPr="00993936" w:rsidRDefault="00503A41" w:rsidP="001D205D">
            <w:pPr>
              <w:pStyle w:val="Sinespaciado"/>
              <w:rPr>
                <w:rFonts w:ascii="Arial" w:hAnsi="Arial" w:cs="Arial"/>
                <w:lang w:val="es-ES"/>
              </w:rPr>
            </w:pPr>
            <w:r w:rsidRPr="00993936">
              <w:rPr>
                <w:rFonts w:ascii="Arial" w:hAnsi="Arial" w:cs="Arial"/>
                <w:lang w:val="es-ES"/>
              </w:rPr>
              <w:t>Tebufenpirad</w:t>
            </w:r>
          </w:p>
        </w:tc>
      </w:tr>
      <w:tr w:rsidR="00503A41" w:rsidRPr="00993936" w:rsidTr="000452B8">
        <w:trPr>
          <w:cantSplit/>
          <w:trHeight w:val="1147"/>
          <w:jc w:val="center"/>
        </w:trPr>
        <w:tc>
          <w:tcPr>
            <w:tcW w:w="3544" w:type="dxa"/>
            <w:vAlign w:val="center"/>
          </w:tcPr>
          <w:p w:rsidR="00503A41" w:rsidRPr="00993936" w:rsidRDefault="00503A41" w:rsidP="000452B8">
            <w:pPr>
              <w:rPr>
                <w:rFonts w:ascii="Arial" w:hAnsi="Arial" w:cs="Arial"/>
                <w:b/>
                <w:lang w:val="es-ES"/>
              </w:rPr>
            </w:pPr>
            <w:r w:rsidRPr="00993936">
              <w:rPr>
                <w:rFonts w:ascii="Arial" w:hAnsi="Arial" w:cs="Arial"/>
                <w:b/>
                <w:lang w:val="es-ES"/>
              </w:rPr>
              <w:t>Araña blanca</w:t>
            </w:r>
          </w:p>
          <w:p w:rsidR="00503A41" w:rsidRPr="00993936" w:rsidRDefault="00503A41" w:rsidP="000452B8">
            <w:pPr>
              <w:rPr>
                <w:rFonts w:ascii="Arial" w:hAnsi="Arial" w:cs="Arial"/>
                <w:lang w:val="es-ES"/>
              </w:rPr>
            </w:pPr>
            <w:r w:rsidRPr="00993936">
              <w:rPr>
                <w:rFonts w:ascii="Arial" w:hAnsi="Arial" w:cs="Arial"/>
                <w:i/>
                <w:lang w:val="es-ES"/>
              </w:rPr>
              <w:t>Polyphagotarsonemus latus</w:t>
            </w:r>
          </w:p>
          <w:p w:rsidR="00503A41" w:rsidRPr="00993936" w:rsidRDefault="00503A41" w:rsidP="000452B8">
            <w:pPr>
              <w:rPr>
                <w:rFonts w:ascii="Arial" w:hAnsi="Arial" w:cs="Arial"/>
                <w:lang w:val="es-ES"/>
              </w:rPr>
            </w:pPr>
          </w:p>
        </w:tc>
        <w:tc>
          <w:tcPr>
            <w:tcW w:w="5440"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tc>
      </w:tr>
      <w:tr w:rsidR="00503A41" w:rsidRPr="00993936" w:rsidTr="000452B8">
        <w:trPr>
          <w:cantSplit/>
          <w:trHeight w:val="1000"/>
          <w:jc w:val="center"/>
        </w:trPr>
        <w:tc>
          <w:tcPr>
            <w:tcW w:w="3544" w:type="dxa"/>
            <w:vAlign w:val="center"/>
          </w:tcPr>
          <w:p w:rsidR="00503A41" w:rsidRPr="00993936" w:rsidRDefault="00503A41" w:rsidP="000452B8">
            <w:pPr>
              <w:rPr>
                <w:rFonts w:ascii="Arial" w:hAnsi="Arial" w:cs="Arial"/>
                <w:b/>
                <w:lang w:val="es-ES"/>
              </w:rPr>
            </w:pPr>
            <w:r w:rsidRPr="00993936">
              <w:rPr>
                <w:rFonts w:ascii="Arial" w:hAnsi="Arial" w:cs="Arial"/>
                <w:b/>
                <w:lang w:val="es-ES"/>
              </w:rPr>
              <w:lastRenderedPageBreak/>
              <w:t>Trips</w:t>
            </w:r>
          </w:p>
          <w:p w:rsidR="00503A41" w:rsidRPr="00993936" w:rsidRDefault="00503A41" w:rsidP="000452B8">
            <w:pPr>
              <w:rPr>
                <w:rFonts w:ascii="Arial" w:hAnsi="Arial" w:cs="Arial"/>
                <w:lang w:val="es-ES"/>
              </w:rPr>
            </w:pPr>
            <w:r w:rsidRPr="00993936">
              <w:rPr>
                <w:rFonts w:ascii="Arial" w:hAnsi="Arial" w:cs="Arial"/>
                <w:i/>
                <w:lang w:val="es-ES"/>
              </w:rPr>
              <w:t>Frankliniella occidentalis</w:t>
            </w:r>
          </w:p>
          <w:p w:rsidR="00503A41" w:rsidRPr="00993936" w:rsidRDefault="00503A41" w:rsidP="000452B8">
            <w:pPr>
              <w:rPr>
                <w:rFonts w:ascii="Arial" w:hAnsi="Arial" w:cs="Arial"/>
                <w:lang w:val="es-ES"/>
              </w:rPr>
            </w:pPr>
          </w:p>
        </w:tc>
        <w:tc>
          <w:tcPr>
            <w:tcW w:w="5440" w:type="dxa"/>
          </w:tcPr>
          <w:p w:rsidR="00503A41" w:rsidRPr="00993936" w:rsidRDefault="00503A41" w:rsidP="001D205D">
            <w:pPr>
              <w:pStyle w:val="Sinespaciado"/>
              <w:rPr>
                <w:rFonts w:ascii="Arial" w:hAnsi="Arial" w:cs="Arial"/>
                <w:lang w:val="es-ES" w:eastAsia="es-ES"/>
              </w:rPr>
            </w:pPr>
            <w:r w:rsidRPr="00993936">
              <w:rPr>
                <w:rFonts w:ascii="Arial" w:hAnsi="Arial" w:cs="Arial"/>
                <w:lang w:val="es-ES"/>
              </w:rPr>
              <w:t xml:space="preserve">Acrinatrín </w:t>
            </w:r>
          </w:p>
          <w:p w:rsidR="00503A41" w:rsidRPr="00993936" w:rsidRDefault="00503A41" w:rsidP="001D205D">
            <w:pPr>
              <w:pStyle w:val="Sinespaciado"/>
              <w:rPr>
                <w:rFonts w:ascii="Arial" w:hAnsi="Arial" w:cs="Arial"/>
              </w:rPr>
            </w:pPr>
            <w:r w:rsidRPr="00993936">
              <w:rPr>
                <w:rFonts w:ascii="Arial" w:hAnsi="Arial" w:cs="Arial"/>
              </w:rPr>
              <w:t xml:space="preserve">Azadiractín </w:t>
            </w:r>
          </w:p>
          <w:p w:rsidR="00503A41" w:rsidRPr="00993936" w:rsidRDefault="00503A41" w:rsidP="001D205D">
            <w:pPr>
              <w:pStyle w:val="Sinespaciado"/>
              <w:rPr>
                <w:rFonts w:ascii="Arial" w:hAnsi="Arial" w:cs="Arial"/>
                <w:i/>
                <w:lang w:val="es-ES"/>
              </w:rPr>
            </w:pPr>
            <w:r w:rsidRPr="00993936">
              <w:rPr>
                <w:rFonts w:ascii="Arial" w:hAnsi="Arial" w:cs="Arial"/>
                <w:i/>
                <w:lang w:val="es-ES"/>
              </w:rPr>
              <w:t>Beauveria bassiana</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 + Metil-Clorpirifos</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p w:rsidR="00503A41" w:rsidRPr="00993936" w:rsidRDefault="00503A41" w:rsidP="001D205D">
            <w:pPr>
              <w:pStyle w:val="Sinespaciado"/>
              <w:rPr>
                <w:rFonts w:ascii="Arial" w:hAnsi="Arial" w:cs="Arial"/>
                <w:lang w:val="es-ES"/>
              </w:rPr>
            </w:pPr>
            <w:r w:rsidRPr="00993936">
              <w:rPr>
                <w:rFonts w:ascii="Arial" w:hAnsi="Arial" w:cs="Arial"/>
                <w:lang w:val="es-ES"/>
              </w:rPr>
              <w:t>Metil-Clorpirifos</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Oxamilo  </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Espinosad </w:t>
            </w:r>
          </w:p>
        </w:tc>
      </w:tr>
      <w:tr w:rsidR="00503A41" w:rsidRPr="00993936" w:rsidTr="000452B8">
        <w:trPr>
          <w:cantSplit/>
          <w:trHeight w:val="2621"/>
          <w:jc w:val="center"/>
        </w:trPr>
        <w:tc>
          <w:tcPr>
            <w:tcW w:w="3544" w:type="dxa"/>
            <w:vAlign w:val="center"/>
          </w:tcPr>
          <w:p w:rsidR="00503A41" w:rsidRPr="00993936" w:rsidRDefault="00503A41" w:rsidP="000452B8">
            <w:pPr>
              <w:rPr>
                <w:rFonts w:ascii="Arial" w:hAnsi="Arial" w:cs="Arial"/>
                <w:b/>
                <w:lang w:val="es-ES"/>
              </w:rPr>
            </w:pPr>
            <w:r w:rsidRPr="00993936">
              <w:rPr>
                <w:rFonts w:ascii="Arial" w:hAnsi="Arial" w:cs="Arial"/>
                <w:b/>
                <w:lang w:val="es-ES"/>
              </w:rPr>
              <w:t xml:space="preserve">Pulgones </w:t>
            </w:r>
          </w:p>
          <w:p w:rsidR="00503A41" w:rsidRPr="00993936" w:rsidRDefault="00503A41" w:rsidP="000452B8">
            <w:pPr>
              <w:pStyle w:val="Encabezado"/>
              <w:rPr>
                <w:rFonts w:ascii="Arial" w:hAnsi="Arial" w:cs="Arial"/>
                <w:lang w:val="es-ES"/>
              </w:rPr>
            </w:pPr>
          </w:p>
        </w:tc>
        <w:tc>
          <w:tcPr>
            <w:tcW w:w="5440" w:type="dxa"/>
            <w:vAlign w:val="center"/>
          </w:tcPr>
          <w:p w:rsidR="00503A41" w:rsidRPr="00993936" w:rsidRDefault="00503A41" w:rsidP="001D205D">
            <w:pPr>
              <w:pStyle w:val="Sinespaciado"/>
              <w:rPr>
                <w:rFonts w:ascii="Arial" w:hAnsi="Arial" w:cs="Arial"/>
              </w:rPr>
            </w:pPr>
            <w:r w:rsidRPr="00993936">
              <w:rPr>
                <w:rFonts w:ascii="Arial" w:hAnsi="Arial" w:cs="Arial"/>
              </w:rPr>
              <w:t xml:space="preserve">Alfa cipermetrín </w:t>
            </w:r>
          </w:p>
          <w:p w:rsidR="00503A41" w:rsidRPr="00993936" w:rsidRDefault="00503A41" w:rsidP="001D205D">
            <w:pPr>
              <w:pStyle w:val="Sinespaciado"/>
              <w:rPr>
                <w:rFonts w:ascii="Arial" w:hAnsi="Arial" w:cs="Arial"/>
              </w:rPr>
            </w:pPr>
            <w:r w:rsidRPr="00993936">
              <w:rPr>
                <w:rFonts w:ascii="Arial" w:hAnsi="Arial" w:cs="Arial"/>
              </w:rPr>
              <w:t xml:space="preserve">Acetamiprid </w:t>
            </w:r>
          </w:p>
          <w:p w:rsidR="00503A41" w:rsidRPr="00993936" w:rsidRDefault="00503A41" w:rsidP="001D205D">
            <w:pPr>
              <w:pStyle w:val="Sinespaciado"/>
              <w:rPr>
                <w:rFonts w:ascii="Arial" w:hAnsi="Arial" w:cs="Arial"/>
              </w:rPr>
            </w:pPr>
            <w:r w:rsidRPr="00993936">
              <w:rPr>
                <w:rFonts w:ascii="Arial" w:hAnsi="Arial" w:cs="Arial"/>
              </w:rPr>
              <w:t>Azadiractín</w:t>
            </w:r>
          </w:p>
          <w:p w:rsidR="00503A41" w:rsidRPr="00993936" w:rsidRDefault="00503A41" w:rsidP="001D205D">
            <w:pPr>
              <w:pStyle w:val="Sinespaciado"/>
              <w:rPr>
                <w:rFonts w:ascii="Arial" w:hAnsi="Arial" w:cs="Arial"/>
              </w:rPr>
            </w:pPr>
            <w:r w:rsidRPr="00993936">
              <w:rPr>
                <w:rFonts w:ascii="Arial" w:hAnsi="Arial" w:cs="Arial"/>
              </w:rPr>
              <w:t>Cipermetrín</w:t>
            </w:r>
          </w:p>
          <w:p w:rsidR="00503A41" w:rsidRPr="00993936" w:rsidRDefault="00503A41" w:rsidP="001D205D">
            <w:pPr>
              <w:pStyle w:val="Sinespaciado"/>
              <w:rPr>
                <w:rFonts w:ascii="Arial" w:hAnsi="Arial" w:cs="Arial"/>
              </w:rPr>
            </w:pPr>
            <w:r w:rsidRPr="00993936">
              <w:rPr>
                <w:rFonts w:ascii="Arial" w:hAnsi="Arial" w:cs="Arial"/>
              </w:rPr>
              <w:t>Cipermetrín + Metil-Clorpirifos</w:t>
            </w:r>
          </w:p>
          <w:p w:rsidR="00503A41" w:rsidRPr="00993936" w:rsidRDefault="00503A41" w:rsidP="001D205D">
            <w:pPr>
              <w:pStyle w:val="Sinespaciado"/>
              <w:rPr>
                <w:rFonts w:ascii="Arial" w:hAnsi="Arial" w:cs="Arial"/>
              </w:rPr>
            </w:pPr>
            <w:r w:rsidRPr="00993936">
              <w:rPr>
                <w:rFonts w:ascii="Arial" w:hAnsi="Arial" w:cs="Arial"/>
              </w:rPr>
              <w:t xml:space="preserve">Deltametrín </w:t>
            </w:r>
          </w:p>
          <w:p w:rsidR="00503A41" w:rsidRPr="00993936" w:rsidRDefault="00503A41" w:rsidP="001D205D">
            <w:pPr>
              <w:pStyle w:val="Sinespaciado"/>
              <w:rPr>
                <w:rFonts w:ascii="Arial" w:hAnsi="Arial" w:cs="Arial"/>
              </w:rPr>
            </w:pPr>
            <w:r w:rsidRPr="00993936">
              <w:rPr>
                <w:rFonts w:ascii="Arial" w:hAnsi="Arial" w:cs="Arial"/>
              </w:rPr>
              <w:t xml:space="preserve">Etofenprox </w:t>
            </w:r>
          </w:p>
          <w:p w:rsidR="00503A41" w:rsidRPr="00993936" w:rsidRDefault="00503A41" w:rsidP="001D205D">
            <w:pPr>
              <w:pStyle w:val="Sinespaciado"/>
              <w:rPr>
                <w:rFonts w:ascii="Arial" w:hAnsi="Arial" w:cs="Arial"/>
              </w:rPr>
            </w:pPr>
            <w:r w:rsidRPr="00993936">
              <w:rPr>
                <w:rFonts w:ascii="Arial" w:hAnsi="Arial" w:cs="Arial"/>
              </w:rPr>
              <w:t xml:space="preserve">Imidacloprid </w:t>
            </w:r>
          </w:p>
          <w:p w:rsidR="00503A41" w:rsidRPr="00993936" w:rsidRDefault="00503A41" w:rsidP="001D205D">
            <w:pPr>
              <w:pStyle w:val="Sinespaciado"/>
              <w:rPr>
                <w:rFonts w:ascii="Arial" w:hAnsi="Arial" w:cs="Arial"/>
              </w:rPr>
            </w:pPr>
            <w:r w:rsidRPr="00993936">
              <w:rPr>
                <w:rFonts w:ascii="Arial" w:hAnsi="Arial" w:cs="Arial"/>
              </w:rPr>
              <w:t xml:space="preserve">Lambda-cihalotrín </w:t>
            </w:r>
          </w:p>
          <w:p w:rsidR="00503A41" w:rsidRPr="00993936" w:rsidRDefault="00503A41" w:rsidP="001D205D">
            <w:pPr>
              <w:pStyle w:val="Sinespaciado"/>
              <w:rPr>
                <w:rFonts w:ascii="Arial" w:hAnsi="Arial" w:cs="Arial"/>
              </w:rPr>
            </w:pPr>
            <w:r w:rsidRPr="00993936">
              <w:rPr>
                <w:rFonts w:ascii="Arial" w:hAnsi="Arial" w:cs="Arial"/>
              </w:rPr>
              <w:t>Metomilo</w:t>
            </w:r>
          </w:p>
          <w:p w:rsidR="00503A41" w:rsidRPr="00993936" w:rsidRDefault="00503A41" w:rsidP="001D205D">
            <w:pPr>
              <w:pStyle w:val="Sinespaciado"/>
              <w:rPr>
                <w:rFonts w:ascii="Arial" w:hAnsi="Arial" w:cs="Arial"/>
              </w:rPr>
            </w:pPr>
            <w:r w:rsidRPr="00993936">
              <w:rPr>
                <w:rFonts w:ascii="Arial" w:hAnsi="Arial" w:cs="Arial"/>
              </w:rPr>
              <w:t>Aceite parafínico</w:t>
            </w:r>
          </w:p>
          <w:p w:rsidR="00503A41" w:rsidRPr="00993936" w:rsidRDefault="00503A41" w:rsidP="001D205D">
            <w:pPr>
              <w:pStyle w:val="Sinespaciado"/>
              <w:rPr>
                <w:rFonts w:ascii="Arial" w:hAnsi="Arial" w:cs="Arial"/>
              </w:rPr>
            </w:pPr>
            <w:r w:rsidRPr="00993936">
              <w:rPr>
                <w:rFonts w:ascii="Arial" w:hAnsi="Arial" w:cs="Arial"/>
              </w:rPr>
              <w:t xml:space="preserve">Oxamilo  </w:t>
            </w:r>
          </w:p>
          <w:p w:rsidR="00503A41" w:rsidRPr="00993936" w:rsidRDefault="00503A41" w:rsidP="001D205D">
            <w:pPr>
              <w:pStyle w:val="Sinespaciado"/>
              <w:rPr>
                <w:rFonts w:ascii="Arial" w:hAnsi="Arial" w:cs="Arial"/>
              </w:rPr>
            </w:pPr>
            <w:r w:rsidRPr="00993936">
              <w:rPr>
                <w:rFonts w:ascii="Arial" w:hAnsi="Arial" w:cs="Arial"/>
              </w:rPr>
              <w:t>Pimetrozina</w:t>
            </w:r>
          </w:p>
          <w:p w:rsidR="00503A41" w:rsidRPr="00993936" w:rsidRDefault="00503A41" w:rsidP="001D205D">
            <w:pPr>
              <w:pStyle w:val="Sinespaciado"/>
              <w:rPr>
                <w:rFonts w:ascii="Arial" w:hAnsi="Arial" w:cs="Arial"/>
              </w:rPr>
            </w:pPr>
            <w:r w:rsidRPr="00993936">
              <w:rPr>
                <w:rFonts w:ascii="Arial" w:hAnsi="Arial" w:cs="Arial"/>
              </w:rPr>
              <w:t>Piretrinas</w:t>
            </w:r>
          </w:p>
          <w:p w:rsidR="00503A41" w:rsidRPr="00993936" w:rsidRDefault="00503A41" w:rsidP="001D205D">
            <w:pPr>
              <w:pStyle w:val="Sinespaciado"/>
              <w:rPr>
                <w:rFonts w:ascii="Arial" w:hAnsi="Arial" w:cs="Arial"/>
              </w:rPr>
            </w:pPr>
            <w:r w:rsidRPr="00993936">
              <w:rPr>
                <w:rFonts w:ascii="Arial" w:hAnsi="Arial" w:cs="Arial"/>
              </w:rPr>
              <w:t>Pirimicarb (2)</w:t>
            </w:r>
          </w:p>
          <w:p w:rsidR="00503A41" w:rsidRPr="00993936" w:rsidRDefault="00503A41" w:rsidP="001D205D">
            <w:pPr>
              <w:pStyle w:val="Sinespaciado"/>
              <w:rPr>
                <w:rFonts w:ascii="Arial" w:hAnsi="Arial" w:cs="Arial"/>
              </w:rPr>
            </w:pPr>
            <w:r w:rsidRPr="00993936">
              <w:rPr>
                <w:rFonts w:ascii="Arial" w:hAnsi="Arial" w:cs="Arial"/>
              </w:rPr>
              <w:t xml:space="preserve">Tiacloprid </w:t>
            </w:r>
          </w:p>
          <w:p w:rsidR="00503A41" w:rsidRPr="00993936" w:rsidRDefault="00503A41" w:rsidP="001D205D">
            <w:pPr>
              <w:pStyle w:val="Sinespaciado"/>
              <w:rPr>
                <w:rFonts w:ascii="Arial" w:hAnsi="Arial" w:cs="Arial"/>
              </w:rPr>
            </w:pPr>
            <w:r w:rsidRPr="00993936">
              <w:rPr>
                <w:rFonts w:ascii="Arial" w:hAnsi="Arial" w:cs="Arial"/>
              </w:rPr>
              <w:t>Tiametoxam</w:t>
            </w:r>
          </w:p>
          <w:p w:rsidR="00503A41" w:rsidRPr="00993936" w:rsidRDefault="00503A41" w:rsidP="001D205D">
            <w:pPr>
              <w:pStyle w:val="Sinespaciado"/>
              <w:rPr>
                <w:rFonts w:ascii="Arial" w:hAnsi="Arial" w:cs="Arial"/>
              </w:rPr>
            </w:pPr>
            <w:r w:rsidRPr="00993936">
              <w:rPr>
                <w:rFonts w:ascii="Arial" w:hAnsi="Arial" w:cs="Arial"/>
              </w:rPr>
              <w:t xml:space="preserve">Spirotetramat </w:t>
            </w:r>
          </w:p>
          <w:p w:rsidR="00503A41" w:rsidRPr="00993936" w:rsidRDefault="00503A41" w:rsidP="001D205D">
            <w:pPr>
              <w:pStyle w:val="Sinespaciado"/>
              <w:rPr>
                <w:rFonts w:ascii="Arial" w:hAnsi="Arial" w:cs="Arial"/>
              </w:rPr>
            </w:pPr>
            <w:r w:rsidRPr="00993936">
              <w:rPr>
                <w:rFonts w:ascii="Arial" w:hAnsi="Arial" w:cs="Arial"/>
              </w:rPr>
              <w:t xml:space="preserve">Zeta-cipermetrín </w:t>
            </w:r>
          </w:p>
        </w:tc>
      </w:tr>
      <w:tr w:rsidR="00503A41" w:rsidRPr="00993936" w:rsidTr="000452B8">
        <w:trPr>
          <w:cantSplit/>
          <w:trHeight w:val="20"/>
          <w:jc w:val="center"/>
        </w:trPr>
        <w:tc>
          <w:tcPr>
            <w:tcW w:w="3544" w:type="dxa"/>
            <w:vAlign w:val="center"/>
          </w:tcPr>
          <w:p w:rsidR="00503A41" w:rsidRPr="00993936" w:rsidRDefault="00503A41" w:rsidP="000452B8">
            <w:pPr>
              <w:rPr>
                <w:rFonts w:ascii="Arial" w:hAnsi="Arial" w:cs="Arial"/>
                <w:b/>
                <w:i/>
                <w:szCs w:val="18"/>
                <w:lang w:val="es-ES"/>
              </w:rPr>
            </w:pPr>
            <w:r w:rsidRPr="00993936">
              <w:rPr>
                <w:rFonts w:ascii="Arial" w:hAnsi="Arial" w:cs="Arial"/>
                <w:b/>
                <w:i/>
                <w:szCs w:val="18"/>
                <w:lang w:val="es-ES"/>
              </w:rPr>
              <w:t>Spodoptera exigua</w:t>
            </w:r>
          </w:p>
        </w:tc>
        <w:tc>
          <w:tcPr>
            <w:tcW w:w="5440" w:type="dxa"/>
          </w:tcPr>
          <w:p w:rsidR="00503A41" w:rsidRPr="00993936" w:rsidRDefault="00503A41" w:rsidP="001D205D">
            <w:pPr>
              <w:pStyle w:val="Sinespaciado"/>
              <w:rPr>
                <w:rFonts w:ascii="Arial" w:hAnsi="Arial" w:cs="Arial"/>
              </w:rPr>
            </w:pPr>
            <w:r w:rsidRPr="00993936">
              <w:rPr>
                <w:rFonts w:ascii="Arial" w:hAnsi="Arial" w:cs="Arial"/>
              </w:rPr>
              <w:t>Alfa cipermetrín</w:t>
            </w:r>
          </w:p>
          <w:p w:rsidR="00503A41" w:rsidRPr="00993936" w:rsidRDefault="00503A41" w:rsidP="001D205D">
            <w:pPr>
              <w:pStyle w:val="Sinespaciado"/>
              <w:rPr>
                <w:rFonts w:ascii="Arial" w:hAnsi="Arial" w:cs="Arial"/>
              </w:rPr>
            </w:pPr>
            <w:r w:rsidRPr="00993936">
              <w:rPr>
                <w:rFonts w:ascii="Arial" w:hAnsi="Arial" w:cs="Arial"/>
              </w:rPr>
              <w:t>Azadiractín</w:t>
            </w:r>
          </w:p>
          <w:p w:rsidR="00503A41" w:rsidRPr="00993936" w:rsidRDefault="00503A41" w:rsidP="001D205D">
            <w:pPr>
              <w:pStyle w:val="Sinespaciado"/>
              <w:rPr>
                <w:rFonts w:ascii="Arial" w:hAnsi="Arial" w:cs="Arial"/>
              </w:rPr>
            </w:pPr>
            <w:r w:rsidRPr="00993936">
              <w:rPr>
                <w:rFonts w:ascii="Arial" w:hAnsi="Arial" w:cs="Arial"/>
              </w:rPr>
              <w:t>Bacillus thurigiensis aizawai</w:t>
            </w:r>
          </w:p>
          <w:p w:rsidR="00503A41" w:rsidRPr="00993936" w:rsidRDefault="00503A41" w:rsidP="001D205D">
            <w:pPr>
              <w:pStyle w:val="Sinespaciado"/>
              <w:rPr>
                <w:rFonts w:ascii="Arial" w:hAnsi="Arial" w:cs="Arial"/>
              </w:rPr>
            </w:pPr>
            <w:r w:rsidRPr="00993936">
              <w:rPr>
                <w:rFonts w:ascii="Arial" w:hAnsi="Arial" w:cs="Arial"/>
              </w:rPr>
              <w:t>Bacillus thurigiensis kurstaki</w:t>
            </w:r>
          </w:p>
          <w:p w:rsidR="00503A41" w:rsidRPr="00993936" w:rsidRDefault="00503A41" w:rsidP="001D205D">
            <w:pPr>
              <w:pStyle w:val="Sinespaciado"/>
              <w:rPr>
                <w:rFonts w:ascii="Arial" w:hAnsi="Arial" w:cs="Arial"/>
              </w:rPr>
            </w:pPr>
            <w:r w:rsidRPr="00993936">
              <w:rPr>
                <w:rFonts w:ascii="Arial" w:hAnsi="Arial" w:cs="Arial"/>
              </w:rPr>
              <w:t>Cipermetrín</w:t>
            </w:r>
          </w:p>
          <w:p w:rsidR="00503A41" w:rsidRPr="00993936" w:rsidRDefault="00503A41" w:rsidP="001D205D">
            <w:pPr>
              <w:pStyle w:val="Sinespaciado"/>
              <w:rPr>
                <w:rFonts w:ascii="Arial" w:hAnsi="Arial" w:cs="Arial"/>
              </w:rPr>
            </w:pPr>
            <w:r w:rsidRPr="00993936">
              <w:rPr>
                <w:rFonts w:ascii="Arial" w:hAnsi="Arial" w:cs="Arial"/>
              </w:rPr>
              <w:t>Clorantraniliprol</w:t>
            </w:r>
          </w:p>
          <w:p w:rsidR="00503A41" w:rsidRPr="00993936" w:rsidRDefault="00503A41" w:rsidP="001D205D">
            <w:pPr>
              <w:pStyle w:val="Sinespaciado"/>
              <w:rPr>
                <w:rFonts w:ascii="Arial" w:hAnsi="Arial" w:cs="Arial"/>
              </w:rPr>
            </w:pPr>
            <w:r w:rsidRPr="00993936">
              <w:rPr>
                <w:rFonts w:ascii="Arial" w:hAnsi="Arial" w:cs="Arial"/>
              </w:rPr>
              <w:t>Clorpirifos (cebo)</w:t>
            </w:r>
          </w:p>
          <w:p w:rsidR="00503A41" w:rsidRPr="00993936" w:rsidRDefault="00503A41" w:rsidP="001D205D">
            <w:pPr>
              <w:pStyle w:val="Sinespaciado"/>
              <w:rPr>
                <w:rFonts w:ascii="Arial" w:hAnsi="Arial" w:cs="Arial"/>
              </w:rPr>
            </w:pPr>
            <w:r w:rsidRPr="00993936">
              <w:rPr>
                <w:rFonts w:ascii="Arial" w:hAnsi="Arial" w:cs="Arial"/>
              </w:rPr>
              <w:t xml:space="preserve">Deltametrín </w:t>
            </w:r>
          </w:p>
          <w:p w:rsidR="00503A41" w:rsidRPr="00993936" w:rsidRDefault="00503A41" w:rsidP="001D205D">
            <w:pPr>
              <w:pStyle w:val="Sinespaciado"/>
              <w:rPr>
                <w:rFonts w:ascii="Arial" w:hAnsi="Arial" w:cs="Arial"/>
              </w:rPr>
            </w:pPr>
            <w:r w:rsidRPr="00993936">
              <w:rPr>
                <w:rFonts w:ascii="Arial" w:hAnsi="Arial" w:cs="Arial"/>
              </w:rPr>
              <w:t>Emamectina</w:t>
            </w:r>
          </w:p>
          <w:p w:rsidR="00503A41" w:rsidRPr="00993936" w:rsidRDefault="00503A41" w:rsidP="001D205D">
            <w:pPr>
              <w:pStyle w:val="Sinespaciado"/>
              <w:rPr>
                <w:rFonts w:ascii="Arial" w:hAnsi="Arial" w:cs="Arial"/>
              </w:rPr>
            </w:pPr>
            <w:r w:rsidRPr="00993936">
              <w:rPr>
                <w:rFonts w:ascii="Arial" w:hAnsi="Arial" w:cs="Arial"/>
              </w:rPr>
              <w:t xml:space="preserve">Etofenprox </w:t>
            </w:r>
          </w:p>
          <w:p w:rsidR="00503A41" w:rsidRPr="00993936" w:rsidRDefault="00503A41" w:rsidP="001D205D">
            <w:pPr>
              <w:pStyle w:val="Sinespaciado"/>
              <w:rPr>
                <w:rFonts w:ascii="Arial" w:hAnsi="Arial" w:cs="Arial"/>
              </w:rPr>
            </w:pPr>
            <w:r w:rsidRPr="00993936">
              <w:rPr>
                <w:rFonts w:ascii="Arial" w:hAnsi="Arial" w:cs="Arial"/>
              </w:rPr>
              <w:t>Indoxacarb</w:t>
            </w:r>
          </w:p>
          <w:p w:rsidR="00503A41" w:rsidRPr="00993936" w:rsidRDefault="00503A41" w:rsidP="001D205D">
            <w:pPr>
              <w:pStyle w:val="Sinespaciado"/>
              <w:rPr>
                <w:rFonts w:ascii="Arial" w:hAnsi="Arial" w:cs="Arial"/>
              </w:rPr>
            </w:pPr>
            <w:r w:rsidRPr="00993936">
              <w:rPr>
                <w:rFonts w:ascii="Arial" w:hAnsi="Arial" w:cs="Arial"/>
              </w:rPr>
              <w:t xml:space="preserve">Lambda-cihalotrín </w:t>
            </w:r>
          </w:p>
          <w:p w:rsidR="00503A41" w:rsidRPr="00993936" w:rsidRDefault="00503A41" w:rsidP="001D205D">
            <w:pPr>
              <w:pStyle w:val="Sinespaciado"/>
              <w:rPr>
                <w:rFonts w:ascii="Arial" w:hAnsi="Arial" w:cs="Arial"/>
              </w:rPr>
            </w:pPr>
            <w:r w:rsidRPr="00993936">
              <w:rPr>
                <w:rFonts w:ascii="Arial" w:hAnsi="Arial" w:cs="Arial"/>
              </w:rPr>
              <w:t>Metaflumizona</w:t>
            </w:r>
          </w:p>
          <w:p w:rsidR="00503A41" w:rsidRPr="00993936" w:rsidRDefault="00503A41" w:rsidP="001D205D">
            <w:pPr>
              <w:pStyle w:val="Sinespaciado"/>
              <w:rPr>
                <w:rFonts w:ascii="Arial" w:hAnsi="Arial" w:cs="Arial"/>
              </w:rPr>
            </w:pPr>
            <w:r w:rsidRPr="00993936">
              <w:rPr>
                <w:rFonts w:ascii="Arial" w:hAnsi="Arial" w:cs="Arial"/>
              </w:rPr>
              <w:t>Metil-Clorpirifos</w:t>
            </w:r>
          </w:p>
          <w:p w:rsidR="00503A41" w:rsidRPr="00993936" w:rsidRDefault="00503A41" w:rsidP="001D205D">
            <w:pPr>
              <w:pStyle w:val="Sinespaciado"/>
              <w:rPr>
                <w:rFonts w:ascii="Arial" w:hAnsi="Arial" w:cs="Arial"/>
              </w:rPr>
            </w:pPr>
            <w:r w:rsidRPr="00993936">
              <w:rPr>
                <w:rFonts w:ascii="Arial" w:hAnsi="Arial" w:cs="Arial"/>
              </w:rPr>
              <w:t>Metomilo</w:t>
            </w:r>
          </w:p>
          <w:p w:rsidR="00503A41" w:rsidRPr="00993936" w:rsidRDefault="00503A41" w:rsidP="001D205D">
            <w:pPr>
              <w:pStyle w:val="Sinespaciado"/>
              <w:rPr>
                <w:rFonts w:ascii="Arial" w:hAnsi="Arial" w:cs="Arial"/>
              </w:rPr>
            </w:pPr>
            <w:r w:rsidRPr="00993936">
              <w:rPr>
                <w:rFonts w:ascii="Arial" w:hAnsi="Arial" w:cs="Arial"/>
              </w:rPr>
              <w:t>Piretrinas</w:t>
            </w:r>
          </w:p>
          <w:p w:rsidR="00503A41" w:rsidRPr="00993936" w:rsidRDefault="00503A41" w:rsidP="001D205D">
            <w:pPr>
              <w:pStyle w:val="Sinespaciado"/>
              <w:rPr>
                <w:rFonts w:ascii="Arial" w:hAnsi="Arial" w:cs="Arial"/>
              </w:rPr>
            </w:pPr>
            <w:r w:rsidRPr="00993936">
              <w:rPr>
                <w:rFonts w:ascii="Arial" w:hAnsi="Arial" w:cs="Arial"/>
              </w:rPr>
              <w:t xml:space="preserve">Zeta-cipermetrín </w:t>
            </w:r>
          </w:p>
          <w:p w:rsidR="00503A41" w:rsidRPr="00993936" w:rsidRDefault="00503A41" w:rsidP="001D205D">
            <w:pPr>
              <w:pStyle w:val="Sinespaciado"/>
              <w:rPr>
                <w:rFonts w:ascii="Arial" w:hAnsi="Arial" w:cs="Arial"/>
              </w:rPr>
            </w:pPr>
            <w:r w:rsidRPr="00993936">
              <w:rPr>
                <w:rFonts w:ascii="Arial" w:hAnsi="Arial" w:cs="Arial"/>
              </w:rPr>
              <w:t xml:space="preserve">Tebufenocida  </w:t>
            </w:r>
          </w:p>
        </w:tc>
      </w:tr>
      <w:tr w:rsidR="00503A41" w:rsidRPr="00993936" w:rsidTr="000452B8">
        <w:trPr>
          <w:cantSplit/>
          <w:trHeight w:val="1896"/>
          <w:jc w:val="center"/>
        </w:trPr>
        <w:tc>
          <w:tcPr>
            <w:tcW w:w="3544" w:type="dxa"/>
            <w:vAlign w:val="center"/>
          </w:tcPr>
          <w:p w:rsidR="00503A41" w:rsidRPr="00993936" w:rsidRDefault="00503A41" w:rsidP="000452B8">
            <w:pPr>
              <w:rPr>
                <w:rFonts w:ascii="Arial" w:hAnsi="Arial" w:cs="Arial"/>
                <w:b/>
                <w:szCs w:val="18"/>
                <w:lang w:val="es-ES"/>
              </w:rPr>
            </w:pPr>
            <w:r w:rsidRPr="00993936">
              <w:rPr>
                <w:rFonts w:ascii="Arial" w:hAnsi="Arial" w:cs="Arial"/>
                <w:b/>
                <w:szCs w:val="18"/>
                <w:lang w:val="es-ES"/>
              </w:rPr>
              <w:lastRenderedPageBreak/>
              <w:t>Podredumbre gris</w:t>
            </w:r>
          </w:p>
          <w:p w:rsidR="00503A41" w:rsidRPr="00993936" w:rsidRDefault="00503A41" w:rsidP="000452B8">
            <w:pPr>
              <w:rPr>
                <w:rFonts w:ascii="Arial" w:hAnsi="Arial" w:cs="Arial"/>
                <w:szCs w:val="18"/>
                <w:lang w:val="es-ES"/>
              </w:rPr>
            </w:pPr>
            <w:r w:rsidRPr="00993936">
              <w:rPr>
                <w:rFonts w:ascii="Arial" w:hAnsi="Arial" w:cs="Arial"/>
                <w:szCs w:val="18"/>
                <w:lang w:val="es-ES"/>
              </w:rPr>
              <w:t>(</w:t>
            </w:r>
            <w:r w:rsidRPr="00993936">
              <w:rPr>
                <w:rFonts w:ascii="Arial" w:hAnsi="Arial" w:cs="Arial"/>
                <w:i/>
                <w:szCs w:val="18"/>
                <w:lang w:val="es-ES"/>
              </w:rPr>
              <w:t>Botrytis cinerea</w:t>
            </w:r>
            <w:r w:rsidRPr="00993936">
              <w:rPr>
                <w:rFonts w:ascii="Arial" w:hAnsi="Arial" w:cs="Arial"/>
                <w:szCs w:val="18"/>
                <w:lang w:val="es-ES"/>
              </w:rPr>
              <w:t>)</w:t>
            </w:r>
          </w:p>
        </w:tc>
        <w:tc>
          <w:tcPr>
            <w:tcW w:w="5440" w:type="dxa"/>
          </w:tcPr>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Bacillus subtilis</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Ciprodinil + Fludioxonil</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 xml:space="preserve">Clortalonil </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Dietofencarb</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Fenhexamid</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Fenpirazamida</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Iprodiona</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 xml:space="preserve">Mepanipirim </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 xml:space="preserve">Metil-tiofanato </w:t>
            </w:r>
          </w:p>
          <w:p w:rsidR="00503A41" w:rsidRPr="00993936" w:rsidRDefault="00503A41" w:rsidP="001D205D">
            <w:pPr>
              <w:pStyle w:val="Ttulo1"/>
              <w:rPr>
                <w:rFonts w:ascii="Arial" w:hAnsi="Arial" w:cs="Arial"/>
                <w:color w:val="auto"/>
                <w:sz w:val="22"/>
                <w:szCs w:val="18"/>
              </w:rPr>
            </w:pPr>
            <w:r w:rsidRPr="00993936">
              <w:rPr>
                <w:rFonts w:ascii="Arial" w:hAnsi="Arial" w:cs="Arial"/>
                <w:color w:val="auto"/>
                <w:sz w:val="22"/>
                <w:szCs w:val="18"/>
              </w:rPr>
              <w:t>Pirimetanil</w:t>
            </w:r>
          </w:p>
          <w:p w:rsidR="00503A41" w:rsidRPr="00993936" w:rsidRDefault="00503A41" w:rsidP="001D205D">
            <w:pPr>
              <w:pStyle w:val="Ttulo1"/>
              <w:rPr>
                <w:rFonts w:ascii="Arial" w:hAnsi="Arial" w:cs="Arial"/>
                <w:color w:val="auto"/>
                <w:sz w:val="18"/>
                <w:szCs w:val="18"/>
              </w:rPr>
            </w:pPr>
            <w:r w:rsidRPr="00993936">
              <w:rPr>
                <w:rFonts w:ascii="Arial" w:hAnsi="Arial" w:cs="Arial"/>
                <w:color w:val="auto"/>
                <w:sz w:val="22"/>
                <w:szCs w:val="18"/>
              </w:rPr>
              <w:t xml:space="preserve">Tebuconazol </w:t>
            </w:r>
          </w:p>
        </w:tc>
      </w:tr>
      <w:tr w:rsidR="00503A41" w:rsidRPr="00993936" w:rsidTr="000452B8">
        <w:trPr>
          <w:cantSplit/>
          <w:trHeight w:val="872"/>
          <w:jc w:val="center"/>
        </w:trPr>
        <w:tc>
          <w:tcPr>
            <w:tcW w:w="3544" w:type="dxa"/>
            <w:vAlign w:val="center"/>
          </w:tcPr>
          <w:p w:rsidR="00503A41" w:rsidRPr="00993936" w:rsidRDefault="00503A41" w:rsidP="001D205D">
            <w:pPr>
              <w:pStyle w:val="Sinespaciado"/>
              <w:rPr>
                <w:rFonts w:ascii="Arial" w:hAnsi="Arial" w:cs="Arial"/>
                <w:b/>
                <w:lang w:val="es-ES"/>
              </w:rPr>
            </w:pPr>
            <w:r w:rsidRPr="00993936">
              <w:rPr>
                <w:rFonts w:ascii="Arial" w:hAnsi="Arial" w:cs="Arial"/>
                <w:lang w:val="es-ES"/>
              </w:rPr>
              <w:br w:type="page"/>
            </w:r>
            <w:r w:rsidRPr="00993936">
              <w:rPr>
                <w:rFonts w:ascii="Arial" w:hAnsi="Arial" w:cs="Arial"/>
                <w:b/>
                <w:lang w:val="es-ES"/>
              </w:rPr>
              <w:t>Enfermedades vasculares</w:t>
            </w:r>
          </w:p>
          <w:p w:rsidR="00503A41" w:rsidRPr="00993936" w:rsidRDefault="00503A41" w:rsidP="001D205D">
            <w:pPr>
              <w:pStyle w:val="Sinespaciado"/>
              <w:rPr>
                <w:rFonts w:ascii="Arial" w:hAnsi="Arial" w:cs="Arial"/>
                <w:lang w:val="es-ES"/>
              </w:rPr>
            </w:pPr>
            <w:r w:rsidRPr="00993936">
              <w:rPr>
                <w:rFonts w:ascii="Arial" w:hAnsi="Arial" w:cs="Arial"/>
                <w:lang w:val="es-ES"/>
              </w:rPr>
              <w:t>Fusariosis vascular</w:t>
            </w:r>
          </w:p>
          <w:p w:rsidR="00503A41" w:rsidRPr="00993936" w:rsidRDefault="00503A41" w:rsidP="001D205D">
            <w:pPr>
              <w:pStyle w:val="Sinespaciado"/>
              <w:rPr>
                <w:rFonts w:ascii="Arial" w:hAnsi="Arial" w:cs="Arial"/>
                <w:lang w:val="es-ES"/>
              </w:rPr>
            </w:pPr>
            <w:r w:rsidRPr="00993936">
              <w:rPr>
                <w:rFonts w:ascii="Arial" w:hAnsi="Arial" w:cs="Arial"/>
                <w:i/>
                <w:lang w:val="es-ES"/>
              </w:rPr>
              <w:t>Fusarium oxysporum</w:t>
            </w:r>
          </w:p>
        </w:tc>
        <w:tc>
          <w:tcPr>
            <w:tcW w:w="5440" w:type="dxa"/>
          </w:tcPr>
          <w:p w:rsidR="00503A41" w:rsidRPr="00993936" w:rsidRDefault="00503A41" w:rsidP="001D205D">
            <w:pPr>
              <w:pStyle w:val="Sinespaciado"/>
              <w:rPr>
                <w:rFonts w:ascii="Arial" w:hAnsi="Arial" w:cs="Arial"/>
                <w:i/>
                <w:sz w:val="16"/>
                <w:szCs w:val="16"/>
                <w:lang w:val="es-ES"/>
              </w:rPr>
            </w:pPr>
          </w:p>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r w:rsidRPr="00993936">
              <w:rPr>
                <w:rFonts w:ascii="Arial" w:hAnsi="Arial" w:cs="Arial"/>
                <w:lang w:val="es-ES"/>
              </w:rPr>
              <w:t>Metil-tiofanato</w:t>
            </w:r>
          </w:p>
        </w:tc>
      </w:tr>
      <w:tr w:rsidR="00503A41" w:rsidRPr="00993936" w:rsidTr="000452B8">
        <w:trPr>
          <w:cantSplit/>
          <w:trHeight w:val="329"/>
          <w:jc w:val="center"/>
        </w:trPr>
        <w:tc>
          <w:tcPr>
            <w:tcW w:w="3544" w:type="dxa"/>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Verticillium</w:t>
            </w:r>
          </w:p>
          <w:p w:rsidR="00503A41" w:rsidRPr="00993936" w:rsidRDefault="00503A41" w:rsidP="001D205D">
            <w:pPr>
              <w:pStyle w:val="Sinespaciado"/>
              <w:rPr>
                <w:rFonts w:ascii="Arial" w:hAnsi="Arial" w:cs="Arial"/>
                <w:lang w:val="es-ES"/>
              </w:rPr>
            </w:pPr>
            <w:r w:rsidRPr="00993936">
              <w:rPr>
                <w:rFonts w:ascii="Arial" w:hAnsi="Arial" w:cs="Arial"/>
                <w:i/>
                <w:lang w:val="es-ES"/>
              </w:rPr>
              <w:t>Verticillium dahliae</w:t>
            </w:r>
          </w:p>
        </w:tc>
        <w:tc>
          <w:tcPr>
            <w:tcW w:w="5440" w:type="dxa"/>
            <w:vAlign w:val="center"/>
          </w:tcPr>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lang w:val="es-ES"/>
              </w:rPr>
            </w:pPr>
            <w:r w:rsidRPr="00993936">
              <w:rPr>
                <w:rFonts w:ascii="Arial" w:hAnsi="Arial" w:cs="Arial"/>
                <w:lang w:val="es-ES"/>
              </w:rPr>
              <w:t>Metil-tiofanato</w:t>
            </w:r>
          </w:p>
        </w:tc>
      </w:tr>
      <w:tr w:rsidR="00503A41" w:rsidRPr="00993936" w:rsidTr="000452B8">
        <w:trPr>
          <w:cantSplit/>
          <w:trHeight w:val="491"/>
          <w:jc w:val="center"/>
        </w:trPr>
        <w:tc>
          <w:tcPr>
            <w:tcW w:w="3544" w:type="dxa"/>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Otras enfermedades del suelo</w:t>
            </w:r>
          </w:p>
          <w:p w:rsidR="00503A41" w:rsidRPr="00993936" w:rsidRDefault="00503A41" w:rsidP="001D205D">
            <w:pPr>
              <w:pStyle w:val="Sinespaciado"/>
              <w:rPr>
                <w:rFonts w:ascii="Arial" w:hAnsi="Arial" w:cs="Arial"/>
                <w:lang w:val="es-ES"/>
              </w:rPr>
            </w:pPr>
            <w:r w:rsidRPr="00993936">
              <w:rPr>
                <w:rFonts w:ascii="Arial" w:hAnsi="Arial" w:cs="Arial"/>
                <w:i/>
                <w:lang w:val="es-ES"/>
              </w:rPr>
              <w:t>Phitium sp., Phytophthora sp</w:t>
            </w:r>
            <w:r w:rsidRPr="00993936">
              <w:rPr>
                <w:rFonts w:ascii="Arial" w:hAnsi="Arial" w:cs="Arial"/>
                <w:lang w:val="es-ES"/>
              </w:rPr>
              <w:t>., etc.</w:t>
            </w:r>
          </w:p>
        </w:tc>
        <w:tc>
          <w:tcPr>
            <w:tcW w:w="5440" w:type="dxa"/>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Coniothyrim minitnas (Esclerotinia)</w:t>
            </w:r>
          </w:p>
          <w:p w:rsidR="00503A41" w:rsidRPr="00993936" w:rsidRDefault="00503A41" w:rsidP="001D205D">
            <w:pPr>
              <w:pStyle w:val="Sinespaciado"/>
              <w:rPr>
                <w:rFonts w:ascii="Arial" w:hAnsi="Arial" w:cs="Arial"/>
                <w:lang w:val="es-ES"/>
              </w:rPr>
            </w:pPr>
            <w:r w:rsidRPr="00993936">
              <w:rPr>
                <w:rFonts w:ascii="Arial" w:hAnsi="Arial" w:cs="Arial"/>
                <w:lang w:val="es-ES"/>
              </w:rPr>
              <w:t>Propamocarb</w:t>
            </w:r>
          </w:p>
          <w:p w:rsidR="00503A41" w:rsidRPr="00993936" w:rsidRDefault="00503A41" w:rsidP="001D205D">
            <w:pPr>
              <w:pStyle w:val="Sinespaciado"/>
              <w:rPr>
                <w:rFonts w:ascii="Arial" w:hAnsi="Arial" w:cs="Arial"/>
                <w:i/>
                <w:lang w:val="es-ES"/>
              </w:rPr>
            </w:pPr>
            <w:r w:rsidRPr="00993936">
              <w:rPr>
                <w:rFonts w:ascii="Arial" w:hAnsi="Arial" w:cs="Arial"/>
                <w:i/>
                <w:lang w:val="es-ES"/>
              </w:rPr>
              <w:t>Trichoderma sp.</w:t>
            </w:r>
          </w:p>
        </w:tc>
      </w:tr>
      <w:tr w:rsidR="00503A41" w:rsidRPr="00993936" w:rsidTr="000452B8">
        <w:trPr>
          <w:cantSplit/>
          <w:trHeight w:val="491"/>
          <w:jc w:val="center"/>
        </w:trPr>
        <w:tc>
          <w:tcPr>
            <w:tcW w:w="3544" w:type="dxa"/>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Oídio</w:t>
            </w:r>
          </w:p>
        </w:tc>
        <w:tc>
          <w:tcPr>
            <w:tcW w:w="5440"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p w:rsidR="00503A41" w:rsidRPr="00993936" w:rsidRDefault="00503A41" w:rsidP="001D205D">
            <w:pPr>
              <w:pStyle w:val="Sinespaciado"/>
              <w:rPr>
                <w:rFonts w:ascii="Arial" w:hAnsi="Arial" w:cs="Arial"/>
                <w:lang w:val="es-ES"/>
              </w:rPr>
            </w:pPr>
            <w:r w:rsidRPr="00993936">
              <w:rPr>
                <w:rFonts w:ascii="Arial" w:hAnsi="Arial" w:cs="Arial"/>
                <w:lang w:val="es-ES"/>
              </w:rPr>
              <w:t>Boscalida + Piraclostrobín</w:t>
            </w:r>
          </w:p>
          <w:p w:rsidR="00503A41" w:rsidRPr="00993936" w:rsidRDefault="00503A41" w:rsidP="001D205D">
            <w:pPr>
              <w:pStyle w:val="Sinespaciado"/>
              <w:rPr>
                <w:rFonts w:ascii="Arial" w:hAnsi="Arial" w:cs="Arial"/>
                <w:lang w:val="es-ES"/>
              </w:rPr>
            </w:pPr>
            <w:r w:rsidRPr="00993936">
              <w:rPr>
                <w:rFonts w:ascii="Arial" w:hAnsi="Arial" w:cs="Arial"/>
                <w:lang w:val="es-ES"/>
              </w:rPr>
              <w:t>Carbonato de hidrógeno de potasio</w:t>
            </w:r>
          </w:p>
          <w:p w:rsidR="00503A41" w:rsidRPr="00993936" w:rsidRDefault="00503A41" w:rsidP="001D205D">
            <w:pPr>
              <w:pStyle w:val="Sinespaciado"/>
              <w:rPr>
                <w:rFonts w:ascii="Arial" w:hAnsi="Arial" w:cs="Arial"/>
                <w:lang w:val="es-ES"/>
              </w:rPr>
            </w:pPr>
            <w:r w:rsidRPr="00993936">
              <w:rPr>
                <w:rFonts w:ascii="Arial" w:hAnsi="Arial" w:cs="Arial"/>
                <w:lang w:val="es-ES"/>
              </w:rPr>
              <w:t>Ciflufenamida + Difenoconazol</w:t>
            </w:r>
          </w:p>
          <w:p w:rsidR="00503A41" w:rsidRPr="00993936" w:rsidRDefault="00503A41" w:rsidP="001D205D">
            <w:pPr>
              <w:pStyle w:val="Sinespaciado"/>
              <w:rPr>
                <w:rFonts w:ascii="Arial" w:hAnsi="Arial" w:cs="Arial"/>
                <w:lang w:val="es-ES"/>
              </w:rPr>
            </w:pPr>
            <w:r w:rsidRPr="00993936">
              <w:rPr>
                <w:rFonts w:ascii="Arial" w:hAnsi="Arial" w:cs="Arial"/>
                <w:lang w:val="es-ES"/>
              </w:rPr>
              <w:t>Metrafenona</w:t>
            </w:r>
          </w:p>
        </w:tc>
      </w:tr>
      <w:tr w:rsidR="00503A41" w:rsidRPr="00993936" w:rsidTr="000452B8">
        <w:trPr>
          <w:cantSplit/>
          <w:trHeight w:val="491"/>
          <w:jc w:val="center"/>
        </w:trPr>
        <w:tc>
          <w:tcPr>
            <w:tcW w:w="3544" w:type="dxa"/>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Otras plagas y enfermedades</w:t>
            </w:r>
          </w:p>
        </w:tc>
        <w:tc>
          <w:tcPr>
            <w:tcW w:w="5440"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Las expresamente autorizadas en el cultivo, teniendo en cuenta su efecto sobre la fauna útil y su toxicología</w:t>
            </w:r>
          </w:p>
        </w:tc>
      </w:tr>
    </w:tbl>
    <w:p w:rsidR="00503A41" w:rsidRPr="00993936" w:rsidRDefault="00503A41" w:rsidP="000452B8">
      <w:pPr>
        <w:jc w:val="both"/>
        <w:rPr>
          <w:rFonts w:ascii="Arial" w:hAnsi="Arial" w:cs="Arial"/>
          <w:b/>
          <w:lang w:val="es-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tulo2"/>
        <w:jc w:val="center"/>
        <w:rPr>
          <w:rFonts w:ascii="Arial" w:hAnsi="Arial" w:cs="Arial"/>
          <w:b/>
          <w:color w:val="auto"/>
          <w:sz w:val="28"/>
          <w:szCs w:val="28"/>
          <w:u w:val="single"/>
          <w:lang w:val="es-ES"/>
        </w:rPr>
      </w:pPr>
      <w:r w:rsidRPr="00993936">
        <w:rPr>
          <w:rFonts w:ascii="Arial" w:hAnsi="Arial" w:cs="Arial"/>
          <w:color w:val="auto"/>
          <w:sz w:val="28"/>
          <w:szCs w:val="28"/>
          <w:u w:val="single"/>
          <w:lang w:val="es-ES"/>
        </w:rPr>
        <w:br w:type="page"/>
      </w:r>
      <w:r w:rsidRPr="00993936">
        <w:rPr>
          <w:rFonts w:ascii="Arial" w:hAnsi="Arial" w:cs="Arial"/>
          <w:b/>
          <w:color w:val="auto"/>
          <w:sz w:val="28"/>
          <w:szCs w:val="28"/>
          <w:u w:val="single"/>
          <w:lang w:val="es-ES"/>
        </w:rPr>
        <w:lastRenderedPageBreak/>
        <w:t>CULTIVO: DE APIO, HINOJO, PEREJIL Y ZANAHORIA</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t>ANEXO 4</w:t>
      </w:r>
    </w:p>
    <w:p w:rsidR="00503A41" w:rsidRPr="00993936" w:rsidRDefault="00503A41" w:rsidP="000452B8">
      <w:pPr>
        <w:pStyle w:val="Textoindependiente3"/>
        <w:rPr>
          <w:rFonts w:cs="Arial"/>
          <w:b w:val="0"/>
          <w:szCs w:val="22"/>
          <w:lang w:val="es-ES"/>
        </w:rPr>
      </w:pPr>
      <w:r w:rsidRPr="00993936">
        <w:rPr>
          <w:rFonts w:cs="Arial"/>
          <w:b w:val="0"/>
          <w:szCs w:val="22"/>
          <w:lang w:val="es-ES"/>
        </w:rPr>
        <w:t>Materias activas de herbicidas para la producción integrada de apio, perejil y zanahoria.</w:t>
      </w:r>
    </w:p>
    <w:p w:rsidR="00503A41" w:rsidRPr="00993936" w:rsidRDefault="00503A41" w:rsidP="000452B8">
      <w:pPr>
        <w:jc w:val="both"/>
        <w:rPr>
          <w:rFonts w:ascii="Arial" w:hAnsi="Arial" w:cs="Arial"/>
          <w:snapToGrid w:val="0"/>
          <w:lang w:val="es-ES"/>
        </w:rPr>
      </w:pPr>
    </w:p>
    <w:p w:rsidR="00503A41" w:rsidRPr="00993936" w:rsidRDefault="00503A41" w:rsidP="000452B8">
      <w:pPr>
        <w:pStyle w:val="Textoindependiente3"/>
        <w:rPr>
          <w:rFonts w:cs="Arial"/>
          <w:b w:val="0"/>
          <w:lang w:val="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9"/>
        <w:gridCol w:w="471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shd w:val="pct12" w:color="auto" w:fill="FFFFFF"/>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pct20" w:color="auto" w:fill="FFFFFF"/>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6665"/>
          <w:jc w:val="center"/>
        </w:trPr>
        <w:tc>
          <w:tcPr>
            <w:tcW w:w="2418" w:type="pct"/>
            <w:vAlign w:val="center"/>
          </w:tcPr>
          <w:p w:rsidR="00503A41" w:rsidRPr="00993936" w:rsidRDefault="00503A41" w:rsidP="000452B8">
            <w:pPr>
              <w:rPr>
                <w:rFonts w:ascii="Arial" w:hAnsi="Arial" w:cs="Arial"/>
                <w:snapToGrid w:val="0"/>
                <w:lang w:val="es-ES"/>
              </w:rPr>
            </w:pP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 + Glifosato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Aclonifén (a)</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Benfluralina (b)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Clomazona (c)</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Diquat</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Fluazifop-p-butil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eastAsia="es-ES"/>
              </w:rPr>
              <w:t>Glufosinato</w:t>
            </w:r>
            <w:r w:rsidRPr="00993936">
              <w:rPr>
                <w:rFonts w:ascii="Arial" w:hAnsi="Arial" w:cs="Arial"/>
                <w:b/>
                <w:lang w:val="es-ES"/>
              </w:rPr>
              <w:t xml:space="preserve"> </w:t>
            </w:r>
            <w:r w:rsidRPr="00993936">
              <w:rPr>
                <w:rFonts w:ascii="Arial" w:hAnsi="Arial" w:cs="Arial"/>
                <w:lang w:val="es-ES"/>
              </w:rPr>
              <w:t>(2)</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Linurón (a) (c) (2)</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Metribucina (c)</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Pendimetalina (c)</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Pendimetalina + Clomazona</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Piridat</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Propaquizafop (b) (c)</w:t>
            </w:r>
          </w:p>
          <w:p w:rsidR="00503A41" w:rsidRPr="00993936" w:rsidRDefault="00503A41" w:rsidP="000452B8">
            <w:pPr>
              <w:rPr>
                <w:rFonts w:ascii="Arial" w:hAnsi="Arial" w:cs="Arial"/>
                <w:snapToGrid w:val="0"/>
                <w:lang w:val="es-ES" w:eastAsia="es-ES"/>
              </w:rPr>
            </w:pPr>
          </w:p>
          <w:p w:rsidR="00503A41" w:rsidRPr="00993936" w:rsidRDefault="00503A41" w:rsidP="000452B8">
            <w:pPr>
              <w:rPr>
                <w:rFonts w:ascii="Arial" w:hAnsi="Arial" w:cs="Arial"/>
                <w:snapToGrid w:val="0"/>
                <w:lang w:val="es-ES" w:eastAsia="es-ES"/>
              </w:rPr>
            </w:pPr>
          </w:p>
          <w:p w:rsidR="00503A41" w:rsidRPr="00993936" w:rsidRDefault="00503A41" w:rsidP="000452B8">
            <w:pPr>
              <w:rPr>
                <w:rFonts w:ascii="Arial" w:hAnsi="Arial" w:cs="Arial"/>
                <w:snapToGrid w:val="0"/>
                <w:lang w:val="es-ES" w:eastAsia="es-ES"/>
              </w:rPr>
            </w:pPr>
          </w:p>
          <w:p w:rsidR="00503A41" w:rsidRPr="00993936" w:rsidRDefault="00503A41" w:rsidP="000452B8">
            <w:pPr>
              <w:rPr>
                <w:rFonts w:ascii="Arial" w:hAnsi="Arial" w:cs="Arial"/>
                <w:snapToGrid w:val="0"/>
                <w:lang w:val="es-ES" w:eastAsia="es-ES"/>
              </w:rPr>
            </w:pPr>
          </w:p>
          <w:p w:rsidR="00503A41" w:rsidRPr="00993936" w:rsidRDefault="00503A41" w:rsidP="000452B8">
            <w:pPr>
              <w:rPr>
                <w:rFonts w:ascii="Arial" w:hAnsi="Arial" w:cs="Arial"/>
                <w:b/>
                <w:snapToGrid w:val="0"/>
                <w:lang w:val="es-ES"/>
              </w:rPr>
            </w:pPr>
          </w:p>
        </w:tc>
        <w:tc>
          <w:tcPr>
            <w:tcW w:w="2582" w:type="pct"/>
          </w:tcPr>
          <w:p w:rsidR="00503A41" w:rsidRPr="00993936" w:rsidRDefault="00503A41" w:rsidP="000452B8">
            <w:pPr>
              <w:rPr>
                <w:rFonts w:ascii="Arial" w:hAnsi="Arial" w:cs="Arial"/>
                <w:snapToGrid w:val="0"/>
                <w:sz w:val="20"/>
                <w:lang w:val="es-ES"/>
              </w:rPr>
            </w:pPr>
          </w:p>
          <w:p w:rsidR="00503A41" w:rsidRPr="00993936" w:rsidRDefault="00503A41" w:rsidP="000452B8">
            <w:pPr>
              <w:rPr>
                <w:rFonts w:ascii="Arial" w:hAnsi="Arial" w:cs="Arial"/>
                <w:snapToGrid w:val="0"/>
                <w:sz w:val="20"/>
                <w:lang w:val="es-ES"/>
              </w:rPr>
            </w:pPr>
          </w:p>
          <w:p w:rsidR="00503A41" w:rsidRPr="00993936" w:rsidRDefault="00503A41" w:rsidP="000452B8">
            <w:pPr>
              <w:rPr>
                <w:rFonts w:ascii="Arial" w:hAnsi="Arial" w:cs="Arial"/>
                <w:snapToGrid w:val="0"/>
                <w:sz w:val="20"/>
                <w:lang w:val="es-ES"/>
              </w:rPr>
            </w:pPr>
          </w:p>
          <w:p w:rsidR="00503A41" w:rsidRPr="00993936" w:rsidRDefault="00503A41" w:rsidP="000452B8">
            <w:pPr>
              <w:rPr>
                <w:rFonts w:ascii="Arial" w:hAnsi="Arial" w:cs="Arial"/>
                <w:snapToGrid w:val="0"/>
                <w:sz w:val="20"/>
                <w:lang w:val="es-ES"/>
              </w:rPr>
            </w:pPr>
          </w:p>
          <w:p w:rsidR="00503A41" w:rsidRPr="00993936" w:rsidRDefault="00503A41" w:rsidP="000452B8">
            <w:pPr>
              <w:rPr>
                <w:rFonts w:ascii="Arial" w:hAnsi="Arial" w:cs="Arial"/>
                <w:snapToGrid w:val="0"/>
                <w:sz w:val="20"/>
                <w:lang w:val="es-ES"/>
              </w:rPr>
            </w:pPr>
          </w:p>
          <w:p w:rsidR="00503A41" w:rsidRPr="00993936" w:rsidRDefault="00503A41" w:rsidP="000452B8">
            <w:pPr>
              <w:rPr>
                <w:rFonts w:ascii="Arial" w:hAnsi="Arial" w:cs="Arial"/>
                <w:snapToGrid w:val="0"/>
                <w:sz w:val="20"/>
                <w:lang w:val="es-ES"/>
              </w:rPr>
            </w:pPr>
          </w:p>
          <w:p w:rsidR="00503A41" w:rsidRPr="00993936" w:rsidRDefault="00503A41" w:rsidP="000452B8">
            <w:pPr>
              <w:rPr>
                <w:rFonts w:ascii="Arial" w:hAnsi="Arial" w:cs="Arial"/>
                <w:snapToGrid w:val="0"/>
                <w:sz w:val="20"/>
                <w:lang w:val="es-ES"/>
              </w:rPr>
            </w:pPr>
          </w:p>
          <w:p w:rsidR="00503A41" w:rsidRPr="00993936" w:rsidRDefault="00503A41" w:rsidP="000452B8">
            <w:pPr>
              <w:widowControl w:val="0"/>
              <w:rPr>
                <w:rFonts w:ascii="Arial" w:hAnsi="Arial" w:cs="Arial"/>
                <w:snapToGrid w:val="0"/>
                <w:sz w:val="18"/>
                <w:lang w:val="es-ES"/>
              </w:rPr>
            </w:pPr>
          </w:p>
          <w:p w:rsidR="00503A41" w:rsidRPr="00993936" w:rsidRDefault="00503A41" w:rsidP="009D1A2D">
            <w:pPr>
              <w:widowControl w:val="0"/>
              <w:numPr>
                <w:ilvl w:val="0"/>
                <w:numId w:val="90"/>
              </w:numPr>
              <w:spacing w:after="0" w:line="240" w:lineRule="auto"/>
              <w:jc w:val="both"/>
              <w:outlineLvl w:val="0"/>
              <w:rPr>
                <w:rFonts w:ascii="Arial" w:hAnsi="Arial" w:cs="Arial"/>
                <w:snapToGrid w:val="0"/>
                <w:sz w:val="18"/>
                <w:lang w:val="es-ES"/>
              </w:rPr>
            </w:pPr>
            <w:r w:rsidRPr="00993936">
              <w:rPr>
                <w:rFonts w:ascii="Arial" w:hAnsi="Arial" w:cs="Arial"/>
                <w:snapToGrid w:val="0"/>
                <w:sz w:val="18"/>
                <w:lang w:val="es-ES"/>
              </w:rPr>
              <w:t>Apio</w:t>
            </w:r>
          </w:p>
          <w:p w:rsidR="00503A41" w:rsidRPr="00993936" w:rsidRDefault="00503A41" w:rsidP="009D1A2D">
            <w:pPr>
              <w:widowControl w:val="0"/>
              <w:numPr>
                <w:ilvl w:val="0"/>
                <w:numId w:val="90"/>
              </w:numPr>
              <w:spacing w:after="0" w:line="240" w:lineRule="auto"/>
              <w:jc w:val="both"/>
              <w:outlineLvl w:val="0"/>
              <w:rPr>
                <w:rFonts w:ascii="Arial" w:hAnsi="Arial" w:cs="Arial"/>
                <w:snapToGrid w:val="0"/>
                <w:sz w:val="18"/>
                <w:lang w:val="es-ES"/>
              </w:rPr>
            </w:pPr>
            <w:r w:rsidRPr="00993936">
              <w:rPr>
                <w:rFonts w:ascii="Arial" w:hAnsi="Arial" w:cs="Arial"/>
                <w:snapToGrid w:val="0"/>
                <w:sz w:val="18"/>
                <w:lang w:val="es-ES"/>
              </w:rPr>
              <w:t>Perejil</w:t>
            </w:r>
          </w:p>
          <w:p w:rsidR="00503A41" w:rsidRPr="00993936" w:rsidRDefault="00503A41" w:rsidP="009D1A2D">
            <w:pPr>
              <w:widowControl w:val="0"/>
              <w:numPr>
                <w:ilvl w:val="0"/>
                <w:numId w:val="90"/>
              </w:numPr>
              <w:spacing w:after="0" w:line="240" w:lineRule="auto"/>
              <w:jc w:val="both"/>
              <w:outlineLvl w:val="0"/>
              <w:rPr>
                <w:rFonts w:ascii="Arial" w:hAnsi="Arial" w:cs="Arial"/>
                <w:snapToGrid w:val="0"/>
                <w:sz w:val="18"/>
                <w:lang w:val="es-ES"/>
              </w:rPr>
            </w:pPr>
            <w:r w:rsidRPr="00993936">
              <w:rPr>
                <w:rFonts w:ascii="Arial" w:hAnsi="Arial" w:cs="Arial"/>
                <w:snapToGrid w:val="0"/>
                <w:sz w:val="18"/>
                <w:lang w:val="es-ES"/>
              </w:rPr>
              <w:t>Zanahoria</w:t>
            </w:r>
          </w:p>
          <w:p w:rsidR="00503A41" w:rsidRPr="00993936" w:rsidRDefault="00503A41" w:rsidP="000452B8">
            <w:pPr>
              <w:widowControl w:val="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lang w:val="es-ES"/>
              </w:rPr>
            </w:pPr>
            <w:r w:rsidRPr="00993936">
              <w:rPr>
                <w:rFonts w:ascii="Arial" w:hAnsi="Arial" w:cs="Arial"/>
                <w:snapToGrid w:val="0"/>
                <w:sz w:val="18"/>
                <w:lang w:val="es-ES"/>
              </w:rPr>
              <w:t>Las restricciones numéricas se detallan al final de este documento.</w:t>
            </w:r>
          </w:p>
        </w:tc>
      </w:tr>
    </w:tbl>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snapToGrid w:val="0"/>
          <w:lang w:val="es-ES"/>
        </w:rPr>
      </w:pPr>
    </w:p>
    <w:p w:rsidR="00503A41" w:rsidRPr="00993936" w:rsidRDefault="00503A41" w:rsidP="000452B8">
      <w:pPr>
        <w:jc w:val="both"/>
        <w:rPr>
          <w:rFonts w:ascii="Arial" w:hAnsi="Arial" w:cs="Arial"/>
          <w:snapToGrid w:val="0"/>
          <w:lang w:val="es-ES"/>
        </w:rPr>
      </w:pPr>
    </w:p>
    <w:p w:rsidR="00503A41" w:rsidRPr="00993936" w:rsidRDefault="00503A41" w:rsidP="000452B8">
      <w:pPr>
        <w:jc w:val="both"/>
        <w:rPr>
          <w:rFonts w:ascii="Arial" w:hAnsi="Arial" w:cs="Arial"/>
          <w:snapToGrid w:val="0"/>
          <w:lang w:val="es-ES"/>
        </w:rPr>
      </w:pPr>
    </w:p>
    <w:p w:rsidR="00503A41" w:rsidRPr="00993936" w:rsidRDefault="00503A41" w:rsidP="000452B8">
      <w:pPr>
        <w:jc w:val="both"/>
        <w:rPr>
          <w:rFonts w:ascii="Arial" w:hAnsi="Arial" w:cs="Arial"/>
          <w:snapToGrid w:val="0"/>
          <w:lang w:val="es-ES"/>
        </w:rPr>
      </w:pPr>
    </w:p>
    <w:p w:rsidR="00503A41" w:rsidRPr="00993936" w:rsidRDefault="00503A41">
      <w:pPr>
        <w:rPr>
          <w:rFonts w:ascii="Arial" w:hAnsi="Arial" w:cs="Arial"/>
          <w:b/>
          <w:snapToGrid w:val="0"/>
          <w:lang w:val="es-ES" w:eastAsia="es-ES"/>
        </w:rPr>
      </w:pPr>
      <w:r w:rsidRPr="00993936">
        <w:rPr>
          <w:rFonts w:ascii="Arial" w:hAnsi="Arial" w:cs="Arial"/>
          <w:b/>
          <w:snapToGrid w:val="0"/>
          <w:lang w:val="es-ES" w:eastAsia="es-ES"/>
        </w:rPr>
        <w:br w:type="page"/>
      </w: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lastRenderedPageBreak/>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pStyle w:val="judit"/>
        <w:numPr>
          <w:ilvl w:val="0"/>
          <w:numId w:val="79"/>
        </w:numPr>
        <w:spacing w:before="120" w:line="240" w:lineRule="auto"/>
        <w:rPr>
          <w:rFonts w:cs="Arial"/>
          <w:i/>
          <w:sz w:val="22"/>
          <w:szCs w:val="22"/>
          <w:lang w:val="es-ES"/>
        </w:rPr>
      </w:pPr>
      <w:r w:rsidRPr="00993936">
        <w:rPr>
          <w:rFonts w:cs="Arial"/>
          <w:i/>
          <w:sz w:val="22"/>
          <w:szCs w:val="22"/>
          <w:lang w:val="es-ES"/>
        </w:rPr>
        <w:t>Diglyphus isaea</w:t>
      </w:r>
    </w:p>
    <w:p w:rsidR="00503A41" w:rsidRPr="00993936" w:rsidRDefault="00503A41" w:rsidP="009D1A2D">
      <w:pPr>
        <w:pStyle w:val="judit"/>
        <w:numPr>
          <w:ilvl w:val="0"/>
          <w:numId w:val="79"/>
        </w:numPr>
        <w:spacing w:before="120" w:line="240" w:lineRule="auto"/>
        <w:rPr>
          <w:rFonts w:cs="Arial"/>
          <w:i/>
          <w:sz w:val="22"/>
          <w:szCs w:val="22"/>
          <w:lang w:val="es-ES"/>
        </w:rPr>
      </w:pPr>
      <w:r w:rsidRPr="00993936">
        <w:rPr>
          <w:rFonts w:eastAsia="AdvTimes-i" w:cs="Arial"/>
          <w:i/>
          <w:sz w:val="22"/>
          <w:szCs w:val="22"/>
          <w:lang w:val="es-ES"/>
        </w:rPr>
        <w:t xml:space="preserve">Neoseiulus californicus </w:t>
      </w:r>
      <w:r w:rsidRPr="00993936">
        <w:rPr>
          <w:rFonts w:eastAsia="AdvTimes" w:cs="Arial"/>
          <w:i/>
          <w:sz w:val="22"/>
          <w:szCs w:val="22"/>
          <w:lang w:val="es-ES"/>
        </w:rPr>
        <w:t>(=</w:t>
      </w:r>
      <w:r w:rsidRPr="00993936">
        <w:rPr>
          <w:rFonts w:eastAsia="AdvTimes-i" w:cs="Arial"/>
          <w:i/>
          <w:sz w:val="22"/>
          <w:szCs w:val="22"/>
          <w:lang w:val="es-ES"/>
        </w:rPr>
        <w:t xml:space="preserve">Amblyseius </w:t>
      </w:r>
      <w:r w:rsidRPr="00993936">
        <w:rPr>
          <w:rFonts w:cs="Arial"/>
          <w:i/>
          <w:sz w:val="22"/>
          <w:szCs w:val="22"/>
          <w:lang w:val="es-ES"/>
        </w:rPr>
        <w:t>californicus)</w:t>
      </w:r>
    </w:p>
    <w:p w:rsidR="00503A41" w:rsidRPr="00993936" w:rsidRDefault="00503A41" w:rsidP="000452B8">
      <w:pPr>
        <w:rPr>
          <w:rFonts w:ascii="Arial" w:hAnsi="Arial" w:cs="Arial"/>
          <w:b/>
          <w:sz w:val="28"/>
          <w:szCs w:val="28"/>
          <w:u w:val="single"/>
          <w:lang w:val="es-ES"/>
        </w:rPr>
      </w:pPr>
    </w:p>
    <w:p w:rsidR="00503A41" w:rsidRPr="00993936" w:rsidRDefault="00503A41" w:rsidP="000452B8">
      <w:pPr>
        <w:pStyle w:val="Ttulo1"/>
        <w:rPr>
          <w:rFonts w:ascii="Arial" w:hAnsi="Arial" w:cs="Arial"/>
          <w:b/>
          <w:caps/>
          <w:color w:val="auto"/>
          <w:sz w:val="22"/>
        </w:rPr>
      </w:pPr>
    </w:p>
    <w:p w:rsidR="00503A41" w:rsidRPr="00993936" w:rsidRDefault="00503A41" w:rsidP="000452B8">
      <w:pPr>
        <w:pStyle w:val="Ttulo1"/>
        <w:rPr>
          <w:rFonts w:ascii="Arial" w:hAnsi="Arial" w:cs="Arial"/>
          <w:b/>
          <w:caps/>
          <w:color w:val="auto"/>
          <w:sz w:val="22"/>
        </w:rPr>
      </w:pPr>
    </w:p>
    <w:p w:rsidR="00503A41" w:rsidRPr="00993936" w:rsidRDefault="00503A41" w:rsidP="000452B8">
      <w:pPr>
        <w:pStyle w:val="Ttulo1"/>
        <w:rPr>
          <w:rFonts w:ascii="Arial" w:hAnsi="Arial" w:cs="Arial"/>
          <w:b/>
          <w:color w:val="auto"/>
          <w:sz w:val="22"/>
          <w:szCs w:val="22"/>
        </w:rPr>
      </w:pPr>
      <w:r w:rsidRPr="00993936">
        <w:rPr>
          <w:rFonts w:ascii="Arial" w:hAnsi="Arial" w:cs="Arial"/>
          <w:b/>
          <w:caps/>
          <w:color w:val="auto"/>
          <w:sz w:val="22"/>
          <w:szCs w:val="22"/>
        </w:rPr>
        <w:t>ANEXO 6</w:t>
      </w:r>
    </w:p>
    <w:p w:rsidR="00503A41" w:rsidRPr="00993936" w:rsidRDefault="00503A41" w:rsidP="000452B8">
      <w:pPr>
        <w:pStyle w:val="Textoindependiente"/>
        <w:spacing w:before="120"/>
        <w:rPr>
          <w:rFonts w:cs="Arial"/>
          <w:b/>
          <w:szCs w:val="22"/>
          <w:lang w:val="es-ES"/>
        </w:rPr>
      </w:pPr>
      <w:r w:rsidRPr="00993936">
        <w:rPr>
          <w:rFonts w:cs="Arial"/>
          <w:b/>
          <w:szCs w:val="22"/>
          <w:lang w:val="es-ES"/>
        </w:rPr>
        <w:t>Programas de control fitosanitario</w:t>
      </w:r>
    </w:p>
    <w:p w:rsidR="00503A41" w:rsidRPr="00993936" w:rsidRDefault="00503A41" w:rsidP="000452B8">
      <w:pPr>
        <w:pStyle w:val="Textoindependiente"/>
        <w:spacing w:before="120"/>
        <w:rPr>
          <w:rFonts w:cs="Arial"/>
          <w:szCs w:val="22"/>
          <w:lang w:val="es-ES"/>
        </w:rPr>
      </w:pPr>
      <w:r w:rsidRPr="00993936">
        <w:rPr>
          <w:rFonts w:cs="Arial"/>
          <w:szCs w:val="22"/>
          <w:lang w:val="es-ES"/>
        </w:rPr>
        <w:t>Para poder aplicar estos programas con éxito es imprescindible aplicar unas buenas medidas culturales con el objetivo de iniciar el cultivo con plantas con ausencia de plagas y enfermedades, disminuir la entrada en el cultivo y la posterior proliferación.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Hay un programa específico para el cultivo, que se recoge en el Cuadro nº. 1 de este Anexo.</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Como método de control de las diferentes plagas se dará prioridad al control biológico. Únicamente cuando se supere el umbral de intervención estará justificado el tratamiento con alguno de los productos autorizados para aquella plaga o enfermedad. </w:t>
      </w:r>
    </w:p>
    <w:p w:rsidR="00503A41" w:rsidRPr="00993936" w:rsidRDefault="00503A41" w:rsidP="000452B8">
      <w:pPr>
        <w:pStyle w:val="Textoindependiente"/>
        <w:spacing w:before="120"/>
        <w:rPr>
          <w:rFonts w:cs="Arial"/>
          <w:szCs w:val="22"/>
          <w:lang w:val="es-ES"/>
        </w:rPr>
      </w:pPr>
      <w:r w:rsidRPr="00993936">
        <w:rPr>
          <w:rFonts w:cs="Arial"/>
          <w:szCs w:val="22"/>
          <w:lang w:val="es-ES"/>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szCs w:val="22"/>
          <w:lang w:val="es-ES"/>
        </w:rPr>
      </w:pPr>
      <w:r w:rsidRPr="00993936">
        <w:rPr>
          <w:rFonts w:cs="Arial"/>
          <w:szCs w:val="22"/>
          <w:lang w:val="es-ES"/>
        </w:rPr>
        <w:t>Además de los muestreos específicos propuestos en los Cuadros de Control Fitosanitario, se hará una observación general del cultivo que permita estimar el estado general, así como la presencia de plagas y/o enfermedades. Los recuentos y las observaciones, y también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La Hoja 1 se complimentará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 empleo</w:t>
      </w:r>
      <w:r w:rsidRPr="00993936">
        <w:rPr>
          <w:rFonts w:cs="Arial"/>
          <w:vanish/>
          <w:szCs w:val="22"/>
          <w:lang w:val="es-ES"/>
        </w:rPr>
        <w:t>&lt;A[empleo|ocupación]&gt;</w:t>
      </w:r>
      <w:r w:rsidRPr="00993936">
        <w:rPr>
          <w:rFonts w:cs="Arial"/>
          <w:szCs w:val="22"/>
          <w:lang w:val="es-ES"/>
        </w:rPr>
        <w:t>) o la infestación media cuando</w:t>
      </w:r>
      <w:r w:rsidRPr="00993936">
        <w:rPr>
          <w:rFonts w:cs="Arial"/>
          <w:vanish/>
          <w:szCs w:val="22"/>
          <w:lang w:val="es-ES"/>
        </w:rPr>
        <w:t>&lt;A[cuando|cuándo]&gt;</w:t>
      </w:r>
      <w:r w:rsidRPr="00993936">
        <w:rPr>
          <w:rFonts w:cs="Arial"/>
          <w:szCs w:val="22"/>
          <w:lang w:val="es-ES"/>
        </w:rPr>
        <w:t xml:space="preserve"> sea requerida. También se calculará el porcentaje de plantas que presentan fauna útil asociada a cada una de las plagas.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Los métodos de muestreo y los umbrales de intervención en los casos previstos son los que figuran en el Cuadro 1 de este anexo. </w:t>
      </w:r>
    </w:p>
    <w:p w:rsidR="00503A41" w:rsidRPr="00993936" w:rsidRDefault="00503A41" w:rsidP="000452B8">
      <w:pPr>
        <w:spacing w:before="120"/>
        <w:jc w:val="both"/>
        <w:rPr>
          <w:rFonts w:ascii="Arial" w:hAnsi="Arial" w:cs="Arial"/>
          <w:b/>
          <w:i/>
          <w:lang w:val="es-ES"/>
        </w:rPr>
      </w:pPr>
      <w:r w:rsidRPr="00993936">
        <w:rPr>
          <w:rFonts w:ascii="Arial" w:hAnsi="Arial" w:cs="Arial"/>
          <w:b/>
          <w:lang w:val="es-ES"/>
        </w:rPr>
        <w:lastRenderedPageBreak/>
        <w:t>6.1. Pulgón (PG)</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6.2. Minadores de hoja (</w:t>
      </w:r>
      <w:r w:rsidRPr="00993936">
        <w:rPr>
          <w:rFonts w:ascii="Arial" w:hAnsi="Arial" w:cs="Arial"/>
          <w:i/>
          <w:color w:val="auto"/>
          <w:lang w:val="es-ES"/>
        </w:rPr>
        <w:t>Liriomyza spp</w:t>
      </w:r>
      <w:r w:rsidRPr="00993936">
        <w:rPr>
          <w:rFonts w:ascii="Arial" w:hAnsi="Arial" w:cs="Arial"/>
          <w:color w:val="auto"/>
          <w:lang w:val="es-ES"/>
        </w:rPr>
        <w:t>.) (MIN)</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Hoja 3, se anotará la ausencia de minas (-), la existencia de hasta 2 minas por hoja (1) o de más de 2 minas por hoja (2). Cuando</w:t>
      </w:r>
      <w:r w:rsidRPr="00993936">
        <w:rPr>
          <w:rFonts w:cs="Arial"/>
          <w:vanish/>
          <w:szCs w:val="22"/>
          <w:lang w:val="es-ES"/>
        </w:rPr>
        <w:t>&lt;A[Cuando|Cuándo]&gt;</w:t>
      </w:r>
      <w:r w:rsidRPr="00993936">
        <w:rPr>
          <w:rFonts w:cs="Arial"/>
          <w:szCs w:val="22"/>
          <w:lang w:val="es-ES"/>
        </w:rPr>
        <w:t xml:space="preserve"> el nivel medio de minas por hoja sea igual o mayor de 1, se recogerá una muestra de un mínimo de 25 hojas y 50 minas jóvenes. En el laboratorio se evaluará el porcentaje de parasitismo natural causado por </w:t>
      </w:r>
      <w:r w:rsidRPr="00993936">
        <w:rPr>
          <w:rFonts w:cs="Arial"/>
          <w:i/>
          <w:szCs w:val="22"/>
          <w:lang w:val="es-ES"/>
        </w:rPr>
        <w:t xml:space="preserve">Diglyphus isaea </w:t>
      </w:r>
      <w:r w:rsidRPr="00993936">
        <w:rPr>
          <w:rFonts w:cs="Arial"/>
          <w:szCs w:val="22"/>
          <w:lang w:val="es-ES"/>
        </w:rPr>
        <w:t>(</w:t>
      </w:r>
      <w:r w:rsidRPr="00993936">
        <w:rPr>
          <w:rFonts w:cs="Arial"/>
          <w:i/>
          <w:szCs w:val="22"/>
          <w:lang w:val="es-ES"/>
        </w:rPr>
        <w:t>Di</w:t>
      </w:r>
      <w:r w:rsidRPr="00993936">
        <w:rPr>
          <w:rFonts w:cs="Arial"/>
          <w:szCs w:val="22"/>
          <w:lang w:val="es-ES"/>
        </w:rPr>
        <w:t>) (Hoja 2). Si el parasitismo natural (minas muertas y parasitadas) es &gt; 25%, se tomará uno otra muestra al cabo de 15 días para ver cómo evoluciona el conjunto minadora-</w:t>
      </w:r>
      <w:r w:rsidRPr="00993936">
        <w:rPr>
          <w:rFonts w:cs="Arial"/>
          <w:i/>
          <w:szCs w:val="22"/>
          <w:lang w:val="es-ES"/>
        </w:rPr>
        <w:t>Di</w:t>
      </w:r>
      <w:r w:rsidRPr="00993936">
        <w:rPr>
          <w:rFonts w:cs="Arial"/>
          <w:szCs w:val="22"/>
          <w:lang w:val="es-ES"/>
        </w:rPr>
        <w:t>, en caso de que el parasitismo natural sea inferior al 25% se entenderá que se ha superado el umbral de intervención y podrá realizarse un tratamiento con alguno de los productos autorizados por minadora en aquel cultivo.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6.3. 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extoindependiente"/>
        <w:spacing w:before="120"/>
        <w:outlineLvl w:val="0"/>
        <w:rPr>
          <w:rFonts w:cs="Arial"/>
          <w:b/>
          <w:szCs w:val="22"/>
          <w:lang w:val="es-ES"/>
        </w:rPr>
      </w:pPr>
      <w:r w:rsidRPr="00993936">
        <w:rPr>
          <w:rFonts w:cs="Arial"/>
          <w:b/>
          <w:szCs w:val="22"/>
          <w:lang w:val="es-ES"/>
        </w:rPr>
        <w:t xml:space="preserve">6.4. Trips (TRIPS)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los muestreos se anotará la ausencia (-) o la presencia o número de larvas (L), adultos (A) y daños (D) de trips según las directrices del Cuadro de Control Fitosanitario correspondiente del cultivo. En aquellos cultivos donde el virus del bronceado del tomate (TSWV) es un problema importante, se tendrá en cuenta la incidencia de esta enfermedad en la decisión a adoptar. </w:t>
      </w:r>
    </w:p>
    <w:p w:rsidR="00503A41" w:rsidRPr="00993936" w:rsidRDefault="00503A41" w:rsidP="000452B8">
      <w:pPr>
        <w:pStyle w:val="Textoindependiente"/>
        <w:spacing w:before="120"/>
        <w:rPr>
          <w:rFonts w:cs="Arial"/>
          <w:szCs w:val="22"/>
          <w:lang w:val="es-ES"/>
        </w:rPr>
      </w:pPr>
      <w:r w:rsidRPr="00993936">
        <w:rPr>
          <w:rFonts w:cs="Arial"/>
          <w:szCs w:val="22"/>
          <w:lang w:val="es-ES"/>
        </w:rPr>
        <w:t>Es particularmente importante seguir todas las medidas culturales que permitan evitar la extensión de la plaga y reducir la incidencia de este virus.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 xml:space="preserve">6.5. Ácaros (Araña roja, </w:t>
      </w:r>
      <w:r w:rsidRPr="00993936">
        <w:rPr>
          <w:rFonts w:ascii="Arial" w:hAnsi="Arial" w:cs="Arial"/>
          <w:i/>
          <w:color w:val="auto"/>
          <w:lang w:val="es-ES"/>
        </w:rPr>
        <w:t>Polygotarsonemus latus</w:t>
      </w:r>
      <w:r w:rsidRPr="00993936">
        <w:rPr>
          <w:rFonts w:ascii="Arial" w:hAnsi="Arial" w:cs="Arial"/>
          <w:color w:val="auto"/>
          <w:lang w:val="es-ES"/>
        </w:rPr>
        <w:t>) (ÁCAROS)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aquellos cultivos en que el Cuadro de Control Fitosanitario lo prevea se evaluará la presencia/ausencia (+/-) de Araña roja en síntomas.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w:t>
      </w:r>
      <w:r w:rsidRPr="00993936">
        <w:rPr>
          <w:rFonts w:cs="Arial"/>
          <w:i/>
          <w:szCs w:val="22"/>
          <w:lang w:val="es-ES"/>
        </w:rPr>
        <w:t>Polygotarsonemus latus</w:t>
      </w:r>
      <w:r w:rsidRPr="00993936">
        <w:rPr>
          <w:rFonts w:cs="Arial"/>
          <w:szCs w:val="22"/>
          <w:lang w:val="es-ES"/>
        </w:rPr>
        <w:t xml:space="preserve">, se anotará la presencia de síntomas (S) de la presencia de este ácaro en los brotes tiernos.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ser necesario aplicar algún tratamiento para el control de Araña roja o </w:t>
      </w:r>
      <w:r w:rsidRPr="00993936">
        <w:rPr>
          <w:rFonts w:cs="Arial"/>
          <w:i/>
          <w:szCs w:val="22"/>
          <w:lang w:val="es-ES"/>
        </w:rPr>
        <w:t>P. latus</w:t>
      </w:r>
      <w:r w:rsidRPr="00993936">
        <w:rPr>
          <w:rFonts w:cs="Arial"/>
          <w:szCs w:val="22"/>
          <w:lang w:val="es-ES"/>
        </w:rPr>
        <w:t>, se hará con un producto autorizado en el Cuadro de Control Fitosanitario del cultivo y para la plaga en concreto. Siempre que sea posible, los tratamientos se aplicarán en los focos de cultivo afectado y sus alrededores.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 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Se anotará la presencia/ausencia (+/-) de otras plagas no explícitamente previstas en la Hoja 3, especificando EN observaciones la especie objeto del seguimiento. En caso de que </w:t>
      </w:r>
      <w:r w:rsidRPr="00993936">
        <w:rPr>
          <w:rFonts w:cs="Arial"/>
          <w:szCs w:val="22"/>
          <w:lang w:val="es-ES"/>
        </w:rPr>
        <w:lastRenderedPageBreak/>
        <w:t>aparezca una nueva plaga no especificada en el Cuadro de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 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6.8. 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comunEs como oídio (OÍDIO), botritis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los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6.9. 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 xml:space="preserve">6.10. Nemátodos </w:t>
      </w:r>
    </w:p>
    <w:p w:rsidR="00503A41" w:rsidRPr="00993936" w:rsidRDefault="00503A41" w:rsidP="000452B8">
      <w:pPr>
        <w:spacing w:before="120"/>
        <w:jc w:val="both"/>
        <w:rPr>
          <w:rFonts w:ascii="Arial" w:hAnsi="Arial" w:cs="Arial"/>
          <w:lang w:val="es-ES"/>
        </w:rPr>
      </w:pPr>
      <w:r w:rsidRPr="00993936">
        <w:rPr>
          <w:rFonts w:ascii="Arial" w:hAnsi="Arial" w:cs="Arial"/>
          <w:lang w:val="es-ES"/>
        </w:rPr>
        <w:t>En caso que el cultivo a implantar sea sensible a nemátodos, se escogerán preferentemente variedades resistentes. En caso que no haya o no sean bien aceptadas por el mercado, se podrán utilizar 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w:t>
      </w:r>
    </w:p>
    <w:p w:rsidR="00503A41" w:rsidRPr="00993936" w:rsidRDefault="00503A41" w:rsidP="000452B8">
      <w:pPr>
        <w:pStyle w:val="Textoindependiente3"/>
        <w:rPr>
          <w:rFonts w:cs="Arial"/>
          <w:b w:val="0"/>
          <w:szCs w:val="22"/>
          <w:lang w:val="es-ES"/>
        </w:rPr>
      </w:pPr>
      <w:r w:rsidRPr="00993936">
        <w:rPr>
          <w:rFonts w:cs="Arial"/>
          <w:b w:val="0"/>
          <w:szCs w:val="22"/>
          <w:lang w:val="es-ES"/>
        </w:rPr>
        <w:br w:type="page"/>
      </w:r>
      <w:r w:rsidRPr="00993936">
        <w:rPr>
          <w:rFonts w:cs="Arial"/>
          <w:b w:val="0"/>
          <w:szCs w:val="22"/>
          <w:lang w:val="es-ES"/>
        </w:rPr>
        <w:lastRenderedPageBreak/>
        <w:t xml:space="preserve">Cuadro 1.-  Control fitosanitario en apio, hinojo, perejil y zanahoria </w:t>
      </w:r>
    </w:p>
    <w:p w:rsidR="00503A41" w:rsidRPr="00993936" w:rsidRDefault="00503A41" w:rsidP="000452B8">
      <w:pPr>
        <w:pStyle w:val="Textoindependiente3"/>
        <w:rPr>
          <w:rFonts w:cs="Arial"/>
          <w:b w:val="0"/>
          <w:szCs w:val="22"/>
          <w:lang w:val="es-ES"/>
        </w:rPr>
      </w:pPr>
    </w:p>
    <w:p w:rsidR="00503A41" w:rsidRPr="00993936" w:rsidRDefault="00503A41" w:rsidP="009D1A2D">
      <w:pPr>
        <w:pStyle w:val="Textoindependiente3"/>
        <w:numPr>
          <w:ilvl w:val="1"/>
          <w:numId w:val="80"/>
        </w:numPr>
        <w:rPr>
          <w:rFonts w:cs="Arial"/>
          <w:b w:val="0"/>
          <w:szCs w:val="22"/>
          <w:lang w:val="es-ES"/>
        </w:rPr>
      </w:pPr>
      <w:r w:rsidRPr="00993936">
        <w:rPr>
          <w:rFonts w:cs="Arial"/>
          <w:b w:val="0"/>
          <w:szCs w:val="22"/>
          <w:lang w:val="es-ES"/>
        </w:rPr>
        <w:t>Métodos de evaluación de incidencia, criterios de intervención y fauna auxiliar para el Control integrado de plagas y enfermedades de apio, hinojo, perejil y zanahoria</w:t>
      </w:r>
    </w:p>
    <w:p w:rsidR="00503A41" w:rsidRPr="00993936" w:rsidRDefault="00503A41" w:rsidP="000452B8">
      <w:pPr>
        <w:pStyle w:val="Textoindependiente3"/>
        <w:rPr>
          <w:rFonts w:cs="Arial"/>
          <w:lang w:val="es-ES"/>
        </w:rPr>
      </w:pPr>
    </w:p>
    <w:tbl>
      <w:tblPr>
        <w:tblW w:w="9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3"/>
        <w:gridCol w:w="1652"/>
        <w:gridCol w:w="2082"/>
        <w:gridCol w:w="2029"/>
        <w:gridCol w:w="1729"/>
      </w:tblGrid>
      <w:tr w:rsidR="00503A41" w:rsidRPr="00993936" w:rsidTr="000452B8">
        <w:trPr>
          <w:cantSplit/>
          <w:tblHeader/>
          <w:jc w:val="center"/>
        </w:trPr>
        <w:tc>
          <w:tcPr>
            <w:tcW w:w="1923" w:type="dxa"/>
            <w:shd w:val="pct12" w:color="auto" w:fill="FFFFFF"/>
            <w:vAlign w:val="center"/>
          </w:tcPr>
          <w:p w:rsidR="00503A41" w:rsidRPr="00993936" w:rsidRDefault="00503A41" w:rsidP="000452B8">
            <w:pPr>
              <w:pStyle w:val="titolstaula"/>
              <w:rPr>
                <w:rFonts w:cs="Arial"/>
                <w:noProof w:val="0"/>
                <w:sz w:val="20"/>
                <w:lang w:val="es-ES"/>
              </w:rPr>
            </w:pPr>
            <w:r w:rsidRPr="00993936">
              <w:rPr>
                <w:rFonts w:cs="Arial"/>
                <w:noProof w:val="0"/>
                <w:sz w:val="20"/>
                <w:lang w:val="es-ES"/>
              </w:rPr>
              <w:t>PLAGA / ENFERMEDAD</w:t>
            </w:r>
          </w:p>
        </w:tc>
        <w:tc>
          <w:tcPr>
            <w:tcW w:w="1652" w:type="dxa"/>
            <w:shd w:val="pct12" w:color="auto" w:fill="FFFFFF"/>
            <w:vAlign w:val="center"/>
          </w:tcPr>
          <w:p w:rsidR="00503A41" w:rsidRPr="00993936" w:rsidRDefault="00503A41" w:rsidP="000452B8">
            <w:pPr>
              <w:pStyle w:val="titolstaula"/>
              <w:rPr>
                <w:rFonts w:cs="Arial"/>
                <w:noProof w:val="0"/>
                <w:sz w:val="20"/>
                <w:lang w:val="es-ES"/>
              </w:rPr>
            </w:pPr>
            <w:r w:rsidRPr="00993936">
              <w:rPr>
                <w:rFonts w:cs="Arial"/>
                <w:noProof w:val="0"/>
                <w:sz w:val="20"/>
                <w:lang w:val="es-ES"/>
              </w:rPr>
              <w:t>MÉTODO DE EVALUACIÓN DE INCIDENCIA</w:t>
            </w:r>
          </w:p>
        </w:tc>
        <w:tc>
          <w:tcPr>
            <w:tcW w:w="2082" w:type="dxa"/>
            <w:shd w:val="pct12" w:color="auto" w:fill="FFFFFF"/>
            <w:vAlign w:val="center"/>
          </w:tcPr>
          <w:p w:rsidR="00503A41" w:rsidRPr="00993936" w:rsidRDefault="00503A41" w:rsidP="000452B8">
            <w:pPr>
              <w:pStyle w:val="titolstaula"/>
              <w:rPr>
                <w:rFonts w:cs="Arial"/>
                <w:noProof w:val="0"/>
                <w:sz w:val="20"/>
                <w:lang w:val="es-ES"/>
              </w:rPr>
            </w:pPr>
            <w:r w:rsidRPr="00993936">
              <w:rPr>
                <w:rFonts w:cs="Arial"/>
                <w:noProof w:val="0"/>
                <w:sz w:val="20"/>
                <w:lang w:val="es-ES"/>
              </w:rPr>
              <w:t>CRITERIOS DE INTERVENCIÓN</w:t>
            </w:r>
          </w:p>
        </w:tc>
        <w:tc>
          <w:tcPr>
            <w:tcW w:w="2029" w:type="dxa"/>
            <w:shd w:val="pct12" w:color="auto" w:fill="FFFFFF"/>
            <w:vAlign w:val="center"/>
          </w:tcPr>
          <w:p w:rsidR="00503A41" w:rsidRPr="00993936" w:rsidRDefault="00503A41" w:rsidP="000452B8">
            <w:pPr>
              <w:pStyle w:val="titolstaula"/>
              <w:rPr>
                <w:rFonts w:cs="Arial"/>
                <w:noProof w:val="0"/>
                <w:sz w:val="20"/>
                <w:lang w:val="es-ES"/>
              </w:rPr>
            </w:pPr>
            <w:r w:rsidRPr="00993936">
              <w:rPr>
                <w:rFonts w:cs="Arial"/>
                <w:noProof w:val="0"/>
                <w:sz w:val="20"/>
                <w:lang w:val="es-ES"/>
              </w:rPr>
              <w:t>FAUNA AUXILIAR</w:t>
            </w:r>
          </w:p>
        </w:tc>
        <w:tc>
          <w:tcPr>
            <w:tcW w:w="1729" w:type="dxa"/>
            <w:shd w:val="pct12" w:color="auto" w:fill="FFFFFF"/>
            <w:vAlign w:val="center"/>
          </w:tcPr>
          <w:p w:rsidR="00503A41" w:rsidRPr="00993936" w:rsidRDefault="00503A41" w:rsidP="000452B8">
            <w:pPr>
              <w:pStyle w:val="titolstaula"/>
              <w:rPr>
                <w:rFonts w:cs="Arial"/>
                <w:noProof w:val="0"/>
                <w:sz w:val="20"/>
                <w:lang w:val="es-ES"/>
              </w:rPr>
            </w:pPr>
            <w:r w:rsidRPr="00993936">
              <w:rPr>
                <w:rFonts w:cs="Arial"/>
                <w:noProof w:val="0"/>
                <w:sz w:val="20"/>
                <w:lang w:val="es-ES"/>
              </w:rPr>
              <w:t>OTROS MÉTODOS</w:t>
            </w:r>
          </w:p>
          <w:p w:rsidR="00503A41" w:rsidRPr="00993936" w:rsidRDefault="00503A41" w:rsidP="000452B8">
            <w:pPr>
              <w:pStyle w:val="titolstaula"/>
              <w:rPr>
                <w:rFonts w:cs="Arial"/>
                <w:noProof w:val="0"/>
                <w:sz w:val="20"/>
                <w:lang w:val="es-ES"/>
              </w:rPr>
            </w:pPr>
            <w:r w:rsidRPr="00993936">
              <w:rPr>
                <w:rFonts w:cs="Arial"/>
                <w:noProof w:val="0"/>
                <w:sz w:val="20"/>
                <w:lang w:val="es-ES"/>
              </w:rPr>
              <w:t>(culturales, etc.)</w:t>
            </w: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Pulgones</w:t>
            </w:r>
          </w:p>
        </w:tc>
        <w:tc>
          <w:tcPr>
            <w:tcW w:w="1652" w:type="dxa"/>
            <w:vMerge w:val="restart"/>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10 plantas. Observación de individuos en la planta</w:t>
            </w:r>
          </w:p>
        </w:tc>
        <w:tc>
          <w:tcPr>
            <w:tcW w:w="2082" w:type="dxa"/>
            <w:vAlign w:val="center"/>
          </w:tcPr>
          <w:p w:rsidR="00503A41" w:rsidRPr="00993936" w:rsidRDefault="00503A41" w:rsidP="000452B8">
            <w:pPr>
              <w:pStyle w:val="titol"/>
              <w:spacing w:line="240" w:lineRule="auto"/>
              <w:jc w:val="left"/>
              <w:rPr>
                <w:rFonts w:cs="Arial"/>
                <w:b w:val="0"/>
                <w:caps w:val="0"/>
                <w:noProof w:val="0"/>
                <w:szCs w:val="18"/>
                <w:lang w:val="es-ES"/>
              </w:rPr>
            </w:pPr>
            <w:r w:rsidRPr="00993936">
              <w:rPr>
                <w:rFonts w:cs="Arial"/>
                <w:b w:val="0"/>
                <w:caps w:val="0"/>
                <w:noProof w:val="0"/>
                <w:szCs w:val="18"/>
                <w:lang w:val="es-ES"/>
              </w:rPr>
              <w:t>Presencia en un 20% de las plantas</w:t>
            </w:r>
          </w:p>
        </w:tc>
        <w:tc>
          <w:tcPr>
            <w:tcW w:w="2029"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Considerar la presencia de parasitoides</w:t>
            </w:r>
          </w:p>
        </w:tc>
        <w:tc>
          <w:tcPr>
            <w:tcW w:w="1729" w:type="dxa"/>
            <w:vMerge w:val="restart"/>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Minadora</w:t>
            </w:r>
          </w:p>
          <w:p w:rsidR="00503A41" w:rsidRPr="00993936" w:rsidRDefault="00503A41" w:rsidP="000452B8">
            <w:pPr>
              <w:pStyle w:val="taula"/>
              <w:rPr>
                <w:rFonts w:cs="Arial"/>
                <w:i/>
                <w:noProof w:val="0"/>
                <w:sz w:val="18"/>
                <w:szCs w:val="18"/>
                <w:lang w:val="es-ES"/>
              </w:rPr>
            </w:pPr>
            <w:r w:rsidRPr="00993936">
              <w:rPr>
                <w:rFonts w:cs="Arial"/>
                <w:noProof w:val="0"/>
                <w:sz w:val="18"/>
                <w:szCs w:val="18"/>
                <w:lang w:val="es-ES"/>
              </w:rPr>
              <w:t>(</w:t>
            </w:r>
            <w:r w:rsidRPr="00993936">
              <w:rPr>
                <w:rFonts w:cs="Arial"/>
                <w:i/>
                <w:noProof w:val="0"/>
                <w:sz w:val="18"/>
                <w:szCs w:val="18"/>
                <w:lang w:val="es-ES"/>
              </w:rPr>
              <w:t xml:space="preserve">Liriomyza </w:t>
            </w:r>
            <w:r w:rsidRPr="00993936">
              <w:rPr>
                <w:rFonts w:cs="Arial"/>
                <w:noProof w:val="0"/>
                <w:sz w:val="18"/>
                <w:szCs w:val="18"/>
                <w:lang w:val="es-ES"/>
              </w:rPr>
              <w:t>spp.)</w:t>
            </w:r>
          </w:p>
        </w:tc>
        <w:tc>
          <w:tcPr>
            <w:tcW w:w="1652"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82"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Aumento del nivel de plaga con nivel bajos (&lt; 25%) de parasitismo</w:t>
            </w:r>
          </w:p>
        </w:tc>
        <w:tc>
          <w:tcPr>
            <w:tcW w:w="2029"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i/>
                <w:caps w:val="0"/>
                <w:noProof w:val="0"/>
                <w:szCs w:val="18"/>
                <w:lang w:val="es-ES"/>
              </w:rPr>
              <w:t>D. isaea</w:t>
            </w:r>
            <w:r w:rsidRPr="00993936">
              <w:rPr>
                <w:rFonts w:cs="Arial"/>
                <w:b w:val="0"/>
                <w:caps w:val="0"/>
                <w:noProof w:val="0"/>
                <w:szCs w:val="18"/>
                <w:lang w:val="es-ES"/>
              </w:rPr>
              <w:t xml:space="preserve"> y depredadores polífagos</w:t>
            </w: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Araña roja</w:t>
            </w:r>
          </w:p>
        </w:tc>
        <w:tc>
          <w:tcPr>
            <w:tcW w:w="1652"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82"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Presencia de foco</w:t>
            </w:r>
          </w:p>
        </w:tc>
        <w:tc>
          <w:tcPr>
            <w:tcW w:w="2029"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Fitoseidos</w:t>
            </w: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Mosca del apio</w:t>
            </w:r>
          </w:p>
        </w:tc>
        <w:tc>
          <w:tcPr>
            <w:tcW w:w="1652"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82"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Presencia en un 20% de las plantas</w:t>
            </w:r>
          </w:p>
        </w:tc>
        <w:tc>
          <w:tcPr>
            <w:tcW w:w="2029" w:type="dxa"/>
            <w:vMerge w:val="restart"/>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Trips</w:t>
            </w:r>
          </w:p>
        </w:tc>
        <w:tc>
          <w:tcPr>
            <w:tcW w:w="1652"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82" w:type="dxa"/>
            <w:vMerge w:val="restart"/>
            <w:vAlign w:val="center"/>
          </w:tcPr>
          <w:p w:rsidR="00503A41" w:rsidRPr="00993936" w:rsidRDefault="00503A41" w:rsidP="000452B8">
            <w:pPr>
              <w:pStyle w:val="titol"/>
              <w:jc w:val="left"/>
              <w:outlineLvl w:val="0"/>
              <w:rPr>
                <w:rFonts w:cs="Arial"/>
                <w:b w:val="0"/>
                <w:caps w:val="0"/>
                <w:noProof w:val="0"/>
                <w:szCs w:val="18"/>
                <w:lang w:val="es-ES"/>
              </w:rPr>
            </w:pPr>
            <w:r w:rsidRPr="00993936">
              <w:rPr>
                <w:rFonts w:cs="Arial"/>
                <w:b w:val="0"/>
                <w:caps w:val="0"/>
                <w:noProof w:val="0"/>
                <w:szCs w:val="18"/>
                <w:lang w:val="es-ES"/>
              </w:rPr>
              <w:t>Presencia en un 20% de las plantas</w:t>
            </w:r>
          </w:p>
        </w:tc>
        <w:tc>
          <w:tcPr>
            <w:tcW w:w="20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i/>
                <w:caps w:val="0"/>
                <w:noProof w:val="0"/>
                <w:szCs w:val="18"/>
                <w:lang w:val="es-ES"/>
              </w:rPr>
            </w:pPr>
            <w:r w:rsidRPr="00993936">
              <w:rPr>
                <w:rFonts w:cs="Arial"/>
                <w:b w:val="0"/>
                <w:i/>
                <w:caps w:val="0"/>
                <w:noProof w:val="0"/>
                <w:szCs w:val="18"/>
                <w:lang w:val="es-ES"/>
              </w:rPr>
              <w:t>Lepidópteros</w:t>
            </w:r>
          </w:p>
        </w:tc>
        <w:tc>
          <w:tcPr>
            <w:tcW w:w="1652"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82"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i/>
                <w:caps w:val="0"/>
                <w:noProof w:val="0"/>
                <w:szCs w:val="18"/>
                <w:lang w:val="es-ES"/>
              </w:rPr>
              <w:t xml:space="preserve">Rhizoctonia </w:t>
            </w:r>
            <w:r w:rsidRPr="00993936">
              <w:rPr>
                <w:rFonts w:cs="Arial"/>
                <w:b w:val="0"/>
                <w:caps w:val="0"/>
                <w:noProof w:val="0"/>
                <w:szCs w:val="18"/>
                <w:lang w:val="es-ES"/>
              </w:rPr>
              <w:t>sp</w:t>
            </w:r>
            <w:r w:rsidRPr="00993936">
              <w:rPr>
                <w:rFonts w:cs="Arial"/>
                <w:b w:val="0"/>
                <w:i/>
                <w:caps w:val="0"/>
                <w:noProof w:val="0"/>
                <w:szCs w:val="18"/>
                <w:lang w:val="es-ES"/>
              </w:rPr>
              <w:t>.</w:t>
            </w:r>
          </w:p>
        </w:tc>
        <w:tc>
          <w:tcPr>
            <w:tcW w:w="1652" w:type="dxa"/>
            <w:vMerge w:val="restart"/>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 w:val="16"/>
                <w:szCs w:val="18"/>
                <w:lang w:val="es-ES"/>
              </w:rPr>
              <w:t>5 puntos de observación</w:t>
            </w:r>
            <w:r w:rsidRPr="00993936">
              <w:rPr>
                <w:rFonts w:cs="Arial"/>
                <w:b w:val="0"/>
                <w:caps w:val="0"/>
                <w:noProof w:val="0"/>
                <w:szCs w:val="18"/>
                <w:lang w:val="es-ES"/>
              </w:rPr>
              <w:t xml:space="preserve"> de 4 m</w:t>
            </w:r>
            <w:r w:rsidRPr="00993936">
              <w:rPr>
                <w:rFonts w:cs="Arial"/>
                <w:b w:val="0"/>
                <w:caps w:val="0"/>
                <w:noProof w:val="0"/>
                <w:szCs w:val="18"/>
                <w:vertAlign w:val="superscript"/>
                <w:lang w:val="es-ES"/>
              </w:rPr>
              <w:t xml:space="preserve">2  </w:t>
            </w:r>
            <w:r w:rsidRPr="00993936">
              <w:rPr>
                <w:rFonts w:cs="Arial"/>
                <w:b w:val="0"/>
                <w:caps w:val="0"/>
                <w:noProof w:val="0"/>
                <w:szCs w:val="18"/>
                <w:lang w:val="es-ES"/>
              </w:rPr>
              <w:t xml:space="preserve"> </w:t>
            </w:r>
          </w:p>
          <w:p w:rsidR="00503A41" w:rsidRPr="00993936" w:rsidRDefault="00503A41" w:rsidP="000452B8">
            <w:pPr>
              <w:pStyle w:val="titol"/>
              <w:spacing w:line="240" w:lineRule="auto"/>
              <w:jc w:val="left"/>
              <w:outlineLvl w:val="0"/>
              <w:rPr>
                <w:rFonts w:cs="Arial"/>
                <w:b w:val="0"/>
                <w:caps w:val="0"/>
                <w:noProof w:val="0"/>
                <w:szCs w:val="18"/>
                <w:lang w:val="es-ES"/>
              </w:rPr>
            </w:pPr>
          </w:p>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 w:val="16"/>
                <w:szCs w:val="18"/>
                <w:lang w:val="es-ES"/>
              </w:rPr>
              <w:t>(presencia/ausencia)</w:t>
            </w:r>
          </w:p>
          <w:p w:rsidR="00503A41" w:rsidRPr="00993936" w:rsidRDefault="00503A41" w:rsidP="000452B8">
            <w:pPr>
              <w:pStyle w:val="taula"/>
              <w:rPr>
                <w:rFonts w:cs="Arial"/>
                <w:b/>
                <w:caps/>
                <w:noProof w:val="0"/>
                <w:sz w:val="18"/>
                <w:szCs w:val="18"/>
                <w:lang w:val="es-ES"/>
              </w:rPr>
            </w:pPr>
          </w:p>
        </w:tc>
        <w:tc>
          <w:tcPr>
            <w:tcW w:w="2082" w:type="dxa"/>
            <w:vMerge w:val="restart"/>
            <w:vAlign w:val="center"/>
          </w:tcPr>
          <w:p w:rsidR="00503A41" w:rsidRPr="00993936" w:rsidRDefault="00503A41" w:rsidP="000452B8">
            <w:pPr>
              <w:pStyle w:val="titol"/>
              <w:jc w:val="left"/>
              <w:outlineLvl w:val="0"/>
              <w:rPr>
                <w:rFonts w:cs="Arial"/>
                <w:b w:val="0"/>
                <w:caps w:val="0"/>
                <w:noProof w:val="0"/>
                <w:szCs w:val="18"/>
                <w:lang w:val="es-ES"/>
              </w:rPr>
            </w:pPr>
            <w:r w:rsidRPr="00993936">
              <w:rPr>
                <w:rFonts w:cs="Arial"/>
                <w:b w:val="0"/>
                <w:caps w:val="0"/>
                <w:noProof w:val="0"/>
                <w:szCs w:val="18"/>
                <w:lang w:val="es-ES"/>
              </w:rPr>
              <w:t>Presencia de la enfermedad</w:t>
            </w:r>
          </w:p>
          <w:p w:rsidR="00503A41" w:rsidRPr="00993936" w:rsidRDefault="00503A41" w:rsidP="000452B8">
            <w:pPr>
              <w:pStyle w:val="titol"/>
              <w:jc w:val="left"/>
              <w:outlineLvl w:val="0"/>
              <w:rPr>
                <w:rFonts w:cs="Arial"/>
                <w:b w:val="0"/>
                <w:caps w:val="0"/>
                <w:noProof w:val="0"/>
                <w:szCs w:val="18"/>
                <w:lang w:val="es-ES"/>
              </w:rPr>
            </w:pPr>
            <w:r w:rsidRPr="00993936">
              <w:rPr>
                <w:rFonts w:cs="Arial"/>
                <w:b w:val="0"/>
                <w:caps w:val="0"/>
                <w:noProof w:val="0"/>
                <w:szCs w:val="18"/>
                <w:lang w:val="es-ES"/>
              </w:rPr>
              <w:t>Presencia de la enfermedad</w:t>
            </w:r>
          </w:p>
        </w:tc>
        <w:tc>
          <w:tcPr>
            <w:tcW w:w="2029" w:type="dxa"/>
            <w:vMerge w:val="restart"/>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Evitar altas densidades de plantación.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Rotación.</w:t>
            </w:r>
          </w:p>
          <w:p w:rsidR="00503A41" w:rsidRPr="00993936" w:rsidRDefault="00503A41" w:rsidP="000452B8">
            <w:pPr>
              <w:pStyle w:val="titol"/>
              <w:jc w:val="left"/>
              <w:outlineLvl w:val="0"/>
              <w:rPr>
                <w:rFonts w:cs="Arial"/>
                <w:b w:val="0"/>
                <w:caps w:val="0"/>
                <w:noProof w:val="0"/>
                <w:szCs w:val="18"/>
                <w:lang w:val="es-ES"/>
              </w:rPr>
            </w:pPr>
            <w:r w:rsidRPr="00993936">
              <w:rPr>
                <w:rFonts w:cs="Arial"/>
                <w:b w:val="0"/>
                <w:caps w:val="0"/>
                <w:noProof w:val="0"/>
                <w:szCs w:val="18"/>
                <w:lang w:val="es-ES"/>
              </w:rPr>
              <w:t>Destruir restos de cultivo</w:t>
            </w: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i/>
                <w:caps w:val="0"/>
                <w:noProof w:val="0"/>
                <w:szCs w:val="18"/>
                <w:lang w:val="es-ES"/>
              </w:rPr>
              <w:t xml:space="preserve">Alternaría </w:t>
            </w:r>
            <w:r w:rsidRPr="00993936">
              <w:rPr>
                <w:rFonts w:cs="Arial"/>
                <w:b w:val="0"/>
                <w:caps w:val="0"/>
                <w:noProof w:val="0"/>
                <w:szCs w:val="18"/>
                <w:lang w:val="es-ES"/>
              </w:rPr>
              <w:t>spp</w:t>
            </w:r>
            <w:r w:rsidRPr="00993936">
              <w:rPr>
                <w:rFonts w:cs="Arial"/>
                <w:b w:val="0"/>
                <w:i/>
                <w:caps w:val="0"/>
                <w:noProof w:val="0"/>
                <w:szCs w:val="18"/>
                <w:lang w:val="es-ES"/>
              </w:rPr>
              <w:t>.</w:t>
            </w:r>
          </w:p>
        </w:tc>
        <w:tc>
          <w:tcPr>
            <w:tcW w:w="1652" w:type="dxa"/>
            <w:vMerge/>
            <w:vAlign w:val="center"/>
          </w:tcPr>
          <w:p w:rsidR="00503A41" w:rsidRPr="00993936" w:rsidRDefault="00503A41" w:rsidP="000452B8">
            <w:pPr>
              <w:pStyle w:val="taula"/>
              <w:rPr>
                <w:rFonts w:cs="Arial"/>
                <w:b/>
                <w:caps/>
                <w:noProof w:val="0"/>
                <w:sz w:val="18"/>
                <w:szCs w:val="18"/>
                <w:lang w:val="es-ES"/>
              </w:rPr>
            </w:pPr>
          </w:p>
        </w:tc>
        <w:tc>
          <w:tcPr>
            <w:tcW w:w="2082" w:type="dxa"/>
            <w:vMerge/>
            <w:vAlign w:val="center"/>
          </w:tcPr>
          <w:p w:rsidR="00503A41" w:rsidRPr="00993936" w:rsidRDefault="00503A41" w:rsidP="000452B8">
            <w:pPr>
              <w:pStyle w:val="titol"/>
              <w:jc w:val="left"/>
              <w:outlineLvl w:val="0"/>
              <w:rPr>
                <w:rFonts w:cs="Arial"/>
                <w:b w:val="0"/>
                <w:caps w:val="0"/>
                <w:noProof w:val="0"/>
                <w:szCs w:val="18"/>
                <w:lang w:val="es-ES"/>
              </w:rPr>
            </w:pPr>
          </w:p>
        </w:tc>
        <w:tc>
          <w:tcPr>
            <w:tcW w:w="20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Septoria</w:t>
            </w:r>
          </w:p>
        </w:tc>
        <w:tc>
          <w:tcPr>
            <w:tcW w:w="1652" w:type="dxa"/>
            <w:vMerge/>
            <w:vAlign w:val="center"/>
          </w:tcPr>
          <w:p w:rsidR="00503A41" w:rsidRPr="00993936" w:rsidRDefault="00503A41" w:rsidP="000452B8">
            <w:pPr>
              <w:pStyle w:val="taula"/>
              <w:rPr>
                <w:rFonts w:cs="Arial"/>
                <w:b/>
                <w:caps/>
                <w:noProof w:val="0"/>
                <w:sz w:val="18"/>
                <w:szCs w:val="18"/>
                <w:lang w:val="es-ES"/>
              </w:rPr>
            </w:pPr>
          </w:p>
        </w:tc>
        <w:tc>
          <w:tcPr>
            <w:tcW w:w="2082" w:type="dxa"/>
            <w:vMerge/>
            <w:vAlign w:val="center"/>
          </w:tcPr>
          <w:p w:rsidR="00503A41" w:rsidRPr="00993936" w:rsidRDefault="00503A41" w:rsidP="000452B8">
            <w:pPr>
              <w:pStyle w:val="titol"/>
              <w:jc w:val="left"/>
              <w:outlineLvl w:val="0"/>
              <w:rPr>
                <w:rFonts w:cs="Arial"/>
                <w:b w:val="0"/>
                <w:caps w:val="0"/>
                <w:noProof w:val="0"/>
                <w:szCs w:val="18"/>
                <w:lang w:val="es-ES"/>
              </w:rPr>
            </w:pPr>
          </w:p>
        </w:tc>
        <w:tc>
          <w:tcPr>
            <w:tcW w:w="20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Podredumbres</w:t>
            </w:r>
          </w:p>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i/>
                <w:caps w:val="0"/>
                <w:noProof w:val="0"/>
                <w:szCs w:val="18"/>
                <w:lang w:val="es-ES"/>
              </w:rPr>
              <w:t xml:space="preserve">(Botrytis </w:t>
            </w:r>
            <w:r w:rsidRPr="00993936">
              <w:rPr>
                <w:rFonts w:cs="Arial"/>
                <w:b w:val="0"/>
                <w:caps w:val="0"/>
                <w:noProof w:val="0"/>
                <w:szCs w:val="18"/>
                <w:lang w:val="es-ES"/>
              </w:rPr>
              <w:t>spp.)</w:t>
            </w:r>
            <w:r w:rsidRPr="00993936">
              <w:rPr>
                <w:rFonts w:cs="Arial"/>
                <w:b w:val="0"/>
                <w:i/>
                <w:caps w:val="0"/>
                <w:noProof w:val="0"/>
                <w:szCs w:val="18"/>
                <w:lang w:val="es-ES"/>
              </w:rPr>
              <w:t xml:space="preserve"> </w:t>
            </w:r>
            <w:r w:rsidRPr="00993936">
              <w:rPr>
                <w:rFonts w:cs="Arial"/>
                <w:b w:val="0"/>
                <w:caps w:val="0"/>
                <w:noProof w:val="0"/>
                <w:szCs w:val="18"/>
                <w:lang w:val="es-ES"/>
              </w:rPr>
              <w:t>(</w:t>
            </w:r>
            <w:r w:rsidRPr="00993936">
              <w:rPr>
                <w:rFonts w:cs="Arial"/>
                <w:b w:val="0"/>
                <w:i/>
                <w:caps w:val="0"/>
                <w:noProof w:val="0"/>
                <w:szCs w:val="18"/>
                <w:lang w:val="es-ES"/>
              </w:rPr>
              <w:t xml:space="preserve">Sclerotnia </w:t>
            </w:r>
            <w:r w:rsidRPr="00993936">
              <w:rPr>
                <w:rFonts w:cs="Arial"/>
                <w:b w:val="0"/>
                <w:caps w:val="0"/>
                <w:noProof w:val="0"/>
                <w:szCs w:val="18"/>
                <w:lang w:val="es-ES"/>
              </w:rPr>
              <w:t>spp.)</w:t>
            </w:r>
          </w:p>
        </w:tc>
        <w:tc>
          <w:tcPr>
            <w:tcW w:w="1652" w:type="dxa"/>
            <w:vMerge/>
            <w:vAlign w:val="center"/>
          </w:tcPr>
          <w:p w:rsidR="00503A41" w:rsidRPr="00993936" w:rsidRDefault="00503A41" w:rsidP="000452B8">
            <w:pPr>
              <w:pStyle w:val="taula"/>
              <w:rPr>
                <w:rFonts w:cs="Arial"/>
                <w:b/>
                <w:caps/>
                <w:noProof w:val="0"/>
                <w:sz w:val="18"/>
                <w:szCs w:val="18"/>
                <w:lang w:val="es-ES"/>
              </w:rPr>
            </w:pPr>
          </w:p>
        </w:tc>
        <w:tc>
          <w:tcPr>
            <w:tcW w:w="2082" w:type="dxa"/>
            <w:vMerge/>
            <w:vAlign w:val="center"/>
          </w:tcPr>
          <w:p w:rsidR="00503A41" w:rsidRPr="00993936" w:rsidRDefault="00503A41" w:rsidP="000452B8">
            <w:pPr>
              <w:pStyle w:val="titol"/>
              <w:jc w:val="left"/>
              <w:outlineLvl w:val="0"/>
              <w:rPr>
                <w:rFonts w:cs="Arial"/>
                <w:b w:val="0"/>
                <w:caps w:val="0"/>
                <w:noProof w:val="0"/>
                <w:szCs w:val="18"/>
                <w:lang w:val="es-ES"/>
              </w:rPr>
            </w:pPr>
          </w:p>
        </w:tc>
        <w:tc>
          <w:tcPr>
            <w:tcW w:w="20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Bacterias (</w:t>
            </w:r>
            <w:r w:rsidRPr="00993936">
              <w:rPr>
                <w:rFonts w:cs="Arial"/>
                <w:b w:val="0"/>
                <w:i/>
                <w:caps w:val="0"/>
                <w:noProof w:val="0"/>
                <w:szCs w:val="18"/>
                <w:lang w:val="es-ES"/>
              </w:rPr>
              <w:t>Erwinia carotovora</w:t>
            </w:r>
            <w:r w:rsidRPr="00993936">
              <w:rPr>
                <w:rFonts w:cs="Arial"/>
                <w:b w:val="0"/>
                <w:caps w:val="0"/>
                <w:noProof w:val="0"/>
                <w:szCs w:val="18"/>
                <w:lang w:val="es-ES"/>
              </w:rPr>
              <w:t>)</w:t>
            </w:r>
          </w:p>
        </w:tc>
        <w:tc>
          <w:tcPr>
            <w:tcW w:w="1652" w:type="dxa"/>
            <w:vMerge/>
            <w:vAlign w:val="center"/>
          </w:tcPr>
          <w:p w:rsidR="00503A41" w:rsidRPr="00993936" w:rsidRDefault="00503A41" w:rsidP="000452B8">
            <w:pPr>
              <w:pStyle w:val="taula"/>
              <w:rPr>
                <w:rFonts w:cs="Arial"/>
                <w:b/>
                <w:caps/>
                <w:noProof w:val="0"/>
                <w:sz w:val="18"/>
                <w:szCs w:val="18"/>
                <w:lang w:val="es-ES"/>
              </w:rPr>
            </w:pPr>
          </w:p>
        </w:tc>
        <w:tc>
          <w:tcPr>
            <w:tcW w:w="2082"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Merge/>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Oídio</w:t>
            </w:r>
          </w:p>
        </w:tc>
        <w:tc>
          <w:tcPr>
            <w:tcW w:w="1652" w:type="dxa"/>
            <w:vMerge/>
            <w:vAlign w:val="center"/>
          </w:tcPr>
          <w:p w:rsidR="00503A41" w:rsidRPr="00993936" w:rsidRDefault="00503A41" w:rsidP="000452B8">
            <w:pPr>
              <w:pStyle w:val="titol"/>
              <w:outlineLvl w:val="0"/>
              <w:rPr>
                <w:rFonts w:cs="Arial"/>
                <w:noProof w:val="0"/>
                <w:szCs w:val="18"/>
                <w:lang w:val="es-ES"/>
              </w:rPr>
            </w:pPr>
          </w:p>
        </w:tc>
        <w:tc>
          <w:tcPr>
            <w:tcW w:w="2082" w:type="dxa"/>
            <w:vMerge/>
            <w:vAlign w:val="center"/>
          </w:tcPr>
          <w:p w:rsidR="00503A41" w:rsidRPr="00993936" w:rsidRDefault="00503A41" w:rsidP="000452B8">
            <w:pPr>
              <w:pStyle w:val="titol"/>
              <w:outlineLvl w:val="0"/>
              <w:rPr>
                <w:rFonts w:cs="Arial"/>
                <w:noProof w:val="0"/>
                <w:szCs w:val="18"/>
                <w:lang w:val="es-ES"/>
              </w:rPr>
            </w:pPr>
          </w:p>
        </w:tc>
        <w:tc>
          <w:tcPr>
            <w:tcW w:w="2029" w:type="dxa"/>
            <w:vMerge/>
            <w:vAlign w:val="center"/>
          </w:tcPr>
          <w:p w:rsidR="00503A41" w:rsidRPr="00993936" w:rsidRDefault="00503A41" w:rsidP="000452B8">
            <w:pPr>
              <w:pStyle w:val="titol"/>
              <w:outlineLvl w:val="0"/>
              <w:rPr>
                <w:rFonts w:cs="Arial"/>
                <w:noProof w:val="0"/>
                <w:szCs w:val="18"/>
                <w:lang w:val="es-ES"/>
              </w:rPr>
            </w:pPr>
          </w:p>
        </w:tc>
        <w:tc>
          <w:tcPr>
            <w:tcW w:w="1729" w:type="dxa"/>
            <w:vMerge/>
            <w:vAlign w:val="center"/>
          </w:tcPr>
          <w:p w:rsidR="00503A41" w:rsidRPr="00993936" w:rsidRDefault="00503A41" w:rsidP="000452B8">
            <w:pPr>
              <w:pStyle w:val="titol"/>
              <w:outlineLvl w:val="0"/>
              <w:rPr>
                <w:rFonts w:cs="Arial"/>
                <w:noProof w:val="0"/>
                <w:szCs w:val="18"/>
                <w:lang w:val="es-ES"/>
              </w:rPr>
            </w:pP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Nemátodos</w:t>
            </w:r>
          </w:p>
        </w:tc>
        <w:tc>
          <w:tcPr>
            <w:tcW w:w="1652"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82"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Incidencia en el cultivo anterior</w:t>
            </w:r>
          </w:p>
        </w:tc>
        <w:tc>
          <w:tcPr>
            <w:tcW w:w="2029"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Evitar estos cultivos en parcelas donde el cultivo anterior haya sido infectado</w:t>
            </w:r>
          </w:p>
        </w:tc>
      </w:tr>
      <w:tr w:rsidR="00503A41" w:rsidRPr="00993936" w:rsidTr="000452B8">
        <w:trPr>
          <w:cantSplit/>
          <w:jc w:val="center"/>
        </w:trPr>
        <w:tc>
          <w:tcPr>
            <w:tcW w:w="1923"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Otras plagas y enfermedades</w:t>
            </w:r>
          </w:p>
        </w:tc>
        <w:tc>
          <w:tcPr>
            <w:tcW w:w="1652"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2082"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Intervenciones en función de las prescripciones técnicas</w:t>
            </w:r>
          </w:p>
        </w:tc>
        <w:tc>
          <w:tcPr>
            <w:tcW w:w="2029"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c>
          <w:tcPr>
            <w:tcW w:w="1729"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p>
        </w:tc>
      </w:tr>
    </w:tbl>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r w:rsidRPr="00993936">
        <w:rPr>
          <w:rFonts w:cs="Arial"/>
          <w:b w:val="0"/>
          <w:szCs w:val="22"/>
          <w:lang w:val="es-ES"/>
        </w:rPr>
        <w:br w:type="page"/>
      </w:r>
      <w:r w:rsidRPr="00993936">
        <w:rPr>
          <w:rFonts w:cs="Arial"/>
          <w:b w:val="0"/>
          <w:szCs w:val="22"/>
          <w:lang w:val="es-ES"/>
        </w:rPr>
        <w:lastRenderedPageBreak/>
        <w:t>1.2 Materias activas para la producción integrada de apio, hinojo, perejil y zanahoria, teniendo en cuenta las indicaciones del Cuaderno de explotación y el programa de control, integrado de plagas y enfermedades.</w:t>
      </w:r>
    </w:p>
    <w:p w:rsidR="00503A41" w:rsidRPr="00993936" w:rsidRDefault="00503A41" w:rsidP="000452B8">
      <w:pPr>
        <w:pStyle w:val="Textoindependiente3"/>
        <w:rPr>
          <w:rFonts w:cs="Arial"/>
          <w:b w:val="0"/>
          <w:szCs w:val="22"/>
          <w:lang w:val="es-ES"/>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9"/>
        <w:gridCol w:w="3378"/>
        <w:gridCol w:w="851"/>
        <w:gridCol w:w="851"/>
        <w:gridCol w:w="851"/>
        <w:gridCol w:w="851"/>
      </w:tblGrid>
      <w:tr w:rsidR="00503A41" w:rsidRPr="00993936" w:rsidTr="000452B8">
        <w:trPr>
          <w:cantSplit/>
          <w:tblHeader/>
          <w:jc w:val="center"/>
        </w:trPr>
        <w:tc>
          <w:tcPr>
            <w:tcW w:w="2249" w:type="dxa"/>
            <w:tcBorders>
              <w:top w:val="single" w:sz="4" w:space="0" w:color="auto"/>
              <w:left w:val="double" w:sz="4" w:space="0" w:color="auto"/>
              <w:bottom w:val="double" w:sz="4" w:space="0" w:color="auto"/>
            </w:tcBorders>
            <w:shd w:val="pct15"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Plaga/enfermedad</w:t>
            </w:r>
          </w:p>
        </w:tc>
        <w:tc>
          <w:tcPr>
            <w:tcW w:w="3378" w:type="dxa"/>
            <w:tcBorders>
              <w:top w:val="single" w:sz="4" w:space="0" w:color="auto"/>
              <w:bottom w:val="doub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Materias Activas</w:t>
            </w:r>
          </w:p>
        </w:tc>
        <w:tc>
          <w:tcPr>
            <w:tcW w:w="851" w:type="dxa"/>
            <w:tcBorders>
              <w:top w:val="single" w:sz="4" w:space="0" w:color="auto"/>
              <w:bottom w:val="doub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apio</w:t>
            </w:r>
          </w:p>
        </w:tc>
        <w:tc>
          <w:tcPr>
            <w:tcW w:w="851" w:type="dxa"/>
            <w:tcBorders>
              <w:top w:val="single" w:sz="4" w:space="0" w:color="auto"/>
              <w:bottom w:val="doub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hinojo</w:t>
            </w:r>
          </w:p>
        </w:tc>
        <w:tc>
          <w:tcPr>
            <w:tcW w:w="851" w:type="dxa"/>
            <w:tcBorders>
              <w:top w:val="single" w:sz="4" w:space="0" w:color="auto"/>
              <w:bottom w:val="doub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perejil</w:t>
            </w:r>
          </w:p>
        </w:tc>
        <w:tc>
          <w:tcPr>
            <w:tcW w:w="851" w:type="dxa"/>
            <w:tcBorders>
              <w:top w:val="single" w:sz="4" w:space="0" w:color="auto"/>
              <w:bottom w:val="doub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zan.</w:t>
            </w:r>
          </w:p>
        </w:tc>
      </w:tr>
      <w:tr w:rsidR="00503A41" w:rsidRPr="00993936" w:rsidTr="000452B8">
        <w:trPr>
          <w:cantSplit/>
          <w:trHeight w:val="207"/>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caps/>
                <w:lang w:val="es-ES"/>
              </w:rPr>
            </w:pPr>
            <w:r w:rsidRPr="00993936">
              <w:rPr>
                <w:rFonts w:ascii="Arial" w:hAnsi="Arial" w:cs="Arial"/>
                <w:caps/>
                <w:lang w:val="es-ES"/>
              </w:rPr>
              <w:t>Pulgones</w:t>
            </w:r>
          </w:p>
        </w:tc>
        <w:tc>
          <w:tcPr>
            <w:tcW w:w="3378" w:type="dxa"/>
            <w:tcBorders>
              <w:top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Piretrinas </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0"/>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tc>
        <w:tc>
          <w:tcPr>
            <w:tcW w:w="851" w:type="dxa"/>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Imidacloprid</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07"/>
          <w:jc w:val="center"/>
        </w:trPr>
        <w:tc>
          <w:tcPr>
            <w:tcW w:w="2249" w:type="dxa"/>
            <w:vMerge/>
            <w:tcBorders>
              <w:top w:val="single" w:sz="4" w:space="0" w:color="auto"/>
              <w:left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doub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Pirimicarb (2)</w:t>
            </w:r>
          </w:p>
        </w:tc>
        <w:tc>
          <w:tcPr>
            <w:tcW w:w="851"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doub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13"/>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Minadora</w:t>
            </w:r>
          </w:p>
          <w:p w:rsidR="00503A41" w:rsidRPr="00993936" w:rsidRDefault="00503A41" w:rsidP="001D205D">
            <w:pPr>
              <w:pStyle w:val="Sinespaciado"/>
              <w:rPr>
                <w:rFonts w:ascii="Arial" w:hAnsi="Arial" w:cs="Arial"/>
                <w:i/>
                <w:lang w:val="es-ES"/>
              </w:rPr>
            </w:pPr>
            <w:r w:rsidRPr="00993936">
              <w:rPr>
                <w:rFonts w:ascii="Arial" w:hAnsi="Arial" w:cs="Arial"/>
                <w:lang w:val="es-ES"/>
              </w:rPr>
              <w:t>(</w:t>
            </w:r>
            <w:r w:rsidRPr="00993936">
              <w:rPr>
                <w:rFonts w:ascii="Arial" w:hAnsi="Arial" w:cs="Arial"/>
                <w:i/>
                <w:lang w:val="es-ES"/>
              </w:rPr>
              <w:t xml:space="preserve">Liriomyza </w:t>
            </w:r>
            <w:r w:rsidRPr="00993936">
              <w:rPr>
                <w:rFonts w:ascii="Arial" w:hAnsi="Arial" w:cs="Arial"/>
                <w:lang w:val="es-ES"/>
              </w:rPr>
              <w:t>spp.)</w:t>
            </w:r>
          </w:p>
        </w:tc>
        <w:tc>
          <w:tcPr>
            <w:tcW w:w="3378" w:type="dxa"/>
            <w:tcBorders>
              <w:top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Abamectina </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dstrike/>
                <w:lang w:val="es-ES"/>
              </w:rPr>
            </w:pP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Azadiractín</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Ciromazina</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7"/>
          <w:jc w:val="center"/>
        </w:trPr>
        <w:tc>
          <w:tcPr>
            <w:tcW w:w="2249" w:type="dxa"/>
            <w:vMerge/>
            <w:tcBorders>
              <w:top w:val="single" w:sz="4" w:space="0" w:color="auto"/>
              <w:left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single" w:sz="4" w:space="0" w:color="auto"/>
              <w:bottom w:val="double" w:sz="4" w:space="0" w:color="auto"/>
            </w:tcBorders>
            <w:shd w:val="clear" w:color="auto" w:fill="auto"/>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Clorpirifos (granulado)</w:t>
            </w:r>
          </w:p>
        </w:tc>
        <w:tc>
          <w:tcPr>
            <w:tcW w:w="851" w:type="dxa"/>
            <w:tcBorders>
              <w:top w:val="single" w:sz="4" w:space="0" w:color="auto"/>
              <w:bottom w:val="double" w:sz="4" w:space="0" w:color="auto"/>
            </w:tcBorders>
          </w:tcPr>
          <w:p w:rsidR="00503A41" w:rsidRPr="00993936" w:rsidRDefault="00503A41" w:rsidP="001D205D">
            <w:pPr>
              <w:pStyle w:val="Sinespaciado"/>
              <w:rPr>
                <w:rFonts w:ascii="Arial" w:hAnsi="Arial" w:cs="Arial"/>
                <w:snapToGrid w:val="0"/>
                <w:lang w:val="es-ES" w:eastAsia="es-ES"/>
              </w:rPr>
            </w:pPr>
            <w:r w:rsidRPr="00993936">
              <w:rPr>
                <w:rFonts w:ascii="Arial" w:hAnsi="Arial" w:cs="Arial"/>
                <w:lang w:val="es-ES"/>
              </w:rPr>
              <w:t>X</w:t>
            </w:r>
          </w:p>
        </w:tc>
        <w:tc>
          <w:tcPr>
            <w:tcW w:w="851" w:type="dxa"/>
            <w:tcBorders>
              <w:top w:val="single" w:sz="4" w:space="0" w:color="auto"/>
              <w:bottom w:val="double" w:sz="4" w:space="0" w:color="auto"/>
            </w:tcBorders>
          </w:tcPr>
          <w:p w:rsidR="00503A41" w:rsidRPr="00993936" w:rsidRDefault="00503A41" w:rsidP="001D205D">
            <w:pPr>
              <w:pStyle w:val="Sinespaciado"/>
              <w:rPr>
                <w:rFonts w:ascii="Arial" w:hAnsi="Arial" w:cs="Arial"/>
                <w:snapToGrid w:val="0"/>
                <w:lang w:val="es-ES" w:eastAsia="es-ES"/>
              </w:rPr>
            </w:pPr>
          </w:p>
        </w:tc>
        <w:tc>
          <w:tcPr>
            <w:tcW w:w="851" w:type="dxa"/>
            <w:tcBorders>
              <w:top w:val="single" w:sz="4" w:space="0" w:color="auto"/>
              <w:bottom w:val="double" w:sz="4" w:space="0" w:color="auto"/>
            </w:tcBorders>
          </w:tcPr>
          <w:p w:rsidR="00503A41" w:rsidRPr="00993936" w:rsidRDefault="00503A41" w:rsidP="001D205D">
            <w:pPr>
              <w:pStyle w:val="Sinespaciado"/>
              <w:rPr>
                <w:rFonts w:ascii="Arial" w:hAnsi="Arial" w:cs="Arial"/>
                <w:snapToGrid w:val="0"/>
                <w:lang w:val="es-ES" w:eastAsia="es-ES"/>
              </w:rPr>
            </w:pPr>
          </w:p>
        </w:tc>
        <w:tc>
          <w:tcPr>
            <w:tcW w:w="851" w:type="dxa"/>
            <w:tcBorders>
              <w:top w:val="single" w:sz="4" w:space="0" w:color="auto"/>
              <w:bottom w:val="double" w:sz="4" w:space="0" w:color="auto"/>
              <w:right w:val="double" w:sz="4" w:space="0" w:color="auto"/>
            </w:tcBorders>
          </w:tcPr>
          <w:p w:rsidR="00503A41" w:rsidRPr="00993936" w:rsidRDefault="00503A41" w:rsidP="001D205D">
            <w:pPr>
              <w:pStyle w:val="Sinespaciado"/>
              <w:rPr>
                <w:rFonts w:ascii="Arial" w:hAnsi="Arial" w:cs="Arial"/>
                <w:snapToGrid w:val="0"/>
                <w:lang w:val="es-ES" w:eastAsia="es-ES"/>
              </w:rPr>
            </w:pPr>
          </w:p>
        </w:tc>
      </w:tr>
      <w:tr w:rsidR="00503A41" w:rsidRPr="00993936" w:rsidTr="000452B8">
        <w:trPr>
          <w:cantSplit/>
          <w:trHeight w:val="213"/>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Araña roja</w:t>
            </w:r>
          </w:p>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(Tetranychus urticae, </w:t>
            </w:r>
          </w:p>
          <w:p w:rsidR="00503A41" w:rsidRPr="00993936" w:rsidRDefault="00503A41" w:rsidP="001D205D">
            <w:pPr>
              <w:pStyle w:val="Sinespaciado"/>
              <w:rPr>
                <w:rFonts w:ascii="Arial" w:hAnsi="Arial" w:cs="Arial"/>
                <w:lang w:val="es-ES"/>
              </w:rPr>
            </w:pPr>
            <w:r w:rsidRPr="00993936">
              <w:rPr>
                <w:rFonts w:ascii="Arial" w:hAnsi="Arial" w:cs="Arial"/>
                <w:i/>
                <w:lang w:val="es-ES"/>
              </w:rPr>
              <w:t>T. turkestani)</w:t>
            </w:r>
          </w:p>
        </w:tc>
        <w:tc>
          <w:tcPr>
            <w:tcW w:w="3378" w:type="dxa"/>
            <w:tcBorders>
              <w:top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Abamectina</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13"/>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96"/>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w:t>
            </w:r>
          </w:p>
        </w:tc>
        <w:tc>
          <w:tcPr>
            <w:tcW w:w="851" w:type="dxa"/>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413"/>
          <w:jc w:val="center"/>
        </w:trPr>
        <w:tc>
          <w:tcPr>
            <w:tcW w:w="2249" w:type="dxa"/>
            <w:vMerge w:val="restart"/>
            <w:tcBorders>
              <w:top w:val="double" w:sz="4" w:space="0" w:color="auto"/>
              <w:left w:val="doub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b/>
                <w:lang w:val="es-ES"/>
              </w:rPr>
              <w:t>Mosca blanca</w:t>
            </w:r>
            <w:r w:rsidRPr="00993936">
              <w:rPr>
                <w:rFonts w:ascii="Arial" w:hAnsi="Arial" w:cs="Arial"/>
                <w:lang w:val="es-ES"/>
              </w:rPr>
              <w:t xml:space="preserve"> (</w:t>
            </w:r>
            <w:r w:rsidRPr="00993936">
              <w:rPr>
                <w:rFonts w:ascii="Arial" w:hAnsi="Arial" w:cs="Arial"/>
                <w:i/>
                <w:lang w:val="es-ES"/>
              </w:rPr>
              <w:t>Trialeurodes vaporariorum</w:t>
            </w:r>
            <w:r w:rsidRPr="00993936">
              <w:rPr>
                <w:rFonts w:ascii="Arial" w:hAnsi="Arial" w:cs="Arial"/>
                <w:lang w:val="es-ES"/>
              </w:rPr>
              <w:t xml:space="preserve">, </w:t>
            </w:r>
            <w:r w:rsidRPr="00993936">
              <w:rPr>
                <w:rFonts w:ascii="Arial" w:hAnsi="Arial" w:cs="Arial"/>
                <w:i/>
                <w:lang w:val="es-ES"/>
              </w:rPr>
              <w:t>Bemisia tabaci</w:t>
            </w:r>
            <w:r w:rsidRPr="00993936">
              <w:rPr>
                <w:rFonts w:ascii="Arial" w:hAnsi="Arial" w:cs="Arial"/>
                <w:lang w:val="es-ES"/>
              </w:rPr>
              <w:t>)</w:t>
            </w:r>
          </w:p>
        </w:tc>
        <w:tc>
          <w:tcPr>
            <w:tcW w:w="3378" w:type="dxa"/>
            <w:tcBorders>
              <w:top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413"/>
          <w:jc w:val="center"/>
        </w:trPr>
        <w:tc>
          <w:tcPr>
            <w:tcW w:w="2249" w:type="dxa"/>
            <w:vMerge/>
            <w:tcBorders>
              <w:top w:val="double" w:sz="4" w:space="0" w:color="auto"/>
              <w:left w:val="doub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413"/>
          <w:jc w:val="center"/>
        </w:trPr>
        <w:tc>
          <w:tcPr>
            <w:tcW w:w="2249" w:type="dxa"/>
            <w:vMerge/>
            <w:tcBorders>
              <w:left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40"/>
          <w:jc w:val="center"/>
        </w:trPr>
        <w:tc>
          <w:tcPr>
            <w:tcW w:w="2249" w:type="dxa"/>
            <w:vMerge w:val="restart"/>
            <w:tcBorders>
              <w:top w:val="double" w:sz="4" w:space="0" w:color="auto"/>
              <w:left w:val="double" w:sz="4" w:space="0" w:color="auto"/>
            </w:tcBorders>
            <w:vAlign w:val="center"/>
          </w:tcPr>
          <w:p w:rsidR="00503A41" w:rsidRPr="00993936" w:rsidRDefault="00503A41" w:rsidP="001D205D">
            <w:pPr>
              <w:pStyle w:val="Sinespaciado"/>
              <w:rPr>
                <w:rFonts w:ascii="Arial" w:hAnsi="Arial" w:cs="Arial"/>
                <w:b/>
                <w:caps/>
                <w:lang w:val="es-ES"/>
              </w:rPr>
            </w:pPr>
            <w:r w:rsidRPr="00993936">
              <w:rPr>
                <w:rFonts w:ascii="Arial" w:hAnsi="Arial" w:cs="Arial"/>
                <w:b/>
                <w:lang w:val="es-ES"/>
              </w:rPr>
              <w:t>Mosca de la zanahoria</w:t>
            </w:r>
          </w:p>
        </w:tc>
        <w:tc>
          <w:tcPr>
            <w:tcW w:w="3378"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Azadiractín </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40"/>
          <w:jc w:val="center"/>
        </w:trPr>
        <w:tc>
          <w:tcPr>
            <w:tcW w:w="2249" w:type="dxa"/>
            <w:vMerge/>
            <w:tcBorders>
              <w:left w:val="double" w:sz="4" w:space="0" w:color="auto"/>
            </w:tcBorders>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Piretrinas </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40"/>
          <w:jc w:val="center"/>
        </w:trPr>
        <w:tc>
          <w:tcPr>
            <w:tcW w:w="2249" w:type="dxa"/>
            <w:vMerge/>
            <w:tcBorders>
              <w:left w:val="double" w:sz="4" w:space="0" w:color="auto"/>
            </w:tcBorders>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Clorantraniliprol</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40"/>
          <w:jc w:val="center"/>
        </w:trPr>
        <w:tc>
          <w:tcPr>
            <w:tcW w:w="2249" w:type="dxa"/>
            <w:vMerge/>
            <w:tcBorders>
              <w:left w:val="double" w:sz="4" w:space="0" w:color="auto"/>
            </w:tcBorders>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Clorpirifos (granulado)</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40"/>
          <w:jc w:val="center"/>
        </w:trPr>
        <w:tc>
          <w:tcPr>
            <w:tcW w:w="2249" w:type="dxa"/>
            <w:vMerge/>
            <w:tcBorders>
              <w:left w:val="double" w:sz="4" w:space="0" w:color="auto"/>
              <w:bottom w:val="single" w:sz="4" w:space="0" w:color="auto"/>
            </w:tcBorders>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Deltametrín</w:t>
            </w:r>
          </w:p>
        </w:tc>
        <w:tc>
          <w:tcPr>
            <w:tcW w:w="851"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doub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40"/>
          <w:jc w:val="center"/>
        </w:trPr>
        <w:tc>
          <w:tcPr>
            <w:tcW w:w="2249" w:type="dxa"/>
            <w:vMerge w:val="restart"/>
            <w:tcBorders>
              <w:top w:val="double" w:sz="4" w:space="0" w:color="auto"/>
              <w:left w:val="double" w:sz="4" w:space="0" w:color="auto"/>
            </w:tcBorders>
            <w:vAlign w:val="center"/>
          </w:tcPr>
          <w:p w:rsidR="00503A41" w:rsidRPr="00993936" w:rsidRDefault="00503A41" w:rsidP="001D205D">
            <w:pPr>
              <w:pStyle w:val="Sinespaciado"/>
              <w:rPr>
                <w:rFonts w:ascii="Arial" w:hAnsi="Arial" w:cs="Arial"/>
                <w:b/>
                <w:caps/>
                <w:lang w:val="es-ES"/>
              </w:rPr>
            </w:pPr>
            <w:r w:rsidRPr="00993936">
              <w:rPr>
                <w:rFonts w:ascii="Arial" w:hAnsi="Arial" w:cs="Arial"/>
                <w:b/>
                <w:lang w:val="es-ES"/>
              </w:rPr>
              <w:t>Mosca del apio</w:t>
            </w:r>
          </w:p>
        </w:tc>
        <w:tc>
          <w:tcPr>
            <w:tcW w:w="3378" w:type="dxa"/>
            <w:tcBorders>
              <w:top w:val="double" w:sz="4" w:space="0" w:color="auto"/>
              <w:bottom w:val="single" w:sz="4" w:space="0" w:color="auto"/>
            </w:tcBorders>
          </w:tcPr>
          <w:p w:rsidR="00503A41" w:rsidRPr="00993936" w:rsidRDefault="00503A41" w:rsidP="001D205D">
            <w:pPr>
              <w:pStyle w:val="Sinespaciado"/>
              <w:rPr>
                <w:rFonts w:ascii="Arial" w:hAnsi="Arial" w:cs="Arial"/>
              </w:rPr>
            </w:pPr>
            <w:r w:rsidRPr="00993936">
              <w:rPr>
                <w:rFonts w:ascii="Arial" w:hAnsi="Arial" w:cs="Arial"/>
              </w:rPr>
              <w:t>Clorpirifos (granulado)</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40"/>
          <w:jc w:val="center"/>
        </w:trPr>
        <w:tc>
          <w:tcPr>
            <w:tcW w:w="2249" w:type="dxa"/>
            <w:vMerge/>
            <w:tcBorders>
              <w:top w:val="double" w:sz="4" w:space="0" w:color="auto"/>
              <w:left w:val="double" w:sz="4" w:space="0" w:color="auto"/>
            </w:tcBorders>
            <w:vAlign w:val="center"/>
          </w:tcPr>
          <w:p w:rsidR="00503A41" w:rsidRPr="00993936" w:rsidRDefault="00503A41" w:rsidP="001D205D">
            <w:pPr>
              <w:pStyle w:val="Sinespaciado"/>
              <w:rPr>
                <w:rFonts w:ascii="Arial" w:hAnsi="Arial" w:cs="Arial"/>
                <w:caps/>
                <w:lang w:val="es-ES"/>
              </w:rPr>
            </w:pPr>
          </w:p>
        </w:tc>
        <w:tc>
          <w:tcPr>
            <w:tcW w:w="3378" w:type="dxa"/>
            <w:tcBorders>
              <w:top w:val="double" w:sz="4" w:space="0" w:color="auto"/>
              <w:bottom w:val="single" w:sz="4" w:space="0" w:color="auto"/>
            </w:tcBorders>
          </w:tcPr>
          <w:p w:rsidR="00503A41" w:rsidRPr="00993936" w:rsidRDefault="00503A41" w:rsidP="001D205D">
            <w:pPr>
              <w:pStyle w:val="Sinespaciado"/>
              <w:rPr>
                <w:rFonts w:ascii="Arial" w:hAnsi="Arial" w:cs="Arial"/>
              </w:rPr>
            </w:pPr>
            <w:r w:rsidRPr="00993936">
              <w:rPr>
                <w:rFonts w:ascii="Arial" w:hAnsi="Arial" w:cs="Arial"/>
              </w:rPr>
              <w:t>Deltametrín</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40"/>
          <w:jc w:val="center"/>
        </w:trPr>
        <w:tc>
          <w:tcPr>
            <w:tcW w:w="2249" w:type="dxa"/>
            <w:vMerge/>
            <w:tcBorders>
              <w:left w:val="double" w:sz="4" w:space="0" w:color="auto"/>
            </w:tcBorders>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single" w:sz="4" w:space="0" w:color="auto"/>
            </w:tcBorders>
          </w:tcPr>
          <w:p w:rsidR="00503A41" w:rsidRPr="00993936" w:rsidRDefault="00503A41" w:rsidP="001D205D">
            <w:pPr>
              <w:pStyle w:val="Sinespaciado"/>
              <w:rPr>
                <w:rFonts w:ascii="Arial" w:hAnsi="Arial" w:cs="Arial"/>
              </w:rPr>
            </w:pPr>
            <w:r w:rsidRPr="00993936">
              <w:rPr>
                <w:rFonts w:ascii="Arial" w:hAnsi="Arial" w:cs="Arial"/>
              </w:rPr>
              <w:t xml:space="preserve">Lambda-cihalotrín </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40"/>
          <w:jc w:val="center"/>
        </w:trPr>
        <w:tc>
          <w:tcPr>
            <w:tcW w:w="2249" w:type="dxa"/>
            <w:vMerge/>
            <w:tcBorders>
              <w:left w:val="double" w:sz="4" w:space="0" w:color="auto"/>
              <w:bottom w:val="double" w:sz="4" w:space="0" w:color="auto"/>
            </w:tcBorders>
            <w:vAlign w:val="center"/>
          </w:tcPr>
          <w:p w:rsidR="00503A41" w:rsidRPr="00993936" w:rsidRDefault="00503A41" w:rsidP="001D205D">
            <w:pPr>
              <w:pStyle w:val="Sinespaciado"/>
              <w:rPr>
                <w:rFonts w:ascii="Arial" w:hAnsi="Arial" w:cs="Arial"/>
                <w:caps/>
                <w:lang w:val="es-ES"/>
              </w:rPr>
            </w:pPr>
          </w:p>
        </w:tc>
        <w:tc>
          <w:tcPr>
            <w:tcW w:w="3378" w:type="dxa"/>
            <w:tcBorders>
              <w:top w:val="single" w:sz="4" w:space="0" w:color="auto"/>
              <w:bottom w:val="double" w:sz="4" w:space="0" w:color="auto"/>
            </w:tcBorders>
          </w:tcPr>
          <w:p w:rsidR="00503A41" w:rsidRPr="00993936" w:rsidRDefault="00503A41" w:rsidP="001D205D">
            <w:pPr>
              <w:pStyle w:val="Sinespaciado"/>
              <w:rPr>
                <w:rFonts w:ascii="Arial" w:hAnsi="Arial" w:cs="Arial"/>
              </w:rPr>
            </w:pPr>
            <w:r w:rsidRPr="00993936">
              <w:rPr>
                <w:rFonts w:ascii="Arial" w:hAnsi="Arial" w:cs="Arial"/>
              </w:rPr>
              <w:t>Piretrinas</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07"/>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caps/>
                <w:lang w:val="es-ES"/>
              </w:rPr>
            </w:pPr>
            <w:r w:rsidRPr="00993936">
              <w:rPr>
                <w:rFonts w:ascii="Arial" w:hAnsi="Arial" w:cs="Arial"/>
                <w:b/>
                <w:lang w:val="es-ES"/>
              </w:rPr>
              <w:t>Trips</w:t>
            </w:r>
            <w:r w:rsidRPr="00993936">
              <w:rPr>
                <w:rFonts w:ascii="Arial" w:hAnsi="Arial" w:cs="Arial"/>
                <w:b/>
                <w:caps/>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(Frankliniella occidentalis)</w:t>
            </w:r>
          </w:p>
        </w:tc>
        <w:tc>
          <w:tcPr>
            <w:tcW w:w="3378" w:type="dxa"/>
            <w:tcBorders>
              <w:top w:val="double" w:sz="4" w:space="0" w:color="auto"/>
              <w:bottom w:val="single" w:sz="4" w:space="0" w:color="auto"/>
              <w:right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851"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7"/>
          <w:jc w:val="center"/>
        </w:trPr>
        <w:tc>
          <w:tcPr>
            <w:tcW w:w="2249" w:type="dxa"/>
            <w:vMerge/>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tc>
        <w:tc>
          <w:tcPr>
            <w:tcW w:w="851"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1D205D">
        <w:trPr>
          <w:cantSplit/>
          <w:trHeight w:val="57"/>
          <w:jc w:val="center"/>
        </w:trPr>
        <w:tc>
          <w:tcPr>
            <w:tcW w:w="2249" w:type="dxa"/>
            <w:vMerge/>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sing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Espinosad</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07"/>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dstrike/>
                <w:snapToGrid w:val="0"/>
                <w:lang w:val="es-ES" w:eastAsia="es-ES"/>
              </w:rPr>
            </w:pPr>
            <w:r w:rsidRPr="00993936">
              <w:rPr>
                <w:rFonts w:ascii="Arial" w:hAnsi="Arial" w:cs="Arial"/>
                <w:lang w:val="es-ES"/>
              </w:rPr>
              <w:t>Piretrinas</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13"/>
          <w:jc w:val="center"/>
        </w:trPr>
        <w:tc>
          <w:tcPr>
            <w:tcW w:w="2249" w:type="dxa"/>
            <w:vMerge w:val="restart"/>
            <w:tcBorders>
              <w:top w:val="double" w:sz="4" w:space="0" w:color="auto"/>
              <w:left w:val="doub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r w:rsidRPr="00993936">
              <w:rPr>
                <w:rFonts w:ascii="Arial" w:hAnsi="Arial" w:cs="Arial"/>
                <w:b/>
                <w:i/>
                <w:lang w:val="es-ES"/>
              </w:rPr>
              <w:t>Le</w:t>
            </w:r>
            <w:r w:rsidRPr="00993936">
              <w:rPr>
                <w:rFonts w:ascii="Arial" w:hAnsi="Arial" w:cs="Arial"/>
                <w:b/>
                <w:lang w:val="es-ES"/>
              </w:rPr>
              <w:t>pidóptero</w:t>
            </w:r>
            <w:r w:rsidRPr="00993936">
              <w:rPr>
                <w:rFonts w:ascii="Arial" w:hAnsi="Arial" w:cs="Arial"/>
                <w:b/>
                <w:i/>
                <w:lang w:val="es-ES"/>
              </w:rPr>
              <w:t>s</w:t>
            </w:r>
          </w:p>
        </w:tc>
        <w:tc>
          <w:tcPr>
            <w:tcW w:w="3378" w:type="dxa"/>
            <w:tcBorders>
              <w:top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Alfa cipermetrín</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tcBorders>
          </w:tcPr>
          <w:p w:rsidR="00503A41" w:rsidRPr="00993936" w:rsidRDefault="00503A41" w:rsidP="001D205D">
            <w:pPr>
              <w:pStyle w:val="Sinespaciado"/>
              <w:rPr>
                <w:rFonts w:ascii="Arial" w:hAnsi="Arial" w:cs="Arial"/>
                <w:lang w:val="es-ES"/>
              </w:rPr>
            </w:pPr>
          </w:p>
        </w:tc>
        <w:tc>
          <w:tcPr>
            <w:tcW w:w="851" w:type="dxa"/>
            <w:tcBorders>
              <w:top w:val="doub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13"/>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6"/>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Bacillus thuringiensis Aizawai p  </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6"/>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Bacillus thuringiensis Kurstaki p </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6"/>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dstrike/>
                <w:lang w:val="es-ES"/>
              </w:rPr>
            </w:pPr>
            <w:r w:rsidRPr="00993936">
              <w:rPr>
                <w:rFonts w:ascii="Arial" w:hAnsi="Arial" w:cs="Arial"/>
                <w:lang w:val="es-ES"/>
              </w:rPr>
              <w:t xml:space="preserve">Piretrinas </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6"/>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Cipermetrín</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06"/>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Clorpirifos (granulado)</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6"/>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Espinosad</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06"/>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0452B8">
        <w:trPr>
          <w:cantSplit/>
          <w:trHeight w:val="206"/>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bottom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Indoxacarb</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tcPr>
          <w:p w:rsidR="00503A41" w:rsidRPr="00993936" w:rsidRDefault="00503A41" w:rsidP="001D205D">
            <w:pPr>
              <w:pStyle w:val="Sinespaciado"/>
              <w:rPr>
                <w:rFonts w:ascii="Arial" w:hAnsi="Arial" w:cs="Arial"/>
                <w:lang w:val="es-ES"/>
              </w:rPr>
            </w:pPr>
          </w:p>
        </w:tc>
      </w:tr>
      <w:tr w:rsidR="00503A41" w:rsidRPr="00993936" w:rsidTr="000452B8">
        <w:trPr>
          <w:cantSplit/>
          <w:trHeight w:val="157"/>
          <w:jc w:val="center"/>
        </w:trPr>
        <w:tc>
          <w:tcPr>
            <w:tcW w:w="2249" w:type="dxa"/>
            <w:vMerge/>
            <w:tcBorders>
              <w:left w:val="double" w:sz="4" w:space="0" w:color="auto"/>
            </w:tcBorders>
            <w:shd w:val="clear" w:color="auto" w:fill="auto"/>
            <w:vAlign w:val="center"/>
          </w:tcPr>
          <w:p w:rsidR="00503A41" w:rsidRPr="00993936" w:rsidRDefault="00503A41" w:rsidP="001D205D">
            <w:pPr>
              <w:pStyle w:val="Sinespaciado"/>
              <w:rPr>
                <w:rFonts w:ascii="Arial" w:hAnsi="Arial" w:cs="Arial"/>
                <w:i/>
                <w:caps/>
                <w:lang w:val="es-ES"/>
              </w:rPr>
            </w:pPr>
          </w:p>
        </w:tc>
        <w:tc>
          <w:tcPr>
            <w:tcW w:w="3378" w:type="dxa"/>
            <w:tcBorders>
              <w:top w:val="single" w:sz="4" w:space="0" w:color="auto"/>
            </w:tcBorders>
            <w:shd w:val="clear" w:color="auto" w:fill="auto"/>
          </w:tcPr>
          <w:p w:rsidR="00503A41" w:rsidRPr="00993936" w:rsidRDefault="00503A41" w:rsidP="001D205D">
            <w:pPr>
              <w:pStyle w:val="Sinespaciado"/>
              <w:rPr>
                <w:rFonts w:ascii="Arial" w:hAnsi="Arial" w:cs="Arial"/>
                <w:strike/>
                <w:lang w:val="es-ES"/>
              </w:rPr>
            </w:pPr>
            <w:r w:rsidRPr="00993936">
              <w:rPr>
                <w:rFonts w:ascii="Arial" w:hAnsi="Arial" w:cs="Arial"/>
                <w:lang w:val="es-ES"/>
              </w:rPr>
              <w:t xml:space="preserve">Lambda-cihalotrín </w:t>
            </w:r>
          </w:p>
        </w:tc>
        <w:tc>
          <w:tcPr>
            <w:tcW w:w="851" w:type="dxa"/>
            <w:tcBorders>
              <w:top w:val="single" w:sz="4" w:space="0" w:color="auto"/>
            </w:tcBorders>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tcBorders>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tcBorders>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right w:val="double" w:sz="4" w:space="0" w:color="auto"/>
            </w:tcBorders>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210"/>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caps/>
                <w:lang w:val="es-ES"/>
              </w:rPr>
            </w:pPr>
            <w:r w:rsidRPr="00993936">
              <w:rPr>
                <w:rFonts w:ascii="Arial" w:hAnsi="Arial" w:cs="Arial"/>
                <w:b/>
                <w:i/>
                <w:lang w:val="es-ES"/>
              </w:rPr>
              <w:t xml:space="preserve">Rhizoctonia </w:t>
            </w:r>
            <w:r w:rsidRPr="00993936">
              <w:rPr>
                <w:rFonts w:ascii="Arial" w:hAnsi="Arial" w:cs="Arial"/>
                <w:b/>
                <w:lang w:val="es-ES"/>
              </w:rPr>
              <w:t>sp</w:t>
            </w:r>
            <w:r w:rsidRPr="00993936">
              <w:rPr>
                <w:rFonts w:ascii="Arial" w:hAnsi="Arial" w:cs="Arial"/>
                <w:b/>
                <w:i/>
                <w:caps/>
                <w:lang w:val="es-ES"/>
              </w:rPr>
              <w:t>.</w:t>
            </w:r>
          </w:p>
        </w:tc>
        <w:tc>
          <w:tcPr>
            <w:tcW w:w="3378" w:type="dxa"/>
            <w:tcBorders>
              <w:top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lang w:val="es-ES"/>
              </w:rPr>
              <w:t xml:space="preserve">Pencicuró </w:t>
            </w:r>
          </w:p>
        </w:tc>
        <w:tc>
          <w:tcPr>
            <w:tcW w:w="851" w:type="dxa"/>
            <w:tcBorders>
              <w:top w:val="double" w:sz="4" w:space="0" w:color="auto"/>
              <w:bottom w:val="single" w:sz="4" w:space="0" w:color="auto"/>
            </w:tcBorders>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right w:val="double" w:sz="4" w:space="0" w:color="auto"/>
            </w:tcBorders>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210"/>
          <w:jc w:val="center"/>
        </w:trPr>
        <w:tc>
          <w:tcPr>
            <w:tcW w:w="2249" w:type="dxa"/>
            <w:vMerge/>
            <w:tcBorders>
              <w:top w:val="single" w:sz="4" w:space="0" w:color="auto"/>
              <w:left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doub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doub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doub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double" w:sz="4" w:space="0" w:color="auto"/>
              <w:right w:val="double" w:sz="4" w:space="0" w:color="auto"/>
            </w:tcBorders>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210"/>
          <w:jc w:val="center"/>
        </w:trPr>
        <w:tc>
          <w:tcPr>
            <w:tcW w:w="2249" w:type="dxa"/>
            <w:tcBorders>
              <w:top w:val="double" w:sz="4" w:space="0" w:color="auto"/>
              <w:left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r w:rsidRPr="00993936">
              <w:rPr>
                <w:rFonts w:ascii="Arial" w:hAnsi="Arial" w:cs="Arial"/>
                <w:b/>
                <w:i/>
                <w:lang w:val="es-ES"/>
              </w:rPr>
              <w:t>Cercospora</w:t>
            </w:r>
          </w:p>
        </w:tc>
        <w:tc>
          <w:tcPr>
            <w:tcW w:w="3378" w:type="dxa"/>
            <w:tcBorders>
              <w:top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Azoxistrobín</w:t>
            </w:r>
          </w:p>
        </w:tc>
        <w:tc>
          <w:tcPr>
            <w:tcW w:w="851" w:type="dxa"/>
            <w:tcBorders>
              <w:top w:val="double" w:sz="4" w:space="0" w:color="auto"/>
              <w:bottom w:val="double" w:sz="4" w:space="0" w:color="auto"/>
            </w:tcBorders>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bottom w:val="doub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bottom w:val="doub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bottom w:val="double" w:sz="4" w:space="0" w:color="auto"/>
              <w:right w:val="double" w:sz="4" w:space="0" w:color="auto"/>
            </w:tcBorders>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257"/>
          <w:jc w:val="center"/>
        </w:trPr>
        <w:tc>
          <w:tcPr>
            <w:tcW w:w="2249" w:type="dxa"/>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r w:rsidRPr="00993936">
              <w:rPr>
                <w:rFonts w:ascii="Arial" w:hAnsi="Arial" w:cs="Arial"/>
                <w:b/>
                <w:i/>
                <w:lang w:val="es-ES"/>
              </w:rPr>
              <w:t>Pytium spp</w:t>
            </w:r>
          </w:p>
        </w:tc>
        <w:tc>
          <w:tcPr>
            <w:tcW w:w="3378" w:type="dxa"/>
            <w:tcBorders>
              <w:top w:val="double" w:sz="4" w:space="0" w:color="auto"/>
            </w:tcBorders>
            <w:shd w:val="clear" w:color="auto" w:fill="auto"/>
            <w:vAlign w:val="center"/>
          </w:tcPr>
          <w:p w:rsidR="00503A41" w:rsidRPr="00993936" w:rsidRDefault="00503A41" w:rsidP="001D205D">
            <w:pPr>
              <w:pStyle w:val="Sinespaciado"/>
              <w:rPr>
                <w:rFonts w:ascii="Arial" w:hAnsi="Arial" w:cs="Arial"/>
                <w:snapToGrid w:val="0"/>
                <w:lang w:val="es-ES" w:eastAsia="es-ES"/>
              </w:rPr>
            </w:pPr>
          </w:p>
        </w:tc>
        <w:tc>
          <w:tcPr>
            <w:tcW w:w="851" w:type="dxa"/>
            <w:tcBorders>
              <w:top w:val="double" w:sz="4" w:space="0" w:color="auto"/>
            </w:tcBorders>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tcBorders>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tcBorders>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right w:val="double" w:sz="4" w:space="0" w:color="auto"/>
            </w:tcBorders>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4"/>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r w:rsidRPr="00993936">
              <w:rPr>
                <w:rFonts w:ascii="Arial" w:hAnsi="Arial" w:cs="Arial"/>
                <w:b/>
                <w:i/>
                <w:lang w:val="es-ES"/>
              </w:rPr>
              <w:t xml:space="preserve">Alternaría </w:t>
            </w:r>
            <w:r w:rsidRPr="00993936">
              <w:rPr>
                <w:rFonts w:ascii="Arial" w:hAnsi="Arial" w:cs="Arial"/>
                <w:b/>
                <w:lang w:val="es-ES"/>
              </w:rPr>
              <w:t>spp</w:t>
            </w:r>
            <w:r w:rsidRPr="00993936">
              <w:rPr>
                <w:rFonts w:ascii="Arial" w:hAnsi="Arial" w:cs="Arial"/>
                <w:b/>
                <w:i/>
                <w:caps/>
                <w:lang w:val="es-ES"/>
              </w:rPr>
              <w:t>.</w:t>
            </w:r>
          </w:p>
        </w:tc>
        <w:tc>
          <w:tcPr>
            <w:tcW w:w="3378"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851" w:type="dxa"/>
            <w:tcBorders>
              <w:top w:val="doub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Clortalonil</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Difenoconazol</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 (4)</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Mancozeb</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dstrike/>
                <w:lang w:val="es-ES"/>
              </w:rPr>
            </w:pPr>
          </w:p>
        </w:tc>
        <w:tc>
          <w:tcPr>
            <w:tcW w:w="851" w:type="dxa"/>
            <w:tcBorders>
              <w:top w:val="sing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dstrike/>
                <w:lang w:val="es-ES"/>
              </w:rPr>
            </w:pPr>
          </w:p>
        </w:tc>
        <w:tc>
          <w:tcPr>
            <w:tcW w:w="851" w:type="dxa"/>
            <w:tcBorders>
              <w:top w:val="single" w:sz="4" w:space="0" w:color="auto"/>
              <w:bottom w:val="single" w:sz="4" w:space="0" w:color="auto"/>
              <w:right w:val="double" w:sz="4" w:space="0" w:color="auto"/>
            </w:tcBorders>
            <w:shd w:val="clear" w:color="auto" w:fill="auto"/>
          </w:tcPr>
          <w:p w:rsidR="00503A41" w:rsidRPr="00993936" w:rsidRDefault="00503A41" w:rsidP="001D205D">
            <w:pPr>
              <w:pStyle w:val="Sinespaciado"/>
              <w:jc w:val="center"/>
              <w:rPr>
                <w:rFonts w:ascii="Arial" w:hAnsi="Arial" w:cs="Arial"/>
                <w:dstrike/>
                <w:lang w:val="es-ES"/>
              </w:rPr>
            </w:pPr>
            <w:r w:rsidRPr="00993936">
              <w:rPr>
                <w:rFonts w:ascii="Arial" w:hAnsi="Arial" w:cs="Arial"/>
                <w:lang w:val="es-ES"/>
              </w:rPr>
              <w:t>X</w:t>
            </w:r>
          </w:p>
        </w:tc>
      </w:tr>
      <w:tr w:rsidR="00503A41" w:rsidRPr="00993936" w:rsidTr="000452B8">
        <w:trPr>
          <w:cantSplit/>
          <w:trHeight w:val="109"/>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Boscalida + Piraclostrobín</w:t>
            </w:r>
          </w:p>
        </w:tc>
        <w:tc>
          <w:tcPr>
            <w:tcW w:w="851" w:type="dxa"/>
            <w:tcBorders>
              <w:top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Oxicloruro de cobre + Sulfato cuprocálcico </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Oxicloruro de cobre </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Óxido cuproso </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Sulfato cuprocálcico </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4"/>
          <w:jc w:val="center"/>
        </w:trPr>
        <w:tc>
          <w:tcPr>
            <w:tcW w:w="2249" w:type="dxa"/>
            <w:vMerge/>
            <w:tcBorders>
              <w:top w:val="single" w:sz="4" w:space="0" w:color="auto"/>
              <w:left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b/>
                <w:i/>
                <w:caps/>
                <w:lang w:val="es-ES"/>
              </w:rPr>
            </w:pPr>
          </w:p>
        </w:tc>
        <w:tc>
          <w:tcPr>
            <w:tcW w:w="3378"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Sulfato tribásico de cobre </w:t>
            </w:r>
          </w:p>
        </w:tc>
        <w:tc>
          <w:tcPr>
            <w:tcW w:w="851" w:type="dxa"/>
            <w:tcBorders>
              <w:top w:val="single" w:sz="4" w:space="0" w:color="auto"/>
              <w:bottom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doub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4"/>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caps/>
                <w:lang w:val="es-ES"/>
              </w:rPr>
            </w:pPr>
            <w:r w:rsidRPr="00993936">
              <w:rPr>
                <w:rFonts w:ascii="Arial" w:hAnsi="Arial" w:cs="Arial"/>
                <w:b/>
                <w:lang w:val="es-ES"/>
              </w:rPr>
              <w:t>Septoria</w:t>
            </w:r>
          </w:p>
        </w:tc>
        <w:tc>
          <w:tcPr>
            <w:tcW w:w="3378"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851" w:type="dxa"/>
            <w:tcBorders>
              <w:top w:val="doub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4"/>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Clortalonil </w:t>
            </w:r>
          </w:p>
        </w:tc>
        <w:tc>
          <w:tcPr>
            <w:tcW w:w="851" w:type="dxa"/>
            <w:tcBorders>
              <w:top w:val="sing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shd w:val="clear" w:color="auto" w:fill="auto"/>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238"/>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caps/>
                <w:lang w:val="es-ES"/>
              </w:rPr>
            </w:pPr>
          </w:p>
        </w:tc>
        <w:tc>
          <w:tcPr>
            <w:tcW w:w="3378" w:type="dxa"/>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Difenoconazol</w:t>
            </w:r>
          </w:p>
        </w:tc>
        <w:tc>
          <w:tcPr>
            <w:tcW w:w="851" w:type="dxa"/>
            <w:tcBorders>
              <w:top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63"/>
          <w:jc w:val="center"/>
        </w:trPr>
        <w:tc>
          <w:tcPr>
            <w:tcW w:w="2249" w:type="dxa"/>
            <w:vMerge w:val="restart"/>
            <w:tcBorders>
              <w:top w:val="doub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b/>
                <w:iCs/>
                <w:caps/>
                <w:lang w:val="es-ES"/>
              </w:rPr>
            </w:pPr>
            <w:r w:rsidRPr="00993936">
              <w:rPr>
                <w:rFonts w:ascii="Arial" w:hAnsi="Arial" w:cs="Arial"/>
                <w:b/>
                <w:iCs/>
                <w:lang w:val="es-ES"/>
              </w:rPr>
              <w:t>Podredumbres</w:t>
            </w:r>
          </w:p>
          <w:p w:rsidR="00503A41" w:rsidRPr="00993936" w:rsidRDefault="00503A41" w:rsidP="001D205D">
            <w:pPr>
              <w:pStyle w:val="Sinespaciado"/>
              <w:rPr>
                <w:rFonts w:ascii="Arial" w:hAnsi="Arial" w:cs="Arial"/>
                <w:i/>
                <w:iCs/>
                <w:caps/>
                <w:lang w:val="es-ES"/>
              </w:rPr>
            </w:pPr>
            <w:r w:rsidRPr="00993936">
              <w:rPr>
                <w:rFonts w:ascii="Arial" w:hAnsi="Arial" w:cs="Arial"/>
                <w:i/>
                <w:iCs/>
                <w:lang w:val="es-ES"/>
              </w:rPr>
              <w:t>(botrytis spp.) (sclerotnia spp.)</w:t>
            </w:r>
          </w:p>
        </w:tc>
        <w:tc>
          <w:tcPr>
            <w:tcW w:w="3378" w:type="dxa"/>
            <w:tcBorders>
              <w:top w:val="doub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Clortalonil</w:t>
            </w:r>
          </w:p>
        </w:tc>
        <w:tc>
          <w:tcPr>
            <w:tcW w:w="851" w:type="dxa"/>
            <w:tcBorders>
              <w:top w:val="doub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bottom w:val="single" w:sz="4" w:space="0" w:color="auto"/>
              <w:right w:val="double" w:sz="4" w:space="0" w:color="auto"/>
            </w:tcBorders>
            <w:shd w:val="clear" w:color="auto" w:fill="auto"/>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63"/>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i/>
                <w:iCs/>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Coniothyrium minitans </w:t>
            </w:r>
          </w:p>
        </w:tc>
        <w:tc>
          <w:tcPr>
            <w:tcW w:w="851" w:type="dxa"/>
            <w:tcBorders>
              <w:top w:val="sing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bottom w:val="single" w:sz="4" w:space="0" w:color="auto"/>
            </w:tcBorders>
            <w:shd w:val="clear" w:color="auto" w:fill="auto"/>
          </w:tcPr>
          <w:p w:rsidR="00503A41" w:rsidRPr="00993936" w:rsidRDefault="00503A41" w:rsidP="001D205D">
            <w:pPr>
              <w:pStyle w:val="Sinespaciado"/>
              <w:jc w:val="center"/>
              <w:rPr>
                <w:rFonts w:ascii="Arial" w:hAnsi="Arial" w:cs="Arial"/>
                <w:dstrike/>
                <w:lang w:val="es-ES"/>
              </w:rPr>
            </w:pPr>
            <w:r w:rsidRPr="00993936">
              <w:rPr>
                <w:rFonts w:ascii="Arial" w:hAnsi="Arial" w:cs="Arial"/>
                <w:lang w:val="es-ES"/>
              </w:rPr>
              <w:t>X</w:t>
            </w:r>
          </w:p>
        </w:tc>
        <w:tc>
          <w:tcPr>
            <w:tcW w:w="851" w:type="dxa"/>
            <w:tcBorders>
              <w:top w:val="single" w:sz="4" w:space="0" w:color="auto"/>
              <w:bottom w:val="single" w:sz="4" w:space="0" w:color="auto"/>
              <w:right w:val="double" w:sz="4" w:space="0" w:color="auto"/>
            </w:tcBorders>
            <w:shd w:val="clear" w:color="auto" w:fill="auto"/>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63"/>
          <w:jc w:val="center"/>
        </w:trPr>
        <w:tc>
          <w:tcPr>
            <w:tcW w:w="2249" w:type="dxa"/>
            <w:vMerge/>
            <w:tcBorders>
              <w:top w:val="single" w:sz="4" w:space="0" w:color="auto"/>
              <w:left w:val="double" w:sz="4" w:space="0" w:color="auto"/>
              <w:bottom w:val="single" w:sz="4" w:space="0" w:color="auto"/>
            </w:tcBorders>
            <w:shd w:val="clear" w:color="auto" w:fill="auto"/>
            <w:vAlign w:val="center"/>
          </w:tcPr>
          <w:p w:rsidR="00503A41" w:rsidRPr="00993936" w:rsidRDefault="00503A41" w:rsidP="001D205D">
            <w:pPr>
              <w:pStyle w:val="Sinespaciado"/>
              <w:rPr>
                <w:rFonts w:ascii="Arial" w:hAnsi="Arial" w:cs="Arial"/>
                <w:i/>
                <w:iCs/>
                <w:caps/>
                <w:lang w:val="es-ES"/>
              </w:rPr>
            </w:pPr>
          </w:p>
        </w:tc>
        <w:tc>
          <w:tcPr>
            <w:tcW w:w="3378" w:type="dxa"/>
            <w:tcBorders>
              <w:top w:val="single" w:sz="4" w:space="0" w:color="auto"/>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Iprodiona </w:t>
            </w: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sing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c>
          <w:tcPr>
            <w:tcW w:w="851" w:type="dxa"/>
            <w:tcBorders>
              <w:top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63"/>
          <w:jc w:val="center"/>
        </w:trPr>
        <w:tc>
          <w:tcPr>
            <w:tcW w:w="2249" w:type="dxa"/>
            <w:vMerge/>
            <w:tcBorders>
              <w:top w:val="single" w:sz="4" w:space="0" w:color="auto"/>
              <w:left w:val="double" w:sz="4" w:space="0" w:color="auto"/>
              <w:bottom w:val="double" w:sz="4" w:space="0" w:color="auto"/>
            </w:tcBorders>
            <w:shd w:val="clear" w:color="auto" w:fill="auto"/>
            <w:vAlign w:val="center"/>
          </w:tcPr>
          <w:p w:rsidR="00503A41" w:rsidRPr="00993936" w:rsidRDefault="00503A41" w:rsidP="001D205D">
            <w:pPr>
              <w:pStyle w:val="Sinespaciado"/>
              <w:rPr>
                <w:rFonts w:ascii="Arial" w:hAnsi="Arial" w:cs="Arial"/>
                <w:i/>
                <w:iCs/>
                <w:caps/>
                <w:lang w:val="es-ES"/>
              </w:rPr>
            </w:pPr>
          </w:p>
        </w:tc>
        <w:tc>
          <w:tcPr>
            <w:tcW w:w="3378" w:type="dxa"/>
            <w:tcBorders>
              <w:top w:val="single" w:sz="4" w:space="0" w:color="auto"/>
              <w:bottom w:val="doub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single" w:sz="4" w:space="0" w:color="auto"/>
              <w:bottom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bottom w:val="doub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bl>
    <w:p w:rsidR="00503A41" w:rsidRPr="00993936" w:rsidRDefault="00503A41">
      <w:pPr>
        <w:rPr>
          <w:rFonts w:ascii="Arial" w:hAnsi="Arial" w:cs="Arial"/>
          <w:sz w:val="2"/>
          <w:szCs w:val="10"/>
          <w:lang w:val="es-ES"/>
        </w:rPr>
      </w:pP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25"/>
        <w:gridCol w:w="3402"/>
        <w:gridCol w:w="851"/>
        <w:gridCol w:w="851"/>
        <w:gridCol w:w="851"/>
        <w:gridCol w:w="851"/>
      </w:tblGrid>
      <w:tr w:rsidR="00503A41" w:rsidRPr="00993936" w:rsidTr="000452B8">
        <w:trPr>
          <w:cantSplit/>
          <w:trHeight w:val="185"/>
          <w:jc w:val="center"/>
        </w:trPr>
        <w:tc>
          <w:tcPr>
            <w:tcW w:w="2225" w:type="dxa"/>
            <w:vMerge w:val="restart"/>
            <w:tcBorders>
              <w:top w:val="single" w:sz="4" w:space="0" w:color="auto"/>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Mildiu</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Clortalonil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Dimetomorf + Piraclostrobín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Mancozeb</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Mancozeb + Sulfato cuprocálcico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Mancozeb + Oxicloruro de cobre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Metalaxil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 (4)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Mandipropamida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Oxicloruro de cobre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Óxido cuproso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Sulfato cuprocálcico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2225" w:type="dxa"/>
            <w:vMerge/>
            <w:tcBorders>
              <w:left w:val="doub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Sulfato tribásico de cobre </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doub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239"/>
          <w:jc w:val="center"/>
        </w:trPr>
        <w:tc>
          <w:tcPr>
            <w:tcW w:w="2225"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 xml:space="preserve">Bacterias </w:t>
            </w:r>
          </w:p>
          <w:p w:rsidR="00503A41" w:rsidRPr="00993936" w:rsidRDefault="00503A41" w:rsidP="001D205D">
            <w:pPr>
              <w:pStyle w:val="Sinespaciado"/>
              <w:rPr>
                <w:rFonts w:ascii="Arial" w:hAnsi="Arial" w:cs="Arial"/>
                <w:lang w:val="es-ES"/>
              </w:rPr>
            </w:pPr>
            <w:r w:rsidRPr="00993936">
              <w:rPr>
                <w:rFonts w:ascii="Arial" w:hAnsi="Arial" w:cs="Arial"/>
                <w:lang w:val="es-ES"/>
              </w:rPr>
              <w:t>(Erwinia carotovora)</w:t>
            </w:r>
          </w:p>
        </w:tc>
        <w:tc>
          <w:tcPr>
            <w:tcW w:w="3402" w:type="dxa"/>
            <w:tcBorders>
              <w:top w:val="double" w:sz="4" w:space="0" w:color="auto"/>
              <w:left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 (4)</w:t>
            </w:r>
          </w:p>
        </w:tc>
        <w:tc>
          <w:tcPr>
            <w:tcW w:w="851" w:type="dxa"/>
            <w:tcBorders>
              <w:top w:val="double" w:sz="4" w:space="0" w:color="auto"/>
              <w:left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left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left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double" w:sz="4" w:space="0" w:color="auto"/>
              <w:left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5"/>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Oxicloruro de cobre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5"/>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Óxido cuproso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5"/>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Sulfato cuprocálcico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5"/>
          <w:jc w:val="center"/>
        </w:trPr>
        <w:tc>
          <w:tcPr>
            <w:tcW w:w="2225" w:type="dxa"/>
            <w:vMerge/>
            <w:tcBorders>
              <w:top w:val="single" w:sz="4" w:space="0" w:color="auto"/>
              <w:left w:val="doub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Sulfato tribásico de cobre</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doub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doub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225"/>
          <w:jc w:val="center"/>
        </w:trPr>
        <w:tc>
          <w:tcPr>
            <w:tcW w:w="2225" w:type="dxa"/>
            <w:vMerge w:val="restart"/>
            <w:tcBorders>
              <w:top w:val="doub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Oídio</w:t>
            </w:r>
          </w:p>
        </w:tc>
        <w:tc>
          <w:tcPr>
            <w:tcW w:w="3402" w:type="dxa"/>
            <w:tcBorders>
              <w:top w:val="doub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225"/>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Carbonato de hidrógeno de potasio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225"/>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Boscalida + Piraclostrobín</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225"/>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Aceite de Naranja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225"/>
          <w:jc w:val="center"/>
        </w:trPr>
        <w:tc>
          <w:tcPr>
            <w:tcW w:w="2225" w:type="dxa"/>
            <w:vMerge/>
            <w:tcBorders>
              <w:top w:val="single" w:sz="4" w:space="0" w:color="auto"/>
              <w:left w:val="doub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rPr>
                <w:rFonts w:ascii="Arial" w:hAnsi="Arial" w:cs="Arial"/>
                <w:lang w:val="es-ES"/>
              </w:rPr>
            </w:pPr>
          </w:p>
        </w:tc>
        <w:tc>
          <w:tcPr>
            <w:tcW w:w="3402" w:type="dxa"/>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851" w:type="dxa"/>
            <w:tcBorders>
              <w:top w:val="single" w:sz="4" w:space="0" w:color="auto"/>
              <w:left w:val="single" w:sz="4" w:space="0" w:color="auto"/>
              <w:bottom w:val="single" w:sz="4" w:space="0" w:color="auto"/>
              <w:right w:val="double" w:sz="4" w:space="0" w:color="auto"/>
            </w:tcBorders>
            <w:shd w:val="clear" w:color="auto" w:fill="auto"/>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240"/>
          <w:jc w:val="center"/>
        </w:trPr>
        <w:tc>
          <w:tcPr>
            <w:tcW w:w="2225" w:type="dxa"/>
            <w:tcBorders>
              <w:top w:val="double" w:sz="4" w:space="0" w:color="auto"/>
              <w:left w:val="double" w:sz="4" w:space="0" w:color="auto"/>
              <w:bottom w:val="double" w:sz="4" w:space="0" w:color="auto"/>
              <w:right w:val="single" w:sz="4" w:space="0" w:color="auto"/>
            </w:tcBorders>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Nemátodos</w:t>
            </w:r>
          </w:p>
        </w:tc>
        <w:tc>
          <w:tcPr>
            <w:tcW w:w="3402" w:type="dxa"/>
            <w:tcBorders>
              <w:top w:val="double" w:sz="4" w:space="0" w:color="auto"/>
              <w:left w:val="single" w:sz="4" w:space="0" w:color="auto"/>
              <w:bottom w:val="double" w:sz="4" w:space="0" w:color="auto"/>
              <w:right w:val="single" w:sz="4" w:space="0" w:color="auto"/>
            </w:tcBorders>
            <w:vAlign w:val="center"/>
          </w:tcPr>
          <w:p w:rsidR="00503A41" w:rsidRPr="00993936" w:rsidRDefault="00503A41" w:rsidP="001D205D">
            <w:pPr>
              <w:pStyle w:val="Sinespaciado"/>
              <w:rPr>
                <w:rFonts w:ascii="Arial" w:hAnsi="Arial" w:cs="Arial"/>
                <w:lang w:val="es-ES"/>
              </w:rPr>
            </w:pPr>
          </w:p>
        </w:tc>
        <w:tc>
          <w:tcPr>
            <w:tcW w:w="851" w:type="dxa"/>
            <w:tcBorders>
              <w:top w:val="double" w:sz="4" w:space="0" w:color="auto"/>
              <w:left w:val="single" w:sz="4" w:space="0" w:color="auto"/>
              <w:bottom w:val="double" w:sz="4" w:space="0" w:color="auto"/>
              <w:right w:val="sing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double" w:sz="4" w:space="0" w:color="auto"/>
              <w:right w:val="sing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double" w:sz="4" w:space="0" w:color="auto"/>
              <w:right w:val="sing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double" w:sz="4" w:space="0" w:color="auto"/>
              <w:right w:val="double" w:sz="4" w:space="0" w:color="auto"/>
            </w:tcBorders>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240"/>
          <w:jc w:val="center"/>
        </w:trPr>
        <w:tc>
          <w:tcPr>
            <w:tcW w:w="2225" w:type="dxa"/>
            <w:tcBorders>
              <w:top w:val="double" w:sz="4" w:space="0" w:color="auto"/>
              <w:left w:val="double" w:sz="4" w:space="0" w:color="auto"/>
              <w:bottom w:val="double" w:sz="4" w:space="0" w:color="auto"/>
              <w:right w:val="single" w:sz="4" w:space="0" w:color="auto"/>
            </w:tcBorders>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Otras plagas y enfermedades</w:t>
            </w:r>
          </w:p>
        </w:tc>
        <w:tc>
          <w:tcPr>
            <w:tcW w:w="3402" w:type="dxa"/>
            <w:tcBorders>
              <w:top w:val="double" w:sz="4" w:space="0" w:color="auto"/>
              <w:left w:val="single" w:sz="4" w:space="0" w:color="auto"/>
              <w:bottom w:val="double" w:sz="4" w:space="0" w:color="auto"/>
              <w:right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Las expresamente autorizadas en el cultivo, teniendo en cuenta su efecto sobre la fauna útil y su toxicología</w:t>
            </w:r>
          </w:p>
        </w:tc>
        <w:tc>
          <w:tcPr>
            <w:tcW w:w="851" w:type="dxa"/>
            <w:tcBorders>
              <w:top w:val="double" w:sz="4" w:space="0" w:color="auto"/>
              <w:left w:val="single" w:sz="4" w:space="0" w:color="auto"/>
              <w:bottom w:val="double" w:sz="4" w:space="0" w:color="auto"/>
              <w:right w:val="sing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double" w:sz="4" w:space="0" w:color="auto"/>
              <w:right w:val="sing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double" w:sz="4" w:space="0" w:color="auto"/>
              <w:right w:val="single" w:sz="4" w:space="0" w:color="auto"/>
            </w:tcBorders>
            <w:vAlign w:val="center"/>
          </w:tcPr>
          <w:p w:rsidR="00503A41" w:rsidRPr="00993936" w:rsidRDefault="00503A41" w:rsidP="001D205D">
            <w:pPr>
              <w:pStyle w:val="Sinespaciado"/>
              <w:jc w:val="center"/>
              <w:rPr>
                <w:rFonts w:ascii="Arial" w:hAnsi="Arial" w:cs="Arial"/>
                <w:lang w:val="es-ES"/>
              </w:rPr>
            </w:pPr>
          </w:p>
        </w:tc>
        <w:tc>
          <w:tcPr>
            <w:tcW w:w="851" w:type="dxa"/>
            <w:tcBorders>
              <w:top w:val="double" w:sz="4" w:space="0" w:color="auto"/>
              <w:left w:val="single" w:sz="4" w:space="0" w:color="auto"/>
              <w:bottom w:val="double" w:sz="4" w:space="0" w:color="auto"/>
              <w:right w:val="double" w:sz="4" w:space="0" w:color="auto"/>
            </w:tcBorders>
            <w:vAlign w:val="center"/>
          </w:tcPr>
          <w:p w:rsidR="00503A41" w:rsidRPr="00993936" w:rsidRDefault="00503A41" w:rsidP="001D205D">
            <w:pPr>
              <w:pStyle w:val="Sinespaciado"/>
              <w:jc w:val="center"/>
              <w:rPr>
                <w:rFonts w:ascii="Arial" w:hAnsi="Arial" w:cs="Arial"/>
                <w:lang w:val="es-ES"/>
              </w:rPr>
            </w:pPr>
          </w:p>
        </w:tc>
      </w:tr>
    </w:tbl>
    <w:p w:rsidR="00503A41" w:rsidRPr="00993936" w:rsidRDefault="00503A41" w:rsidP="000452B8">
      <w:pPr>
        <w:jc w:val="both"/>
        <w:rPr>
          <w:rFonts w:ascii="Arial" w:hAnsi="Arial" w:cs="Arial"/>
          <w:b/>
          <w:sz w:val="16"/>
          <w:szCs w:val="16"/>
          <w:lang w:val="es-ES"/>
        </w:rPr>
      </w:pPr>
    </w:p>
    <w:p w:rsidR="00503A41" w:rsidRPr="00993936" w:rsidRDefault="00503A41" w:rsidP="000452B8">
      <w:pPr>
        <w:ind w:left="284"/>
        <w:rPr>
          <w:rFonts w:ascii="Arial" w:hAnsi="Arial" w:cs="Arial"/>
          <w:sz w:val="18"/>
          <w:lang w:val="es-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jc w:val="both"/>
        <w:rPr>
          <w:rFonts w:ascii="Arial" w:hAnsi="Arial" w:cs="Arial"/>
          <w:b/>
          <w:sz w:val="18"/>
          <w:szCs w:val="18"/>
          <w:lang w:val="es-ES"/>
        </w:rPr>
      </w:pPr>
      <w:r w:rsidRPr="00993936">
        <w:rPr>
          <w:rFonts w:ascii="Arial" w:hAnsi="Arial" w:cs="Arial"/>
          <w:b/>
          <w:sz w:val="18"/>
          <w:szCs w:val="18"/>
          <w:lang w:val="es-ES"/>
        </w:rPr>
        <w:br w:type="page"/>
      </w:r>
    </w:p>
    <w:p w:rsidR="00503A41" w:rsidRPr="00993936" w:rsidRDefault="00503A41" w:rsidP="000452B8">
      <w:pPr>
        <w:jc w:val="center"/>
        <w:rPr>
          <w:rFonts w:ascii="Arial" w:hAnsi="Arial" w:cs="Arial"/>
          <w:b/>
          <w:sz w:val="28"/>
          <w:szCs w:val="28"/>
          <w:u w:val="single"/>
          <w:lang w:val="es-ES"/>
        </w:rPr>
      </w:pPr>
      <w:r w:rsidRPr="00993936">
        <w:rPr>
          <w:rFonts w:ascii="Arial" w:hAnsi="Arial" w:cs="Arial"/>
          <w:b/>
          <w:sz w:val="28"/>
          <w:szCs w:val="28"/>
          <w:u w:val="single"/>
          <w:lang w:val="es-ES"/>
        </w:rPr>
        <w:lastRenderedPageBreak/>
        <w:t>CULTIVO: ACELGAS</w:t>
      </w:r>
      <w:r w:rsidRPr="00993936">
        <w:rPr>
          <w:rFonts w:ascii="Arial" w:hAnsi="Arial" w:cs="Arial"/>
          <w:b/>
          <w:vanish/>
          <w:sz w:val="28"/>
          <w:szCs w:val="28"/>
          <w:u w:val="single"/>
          <w:lang w:val="es-ES"/>
        </w:rPr>
        <w:t>&lt;A[ACELGAS|PÁNFILAS]&gt;</w:t>
      </w:r>
      <w:r w:rsidRPr="00993936">
        <w:rPr>
          <w:rFonts w:ascii="Arial" w:hAnsi="Arial" w:cs="Arial"/>
          <w:b/>
          <w:sz w:val="28"/>
          <w:szCs w:val="28"/>
          <w:u w:val="single"/>
          <w:lang w:val="es-ES"/>
        </w:rPr>
        <w:t xml:space="preserve"> Y ESPINACAS</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t>ANEXO 4</w:t>
      </w:r>
    </w:p>
    <w:p w:rsidR="00503A41" w:rsidRPr="00993936" w:rsidRDefault="00503A41" w:rsidP="000452B8">
      <w:pPr>
        <w:rPr>
          <w:rFonts w:ascii="Arial" w:hAnsi="Arial" w:cs="Arial"/>
          <w:b/>
          <w:snapToGrid w:val="0"/>
          <w:lang w:val="es-ES"/>
        </w:rPr>
      </w:pPr>
      <w:r w:rsidRPr="00993936">
        <w:rPr>
          <w:rFonts w:ascii="Arial" w:hAnsi="Arial" w:cs="Arial"/>
          <w:b/>
          <w:snapToGrid w:val="0"/>
          <w:lang w:val="es-ES"/>
        </w:rPr>
        <w:t>Materias activas de herbicidas para la producción integrada de acelgas</w:t>
      </w:r>
      <w:r w:rsidRPr="00993936">
        <w:rPr>
          <w:rFonts w:ascii="Arial" w:hAnsi="Arial" w:cs="Arial"/>
          <w:b/>
          <w:snapToGrid w:val="0"/>
          <w:vanish/>
          <w:lang w:val="es-ES"/>
        </w:rPr>
        <w:t>&lt;A[acelgas|pánfilas]&gt;</w:t>
      </w:r>
      <w:r w:rsidRPr="00993936">
        <w:rPr>
          <w:rFonts w:ascii="Arial" w:hAnsi="Arial" w:cs="Arial"/>
          <w:b/>
          <w:snapToGrid w:val="0"/>
          <w:lang w:val="es-ES"/>
        </w:rPr>
        <w:t xml:space="preserve"> y espinacas</w:t>
      </w:r>
    </w:p>
    <w:p w:rsidR="00503A41" w:rsidRPr="00993936" w:rsidRDefault="00503A41" w:rsidP="000452B8">
      <w:pPr>
        <w:rPr>
          <w:rFonts w:ascii="Arial" w:hAnsi="Arial" w:cs="Arial"/>
          <w:b/>
          <w:snapToGrid w:val="0"/>
          <w:lang w:val="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9"/>
        <w:gridCol w:w="471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6550"/>
          <w:jc w:val="center"/>
        </w:trPr>
        <w:tc>
          <w:tcPr>
            <w:tcW w:w="2418" w:type="pct"/>
            <w:vAlign w:val="center"/>
          </w:tcPr>
          <w:p w:rsidR="00503A41" w:rsidRPr="00993936" w:rsidRDefault="00503A41" w:rsidP="000452B8">
            <w:pPr>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 + Glifosato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Diquat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Etofumesat + Metamitrona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Fluazifop</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w:t>
            </w:r>
          </w:p>
          <w:p w:rsidR="00503A41" w:rsidRPr="00993936" w:rsidRDefault="00503A41" w:rsidP="001D205D">
            <w:pPr>
              <w:pStyle w:val="Sinespaciado"/>
              <w:rPr>
                <w:rFonts w:ascii="Arial" w:hAnsi="Arial" w:cs="Arial"/>
                <w:sz w:val="18"/>
                <w:szCs w:val="18"/>
                <w:lang w:val="es-ES"/>
              </w:rPr>
            </w:pPr>
            <w:r w:rsidRPr="00993936">
              <w:rPr>
                <w:rFonts w:ascii="Arial" w:hAnsi="Arial" w:cs="Arial"/>
                <w:snapToGrid w:val="0"/>
                <w:lang w:val="es-ES"/>
              </w:rPr>
              <w:t>Glufosinato</w:t>
            </w:r>
            <w:r w:rsidRPr="00993936">
              <w:rPr>
                <w:rFonts w:ascii="Arial" w:hAnsi="Arial" w:cs="Arial"/>
                <w:sz w:val="18"/>
                <w:lang w:val="es-ES"/>
              </w:rPr>
              <w:t xml:space="preserve"> </w:t>
            </w:r>
            <w:r w:rsidRPr="00993936">
              <w:rPr>
                <w:rFonts w:ascii="Arial" w:hAnsi="Arial" w:cs="Arial"/>
                <w:sz w:val="18"/>
                <w:szCs w:val="18"/>
                <w:lang w:val="es-ES"/>
              </w:rPr>
              <w:t xml:space="preserv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Lenacil </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rPr>
              <w:t>Piridato</w:t>
            </w:r>
          </w:p>
        </w:tc>
        <w:tc>
          <w:tcPr>
            <w:tcW w:w="2582" w:type="pct"/>
          </w:tcPr>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9D1A2D">
            <w:pPr>
              <w:widowControl w:val="0"/>
              <w:numPr>
                <w:ilvl w:val="0"/>
                <w:numId w:val="81"/>
              </w:numPr>
              <w:spacing w:after="0" w:line="240" w:lineRule="auto"/>
              <w:ind w:left="0"/>
              <w:rPr>
                <w:rFonts w:ascii="Arial" w:hAnsi="Arial" w:cs="Arial"/>
                <w:snapToGrid w:val="0"/>
                <w:sz w:val="18"/>
                <w:lang w:val="es-ES"/>
              </w:rPr>
            </w:pPr>
          </w:p>
          <w:p w:rsidR="00503A41" w:rsidRPr="00993936" w:rsidRDefault="00503A41" w:rsidP="001D205D">
            <w:pPr>
              <w:widowControl w:val="0"/>
              <w:spacing w:after="0" w:line="240" w:lineRule="auto"/>
              <w:rPr>
                <w:rFonts w:ascii="Arial" w:hAnsi="Arial" w:cs="Arial"/>
                <w:snapToGrid w:val="0"/>
                <w:sz w:val="18"/>
                <w:lang w:val="es-ES"/>
              </w:rPr>
            </w:pPr>
          </w:p>
          <w:p w:rsidR="00503A41" w:rsidRPr="00993936" w:rsidRDefault="00503A41" w:rsidP="001D205D">
            <w:pPr>
              <w:widowControl w:val="0"/>
              <w:spacing w:after="0" w:line="240" w:lineRule="auto"/>
              <w:rPr>
                <w:rFonts w:ascii="Arial" w:hAnsi="Arial" w:cs="Arial"/>
                <w:snapToGrid w:val="0"/>
                <w:sz w:val="18"/>
                <w:lang w:val="es-ES"/>
              </w:rPr>
            </w:pPr>
            <w:r w:rsidRPr="00993936">
              <w:rPr>
                <w:rFonts w:ascii="Arial" w:hAnsi="Arial" w:cs="Arial"/>
                <w:snapToGrid w:val="0"/>
                <w:sz w:val="18"/>
                <w:lang w:val="es-ES"/>
              </w:rPr>
              <w:t>(a) Sólo autorizado en cultivo de acelga</w:t>
            </w:r>
            <w:r w:rsidRPr="00993936">
              <w:rPr>
                <w:rFonts w:ascii="Arial" w:hAnsi="Arial" w:cs="Arial"/>
                <w:snapToGrid w:val="0"/>
                <w:vanish/>
                <w:sz w:val="18"/>
                <w:lang w:val="es-ES"/>
              </w:rPr>
              <w:t>&lt;A[acelga|pánfila]&gt;</w:t>
            </w: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551"/>
              <w:rPr>
                <w:rFonts w:ascii="Arial" w:hAnsi="Arial" w:cs="Arial"/>
                <w:snapToGrid w:val="0"/>
                <w:sz w:val="18"/>
                <w:lang w:val="es-ES"/>
              </w:rPr>
            </w:pPr>
            <w:r w:rsidRPr="00993936">
              <w:rPr>
                <w:rFonts w:ascii="Arial" w:hAnsi="Arial" w:cs="Arial"/>
                <w:snapToGrid w:val="0"/>
                <w:sz w:val="18"/>
                <w:lang w:val="es-ES"/>
              </w:rPr>
              <w:t>Qué las restricciones numéricas se detallan al final de este documento.</w:t>
            </w:r>
          </w:p>
          <w:p w:rsidR="00503A41" w:rsidRPr="00993936" w:rsidRDefault="00503A41" w:rsidP="000452B8">
            <w:pPr>
              <w:pStyle w:val="Prrafodelista"/>
              <w:widowControl w:val="0"/>
              <w:ind w:left="0"/>
              <w:rPr>
                <w:rFonts w:ascii="Arial" w:hAnsi="Arial" w:cs="Arial"/>
                <w:snapToGrid w:val="0"/>
                <w:lang w:val="es-ES"/>
              </w:rPr>
            </w:pPr>
          </w:p>
        </w:tc>
      </w:tr>
    </w:tbl>
    <w:p w:rsidR="00503A41" w:rsidRPr="00993936" w:rsidRDefault="00503A41" w:rsidP="000452B8">
      <w:pPr>
        <w:rPr>
          <w:rFonts w:ascii="Arial" w:hAnsi="Arial" w:cs="Arial"/>
          <w:b/>
          <w:snapToGrid w:val="0"/>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pStyle w:val="judit"/>
        <w:numPr>
          <w:ilvl w:val="0"/>
          <w:numId w:val="79"/>
        </w:numPr>
        <w:spacing w:before="120" w:line="240" w:lineRule="auto"/>
        <w:rPr>
          <w:rFonts w:cs="Arial"/>
          <w:i/>
          <w:sz w:val="22"/>
          <w:szCs w:val="22"/>
          <w:lang w:val="es-ES"/>
        </w:rPr>
      </w:pPr>
      <w:r w:rsidRPr="00993936">
        <w:rPr>
          <w:rFonts w:cs="Arial"/>
          <w:i/>
          <w:sz w:val="22"/>
          <w:szCs w:val="22"/>
          <w:lang w:val="es-ES"/>
        </w:rPr>
        <w:t>Sírfidos</w:t>
      </w:r>
    </w:p>
    <w:p w:rsidR="00503A41" w:rsidRPr="00993936" w:rsidRDefault="00503A41" w:rsidP="009D1A2D">
      <w:pPr>
        <w:pStyle w:val="judit"/>
        <w:numPr>
          <w:ilvl w:val="0"/>
          <w:numId w:val="79"/>
        </w:numPr>
        <w:spacing w:before="120" w:line="240" w:lineRule="auto"/>
        <w:rPr>
          <w:rFonts w:cs="Arial"/>
          <w:sz w:val="22"/>
          <w:szCs w:val="22"/>
          <w:lang w:val="es-ES"/>
        </w:rPr>
      </w:pPr>
      <w:r w:rsidRPr="00993936">
        <w:rPr>
          <w:rFonts w:cs="Arial"/>
          <w:sz w:val="22"/>
          <w:szCs w:val="22"/>
          <w:lang w:val="es-ES"/>
        </w:rPr>
        <w:t>Parasitoides de pulgón</w:t>
      </w:r>
    </w:p>
    <w:p w:rsidR="00503A41" w:rsidRPr="00993936" w:rsidRDefault="00503A41" w:rsidP="000452B8">
      <w:pPr>
        <w:rPr>
          <w:rFonts w:ascii="Arial" w:hAnsi="Arial" w:cs="Arial"/>
          <w:b/>
          <w:snapToGrid w:val="0"/>
          <w:lang w:val="es-ES"/>
        </w:rPr>
      </w:pPr>
    </w:p>
    <w:p w:rsidR="00503A41" w:rsidRPr="00993936" w:rsidRDefault="00503A41" w:rsidP="000452B8">
      <w:pPr>
        <w:pStyle w:val="Ttulo1"/>
        <w:spacing w:before="120"/>
        <w:rPr>
          <w:rFonts w:ascii="Arial" w:hAnsi="Arial" w:cs="Arial"/>
          <w:b/>
          <w:color w:val="auto"/>
          <w:sz w:val="22"/>
          <w:szCs w:val="22"/>
        </w:rPr>
      </w:pPr>
      <w:r w:rsidRPr="00993936">
        <w:rPr>
          <w:rFonts w:ascii="Arial" w:hAnsi="Arial" w:cs="Arial"/>
          <w:b/>
          <w:caps/>
          <w:color w:val="auto"/>
          <w:sz w:val="22"/>
          <w:szCs w:val="22"/>
        </w:rPr>
        <w:t>ANEXO 6</w:t>
      </w:r>
    </w:p>
    <w:p w:rsidR="00503A41" w:rsidRPr="00993936" w:rsidRDefault="00503A41" w:rsidP="000452B8">
      <w:pPr>
        <w:pStyle w:val="Textoindependiente"/>
        <w:spacing w:before="120"/>
        <w:rPr>
          <w:rFonts w:cs="Arial"/>
          <w:b/>
          <w:szCs w:val="22"/>
          <w:lang w:val="es-ES"/>
        </w:rPr>
      </w:pPr>
      <w:r w:rsidRPr="00993936">
        <w:rPr>
          <w:rFonts w:cs="Arial"/>
          <w:b/>
          <w:szCs w:val="22"/>
          <w:lang w:val="es-ES"/>
        </w:rPr>
        <w:t>Programas de control fitosanitario</w:t>
      </w:r>
    </w:p>
    <w:p w:rsidR="00503A41" w:rsidRPr="00993936" w:rsidRDefault="00503A41" w:rsidP="000452B8">
      <w:pPr>
        <w:pStyle w:val="Textoindependiente"/>
        <w:spacing w:before="120"/>
        <w:rPr>
          <w:rFonts w:cs="Arial"/>
          <w:szCs w:val="22"/>
          <w:lang w:val="es-ES"/>
        </w:rPr>
      </w:pPr>
      <w:r w:rsidRPr="00993936">
        <w:rPr>
          <w:rFonts w:cs="Arial"/>
          <w:szCs w:val="22"/>
          <w:lang w:val="es-ES"/>
        </w:rPr>
        <w:lastRenderedPageBreak/>
        <w:t>Para poder aplicar estos programas con éxito, es imprescindible aplicar unas buenas medidas culturales con el objetivo de iniciar el cultivo con plantas con ausencia de plagas y enfermedades, disminuir la entrada en el cultivo y la posterior proliferación.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Hay un programa específico para el cultivo que se recoge en el Cuadro nº. 1 de este Anexo.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szCs w:val="22"/>
          <w:lang w:val="es-ES"/>
        </w:rPr>
      </w:pPr>
      <w:r w:rsidRPr="00993936">
        <w:rPr>
          <w:rFonts w:cs="Arial"/>
          <w:szCs w:val="22"/>
          <w:lang w:val="es-ES"/>
        </w:rPr>
        <w:t>Como método de control de las diferentes plagas, se dará prioridad al control biológico,</w:t>
      </w:r>
      <w:r w:rsidRPr="00993936">
        <w:rPr>
          <w:rFonts w:cs="Arial"/>
          <w:lang w:val="es-ES"/>
        </w:rPr>
        <w:t xml:space="preserve"> biotecnológico, medidas culturales y medios físicos</w:t>
      </w:r>
      <w:r w:rsidRPr="00993936">
        <w:rPr>
          <w:rFonts w:cs="Arial"/>
          <w:szCs w:val="22"/>
          <w:lang w:val="es-ES"/>
        </w:rPr>
        <w:t xml:space="preserve">. Únicamente cuando se supere el umbral de intervención estará justificado el tratamiento con alguno de los productos autorizados para aquella plaga o enfermedad. </w:t>
      </w:r>
    </w:p>
    <w:p w:rsidR="00503A41" w:rsidRPr="00993936" w:rsidRDefault="00503A41" w:rsidP="000452B8">
      <w:pPr>
        <w:pStyle w:val="Textoindependiente"/>
        <w:spacing w:before="120"/>
        <w:rPr>
          <w:rFonts w:cs="Arial"/>
          <w:szCs w:val="22"/>
          <w:lang w:val="es-ES"/>
        </w:rPr>
      </w:pPr>
      <w:r w:rsidRPr="00993936">
        <w:rPr>
          <w:rFonts w:cs="Arial"/>
          <w:szCs w:val="22"/>
          <w:lang w:val="es-ES"/>
        </w:rPr>
        <w:t>En caso que el técnico detectara alguna plaga o enfermedad no explícitamente prevista en el Cuadro correspondiente, y que según su criterio pudiera producir pérdidas en el cultivo,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szCs w:val="22"/>
          <w:lang w:val="es-ES"/>
        </w:rPr>
      </w:pPr>
      <w:r w:rsidRPr="00993936">
        <w:rPr>
          <w:rFonts w:cs="Arial"/>
          <w:szCs w:val="22"/>
          <w:lang w:val="es-ES"/>
        </w:rPr>
        <w:t>Además de los muestreos específicos propuestos en los Cuadros de Control Fitosanitario, se hará una observación general del cultivo que permita estimar su estado general, así como la presencia de plagas y/o enfermedades. Los recuentos y las observaciones, y también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 empleo</w:t>
      </w:r>
      <w:r w:rsidRPr="00993936">
        <w:rPr>
          <w:rFonts w:cs="Arial"/>
          <w:vanish/>
          <w:szCs w:val="22"/>
          <w:lang w:val="es-ES"/>
        </w:rPr>
        <w:t>&lt;A[empleo|ocupación]&gt;</w:t>
      </w:r>
      <w:r w:rsidRPr="00993936">
        <w:rPr>
          <w:rFonts w:cs="Arial"/>
          <w:szCs w:val="22"/>
          <w:lang w:val="es-ES"/>
        </w:rPr>
        <w:t>) o la infestación media cuando</w:t>
      </w:r>
      <w:r w:rsidRPr="00993936">
        <w:rPr>
          <w:rFonts w:cs="Arial"/>
          <w:vanish/>
          <w:szCs w:val="22"/>
          <w:lang w:val="es-ES"/>
        </w:rPr>
        <w:t>&lt;A[cuando|cuándo]&gt;</w:t>
      </w:r>
      <w:r w:rsidRPr="00993936">
        <w:rPr>
          <w:rFonts w:cs="Arial"/>
          <w:szCs w:val="22"/>
          <w:lang w:val="es-ES"/>
        </w:rPr>
        <w:t xml:space="preserve"> sea requerida. También se calculará el porcentaje de plantas que presentan fauna útil asociada a cada una de las plagas.</w:t>
      </w:r>
    </w:p>
    <w:p w:rsidR="00503A41" w:rsidRPr="00993936" w:rsidRDefault="00503A41" w:rsidP="000452B8">
      <w:pPr>
        <w:pStyle w:val="Ttulo1"/>
        <w:spacing w:before="120"/>
        <w:rPr>
          <w:rFonts w:ascii="Arial" w:hAnsi="Arial" w:cs="Arial"/>
          <w:color w:val="auto"/>
          <w:sz w:val="22"/>
          <w:szCs w:val="22"/>
        </w:rPr>
      </w:pPr>
      <w:r w:rsidRPr="00993936">
        <w:rPr>
          <w:rFonts w:ascii="Arial" w:hAnsi="Arial" w:cs="Arial"/>
          <w:color w:val="auto"/>
          <w:sz w:val="22"/>
          <w:szCs w:val="22"/>
        </w:rPr>
        <w:t xml:space="preserve">Los métodos de muestreo y los umbrales de intervención en los casos previstos son los que figuran en el Cuadro 1 de este anexo.  </w:t>
      </w: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t>6.1.</w:t>
      </w:r>
      <w:r w:rsidRPr="00993936">
        <w:rPr>
          <w:rFonts w:ascii="Arial" w:hAnsi="Arial" w:cs="Arial"/>
          <w:color w:val="auto"/>
          <w:lang w:val="es-ES"/>
        </w:rPr>
        <w:tab/>
        <w:t>Pulgón (PG)</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6.2.</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1.1.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lastRenderedPageBreak/>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extoindependiente"/>
        <w:spacing w:before="120"/>
        <w:outlineLvl w:val="0"/>
        <w:rPr>
          <w:rFonts w:cs="Arial"/>
          <w:b/>
          <w:szCs w:val="22"/>
          <w:lang w:val="es-ES"/>
        </w:rPr>
      </w:pPr>
      <w:r w:rsidRPr="00993936">
        <w:rPr>
          <w:rFonts w:cs="Arial"/>
          <w:b/>
          <w:szCs w:val="22"/>
          <w:lang w:val="es-ES"/>
        </w:rPr>
        <w:t xml:space="preserve">6.3. Trips (TRIPS)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los muestreos se anotará la ausencia (-) o la presencia o número de larvas (L), adultos (A) y daños (D) de trips según las directrices del Cuadro 1.1. En aquellos cultivos dónde el virus del bronceado del tomate (TSWV) es un problema importante se tendrá en cuenta la incidencia de esta enfermedad en la decisión a adoptar. </w:t>
      </w:r>
    </w:p>
    <w:p w:rsidR="00503A41" w:rsidRPr="00993936" w:rsidRDefault="00503A41" w:rsidP="000452B8">
      <w:pPr>
        <w:pStyle w:val="Textoindependiente"/>
        <w:spacing w:before="120"/>
        <w:rPr>
          <w:rFonts w:cs="Arial"/>
          <w:szCs w:val="22"/>
          <w:lang w:val="es-ES"/>
        </w:rPr>
      </w:pPr>
      <w:r w:rsidRPr="00993936">
        <w:rPr>
          <w:rFonts w:cs="Arial"/>
          <w:szCs w:val="22"/>
          <w:lang w:val="es-ES"/>
        </w:rPr>
        <w:t>Es particularmente importante seguir todas las medidas culturales que permitan evitar la extensión de la plaga y reducir la incidencia de este virus.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botritis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el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la Hoja 3 especificando en observaciones la especie objeto del seguimiento. En caso de que aparezca una nueva enfermedad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6.8.</w:t>
      </w:r>
      <w:r w:rsidRPr="00993936">
        <w:rPr>
          <w:rFonts w:ascii="Arial" w:hAnsi="Arial" w:cs="Arial"/>
          <w:color w:val="auto"/>
          <w:lang w:val="es-ES"/>
        </w:rPr>
        <w:tab/>
        <w:t xml:space="preserve">Nemátodos </w:t>
      </w:r>
    </w:p>
    <w:p w:rsidR="00503A41" w:rsidRPr="00993936" w:rsidRDefault="00503A41" w:rsidP="000452B8">
      <w:pPr>
        <w:spacing w:before="120"/>
        <w:jc w:val="both"/>
        <w:rPr>
          <w:rFonts w:ascii="Arial" w:hAnsi="Arial" w:cs="Arial"/>
          <w:b/>
          <w:snapToGrid w:val="0"/>
          <w:lang w:val="es-ES"/>
        </w:rPr>
        <w:sectPr w:rsidR="00503A41" w:rsidRPr="00993936" w:rsidSect="000452B8">
          <w:footerReference w:type="default" r:id="rId30"/>
          <w:pgSz w:w="11906" w:h="16838"/>
          <w:pgMar w:top="1985" w:right="1418" w:bottom="1418" w:left="1418" w:header="708" w:footer="708" w:gutter="0"/>
          <w:cols w:space="708"/>
        </w:sectPr>
      </w:pPr>
      <w:r w:rsidRPr="00993936">
        <w:rPr>
          <w:rFonts w:ascii="Arial" w:hAnsi="Arial" w:cs="Arial"/>
          <w:lang w:val="es-ES"/>
        </w:rPr>
        <w:t>En caso de que el cultivo a implantar sea sensible a nemátodos, se escogerán preferentemente variedades resistentes. En caso de que no haya o no sean bien aceptadas por el mercado, se podrán utilizar tratamientos para controlar este problema de suelo en 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lastRenderedPageBreak/>
        <w:t>Cuadro 1.-  Control fitosanitario en acelgas</w:t>
      </w:r>
      <w:r w:rsidRPr="00993936">
        <w:rPr>
          <w:rFonts w:cs="Arial"/>
          <w:b w:val="0"/>
          <w:vanish/>
          <w:szCs w:val="22"/>
          <w:lang w:val="es-ES"/>
        </w:rPr>
        <w:t>&lt;A[acelgas|pánfilas]&gt;</w:t>
      </w:r>
      <w:r w:rsidRPr="00993936">
        <w:rPr>
          <w:rFonts w:cs="Arial"/>
          <w:b w:val="0"/>
          <w:szCs w:val="22"/>
          <w:lang w:val="es-ES"/>
        </w:rPr>
        <w:t xml:space="preserve"> y espinacas</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 acelgas</w:t>
      </w:r>
      <w:r w:rsidRPr="00993936">
        <w:rPr>
          <w:rFonts w:cs="Arial"/>
          <w:b w:val="0"/>
          <w:vanish/>
          <w:szCs w:val="22"/>
          <w:lang w:val="es-ES"/>
        </w:rPr>
        <w:t>&lt;A[acelgas|pánfilas]&gt;</w:t>
      </w:r>
      <w:r w:rsidRPr="00993936">
        <w:rPr>
          <w:rFonts w:cs="Arial"/>
          <w:b w:val="0"/>
          <w:szCs w:val="22"/>
          <w:lang w:val="es-ES"/>
        </w:rPr>
        <w:t xml:space="preserve"> y espinacas</w:t>
      </w:r>
    </w:p>
    <w:p w:rsidR="00503A41" w:rsidRPr="00993936" w:rsidRDefault="00503A41" w:rsidP="000452B8">
      <w:pPr>
        <w:pStyle w:val="Textoindependiente3"/>
        <w:rPr>
          <w:rFonts w:cs="Arial"/>
          <w:b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96"/>
        <w:gridCol w:w="1853"/>
        <w:gridCol w:w="1556"/>
        <w:gridCol w:w="2033"/>
        <w:gridCol w:w="1406"/>
      </w:tblGrid>
      <w:tr w:rsidR="00503A41" w:rsidRPr="00993936" w:rsidTr="000452B8">
        <w:trPr>
          <w:cantSplit/>
          <w:jc w:val="center"/>
        </w:trPr>
        <w:tc>
          <w:tcPr>
            <w:tcW w:w="1039"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PLAGA / ENFERMEDAD</w:t>
            </w:r>
          </w:p>
        </w:tc>
        <w:tc>
          <w:tcPr>
            <w:tcW w:w="1072"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MÉTODO DE EVALUACIÓN DE INCIDENCIA</w:t>
            </w:r>
          </w:p>
        </w:tc>
        <w:tc>
          <w:tcPr>
            <w:tcW w:w="900"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CRITERIO DE INTERVENCIÓN</w:t>
            </w:r>
          </w:p>
        </w:tc>
        <w:tc>
          <w:tcPr>
            <w:tcW w:w="1176"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FAUNA AUXILIAR</w:t>
            </w:r>
          </w:p>
        </w:tc>
        <w:tc>
          <w:tcPr>
            <w:tcW w:w="813"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OTROS MÉTODOS</w:t>
            </w:r>
          </w:p>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(culturales, etc.)</w:t>
            </w:r>
          </w:p>
        </w:tc>
      </w:tr>
      <w:tr w:rsidR="00503A41" w:rsidRPr="00993936" w:rsidTr="000452B8">
        <w:trPr>
          <w:cantSplit/>
          <w:jc w:val="center"/>
        </w:trPr>
        <w:tc>
          <w:tcPr>
            <w:tcW w:w="1039"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Pulgones (</w:t>
            </w:r>
            <w:r w:rsidRPr="00993936">
              <w:rPr>
                <w:rFonts w:cs="Arial"/>
                <w:i/>
                <w:noProof w:val="0"/>
                <w:sz w:val="18"/>
                <w:szCs w:val="18"/>
                <w:lang w:val="es-ES"/>
              </w:rPr>
              <w:t xml:space="preserve">Aphis fabae </w:t>
            </w:r>
            <w:r w:rsidRPr="00993936">
              <w:rPr>
                <w:rFonts w:cs="Arial"/>
                <w:noProof w:val="0"/>
                <w:sz w:val="18"/>
                <w:szCs w:val="18"/>
                <w:lang w:val="es-ES"/>
              </w:rPr>
              <w:t xml:space="preserve">y </w:t>
            </w:r>
            <w:r w:rsidRPr="00993936">
              <w:rPr>
                <w:rFonts w:cs="Arial"/>
                <w:i/>
                <w:noProof w:val="0"/>
                <w:sz w:val="18"/>
                <w:szCs w:val="18"/>
                <w:lang w:val="es-ES"/>
              </w:rPr>
              <w:t>Myzus persicae</w:t>
            </w:r>
            <w:r w:rsidRPr="00993936">
              <w:rPr>
                <w:rFonts w:cs="Arial"/>
                <w:noProof w:val="0"/>
                <w:sz w:val="18"/>
                <w:szCs w:val="18"/>
                <w:lang w:val="es-ES"/>
              </w:rPr>
              <w:t>)</w:t>
            </w:r>
          </w:p>
        </w:tc>
        <w:tc>
          <w:tcPr>
            <w:tcW w:w="1072"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Observar 20 plantas anotando la presencia/ausencia de las plagas, enfermedades y fauna auxiliar presentes.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Tener en cuenta la abundancia de fauna auxiliar en la toma de decisiones </w:t>
            </w:r>
          </w:p>
        </w:tc>
        <w:tc>
          <w:tcPr>
            <w:tcW w:w="900"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la plaga</w:t>
            </w:r>
          </w:p>
        </w:tc>
        <w:tc>
          <w:tcPr>
            <w:tcW w:w="1176"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Parasitoides, depredadores (cecidómidos, coccinélidos, míridos, antocóridos)</w:t>
            </w:r>
          </w:p>
        </w:tc>
        <w:tc>
          <w:tcPr>
            <w:tcW w:w="813"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39"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Lepidópteros (</w:t>
            </w:r>
            <w:r w:rsidRPr="00993936">
              <w:rPr>
                <w:rFonts w:cs="Arial"/>
                <w:i/>
                <w:noProof w:val="0"/>
                <w:sz w:val="18"/>
                <w:szCs w:val="18"/>
                <w:lang w:val="es-ES"/>
              </w:rPr>
              <w:t>Plusia gamma</w:t>
            </w:r>
            <w:r w:rsidRPr="00993936">
              <w:rPr>
                <w:rFonts w:cs="Arial"/>
                <w:i/>
                <w:noProof w:val="0"/>
                <w:vanish/>
                <w:sz w:val="18"/>
                <w:szCs w:val="18"/>
                <w:lang w:val="es-ES"/>
              </w:rPr>
              <w:t>&lt;A[gama|gamma]&gt;</w:t>
            </w:r>
            <w:r w:rsidRPr="00993936">
              <w:rPr>
                <w:rFonts w:cs="Arial"/>
                <w:i/>
                <w:noProof w:val="0"/>
                <w:sz w:val="18"/>
                <w:szCs w:val="18"/>
                <w:lang w:val="es-ES"/>
              </w:rPr>
              <w:t xml:space="preserve"> </w:t>
            </w:r>
            <w:r w:rsidRPr="00993936">
              <w:rPr>
                <w:rFonts w:cs="Arial"/>
                <w:noProof w:val="0"/>
                <w:sz w:val="18"/>
                <w:szCs w:val="18"/>
                <w:lang w:val="es-ES"/>
              </w:rPr>
              <w:t>y</w:t>
            </w:r>
            <w:r w:rsidRPr="00993936">
              <w:rPr>
                <w:rFonts w:cs="Arial"/>
                <w:i/>
                <w:noProof w:val="0"/>
                <w:sz w:val="18"/>
                <w:szCs w:val="18"/>
                <w:lang w:val="es-ES"/>
              </w:rPr>
              <w:t xml:space="preserve"> Helicoverpa armigera</w:t>
            </w:r>
            <w:r w:rsidRPr="00993936">
              <w:rPr>
                <w:rFonts w:cs="Arial"/>
                <w:noProof w:val="0"/>
                <w:sz w:val="18"/>
                <w:szCs w:val="18"/>
                <w:lang w:val="es-ES"/>
              </w:rPr>
              <w:t>)</w:t>
            </w:r>
          </w:p>
        </w:tc>
        <w:tc>
          <w:tcPr>
            <w:tcW w:w="1072" w:type="pct"/>
            <w:vMerge/>
            <w:vAlign w:val="center"/>
          </w:tcPr>
          <w:p w:rsidR="00503A41" w:rsidRPr="00993936" w:rsidRDefault="00503A41" w:rsidP="000452B8">
            <w:pPr>
              <w:pStyle w:val="taula"/>
              <w:rPr>
                <w:rFonts w:cs="Arial"/>
                <w:noProof w:val="0"/>
                <w:sz w:val="18"/>
                <w:szCs w:val="18"/>
                <w:lang w:val="es-ES"/>
              </w:rPr>
            </w:pPr>
          </w:p>
        </w:tc>
        <w:tc>
          <w:tcPr>
            <w:tcW w:w="900" w:type="pct"/>
            <w:vMerge/>
            <w:vAlign w:val="center"/>
          </w:tcPr>
          <w:p w:rsidR="00503A41" w:rsidRPr="00993936" w:rsidRDefault="00503A41" w:rsidP="000452B8">
            <w:pPr>
              <w:pStyle w:val="taula"/>
              <w:rPr>
                <w:rFonts w:cs="Arial"/>
                <w:noProof w:val="0"/>
                <w:sz w:val="18"/>
                <w:szCs w:val="18"/>
                <w:lang w:val="es-ES"/>
              </w:rPr>
            </w:pPr>
          </w:p>
        </w:tc>
        <w:tc>
          <w:tcPr>
            <w:tcW w:w="1176"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Parasitoides de huevos lepidópteros, depredadores polífagos</w:t>
            </w:r>
          </w:p>
        </w:tc>
        <w:tc>
          <w:tcPr>
            <w:tcW w:w="813"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39"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Dípteros (</w:t>
            </w:r>
            <w:r w:rsidRPr="00993936">
              <w:rPr>
                <w:rFonts w:cs="Arial"/>
                <w:i/>
                <w:noProof w:val="0"/>
                <w:sz w:val="18"/>
                <w:szCs w:val="18"/>
                <w:lang w:val="es-ES"/>
              </w:rPr>
              <w:t>Pegomyza betae</w:t>
            </w:r>
            <w:r w:rsidRPr="00993936">
              <w:rPr>
                <w:rFonts w:cs="Arial"/>
                <w:noProof w:val="0"/>
                <w:sz w:val="18"/>
                <w:szCs w:val="18"/>
                <w:lang w:val="es-ES"/>
              </w:rPr>
              <w:t>)</w:t>
            </w:r>
          </w:p>
        </w:tc>
        <w:tc>
          <w:tcPr>
            <w:tcW w:w="1072" w:type="pct"/>
            <w:vMerge/>
            <w:vAlign w:val="center"/>
          </w:tcPr>
          <w:p w:rsidR="00503A41" w:rsidRPr="00993936" w:rsidRDefault="00503A41" w:rsidP="000452B8">
            <w:pPr>
              <w:pStyle w:val="taula"/>
              <w:rPr>
                <w:rFonts w:cs="Arial"/>
                <w:noProof w:val="0"/>
                <w:sz w:val="18"/>
                <w:szCs w:val="18"/>
                <w:lang w:val="es-ES"/>
              </w:rPr>
            </w:pPr>
          </w:p>
        </w:tc>
        <w:tc>
          <w:tcPr>
            <w:tcW w:w="900" w:type="pct"/>
            <w:vMerge/>
            <w:vAlign w:val="center"/>
          </w:tcPr>
          <w:p w:rsidR="00503A41" w:rsidRPr="00993936" w:rsidRDefault="00503A41" w:rsidP="000452B8">
            <w:pPr>
              <w:pStyle w:val="taula"/>
              <w:rPr>
                <w:rFonts w:cs="Arial"/>
                <w:noProof w:val="0"/>
                <w:sz w:val="18"/>
                <w:szCs w:val="18"/>
                <w:lang w:val="es-ES"/>
              </w:rPr>
            </w:pPr>
          </w:p>
        </w:tc>
        <w:tc>
          <w:tcPr>
            <w:tcW w:w="1176" w:type="pct"/>
            <w:vAlign w:val="center"/>
          </w:tcPr>
          <w:p w:rsidR="00503A41" w:rsidRPr="00993936" w:rsidRDefault="00503A41" w:rsidP="000452B8">
            <w:pPr>
              <w:pStyle w:val="taula"/>
              <w:rPr>
                <w:rFonts w:cs="Arial"/>
                <w:noProof w:val="0"/>
                <w:sz w:val="18"/>
                <w:szCs w:val="18"/>
                <w:lang w:val="es-ES"/>
              </w:rPr>
            </w:pPr>
          </w:p>
        </w:tc>
        <w:tc>
          <w:tcPr>
            <w:tcW w:w="813"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39"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Trips</w:t>
            </w:r>
          </w:p>
        </w:tc>
        <w:tc>
          <w:tcPr>
            <w:tcW w:w="1072" w:type="pct"/>
            <w:vMerge/>
            <w:vAlign w:val="center"/>
          </w:tcPr>
          <w:p w:rsidR="00503A41" w:rsidRPr="00993936" w:rsidRDefault="00503A41" w:rsidP="000452B8">
            <w:pPr>
              <w:pStyle w:val="taula"/>
              <w:rPr>
                <w:rFonts w:cs="Arial"/>
                <w:noProof w:val="0"/>
                <w:sz w:val="18"/>
                <w:szCs w:val="18"/>
                <w:lang w:val="es-ES"/>
              </w:rPr>
            </w:pPr>
          </w:p>
        </w:tc>
        <w:tc>
          <w:tcPr>
            <w:tcW w:w="900" w:type="pct"/>
            <w:vMerge/>
            <w:vAlign w:val="center"/>
          </w:tcPr>
          <w:p w:rsidR="00503A41" w:rsidRPr="00993936" w:rsidRDefault="00503A41" w:rsidP="000452B8">
            <w:pPr>
              <w:pStyle w:val="taula"/>
              <w:rPr>
                <w:rFonts w:cs="Arial"/>
                <w:noProof w:val="0"/>
                <w:sz w:val="18"/>
                <w:szCs w:val="18"/>
                <w:lang w:val="es-ES"/>
              </w:rPr>
            </w:pPr>
          </w:p>
        </w:tc>
        <w:tc>
          <w:tcPr>
            <w:tcW w:w="1176" w:type="pct"/>
            <w:vAlign w:val="center"/>
          </w:tcPr>
          <w:p w:rsidR="00503A41" w:rsidRPr="00993936" w:rsidRDefault="00503A41" w:rsidP="000452B8">
            <w:pPr>
              <w:pStyle w:val="taula"/>
              <w:rPr>
                <w:rFonts w:cs="Arial"/>
                <w:noProof w:val="0"/>
                <w:sz w:val="18"/>
                <w:szCs w:val="18"/>
                <w:lang w:val="es-ES"/>
              </w:rPr>
            </w:pPr>
          </w:p>
        </w:tc>
        <w:tc>
          <w:tcPr>
            <w:tcW w:w="813"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39"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Mildiu</w:t>
            </w:r>
          </w:p>
        </w:tc>
        <w:tc>
          <w:tcPr>
            <w:tcW w:w="1072" w:type="pct"/>
            <w:vMerge/>
            <w:vAlign w:val="center"/>
          </w:tcPr>
          <w:p w:rsidR="00503A41" w:rsidRPr="00993936" w:rsidRDefault="00503A41" w:rsidP="000452B8">
            <w:pPr>
              <w:pStyle w:val="taula"/>
              <w:rPr>
                <w:rFonts w:cs="Arial"/>
                <w:noProof w:val="0"/>
                <w:sz w:val="18"/>
                <w:szCs w:val="18"/>
                <w:lang w:val="es-ES"/>
              </w:rPr>
            </w:pPr>
          </w:p>
        </w:tc>
        <w:tc>
          <w:tcPr>
            <w:tcW w:w="900"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la enfermedad</w:t>
            </w:r>
          </w:p>
        </w:tc>
        <w:tc>
          <w:tcPr>
            <w:tcW w:w="1176" w:type="pct"/>
            <w:vMerge w:val="restart"/>
            <w:vAlign w:val="center"/>
          </w:tcPr>
          <w:p w:rsidR="00503A41" w:rsidRPr="00993936" w:rsidRDefault="00503A41" w:rsidP="000452B8">
            <w:pPr>
              <w:pStyle w:val="taula"/>
              <w:rPr>
                <w:rFonts w:cs="Arial"/>
                <w:noProof w:val="0"/>
                <w:sz w:val="18"/>
                <w:szCs w:val="18"/>
                <w:lang w:val="es-ES"/>
              </w:rPr>
            </w:pPr>
          </w:p>
        </w:tc>
        <w:tc>
          <w:tcPr>
            <w:tcW w:w="813" w:type="pct"/>
            <w:vMerge w:val="restar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39"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Phythium</w:t>
            </w:r>
          </w:p>
        </w:tc>
        <w:tc>
          <w:tcPr>
            <w:tcW w:w="1072" w:type="pct"/>
            <w:vMerge/>
            <w:vAlign w:val="center"/>
          </w:tcPr>
          <w:p w:rsidR="00503A41" w:rsidRPr="00993936" w:rsidRDefault="00503A41" w:rsidP="000452B8">
            <w:pPr>
              <w:pStyle w:val="taula"/>
              <w:rPr>
                <w:rFonts w:cs="Arial"/>
                <w:noProof w:val="0"/>
                <w:sz w:val="18"/>
                <w:szCs w:val="18"/>
                <w:lang w:val="es-ES"/>
              </w:rPr>
            </w:pPr>
          </w:p>
        </w:tc>
        <w:tc>
          <w:tcPr>
            <w:tcW w:w="900" w:type="pct"/>
            <w:vMerge/>
            <w:vAlign w:val="center"/>
          </w:tcPr>
          <w:p w:rsidR="00503A41" w:rsidRPr="00993936" w:rsidRDefault="00503A41" w:rsidP="000452B8">
            <w:pPr>
              <w:pStyle w:val="taula"/>
              <w:rPr>
                <w:rFonts w:cs="Arial"/>
                <w:noProof w:val="0"/>
                <w:sz w:val="18"/>
                <w:szCs w:val="18"/>
                <w:lang w:val="es-ES"/>
              </w:rPr>
            </w:pPr>
          </w:p>
        </w:tc>
        <w:tc>
          <w:tcPr>
            <w:tcW w:w="1176" w:type="pct"/>
            <w:vMerge/>
            <w:vAlign w:val="center"/>
          </w:tcPr>
          <w:p w:rsidR="00503A41" w:rsidRPr="00993936" w:rsidRDefault="00503A41" w:rsidP="000452B8">
            <w:pPr>
              <w:pStyle w:val="taula"/>
              <w:rPr>
                <w:rFonts w:cs="Arial"/>
                <w:noProof w:val="0"/>
                <w:sz w:val="18"/>
                <w:szCs w:val="18"/>
                <w:lang w:val="es-ES"/>
              </w:rPr>
            </w:pPr>
          </w:p>
        </w:tc>
        <w:tc>
          <w:tcPr>
            <w:tcW w:w="813"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39"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Otras plagas y enfermedades</w:t>
            </w:r>
          </w:p>
          <w:p w:rsidR="00503A41" w:rsidRPr="00993936" w:rsidRDefault="00503A41" w:rsidP="000452B8">
            <w:pPr>
              <w:pStyle w:val="taula"/>
              <w:rPr>
                <w:rFonts w:cs="Arial"/>
                <w:noProof w:val="0"/>
                <w:sz w:val="18"/>
                <w:szCs w:val="18"/>
                <w:lang w:val="es-ES"/>
              </w:rPr>
            </w:pPr>
          </w:p>
        </w:tc>
        <w:tc>
          <w:tcPr>
            <w:tcW w:w="1072" w:type="pct"/>
            <w:vAlign w:val="center"/>
          </w:tcPr>
          <w:p w:rsidR="00503A41" w:rsidRPr="00993936" w:rsidRDefault="00503A41" w:rsidP="000452B8">
            <w:pPr>
              <w:pStyle w:val="taula"/>
              <w:rPr>
                <w:rFonts w:cs="Arial"/>
                <w:noProof w:val="0"/>
                <w:sz w:val="18"/>
                <w:szCs w:val="18"/>
                <w:lang w:val="es-ES"/>
              </w:rPr>
            </w:pPr>
          </w:p>
        </w:tc>
        <w:tc>
          <w:tcPr>
            <w:tcW w:w="9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Intervenciones en función de las prescripciones técnicas</w:t>
            </w:r>
          </w:p>
        </w:tc>
        <w:tc>
          <w:tcPr>
            <w:tcW w:w="1176" w:type="pct"/>
            <w:vAlign w:val="center"/>
          </w:tcPr>
          <w:p w:rsidR="00503A41" w:rsidRPr="00993936" w:rsidRDefault="00503A41" w:rsidP="000452B8">
            <w:pPr>
              <w:pStyle w:val="taula"/>
              <w:rPr>
                <w:rFonts w:cs="Arial"/>
                <w:noProof w:val="0"/>
                <w:sz w:val="18"/>
                <w:szCs w:val="18"/>
                <w:lang w:val="es-ES"/>
              </w:rPr>
            </w:pPr>
          </w:p>
        </w:tc>
        <w:tc>
          <w:tcPr>
            <w:tcW w:w="813" w:type="pct"/>
            <w:vAlign w:val="center"/>
          </w:tcPr>
          <w:p w:rsidR="00503A41" w:rsidRPr="00993936" w:rsidRDefault="00503A41" w:rsidP="000452B8">
            <w:pPr>
              <w:pStyle w:val="taula"/>
              <w:rPr>
                <w:rFonts w:cs="Arial"/>
                <w:noProof w:val="0"/>
                <w:sz w:val="18"/>
                <w:szCs w:val="18"/>
                <w:lang w:val="es-ES"/>
              </w:rPr>
            </w:pPr>
          </w:p>
        </w:tc>
      </w:tr>
    </w:tbl>
    <w:p w:rsidR="00503A41" w:rsidRPr="00993936" w:rsidRDefault="00503A41" w:rsidP="000452B8">
      <w:pPr>
        <w:pStyle w:val="Textoindependiente3"/>
        <w:spacing w:before="120"/>
        <w:rPr>
          <w:rFonts w:cs="Arial"/>
          <w:b w:val="0"/>
          <w:sz w:val="6"/>
          <w:szCs w:val="22"/>
          <w:lang w:val="es-ES"/>
        </w:rPr>
      </w:pP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1.2. Materias activas para la producción integrada de acelgas</w:t>
      </w:r>
      <w:r w:rsidRPr="00993936">
        <w:rPr>
          <w:rFonts w:cs="Arial"/>
          <w:b w:val="0"/>
          <w:vanish/>
          <w:szCs w:val="22"/>
          <w:lang w:val="es-ES"/>
        </w:rPr>
        <w:t>&lt;A[acelgas|pánfilas]&gt;</w:t>
      </w:r>
      <w:r w:rsidRPr="00993936">
        <w:rPr>
          <w:rFonts w:cs="Arial"/>
          <w:b w:val="0"/>
          <w:szCs w:val="22"/>
          <w:lang w:val="es-ES"/>
        </w:rPr>
        <w:t xml:space="preserve"> y espinacas, teniendo en cuenta las indicaciones del Cuaderno de explotación y el programa de control integrado de plagas y enfermedades </w:t>
      </w:r>
    </w:p>
    <w:p w:rsidR="00503A41" w:rsidRPr="00993936" w:rsidRDefault="00503A41" w:rsidP="000452B8">
      <w:pPr>
        <w:pStyle w:val="Textoindependiente3"/>
        <w:spacing w:before="120"/>
        <w:rPr>
          <w:rFonts w:cs="Arial"/>
          <w:b w:val="0"/>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8"/>
        <w:gridCol w:w="2382"/>
        <w:gridCol w:w="2088"/>
        <w:gridCol w:w="2236"/>
      </w:tblGrid>
      <w:tr w:rsidR="00503A41" w:rsidRPr="00993936" w:rsidTr="000452B8">
        <w:trPr>
          <w:cantSplit/>
          <w:tblHeader/>
          <w:jc w:val="center"/>
        </w:trPr>
        <w:tc>
          <w:tcPr>
            <w:tcW w:w="893" w:type="pct"/>
            <w:tcBorders>
              <w:top w:val="single" w:sz="4" w:space="0" w:color="auto"/>
            </w:tcBorders>
            <w:shd w:val="pct15"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Plaga/enfermedad</w:t>
            </w:r>
          </w:p>
        </w:tc>
        <w:tc>
          <w:tcPr>
            <w:tcW w:w="1454" w:type="pct"/>
            <w:tcBorders>
              <w:top w:val="single" w:sz="4" w:space="0" w:color="auto"/>
            </w:tcBorders>
            <w:shd w:val="pct15" w:color="auto" w:fill="FFFFFF"/>
          </w:tcPr>
          <w:p w:rsidR="00503A41" w:rsidRPr="00993936" w:rsidRDefault="00503A41" w:rsidP="001D205D">
            <w:pPr>
              <w:pStyle w:val="Sinespaciado"/>
              <w:rPr>
                <w:rFonts w:ascii="Arial" w:hAnsi="Arial" w:cs="Arial"/>
              </w:rPr>
            </w:pPr>
            <w:r w:rsidRPr="00993936">
              <w:rPr>
                <w:rFonts w:ascii="Arial" w:hAnsi="Arial" w:cs="Arial"/>
              </w:rPr>
              <w:t>Materias Activas</w:t>
            </w:r>
          </w:p>
        </w:tc>
        <w:tc>
          <w:tcPr>
            <w:tcW w:w="1284" w:type="pct"/>
            <w:tcBorders>
              <w:top w:val="single" w:sz="4" w:space="0" w:color="auto"/>
            </w:tcBorders>
            <w:shd w:val="pct15" w:color="auto" w:fill="FFFFFF"/>
          </w:tcPr>
          <w:p w:rsidR="00503A41" w:rsidRPr="00993936" w:rsidRDefault="00503A41" w:rsidP="001D205D">
            <w:pPr>
              <w:pStyle w:val="Sinespaciado"/>
              <w:jc w:val="center"/>
              <w:rPr>
                <w:rFonts w:ascii="Arial" w:hAnsi="Arial" w:cs="Arial"/>
              </w:rPr>
            </w:pPr>
            <w:r w:rsidRPr="00993936">
              <w:rPr>
                <w:rFonts w:ascii="Arial" w:hAnsi="Arial" w:cs="Arial"/>
              </w:rPr>
              <w:t>Acelgas</w:t>
            </w:r>
            <w:r w:rsidRPr="00993936">
              <w:rPr>
                <w:rFonts w:ascii="Arial" w:hAnsi="Arial" w:cs="Arial"/>
                <w:vanish/>
              </w:rPr>
              <w:t>&lt;A[Acelgas|Pánfilas]&gt;</w:t>
            </w:r>
          </w:p>
        </w:tc>
        <w:tc>
          <w:tcPr>
            <w:tcW w:w="1369" w:type="pct"/>
            <w:tcBorders>
              <w:top w:val="single" w:sz="4" w:space="0" w:color="auto"/>
            </w:tcBorders>
            <w:shd w:val="pct15" w:color="auto" w:fill="FFFFFF"/>
          </w:tcPr>
          <w:p w:rsidR="00503A41" w:rsidRPr="00993936" w:rsidRDefault="00503A41" w:rsidP="001D205D">
            <w:pPr>
              <w:pStyle w:val="Sinespaciado"/>
              <w:jc w:val="center"/>
              <w:rPr>
                <w:rFonts w:ascii="Arial" w:hAnsi="Arial" w:cs="Arial"/>
              </w:rPr>
            </w:pPr>
            <w:r w:rsidRPr="00993936">
              <w:rPr>
                <w:rFonts w:ascii="Arial" w:hAnsi="Arial" w:cs="Arial"/>
              </w:rPr>
              <w:t>Espinacas</w:t>
            </w:r>
          </w:p>
        </w:tc>
      </w:tr>
      <w:tr w:rsidR="00503A41" w:rsidRPr="00993936" w:rsidTr="000452B8">
        <w:trPr>
          <w:cantSplit/>
          <w:trHeight w:val="117"/>
          <w:jc w:val="center"/>
        </w:trPr>
        <w:tc>
          <w:tcPr>
            <w:tcW w:w="893"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 xml:space="preserve">Pulgones </w:t>
            </w:r>
          </w:p>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Aphis fabae </w:t>
            </w:r>
            <w:r w:rsidRPr="00993936">
              <w:rPr>
                <w:rFonts w:ascii="Arial" w:hAnsi="Arial" w:cs="Arial"/>
                <w:lang w:val="es-ES"/>
              </w:rPr>
              <w:t xml:space="preserve">y </w:t>
            </w:r>
            <w:r w:rsidRPr="00993936">
              <w:rPr>
                <w:rFonts w:ascii="Arial" w:hAnsi="Arial" w:cs="Arial"/>
                <w:i/>
                <w:lang w:val="es-ES"/>
              </w:rPr>
              <w:t>Myzus persicae</w:t>
            </w: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Acetamiprid</w:t>
            </w:r>
          </w:p>
        </w:tc>
        <w:tc>
          <w:tcPr>
            <w:tcW w:w="1284" w:type="pct"/>
          </w:tcPr>
          <w:p w:rsidR="00503A41" w:rsidRPr="00993936" w:rsidRDefault="00503A41" w:rsidP="001D205D">
            <w:pPr>
              <w:pStyle w:val="Sinespaciado"/>
              <w:jc w:val="center"/>
              <w:rPr>
                <w:rFonts w:ascii="Arial" w:hAnsi="Arial" w:cs="Arial"/>
                <w:snapToGrid w:val="0"/>
                <w:lang w:val="es-ES"/>
              </w:rPr>
            </w:pPr>
          </w:p>
        </w:tc>
        <w:tc>
          <w:tcPr>
            <w:tcW w:w="1369" w:type="pct"/>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1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Alfa cipermetrín </w:t>
            </w:r>
          </w:p>
        </w:tc>
        <w:tc>
          <w:tcPr>
            <w:tcW w:w="1284" w:type="pct"/>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6"/>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6"/>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Cipermetrín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3"/>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Deltametrín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6"/>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Lambda-cihalotrín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6"/>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Pirimicarb</w:t>
            </w:r>
            <w:r w:rsidRPr="00993936">
              <w:rPr>
                <w:rFonts w:ascii="Arial" w:hAnsi="Arial" w:cs="Arial"/>
                <w:lang w:val="es-ES"/>
              </w:rPr>
              <w:t xml:space="preserve"> (2)</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6"/>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Piretrinas</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6"/>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Zeta-cipermetrín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227"/>
          <w:jc w:val="center"/>
        </w:trPr>
        <w:tc>
          <w:tcPr>
            <w:tcW w:w="893"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Lepidópteros</w:t>
            </w:r>
          </w:p>
          <w:p w:rsidR="00503A41" w:rsidRPr="00993936" w:rsidRDefault="00503A41" w:rsidP="001D205D">
            <w:pPr>
              <w:pStyle w:val="Sinespaciado"/>
              <w:rPr>
                <w:rFonts w:ascii="Arial" w:hAnsi="Arial" w:cs="Arial"/>
                <w:lang w:val="es-ES"/>
              </w:rPr>
            </w:pPr>
            <w:r w:rsidRPr="00993936">
              <w:rPr>
                <w:rFonts w:ascii="Arial" w:hAnsi="Arial" w:cs="Arial"/>
                <w:i/>
                <w:lang w:val="es-ES"/>
              </w:rPr>
              <w:t>Plusia gamma</w:t>
            </w:r>
            <w:r w:rsidRPr="00993936">
              <w:rPr>
                <w:rFonts w:ascii="Arial" w:hAnsi="Arial" w:cs="Arial"/>
                <w:i/>
                <w:vanish/>
                <w:lang w:val="es-ES"/>
              </w:rPr>
              <w:t>&lt;A[gama|gamma]&gt;</w:t>
            </w:r>
            <w:r w:rsidRPr="00993936">
              <w:rPr>
                <w:rFonts w:ascii="Arial" w:hAnsi="Arial" w:cs="Arial"/>
                <w:i/>
                <w:lang w:val="es-ES"/>
              </w:rPr>
              <w:t xml:space="preserve"> </w:t>
            </w:r>
            <w:r w:rsidRPr="00993936">
              <w:rPr>
                <w:rFonts w:ascii="Arial" w:hAnsi="Arial" w:cs="Arial"/>
                <w:lang w:val="es-ES"/>
              </w:rPr>
              <w:t>y</w:t>
            </w:r>
            <w:r w:rsidRPr="00993936">
              <w:rPr>
                <w:rFonts w:ascii="Arial" w:hAnsi="Arial" w:cs="Arial"/>
                <w:i/>
                <w:lang w:val="es-ES"/>
              </w:rPr>
              <w:t xml:space="preserve"> Helicoverpa armigera</w:t>
            </w:r>
          </w:p>
        </w:tc>
        <w:tc>
          <w:tcPr>
            <w:tcW w:w="1454" w:type="pct"/>
          </w:tcPr>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Alfa cipermetrín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Azadiractín</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Bacilus thuringiensis aizawai</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Bacilus thuringiensis kurstaki</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Cipermetrín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Clorantraniliprol (2)</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Deltametrín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Espinosad</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Indoxacarb </w:t>
            </w:r>
          </w:p>
        </w:tc>
        <w:tc>
          <w:tcPr>
            <w:tcW w:w="1284" w:type="pct"/>
            <w:vAlign w:val="center"/>
          </w:tcPr>
          <w:p w:rsidR="00503A41" w:rsidRPr="00993936" w:rsidRDefault="00503A41" w:rsidP="001D205D">
            <w:pPr>
              <w:pStyle w:val="Sinespaciado"/>
              <w:jc w:val="center"/>
              <w:rPr>
                <w:rFonts w:ascii="Arial" w:hAnsi="Arial" w:cs="Arial"/>
                <w:snapToGrid w:val="0"/>
                <w:lang w:val="es-ES"/>
              </w:rPr>
            </w:pP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Lambda-cihalotrín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Piretrinas</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187"/>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Zeta-cipermetrín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240"/>
          <w:jc w:val="center"/>
        </w:trPr>
        <w:tc>
          <w:tcPr>
            <w:tcW w:w="893"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Dípteros</w:t>
            </w:r>
          </w:p>
          <w:p w:rsidR="00503A41" w:rsidRPr="00993936" w:rsidRDefault="00503A41" w:rsidP="001D205D">
            <w:pPr>
              <w:pStyle w:val="Sinespaciado"/>
              <w:rPr>
                <w:rFonts w:ascii="Arial" w:hAnsi="Arial" w:cs="Arial"/>
                <w:lang w:val="es-ES"/>
              </w:rPr>
            </w:pPr>
            <w:r w:rsidRPr="00993936">
              <w:rPr>
                <w:rFonts w:ascii="Arial" w:hAnsi="Arial" w:cs="Arial"/>
                <w:i/>
                <w:lang w:val="es-ES"/>
              </w:rPr>
              <w:t>Pegomyza betae</w:t>
            </w:r>
          </w:p>
        </w:tc>
        <w:tc>
          <w:tcPr>
            <w:tcW w:w="1454"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Clorpirifos (granulado)</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240"/>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Deltametrín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240"/>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Piretrinas</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240"/>
          <w:jc w:val="center"/>
        </w:trPr>
        <w:tc>
          <w:tcPr>
            <w:tcW w:w="893"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Trips</w:t>
            </w: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Azadiractín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240"/>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Deltametrín  </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240"/>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Espinosad</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0452B8">
        <w:trPr>
          <w:cantSplit/>
          <w:trHeight w:val="240"/>
          <w:jc w:val="center"/>
        </w:trPr>
        <w:tc>
          <w:tcPr>
            <w:tcW w:w="893" w:type="pct"/>
            <w:vMerge/>
            <w:vAlign w:val="center"/>
          </w:tcPr>
          <w:p w:rsidR="00503A41" w:rsidRPr="00993936" w:rsidRDefault="00503A41" w:rsidP="001D205D">
            <w:pPr>
              <w:pStyle w:val="Sinespaciado"/>
              <w:rPr>
                <w:rFonts w:ascii="Arial" w:hAnsi="Arial" w:cs="Arial"/>
                <w:lang w:val="es-ES"/>
              </w:rPr>
            </w:pPr>
          </w:p>
        </w:tc>
        <w:tc>
          <w:tcPr>
            <w:tcW w:w="145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Piretrinas</w:t>
            </w:r>
          </w:p>
        </w:tc>
        <w:tc>
          <w:tcPr>
            <w:tcW w:w="1284"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369"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bl>
    <w:p w:rsidR="00503A41" w:rsidRPr="00993936" w:rsidRDefault="00503A41" w:rsidP="001D205D">
      <w:pPr>
        <w:spacing w:after="0" w:line="240" w:lineRule="auto"/>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4"/>
        <w:gridCol w:w="2410"/>
        <w:gridCol w:w="2126"/>
        <w:gridCol w:w="2194"/>
      </w:tblGrid>
      <w:tr w:rsidR="00503A41" w:rsidRPr="00993936" w:rsidTr="001D205D">
        <w:trPr>
          <w:cantSplit/>
          <w:trHeight w:val="189"/>
          <w:jc w:val="center"/>
        </w:trPr>
        <w:tc>
          <w:tcPr>
            <w:tcW w:w="1107"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Mildiu</w:t>
            </w:r>
          </w:p>
        </w:tc>
        <w:tc>
          <w:tcPr>
            <w:tcW w:w="139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Boscalida + Piraclostrobín</w:t>
            </w:r>
          </w:p>
        </w:tc>
        <w:tc>
          <w:tcPr>
            <w:tcW w:w="1230" w:type="pct"/>
            <w:vAlign w:val="center"/>
          </w:tcPr>
          <w:p w:rsidR="00503A41" w:rsidRPr="00993936" w:rsidRDefault="00503A41" w:rsidP="001D205D">
            <w:pPr>
              <w:pStyle w:val="Sinespaciado"/>
              <w:jc w:val="center"/>
              <w:rPr>
                <w:rFonts w:ascii="Arial" w:hAnsi="Arial" w:cs="Arial"/>
                <w:snapToGrid w:val="0"/>
                <w:lang w:val="es-ES"/>
              </w:rPr>
            </w:pP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189"/>
          <w:jc w:val="center"/>
        </w:trPr>
        <w:tc>
          <w:tcPr>
            <w:tcW w:w="1107" w:type="pct"/>
            <w:vMerge/>
            <w:vAlign w:val="center"/>
          </w:tcPr>
          <w:p w:rsidR="00503A41" w:rsidRPr="00993936" w:rsidRDefault="00503A41" w:rsidP="001D205D">
            <w:pPr>
              <w:pStyle w:val="Sinespaciado"/>
              <w:rPr>
                <w:rFonts w:ascii="Arial" w:hAnsi="Arial" w:cs="Arial"/>
                <w:lang w:val="es-ES"/>
              </w:rPr>
            </w:pPr>
          </w:p>
        </w:tc>
        <w:tc>
          <w:tcPr>
            <w:tcW w:w="1394" w:type="pct"/>
          </w:tcPr>
          <w:p w:rsidR="00503A41" w:rsidRPr="00993936" w:rsidDel="00B26723"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Fosetil + Propamocarb </w:t>
            </w:r>
          </w:p>
        </w:tc>
        <w:tc>
          <w:tcPr>
            <w:tcW w:w="1230" w:type="pct"/>
            <w:vAlign w:val="center"/>
          </w:tcPr>
          <w:p w:rsidR="00503A41" w:rsidRPr="00993936" w:rsidRDefault="00503A41" w:rsidP="001D205D">
            <w:pPr>
              <w:pStyle w:val="Sinespaciado"/>
              <w:jc w:val="center"/>
              <w:rPr>
                <w:rFonts w:ascii="Arial" w:hAnsi="Arial" w:cs="Arial"/>
                <w:snapToGrid w:val="0"/>
                <w:lang w:val="es-ES"/>
              </w:rPr>
            </w:pP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189"/>
          <w:jc w:val="center"/>
        </w:trPr>
        <w:tc>
          <w:tcPr>
            <w:tcW w:w="1107" w:type="pct"/>
            <w:vMerge/>
            <w:vAlign w:val="center"/>
          </w:tcPr>
          <w:p w:rsidR="00503A41" w:rsidRPr="00993936" w:rsidRDefault="00503A41" w:rsidP="001D205D">
            <w:pPr>
              <w:pStyle w:val="Sinespaciado"/>
              <w:rPr>
                <w:rFonts w:ascii="Arial" w:hAnsi="Arial" w:cs="Arial"/>
                <w:lang w:val="es-ES"/>
              </w:rPr>
            </w:pPr>
          </w:p>
        </w:tc>
        <w:tc>
          <w:tcPr>
            <w:tcW w:w="139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Fluopicolida + Propamocarb (2)</w:t>
            </w:r>
          </w:p>
        </w:tc>
        <w:tc>
          <w:tcPr>
            <w:tcW w:w="1230" w:type="pct"/>
            <w:vAlign w:val="center"/>
          </w:tcPr>
          <w:p w:rsidR="00503A41" w:rsidRPr="00993936" w:rsidRDefault="00503A41" w:rsidP="001D205D">
            <w:pPr>
              <w:pStyle w:val="Sinespaciado"/>
              <w:jc w:val="center"/>
              <w:rPr>
                <w:rFonts w:ascii="Arial" w:hAnsi="Arial" w:cs="Arial"/>
                <w:snapToGrid w:val="0"/>
                <w:lang w:val="es-ES"/>
              </w:rPr>
            </w:pP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189"/>
          <w:jc w:val="center"/>
        </w:trPr>
        <w:tc>
          <w:tcPr>
            <w:tcW w:w="1107" w:type="pct"/>
            <w:vMerge/>
            <w:vAlign w:val="center"/>
          </w:tcPr>
          <w:p w:rsidR="00503A41" w:rsidRPr="00993936" w:rsidRDefault="00503A41" w:rsidP="001D205D">
            <w:pPr>
              <w:pStyle w:val="Sinespaciado"/>
              <w:rPr>
                <w:rFonts w:ascii="Arial" w:hAnsi="Arial" w:cs="Arial"/>
                <w:lang w:val="es-ES"/>
              </w:rPr>
            </w:pPr>
          </w:p>
        </w:tc>
        <w:tc>
          <w:tcPr>
            <w:tcW w:w="139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Mancoceb</w:t>
            </w:r>
          </w:p>
        </w:tc>
        <w:tc>
          <w:tcPr>
            <w:tcW w:w="123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snapToGrid w:val="0"/>
                <w:lang w:val="es-ES"/>
              </w:rPr>
            </w:pPr>
          </w:p>
        </w:tc>
      </w:tr>
      <w:tr w:rsidR="00503A41" w:rsidRPr="00993936" w:rsidTr="001D205D">
        <w:trPr>
          <w:cantSplit/>
          <w:trHeight w:val="189"/>
          <w:jc w:val="center"/>
        </w:trPr>
        <w:tc>
          <w:tcPr>
            <w:tcW w:w="1107" w:type="pct"/>
            <w:vMerge/>
            <w:vAlign w:val="center"/>
          </w:tcPr>
          <w:p w:rsidR="00503A41" w:rsidRPr="00993936" w:rsidRDefault="00503A41" w:rsidP="001D205D">
            <w:pPr>
              <w:pStyle w:val="Sinespaciado"/>
              <w:rPr>
                <w:rFonts w:ascii="Arial" w:hAnsi="Arial" w:cs="Arial"/>
                <w:lang w:val="es-ES"/>
              </w:rPr>
            </w:pPr>
          </w:p>
        </w:tc>
        <w:tc>
          <w:tcPr>
            <w:tcW w:w="139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Mandipropamida</w:t>
            </w:r>
          </w:p>
        </w:tc>
        <w:tc>
          <w:tcPr>
            <w:tcW w:w="123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lang w:val="es-ES"/>
              </w:rPr>
            </w:pPr>
          </w:p>
        </w:tc>
        <w:tc>
          <w:tcPr>
            <w:tcW w:w="139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w:t>
            </w:r>
          </w:p>
        </w:tc>
        <w:tc>
          <w:tcPr>
            <w:tcW w:w="123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lang w:val="es-ES"/>
              </w:rPr>
            </w:pPr>
          </w:p>
        </w:tc>
        <w:tc>
          <w:tcPr>
            <w:tcW w:w="139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Óxido cuproso  </w:t>
            </w:r>
          </w:p>
        </w:tc>
        <w:tc>
          <w:tcPr>
            <w:tcW w:w="123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lang w:val="es-ES"/>
              </w:rPr>
            </w:pPr>
          </w:p>
        </w:tc>
        <w:tc>
          <w:tcPr>
            <w:tcW w:w="139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tc>
        <w:tc>
          <w:tcPr>
            <w:tcW w:w="123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lang w:val="es-ES"/>
              </w:rPr>
            </w:pPr>
          </w:p>
        </w:tc>
        <w:tc>
          <w:tcPr>
            <w:tcW w:w="1394" w:type="pct"/>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Sulfato tribásico de cobre</w:t>
            </w:r>
          </w:p>
        </w:tc>
        <w:tc>
          <w:tcPr>
            <w:tcW w:w="123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240"/>
          <w:jc w:val="center"/>
        </w:trPr>
        <w:tc>
          <w:tcPr>
            <w:tcW w:w="1107" w:type="pct"/>
            <w:vAlign w:val="center"/>
          </w:tcPr>
          <w:p w:rsidR="00503A41" w:rsidRPr="00993936" w:rsidRDefault="00503A41" w:rsidP="001D205D">
            <w:pPr>
              <w:pStyle w:val="Sinespaciado"/>
              <w:rPr>
                <w:rFonts w:ascii="Arial" w:hAnsi="Arial" w:cs="Arial"/>
                <w:b/>
                <w:i/>
                <w:snapToGrid w:val="0"/>
                <w:lang w:val="es-ES"/>
              </w:rPr>
            </w:pPr>
            <w:r w:rsidRPr="00993936">
              <w:rPr>
                <w:rFonts w:ascii="Arial" w:hAnsi="Arial" w:cs="Arial"/>
                <w:b/>
                <w:snapToGrid w:val="0"/>
                <w:lang w:val="es-ES"/>
              </w:rPr>
              <w:t>Pythium</w:t>
            </w:r>
            <w:r w:rsidRPr="00993936">
              <w:rPr>
                <w:rFonts w:ascii="Arial" w:hAnsi="Arial" w:cs="Arial"/>
                <w:b/>
                <w:i/>
                <w:snapToGrid w:val="0"/>
                <w:lang w:val="es-ES"/>
              </w:rPr>
              <w:t xml:space="preserve"> </w:t>
            </w:r>
          </w:p>
          <w:p w:rsidR="00503A41" w:rsidRPr="00993936" w:rsidRDefault="00503A41" w:rsidP="001D205D">
            <w:pPr>
              <w:pStyle w:val="Sinespaciado"/>
              <w:rPr>
                <w:rFonts w:ascii="Arial" w:hAnsi="Arial" w:cs="Arial"/>
                <w:snapToGrid w:val="0"/>
                <w:lang w:val="es-ES"/>
              </w:rPr>
            </w:pPr>
            <w:r w:rsidRPr="00993936">
              <w:rPr>
                <w:rFonts w:ascii="Arial" w:hAnsi="Arial" w:cs="Arial"/>
                <w:i/>
                <w:snapToGrid w:val="0"/>
                <w:lang w:val="es-ES"/>
              </w:rPr>
              <w:t>Pythium sp.</w:t>
            </w:r>
          </w:p>
        </w:tc>
        <w:tc>
          <w:tcPr>
            <w:tcW w:w="1394" w:type="pct"/>
          </w:tcPr>
          <w:p w:rsidR="00503A41" w:rsidRPr="00993936" w:rsidRDefault="00503A41" w:rsidP="001D205D">
            <w:pPr>
              <w:pStyle w:val="Sinespaciado"/>
              <w:rPr>
                <w:rFonts w:ascii="Arial" w:hAnsi="Arial" w:cs="Arial"/>
                <w:snapToGrid w:val="0"/>
                <w:u w:val="single"/>
                <w:lang w:val="es-ES"/>
              </w:rPr>
            </w:pPr>
          </w:p>
        </w:tc>
        <w:tc>
          <w:tcPr>
            <w:tcW w:w="1230" w:type="pct"/>
          </w:tcPr>
          <w:p w:rsidR="00503A41" w:rsidRPr="00993936" w:rsidRDefault="00503A41" w:rsidP="001D205D">
            <w:pPr>
              <w:pStyle w:val="Sinespaciado"/>
              <w:jc w:val="center"/>
              <w:rPr>
                <w:rFonts w:ascii="Arial" w:hAnsi="Arial" w:cs="Arial"/>
                <w:snapToGrid w:val="0"/>
                <w:u w:val="single"/>
                <w:lang w:val="es-ES"/>
              </w:rPr>
            </w:pPr>
          </w:p>
        </w:tc>
        <w:tc>
          <w:tcPr>
            <w:tcW w:w="1270" w:type="pct"/>
          </w:tcPr>
          <w:p w:rsidR="00503A41" w:rsidRPr="00993936" w:rsidRDefault="00503A41" w:rsidP="001D205D">
            <w:pPr>
              <w:pStyle w:val="Sinespaciado"/>
              <w:jc w:val="center"/>
              <w:rPr>
                <w:rFonts w:ascii="Arial" w:hAnsi="Arial" w:cs="Arial"/>
                <w:snapToGrid w:val="0"/>
                <w:u w:val="single"/>
                <w:lang w:val="es-ES"/>
              </w:rPr>
            </w:pPr>
          </w:p>
        </w:tc>
      </w:tr>
      <w:tr w:rsidR="00503A41" w:rsidRPr="00993936" w:rsidTr="001D205D">
        <w:trPr>
          <w:cantSplit/>
          <w:trHeight w:val="240"/>
          <w:jc w:val="center"/>
        </w:trPr>
        <w:tc>
          <w:tcPr>
            <w:tcW w:w="1107" w:type="pct"/>
            <w:vAlign w:val="center"/>
          </w:tcPr>
          <w:p w:rsidR="00503A41" w:rsidRPr="00993936" w:rsidRDefault="00503A41" w:rsidP="001D205D">
            <w:pPr>
              <w:pStyle w:val="Sinespaciado"/>
              <w:rPr>
                <w:rFonts w:ascii="Arial" w:hAnsi="Arial" w:cs="Arial"/>
                <w:b/>
                <w:snapToGrid w:val="0"/>
                <w:lang w:val="es-ES"/>
              </w:rPr>
            </w:pPr>
            <w:r w:rsidRPr="00993936">
              <w:rPr>
                <w:rFonts w:ascii="Arial" w:hAnsi="Arial" w:cs="Arial"/>
                <w:b/>
                <w:snapToGrid w:val="0"/>
                <w:lang w:val="es-ES"/>
              </w:rPr>
              <w:t>Afanomyces</w:t>
            </w:r>
          </w:p>
          <w:p w:rsidR="00503A41" w:rsidRPr="00993936" w:rsidRDefault="00503A41" w:rsidP="001D205D">
            <w:pPr>
              <w:pStyle w:val="Sinespaciado"/>
              <w:rPr>
                <w:rFonts w:ascii="Arial" w:hAnsi="Arial" w:cs="Arial"/>
                <w:i/>
                <w:snapToGrid w:val="0"/>
                <w:lang w:val="es-ES"/>
              </w:rPr>
            </w:pPr>
            <w:r w:rsidRPr="00993936">
              <w:rPr>
                <w:rFonts w:ascii="Arial" w:hAnsi="Arial" w:cs="Arial"/>
                <w:i/>
                <w:snapToGrid w:val="0"/>
                <w:lang w:val="es-ES"/>
              </w:rPr>
              <w:t>Alphanomyces sp</w:t>
            </w:r>
          </w:p>
        </w:tc>
        <w:tc>
          <w:tcPr>
            <w:tcW w:w="1394" w:type="pct"/>
          </w:tcPr>
          <w:p w:rsidR="00503A41" w:rsidRPr="00993936" w:rsidRDefault="00503A41" w:rsidP="001D205D">
            <w:pPr>
              <w:pStyle w:val="Sinespaciado"/>
              <w:rPr>
                <w:rFonts w:ascii="Arial" w:hAnsi="Arial" w:cs="Arial"/>
                <w:snapToGrid w:val="0"/>
                <w:lang w:val="es-ES"/>
              </w:rPr>
            </w:pPr>
          </w:p>
        </w:tc>
        <w:tc>
          <w:tcPr>
            <w:tcW w:w="1230" w:type="pct"/>
          </w:tcPr>
          <w:p w:rsidR="00503A41" w:rsidRPr="00993936" w:rsidRDefault="00503A41" w:rsidP="001D205D">
            <w:pPr>
              <w:pStyle w:val="Sinespaciado"/>
              <w:jc w:val="center"/>
              <w:rPr>
                <w:rFonts w:ascii="Arial" w:hAnsi="Arial" w:cs="Arial"/>
                <w:snapToGrid w:val="0"/>
                <w:u w:val="single"/>
                <w:lang w:val="es-ES"/>
              </w:rPr>
            </w:pPr>
          </w:p>
        </w:tc>
        <w:tc>
          <w:tcPr>
            <w:tcW w:w="1270" w:type="pct"/>
          </w:tcPr>
          <w:p w:rsidR="00503A41" w:rsidRPr="00993936" w:rsidRDefault="00503A41" w:rsidP="001D205D">
            <w:pPr>
              <w:pStyle w:val="Sinespaciado"/>
              <w:jc w:val="center"/>
              <w:rPr>
                <w:rFonts w:ascii="Arial" w:hAnsi="Arial" w:cs="Arial"/>
                <w:snapToGrid w:val="0"/>
                <w:u w:val="single"/>
                <w:lang w:val="es-ES"/>
              </w:rPr>
            </w:pPr>
          </w:p>
        </w:tc>
      </w:tr>
      <w:tr w:rsidR="00503A41" w:rsidRPr="00993936" w:rsidTr="001D205D">
        <w:trPr>
          <w:cantSplit/>
          <w:trHeight w:val="189"/>
          <w:jc w:val="center"/>
        </w:trPr>
        <w:tc>
          <w:tcPr>
            <w:tcW w:w="1107" w:type="pct"/>
            <w:vMerge w:val="restart"/>
            <w:vAlign w:val="center"/>
          </w:tcPr>
          <w:p w:rsidR="00503A41" w:rsidRPr="00993936" w:rsidRDefault="00503A41" w:rsidP="001D205D">
            <w:pPr>
              <w:pStyle w:val="Sinespaciado"/>
              <w:rPr>
                <w:rFonts w:ascii="Arial" w:hAnsi="Arial" w:cs="Arial"/>
                <w:b/>
                <w:caps/>
                <w:lang w:val="es-ES"/>
              </w:rPr>
            </w:pPr>
            <w:r w:rsidRPr="00993936">
              <w:rPr>
                <w:rFonts w:ascii="Arial" w:hAnsi="Arial" w:cs="Arial"/>
                <w:b/>
                <w:lang w:val="es-ES"/>
              </w:rPr>
              <w:t>Alternaria y antracnosis</w:t>
            </w:r>
          </w:p>
        </w:tc>
        <w:tc>
          <w:tcPr>
            <w:tcW w:w="1394" w:type="pct"/>
          </w:tcPr>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Boscalida + Piraclostrobín</w:t>
            </w:r>
          </w:p>
        </w:tc>
        <w:tc>
          <w:tcPr>
            <w:tcW w:w="1230" w:type="pct"/>
            <w:vAlign w:val="center"/>
          </w:tcPr>
          <w:p w:rsidR="00503A41" w:rsidRPr="00993936" w:rsidRDefault="00503A41" w:rsidP="001D205D">
            <w:pPr>
              <w:pStyle w:val="Sinespaciado"/>
              <w:jc w:val="center"/>
              <w:rPr>
                <w:rFonts w:ascii="Arial" w:hAnsi="Arial" w:cs="Arial"/>
                <w:snapToGrid w:val="0"/>
                <w:lang w:val="es-ES"/>
              </w:rPr>
            </w:pPr>
          </w:p>
        </w:tc>
        <w:tc>
          <w:tcPr>
            <w:tcW w:w="127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r>
      <w:tr w:rsidR="00503A41" w:rsidRPr="00993936" w:rsidTr="001D205D">
        <w:trPr>
          <w:cantSplit/>
          <w:trHeight w:val="189"/>
          <w:jc w:val="center"/>
        </w:trPr>
        <w:tc>
          <w:tcPr>
            <w:tcW w:w="1107" w:type="pct"/>
            <w:vMerge/>
            <w:vAlign w:val="center"/>
          </w:tcPr>
          <w:p w:rsidR="00503A41" w:rsidRPr="00993936" w:rsidRDefault="00503A41" w:rsidP="001D205D">
            <w:pPr>
              <w:pStyle w:val="Sinespaciado"/>
              <w:rPr>
                <w:rFonts w:ascii="Arial" w:hAnsi="Arial" w:cs="Arial"/>
                <w:i/>
                <w:caps/>
                <w:lang w:val="es-ES"/>
              </w:rPr>
            </w:pPr>
          </w:p>
        </w:tc>
        <w:tc>
          <w:tcPr>
            <w:tcW w:w="1394" w:type="pct"/>
          </w:tcPr>
          <w:p w:rsidR="00503A41" w:rsidRPr="00993936" w:rsidDel="00B26723" w:rsidRDefault="00503A41" w:rsidP="001D205D">
            <w:pPr>
              <w:pStyle w:val="Sinespaciado"/>
              <w:rPr>
                <w:rFonts w:ascii="Arial" w:hAnsi="Arial" w:cs="Arial"/>
                <w:lang w:val="es-ES"/>
              </w:rPr>
            </w:pPr>
            <w:r w:rsidRPr="00993936">
              <w:rPr>
                <w:rFonts w:ascii="Arial" w:hAnsi="Arial" w:cs="Arial"/>
                <w:lang w:val="es-ES"/>
              </w:rPr>
              <w:t>Hidróxido cúprico (4)</w:t>
            </w:r>
          </w:p>
        </w:tc>
        <w:tc>
          <w:tcPr>
            <w:tcW w:w="123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caps/>
                <w:lang w:val="es-ES"/>
              </w:rPr>
            </w:pPr>
          </w:p>
        </w:tc>
        <w:tc>
          <w:tcPr>
            <w:tcW w:w="1394" w:type="pct"/>
          </w:tcPr>
          <w:p w:rsidR="00503A41" w:rsidRPr="00993936" w:rsidRDefault="00503A41" w:rsidP="001D205D">
            <w:pPr>
              <w:pStyle w:val="Sinespaciado"/>
              <w:rPr>
                <w:rFonts w:ascii="Arial" w:hAnsi="Arial" w:cs="Arial"/>
                <w:lang w:val="es-ES"/>
              </w:rPr>
            </w:pPr>
            <w:r w:rsidRPr="00993936">
              <w:rPr>
                <w:rFonts w:ascii="Arial" w:hAnsi="Arial" w:cs="Arial"/>
                <w:lang w:val="es-ES"/>
              </w:rPr>
              <w:t>Mancoceb</w:t>
            </w:r>
          </w:p>
        </w:tc>
        <w:tc>
          <w:tcPr>
            <w:tcW w:w="1230" w:type="pct"/>
            <w:vAlign w:val="center"/>
          </w:tcPr>
          <w:p w:rsidR="00503A41" w:rsidRPr="00993936" w:rsidRDefault="00503A41" w:rsidP="001D205D">
            <w:pPr>
              <w:pStyle w:val="Sinespaciado"/>
              <w:jc w:val="center"/>
              <w:rPr>
                <w:rFonts w:ascii="Arial" w:hAnsi="Arial" w:cs="Arial"/>
                <w:snapToGrid w:val="0"/>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snapToGrid w:val="0"/>
                <w:lang w:val="es-ES"/>
              </w:rPr>
            </w:pP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caps/>
                <w:lang w:val="es-ES"/>
              </w:rPr>
            </w:pPr>
          </w:p>
        </w:tc>
        <w:tc>
          <w:tcPr>
            <w:tcW w:w="1394" w:type="pct"/>
          </w:tcPr>
          <w:p w:rsidR="00503A41" w:rsidRPr="00993936" w:rsidRDefault="00503A41" w:rsidP="001D205D">
            <w:pPr>
              <w:pStyle w:val="Sinespaciado"/>
              <w:rPr>
                <w:rFonts w:ascii="Arial" w:hAnsi="Arial" w:cs="Arial"/>
                <w:lang w:val="es-ES"/>
              </w:rPr>
            </w:pPr>
            <w:r w:rsidRPr="00993936">
              <w:rPr>
                <w:rFonts w:ascii="Arial" w:hAnsi="Arial" w:cs="Arial"/>
                <w:lang w:val="es-ES"/>
              </w:rPr>
              <w:t>Oxicloruro de cobre</w:t>
            </w:r>
          </w:p>
        </w:tc>
        <w:tc>
          <w:tcPr>
            <w:tcW w:w="123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caps/>
                <w:lang w:val="es-ES"/>
              </w:rPr>
            </w:pPr>
          </w:p>
        </w:tc>
        <w:tc>
          <w:tcPr>
            <w:tcW w:w="1394" w:type="pct"/>
          </w:tcPr>
          <w:p w:rsidR="00503A41" w:rsidRPr="00993936" w:rsidRDefault="00503A41" w:rsidP="001D205D">
            <w:pPr>
              <w:pStyle w:val="Sinespaciado"/>
              <w:rPr>
                <w:rFonts w:ascii="Arial" w:hAnsi="Arial" w:cs="Arial"/>
                <w:lang w:val="es-ES"/>
              </w:rPr>
            </w:pPr>
            <w:r w:rsidRPr="00993936">
              <w:rPr>
                <w:rFonts w:ascii="Arial" w:hAnsi="Arial" w:cs="Arial"/>
                <w:lang w:val="es-ES"/>
              </w:rPr>
              <w:t>Óxido cuproso</w:t>
            </w:r>
          </w:p>
        </w:tc>
        <w:tc>
          <w:tcPr>
            <w:tcW w:w="123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caps/>
                <w:lang w:val="es-ES"/>
              </w:rPr>
            </w:pPr>
          </w:p>
        </w:tc>
        <w:tc>
          <w:tcPr>
            <w:tcW w:w="1394" w:type="pct"/>
          </w:tcPr>
          <w:p w:rsidR="00503A41" w:rsidRPr="00993936" w:rsidRDefault="00503A41" w:rsidP="001D205D">
            <w:pPr>
              <w:pStyle w:val="Sinespaciado"/>
              <w:rPr>
                <w:rFonts w:ascii="Arial" w:hAnsi="Arial" w:cs="Arial"/>
                <w:lang w:val="es-ES"/>
              </w:rPr>
            </w:pPr>
            <w:r w:rsidRPr="00993936">
              <w:rPr>
                <w:rFonts w:ascii="Arial" w:hAnsi="Arial" w:cs="Arial"/>
                <w:lang w:val="es-ES"/>
              </w:rPr>
              <w:t>Sulfato cuprocálcico</w:t>
            </w:r>
          </w:p>
        </w:tc>
        <w:tc>
          <w:tcPr>
            <w:tcW w:w="123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r>
      <w:tr w:rsidR="00503A41" w:rsidRPr="00993936" w:rsidTr="001D205D">
        <w:trPr>
          <w:cantSplit/>
          <w:trHeight w:val="187"/>
          <w:jc w:val="center"/>
        </w:trPr>
        <w:tc>
          <w:tcPr>
            <w:tcW w:w="1107" w:type="pct"/>
            <w:vMerge/>
            <w:vAlign w:val="center"/>
          </w:tcPr>
          <w:p w:rsidR="00503A41" w:rsidRPr="00993936" w:rsidRDefault="00503A41" w:rsidP="001D205D">
            <w:pPr>
              <w:pStyle w:val="Sinespaciado"/>
              <w:rPr>
                <w:rFonts w:ascii="Arial" w:hAnsi="Arial" w:cs="Arial"/>
                <w:caps/>
                <w:lang w:val="es-ES"/>
              </w:rPr>
            </w:pPr>
          </w:p>
        </w:tc>
        <w:tc>
          <w:tcPr>
            <w:tcW w:w="1394" w:type="pct"/>
          </w:tcPr>
          <w:p w:rsidR="00503A41" w:rsidRPr="00993936" w:rsidRDefault="00503A41" w:rsidP="001D205D">
            <w:pPr>
              <w:pStyle w:val="Sinespaciado"/>
              <w:rPr>
                <w:rFonts w:ascii="Arial" w:hAnsi="Arial" w:cs="Arial"/>
                <w:lang w:val="es-ES"/>
              </w:rPr>
            </w:pPr>
            <w:r w:rsidRPr="00993936">
              <w:rPr>
                <w:rFonts w:ascii="Arial" w:hAnsi="Arial" w:cs="Arial"/>
                <w:lang w:val="es-ES"/>
              </w:rPr>
              <w:t>Sulfato tribásico de cobre</w:t>
            </w:r>
          </w:p>
        </w:tc>
        <w:tc>
          <w:tcPr>
            <w:tcW w:w="123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c>
          <w:tcPr>
            <w:tcW w:w="127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snapToGrid w:val="0"/>
                <w:lang w:val="es-ES"/>
              </w:rPr>
              <w:t>X</w:t>
            </w:r>
          </w:p>
        </w:tc>
      </w:tr>
      <w:tr w:rsidR="00503A41" w:rsidRPr="00993936" w:rsidTr="001D205D">
        <w:trPr>
          <w:cantSplit/>
          <w:trHeight w:val="240"/>
          <w:jc w:val="center"/>
        </w:trPr>
        <w:tc>
          <w:tcPr>
            <w:tcW w:w="1107" w:type="pct"/>
            <w:vAlign w:val="center"/>
          </w:tcPr>
          <w:p w:rsidR="00503A41" w:rsidRPr="00993936" w:rsidRDefault="00503A41" w:rsidP="001D205D">
            <w:pPr>
              <w:pStyle w:val="Sinespaciado"/>
              <w:rPr>
                <w:rFonts w:ascii="Arial" w:hAnsi="Arial" w:cs="Arial"/>
                <w:lang w:val="es-ES"/>
              </w:rPr>
            </w:pPr>
            <w:r w:rsidRPr="00993936">
              <w:rPr>
                <w:rFonts w:ascii="Arial" w:hAnsi="Arial" w:cs="Arial"/>
                <w:b/>
                <w:lang w:val="es-ES"/>
              </w:rPr>
              <w:t>Septoria,</w:t>
            </w:r>
            <w:r w:rsidRPr="00993936">
              <w:rPr>
                <w:rFonts w:ascii="Arial" w:hAnsi="Arial" w:cs="Arial"/>
                <w:lang w:val="es-ES"/>
              </w:rPr>
              <w:t xml:space="preserve"> Verticillium </w:t>
            </w:r>
          </w:p>
        </w:tc>
        <w:tc>
          <w:tcPr>
            <w:tcW w:w="1394" w:type="pct"/>
          </w:tcPr>
          <w:p w:rsidR="00503A41" w:rsidRPr="00993936" w:rsidRDefault="00503A41" w:rsidP="001D205D">
            <w:pPr>
              <w:pStyle w:val="Sinespaciado"/>
              <w:rPr>
                <w:rFonts w:ascii="Arial" w:hAnsi="Arial" w:cs="Arial"/>
                <w:lang w:val="es-ES"/>
              </w:rPr>
            </w:pPr>
          </w:p>
        </w:tc>
        <w:tc>
          <w:tcPr>
            <w:tcW w:w="1230" w:type="pct"/>
            <w:vAlign w:val="center"/>
          </w:tcPr>
          <w:p w:rsidR="00503A41" w:rsidRPr="00993936" w:rsidRDefault="00503A41" w:rsidP="001D205D">
            <w:pPr>
              <w:pStyle w:val="Sinespaciado"/>
              <w:jc w:val="center"/>
              <w:rPr>
                <w:rFonts w:ascii="Arial" w:hAnsi="Arial" w:cs="Arial"/>
                <w:lang w:val="es-ES"/>
              </w:rPr>
            </w:pPr>
          </w:p>
        </w:tc>
        <w:tc>
          <w:tcPr>
            <w:tcW w:w="1270" w:type="pct"/>
            <w:vAlign w:val="center"/>
          </w:tcPr>
          <w:p w:rsidR="00503A41" w:rsidRPr="00993936" w:rsidRDefault="00503A41" w:rsidP="001D205D">
            <w:pPr>
              <w:pStyle w:val="Sinespaciado"/>
              <w:jc w:val="center"/>
              <w:rPr>
                <w:rFonts w:ascii="Arial" w:hAnsi="Arial" w:cs="Arial"/>
                <w:lang w:val="es-ES"/>
              </w:rPr>
            </w:pPr>
          </w:p>
        </w:tc>
      </w:tr>
      <w:tr w:rsidR="00503A41" w:rsidRPr="00993936" w:rsidTr="001D205D">
        <w:trPr>
          <w:cantSplit/>
          <w:trHeight w:val="240"/>
          <w:jc w:val="center"/>
        </w:trPr>
        <w:tc>
          <w:tcPr>
            <w:tcW w:w="1107"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Otras plagas y enfermedades</w:t>
            </w:r>
          </w:p>
        </w:tc>
        <w:tc>
          <w:tcPr>
            <w:tcW w:w="1394" w:type="pct"/>
          </w:tcPr>
          <w:p w:rsidR="00503A41" w:rsidRPr="00993936" w:rsidRDefault="00503A41" w:rsidP="001D205D">
            <w:pPr>
              <w:pStyle w:val="Sinespaciado"/>
              <w:rPr>
                <w:rFonts w:ascii="Arial" w:hAnsi="Arial" w:cs="Arial"/>
                <w:lang w:val="es-ES"/>
              </w:rPr>
            </w:pPr>
            <w:r w:rsidRPr="00993936">
              <w:rPr>
                <w:rFonts w:ascii="Arial" w:hAnsi="Arial" w:cs="Arial"/>
                <w:lang w:val="es-ES"/>
              </w:rPr>
              <w:t>Las expresamente autorizadas en el cultivo, teniendo en cuenta su efecto sobre la fauna útil y su toxicología</w:t>
            </w:r>
          </w:p>
        </w:tc>
        <w:tc>
          <w:tcPr>
            <w:tcW w:w="1230" w:type="pct"/>
          </w:tcPr>
          <w:p w:rsidR="00503A41" w:rsidRPr="00993936" w:rsidRDefault="00503A41" w:rsidP="001D205D">
            <w:pPr>
              <w:pStyle w:val="Sinespaciado"/>
              <w:jc w:val="center"/>
              <w:rPr>
                <w:rFonts w:ascii="Arial" w:hAnsi="Arial" w:cs="Arial"/>
                <w:lang w:val="es-ES"/>
              </w:rPr>
            </w:pPr>
          </w:p>
        </w:tc>
        <w:tc>
          <w:tcPr>
            <w:tcW w:w="1270" w:type="pct"/>
          </w:tcPr>
          <w:p w:rsidR="00503A41" w:rsidRPr="00993936" w:rsidRDefault="00503A41" w:rsidP="001D205D">
            <w:pPr>
              <w:pStyle w:val="Sinespaciado"/>
              <w:jc w:val="center"/>
              <w:rPr>
                <w:rFonts w:ascii="Arial" w:hAnsi="Arial" w:cs="Arial"/>
                <w:lang w:val="es-ES"/>
              </w:rPr>
            </w:pPr>
          </w:p>
        </w:tc>
      </w:tr>
    </w:tbl>
    <w:p w:rsidR="00503A41" w:rsidRPr="00993936" w:rsidRDefault="00503A41" w:rsidP="000452B8">
      <w:pPr>
        <w:jc w:val="both"/>
        <w:rPr>
          <w:rFonts w:ascii="Arial" w:hAnsi="Arial" w:cs="Arial"/>
          <w:b/>
          <w:lang w:val="es-ES"/>
        </w:rPr>
      </w:pPr>
    </w:p>
    <w:p w:rsidR="00503A41" w:rsidRPr="00993936" w:rsidRDefault="00503A41" w:rsidP="000452B8">
      <w:pPr>
        <w:pStyle w:val="Textoindependiente3"/>
        <w:rPr>
          <w:rFonts w:cs="Arial"/>
          <w:lang w:val="es-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lastRenderedPageBreak/>
        <w:t>(6) Sólo en cultivos al aire libre</w:t>
      </w:r>
    </w:p>
    <w:p w:rsidR="00503A41" w:rsidRPr="00993936" w:rsidRDefault="00503A41" w:rsidP="000452B8">
      <w:pPr>
        <w:spacing w:before="120"/>
        <w:jc w:val="center"/>
        <w:rPr>
          <w:rFonts w:ascii="Arial" w:hAnsi="Arial" w:cs="Arial"/>
          <w:b/>
          <w:sz w:val="28"/>
          <w:szCs w:val="28"/>
          <w:u w:val="single"/>
          <w:lang w:val="es-ES"/>
        </w:rPr>
      </w:pPr>
      <w:r w:rsidRPr="00993936">
        <w:rPr>
          <w:rFonts w:ascii="Arial" w:hAnsi="Arial" w:cs="Arial"/>
          <w:sz w:val="16"/>
          <w:szCs w:val="16"/>
          <w:lang w:val="es-ES"/>
        </w:rPr>
        <w:br w:type="page"/>
      </w:r>
      <w:r w:rsidRPr="00993936">
        <w:rPr>
          <w:rFonts w:ascii="Arial" w:hAnsi="Arial" w:cs="Arial"/>
          <w:b/>
          <w:sz w:val="28"/>
          <w:szCs w:val="28"/>
          <w:u w:val="single"/>
          <w:lang w:val="es-ES"/>
        </w:rPr>
        <w:lastRenderedPageBreak/>
        <w:t>CULTIVO: ALCACHOFA</w:t>
      </w:r>
    </w:p>
    <w:p w:rsidR="00503A41" w:rsidRPr="00993936" w:rsidRDefault="00503A41" w:rsidP="000452B8">
      <w:pPr>
        <w:spacing w:before="120"/>
        <w:jc w:val="both"/>
        <w:rPr>
          <w:rFonts w:ascii="Arial" w:hAnsi="Arial" w:cs="Arial"/>
          <w:b/>
          <w:snapToGrid w:val="0"/>
          <w:lang w:val="es-ES"/>
        </w:rPr>
      </w:pPr>
      <w:r w:rsidRPr="00993936">
        <w:rPr>
          <w:rFonts w:ascii="Arial" w:hAnsi="Arial" w:cs="Arial"/>
          <w:b/>
          <w:snapToGrid w:val="0"/>
          <w:lang w:val="es-ES"/>
        </w:rPr>
        <w:t>ANEXO 4</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Materias activas de herbicidas para la producción integrada alcachofa</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Cs w:val="22"/>
                <w:lang w:val="es-ES"/>
              </w:rPr>
            </w:pPr>
            <w:r w:rsidRPr="00993936">
              <w:rPr>
                <w:rFonts w:cs="Arial"/>
                <w:b/>
                <w:szCs w:val="22"/>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6136"/>
          <w:jc w:val="center"/>
        </w:trPr>
        <w:tc>
          <w:tcPr>
            <w:tcW w:w="2418" w:type="pct"/>
            <w:vAlign w:val="center"/>
          </w:tcPr>
          <w:p w:rsidR="00503A41" w:rsidRPr="00993936" w:rsidRDefault="00503A41" w:rsidP="000452B8">
            <w:pPr>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 + Glifosato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Diquat</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Fluazifop </w:t>
            </w:r>
            <w:r w:rsidRPr="00993936">
              <w:rPr>
                <w:rFonts w:ascii="Arial" w:hAnsi="Arial" w:cs="Arial"/>
                <w:lang w:val="es-ES"/>
              </w:rPr>
              <w:t xml:space="preserv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Linurón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Oxifluorfén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Pendimetalina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Piridato</w:t>
            </w:r>
          </w:p>
        </w:tc>
        <w:tc>
          <w:tcPr>
            <w:tcW w:w="2582" w:type="pct"/>
          </w:tcPr>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p>
          <w:p w:rsidR="00503A41" w:rsidRPr="00993936" w:rsidRDefault="00503A41" w:rsidP="000452B8">
            <w:pPr>
              <w:widowControl w:val="0"/>
              <w:ind w:left="360"/>
              <w:rPr>
                <w:rFonts w:ascii="Arial" w:hAnsi="Arial" w:cs="Arial"/>
                <w:snapToGrid w:val="0"/>
                <w:lang w:val="es-ES"/>
              </w:rPr>
            </w:pPr>
            <w:r w:rsidRPr="00993936">
              <w:rPr>
                <w:rFonts w:ascii="Arial" w:hAnsi="Arial" w:cs="Arial"/>
                <w:snapToGrid w:val="0"/>
                <w:lang w:val="es-ES"/>
              </w:rPr>
              <w:t>Las restricciones numéricas se detallan al final de este documento.</w:t>
            </w:r>
          </w:p>
          <w:p w:rsidR="00503A41" w:rsidRPr="00993936" w:rsidRDefault="00503A41" w:rsidP="000452B8">
            <w:pPr>
              <w:pStyle w:val="Prrafodelista"/>
              <w:widowControl w:val="0"/>
              <w:rPr>
                <w:rFonts w:ascii="Arial" w:hAnsi="Arial" w:cs="Arial"/>
                <w:b/>
                <w:snapToGrid w:val="0"/>
                <w:lang w:val="es-ES"/>
              </w:rPr>
            </w:pPr>
          </w:p>
        </w:tc>
      </w:tr>
    </w:tbl>
    <w:p w:rsidR="00503A41" w:rsidRPr="00993936" w:rsidRDefault="00503A41" w:rsidP="000452B8">
      <w:pPr>
        <w:pStyle w:val="Textoindependiente3"/>
        <w:spacing w:before="120"/>
        <w:rPr>
          <w:rFonts w:cs="Arial"/>
          <w:b w:val="0"/>
          <w:szCs w:val="22"/>
          <w:lang w:val="es-ES"/>
        </w:rPr>
      </w:pPr>
    </w:p>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numPr>
          <w:ilvl w:val="0"/>
          <w:numId w:val="82"/>
        </w:numPr>
        <w:spacing w:before="120" w:after="0" w:line="240" w:lineRule="auto"/>
        <w:jc w:val="both"/>
        <w:rPr>
          <w:rFonts w:ascii="Arial" w:hAnsi="Arial" w:cs="Arial"/>
          <w:i/>
          <w:lang w:val="es-ES"/>
        </w:rPr>
      </w:pPr>
      <w:r w:rsidRPr="00993936">
        <w:rPr>
          <w:rFonts w:ascii="Arial" w:hAnsi="Arial" w:cs="Arial"/>
          <w:i/>
          <w:lang w:val="es-ES"/>
        </w:rPr>
        <w:t xml:space="preserve">Lysiphlebus testaceipes </w:t>
      </w:r>
    </w:p>
    <w:p w:rsidR="00503A41" w:rsidRPr="00993936" w:rsidRDefault="00503A41" w:rsidP="009D1A2D">
      <w:pPr>
        <w:numPr>
          <w:ilvl w:val="0"/>
          <w:numId w:val="82"/>
        </w:numPr>
        <w:spacing w:before="120" w:after="0" w:line="240" w:lineRule="auto"/>
        <w:jc w:val="both"/>
        <w:rPr>
          <w:rFonts w:ascii="Arial" w:hAnsi="Arial" w:cs="Arial"/>
          <w:lang w:val="es-ES"/>
        </w:rPr>
      </w:pPr>
      <w:r w:rsidRPr="00993936">
        <w:rPr>
          <w:rFonts w:ascii="Arial" w:hAnsi="Arial" w:cs="Arial"/>
          <w:i/>
          <w:lang w:val="es-ES"/>
        </w:rPr>
        <w:t>Aphidius matricariae</w:t>
      </w:r>
    </w:p>
    <w:p w:rsidR="00503A41" w:rsidRPr="00993936" w:rsidRDefault="00503A41" w:rsidP="009D1A2D">
      <w:pPr>
        <w:numPr>
          <w:ilvl w:val="0"/>
          <w:numId w:val="82"/>
        </w:numPr>
        <w:spacing w:before="120" w:after="0" w:line="240" w:lineRule="auto"/>
        <w:jc w:val="both"/>
        <w:rPr>
          <w:rFonts w:ascii="Arial" w:hAnsi="Arial" w:cs="Arial"/>
          <w:lang w:val="es-ES"/>
        </w:rPr>
      </w:pPr>
      <w:r w:rsidRPr="00993936">
        <w:rPr>
          <w:rFonts w:ascii="Arial" w:hAnsi="Arial" w:cs="Arial"/>
          <w:lang w:val="es-ES"/>
        </w:rPr>
        <w:t>Sírfidos</w:t>
      </w:r>
    </w:p>
    <w:p w:rsidR="00503A41" w:rsidRPr="00993936" w:rsidRDefault="00503A41" w:rsidP="000452B8">
      <w:pPr>
        <w:jc w:val="both"/>
        <w:rPr>
          <w:rFonts w:ascii="Arial" w:hAnsi="Arial" w:cs="Arial"/>
          <w:b/>
          <w:snapToGrid w:val="0"/>
          <w:lang w:val="es-ES"/>
        </w:rPr>
      </w:pPr>
    </w:p>
    <w:p w:rsidR="00503A41" w:rsidRPr="00993936" w:rsidRDefault="00503A41" w:rsidP="000452B8">
      <w:pPr>
        <w:pStyle w:val="Ttulo1"/>
        <w:spacing w:before="120"/>
        <w:rPr>
          <w:rFonts w:ascii="Arial" w:hAnsi="Arial" w:cs="Arial"/>
          <w:b/>
          <w:color w:val="auto"/>
          <w:sz w:val="22"/>
        </w:rPr>
      </w:pPr>
      <w:r w:rsidRPr="00993936">
        <w:rPr>
          <w:rFonts w:ascii="Arial" w:hAnsi="Arial" w:cs="Arial"/>
          <w:b/>
          <w:caps/>
          <w:color w:val="auto"/>
          <w:sz w:val="22"/>
        </w:rPr>
        <w:t>ANEXO 6</w:t>
      </w:r>
    </w:p>
    <w:p w:rsidR="00503A41" w:rsidRPr="00993936" w:rsidRDefault="00503A41" w:rsidP="000452B8">
      <w:pPr>
        <w:pStyle w:val="Textoindependiente"/>
        <w:spacing w:before="120"/>
        <w:rPr>
          <w:rFonts w:cs="Arial"/>
          <w:b/>
          <w:lang w:val="es-ES"/>
        </w:rPr>
      </w:pPr>
      <w:r w:rsidRPr="00993936">
        <w:rPr>
          <w:rFonts w:cs="Arial"/>
          <w:b/>
          <w:lang w:val="es-ES"/>
        </w:rPr>
        <w:t>Programas de control fitosanitario</w:t>
      </w:r>
    </w:p>
    <w:p w:rsidR="00503A41" w:rsidRPr="00993936" w:rsidRDefault="00503A41" w:rsidP="000452B8">
      <w:pPr>
        <w:pStyle w:val="Textoindependiente"/>
        <w:spacing w:before="120"/>
        <w:rPr>
          <w:rFonts w:cs="Arial"/>
          <w:lang w:val="es-ES"/>
        </w:rPr>
      </w:pPr>
      <w:r w:rsidRPr="00993936">
        <w:rPr>
          <w:rFonts w:cs="Arial"/>
          <w:lang w:val="es-ES"/>
        </w:rPr>
        <w:t>Para poder aplicar estos programas con éxito, es imprescindible aplicar unas buenas medidas culturales con el objetivo de iniciar el cultivo con plantas con ausencia de plagas y enfermedades, disminuir la entrada en el cultivo y la posterior proliferación.</w:t>
      </w:r>
    </w:p>
    <w:p w:rsidR="00503A41" w:rsidRPr="00993936" w:rsidRDefault="00503A41" w:rsidP="000452B8">
      <w:pPr>
        <w:pStyle w:val="Textoindependiente"/>
        <w:spacing w:before="120"/>
        <w:rPr>
          <w:rFonts w:cs="Arial"/>
          <w:lang w:val="es-ES"/>
        </w:rPr>
      </w:pPr>
      <w:r w:rsidRPr="00993936">
        <w:rPr>
          <w:rFonts w:cs="Arial"/>
          <w:lang w:val="es-ES"/>
        </w:rPr>
        <w:lastRenderedPageBreak/>
        <w:t xml:space="preserve">Hay un programa específico para el cultivo, que se recoge en el Cuadro nº. 1 de este Anexo. </w:t>
      </w:r>
    </w:p>
    <w:p w:rsidR="00503A41" w:rsidRPr="00993936" w:rsidRDefault="00503A41" w:rsidP="000452B8">
      <w:pPr>
        <w:pStyle w:val="Textoindependiente"/>
        <w:spacing w:before="120"/>
        <w:rPr>
          <w:rFonts w:cs="Arial"/>
          <w:lang w:val="es-ES"/>
        </w:rPr>
      </w:pPr>
      <w:r w:rsidRPr="00993936">
        <w:rPr>
          <w:rFonts w:cs="Arial"/>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lang w:val="es-ES"/>
        </w:rPr>
      </w:pPr>
      <w:r w:rsidRPr="00993936">
        <w:rPr>
          <w:rFonts w:cs="Arial"/>
          <w:lang w:val="es-ES"/>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rsidR="00503A41" w:rsidRPr="00993936" w:rsidRDefault="00503A41" w:rsidP="000452B8">
      <w:pPr>
        <w:pStyle w:val="Textoindependiente"/>
        <w:spacing w:before="120"/>
        <w:rPr>
          <w:rFonts w:cs="Arial"/>
          <w:lang w:val="es-ES"/>
        </w:rPr>
      </w:pPr>
      <w:r w:rsidRPr="00993936">
        <w:rPr>
          <w:rFonts w:cs="Arial"/>
          <w:lang w:val="es-ES"/>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lang w:val="es-ES"/>
        </w:rPr>
      </w:pPr>
      <w:r w:rsidRPr="00993936">
        <w:rPr>
          <w:rFonts w:cs="Arial"/>
          <w:lang w:val="es-ES"/>
        </w:rPr>
        <w:t>Además de los muestreos específicos propuestos en los Cuadros de Control Fitosanitario, se hará una observación general del cultivo que permita estimar el estado general, así como la presencia de plagas y/o enfermedades. Los recuentos y las observaciones, y también las instrucciones dejadas, se anotarán en la correspondiente Hoja 3 del Cuaderno de Explotación.</w:t>
      </w:r>
    </w:p>
    <w:p w:rsidR="00503A41" w:rsidRPr="00993936" w:rsidRDefault="00503A41" w:rsidP="000452B8">
      <w:pPr>
        <w:pStyle w:val="Textoindependiente"/>
        <w:spacing w:before="120"/>
        <w:rPr>
          <w:rFonts w:cs="Arial"/>
          <w:lang w:val="es-ES"/>
        </w:rPr>
      </w:pPr>
      <w:r w:rsidRPr="00993936">
        <w:rPr>
          <w:rFonts w:cs="Arial"/>
          <w:lang w:val="es-ES"/>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993936">
        <w:rPr>
          <w:rFonts w:cs="Arial"/>
          <w:vanish/>
          <w:lang w:val="es-ES"/>
        </w:rPr>
        <w:t>&lt;A[empleo|ocupación]&gt;</w:t>
      </w:r>
      <w:r w:rsidRPr="00993936">
        <w:rPr>
          <w:rFonts w:cs="Arial"/>
          <w:lang w:val="es-ES"/>
        </w:rPr>
        <w:t>) o la infestación media cuando sea requerida. También se calculará el porcentajes de plantas que presentan fauna útil asociada a cada una de las plagas.</w:t>
      </w:r>
    </w:p>
    <w:p w:rsidR="00503A41" w:rsidRPr="00993936" w:rsidRDefault="00503A41" w:rsidP="000452B8">
      <w:pPr>
        <w:pStyle w:val="Textoindependiente"/>
        <w:spacing w:before="120"/>
        <w:rPr>
          <w:rFonts w:cs="Arial"/>
          <w:lang w:val="es-ES"/>
        </w:rPr>
      </w:pPr>
      <w:r w:rsidRPr="00993936">
        <w:rPr>
          <w:rFonts w:cs="Arial"/>
          <w:lang w:val="es-ES"/>
        </w:rPr>
        <w:t xml:space="preserve">Los métodos de muestreo y los umbrales de intervención en los casos previstos son los que figuran en el Cuadro 1 de este anexo.  </w:t>
      </w: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t>6.1.</w:t>
      </w:r>
      <w:r w:rsidRPr="00993936">
        <w:rPr>
          <w:rFonts w:ascii="Arial" w:hAnsi="Arial" w:cs="Arial"/>
          <w:color w:val="auto"/>
          <w:lang w:val="es-ES"/>
        </w:rPr>
        <w:tab/>
        <w:t>Pulgón (PG)</w:t>
      </w:r>
    </w:p>
    <w:p w:rsidR="00503A41" w:rsidRPr="00993936" w:rsidRDefault="00503A41" w:rsidP="000452B8">
      <w:pPr>
        <w:pStyle w:val="Textoindependiente"/>
        <w:spacing w:before="120"/>
        <w:rPr>
          <w:rFonts w:cs="Arial"/>
          <w:lang w:val="es-ES"/>
        </w:rPr>
      </w:pPr>
      <w:r w:rsidRPr="00993936">
        <w:rPr>
          <w:rFonts w:cs="Arial"/>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6.2.</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lang w:val="es-ES"/>
        </w:rPr>
      </w:pPr>
      <w:r w:rsidRPr="00993936">
        <w:rPr>
          <w:rFonts w:cs="Arial"/>
          <w:lang w:val="es-ES"/>
        </w:rPr>
        <w:t>Se anotará la presencia/ausencia (+/-) de otras plagas no explícitamente previstas en la Hoja 3 del cuaderno, especificando en Observaciones la especie objeto del seguimiento. En caso de que aparezca una nueva plaga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6.3.</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lang w:val="es-ES"/>
        </w:rPr>
      </w:pPr>
      <w:r w:rsidRPr="00993936">
        <w:rPr>
          <w:rFonts w:cs="Arial"/>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lastRenderedPageBreak/>
        <w:t>6.4.</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lang w:val="es-ES"/>
        </w:rPr>
      </w:pPr>
      <w:r w:rsidRPr="00993936">
        <w:rPr>
          <w:rFonts w:cs="Arial"/>
          <w:lang w:val="es-ES"/>
        </w:rPr>
        <w:t>En las columnas correspondientes de la Hoja 3, se anotará la presencia/ausencia (+/-) de síntomas recientes de las enfermedades más comunas como oídio (OÍDIO), botritis (BOT</w:t>
      </w:r>
      <w:r w:rsidRPr="00993936">
        <w:rPr>
          <w:rFonts w:cs="Arial"/>
          <w:vanish/>
          <w:lang w:val="es-ES"/>
        </w:rPr>
        <w:t>&lt;A[BOTE|ODRE]&gt;</w:t>
      </w:r>
      <w:r w:rsidRPr="00993936">
        <w:rPr>
          <w:rFonts w:cs="Arial"/>
          <w:lang w:val="es-ES"/>
        </w:rPr>
        <w:t>), mildiu (MILD) y bacterias (BACT). En caso de observarse síntomas y/o cuando las condiciones agronómicas y/o meteorológicas hagan suponer la aparición de la enfermedad, se realizarán tratamientos con el producto más adecuado de los indicados en el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lang w:val="es-ES"/>
        </w:rPr>
      </w:pPr>
      <w:r w:rsidRPr="00993936">
        <w:rPr>
          <w:rFonts w:cs="Arial"/>
          <w:lang w:val="es-ES"/>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 xml:space="preserve">Nemátodos </w:t>
      </w:r>
    </w:p>
    <w:p w:rsidR="00503A41" w:rsidRPr="00993936" w:rsidRDefault="00503A41" w:rsidP="000452B8">
      <w:pPr>
        <w:spacing w:before="120"/>
        <w:jc w:val="both"/>
        <w:rPr>
          <w:rFonts w:ascii="Arial" w:hAnsi="Arial" w:cs="Arial"/>
          <w:lang w:val="es-ES"/>
        </w:rPr>
      </w:pPr>
      <w:r w:rsidRPr="00993936">
        <w:rPr>
          <w:rFonts w:ascii="Arial" w:hAnsi="Arial" w:cs="Arial"/>
          <w:lang w:val="es-ES"/>
        </w:rPr>
        <w:t>En caso de que el cultivo a implantar sea sensible a nemátodos, se escogerán preferentemente variedades resistentes. En caso de que no haya o no sean bien aceptadas por el mercado, se podrán utilizar tratamientos para controlar este problema del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rsidR="00503A41" w:rsidRPr="00993936" w:rsidRDefault="00503A41" w:rsidP="000452B8">
      <w:pPr>
        <w:spacing w:before="120"/>
        <w:jc w:val="both"/>
        <w:rPr>
          <w:rFonts w:ascii="Arial" w:hAnsi="Arial" w:cs="Arial"/>
          <w:b/>
          <w:lang w:val="es-ES"/>
        </w:rPr>
      </w:pP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Cuadro 1.-  Control fitosanitario en alcachofa</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 alcachofa</w:t>
      </w:r>
    </w:p>
    <w:p w:rsidR="00503A41" w:rsidRPr="00993936" w:rsidRDefault="00503A41" w:rsidP="000452B8">
      <w:pPr>
        <w:pStyle w:val="Textoindependiente3"/>
        <w:rPr>
          <w:rFonts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5"/>
        <w:gridCol w:w="1711"/>
        <w:gridCol w:w="1121"/>
        <w:gridCol w:w="1535"/>
        <w:gridCol w:w="1301"/>
        <w:gridCol w:w="1441"/>
      </w:tblGrid>
      <w:tr w:rsidR="00503A41" w:rsidRPr="00993936" w:rsidTr="000452B8">
        <w:trPr>
          <w:cantSplit/>
          <w:tblHeader/>
          <w:jc w:val="center"/>
        </w:trPr>
        <w:tc>
          <w:tcPr>
            <w:tcW w:w="998"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PLAGA / ENFERMEDAD</w:t>
            </w:r>
          </w:p>
        </w:tc>
        <w:tc>
          <w:tcPr>
            <w:tcW w:w="757"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MÉTODO DE EVALUACIÓN DE INCIDENCIA</w:t>
            </w:r>
          </w:p>
        </w:tc>
        <w:tc>
          <w:tcPr>
            <w:tcW w:w="607" w:type="pct"/>
            <w:shd w:val="pct12" w:color="auto" w:fill="FFFFFF"/>
            <w:vAlign w:val="center"/>
          </w:tcPr>
          <w:p w:rsidR="00503A41" w:rsidRPr="00993936" w:rsidRDefault="00503A41" w:rsidP="000452B8">
            <w:pPr>
              <w:pStyle w:val="titolstaula"/>
              <w:rPr>
                <w:rFonts w:cs="Arial"/>
                <w:caps/>
                <w:noProof w:val="0"/>
                <w:sz w:val="18"/>
                <w:szCs w:val="18"/>
                <w:lang w:val="es-ES"/>
              </w:rPr>
            </w:pPr>
            <w:r w:rsidRPr="00993936">
              <w:rPr>
                <w:rFonts w:cs="Arial"/>
                <w:caps/>
                <w:noProof w:val="0"/>
                <w:sz w:val="18"/>
                <w:szCs w:val="18"/>
                <w:lang w:val="es-ES"/>
              </w:rPr>
              <w:t>ÉPOCA</w:t>
            </w:r>
          </w:p>
        </w:tc>
        <w:tc>
          <w:tcPr>
            <w:tcW w:w="998" w:type="pct"/>
            <w:shd w:val="pct12" w:color="auto" w:fill="FFFFFF"/>
            <w:vAlign w:val="center"/>
          </w:tcPr>
          <w:p w:rsidR="00503A41" w:rsidRPr="00993936" w:rsidRDefault="00503A41" w:rsidP="000452B8">
            <w:pPr>
              <w:pStyle w:val="titolstaula"/>
              <w:rPr>
                <w:rFonts w:cs="Arial"/>
                <w:caps/>
                <w:noProof w:val="0"/>
                <w:sz w:val="18"/>
                <w:szCs w:val="18"/>
                <w:lang w:val="es-ES"/>
              </w:rPr>
            </w:pPr>
            <w:r w:rsidRPr="00993936">
              <w:rPr>
                <w:rFonts w:cs="Arial"/>
                <w:caps/>
                <w:noProof w:val="0"/>
                <w:sz w:val="18"/>
                <w:szCs w:val="18"/>
                <w:lang w:val="es-ES"/>
              </w:rPr>
              <w:t>Criterio de intervención</w:t>
            </w:r>
          </w:p>
        </w:tc>
        <w:tc>
          <w:tcPr>
            <w:tcW w:w="697"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FAUNA AUXILIAR</w:t>
            </w:r>
          </w:p>
        </w:tc>
        <w:tc>
          <w:tcPr>
            <w:tcW w:w="944"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OTROS MÉTODOS</w:t>
            </w:r>
          </w:p>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(culturales, etc.)</w:t>
            </w: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Taladro de la alcachofa</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Gortyna xanthenes</w:t>
            </w:r>
          </w:p>
        </w:tc>
        <w:tc>
          <w:tcPr>
            <w:tcW w:w="75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Mirar la presencia de daños en las primeras cosechas de alcachofas</w:t>
            </w: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Diciembre-marzo</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w:t>
            </w:r>
          </w:p>
        </w:tc>
        <w:tc>
          <w:tcPr>
            <w:tcW w:w="697" w:type="pc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Trichogramma </w:t>
            </w:r>
            <w:r w:rsidRPr="00993936">
              <w:rPr>
                <w:rFonts w:cs="Arial"/>
                <w:noProof w:val="0"/>
                <w:sz w:val="18"/>
                <w:szCs w:val="18"/>
                <w:lang w:val="es-ES"/>
              </w:rPr>
              <w:t>spp.</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Telenomus spp.</w:t>
            </w:r>
          </w:p>
          <w:p w:rsidR="00503A41" w:rsidRPr="00993936" w:rsidRDefault="00503A41" w:rsidP="000452B8">
            <w:pPr>
              <w:pStyle w:val="taula"/>
              <w:rPr>
                <w:rFonts w:cs="Arial"/>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Plantar cepas sin daños.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Seguimiento de la eclosión de los huevos invernales.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Tratamiento en larvas de primeros estadios de desarrollo.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Destrucción de los troncos afectados a finales de junio.</w:t>
            </w: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Dormidores y gusanos de alambre</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Agrotis segetum, A. Ipsilon</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 xml:space="preserve">Agriotes </w:t>
            </w:r>
            <w:r w:rsidRPr="00993936">
              <w:rPr>
                <w:rFonts w:cs="Arial"/>
                <w:noProof w:val="0"/>
                <w:sz w:val="18"/>
                <w:szCs w:val="18"/>
                <w:lang w:val="es-ES"/>
              </w:rPr>
              <w:t>spp.</w:t>
            </w:r>
          </w:p>
        </w:tc>
        <w:tc>
          <w:tcPr>
            <w:tcW w:w="757"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Presencia/ausencia en un mínimo de 25 plantas de todo el campo</w:t>
            </w: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Agosto-noviembre</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en más del 20% de las plantas</w:t>
            </w:r>
          </w:p>
        </w:tc>
        <w:tc>
          <w:tcPr>
            <w:tcW w:w="697" w:type="pct"/>
            <w:vAlign w:val="center"/>
          </w:tcPr>
          <w:p w:rsidR="00503A41" w:rsidRPr="00993936" w:rsidRDefault="00503A41" w:rsidP="000452B8">
            <w:pPr>
              <w:pStyle w:val="taula"/>
              <w:rPr>
                <w:rFonts w:cs="Arial"/>
                <w:i/>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lastRenderedPageBreak/>
              <w:t>Defoliadores y Taladros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Spodoptera littoralis, Helicoverpa armigera</w:t>
            </w:r>
            <w:r w:rsidRPr="00993936">
              <w:rPr>
                <w:rFonts w:cs="Arial"/>
                <w:noProof w:val="0"/>
                <w:sz w:val="18"/>
                <w:szCs w:val="18"/>
                <w:lang w:val="es-ES"/>
              </w:rPr>
              <w:t>, etc.</w:t>
            </w:r>
          </w:p>
        </w:tc>
        <w:tc>
          <w:tcPr>
            <w:tcW w:w="757" w:type="pct"/>
            <w:vMerge/>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Agosto-noviembre</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abundante en más del 20% de las plantas</w:t>
            </w:r>
          </w:p>
        </w:tc>
        <w:tc>
          <w:tcPr>
            <w:tcW w:w="697" w:type="pct"/>
            <w:vAlign w:val="center"/>
          </w:tcPr>
          <w:p w:rsidR="00503A41" w:rsidRPr="00993936" w:rsidRDefault="00503A41" w:rsidP="000452B8">
            <w:pPr>
              <w:pStyle w:val="taula"/>
              <w:rPr>
                <w:rFonts w:cs="Arial"/>
                <w:i/>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Aphis fabae</w:t>
            </w:r>
          </w:p>
        </w:tc>
        <w:tc>
          <w:tcPr>
            <w:tcW w:w="757" w:type="pct"/>
            <w:vMerge/>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Octubre-diciembre</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Mayo-junio</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25% de alcachofas afectadas</w:t>
            </w:r>
          </w:p>
        </w:tc>
        <w:tc>
          <w:tcPr>
            <w:tcW w:w="69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Coccinélidos y sírfidos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Lysiphlebus </w:t>
            </w:r>
            <w:r w:rsidRPr="00993936">
              <w:rPr>
                <w:rFonts w:cs="Arial"/>
                <w:noProof w:val="0"/>
                <w:sz w:val="18"/>
                <w:szCs w:val="18"/>
                <w:lang w:val="es-ES"/>
              </w:rPr>
              <w:t>spp.</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Aphidius </w:t>
            </w:r>
            <w:r w:rsidRPr="00993936">
              <w:rPr>
                <w:rFonts w:cs="Arial"/>
                <w:noProof w:val="0"/>
                <w:sz w:val="18"/>
                <w:szCs w:val="18"/>
                <w:lang w:val="es-ES"/>
              </w:rPr>
              <w:t>spp.</w:t>
            </w:r>
          </w:p>
        </w:tc>
        <w:tc>
          <w:tcPr>
            <w:tcW w:w="944"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Brachycaudus cardui</w:t>
            </w:r>
          </w:p>
        </w:tc>
        <w:tc>
          <w:tcPr>
            <w:tcW w:w="757" w:type="pct"/>
            <w:vMerge/>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Septiembre-octubre</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abundante en más del 20% de las plantas</w:t>
            </w:r>
          </w:p>
        </w:tc>
        <w:tc>
          <w:tcPr>
            <w:tcW w:w="69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Coccinélidosy sírfidos</w:t>
            </w:r>
          </w:p>
          <w:p w:rsidR="00503A41" w:rsidRPr="00993936" w:rsidRDefault="00503A41" w:rsidP="000452B8">
            <w:pPr>
              <w:pStyle w:val="taula"/>
              <w:rPr>
                <w:rFonts w:cs="Arial"/>
                <w:i/>
                <w:noProof w:val="0"/>
                <w:sz w:val="18"/>
                <w:szCs w:val="18"/>
                <w:lang w:val="es-ES"/>
              </w:rPr>
            </w:pPr>
            <w:r w:rsidRPr="00993936">
              <w:rPr>
                <w:rFonts w:cs="Arial"/>
                <w:noProof w:val="0"/>
                <w:sz w:val="18"/>
                <w:szCs w:val="18"/>
                <w:lang w:val="es-ES"/>
              </w:rPr>
              <w:t>Parasitoides</w:t>
            </w:r>
          </w:p>
        </w:tc>
        <w:tc>
          <w:tcPr>
            <w:tcW w:w="944"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998" w:type="pct"/>
            <w:vAlign w:val="center"/>
          </w:tcPr>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Caracoles</w:t>
            </w:r>
            <w:r w:rsidRPr="00993936">
              <w:rPr>
                <w:rFonts w:cs="Arial"/>
                <w:noProof w:val="0"/>
                <w:vanish/>
                <w:sz w:val="18"/>
                <w:szCs w:val="18"/>
                <w:lang w:val="es-ES"/>
              </w:rPr>
              <w:t>&lt;A[Caracoles|Tornillos]&gt;</w:t>
            </w:r>
            <w:r w:rsidRPr="00993936">
              <w:rPr>
                <w:rFonts w:cs="Arial"/>
                <w:noProof w:val="0"/>
                <w:sz w:val="18"/>
                <w:szCs w:val="18"/>
                <w:lang w:val="es-ES"/>
              </w:rPr>
              <w:t xml:space="preserve"> y babosas</w:t>
            </w:r>
          </w:p>
        </w:tc>
        <w:tc>
          <w:tcPr>
            <w:tcW w:w="757" w:type="pct"/>
            <w:vMerge/>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Septiembre-diciembre</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abundante en más del 20% de las plantas</w:t>
            </w:r>
          </w:p>
        </w:tc>
        <w:tc>
          <w:tcPr>
            <w:tcW w:w="697" w:type="pct"/>
            <w:vAlign w:val="center"/>
          </w:tcPr>
          <w:p w:rsidR="00503A41" w:rsidRPr="00993936" w:rsidRDefault="00503A41" w:rsidP="000452B8">
            <w:pPr>
              <w:pStyle w:val="taula"/>
              <w:rPr>
                <w:rFonts w:cs="Arial"/>
                <w:i/>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Topos</w:t>
            </w:r>
          </w:p>
        </w:tc>
        <w:tc>
          <w:tcPr>
            <w:tcW w:w="75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Presencia/ausencia de tierra removida y planta arrancada</w:t>
            </w:r>
          </w:p>
        </w:tc>
        <w:tc>
          <w:tcPr>
            <w:tcW w:w="607" w:type="pct"/>
            <w:vAlign w:val="center"/>
          </w:tcPr>
          <w:p w:rsidR="00503A41" w:rsidRPr="00993936" w:rsidRDefault="00503A41" w:rsidP="000452B8">
            <w:pPr>
              <w:pStyle w:val="taula"/>
              <w:rPr>
                <w:rFonts w:cs="Arial"/>
                <w:noProof w:val="0"/>
                <w:sz w:val="18"/>
                <w:szCs w:val="18"/>
                <w:lang w:val="es-ES"/>
              </w:rPr>
            </w:pP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abundante</w:t>
            </w:r>
          </w:p>
        </w:tc>
        <w:tc>
          <w:tcPr>
            <w:tcW w:w="697" w:type="pct"/>
            <w:vAlign w:val="center"/>
          </w:tcPr>
          <w:p w:rsidR="00503A41" w:rsidRPr="00993936" w:rsidRDefault="00503A41" w:rsidP="000452B8">
            <w:pPr>
              <w:pStyle w:val="taula"/>
              <w:rPr>
                <w:rFonts w:cs="Arial"/>
                <w:i/>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Mancha negra</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Ascochyta hortorum</w:t>
            </w:r>
          </w:p>
        </w:tc>
        <w:tc>
          <w:tcPr>
            <w:tcW w:w="757" w:type="pct"/>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Octubre-abril</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20% o más plantas afectadas. Mayor incidencia el 2º. año de plantación.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Tratamientos cuando</w:t>
            </w:r>
            <w:r w:rsidRPr="00993936">
              <w:rPr>
                <w:rFonts w:cs="Arial"/>
                <w:noProof w:val="0"/>
                <w:vanish/>
                <w:sz w:val="18"/>
                <w:szCs w:val="18"/>
                <w:lang w:val="es-ES"/>
              </w:rPr>
              <w:t>&lt;A[cuando|cuándo]&gt;</w:t>
            </w:r>
            <w:r w:rsidRPr="00993936">
              <w:rPr>
                <w:rFonts w:cs="Arial"/>
                <w:noProof w:val="0"/>
                <w:sz w:val="18"/>
                <w:szCs w:val="18"/>
                <w:lang w:val="es-ES"/>
              </w:rPr>
              <w:t xml:space="preserve"> la alcachofa es pequeña</w:t>
            </w:r>
          </w:p>
        </w:tc>
        <w:tc>
          <w:tcPr>
            <w:tcW w:w="697" w:type="pct"/>
            <w:vAlign w:val="center"/>
          </w:tcPr>
          <w:p w:rsidR="00503A41" w:rsidRPr="00993936" w:rsidRDefault="00503A41" w:rsidP="000452B8">
            <w:pPr>
              <w:pStyle w:val="taula"/>
              <w:rPr>
                <w:rFonts w:cs="Arial"/>
                <w:i/>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Disminuir densidad de plantación</w:t>
            </w: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Mildiu</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Bremia lactucae</w:t>
            </w:r>
          </w:p>
        </w:tc>
        <w:tc>
          <w:tcPr>
            <w:tcW w:w="757" w:type="pct"/>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Otoño invierno</w:t>
            </w:r>
          </w:p>
        </w:tc>
        <w:tc>
          <w:tcPr>
            <w:tcW w:w="998" w:type="pct"/>
            <w:vAlign w:val="center"/>
          </w:tcPr>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Presencia en plantaciones donde la planta es de semilla</w:t>
            </w:r>
          </w:p>
        </w:tc>
        <w:tc>
          <w:tcPr>
            <w:tcW w:w="697" w:type="pct"/>
            <w:vAlign w:val="center"/>
          </w:tcPr>
          <w:p w:rsidR="00503A41" w:rsidRPr="00993936" w:rsidRDefault="00503A41" w:rsidP="000452B8">
            <w:pPr>
              <w:pStyle w:val="taula"/>
              <w:rPr>
                <w:rFonts w:cs="Arial"/>
                <w:i/>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Oídio</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Leveillula taurica</w:t>
            </w:r>
          </w:p>
        </w:tc>
        <w:tc>
          <w:tcPr>
            <w:tcW w:w="757" w:type="pct"/>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Primavera</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Otoño</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25% o más plantas afectadas</w:t>
            </w:r>
          </w:p>
        </w:tc>
        <w:tc>
          <w:tcPr>
            <w:tcW w:w="697" w:type="pct"/>
            <w:vAlign w:val="center"/>
          </w:tcPr>
          <w:p w:rsidR="00503A41" w:rsidRPr="00993936" w:rsidRDefault="00503A41" w:rsidP="000452B8">
            <w:pPr>
              <w:pStyle w:val="taula"/>
              <w:rPr>
                <w:rFonts w:cs="Arial"/>
                <w:i/>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Sobre todo alternar materias activas</w:t>
            </w: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Podredumbres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Botrytis cinerea</w:t>
            </w:r>
          </w:p>
        </w:tc>
        <w:tc>
          <w:tcPr>
            <w:tcW w:w="757" w:type="pct"/>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Primavera</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w:t>
            </w:r>
          </w:p>
        </w:tc>
        <w:tc>
          <w:tcPr>
            <w:tcW w:w="697" w:type="pct"/>
            <w:vAlign w:val="center"/>
          </w:tcPr>
          <w:p w:rsidR="00503A41" w:rsidRPr="00993936" w:rsidRDefault="00503A41" w:rsidP="000452B8">
            <w:pPr>
              <w:pStyle w:val="taula"/>
              <w:rPr>
                <w:rFonts w:cs="Arial"/>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998" w:type="pc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Rhizoctonia solani</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Sclerotinia sp.</w:t>
            </w:r>
          </w:p>
        </w:tc>
        <w:tc>
          <w:tcPr>
            <w:tcW w:w="757" w:type="pct"/>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Agosto-octubre</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Inmersión o polvorización de la cepa</w:t>
            </w:r>
          </w:p>
        </w:tc>
        <w:tc>
          <w:tcPr>
            <w:tcW w:w="697" w:type="pct"/>
            <w:vAlign w:val="center"/>
          </w:tcPr>
          <w:p w:rsidR="00503A41" w:rsidRPr="00993936" w:rsidRDefault="00503A41" w:rsidP="000452B8">
            <w:pPr>
              <w:pStyle w:val="taula"/>
              <w:rPr>
                <w:rFonts w:cs="Arial"/>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Cepas en buen estado fitosanitario.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Rotación</w:t>
            </w:r>
          </w:p>
        </w:tc>
      </w:tr>
      <w:tr w:rsidR="00503A41" w:rsidRPr="00993936" w:rsidTr="000452B8">
        <w:trPr>
          <w:cantSplit/>
          <w:jc w:val="center"/>
        </w:trPr>
        <w:tc>
          <w:tcPr>
            <w:tcW w:w="998" w:type="pc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Verticillium sp.</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Fusarium sp.</w:t>
            </w:r>
          </w:p>
        </w:tc>
        <w:tc>
          <w:tcPr>
            <w:tcW w:w="757" w:type="pct"/>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Agosto-diciembre</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w:t>
            </w:r>
          </w:p>
        </w:tc>
        <w:tc>
          <w:tcPr>
            <w:tcW w:w="697" w:type="pct"/>
            <w:vAlign w:val="center"/>
          </w:tcPr>
          <w:p w:rsidR="00503A41" w:rsidRPr="00993936" w:rsidRDefault="00503A41" w:rsidP="000452B8">
            <w:pPr>
              <w:pStyle w:val="taula"/>
              <w:rPr>
                <w:rFonts w:cs="Arial"/>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Cepas en buen estado fitosanitario.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Rotación</w:t>
            </w:r>
          </w:p>
        </w:tc>
      </w:tr>
      <w:tr w:rsidR="00503A41" w:rsidRPr="00993936" w:rsidTr="000452B8">
        <w:trPr>
          <w:cantSplit/>
          <w:jc w:val="center"/>
        </w:trPr>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Bacterias</w:t>
            </w:r>
          </w:p>
        </w:tc>
        <w:tc>
          <w:tcPr>
            <w:tcW w:w="757" w:type="pct"/>
            <w:vAlign w:val="center"/>
          </w:tcPr>
          <w:p w:rsidR="00503A41" w:rsidRPr="00993936" w:rsidRDefault="00503A41" w:rsidP="000452B8">
            <w:pPr>
              <w:pStyle w:val="taula"/>
              <w:rPr>
                <w:rFonts w:cs="Arial"/>
                <w:noProof w:val="0"/>
                <w:sz w:val="18"/>
                <w:szCs w:val="18"/>
                <w:lang w:val="es-ES"/>
              </w:rPr>
            </w:pPr>
          </w:p>
        </w:tc>
        <w:tc>
          <w:tcPr>
            <w:tcW w:w="60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Otoño-invierno</w:t>
            </w: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w:t>
            </w:r>
          </w:p>
        </w:tc>
        <w:tc>
          <w:tcPr>
            <w:tcW w:w="697" w:type="pct"/>
            <w:vAlign w:val="center"/>
          </w:tcPr>
          <w:p w:rsidR="00503A41" w:rsidRPr="00993936" w:rsidRDefault="00503A41" w:rsidP="000452B8">
            <w:pPr>
              <w:pStyle w:val="taula"/>
              <w:rPr>
                <w:rFonts w:cs="Arial"/>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Cepas en buen estado fitosanitario.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Marco de plantación amplio.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Buen manejo del riego</w:t>
            </w:r>
          </w:p>
        </w:tc>
      </w:tr>
      <w:tr w:rsidR="00503A41" w:rsidRPr="00993936" w:rsidTr="000452B8">
        <w:trPr>
          <w:cantSplit/>
          <w:jc w:val="center"/>
        </w:trPr>
        <w:tc>
          <w:tcPr>
            <w:tcW w:w="998" w:type="pct"/>
            <w:vAlign w:val="center"/>
          </w:tcPr>
          <w:p w:rsidR="00503A41" w:rsidRPr="00993936" w:rsidRDefault="00503A41" w:rsidP="000452B8">
            <w:pPr>
              <w:pStyle w:val="taula"/>
              <w:rPr>
                <w:rFonts w:cs="Arial"/>
                <w:i/>
                <w:noProof w:val="0"/>
                <w:sz w:val="18"/>
                <w:szCs w:val="18"/>
                <w:lang w:val="es-ES"/>
              </w:rPr>
            </w:pPr>
            <w:r w:rsidRPr="00993936">
              <w:rPr>
                <w:rFonts w:cs="Arial"/>
                <w:noProof w:val="0"/>
                <w:sz w:val="18"/>
                <w:szCs w:val="18"/>
                <w:lang w:val="es-ES"/>
              </w:rPr>
              <w:t>Otras plagas y enfermedades</w:t>
            </w:r>
          </w:p>
        </w:tc>
        <w:tc>
          <w:tcPr>
            <w:tcW w:w="75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Presencia/ausencia de síntomas</w:t>
            </w:r>
          </w:p>
        </w:tc>
        <w:tc>
          <w:tcPr>
            <w:tcW w:w="607" w:type="pct"/>
            <w:vAlign w:val="center"/>
          </w:tcPr>
          <w:p w:rsidR="00503A41" w:rsidRPr="00993936" w:rsidRDefault="00503A41" w:rsidP="000452B8">
            <w:pPr>
              <w:pStyle w:val="taula"/>
              <w:rPr>
                <w:rFonts w:cs="Arial"/>
                <w:noProof w:val="0"/>
                <w:sz w:val="18"/>
                <w:szCs w:val="18"/>
                <w:lang w:val="es-ES"/>
              </w:rPr>
            </w:pPr>
          </w:p>
        </w:tc>
        <w:tc>
          <w:tcPr>
            <w:tcW w:w="99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Intervenciones en función de las prescripciones técnicas</w:t>
            </w:r>
          </w:p>
        </w:tc>
        <w:tc>
          <w:tcPr>
            <w:tcW w:w="697" w:type="pct"/>
            <w:vAlign w:val="center"/>
          </w:tcPr>
          <w:p w:rsidR="00503A41" w:rsidRPr="00993936" w:rsidRDefault="00503A41" w:rsidP="000452B8">
            <w:pPr>
              <w:pStyle w:val="taula"/>
              <w:rPr>
                <w:rFonts w:cs="Arial"/>
                <w:noProof w:val="0"/>
                <w:sz w:val="18"/>
                <w:szCs w:val="18"/>
                <w:lang w:val="es-ES"/>
              </w:rPr>
            </w:pPr>
          </w:p>
        </w:tc>
        <w:tc>
          <w:tcPr>
            <w:tcW w:w="944" w:type="pct"/>
            <w:vAlign w:val="center"/>
          </w:tcPr>
          <w:p w:rsidR="00503A41" w:rsidRPr="00993936" w:rsidRDefault="00503A41" w:rsidP="000452B8">
            <w:pPr>
              <w:pStyle w:val="taula"/>
              <w:rPr>
                <w:rFonts w:cs="Arial"/>
                <w:noProof w:val="0"/>
                <w:sz w:val="18"/>
                <w:szCs w:val="18"/>
                <w:lang w:val="es-ES"/>
              </w:rPr>
            </w:pPr>
          </w:p>
        </w:tc>
      </w:tr>
    </w:tbl>
    <w:p w:rsidR="00503A41" w:rsidRPr="00993936" w:rsidRDefault="00503A41" w:rsidP="000452B8">
      <w:pPr>
        <w:pStyle w:val="Textoindependiente3"/>
        <w:spacing w:before="120"/>
        <w:rPr>
          <w:rFonts w:cs="Arial"/>
          <w:b w:val="0"/>
          <w:szCs w:val="22"/>
          <w:lang w:val="es-ES"/>
        </w:rPr>
      </w:pP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1.2. Materias activas para la producción integrada de alcachofa, teniendo en cuenta las indicaciones del Cuaderno de explotación y el Programa de control integrado de plagas y enfermedades</w:t>
      </w:r>
    </w:p>
    <w:p w:rsidR="00503A41" w:rsidRPr="00993936" w:rsidRDefault="00503A41" w:rsidP="000452B8">
      <w:pPr>
        <w:pStyle w:val="Textoindependiente3"/>
        <w:rPr>
          <w:rFonts w:cs="Arial"/>
          <w:b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9"/>
        <w:gridCol w:w="5235"/>
      </w:tblGrid>
      <w:tr w:rsidR="00503A41" w:rsidRPr="00993936" w:rsidTr="000452B8">
        <w:trPr>
          <w:cantSplit/>
          <w:trHeight w:val="257"/>
          <w:tblHeader/>
          <w:jc w:val="center"/>
        </w:trPr>
        <w:tc>
          <w:tcPr>
            <w:tcW w:w="1972" w:type="pct"/>
            <w:tcBorders>
              <w:top w:val="single" w:sz="4" w:space="0" w:color="auto"/>
            </w:tcBorders>
            <w:shd w:val="pct15"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Plaga/enfermedad</w:t>
            </w:r>
          </w:p>
        </w:tc>
        <w:tc>
          <w:tcPr>
            <w:tcW w:w="3028" w:type="pct"/>
            <w:tcBorders>
              <w:top w:val="single" w:sz="4" w:space="0" w:color="auto"/>
            </w:tcBorders>
            <w:shd w:val="pct15" w:color="auto" w:fill="FFFFFF"/>
          </w:tcPr>
          <w:p w:rsidR="00503A41" w:rsidRPr="00993936" w:rsidRDefault="00503A41" w:rsidP="001D205D">
            <w:pPr>
              <w:pStyle w:val="Sinespaciado"/>
              <w:rPr>
                <w:rFonts w:ascii="Arial" w:hAnsi="Arial" w:cs="Arial"/>
              </w:rPr>
            </w:pPr>
            <w:r w:rsidRPr="00993936">
              <w:rPr>
                <w:rFonts w:ascii="Arial" w:hAnsi="Arial" w:cs="Arial"/>
              </w:rPr>
              <w:t>Materias Activas</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Taladro de la alcachofa</w:t>
            </w:r>
          </w:p>
          <w:p w:rsidR="00503A41" w:rsidRPr="00993936" w:rsidRDefault="00503A41" w:rsidP="001D205D">
            <w:pPr>
              <w:pStyle w:val="Sinespaciado"/>
              <w:rPr>
                <w:rFonts w:ascii="Arial" w:hAnsi="Arial" w:cs="Arial"/>
                <w:i/>
                <w:lang w:val="es-ES"/>
              </w:rPr>
            </w:pPr>
            <w:r w:rsidRPr="00993936">
              <w:rPr>
                <w:rFonts w:ascii="Arial" w:hAnsi="Arial" w:cs="Arial"/>
                <w:i/>
                <w:lang w:val="es-ES"/>
              </w:rPr>
              <w:t>Gortyna xanthenes</w:t>
            </w:r>
          </w:p>
        </w:tc>
        <w:tc>
          <w:tcPr>
            <w:tcW w:w="3028"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Bacillus thuringiensis var. kurstaki </w:t>
            </w:r>
          </w:p>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Bacillus thuringiensis var. aizawai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Emamectina</w:t>
            </w:r>
          </w:p>
          <w:p w:rsidR="00503A41" w:rsidRPr="00993936" w:rsidRDefault="00503A41" w:rsidP="001D205D">
            <w:pPr>
              <w:pStyle w:val="Sinespaciado"/>
              <w:rPr>
                <w:rFonts w:ascii="Arial" w:hAnsi="Arial" w:cs="Arial"/>
                <w:lang w:val="es-ES"/>
              </w:rPr>
            </w:pPr>
            <w:r w:rsidRPr="00993936">
              <w:rPr>
                <w:rFonts w:ascii="Arial" w:hAnsi="Arial" w:cs="Arial"/>
                <w:lang w:val="es-ES"/>
              </w:rPr>
              <w:t>Espinosad (3)</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Tau-fluvalinat  </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Dormidores y gusanos de alambre</w:t>
            </w:r>
          </w:p>
          <w:p w:rsidR="00503A41" w:rsidRPr="00993936" w:rsidRDefault="00503A41" w:rsidP="001D205D">
            <w:pPr>
              <w:pStyle w:val="Sinespaciado"/>
              <w:rPr>
                <w:rFonts w:ascii="Arial" w:hAnsi="Arial" w:cs="Arial"/>
                <w:i/>
                <w:lang w:val="es-ES"/>
              </w:rPr>
            </w:pPr>
            <w:r w:rsidRPr="00993936">
              <w:rPr>
                <w:rFonts w:ascii="Arial" w:hAnsi="Arial" w:cs="Arial"/>
                <w:i/>
                <w:lang w:val="es-ES"/>
              </w:rPr>
              <w:t>Agrotis segetum, A. Ipsilon</w:t>
            </w:r>
          </w:p>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Agriotes </w:t>
            </w:r>
            <w:r w:rsidRPr="00993936">
              <w:rPr>
                <w:rFonts w:ascii="Arial" w:hAnsi="Arial" w:cs="Arial"/>
                <w:lang w:val="es-ES"/>
              </w:rPr>
              <w:t>spp.</w:t>
            </w:r>
          </w:p>
        </w:tc>
        <w:tc>
          <w:tcPr>
            <w:tcW w:w="3028"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i/>
                <w:lang w:val="es-ES"/>
              </w:rPr>
            </w:pPr>
            <w:r w:rsidRPr="00993936">
              <w:rPr>
                <w:rFonts w:ascii="Arial" w:hAnsi="Arial" w:cs="Arial"/>
                <w:lang w:val="es-ES"/>
              </w:rPr>
              <w:t>Clorpirifos (cebo)</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Defoliadores y Taladros</w:t>
            </w:r>
          </w:p>
          <w:p w:rsidR="00503A41" w:rsidRPr="00993936" w:rsidRDefault="00503A41" w:rsidP="001D205D">
            <w:pPr>
              <w:pStyle w:val="Sinespaciado"/>
              <w:rPr>
                <w:rFonts w:ascii="Arial" w:hAnsi="Arial" w:cs="Arial"/>
                <w:lang w:val="es-ES"/>
              </w:rPr>
            </w:pPr>
            <w:r w:rsidRPr="00993936">
              <w:rPr>
                <w:rFonts w:ascii="Arial" w:hAnsi="Arial" w:cs="Arial"/>
                <w:i/>
                <w:lang w:val="es-ES"/>
              </w:rPr>
              <w:t>Spodoptera littoralis, Helicoverpa armigera</w:t>
            </w:r>
            <w:r w:rsidRPr="00993936">
              <w:rPr>
                <w:rFonts w:ascii="Arial" w:hAnsi="Arial" w:cs="Arial"/>
                <w:lang w:val="es-ES"/>
              </w:rPr>
              <w:t>, etc.</w:t>
            </w:r>
          </w:p>
        </w:tc>
        <w:tc>
          <w:tcPr>
            <w:tcW w:w="3028"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Bacillus thuringiensis var. kurstaki </w:t>
            </w:r>
          </w:p>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Bacillus thuringiensis var. aizawai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p w:rsidR="00503A41" w:rsidRPr="00993936" w:rsidRDefault="00503A41" w:rsidP="001D205D">
            <w:pPr>
              <w:pStyle w:val="Sinespaciado"/>
              <w:rPr>
                <w:rFonts w:ascii="Arial" w:hAnsi="Arial" w:cs="Arial"/>
                <w:lang w:val="es-ES"/>
              </w:rPr>
            </w:pPr>
            <w:r w:rsidRPr="00993936">
              <w:rPr>
                <w:rFonts w:ascii="Arial" w:hAnsi="Arial" w:cs="Arial"/>
                <w:lang w:val="es-ES"/>
              </w:rPr>
              <w:t>Emamectina</w:t>
            </w:r>
          </w:p>
          <w:p w:rsidR="00503A41" w:rsidRPr="00993936" w:rsidRDefault="00503A41" w:rsidP="001D205D">
            <w:pPr>
              <w:pStyle w:val="Sinespaciado"/>
              <w:rPr>
                <w:rFonts w:ascii="Arial" w:hAnsi="Arial" w:cs="Arial"/>
                <w:lang w:val="es-ES"/>
              </w:rPr>
            </w:pPr>
            <w:r w:rsidRPr="00993936">
              <w:rPr>
                <w:rFonts w:ascii="Arial" w:hAnsi="Arial" w:cs="Arial"/>
                <w:lang w:val="es-ES"/>
              </w:rPr>
              <w:t>Espinosad (3)</w:t>
            </w:r>
          </w:p>
          <w:p w:rsidR="00503A41" w:rsidRPr="00993936" w:rsidRDefault="00503A41" w:rsidP="001D205D">
            <w:pPr>
              <w:pStyle w:val="Sinespaciado"/>
              <w:rPr>
                <w:rFonts w:ascii="Arial" w:hAnsi="Arial" w:cs="Arial"/>
                <w:i/>
                <w:lang w:val="es-ES"/>
              </w:rPr>
            </w:pPr>
            <w:r w:rsidRPr="00993936">
              <w:rPr>
                <w:rFonts w:ascii="Arial" w:hAnsi="Arial" w:cs="Arial"/>
                <w:lang w:val="es-ES"/>
              </w:rPr>
              <w:t xml:space="preserve">Tau-fluvalinat  </w:t>
            </w:r>
          </w:p>
        </w:tc>
      </w:tr>
    </w:tbl>
    <w:p w:rsidR="00503A41" w:rsidRPr="00993936" w:rsidRDefault="00503A41" w:rsidP="000452B8">
      <w:pPr>
        <w:rPr>
          <w:rFonts w:ascii="Arial" w:hAnsi="Arial" w:cs="Arial"/>
          <w:sz w:val="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9"/>
        <w:gridCol w:w="5235"/>
      </w:tblGrid>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Aphis fabae</w:t>
            </w:r>
          </w:p>
        </w:tc>
        <w:tc>
          <w:tcPr>
            <w:tcW w:w="3028" w:type="pct"/>
          </w:tcPr>
          <w:p w:rsidR="00503A41" w:rsidRPr="00993936" w:rsidRDefault="00503A41" w:rsidP="001D205D">
            <w:pPr>
              <w:pStyle w:val="Sinespaciado"/>
              <w:rPr>
                <w:rFonts w:ascii="Arial" w:hAnsi="Arial" w:cs="Arial"/>
                <w:lang w:val="es-ES"/>
              </w:rPr>
            </w:pPr>
            <w:r w:rsidRPr="00993936">
              <w:rPr>
                <w:rFonts w:ascii="Arial" w:hAnsi="Arial" w:cs="Arial"/>
                <w:lang w:val="es-ES"/>
              </w:rPr>
              <w:t>Acetamiprid</w:t>
            </w:r>
          </w:p>
          <w:p w:rsidR="00503A41" w:rsidRPr="00993936" w:rsidRDefault="00503A41" w:rsidP="001D205D">
            <w:pPr>
              <w:pStyle w:val="Sinespaciado"/>
              <w:rPr>
                <w:rFonts w:ascii="Arial" w:hAnsi="Arial" w:cs="Arial"/>
                <w:lang w:val="es-ES"/>
              </w:rPr>
            </w:pPr>
            <w:r w:rsidRPr="00993936">
              <w:rPr>
                <w:rFonts w:ascii="Arial" w:hAnsi="Arial" w:cs="Arial"/>
                <w:lang w:val="es-ES"/>
              </w:rPr>
              <w:t>Alfa cipermetrín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p w:rsidR="00503A41" w:rsidRPr="00993936" w:rsidRDefault="00503A41" w:rsidP="001D205D">
            <w:pPr>
              <w:pStyle w:val="Sinespaciado"/>
              <w:rPr>
                <w:rFonts w:ascii="Arial" w:hAnsi="Arial" w:cs="Arial"/>
                <w:lang w:val="es-ES"/>
              </w:rPr>
            </w:pPr>
            <w:r w:rsidRPr="00993936">
              <w:rPr>
                <w:rFonts w:ascii="Arial" w:hAnsi="Arial" w:cs="Arial"/>
                <w:lang w:val="es-ES"/>
              </w:rPr>
              <w:t>Imidacloprid</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Pirimicarb (2)</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Tau-fluvalinat  </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Pulgones</w:t>
            </w:r>
          </w:p>
          <w:p w:rsidR="00503A41" w:rsidRPr="00993936" w:rsidRDefault="00503A41" w:rsidP="001D205D">
            <w:pPr>
              <w:pStyle w:val="Sinespaciado"/>
              <w:rPr>
                <w:rFonts w:ascii="Arial" w:hAnsi="Arial" w:cs="Arial"/>
                <w:lang w:val="es-ES"/>
              </w:rPr>
            </w:pPr>
            <w:r w:rsidRPr="00993936">
              <w:rPr>
                <w:rFonts w:ascii="Arial" w:hAnsi="Arial" w:cs="Arial"/>
                <w:lang w:val="es-ES"/>
              </w:rPr>
              <w:t>Brachycaudus cardui</w:t>
            </w:r>
          </w:p>
        </w:tc>
        <w:tc>
          <w:tcPr>
            <w:tcW w:w="3028" w:type="pct"/>
          </w:tcPr>
          <w:p w:rsidR="00503A41" w:rsidRPr="00993936" w:rsidRDefault="00503A41" w:rsidP="001D205D">
            <w:pPr>
              <w:pStyle w:val="Sinespaciado"/>
              <w:rPr>
                <w:rFonts w:ascii="Arial" w:hAnsi="Arial" w:cs="Arial"/>
                <w:lang w:val="es-ES"/>
              </w:rPr>
            </w:pPr>
            <w:r w:rsidRPr="00993936">
              <w:rPr>
                <w:rFonts w:ascii="Arial" w:hAnsi="Arial" w:cs="Arial"/>
                <w:lang w:val="es-ES"/>
              </w:rPr>
              <w:t>Acetamiprid</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Imidacloprid </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Pirimicarb (2)</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Tau-fluvalinat  </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Caracoles</w:t>
            </w:r>
            <w:r w:rsidRPr="00993936">
              <w:rPr>
                <w:rFonts w:ascii="Arial" w:hAnsi="Arial" w:cs="Arial"/>
                <w:b/>
                <w:vanish/>
                <w:lang w:val="es-ES"/>
              </w:rPr>
              <w:t>&lt;A[Caracoles|Tornillos]&gt;</w:t>
            </w:r>
            <w:r w:rsidRPr="00993936">
              <w:rPr>
                <w:rFonts w:ascii="Arial" w:hAnsi="Arial" w:cs="Arial"/>
                <w:b/>
                <w:lang w:val="es-ES"/>
              </w:rPr>
              <w:t xml:space="preserve"> y babosas</w:t>
            </w:r>
          </w:p>
        </w:tc>
        <w:tc>
          <w:tcPr>
            <w:tcW w:w="3028"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Fosfato férrico</w:t>
            </w:r>
          </w:p>
          <w:p w:rsidR="00503A41" w:rsidRPr="00993936" w:rsidRDefault="00503A41" w:rsidP="001D205D">
            <w:pPr>
              <w:pStyle w:val="Sinespaciado"/>
              <w:rPr>
                <w:rFonts w:ascii="Arial" w:hAnsi="Arial" w:cs="Arial"/>
                <w:lang w:val="es-ES"/>
              </w:rPr>
            </w:pPr>
            <w:r w:rsidRPr="00993936">
              <w:rPr>
                <w:rFonts w:ascii="Arial" w:hAnsi="Arial" w:cs="Arial"/>
                <w:lang w:val="es-ES"/>
              </w:rPr>
              <w:t>Metaldehid o</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lastRenderedPageBreak/>
              <w:t>Orugas</w:t>
            </w:r>
          </w:p>
        </w:tc>
        <w:tc>
          <w:tcPr>
            <w:tcW w:w="3028"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p w:rsidR="00503A41" w:rsidRPr="00993936" w:rsidRDefault="00503A41" w:rsidP="001D205D">
            <w:pPr>
              <w:pStyle w:val="Sinespaciado"/>
              <w:rPr>
                <w:rFonts w:ascii="Arial" w:hAnsi="Arial" w:cs="Arial"/>
                <w:lang w:val="es-ES"/>
              </w:rPr>
            </w:pPr>
            <w:r w:rsidRPr="00993936">
              <w:rPr>
                <w:rFonts w:ascii="Arial" w:hAnsi="Arial" w:cs="Arial"/>
                <w:lang w:val="es-ES"/>
              </w:rPr>
              <w:t>Bacillus thurigiensis aizawai</w:t>
            </w:r>
          </w:p>
          <w:p w:rsidR="00503A41" w:rsidRPr="00993936" w:rsidRDefault="00503A41" w:rsidP="001D205D">
            <w:pPr>
              <w:pStyle w:val="Sinespaciado"/>
              <w:rPr>
                <w:rFonts w:ascii="Arial" w:hAnsi="Arial" w:cs="Arial"/>
                <w:lang w:val="es-ES"/>
              </w:rPr>
            </w:pPr>
            <w:r w:rsidRPr="00993936">
              <w:rPr>
                <w:rFonts w:ascii="Arial" w:hAnsi="Arial" w:cs="Arial"/>
                <w:lang w:val="es-ES"/>
              </w:rPr>
              <w:t>Bacillus thurigiensis kurstaki</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Emamectina</w:t>
            </w:r>
          </w:p>
          <w:p w:rsidR="00503A41" w:rsidRPr="00993936" w:rsidRDefault="00503A41" w:rsidP="001D205D">
            <w:pPr>
              <w:pStyle w:val="Sinespaciado"/>
              <w:rPr>
                <w:rFonts w:ascii="Arial" w:hAnsi="Arial" w:cs="Arial"/>
                <w:lang w:val="es-ES"/>
              </w:rPr>
            </w:pPr>
            <w:r w:rsidRPr="00993936">
              <w:rPr>
                <w:rFonts w:ascii="Arial" w:hAnsi="Arial" w:cs="Arial"/>
                <w:lang w:val="es-ES"/>
              </w:rPr>
              <w:t>Espinosad (3)</w:t>
            </w:r>
          </w:p>
          <w:p w:rsidR="00503A41" w:rsidRPr="00993936" w:rsidRDefault="00503A41" w:rsidP="001D205D">
            <w:pPr>
              <w:pStyle w:val="Sinespaciado"/>
              <w:rPr>
                <w:rFonts w:ascii="Arial" w:hAnsi="Arial" w:cs="Arial"/>
                <w:lang w:val="es-ES"/>
              </w:rPr>
            </w:pPr>
            <w:r w:rsidRPr="00993936">
              <w:rPr>
                <w:rFonts w:ascii="Arial" w:hAnsi="Arial" w:cs="Arial"/>
                <w:lang w:val="es-ES"/>
              </w:rPr>
              <w:t>Indoxacarb</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Tau-fluvalinat   </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lang w:val="es-ES"/>
              </w:rPr>
            </w:pPr>
            <w:r w:rsidRPr="00993936">
              <w:rPr>
                <w:rFonts w:ascii="Arial" w:hAnsi="Arial" w:cs="Arial"/>
                <w:b/>
                <w:lang w:val="es-ES"/>
              </w:rPr>
              <w:t>Mancha negra</w:t>
            </w:r>
          </w:p>
        </w:tc>
        <w:tc>
          <w:tcPr>
            <w:tcW w:w="3028" w:type="pct"/>
          </w:tcPr>
          <w:p w:rsidR="00503A41" w:rsidRPr="00993936" w:rsidRDefault="00503A41" w:rsidP="001D205D">
            <w:pPr>
              <w:pStyle w:val="Sinespaciado"/>
              <w:rPr>
                <w:rFonts w:ascii="Arial" w:hAnsi="Arial" w:cs="Arial"/>
                <w:lang w:val="es-ES"/>
              </w:rPr>
            </w:pP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Mildiu</w:t>
            </w:r>
          </w:p>
          <w:p w:rsidR="00503A41" w:rsidRPr="00993936" w:rsidRDefault="00503A41" w:rsidP="001D205D">
            <w:pPr>
              <w:pStyle w:val="Sinespaciado"/>
              <w:rPr>
                <w:rFonts w:ascii="Arial" w:hAnsi="Arial" w:cs="Arial"/>
                <w:lang w:val="es-ES"/>
              </w:rPr>
            </w:pPr>
            <w:r w:rsidRPr="00993936">
              <w:rPr>
                <w:rFonts w:ascii="Arial" w:hAnsi="Arial" w:cs="Arial"/>
                <w:lang w:val="es-ES"/>
              </w:rPr>
              <w:t>Bremia lactucae</w:t>
            </w:r>
          </w:p>
        </w:tc>
        <w:tc>
          <w:tcPr>
            <w:tcW w:w="3028" w:type="pct"/>
            <w:vAlign w:val="center"/>
          </w:tcPr>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Azoxistrobín</w:t>
            </w:r>
          </w:p>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Dimetomorf + Piraclostrobín</w:t>
            </w:r>
          </w:p>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Hidróxido cúprico (tallos jóvenes)</w:t>
            </w:r>
          </w:p>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Oxicloruro de Cobre</w:t>
            </w:r>
          </w:p>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Óxido cuproso (tallos jóvenes)</w:t>
            </w:r>
          </w:p>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Sulfato cuprocálcico (tallos jóvenes)</w:t>
            </w:r>
          </w:p>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Sulfato tribásico de cobre (tallos jóvenes)</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Oidio</w:t>
            </w:r>
          </w:p>
          <w:p w:rsidR="00503A41" w:rsidRPr="00993936" w:rsidRDefault="00503A41" w:rsidP="001D205D">
            <w:pPr>
              <w:pStyle w:val="Sinespaciado"/>
              <w:rPr>
                <w:rFonts w:ascii="Arial" w:hAnsi="Arial" w:cs="Arial"/>
                <w:lang w:val="es-ES"/>
              </w:rPr>
            </w:pPr>
            <w:r w:rsidRPr="00993936">
              <w:rPr>
                <w:rFonts w:ascii="Arial" w:hAnsi="Arial" w:cs="Arial"/>
                <w:lang w:val="es-ES"/>
              </w:rPr>
              <w:t>Leveillula taurica</w:t>
            </w:r>
          </w:p>
        </w:tc>
        <w:tc>
          <w:tcPr>
            <w:tcW w:w="3028" w:type="pct"/>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p w:rsidR="00503A41" w:rsidRPr="00993936" w:rsidRDefault="00503A41" w:rsidP="001D205D">
            <w:pPr>
              <w:pStyle w:val="Sinespaciado"/>
              <w:rPr>
                <w:rFonts w:ascii="Arial" w:hAnsi="Arial" w:cs="Arial"/>
                <w:lang w:val="es-ES"/>
              </w:rPr>
            </w:pPr>
            <w:r w:rsidRPr="00993936">
              <w:rPr>
                <w:rFonts w:ascii="Arial" w:hAnsi="Arial" w:cs="Arial"/>
                <w:lang w:val="es-ES"/>
              </w:rPr>
              <w:t>Azoxistrobín + Difenoconazol (3)</w:t>
            </w:r>
          </w:p>
          <w:p w:rsidR="00503A41" w:rsidRPr="00993936" w:rsidRDefault="00503A41" w:rsidP="001D205D">
            <w:pPr>
              <w:pStyle w:val="Sinespaciado"/>
              <w:rPr>
                <w:rFonts w:ascii="Arial" w:hAnsi="Arial" w:cs="Arial"/>
                <w:lang w:val="es-ES"/>
              </w:rPr>
            </w:pPr>
            <w:r w:rsidRPr="00993936">
              <w:rPr>
                <w:rFonts w:ascii="Arial" w:hAnsi="Arial" w:cs="Arial"/>
                <w:lang w:val="es-ES"/>
              </w:rPr>
              <w:t>Difenoconazol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Miclobutanil </w:t>
            </w:r>
          </w:p>
          <w:p w:rsidR="00503A41" w:rsidRPr="00993936" w:rsidRDefault="00503A41" w:rsidP="001D205D">
            <w:pPr>
              <w:pStyle w:val="Sinespaciado"/>
              <w:rPr>
                <w:rFonts w:ascii="Arial" w:hAnsi="Arial" w:cs="Arial"/>
                <w:lang w:val="es-ES"/>
              </w:rPr>
            </w:pPr>
            <w:r w:rsidRPr="00993936">
              <w:rPr>
                <w:rFonts w:ascii="Arial" w:hAnsi="Arial" w:cs="Arial"/>
                <w:lang w:val="es-ES"/>
              </w:rPr>
              <w:t>Penconazol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Quinoxifèn </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p w:rsidR="00503A41" w:rsidRPr="00993936" w:rsidRDefault="00503A41" w:rsidP="001D205D">
            <w:pPr>
              <w:pStyle w:val="Sinespaciado"/>
              <w:rPr>
                <w:rFonts w:ascii="Arial" w:hAnsi="Arial" w:cs="Arial"/>
                <w:lang w:val="es-ES"/>
              </w:rPr>
            </w:pPr>
            <w:r w:rsidRPr="00993936">
              <w:rPr>
                <w:rFonts w:ascii="Arial" w:hAnsi="Arial" w:cs="Arial"/>
                <w:lang w:val="es-ES"/>
              </w:rPr>
              <w:t>Azufre + Oxicloruro de cobre</w:t>
            </w:r>
          </w:p>
          <w:p w:rsidR="00503A41" w:rsidRPr="00993936" w:rsidRDefault="00503A41" w:rsidP="001D205D">
            <w:pPr>
              <w:pStyle w:val="Sinespaciado"/>
              <w:rPr>
                <w:rFonts w:ascii="Arial" w:hAnsi="Arial" w:cs="Arial"/>
                <w:lang w:val="es-ES"/>
              </w:rPr>
            </w:pPr>
            <w:r w:rsidRPr="00993936">
              <w:rPr>
                <w:rFonts w:ascii="Arial" w:hAnsi="Arial" w:cs="Arial"/>
                <w:lang w:val="es-ES"/>
              </w:rPr>
              <w:t>Tetraconazol</w:t>
            </w:r>
          </w:p>
          <w:p w:rsidR="00503A41" w:rsidRPr="00993936" w:rsidRDefault="00503A41" w:rsidP="001D205D">
            <w:pPr>
              <w:pStyle w:val="Sinespaciado"/>
              <w:rPr>
                <w:rFonts w:ascii="Arial" w:hAnsi="Arial" w:cs="Arial"/>
                <w:lang w:val="es-ES"/>
              </w:rPr>
            </w:pPr>
            <w:r w:rsidRPr="00993936">
              <w:rPr>
                <w:rFonts w:ascii="Arial" w:hAnsi="Arial" w:cs="Arial"/>
                <w:lang w:val="es-ES"/>
              </w:rPr>
              <w:t>Triadimenol</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Podredumbres</w:t>
            </w:r>
          </w:p>
          <w:p w:rsidR="00503A41" w:rsidRPr="00993936" w:rsidRDefault="00503A41" w:rsidP="001D205D">
            <w:pPr>
              <w:pStyle w:val="Sinespaciado"/>
              <w:rPr>
                <w:rFonts w:ascii="Arial" w:hAnsi="Arial" w:cs="Arial"/>
                <w:lang w:val="es-ES"/>
              </w:rPr>
            </w:pPr>
            <w:r w:rsidRPr="00993936">
              <w:rPr>
                <w:rFonts w:ascii="Arial" w:hAnsi="Arial" w:cs="Arial"/>
                <w:lang w:val="es-ES"/>
              </w:rPr>
              <w:t>Botrytis cinerea</w:t>
            </w:r>
          </w:p>
        </w:tc>
        <w:tc>
          <w:tcPr>
            <w:tcW w:w="3028" w:type="pct"/>
            <w:vAlign w:val="center"/>
          </w:tcPr>
          <w:p w:rsidR="00503A41" w:rsidRPr="00993936" w:rsidRDefault="00503A41" w:rsidP="001D205D">
            <w:pPr>
              <w:pStyle w:val="Sinespaciado"/>
              <w:rPr>
                <w:rFonts w:ascii="Arial" w:hAnsi="Arial" w:cs="Arial"/>
                <w:dstrike/>
                <w:lang w:val="es-ES"/>
              </w:rPr>
            </w:pP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Rhizoctonia solani</w:t>
            </w:r>
          </w:p>
          <w:p w:rsidR="00503A41" w:rsidRPr="00993936" w:rsidRDefault="00503A41" w:rsidP="001D205D">
            <w:pPr>
              <w:pStyle w:val="Sinespaciado"/>
              <w:rPr>
                <w:rFonts w:ascii="Arial" w:hAnsi="Arial" w:cs="Arial"/>
                <w:lang w:val="es-ES"/>
              </w:rPr>
            </w:pPr>
            <w:r w:rsidRPr="00993936">
              <w:rPr>
                <w:rFonts w:ascii="Arial" w:hAnsi="Arial" w:cs="Arial"/>
                <w:lang w:val="es-ES"/>
              </w:rPr>
              <w:t>Sclerotinia sp.</w:t>
            </w:r>
          </w:p>
        </w:tc>
        <w:tc>
          <w:tcPr>
            <w:tcW w:w="3028"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Coniothyrium minitans (aplicación en el suelo)</w:t>
            </w:r>
          </w:p>
          <w:p w:rsidR="00503A41" w:rsidRPr="00993936" w:rsidRDefault="00503A41" w:rsidP="001D205D">
            <w:pPr>
              <w:pStyle w:val="Sinespaciado"/>
              <w:rPr>
                <w:rFonts w:ascii="Arial" w:hAnsi="Arial" w:cs="Arial"/>
                <w:lang w:val="es-ES"/>
              </w:rPr>
            </w:pPr>
            <w:r w:rsidRPr="00993936">
              <w:rPr>
                <w:rFonts w:ascii="Arial" w:hAnsi="Arial" w:cs="Arial"/>
                <w:lang w:val="es-ES"/>
              </w:rPr>
              <w:t>Flutolanil (Rizoctonia) (sólo esquejes)</w:t>
            </w:r>
          </w:p>
          <w:p w:rsidR="00503A41" w:rsidRPr="00993936" w:rsidRDefault="00503A41" w:rsidP="001D205D">
            <w:pPr>
              <w:pStyle w:val="Sinespaciado"/>
              <w:rPr>
                <w:rFonts w:ascii="Arial" w:hAnsi="Arial" w:cs="Arial"/>
                <w:lang w:val="es-ES"/>
              </w:rPr>
            </w:pPr>
            <w:r w:rsidRPr="00993936">
              <w:rPr>
                <w:rFonts w:ascii="Arial" w:hAnsi="Arial" w:cs="Arial"/>
                <w:lang w:val="es-ES"/>
              </w:rPr>
              <w:t>Pencicuró (Rizoctonia)</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Verticillium sp. y Fusarium sp.</w:t>
            </w:r>
          </w:p>
        </w:tc>
        <w:tc>
          <w:tcPr>
            <w:tcW w:w="3028" w:type="pct"/>
            <w:vAlign w:val="center"/>
          </w:tcPr>
          <w:p w:rsidR="00503A41" w:rsidRPr="00993936" w:rsidRDefault="00503A41" w:rsidP="001D205D">
            <w:pPr>
              <w:pStyle w:val="Sinespaciado"/>
              <w:rPr>
                <w:rFonts w:ascii="Arial" w:hAnsi="Arial" w:cs="Arial"/>
                <w:lang w:val="es-ES"/>
              </w:rPr>
            </w:pP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Bacterias</w:t>
            </w:r>
          </w:p>
        </w:tc>
        <w:tc>
          <w:tcPr>
            <w:tcW w:w="3028" w:type="pct"/>
          </w:tcPr>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w:t>
            </w:r>
          </w:p>
          <w:p w:rsidR="00503A41" w:rsidRPr="00993936" w:rsidRDefault="00503A41" w:rsidP="001D205D">
            <w:pPr>
              <w:pStyle w:val="Sinespaciado"/>
              <w:rPr>
                <w:rFonts w:ascii="Arial" w:hAnsi="Arial" w:cs="Arial"/>
                <w:lang w:val="es-ES"/>
              </w:rPr>
            </w:pPr>
            <w:r w:rsidRPr="00993936">
              <w:rPr>
                <w:rFonts w:ascii="Arial" w:hAnsi="Arial" w:cs="Arial"/>
                <w:lang w:val="es-ES"/>
              </w:rPr>
              <w:t>Óxido cuproso</w:t>
            </w:r>
          </w:p>
          <w:p w:rsidR="00503A41" w:rsidRPr="00993936" w:rsidRDefault="00503A41" w:rsidP="001D205D">
            <w:pPr>
              <w:pStyle w:val="Sinespaciado"/>
              <w:rPr>
                <w:rFonts w:ascii="Arial" w:hAnsi="Arial" w:cs="Arial"/>
                <w:lang w:val="es-ES"/>
              </w:rPr>
            </w:pPr>
            <w:r w:rsidRPr="00993936">
              <w:rPr>
                <w:rFonts w:ascii="Arial" w:hAnsi="Arial" w:cs="Arial"/>
                <w:lang w:val="es-ES"/>
              </w:rPr>
              <w:t>Sulfato cuprocálcico</w:t>
            </w:r>
          </w:p>
          <w:p w:rsidR="00503A41" w:rsidRPr="00993936" w:rsidRDefault="00503A41" w:rsidP="001D205D">
            <w:pPr>
              <w:pStyle w:val="Sinespaciado"/>
              <w:rPr>
                <w:rFonts w:ascii="Arial" w:hAnsi="Arial" w:cs="Arial"/>
                <w:lang w:val="es-ES"/>
              </w:rPr>
            </w:pPr>
            <w:r w:rsidRPr="00993936">
              <w:rPr>
                <w:rFonts w:ascii="Arial" w:hAnsi="Arial" w:cs="Arial"/>
                <w:lang w:val="es-ES"/>
              </w:rPr>
              <w:t>Sulfato tribásico de cobre</w:t>
            </w: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Topos</w:t>
            </w:r>
          </w:p>
        </w:tc>
        <w:tc>
          <w:tcPr>
            <w:tcW w:w="3028" w:type="pct"/>
            <w:vAlign w:val="center"/>
          </w:tcPr>
          <w:p w:rsidR="00503A41" w:rsidRPr="00993936" w:rsidRDefault="00503A41" w:rsidP="001D205D">
            <w:pPr>
              <w:pStyle w:val="Sinespaciado"/>
              <w:rPr>
                <w:rFonts w:ascii="Arial" w:hAnsi="Arial" w:cs="Arial"/>
                <w:dstrike/>
                <w:lang w:val="es-ES"/>
              </w:rPr>
            </w:pPr>
          </w:p>
        </w:tc>
      </w:tr>
      <w:tr w:rsidR="00503A41" w:rsidRPr="00993936" w:rsidTr="000452B8">
        <w:trPr>
          <w:cantSplit/>
          <w:trHeight w:val="240"/>
          <w:jc w:val="center"/>
        </w:trPr>
        <w:tc>
          <w:tcPr>
            <w:tcW w:w="1972"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Otras plagas y enfermedades</w:t>
            </w:r>
          </w:p>
        </w:tc>
        <w:tc>
          <w:tcPr>
            <w:tcW w:w="3028"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Las expresamente autorizadas en el cultivo, teniendo en cuenta su efecto sobre la fauna útil y su toxicología</w:t>
            </w:r>
          </w:p>
        </w:tc>
      </w:tr>
    </w:tbl>
    <w:p w:rsidR="00503A41" w:rsidRPr="00993936" w:rsidRDefault="00503A41" w:rsidP="000452B8">
      <w:pPr>
        <w:rPr>
          <w:rFonts w:ascii="Arial" w:hAnsi="Arial" w:cs="Arial"/>
          <w:lang w:val="es-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pStyle w:val="taula"/>
        <w:ind w:left="284"/>
        <w:rPr>
          <w:rFonts w:cs="Arial"/>
          <w:noProof w:val="0"/>
          <w:sz w:val="18"/>
          <w:szCs w:val="18"/>
          <w:lang w:val="es-ES"/>
        </w:rPr>
      </w:pPr>
      <w:r w:rsidRPr="00993936">
        <w:rPr>
          <w:rFonts w:cs="Arial"/>
          <w:noProof w:val="0"/>
          <w:lang w:val="es-ES"/>
        </w:rPr>
        <w:br w:type="page"/>
      </w:r>
    </w:p>
    <w:p w:rsidR="00503A41" w:rsidRPr="00993936" w:rsidRDefault="00503A41" w:rsidP="000452B8">
      <w:pPr>
        <w:pStyle w:val="Ttulo2"/>
        <w:jc w:val="center"/>
        <w:rPr>
          <w:rFonts w:ascii="Arial" w:hAnsi="Arial" w:cs="Arial"/>
          <w:b/>
          <w:color w:val="auto"/>
          <w:sz w:val="28"/>
          <w:szCs w:val="28"/>
          <w:u w:val="single"/>
          <w:lang w:val="es-ES"/>
        </w:rPr>
      </w:pPr>
      <w:r w:rsidRPr="00993936">
        <w:rPr>
          <w:rFonts w:ascii="Arial" w:hAnsi="Arial" w:cs="Arial"/>
          <w:b/>
          <w:color w:val="auto"/>
          <w:sz w:val="28"/>
          <w:szCs w:val="28"/>
          <w:u w:val="single"/>
          <w:lang w:val="es-ES"/>
        </w:rPr>
        <w:lastRenderedPageBreak/>
        <w:t>CULTIVO: CEBOLLA, PUERRO</w:t>
      </w:r>
      <w:r w:rsidRPr="00993936">
        <w:rPr>
          <w:rFonts w:ascii="Arial" w:hAnsi="Arial" w:cs="Arial"/>
          <w:b/>
          <w:vanish/>
          <w:color w:val="auto"/>
          <w:sz w:val="28"/>
          <w:szCs w:val="28"/>
          <w:u w:val="single"/>
          <w:lang w:val="es-ES"/>
        </w:rPr>
        <w:t>&lt;A[PUERRO|PORRO]&gt;</w:t>
      </w:r>
      <w:r w:rsidRPr="00993936">
        <w:rPr>
          <w:rFonts w:ascii="Arial" w:hAnsi="Arial" w:cs="Arial"/>
          <w:b/>
          <w:color w:val="auto"/>
          <w:sz w:val="28"/>
          <w:szCs w:val="28"/>
          <w:u w:val="single"/>
          <w:lang w:val="es-ES"/>
        </w:rPr>
        <w:t>, AJO Y CALÇOT</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t>ANEXO 4</w:t>
      </w: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t>Materias activas de herbicidas para la producción integrada de</w:t>
      </w:r>
      <w:r w:rsidRPr="00993936">
        <w:rPr>
          <w:rFonts w:ascii="Arial" w:hAnsi="Arial" w:cs="Arial"/>
          <w:snapToGrid w:val="0"/>
          <w:lang w:val="es-ES"/>
        </w:rPr>
        <w:t xml:space="preserve"> </w:t>
      </w:r>
      <w:r w:rsidRPr="00993936">
        <w:rPr>
          <w:rFonts w:ascii="Arial" w:hAnsi="Arial" w:cs="Arial"/>
          <w:b/>
          <w:snapToGrid w:val="0"/>
          <w:lang w:val="es-ES"/>
        </w:rPr>
        <w:t>cebolla, puerro</w:t>
      </w:r>
      <w:r w:rsidRPr="00993936">
        <w:rPr>
          <w:rFonts w:ascii="Arial" w:hAnsi="Arial" w:cs="Arial"/>
          <w:b/>
          <w:snapToGrid w:val="0"/>
          <w:vanish/>
          <w:lang w:val="es-ES"/>
        </w:rPr>
        <w:t>&lt;A[puerro|porro]&gt;</w:t>
      </w:r>
      <w:r w:rsidRPr="00993936">
        <w:rPr>
          <w:rFonts w:ascii="Arial" w:hAnsi="Arial" w:cs="Arial"/>
          <w:b/>
          <w:snapToGrid w:val="0"/>
          <w:lang w:val="es-ES"/>
        </w:rPr>
        <w:t>, ajo y calçot</w:t>
      </w:r>
    </w:p>
    <w:p w:rsidR="00503A41" w:rsidRPr="00993936" w:rsidRDefault="00503A41" w:rsidP="000452B8">
      <w:pPr>
        <w:jc w:val="both"/>
        <w:rPr>
          <w:rFonts w:ascii="Arial" w:hAnsi="Arial" w:cs="Arial"/>
          <w:b/>
          <w:snapToGrid w:val="0"/>
          <w:lang w:val="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7171"/>
          <w:jc w:val="center"/>
        </w:trPr>
        <w:tc>
          <w:tcPr>
            <w:tcW w:w="2418"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 + Glifosato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Aclonifén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Benfluralina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Bromoxinil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Cicloxidim (b) (c)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Cletodim (a) (b) (c)</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Clorprofam (b) (c)</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Diclofop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Diquat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Fluazifop-p-butil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 Piraflufen-etil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Glufosinato (2)</w:t>
            </w:r>
          </w:p>
          <w:p w:rsidR="00503A41" w:rsidRPr="00993936" w:rsidRDefault="00503A41" w:rsidP="001D205D">
            <w:pPr>
              <w:pStyle w:val="Sinespaciado"/>
              <w:rPr>
                <w:rFonts w:ascii="Arial" w:hAnsi="Arial" w:cs="Arial"/>
                <w:i/>
                <w:snapToGrid w:val="0"/>
                <w:lang w:val="es-ES"/>
              </w:rPr>
            </w:pPr>
            <w:r w:rsidRPr="00993936">
              <w:rPr>
                <w:rFonts w:ascii="Arial" w:hAnsi="Arial" w:cs="Arial"/>
                <w:snapToGrid w:val="0"/>
                <w:lang w:val="es-ES"/>
              </w:rPr>
              <w:t xml:space="preserve">Isoxaben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Oxifluorfén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Pendimetalina (a) (b) (c)</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Piridato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Propaquizafop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Quizalofop-p-etil</w:t>
            </w:r>
          </w:p>
          <w:p w:rsidR="00503A41" w:rsidRPr="00993936" w:rsidRDefault="00503A41" w:rsidP="000452B8">
            <w:pPr>
              <w:rPr>
                <w:rFonts w:ascii="Arial" w:hAnsi="Arial" w:cs="Arial"/>
                <w:b/>
                <w:snapToGrid w:val="0"/>
                <w:lang w:val="es-ES"/>
              </w:rPr>
            </w:pPr>
          </w:p>
        </w:tc>
        <w:tc>
          <w:tcPr>
            <w:tcW w:w="2582" w:type="pct"/>
          </w:tcPr>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0452B8">
            <w:pPr>
              <w:widowControl w:val="0"/>
              <w:jc w:val="both"/>
              <w:rPr>
                <w:rFonts w:ascii="Arial" w:hAnsi="Arial" w:cs="Arial"/>
                <w:snapToGrid w:val="0"/>
                <w:sz w:val="18"/>
                <w:lang w:val="es-ES"/>
              </w:rPr>
            </w:pPr>
          </w:p>
          <w:p w:rsidR="00503A41" w:rsidRPr="00993936" w:rsidRDefault="00503A41" w:rsidP="009D1A2D">
            <w:pPr>
              <w:widowControl w:val="0"/>
              <w:numPr>
                <w:ilvl w:val="0"/>
                <w:numId w:val="91"/>
              </w:numPr>
              <w:spacing w:after="0" w:line="240" w:lineRule="auto"/>
              <w:jc w:val="both"/>
              <w:outlineLvl w:val="0"/>
              <w:rPr>
                <w:rFonts w:ascii="Arial" w:hAnsi="Arial" w:cs="Arial"/>
                <w:snapToGrid w:val="0"/>
                <w:sz w:val="18"/>
                <w:lang w:val="es-ES"/>
              </w:rPr>
            </w:pPr>
            <w:r w:rsidRPr="00993936">
              <w:rPr>
                <w:rFonts w:ascii="Arial" w:hAnsi="Arial" w:cs="Arial"/>
                <w:snapToGrid w:val="0"/>
                <w:sz w:val="18"/>
                <w:lang w:val="es-ES"/>
              </w:rPr>
              <w:t>Sólo autorizada para ajos</w:t>
            </w:r>
          </w:p>
          <w:p w:rsidR="00503A41" w:rsidRPr="00993936" w:rsidRDefault="00503A41" w:rsidP="009D1A2D">
            <w:pPr>
              <w:widowControl w:val="0"/>
              <w:numPr>
                <w:ilvl w:val="0"/>
                <w:numId w:val="91"/>
              </w:numPr>
              <w:spacing w:after="0" w:line="240" w:lineRule="auto"/>
              <w:jc w:val="both"/>
              <w:outlineLvl w:val="0"/>
              <w:rPr>
                <w:rFonts w:ascii="Arial" w:hAnsi="Arial" w:cs="Arial"/>
                <w:snapToGrid w:val="0"/>
                <w:sz w:val="18"/>
                <w:lang w:val="es-ES"/>
              </w:rPr>
            </w:pPr>
            <w:r w:rsidRPr="00993936">
              <w:rPr>
                <w:rFonts w:ascii="Arial" w:hAnsi="Arial" w:cs="Arial"/>
                <w:snapToGrid w:val="0"/>
                <w:sz w:val="18"/>
                <w:lang w:val="es-ES"/>
              </w:rPr>
              <w:t xml:space="preserve">Sólo autorizada para cebollas </w:t>
            </w:r>
          </w:p>
          <w:p w:rsidR="00503A41" w:rsidRPr="00993936" w:rsidRDefault="00503A41" w:rsidP="009D1A2D">
            <w:pPr>
              <w:widowControl w:val="0"/>
              <w:numPr>
                <w:ilvl w:val="0"/>
                <w:numId w:val="91"/>
              </w:numPr>
              <w:spacing w:after="0" w:line="240" w:lineRule="auto"/>
              <w:jc w:val="both"/>
              <w:outlineLvl w:val="0"/>
              <w:rPr>
                <w:rFonts w:ascii="Arial" w:hAnsi="Arial" w:cs="Arial"/>
                <w:snapToGrid w:val="0"/>
                <w:sz w:val="18"/>
                <w:lang w:val="es-ES"/>
              </w:rPr>
            </w:pPr>
            <w:r w:rsidRPr="00993936">
              <w:rPr>
                <w:rFonts w:ascii="Arial" w:hAnsi="Arial" w:cs="Arial"/>
                <w:snapToGrid w:val="0"/>
                <w:sz w:val="18"/>
                <w:lang w:val="es-ES"/>
              </w:rPr>
              <w:t>Sólo autorizada para Calçots</w:t>
            </w:r>
          </w:p>
          <w:p w:rsidR="00503A41" w:rsidRPr="00993936" w:rsidRDefault="00503A41" w:rsidP="000452B8">
            <w:pPr>
              <w:widowControl w:val="0"/>
              <w:ind w:left="720"/>
              <w:jc w:val="both"/>
              <w:outlineLvl w:val="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r w:rsidRPr="00993936">
              <w:rPr>
                <w:rFonts w:ascii="Arial" w:hAnsi="Arial" w:cs="Arial"/>
                <w:snapToGrid w:val="0"/>
                <w:sz w:val="18"/>
                <w:lang w:val="es-ES"/>
              </w:rPr>
              <w:t>Las restricciones numéricas se detallan al final de este documento.</w:t>
            </w:r>
          </w:p>
          <w:p w:rsidR="00503A41" w:rsidRPr="00993936" w:rsidRDefault="00503A41" w:rsidP="000452B8">
            <w:pPr>
              <w:pStyle w:val="Prrafodelista"/>
              <w:widowControl w:val="0"/>
              <w:rPr>
                <w:rFonts w:ascii="Arial" w:hAnsi="Arial" w:cs="Arial"/>
                <w:b/>
                <w:snapToGrid w:val="0"/>
                <w:sz w:val="20"/>
                <w:lang w:val="es-ES"/>
              </w:rPr>
            </w:pPr>
          </w:p>
        </w:tc>
      </w:tr>
    </w:tbl>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numPr>
          <w:ilvl w:val="0"/>
          <w:numId w:val="83"/>
        </w:numPr>
        <w:spacing w:before="120" w:after="0" w:line="240" w:lineRule="auto"/>
        <w:jc w:val="both"/>
        <w:rPr>
          <w:rFonts w:ascii="Arial" w:hAnsi="Arial" w:cs="Arial"/>
          <w:i/>
          <w:lang w:val="es-ES"/>
        </w:rPr>
      </w:pPr>
      <w:r w:rsidRPr="00993936">
        <w:rPr>
          <w:rFonts w:ascii="Arial" w:hAnsi="Arial" w:cs="Arial"/>
          <w:i/>
          <w:lang w:val="es-ES"/>
        </w:rPr>
        <w:t>Orius sp.</w:t>
      </w:r>
    </w:p>
    <w:p w:rsidR="00503A41" w:rsidRPr="00993936" w:rsidRDefault="00503A41" w:rsidP="009D1A2D">
      <w:pPr>
        <w:numPr>
          <w:ilvl w:val="0"/>
          <w:numId w:val="83"/>
        </w:numPr>
        <w:spacing w:before="120" w:after="0" w:line="240" w:lineRule="auto"/>
        <w:jc w:val="both"/>
        <w:rPr>
          <w:rFonts w:ascii="Arial" w:hAnsi="Arial" w:cs="Arial"/>
          <w:lang w:val="es-ES"/>
        </w:rPr>
      </w:pPr>
      <w:r w:rsidRPr="00993936">
        <w:rPr>
          <w:rFonts w:ascii="Arial" w:hAnsi="Arial" w:cs="Arial"/>
          <w:lang w:val="es-ES"/>
        </w:rPr>
        <w:t>Sírfidos</w:t>
      </w:r>
    </w:p>
    <w:p w:rsidR="00503A41" w:rsidRPr="00993936" w:rsidRDefault="00503A41" w:rsidP="009D1A2D">
      <w:pPr>
        <w:numPr>
          <w:ilvl w:val="0"/>
          <w:numId w:val="83"/>
        </w:numPr>
        <w:spacing w:before="120" w:after="0" w:line="240" w:lineRule="auto"/>
        <w:jc w:val="both"/>
        <w:rPr>
          <w:rFonts w:ascii="Arial" w:hAnsi="Arial" w:cs="Arial"/>
          <w:lang w:val="es-ES"/>
        </w:rPr>
      </w:pPr>
      <w:r w:rsidRPr="00993936">
        <w:rPr>
          <w:rFonts w:ascii="Arial" w:hAnsi="Arial" w:cs="Arial"/>
          <w:lang w:val="es-ES"/>
        </w:rPr>
        <w:t>Crisopes</w:t>
      </w:r>
    </w:p>
    <w:p w:rsidR="00503A41" w:rsidRPr="00993936" w:rsidRDefault="00503A41" w:rsidP="000452B8">
      <w:pPr>
        <w:pStyle w:val="Ttulo1"/>
        <w:rPr>
          <w:rFonts w:ascii="Arial" w:hAnsi="Arial" w:cs="Arial"/>
          <w:b/>
          <w:caps/>
          <w:color w:val="auto"/>
          <w:sz w:val="22"/>
        </w:rPr>
      </w:pPr>
    </w:p>
    <w:p w:rsidR="00503A41" w:rsidRPr="00993936" w:rsidRDefault="00503A41" w:rsidP="000452B8">
      <w:pPr>
        <w:pStyle w:val="Ttulo1"/>
        <w:spacing w:before="120"/>
        <w:rPr>
          <w:rFonts w:ascii="Arial" w:hAnsi="Arial" w:cs="Arial"/>
          <w:b/>
          <w:color w:val="auto"/>
          <w:sz w:val="22"/>
        </w:rPr>
      </w:pPr>
      <w:r w:rsidRPr="00993936">
        <w:rPr>
          <w:rFonts w:ascii="Arial" w:hAnsi="Arial" w:cs="Arial"/>
          <w:b/>
          <w:caps/>
          <w:color w:val="auto"/>
          <w:sz w:val="22"/>
        </w:rPr>
        <w:t>ANEXO 6</w:t>
      </w:r>
    </w:p>
    <w:p w:rsidR="00503A41" w:rsidRPr="00993936" w:rsidRDefault="00503A41" w:rsidP="000452B8">
      <w:pPr>
        <w:pStyle w:val="Textoindependiente"/>
        <w:spacing w:before="120"/>
        <w:rPr>
          <w:rFonts w:cs="Arial"/>
          <w:b/>
          <w:lang w:val="es-ES"/>
        </w:rPr>
      </w:pPr>
      <w:r w:rsidRPr="00993936">
        <w:rPr>
          <w:rFonts w:cs="Arial"/>
          <w:b/>
          <w:lang w:val="es-ES"/>
        </w:rPr>
        <w:t>Programas de control fitosanitario</w:t>
      </w:r>
    </w:p>
    <w:p w:rsidR="00503A41" w:rsidRPr="00993936" w:rsidRDefault="00503A41" w:rsidP="000452B8">
      <w:pPr>
        <w:pStyle w:val="Textoindependiente"/>
        <w:spacing w:before="120"/>
        <w:rPr>
          <w:rFonts w:cs="Arial"/>
          <w:lang w:val="es-ES"/>
        </w:rPr>
      </w:pPr>
      <w:r w:rsidRPr="00993936">
        <w:rPr>
          <w:rFonts w:cs="Arial"/>
          <w:lang w:val="es-ES"/>
        </w:rPr>
        <w:t>Para poder aplicar estos programas con éxito, es imprescindible aplicar unas buenas medidas culturales con el objetivo de iniciar el cultivo con plantas con ausencia de plagas y enfermedades, disminuir la entrada en el cultivo y la posterior proliferación.</w:t>
      </w:r>
    </w:p>
    <w:p w:rsidR="00503A41" w:rsidRPr="00993936" w:rsidRDefault="00503A41" w:rsidP="000452B8">
      <w:pPr>
        <w:pStyle w:val="Textoindependiente"/>
        <w:spacing w:before="120"/>
        <w:rPr>
          <w:rFonts w:cs="Arial"/>
          <w:lang w:val="es-ES"/>
        </w:rPr>
      </w:pPr>
      <w:r w:rsidRPr="00993936">
        <w:rPr>
          <w:rFonts w:cs="Arial"/>
          <w:lang w:val="es-ES"/>
        </w:rPr>
        <w:t xml:space="preserve">Hay un programa específico para el cultivo que se recoge en el Cuadro núm 1 de este Anexo que se complementa con las hojas de seguimientos de plagas y enfermedades que figuran en el Cuaderno de explotación. </w:t>
      </w:r>
    </w:p>
    <w:p w:rsidR="00503A41" w:rsidRPr="00993936" w:rsidRDefault="00503A41" w:rsidP="000452B8">
      <w:pPr>
        <w:pStyle w:val="Textoindependiente"/>
        <w:spacing w:before="120"/>
        <w:rPr>
          <w:rFonts w:cs="Arial"/>
          <w:lang w:val="es-ES"/>
        </w:rPr>
      </w:pPr>
      <w:r w:rsidRPr="00993936">
        <w:rPr>
          <w:rFonts w:cs="Arial"/>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lang w:val="es-ES"/>
        </w:rPr>
      </w:pPr>
      <w:r w:rsidRPr="00993936">
        <w:rPr>
          <w:rFonts w:cs="Arial"/>
          <w:lang w:val="es-ES"/>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rsidR="00503A41" w:rsidRPr="00993936" w:rsidRDefault="00503A41" w:rsidP="000452B8">
      <w:pPr>
        <w:pStyle w:val="Textoindependiente"/>
        <w:spacing w:before="120"/>
        <w:rPr>
          <w:rFonts w:cs="Arial"/>
          <w:lang w:val="es-ES"/>
        </w:rPr>
      </w:pPr>
      <w:r w:rsidRPr="00993936">
        <w:rPr>
          <w:rFonts w:cs="Arial"/>
          <w:lang w:val="es-ES"/>
        </w:rPr>
        <w:t>En caso de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es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lang w:val="es-ES"/>
        </w:rPr>
      </w:pPr>
      <w:r w:rsidRPr="00993936">
        <w:rPr>
          <w:rFonts w:cs="Arial"/>
          <w:lang w:val="es-ES"/>
        </w:rPr>
        <w:t>Además de los muestreos específicos propuestos en los Cuadros de Control Fitosanitario se realizará una observación general del cultivo que permita estimar su estado general, así como la presencia de plagas y/o enfermedades. Los recuentos y las observaciones, se anotarán en la Hoja 3 del Cuaderno de Explotación.</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6.1.</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lang w:val="es-ES"/>
        </w:rPr>
      </w:pPr>
      <w:r w:rsidRPr="00993936">
        <w:rPr>
          <w:rFonts w:cs="Arial"/>
          <w:lang w:val="es-ES"/>
        </w:rPr>
        <w:t xml:space="preserve">En la Hoja 3 se anotará la ausencia (-) o la presencia o número de huevos (O), larvas (L) y/o daños (D) en hojas y en frutos producidos por lepidópteros en función de lo que se pida en el Cuadro 1.1. En la columna de Observaciones se anotará siempre la especie y, si no hay, el tipo de lepidóptero (defoliadora, </w:t>
      </w:r>
      <w:r w:rsidRPr="00993936">
        <w:rPr>
          <w:rFonts w:cs="Arial"/>
          <w:i/>
          <w:lang w:val="es-ES"/>
        </w:rPr>
        <w:t>H. armigera</w:t>
      </w:r>
      <w:r w:rsidRPr="00993936">
        <w:rPr>
          <w:rFonts w:cs="Arial"/>
          <w:lang w:val="es-ES"/>
        </w:rPr>
        <w:t xml:space="preserve">, </w:t>
      </w:r>
      <w:r w:rsidRPr="00993936">
        <w:rPr>
          <w:rFonts w:cs="Arial"/>
          <w:i/>
          <w:lang w:val="es-ES"/>
        </w:rPr>
        <w:t xml:space="preserve">Spodoptera </w:t>
      </w:r>
      <w:r w:rsidRPr="00993936">
        <w:rPr>
          <w:rFonts w:cs="Arial"/>
          <w:lang w:val="es-ES"/>
        </w:rPr>
        <w:t>sp., dormidora, etc.).</w:t>
      </w:r>
    </w:p>
    <w:p w:rsidR="00503A41" w:rsidRPr="00993936" w:rsidRDefault="00503A41" w:rsidP="000452B8">
      <w:pPr>
        <w:pStyle w:val="Textoindependiente"/>
        <w:spacing w:before="120"/>
        <w:rPr>
          <w:rFonts w:cs="Arial"/>
          <w:lang w:val="es-ES"/>
        </w:rPr>
      </w:pPr>
      <w:r w:rsidRPr="00993936">
        <w:rPr>
          <w:rFonts w:cs="Arial"/>
          <w:lang w:val="es-ES"/>
        </w:rPr>
        <w:t>Con respecto a los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extoindependiente"/>
        <w:spacing w:before="120"/>
        <w:outlineLvl w:val="0"/>
        <w:rPr>
          <w:rFonts w:cs="Arial"/>
          <w:b/>
          <w:lang w:val="es-ES"/>
        </w:rPr>
      </w:pPr>
      <w:r w:rsidRPr="00993936">
        <w:rPr>
          <w:rFonts w:cs="Arial"/>
          <w:b/>
          <w:lang w:val="es-ES"/>
        </w:rPr>
        <w:t xml:space="preserve">6.2. Trips (TRIPS) </w:t>
      </w:r>
    </w:p>
    <w:p w:rsidR="00503A41" w:rsidRPr="00993936" w:rsidRDefault="00503A41" w:rsidP="000452B8">
      <w:pPr>
        <w:pStyle w:val="Textoindependiente"/>
        <w:spacing w:before="120"/>
        <w:rPr>
          <w:rFonts w:cs="Arial"/>
          <w:lang w:val="es-ES"/>
        </w:rPr>
      </w:pPr>
      <w:r w:rsidRPr="00993936">
        <w:rPr>
          <w:rFonts w:cs="Arial"/>
          <w:lang w:val="es-ES"/>
        </w:rPr>
        <w:t xml:space="preserve">En los muestreos se anotará la ausencia (-) o la presencia o número de larvas (L), adultos (A) y daños (D) de trips según las directrices del Cuadro 1.1. </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6.3.</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lang w:val="es-ES"/>
        </w:rPr>
      </w:pPr>
      <w:r w:rsidRPr="00993936">
        <w:rPr>
          <w:rFonts w:cs="Arial"/>
          <w:lang w:val="es-ES"/>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lang w:val="es-ES"/>
        </w:rPr>
      </w:pPr>
      <w:r w:rsidRPr="00993936">
        <w:rPr>
          <w:rFonts w:cs="Arial"/>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lastRenderedPageBreak/>
        <w:t>6.5.</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lang w:val="es-ES"/>
        </w:rPr>
      </w:pPr>
      <w:r w:rsidRPr="00993936">
        <w:rPr>
          <w:rFonts w:cs="Arial"/>
          <w:lang w:val="es-ES"/>
        </w:rPr>
        <w:t>Se anotará la presencia/ausencia (+/-) de síntomas recientes de las enfermedades más comunas como botritis (BOT</w:t>
      </w:r>
      <w:r w:rsidRPr="00993936">
        <w:rPr>
          <w:rFonts w:cs="Arial"/>
          <w:vanish/>
          <w:lang w:val="es-ES"/>
        </w:rPr>
        <w:t>&lt;A[BOTE|ODRE]&gt;</w:t>
      </w:r>
      <w:r w:rsidRPr="00993936">
        <w:rPr>
          <w:rFonts w:cs="Arial"/>
          <w:lang w:val="es-ES"/>
        </w:rPr>
        <w:t>), mildiu (MILD) y bacterias (BACT). En caso de observarse síntomas y/o cuando las condiciones agronómicas y/o meteorológicas hagan suponer la aparición de la enfermedad, se realizarán tratamientos con el producto más adecuado de los indicados en los Cuadros de Control Fitosanitario de los diferentes cultivos.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lang w:val="es-ES"/>
        </w:rPr>
      </w:pPr>
      <w:r w:rsidRPr="00993936">
        <w:rPr>
          <w:rFonts w:cs="Arial"/>
          <w:lang w:val="es-ES"/>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 xml:space="preserve">Nemátodos </w:t>
      </w:r>
    </w:p>
    <w:p w:rsidR="00503A41" w:rsidRPr="00993936" w:rsidRDefault="00503A41" w:rsidP="000452B8">
      <w:pPr>
        <w:spacing w:before="120"/>
        <w:jc w:val="both"/>
        <w:rPr>
          <w:rFonts w:ascii="Arial" w:hAnsi="Arial" w:cs="Arial"/>
          <w:lang w:val="es-ES"/>
        </w:rPr>
      </w:pPr>
      <w:r w:rsidRPr="00993936">
        <w:rPr>
          <w:rFonts w:ascii="Arial" w:hAnsi="Arial" w:cs="Arial"/>
          <w:lang w:val="es-ES"/>
        </w:rPr>
        <w:t>En caso que el cultivo a implantar sea sensible a nemátodos, se escogerán preferentemente variedades resistentes. En caso de que no haya o que no sean bien aceptadas por el mercado, podrán utilizarse tratamientos para controlar este problema de suelo en aquellos cultivos en que así lo prevea su Cuadro 1.2.</w:t>
      </w:r>
    </w:p>
    <w:p w:rsidR="00503A41" w:rsidRPr="00993936" w:rsidRDefault="00503A41" w:rsidP="000452B8">
      <w:pPr>
        <w:rPr>
          <w:rFonts w:ascii="Arial" w:hAnsi="Arial" w:cs="Arial"/>
          <w:lang w:val="es-ES"/>
        </w:rPr>
      </w:pPr>
    </w:p>
    <w:p w:rsidR="00503A41" w:rsidRPr="00993936" w:rsidRDefault="00503A41" w:rsidP="000452B8">
      <w:pPr>
        <w:rPr>
          <w:rFonts w:ascii="Arial" w:hAnsi="Arial" w:cs="Arial"/>
          <w:b/>
          <w:snapToGrid w:val="0"/>
          <w:lang w:val="es-ES"/>
        </w:rPr>
      </w:pPr>
      <w:r w:rsidRPr="00993936">
        <w:rPr>
          <w:rFonts w:ascii="Arial" w:hAnsi="Arial" w:cs="Arial"/>
          <w:b/>
          <w:lang w:val="es-ES"/>
        </w:rPr>
        <w:t xml:space="preserve">Cuadro 1.-  Control fitosanitario en </w:t>
      </w:r>
      <w:r w:rsidRPr="00993936">
        <w:rPr>
          <w:rFonts w:ascii="Arial" w:hAnsi="Arial" w:cs="Arial"/>
          <w:b/>
          <w:snapToGrid w:val="0"/>
          <w:lang w:val="es-ES"/>
        </w:rPr>
        <w:t>cebolla, puerro</w:t>
      </w:r>
      <w:r w:rsidRPr="00993936">
        <w:rPr>
          <w:rFonts w:ascii="Arial" w:hAnsi="Arial" w:cs="Arial"/>
          <w:b/>
          <w:snapToGrid w:val="0"/>
          <w:vanish/>
          <w:lang w:val="es-ES"/>
        </w:rPr>
        <w:t>&lt;A[puerro|porro]&gt;</w:t>
      </w:r>
      <w:r w:rsidRPr="00993936">
        <w:rPr>
          <w:rFonts w:ascii="Arial" w:hAnsi="Arial" w:cs="Arial"/>
          <w:b/>
          <w:snapToGrid w:val="0"/>
          <w:lang w:val="es-ES"/>
        </w:rPr>
        <w:t>, ajo y calçot</w:t>
      </w:r>
    </w:p>
    <w:p w:rsidR="00503A41" w:rsidRPr="00993936" w:rsidRDefault="00503A41" w:rsidP="000452B8">
      <w:pPr>
        <w:pStyle w:val="Ttulo3"/>
        <w:rPr>
          <w:rFonts w:ascii="Arial" w:hAnsi="Arial" w:cs="Arial"/>
          <w:snapToGrid w:val="0"/>
          <w:color w:val="auto"/>
          <w:szCs w:val="22"/>
          <w:lang w:val="es-ES"/>
        </w:rPr>
      </w:pPr>
    </w:p>
    <w:p w:rsidR="00503A41" w:rsidRPr="00993936" w:rsidRDefault="00503A41" w:rsidP="000452B8">
      <w:pPr>
        <w:pStyle w:val="Textoindependiente3"/>
        <w:rPr>
          <w:rFonts w:cs="Arial"/>
          <w:lang w:val="es-ES"/>
        </w:rPr>
      </w:pPr>
      <w:r w:rsidRPr="00993936">
        <w:rPr>
          <w:rFonts w:cs="Arial"/>
          <w:b w:val="0"/>
          <w:szCs w:val="22"/>
          <w:lang w:val="es-ES"/>
        </w:rPr>
        <w:t>1.1 Métodos de evaluación de incidencia, criterios de intervención y fauna auxiliar para el control integrado de plagas y enfermedades de cebolla, puerro</w:t>
      </w:r>
      <w:r w:rsidRPr="00993936">
        <w:rPr>
          <w:rFonts w:cs="Arial"/>
          <w:b w:val="0"/>
          <w:vanish/>
          <w:szCs w:val="22"/>
          <w:lang w:val="es-ES"/>
        </w:rPr>
        <w:t>&lt;A[puerro|porro]&gt;</w:t>
      </w:r>
      <w:r w:rsidRPr="00993936">
        <w:rPr>
          <w:rFonts w:cs="Arial"/>
          <w:b w:val="0"/>
          <w:szCs w:val="22"/>
          <w:lang w:val="es-ES"/>
        </w:rPr>
        <w:t>, ajo y calçot.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8"/>
        <w:gridCol w:w="1811"/>
        <w:gridCol w:w="1928"/>
        <w:gridCol w:w="1515"/>
        <w:gridCol w:w="1332"/>
      </w:tblGrid>
      <w:tr w:rsidR="00503A41" w:rsidRPr="00993936" w:rsidTr="000452B8">
        <w:trPr>
          <w:cantSplit/>
          <w:tblHeader/>
          <w:jc w:val="center"/>
        </w:trPr>
        <w:tc>
          <w:tcPr>
            <w:tcW w:w="1193" w:type="pct"/>
            <w:shd w:val="pct12" w:color="auto" w:fill="FFFFFF"/>
            <w:vAlign w:val="center"/>
          </w:tcPr>
          <w:p w:rsidR="00503A41" w:rsidRPr="00993936" w:rsidRDefault="00503A41" w:rsidP="000452B8">
            <w:pPr>
              <w:pStyle w:val="titolstaula"/>
              <w:rPr>
                <w:rFonts w:cs="Arial"/>
                <w:noProof w:val="0"/>
                <w:sz w:val="18"/>
                <w:lang w:val="es-ES"/>
              </w:rPr>
            </w:pPr>
            <w:r w:rsidRPr="00993936">
              <w:rPr>
                <w:rFonts w:cs="Arial"/>
                <w:noProof w:val="0"/>
                <w:sz w:val="18"/>
                <w:lang w:val="es-ES"/>
              </w:rPr>
              <w:t>PLAGA / ENFERMEDAD</w:t>
            </w:r>
          </w:p>
        </w:tc>
        <w:tc>
          <w:tcPr>
            <w:tcW w:w="1040" w:type="pct"/>
            <w:shd w:val="pct12" w:color="auto" w:fill="FFFFFF"/>
            <w:vAlign w:val="center"/>
          </w:tcPr>
          <w:p w:rsidR="00503A41" w:rsidRPr="00993936" w:rsidRDefault="00503A41" w:rsidP="000452B8">
            <w:pPr>
              <w:pStyle w:val="titolstaula"/>
              <w:rPr>
                <w:rFonts w:cs="Arial"/>
                <w:noProof w:val="0"/>
                <w:sz w:val="18"/>
                <w:lang w:val="es-ES"/>
              </w:rPr>
            </w:pPr>
            <w:r w:rsidRPr="00993936">
              <w:rPr>
                <w:rFonts w:cs="Arial"/>
                <w:noProof w:val="0"/>
                <w:sz w:val="18"/>
                <w:lang w:val="es-ES"/>
              </w:rPr>
              <w:t>MÉTODO DE EVALUACIÓN DE INCIDENCIA</w:t>
            </w:r>
          </w:p>
        </w:tc>
        <w:tc>
          <w:tcPr>
            <w:tcW w:w="1117" w:type="pct"/>
            <w:shd w:val="pct12" w:color="auto" w:fill="FFFFFF"/>
            <w:vAlign w:val="center"/>
          </w:tcPr>
          <w:p w:rsidR="00503A41" w:rsidRPr="00993936" w:rsidRDefault="00503A41" w:rsidP="000452B8">
            <w:pPr>
              <w:pStyle w:val="titolstaula"/>
              <w:rPr>
                <w:rFonts w:cs="Arial"/>
                <w:noProof w:val="0"/>
                <w:sz w:val="18"/>
                <w:lang w:val="es-ES"/>
              </w:rPr>
            </w:pPr>
            <w:r w:rsidRPr="00993936">
              <w:rPr>
                <w:rFonts w:cs="Arial"/>
                <w:noProof w:val="0"/>
                <w:sz w:val="18"/>
                <w:lang w:val="es-ES"/>
              </w:rPr>
              <w:t>CRITERIOS DE INTERVENCIÓN</w:t>
            </w:r>
          </w:p>
        </w:tc>
        <w:tc>
          <w:tcPr>
            <w:tcW w:w="878" w:type="pct"/>
            <w:shd w:val="pct12" w:color="auto" w:fill="FFFFFF"/>
            <w:vAlign w:val="center"/>
          </w:tcPr>
          <w:p w:rsidR="00503A41" w:rsidRPr="00993936" w:rsidRDefault="00503A41" w:rsidP="000452B8">
            <w:pPr>
              <w:pStyle w:val="titolstaula"/>
              <w:rPr>
                <w:rFonts w:cs="Arial"/>
                <w:noProof w:val="0"/>
                <w:sz w:val="18"/>
                <w:lang w:val="es-ES"/>
              </w:rPr>
            </w:pPr>
            <w:r w:rsidRPr="00993936">
              <w:rPr>
                <w:rFonts w:cs="Arial"/>
                <w:noProof w:val="0"/>
                <w:sz w:val="18"/>
                <w:lang w:val="es-ES"/>
              </w:rPr>
              <w:t>FAUNA AUXILIAR</w:t>
            </w:r>
          </w:p>
        </w:tc>
        <w:tc>
          <w:tcPr>
            <w:tcW w:w="772" w:type="pct"/>
            <w:shd w:val="pct12" w:color="auto" w:fill="FFFFFF"/>
            <w:vAlign w:val="center"/>
          </w:tcPr>
          <w:p w:rsidR="00503A41" w:rsidRPr="00993936" w:rsidRDefault="00503A41" w:rsidP="000452B8">
            <w:pPr>
              <w:pStyle w:val="titolstaula"/>
              <w:rPr>
                <w:rFonts w:cs="Arial"/>
                <w:noProof w:val="0"/>
                <w:sz w:val="18"/>
                <w:lang w:val="es-ES"/>
              </w:rPr>
            </w:pPr>
            <w:r w:rsidRPr="00993936">
              <w:rPr>
                <w:rFonts w:cs="Arial"/>
                <w:noProof w:val="0"/>
                <w:sz w:val="18"/>
                <w:lang w:val="es-ES"/>
              </w:rPr>
              <w:t>OTROS MÉTODOS</w:t>
            </w:r>
          </w:p>
          <w:p w:rsidR="00503A41" w:rsidRPr="00993936" w:rsidRDefault="00503A41" w:rsidP="000452B8">
            <w:pPr>
              <w:pStyle w:val="titolstaula"/>
              <w:rPr>
                <w:rFonts w:cs="Arial"/>
                <w:noProof w:val="0"/>
                <w:sz w:val="18"/>
                <w:lang w:val="es-ES"/>
              </w:rPr>
            </w:pPr>
            <w:r w:rsidRPr="00993936">
              <w:rPr>
                <w:rFonts w:cs="Arial"/>
                <w:noProof w:val="0"/>
                <w:sz w:val="18"/>
                <w:lang w:val="es-ES"/>
              </w:rPr>
              <w:t>(culturales, etc.)</w:t>
            </w: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Dormidores y gusanos de alambre</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Agrotis segetum, A. Ipsilon</w:t>
            </w:r>
          </w:p>
          <w:p w:rsidR="00503A41" w:rsidRPr="00993936" w:rsidRDefault="00503A41" w:rsidP="000452B8">
            <w:pPr>
              <w:jc w:val="both"/>
              <w:rPr>
                <w:rFonts w:ascii="Arial" w:hAnsi="Arial" w:cs="Arial"/>
                <w:snapToGrid w:val="0"/>
                <w:sz w:val="18"/>
                <w:szCs w:val="18"/>
                <w:lang w:val="es-ES"/>
              </w:rPr>
            </w:pPr>
            <w:r w:rsidRPr="00993936">
              <w:rPr>
                <w:rFonts w:ascii="Arial" w:hAnsi="Arial" w:cs="Arial"/>
                <w:sz w:val="18"/>
                <w:szCs w:val="18"/>
                <w:lang w:val="es-ES"/>
              </w:rPr>
              <w:t>Agriotes spp.</w:t>
            </w:r>
          </w:p>
        </w:tc>
        <w:tc>
          <w:tcPr>
            <w:tcW w:w="1040" w:type="pct"/>
            <w:tcBorders>
              <w:bottom w:val="nil"/>
            </w:tcBorders>
            <w:vAlign w:val="center"/>
          </w:tcPr>
          <w:p w:rsidR="00503A41" w:rsidRPr="00993936" w:rsidRDefault="00503A41" w:rsidP="000452B8">
            <w:pPr>
              <w:jc w:val="both"/>
              <w:rPr>
                <w:rFonts w:ascii="Arial" w:hAnsi="Arial" w:cs="Arial"/>
                <w:snapToGrid w:val="0"/>
                <w:sz w:val="18"/>
                <w:szCs w:val="18"/>
                <w:lang w:val="es-ES"/>
              </w:rPr>
            </w:pPr>
          </w:p>
        </w:tc>
        <w:tc>
          <w:tcPr>
            <w:tcW w:w="1117" w:type="pct"/>
            <w:vAlign w:val="center"/>
          </w:tcPr>
          <w:p w:rsidR="00503A41" w:rsidRPr="00993936" w:rsidRDefault="00503A41" w:rsidP="000452B8">
            <w:pPr>
              <w:pStyle w:val="Angls"/>
              <w:spacing w:line="240" w:lineRule="auto"/>
              <w:rPr>
                <w:rFonts w:cs="Arial"/>
                <w:snapToGrid w:val="0"/>
                <w:szCs w:val="18"/>
                <w:lang w:val="es-ES"/>
              </w:rPr>
            </w:pPr>
            <w:r w:rsidRPr="00993936">
              <w:rPr>
                <w:rFonts w:cs="Arial"/>
                <w:szCs w:val="18"/>
                <w:lang w:val="es-ES"/>
              </w:rPr>
              <w:t>Presencia</w:t>
            </w:r>
          </w:p>
        </w:tc>
        <w:tc>
          <w:tcPr>
            <w:tcW w:w="878" w:type="pct"/>
            <w:vAlign w:val="center"/>
          </w:tcPr>
          <w:p w:rsidR="00503A41" w:rsidRPr="00993936" w:rsidRDefault="00503A41" w:rsidP="000452B8">
            <w:pPr>
              <w:jc w:val="both"/>
              <w:rPr>
                <w:rFonts w:ascii="Arial" w:hAnsi="Arial" w:cs="Arial"/>
                <w:b/>
                <w:snapToGrid w:val="0"/>
                <w:sz w:val="18"/>
                <w:szCs w:val="18"/>
                <w:lang w:val="es-ES"/>
              </w:rPr>
            </w:pPr>
          </w:p>
        </w:tc>
        <w:tc>
          <w:tcPr>
            <w:tcW w:w="772" w:type="pct"/>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Trips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(Thrips tabaci)</w:t>
            </w:r>
          </w:p>
        </w:tc>
        <w:tc>
          <w:tcPr>
            <w:tcW w:w="1040" w:type="pct"/>
            <w:vMerge w:val="restart"/>
            <w:tcBorders>
              <w:bottom w:val="nil"/>
            </w:tcBorders>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10 plantas. Observación de individuos en la planta. En planta sintomática, comprobar la presencia de la plaga.</w:t>
            </w:r>
          </w:p>
        </w:tc>
        <w:tc>
          <w:tcPr>
            <w:tcW w:w="1117"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Media de 10 trips/planta </w:t>
            </w:r>
          </w:p>
        </w:tc>
        <w:tc>
          <w:tcPr>
            <w:tcW w:w="878" w:type="pct"/>
            <w:vAlign w:val="center"/>
          </w:tcPr>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Considerar la presencia de neurópteros</w:t>
            </w:r>
          </w:p>
        </w:tc>
        <w:tc>
          <w:tcPr>
            <w:tcW w:w="772"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Uso de plaquetas engomadas de color azul</w:t>
            </w: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Mosca de la cebolla</w:t>
            </w:r>
          </w:p>
          <w:p w:rsidR="00503A41" w:rsidRPr="00993936" w:rsidRDefault="00503A41" w:rsidP="000452B8">
            <w:pPr>
              <w:jc w:val="both"/>
              <w:rPr>
                <w:rFonts w:ascii="Arial" w:hAnsi="Arial" w:cs="Arial"/>
                <w:b/>
                <w:snapToGrid w:val="0"/>
                <w:sz w:val="18"/>
                <w:szCs w:val="18"/>
                <w:lang w:val="es-ES"/>
              </w:rPr>
            </w:pPr>
            <w:r w:rsidRPr="00993936">
              <w:rPr>
                <w:rFonts w:ascii="Arial" w:hAnsi="Arial" w:cs="Arial"/>
                <w:i/>
                <w:sz w:val="18"/>
                <w:szCs w:val="18"/>
                <w:lang w:val="es-ES"/>
              </w:rPr>
              <w:t>(Anhelaba antiqua)</w:t>
            </w:r>
          </w:p>
        </w:tc>
        <w:tc>
          <w:tcPr>
            <w:tcW w:w="1040" w:type="pct"/>
            <w:vMerge/>
            <w:tcBorders>
              <w:top w:val="nil"/>
              <w:bottom w:val="nil"/>
            </w:tcBorders>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restart"/>
            <w:vAlign w:val="center"/>
          </w:tcPr>
          <w:p w:rsidR="00503A41" w:rsidRPr="00993936" w:rsidRDefault="00503A41" w:rsidP="000452B8">
            <w:pPr>
              <w:jc w:val="both"/>
              <w:rPr>
                <w:rFonts w:ascii="Arial" w:hAnsi="Arial" w:cs="Arial"/>
                <w:b/>
                <w:snapToGrid w:val="0"/>
                <w:sz w:val="18"/>
                <w:szCs w:val="18"/>
                <w:lang w:val="es-ES"/>
              </w:rPr>
            </w:pPr>
            <w:r w:rsidRPr="00993936">
              <w:rPr>
                <w:rFonts w:ascii="Arial" w:hAnsi="Arial" w:cs="Arial"/>
                <w:sz w:val="18"/>
                <w:szCs w:val="18"/>
                <w:lang w:val="es-ES"/>
              </w:rPr>
              <w:t>Presencia</w:t>
            </w:r>
          </w:p>
        </w:tc>
        <w:tc>
          <w:tcPr>
            <w:tcW w:w="878" w:type="pct"/>
            <w:vMerge w:val="restart"/>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restart"/>
            <w:vAlign w:val="center"/>
          </w:tcPr>
          <w:p w:rsidR="00503A41" w:rsidRPr="00993936" w:rsidRDefault="00503A41" w:rsidP="000452B8">
            <w:pPr>
              <w:jc w:val="both"/>
              <w:rPr>
                <w:rFonts w:ascii="Arial" w:hAnsi="Arial" w:cs="Arial"/>
                <w:b/>
                <w:snapToGrid w:val="0"/>
                <w:sz w:val="18"/>
                <w:szCs w:val="18"/>
                <w:lang w:val="es-ES"/>
              </w:rPr>
            </w:pPr>
            <w:r w:rsidRPr="00993936">
              <w:rPr>
                <w:rFonts w:ascii="Arial" w:hAnsi="Arial" w:cs="Arial"/>
                <w:sz w:val="18"/>
                <w:szCs w:val="18"/>
                <w:lang w:val="es-ES"/>
              </w:rPr>
              <w:t>Trampas feromonas para detectar inicio de vuelo</w:t>
            </w: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Tiña del puerro</w:t>
            </w:r>
            <w:r w:rsidRPr="00993936">
              <w:rPr>
                <w:rFonts w:cs="Arial"/>
                <w:noProof w:val="0"/>
                <w:vanish/>
                <w:sz w:val="18"/>
                <w:szCs w:val="18"/>
                <w:lang w:val="es-ES"/>
              </w:rPr>
              <w:t>&lt;A[puerro|porro]&gt;</w:t>
            </w:r>
          </w:p>
          <w:p w:rsidR="00503A41" w:rsidRPr="00993936" w:rsidRDefault="00503A41" w:rsidP="000452B8">
            <w:pPr>
              <w:jc w:val="both"/>
              <w:rPr>
                <w:rFonts w:ascii="Arial" w:hAnsi="Arial" w:cs="Arial"/>
                <w:b/>
                <w:snapToGrid w:val="0"/>
                <w:sz w:val="18"/>
                <w:szCs w:val="18"/>
                <w:lang w:val="es-ES"/>
              </w:rPr>
            </w:pPr>
            <w:r w:rsidRPr="00993936">
              <w:rPr>
                <w:rFonts w:ascii="Arial" w:hAnsi="Arial" w:cs="Arial"/>
                <w:i/>
                <w:sz w:val="18"/>
                <w:szCs w:val="18"/>
                <w:lang w:val="es-ES"/>
              </w:rPr>
              <w:t>(Acrolepia asectella)</w:t>
            </w:r>
          </w:p>
        </w:tc>
        <w:tc>
          <w:tcPr>
            <w:tcW w:w="1040" w:type="pct"/>
            <w:vMerge/>
            <w:tcBorders>
              <w:top w:val="nil"/>
            </w:tcBorders>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ign w:val="center"/>
          </w:tcPr>
          <w:p w:rsidR="00503A41" w:rsidRPr="00993936" w:rsidRDefault="00503A41" w:rsidP="000452B8">
            <w:pPr>
              <w:jc w:val="both"/>
              <w:rPr>
                <w:rFonts w:ascii="Arial" w:hAnsi="Arial" w:cs="Arial"/>
                <w:b/>
                <w:snapToGrid w:val="0"/>
                <w:sz w:val="18"/>
                <w:szCs w:val="18"/>
                <w:lang w:val="es-ES"/>
              </w:rPr>
            </w:pP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Mildiu</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w:t>
            </w:r>
            <w:r w:rsidRPr="00993936">
              <w:rPr>
                <w:rFonts w:cs="Arial"/>
                <w:i/>
                <w:noProof w:val="0"/>
                <w:sz w:val="18"/>
                <w:szCs w:val="18"/>
                <w:lang w:val="es-ES"/>
              </w:rPr>
              <w:t>Peronospora destructor</w:t>
            </w:r>
            <w:r w:rsidRPr="00993936">
              <w:rPr>
                <w:rFonts w:cs="Arial"/>
                <w:noProof w:val="0"/>
                <w:sz w:val="18"/>
                <w:szCs w:val="18"/>
                <w:lang w:val="es-ES"/>
              </w:rPr>
              <w:t>)</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w:t>
            </w:r>
            <w:r w:rsidRPr="00993936">
              <w:rPr>
                <w:rFonts w:cs="Arial"/>
                <w:i/>
                <w:noProof w:val="0"/>
                <w:sz w:val="18"/>
                <w:szCs w:val="18"/>
                <w:lang w:val="es-ES"/>
              </w:rPr>
              <w:t>Phytophthora porri</w:t>
            </w:r>
            <w:r w:rsidRPr="00993936">
              <w:rPr>
                <w:rFonts w:cs="Arial"/>
                <w:noProof w:val="0"/>
                <w:sz w:val="18"/>
                <w:szCs w:val="18"/>
                <w:lang w:val="es-ES"/>
              </w:rPr>
              <w:t>)</w:t>
            </w:r>
          </w:p>
        </w:tc>
        <w:tc>
          <w:tcPr>
            <w:tcW w:w="1040"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5 puntos de observación de 4 m</w:t>
            </w:r>
            <w:r w:rsidRPr="00993936">
              <w:rPr>
                <w:rFonts w:cs="Arial"/>
                <w:noProof w:val="0"/>
                <w:sz w:val="18"/>
                <w:szCs w:val="18"/>
                <w:vertAlign w:val="superscript"/>
                <w:lang w:val="es-ES"/>
              </w:rPr>
              <w:t xml:space="preserve">2 </w:t>
            </w:r>
            <w:r w:rsidRPr="00993936">
              <w:rPr>
                <w:rFonts w:cs="Arial"/>
                <w:noProof w:val="0"/>
                <w:sz w:val="18"/>
                <w:szCs w:val="18"/>
                <w:lang w:val="es-ES"/>
              </w:rPr>
              <w:t>(presencia/ausencia)</w:t>
            </w:r>
          </w:p>
          <w:p w:rsidR="00503A41" w:rsidRPr="00993936" w:rsidRDefault="00503A41" w:rsidP="000452B8">
            <w:pPr>
              <w:pStyle w:val="taula"/>
              <w:rPr>
                <w:rFonts w:cs="Arial"/>
                <w:noProof w:val="0"/>
                <w:sz w:val="18"/>
                <w:szCs w:val="18"/>
                <w:lang w:val="es-ES"/>
              </w:rPr>
            </w:pPr>
          </w:p>
        </w:tc>
        <w:tc>
          <w:tcPr>
            <w:tcW w:w="1117"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la enfermedad o condiciones favorables de humedad y temperatura</w:t>
            </w:r>
          </w:p>
          <w:p w:rsidR="00503A41" w:rsidRPr="00993936" w:rsidRDefault="00503A41" w:rsidP="000452B8">
            <w:pPr>
              <w:pStyle w:val="taula"/>
              <w:rPr>
                <w:rFonts w:cs="Arial"/>
                <w:noProof w:val="0"/>
                <w:sz w:val="18"/>
                <w:szCs w:val="18"/>
                <w:lang w:val="es-ES"/>
              </w:rPr>
            </w:pPr>
          </w:p>
        </w:tc>
        <w:tc>
          <w:tcPr>
            <w:tcW w:w="878" w:type="pct"/>
            <w:vMerge/>
            <w:vAlign w:val="center"/>
          </w:tcPr>
          <w:p w:rsidR="00503A41" w:rsidRPr="00993936" w:rsidRDefault="00503A41" w:rsidP="000452B8">
            <w:pPr>
              <w:pStyle w:val="taula"/>
              <w:rPr>
                <w:rFonts w:cs="Arial"/>
                <w:noProof w:val="0"/>
                <w:sz w:val="18"/>
                <w:szCs w:val="18"/>
                <w:lang w:val="es-ES"/>
              </w:rPr>
            </w:pPr>
          </w:p>
        </w:tc>
        <w:tc>
          <w:tcPr>
            <w:tcW w:w="772"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Evitar altas densidades de plantación.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Rotación.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Destruir restos de cultivo.</w:t>
            </w:r>
          </w:p>
        </w:tc>
      </w:tr>
      <w:tr w:rsidR="00503A41" w:rsidRPr="00993936" w:rsidTr="000452B8">
        <w:trPr>
          <w:cantSplit/>
          <w:jc w:val="center"/>
        </w:trPr>
        <w:tc>
          <w:tcPr>
            <w:tcW w:w="1193" w:type="pc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Alternaría porri</w:t>
            </w:r>
          </w:p>
        </w:tc>
        <w:tc>
          <w:tcPr>
            <w:tcW w:w="1040" w:type="pct"/>
            <w:vMerge/>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ign w:val="center"/>
          </w:tcPr>
          <w:p w:rsidR="00503A41" w:rsidRPr="00993936" w:rsidRDefault="00503A41" w:rsidP="000452B8">
            <w:pPr>
              <w:jc w:val="both"/>
              <w:rPr>
                <w:rFonts w:ascii="Arial" w:hAnsi="Arial" w:cs="Arial"/>
                <w:b/>
                <w:snapToGrid w:val="0"/>
                <w:sz w:val="18"/>
                <w:szCs w:val="18"/>
                <w:lang w:val="es-ES"/>
              </w:rPr>
            </w:pP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Podredumbres</w:t>
            </w:r>
          </w:p>
          <w:p w:rsidR="00503A41" w:rsidRPr="00993936" w:rsidRDefault="00503A41" w:rsidP="000452B8">
            <w:pPr>
              <w:jc w:val="both"/>
              <w:rPr>
                <w:rFonts w:ascii="Arial" w:hAnsi="Arial" w:cs="Arial"/>
                <w:b/>
                <w:snapToGrid w:val="0"/>
                <w:sz w:val="18"/>
                <w:szCs w:val="18"/>
                <w:lang w:val="es-ES"/>
              </w:rPr>
            </w:pPr>
            <w:r w:rsidRPr="00993936">
              <w:rPr>
                <w:rFonts w:ascii="Arial" w:hAnsi="Arial" w:cs="Arial"/>
                <w:i/>
                <w:sz w:val="18"/>
                <w:szCs w:val="18"/>
                <w:lang w:val="es-ES"/>
              </w:rPr>
              <w:t xml:space="preserve">(Botrytis </w:t>
            </w:r>
            <w:r w:rsidRPr="00993936">
              <w:rPr>
                <w:rFonts w:ascii="Arial" w:hAnsi="Arial" w:cs="Arial"/>
                <w:sz w:val="18"/>
                <w:szCs w:val="18"/>
                <w:lang w:val="es-ES"/>
              </w:rPr>
              <w:t>spp.)</w:t>
            </w:r>
          </w:p>
        </w:tc>
        <w:tc>
          <w:tcPr>
            <w:tcW w:w="1040" w:type="pct"/>
            <w:vMerge/>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restart"/>
            <w:vAlign w:val="center"/>
          </w:tcPr>
          <w:p w:rsidR="00503A41" w:rsidRPr="00993936" w:rsidRDefault="00503A41" w:rsidP="000452B8">
            <w:pPr>
              <w:jc w:val="both"/>
              <w:rPr>
                <w:rFonts w:ascii="Arial" w:hAnsi="Arial" w:cs="Arial"/>
                <w:b/>
                <w:snapToGrid w:val="0"/>
                <w:sz w:val="18"/>
                <w:szCs w:val="18"/>
                <w:lang w:val="es-ES"/>
              </w:rPr>
            </w:pPr>
            <w:r w:rsidRPr="00993936">
              <w:rPr>
                <w:rFonts w:ascii="Arial" w:hAnsi="Arial" w:cs="Arial"/>
                <w:sz w:val="18"/>
                <w:szCs w:val="18"/>
                <w:lang w:val="es-ES"/>
              </w:rPr>
              <w:t xml:space="preserve">Presencia de la enfermedad o </w:t>
            </w:r>
            <w:r w:rsidRPr="00993936">
              <w:rPr>
                <w:rFonts w:ascii="Arial" w:hAnsi="Arial" w:cs="Arial"/>
                <w:sz w:val="18"/>
                <w:szCs w:val="18"/>
                <w:lang w:val="es-ES"/>
              </w:rPr>
              <w:lastRenderedPageBreak/>
              <w:t>condiciones favorables de humedad y temperatura</w:t>
            </w: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lastRenderedPageBreak/>
              <w:t>Podredumbre blanca</w:t>
            </w:r>
          </w:p>
          <w:p w:rsidR="00503A41" w:rsidRPr="00993936" w:rsidRDefault="00503A41" w:rsidP="000452B8">
            <w:pPr>
              <w:jc w:val="both"/>
              <w:rPr>
                <w:rFonts w:ascii="Arial" w:hAnsi="Arial" w:cs="Arial"/>
                <w:b/>
                <w:snapToGrid w:val="0"/>
                <w:sz w:val="18"/>
                <w:szCs w:val="18"/>
                <w:lang w:val="es-ES"/>
              </w:rPr>
            </w:pPr>
            <w:r w:rsidRPr="00993936">
              <w:rPr>
                <w:rFonts w:ascii="Arial" w:hAnsi="Arial" w:cs="Arial"/>
                <w:sz w:val="18"/>
                <w:szCs w:val="18"/>
                <w:lang w:val="es-ES"/>
              </w:rPr>
              <w:t>(</w:t>
            </w:r>
            <w:r w:rsidRPr="00993936">
              <w:rPr>
                <w:rFonts w:ascii="Arial" w:hAnsi="Arial" w:cs="Arial"/>
                <w:i/>
                <w:sz w:val="18"/>
                <w:szCs w:val="18"/>
                <w:lang w:val="es-ES"/>
              </w:rPr>
              <w:t>Sclerotium cepivorum</w:t>
            </w:r>
            <w:r w:rsidRPr="00993936">
              <w:rPr>
                <w:rFonts w:ascii="Arial" w:hAnsi="Arial" w:cs="Arial"/>
                <w:sz w:val="18"/>
                <w:szCs w:val="18"/>
                <w:lang w:val="es-ES"/>
              </w:rPr>
              <w:t>)</w:t>
            </w:r>
          </w:p>
        </w:tc>
        <w:tc>
          <w:tcPr>
            <w:tcW w:w="1040" w:type="pct"/>
            <w:vMerge/>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ign w:val="center"/>
          </w:tcPr>
          <w:p w:rsidR="00503A41" w:rsidRPr="00993936" w:rsidRDefault="00503A41" w:rsidP="000452B8">
            <w:pPr>
              <w:jc w:val="both"/>
              <w:rPr>
                <w:rFonts w:ascii="Arial" w:hAnsi="Arial" w:cs="Arial"/>
                <w:b/>
                <w:snapToGrid w:val="0"/>
                <w:sz w:val="18"/>
                <w:szCs w:val="18"/>
                <w:lang w:val="es-ES"/>
              </w:rPr>
            </w:pP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lastRenderedPageBreak/>
              <w:t>Roya</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Puccinia </w:t>
            </w:r>
            <w:r w:rsidRPr="00993936">
              <w:rPr>
                <w:rFonts w:cs="Arial"/>
                <w:noProof w:val="0"/>
                <w:sz w:val="18"/>
                <w:szCs w:val="18"/>
                <w:lang w:val="es-ES"/>
              </w:rPr>
              <w:t>spp</w:t>
            </w:r>
            <w:r w:rsidRPr="00993936">
              <w:rPr>
                <w:rFonts w:cs="Arial"/>
                <w:i/>
                <w:noProof w:val="0"/>
                <w:sz w:val="18"/>
                <w:szCs w:val="18"/>
                <w:lang w:val="es-ES"/>
              </w:rPr>
              <w:t>.</w:t>
            </w:r>
          </w:p>
        </w:tc>
        <w:tc>
          <w:tcPr>
            <w:tcW w:w="1040" w:type="pct"/>
            <w:vMerge/>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ign w:val="center"/>
          </w:tcPr>
          <w:p w:rsidR="00503A41" w:rsidRPr="00993936" w:rsidRDefault="00503A41" w:rsidP="000452B8">
            <w:pPr>
              <w:jc w:val="both"/>
              <w:rPr>
                <w:rFonts w:ascii="Arial" w:hAnsi="Arial" w:cs="Arial"/>
                <w:b/>
                <w:snapToGrid w:val="0"/>
                <w:sz w:val="18"/>
                <w:szCs w:val="18"/>
                <w:lang w:val="es-ES"/>
              </w:rPr>
            </w:pP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restart"/>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jc w:val="both"/>
              <w:rPr>
                <w:rFonts w:ascii="Arial" w:hAnsi="Arial" w:cs="Arial"/>
                <w:b/>
                <w:snapToGrid w:val="0"/>
                <w:sz w:val="18"/>
                <w:szCs w:val="18"/>
                <w:lang w:val="es-ES"/>
              </w:rPr>
            </w:pPr>
            <w:r w:rsidRPr="00993936">
              <w:rPr>
                <w:rFonts w:ascii="Arial" w:hAnsi="Arial" w:cs="Arial"/>
                <w:i/>
                <w:sz w:val="18"/>
                <w:szCs w:val="18"/>
                <w:lang w:val="es-ES"/>
              </w:rPr>
              <w:t xml:space="preserve">Sclerotinia </w:t>
            </w:r>
            <w:r w:rsidRPr="00993936">
              <w:rPr>
                <w:rFonts w:ascii="Arial" w:hAnsi="Arial" w:cs="Arial"/>
                <w:sz w:val="18"/>
                <w:szCs w:val="18"/>
                <w:lang w:val="es-ES"/>
              </w:rPr>
              <w:t>spp.</w:t>
            </w:r>
          </w:p>
        </w:tc>
        <w:tc>
          <w:tcPr>
            <w:tcW w:w="1040" w:type="pct"/>
            <w:vMerge/>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ign w:val="center"/>
          </w:tcPr>
          <w:p w:rsidR="00503A41" w:rsidRPr="00993936" w:rsidRDefault="00503A41" w:rsidP="000452B8">
            <w:pPr>
              <w:jc w:val="both"/>
              <w:rPr>
                <w:rFonts w:ascii="Arial" w:hAnsi="Arial" w:cs="Arial"/>
                <w:b/>
                <w:snapToGrid w:val="0"/>
                <w:sz w:val="18"/>
                <w:szCs w:val="18"/>
                <w:lang w:val="es-ES"/>
              </w:rPr>
            </w:pP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Fusarium oxysporum</w:t>
            </w:r>
          </w:p>
        </w:tc>
        <w:tc>
          <w:tcPr>
            <w:tcW w:w="1040" w:type="pct"/>
            <w:vMerge/>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ign w:val="center"/>
          </w:tcPr>
          <w:p w:rsidR="00503A41" w:rsidRPr="00993936" w:rsidRDefault="00503A41" w:rsidP="000452B8">
            <w:pPr>
              <w:jc w:val="both"/>
              <w:rPr>
                <w:rFonts w:ascii="Arial" w:hAnsi="Arial" w:cs="Arial"/>
                <w:b/>
                <w:snapToGrid w:val="0"/>
                <w:sz w:val="18"/>
                <w:szCs w:val="18"/>
                <w:lang w:val="es-ES"/>
              </w:rPr>
            </w:pP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Bacterias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Pseudomonas</w:t>
            </w:r>
            <w:r w:rsidRPr="00993936">
              <w:rPr>
                <w:rFonts w:cs="Arial"/>
                <w:noProof w:val="0"/>
                <w:sz w:val="18"/>
                <w:szCs w:val="18"/>
                <w:lang w:val="es-ES"/>
              </w:rPr>
              <w:t xml:space="preserve"> spp.</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Erwinia caratovora</w:t>
            </w:r>
          </w:p>
        </w:tc>
        <w:tc>
          <w:tcPr>
            <w:tcW w:w="1040" w:type="pct"/>
            <w:vMerge/>
            <w:vAlign w:val="center"/>
          </w:tcPr>
          <w:p w:rsidR="00503A41" w:rsidRPr="00993936" w:rsidRDefault="00503A41" w:rsidP="000452B8">
            <w:pPr>
              <w:jc w:val="both"/>
              <w:rPr>
                <w:rFonts w:ascii="Arial" w:hAnsi="Arial" w:cs="Arial"/>
                <w:b/>
                <w:snapToGrid w:val="0"/>
                <w:sz w:val="18"/>
                <w:szCs w:val="18"/>
                <w:lang w:val="es-ES"/>
              </w:rPr>
            </w:pPr>
          </w:p>
        </w:tc>
        <w:tc>
          <w:tcPr>
            <w:tcW w:w="1117" w:type="pct"/>
            <w:vMerge/>
            <w:vAlign w:val="center"/>
          </w:tcPr>
          <w:p w:rsidR="00503A41" w:rsidRPr="00993936" w:rsidRDefault="00503A41" w:rsidP="000452B8">
            <w:pPr>
              <w:jc w:val="both"/>
              <w:rPr>
                <w:rFonts w:ascii="Arial" w:hAnsi="Arial" w:cs="Arial"/>
                <w:b/>
                <w:snapToGrid w:val="0"/>
                <w:sz w:val="18"/>
                <w:szCs w:val="18"/>
                <w:lang w:val="es-ES"/>
              </w:rPr>
            </w:pP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Nemátodos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Ditylenchus dipsaci</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Meloidogyne </w:t>
            </w:r>
            <w:r w:rsidRPr="00993936">
              <w:rPr>
                <w:rFonts w:cs="Arial"/>
                <w:noProof w:val="0"/>
                <w:sz w:val="18"/>
                <w:szCs w:val="18"/>
                <w:lang w:val="es-ES"/>
              </w:rPr>
              <w:t>spp</w:t>
            </w:r>
            <w:r w:rsidRPr="00993936">
              <w:rPr>
                <w:rFonts w:cs="Arial"/>
                <w:i/>
                <w:noProof w:val="0"/>
                <w:sz w:val="18"/>
                <w:szCs w:val="18"/>
                <w:lang w:val="es-ES"/>
              </w:rPr>
              <w:t>.</w:t>
            </w:r>
          </w:p>
        </w:tc>
        <w:tc>
          <w:tcPr>
            <w:tcW w:w="1040" w:type="pct"/>
            <w:vMerge/>
            <w:vAlign w:val="center"/>
          </w:tcPr>
          <w:p w:rsidR="00503A41" w:rsidRPr="00993936" w:rsidRDefault="00503A41" w:rsidP="000452B8">
            <w:pPr>
              <w:jc w:val="both"/>
              <w:rPr>
                <w:rFonts w:ascii="Arial" w:hAnsi="Arial" w:cs="Arial"/>
                <w:b/>
                <w:snapToGrid w:val="0"/>
                <w:sz w:val="18"/>
                <w:szCs w:val="18"/>
                <w:lang w:val="es-ES"/>
              </w:rPr>
            </w:pPr>
          </w:p>
        </w:tc>
        <w:tc>
          <w:tcPr>
            <w:tcW w:w="1117" w:type="pct"/>
            <w:vAlign w:val="center"/>
          </w:tcPr>
          <w:p w:rsidR="00503A41" w:rsidRPr="00993936" w:rsidRDefault="00503A41" w:rsidP="000452B8">
            <w:pPr>
              <w:pStyle w:val="taula"/>
              <w:rPr>
                <w:rFonts w:cs="Arial"/>
                <w:b/>
                <w:noProof w:val="0"/>
                <w:snapToGrid w:val="0"/>
                <w:sz w:val="18"/>
                <w:szCs w:val="18"/>
                <w:lang w:val="es-ES"/>
              </w:rPr>
            </w:pPr>
            <w:r w:rsidRPr="00993936">
              <w:rPr>
                <w:rFonts w:cs="Arial"/>
                <w:noProof w:val="0"/>
                <w:sz w:val="18"/>
                <w:szCs w:val="18"/>
                <w:lang w:val="es-ES"/>
              </w:rPr>
              <w:t>Incidencia en el cultivo anterior</w:t>
            </w: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Antigerminantes</w:t>
            </w:r>
          </w:p>
        </w:tc>
        <w:tc>
          <w:tcPr>
            <w:tcW w:w="1040" w:type="pct"/>
            <w:vAlign w:val="center"/>
          </w:tcPr>
          <w:p w:rsidR="00503A41" w:rsidRPr="00993936" w:rsidRDefault="00503A41" w:rsidP="000452B8">
            <w:pPr>
              <w:jc w:val="both"/>
              <w:rPr>
                <w:rFonts w:ascii="Arial" w:hAnsi="Arial" w:cs="Arial"/>
                <w:b/>
                <w:snapToGrid w:val="0"/>
                <w:sz w:val="18"/>
                <w:szCs w:val="18"/>
                <w:lang w:val="es-ES"/>
              </w:rPr>
            </w:pPr>
          </w:p>
        </w:tc>
        <w:tc>
          <w:tcPr>
            <w:tcW w:w="1117" w:type="pct"/>
            <w:vAlign w:val="center"/>
          </w:tcPr>
          <w:p w:rsidR="00503A41" w:rsidRPr="00993936" w:rsidRDefault="00503A41" w:rsidP="000452B8">
            <w:pPr>
              <w:jc w:val="both"/>
              <w:rPr>
                <w:rFonts w:ascii="Arial" w:hAnsi="Arial" w:cs="Arial"/>
                <w:b/>
                <w:snapToGrid w:val="0"/>
                <w:sz w:val="18"/>
                <w:szCs w:val="18"/>
                <w:lang w:val="es-ES"/>
              </w:rPr>
            </w:pP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r w:rsidR="00503A41" w:rsidRPr="00993936" w:rsidTr="000452B8">
        <w:trPr>
          <w:cantSplit/>
          <w:jc w:val="center"/>
        </w:trPr>
        <w:tc>
          <w:tcPr>
            <w:tcW w:w="119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Otras plagas y enfermedades</w:t>
            </w:r>
          </w:p>
        </w:tc>
        <w:tc>
          <w:tcPr>
            <w:tcW w:w="1040" w:type="pct"/>
            <w:vAlign w:val="center"/>
          </w:tcPr>
          <w:p w:rsidR="00503A41" w:rsidRPr="00993936" w:rsidRDefault="00503A41" w:rsidP="000452B8">
            <w:pPr>
              <w:jc w:val="both"/>
              <w:rPr>
                <w:rFonts w:ascii="Arial" w:hAnsi="Arial" w:cs="Arial"/>
                <w:b/>
                <w:snapToGrid w:val="0"/>
                <w:sz w:val="18"/>
                <w:szCs w:val="18"/>
                <w:lang w:val="es-ES"/>
              </w:rPr>
            </w:pPr>
          </w:p>
        </w:tc>
        <w:tc>
          <w:tcPr>
            <w:tcW w:w="1117" w:type="pct"/>
            <w:vAlign w:val="center"/>
          </w:tcPr>
          <w:p w:rsidR="00503A41" w:rsidRPr="00993936" w:rsidRDefault="00503A41" w:rsidP="000452B8">
            <w:pPr>
              <w:jc w:val="both"/>
              <w:rPr>
                <w:rFonts w:ascii="Arial" w:hAnsi="Arial" w:cs="Arial"/>
                <w:b/>
                <w:snapToGrid w:val="0"/>
                <w:sz w:val="18"/>
                <w:szCs w:val="18"/>
                <w:lang w:val="es-ES"/>
              </w:rPr>
            </w:pPr>
            <w:r w:rsidRPr="00993936">
              <w:rPr>
                <w:rFonts w:ascii="Arial" w:hAnsi="Arial" w:cs="Arial"/>
                <w:sz w:val="18"/>
                <w:szCs w:val="18"/>
                <w:lang w:val="es-ES"/>
              </w:rPr>
              <w:t>Intervenciones en función de las prescripciones técnicas</w:t>
            </w:r>
          </w:p>
        </w:tc>
        <w:tc>
          <w:tcPr>
            <w:tcW w:w="878" w:type="pct"/>
            <w:vMerge/>
            <w:vAlign w:val="center"/>
          </w:tcPr>
          <w:p w:rsidR="00503A41" w:rsidRPr="00993936" w:rsidRDefault="00503A41" w:rsidP="000452B8">
            <w:pPr>
              <w:jc w:val="both"/>
              <w:rPr>
                <w:rFonts w:ascii="Arial" w:hAnsi="Arial" w:cs="Arial"/>
                <w:b/>
                <w:snapToGrid w:val="0"/>
                <w:sz w:val="18"/>
                <w:szCs w:val="18"/>
                <w:lang w:val="es-ES"/>
              </w:rPr>
            </w:pPr>
          </w:p>
        </w:tc>
        <w:tc>
          <w:tcPr>
            <w:tcW w:w="772" w:type="pct"/>
            <w:vMerge/>
            <w:vAlign w:val="center"/>
          </w:tcPr>
          <w:p w:rsidR="00503A41" w:rsidRPr="00993936" w:rsidRDefault="00503A41" w:rsidP="000452B8">
            <w:pPr>
              <w:jc w:val="both"/>
              <w:rPr>
                <w:rFonts w:ascii="Arial" w:hAnsi="Arial" w:cs="Arial"/>
                <w:b/>
                <w:snapToGrid w:val="0"/>
                <w:sz w:val="18"/>
                <w:szCs w:val="18"/>
                <w:lang w:val="es-ES"/>
              </w:rPr>
            </w:pPr>
          </w:p>
        </w:tc>
      </w:tr>
    </w:tbl>
    <w:p w:rsidR="00503A41" w:rsidRPr="00993936" w:rsidRDefault="00503A41" w:rsidP="000452B8">
      <w:pPr>
        <w:pStyle w:val="Textoindependiente3"/>
        <w:rPr>
          <w:rFonts w:cs="Arial"/>
          <w:lang w:val="es-ES"/>
        </w:rPr>
      </w:pPr>
    </w:p>
    <w:p w:rsidR="00503A41" w:rsidRPr="00993936" w:rsidRDefault="00503A41" w:rsidP="000452B8">
      <w:pPr>
        <w:pStyle w:val="Textoindependiente3"/>
        <w:rPr>
          <w:rFonts w:cs="Arial"/>
          <w:lang w:val="es-ES"/>
        </w:rPr>
      </w:pPr>
      <w:r w:rsidRPr="00993936">
        <w:rPr>
          <w:rFonts w:cs="Arial"/>
          <w:b w:val="0"/>
          <w:szCs w:val="22"/>
          <w:lang w:val="es-ES"/>
        </w:rPr>
        <w:br w:type="page"/>
      </w:r>
      <w:r w:rsidRPr="00993936">
        <w:rPr>
          <w:rFonts w:cs="Arial"/>
          <w:b w:val="0"/>
          <w:szCs w:val="22"/>
          <w:lang w:val="es-ES"/>
        </w:rPr>
        <w:lastRenderedPageBreak/>
        <w:t>1.2 Materias activas para la producción integrada de cebolla, puerro</w:t>
      </w:r>
      <w:r w:rsidRPr="00993936">
        <w:rPr>
          <w:rFonts w:cs="Arial"/>
          <w:b w:val="0"/>
          <w:vanish/>
          <w:szCs w:val="22"/>
          <w:lang w:val="es-ES"/>
        </w:rPr>
        <w:t>&lt;A[puerro|porro]&gt;</w:t>
      </w:r>
      <w:r w:rsidRPr="00993936">
        <w:rPr>
          <w:rFonts w:cs="Arial"/>
          <w:b w:val="0"/>
          <w:szCs w:val="22"/>
          <w:lang w:val="es-ES"/>
        </w:rPr>
        <w:t xml:space="preserve">, ajo y calçot, teniendo en cuenta las indicaciones del Cuaderno de explotación y el Programa de control integrado de plagas y enfermedades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5"/>
        <w:gridCol w:w="3266"/>
        <w:gridCol w:w="928"/>
        <w:gridCol w:w="928"/>
        <w:gridCol w:w="927"/>
      </w:tblGrid>
      <w:tr w:rsidR="00503A41" w:rsidRPr="00993936" w:rsidTr="000452B8">
        <w:trPr>
          <w:cantSplit/>
          <w:tblHeader/>
          <w:jc w:val="center"/>
        </w:trPr>
        <w:tc>
          <w:tcPr>
            <w:tcW w:w="1501"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Plaga/enfermedad</w:t>
            </w:r>
          </w:p>
        </w:tc>
        <w:tc>
          <w:tcPr>
            <w:tcW w:w="1889"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Materias Activas</w:t>
            </w:r>
          </w:p>
        </w:tc>
        <w:tc>
          <w:tcPr>
            <w:tcW w:w="537" w:type="pct"/>
            <w:tcBorders>
              <w:top w:val="single" w:sz="4" w:space="0" w:color="auto"/>
            </w:tcBorders>
            <w:shd w:val="pct15" w:color="auto" w:fill="FFFFFF"/>
            <w:vAlign w:val="center"/>
          </w:tcPr>
          <w:p w:rsidR="00503A41" w:rsidRPr="00993936" w:rsidRDefault="00503A41" w:rsidP="001D205D">
            <w:pPr>
              <w:pStyle w:val="Sinespaciado"/>
              <w:jc w:val="center"/>
              <w:rPr>
                <w:rFonts w:ascii="Arial" w:hAnsi="Arial" w:cs="Arial"/>
              </w:rPr>
            </w:pPr>
            <w:r w:rsidRPr="00993936">
              <w:rPr>
                <w:rFonts w:ascii="Arial" w:hAnsi="Arial" w:cs="Arial"/>
              </w:rPr>
              <w:t>Cebolla</w:t>
            </w:r>
          </w:p>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Calçot</w:t>
            </w:r>
          </w:p>
        </w:tc>
        <w:tc>
          <w:tcPr>
            <w:tcW w:w="537" w:type="pct"/>
            <w:tcBorders>
              <w:top w:val="single" w:sz="4" w:space="0" w:color="auto"/>
            </w:tcBorders>
            <w:shd w:val="pct15" w:color="auto" w:fill="FFFFFF"/>
            <w:vAlign w:val="center"/>
          </w:tcPr>
          <w:p w:rsidR="00503A41" w:rsidRPr="00993936" w:rsidRDefault="00503A41" w:rsidP="001D205D">
            <w:pPr>
              <w:pStyle w:val="Sinespaciado"/>
              <w:jc w:val="center"/>
              <w:rPr>
                <w:rFonts w:ascii="Arial" w:hAnsi="Arial" w:cs="Arial"/>
              </w:rPr>
            </w:pPr>
            <w:r w:rsidRPr="00993936">
              <w:rPr>
                <w:rFonts w:ascii="Arial" w:hAnsi="Arial" w:cs="Arial"/>
              </w:rPr>
              <w:t>Puerro</w:t>
            </w:r>
            <w:r w:rsidRPr="00993936">
              <w:rPr>
                <w:rFonts w:ascii="Arial" w:hAnsi="Arial" w:cs="Arial"/>
                <w:vanish/>
              </w:rPr>
              <w:t>&lt;A[Puerro|Porro]&gt;</w:t>
            </w:r>
          </w:p>
        </w:tc>
        <w:tc>
          <w:tcPr>
            <w:tcW w:w="536" w:type="pct"/>
            <w:tcBorders>
              <w:top w:val="single" w:sz="4" w:space="0" w:color="auto"/>
            </w:tcBorders>
            <w:shd w:val="pct15" w:color="auto" w:fill="FFFFFF"/>
            <w:vAlign w:val="center"/>
          </w:tcPr>
          <w:p w:rsidR="00503A41" w:rsidRPr="00993936" w:rsidRDefault="00503A41" w:rsidP="001D205D">
            <w:pPr>
              <w:pStyle w:val="Sinespaciado"/>
              <w:jc w:val="center"/>
              <w:rPr>
                <w:rFonts w:ascii="Arial" w:hAnsi="Arial" w:cs="Arial"/>
              </w:rPr>
            </w:pPr>
            <w:r w:rsidRPr="00993936">
              <w:rPr>
                <w:rFonts w:ascii="Arial" w:hAnsi="Arial" w:cs="Arial"/>
              </w:rPr>
              <w:t>Ajo</w:t>
            </w:r>
          </w:p>
        </w:tc>
      </w:tr>
      <w:tr w:rsidR="00503A41" w:rsidRPr="00993936" w:rsidTr="000452B8">
        <w:trPr>
          <w:cantSplit/>
          <w:trHeight w:val="183"/>
          <w:jc w:val="center"/>
        </w:trPr>
        <w:tc>
          <w:tcPr>
            <w:tcW w:w="1501"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Dormidores y gusanos del alambre</w:t>
            </w:r>
          </w:p>
          <w:p w:rsidR="00503A41" w:rsidRPr="00993936" w:rsidRDefault="00503A41" w:rsidP="001D205D">
            <w:pPr>
              <w:pStyle w:val="Sinespaciado"/>
              <w:rPr>
                <w:rFonts w:ascii="Arial" w:hAnsi="Arial" w:cs="Arial"/>
                <w:lang w:val="es-ES"/>
              </w:rPr>
            </w:pPr>
            <w:r w:rsidRPr="00993936">
              <w:rPr>
                <w:rFonts w:ascii="Arial" w:hAnsi="Arial" w:cs="Arial"/>
                <w:i/>
                <w:lang w:val="es-ES"/>
              </w:rPr>
              <w:t>Agrotis spp.</w:t>
            </w: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501" w:type="pct"/>
            <w:vMerge/>
            <w:shd w:val="clear" w:color="auto" w:fill="auto"/>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Clorpirifos (cebo)</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501" w:type="pct"/>
            <w:vMerge/>
            <w:shd w:val="clear" w:color="auto" w:fill="auto"/>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6"/>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Trips</w:t>
            </w:r>
          </w:p>
          <w:p w:rsidR="00503A41" w:rsidRPr="00993936" w:rsidRDefault="00503A41" w:rsidP="001D205D">
            <w:pPr>
              <w:pStyle w:val="Sinespaciado"/>
              <w:rPr>
                <w:rFonts w:ascii="Arial" w:hAnsi="Arial" w:cs="Arial"/>
                <w:i/>
                <w:lang w:val="es-ES"/>
              </w:rPr>
            </w:pPr>
            <w:r w:rsidRPr="00993936">
              <w:rPr>
                <w:rFonts w:ascii="Arial" w:hAnsi="Arial" w:cs="Arial"/>
                <w:i/>
                <w:lang w:val="es-ES"/>
              </w:rPr>
              <w:t>(Thrips tabaci)</w:t>
            </w:r>
          </w:p>
          <w:p w:rsidR="00503A41" w:rsidRPr="00993936" w:rsidRDefault="00503A41" w:rsidP="001D205D">
            <w:pPr>
              <w:pStyle w:val="Sinespaciado"/>
              <w:rPr>
                <w:rFonts w:ascii="Arial" w:hAnsi="Arial" w:cs="Arial"/>
                <w:i/>
                <w:lang w:val="es-ES"/>
              </w:rPr>
            </w:pPr>
            <w:r w:rsidRPr="00993936">
              <w:rPr>
                <w:rFonts w:ascii="Arial" w:hAnsi="Arial" w:cs="Arial"/>
                <w:i/>
                <w:lang w:val="es-ES"/>
              </w:rPr>
              <w:t>(Frankinialla occidentalis)</w:t>
            </w: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Acrinatrín </w:t>
            </w:r>
            <w:r w:rsidRPr="00993936">
              <w:rPr>
                <w:rFonts w:ascii="Arial" w:hAnsi="Arial" w:cs="Arial"/>
                <w:i/>
                <w:szCs w:val="16"/>
                <w:lang w:val="es-ES"/>
              </w:rPr>
              <w:t xml:space="preserve">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60"/>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dstrike/>
                <w:lang w:val="es-ES"/>
              </w:rPr>
            </w:pPr>
            <w:r w:rsidRPr="00993936">
              <w:rPr>
                <w:rFonts w:ascii="Arial" w:hAnsi="Arial" w:cs="Arial"/>
                <w:lang w:val="es-ES" w:eastAsia="es-ES"/>
              </w:rPr>
              <w:t>Deltametrín</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eastAsia="es-ES"/>
              </w:rPr>
            </w:pPr>
            <w:r w:rsidRPr="00993936">
              <w:rPr>
                <w:rFonts w:ascii="Arial" w:hAnsi="Arial" w:cs="Arial"/>
                <w:lang w:val="es-ES"/>
              </w:rPr>
              <w:t>Piretrinas</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Tiña del puerro</w:t>
            </w:r>
            <w:r w:rsidRPr="00993936">
              <w:rPr>
                <w:rFonts w:ascii="Arial" w:hAnsi="Arial" w:cs="Arial"/>
                <w:b/>
                <w:vanish/>
                <w:lang w:val="es-ES"/>
              </w:rPr>
              <w:t>&lt;A[puerro|porro]&gt;</w:t>
            </w:r>
          </w:p>
          <w:p w:rsidR="00503A41" w:rsidRPr="00993936" w:rsidRDefault="00503A41" w:rsidP="001D205D">
            <w:pPr>
              <w:pStyle w:val="Sinespaciado"/>
              <w:rPr>
                <w:rFonts w:ascii="Arial" w:hAnsi="Arial" w:cs="Arial"/>
                <w:lang w:val="es-ES"/>
              </w:rPr>
            </w:pPr>
            <w:r w:rsidRPr="00993936">
              <w:rPr>
                <w:rFonts w:ascii="Arial" w:hAnsi="Arial" w:cs="Arial"/>
                <w:i/>
                <w:lang w:val="es-ES"/>
              </w:rPr>
              <w:t>(Acrolepia asectella</w:t>
            </w: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Bacillus thuringiensis var. kurstaki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Bacillus thuringiensis var. aizawai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Clorpirifos </w:t>
            </w:r>
            <w:r w:rsidRPr="00993936">
              <w:rPr>
                <w:rFonts w:ascii="Arial" w:hAnsi="Arial" w:cs="Arial"/>
                <w:snapToGrid w:val="0"/>
                <w:lang w:val="es-ES"/>
              </w:rPr>
              <w:t>(granulado)</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Aceite de naranja</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Espinosad (2)</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Mosca de la cebolla</w:t>
            </w:r>
          </w:p>
          <w:p w:rsidR="00503A41" w:rsidRPr="00993936" w:rsidRDefault="00503A41" w:rsidP="001D205D">
            <w:pPr>
              <w:pStyle w:val="Sinespaciado"/>
              <w:rPr>
                <w:rFonts w:ascii="Arial" w:hAnsi="Arial" w:cs="Arial"/>
                <w:lang w:val="es-ES"/>
              </w:rPr>
            </w:pPr>
            <w:r w:rsidRPr="00993936">
              <w:rPr>
                <w:rFonts w:ascii="Arial" w:hAnsi="Arial" w:cs="Arial"/>
                <w:i/>
                <w:lang w:val="es-ES"/>
              </w:rPr>
              <w:t>(Anhelaba antiqua)</w:t>
            </w: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Clorpirifos </w:t>
            </w:r>
            <w:r w:rsidRPr="00993936">
              <w:rPr>
                <w:rFonts w:ascii="Arial" w:hAnsi="Arial" w:cs="Arial"/>
                <w:snapToGrid w:val="0"/>
                <w:lang w:val="es-ES"/>
              </w:rPr>
              <w:t>(granulado)</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Mildiu</w:t>
            </w:r>
          </w:p>
          <w:p w:rsidR="00503A41" w:rsidRPr="00993936" w:rsidRDefault="00503A41" w:rsidP="001D205D">
            <w:pPr>
              <w:pStyle w:val="Sinespaciado"/>
              <w:rPr>
                <w:rFonts w:ascii="Arial" w:hAnsi="Arial" w:cs="Arial"/>
                <w:lang w:val="es-ES"/>
              </w:rPr>
            </w:pPr>
            <w:r w:rsidRPr="00993936">
              <w:rPr>
                <w:rFonts w:ascii="Arial" w:hAnsi="Arial" w:cs="Arial"/>
                <w:lang w:val="es-ES"/>
              </w:rPr>
              <w:t>(</w:t>
            </w:r>
            <w:r w:rsidRPr="00993936">
              <w:rPr>
                <w:rFonts w:ascii="Arial" w:hAnsi="Arial" w:cs="Arial"/>
                <w:i/>
                <w:lang w:val="es-ES"/>
              </w:rPr>
              <w:t>Peronospora destructor</w:t>
            </w:r>
            <w:r w:rsidRPr="00993936">
              <w:rPr>
                <w:rFonts w:ascii="Arial" w:hAnsi="Arial" w:cs="Arial"/>
                <w:lang w:val="es-ES"/>
              </w:rPr>
              <w:t>)</w:t>
            </w:r>
          </w:p>
          <w:p w:rsidR="00503A41" w:rsidRPr="00993936" w:rsidRDefault="00503A41" w:rsidP="001D205D">
            <w:pPr>
              <w:pStyle w:val="Sinespaciado"/>
              <w:rPr>
                <w:rFonts w:ascii="Arial" w:hAnsi="Arial" w:cs="Arial"/>
                <w:lang w:val="es-ES"/>
              </w:rPr>
            </w:pPr>
            <w:r w:rsidRPr="00993936">
              <w:rPr>
                <w:rFonts w:ascii="Arial" w:hAnsi="Arial" w:cs="Arial"/>
                <w:lang w:val="es-ES"/>
              </w:rPr>
              <w:t>(</w:t>
            </w:r>
            <w:r w:rsidRPr="00993936">
              <w:rPr>
                <w:rFonts w:ascii="Arial" w:hAnsi="Arial" w:cs="Arial"/>
                <w:i/>
                <w:lang w:val="es-ES"/>
              </w:rPr>
              <w:t>Phytophthora porri</w:t>
            </w:r>
            <w:r w:rsidRPr="00993936">
              <w:rPr>
                <w:rFonts w:ascii="Arial" w:hAnsi="Arial" w:cs="Arial"/>
                <w:lang w:val="es-ES"/>
              </w:rPr>
              <w:t>)</w:t>
            </w: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Azoxistrobín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Benalaxil + Oxicloruro de cobre  </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Benalaxil + Mancozeb </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Clortalonil</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Clortalonil + Metalaxil-M</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6" w:type="pct"/>
            <w:vAlign w:val="center"/>
          </w:tcPr>
          <w:p w:rsidR="00503A41" w:rsidRPr="00993936" w:rsidRDefault="00503A41" w:rsidP="001D205D">
            <w:pPr>
              <w:pStyle w:val="Sinespaciado"/>
              <w:jc w:val="center"/>
              <w:rPr>
                <w:rFonts w:ascii="Arial" w:hAnsi="Arial" w:cs="Arial"/>
                <w:lang w:val="es-ES" w:eastAsia="es-ES"/>
              </w:rPr>
            </w:pP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Dimetomorf +Piraclostrobín</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 (4)</w:t>
            </w: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Maneb</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Mancozeb </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Mancozeb + Oxicloruro de cobre</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Mancozeb + Metalaxil </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Oxicloruro de cobre</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Mancozeb + Metalaxil-M</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6" w:type="pct"/>
            <w:vAlign w:val="center"/>
          </w:tcPr>
          <w:p w:rsidR="00503A41" w:rsidRPr="00993936" w:rsidRDefault="00503A41" w:rsidP="001D205D">
            <w:pPr>
              <w:pStyle w:val="Sinespaciado"/>
              <w:jc w:val="center"/>
              <w:rPr>
                <w:rFonts w:ascii="Arial" w:hAnsi="Arial" w:cs="Arial"/>
                <w:lang w:val="es-ES" w:eastAsia="es-ES"/>
              </w:rPr>
            </w:pPr>
          </w:p>
        </w:tc>
      </w:tr>
      <w:tr w:rsidR="00503A41" w:rsidRPr="00993936" w:rsidTr="000452B8">
        <w:trPr>
          <w:cantSplit/>
          <w:trHeight w:val="10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Óxido cuproso</w:t>
            </w:r>
          </w:p>
        </w:tc>
        <w:tc>
          <w:tcPr>
            <w:tcW w:w="537" w:type="pct"/>
            <w:shd w:val="clear" w:color="auto" w:fill="auto"/>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shd w:val="clear" w:color="auto" w:fill="auto"/>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shd w:val="clear" w:color="auto" w:fill="auto"/>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Sulfato cuprocálcico</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4"/>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Sulfato tribásico de cobre</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9"/>
          <w:jc w:val="center"/>
        </w:trPr>
        <w:tc>
          <w:tcPr>
            <w:tcW w:w="1501" w:type="pct"/>
            <w:vMerge w:val="restar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Alternaría porri</w:t>
            </w: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9"/>
          <w:jc w:val="center"/>
        </w:trPr>
        <w:tc>
          <w:tcPr>
            <w:tcW w:w="1501" w:type="pct"/>
            <w:vMerge/>
            <w:vAlign w:val="center"/>
          </w:tcPr>
          <w:p w:rsidR="00503A41" w:rsidRPr="00993936" w:rsidRDefault="00503A41" w:rsidP="001D205D">
            <w:pPr>
              <w:pStyle w:val="Sinespaciado"/>
              <w:rPr>
                <w:rFonts w:ascii="Arial" w:hAnsi="Arial" w:cs="Arial"/>
                <w:i/>
                <w:snapToGrid w:val="0"/>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Benalaxil + Oxicloruro de cobre </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9"/>
          <w:jc w:val="center"/>
        </w:trPr>
        <w:tc>
          <w:tcPr>
            <w:tcW w:w="1501" w:type="pct"/>
            <w:vMerge/>
            <w:vAlign w:val="center"/>
          </w:tcPr>
          <w:p w:rsidR="00503A41" w:rsidRPr="00993936" w:rsidRDefault="00503A41" w:rsidP="001D205D">
            <w:pPr>
              <w:pStyle w:val="Sinespaciado"/>
              <w:rPr>
                <w:rFonts w:ascii="Arial" w:hAnsi="Arial" w:cs="Arial"/>
                <w:i/>
                <w:snapToGrid w:val="0"/>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Difenoconazol</w:t>
            </w: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13"/>
          <w:jc w:val="center"/>
        </w:trPr>
        <w:tc>
          <w:tcPr>
            <w:tcW w:w="1501" w:type="pct"/>
            <w:vMerge/>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Dimetomorf + Piraclostrobín</w:t>
            </w: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3"/>
          <w:jc w:val="center"/>
        </w:trPr>
        <w:tc>
          <w:tcPr>
            <w:tcW w:w="1501" w:type="pct"/>
            <w:vMerge/>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 (4)</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3"/>
          <w:jc w:val="center"/>
        </w:trPr>
        <w:tc>
          <w:tcPr>
            <w:tcW w:w="1501" w:type="pct"/>
            <w:vMerge/>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6" w:type="pct"/>
            <w:vAlign w:val="center"/>
          </w:tcPr>
          <w:p w:rsidR="00503A41" w:rsidRPr="00993936" w:rsidRDefault="00503A41" w:rsidP="001D205D">
            <w:pPr>
              <w:pStyle w:val="Sinespaciado"/>
              <w:jc w:val="center"/>
              <w:rPr>
                <w:rFonts w:ascii="Arial" w:hAnsi="Arial" w:cs="Arial"/>
                <w:lang w:val="es-ES" w:eastAsia="es-ES"/>
              </w:rPr>
            </w:pPr>
          </w:p>
        </w:tc>
      </w:tr>
      <w:tr w:rsidR="00503A41" w:rsidRPr="00993936" w:rsidTr="000452B8">
        <w:trPr>
          <w:cantSplit/>
          <w:trHeight w:val="183"/>
          <w:jc w:val="center"/>
        </w:trPr>
        <w:tc>
          <w:tcPr>
            <w:tcW w:w="1501" w:type="pct"/>
            <w:vMerge/>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Oxicloruro de cobre</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209"/>
          <w:jc w:val="center"/>
        </w:trPr>
        <w:tc>
          <w:tcPr>
            <w:tcW w:w="1501" w:type="pct"/>
            <w:vMerge/>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Oxid cuproso</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209"/>
          <w:jc w:val="center"/>
        </w:trPr>
        <w:tc>
          <w:tcPr>
            <w:tcW w:w="1501" w:type="pct"/>
            <w:vMerge/>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Sulfato cuprocálcico</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223"/>
          <w:jc w:val="center"/>
        </w:trPr>
        <w:tc>
          <w:tcPr>
            <w:tcW w:w="1501" w:type="pct"/>
            <w:vMerge/>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eastAsia="es-ES"/>
              </w:rPr>
            </w:pPr>
            <w:r w:rsidRPr="00993936">
              <w:rPr>
                <w:rFonts w:ascii="Arial" w:hAnsi="Arial" w:cs="Arial"/>
                <w:lang w:val="es-ES" w:eastAsia="es-ES"/>
              </w:rPr>
              <w:t>Sulfato tribásico de cobre</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3"/>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Podredumbres</w:t>
            </w:r>
          </w:p>
          <w:p w:rsidR="00503A41" w:rsidRPr="00993936" w:rsidRDefault="00503A41" w:rsidP="001D205D">
            <w:pPr>
              <w:pStyle w:val="Sinespaciado"/>
              <w:rPr>
                <w:rFonts w:ascii="Arial" w:hAnsi="Arial" w:cs="Arial"/>
                <w:snapToGrid w:val="0"/>
                <w:lang w:val="es-ES"/>
              </w:rPr>
            </w:pPr>
            <w:r w:rsidRPr="00993936">
              <w:rPr>
                <w:rFonts w:ascii="Arial" w:hAnsi="Arial" w:cs="Arial"/>
                <w:i/>
                <w:lang w:val="es-ES"/>
              </w:rPr>
              <w:t xml:space="preserve">(Botrytis </w:t>
            </w:r>
            <w:r w:rsidRPr="00993936">
              <w:rPr>
                <w:rFonts w:ascii="Arial" w:hAnsi="Arial" w:cs="Arial"/>
                <w:lang w:val="es-ES"/>
              </w:rPr>
              <w:t>spp.)</w:t>
            </w:r>
          </w:p>
        </w:tc>
        <w:tc>
          <w:tcPr>
            <w:tcW w:w="1889" w:type="pct"/>
            <w:shd w:val="clear" w:color="auto" w:fill="auto"/>
            <w:vAlign w:val="center"/>
          </w:tcPr>
          <w:p w:rsidR="00503A41" w:rsidRPr="00993936" w:rsidRDefault="00503A41" w:rsidP="001D205D">
            <w:pPr>
              <w:pStyle w:val="Sinespaciado"/>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dstrike/>
                <w:lang w:val="es-ES" w:eastAsia="es-ES"/>
              </w:rPr>
            </w:pP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6" w:type="pct"/>
            <w:vAlign w:val="center"/>
          </w:tcPr>
          <w:p w:rsidR="00503A41" w:rsidRPr="00993936" w:rsidRDefault="00503A41" w:rsidP="001D205D">
            <w:pPr>
              <w:pStyle w:val="Sinespaciado"/>
              <w:jc w:val="center"/>
              <w:rPr>
                <w:rFonts w:ascii="Arial" w:hAnsi="Arial" w:cs="Arial"/>
                <w:dstrike/>
                <w:lang w:val="es-ES" w:eastAsia="es-ES"/>
              </w:rPr>
            </w:pPr>
          </w:p>
        </w:tc>
      </w:tr>
      <w:tr w:rsidR="00503A41" w:rsidRPr="00993936" w:rsidTr="000452B8">
        <w:trPr>
          <w:cantSplit/>
          <w:trHeight w:val="183"/>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Del="001E626C" w:rsidRDefault="00503A41" w:rsidP="001D205D">
            <w:pPr>
              <w:pStyle w:val="Sinespaciado"/>
              <w:rPr>
                <w:rFonts w:ascii="Arial" w:hAnsi="Arial" w:cs="Arial"/>
                <w:lang w:val="es-ES"/>
              </w:rPr>
            </w:pPr>
            <w:r w:rsidRPr="00993936">
              <w:rPr>
                <w:rFonts w:ascii="Arial" w:hAnsi="Arial" w:cs="Arial"/>
                <w:lang w:val="es-ES"/>
              </w:rPr>
              <w:t>Boscalida + Piraclostrobín</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Del="001E626C"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7"/>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Clortalonil </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7"/>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Fluopiram + Tebuconazol</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eastAsia="es-ES"/>
              </w:rPr>
            </w:pP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rPr>
              <w:t>X</w:t>
            </w:r>
          </w:p>
        </w:tc>
      </w:tr>
      <w:tr w:rsidR="00503A41" w:rsidRPr="00993936" w:rsidTr="000452B8">
        <w:trPr>
          <w:cantSplit/>
          <w:trHeight w:val="183"/>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Iprodiona </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183"/>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Tebuconazol </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r>
      <w:tr w:rsidR="00503A41" w:rsidRPr="00993936" w:rsidTr="000452B8">
        <w:trPr>
          <w:cantSplit/>
          <w:trHeight w:val="240"/>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Podredumbre blanca</w:t>
            </w:r>
          </w:p>
          <w:p w:rsidR="00503A41" w:rsidRPr="00993936" w:rsidRDefault="00503A41" w:rsidP="001D205D">
            <w:pPr>
              <w:pStyle w:val="Sinespaciado"/>
              <w:rPr>
                <w:rFonts w:ascii="Arial" w:hAnsi="Arial" w:cs="Arial"/>
                <w:lang w:val="es-ES"/>
              </w:rPr>
            </w:pPr>
            <w:r w:rsidRPr="00993936">
              <w:rPr>
                <w:rFonts w:ascii="Arial" w:hAnsi="Arial" w:cs="Arial"/>
                <w:lang w:val="es-ES"/>
              </w:rPr>
              <w:t>(</w:t>
            </w:r>
            <w:r w:rsidRPr="00993936">
              <w:rPr>
                <w:rFonts w:ascii="Arial" w:hAnsi="Arial" w:cs="Arial"/>
                <w:i/>
                <w:lang w:val="es-ES"/>
              </w:rPr>
              <w:t>Sclerotium cepivorum</w:t>
            </w:r>
            <w:r w:rsidRPr="00993936">
              <w:rPr>
                <w:rFonts w:ascii="Arial" w:hAnsi="Arial" w:cs="Arial"/>
                <w:lang w:val="es-ES"/>
              </w:rPr>
              <w:t>)</w:t>
            </w:r>
          </w:p>
        </w:tc>
        <w:tc>
          <w:tcPr>
            <w:tcW w:w="1889" w:type="pc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Coniothyrium minitans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eastAsia="es-ES"/>
              </w:rPr>
              <w:t>X</w:t>
            </w:r>
          </w:p>
        </w:tc>
      </w:tr>
      <w:tr w:rsidR="00503A41" w:rsidRPr="00993936" w:rsidTr="000452B8">
        <w:trPr>
          <w:cantSplit/>
          <w:trHeight w:val="240"/>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vAlign w:val="center"/>
          </w:tcPr>
          <w:p w:rsidR="00503A41" w:rsidRPr="00993936" w:rsidRDefault="00503A41" w:rsidP="001D205D">
            <w:pPr>
              <w:pStyle w:val="Sinespaciado"/>
              <w:rPr>
                <w:rFonts w:ascii="Arial" w:hAnsi="Arial" w:cs="Arial"/>
                <w:i/>
                <w:lang w:val="es-ES"/>
              </w:rPr>
            </w:pPr>
            <w:r w:rsidRPr="00993936">
              <w:rPr>
                <w:rFonts w:ascii="Arial" w:hAnsi="Arial" w:cs="Arial"/>
                <w:lang w:val="es-ES"/>
              </w:rPr>
              <w:t>Fluopiram + Tebuconazol</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rPr>
              <w:t>X</w:t>
            </w:r>
          </w:p>
        </w:tc>
      </w:tr>
      <w:tr w:rsidR="00503A41" w:rsidRPr="00993936" w:rsidTr="000452B8">
        <w:trPr>
          <w:cantSplit/>
          <w:trHeight w:val="240"/>
          <w:jc w:val="center"/>
        </w:trPr>
        <w:tc>
          <w:tcPr>
            <w:tcW w:w="1501" w:type="pct"/>
            <w:vMerge/>
            <w:vAlign w:val="center"/>
          </w:tcPr>
          <w:p w:rsidR="00503A41" w:rsidRPr="00993936" w:rsidRDefault="00503A41" w:rsidP="001D205D">
            <w:pPr>
              <w:pStyle w:val="Sinespaciado"/>
              <w:rPr>
                <w:rFonts w:ascii="Arial" w:hAnsi="Arial" w:cs="Arial"/>
                <w:snapToGrid w:val="0"/>
                <w:lang w:val="es-ES"/>
              </w:rPr>
            </w:pPr>
          </w:p>
        </w:tc>
        <w:tc>
          <w:tcPr>
            <w:tcW w:w="1889"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Tebuconazol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bl>
    <w:p w:rsidR="00503A41" w:rsidRPr="00993936" w:rsidRDefault="00503A41">
      <w:pPr>
        <w:rPr>
          <w:rFonts w:ascii="Arial" w:hAnsi="Arial" w:cs="Arial"/>
          <w:lang w:val="es-ES"/>
        </w:rPr>
      </w:pPr>
    </w:p>
    <w:p w:rsidR="00503A41" w:rsidRPr="00993936" w:rsidRDefault="00503A41">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3"/>
        <w:gridCol w:w="3264"/>
        <w:gridCol w:w="935"/>
        <w:gridCol w:w="926"/>
        <w:gridCol w:w="926"/>
      </w:tblGrid>
      <w:tr w:rsidR="00503A41" w:rsidRPr="00993936" w:rsidTr="000452B8">
        <w:trPr>
          <w:cantSplit/>
          <w:tblHeader/>
          <w:jc w:val="center"/>
        </w:trPr>
        <w:tc>
          <w:tcPr>
            <w:tcW w:w="1501"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Plaga/enfermedad</w:t>
            </w:r>
          </w:p>
        </w:tc>
        <w:tc>
          <w:tcPr>
            <w:tcW w:w="1889"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b/>
              </w:rPr>
            </w:pPr>
            <w:r w:rsidRPr="00993936">
              <w:rPr>
                <w:rFonts w:ascii="Arial" w:hAnsi="Arial" w:cs="Arial"/>
                <w:b/>
              </w:rPr>
              <w:t>Materias Activas</w:t>
            </w:r>
          </w:p>
        </w:tc>
        <w:tc>
          <w:tcPr>
            <w:tcW w:w="537"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b/>
              </w:rPr>
            </w:pPr>
            <w:r w:rsidRPr="00993936">
              <w:rPr>
                <w:rFonts w:ascii="Arial" w:hAnsi="Arial" w:cs="Arial"/>
                <w:b/>
              </w:rPr>
              <w:t xml:space="preserve">Cebolla </w:t>
            </w:r>
          </w:p>
          <w:p w:rsidR="00503A41" w:rsidRPr="00993936" w:rsidRDefault="00503A41" w:rsidP="001D205D">
            <w:pPr>
              <w:pStyle w:val="Sinespaciado"/>
              <w:rPr>
                <w:rFonts w:ascii="Arial" w:hAnsi="Arial" w:cs="Arial"/>
                <w:b/>
                <w:lang w:val="es-ES" w:eastAsia="es-ES"/>
              </w:rPr>
            </w:pPr>
            <w:r w:rsidRPr="00993936">
              <w:rPr>
                <w:rFonts w:ascii="Arial" w:hAnsi="Arial" w:cs="Arial"/>
                <w:b/>
                <w:lang w:val="es-ES" w:eastAsia="es-ES"/>
              </w:rPr>
              <w:t>Calçot</w:t>
            </w:r>
          </w:p>
        </w:tc>
        <w:tc>
          <w:tcPr>
            <w:tcW w:w="537"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b/>
              </w:rPr>
            </w:pPr>
            <w:r w:rsidRPr="00993936">
              <w:rPr>
                <w:rFonts w:ascii="Arial" w:hAnsi="Arial" w:cs="Arial"/>
                <w:b/>
              </w:rPr>
              <w:t>Puerro</w:t>
            </w:r>
            <w:r w:rsidRPr="00993936">
              <w:rPr>
                <w:rFonts w:ascii="Arial" w:hAnsi="Arial" w:cs="Arial"/>
                <w:b/>
                <w:vanish/>
              </w:rPr>
              <w:t>&lt;A[Puerro|Porro]&gt;</w:t>
            </w:r>
          </w:p>
        </w:tc>
        <w:tc>
          <w:tcPr>
            <w:tcW w:w="536"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b/>
              </w:rPr>
            </w:pPr>
            <w:r w:rsidRPr="00993936">
              <w:rPr>
                <w:rFonts w:ascii="Arial" w:hAnsi="Arial" w:cs="Arial"/>
                <w:b/>
              </w:rPr>
              <w:t>Ajo</w:t>
            </w:r>
          </w:p>
        </w:tc>
      </w:tr>
      <w:tr w:rsidR="00503A41" w:rsidRPr="00993936" w:rsidTr="000452B8">
        <w:trPr>
          <w:cantSplit/>
          <w:trHeight w:val="185"/>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Roya</w:t>
            </w:r>
          </w:p>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Puccinia </w:t>
            </w:r>
            <w:r w:rsidRPr="00993936">
              <w:rPr>
                <w:rFonts w:ascii="Arial" w:hAnsi="Arial" w:cs="Arial"/>
                <w:lang w:val="es-ES"/>
              </w:rPr>
              <w:t>spp</w:t>
            </w:r>
            <w:r w:rsidRPr="00993936">
              <w:rPr>
                <w:rFonts w:ascii="Arial" w:hAnsi="Arial" w:cs="Arial"/>
                <w:i/>
                <w:lang w:val="es-ES"/>
              </w:rPr>
              <w:t>.</w:t>
            </w: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Boscalida + Piraclostrobín</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eastAsia="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Difenoconazol </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Fluopiram + Tebuconazol</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Tebuconazol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Tebuconazol + Trifloxistrobina</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7"/>
          <w:jc w:val="center"/>
        </w:trPr>
        <w:tc>
          <w:tcPr>
            <w:tcW w:w="1501" w:type="pct"/>
            <w:vMerge w:val="restart"/>
            <w:shd w:val="clear" w:color="auto" w:fill="auto"/>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Sclerotinia </w:t>
            </w:r>
            <w:r w:rsidRPr="00993936">
              <w:rPr>
                <w:rFonts w:ascii="Arial" w:hAnsi="Arial" w:cs="Arial"/>
                <w:lang w:val="es-ES"/>
              </w:rPr>
              <w:t>spp.</w:t>
            </w: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i/>
                <w:lang w:val="es-ES"/>
              </w:rPr>
              <w:t>Coniothyrium minitans</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7"/>
          <w:jc w:val="center"/>
        </w:trPr>
        <w:tc>
          <w:tcPr>
            <w:tcW w:w="1501" w:type="pct"/>
            <w:vMerge/>
            <w:shd w:val="clear" w:color="auto" w:fill="auto"/>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Fluopiram + Tebuconazol</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7"/>
          <w:jc w:val="center"/>
        </w:trPr>
        <w:tc>
          <w:tcPr>
            <w:tcW w:w="1501" w:type="pct"/>
            <w:vMerge/>
            <w:shd w:val="clear" w:color="auto" w:fill="auto"/>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Tebuconazol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6"/>
          <w:jc w:val="center"/>
        </w:trPr>
        <w:tc>
          <w:tcPr>
            <w:tcW w:w="1501" w:type="pc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Fusarium oxysporum</w:t>
            </w:r>
          </w:p>
        </w:tc>
        <w:tc>
          <w:tcPr>
            <w:tcW w:w="1889" w:type="pct"/>
            <w:shd w:val="clear" w:color="auto" w:fill="auto"/>
            <w:vAlign w:val="center"/>
          </w:tcPr>
          <w:p w:rsidR="00503A41" w:rsidRPr="00993936" w:rsidRDefault="00503A41" w:rsidP="001D205D">
            <w:pPr>
              <w:pStyle w:val="Sinespaciado"/>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5"/>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Bacterias</w:t>
            </w:r>
          </w:p>
          <w:p w:rsidR="00503A41" w:rsidRPr="00993936" w:rsidRDefault="00503A41" w:rsidP="001D205D">
            <w:pPr>
              <w:pStyle w:val="Sinespaciado"/>
              <w:rPr>
                <w:rFonts w:ascii="Arial" w:hAnsi="Arial" w:cs="Arial"/>
                <w:lang w:val="es-ES"/>
              </w:rPr>
            </w:pPr>
            <w:r w:rsidRPr="00993936">
              <w:rPr>
                <w:rFonts w:ascii="Arial" w:hAnsi="Arial" w:cs="Arial"/>
                <w:i/>
                <w:lang w:val="es-ES"/>
              </w:rPr>
              <w:t>Pseudomonas</w:t>
            </w:r>
            <w:r w:rsidRPr="00993936">
              <w:rPr>
                <w:rFonts w:ascii="Arial" w:hAnsi="Arial" w:cs="Arial"/>
                <w:lang w:val="es-ES"/>
              </w:rPr>
              <w:t xml:space="preserve"> spp.</w:t>
            </w:r>
          </w:p>
          <w:p w:rsidR="00503A41" w:rsidRPr="00993936" w:rsidRDefault="00503A41" w:rsidP="001D205D">
            <w:pPr>
              <w:pStyle w:val="Sinespaciado"/>
              <w:rPr>
                <w:rFonts w:ascii="Arial" w:hAnsi="Arial" w:cs="Arial"/>
                <w:lang w:val="es-ES"/>
              </w:rPr>
            </w:pPr>
            <w:r w:rsidRPr="00993936">
              <w:rPr>
                <w:rFonts w:ascii="Arial" w:hAnsi="Arial" w:cs="Arial"/>
                <w:i/>
                <w:lang w:val="es-ES"/>
              </w:rPr>
              <w:t>Erwinia caratovora</w:t>
            </w:r>
          </w:p>
        </w:tc>
        <w:tc>
          <w:tcPr>
            <w:tcW w:w="1889"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Hidróxido cúprico (4)</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eastAsia="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eastAsia="es-ES"/>
              </w:rPr>
              <w:t>X</w:t>
            </w:r>
          </w:p>
        </w:tc>
      </w:tr>
      <w:tr w:rsidR="00503A41" w:rsidRPr="00993936" w:rsidTr="000452B8">
        <w:trPr>
          <w:cantSplit/>
          <w:trHeight w:val="174"/>
          <w:jc w:val="center"/>
        </w:trPr>
        <w:tc>
          <w:tcPr>
            <w:tcW w:w="1501" w:type="pct"/>
            <w:vMerge/>
            <w:vAlign w:val="center"/>
          </w:tcPr>
          <w:p w:rsidR="00503A41" w:rsidRPr="00993936" w:rsidRDefault="00503A41" w:rsidP="001D205D">
            <w:pPr>
              <w:pStyle w:val="Sinespaciado"/>
              <w:rPr>
                <w:rFonts w:ascii="Arial" w:hAnsi="Arial" w:cs="Arial"/>
                <w:i/>
                <w:lang w:val="es-ES"/>
              </w:rPr>
            </w:pPr>
          </w:p>
        </w:tc>
        <w:tc>
          <w:tcPr>
            <w:tcW w:w="1889"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Oxicloruro de cobre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Óxido cuproso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Sulfato cuprocálcico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5"/>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Sulfato tribásico de cobre </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70"/>
          <w:jc w:val="center"/>
        </w:trPr>
        <w:tc>
          <w:tcPr>
            <w:tcW w:w="150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 xml:space="preserve">Nemátodos </w:t>
            </w:r>
          </w:p>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Ditylenchus dipsaci Meloidogyne </w:t>
            </w:r>
            <w:r w:rsidRPr="00993936">
              <w:rPr>
                <w:rFonts w:ascii="Arial" w:hAnsi="Arial" w:cs="Arial"/>
                <w:lang w:val="es-ES"/>
              </w:rPr>
              <w:t>spp</w:t>
            </w:r>
            <w:r w:rsidRPr="00993936">
              <w:rPr>
                <w:rFonts w:ascii="Arial" w:hAnsi="Arial" w:cs="Arial"/>
                <w:i/>
                <w:lang w:val="es-ES"/>
              </w:rPr>
              <w:t>.</w:t>
            </w:r>
          </w:p>
        </w:tc>
        <w:tc>
          <w:tcPr>
            <w:tcW w:w="1889" w:type="pct"/>
            <w:shd w:val="clear" w:color="auto" w:fill="auto"/>
            <w:vAlign w:val="center"/>
          </w:tcPr>
          <w:p w:rsidR="00503A41" w:rsidRPr="00993936" w:rsidRDefault="00503A41" w:rsidP="001D205D">
            <w:pPr>
              <w:pStyle w:val="Sinespaciado"/>
              <w:rPr>
                <w:rFonts w:ascii="Arial" w:hAnsi="Arial" w:cs="Arial"/>
                <w:dstrike/>
                <w:lang w:val="es-ES"/>
              </w:rPr>
            </w:pPr>
            <w:r w:rsidRPr="00993936">
              <w:rPr>
                <w:rFonts w:ascii="Arial" w:hAnsi="Arial" w:cs="Arial"/>
                <w:lang w:val="es-ES"/>
              </w:rPr>
              <w:t>Metam-sodio</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7"/>
          <w:jc w:val="center"/>
        </w:trPr>
        <w:tc>
          <w:tcPr>
            <w:tcW w:w="1501" w:type="pct"/>
            <w:vMerge/>
            <w:vAlign w:val="center"/>
          </w:tcPr>
          <w:p w:rsidR="00503A41" w:rsidRPr="00993936" w:rsidRDefault="00503A41" w:rsidP="001D205D">
            <w:pPr>
              <w:pStyle w:val="Sinespaciado"/>
              <w:rPr>
                <w:rFonts w:ascii="Arial" w:hAnsi="Arial" w:cs="Arial"/>
                <w:lang w:val="es-ES"/>
              </w:rPr>
            </w:pPr>
          </w:p>
        </w:tc>
        <w:tc>
          <w:tcPr>
            <w:tcW w:w="188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Metam-potasio</w:t>
            </w:r>
          </w:p>
        </w:tc>
        <w:tc>
          <w:tcPr>
            <w:tcW w:w="537" w:type="pct"/>
            <w:vAlign w:val="center"/>
          </w:tcPr>
          <w:p w:rsidR="00503A41" w:rsidRPr="00993936" w:rsidRDefault="00503A41" w:rsidP="001D205D">
            <w:pPr>
              <w:pStyle w:val="Sinespaciado"/>
              <w:jc w:val="center"/>
              <w:rPr>
                <w:rFonts w:ascii="Arial" w:hAnsi="Arial" w:cs="Arial"/>
                <w:lang w:val="es-ES" w:eastAsia="es-ES"/>
              </w:rPr>
            </w:pPr>
            <w:r w:rsidRPr="00993936">
              <w:rPr>
                <w:rFonts w:ascii="Arial" w:hAnsi="Arial" w:cs="Arial"/>
                <w:lang w:val="es-ES" w:eastAsia="es-ES"/>
              </w:rPr>
              <w:t>X</w:t>
            </w:r>
          </w:p>
        </w:tc>
        <w:tc>
          <w:tcPr>
            <w:tcW w:w="53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36"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240"/>
          <w:jc w:val="center"/>
        </w:trPr>
        <w:tc>
          <w:tcPr>
            <w:tcW w:w="1501"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Otras plagas y enfermedades</w:t>
            </w:r>
          </w:p>
        </w:tc>
        <w:tc>
          <w:tcPr>
            <w:tcW w:w="1889"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Las expresamente autorizadas en el cultivo, teniendo en cuenta su efecto sobre la fauna útil y su toxicología</w:t>
            </w:r>
          </w:p>
        </w:tc>
        <w:tc>
          <w:tcPr>
            <w:tcW w:w="537" w:type="pct"/>
            <w:vAlign w:val="center"/>
          </w:tcPr>
          <w:p w:rsidR="00503A41" w:rsidRPr="00993936" w:rsidRDefault="00503A41" w:rsidP="001D205D">
            <w:pPr>
              <w:pStyle w:val="Sinespaciado"/>
              <w:jc w:val="center"/>
              <w:rPr>
                <w:rFonts w:ascii="Arial" w:hAnsi="Arial" w:cs="Arial"/>
                <w:lang w:val="es-ES"/>
              </w:rPr>
            </w:pPr>
          </w:p>
        </w:tc>
        <w:tc>
          <w:tcPr>
            <w:tcW w:w="537" w:type="pct"/>
            <w:vAlign w:val="center"/>
          </w:tcPr>
          <w:p w:rsidR="00503A41" w:rsidRPr="00993936" w:rsidRDefault="00503A41" w:rsidP="001D205D">
            <w:pPr>
              <w:pStyle w:val="Sinespaciado"/>
              <w:jc w:val="center"/>
              <w:rPr>
                <w:rFonts w:ascii="Arial" w:hAnsi="Arial" w:cs="Arial"/>
                <w:lang w:val="es-ES"/>
              </w:rPr>
            </w:pPr>
          </w:p>
        </w:tc>
        <w:tc>
          <w:tcPr>
            <w:tcW w:w="536" w:type="pct"/>
            <w:vAlign w:val="center"/>
          </w:tcPr>
          <w:p w:rsidR="00503A41" w:rsidRPr="00993936" w:rsidRDefault="00503A41" w:rsidP="001D205D">
            <w:pPr>
              <w:pStyle w:val="Sinespaciado"/>
              <w:jc w:val="center"/>
              <w:rPr>
                <w:rFonts w:ascii="Arial" w:hAnsi="Arial" w:cs="Arial"/>
                <w:lang w:val="es-ES"/>
              </w:rPr>
            </w:pPr>
          </w:p>
        </w:tc>
      </w:tr>
    </w:tbl>
    <w:p w:rsidR="00503A41" w:rsidRPr="00993936" w:rsidRDefault="00503A41" w:rsidP="000452B8">
      <w:pPr>
        <w:pStyle w:val="Textoindependiente3"/>
        <w:rPr>
          <w:rFonts w:cs="Arial"/>
          <w:b w:val="0"/>
          <w:szCs w:val="22"/>
          <w:lang w:val="es-ES"/>
        </w:rPr>
      </w:pPr>
    </w:p>
    <w:p w:rsidR="00503A41" w:rsidRPr="00993936" w:rsidRDefault="00503A41" w:rsidP="009D1A2D">
      <w:pPr>
        <w:pStyle w:val="Textoindependiente3"/>
        <w:numPr>
          <w:ilvl w:val="1"/>
          <w:numId w:val="89"/>
        </w:numPr>
        <w:spacing w:after="120"/>
        <w:rPr>
          <w:rFonts w:cs="Arial"/>
          <w:b w:val="0"/>
          <w:szCs w:val="22"/>
          <w:lang w:val="es-ES"/>
        </w:rPr>
      </w:pPr>
      <w:r w:rsidRPr="00993936">
        <w:rPr>
          <w:rFonts w:cs="Arial"/>
          <w:b w:val="0"/>
          <w:szCs w:val="22"/>
          <w:lang w:val="es-ES"/>
        </w:rPr>
        <w:t>Materias activas de productos antigerminantes para</w:t>
      </w:r>
      <w:r w:rsidRPr="00993936">
        <w:rPr>
          <w:rFonts w:cs="Arial"/>
          <w:b w:val="0"/>
          <w:vanish/>
          <w:szCs w:val="22"/>
          <w:lang w:val="es-ES"/>
        </w:rPr>
        <w:t>&lt;A[por|para]&gt;</w:t>
      </w:r>
      <w:r w:rsidRPr="00993936">
        <w:rPr>
          <w:rFonts w:cs="Arial"/>
          <w:b w:val="0"/>
          <w:szCs w:val="22"/>
          <w:lang w:val="es-ES"/>
        </w:rPr>
        <w:t xml:space="preserve"> cebolla y ajo.</w:t>
      </w:r>
    </w:p>
    <w:p w:rsidR="00503A41" w:rsidRPr="00993936" w:rsidRDefault="00503A41" w:rsidP="000452B8">
      <w:pPr>
        <w:pStyle w:val="Textoindependiente3"/>
        <w:rPr>
          <w:rFonts w:cs="Arial"/>
          <w:szCs w:val="22"/>
          <w:lang w:val="es-ES"/>
        </w:rPr>
      </w:pPr>
      <w:r w:rsidRPr="00993936">
        <w:rPr>
          <w:rFonts w:cs="Arial"/>
          <w:szCs w:val="22"/>
          <w:lang w:val="es-ES"/>
        </w:rPr>
        <w:t>- Hidracida maleica</w:t>
      </w:r>
    </w:p>
    <w:p w:rsidR="00503A41" w:rsidRPr="00993936" w:rsidRDefault="00503A41" w:rsidP="000452B8">
      <w:pPr>
        <w:pStyle w:val="Ttulo2"/>
        <w:jc w:val="center"/>
        <w:rPr>
          <w:rFonts w:ascii="Arial" w:hAnsi="Arial" w:cs="Arial"/>
          <w:color w:val="auto"/>
          <w:sz w:val="28"/>
          <w:szCs w:val="28"/>
          <w:u w:val="single"/>
          <w:lang w:val="es-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lastRenderedPageBreak/>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pStyle w:val="Ttulo2"/>
        <w:jc w:val="center"/>
        <w:rPr>
          <w:rFonts w:ascii="Arial" w:hAnsi="Arial" w:cs="Arial"/>
          <w:color w:val="auto"/>
          <w:sz w:val="28"/>
          <w:szCs w:val="28"/>
          <w:u w:val="single"/>
          <w:lang w:val="es-ES"/>
        </w:rPr>
      </w:pPr>
      <w:r w:rsidRPr="00993936">
        <w:rPr>
          <w:rFonts w:ascii="Arial" w:hAnsi="Arial" w:cs="Arial"/>
          <w:color w:val="auto"/>
          <w:sz w:val="28"/>
          <w:szCs w:val="28"/>
          <w:u w:val="single"/>
          <w:lang w:val="es-ES"/>
        </w:rPr>
        <w:br w:type="page"/>
      </w:r>
    </w:p>
    <w:p w:rsidR="00503A41" w:rsidRPr="00993936" w:rsidRDefault="00503A41" w:rsidP="000452B8">
      <w:pPr>
        <w:pStyle w:val="Ttulo2"/>
        <w:jc w:val="center"/>
        <w:rPr>
          <w:rFonts w:ascii="Arial" w:hAnsi="Arial" w:cs="Arial"/>
          <w:b/>
          <w:color w:val="auto"/>
          <w:sz w:val="28"/>
          <w:szCs w:val="28"/>
          <w:u w:val="single"/>
          <w:lang w:val="es-ES"/>
        </w:rPr>
      </w:pPr>
      <w:r w:rsidRPr="00993936">
        <w:rPr>
          <w:rFonts w:ascii="Arial" w:hAnsi="Arial" w:cs="Arial"/>
          <w:b/>
          <w:color w:val="auto"/>
          <w:sz w:val="28"/>
          <w:szCs w:val="28"/>
          <w:u w:val="single"/>
          <w:lang w:val="es-ES"/>
        </w:rPr>
        <w:lastRenderedPageBreak/>
        <w:t>CULTIVO: COL, COLIFLOR, BRÓCULI Y OTROS BRASICÁCEAS</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both"/>
        <w:rPr>
          <w:rFonts w:ascii="Arial" w:hAnsi="Arial" w:cs="Arial"/>
          <w:b/>
          <w:snapToGrid w:val="0"/>
          <w:lang w:val="es-ES"/>
        </w:rPr>
      </w:pPr>
      <w:r w:rsidRPr="00993936">
        <w:rPr>
          <w:rFonts w:ascii="Arial" w:hAnsi="Arial" w:cs="Arial"/>
          <w:b/>
          <w:snapToGrid w:val="0"/>
          <w:lang w:val="es-ES"/>
        </w:rPr>
        <w:t>ANEXO 4</w:t>
      </w:r>
    </w:p>
    <w:p w:rsidR="00503A41" w:rsidRPr="00993936" w:rsidRDefault="00503A41" w:rsidP="000452B8">
      <w:pPr>
        <w:pStyle w:val="Textoindependiente3"/>
        <w:rPr>
          <w:rFonts w:cs="Arial"/>
          <w:b w:val="0"/>
          <w:szCs w:val="22"/>
          <w:lang w:val="es-ES"/>
        </w:rPr>
      </w:pPr>
      <w:r w:rsidRPr="00993936">
        <w:rPr>
          <w:rFonts w:cs="Arial"/>
          <w:b w:val="0"/>
          <w:szCs w:val="22"/>
          <w:lang w:val="es-ES"/>
        </w:rPr>
        <w:t>Materias activas de herbicidas para la producción integrada de col, coliflor, bróculi y otros Brasicáceas</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TIPO DE HERBICIDAS</w:t>
            </w:r>
          </w:p>
        </w:tc>
      </w:tr>
      <w:tr w:rsidR="00503A41" w:rsidRPr="00993936" w:rsidTr="000452B8">
        <w:trPr>
          <w:cantSplit/>
          <w:jc w:val="center"/>
        </w:trPr>
        <w:tc>
          <w:tcPr>
            <w:tcW w:w="2418" w:type="pct"/>
            <w:vAlign w:val="center"/>
          </w:tcPr>
          <w:p w:rsidR="00503A41" w:rsidRPr="00993936" w:rsidRDefault="00503A41" w:rsidP="001D205D">
            <w:pPr>
              <w:pStyle w:val="Sinespaciado"/>
              <w:rPr>
                <w:rFonts w:ascii="Arial" w:hAnsi="Arial" w:cs="Arial"/>
                <w:sz w:val="24"/>
                <w:lang w:val="es-ES"/>
              </w:rPr>
            </w:pPr>
            <w:r w:rsidRPr="00993936">
              <w:rPr>
                <w:rFonts w:ascii="Arial" w:hAnsi="Arial" w:cs="Arial"/>
                <w:sz w:val="24"/>
                <w:lang w:val="es-ES"/>
              </w:rPr>
              <w:t>Materia activa</w:t>
            </w:r>
          </w:p>
        </w:tc>
        <w:tc>
          <w:tcPr>
            <w:tcW w:w="2582" w:type="pct"/>
            <w:shd w:val="clear" w:color="auto" w:fill="D9D9D9"/>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Restricciones</w:t>
            </w:r>
          </w:p>
        </w:tc>
      </w:tr>
      <w:tr w:rsidR="00503A41" w:rsidRPr="00993936" w:rsidTr="000452B8">
        <w:trPr>
          <w:cantSplit/>
          <w:trHeight w:val="6964"/>
          <w:jc w:val="center"/>
        </w:trPr>
        <w:tc>
          <w:tcPr>
            <w:tcW w:w="2418" w:type="pct"/>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Ácido pelargónico + Glifosato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Cicloxidim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Diquat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Fluazifop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Glifosato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Glufosinato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Metazaclor</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Oxifluorfén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Pendimetalina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Piridato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Propaquizafop</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Propizamida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Quizalofop-p-etil</w:t>
            </w:r>
          </w:p>
          <w:p w:rsidR="00503A41" w:rsidRPr="00993936" w:rsidRDefault="00503A41" w:rsidP="001D205D">
            <w:pPr>
              <w:pStyle w:val="Sinespaciado"/>
              <w:rPr>
                <w:rFonts w:ascii="Arial" w:hAnsi="Arial" w:cs="Arial"/>
                <w:snapToGrid w:val="0"/>
                <w:lang w:val="es-ES"/>
              </w:rPr>
            </w:pPr>
          </w:p>
        </w:tc>
        <w:tc>
          <w:tcPr>
            <w:tcW w:w="2582" w:type="pct"/>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r w:rsidRPr="00993936">
              <w:rPr>
                <w:rFonts w:ascii="Arial" w:hAnsi="Arial" w:cs="Arial"/>
                <w:snapToGrid w:val="0"/>
                <w:sz w:val="18"/>
                <w:lang w:val="es-ES"/>
              </w:rPr>
              <w:t>(a) No autorizada por cultivos de col de Bruselas</w:t>
            </w:r>
          </w:p>
          <w:p w:rsidR="00503A41" w:rsidRPr="00993936" w:rsidRDefault="00503A41" w:rsidP="001D205D">
            <w:pPr>
              <w:pStyle w:val="Sinespaciado"/>
              <w:rPr>
                <w:rFonts w:ascii="Arial" w:hAnsi="Arial" w:cs="Arial"/>
                <w:snapToGrid w:val="0"/>
                <w:sz w:val="18"/>
                <w:lang w:val="es-ES"/>
              </w:rPr>
            </w:pPr>
            <w:r w:rsidRPr="00993936">
              <w:rPr>
                <w:rFonts w:ascii="Arial" w:hAnsi="Arial" w:cs="Arial"/>
                <w:snapToGrid w:val="0"/>
                <w:sz w:val="18"/>
                <w:lang w:val="es-ES"/>
              </w:rPr>
              <w:t xml:space="preserve">(b) No autorizada por cultivos de coliflor </w:t>
            </w: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r w:rsidRPr="00993936">
              <w:rPr>
                <w:rFonts w:ascii="Arial" w:hAnsi="Arial" w:cs="Arial"/>
                <w:snapToGrid w:val="0"/>
                <w:sz w:val="18"/>
                <w:lang w:val="es-ES"/>
              </w:rPr>
              <w:t>Las restricciones numéricas se detallan al final de este documento.</w:t>
            </w:r>
          </w:p>
          <w:p w:rsidR="00503A41" w:rsidRPr="00993936" w:rsidRDefault="00503A41" w:rsidP="001D205D">
            <w:pPr>
              <w:pStyle w:val="Sinespaciado"/>
              <w:rPr>
                <w:rFonts w:ascii="Arial" w:hAnsi="Arial" w:cs="Arial"/>
                <w:snapToGrid w:val="0"/>
                <w:sz w:val="20"/>
                <w:lang w:val="es-ES"/>
              </w:rPr>
            </w:pPr>
          </w:p>
        </w:tc>
      </w:tr>
    </w:tbl>
    <w:p w:rsidR="00503A41" w:rsidRPr="00993936" w:rsidRDefault="00503A41" w:rsidP="000452B8">
      <w:pPr>
        <w:pStyle w:val="Textoindependiente3"/>
        <w:rPr>
          <w:rFonts w:cs="Arial"/>
          <w:lang w:val="es-ES"/>
        </w:rPr>
      </w:pPr>
    </w:p>
    <w:p w:rsidR="00503A41" w:rsidRPr="00993936" w:rsidRDefault="00503A41" w:rsidP="000452B8">
      <w:pPr>
        <w:jc w:val="both"/>
        <w:rPr>
          <w:rFonts w:ascii="Arial" w:hAnsi="Arial" w:cs="Arial"/>
          <w:b/>
          <w:snapToGrid w:val="0"/>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numPr>
          <w:ilvl w:val="0"/>
          <w:numId w:val="83"/>
        </w:numPr>
        <w:spacing w:before="120" w:after="0" w:line="240" w:lineRule="auto"/>
        <w:jc w:val="both"/>
        <w:rPr>
          <w:rFonts w:ascii="Arial" w:hAnsi="Arial" w:cs="Arial"/>
          <w:i/>
          <w:lang w:val="es-ES"/>
        </w:rPr>
      </w:pPr>
      <w:r w:rsidRPr="00993936">
        <w:rPr>
          <w:rFonts w:ascii="Arial" w:hAnsi="Arial" w:cs="Arial"/>
          <w:i/>
          <w:lang w:val="es-ES"/>
        </w:rPr>
        <w:t>Aphidius matricariae</w:t>
      </w:r>
    </w:p>
    <w:p w:rsidR="00503A41" w:rsidRPr="00993936" w:rsidRDefault="00503A41" w:rsidP="009D1A2D">
      <w:pPr>
        <w:numPr>
          <w:ilvl w:val="0"/>
          <w:numId w:val="83"/>
        </w:numPr>
        <w:spacing w:before="120" w:after="0" w:line="240" w:lineRule="auto"/>
        <w:jc w:val="both"/>
        <w:rPr>
          <w:rFonts w:ascii="Arial" w:hAnsi="Arial" w:cs="Arial"/>
          <w:lang w:val="es-ES"/>
        </w:rPr>
      </w:pPr>
      <w:r w:rsidRPr="00993936">
        <w:rPr>
          <w:rFonts w:ascii="Arial" w:hAnsi="Arial" w:cs="Arial"/>
          <w:i/>
          <w:lang w:val="es-ES"/>
        </w:rPr>
        <w:t>Sírfidos</w:t>
      </w:r>
      <w:r w:rsidRPr="00993936">
        <w:rPr>
          <w:rFonts w:ascii="Arial" w:hAnsi="Arial" w:cs="Arial"/>
          <w:lang w:val="es-ES"/>
        </w:rPr>
        <w:t>.</w:t>
      </w:r>
      <w:r w:rsidRPr="00993936">
        <w:rPr>
          <w:rFonts w:ascii="Arial" w:hAnsi="Arial" w:cs="Arial"/>
          <w:i/>
          <w:lang w:val="es-ES"/>
        </w:rPr>
        <w:t xml:space="preserve">  </w:t>
      </w:r>
    </w:p>
    <w:p w:rsidR="00503A41" w:rsidRPr="00993936" w:rsidRDefault="00503A41" w:rsidP="009D1A2D">
      <w:pPr>
        <w:numPr>
          <w:ilvl w:val="0"/>
          <w:numId w:val="83"/>
        </w:numPr>
        <w:spacing w:before="120" w:after="0" w:line="240" w:lineRule="auto"/>
        <w:jc w:val="both"/>
        <w:rPr>
          <w:rFonts w:ascii="Arial" w:hAnsi="Arial" w:cs="Arial"/>
          <w:lang w:val="es-ES"/>
        </w:rPr>
      </w:pPr>
      <w:r w:rsidRPr="00993936">
        <w:rPr>
          <w:rFonts w:ascii="Arial" w:hAnsi="Arial" w:cs="Arial"/>
          <w:i/>
          <w:lang w:val="es-ES"/>
        </w:rPr>
        <w:t>Encarsia tricolor / Encarsia pergandiela</w:t>
      </w:r>
    </w:p>
    <w:p w:rsidR="00503A41" w:rsidRPr="00993936" w:rsidRDefault="00503A41" w:rsidP="000452B8">
      <w:pPr>
        <w:jc w:val="both"/>
        <w:rPr>
          <w:rFonts w:ascii="Arial" w:hAnsi="Arial" w:cs="Arial"/>
          <w:snapToGrid w:val="0"/>
          <w:lang w:val="es-ES"/>
        </w:rPr>
      </w:pPr>
    </w:p>
    <w:p w:rsidR="00503A41" w:rsidRPr="00993936" w:rsidRDefault="00503A41" w:rsidP="000452B8">
      <w:pPr>
        <w:pStyle w:val="Ttulo1"/>
        <w:spacing w:before="120"/>
        <w:rPr>
          <w:rFonts w:ascii="Arial" w:hAnsi="Arial" w:cs="Arial"/>
          <w:b/>
          <w:color w:val="auto"/>
          <w:sz w:val="22"/>
        </w:rPr>
      </w:pPr>
      <w:r w:rsidRPr="00993936">
        <w:rPr>
          <w:rFonts w:ascii="Arial" w:hAnsi="Arial" w:cs="Arial"/>
          <w:b/>
          <w:caps/>
          <w:color w:val="auto"/>
          <w:sz w:val="22"/>
        </w:rPr>
        <w:t>ANEXO 6</w:t>
      </w:r>
    </w:p>
    <w:p w:rsidR="00503A41" w:rsidRPr="00993936" w:rsidRDefault="00503A41" w:rsidP="000452B8">
      <w:pPr>
        <w:pStyle w:val="Textoindependiente"/>
        <w:spacing w:before="120"/>
        <w:rPr>
          <w:rFonts w:cs="Arial"/>
          <w:b/>
          <w:lang w:val="es-ES"/>
        </w:rPr>
      </w:pPr>
      <w:r w:rsidRPr="00993936">
        <w:rPr>
          <w:rFonts w:cs="Arial"/>
          <w:b/>
          <w:lang w:val="es-ES"/>
        </w:rPr>
        <w:t>Programas de control fitosanitario</w:t>
      </w:r>
    </w:p>
    <w:p w:rsidR="00503A41" w:rsidRPr="00993936" w:rsidRDefault="00503A41" w:rsidP="000452B8">
      <w:pPr>
        <w:pStyle w:val="Textoindependiente"/>
        <w:spacing w:before="120"/>
        <w:rPr>
          <w:rFonts w:cs="Arial"/>
          <w:lang w:val="es-ES"/>
        </w:rPr>
      </w:pPr>
      <w:r w:rsidRPr="00993936">
        <w:rPr>
          <w:rFonts w:cs="Arial"/>
          <w:lang w:val="es-ES"/>
        </w:rPr>
        <w:t xml:space="preserve">Para poder aplicar estos programas con éxito, es imprescindible aplicar unas buenas medidas culturales con el objetivo de iniciar el cultivo con plantas </w:t>
      </w:r>
      <w:r w:rsidRPr="00993936">
        <w:rPr>
          <w:rFonts w:cs="Arial"/>
          <w:lang w:val="es-ES"/>
        </w:rPr>
        <w:lastRenderedPageBreak/>
        <w:t>limpias</w:t>
      </w:r>
      <w:r w:rsidRPr="00993936">
        <w:rPr>
          <w:rFonts w:cs="Arial"/>
          <w:vanish/>
          <w:lang w:val="es-ES"/>
        </w:rPr>
        <w:t>&lt;A[limpias|netas]&gt;</w:t>
      </w:r>
      <w:r w:rsidRPr="00993936">
        <w:rPr>
          <w:rFonts w:cs="Arial"/>
          <w:lang w:val="es-ES"/>
        </w:rPr>
        <w:t xml:space="preserve"> de plagas y enfermedades, disminuir la entrada en el cultivo y la posterior proliferación.</w:t>
      </w:r>
    </w:p>
    <w:p w:rsidR="00503A41" w:rsidRPr="00993936" w:rsidRDefault="00503A41" w:rsidP="000452B8">
      <w:pPr>
        <w:pStyle w:val="Textoindependiente"/>
        <w:spacing w:before="120"/>
        <w:rPr>
          <w:rFonts w:cs="Arial"/>
          <w:lang w:val="es-ES"/>
        </w:rPr>
      </w:pPr>
      <w:r w:rsidRPr="00993936">
        <w:rPr>
          <w:rFonts w:cs="Arial"/>
          <w:lang w:val="es-ES"/>
        </w:rPr>
        <w:t xml:space="preserve">Hay un programa específico para el cultivo que se recoge en el Cuadro nº. 1 de este Anexo. </w:t>
      </w:r>
    </w:p>
    <w:p w:rsidR="00503A41" w:rsidRPr="00993936" w:rsidRDefault="00503A41" w:rsidP="000452B8">
      <w:pPr>
        <w:pStyle w:val="Textoindependiente"/>
        <w:spacing w:before="120"/>
        <w:rPr>
          <w:rFonts w:cs="Arial"/>
          <w:lang w:val="es-ES"/>
        </w:rPr>
      </w:pPr>
      <w:r w:rsidRPr="00993936">
        <w:rPr>
          <w:rFonts w:cs="Arial"/>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rsidR="00503A41" w:rsidRPr="00993936" w:rsidRDefault="00503A41" w:rsidP="000452B8">
      <w:pPr>
        <w:pStyle w:val="Textoindependiente"/>
        <w:spacing w:before="120"/>
        <w:rPr>
          <w:rFonts w:cs="Arial"/>
          <w:szCs w:val="22"/>
          <w:lang w:val="es-ES"/>
        </w:rPr>
      </w:pPr>
      <w:r w:rsidRPr="00993936">
        <w:rPr>
          <w:rFonts w:cs="Arial"/>
          <w:szCs w:val="22"/>
          <w:lang w:val="es-ES"/>
        </w:rPr>
        <w:t>En caso de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szCs w:val="22"/>
          <w:lang w:val="es-ES"/>
        </w:rPr>
      </w:pPr>
      <w:r w:rsidRPr="00993936">
        <w:rPr>
          <w:rFonts w:cs="Arial"/>
          <w:szCs w:val="22"/>
          <w:lang w:val="es-ES"/>
        </w:rPr>
        <w:t>Además de los muestreos específicos propuestos en los Cuadros de Control Fitosanitario, se hará una observación general del cultivo que permita estimar su estado general así como la presencia de plagas y/o enfermedades. Los recuentos y las observaciones, así como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La Hoja 3 se complimentará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993936">
        <w:rPr>
          <w:rFonts w:cs="Arial"/>
          <w:vanish/>
          <w:szCs w:val="22"/>
          <w:lang w:val="es-ES"/>
        </w:rPr>
        <w:t>&lt;A[empleo|ocupación]&gt;</w:t>
      </w:r>
      <w:r w:rsidRPr="00993936">
        <w:rPr>
          <w:rFonts w:cs="Arial"/>
          <w:szCs w:val="22"/>
          <w:lang w:val="es-ES"/>
        </w:rPr>
        <w:t>) o la infestación media cuando sea requerida. También se calculará el porcentaje de plantas que presentan fauna útil asociada a cada una de las plagas.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Los métodos de muestreo y los umbrales de intervención en los casos previstos son los que figuran en el Cuadro 1 de este anexo.  </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6.1.</w:t>
      </w:r>
      <w:r w:rsidRPr="00993936">
        <w:rPr>
          <w:rFonts w:ascii="Arial" w:hAnsi="Arial" w:cs="Arial"/>
          <w:color w:val="auto"/>
          <w:lang w:val="es-ES"/>
        </w:rPr>
        <w:tab/>
        <w:t>Mosca blanca</w:t>
      </w:r>
      <w:r w:rsidRPr="00993936">
        <w:rPr>
          <w:rFonts w:ascii="Arial" w:hAnsi="Arial" w:cs="Arial"/>
          <w:i/>
          <w:color w:val="auto"/>
          <w:lang w:val="es-ES"/>
        </w:rPr>
        <w:t xml:space="preserve"> </w:t>
      </w:r>
      <w:r w:rsidRPr="00993936">
        <w:rPr>
          <w:rFonts w:ascii="Arial" w:hAnsi="Arial" w:cs="Arial"/>
          <w:color w:val="auto"/>
          <w:lang w:val="es-ES"/>
        </w:rPr>
        <w:t>(MB)</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de seguimiento de plagas y enfermedades y en la columna correspondiente (MB) se anotará la presencia/ausencia (+/-) o el número de adultos de </w:t>
      </w:r>
      <w:r w:rsidRPr="00993936">
        <w:rPr>
          <w:rFonts w:cs="Arial"/>
          <w:i/>
          <w:szCs w:val="22"/>
          <w:lang w:val="es-ES"/>
        </w:rPr>
        <w:t>Trialeurodes vaporariorum</w:t>
      </w:r>
      <w:r w:rsidRPr="00993936">
        <w:rPr>
          <w:rFonts w:cs="Arial"/>
          <w:szCs w:val="22"/>
          <w:lang w:val="es-ES"/>
        </w:rPr>
        <w:t xml:space="preserve"> o de </w:t>
      </w:r>
      <w:r w:rsidRPr="00993936">
        <w:rPr>
          <w:rFonts w:cs="Arial"/>
          <w:i/>
          <w:szCs w:val="22"/>
          <w:lang w:val="es-ES"/>
        </w:rPr>
        <w:t>Aleyrodes proletella</w:t>
      </w:r>
      <w:r w:rsidRPr="00993936">
        <w:rPr>
          <w:rFonts w:cs="Arial"/>
          <w:szCs w:val="22"/>
          <w:lang w:val="es-ES"/>
        </w:rPr>
        <w:t xml:space="preserve"> (En caso de las bràssiques) por planta o por unidad de muestra siguiendo las indicaciones del correspondiente Cuadro de Control Fitosanitario.</w:t>
      </w: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lastRenderedPageBreak/>
        <w:t>6.2.</w:t>
      </w:r>
      <w:r w:rsidRPr="00993936">
        <w:rPr>
          <w:rFonts w:ascii="Arial" w:hAnsi="Arial" w:cs="Arial"/>
          <w:color w:val="auto"/>
          <w:lang w:val="es-ES"/>
        </w:rPr>
        <w:tab/>
        <w:t>Pulgón (PG)</w:t>
      </w:r>
    </w:p>
    <w:p w:rsidR="00503A41" w:rsidRPr="00993936" w:rsidRDefault="00503A41" w:rsidP="000452B8">
      <w:pPr>
        <w:pStyle w:val="Ttulo5"/>
        <w:spacing w:before="120"/>
        <w:rPr>
          <w:rFonts w:ascii="Arial" w:hAnsi="Arial" w:cs="Arial"/>
          <w:b/>
          <w:color w:val="auto"/>
          <w:lang w:val="es-ES"/>
        </w:rPr>
      </w:pPr>
      <w:r w:rsidRPr="00993936">
        <w:rPr>
          <w:rFonts w:ascii="Arial" w:hAnsi="Arial" w:cs="Arial"/>
          <w:color w:val="auto"/>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6.3.</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t>Con respecto a tratamientos, se dará preferencia a los realizados con insecticidas biológicos. El tratamiento se realizará siempre que sea posible cuando la plaga esté en fase de larva en sus primeros estadios.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los Cuadros de Control Fitosanitario de los diferentes cultivos.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el Cuadro 1.1 especificando en observaciones la especie objeto del seguimiento. En caso de que aparezca una nueva enfermedad no especificada en el Cuadro de Control Fitosanitario del cultivo,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 xml:space="preserve">Nemátodos </w:t>
      </w:r>
    </w:p>
    <w:p w:rsidR="00503A41" w:rsidRPr="00993936" w:rsidRDefault="00503A41" w:rsidP="000452B8">
      <w:pPr>
        <w:spacing w:before="120"/>
        <w:jc w:val="both"/>
        <w:rPr>
          <w:rFonts w:ascii="Arial" w:hAnsi="Arial" w:cs="Arial"/>
          <w:lang w:val="es-ES"/>
        </w:rPr>
      </w:pPr>
      <w:r w:rsidRPr="00993936">
        <w:rPr>
          <w:rFonts w:ascii="Arial" w:hAnsi="Arial" w:cs="Arial"/>
          <w:lang w:val="es-ES"/>
        </w:rPr>
        <w:t>En caso de que el cultivo a implantar sea sensible a nemátodos, se escogerán preferentemente variedades resistentes. En caso de no haber o no sean bien aceptadas por el mercado, se podrán utilizar 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Cuadro 1.-  Control fitosanitario en col, coliflor, bróculi y otros brasicáceas</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 col, coliflor, bróculi y otros brasicáceas</w:t>
      </w:r>
    </w:p>
    <w:p w:rsidR="00503A41" w:rsidRPr="00993936" w:rsidRDefault="00503A41" w:rsidP="000452B8">
      <w:pPr>
        <w:pStyle w:val="Textoindependiente3"/>
        <w:rPr>
          <w:rFonts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6"/>
        <w:gridCol w:w="1614"/>
        <w:gridCol w:w="2229"/>
        <w:gridCol w:w="1131"/>
        <w:gridCol w:w="1574"/>
      </w:tblGrid>
      <w:tr w:rsidR="00503A41" w:rsidRPr="00993936" w:rsidTr="000452B8">
        <w:trPr>
          <w:cantSplit/>
          <w:tblHeader/>
          <w:jc w:val="center"/>
        </w:trPr>
        <w:tc>
          <w:tcPr>
            <w:tcW w:w="1223"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lastRenderedPageBreak/>
              <w:t>PLAGA / ENFERMEDAD</w:t>
            </w:r>
          </w:p>
        </w:tc>
        <w:tc>
          <w:tcPr>
            <w:tcW w:w="944"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MÉTODO DE EVALUACIÓN DE INCIDENCIA</w:t>
            </w:r>
          </w:p>
        </w:tc>
        <w:tc>
          <w:tcPr>
            <w:tcW w:w="1300"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CRITERIO DE INTERVENCIÓN</w:t>
            </w:r>
          </w:p>
        </w:tc>
        <w:tc>
          <w:tcPr>
            <w:tcW w:w="612"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FAUNA AUXILIAR</w:t>
            </w:r>
          </w:p>
        </w:tc>
        <w:tc>
          <w:tcPr>
            <w:tcW w:w="922"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OTROS MÉTODOS</w:t>
            </w:r>
          </w:p>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(culturales, etc.)</w:t>
            </w:r>
          </w:p>
        </w:tc>
      </w:tr>
      <w:tr w:rsidR="00503A41" w:rsidRPr="00993936" w:rsidTr="000452B8">
        <w:trPr>
          <w:cantSplit/>
          <w:jc w:val="center"/>
        </w:trPr>
        <w:tc>
          <w:tcPr>
            <w:tcW w:w="122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Mosca de la col (</w:t>
            </w:r>
            <w:r w:rsidRPr="00993936">
              <w:rPr>
                <w:rFonts w:cs="Arial"/>
                <w:i/>
                <w:noProof w:val="0"/>
                <w:sz w:val="18"/>
                <w:szCs w:val="18"/>
                <w:lang w:val="es-ES"/>
              </w:rPr>
              <w:t>Phorbia brassicae</w:t>
            </w:r>
            <w:r w:rsidRPr="00993936">
              <w:rPr>
                <w:rFonts w:cs="Arial"/>
                <w:noProof w:val="0"/>
                <w:sz w:val="18"/>
                <w:szCs w:val="18"/>
                <w:lang w:val="es-ES"/>
              </w:rPr>
              <w:t>)</w:t>
            </w:r>
          </w:p>
        </w:tc>
        <w:tc>
          <w:tcPr>
            <w:tcW w:w="944"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Observar 15 plantas por parcela</w:t>
            </w: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daños</w:t>
            </w:r>
          </w:p>
        </w:tc>
        <w:tc>
          <w:tcPr>
            <w:tcW w:w="612" w:type="pct"/>
            <w:vAlign w:val="center"/>
          </w:tcPr>
          <w:p w:rsidR="00503A41" w:rsidRPr="00993936" w:rsidRDefault="00503A41" w:rsidP="000452B8">
            <w:pPr>
              <w:pStyle w:val="taula"/>
              <w:rPr>
                <w:rFonts w:cs="Arial"/>
                <w:noProof w:val="0"/>
                <w:sz w:val="18"/>
                <w:szCs w:val="18"/>
                <w:lang w:val="es-ES"/>
              </w:rPr>
            </w:pPr>
          </w:p>
        </w:tc>
        <w:tc>
          <w:tcPr>
            <w:tcW w:w="922"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Evitar suelos encharcados</w:t>
            </w:r>
          </w:p>
        </w:tc>
      </w:tr>
      <w:tr w:rsidR="00503A41" w:rsidRPr="00993936" w:rsidTr="000452B8">
        <w:trPr>
          <w:cantSplit/>
          <w:jc w:val="center"/>
        </w:trPr>
        <w:tc>
          <w:tcPr>
            <w:tcW w:w="122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Pulgones (</w:t>
            </w:r>
            <w:r w:rsidRPr="00993936">
              <w:rPr>
                <w:rFonts w:cs="Arial"/>
                <w:i/>
                <w:noProof w:val="0"/>
                <w:sz w:val="18"/>
                <w:szCs w:val="18"/>
                <w:lang w:val="es-ES"/>
              </w:rPr>
              <w:t>Brevicoryne brassicae</w:t>
            </w:r>
            <w:r w:rsidRPr="00993936">
              <w:rPr>
                <w:rFonts w:cs="Arial"/>
                <w:noProof w:val="0"/>
                <w:sz w:val="18"/>
                <w:szCs w:val="18"/>
                <w:lang w:val="es-ES"/>
              </w:rPr>
              <w:t xml:space="preserve">, </w:t>
            </w:r>
            <w:r w:rsidRPr="00993936">
              <w:rPr>
                <w:rFonts w:cs="Arial"/>
                <w:i/>
                <w:noProof w:val="0"/>
                <w:sz w:val="18"/>
                <w:szCs w:val="18"/>
                <w:lang w:val="es-ES"/>
              </w:rPr>
              <w:t xml:space="preserve">Myzus persicae </w:t>
            </w:r>
            <w:r w:rsidRPr="00993936">
              <w:rPr>
                <w:rFonts w:cs="Arial"/>
                <w:noProof w:val="0"/>
                <w:sz w:val="18"/>
                <w:szCs w:val="18"/>
                <w:lang w:val="es-ES"/>
              </w:rPr>
              <w:t>y</w:t>
            </w:r>
            <w:r w:rsidRPr="00993936">
              <w:rPr>
                <w:rFonts w:cs="Arial"/>
                <w:i/>
                <w:noProof w:val="0"/>
                <w:sz w:val="18"/>
                <w:szCs w:val="18"/>
                <w:lang w:val="es-ES"/>
              </w:rPr>
              <w:t xml:space="preserve"> </w:t>
            </w:r>
            <w:r w:rsidRPr="00993936">
              <w:rPr>
                <w:rFonts w:cs="Arial"/>
                <w:noProof w:val="0"/>
                <w:sz w:val="18"/>
                <w:szCs w:val="18"/>
                <w:lang w:val="es-ES"/>
              </w:rPr>
              <w:t>otros)</w:t>
            </w:r>
          </w:p>
        </w:tc>
        <w:tc>
          <w:tcPr>
            <w:tcW w:w="944" w:type="pct"/>
            <w:vMerge/>
            <w:vAlign w:val="center"/>
          </w:tcPr>
          <w:p w:rsidR="00503A41" w:rsidRPr="00993936" w:rsidRDefault="00503A41" w:rsidP="000452B8">
            <w:pPr>
              <w:pStyle w:val="taula"/>
              <w:rPr>
                <w:rFonts w:cs="Arial"/>
                <w:noProof w:val="0"/>
                <w:sz w:val="18"/>
                <w:szCs w:val="18"/>
                <w:lang w:val="es-ES"/>
              </w:rPr>
            </w:pP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colonias establecidas</w:t>
            </w:r>
          </w:p>
        </w:tc>
        <w:tc>
          <w:tcPr>
            <w:tcW w:w="612"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Parasitoides y predadores</w:t>
            </w:r>
          </w:p>
        </w:tc>
        <w:tc>
          <w:tcPr>
            <w:tcW w:w="922" w:type="pct"/>
            <w:vMerge w:val="restar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22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Lepidópteros Defoliadores (</w:t>
            </w:r>
            <w:r w:rsidRPr="00993936">
              <w:rPr>
                <w:rFonts w:cs="Arial"/>
                <w:i/>
                <w:noProof w:val="0"/>
                <w:sz w:val="18"/>
                <w:szCs w:val="18"/>
                <w:lang w:val="es-ES"/>
              </w:rPr>
              <w:t xml:space="preserve">Pieris brassicae, Mamestrtra brassicae, Spodoptera sp., Plusia sp., Plutela sp., </w:t>
            </w:r>
            <w:r w:rsidRPr="00993936">
              <w:rPr>
                <w:rFonts w:cs="Arial"/>
                <w:noProof w:val="0"/>
                <w:sz w:val="18"/>
                <w:szCs w:val="18"/>
                <w:lang w:val="es-ES"/>
              </w:rPr>
              <w:t>etc.)</w:t>
            </w:r>
          </w:p>
        </w:tc>
        <w:tc>
          <w:tcPr>
            <w:tcW w:w="944" w:type="pct"/>
            <w:vMerge/>
            <w:vAlign w:val="center"/>
          </w:tcPr>
          <w:p w:rsidR="00503A41" w:rsidRPr="00993936" w:rsidRDefault="00503A41" w:rsidP="000452B8">
            <w:pPr>
              <w:pStyle w:val="taula"/>
              <w:rPr>
                <w:rFonts w:cs="Arial"/>
                <w:noProof w:val="0"/>
                <w:sz w:val="18"/>
                <w:szCs w:val="18"/>
                <w:lang w:val="es-ES"/>
              </w:rPr>
            </w:pP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plaga de cualquier estadio en un 10% de plantas</w:t>
            </w:r>
          </w:p>
        </w:tc>
        <w:tc>
          <w:tcPr>
            <w:tcW w:w="612" w:type="pct"/>
            <w:vMerge w:val="restart"/>
            <w:vAlign w:val="center"/>
          </w:tcPr>
          <w:p w:rsidR="00503A41" w:rsidRPr="00993936" w:rsidRDefault="00503A41" w:rsidP="000452B8">
            <w:pPr>
              <w:pStyle w:val="taula"/>
              <w:rPr>
                <w:rFonts w:cs="Arial"/>
                <w:noProof w:val="0"/>
                <w:sz w:val="18"/>
                <w:szCs w:val="18"/>
                <w:lang w:val="es-ES"/>
              </w:rPr>
            </w:pPr>
          </w:p>
        </w:tc>
        <w:tc>
          <w:tcPr>
            <w:tcW w:w="922"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22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Mosca blanca</w:t>
            </w:r>
          </w:p>
        </w:tc>
        <w:tc>
          <w:tcPr>
            <w:tcW w:w="944" w:type="pct"/>
            <w:vMerge/>
            <w:vAlign w:val="center"/>
          </w:tcPr>
          <w:p w:rsidR="00503A41" w:rsidRPr="00993936" w:rsidRDefault="00503A41" w:rsidP="000452B8">
            <w:pPr>
              <w:pStyle w:val="taula"/>
              <w:rPr>
                <w:rFonts w:cs="Arial"/>
                <w:noProof w:val="0"/>
                <w:sz w:val="18"/>
                <w:szCs w:val="18"/>
                <w:lang w:val="es-ES"/>
              </w:rPr>
            </w:pP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20% de plantas con larvas</w:t>
            </w:r>
          </w:p>
        </w:tc>
        <w:tc>
          <w:tcPr>
            <w:tcW w:w="612" w:type="pct"/>
            <w:vMerge/>
            <w:vAlign w:val="center"/>
          </w:tcPr>
          <w:p w:rsidR="00503A41" w:rsidRPr="00993936" w:rsidRDefault="00503A41" w:rsidP="000452B8">
            <w:pPr>
              <w:pStyle w:val="taula"/>
              <w:rPr>
                <w:rFonts w:cs="Arial"/>
                <w:noProof w:val="0"/>
                <w:sz w:val="18"/>
                <w:szCs w:val="18"/>
                <w:lang w:val="es-ES"/>
              </w:rPr>
            </w:pPr>
          </w:p>
        </w:tc>
        <w:tc>
          <w:tcPr>
            <w:tcW w:w="922"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22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Podredumbres (</w:t>
            </w:r>
            <w:r w:rsidRPr="00993936">
              <w:rPr>
                <w:rFonts w:cs="Arial"/>
                <w:i/>
                <w:noProof w:val="0"/>
                <w:sz w:val="18"/>
                <w:szCs w:val="18"/>
                <w:lang w:val="es-ES"/>
              </w:rPr>
              <w:t>Botrytis</w:t>
            </w:r>
            <w:r w:rsidRPr="00993936">
              <w:rPr>
                <w:rFonts w:cs="Arial"/>
                <w:noProof w:val="0"/>
                <w:sz w:val="18"/>
                <w:szCs w:val="18"/>
                <w:lang w:val="es-ES"/>
              </w:rPr>
              <w:t xml:space="preserve"> sp. y </w:t>
            </w:r>
            <w:r w:rsidRPr="00993936">
              <w:rPr>
                <w:rFonts w:cs="Arial"/>
                <w:i/>
                <w:noProof w:val="0"/>
                <w:sz w:val="18"/>
                <w:szCs w:val="18"/>
                <w:lang w:val="es-ES"/>
              </w:rPr>
              <w:t>Sclerotinia</w:t>
            </w:r>
            <w:r w:rsidRPr="00993936">
              <w:rPr>
                <w:rFonts w:cs="Arial"/>
                <w:noProof w:val="0"/>
                <w:sz w:val="18"/>
                <w:szCs w:val="18"/>
                <w:lang w:val="es-ES"/>
              </w:rPr>
              <w:t xml:space="preserve"> sp.)</w:t>
            </w:r>
          </w:p>
        </w:tc>
        <w:tc>
          <w:tcPr>
            <w:tcW w:w="944" w:type="pct"/>
            <w:vMerge/>
            <w:vAlign w:val="center"/>
          </w:tcPr>
          <w:p w:rsidR="00503A41" w:rsidRPr="00993936" w:rsidRDefault="00503A41" w:rsidP="000452B8">
            <w:pPr>
              <w:pStyle w:val="taula"/>
              <w:rPr>
                <w:rFonts w:cs="Arial"/>
                <w:noProof w:val="0"/>
                <w:sz w:val="18"/>
                <w:szCs w:val="18"/>
                <w:lang w:val="es-ES"/>
              </w:rPr>
            </w:pP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5% de plantas con presencia del hongo</w:t>
            </w:r>
          </w:p>
        </w:tc>
        <w:tc>
          <w:tcPr>
            <w:tcW w:w="612" w:type="pct"/>
            <w:vMerge/>
            <w:vAlign w:val="center"/>
          </w:tcPr>
          <w:p w:rsidR="00503A41" w:rsidRPr="00993936" w:rsidRDefault="00503A41" w:rsidP="000452B8">
            <w:pPr>
              <w:pStyle w:val="taula"/>
              <w:rPr>
                <w:rFonts w:cs="Arial"/>
                <w:noProof w:val="0"/>
                <w:sz w:val="18"/>
                <w:szCs w:val="18"/>
                <w:lang w:val="es-ES"/>
              </w:rPr>
            </w:pPr>
          </w:p>
        </w:tc>
        <w:tc>
          <w:tcPr>
            <w:tcW w:w="922"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223" w:type="pct"/>
            <w:vAlign w:val="center"/>
          </w:tcPr>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Alternaria</w:t>
            </w:r>
          </w:p>
        </w:tc>
        <w:tc>
          <w:tcPr>
            <w:tcW w:w="944" w:type="pct"/>
            <w:vMerge/>
            <w:vAlign w:val="center"/>
          </w:tcPr>
          <w:p w:rsidR="00503A41" w:rsidRPr="00993936" w:rsidRDefault="00503A41" w:rsidP="000452B8">
            <w:pPr>
              <w:pStyle w:val="taula"/>
              <w:rPr>
                <w:rFonts w:cs="Arial"/>
                <w:noProof w:val="0"/>
                <w:sz w:val="18"/>
                <w:szCs w:val="18"/>
                <w:lang w:val="es-ES"/>
              </w:rPr>
            </w:pP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Condiciones favorables por</w:t>
            </w:r>
            <w:r w:rsidRPr="00993936">
              <w:rPr>
                <w:rFonts w:cs="Arial"/>
                <w:noProof w:val="0"/>
                <w:vanish/>
                <w:sz w:val="18"/>
                <w:szCs w:val="18"/>
                <w:lang w:val="es-ES"/>
              </w:rPr>
              <w:t>&lt;A[por|para]&gt;</w:t>
            </w:r>
            <w:r w:rsidRPr="00993936">
              <w:rPr>
                <w:rFonts w:cs="Arial"/>
                <w:noProof w:val="0"/>
                <w:sz w:val="18"/>
                <w:szCs w:val="18"/>
                <w:lang w:val="es-ES"/>
              </w:rPr>
              <w:t xml:space="preserve"> el desarrollo del hongo o presencia del hongo</w:t>
            </w:r>
          </w:p>
        </w:tc>
        <w:tc>
          <w:tcPr>
            <w:tcW w:w="612" w:type="pct"/>
            <w:vMerge/>
            <w:vAlign w:val="center"/>
          </w:tcPr>
          <w:p w:rsidR="00503A41" w:rsidRPr="00993936" w:rsidRDefault="00503A41" w:rsidP="000452B8">
            <w:pPr>
              <w:pStyle w:val="taula"/>
              <w:rPr>
                <w:rFonts w:cs="Arial"/>
                <w:noProof w:val="0"/>
                <w:sz w:val="18"/>
                <w:szCs w:val="18"/>
                <w:lang w:val="es-ES"/>
              </w:rPr>
            </w:pPr>
          </w:p>
        </w:tc>
        <w:tc>
          <w:tcPr>
            <w:tcW w:w="922"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Utilizar variedades poco sensibles</w:t>
            </w:r>
          </w:p>
        </w:tc>
      </w:tr>
      <w:tr w:rsidR="00503A41" w:rsidRPr="00993936" w:rsidTr="000452B8">
        <w:trPr>
          <w:cantSplit/>
          <w:jc w:val="center"/>
        </w:trPr>
        <w:tc>
          <w:tcPr>
            <w:tcW w:w="122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Mildiu</w:t>
            </w:r>
          </w:p>
        </w:tc>
        <w:tc>
          <w:tcPr>
            <w:tcW w:w="944" w:type="pct"/>
            <w:vMerge/>
            <w:vAlign w:val="center"/>
          </w:tcPr>
          <w:p w:rsidR="00503A41" w:rsidRPr="00993936" w:rsidRDefault="00503A41" w:rsidP="000452B8">
            <w:pPr>
              <w:pStyle w:val="taula"/>
              <w:rPr>
                <w:rFonts w:cs="Arial"/>
                <w:noProof w:val="0"/>
                <w:sz w:val="18"/>
                <w:szCs w:val="18"/>
                <w:lang w:val="es-ES"/>
              </w:rPr>
            </w:pP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Condiciones favorables para el desarrollo del hongo o presencia del hongo</w:t>
            </w:r>
          </w:p>
        </w:tc>
        <w:tc>
          <w:tcPr>
            <w:tcW w:w="612" w:type="pct"/>
            <w:vMerge/>
            <w:vAlign w:val="center"/>
          </w:tcPr>
          <w:p w:rsidR="00503A41" w:rsidRPr="00993936" w:rsidRDefault="00503A41" w:rsidP="000452B8">
            <w:pPr>
              <w:pStyle w:val="taula"/>
              <w:rPr>
                <w:rFonts w:cs="Arial"/>
                <w:noProof w:val="0"/>
                <w:sz w:val="18"/>
                <w:szCs w:val="18"/>
                <w:lang w:val="es-ES"/>
              </w:rPr>
            </w:pPr>
          </w:p>
        </w:tc>
        <w:tc>
          <w:tcPr>
            <w:tcW w:w="922" w:type="pct"/>
            <w:vMerge w:val="restar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22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Hongos del cuello</w:t>
            </w:r>
            <w:r w:rsidRPr="00993936">
              <w:rPr>
                <w:rFonts w:cs="Arial"/>
                <w:noProof w:val="0"/>
                <w:vanish/>
                <w:sz w:val="18"/>
                <w:szCs w:val="18"/>
                <w:lang w:val="es-ES"/>
              </w:rPr>
              <w:t>&lt;A[cuello|garganta]&gt;</w:t>
            </w:r>
            <w:r w:rsidRPr="00993936">
              <w:rPr>
                <w:rFonts w:cs="Arial"/>
                <w:noProof w:val="0"/>
                <w:sz w:val="18"/>
                <w:szCs w:val="18"/>
                <w:lang w:val="es-ES"/>
              </w:rPr>
              <w:t xml:space="preserve"> (Fusarium, </w:t>
            </w:r>
            <w:r w:rsidRPr="00993936">
              <w:rPr>
                <w:rFonts w:cs="Arial"/>
                <w:i/>
                <w:noProof w:val="0"/>
                <w:sz w:val="18"/>
                <w:szCs w:val="18"/>
                <w:lang w:val="es-ES"/>
              </w:rPr>
              <w:t>Phoma lingam)</w:t>
            </w:r>
          </w:p>
        </w:tc>
        <w:tc>
          <w:tcPr>
            <w:tcW w:w="944" w:type="pct"/>
            <w:vMerge/>
            <w:vAlign w:val="center"/>
          </w:tcPr>
          <w:p w:rsidR="00503A41" w:rsidRPr="00993936" w:rsidRDefault="00503A41" w:rsidP="000452B8">
            <w:pPr>
              <w:pStyle w:val="taula"/>
              <w:rPr>
                <w:rFonts w:cs="Arial"/>
                <w:noProof w:val="0"/>
                <w:sz w:val="18"/>
                <w:szCs w:val="18"/>
                <w:lang w:val="es-ES"/>
              </w:rPr>
            </w:pP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Primeros síntomas</w:t>
            </w:r>
          </w:p>
        </w:tc>
        <w:tc>
          <w:tcPr>
            <w:tcW w:w="612" w:type="pct"/>
            <w:vMerge/>
            <w:vAlign w:val="center"/>
          </w:tcPr>
          <w:p w:rsidR="00503A41" w:rsidRPr="00993936" w:rsidRDefault="00503A41" w:rsidP="000452B8">
            <w:pPr>
              <w:pStyle w:val="taula"/>
              <w:rPr>
                <w:rFonts w:cs="Arial"/>
                <w:noProof w:val="0"/>
                <w:sz w:val="18"/>
                <w:szCs w:val="18"/>
                <w:lang w:val="es-ES"/>
              </w:rPr>
            </w:pPr>
          </w:p>
        </w:tc>
        <w:tc>
          <w:tcPr>
            <w:tcW w:w="922"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223"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Otras plagas y enfermedades</w:t>
            </w:r>
          </w:p>
        </w:tc>
        <w:tc>
          <w:tcPr>
            <w:tcW w:w="944" w:type="pct"/>
            <w:vMerge/>
            <w:vAlign w:val="center"/>
          </w:tcPr>
          <w:p w:rsidR="00503A41" w:rsidRPr="00993936" w:rsidRDefault="00503A41" w:rsidP="000452B8">
            <w:pPr>
              <w:pStyle w:val="taula"/>
              <w:rPr>
                <w:rFonts w:cs="Arial"/>
                <w:noProof w:val="0"/>
                <w:sz w:val="18"/>
                <w:szCs w:val="18"/>
                <w:lang w:val="es-ES"/>
              </w:rPr>
            </w:pPr>
          </w:p>
        </w:tc>
        <w:tc>
          <w:tcPr>
            <w:tcW w:w="130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Intervenciones en función de las prescripciones técnicas </w:t>
            </w:r>
          </w:p>
        </w:tc>
        <w:tc>
          <w:tcPr>
            <w:tcW w:w="612" w:type="pct"/>
            <w:vMerge/>
            <w:vAlign w:val="center"/>
          </w:tcPr>
          <w:p w:rsidR="00503A41" w:rsidRPr="00993936" w:rsidRDefault="00503A41" w:rsidP="000452B8">
            <w:pPr>
              <w:pStyle w:val="taula"/>
              <w:rPr>
                <w:rFonts w:cs="Arial"/>
                <w:noProof w:val="0"/>
                <w:sz w:val="18"/>
                <w:szCs w:val="18"/>
                <w:lang w:val="es-ES"/>
              </w:rPr>
            </w:pPr>
          </w:p>
        </w:tc>
        <w:tc>
          <w:tcPr>
            <w:tcW w:w="922" w:type="pct"/>
            <w:vMerge/>
            <w:vAlign w:val="center"/>
          </w:tcPr>
          <w:p w:rsidR="00503A41" w:rsidRPr="00993936" w:rsidRDefault="00503A41" w:rsidP="000452B8">
            <w:pPr>
              <w:pStyle w:val="taula"/>
              <w:rPr>
                <w:rFonts w:cs="Arial"/>
                <w:noProof w:val="0"/>
                <w:sz w:val="18"/>
                <w:szCs w:val="18"/>
                <w:lang w:val="es-ES"/>
              </w:rPr>
            </w:pPr>
          </w:p>
        </w:tc>
      </w:tr>
    </w:tbl>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r w:rsidRPr="00993936">
        <w:rPr>
          <w:rFonts w:cs="Arial"/>
          <w:b w:val="0"/>
          <w:szCs w:val="22"/>
          <w:lang w:val="es-ES"/>
        </w:rPr>
        <w:t xml:space="preserve">1.2 Materias activas para la producción integrada de col, coliflor, bróculi y otras brasicáceas, teniendo en cuenta las indicaciones del cuaderno de explotación y el programa, de control integrado de plagas y enfermedades </w:t>
      </w:r>
    </w:p>
    <w:p w:rsidR="00503A41" w:rsidRPr="00993936" w:rsidRDefault="00503A41" w:rsidP="000452B8">
      <w:pPr>
        <w:pStyle w:val="Textoindependiente3"/>
        <w:rPr>
          <w:rFonts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0"/>
        <w:gridCol w:w="2755"/>
        <w:gridCol w:w="813"/>
        <w:gridCol w:w="776"/>
        <w:gridCol w:w="996"/>
        <w:gridCol w:w="1184"/>
      </w:tblGrid>
      <w:tr w:rsidR="00503A41" w:rsidRPr="00993936" w:rsidTr="000452B8">
        <w:trPr>
          <w:cantSplit/>
          <w:trHeight w:val="240"/>
          <w:tblHeader/>
          <w:jc w:val="center"/>
        </w:trPr>
        <w:tc>
          <w:tcPr>
            <w:tcW w:w="1237"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PLAGA / ENFERMEDAD</w:t>
            </w:r>
          </w:p>
        </w:tc>
        <w:tc>
          <w:tcPr>
            <w:tcW w:w="1604"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CONTROL</w:t>
            </w:r>
          </w:p>
        </w:tc>
        <w:tc>
          <w:tcPr>
            <w:tcW w:w="418" w:type="pct"/>
            <w:tcBorders>
              <w:top w:val="single" w:sz="4" w:space="0" w:color="auto"/>
            </w:tcBorders>
            <w:shd w:val="pct15" w:color="auto" w:fill="FFFFF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Brócoli</w:t>
            </w:r>
          </w:p>
        </w:tc>
        <w:tc>
          <w:tcPr>
            <w:tcW w:w="454" w:type="pct"/>
            <w:tcBorders>
              <w:top w:val="single" w:sz="4" w:space="0" w:color="auto"/>
            </w:tcBorders>
            <w:shd w:val="pct15" w:color="auto" w:fill="FFFFF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coliflor</w:t>
            </w:r>
          </w:p>
        </w:tc>
        <w:tc>
          <w:tcPr>
            <w:tcW w:w="587" w:type="pct"/>
            <w:tcBorders>
              <w:top w:val="single" w:sz="4" w:space="0" w:color="auto"/>
            </w:tcBorders>
            <w:shd w:val="pct15" w:color="auto" w:fill="FFFFF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C de Bruselas</w:t>
            </w:r>
          </w:p>
        </w:tc>
        <w:tc>
          <w:tcPr>
            <w:tcW w:w="700" w:type="pct"/>
            <w:tcBorders>
              <w:top w:val="single" w:sz="4" w:space="0" w:color="auto"/>
            </w:tcBorders>
            <w:shd w:val="pct15" w:color="auto" w:fill="FFFFF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Repollo</w:t>
            </w:r>
          </w:p>
        </w:tc>
      </w:tr>
      <w:tr w:rsidR="00503A41" w:rsidRPr="00993936" w:rsidTr="000452B8">
        <w:trPr>
          <w:cantSplit/>
          <w:trHeight w:val="240"/>
          <w:jc w:val="center"/>
        </w:trPr>
        <w:tc>
          <w:tcPr>
            <w:tcW w:w="1237" w:type="pct"/>
            <w:vMerge w:val="restart"/>
            <w:vAlign w:val="center"/>
          </w:tcPr>
          <w:p w:rsidR="00503A41" w:rsidRPr="00993936" w:rsidRDefault="00503A41" w:rsidP="001D205D">
            <w:pPr>
              <w:pStyle w:val="Sinespaciado"/>
              <w:rPr>
                <w:rFonts w:ascii="Arial" w:hAnsi="Arial" w:cs="Arial"/>
                <w:lang w:val="es-ES"/>
              </w:rPr>
            </w:pPr>
            <w:r w:rsidRPr="00993936">
              <w:rPr>
                <w:rFonts w:ascii="Arial" w:hAnsi="Arial" w:cs="Arial"/>
                <w:b/>
                <w:lang w:val="es-ES"/>
              </w:rPr>
              <w:t>Mosca de la col</w:t>
            </w:r>
            <w:r w:rsidRPr="00993936">
              <w:rPr>
                <w:rFonts w:ascii="Arial" w:hAnsi="Arial" w:cs="Arial"/>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i/>
                <w:lang w:val="es-ES"/>
              </w:rPr>
              <w:t>Phorbia brassicae</w:t>
            </w:r>
          </w:p>
        </w:tc>
        <w:tc>
          <w:tcPr>
            <w:tcW w:w="160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Clorpirifos </w:t>
            </w:r>
            <w:r w:rsidRPr="00993936">
              <w:rPr>
                <w:rFonts w:ascii="Arial" w:hAnsi="Arial" w:cs="Arial"/>
                <w:snapToGrid w:val="0"/>
                <w:lang w:val="es-ES"/>
              </w:rPr>
              <w:t>(granulado)</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40"/>
          <w:jc w:val="center"/>
        </w:trPr>
        <w:tc>
          <w:tcPr>
            <w:tcW w:w="1237" w:type="pct"/>
            <w:vMerge/>
            <w:vAlign w:val="center"/>
          </w:tcPr>
          <w:p w:rsidR="00503A41" w:rsidRPr="00993936" w:rsidRDefault="00503A41" w:rsidP="001D205D">
            <w:pPr>
              <w:pStyle w:val="Sinespaciado"/>
              <w:rPr>
                <w:rFonts w:ascii="Arial" w:hAnsi="Arial" w:cs="Arial"/>
                <w:b/>
                <w:lang w:val="es-ES"/>
              </w:rPr>
            </w:pPr>
          </w:p>
        </w:tc>
        <w:tc>
          <w:tcPr>
            <w:tcW w:w="160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40"/>
          <w:jc w:val="center"/>
        </w:trPr>
        <w:tc>
          <w:tcPr>
            <w:tcW w:w="1237" w:type="pct"/>
            <w:vMerge/>
            <w:vAlign w:val="center"/>
          </w:tcPr>
          <w:p w:rsidR="00503A41" w:rsidRPr="00993936" w:rsidRDefault="00503A41" w:rsidP="001D205D">
            <w:pPr>
              <w:pStyle w:val="Sinespaciado"/>
              <w:rPr>
                <w:rFonts w:ascii="Arial" w:hAnsi="Arial" w:cs="Arial"/>
                <w:b/>
                <w:lang w:val="es-ES"/>
              </w:rPr>
            </w:pPr>
          </w:p>
        </w:tc>
        <w:tc>
          <w:tcPr>
            <w:tcW w:w="160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1237"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Pulgones</w:t>
            </w:r>
          </w:p>
          <w:p w:rsidR="00503A41" w:rsidRPr="00993936" w:rsidRDefault="00503A41" w:rsidP="001D205D">
            <w:pPr>
              <w:pStyle w:val="Sinespaciado"/>
              <w:rPr>
                <w:rFonts w:ascii="Arial" w:hAnsi="Arial" w:cs="Arial"/>
                <w:b/>
                <w:lang w:val="es-ES"/>
              </w:rPr>
            </w:pPr>
            <w:r w:rsidRPr="00993936">
              <w:rPr>
                <w:rFonts w:ascii="Arial" w:hAnsi="Arial" w:cs="Arial"/>
                <w:i/>
                <w:lang w:val="es-ES"/>
              </w:rPr>
              <w:t>Brevicoryne brassicae</w:t>
            </w:r>
            <w:r w:rsidRPr="00993936">
              <w:rPr>
                <w:rFonts w:ascii="Arial" w:hAnsi="Arial" w:cs="Arial"/>
                <w:lang w:val="es-ES"/>
              </w:rPr>
              <w:t xml:space="preserve">, </w:t>
            </w:r>
            <w:r w:rsidRPr="00993936">
              <w:rPr>
                <w:rFonts w:ascii="Arial" w:hAnsi="Arial" w:cs="Arial"/>
                <w:i/>
                <w:lang w:val="es-ES"/>
              </w:rPr>
              <w:t xml:space="preserve">Myzus persicae </w:t>
            </w:r>
            <w:r w:rsidRPr="00993936">
              <w:rPr>
                <w:rFonts w:ascii="Arial" w:hAnsi="Arial" w:cs="Arial"/>
                <w:lang w:val="es-ES"/>
              </w:rPr>
              <w:t>y</w:t>
            </w:r>
            <w:r w:rsidRPr="00993936">
              <w:rPr>
                <w:rFonts w:ascii="Arial" w:hAnsi="Arial" w:cs="Arial"/>
                <w:i/>
                <w:lang w:val="es-ES"/>
              </w:rPr>
              <w:t xml:space="preserve"> </w:t>
            </w:r>
            <w:r w:rsidRPr="00993936">
              <w:rPr>
                <w:rFonts w:ascii="Arial" w:hAnsi="Arial" w:cs="Arial"/>
                <w:lang w:val="es-ES"/>
              </w:rPr>
              <w:t>otros</w:t>
            </w: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Acetamiprid</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13"/>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dstrike/>
                <w:lang w:val="es-ES"/>
              </w:rPr>
            </w:pPr>
            <w:r w:rsidRPr="00993936">
              <w:rPr>
                <w:rFonts w:ascii="Arial" w:hAnsi="Arial" w:cs="Arial"/>
                <w:lang w:val="es-ES"/>
              </w:rPr>
              <w:t xml:space="preserve">Piretrinas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23"/>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Esfenvalerat </w:t>
            </w:r>
          </w:p>
        </w:tc>
        <w:tc>
          <w:tcPr>
            <w:tcW w:w="418" w:type="pct"/>
            <w:vAlign w:val="center"/>
          </w:tcPr>
          <w:p w:rsidR="00503A41" w:rsidRPr="00993936" w:rsidRDefault="00503A41" w:rsidP="001D205D">
            <w:pPr>
              <w:pStyle w:val="Sinespaciado"/>
              <w:jc w:val="center"/>
              <w:rPr>
                <w:rFonts w:ascii="Arial" w:hAnsi="Arial" w:cs="Arial"/>
                <w:b/>
                <w:lang w:val="es-ES"/>
              </w:rPr>
            </w:pPr>
          </w:p>
        </w:tc>
        <w:tc>
          <w:tcPr>
            <w:tcW w:w="454" w:type="pct"/>
            <w:vAlign w:val="center"/>
          </w:tcPr>
          <w:p w:rsidR="00503A41" w:rsidRPr="00993936" w:rsidRDefault="00503A41" w:rsidP="001D205D">
            <w:pPr>
              <w:pStyle w:val="Sinespaciado"/>
              <w:jc w:val="center"/>
              <w:rPr>
                <w:rFonts w:ascii="Arial" w:hAnsi="Arial" w:cs="Arial"/>
                <w:b/>
                <w:lang w:val="es-ES"/>
              </w:rPr>
            </w:pP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Etofenprox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Imidacloprid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Lambda-cihalotrín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Pirimicarb (2)</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27"/>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Tiametoxam</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p>
        </w:tc>
        <w:tc>
          <w:tcPr>
            <w:tcW w:w="587" w:type="pct"/>
            <w:vAlign w:val="center"/>
          </w:tcPr>
          <w:p w:rsidR="00503A41" w:rsidRPr="00993936" w:rsidRDefault="00503A41" w:rsidP="001D205D">
            <w:pPr>
              <w:pStyle w:val="Sinespaciado"/>
              <w:jc w:val="center"/>
              <w:rPr>
                <w:rFonts w:ascii="Arial" w:hAnsi="Arial" w:cs="Arial"/>
                <w:b/>
                <w:lang w:val="es-ES"/>
              </w:rPr>
            </w:pPr>
          </w:p>
        </w:tc>
        <w:tc>
          <w:tcPr>
            <w:tcW w:w="700"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227"/>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Spirotetramat</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8"/>
          <w:jc w:val="center"/>
        </w:trPr>
        <w:tc>
          <w:tcPr>
            <w:tcW w:w="1237"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Lepidópteros Defoliadores</w:t>
            </w:r>
          </w:p>
          <w:p w:rsidR="00503A41" w:rsidRPr="00993936" w:rsidRDefault="00503A41" w:rsidP="001D205D">
            <w:pPr>
              <w:pStyle w:val="Sinespaciado"/>
              <w:rPr>
                <w:rFonts w:ascii="Arial" w:hAnsi="Arial" w:cs="Arial"/>
                <w:lang w:val="es-ES"/>
              </w:rPr>
            </w:pPr>
            <w:r w:rsidRPr="00993936">
              <w:rPr>
                <w:rFonts w:ascii="Arial" w:hAnsi="Arial" w:cs="Arial"/>
                <w:i/>
                <w:lang w:val="es-ES"/>
              </w:rPr>
              <w:lastRenderedPageBreak/>
              <w:t xml:space="preserve">Pieris brassicae, Mamestrtra brassicae, Spodoptera sp., Plusia sp., Plutela sp., </w:t>
            </w:r>
            <w:r w:rsidRPr="00993936">
              <w:rPr>
                <w:rFonts w:ascii="Arial" w:hAnsi="Arial" w:cs="Arial"/>
                <w:lang w:val="es-ES"/>
              </w:rPr>
              <w:t>etc.</w:t>
            </w:r>
          </w:p>
        </w:tc>
        <w:tc>
          <w:tcPr>
            <w:tcW w:w="160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lastRenderedPageBreak/>
              <w:t xml:space="preserve">Alfa cipermetrín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Bacillus thuringiensis var. kurstaki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Bacillus thuringiensis var. aizawai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Betaciflutrín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Clorantraniliprol</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Espinosad</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Metaflumizona</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Cipermetrín</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Clorpirifos </w:t>
            </w:r>
            <w:r w:rsidRPr="00993936">
              <w:rPr>
                <w:rFonts w:ascii="Arial" w:hAnsi="Arial" w:cs="Arial"/>
                <w:snapToGrid w:val="0"/>
                <w:lang w:val="es-ES"/>
              </w:rPr>
              <w:t>(granulado)</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p>
        </w:tc>
        <w:tc>
          <w:tcPr>
            <w:tcW w:w="700"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Emamectina</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Esfenvalerat </w:t>
            </w:r>
          </w:p>
        </w:tc>
        <w:tc>
          <w:tcPr>
            <w:tcW w:w="418" w:type="pct"/>
            <w:vAlign w:val="center"/>
          </w:tcPr>
          <w:p w:rsidR="00503A41" w:rsidRPr="00993936" w:rsidRDefault="00503A41" w:rsidP="001D205D">
            <w:pPr>
              <w:pStyle w:val="Sinespaciado"/>
              <w:jc w:val="center"/>
              <w:rPr>
                <w:rFonts w:ascii="Arial" w:hAnsi="Arial" w:cs="Arial"/>
                <w:b/>
                <w:lang w:val="es-ES"/>
              </w:rPr>
            </w:pPr>
          </w:p>
        </w:tc>
        <w:tc>
          <w:tcPr>
            <w:tcW w:w="454" w:type="pct"/>
            <w:vAlign w:val="center"/>
          </w:tcPr>
          <w:p w:rsidR="00503A41" w:rsidRPr="00993936" w:rsidRDefault="00503A41" w:rsidP="001D205D">
            <w:pPr>
              <w:pStyle w:val="Sinespaciado"/>
              <w:jc w:val="center"/>
              <w:rPr>
                <w:rFonts w:ascii="Arial" w:hAnsi="Arial" w:cs="Arial"/>
                <w:b/>
                <w:lang w:val="es-ES"/>
              </w:rPr>
            </w:pP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Etofenprox </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17"/>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Indoxacarb</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17"/>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1D205D">
        <w:trPr>
          <w:cantSplit/>
          <w:trHeight w:val="162"/>
          <w:jc w:val="center"/>
        </w:trPr>
        <w:tc>
          <w:tcPr>
            <w:tcW w:w="1237"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tc>
        <w:tc>
          <w:tcPr>
            <w:tcW w:w="41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54"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5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70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bl>
    <w:p w:rsidR="00503A41" w:rsidRPr="00993936" w:rsidRDefault="00503A41" w:rsidP="009D1A2D">
      <w:pPr>
        <w:numPr>
          <w:ilvl w:val="1"/>
          <w:numId w:val="80"/>
        </w:numPr>
        <w:spacing w:after="0" w:line="240" w:lineRule="auto"/>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col, coliflor, bróculi y otros brasicáceas (continuación)</w:t>
      </w:r>
    </w:p>
    <w:p w:rsidR="00503A41" w:rsidRPr="00993936" w:rsidRDefault="00503A41">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8"/>
        <w:gridCol w:w="2773"/>
        <w:gridCol w:w="723"/>
        <w:gridCol w:w="785"/>
        <w:gridCol w:w="1015"/>
        <w:gridCol w:w="1210"/>
      </w:tblGrid>
      <w:tr w:rsidR="00503A41" w:rsidRPr="00993936" w:rsidTr="000452B8">
        <w:trPr>
          <w:cantSplit/>
          <w:trHeight w:val="183"/>
          <w:jc w:val="center"/>
        </w:trPr>
        <w:tc>
          <w:tcPr>
            <w:tcW w:w="1237"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Mosca blanca</w:t>
            </w: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Imidacloprid  </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dstrike/>
                <w:lang w:val="es-ES"/>
              </w:rPr>
            </w:pPr>
          </w:p>
        </w:tc>
        <w:tc>
          <w:tcPr>
            <w:tcW w:w="700" w:type="pct"/>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dstrike/>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dstrike/>
                <w:lang w:val="es-ES"/>
              </w:rPr>
            </w:pPr>
            <w:r w:rsidRPr="00993936">
              <w:rPr>
                <w:rFonts w:ascii="Arial" w:hAnsi="Arial" w:cs="Arial"/>
                <w:lang w:val="es-ES"/>
              </w:rPr>
              <w:t>X</w:t>
            </w:r>
          </w:p>
        </w:tc>
      </w:tr>
      <w:tr w:rsidR="00503A41" w:rsidRPr="00993936" w:rsidTr="000452B8">
        <w:trPr>
          <w:cantSplit/>
          <w:trHeight w:val="70"/>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p>
        </w:tc>
        <w:tc>
          <w:tcPr>
            <w:tcW w:w="418" w:type="pct"/>
            <w:vAlign w:val="center"/>
          </w:tcPr>
          <w:p w:rsidR="00503A41" w:rsidRPr="00993936" w:rsidRDefault="00503A41" w:rsidP="001D205D">
            <w:pPr>
              <w:pStyle w:val="Sinespaciado"/>
              <w:jc w:val="center"/>
              <w:rPr>
                <w:rFonts w:ascii="Arial" w:hAnsi="Arial" w:cs="Arial"/>
                <w:dstrike/>
                <w:lang w:val="es-ES"/>
              </w:rPr>
            </w:pPr>
          </w:p>
        </w:tc>
        <w:tc>
          <w:tcPr>
            <w:tcW w:w="454" w:type="pct"/>
            <w:vAlign w:val="center"/>
          </w:tcPr>
          <w:p w:rsidR="00503A41" w:rsidRPr="00993936" w:rsidRDefault="00503A41" w:rsidP="001D205D">
            <w:pPr>
              <w:pStyle w:val="Sinespaciado"/>
              <w:jc w:val="center"/>
              <w:rPr>
                <w:rFonts w:ascii="Arial" w:hAnsi="Arial" w:cs="Arial"/>
                <w:lang w:val="es-ES"/>
              </w:rPr>
            </w:pPr>
          </w:p>
        </w:tc>
        <w:tc>
          <w:tcPr>
            <w:tcW w:w="587" w:type="pct"/>
            <w:vAlign w:val="center"/>
          </w:tcPr>
          <w:p w:rsidR="00503A41" w:rsidRPr="00993936" w:rsidRDefault="00503A41" w:rsidP="001D205D">
            <w:pPr>
              <w:pStyle w:val="Sinespaciado"/>
              <w:jc w:val="center"/>
              <w:rPr>
                <w:rFonts w:ascii="Arial" w:hAnsi="Arial" w:cs="Arial"/>
                <w:dstrike/>
                <w:lang w:val="es-ES"/>
              </w:rPr>
            </w:pPr>
          </w:p>
        </w:tc>
        <w:tc>
          <w:tcPr>
            <w:tcW w:w="700" w:type="pct"/>
            <w:vAlign w:val="center"/>
          </w:tcPr>
          <w:p w:rsidR="00503A41" w:rsidRPr="00993936" w:rsidRDefault="00503A41" w:rsidP="001D205D">
            <w:pPr>
              <w:pStyle w:val="Sinespaciado"/>
              <w:jc w:val="center"/>
              <w:rPr>
                <w:rFonts w:ascii="Arial" w:hAnsi="Arial" w:cs="Arial"/>
                <w:dstrike/>
                <w:lang w:val="es-ES"/>
              </w:rPr>
            </w:pPr>
          </w:p>
        </w:tc>
      </w:tr>
      <w:tr w:rsidR="00503A41" w:rsidRPr="00993936" w:rsidTr="000452B8">
        <w:trPr>
          <w:cantSplit/>
          <w:trHeight w:val="70"/>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Spirotetramat</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215"/>
          <w:jc w:val="center"/>
        </w:trPr>
        <w:tc>
          <w:tcPr>
            <w:tcW w:w="1237"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Podredumbres</w:t>
            </w:r>
          </w:p>
          <w:p w:rsidR="00503A41" w:rsidRPr="00993936" w:rsidRDefault="00503A41" w:rsidP="001D205D">
            <w:pPr>
              <w:pStyle w:val="Sinespaciado"/>
              <w:rPr>
                <w:rFonts w:ascii="Arial" w:hAnsi="Arial" w:cs="Arial"/>
                <w:lang w:val="es-ES"/>
              </w:rPr>
            </w:pPr>
            <w:r w:rsidRPr="00993936">
              <w:rPr>
                <w:rFonts w:ascii="Arial" w:hAnsi="Arial" w:cs="Arial"/>
                <w:i/>
                <w:lang w:val="es-ES"/>
              </w:rPr>
              <w:t>Botrytis</w:t>
            </w:r>
            <w:r w:rsidRPr="00993936">
              <w:rPr>
                <w:rFonts w:ascii="Arial" w:hAnsi="Arial" w:cs="Arial"/>
                <w:lang w:val="es-ES"/>
              </w:rPr>
              <w:t xml:space="preserve"> sp.i </w:t>
            </w:r>
            <w:r w:rsidRPr="00993936">
              <w:rPr>
                <w:rFonts w:ascii="Arial" w:hAnsi="Arial" w:cs="Arial"/>
                <w:i/>
                <w:lang w:val="es-ES"/>
              </w:rPr>
              <w:t xml:space="preserve">Sclerotinia </w:t>
            </w:r>
            <w:r w:rsidRPr="00993936">
              <w:rPr>
                <w:rFonts w:ascii="Arial" w:hAnsi="Arial" w:cs="Arial"/>
                <w:lang w:val="es-ES"/>
              </w:rPr>
              <w:t>sp.</w:t>
            </w:r>
          </w:p>
        </w:tc>
        <w:tc>
          <w:tcPr>
            <w:tcW w:w="1604" w:type="pc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Coniothyrium minitans</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dstrike/>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dstrike/>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dstrike/>
                <w:lang w:val="es-ES"/>
              </w:rPr>
            </w:pPr>
            <w:r w:rsidRPr="00993936">
              <w:rPr>
                <w:rFonts w:ascii="Arial" w:hAnsi="Arial" w:cs="Arial"/>
                <w:lang w:val="es-ES"/>
              </w:rPr>
              <w:t>X</w:t>
            </w:r>
          </w:p>
        </w:tc>
      </w:tr>
      <w:tr w:rsidR="00503A41" w:rsidRPr="00993936" w:rsidTr="000452B8">
        <w:trPr>
          <w:cantSplit/>
          <w:trHeight w:val="276"/>
          <w:jc w:val="center"/>
        </w:trPr>
        <w:tc>
          <w:tcPr>
            <w:tcW w:w="1237" w:type="pct"/>
            <w:vMerge/>
            <w:tcBorders>
              <w:bottom w:val="single" w:sz="4" w:space="0" w:color="auto"/>
            </w:tcBorders>
            <w:vAlign w:val="center"/>
          </w:tcPr>
          <w:p w:rsidR="00503A41" w:rsidRPr="00993936" w:rsidRDefault="00503A41" w:rsidP="001D205D">
            <w:pPr>
              <w:pStyle w:val="Sinespaciado"/>
              <w:rPr>
                <w:rFonts w:ascii="Arial" w:hAnsi="Arial" w:cs="Arial"/>
                <w:lang w:val="es-ES"/>
              </w:rPr>
            </w:pPr>
          </w:p>
        </w:tc>
        <w:tc>
          <w:tcPr>
            <w:tcW w:w="160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Iprodiona</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3"/>
          <w:jc w:val="center"/>
        </w:trPr>
        <w:tc>
          <w:tcPr>
            <w:tcW w:w="1237" w:type="pct"/>
            <w:vMerge w:val="restart"/>
            <w:tcBorders>
              <w:bottom w:val="nil"/>
            </w:tcBorders>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Alternaria</w:t>
            </w: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418" w:type="pct"/>
            <w:vAlign w:val="center"/>
          </w:tcPr>
          <w:p w:rsidR="00503A41" w:rsidRPr="00993936" w:rsidRDefault="00503A41" w:rsidP="001D205D">
            <w:pPr>
              <w:pStyle w:val="Sinespaciado"/>
              <w:jc w:val="center"/>
              <w:rPr>
                <w:rFonts w:ascii="Arial" w:hAnsi="Arial" w:cs="Arial"/>
                <w:lang w:val="es-ES"/>
              </w:rPr>
            </w:pP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tcBorders>
              <w:bottom w:val="nil"/>
            </w:tcBorders>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Boscalida + Piraclostrobín</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3"/>
          <w:jc w:val="center"/>
        </w:trPr>
        <w:tc>
          <w:tcPr>
            <w:tcW w:w="1237" w:type="pct"/>
            <w:vMerge/>
            <w:tcBorders>
              <w:bottom w:val="nil"/>
            </w:tcBorders>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Clortalonil </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tcBorders>
              <w:bottom w:val="nil"/>
            </w:tcBorders>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Difenoconazol</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tcBorders>
              <w:bottom w:val="nil"/>
            </w:tcBorders>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 (4)</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tcBorders>
              <w:bottom w:val="nil"/>
            </w:tcBorders>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Mancozeb + Oxicloruro de cobre</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Del="000C32D2"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Del="000C32D2"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val="restart"/>
            <w:tcBorders>
              <w:top w:val="nil"/>
            </w:tcBorders>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Oxicloruro de cobre</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Óxido cuproso</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Sulfato cuprocálcico</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Mancozeb</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Mancozeb + Sulfato cuprocálcico</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Sulfato tribásico de cobre</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Tebuconazol + Trifloxistrobina</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55"/>
          <w:jc w:val="center"/>
        </w:trPr>
        <w:tc>
          <w:tcPr>
            <w:tcW w:w="1237"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Mildiu</w:t>
            </w: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55"/>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Clortalonil </w:t>
            </w:r>
          </w:p>
        </w:tc>
        <w:tc>
          <w:tcPr>
            <w:tcW w:w="418" w:type="pct"/>
            <w:vAlign w:val="center"/>
          </w:tcPr>
          <w:p w:rsidR="00503A41" w:rsidRPr="00993936" w:rsidRDefault="00503A41" w:rsidP="001D205D">
            <w:pPr>
              <w:pStyle w:val="Sinespaciado"/>
              <w:jc w:val="center"/>
              <w:rPr>
                <w:rFonts w:ascii="Arial" w:hAnsi="Arial" w:cs="Arial"/>
                <w:dstrike/>
                <w:lang w:val="es-ES"/>
              </w:rPr>
            </w:pP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Oxicloruro de cobre</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Óxido cuproso</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Sulfato cuprocálcico</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Fluopicalida + Propamocarb</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Sulfato tribásico de cobre</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Mancozeb</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Mancozeb + Metalaxil </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Mancozeb + Metalaxil-M </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Metalaxil</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dstrike/>
                <w:lang w:val="es-ES"/>
              </w:rPr>
            </w:pP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Metalaxil + Oxicloruro de cobre</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183"/>
          <w:jc w:val="center"/>
        </w:trPr>
        <w:tc>
          <w:tcPr>
            <w:tcW w:w="1237" w:type="pct"/>
            <w:vMerge/>
            <w:shd w:val="clear" w:color="auto" w:fill="auto"/>
            <w:vAlign w:val="center"/>
          </w:tcPr>
          <w:p w:rsidR="00503A41" w:rsidRPr="00993936" w:rsidRDefault="00503A41" w:rsidP="001D205D">
            <w:pPr>
              <w:pStyle w:val="Sinespaciado"/>
              <w:rPr>
                <w:rFonts w:ascii="Arial" w:hAnsi="Arial" w:cs="Arial"/>
                <w:lang w:val="es-ES"/>
              </w:rPr>
            </w:pPr>
          </w:p>
        </w:tc>
        <w:tc>
          <w:tcPr>
            <w:tcW w:w="160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Mancozeb + Oxicloruro de cobre</w:t>
            </w:r>
          </w:p>
        </w:tc>
        <w:tc>
          <w:tcPr>
            <w:tcW w:w="418"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454"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587"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X</w:t>
            </w:r>
          </w:p>
        </w:tc>
      </w:tr>
      <w:tr w:rsidR="00503A41" w:rsidRPr="00993936" w:rsidTr="000452B8">
        <w:trPr>
          <w:cantSplit/>
          <w:trHeight w:val="485"/>
          <w:jc w:val="center"/>
        </w:trPr>
        <w:tc>
          <w:tcPr>
            <w:tcW w:w="1237" w:type="pc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Hongos del cuello</w:t>
            </w:r>
            <w:r w:rsidRPr="00993936">
              <w:rPr>
                <w:rFonts w:ascii="Arial" w:hAnsi="Arial" w:cs="Arial"/>
                <w:b/>
                <w:vanish/>
                <w:lang w:val="es-ES"/>
              </w:rPr>
              <w:t>&lt;A[cuello|garganta]&gt;</w:t>
            </w:r>
            <w:r w:rsidRPr="00993936">
              <w:rPr>
                <w:rFonts w:ascii="Arial" w:hAnsi="Arial" w:cs="Arial"/>
                <w:b/>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Fusarium, </w:t>
            </w:r>
            <w:r w:rsidRPr="00993936">
              <w:rPr>
                <w:rFonts w:ascii="Arial" w:hAnsi="Arial" w:cs="Arial"/>
                <w:i/>
                <w:lang w:val="es-ES"/>
              </w:rPr>
              <w:t>Phoma lingam</w:t>
            </w:r>
          </w:p>
        </w:tc>
        <w:tc>
          <w:tcPr>
            <w:tcW w:w="1604" w:type="pct"/>
            <w:shd w:val="clear" w:color="auto" w:fill="auto"/>
            <w:vAlign w:val="center"/>
          </w:tcPr>
          <w:p w:rsidR="00503A41" w:rsidRPr="00993936" w:rsidRDefault="00503A41" w:rsidP="001D205D">
            <w:pPr>
              <w:pStyle w:val="Sinespaciado"/>
              <w:rPr>
                <w:rFonts w:ascii="Arial" w:hAnsi="Arial" w:cs="Arial"/>
                <w:lang w:val="es-ES"/>
              </w:rPr>
            </w:pPr>
          </w:p>
        </w:tc>
        <w:tc>
          <w:tcPr>
            <w:tcW w:w="418" w:type="pct"/>
            <w:vAlign w:val="center"/>
          </w:tcPr>
          <w:p w:rsidR="00503A41" w:rsidRPr="00993936" w:rsidRDefault="00503A41" w:rsidP="001D205D">
            <w:pPr>
              <w:pStyle w:val="Sinespaciado"/>
              <w:jc w:val="center"/>
              <w:rPr>
                <w:rFonts w:ascii="Arial" w:hAnsi="Arial" w:cs="Arial"/>
                <w:lang w:val="es-ES"/>
              </w:rPr>
            </w:pPr>
          </w:p>
        </w:tc>
        <w:tc>
          <w:tcPr>
            <w:tcW w:w="454" w:type="pct"/>
            <w:vAlign w:val="center"/>
          </w:tcPr>
          <w:p w:rsidR="00503A41" w:rsidRPr="00993936" w:rsidRDefault="00503A41" w:rsidP="001D205D">
            <w:pPr>
              <w:pStyle w:val="Sinespaciado"/>
              <w:jc w:val="center"/>
              <w:rPr>
                <w:rFonts w:ascii="Arial" w:hAnsi="Arial" w:cs="Arial"/>
                <w:lang w:val="es-ES"/>
              </w:rPr>
            </w:pPr>
          </w:p>
        </w:tc>
        <w:tc>
          <w:tcPr>
            <w:tcW w:w="587" w:type="pct"/>
            <w:vAlign w:val="center"/>
          </w:tcPr>
          <w:p w:rsidR="00503A41" w:rsidRPr="00993936" w:rsidRDefault="00503A41" w:rsidP="001D205D">
            <w:pPr>
              <w:pStyle w:val="Sinespaciado"/>
              <w:jc w:val="center"/>
              <w:rPr>
                <w:rFonts w:ascii="Arial" w:hAnsi="Arial" w:cs="Arial"/>
                <w:lang w:val="es-ES"/>
              </w:rPr>
            </w:pPr>
          </w:p>
        </w:tc>
        <w:tc>
          <w:tcPr>
            <w:tcW w:w="700" w:type="pct"/>
            <w:vAlign w:val="center"/>
          </w:tcPr>
          <w:p w:rsidR="00503A41" w:rsidRPr="00993936" w:rsidRDefault="00503A41" w:rsidP="001D205D">
            <w:pPr>
              <w:pStyle w:val="Sinespaciado"/>
              <w:jc w:val="center"/>
              <w:rPr>
                <w:rFonts w:ascii="Arial" w:hAnsi="Arial" w:cs="Arial"/>
                <w:lang w:val="es-ES"/>
              </w:rPr>
            </w:pPr>
          </w:p>
        </w:tc>
      </w:tr>
      <w:tr w:rsidR="00503A41" w:rsidRPr="00993936" w:rsidTr="000452B8">
        <w:trPr>
          <w:cantSplit/>
          <w:trHeight w:val="240"/>
          <w:jc w:val="center"/>
        </w:trPr>
        <w:tc>
          <w:tcPr>
            <w:tcW w:w="1237"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Otras plagas y enfermedades</w:t>
            </w:r>
          </w:p>
        </w:tc>
        <w:tc>
          <w:tcPr>
            <w:tcW w:w="3763" w:type="pct"/>
            <w:gridSpan w:val="5"/>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Las expresamente autorizadas en el cultivo, teniendo en cuenta su efecto sobre la fauna útil y su toxicología</w:t>
            </w:r>
          </w:p>
        </w:tc>
      </w:tr>
    </w:tbl>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lang w:val="es-ES"/>
        </w:rPr>
      </w:pPr>
    </w:p>
    <w:p w:rsidR="00503A41" w:rsidRPr="00993936" w:rsidRDefault="00503A41" w:rsidP="000452B8">
      <w:pPr>
        <w:jc w:val="center"/>
        <w:rPr>
          <w:rFonts w:ascii="Arial" w:hAnsi="Arial" w:cs="Arial"/>
          <w:b/>
          <w:lang w:val="es-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center"/>
        <w:rPr>
          <w:rFonts w:ascii="Arial" w:hAnsi="Arial" w:cs="Arial"/>
          <w:b/>
          <w:sz w:val="28"/>
          <w:szCs w:val="28"/>
          <w:u w:val="single"/>
          <w:lang w:val="es-ES"/>
        </w:rPr>
      </w:pPr>
      <w:r w:rsidRPr="00993936">
        <w:rPr>
          <w:rFonts w:ascii="Arial" w:hAnsi="Arial" w:cs="Arial"/>
          <w:b/>
          <w:sz w:val="28"/>
          <w:szCs w:val="28"/>
          <w:u w:val="single"/>
          <w:lang w:val="es-ES"/>
        </w:rPr>
        <w:br w:type="page"/>
      </w:r>
      <w:r w:rsidRPr="00993936">
        <w:rPr>
          <w:rFonts w:ascii="Arial" w:hAnsi="Arial" w:cs="Arial"/>
          <w:b/>
          <w:sz w:val="28"/>
          <w:szCs w:val="28"/>
          <w:u w:val="single"/>
          <w:lang w:val="es-ES"/>
        </w:rPr>
        <w:lastRenderedPageBreak/>
        <w:t>CULTIVO: CUCURBITÁCEAS (PEPINO, CALABACÍN, CALABAZA, MELÓN Y SANDÍA)</w:t>
      </w:r>
    </w:p>
    <w:p w:rsidR="00503A41" w:rsidRPr="00993936" w:rsidRDefault="00503A41" w:rsidP="000452B8">
      <w:pPr>
        <w:jc w:val="center"/>
        <w:rPr>
          <w:rFonts w:ascii="Arial" w:hAnsi="Arial" w:cs="Arial"/>
          <w:sz w:val="28"/>
          <w:szCs w:val="28"/>
          <w:u w:val="single"/>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4</w:t>
      </w:r>
    </w:p>
    <w:p w:rsidR="00503A41" w:rsidRPr="00993936" w:rsidRDefault="00503A41" w:rsidP="000452B8">
      <w:pPr>
        <w:pStyle w:val="Textoindependiente"/>
        <w:rPr>
          <w:rFonts w:cs="Arial"/>
          <w:b/>
          <w:snapToGrid w:val="0"/>
          <w:lang w:val="es-ES"/>
        </w:rPr>
      </w:pPr>
      <w:r w:rsidRPr="00993936">
        <w:rPr>
          <w:rFonts w:cs="Arial"/>
          <w:b/>
          <w:snapToGrid w:val="0"/>
          <w:lang w:val="es-ES"/>
        </w:rPr>
        <w:t xml:space="preserve">Materias activas de herbicidas para la producción integrada de cucurbitáceas </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TIPO DE HERBICIDAS</w:t>
            </w:r>
          </w:p>
        </w:tc>
      </w:tr>
      <w:tr w:rsidR="00503A41" w:rsidRPr="00993936" w:rsidTr="000452B8">
        <w:trPr>
          <w:cantSplit/>
          <w:jc w:val="center"/>
        </w:trPr>
        <w:tc>
          <w:tcPr>
            <w:tcW w:w="2418" w:type="pct"/>
            <w:vAlign w:val="center"/>
          </w:tcPr>
          <w:p w:rsidR="00503A41" w:rsidRPr="00993936" w:rsidRDefault="00503A41" w:rsidP="001D205D">
            <w:pPr>
              <w:pStyle w:val="Sinespaciado"/>
              <w:rPr>
                <w:rFonts w:ascii="Arial" w:hAnsi="Arial" w:cs="Arial"/>
                <w:sz w:val="24"/>
                <w:lang w:val="es-ES"/>
              </w:rPr>
            </w:pPr>
            <w:r w:rsidRPr="00993936">
              <w:rPr>
                <w:rFonts w:ascii="Arial" w:hAnsi="Arial" w:cs="Arial"/>
                <w:sz w:val="24"/>
                <w:lang w:val="es-ES"/>
              </w:rPr>
              <w:t>Materia activa</w:t>
            </w:r>
          </w:p>
        </w:tc>
        <w:tc>
          <w:tcPr>
            <w:tcW w:w="2582" w:type="pct"/>
            <w:shd w:val="clear" w:color="auto" w:fill="D9D9D9"/>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Restricciones</w:t>
            </w:r>
          </w:p>
        </w:tc>
      </w:tr>
      <w:tr w:rsidR="00503A41" w:rsidRPr="00993936" w:rsidTr="000452B8">
        <w:trPr>
          <w:cantSplit/>
          <w:trHeight w:val="6500"/>
          <w:jc w:val="center"/>
        </w:trPr>
        <w:tc>
          <w:tcPr>
            <w:tcW w:w="2418" w:type="pct"/>
            <w:vAlign w:val="center"/>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 + Glifosato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Diquat</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Fluazifop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Glufosinato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eastAsia="es-ES"/>
              </w:rPr>
              <w:t>Piridato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Propaquizafop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eastAsia="es-ES"/>
              </w:rPr>
              <w:t>Quizalofop-p-etil</w:t>
            </w:r>
          </w:p>
        </w:tc>
        <w:tc>
          <w:tcPr>
            <w:tcW w:w="2582" w:type="pct"/>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w:t>
            </w:r>
            <w:r w:rsidRPr="00993936">
              <w:rPr>
                <w:rFonts w:ascii="Arial" w:hAnsi="Arial" w:cs="Arial"/>
                <w:snapToGrid w:val="0"/>
                <w:sz w:val="18"/>
                <w:lang w:val="es-ES" w:eastAsia="ca-ES"/>
              </w:rPr>
              <w:t>a) Sólo autorizado para calabaza, melón y sandía.</w:t>
            </w: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sz w:val="20"/>
                <w:lang w:val="es-ES"/>
              </w:rPr>
            </w:pPr>
            <w:r w:rsidRPr="00993936">
              <w:rPr>
                <w:rFonts w:ascii="Arial" w:hAnsi="Arial" w:cs="Arial"/>
                <w:snapToGrid w:val="0"/>
                <w:sz w:val="18"/>
                <w:lang w:val="es-ES"/>
              </w:rPr>
              <w:t>Las restricciones numéricas se detallan al final de este documento.</w:t>
            </w:r>
          </w:p>
        </w:tc>
      </w:tr>
    </w:tbl>
    <w:p w:rsidR="00503A41" w:rsidRPr="00993936" w:rsidRDefault="00503A41" w:rsidP="000452B8">
      <w:pPr>
        <w:pStyle w:val="Textoindependiente"/>
        <w:rPr>
          <w:rFonts w:cs="Arial"/>
          <w:b/>
          <w:snapToGrid w:val="0"/>
          <w:lang w:val="es-ES"/>
        </w:rPr>
      </w:pPr>
    </w:p>
    <w:p w:rsidR="00503A41" w:rsidRPr="00993936" w:rsidRDefault="00503A41" w:rsidP="000452B8">
      <w:pPr>
        <w:pStyle w:val="Textoindependiente"/>
        <w:rPr>
          <w:rFonts w:cs="Arial"/>
          <w:b/>
          <w:snapToGrid w:val="0"/>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numPr>
          <w:ilvl w:val="0"/>
          <w:numId w:val="84"/>
        </w:numPr>
        <w:spacing w:before="120" w:after="0" w:line="240" w:lineRule="auto"/>
        <w:jc w:val="both"/>
        <w:rPr>
          <w:rFonts w:ascii="Arial" w:hAnsi="Arial" w:cs="Arial"/>
          <w:i/>
          <w:lang w:val="es-ES"/>
        </w:rPr>
      </w:pPr>
      <w:r w:rsidRPr="00993936">
        <w:rPr>
          <w:rFonts w:ascii="Arial" w:hAnsi="Arial" w:cs="Arial"/>
          <w:i/>
          <w:lang w:val="es-ES"/>
        </w:rPr>
        <w:t>Orius laevigatus y O. majusculus</w:t>
      </w:r>
    </w:p>
    <w:p w:rsidR="00503A41" w:rsidRPr="00993936" w:rsidRDefault="00503A41" w:rsidP="009D1A2D">
      <w:pPr>
        <w:numPr>
          <w:ilvl w:val="0"/>
          <w:numId w:val="84"/>
        </w:numPr>
        <w:spacing w:before="120" w:after="0" w:line="240" w:lineRule="auto"/>
        <w:jc w:val="both"/>
        <w:rPr>
          <w:rFonts w:ascii="Arial" w:hAnsi="Arial" w:cs="Arial"/>
          <w:i/>
          <w:lang w:val="es-ES"/>
        </w:rPr>
      </w:pPr>
      <w:r w:rsidRPr="00993936">
        <w:rPr>
          <w:rFonts w:ascii="Arial" w:hAnsi="Arial" w:cs="Arial"/>
          <w:i/>
          <w:lang w:val="es-ES"/>
        </w:rPr>
        <w:t>Macrolophus pygmaeus.</w:t>
      </w:r>
    </w:p>
    <w:p w:rsidR="00503A41" w:rsidRPr="00993936" w:rsidRDefault="00503A41" w:rsidP="009D1A2D">
      <w:pPr>
        <w:numPr>
          <w:ilvl w:val="0"/>
          <w:numId w:val="84"/>
        </w:numPr>
        <w:spacing w:before="120" w:after="0" w:line="240" w:lineRule="auto"/>
        <w:jc w:val="both"/>
        <w:rPr>
          <w:rFonts w:ascii="Arial" w:hAnsi="Arial" w:cs="Arial"/>
          <w:i/>
          <w:lang w:val="es-ES"/>
        </w:rPr>
      </w:pPr>
      <w:r w:rsidRPr="00993936">
        <w:rPr>
          <w:rFonts w:ascii="Arial" w:hAnsi="Arial" w:cs="Arial"/>
          <w:i/>
          <w:lang w:val="es-ES"/>
        </w:rPr>
        <w:t>Eretmocerus mundus.</w:t>
      </w:r>
    </w:p>
    <w:p w:rsidR="00503A41" w:rsidRPr="00993936" w:rsidRDefault="00503A41" w:rsidP="009D1A2D">
      <w:pPr>
        <w:numPr>
          <w:ilvl w:val="0"/>
          <w:numId w:val="84"/>
        </w:numPr>
        <w:spacing w:before="120" w:after="0" w:line="240" w:lineRule="auto"/>
        <w:jc w:val="both"/>
        <w:rPr>
          <w:rFonts w:ascii="Arial" w:hAnsi="Arial" w:cs="Arial"/>
          <w:i/>
          <w:lang w:val="es-ES"/>
        </w:rPr>
      </w:pPr>
      <w:r w:rsidRPr="00993936">
        <w:rPr>
          <w:rFonts w:ascii="Arial" w:eastAsia="AdvTimes-i" w:hAnsi="Arial" w:cs="Arial"/>
          <w:i/>
          <w:lang w:val="es-ES"/>
        </w:rPr>
        <w:t xml:space="preserve">Neoseiulus californicus </w:t>
      </w:r>
      <w:r w:rsidRPr="00993936">
        <w:rPr>
          <w:rFonts w:ascii="Arial" w:eastAsia="AdvTimes" w:hAnsi="Arial" w:cs="Arial"/>
          <w:i/>
          <w:lang w:val="es-ES"/>
        </w:rPr>
        <w:t>(=</w:t>
      </w:r>
      <w:r w:rsidRPr="00993936">
        <w:rPr>
          <w:rFonts w:ascii="Arial" w:eastAsia="AdvTimes-i" w:hAnsi="Arial" w:cs="Arial"/>
          <w:i/>
          <w:lang w:val="es-ES"/>
        </w:rPr>
        <w:t xml:space="preserve">Amblyseius </w:t>
      </w:r>
      <w:r w:rsidRPr="00993936">
        <w:rPr>
          <w:rFonts w:ascii="Arial" w:hAnsi="Arial" w:cs="Arial"/>
          <w:i/>
          <w:lang w:val="es-ES"/>
        </w:rPr>
        <w:t>californicus).</w:t>
      </w:r>
    </w:p>
    <w:p w:rsidR="00503A41" w:rsidRPr="00993936" w:rsidRDefault="00503A41" w:rsidP="009D1A2D">
      <w:pPr>
        <w:numPr>
          <w:ilvl w:val="0"/>
          <w:numId w:val="84"/>
        </w:numPr>
        <w:spacing w:before="120" w:after="0" w:line="240" w:lineRule="auto"/>
        <w:jc w:val="both"/>
        <w:rPr>
          <w:rFonts w:ascii="Arial" w:hAnsi="Arial" w:cs="Arial"/>
          <w:i/>
          <w:lang w:val="es-ES"/>
        </w:rPr>
      </w:pPr>
      <w:r w:rsidRPr="00993936">
        <w:rPr>
          <w:rFonts w:ascii="Arial" w:hAnsi="Arial" w:cs="Arial"/>
          <w:i/>
          <w:lang w:val="es-ES"/>
        </w:rPr>
        <w:t>Aphidius colemani</w:t>
      </w:r>
    </w:p>
    <w:p w:rsidR="00503A41" w:rsidRPr="00993936" w:rsidRDefault="00503A41" w:rsidP="009D1A2D">
      <w:pPr>
        <w:numPr>
          <w:ilvl w:val="0"/>
          <w:numId w:val="84"/>
        </w:numPr>
        <w:spacing w:before="120" w:after="0" w:line="240" w:lineRule="auto"/>
        <w:jc w:val="both"/>
        <w:rPr>
          <w:rFonts w:ascii="Arial" w:hAnsi="Arial" w:cs="Arial"/>
          <w:i/>
          <w:lang w:val="es-ES"/>
        </w:rPr>
      </w:pPr>
      <w:r w:rsidRPr="00993936">
        <w:rPr>
          <w:rFonts w:ascii="Arial" w:hAnsi="Arial" w:cs="Arial"/>
          <w:i/>
          <w:lang w:val="es-ES"/>
        </w:rPr>
        <w:t>Aphidoletes aphidimyza</w:t>
      </w:r>
    </w:p>
    <w:p w:rsidR="00503A41" w:rsidRPr="00993936" w:rsidRDefault="00503A41" w:rsidP="000452B8">
      <w:pPr>
        <w:pStyle w:val="Ttulo1"/>
        <w:rPr>
          <w:rFonts w:ascii="Arial" w:hAnsi="Arial" w:cs="Arial"/>
          <w:b/>
          <w:caps/>
          <w:color w:val="auto"/>
          <w:sz w:val="22"/>
        </w:rPr>
      </w:pPr>
    </w:p>
    <w:p w:rsidR="00503A41" w:rsidRPr="00993936" w:rsidRDefault="00503A41" w:rsidP="000452B8">
      <w:pPr>
        <w:pStyle w:val="Ttulo1"/>
        <w:spacing w:before="120"/>
        <w:rPr>
          <w:rFonts w:ascii="Arial" w:hAnsi="Arial" w:cs="Arial"/>
          <w:b/>
          <w:color w:val="auto"/>
          <w:sz w:val="22"/>
        </w:rPr>
      </w:pPr>
      <w:r w:rsidRPr="00993936">
        <w:rPr>
          <w:rFonts w:ascii="Arial" w:hAnsi="Arial" w:cs="Arial"/>
          <w:b/>
          <w:caps/>
          <w:color w:val="auto"/>
          <w:sz w:val="22"/>
        </w:rPr>
        <w:t>ANEXO 6</w:t>
      </w:r>
    </w:p>
    <w:p w:rsidR="00503A41" w:rsidRPr="00993936" w:rsidRDefault="00503A41" w:rsidP="000452B8">
      <w:pPr>
        <w:pStyle w:val="Textoindependiente"/>
        <w:spacing w:before="120"/>
        <w:rPr>
          <w:rFonts w:cs="Arial"/>
          <w:b/>
          <w:lang w:val="es-ES"/>
        </w:rPr>
      </w:pPr>
      <w:r w:rsidRPr="00993936">
        <w:rPr>
          <w:rFonts w:cs="Arial"/>
          <w:b/>
          <w:lang w:val="es-ES"/>
        </w:rPr>
        <w:t>Programas de control fitosanitario</w:t>
      </w:r>
    </w:p>
    <w:p w:rsidR="00503A41" w:rsidRPr="00993936" w:rsidRDefault="00503A41" w:rsidP="000452B8">
      <w:pPr>
        <w:pStyle w:val="Textoindependiente"/>
        <w:spacing w:before="120"/>
        <w:rPr>
          <w:rFonts w:cs="Arial"/>
          <w:lang w:val="es-ES"/>
        </w:rPr>
      </w:pPr>
      <w:r w:rsidRPr="00993936">
        <w:rPr>
          <w:rFonts w:cs="Arial"/>
          <w:lang w:val="es-ES"/>
        </w:rPr>
        <w:lastRenderedPageBreak/>
        <w:t>Para poder aplicar estos programas con éxito, es imprescindible aplicar unas buenas medidas culturales con el objetivo de iniciar el cultivo con plantas con ausencia</w:t>
      </w:r>
      <w:r w:rsidRPr="00993936">
        <w:rPr>
          <w:rFonts w:cs="Arial"/>
          <w:vanish/>
          <w:lang w:val="es-ES"/>
        </w:rPr>
        <w:t>&lt;A[limpias|netas]&gt;</w:t>
      </w:r>
      <w:r w:rsidRPr="00993936">
        <w:rPr>
          <w:rFonts w:cs="Arial"/>
          <w:lang w:val="es-ES"/>
        </w:rPr>
        <w:t xml:space="preserve"> de plagas y enfermedades, disminuir su entrada en el cultivo y la posterior proliferación.</w:t>
      </w:r>
    </w:p>
    <w:p w:rsidR="00503A41" w:rsidRPr="00993936" w:rsidRDefault="00503A41" w:rsidP="000452B8">
      <w:pPr>
        <w:pStyle w:val="Textoindependiente"/>
        <w:spacing w:before="120"/>
        <w:rPr>
          <w:rFonts w:cs="Arial"/>
          <w:lang w:val="es-ES"/>
        </w:rPr>
      </w:pPr>
      <w:r w:rsidRPr="00993936">
        <w:rPr>
          <w:rFonts w:cs="Arial"/>
          <w:lang w:val="es-ES"/>
        </w:rPr>
        <w:t xml:space="preserve">Hay un programa específico para el cultivo que se recoge en el Cuadro nº. 1 de este Anexo. </w:t>
      </w:r>
    </w:p>
    <w:p w:rsidR="00503A41" w:rsidRPr="00993936" w:rsidRDefault="00503A41" w:rsidP="000452B8">
      <w:pPr>
        <w:pStyle w:val="Textoindependiente"/>
        <w:spacing w:before="120"/>
        <w:rPr>
          <w:rFonts w:cs="Arial"/>
          <w:lang w:val="es-ES"/>
        </w:rPr>
      </w:pPr>
      <w:r w:rsidRPr="00993936">
        <w:rPr>
          <w:rFonts w:cs="Arial"/>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lang w:val="es-ES"/>
        </w:rPr>
      </w:pPr>
      <w:r w:rsidRPr="00993936">
        <w:rPr>
          <w:rFonts w:cs="Arial"/>
          <w:lang w:val="es-ES"/>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por aquella plaga o enfermedad. </w:t>
      </w:r>
    </w:p>
    <w:p w:rsidR="00503A41" w:rsidRPr="00993936" w:rsidRDefault="00503A41" w:rsidP="000452B8">
      <w:pPr>
        <w:pStyle w:val="Textoindependiente"/>
        <w:spacing w:before="120"/>
        <w:rPr>
          <w:rFonts w:cs="Arial"/>
          <w:lang w:val="es-ES"/>
        </w:rPr>
      </w:pPr>
      <w:r w:rsidRPr="00993936">
        <w:rPr>
          <w:rFonts w:cs="Arial"/>
          <w:lang w:val="es-ES"/>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lang w:val="es-ES"/>
        </w:rPr>
      </w:pPr>
      <w:r w:rsidRPr="00993936">
        <w:rPr>
          <w:rFonts w:cs="Arial"/>
          <w:lang w:val="es-ES"/>
        </w:rPr>
        <w:t>Además de los muestreos específicos propuestos en los Cuadros de Control Fitosanitario, se hará una observación general del cultivo que permita estimar su estado general, así como la presencia de plagas y/o enfermedades. Los recuentos y las observaciones, así como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lang w:val="es-ES"/>
        </w:rPr>
        <w:t xml:space="preserve">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w:t>
      </w:r>
      <w:r w:rsidRPr="00993936">
        <w:rPr>
          <w:rFonts w:cs="Arial"/>
          <w:szCs w:val="22"/>
          <w:lang w:val="es-ES"/>
        </w:rPr>
        <w:t>Observaciones. En base a los recuentos realizados se calculará el porcentaje de plantas que presentan una determinada plaga o enfermedad (porcentaje de ocupación</w:t>
      </w:r>
      <w:r w:rsidRPr="00993936">
        <w:rPr>
          <w:rFonts w:cs="Arial"/>
          <w:vanish/>
          <w:szCs w:val="22"/>
          <w:lang w:val="es-ES"/>
        </w:rPr>
        <w:t>&lt;A[empleo|ocupación]&gt;</w:t>
      </w:r>
      <w:r w:rsidRPr="00993936">
        <w:rPr>
          <w:rFonts w:cs="Arial"/>
          <w:szCs w:val="22"/>
          <w:lang w:val="es-ES"/>
        </w:rPr>
        <w:t>) o la infestación media cuando sea requerida. También se calculará el porcentaje de plantas que presentan fauna útil asociada a cada una de las plagas.</w:t>
      </w:r>
    </w:p>
    <w:p w:rsidR="00503A41" w:rsidRPr="00993936" w:rsidRDefault="00503A41" w:rsidP="000452B8">
      <w:pPr>
        <w:pStyle w:val="Ttulo5"/>
        <w:spacing w:before="120"/>
        <w:rPr>
          <w:rFonts w:ascii="Arial" w:hAnsi="Arial" w:cs="Arial"/>
          <w:b/>
          <w:color w:val="auto"/>
          <w:lang w:val="es-ES"/>
        </w:rPr>
      </w:pPr>
      <w:r w:rsidRPr="00993936">
        <w:rPr>
          <w:rFonts w:ascii="Arial" w:hAnsi="Arial" w:cs="Arial"/>
          <w:color w:val="auto"/>
          <w:lang w:val="es-ES"/>
        </w:rPr>
        <w:t>Los métodos de muestreo y los umbrales de intervención en los casos previstos son los que figuran en el Cuadro 1 de este anexo.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 xml:space="preserve">6.1. </w:t>
      </w:r>
      <w:r w:rsidRPr="00993936">
        <w:rPr>
          <w:rFonts w:ascii="Arial" w:hAnsi="Arial" w:cs="Arial"/>
          <w:i/>
          <w:color w:val="auto"/>
          <w:lang w:val="es-ES"/>
        </w:rPr>
        <w:t>Bemisia tabaci</w:t>
      </w:r>
      <w:r w:rsidRPr="00993936">
        <w:rPr>
          <w:rFonts w:ascii="Arial" w:hAnsi="Arial" w:cs="Arial"/>
          <w:color w:val="auto"/>
          <w:lang w:val="es-ES"/>
        </w:rPr>
        <w:t xml:space="preserve"> (BT)</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(BT) se anotará la presencia de adultos de</w:t>
      </w:r>
      <w:r w:rsidRPr="00993936">
        <w:rPr>
          <w:rFonts w:cs="Arial"/>
          <w:i/>
          <w:szCs w:val="22"/>
          <w:lang w:val="es-ES"/>
        </w:rPr>
        <w:t xml:space="preserve"> B. tabaci</w:t>
      </w:r>
      <w:r w:rsidRPr="00993936">
        <w:rPr>
          <w:rFonts w:cs="Arial"/>
          <w:szCs w:val="22"/>
          <w:lang w:val="es-ES"/>
        </w:rPr>
        <w:t>.</w:t>
      </w: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t>6.2.</w:t>
      </w:r>
      <w:r w:rsidRPr="00993936">
        <w:rPr>
          <w:rFonts w:ascii="Arial" w:hAnsi="Arial" w:cs="Arial"/>
          <w:color w:val="auto"/>
          <w:lang w:val="es-ES"/>
        </w:rPr>
        <w:tab/>
        <w:t>Pulgón (PG)</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6.3 Minadores de hoja (Liriomyza spp.) (MIN)</w:t>
      </w:r>
    </w:p>
    <w:p w:rsidR="00503A41" w:rsidRPr="00993936" w:rsidRDefault="00503A41" w:rsidP="000452B8">
      <w:pPr>
        <w:spacing w:before="120"/>
        <w:jc w:val="both"/>
        <w:rPr>
          <w:rFonts w:ascii="Arial" w:hAnsi="Arial" w:cs="Arial"/>
          <w:lang w:val="es-ES"/>
        </w:rPr>
      </w:pPr>
      <w:r w:rsidRPr="00993936">
        <w:rPr>
          <w:rFonts w:ascii="Arial" w:hAnsi="Arial" w:cs="Arial"/>
          <w:lang w:val="es-ES"/>
        </w:rPr>
        <w:t>En la Hoja 3, se anotará la ausencia de minas (-), la existencia de hasta 2 minas por hoja (1) o de más de 2 minas por hoja (2). Cuando</w:t>
      </w:r>
      <w:r w:rsidRPr="00993936">
        <w:rPr>
          <w:rFonts w:ascii="Arial" w:hAnsi="Arial" w:cs="Arial"/>
          <w:vanish/>
          <w:lang w:val="es-ES"/>
        </w:rPr>
        <w:t>&lt;A[Cuando|Cuándo]&gt;</w:t>
      </w:r>
      <w:r w:rsidRPr="00993936">
        <w:rPr>
          <w:rFonts w:ascii="Arial" w:hAnsi="Arial" w:cs="Arial"/>
          <w:lang w:val="es-ES"/>
        </w:rPr>
        <w:t xml:space="preserve"> el nivel medio de minas por hoja sea igual o mayor de 1, se recogerá una muestra de un mínimo de </w:t>
      </w:r>
      <w:r w:rsidRPr="00993936">
        <w:rPr>
          <w:rFonts w:ascii="Arial" w:hAnsi="Arial" w:cs="Arial"/>
          <w:lang w:val="es-ES"/>
        </w:rPr>
        <w:lastRenderedPageBreak/>
        <w:t xml:space="preserve">25 hojas y 50 minas jóvenes. En el laboratorio se evaluará el porcentaje de parasitismo natural causado por </w:t>
      </w:r>
      <w:r w:rsidRPr="00993936">
        <w:rPr>
          <w:rFonts w:ascii="Arial" w:hAnsi="Arial" w:cs="Arial"/>
          <w:i/>
          <w:lang w:val="es-ES"/>
        </w:rPr>
        <w:t xml:space="preserve">Diglyphus isaea </w:t>
      </w:r>
      <w:r w:rsidRPr="00993936">
        <w:rPr>
          <w:rFonts w:ascii="Arial" w:hAnsi="Arial" w:cs="Arial"/>
          <w:lang w:val="es-ES"/>
        </w:rPr>
        <w:t>(</w:t>
      </w:r>
      <w:r w:rsidRPr="00993936">
        <w:rPr>
          <w:rFonts w:ascii="Arial" w:hAnsi="Arial" w:cs="Arial"/>
          <w:i/>
          <w:lang w:val="es-ES"/>
        </w:rPr>
        <w:t>Di</w:t>
      </w:r>
      <w:r w:rsidRPr="00993936">
        <w:rPr>
          <w:rFonts w:ascii="Arial" w:hAnsi="Arial" w:cs="Arial"/>
          <w:lang w:val="es-ES"/>
        </w:rPr>
        <w:t>) (Hoja 2). Si el parasitismo natural (minas muertas y parasitadas) es &gt; 25%, se tomará uno otra muestra al cabo de 15 días para ver cómo evoluciona el conjunto minadora-</w:t>
      </w:r>
      <w:r w:rsidRPr="00993936">
        <w:rPr>
          <w:rFonts w:ascii="Arial" w:hAnsi="Arial" w:cs="Arial"/>
          <w:i/>
          <w:lang w:val="es-ES"/>
        </w:rPr>
        <w:t>Di</w:t>
      </w:r>
      <w:r w:rsidRPr="00993936">
        <w:rPr>
          <w:rFonts w:ascii="Arial" w:hAnsi="Arial" w:cs="Arial"/>
          <w:lang w:val="es-ES"/>
        </w:rPr>
        <w:t>, en caso de que el parasitismo natural sea inferior al 25% se entenderá que se ha superado el umbral de intervención y podrá realizarse un tratamiento con alguno de los productos autorizados por minadora en aquel cultivo.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tulo5"/>
        <w:spacing w:before="120"/>
        <w:rPr>
          <w:rFonts w:ascii="Arial" w:hAnsi="Arial" w:cs="Arial"/>
          <w:color w:val="auto"/>
          <w:lang w:val="es-ES"/>
        </w:rPr>
      </w:pP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 xml:space="preserve">Ácaros (Araña roja, </w:t>
      </w:r>
      <w:r w:rsidRPr="00993936">
        <w:rPr>
          <w:rFonts w:ascii="Arial" w:hAnsi="Arial" w:cs="Arial"/>
          <w:i/>
          <w:color w:val="auto"/>
          <w:lang w:val="es-ES"/>
        </w:rPr>
        <w:t>Polygotarsonemus latus</w:t>
      </w:r>
      <w:r w:rsidRPr="00993936">
        <w:rPr>
          <w:rFonts w:ascii="Arial" w:hAnsi="Arial" w:cs="Arial"/>
          <w:color w:val="auto"/>
          <w:lang w:val="es-ES"/>
        </w:rPr>
        <w:t>) (ÁCAROS)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aquellos cultivos en que el Cuadro de Control Fitosanitario lo prevea se evaluará la presencia/ausencia (+/-) de Araña roja en síntomas.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w:t>
      </w:r>
      <w:r w:rsidRPr="00993936">
        <w:rPr>
          <w:rFonts w:cs="Arial"/>
          <w:i/>
          <w:szCs w:val="22"/>
          <w:lang w:val="es-ES"/>
        </w:rPr>
        <w:t>Polygotarsonemus latus</w:t>
      </w:r>
      <w:r w:rsidRPr="00993936">
        <w:rPr>
          <w:rFonts w:cs="Arial"/>
          <w:szCs w:val="22"/>
          <w:lang w:val="es-ES"/>
        </w:rPr>
        <w:t xml:space="preserve">, se anotará la presencia de síntomas (S) de la presencia de este ácaro en los brotes tiernos.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que sea necesario aplicar algún tratamiento para el control de Araña roja o </w:t>
      </w:r>
      <w:r w:rsidRPr="00993936">
        <w:rPr>
          <w:rFonts w:cs="Arial"/>
          <w:i/>
          <w:szCs w:val="22"/>
          <w:lang w:val="es-ES"/>
        </w:rPr>
        <w:t>P. latus</w:t>
      </w:r>
      <w:r w:rsidRPr="00993936">
        <w:rPr>
          <w:rFonts w:cs="Arial"/>
          <w:szCs w:val="22"/>
          <w:lang w:val="es-ES"/>
        </w:rPr>
        <w:t>, se hará con un producto autorizado en el Cuadro de Control Fitosanitario del cultivo y para la plaga en concreto. Siempre que sea posible, los tratamientos se aplicarán en los focos de cultivo afectado y sus alrededores.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plagas no explícitamente previstas en la Hoja 3, especificando en Observaciones la especie objeto del seguimiento. En caso de que aparezca una nueva plaga no especificada en el Cuadro de Control Fitosanitario del cultivo,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6.8.</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botritis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el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6.9.</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Se anotará la presencia/ausencia (+/-) de otras enfermedades diferentes a las mencionadas en el Cuadro 1.1 especificando en observaciones la especie objeto del seguimiento. En caso de que aparezca una nueva enfermedad no especificada en el </w:t>
      </w:r>
      <w:r w:rsidRPr="00993936">
        <w:rPr>
          <w:rFonts w:cs="Arial"/>
          <w:szCs w:val="22"/>
          <w:lang w:val="es-ES"/>
        </w:rPr>
        <w:lastRenderedPageBreak/>
        <w:t>Cuadro de Control Fitosanitario del cultivo,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6.10.</w:t>
      </w:r>
      <w:r w:rsidRPr="00993936">
        <w:rPr>
          <w:rFonts w:ascii="Arial" w:hAnsi="Arial" w:cs="Arial"/>
          <w:color w:val="auto"/>
          <w:lang w:val="es-ES"/>
        </w:rPr>
        <w:tab/>
        <w:t xml:space="preserve">Nemátodos </w:t>
      </w:r>
    </w:p>
    <w:p w:rsidR="00503A41" w:rsidRPr="00993936" w:rsidRDefault="00503A41" w:rsidP="000452B8">
      <w:pPr>
        <w:spacing w:before="120"/>
        <w:jc w:val="both"/>
        <w:rPr>
          <w:rFonts w:ascii="Arial" w:hAnsi="Arial" w:cs="Arial"/>
          <w:lang w:val="es-ES"/>
        </w:rPr>
      </w:pPr>
      <w:r w:rsidRPr="00993936">
        <w:rPr>
          <w:rFonts w:ascii="Arial" w:hAnsi="Arial" w:cs="Arial"/>
          <w:lang w:val="es-ES"/>
        </w:rPr>
        <w:t>En caso que el cultivo a implantar sea sensible a nemátodos, se escogerán preferentemente variedades resistentes. En caso de que no haya o no sean bien aceptadas por el mercado, se podrán utilizar 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w:t>
      </w:r>
      <w:bookmarkStart w:id="10" w:name="_Toc529930353"/>
    </w:p>
    <w:p w:rsidR="00503A41" w:rsidRPr="00993936" w:rsidRDefault="00503A41" w:rsidP="000452B8">
      <w:pPr>
        <w:spacing w:before="120"/>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Cuadro 1.-  Control fitosanitario en cucurbitáceas (pepino, calabacín, calabaza, melón y sandía)</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 cucurbitáceas (pepino, calabacín, calabaza, melón y sandía).</w:t>
      </w:r>
      <w:bookmarkEnd w:id="10"/>
    </w:p>
    <w:p w:rsidR="00503A41" w:rsidRPr="00993936" w:rsidRDefault="00503A41" w:rsidP="000452B8">
      <w:pPr>
        <w:pStyle w:val="Textoindependiente3"/>
        <w:spacing w:before="120"/>
        <w:rPr>
          <w:rFonts w:cs="Arial"/>
          <w:b w:val="0"/>
          <w:szCs w:val="22"/>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80"/>
        <w:gridCol w:w="2080"/>
        <w:gridCol w:w="2081"/>
        <w:gridCol w:w="1655"/>
        <w:gridCol w:w="1298"/>
      </w:tblGrid>
      <w:tr w:rsidR="00503A41" w:rsidRPr="00993936" w:rsidTr="000452B8">
        <w:trPr>
          <w:tblHeader/>
          <w:jc w:val="center"/>
        </w:trPr>
        <w:tc>
          <w:tcPr>
            <w:tcW w:w="2080"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PLAGA / ENFERMEDAD</w:t>
            </w:r>
          </w:p>
        </w:tc>
        <w:tc>
          <w:tcPr>
            <w:tcW w:w="2080"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MÉTODO DE EVALUACIÓN DE INCIDENCIA</w:t>
            </w:r>
          </w:p>
        </w:tc>
        <w:tc>
          <w:tcPr>
            <w:tcW w:w="2081"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CRITERIO DE INTERVENCIÓN</w:t>
            </w:r>
          </w:p>
        </w:tc>
        <w:tc>
          <w:tcPr>
            <w:tcW w:w="1655"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FAUNA AUXILIAR</w:t>
            </w:r>
          </w:p>
        </w:tc>
        <w:tc>
          <w:tcPr>
            <w:tcW w:w="1298" w:type="dxa"/>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OTROS MÉTODOS</w:t>
            </w:r>
          </w:p>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(culturales, etc.)</w:t>
            </w:r>
          </w:p>
        </w:tc>
      </w:tr>
      <w:tr w:rsidR="00503A41" w:rsidRPr="00993936" w:rsidTr="000452B8">
        <w:trPr>
          <w:cantSplit/>
          <w:jc w:val="center"/>
        </w:trPr>
        <w:tc>
          <w:tcPr>
            <w:tcW w:w="2080" w:type="dxa"/>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Aphis gossypii</w:t>
            </w:r>
          </w:p>
        </w:tc>
        <w:tc>
          <w:tcPr>
            <w:tcW w:w="2080" w:type="dxa"/>
            <w:vMerge w:val="restart"/>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Observar 20 plantas por parcela anotando la presencia/ausencia de las plagas y fauna auxiliar presentes. De cada planta se observará una hoja de la parte apical de la planta y otra de la parte media/baja. Se anotará también la presencia/ausencia de síntomas de enfermedades.</w:t>
            </w:r>
          </w:p>
        </w:tc>
        <w:tc>
          <w:tcPr>
            <w:tcW w:w="2081"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la plaga</w:t>
            </w:r>
          </w:p>
        </w:tc>
        <w:tc>
          <w:tcPr>
            <w:tcW w:w="165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Parasitoides, depredadores (míridos, antacóridos, cecidómidos, coccinélidos)</w:t>
            </w:r>
          </w:p>
        </w:tc>
        <w:tc>
          <w:tcPr>
            <w:tcW w:w="1298"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080" w:type="dxa"/>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T. vaporariorum </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 xml:space="preserve">B. tabaci </w:t>
            </w:r>
          </w:p>
        </w:tc>
        <w:tc>
          <w:tcPr>
            <w:tcW w:w="2080" w:type="dxa"/>
            <w:vMerge/>
          </w:tcPr>
          <w:p w:rsidR="00503A41" w:rsidRPr="00993936" w:rsidRDefault="00503A41" w:rsidP="000452B8">
            <w:pPr>
              <w:pStyle w:val="titol"/>
              <w:outlineLvl w:val="0"/>
              <w:rPr>
                <w:rFonts w:cs="Arial"/>
                <w:noProof w:val="0"/>
                <w:szCs w:val="18"/>
                <w:lang w:val="es-ES"/>
              </w:rPr>
            </w:pPr>
          </w:p>
        </w:tc>
        <w:tc>
          <w:tcPr>
            <w:tcW w:w="2081"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25 adultos por hoja sin míridos hasta inicio de floración-presencia de negrita en alguna planta</w:t>
            </w:r>
          </w:p>
        </w:tc>
        <w:tc>
          <w:tcPr>
            <w:tcW w:w="165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Parasitoides, depredadores (mirids) </w:t>
            </w:r>
          </w:p>
        </w:tc>
        <w:tc>
          <w:tcPr>
            <w:tcW w:w="1298"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Soluciones jabonosas autorizadas para adultos</w:t>
            </w:r>
          </w:p>
        </w:tc>
      </w:tr>
      <w:tr w:rsidR="00503A41" w:rsidRPr="00993936" w:rsidTr="000452B8">
        <w:trPr>
          <w:cantSplit/>
          <w:jc w:val="center"/>
        </w:trPr>
        <w:tc>
          <w:tcPr>
            <w:tcW w:w="2080" w:type="dxa"/>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 xml:space="preserve">F. occidentalis </w:t>
            </w:r>
          </w:p>
        </w:tc>
        <w:tc>
          <w:tcPr>
            <w:tcW w:w="2080" w:type="dxa"/>
            <w:vMerge/>
          </w:tcPr>
          <w:p w:rsidR="00503A41" w:rsidRPr="00993936" w:rsidRDefault="00503A41" w:rsidP="000452B8">
            <w:pPr>
              <w:pStyle w:val="titol"/>
              <w:outlineLvl w:val="0"/>
              <w:rPr>
                <w:rFonts w:cs="Arial"/>
                <w:noProof w:val="0"/>
                <w:szCs w:val="18"/>
                <w:lang w:val="es-ES"/>
              </w:rPr>
            </w:pPr>
          </w:p>
        </w:tc>
        <w:tc>
          <w:tcPr>
            <w:tcW w:w="2081" w:type="dxa"/>
            <w:vAlign w:val="center"/>
          </w:tcPr>
          <w:p w:rsidR="00503A41" w:rsidRPr="00993936" w:rsidRDefault="00503A41" w:rsidP="000452B8">
            <w:pPr>
              <w:pStyle w:val="taula"/>
              <w:jc w:val="both"/>
              <w:rPr>
                <w:rFonts w:cs="Arial"/>
                <w:noProof w:val="0"/>
                <w:sz w:val="18"/>
                <w:szCs w:val="18"/>
                <w:lang w:val="es-ES"/>
              </w:rPr>
            </w:pPr>
            <w:r w:rsidRPr="00993936">
              <w:rPr>
                <w:rFonts w:cs="Arial"/>
                <w:noProof w:val="0"/>
                <w:sz w:val="18"/>
                <w:szCs w:val="18"/>
                <w:lang w:val="es-ES"/>
              </w:rPr>
              <w:t>Presencia de la plaga en pepino tipo holandés. En otras variedades u otros cultivos, presencia de daños en fruto o daños severos en hoja.</w:t>
            </w:r>
          </w:p>
        </w:tc>
        <w:tc>
          <w:tcPr>
            <w:tcW w:w="165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Depredadores (míridos, antacóridos, fitoseidos)</w:t>
            </w:r>
          </w:p>
        </w:tc>
        <w:tc>
          <w:tcPr>
            <w:tcW w:w="1298" w:type="dxa"/>
            <w:vAlign w:val="center"/>
          </w:tcPr>
          <w:p w:rsidR="00503A41" w:rsidRPr="00993936" w:rsidRDefault="00503A41" w:rsidP="000452B8">
            <w:pPr>
              <w:pStyle w:val="taula"/>
              <w:jc w:val="both"/>
              <w:rPr>
                <w:rFonts w:cs="Arial"/>
                <w:noProof w:val="0"/>
                <w:sz w:val="18"/>
                <w:szCs w:val="18"/>
                <w:lang w:val="es-ES"/>
              </w:rPr>
            </w:pPr>
          </w:p>
        </w:tc>
      </w:tr>
      <w:tr w:rsidR="00503A41" w:rsidRPr="00993936" w:rsidTr="000452B8">
        <w:trPr>
          <w:cantSplit/>
          <w:jc w:val="center"/>
        </w:trPr>
        <w:tc>
          <w:tcPr>
            <w:tcW w:w="2080" w:type="dxa"/>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Liriomyza</w:t>
            </w:r>
            <w:r w:rsidRPr="00993936">
              <w:rPr>
                <w:rFonts w:cs="Arial"/>
                <w:noProof w:val="0"/>
                <w:sz w:val="18"/>
                <w:szCs w:val="18"/>
                <w:lang w:val="es-ES"/>
              </w:rPr>
              <w:t xml:space="preserve"> spp.</w:t>
            </w:r>
          </w:p>
        </w:tc>
        <w:tc>
          <w:tcPr>
            <w:tcW w:w="2080" w:type="dxa"/>
            <w:vMerge/>
          </w:tcPr>
          <w:p w:rsidR="00503A41" w:rsidRPr="00993936" w:rsidRDefault="00503A41" w:rsidP="000452B8">
            <w:pPr>
              <w:pStyle w:val="titol"/>
              <w:outlineLvl w:val="0"/>
              <w:rPr>
                <w:rFonts w:cs="Arial"/>
                <w:noProof w:val="0"/>
                <w:szCs w:val="18"/>
                <w:lang w:val="es-ES"/>
              </w:rPr>
            </w:pPr>
          </w:p>
        </w:tc>
        <w:tc>
          <w:tcPr>
            <w:tcW w:w="2081"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Niveles plaga en aumento y niveles bajos (&lt; 25%) de parasitismo</w:t>
            </w:r>
          </w:p>
        </w:tc>
        <w:tc>
          <w:tcPr>
            <w:tcW w:w="1655" w:type="dxa"/>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D. isaea</w:t>
            </w:r>
            <w:r w:rsidRPr="00993936">
              <w:rPr>
                <w:rFonts w:cs="Arial"/>
                <w:noProof w:val="0"/>
                <w:sz w:val="18"/>
                <w:szCs w:val="18"/>
                <w:lang w:val="es-ES"/>
              </w:rPr>
              <w:t xml:space="preserve"> y depredadores polífagos</w:t>
            </w:r>
          </w:p>
        </w:tc>
        <w:tc>
          <w:tcPr>
            <w:tcW w:w="1298"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080"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 xml:space="preserve">Lepidópteros </w:t>
            </w:r>
          </w:p>
        </w:tc>
        <w:tc>
          <w:tcPr>
            <w:tcW w:w="2080" w:type="dxa"/>
            <w:vMerge/>
          </w:tcPr>
          <w:p w:rsidR="00503A41" w:rsidRPr="00993936" w:rsidRDefault="00503A41" w:rsidP="000452B8">
            <w:pPr>
              <w:pStyle w:val="titol"/>
              <w:outlineLvl w:val="0"/>
              <w:rPr>
                <w:rFonts w:cs="Arial"/>
                <w:noProof w:val="0"/>
                <w:szCs w:val="18"/>
                <w:lang w:val="es-ES"/>
              </w:rPr>
            </w:pPr>
          </w:p>
        </w:tc>
        <w:tc>
          <w:tcPr>
            <w:tcW w:w="2081"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en el 50% de las plantas.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Presencia </w:t>
            </w:r>
            <w:r w:rsidRPr="00993936">
              <w:rPr>
                <w:rFonts w:cs="Arial"/>
                <w:i/>
                <w:noProof w:val="0"/>
                <w:sz w:val="18"/>
                <w:szCs w:val="18"/>
                <w:lang w:val="es-ES"/>
              </w:rPr>
              <w:t>S. exigua</w:t>
            </w:r>
            <w:r w:rsidRPr="00993936">
              <w:rPr>
                <w:rFonts w:cs="Arial"/>
                <w:noProof w:val="0"/>
                <w:sz w:val="18"/>
                <w:szCs w:val="18"/>
                <w:lang w:val="es-ES"/>
              </w:rPr>
              <w:t xml:space="preserve"> en sandía.</w:t>
            </w:r>
          </w:p>
        </w:tc>
        <w:tc>
          <w:tcPr>
            <w:tcW w:w="1655" w:type="dxa"/>
            <w:vAlign w:val="center"/>
          </w:tcPr>
          <w:p w:rsidR="00503A41" w:rsidRPr="00993936" w:rsidRDefault="00503A41" w:rsidP="000452B8">
            <w:pPr>
              <w:pStyle w:val="taula"/>
              <w:rPr>
                <w:rFonts w:cs="Arial"/>
                <w:i/>
                <w:noProof w:val="0"/>
                <w:sz w:val="18"/>
                <w:szCs w:val="18"/>
                <w:lang w:val="es-ES"/>
              </w:rPr>
            </w:pPr>
          </w:p>
        </w:tc>
        <w:tc>
          <w:tcPr>
            <w:tcW w:w="1298"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080" w:type="dxa"/>
            <w:vAlign w:val="center"/>
          </w:tcPr>
          <w:p w:rsidR="00503A41" w:rsidRPr="00993936" w:rsidRDefault="00503A41" w:rsidP="000452B8">
            <w:pPr>
              <w:rPr>
                <w:rFonts w:ascii="Arial" w:hAnsi="Arial" w:cs="Arial"/>
                <w:b/>
                <w:sz w:val="18"/>
                <w:szCs w:val="18"/>
                <w:lang w:val="es-ES"/>
              </w:rPr>
            </w:pPr>
            <w:r w:rsidRPr="00993936">
              <w:rPr>
                <w:rFonts w:ascii="Arial" w:hAnsi="Arial" w:cs="Arial"/>
                <w:b/>
                <w:sz w:val="18"/>
                <w:szCs w:val="18"/>
                <w:lang w:val="es-ES"/>
              </w:rPr>
              <w:t>Araña roja</w:t>
            </w:r>
          </w:p>
        </w:tc>
        <w:tc>
          <w:tcPr>
            <w:tcW w:w="2080" w:type="dxa"/>
            <w:vMerge/>
            <w:vAlign w:val="center"/>
          </w:tcPr>
          <w:p w:rsidR="00503A41" w:rsidRPr="00993936" w:rsidRDefault="00503A41" w:rsidP="000452B8">
            <w:pPr>
              <w:pStyle w:val="titol"/>
              <w:jc w:val="left"/>
              <w:outlineLvl w:val="0"/>
              <w:rPr>
                <w:rFonts w:cs="Arial"/>
                <w:noProof w:val="0"/>
                <w:szCs w:val="18"/>
                <w:lang w:val="es-ES"/>
              </w:rPr>
            </w:pPr>
          </w:p>
        </w:tc>
        <w:tc>
          <w:tcPr>
            <w:tcW w:w="2081" w:type="dxa"/>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Presencia de foco</w:t>
            </w:r>
          </w:p>
        </w:tc>
        <w:tc>
          <w:tcPr>
            <w:tcW w:w="1655" w:type="dxa"/>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Fitoseidos</w:t>
            </w:r>
          </w:p>
        </w:tc>
        <w:tc>
          <w:tcPr>
            <w:tcW w:w="1298" w:type="dxa"/>
            <w:vAlign w:val="center"/>
          </w:tcPr>
          <w:p w:rsidR="00503A41" w:rsidRPr="00993936" w:rsidRDefault="00503A41" w:rsidP="000452B8">
            <w:pPr>
              <w:rPr>
                <w:rFonts w:ascii="Arial" w:hAnsi="Arial" w:cs="Arial"/>
                <w:sz w:val="18"/>
                <w:szCs w:val="18"/>
                <w:lang w:val="es-ES"/>
              </w:rPr>
            </w:pPr>
          </w:p>
        </w:tc>
      </w:tr>
      <w:tr w:rsidR="00503A41" w:rsidRPr="00993936" w:rsidTr="000452B8">
        <w:trPr>
          <w:cantSplit/>
          <w:jc w:val="center"/>
        </w:trPr>
        <w:tc>
          <w:tcPr>
            <w:tcW w:w="2080"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Oídio</w:t>
            </w:r>
          </w:p>
        </w:tc>
        <w:tc>
          <w:tcPr>
            <w:tcW w:w="2080" w:type="dxa"/>
            <w:vMerge w:val="restart"/>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Presencia de plantas con síntomas y/o condiciones favorables a la enfermedad</w:t>
            </w:r>
          </w:p>
        </w:tc>
        <w:tc>
          <w:tcPr>
            <w:tcW w:w="2081"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Presencia de síntomas de la enfermedad</w:t>
            </w:r>
          </w:p>
        </w:tc>
        <w:tc>
          <w:tcPr>
            <w:tcW w:w="1655" w:type="dxa"/>
            <w:vAlign w:val="center"/>
          </w:tcPr>
          <w:p w:rsidR="00503A41" w:rsidRPr="00993936" w:rsidRDefault="00503A41" w:rsidP="000452B8">
            <w:pPr>
              <w:pStyle w:val="titol"/>
              <w:outlineLvl w:val="0"/>
              <w:rPr>
                <w:rFonts w:cs="Arial"/>
                <w:b w:val="0"/>
                <w:noProof w:val="0"/>
                <w:szCs w:val="18"/>
                <w:lang w:val="es-ES"/>
              </w:rPr>
            </w:pPr>
          </w:p>
        </w:tc>
        <w:tc>
          <w:tcPr>
            <w:tcW w:w="1298" w:type="dxa"/>
            <w:vAlign w:val="center"/>
          </w:tcPr>
          <w:p w:rsidR="00503A41" w:rsidRPr="00993936" w:rsidRDefault="00503A41" w:rsidP="000452B8">
            <w:pPr>
              <w:pStyle w:val="titol"/>
              <w:outlineLvl w:val="0"/>
              <w:rPr>
                <w:rFonts w:cs="Arial"/>
                <w:b w:val="0"/>
                <w:noProof w:val="0"/>
                <w:szCs w:val="18"/>
                <w:lang w:val="es-ES"/>
              </w:rPr>
            </w:pPr>
          </w:p>
        </w:tc>
      </w:tr>
      <w:tr w:rsidR="00503A41" w:rsidRPr="00993936" w:rsidTr="000452B8">
        <w:trPr>
          <w:cantSplit/>
          <w:jc w:val="center"/>
        </w:trPr>
        <w:tc>
          <w:tcPr>
            <w:tcW w:w="2080"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Mildiu</w:t>
            </w:r>
          </w:p>
        </w:tc>
        <w:tc>
          <w:tcPr>
            <w:tcW w:w="2080" w:type="dxa"/>
            <w:vMerge/>
            <w:vAlign w:val="center"/>
          </w:tcPr>
          <w:p w:rsidR="00503A41" w:rsidRPr="00993936" w:rsidRDefault="00503A41" w:rsidP="000452B8">
            <w:pPr>
              <w:pStyle w:val="titol"/>
              <w:outlineLvl w:val="0"/>
              <w:rPr>
                <w:rFonts w:cs="Arial"/>
                <w:b w:val="0"/>
                <w:noProof w:val="0"/>
                <w:szCs w:val="18"/>
                <w:lang w:val="es-ES"/>
              </w:rPr>
            </w:pPr>
          </w:p>
        </w:tc>
        <w:tc>
          <w:tcPr>
            <w:tcW w:w="2081" w:type="dxa"/>
            <w:vAlign w:val="center"/>
          </w:tcPr>
          <w:p w:rsidR="00503A41" w:rsidRPr="00993936" w:rsidRDefault="00503A41" w:rsidP="000452B8">
            <w:pPr>
              <w:pStyle w:val="titol"/>
              <w:outlineLvl w:val="0"/>
              <w:rPr>
                <w:rFonts w:cs="Arial"/>
                <w:b w:val="0"/>
                <w:noProof w:val="0"/>
                <w:szCs w:val="18"/>
                <w:lang w:val="es-ES"/>
              </w:rPr>
            </w:pPr>
          </w:p>
        </w:tc>
        <w:tc>
          <w:tcPr>
            <w:tcW w:w="1655" w:type="dxa"/>
            <w:vAlign w:val="center"/>
          </w:tcPr>
          <w:p w:rsidR="00503A41" w:rsidRPr="00993936" w:rsidRDefault="00503A41" w:rsidP="000452B8">
            <w:pPr>
              <w:pStyle w:val="titol"/>
              <w:outlineLvl w:val="0"/>
              <w:rPr>
                <w:rFonts w:cs="Arial"/>
                <w:b w:val="0"/>
                <w:noProof w:val="0"/>
                <w:szCs w:val="18"/>
                <w:lang w:val="es-ES"/>
              </w:rPr>
            </w:pPr>
          </w:p>
        </w:tc>
        <w:tc>
          <w:tcPr>
            <w:tcW w:w="1298" w:type="dxa"/>
            <w:vAlign w:val="center"/>
          </w:tcPr>
          <w:p w:rsidR="00503A41" w:rsidRPr="00993936" w:rsidRDefault="00503A41" w:rsidP="000452B8">
            <w:pPr>
              <w:pStyle w:val="titol"/>
              <w:outlineLvl w:val="0"/>
              <w:rPr>
                <w:rFonts w:cs="Arial"/>
                <w:b w:val="0"/>
                <w:noProof w:val="0"/>
                <w:szCs w:val="18"/>
                <w:lang w:val="es-ES"/>
              </w:rPr>
            </w:pPr>
          </w:p>
        </w:tc>
      </w:tr>
      <w:tr w:rsidR="00503A41" w:rsidRPr="00993936" w:rsidTr="000452B8">
        <w:trPr>
          <w:cantSplit/>
          <w:jc w:val="center"/>
        </w:trPr>
        <w:tc>
          <w:tcPr>
            <w:tcW w:w="2080"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Enfermedades vasculares</w:t>
            </w:r>
          </w:p>
        </w:tc>
        <w:tc>
          <w:tcPr>
            <w:tcW w:w="2080" w:type="dxa"/>
            <w:vMerge/>
            <w:vAlign w:val="center"/>
          </w:tcPr>
          <w:p w:rsidR="00503A41" w:rsidRPr="00993936" w:rsidRDefault="00503A41" w:rsidP="000452B8">
            <w:pPr>
              <w:pStyle w:val="titol"/>
              <w:outlineLvl w:val="0"/>
              <w:rPr>
                <w:rFonts w:cs="Arial"/>
                <w:b w:val="0"/>
                <w:noProof w:val="0"/>
                <w:szCs w:val="18"/>
                <w:lang w:val="es-ES"/>
              </w:rPr>
            </w:pPr>
          </w:p>
        </w:tc>
        <w:tc>
          <w:tcPr>
            <w:tcW w:w="2081" w:type="dxa"/>
            <w:vAlign w:val="center"/>
          </w:tcPr>
          <w:p w:rsidR="00503A41" w:rsidRPr="00993936" w:rsidRDefault="00503A41" w:rsidP="000452B8">
            <w:pPr>
              <w:pStyle w:val="taula"/>
              <w:rPr>
                <w:rFonts w:cs="Arial"/>
                <w:noProof w:val="0"/>
                <w:sz w:val="18"/>
                <w:szCs w:val="18"/>
                <w:lang w:val="es-ES"/>
              </w:rPr>
            </w:pPr>
          </w:p>
        </w:tc>
        <w:tc>
          <w:tcPr>
            <w:tcW w:w="1655" w:type="dxa"/>
            <w:vAlign w:val="center"/>
          </w:tcPr>
          <w:p w:rsidR="00503A41" w:rsidRPr="00993936" w:rsidRDefault="00503A41" w:rsidP="000452B8">
            <w:pPr>
              <w:pStyle w:val="taula"/>
              <w:rPr>
                <w:rFonts w:cs="Arial"/>
                <w:noProof w:val="0"/>
                <w:sz w:val="18"/>
                <w:szCs w:val="18"/>
                <w:lang w:val="es-ES"/>
              </w:rPr>
            </w:pPr>
          </w:p>
        </w:tc>
        <w:tc>
          <w:tcPr>
            <w:tcW w:w="1298"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2080" w:type="dxa"/>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t>Podredumbres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Botrytis spp</w:t>
            </w:r>
          </w:p>
        </w:tc>
        <w:tc>
          <w:tcPr>
            <w:tcW w:w="2080" w:type="dxa"/>
            <w:vAlign w:val="center"/>
          </w:tcPr>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Presencia de plantas con síntomas y/o condiciones favorables a la enfermedad</w:t>
            </w:r>
          </w:p>
        </w:tc>
        <w:tc>
          <w:tcPr>
            <w:tcW w:w="2081"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síntomas</w:t>
            </w:r>
          </w:p>
        </w:tc>
        <w:tc>
          <w:tcPr>
            <w:tcW w:w="1655" w:type="dxa"/>
            <w:vAlign w:val="center"/>
          </w:tcPr>
          <w:p w:rsidR="00503A41" w:rsidRPr="00993936" w:rsidRDefault="00503A41" w:rsidP="000452B8">
            <w:pPr>
              <w:pStyle w:val="taula"/>
              <w:jc w:val="both"/>
              <w:rPr>
                <w:rFonts w:cs="Arial"/>
                <w:noProof w:val="0"/>
                <w:sz w:val="18"/>
                <w:szCs w:val="18"/>
                <w:lang w:val="es-ES"/>
              </w:rPr>
            </w:pPr>
          </w:p>
        </w:tc>
        <w:tc>
          <w:tcPr>
            <w:tcW w:w="1298" w:type="dxa"/>
            <w:vAlign w:val="center"/>
          </w:tcPr>
          <w:p w:rsidR="00503A41" w:rsidRPr="00993936" w:rsidRDefault="00503A41" w:rsidP="000452B8">
            <w:pPr>
              <w:pStyle w:val="taula"/>
              <w:jc w:val="both"/>
              <w:rPr>
                <w:rFonts w:cs="Arial"/>
                <w:noProof w:val="0"/>
                <w:sz w:val="18"/>
                <w:szCs w:val="18"/>
                <w:lang w:val="es-ES"/>
              </w:rPr>
            </w:pPr>
          </w:p>
        </w:tc>
      </w:tr>
      <w:tr w:rsidR="00503A41" w:rsidRPr="00993936" w:rsidTr="000452B8">
        <w:trPr>
          <w:cantSplit/>
          <w:jc w:val="center"/>
        </w:trPr>
        <w:tc>
          <w:tcPr>
            <w:tcW w:w="2080"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Nemátodos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Meloidogyne spp.</w:t>
            </w:r>
          </w:p>
        </w:tc>
        <w:tc>
          <w:tcPr>
            <w:tcW w:w="208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planta con síntomas o poralles con antecedentes de nemátodos</w:t>
            </w:r>
          </w:p>
        </w:tc>
        <w:tc>
          <w:tcPr>
            <w:tcW w:w="2081"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de síntomas</w:t>
            </w:r>
          </w:p>
        </w:tc>
        <w:tc>
          <w:tcPr>
            <w:tcW w:w="1655"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Arrancar las raíces de los cultivos sensibles.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Laborar el suelo en profundidad.</w:t>
            </w:r>
          </w:p>
        </w:tc>
        <w:tc>
          <w:tcPr>
            <w:tcW w:w="1298"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Buen control de las malas hierbas entre cultivos y durante los cultivos.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Utilizar la rotación de cultivos.</w:t>
            </w:r>
          </w:p>
        </w:tc>
      </w:tr>
      <w:tr w:rsidR="00503A41" w:rsidRPr="00993936" w:rsidTr="000452B8">
        <w:trPr>
          <w:cantSplit/>
          <w:jc w:val="center"/>
        </w:trPr>
        <w:tc>
          <w:tcPr>
            <w:tcW w:w="2080"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Otras plagas y enfermedades</w:t>
            </w:r>
          </w:p>
        </w:tc>
        <w:tc>
          <w:tcPr>
            <w:tcW w:w="2080" w:type="dxa"/>
            <w:vAlign w:val="center"/>
          </w:tcPr>
          <w:p w:rsidR="00503A41" w:rsidRPr="00993936" w:rsidRDefault="00503A41" w:rsidP="000452B8">
            <w:pPr>
              <w:pStyle w:val="titol"/>
              <w:outlineLvl w:val="0"/>
              <w:rPr>
                <w:rFonts w:cs="Arial"/>
                <w:b w:val="0"/>
                <w:noProof w:val="0"/>
                <w:szCs w:val="18"/>
                <w:lang w:val="es-ES"/>
              </w:rPr>
            </w:pPr>
          </w:p>
        </w:tc>
        <w:tc>
          <w:tcPr>
            <w:tcW w:w="2081"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Intervenciones en función de las prescripciones técnicas</w:t>
            </w:r>
          </w:p>
        </w:tc>
        <w:tc>
          <w:tcPr>
            <w:tcW w:w="1655" w:type="dxa"/>
            <w:vAlign w:val="center"/>
          </w:tcPr>
          <w:p w:rsidR="00503A41" w:rsidRPr="00993936" w:rsidRDefault="00503A41" w:rsidP="000452B8">
            <w:pPr>
              <w:pStyle w:val="taula"/>
              <w:rPr>
                <w:rFonts w:cs="Arial"/>
                <w:i/>
                <w:noProof w:val="0"/>
                <w:sz w:val="18"/>
                <w:szCs w:val="18"/>
                <w:lang w:val="es-ES"/>
              </w:rPr>
            </w:pPr>
          </w:p>
        </w:tc>
        <w:tc>
          <w:tcPr>
            <w:tcW w:w="1298" w:type="dxa"/>
            <w:vAlign w:val="center"/>
          </w:tcPr>
          <w:p w:rsidR="00503A41" w:rsidRPr="00993936" w:rsidRDefault="00503A41" w:rsidP="000452B8">
            <w:pPr>
              <w:pStyle w:val="taula"/>
              <w:rPr>
                <w:rFonts w:cs="Arial"/>
                <w:noProof w:val="0"/>
                <w:sz w:val="18"/>
                <w:szCs w:val="18"/>
                <w:lang w:val="es-ES"/>
              </w:rPr>
            </w:pPr>
          </w:p>
        </w:tc>
      </w:tr>
    </w:tbl>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p>
    <w:p w:rsidR="00503A41" w:rsidRPr="00993936" w:rsidRDefault="00503A41">
      <w:pPr>
        <w:rPr>
          <w:rFonts w:ascii="Arial" w:eastAsia="Times New Roman" w:hAnsi="Arial" w:cs="Arial"/>
          <w:snapToGrid w:val="0"/>
          <w:lang w:val="es-ES" w:eastAsia="es-ES"/>
        </w:rPr>
      </w:pPr>
      <w:r w:rsidRPr="00993936">
        <w:rPr>
          <w:rFonts w:ascii="Arial" w:hAnsi="Arial" w:cs="Arial"/>
          <w:b/>
          <w:lang w:val="es-ES"/>
        </w:rPr>
        <w:br w:type="page"/>
      </w:r>
    </w:p>
    <w:p w:rsidR="00503A41" w:rsidRPr="00993936" w:rsidRDefault="00503A41" w:rsidP="000452B8">
      <w:pPr>
        <w:pStyle w:val="Textoindependiente3"/>
        <w:rPr>
          <w:rFonts w:cs="Arial"/>
          <w:b w:val="0"/>
          <w:szCs w:val="22"/>
          <w:lang w:val="es-ES"/>
        </w:rPr>
      </w:pPr>
      <w:r w:rsidRPr="00993936">
        <w:rPr>
          <w:rFonts w:cs="Arial"/>
          <w:b w:val="0"/>
          <w:szCs w:val="22"/>
          <w:lang w:val="es-ES"/>
        </w:rPr>
        <w:lastRenderedPageBreak/>
        <w:t xml:space="preserve">1.2 Materias activas para la producción integrada de cucurbitáceas (pepino, calabacín, calabaza, melón y sandía), teniendo en cuenta las indicaciones del Cuaderno de explotación y el Programa de control integrado de plagas y enfermedades.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3"/>
        <w:gridCol w:w="2454"/>
        <w:gridCol w:w="48"/>
        <w:gridCol w:w="883"/>
        <w:gridCol w:w="16"/>
        <w:gridCol w:w="752"/>
        <w:gridCol w:w="92"/>
        <w:gridCol w:w="800"/>
        <w:gridCol w:w="43"/>
        <w:gridCol w:w="821"/>
        <w:gridCol w:w="22"/>
        <w:gridCol w:w="840"/>
      </w:tblGrid>
      <w:tr w:rsidR="00503A41" w:rsidRPr="00993936" w:rsidTr="007003E1">
        <w:trPr>
          <w:cantSplit/>
          <w:trHeight w:val="240"/>
          <w:tblHeader/>
          <w:jc w:val="center"/>
        </w:trPr>
        <w:tc>
          <w:tcPr>
            <w:tcW w:w="1083" w:type="pct"/>
            <w:tcBorders>
              <w:top w:val="single" w:sz="4" w:space="0" w:color="auto"/>
            </w:tcBorders>
            <w:shd w:val="pct15" w:color="auto" w:fill="FFFFFF"/>
            <w:vAlign w:val="center"/>
          </w:tcPr>
          <w:p w:rsidR="00503A41" w:rsidRPr="00993936" w:rsidRDefault="00503A41" w:rsidP="007003E1">
            <w:pPr>
              <w:pStyle w:val="Sinespaciado"/>
              <w:rPr>
                <w:rFonts w:ascii="Arial" w:hAnsi="Arial" w:cs="Arial"/>
              </w:rPr>
            </w:pPr>
            <w:r w:rsidRPr="00993936">
              <w:rPr>
                <w:rFonts w:ascii="Arial" w:hAnsi="Arial" w:cs="Arial"/>
              </w:rPr>
              <w:t>PLAGA / ENFERMEDAD</w:t>
            </w:r>
          </w:p>
        </w:tc>
        <w:tc>
          <w:tcPr>
            <w:tcW w:w="1419" w:type="pct"/>
            <w:tcBorders>
              <w:top w:val="single" w:sz="4" w:space="0" w:color="auto"/>
            </w:tcBorders>
            <w:shd w:val="pct15" w:color="auto" w:fill="FFFFFF"/>
            <w:vAlign w:val="center"/>
          </w:tcPr>
          <w:p w:rsidR="00503A41" w:rsidRPr="00993936" w:rsidRDefault="00503A41" w:rsidP="007003E1">
            <w:pPr>
              <w:pStyle w:val="Sinespaciado"/>
              <w:rPr>
                <w:rFonts w:ascii="Arial" w:hAnsi="Arial" w:cs="Arial"/>
              </w:rPr>
            </w:pPr>
            <w:r w:rsidRPr="00993936">
              <w:rPr>
                <w:rFonts w:ascii="Arial" w:hAnsi="Arial" w:cs="Arial"/>
              </w:rPr>
              <w:t>CONTROL</w:t>
            </w:r>
          </w:p>
        </w:tc>
        <w:tc>
          <w:tcPr>
            <w:tcW w:w="539" w:type="pct"/>
            <w:gridSpan w:val="2"/>
            <w:tcBorders>
              <w:top w:val="single" w:sz="4" w:space="0" w:color="auto"/>
            </w:tcBorders>
            <w:shd w:val="pct15" w:color="auto" w:fill="FFFFFF"/>
            <w:vAlign w:val="center"/>
          </w:tcPr>
          <w:p w:rsidR="00503A41" w:rsidRPr="00993936" w:rsidRDefault="00503A41" w:rsidP="007003E1">
            <w:pPr>
              <w:pStyle w:val="Sinespaciado"/>
              <w:rPr>
                <w:rFonts w:ascii="Arial" w:hAnsi="Arial" w:cs="Arial"/>
              </w:rPr>
            </w:pPr>
            <w:r w:rsidRPr="00993936">
              <w:rPr>
                <w:rFonts w:ascii="Arial" w:hAnsi="Arial" w:cs="Arial"/>
              </w:rPr>
              <w:t>Pepino</w:t>
            </w:r>
          </w:p>
        </w:tc>
        <w:tc>
          <w:tcPr>
            <w:tcW w:w="444" w:type="pct"/>
            <w:gridSpan w:val="2"/>
            <w:tcBorders>
              <w:top w:val="single" w:sz="4" w:space="0" w:color="auto"/>
            </w:tcBorders>
            <w:shd w:val="pct15" w:color="auto" w:fill="FFFFFF"/>
            <w:vAlign w:val="center"/>
          </w:tcPr>
          <w:p w:rsidR="00503A41" w:rsidRPr="00993936" w:rsidRDefault="00503A41" w:rsidP="007003E1">
            <w:pPr>
              <w:pStyle w:val="Sinespaciado"/>
              <w:rPr>
                <w:rFonts w:ascii="Arial" w:hAnsi="Arial" w:cs="Arial"/>
              </w:rPr>
            </w:pPr>
            <w:r w:rsidRPr="00993936">
              <w:rPr>
                <w:rFonts w:ascii="Arial" w:hAnsi="Arial" w:cs="Arial"/>
              </w:rPr>
              <w:t>Calabacín</w:t>
            </w:r>
          </w:p>
        </w:tc>
        <w:tc>
          <w:tcPr>
            <w:tcW w:w="516" w:type="pct"/>
            <w:gridSpan w:val="2"/>
            <w:tcBorders>
              <w:top w:val="single" w:sz="4" w:space="0" w:color="auto"/>
            </w:tcBorders>
            <w:shd w:val="pct15" w:color="auto" w:fill="FFFFFF"/>
            <w:vAlign w:val="center"/>
          </w:tcPr>
          <w:p w:rsidR="00503A41" w:rsidRPr="00993936" w:rsidRDefault="00503A41" w:rsidP="007003E1">
            <w:pPr>
              <w:pStyle w:val="Sinespaciado"/>
              <w:rPr>
                <w:rFonts w:ascii="Arial" w:hAnsi="Arial" w:cs="Arial"/>
              </w:rPr>
            </w:pPr>
            <w:r w:rsidRPr="00993936">
              <w:rPr>
                <w:rFonts w:ascii="Arial" w:hAnsi="Arial" w:cs="Arial"/>
              </w:rPr>
              <w:t>Calabaza</w:t>
            </w:r>
          </w:p>
        </w:tc>
        <w:tc>
          <w:tcPr>
            <w:tcW w:w="500" w:type="pct"/>
            <w:gridSpan w:val="2"/>
            <w:tcBorders>
              <w:top w:val="single" w:sz="4" w:space="0" w:color="auto"/>
            </w:tcBorders>
            <w:shd w:val="pct15" w:color="auto" w:fill="FFFFFF"/>
            <w:vAlign w:val="center"/>
          </w:tcPr>
          <w:p w:rsidR="00503A41" w:rsidRPr="00993936" w:rsidRDefault="00503A41" w:rsidP="007003E1">
            <w:pPr>
              <w:pStyle w:val="Sinespaciado"/>
              <w:rPr>
                <w:rFonts w:ascii="Arial" w:hAnsi="Arial" w:cs="Arial"/>
              </w:rPr>
            </w:pPr>
            <w:r w:rsidRPr="00993936">
              <w:rPr>
                <w:rFonts w:ascii="Arial" w:hAnsi="Arial" w:cs="Arial"/>
              </w:rPr>
              <w:t>Melón</w:t>
            </w:r>
          </w:p>
        </w:tc>
        <w:tc>
          <w:tcPr>
            <w:tcW w:w="499" w:type="pct"/>
            <w:gridSpan w:val="2"/>
            <w:tcBorders>
              <w:top w:val="single" w:sz="4" w:space="0" w:color="auto"/>
            </w:tcBorders>
            <w:shd w:val="pct15" w:color="auto" w:fill="FFFFFF"/>
            <w:vAlign w:val="center"/>
          </w:tcPr>
          <w:p w:rsidR="00503A41" w:rsidRPr="00993936" w:rsidRDefault="00503A41" w:rsidP="007003E1">
            <w:pPr>
              <w:pStyle w:val="Sinespaciado"/>
              <w:rPr>
                <w:rFonts w:ascii="Arial" w:hAnsi="Arial" w:cs="Arial"/>
              </w:rPr>
            </w:pPr>
            <w:r w:rsidRPr="00993936">
              <w:rPr>
                <w:rFonts w:ascii="Arial" w:hAnsi="Arial" w:cs="Arial"/>
              </w:rPr>
              <w:t>Sandía</w:t>
            </w:r>
          </w:p>
        </w:tc>
      </w:tr>
      <w:tr w:rsidR="00503A41" w:rsidRPr="00993936" w:rsidTr="007003E1">
        <w:trPr>
          <w:cantSplit/>
          <w:trHeight w:val="186"/>
          <w:jc w:val="center"/>
        </w:trPr>
        <w:tc>
          <w:tcPr>
            <w:tcW w:w="1083"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Pulgones</w:t>
            </w:r>
          </w:p>
          <w:p w:rsidR="00503A41" w:rsidRPr="00993936" w:rsidRDefault="00503A41" w:rsidP="001D205D">
            <w:pPr>
              <w:pStyle w:val="Sinespaciado"/>
              <w:rPr>
                <w:rFonts w:ascii="Arial" w:hAnsi="Arial" w:cs="Arial"/>
                <w:b/>
                <w:lang w:val="es-ES"/>
              </w:rPr>
            </w:pPr>
            <w:r w:rsidRPr="00993936">
              <w:rPr>
                <w:rFonts w:ascii="Arial" w:hAnsi="Arial" w:cs="Arial"/>
                <w:i/>
                <w:lang w:val="es-ES"/>
              </w:rPr>
              <w:t>Aphis gossypii</w:t>
            </w: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Acetamiprid  </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6"/>
          <w:jc w:val="center"/>
        </w:trPr>
        <w:tc>
          <w:tcPr>
            <w:tcW w:w="1083" w:type="pct"/>
            <w:vMerge/>
            <w:shd w:val="clear" w:color="auto" w:fill="auto"/>
            <w:vAlign w:val="center"/>
          </w:tcPr>
          <w:p w:rsidR="00503A41" w:rsidRPr="00993936" w:rsidRDefault="00503A41" w:rsidP="001D205D">
            <w:pPr>
              <w:pStyle w:val="Sinespaciado"/>
              <w:rPr>
                <w:rFonts w:ascii="Arial" w:hAnsi="Arial" w:cs="Arial"/>
                <w:i/>
                <w:lang w:val="es-ES"/>
              </w:rPr>
            </w:pPr>
          </w:p>
        </w:tc>
        <w:tc>
          <w:tcPr>
            <w:tcW w:w="1419"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8"/>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Imidacloprid </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Flonicamid</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Lambda-cihalotrín </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tc>
        <w:tc>
          <w:tcPr>
            <w:tcW w:w="539" w:type="pct"/>
            <w:gridSpan w:val="2"/>
            <w:vAlign w:val="center"/>
          </w:tcPr>
          <w:p w:rsidR="00503A41" w:rsidRPr="00993936" w:rsidRDefault="00503A41" w:rsidP="001D205D">
            <w:pPr>
              <w:pStyle w:val="Sinespaciado"/>
              <w:rPr>
                <w:rFonts w:ascii="Arial" w:hAnsi="Arial" w:cs="Arial"/>
                <w:b/>
                <w:lang w:val="es-ES"/>
              </w:rPr>
            </w:pPr>
          </w:p>
        </w:tc>
        <w:tc>
          <w:tcPr>
            <w:tcW w:w="444" w:type="pct"/>
            <w:gridSpan w:val="2"/>
            <w:vAlign w:val="center"/>
          </w:tcPr>
          <w:p w:rsidR="00503A41" w:rsidRPr="00993936" w:rsidRDefault="00503A41" w:rsidP="001D205D">
            <w:pPr>
              <w:pStyle w:val="Sinespaciado"/>
              <w:rPr>
                <w:rFonts w:ascii="Arial" w:hAnsi="Arial" w:cs="Arial"/>
                <w:b/>
                <w:lang w:val="es-ES"/>
              </w:rPr>
            </w:pPr>
          </w:p>
        </w:tc>
        <w:tc>
          <w:tcPr>
            <w:tcW w:w="516" w:type="pct"/>
            <w:gridSpan w:val="2"/>
          </w:tcPr>
          <w:p w:rsidR="00503A41" w:rsidRPr="00993936" w:rsidRDefault="00503A41" w:rsidP="001D205D">
            <w:pPr>
              <w:pStyle w:val="Sinespaciado"/>
              <w:rPr>
                <w:rFonts w:ascii="Arial" w:hAnsi="Arial" w:cs="Arial"/>
                <w:b/>
                <w:lang w:val="es-ES"/>
              </w:rPr>
            </w:pP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Pimetrozina</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Pirimicarb (2)</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 Cipermetrín </w:t>
            </w:r>
          </w:p>
        </w:tc>
        <w:tc>
          <w:tcPr>
            <w:tcW w:w="539" w:type="pct"/>
            <w:gridSpan w:val="2"/>
            <w:vAlign w:val="center"/>
          </w:tcPr>
          <w:p w:rsidR="00503A41" w:rsidRPr="00993936" w:rsidRDefault="00503A41" w:rsidP="001D205D">
            <w:pPr>
              <w:pStyle w:val="Sinespaciado"/>
              <w:rPr>
                <w:rFonts w:ascii="Arial" w:hAnsi="Arial" w:cs="Arial"/>
                <w:b/>
                <w:lang w:val="es-ES"/>
              </w:rPr>
            </w:pPr>
          </w:p>
        </w:tc>
        <w:tc>
          <w:tcPr>
            <w:tcW w:w="444" w:type="pct"/>
            <w:gridSpan w:val="2"/>
            <w:vAlign w:val="center"/>
          </w:tcPr>
          <w:p w:rsidR="00503A41" w:rsidRPr="00993936" w:rsidRDefault="00503A41" w:rsidP="001D205D">
            <w:pPr>
              <w:pStyle w:val="Sinespaciado"/>
              <w:rPr>
                <w:rFonts w:ascii="Arial" w:hAnsi="Arial" w:cs="Arial"/>
                <w:b/>
                <w:lang w:val="es-ES"/>
              </w:rPr>
            </w:pPr>
          </w:p>
        </w:tc>
        <w:tc>
          <w:tcPr>
            <w:tcW w:w="516" w:type="pct"/>
            <w:gridSpan w:val="2"/>
          </w:tcPr>
          <w:p w:rsidR="00503A41" w:rsidRPr="00993936" w:rsidRDefault="00503A41" w:rsidP="001D205D">
            <w:pPr>
              <w:pStyle w:val="Sinespaciado"/>
              <w:rPr>
                <w:rFonts w:ascii="Arial" w:hAnsi="Arial" w:cs="Arial"/>
                <w:b/>
                <w:lang w:val="es-ES"/>
              </w:rPr>
            </w:pP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Tiacloprid </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Tiametoxam </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Spirotetramat</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419"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c>
          <w:tcPr>
            <w:tcW w:w="53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44"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16" w:type="pct"/>
            <w:gridSpan w:val="2"/>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500"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c>
          <w:tcPr>
            <w:tcW w:w="499" w:type="pct"/>
            <w:gridSpan w:val="2"/>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X</w:t>
            </w:r>
          </w:p>
        </w:tc>
      </w:tr>
      <w:tr w:rsidR="00503A41" w:rsidRPr="00993936" w:rsidTr="007003E1">
        <w:trPr>
          <w:cantSplit/>
          <w:trHeight w:val="191"/>
          <w:jc w:val="center"/>
        </w:trPr>
        <w:tc>
          <w:tcPr>
            <w:tcW w:w="1083" w:type="pct"/>
            <w:vMerge w:val="restart"/>
            <w:tcBorders>
              <w:top w:val="single" w:sz="4" w:space="0" w:color="auto"/>
            </w:tcBorders>
            <w:shd w:val="clear" w:color="auto" w:fill="auto"/>
            <w:vAlign w:val="center"/>
          </w:tcPr>
          <w:p w:rsidR="00503A41" w:rsidRPr="00993936" w:rsidRDefault="00503A41" w:rsidP="001D205D">
            <w:pPr>
              <w:pStyle w:val="Sinespaciado"/>
              <w:rPr>
                <w:rFonts w:ascii="Arial" w:hAnsi="Arial" w:cs="Arial"/>
                <w:b/>
                <w:i/>
                <w:lang w:val="es-ES"/>
              </w:rPr>
            </w:pPr>
            <w:r w:rsidRPr="00993936">
              <w:rPr>
                <w:rFonts w:ascii="Arial" w:hAnsi="Arial" w:cs="Arial"/>
                <w:b/>
                <w:lang w:val="es-ES"/>
              </w:rPr>
              <w:t xml:space="preserve">Mosca blanca </w:t>
            </w:r>
          </w:p>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T. vaporariorum </w:t>
            </w:r>
          </w:p>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B. tabaci </w:t>
            </w:r>
          </w:p>
        </w:tc>
        <w:tc>
          <w:tcPr>
            <w:tcW w:w="1447" w:type="pct"/>
            <w:gridSpan w:val="2"/>
            <w:tcBorders>
              <w:top w:val="single" w:sz="4" w:space="0" w:color="auto"/>
            </w:tcBorders>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Acetamiprid </w:t>
            </w:r>
          </w:p>
        </w:tc>
        <w:tc>
          <w:tcPr>
            <w:tcW w:w="520" w:type="pct"/>
            <w:gridSpan w:val="2"/>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Borders>
              <w:top w:val="single" w:sz="4" w:space="0" w:color="auto"/>
            </w:tcBorders>
          </w:tcPr>
          <w:p w:rsidR="00503A41" w:rsidRPr="00993936" w:rsidRDefault="00503A41" w:rsidP="001D205D">
            <w:pPr>
              <w:pStyle w:val="Sinespaciado"/>
              <w:rPr>
                <w:rFonts w:ascii="Arial" w:hAnsi="Arial" w:cs="Arial"/>
                <w:lang w:val="es-ES"/>
              </w:rPr>
            </w:pPr>
          </w:p>
        </w:tc>
        <w:tc>
          <w:tcPr>
            <w:tcW w:w="488" w:type="pct"/>
            <w:gridSpan w:val="2"/>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tcBorders>
              <w:top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Alfa cipermetrín</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i/>
                <w:lang w:val="es-ES"/>
              </w:rPr>
              <w:t>Beauveria bassiana</w:t>
            </w:r>
            <w:r w:rsidRPr="00993936">
              <w:rPr>
                <w:rFonts w:ascii="Arial" w:hAnsi="Arial" w:cs="Arial"/>
                <w:lang w:val="es-ES"/>
              </w:rPr>
              <w:t xml:space="preserve"> </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Spirotetramat</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Imidacloprid</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Aceite de Naranja</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tc>
        <w:tc>
          <w:tcPr>
            <w:tcW w:w="520" w:type="pct"/>
            <w:gridSpan w:val="2"/>
            <w:vAlign w:val="center"/>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Pimetrozina </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Piriproxifén </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dstrike/>
                <w:lang w:val="es-ES"/>
              </w:rPr>
            </w:pPr>
          </w:p>
        </w:tc>
        <w:tc>
          <w:tcPr>
            <w:tcW w:w="488" w:type="pct"/>
            <w:gridSpan w:val="2"/>
            <w:vAlign w:val="center"/>
          </w:tcPr>
          <w:p w:rsidR="00503A41" w:rsidRPr="00993936" w:rsidRDefault="00503A41" w:rsidP="001D205D">
            <w:pPr>
              <w:pStyle w:val="Sinespaciado"/>
              <w:rPr>
                <w:rFonts w:ascii="Arial" w:hAnsi="Arial" w:cs="Arial"/>
                <w:dstrike/>
                <w:lang w:val="es-ES"/>
              </w:rPr>
            </w:pPr>
          </w:p>
        </w:tc>
        <w:tc>
          <w:tcPr>
            <w:tcW w:w="486" w:type="pct"/>
            <w:vAlign w:val="center"/>
          </w:tcPr>
          <w:p w:rsidR="00503A41" w:rsidRPr="00993936" w:rsidRDefault="00503A41" w:rsidP="001D205D">
            <w:pPr>
              <w:pStyle w:val="Sinespaciado"/>
              <w:rPr>
                <w:rFonts w:ascii="Arial" w:hAnsi="Arial" w:cs="Arial"/>
                <w:dstrike/>
                <w:lang w:val="es-ES"/>
              </w:rPr>
            </w:pP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Espiromesifén</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Sales pot. de ác.grasos</w:t>
            </w:r>
          </w:p>
        </w:tc>
        <w:tc>
          <w:tcPr>
            <w:tcW w:w="520" w:type="pct"/>
            <w:gridSpan w:val="2"/>
            <w:vAlign w:val="center"/>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Tiacloprid</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lang w:val="es-ES"/>
              </w:rPr>
              <w:t xml:space="preserve">Tiametoxam </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5"/>
          <w:jc w:val="center"/>
        </w:trPr>
        <w:tc>
          <w:tcPr>
            <w:tcW w:w="1083"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Trips</w:t>
            </w:r>
          </w:p>
          <w:p w:rsidR="00503A41" w:rsidRPr="00993936" w:rsidRDefault="00503A41" w:rsidP="001D205D">
            <w:pPr>
              <w:pStyle w:val="Sinespaciado"/>
              <w:rPr>
                <w:rFonts w:ascii="Arial" w:hAnsi="Arial" w:cs="Arial"/>
                <w:i/>
                <w:strike/>
                <w:lang w:val="es-ES"/>
              </w:rPr>
            </w:pPr>
            <w:r w:rsidRPr="00993936">
              <w:rPr>
                <w:rFonts w:ascii="Arial" w:hAnsi="Arial" w:cs="Arial"/>
                <w:i/>
                <w:lang w:val="es-ES"/>
              </w:rPr>
              <w:t xml:space="preserve">F. occidentalis </w:t>
            </w:r>
          </w:p>
        </w:tc>
        <w:tc>
          <w:tcPr>
            <w:tcW w:w="1447" w:type="pct"/>
            <w:gridSpan w:val="2"/>
            <w:shd w:val="clear" w:color="auto" w:fill="auto"/>
            <w:vAlign w:val="center"/>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 xml:space="preserve">Acrinatrín </w:t>
            </w:r>
            <w:r w:rsidRPr="00993936">
              <w:rPr>
                <w:rFonts w:ascii="Arial" w:hAnsi="Arial" w:cs="Arial"/>
                <w:i/>
                <w:lang w:val="es-ES"/>
              </w:rPr>
              <w:t xml:space="preserve"> </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strike/>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Azadiractín</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strike/>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eastAsia="ca-ES"/>
              </w:rPr>
            </w:pPr>
            <w:r w:rsidRPr="00993936">
              <w:rPr>
                <w:rFonts w:ascii="Arial" w:hAnsi="Arial" w:cs="Arial"/>
                <w:lang w:val="es-ES" w:eastAsia="ca-ES"/>
              </w:rPr>
              <w:t>Deltametrín</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Lufenuró</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p>
        </w:tc>
        <w:tc>
          <w:tcPr>
            <w:tcW w:w="486" w:type="pct"/>
            <w:vAlign w:val="center"/>
          </w:tcPr>
          <w:p w:rsidR="00503A41" w:rsidRPr="00993936" w:rsidRDefault="00503A41" w:rsidP="001D205D">
            <w:pPr>
              <w:pStyle w:val="Sinespaciado"/>
              <w:rPr>
                <w:rFonts w:ascii="Arial" w:hAnsi="Arial" w:cs="Arial"/>
                <w:lang w:val="es-ES"/>
              </w:rPr>
            </w:pP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i/>
                <w:lang w:val="es-ES"/>
              </w:rPr>
              <w:t>Beauveria bassiana</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p>
        </w:tc>
        <w:tc>
          <w:tcPr>
            <w:tcW w:w="486" w:type="pct"/>
            <w:vAlign w:val="center"/>
          </w:tcPr>
          <w:p w:rsidR="00503A41" w:rsidRPr="00993936" w:rsidRDefault="00503A41" w:rsidP="001D205D">
            <w:pPr>
              <w:pStyle w:val="Sinespaciado"/>
              <w:rPr>
                <w:rFonts w:ascii="Arial" w:hAnsi="Arial" w:cs="Arial"/>
                <w:lang w:val="es-ES"/>
              </w:rPr>
            </w:pP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Metiocarb (2)</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p>
        </w:tc>
        <w:tc>
          <w:tcPr>
            <w:tcW w:w="486" w:type="pct"/>
            <w:vAlign w:val="center"/>
          </w:tcPr>
          <w:p w:rsidR="00503A41" w:rsidRPr="00993936" w:rsidRDefault="00503A41" w:rsidP="001D205D">
            <w:pPr>
              <w:pStyle w:val="Sinespaciado"/>
              <w:rPr>
                <w:rFonts w:ascii="Arial" w:hAnsi="Arial" w:cs="Arial"/>
                <w:lang w:val="es-ES"/>
              </w:rPr>
            </w:pP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tc>
        <w:tc>
          <w:tcPr>
            <w:tcW w:w="520" w:type="pct"/>
            <w:gridSpan w:val="2"/>
            <w:vAlign w:val="center"/>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Azufre + Cipermetrín</w:t>
            </w:r>
          </w:p>
        </w:tc>
        <w:tc>
          <w:tcPr>
            <w:tcW w:w="520" w:type="pct"/>
            <w:gridSpan w:val="2"/>
            <w:vAlign w:val="center"/>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p>
        </w:tc>
        <w:tc>
          <w:tcPr>
            <w:tcW w:w="488" w:type="pct"/>
            <w:gridSpan w:val="2"/>
          </w:tcPr>
          <w:p w:rsidR="00503A41" w:rsidRPr="00993936" w:rsidRDefault="00503A41" w:rsidP="001D205D">
            <w:pPr>
              <w:pStyle w:val="Sinespaciado"/>
              <w:rPr>
                <w:rFonts w:ascii="Arial" w:hAnsi="Arial" w:cs="Arial"/>
                <w:lang w:val="es-ES"/>
              </w:rPr>
            </w:pP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03A41" w:rsidRPr="00993936" w:rsidTr="007003E1">
        <w:trPr>
          <w:cantSplit/>
          <w:trHeight w:val="184"/>
          <w:jc w:val="center"/>
        </w:trPr>
        <w:tc>
          <w:tcPr>
            <w:tcW w:w="1083" w:type="pct"/>
            <w:vMerge/>
            <w:shd w:val="clear" w:color="auto" w:fill="auto"/>
            <w:vAlign w:val="center"/>
          </w:tcPr>
          <w:p w:rsidR="00503A41" w:rsidRPr="00993936" w:rsidRDefault="00503A41" w:rsidP="001D205D">
            <w:pPr>
              <w:pStyle w:val="Sinespaciado"/>
              <w:rPr>
                <w:rFonts w:ascii="Arial" w:hAnsi="Arial" w:cs="Arial"/>
                <w:lang w:val="es-ES"/>
              </w:rPr>
            </w:pPr>
          </w:p>
        </w:tc>
        <w:tc>
          <w:tcPr>
            <w:tcW w:w="1447" w:type="pct"/>
            <w:gridSpan w:val="2"/>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Espinosad</w:t>
            </w:r>
          </w:p>
        </w:tc>
        <w:tc>
          <w:tcPr>
            <w:tcW w:w="520"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8" w:type="pct"/>
            <w:gridSpan w:val="2"/>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486" w:type="pct"/>
            <w:vAlign w:val="center"/>
          </w:tcPr>
          <w:p w:rsidR="00503A41" w:rsidRPr="00993936" w:rsidRDefault="00503A41" w:rsidP="001D205D">
            <w:pPr>
              <w:pStyle w:val="Sinespaciado"/>
              <w:rPr>
                <w:rFonts w:ascii="Arial" w:hAnsi="Arial" w:cs="Arial"/>
                <w:dstrike/>
                <w:lang w:val="es-ES"/>
              </w:rPr>
            </w:pPr>
          </w:p>
        </w:tc>
      </w:tr>
    </w:tbl>
    <w:p w:rsidR="00503A41" w:rsidRPr="00993936" w:rsidRDefault="00503A41" w:rsidP="000452B8">
      <w:pPr>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1.2  Materias activas para la producción integrada de cucurbitáceas (pepino, calabacín, calabaza, melón y sandía), teniendo en cuenta las indicaciones del Cuaderno de explotación y el Programa de control integrado de plagas y enfermedades. (continuación)</w:t>
      </w:r>
    </w:p>
    <w:p w:rsidR="00503A41" w:rsidRPr="00993936" w:rsidRDefault="00503A41">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0"/>
        <w:gridCol w:w="2711"/>
        <w:gridCol w:w="899"/>
        <w:gridCol w:w="844"/>
        <w:gridCol w:w="844"/>
        <w:gridCol w:w="844"/>
        <w:gridCol w:w="842"/>
      </w:tblGrid>
      <w:tr w:rsidR="00503A41" w:rsidRPr="00993936" w:rsidTr="000452B8">
        <w:trPr>
          <w:cantSplit/>
          <w:trHeight w:val="185"/>
          <w:jc w:val="center"/>
        </w:trPr>
        <w:tc>
          <w:tcPr>
            <w:tcW w:w="961" w:type="pct"/>
            <w:shd w:val="clear" w:color="auto" w:fill="BFBFBF"/>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 xml:space="preserve">PLAGA / </w:t>
            </w:r>
          </w:p>
          <w:p w:rsidR="00503A41" w:rsidRPr="00993936" w:rsidRDefault="00503A41" w:rsidP="001D205D">
            <w:pPr>
              <w:pStyle w:val="Sinespaciado"/>
              <w:rPr>
                <w:rFonts w:ascii="Arial" w:hAnsi="Arial" w:cs="Arial"/>
                <w:b/>
                <w:lang w:val="es-ES"/>
              </w:rPr>
            </w:pPr>
            <w:r w:rsidRPr="00993936">
              <w:rPr>
                <w:rFonts w:ascii="Arial" w:hAnsi="Arial" w:cs="Arial"/>
                <w:b/>
                <w:lang w:val="es-ES"/>
              </w:rPr>
              <w:t>ENFERMEDAD</w:t>
            </w:r>
          </w:p>
        </w:tc>
        <w:tc>
          <w:tcPr>
            <w:tcW w:w="1568" w:type="pct"/>
            <w:shd w:val="clear" w:color="auto" w:fill="BFBFBF"/>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CONTROL</w:t>
            </w:r>
          </w:p>
        </w:tc>
        <w:tc>
          <w:tcPr>
            <w:tcW w:w="520" w:type="pct"/>
            <w:shd w:val="clear" w:color="auto" w:fill="BFBFBF"/>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Pepino</w:t>
            </w:r>
          </w:p>
        </w:tc>
        <w:tc>
          <w:tcPr>
            <w:tcW w:w="488" w:type="pct"/>
            <w:shd w:val="clear" w:color="auto" w:fill="BFBFBF"/>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Calabacín</w:t>
            </w:r>
          </w:p>
        </w:tc>
        <w:tc>
          <w:tcPr>
            <w:tcW w:w="488" w:type="pct"/>
            <w:shd w:val="clear" w:color="auto" w:fill="BFBFBF"/>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Calabaza</w:t>
            </w:r>
          </w:p>
        </w:tc>
        <w:tc>
          <w:tcPr>
            <w:tcW w:w="488" w:type="pct"/>
            <w:shd w:val="clear" w:color="auto" w:fill="BFBFBF"/>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Melón</w:t>
            </w:r>
          </w:p>
        </w:tc>
        <w:tc>
          <w:tcPr>
            <w:tcW w:w="487" w:type="pct"/>
            <w:shd w:val="clear" w:color="auto" w:fill="BFBFBF"/>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Sandía</w:t>
            </w:r>
          </w:p>
        </w:tc>
      </w:tr>
      <w:tr w:rsidR="00503A41" w:rsidRPr="00993936" w:rsidTr="000452B8">
        <w:trPr>
          <w:cantSplit/>
          <w:trHeight w:val="185"/>
          <w:jc w:val="center"/>
        </w:trPr>
        <w:tc>
          <w:tcPr>
            <w:tcW w:w="961"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Minadoras</w:t>
            </w:r>
          </w:p>
          <w:p w:rsidR="00503A41" w:rsidRPr="00993936" w:rsidRDefault="00503A41" w:rsidP="001D205D">
            <w:pPr>
              <w:pStyle w:val="Sinespaciado"/>
              <w:rPr>
                <w:rFonts w:ascii="Arial" w:hAnsi="Arial" w:cs="Arial"/>
                <w:lang w:val="es-ES"/>
              </w:rPr>
            </w:pPr>
            <w:r w:rsidRPr="00993936">
              <w:rPr>
                <w:rFonts w:ascii="Arial" w:hAnsi="Arial" w:cs="Arial"/>
                <w:i/>
                <w:lang w:val="es-ES"/>
              </w:rPr>
              <w:t>Liriomyza</w:t>
            </w:r>
            <w:r w:rsidRPr="00993936">
              <w:rPr>
                <w:rFonts w:ascii="Arial" w:hAnsi="Arial" w:cs="Arial"/>
                <w:lang w:val="es-ES"/>
              </w:rPr>
              <w:t xml:space="preserve"> spp.</w:t>
            </w: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Abamectina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5"/>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5"/>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Ciromazina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5"/>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5"/>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7"/>
          <w:jc w:val="center"/>
        </w:trPr>
        <w:tc>
          <w:tcPr>
            <w:tcW w:w="961"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Lepidópteros</w:t>
            </w:r>
          </w:p>
          <w:p w:rsidR="00503A41" w:rsidRPr="00993936" w:rsidRDefault="00503A41" w:rsidP="001D205D">
            <w:pPr>
              <w:pStyle w:val="Sinespaciado"/>
              <w:rPr>
                <w:rFonts w:ascii="Arial" w:hAnsi="Arial" w:cs="Arial"/>
                <w:i/>
                <w:lang w:val="es-ES" w:eastAsia="es-ES"/>
              </w:rPr>
            </w:pPr>
            <w:r w:rsidRPr="00993936">
              <w:rPr>
                <w:rFonts w:ascii="Arial" w:hAnsi="Arial" w:cs="Arial"/>
                <w:i/>
                <w:lang w:val="es-ES" w:eastAsia="es-ES"/>
              </w:rPr>
              <w:t xml:space="preserve">Chrysodeixis chalcites, </w:t>
            </w:r>
          </w:p>
          <w:p w:rsidR="00503A41" w:rsidRPr="00993936" w:rsidRDefault="00503A41" w:rsidP="001D205D">
            <w:pPr>
              <w:pStyle w:val="Sinespaciado"/>
              <w:rPr>
                <w:rFonts w:ascii="Arial" w:hAnsi="Arial" w:cs="Arial"/>
                <w:i/>
                <w:lang w:val="es-ES" w:eastAsia="es-ES"/>
              </w:rPr>
            </w:pPr>
            <w:r w:rsidRPr="00993936">
              <w:rPr>
                <w:rFonts w:ascii="Arial" w:hAnsi="Arial" w:cs="Arial"/>
                <w:i/>
                <w:lang w:val="es-ES" w:eastAsia="es-ES"/>
              </w:rPr>
              <w:t>Autographa gama</w:t>
            </w:r>
            <w:r w:rsidRPr="00993936">
              <w:rPr>
                <w:rFonts w:ascii="Arial" w:hAnsi="Arial" w:cs="Arial"/>
                <w:i/>
                <w:vanish/>
                <w:lang w:val="es-ES" w:eastAsia="es-ES"/>
              </w:rPr>
              <w:t>&lt;A[gama|gamma]&gt;</w:t>
            </w:r>
            <w:r w:rsidRPr="00993936">
              <w:rPr>
                <w:rFonts w:ascii="Arial" w:hAnsi="Arial" w:cs="Arial"/>
                <w:i/>
                <w:lang w:val="es-ES" w:eastAsia="es-ES"/>
              </w:rPr>
              <w:t>, Helicoverpa armigera, Agrotis sp.</w:t>
            </w:r>
          </w:p>
          <w:p w:rsidR="00503A41" w:rsidRPr="00993936" w:rsidRDefault="00503A41" w:rsidP="001D205D">
            <w:pPr>
              <w:pStyle w:val="Sinespaciado"/>
              <w:rPr>
                <w:rFonts w:ascii="Arial" w:hAnsi="Arial" w:cs="Arial"/>
                <w:i/>
                <w:lang w:val="es-ES" w:eastAsia="es-ES"/>
              </w:rPr>
            </w:pPr>
          </w:p>
          <w:p w:rsidR="00503A41" w:rsidRPr="00993936" w:rsidRDefault="00503A41" w:rsidP="001D205D">
            <w:pPr>
              <w:pStyle w:val="Sinespaciado"/>
              <w:rPr>
                <w:rFonts w:ascii="Arial" w:hAnsi="Arial" w:cs="Arial"/>
                <w:lang w:val="es-ES"/>
              </w:rPr>
            </w:pPr>
            <w:r w:rsidRPr="00993936">
              <w:rPr>
                <w:rFonts w:ascii="Arial" w:hAnsi="Arial" w:cs="Arial"/>
                <w:i/>
                <w:lang w:val="es-ES" w:eastAsia="es-ES"/>
              </w:rPr>
              <w:t>.</w:t>
            </w: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Bacillus thuringiensis var. aizawai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Bacillus thuringiensis var. kurstaki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Betaciflutrín</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Clorantraniliprol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Clorpirifos </w:t>
            </w:r>
            <w:r w:rsidRPr="00993936">
              <w:rPr>
                <w:rFonts w:ascii="Arial" w:hAnsi="Arial" w:cs="Arial"/>
                <w:snapToGrid w:val="0"/>
                <w:lang w:val="es-ES"/>
              </w:rPr>
              <w:t>(granulado)</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Espinosad</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Emamectina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Del="005A5CFD"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Indoxacarb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98"/>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Lambda-cihalotrín</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98"/>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c>
          <w:tcPr>
            <w:tcW w:w="520"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Tebufenocida</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b/>
                <w:lang w:val="es-ES"/>
              </w:rPr>
            </w:pPr>
            <w:r w:rsidRPr="00993936">
              <w:rPr>
                <w:rFonts w:ascii="Arial" w:hAnsi="Arial" w:cs="Arial"/>
                <w:b/>
                <w:lang w:val="es-ES"/>
              </w:rPr>
              <w:t>Agrotis sp.</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Clorpirifos (granulado)   </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01"/>
          <w:jc w:val="center"/>
        </w:trPr>
        <w:tc>
          <w:tcPr>
            <w:tcW w:w="961"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Araña roja</w:t>
            </w:r>
          </w:p>
          <w:p w:rsidR="00503A41" w:rsidRPr="00993936" w:rsidRDefault="00503A41" w:rsidP="001D205D">
            <w:pPr>
              <w:pStyle w:val="Sinespaciado"/>
              <w:rPr>
                <w:rFonts w:ascii="Arial" w:hAnsi="Arial" w:cs="Arial"/>
                <w:i/>
                <w:lang w:val="es-ES"/>
              </w:rPr>
            </w:pPr>
            <w:r w:rsidRPr="00993936">
              <w:rPr>
                <w:rFonts w:ascii="Arial" w:hAnsi="Arial" w:cs="Arial"/>
                <w:i/>
                <w:lang w:val="es-ES"/>
              </w:rPr>
              <w:t>Tetranychus urticae, t. turkestani</w:t>
            </w: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Abamectina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Acrinatrín </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59"/>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Clofentezina</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59"/>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Etoxazolè</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Fenbutatina  </w:t>
            </w:r>
            <w:r w:rsidRPr="00993936">
              <w:rPr>
                <w:rFonts w:ascii="Arial" w:hAnsi="Arial" w:cs="Arial"/>
                <w:i/>
                <w:lang w:val="es-ES"/>
              </w:rPr>
              <w:t xml:space="preserve">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Hexitiazox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Aceite parafínico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dstrike/>
                <w:lang w:val="es-ES"/>
              </w:rPr>
            </w:pP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Azufre</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Espiromesifén</w:t>
            </w:r>
          </w:p>
        </w:tc>
        <w:tc>
          <w:tcPr>
            <w:tcW w:w="520"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55"/>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Tebufenpirad</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bl>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1.2  Materias activas para la producción integrada de cucurbitáceas (pepino, calabacín, calabaza, melón y sandía), teniendo en cuenta las indicaciones del Cuaderno de explotación y el Programa de control integrado de plagas y enfermedades.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0"/>
        <w:gridCol w:w="2711"/>
        <w:gridCol w:w="899"/>
        <w:gridCol w:w="844"/>
        <w:gridCol w:w="844"/>
        <w:gridCol w:w="844"/>
        <w:gridCol w:w="842"/>
      </w:tblGrid>
      <w:tr w:rsidR="00503A41" w:rsidRPr="00993936" w:rsidTr="000452B8">
        <w:trPr>
          <w:cantSplit/>
          <w:trHeight w:val="185"/>
          <w:jc w:val="center"/>
        </w:trPr>
        <w:tc>
          <w:tcPr>
            <w:tcW w:w="961" w:type="pct"/>
            <w:shd w:val="clear" w:color="auto" w:fill="BFBFB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PLAGA / </w:t>
            </w:r>
          </w:p>
          <w:p w:rsidR="00503A41" w:rsidRPr="00993936" w:rsidRDefault="00503A41" w:rsidP="001D205D">
            <w:pPr>
              <w:pStyle w:val="Sinespaciado"/>
              <w:rPr>
                <w:rFonts w:ascii="Arial" w:hAnsi="Arial" w:cs="Arial"/>
                <w:lang w:val="es-ES"/>
              </w:rPr>
            </w:pPr>
            <w:r w:rsidRPr="00993936">
              <w:rPr>
                <w:rFonts w:ascii="Arial" w:hAnsi="Arial" w:cs="Arial"/>
                <w:lang w:val="es-ES"/>
              </w:rPr>
              <w:t>ENFERMEDAD</w:t>
            </w:r>
          </w:p>
        </w:tc>
        <w:tc>
          <w:tcPr>
            <w:tcW w:w="1568" w:type="pct"/>
            <w:shd w:val="clear" w:color="auto" w:fill="BFBFB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CONTROL</w:t>
            </w:r>
          </w:p>
        </w:tc>
        <w:tc>
          <w:tcPr>
            <w:tcW w:w="520" w:type="pct"/>
            <w:shd w:val="clear" w:color="auto" w:fill="BFBFB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Pepino</w:t>
            </w:r>
          </w:p>
        </w:tc>
        <w:tc>
          <w:tcPr>
            <w:tcW w:w="488" w:type="pct"/>
            <w:shd w:val="clear" w:color="auto" w:fill="BFBFB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Calabacín</w:t>
            </w:r>
          </w:p>
        </w:tc>
        <w:tc>
          <w:tcPr>
            <w:tcW w:w="488" w:type="pct"/>
            <w:shd w:val="clear" w:color="auto" w:fill="BFBFB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Calabaza</w:t>
            </w:r>
          </w:p>
        </w:tc>
        <w:tc>
          <w:tcPr>
            <w:tcW w:w="488" w:type="pct"/>
            <w:shd w:val="clear" w:color="auto" w:fill="BFBFB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Melón</w:t>
            </w:r>
          </w:p>
        </w:tc>
        <w:tc>
          <w:tcPr>
            <w:tcW w:w="487" w:type="pct"/>
            <w:shd w:val="clear" w:color="auto" w:fill="BFBFBF"/>
            <w:vAlign w:val="center"/>
          </w:tcPr>
          <w:p w:rsidR="00503A41" w:rsidRPr="00993936" w:rsidRDefault="00503A41" w:rsidP="001D205D">
            <w:pPr>
              <w:pStyle w:val="Sinespaciado"/>
              <w:jc w:val="center"/>
              <w:rPr>
                <w:rFonts w:ascii="Arial" w:hAnsi="Arial" w:cs="Arial"/>
                <w:lang w:val="es-ES"/>
              </w:rPr>
            </w:pPr>
            <w:r w:rsidRPr="00993936">
              <w:rPr>
                <w:rFonts w:ascii="Arial" w:hAnsi="Arial" w:cs="Arial"/>
                <w:lang w:val="es-ES"/>
              </w:rPr>
              <w:t>Sandía</w:t>
            </w:r>
          </w:p>
        </w:tc>
      </w:tr>
      <w:tr w:rsidR="00503A41" w:rsidRPr="00993936" w:rsidTr="000452B8">
        <w:trPr>
          <w:cantSplit/>
          <w:trHeight w:val="189"/>
          <w:jc w:val="center"/>
        </w:trPr>
        <w:tc>
          <w:tcPr>
            <w:tcW w:w="961" w:type="pct"/>
            <w:vMerge w:val="restart"/>
            <w:shd w:val="clear" w:color="auto" w:fill="auto"/>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Oídio</w:t>
            </w:r>
          </w:p>
          <w:p w:rsidR="00503A41" w:rsidRPr="00993936" w:rsidRDefault="00503A41" w:rsidP="001D205D">
            <w:pPr>
              <w:pStyle w:val="Sinespaciado"/>
              <w:rPr>
                <w:rFonts w:ascii="Arial" w:hAnsi="Arial" w:cs="Arial"/>
                <w:b/>
                <w:lang w:val="es-ES"/>
              </w:rPr>
            </w:pPr>
            <w:r w:rsidRPr="00993936">
              <w:rPr>
                <w:rFonts w:ascii="Arial" w:hAnsi="Arial" w:cs="Arial"/>
                <w:i/>
                <w:lang w:val="es-ES" w:eastAsia="ca-ES"/>
              </w:rPr>
              <w:t>Sphaerotheca fuliginea</w:t>
            </w: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9"/>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Azoxistrobín + Clortalonil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i/>
                <w:lang w:val="es-ES"/>
              </w:rPr>
              <w:t>Ampelomyces quisqualis</w:t>
            </w:r>
          </w:p>
        </w:tc>
        <w:tc>
          <w:tcPr>
            <w:tcW w:w="520"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Boscalida + Kresoxim-metil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Bupirimat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Carbonato de hidrógeno de potasio</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Ciflufenamida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Ciflufenamida + Difenoconazol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Ciproconazol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Clortalonil + Tetraconazol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Difenoconazolè</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Dimetomorf + Piraclostrobína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Flutriafol</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Kresoxim-metil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Metrafenona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Metil-tiofanato</w:t>
            </w:r>
          </w:p>
        </w:tc>
        <w:tc>
          <w:tcPr>
            <w:tcW w:w="520" w:type="pct"/>
            <w:vAlign w:val="center"/>
          </w:tcPr>
          <w:p w:rsidR="00503A41" w:rsidRPr="00993936" w:rsidRDefault="00503A41" w:rsidP="001D205D">
            <w:pPr>
              <w:pStyle w:val="Sinespaciado"/>
              <w:jc w:val="center"/>
              <w:rPr>
                <w:rFonts w:ascii="Arial" w:hAnsi="Arial" w:cs="Arial"/>
                <w:b/>
                <w:dstrike/>
                <w:lang w:val="es-ES"/>
              </w:rPr>
            </w:pPr>
          </w:p>
        </w:tc>
        <w:tc>
          <w:tcPr>
            <w:tcW w:w="488" w:type="pct"/>
            <w:vAlign w:val="center"/>
          </w:tcPr>
          <w:p w:rsidR="00503A41" w:rsidRPr="00993936" w:rsidRDefault="00503A41" w:rsidP="001D205D">
            <w:pPr>
              <w:pStyle w:val="Sinespaciado"/>
              <w:jc w:val="center"/>
              <w:rPr>
                <w:rFonts w:ascii="Arial" w:hAnsi="Arial" w:cs="Arial"/>
                <w:b/>
                <w:dstrike/>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Miclobutanil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Aceite de Naranja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07"/>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Penconazol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Quinoxifèn </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dstrike/>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dstrike/>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dstrike/>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Azufre</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Del="00401291" w:rsidRDefault="00503A41" w:rsidP="001D205D">
            <w:pPr>
              <w:pStyle w:val="Sinespaciado"/>
              <w:rPr>
                <w:rFonts w:ascii="Arial" w:hAnsi="Arial" w:cs="Arial"/>
                <w:lang w:val="es-ES"/>
              </w:rPr>
            </w:pPr>
            <w:r w:rsidRPr="00993936">
              <w:rPr>
                <w:rFonts w:ascii="Arial" w:hAnsi="Arial" w:cs="Arial"/>
                <w:lang w:val="es-ES"/>
              </w:rPr>
              <w:t>Azufre + Cipermetrín</w:t>
            </w:r>
          </w:p>
        </w:tc>
        <w:tc>
          <w:tcPr>
            <w:tcW w:w="520" w:type="pct"/>
            <w:vAlign w:val="center"/>
          </w:tcPr>
          <w:p w:rsidR="00503A41" w:rsidRPr="00993936" w:rsidDel="00401291" w:rsidRDefault="00503A41" w:rsidP="001D205D">
            <w:pPr>
              <w:pStyle w:val="Sinespaciado"/>
              <w:jc w:val="center"/>
              <w:rPr>
                <w:rFonts w:ascii="Arial" w:hAnsi="Arial" w:cs="Arial"/>
                <w:b/>
                <w:lang w:val="es-ES"/>
              </w:rPr>
            </w:pPr>
          </w:p>
        </w:tc>
        <w:tc>
          <w:tcPr>
            <w:tcW w:w="488" w:type="pct"/>
            <w:vAlign w:val="center"/>
          </w:tcPr>
          <w:p w:rsidR="00503A41" w:rsidRPr="00993936" w:rsidDel="00401291" w:rsidRDefault="00503A41" w:rsidP="001D205D">
            <w:pPr>
              <w:pStyle w:val="Sinespaciado"/>
              <w:jc w:val="center"/>
              <w:rPr>
                <w:rFonts w:ascii="Arial" w:hAnsi="Arial" w:cs="Arial"/>
                <w:b/>
                <w:lang w:val="es-ES"/>
              </w:rPr>
            </w:pPr>
          </w:p>
        </w:tc>
        <w:tc>
          <w:tcPr>
            <w:tcW w:w="488" w:type="pct"/>
          </w:tcPr>
          <w:p w:rsidR="00503A41" w:rsidRPr="00993936" w:rsidDel="00401291" w:rsidRDefault="00503A41" w:rsidP="001D205D">
            <w:pPr>
              <w:pStyle w:val="Sinespaciado"/>
              <w:jc w:val="center"/>
              <w:rPr>
                <w:rFonts w:ascii="Arial" w:hAnsi="Arial" w:cs="Arial"/>
                <w:b/>
                <w:lang w:val="es-ES"/>
              </w:rPr>
            </w:pPr>
          </w:p>
        </w:tc>
        <w:tc>
          <w:tcPr>
            <w:tcW w:w="488" w:type="pct"/>
            <w:vAlign w:val="center"/>
          </w:tcPr>
          <w:p w:rsidR="00503A41" w:rsidRPr="00993936" w:rsidDel="00401291" w:rsidRDefault="00503A41" w:rsidP="001D205D">
            <w:pPr>
              <w:pStyle w:val="Sinespaciado"/>
              <w:jc w:val="center"/>
              <w:rPr>
                <w:rFonts w:ascii="Arial" w:hAnsi="Arial" w:cs="Arial"/>
                <w:b/>
                <w:lang w:val="es-ES"/>
              </w:rPr>
            </w:pPr>
          </w:p>
        </w:tc>
        <w:tc>
          <w:tcPr>
            <w:tcW w:w="487" w:type="pct"/>
            <w:vAlign w:val="center"/>
          </w:tcPr>
          <w:p w:rsidR="00503A41" w:rsidRPr="00993936" w:rsidDel="00401291"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57"/>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Del="00401291" w:rsidRDefault="00503A41" w:rsidP="001D205D">
            <w:pPr>
              <w:pStyle w:val="Sinespaciado"/>
              <w:rPr>
                <w:rFonts w:ascii="Arial" w:hAnsi="Arial" w:cs="Arial"/>
                <w:lang w:val="es-ES"/>
              </w:rPr>
            </w:pPr>
            <w:r w:rsidRPr="00993936">
              <w:rPr>
                <w:rFonts w:ascii="Arial" w:hAnsi="Arial" w:cs="Arial"/>
                <w:lang w:val="es-ES"/>
              </w:rPr>
              <w:t>Azufre + Ciproconazol</w:t>
            </w:r>
          </w:p>
        </w:tc>
        <w:tc>
          <w:tcPr>
            <w:tcW w:w="520" w:type="pct"/>
          </w:tcPr>
          <w:p w:rsidR="00503A41" w:rsidRPr="00993936" w:rsidDel="00401291" w:rsidRDefault="00503A41" w:rsidP="001D205D">
            <w:pPr>
              <w:pStyle w:val="Sinespaciado"/>
              <w:jc w:val="center"/>
              <w:rPr>
                <w:rFonts w:ascii="Arial" w:hAnsi="Arial" w:cs="Arial"/>
                <w:lang w:val="es-ES"/>
              </w:rPr>
            </w:pPr>
            <w:r w:rsidRPr="00993936">
              <w:rPr>
                <w:rFonts w:ascii="Arial" w:hAnsi="Arial" w:cs="Arial"/>
                <w:lang w:val="es-ES"/>
              </w:rPr>
              <w:t>X</w:t>
            </w:r>
          </w:p>
        </w:tc>
        <w:tc>
          <w:tcPr>
            <w:tcW w:w="488" w:type="pct"/>
          </w:tcPr>
          <w:p w:rsidR="00503A41" w:rsidRPr="00993936" w:rsidDel="00401291" w:rsidRDefault="00503A41" w:rsidP="001D205D">
            <w:pPr>
              <w:pStyle w:val="Sinespaciado"/>
              <w:jc w:val="center"/>
              <w:rPr>
                <w:rFonts w:ascii="Arial" w:hAnsi="Arial" w:cs="Arial"/>
                <w:lang w:val="es-ES"/>
              </w:rPr>
            </w:pPr>
            <w:r w:rsidRPr="00993936">
              <w:rPr>
                <w:rFonts w:ascii="Arial" w:hAnsi="Arial" w:cs="Arial"/>
                <w:lang w:val="es-ES"/>
              </w:rPr>
              <w:t>X</w:t>
            </w:r>
          </w:p>
        </w:tc>
        <w:tc>
          <w:tcPr>
            <w:tcW w:w="488" w:type="pct"/>
          </w:tcPr>
          <w:p w:rsidR="00503A41" w:rsidRPr="00993936" w:rsidDel="00401291" w:rsidRDefault="00503A41" w:rsidP="001D205D">
            <w:pPr>
              <w:pStyle w:val="Sinespaciado"/>
              <w:jc w:val="center"/>
              <w:rPr>
                <w:rFonts w:ascii="Arial" w:hAnsi="Arial" w:cs="Arial"/>
                <w:lang w:val="es-ES"/>
              </w:rPr>
            </w:pPr>
          </w:p>
        </w:tc>
        <w:tc>
          <w:tcPr>
            <w:tcW w:w="488" w:type="pct"/>
          </w:tcPr>
          <w:p w:rsidR="00503A41" w:rsidRPr="00993936" w:rsidDel="00401291" w:rsidRDefault="00503A41" w:rsidP="001D205D">
            <w:pPr>
              <w:pStyle w:val="Sinespaciado"/>
              <w:jc w:val="center"/>
              <w:rPr>
                <w:rFonts w:ascii="Arial" w:hAnsi="Arial" w:cs="Arial"/>
                <w:lang w:val="es-ES"/>
              </w:rPr>
            </w:pPr>
          </w:p>
        </w:tc>
        <w:tc>
          <w:tcPr>
            <w:tcW w:w="487" w:type="pct"/>
            <w:vAlign w:val="center"/>
          </w:tcPr>
          <w:p w:rsidR="00503A41" w:rsidRPr="00993936" w:rsidDel="00401291" w:rsidRDefault="00503A41" w:rsidP="001D205D">
            <w:pPr>
              <w:pStyle w:val="Sinespaciado"/>
              <w:jc w:val="center"/>
              <w:rPr>
                <w:rFonts w:ascii="Arial" w:hAnsi="Arial" w:cs="Arial"/>
                <w:lang w:val="es-ES"/>
              </w:rPr>
            </w:pP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Azufre + Miclobutanil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Tebuconazolè</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Tetraconazol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84"/>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Tiadimenol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41"/>
          <w:jc w:val="center"/>
        </w:trPr>
        <w:tc>
          <w:tcPr>
            <w:tcW w:w="961" w:type="pct"/>
            <w:vMerge/>
            <w:shd w:val="clear" w:color="auto" w:fill="auto"/>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b/>
                <w:caps/>
                <w:lang w:val="es-ES"/>
              </w:rPr>
            </w:pPr>
            <w:r w:rsidRPr="00993936">
              <w:rPr>
                <w:rFonts w:ascii="Arial" w:hAnsi="Arial" w:cs="Arial"/>
                <w:b/>
                <w:caps/>
                <w:lang w:val="es-ES"/>
              </w:rPr>
              <w:t>Trifloxistrobina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dstrike/>
                <w:lang w:val="es-ES"/>
              </w:rPr>
            </w:pPr>
          </w:p>
        </w:tc>
      </w:tr>
      <w:tr w:rsidR="00503A41" w:rsidRPr="00993936" w:rsidTr="000452B8">
        <w:trPr>
          <w:cantSplit/>
          <w:trHeight w:val="201"/>
          <w:jc w:val="center"/>
        </w:trPr>
        <w:tc>
          <w:tcPr>
            <w:tcW w:w="961"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Mildiu</w:t>
            </w: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Ametoctradín + Dimetomorf</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20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Azoxystrobina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Benalaxil + Cimoxanilo + Mancozeb </w:t>
            </w:r>
          </w:p>
        </w:tc>
        <w:tc>
          <w:tcPr>
            <w:tcW w:w="520" w:type="pct"/>
            <w:vAlign w:val="center"/>
          </w:tcPr>
          <w:p w:rsidR="00503A41" w:rsidRPr="00993936" w:rsidRDefault="00503A41" w:rsidP="001D205D">
            <w:pPr>
              <w:pStyle w:val="Sinespaciado"/>
              <w:jc w:val="center"/>
              <w:rPr>
                <w:rFonts w:ascii="Arial" w:hAnsi="Arial" w:cs="Arial"/>
                <w:b/>
                <w:dstrike/>
                <w:lang w:val="es-ES"/>
              </w:rPr>
            </w:pPr>
          </w:p>
        </w:tc>
        <w:tc>
          <w:tcPr>
            <w:tcW w:w="488" w:type="pct"/>
            <w:vAlign w:val="center"/>
          </w:tcPr>
          <w:p w:rsidR="00503A41" w:rsidRPr="00993936" w:rsidRDefault="00503A41" w:rsidP="001D205D">
            <w:pPr>
              <w:pStyle w:val="Sinespaciado"/>
              <w:jc w:val="center"/>
              <w:rPr>
                <w:rFonts w:ascii="Arial" w:hAnsi="Arial" w:cs="Arial"/>
                <w:b/>
                <w:dstrike/>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Ciazofamida</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Cimoxanilo</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Cimoxanilo + Mancozeb</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Cimoxanilo + Metiram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Clortalonil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Dimetomorf + Piraclostrobín</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dstrike/>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Fenamidona + Fosetil-al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Fosetil-al</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7" w:type="pct"/>
            <w:vAlign w:val="center"/>
          </w:tcPr>
          <w:p w:rsidR="00503A41" w:rsidRPr="00993936" w:rsidRDefault="00503A41" w:rsidP="001D205D">
            <w:pPr>
              <w:pStyle w:val="Sinespaciado"/>
              <w:jc w:val="center"/>
              <w:rPr>
                <w:rFonts w:ascii="Arial" w:hAnsi="Arial" w:cs="Arial"/>
                <w:b/>
                <w:lang w:val="es-ES"/>
              </w:rPr>
            </w:pP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Fluopicalida + Propamocarb</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Mancozeb</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Mancozeb + Metalaxil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Mancozeb + Metalaxil-M  </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dstrike/>
                <w:lang w:val="es-ES"/>
              </w:rPr>
            </w:pPr>
          </w:p>
        </w:tc>
        <w:tc>
          <w:tcPr>
            <w:tcW w:w="488" w:type="pct"/>
          </w:tcPr>
          <w:p w:rsidR="00503A41" w:rsidRPr="00993936" w:rsidRDefault="00503A41" w:rsidP="001D205D">
            <w:pPr>
              <w:pStyle w:val="Sinespaciado"/>
              <w:jc w:val="center"/>
              <w:rPr>
                <w:rFonts w:ascii="Arial" w:hAnsi="Arial" w:cs="Arial"/>
                <w:b/>
                <w:dstrike/>
                <w:lang w:val="es-ES"/>
              </w:rPr>
            </w:pPr>
          </w:p>
        </w:tc>
        <w:tc>
          <w:tcPr>
            <w:tcW w:w="488" w:type="pct"/>
            <w:vAlign w:val="center"/>
          </w:tcPr>
          <w:p w:rsidR="00503A41" w:rsidRPr="00993936" w:rsidRDefault="00503A41" w:rsidP="001D205D">
            <w:pPr>
              <w:pStyle w:val="Sinespaciado"/>
              <w:jc w:val="center"/>
              <w:rPr>
                <w:rFonts w:ascii="Arial" w:hAnsi="Arial" w:cs="Arial"/>
                <w:b/>
                <w:dstrike/>
                <w:lang w:val="es-ES"/>
              </w:rPr>
            </w:pPr>
          </w:p>
        </w:tc>
        <w:tc>
          <w:tcPr>
            <w:tcW w:w="487" w:type="pct"/>
            <w:vAlign w:val="center"/>
          </w:tcPr>
          <w:p w:rsidR="00503A41" w:rsidRPr="00993936" w:rsidRDefault="00503A41" w:rsidP="001D205D">
            <w:pPr>
              <w:pStyle w:val="Sinespaciado"/>
              <w:jc w:val="center"/>
              <w:rPr>
                <w:rFonts w:ascii="Arial" w:hAnsi="Arial" w:cs="Arial"/>
                <w:b/>
                <w:dstrike/>
                <w:lang w:val="es-ES"/>
              </w:rPr>
            </w:pP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Mandipropamida</w:t>
            </w:r>
          </w:p>
        </w:tc>
        <w:tc>
          <w:tcPr>
            <w:tcW w:w="520" w:type="pct"/>
            <w:vAlign w:val="center"/>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dstrike/>
                <w:lang w:val="es-ES"/>
              </w:rPr>
            </w:pP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Maneb</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Oxicloruro de cobre</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Óxido cuproso</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Sulfato cuprocálcico</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r w:rsidR="00503A41" w:rsidRPr="00993936" w:rsidTr="000452B8">
        <w:trPr>
          <w:cantSplit/>
          <w:trHeight w:val="191"/>
          <w:jc w:val="center"/>
        </w:trPr>
        <w:tc>
          <w:tcPr>
            <w:tcW w:w="961" w:type="pct"/>
            <w:vMerge/>
            <w:vAlign w:val="center"/>
          </w:tcPr>
          <w:p w:rsidR="00503A41" w:rsidRPr="00993936" w:rsidRDefault="00503A41" w:rsidP="001D205D">
            <w:pPr>
              <w:pStyle w:val="Sinespaciado"/>
              <w:rPr>
                <w:rFonts w:ascii="Arial" w:hAnsi="Arial" w:cs="Arial"/>
                <w:b/>
                <w:lang w:val="es-ES"/>
              </w:rPr>
            </w:pPr>
          </w:p>
        </w:tc>
        <w:tc>
          <w:tcPr>
            <w:tcW w:w="1568"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Sulfato tribásico de cobre</w:t>
            </w:r>
          </w:p>
        </w:tc>
        <w:tc>
          <w:tcPr>
            <w:tcW w:w="520"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8" w:type="pct"/>
          </w:tcPr>
          <w:p w:rsidR="00503A41" w:rsidRPr="00993936" w:rsidRDefault="00503A41" w:rsidP="001D205D">
            <w:pPr>
              <w:pStyle w:val="Sinespaciado"/>
              <w:jc w:val="center"/>
              <w:rPr>
                <w:rFonts w:ascii="Arial" w:hAnsi="Arial" w:cs="Arial"/>
                <w:b/>
                <w:lang w:val="es-ES"/>
              </w:rPr>
            </w:pPr>
          </w:p>
        </w:tc>
        <w:tc>
          <w:tcPr>
            <w:tcW w:w="488"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c>
          <w:tcPr>
            <w:tcW w:w="487" w:type="pct"/>
            <w:vAlign w:val="center"/>
          </w:tcPr>
          <w:p w:rsidR="00503A41" w:rsidRPr="00993936" w:rsidRDefault="00503A41" w:rsidP="001D205D">
            <w:pPr>
              <w:pStyle w:val="Sinespaciado"/>
              <w:jc w:val="center"/>
              <w:rPr>
                <w:rFonts w:ascii="Arial" w:hAnsi="Arial" w:cs="Arial"/>
                <w:b/>
                <w:lang w:val="es-ES"/>
              </w:rPr>
            </w:pPr>
            <w:r w:rsidRPr="00993936">
              <w:rPr>
                <w:rFonts w:ascii="Arial" w:hAnsi="Arial" w:cs="Arial"/>
                <w:b/>
                <w:lang w:val="es-ES"/>
              </w:rPr>
              <w:t>X</w:t>
            </w:r>
          </w:p>
        </w:tc>
      </w:tr>
    </w:tbl>
    <w:p w:rsidR="007003E1" w:rsidRPr="00993936" w:rsidRDefault="007003E1" w:rsidP="000452B8">
      <w:pPr>
        <w:jc w:val="both"/>
        <w:rPr>
          <w:rFonts w:ascii="Arial" w:hAnsi="Arial" w:cs="Arial"/>
          <w:b/>
          <w:lang w:val="es-ES"/>
        </w:rPr>
      </w:pPr>
    </w:p>
    <w:p w:rsidR="007003E1" w:rsidRPr="00993936" w:rsidRDefault="007003E1">
      <w:pPr>
        <w:rPr>
          <w:rFonts w:ascii="Arial" w:hAnsi="Arial" w:cs="Arial"/>
          <w:b/>
          <w:lang w:val="es-ES"/>
        </w:rPr>
      </w:pPr>
      <w:r w:rsidRPr="00993936">
        <w:rPr>
          <w:rFonts w:ascii="Arial" w:hAnsi="Arial" w:cs="Arial"/>
          <w:b/>
          <w:lang w:val="es-ES"/>
        </w:rPr>
        <w:br w:type="page"/>
      </w:r>
    </w:p>
    <w:p w:rsidR="00503A41" w:rsidRPr="00993936" w:rsidRDefault="00503A41" w:rsidP="000452B8">
      <w:pPr>
        <w:jc w:val="both"/>
        <w:rPr>
          <w:rFonts w:ascii="Arial" w:hAnsi="Arial" w:cs="Arial"/>
          <w:b/>
          <w:lang w:val="es-ES"/>
        </w:rPr>
      </w:pPr>
      <w:r w:rsidRPr="00993936">
        <w:rPr>
          <w:rFonts w:ascii="Arial" w:hAnsi="Arial" w:cs="Arial"/>
          <w:b/>
          <w:lang w:val="es-ES"/>
        </w:rPr>
        <w:lastRenderedPageBreak/>
        <w:t>1.2  Materias activas para la producción integrada de cucurbitáceas (pepino, calabacín,</w:t>
      </w:r>
      <w:r w:rsidRPr="00993936">
        <w:rPr>
          <w:rFonts w:ascii="Arial" w:hAnsi="Arial" w:cs="Arial"/>
          <w:lang w:val="es-ES"/>
        </w:rPr>
        <w:t xml:space="preserve"> </w:t>
      </w:r>
      <w:r w:rsidRPr="00993936">
        <w:rPr>
          <w:rFonts w:ascii="Arial" w:hAnsi="Arial" w:cs="Arial"/>
          <w:b/>
          <w:lang w:val="es-ES"/>
        </w:rPr>
        <w:t>calabaza, melón y sandía), teniendo en cuenta las indicaciones del Cuaderno de explotación y el Programa de control integrado de plagas y enfermedades. (continuación)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60"/>
        <w:gridCol w:w="2711"/>
        <w:gridCol w:w="899"/>
        <w:gridCol w:w="844"/>
        <w:gridCol w:w="844"/>
        <w:gridCol w:w="844"/>
        <w:gridCol w:w="842"/>
      </w:tblGrid>
      <w:tr w:rsidR="00503A41" w:rsidRPr="00993936" w:rsidTr="000452B8">
        <w:trPr>
          <w:cantSplit/>
          <w:trHeight w:val="118"/>
          <w:jc w:val="center"/>
        </w:trPr>
        <w:tc>
          <w:tcPr>
            <w:tcW w:w="961" w:type="pct"/>
            <w:vMerge w:val="restar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t>Enfermedades vasculares</w:t>
            </w:r>
            <w:r w:rsidRPr="00993936">
              <w:rPr>
                <w:rFonts w:cs="Arial"/>
                <w:noProof w:val="0"/>
                <w:sz w:val="18"/>
                <w:szCs w:val="18"/>
                <w:lang w:val="es-ES"/>
              </w:rPr>
              <w:t xml:space="preserve"> </w:t>
            </w:r>
          </w:p>
          <w:p w:rsidR="00503A41" w:rsidRPr="00993936" w:rsidRDefault="00503A41" w:rsidP="000452B8">
            <w:pPr>
              <w:pStyle w:val="taula"/>
              <w:rPr>
                <w:rFonts w:cs="Arial"/>
                <w:b/>
                <w:noProof w:val="0"/>
                <w:sz w:val="18"/>
                <w:szCs w:val="18"/>
                <w:lang w:val="es-ES"/>
              </w:rPr>
            </w:pPr>
            <w:r w:rsidRPr="00993936">
              <w:rPr>
                <w:rFonts w:cs="Arial"/>
                <w:i/>
                <w:noProof w:val="0"/>
                <w:sz w:val="18"/>
                <w:szCs w:val="18"/>
                <w:lang w:val="es-ES"/>
              </w:rPr>
              <w:t>Fusarium oxysporum</w:t>
            </w:r>
            <w:r w:rsidRPr="00993936">
              <w:rPr>
                <w:rFonts w:cs="Arial"/>
                <w:noProof w:val="0"/>
                <w:sz w:val="18"/>
                <w:szCs w:val="18"/>
                <w:lang w:val="es-ES"/>
              </w:rPr>
              <w:t xml:space="preserve"> f. sp. </w:t>
            </w:r>
            <w:r w:rsidRPr="00993936">
              <w:rPr>
                <w:rFonts w:cs="Arial"/>
                <w:i/>
                <w:noProof w:val="0"/>
                <w:sz w:val="18"/>
                <w:szCs w:val="18"/>
                <w:lang w:val="es-ES"/>
              </w:rPr>
              <w:t>melonis</w:t>
            </w:r>
            <w:r w:rsidRPr="00993936">
              <w:rPr>
                <w:rFonts w:cs="Arial"/>
                <w:noProof w:val="0"/>
                <w:sz w:val="18"/>
                <w:szCs w:val="18"/>
                <w:lang w:val="es-ES"/>
              </w:rPr>
              <w:t xml:space="preserve">, </w:t>
            </w:r>
            <w:r w:rsidRPr="00993936">
              <w:rPr>
                <w:rFonts w:cs="Arial"/>
                <w:i/>
                <w:noProof w:val="0"/>
                <w:sz w:val="18"/>
                <w:szCs w:val="18"/>
                <w:lang w:val="es-ES"/>
              </w:rPr>
              <w:t>Pythium aphanidermatum, Rhizoctonia sp.</w:t>
            </w: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Etridiazol (</w:t>
            </w:r>
            <w:r w:rsidRPr="00993936">
              <w:rPr>
                <w:rFonts w:cs="Arial"/>
                <w:i/>
                <w:noProof w:val="0"/>
                <w:sz w:val="18"/>
                <w:szCs w:val="18"/>
                <w:lang w:val="es-ES"/>
              </w:rPr>
              <w:t xml:space="preserve">Rhizoctonia </w:t>
            </w:r>
            <w:r w:rsidRPr="00993936">
              <w:rPr>
                <w:rFonts w:cs="Arial"/>
                <w:noProof w:val="0"/>
                <w:sz w:val="18"/>
                <w:szCs w:val="18"/>
                <w:lang w:val="es-ES"/>
              </w:rPr>
              <w:t xml:space="preserve">i </w:t>
            </w:r>
            <w:r w:rsidRPr="00993936">
              <w:rPr>
                <w:rFonts w:cs="Arial"/>
                <w:i/>
                <w:noProof w:val="0"/>
                <w:sz w:val="18"/>
                <w:szCs w:val="18"/>
                <w:lang w:val="es-ES"/>
              </w:rPr>
              <w:t xml:space="preserve">Pythium) </w:t>
            </w:r>
          </w:p>
        </w:tc>
        <w:tc>
          <w:tcPr>
            <w:tcW w:w="520"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dstrike/>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Fosetil + Propamocarb</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Metil-tiofanato</w:t>
            </w:r>
          </w:p>
        </w:tc>
        <w:tc>
          <w:tcPr>
            <w:tcW w:w="520"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tabs>
                <w:tab w:val="right" w:pos="2874"/>
              </w:tabs>
              <w:rPr>
                <w:rFonts w:cs="Arial"/>
                <w:noProof w:val="0"/>
                <w:sz w:val="18"/>
                <w:szCs w:val="18"/>
                <w:lang w:val="es-ES"/>
              </w:rPr>
            </w:pPr>
            <w:r w:rsidRPr="00993936">
              <w:rPr>
                <w:rFonts w:cs="Arial"/>
                <w:noProof w:val="0"/>
                <w:sz w:val="18"/>
                <w:szCs w:val="18"/>
                <w:lang w:val="es-ES"/>
              </w:rPr>
              <w:t>Pencicuró (</w:t>
            </w:r>
            <w:r w:rsidRPr="00993936">
              <w:rPr>
                <w:rFonts w:cs="Arial"/>
                <w:i/>
                <w:noProof w:val="0"/>
                <w:sz w:val="18"/>
                <w:szCs w:val="18"/>
                <w:lang w:val="es-ES"/>
              </w:rPr>
              <w:t xml:space="preserve">Rhizoctonia) </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i/>
                <w:noProof w:val="0"/>
                <w:sz w:val="18"/>
                <w:szCs w:val="18"/>
                <w:lang w:val="es-ES"/>
              </w:rPr>
            </w:pPr>
            <w:r w:rsidRPr="00993936">
              <w:rPr>
                <w:rFonts w:cs="Arial"/>
                <w:noProof w:val="0"/>
                <w:sz w:val="18"/>
                <w:szCs w:val="18"/>
                <w:lang w:val="es-ES"/>
              </w:rPr>
              <w:t>Propamocarb (</w:t>
            </w:r>
            <w:r w:rsidRPr="00993936">
              <w:rPr>
                <w:rFonts w:cs="Arial"/>
                <w:i/>
                <w:noProof w:val="0"/>
                <w:sz w:val="18"/>
                <w:szCs w:val="18"/>
                <w:lang w:val="es-ES"/>
              </w:rPr>
              <w:t>Pythium)</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Procloraz</w:t>
            </w:r>
          </w:p>
        </w:tc>
        <w:tc>
          <w:tcPr>
            <w:tcW w:w="520" w:type="pct"/>
            <w:vAlign w:val="center"/>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i/>
                <w:sz w:val="18"/>
                <w:szCs w:val="18"/>
                <w:lang w:val="es-ES"/>
              </w:rPr>
              <w:t>Trichoderma sp</w:t>
            </w:r>
            <w:r w:rsidRPr="00993936">
              <w:rPr>
                <w:rFonts w:ascii="Arial" w:hAnsi="Arial" w:cs="Arial"/>
                <w:sz w:val="18"/>
                <w:szCs w:val="18"/>
                <w:lang w:val="es-ES"/>
              </w:rPr>
              <w:t>.</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961"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i/>
                <w:sz w:val="18"/>
                <w:szCs w:val="18"/>
                <w:lang w:val="es-ES"/>
              </w:rPr>
              <w:t xml:space="preserve">Streptomyces griseovirides (Fusarium) </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16"/>
          <w:jc w:val="center"/>
        </w:trPr>
        <w:tc>
          <w:tcPr>
            <w:tcW w:w="961" w:type="pct"/>
            <w:vMerge w:val="restart"/>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t>Podredumbres</w:t>
            </w:r>
            <w:r w:rsidRPr="00993936">
              <w:rPr>
                <w:rFonts w:cs="Arial"/>
                <w:noProof w:val="0"/>
                <w:sz w:val="18"/>
                <w:szCs w:val="18"/>
                <w:lang w:val="es-ES"/>
              </w:rPr>
              <w:t xml:space="preserve"> </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Botrytis sp</w:t>
            </w:r>
            <w:r w:rsidRPr="00993936">
              <w:rPr>
                <w:rFonts w:cs="Arial"/>
                <w:noProof w:val="0"/>
                <w:sz w:val="18"/>
                <w:szCs w:val="18"/>
                <w:lang w:val="es-ES"/>
              </w:rPr>
              <w:t xml:space="preserve">, </w:t>
            </w:r>
            <w:r w:rsidRPr="00993936">
              <w:rPr>
                <w:rFonts w:cs="Arial"/>
                <w:i/>
                <w:noProof w:val="0"/>
                <w:sz w:val="18"/>
                <w:szCs w:val="18"/>
                <w:lang w:val="es-ES"/>
              </w:rPr>
              <w:t>Sclerotinia sclerotiorum</w:t>
            </w: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Ciprodinil + fludioxonil </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p>
        </w:tc>
        <w:tc>
          <w:tcPr>
            <w:tcW w:w="487"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Coniothyrium minitans </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Dietofencarb </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dstrike/>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7"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Fenhexamida + Tebuconazolè</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dstrike/>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7"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Fenpirazamida</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dstrike/>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7"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Fosetil + Propamocarb</w:t>
            </w:r>
          </w:p>
        </w:tc>
        <w:tc>
          <w:tcPr>
            <w:tcW w:w="520" w:type="pct"/>
            <w:vAlign w:val="center"/>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Propamocarb</w:t>
            </w:r>
          </w:p>
        </w:tc>
        <w:tc>
          <w:tcPr>
            <w:tcW w:w="520" w:type="pct"/>
            <w:vAlign w:val="center"/>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Tolil fluamida</w:t>
            </w:r>
          </w:p>
        </w:tc>
        <w:tc>
          <w:tcPr>
            <w:tcW w:w="520" w:type="pct"/>
          </w:tcPr>
          <w:p w:rsidR="00503A41" w:rsidRPr="00993936" w:rsidRDefault="00503A41" w:rsidP="000452B8">
            <w:pPr>
              <w:pStyle w:val="taula"/>
              <w:jc w:val="center"/>
              <w:rPr>
                <w:rFonts w:cs="Arial"/>
                <w:b/>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tcPr>
          <w:p w:rsidR="00503A41" w:rsidRPr="00993936" w:rsidRDefault="00503A41" w:rsidP="000452B8">
            <w:pPr>
              <w:pStyle w:val="taula"/>
              <w:jc w:val="center"/>
              <w:rPr>
                <w:rFonts w:cs="Arial"/>
                <w:b/>
                <w:dstrike/>
                <w:noProof w:val="0"/>
                <w:sz w:val="18"/>
                <w:szCs w:val="18"/>
                <w:lang w:val="es-ES"/>
              </w:rPr>
            </w:pPr>
          </w:p>
        </w:tc>
        <w:tc>
          <w:tcPr>
            <w:tcW w:w="488" w:type="pct"/>
          </w:tcPr>
          <w:p w:rsidR="00503A41" w:rsidRPr="00993936" w:rsidRDefault="00503A41" w:rsidP="000452B8">
            <w:pPr>
              <w:pStyle w:val="taula"/>
              <w:jc w:val="center"/>
              <w:rPr>
                <w:rFonts w:cs="Arial"/>
                <w:b/>
                <w:dstrike/>
                <w:noProof w:val="0"/>
                <w:sz w:val="18"/>
                <w:szCs w:val="18"/>
                <w:lang w:val="es-ES"/>
              </w:rPr>
            </w:pPr>
          </w:p>
        </w:tc>
        <w:tc>
          <w:tcPr>
            <w:tcW w:w="487"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Tebuconazol </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dstrike/>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7"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Botritis</w:t>
            </w:r>
          </w:p>
        </w:tc>
        <w:tc>
          <w:tcPr>
            <w:tcW w:w="520" w:type="pct"/>
            <w:vAlign w:val="center"/>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p>
        </w:tc>
        <w:tc>
          <w:tcPr>
            <w:tcW w:w="487"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Encabezado"/>
              <w:tabs>
                <w:tab w:val="left" w:pos="708"/>
              </w:tabs>
              <w:rPr>
                <w:rFonts w:ascii="Arial" w:hAnsi="Arial" w:cs="Arial"/>
                <w:snapToGrid w:val="0"/>
                <w:sz w:val="18"/>
                <w:szCs w:val="18"/>
                <w:lang w:val="es-ES"/>
              </w:rPr>
            </w:pPr>
            <w:r w:rsidRPr="00993936">
              <w:rPr>
                <w:rFonts w:ascii="Arial" w:hAnsi="Arial" w:cs="Arial"/>
                <w:snapToGrid w:val="0"/>
                <w:sz w:val="18"/>
                <w:szCs w:val="18"/>
                <w:lang w:val="es-ES"/>
              </w:rPr>
              <w:t>Fenhexamid</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p>
        </w:tc>
        <w:tc>
          <w:tcPr>
            <w:tcW w:w="487"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Iprodiona</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Mancozeb + Metil-tiofanato </w:t>
            </w:r>
          </w:p>
        </w:tc>
        <w:tc>
          <w:tcPr>
            <w:tcW w:w="520"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Metil-tiofanato </w:t>
            </w:r>
          </w:p>
        </w:tc>
        <w:tc>
          <w:tcPr>
            <w:tcW w:w="520"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61"/>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Pirimetanil  </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8" w:type="pct"/>
          </w:tcPr>
          <w:p w:rsidR="00503A41" w:rsidRPr="00993936" w:rsidRDefault="00503A41" w:rsidP="000452B8">
            <w:pPr>
              <w:pStyle w:val="taula"/>
              <w:jc w:val="center"/>
              <w:rPr>
                <w:rFonts w:cs="Arial"/>
                <w:b/>
                <w:dstrike/>
                <w:noProof w:val="0"/>
                <w:sz w:val="18"/>
                <w:szCs w:val="18"/>
                <w:lang w:val="es-ES"/>
              </w:rPr>
            </w:pPr>
          </w:p>
        </w:tc>
        <w:tc>
          <w:tcPr>
            <w:tcW w:w="488" w:type="pct"/>
            <w:vAlign w:val="center"/>
          </w:tcPr>
          <w:p w:rsidR="00503A41" w:rsidRPr="00993936" w:rsidRDefault="00503A41" w:rsidP="000452B8">
            <w:pPr>
              <w:pStyle w:val="taula"/>
              <w:jc w:val="center"/>
              <w:rPr>
                <w:rFonts w:cs="Arial"/>
                <w:b/>
                <w:dstrike/>
                <w:noProof w:val="0"/>
                <w:sz w:val="18"/>
                <w:szCs w:val="18"/>
                <w:lang w:val="es-ES"/>
              </w:rPr>
            </w:pPr>
          </w:p>
        </w:tc>
        <w:tc>
          <w:tcPr>
            <w:tcW w:w="487"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247"/>
          <w:jc w:val="center"/>
        </w:trPr>
        <w:tc>
          <w:tcPr>
            <w:tcW w:w="961"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Nemátodos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Meloidogyne sp.</w:t>
            </w:r>
          </w:p>
        </w:tc>
        <w:tc>
          <w:tcPr>
            <w:tcW w:w="1568"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Etoprofós  (2)</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p>
        </w:tc>
        <w:tc>
          <w:tcPr>
            <w:tcW w:w="487"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4"/>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Fenamifós </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4"/>
          <w:jc w:val="center"/>
        </w:trPr>
        <w:tc>
          <w:tcPr>
            <w:tcW w:w="961" w:type="pct"/>
            <w:vMerge/>
            <w:vAlign w:val="center"/>
          </w:tcPr>
          <w:p w:rsidR="00503A41" w:rsidRPr="00993936" w:rsidRDefault="00503A41" w:rsidP="000452B8">
            <w:pPr>
              <w:pStyle w:val="taula"/>
              <w:rPr>
                <w:rFonts w:cs="Arial"/>
                <w:b/>
                <w:noProof w:val="0"/>
                <w:sz w:val="18"/>
                <w:szCs w:val="18"/>
                <w:lang w:val="es-ES"/>
              </w:rPr>
            </w:pPr>
          </w:p>
        </w:tc>
        <w:tc>
          <w:tcPr>
            <w:tcW w:w="1568"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Oxamilo (2)</w:t>
            </w:r>
          </w:p>
        </w:tc>
        <w:tc>
          <w:tcPr>
            <w:tcW w:w="52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8" w:type="pct"/>
          </w:tcPr>
          <w:p w:rsidR="00503A41" w:rsidRPr="00993936" w:rsidRDefault="00503A41" w:rsidP="000452B8">
            <w:pPr>
              <w:pStyle w:val="taula"/>
              <w:jc w:val="center"/>
              <w:rPr>
                <w:rFonts w:cs="Arial"/>
                <w:b/>
                <w:noProof w:val="0"/>
                <w:sz w:val="18"/>
                <w:szCs w:val="18"/>
                <w:lang w:val="es-ES"/>
              </w:rPr>
            </w:pPr>
          </w:p>
        </w:tc>
        <w:tc>
          <w:tcPr>
            <w:tcW w:w="48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40"/>
          <w:jc w:val="center"/>
        </w:trPr>
        <w:tc>
          <w:tcPr>
            <w:tcW w:w="961" w:type="pc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Otras plagas y enfermedades</w:t>
            </w:r>
          </w:p>
        </w:tc>
        <w:tc>
          <w:tcPr>
            <w:tcW w:w="4039" w:type="pct"/>
            <w:gridSpan w:val="6"/>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Las expresamente autorizadas en el cultivo, teniendo en cuenta su efecto sobre la fauna útil y su toxicología</w:t>
            </w:r>
          </w:p>
        </w:tc>
      </w:tr>
    </w:tbl>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jc w:val="center"/>
        <w:rPr>
          <w:rFonts w:ascii="Arial" w:hAnsi="Arial" w:cs="Arial"/>
          <w:sz w:val="28"/>
          <w:szCs w:val="28"/>
          <w:u w:val="single"/>
          <w:lang w:val="es-ES"/>
        </w:rPr>
      </w:pPr>
      <w:r w:rsidRPr="00993936">
        <w:rPr>
          <w:rFonts w:ascii="Arial" w:hAnsi="Arial" w:cs="Arial"/>
          <w:sz w:val="28"/>
          <w:szCs w:val="28"/>
          <w:u w:val="single"/>
          <w:lang w:val="es-ES"/>
        </w:rPr>
        <w:br w:type="page"/>
      </w:r>
    </w:p>
    <w:p w:rsidR="00503A41" w:rsidRPr="00993936" w:rsidRDefault="00503A41" w:rsidP="000452B8">
      <w:pPr>
        <w:pStyle w:val="Ttulo2"/>
        <w:jc w:val="center"/>
        <w:rPr>
          <w:rFonts w:ascii="Arial" w:hAnsi="Arial" w:cs="Arial"/>
          <w:b/>
          <w:snapToGrid w:val="0"/>
          <w:color w:val="auto"/>
          <w:sz w:val="28"/>
          <w:szCs w:val="28"/>
          <w:u w:val="single"/>
          <w:lang w:val="es-ES" w:eastAsia="es-ES"/>
        </w:rPr>
      </w:pPr>
      <w:r w:rsidRPr="00993936">
        <w:rPr>
          <w:rFonts w:ascii="Arial" w:hAnsi="Arial" w:cs="Arial"/>
          <w:b/>
          <w:color w:val="auto"/>
          <w:sz w:val="28"/>
          <w:szCs w:val="28"/>
          <w:u w:val="single"/>
          <w:lang w:val="es-ES"/>
        </w:rPr>
        <w:lastRenderedPageBreak/>
        <w:t xml:space="preserve">CULTIVO: </w:t>
      </w:r>
      <w:r w:rsidRPr="00993936">
        <w:rPr>
          <w:rFonts w:ascii="Arial" w:hAnsi="Arial" w:cs="Arial"/>
          <w:b/>
          <w:snapToGrid w:val="0"/>
          <w:color w:val="auto"/>
          <w:sz w:val="28"/>
          <w:szCs w:val="28"/>
          <w:u w:val="single"/>
          <w:lang w:val="es-ES" w:eastAsia="es-ES"/>
        </w:rPr>
        <w:t>LECHUGA Y ESCAROLA</w:t>
      </w:r>
    </w:p>
    <w:p w:rsidR="00503A41" w:rsidRPr="00993936" w:rsidRDefault="00503A41" w:rsidP="000452B8">
      <w:pPr>
        <w:rPr>
          <w:rFonts w:ascii="Arial" w:hAnsi="Arial" w:cs="Arial"/>
          <w:lang w:val="es-ES" w:eastAsia="es-ES"/>
        </w:rPr>
      </w:pPr>
    </w:p>
    <w:p w:rsidR="00503A41" w:rsidRPr="00993936" w:rsidRDefault="00503A41" w:rsidP="000452B8">
      <w:pPr>
        <w:spacing w:before="120"/>
        <w:jc w:val="both"/>
        <w:rPr>
          <w:rFonts w:ascii="Arial" w:hAnsi="Arial" w:cs="Arial"/>
          <w:b/>
          <w:snapToGrid w:val="0"/>
          <w:lang w:val="es-ES" w:eastAsia="es-ES"/>
        </w:rPr>
      </w:pPr>
      <w:r w:rsidRPr="00993936">
        <w:rPr>
          <w:rFonts w:ascii="Arial" w:hAnsi="Arial" w:cs="Arial"/>
          <w:b/>
          <w:snapToGrid w:val="0"/>
          <w:lang w:val="es-ES" w:eastAsia="es-ES"/>
        </w:rPr>
        <w:t>ANEXO 4</w:t>
      </w:r>
    </w:p>
    <w:p w:rsidR="00503A41" w:rsidRPr="00993936" w:rsidRDefault="00503A41" w:rsidP="000452B8">
      <w:pPr>
        <w:spacing w:before="120"/>
        <w:jc w:val="both"/>
        <w:rPr>
          <w:rFonts w:ascii="Arial" w:hAnsi="Arial" w:cs="Arial"/>
          <w:b/>
          <w:snapToGrid w:val="0"/>
          <w:lang w:val="es-ES" w:eastAsia="es-ES"/>
        </w:rPr>
      </w:pPr>
      <w:r w:rsidRPr="00993936">
        <w:rPr>
          <w:rFonts w:ascii="Arial" w:hAnsi="Arial" w:cs="Arial"/>
          <w:b/>
          <w:snapToGrid w:val="0"/>
          <w:lang w:val="es-ES" w:eastAsia="es-ES"/>
        </w:rPr>
        <w:t>Materias activas de herbicidas para la producción integrada de lechuga y escarola</w:t>
      </w:r>
    </w:p>
    <w:p w:rsidR="00503A41" w:rsidRPr="00993936" w:rsidRDefault="00503A41" w:rsidP="000452B8">
      <w:pPr>
        <w:spacing w:before="120"/>
        <w:jc w:val="both"/>
        <w:rPr>
          <w:rFonts w:ascii="Arial" w:hAnsi="Arial" w:cs="Arial"/>
          <w:b/>
          <w:snapToGrid w:val="0"/>
          <w:lang w:val="es-ES" w:eastAsia="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TIPO DE HERBICIDAS</w:t>
            </w:r>
          </w:p>
        </w:tc>
      </w:tr>
      <w:tr w:rsidR="00503A41" w:rsidRPr="00993936" w:rsidTr="000452B8">
        <w:trPr>
          <w:cantSplit/>
          <w:jc w:val="center"/>
        </w:trPr>
        <w:tc>
          <w:tcPr>
            <w:tcW w:w="2418" w:type="pct"/>
            <w:vAlign w:val="center"/>
          </w:tcPr>
          <w:p w:rsidR="00503A41" w:rsidRPr="00993936" w:rsidRDefault="00503A41" w:rsidP="001D205D">
            <w:pPr>
              <w:pStyle w:val="Sinespaciado"/>
              <w:rPr>
                <w:rFonts w:ascii="Arial" w:hAnsi="Arial" w:cs="Arial"/>
                <w:sz w:val="24"/>
                <w:lang w:val="es-ES"/>
              </w:rPr>
            </w:pPr>
            <w:r w:rsidRPr="00993936">
              <w:rPr>
                <w:rFonts w:ascii="Arial" w:hAnsi="Arial" w:cs="Arial"/>
                <w:sz w:val="24"/>
                <w:lang w:val="es-ES"/>
              </w:rPr>
              <w:t>Materia activa</w:t>
            </w:r>
          </w:p>
        </w:tc>
        <w:tc>
          <w:tcPr>
            <w:tcW w:w="2582" w:type="pct"/>
            <w:shd w:val="clear" w:color="auto" w:fill="D9D9D9"/>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Restricciones</w:t>
            </w:r>
          </w:p>
        </w:tc>
      </w:tr>
      <w:tr w:rsidR="00503A41" w:rsidRPr="00993936" w:rsidTr="000452B8">
        <w:trPr>
          <w:cantSplit/>
          <w:trHeight w:val="6437"/>
          <w:jc w:val="center"/>
        </w:trPr>
        <w:tc>
          <w:tcPr>
            <w:tcW w:w="2418" w:type="pct"/>
            <w:vAlign w:val="center"/>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 + Glifosato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Benfluralina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Clorprofam</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Diquat</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Fluazifop-p-butil</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Glifosato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eastAsia="es-ES"/>
              </w:rPr>
              <w:t xml:space="preserve">Glufosinato </w:t>
            </w:r>
            <w:r w:rsidRPr="00993936">
              <w:rPr>
                <w:rFonts w:ascii="Arial" w:hAnsi="Arial" w:cs="Arial"/>
                <w:sz w:val="18"/>
                <w:szCs w:val="18"/>
                <w:lang w:val="es-ES"/>
              </w:rPr>
              <w:t>(2)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eastAsia="es-ES"/>
              </w:rPr>
              <w:t>Pendimetalina (a)</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rPr>
              <w:t>Piridato</w:t>
            </w:r>
            <w:r w:rsidRPr="00993936">
              <w:rPr>
                <w:rFonts w:ascii="Arial" w:hAnsi="Arial" w:cs="Arial"/>
                <w:snapToGrid w:val="0"/>
                <w:lang w:val="es-ES" w:eastAsia="es-ES"/>
              </w:rPr>
              <w:t xml:space="preserv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eastAsia="es-ES"/>
              </w:rPr>
              <w:t xml:space="preserve">Propizamida </w:t>
            </w:r>
          </w:p>
        </w:tc>
        <w:tc>
          <w:tcPr>
            <w:tcW w:w="2582" w:type="pct"/>
          </w:tcPr>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18"/>
                <w:lang w:val="es-ES"/>
              </w:rPr>
            </w:pPr>
            <w:r w:rsidRPr="00993936">
              <w:rPr>
                <w:rFonts w:ascii="Arial" w:hAnsi="Arial" w:cs="Arial"/>
                <w:snapToGrid w:val="0"/>
                <w:sz w:val="18"/>
                <w:lang w:val="es-ES"/>
              </w:rPr>
              <w:t>Sólo autorizado en lechuga</w:t>
            </w:r>
          </w:p>
          <w:p w:rsidR="00503A41" w:rsidRPr="00993936" w:rsidRDefault="00503A41" w:rsidP="001D205D">
            <w:pPr>
              <w:pStyle w:val="Sinespaciado"/>
              <w:rPr>
                <w:rFonts w:ascii="Arial" w:hAnsi="Arial" w:cs="Arial"/>
                <w:snapToGrid w:val="0"/>
                <w:sz w:val="18"/>
                <w:lang w:val="es-ES"/>
              </w:rPr>
            </w:pPr>
          </w:p>
          <w:p w:rsidR="00503A41" w:rsidRPr="00993936" w:rsidRDefault="00503A41" w:rsidP="001D205D">
            <w:pPr>
              <w:pStyle w:val="Sinespaciado"/>
              <w:rPr>
                <w:rFonts w:ascii="Arial" w:hAnsi="Arial" w:cs="Arial"/>
                <w:snapToGrid w:val="0"/>
                <w:sz w:val="20"/>
                <w:lang w:val="es-ES"/>
              </w:rPr>
            </w:pPr>
            <w:r w:rsidRPr="00993936">
              <w:rPr>
                <w:rFonts w:ascii="Arial" w:hAnsi="Arial" w:cs="Arial"/>
                <w:snapToGrid w:val="0"/>
                <w:sz w:val="18"/>
                <w:lang w:val="es-ES"/>
              </w:rPr>
              <w:t>Qué las restricciones numéricas se detallan al final de este documento.</w:t>
            </w:r>
          </w:p>
        </w:tc>
      </w:tr>
    </w:tbl>
    <w:p w:rsidR="00503A41" w:rsidRPr="00993936" w:rsidRDefault="00503A41" w:rsidP="000452B8">
      <w:pPr>
        <w:jc w:val="both"/>
        <w:rPr>
          <w:rFonts w:ascii="Arial" w:hAnsi="Arial" w:cs="Arial"/>
          <w:b/>
          <w:snapToGrid w:val="0"/>
          <w:lang w:val="es-ES" w:eastAsia="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pStyle w:val="Ttulo4"/>
        <w:numPr>
          <w:ilvl w:val="0"/>
          <w:numId w:val="85"/>
        </w:numPr>
        <w:spacing w:before="120"/>
        <w:jc w:val="both"/>
        <w:rPr>
          <w:rFonts w:ascii="Arial" w:hAnsi="Arial" w:cs="Arial"/>
          <w:color w:val="auto"/>
          <w:lang w:val="es-ES"/>
        </w:rPr>
      </w:pPr>
      <w:r w:rsidRPr="00993936">
        <w:rPr>
          <w:rFonts w:ascii="Arial" w:hAnsi="Arial" w:cs="Arial"/>
          <w:color w:val="auto"/>
          <w:lang w:val="es-ES"/>
        </w:rPr>
        <w:t>Sírfidos.</w:t>
      </w:r>
    </w:p>
    <w:p w:rsidR="00503A41" w:rsidRPr="00993936" w:rsidRDefault="00503A41" w:rsidP="009D1A2D">
      <w:pPr>
        <w:pStyle w:val="Ttulo4"/>
        <w:numPr>
          <w:ilvl w:val="0"/>
          <w:numId w:val="85"/>
        </w:numPr>
        <w:spacing w:before="120"/>
        <w:jc w:val="both"/>
        <w:rPr>
          <w:rFonts w:ascii="Arial" w:hAnsi="Arial" w:cs="Arial"/>
          <w:color w:val="auto"/>
          <w:lang w:val="es-ES"/>
        </w:rPr>
      </w:pPr>
      <w:r w:rsidRPr="00993936">
        <w:rPr>
          <w:rFonts w:ascii="Arial" w:hAnsi="Arial" w:cs="Arial"/>
          <w:color w:val="auto"/>
          <w:lang w:val="es-ES"/>
        </w:rPr>
        <w:t>Orius laevigatus. y O. majusculus</w:t>
      </w:r>
    </w:p>
    <w:p w:rsidR="00503A41" w:rsidRPr="00993936" w:rsidRDefault="00503A41" w:rsidP="000452B8">
      <w:pPr>
        <w:pStyle w:val="Ttulo1"/>
        <w:spacing w:before="120"/>
        <w:rPr>
          <w:rFonts w:ascii="Arial" w:hAnsi="Arial" w:cs="Arial"/>
          <w:b/>
          <w:caps/>
          <w:color w:val="auto"/>
          <w:sz w:val="22"/>
          <w:szCs w:val="22"/>
        </w:rPr>
      </w:pPr>
    </w:p>
    <w:p w:rsidR="00503A41" w:rsidRPr="00993936" w:rsidRDefault="00503A41" w:rsidP="000452B8">
      <w:pPr>
        <w:pStyle w:val="Ttulo1"/>
        <w:spacing w:before="120"/>
        <w:rPr>
          <w:rFonts w:ascii="Arial" w:hAnsi="Arial" w:cs="Arial"/>
          <w:b/>
          <w:color w:val="auto"/>
          <w:sz w:val="22"/>
          <w:szCs w:val="22"/>
        </w:rPr>
      </w:pPr>
      <w:r w:rsidRPr="00993936">
        <w:rPr>
          <w:rFonts w:ascii="Arial" w:hAnsi="Arial" w:cs="Arial"/>
          <w:b/>
          <w:caps/>
          <w:color w:val="auto"/>
          <w:sz w:val="22"/>
          <w:szCs w:val="22"/>
        </w:rPr>
        <w:t>ANEXO 6</w:t>
      </w:r>
    </w:p>
    <w:p w:rsidR="00503A41" w:rsidRPr="00993936" w:rsidRDefault="00503A41" w:rsidP="000452B8">
      <w:pPr>
        <w:pStyle w:val="Textoindependiente"/>
        <w:spacing w:before="120"/>
        <w:rPr>
          <w:rFonts w:cs="Arial"/>
          <w:b/>
          <w:szCs w:val="22"/>
          <w:lang w:val="es-ES"/>
        </w:rPr>
      </w:pPr>
      <w:r w:rsidRPr="00993936">
        <w:rPr>
          <w:rFonts w:cs="Arial"/>
          <w:b/>
          <w:szCs w:val="22"/>
          <w:lang w:val="es-ES"/>
        </w:rPr>
        <w:t>Programas de control fitosanitario</w:t>
      </w:r>
    </w:p>
    <w:p w:rsidR="00503A41" w:rsidRPr="00993936" w:rsidRDefault="00503A41" w:rsidP="000452B8">
      <w:pPr>
        <w:pStyle w:val="Textoindependiente"/>
        <w:spacing w:before="120"/>
        <w:rPr>
          <w:rFonts w:cs="Arial"/>
          <w:szCs w:val="22"/>
          <w:lang w:val="es-ES"/>
        </w:rPr>
      </w:pPr>
      <w:r w:rsidRPr="00993936">
        <w:rPr>
          <w:rFonts w:cs="Arial"/>
          <w:szCs w:val="22"/>
          <w:lang w:val="es-ES"/>
        </w:rPr>
        <w:t>Para poder aplicar estos programas con éxito, es imprescindible aplicar unas buenas medidas culturales con el objetivo de iniciar el cultivo con plantas con ausencia</w:t>
      </w:r>
      <w:r w:rsidRPr="00993936">
        <w:rPr>
          <w:rFonts w:cs="Arial"/>
          <w:vanish/>
          <w:szCs w:val="22"/>
          <w:lang w:val="es-ES"/>
        </w:rPr>
        <w:t>&lt;A[limpias|netas]&gt;</w:t>
      </w:r>
      <w:r w:rsidRPr="00993936">
        <w:rPr>
          <w:rFonts w:cs="Arial"/>
          <w:szCs w:val="22"/>
          <w:lang w:val="es-ES"/>
        </w:rPr>
        <w:t xml:space="preserve"> de plagas y enfermedades, disminuir su entrada en el cultivo y la posterior proliferación.</w:t>
      </w:r>
    </w:p>
    <w:p w:rsidR="00503A41" w:rsidRPr="00993936" w:rsidRDefault="00503A41" w:rsidP="000452B8">
      <w:pPr>
        <w:pStyle w:val="Textoindependiente"/>
        <w:spacing w:before="120"/>
        <w:rPr>
          <w:rFonts w:cs="Arial"/>
          <w:szCs w:val="22"/>
          <w:lang w:val="es-ES"/>
        </w:rPr>
      </w:pPr>
      <w:r w:rsidRPr="00993936">
        <w:rPr>
          <w:rFonts w:cs="Arial"/>
          <w:szCs w:val="22"/>
          <w:lang w:val="es-ES"/>
        </w:rPr>
        <w:lastRenderedPageBreak/>
        <w:t xml:space="preserve">Hay un programa específico para el cultivo que se recoge en el Cuadro nº. 1 de este Anexo.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Como método de control de las diferentes plagas, se dará prioridad al control biológico, </w:t>
      </w:r>
      <w:r w:rsidRPr="00993936">
        <w:rPr>
          <w:rFonts w:cs="Arial"/>
          <w:lang w:val="es-ES"/>
        </w:rPr>
        <w:t>biotecnológico, medidas culturales y medios físicos</w:t>
      </w:r>
      <w:r w:rsidRPr="00993936">
        <w:rPr>
          <w:rFonts w:cs="Arial"/>
          <w:szCs w:val="22"/>
          <w:lang w:val="es-ES"/>
        </w:rPr>
        <w:t xml:space="preserve">. Únicamente cuando se supere el umbral de intervención estará justificado el tratamiento con alguno de los productos autorizados por aquella plaga o enfermedad. </w:t>
      </w:r>
    </w:p>
    <w:p w:rsidR="00503A41" w:rsidRPr="00993936" w:rsidRDefault="00503A41" w:rsidP="000452B8">
      <w:pPr>
        <w:pStyle w:val="Textoindependiente"/>
        <w:spacing w:before="120"/>
        <w:rPr>
          <w:rFonts w:cs="Arial"/>
          <w:szCs w:val="22"/>
          <w:lang w:val="es-ES"/>
        </w:rPr>
      </w:pPr>
      <w:r w:rsidRPr="00993936">
        <w:rPr>
          <w:rFonts w:cs="Arial"/>
          <w:szCs w:val="22"/>
          <w:lang w:val="es-ES"/>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szCs w:val="22"/>
          <w:lang w:val="es-ES"/>
        </w:rPr>
      </w:pPr>
      <w:r w:rsidRPr="00993936">
        <w:rPr>
          <w:rFonts w:cs="Arial"/>
          <w:szCs w:val="22"/>
          <w:lang w:val="es-ES"/>
        </w:rPr>
        <w:t>Además de los muestreos específicos propuestos en los Cuadros de Control Fitosanitario, se hará una observación general del cultivo que permita estimar</w:t>
      </w:r>
      <w:r w:rsidRPr="00993936">
        <w:rPr>
          <w:rFonts w:cs="Arial"/>
          <w:vanish/>
          <w:szCs w:val="22"/>
          <w:lang w:val="es-ES"/>
        </w:rPr>
        <w:t>&lt;A[amar|estimar]&gt;</w:t>
      </w:r>
      <w:r w:rsidRPr="00993936">
        <w:rPr>
          <w:rFonts w:cs="Arial"/>
          <w:szCs w:val="22"/>
          <w:lang w:val="es-ES"/>
        </w:rPr>
        <w:t xml:space="preserve"> su estado general, así como la presencia de plagas y/o enfermedades. Los recuentos y las observaciones, y también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993936">
        <w:rPr>
          <w:rFonts w:cs="Arial"/>
          <w:vanish/>
          <w:szCs w:val="22"/>
          <w:lang w:val="es-ES"/>
        </w:rPr>
        <w:t>&lt;A[empleo|ocupación]&gt;</w:t>
      </w:r>
      <w:r w:rsidRPr="00993936">
        <w:rPr>
          <w:rFonts w:cs="Arial"/>
          <w:szCs w:val="22"/>
          <w:lang w:val="es-ES"/>
        </w:rPr>
        <w:t>) o la infestación media cuando sea requerida. También se calculará el porcentaje de plantas que presentan fauna útil asociada a cada una de las plagas.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Los métodos de muestreo y los umbrales de intervención en los casos previstos son los que figuran en el cuadro 1 de este anexo.  </w:t>
      </w: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t>6.1.</w:t>
      </w:r>
      <w:r w:rsidRPr="00993936">
        <w:rPr>
          <w:rFonts w:ascii="Arial" w:hAnsi="Arial" w:cs="Arial"/>
          <w:color w:val="auto"/>
          <w:lang w:val="es-ES"/>
        </w:rPr>
        <w:tab/>
        <w:t>Pulgón (PG)</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6.2.</w:t>
      </w:r>
      <w:r w:rsidRPr="00993936">
        <w:rPr>
          <w:rFonts w:ascii="Arial" w:hAnsi="Arial" w:cs="Arial"/>
          <w:color w:val="auto"/>
          <w:lang w:val="es-ES"/>
        </w:rPr>
        <w:tab/>
        <w:t>Minadores de hoja (</w:t>
      </w:r>
      <w:r w:rsidRPr="00993936">
        <w:rPr>
          <w:rFonts w:ascii="Arial" w:hAnsi="Arial" w:cs="Arial"/>
          <w:i/>
          <w:color w:val="auto"/>
          <w:lang w:val="es-ES"/>
        </w:rPr>
        <w:t>Liriomyza spp</w:t>
      </w:r>
      <w:r w:rsidRPr="00993936">
        <w:rPr>
          <w:rFonts w:ascii="Arial" w:hAnsi="Arial" w:cs="Arial"/>
          <w:color w:val="auto"/>
          <w:lang w:val="es-ES"/>
        </w:rPr>
        <w:t>.) (MIN)</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Hoja 3 se anotará la ausencia de minas (-), la existencia de hasta 2 minas por hoja (1) o de más de 2 minas por hoja (2). Cuando</w:t>
      </w:r>
      <w:r w:rsidRPr="00993936">
        <w:rPr>
          <w:rFonts w:cs="Arial"/>
          <w:vanish/>
          <w:szCs w:val="22"/>
          <w:lang w:val="es-ES"/>
        </w:rPr>
        <w:t>&lt;A[Cuando|Cuándo]&gt;</w:t>
      </w:r>
      <w:r w:rsidRPr="00993936">
        <w:rPr>
          <w:rFonts w:cs="Arial"/>
          <w:szCs w:val="22"/>
          <w:lang w:val="es-ES"/>
        </w:rPr>
        <w:t xml:space="preserve"> el nivel medio de minas por hoja sea igual o mayor de 1, se recogerá una muestra de un mínimo de 25 hojas y 50 minas jóvenes. En el laboratorio se evaluará el porcentaje de parasitismo natural a causa de </w:t>
      </w:r>
      <w:r w:rsidRPr="00993936">
        <w:rPr>
          <w:rFonts w:cs="Arial"/>
          <w:i/>
          <w:szCs w:val="22"/>
          <w:lang w:val="es-ES"/>
        </w:rPr>
        <w:t xml:space="preserve">Diglyphus isaea </w:t>
      </w:r>
      <w:r w:rsidRPr="00993936">
        <w:rPr>
          <w:rFonts w:cs="Arial"/>
          <w:szCs w:val="22"/>
          <w:lang w:val="es-ES"/>
        </w:rPr>
        <w:t>(</w:t>
      </w:r>
      <w:r w:rsidRPr="00993936">
        <w:rPr>
          <w:rFonts w:cs="Arial"/>
          <w:i/>
          <w:szCs w:val="22"/>
          <w:lang w:val="es-ES"/>
        </w:rPr>
        <w:t>Di</w:t>
      </w:r>
      <w:r w:rsidRPr="00993936">
        <w:rPr>
          <w:rFonts w:cs="Arial"/>
          <w:szCs w:val="22"/>
          <w:lang w:val="es-ES"/>
        </w:rPr>
        <w:t>) (Hoja 2). Si el parasitismo natural (minas muertas y parasitadas) es &gt;25%, se tomará otra muestra al cabo de 15 días para ver cómo evoluciona el conjunto minadora-</w:t>
      </w:r>
      <w:r w:rsidRPr="00993936">
        <w:rPr>
          <w:rFonts w:cs="Arial"/>
          <w:i/>
          <w:szCs w:val="22"/>
          <w:lang w:val="es-ES"/>
        </w:rPr>
        <w:t>Di</w:t>
      </w:r>
      <w:r w:rsidRPr="00993936">
        <w:rPr>
          <w:rFonts w:cs="Arial"/>
          <w:szCs w:val="22"/>
          <w:lang w:val="es-ES"/>
        </w:rPr>
        <w:t>, en caso de que el parasitismo natural sea inferior al 25% se entenderá que se ha superado el umbral de intervención y podrá realizarse un tratamiento con alguno de los productos autorizados por minadora en aquel cultivo.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lastRenderedPageBreak/>
        <w:t>6.3.</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extoindependiente"/>
        <w:spacing w:before="120"/>
        <w:outlineLvl w:val="0"/>
        <w:rPr>
          <w:rFonts w:cs="Arial"/>
          <w:b/>
          <w:szCs w:val="22"/>
          <w:lang w:val="es-ES"/>
        </w:rPr>
      </w:pPr>
    </w:p>
    <w:p w:rsidR="00503A41" w:rsidRPr="00993936" w:rsidRDefault="00503A41" w:rsidP="000452B8">
      <w:pPr>
        <w:pStyle w:val="Textoindependiente"/>
        <w:spacing w:before="120"/>
        <w:outlineLvl w:val="0"/>
        <w:rPr>
          <w:rFonts w:cs="Arial"/>
          <w:b/>
          <w:szCs w:val="22"/>
          <w:lang w:val="es-ES"/>
        </w:rPr>
      </w:pPr>
      <w:r w:rsidRPr="00993936">
        <w:rPr>
          <w:rFonts w:cs="Arial"/>
          <w:b/>
          <w:szCs w:val="22"/>
          <w:lang w:val="es-ES"/>
        </w:rPr>
        <w:t xml:space="preserve">6.4. Trips (TRIPS)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los muestreos se anotará la ausencia (-) o la presencia o número de larvas (L), adultos (A) y daños (D) de trips según las directrices del Cuadro de Control Fitosanitario correspondiente del cultivo. En aquellos cultivos donde el virus del bronceado del tomate (TSWV) es un problema importante, se tendrá en cuenta la incidencia de esta enfermedad en la decisión a adoptar. </w:t>
      </w:r>
    </w:p>
    <w:p w:rsidR="00503A41" w:rsidRPr="00993936" w:rsidRDefault="00503A41" w:rsidP="000452B8">
      <w:pPr>
        <w:pStyle w:val="Textoindependiente"/>
        <w:spacing w:before="120"/>
        <w:rPr>
          <w:rFonts w:cs="Arial"/>
          <w:szCs w:val="22"/>
          <w:lang w:val="es-ES"/>
        </w:rPr>
      </w:pPr>
      <w:r w:rsidRPr="00993936">
        <w:rPr>
          <w:rFonts w:cs="Arial"/>
          <w:szCs w:val="22"/>
          <w:lang w:val="es-ES"/>
        </w:rPr>
        <w:t>Es particularmente importante seguir todas las medidas culturales que permitan evitar la extensión de la plaga y reducir la incidencia de este virus.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 (BOTE</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el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6.8.</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el Cuadro 1.1 especificando en observaciones la especie objeto del seguimiento. En caso de que aparezca una nueva enfermedad no especificada en el Cuadro de Control Fitosanitario del cultivo, su seguimiento también se especificará en esta columna.</w:t>
      </w:r>
    </w:p>
    <w:p w:rsidR="00503A41" w:rsidRPr="00993936" w:rsidRDefault="00503A41" w:rsidP="000452B8">
      <w:pPr>
        <w:spacing w:before="120"/>
        <w:jc w:val="both"/>
        <w:rPr>
          <w:rFonts w:ascii="Arial" w:hAnsi="Arial" w:cs="Arial"/>
          <w:b/>
          <w:snapToGrid w:val="0"/>
          <w:sz w:val="14"/>
          <w:lang w:val="es-ES" w:eastAsia="es-ES"/>
        </w:rPr>
      </w:pP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br w:type="page"/>
      </w:r>
      <w:r w:rsidRPr="00993936">
        <w:rPr>
          <w:rFonts w:cs="Arial"/>
          <w:b w:val="0"/>
          <w:szCs w:val="22"/>
          <w:lang w:val="es-ES"/>
        </w:rPr>
        <w:lastRenderedPageBreak/>
        <w:t>Cuadro 1.-  Control fitosanitario en lechuga y escarola</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 la lechuga y la escarola</w:t>
      </w:r>
    </w:p>
    <w:p w:rsidR="00503A41" w:rsidRPr="00993936" w:rsidRDefault="00503A41" w:rsidP="000452B8">
      <w:pPr>
        <w:pStyle w:val="Textoindependiente3"/>
        <w:spacing w:before="120"/>
        <w:rPr>
          <w:rFonts w:cs="Arial"/>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0"/>
        <w:gridCol w:w="1893"/>
        <w:gridCol w:w="2145"/>
        <w:gridCol w:w="1262"/>
        <w:gridCol w:w="1514"/>
      </w:tblGrid>
      <w:tr w:rsidR="00503A41" w:rsidRPr="00993936" w:rsidTr="000452B8">
        <w:trPr>
          <w:cantSplit/>
          <w:tblHeader/>
          <w:jc w:val="center"/>
        </w:trPr>
        <w:tc>
          <w:tcPr>
            <w:tcW w:w="1058"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PLAGA / ENFERMEDAD</w:t>
            </w:r>
          </w:p>
        </w:tc>
        <w:tc>
          <w:tcPr>
            <w:tcW w:w="1095"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MÉTODO DE EVALUACIÓN DE INCIDENCIA</w:t>
            </w:r>
          </w:p>
        </w:tc>
        <w:tc>
          <w:tcPr>
            <w:tcW w:w="1241" w:type="pct"/>
            <w:shd w:val="pct12" w:color="auto" w:fill="FFFFFF"/>
            <w:vAlign w:val="center"/>
          </w:tcPr>
          <w:p w:rsidR="00503A41" w:rsidRPr="00993936" w:rsidRDefault="00503A41" w:rsidP="000452B8">
            <w:pPr>
              <w:pStyle w:val="titolstaula"/>
              <w:rPr>
                <w:rFonts w:cs="Arial"/>
                <w:caps/>
                <w:noProof w:val="0"/>
                <w:sz w:val="18"/>
                <w:szCs w:val="18"/>
                <w:lang w:val="es-ES"/>
              </w:rPr>
            </w:pPr>
            <w:r w:rsidRPr="00993936">
              <w:rPr>
                <w:rFonts w:cs="Arial"/>
                <w:caps/>
                <w:noProof w:val="0"/>
                <w:sz w:val="18"/>
                <w:szCs w:val="18"/>
                <w:lang w:val="es-ES"/>
              </w:rPr>
              <w:t>Criterio de intervención</w:t>
            </w:r>
          </w:p>
        </w:tc>
        <w:tc>
          <w:tcPr>
            <w:tcW w:w="730"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FAUNA AUXILIAR</w:t>
            </w:r>
          </w:p>
        </w:tc>
        <w:tc>
          <w:tcPr>
            <w:tcW w:w="876" w:type="pct"/>
            <w:shd w:val="pct12" w:color="auto" w:fill="FFFFFF"/>
            <w:vAlign w:val="center"/>
          </w:tcPr>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OTROS MÉTODOS</w:t>
            </w:r>
          </w:p>
          <w:p w:rsidR="00503A41" w:rsidRPr="00993936" w:rsidRDefault="00503A41" w:rsidP="000452B8">
            <w:pPr>
              <w:pStyle w:val="titolstaula"/>
              <w:rPr>
                <w:rFonts w:cs="Arial"/>
                <w:noProof w:val="0"/>
                <w:sz w:val="18"/>
                <w:szCs w:val="18"/>
                <w:lang w:val="es-ES"/>
              </w:rPr>
            </w:pPr>
            <w:r w:rsidRPr="00993936">
              <w:rPr>
                <w:rFonts w:cs="Arial"/>
                <w:noProof w:val="0"/>
                <w:sz w:val="18"/>
                <w:szCs w:val="18"/>
                <w:lang w:val="es-ES"/>
              </w:rPr>
              <w:t>(culturales, etc.)</w:t>
            </w: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Pulgones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Nasonovia ribis nigri</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Myzus persicae</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Aphis gossypii</w:t>
            </w:r>
          </w:p>
        </w:tc>
        <w:tc>
          <w:tcPr>
            <w:tcW w:w="1095"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Observación de 15 plantas por parcela. Forzar los recuentos antes del inicio del ovillado.</w:t>
            </w:r>
          </w:p>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Planta joven, 20% plantas con pulgón.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Justo antes del ovillado, presencia de pulgón.</w:t>
            </w:r>
          </w:p>
        </w:tc>
        <w:tc>
          <w:tcPr>
            <w:tcW w:w="73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Sírfidos, antacóridos, Coccinélidosy parasitoides</w:t>
            </w:r>
          </w:p>
        </w:tc>
        <w:tc>
          <w:tcPr>
            <w:tcW w:w="876" w:type="pct"/>
            <w:vMerge w:val="restar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Orugas aéreas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Helicoverpa armigera</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Chrysodeixis chalcites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Spodoptera sp.</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20% de plantas ocupadas por larvas</w:t>
            </w:r>
          </w:p>
        </w:tc>
        <w:tc>
          <w:tcPr>
            <w:tcW w:w="730"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Parasitoides y depredadores generalistas</w:t>
            </w:r>
          </w:p>
        </w:tc>
        <w:tc>
          <w:tcPr>
            <w:tcW w:w="876"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Dormidores y gusanos de alambre</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Agrotis segetum, A. Ipsilon</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Agriotes sp.</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 en más del 20% de las plantas</w:t>
            </w:r>
          </w:p>
        </w:tc>
        <w:tc>
          <w:tcPr>
            <w:tcW w:w="730" w:type="pct"/>
            <w:vAlign w:val="center"/>
          </w:tcPr>
          <w:p w:rsidR="00503A41" w:rsidRPr="00993936" w:rsidRDefault="00503A41" w:rsidP="000452B8">
            <w:pPr>
              <w:pStyle w:val="taula"/>
              <w:rPr>
                <w:rFonts w:cs="Arial"/>
                <w:noProof w:val="0"/>
                <w:sz w:val="18"/>
                <w:szCs w:val="18"/>
                <w:lang w:val="es-ES"/>
              </w:rPr>
            </w:pPr>
          </w:p>
        </w:tc>
        <w:tc>
          <w:tcPr>
            <w:tcW w:w="876"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Minadora</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Liriomyza sp.</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Ataque importante</w:t>
            </w:r>
          </w:p>
        </w:tc>
        <w:tc>
          <w:tcPr>
            <w:tcW w:w="730" w:type="pct"/>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Diglyphus isaea</w:t>
            </w:r>
            <w:r w:rsidRPr="00993936">
              <w:rPr>
                <w:rFonts w:cs="Arial"/>
                <w:noProof w:val="0"/>
                <w:sz w:val="18"/>
                <w:szCs w:val="18"/>
                <w:lang w:val="es-ES"/>
              </w:rPr>
              <w:t xml:space="preserve"> y otros parasitoides</w:t>
            </w:r>
          </w:p>
        </w:tc>
        <w:tc>
          <w:tcPr>
            <w:tcW w:w="876"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Trips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Frankliniella occidentalis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Heliothrips</w:t>
            </w:r>
          </w:p>
        </w:tc>
        <w:tc>
          <w:tcPr>
            <w:tcW w:w="1095" w:type="pct"/>
            <w:vMerge w:val="restart"/>
            <w:vAlign w:val="center"/>
          </w:tcPr>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60% de las plantas con trips o presencia de síntomas del virus</w:t>
            </w:r>
          </w:p>
        </w:tc>
        <w:tc>
          <w:tcPr>
            <w:tcW w:w="730" w:type="pct"/>
            <w:vMerge w:val="restart"/>
            <w:vAlign w:val="center"/>
          </w:tcPr>
          <w:p w:rsidR="00503A41" w:rsidRPr="00993936" w:rsidRDefault="00503A41" w:rsidP="000452B8">
            <w:pPr>
              <w:pStyle w:val="taula"/>
              <w:rPr>
                <w:rFonts w:cs="Arial"/>
                <w:noProof w:val="0"/>
                <w:sz w:val="18"/>
                <w:szCs w:val="18"/>
                <w:lang w:val="es-ES"/>
              </w:rPr>
            </w:pPr>
          </w:p>
        </w:tc>
        <w:tc>
          <w:tcPr>
            <w:tcW w:w="876"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Hay presencia de TSWV y trips, se recomienda arrancar las plantas con síntomas de virus y tratar</w:t>
            </w: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Mildiu (</w:t>
            </w:r>
            <w:r w:rsidRPr="00993936">
              <w:rPr>
                <w:rFonts w:cs="Arial"/>
                <w:i/>
                <w:noProof w:val="0"/>
                <w:sz w:val="18"/>
                <w:szCs w:val="18"/>
                <w:lang w:val="es-ES"/>
              </w:rPr>
              <w:t>Bremia lactucae</w:t>
            </w:r>
            <w:r w:rsidRPr="00993936">
              <w:rPr>
                <w:rFonts w:cs="Arial"/>
                <w:noProof w:val="0"/>
                <w:sz w:val="18"/>
                <w:szCs w:val="18"/>
                <w:lang w:val="es-ES"/>
              </w:rPr>
              <w:t>)</w:t>
            </w:r>
          </w:p>
          <w:p w:rsidR="00503A41" w:rsidRPr="00993936" w:rsidRDefault="00503A41" w:rsidP="000452B8">
            <w:pPr>
              <w:pStyle w:val="taula"/>
              <w:rPr>
                <w:rFonts w:cs="Arial"/>
                <w:noProof w:val="0"/>
                <w:sz w:val="18"/>
                <w:szCs w:val="18"/>
                <w:lang w:val="es-ES"/>
              </w:rPr>
            </w:pP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Síntomas, condiciones climáticas adecuadas</w:t>
            </w:r>
          </w:p>
        </w:tc>
        <w:tc>
          <w:tcPr>
            <w:tcW w:w="730" w:type="pct"/>
            <w:vMerge/>
            <w:vAlign w:val="center"/>
          </w:tcPr>
          <w:p w:rsidR="00503A41" w:rsidRPr="00993936" w:rsidRDefault="00503A41" w:rsidP="000452B8">
            <w:pPr>
              <w:pStyle w:val="taula"/>
              <w:rPr>
                <w:rFonts w:cs="Arial"/>
                <w:noProof w:val="0"/>
                <w:sz w:val="18"/>
                <w:szCs w:val="18"/>
                <w:lang w:val="es-ES"/>
              </w:rPr>
            </w:pPr>
          </w:p>
        </w:tc>
        <w:tc>
          <w:tcPr>
            <w:tcW w:w="876" w:type="pct"/>
            <w:vMerge w:val="restar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i/>
                <w:noProof w:val="0"/>
                <w:sz w:val="18"/>
                <w:szCs w:val="18"/>
                <w:lang w:val="es-ES"/>
              </w:rPr>
            </w:pPr>
            <w:r w:rsidRPr="00993936">
              <w:rPr>
                <w:rFonts w:cs="Arial"/>
                <w:noProof w:val="0"/>
                <w:sz w:val="18"/>
                <w:szCs w:val="18"/>
                <w:lang w:val="es-ES"/>
              </w:rPr>
              <w:t>Alternaria</w:t>
            </w:r>
          </w:p>
          <w:p w:rsidR="00503A41" w:rsidRPr="00993936" w:rsidRDefault="00503A41" w:rsidP="000452B8">
            <w:pPr>
              <w:pStyle w:val="taula"/>
              <w:rPr>
                <w:rFonts w:cs="Arial"/>
                <w:i/>
                <w:noProof w:val="0"/>
                <w:sz w:val="18"/>
                <w:szCs w:val="18"/>
                <w:lang w:val="es-ES"/>
              </w:rPr>
            </w:pP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Síntomas, condiciones climáticas adecuadas</w:t>
            </w:r>
          </w:p>
        </w:tc>
        <w:tc>
          <w:tcPr>
            <w:tcW w:w="730" w:type="pct"/>
            <w:vMerge/>
            <w:vAlign w:val="center"/>
          </w:tcPr>
          <w:p w:rsidR="00503A41" w:rsidRPr="00993936" w:rsidRDefault="00503A41" w:rsidP="000452B8">
            <w:pPr>
              <w:pStyle w:val="taula"/>
              <w:rPr>
                <w:rFonts w:cs="Arial"/>
                <w:noProof w:val="0"/>
                <w:sz w:val="18"/>
                <w:szCs w:val="18"/>
                <w:lang w:val="es-ES"/>
              </w:rPr>
            </w:pPr>
          </w:p>
        </w:tc>
        <w:tc>
          <w:tcPr>
            <w:tcW w:w="876"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Phytium</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Presencia</w:t>
            </w:r>
          </w:p>
        </w:tc>
        <w:tc>
          <w:tcPr>
            <w:tcW w:w="730" w:type="pct"/>
            <w:vMerge/>
            <w:vAlign w:val="center"/>
          </w:tcPr>
          <w:p w:rsidR="00503A41" w:rsidRPr="00993936" w:rsidRDefault="00503A41" w:rsidP="000452B8">
            <w:pPr>
              <w:pStyle w:val="taula"/>
              <w:rPr>
                <w:rFonts w:cs="Arial"/>
                <w:noProof w:val="0"/>
                <w:sz w:val="18"/>
                <w:szCs w:val="18"/>
                <w:lang w:val="es-ES"/>
              </w:rPr>
            </w:pPr>
          </w:p>
        </w:tc>
        <w:tc>
          <w:tcPr>
            <w:tcW w:w="876"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 xml:space="preserve">Botrytis </w:t>
            </w:r>
            <w:r w:rsidRPr="00993936">
              <w:rPr>
                <w:rFonts w:cs="Arial"/>
                <w:noProof w:val="0"/>
                <w:sz w:val="18"/>
                <w:szCs w:val="18"/>
                <w:lang w:val="es-ES"/>
              </w:rPr>
              <w:t>spp.</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Presencia de síntomas en 3 de las plantas muestreadas </w:t>
            </w:r>
          </w:p>
        </w:tc>
        <w:tc>
          <w:tcPr>
            <w:tcW w:w="730" w:type="pct"/>
            <w:vMerge/>
            <w:vAlign w:val="center"/>
          </w:tcPr>
          <w:p w:rsidR="00503A41" w:rsidRPr="00993936" w:rsidRDefault="00503A41" w:rsidP="000452B8">
            <w:pPr>
              <w:pStyle w:val="taula"/>
              <w:rPr>
                <w:rFonts w:cs="Arial"/>
                <w:noProof w:val="0"/>
                <w:sz w:val="18"/>
                <w:szCs w:val="18"/>
                <w:lang w:val="es-ES"/>
              </w:rPr>
            </w:pPr>
          </w:p>
        </w:tc>
        <w:tc>
          <w:tcPr>
            <w:tcW w:w="876"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Sclerotinia</w:t>
            </w:r>
            <w:r w:rsidRPr="00993936">
              <w:rPr>
                <w:rFonts w:cs="Arial"/>
                <w:noProof w:val="0"/>
                <w:sz w:val="18"/>
                <w:szCs w:val="18"/>
                <w:lang w:val="es-ES"/>
              </w:rPr>
              <w:t xml:space="preserve"> sp.</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Merge/>
            <w:vAlign w:val="center"/>
          </w:tcPr>
          <w:p w:rsidR="00503A41" w:rsidRPr="00993936" w:rsidRDefault="00503A41" w:rsidP="000452B8">
            <w:pPr>
              <w:pStyle w:val="taula"/>
              <w:rPr>
                <w:rFonts w:cs="Arial"/>
                <w:noProof w:val="0"/>
                <w:sz w:val="18"/>
                <w:szCs w:val="18"/>
                <w:lang w:val="es-ES"/>
              </w:rPr>
            </w:pPr>
          </w:p>
        </w:tc>
        <w:tc>
          <w:tcPr>
            <w:tcW w:w="730" w:type="pct"/>
            <w:vMerge/>
            <w:vAlign w:val="center"/>
          </w:tcPr>
          <w:p w:rsidR="00503A41" w:rsidRPr="00993936" w:rsidRDefault="00503A41" w:rsidP="000452B8">
            <w:pPr>
              <w:pStyle w:val="taula"/>
              <w:rPr>
                <w:rFonts w:cs="Arial"/>
                <w:noProof w:val="0"/>
                <w:sz w:val="18"/>
                <w:szCs w:val="18"/>
                <w:lang w:val="es-ES"/>
              </w:rPr>
            </w:pPr>
          </w:p>
        </w:tc>
        <w:tc>
          <w:tcPr>
            <w:tcW w:w="876"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Arrancar las plantas con raíz y tierra y eliminar del campo</w:t>
            </w: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Fusarium</w:t>
            </w:r>
            <w:r w:rsidRPr="00993936">
              <w:rPr>
                <w:rFonts w:cs="Arial"/>
                <w:noProof w:val="0"/>
                <w:sz w:val="18"/>
                <w:szCs w:val="18"/>
                <w:lang w:val="es-ES"/>
              </w:rPr>
              <w:t xml:space="preserve"> spp.</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Merge/>
            <w:vAlign w:val="center"/>
          </w:tcPr>
          <w:p w:rsidR="00503A41" w:rsidRPr="00993936" w:rsidRDefault="00503A41" w:rsidP="000452B8">
            <w:pPr>
              <w:pStyle w:val="taula"/>
              <w:rPr>
                <w:rFonts w:cs="Arial"/>
                <w:noProof w:val="0"/>
                <w:sz w:val="18"/>
                <w:szCs w:val="18"/>
                <w:lang w:val="es-ES"/>
              </w:rPr>
            </w:pPr>
          </w:p>
        </w:tc>
        <w:tc>
          <w:tcPr>
            <w:tcW w:w="730" w:type="pct"/>
            <w:vMerge/>
            <w:vAlign w:val="center"/>
          </w:tcPr>
          <w:p w:rsidR="00503A41" w:rsidRPr="00993936" w:rsidRDefault="00503A41" w:rsidP="000452B8">
            <w:pPr>
              <w:pStyle w:val="taula"/>
              <w:rPr>
                <w:rFonts w:cs="Arial"/>
                <w:noProof w:val="0"/>
                <w:sz w:val="18"/>
                <w:szCs w:val="18"/>
                <w:lang w:val="es-ES"/>
              </w:rPr>
            </w:pPr>
          </w:p>
        </w:tc>
        <w:tc>
          <w:tcPr>
            <w:tcW w:w="876" w:type="pct"/>
            <w:vMerge w:val="restart"/>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Bacterias</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Merge/>
            <w:vAlign w:val="center"/>
          </w:tcPr>
          <w:p w:rsidR="00503A41" w:rsidRPr="00993936" w:rsidRDefault="00503A41" w:rsidP="000452B8">
            <w:pPr>
              <w:pStyle w:val="taula"/>
              <w:rPr>
                <w:rFonts w:cs="Arial"/>
                <w:noProof w:val="0"/>
                <w:sz w:val="18"/>
                <w:szCs w:val="18"/>
                <w:lang w:val="es-ES"/>
              </w:rPr>
            </w:pPr>
          </w:p>
        </w:tc>
        <w:tc>
          <w:tcPr>
            <w:tcW w:w="730" w:type="pct"/>
            <w:vMerge/>
            <w:vAlign w:val="center"/>
          </w:tcPr>
          <w:p w:rsidR="00503A41" w:rsidRPr="00993936" w:rsidRDefault="00503A41" w:rsidP="000452B8">
            <w:pPr>
              <w:pStyle w:val="taula"/>
              <w:rPr>
                <w:rFonts w:cs="Arial"/>
                <w:noProof w:val="0"/>
                <w:sz w:val="18"/>
                <w:szCs w:val="18"/>
                <w:lang w:val="es-ES"/>
              </w:rPr>
            </w:pPr>
          </w:p>
        </w:tc>
        <w:tc>
          <w:tcPr>
            <w:tcW w:w="876" w:type="pct"/>
            <w:vMerge/>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jc w:val="center"/>
        </w:trPr>
        <w:tc>
          <w:tcPr>
            <w:tcW w:w="1058"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Otras plagas y enfermedades</w:t>
            </w:r>
          </w:p>
        </w:tc>
        <w:tc>
          <w:tcPr>
            <w:tcW w:w="1095" w:type="pct"/>
            <w:vMerge/>
            <w:vAlign w:val="center"/>
          </w:tcPr>
          <w:p w:rsidR="00503A41" w:rsidRPr="00993936" w:rsidRDefault="00503A41" w:rsidP="000452B8">
            <w:pPr>
              <w:pStyle w:val="taula"/>
              <w:rPr>
                <w:rFonts w:cs="Arial"/>
                <w:noProof w:val="0"/>
                <w:sz w:val="18"/>
                <w:szCs w:val="18"/>
                <w:lang w:val="es-ES"/>
              </w:rPr>
            </w:pPr>
          </w:p>
        </w:tc>
        <w:tc>
          <w:tcPr>
            <w:tcW w:w="1241"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Intervenciones en función de las prescripciones técnicas</w:t>
            </w:r>
          </w:p>
        </w:tc>
        <w:tc>
          <w:tcPr>
            <w:tcW w:w="730" w:type="pct"/>
            <w:vMerge/>
            <w:vAlign w:val="center"/>
          </w:tcPr>
          <w:p w:rsidR="00503A41" w:rsidRPr="00993936" w:rsidRDefault="00503A41" w:rsidP="000452B8">
            <w:pPr>
              <w:pStyle w:val="taula"/>
              <w:rPr>
                <w:rFonts w:cs="Arial"/>
                <w:noProof w:val="0"/>
                <w:sz w:val="18"/>
                <w:szCs w:val="18"/>
                <w:lang w:val="es-ES"/>
              </w:rPr>
            </w:pPr>
          </w:p>
        </w:tc>
        <w:tc>
          <w:tcPr>
            <w:tcW w:w="876" w:type="pct"/>
            <w:vMerge/>
            <w:vAlign w:val="center"/>
          </w:tcPr>
          <w:p w:rsidR="00503A41" w:rsidRPr="00993936" w:rsidRDefault="00503A41" w:rsidP="000452B8">
            <w:pPr>
              <w:pStyle w:val="taula"/>
              <w:rPr>
                <w:rFonts w:cs="Arial"/>
                <w:noProof w:val="0"/>
                <w:sz w:val="18"/>
                <w:szCs w:val="18"/>
                <w:lang w:val="es-ES"/>
              </w:rPr>
            </w:pPr>
          </w:p>
        </w:tc>
      </w:tr>
    </w:tbl>
    <w:p w:rsidR="00503A41" w:rsidRPr="00993936" w:rsidRDefault="00503A41" w:rsidP="000452B8">
      <w:pPr>
        <w:pStyle w:val="titolcontinuaci"/>
        <w:rPr>
          <w:rFonts w:cs="Arial"/>
          <w:noProof w:val="0"/>
          <w:lang w:val="es-ES"/>
        </w:rPr>
      </w:pPr>
    </w:p>
    <w:p w:rsidR="00503A41" w:rsidRPr="00993936" w:rsidRDefault="00503A41" w:rsidP="000452B8">
      <w:pPr>
        <w:pStyle w:val="Textoindependiente3"/>
        <w:rPr>
          <w:rFonts w:cs="Arial"/>
          <w:b w:val="0"/>
          <w:szCs w:val="22"/>
          <w:lang w:val="es-ES"/>
        </w:rPr>
      </w:pPr>
      <w:r w:rsidRPr="00993936">
        <w:rPr>
          <w:rFonts w:cs="Arial"/>
          <w:lang w:val="es-ES"/>
        </w:rPr>
        <w:br w:type="page"/>
      </w:r>
      <w:r w:rsidRPr="00993936">
        <w:rPr>
          <w:rFonts w:cs="Arial"/>
          <w:b w:val="0"/>
          <w:szCs w:val="22"/>
          <w:lang w:val="es-ES"/>
        </w:rPr>
        <w:lastRenderedPageBreak/>
        <w:t xml:space="preserve"> 1.2 Materias activas para la producción integrada de lechuga y de escarola, teniendo en cuenta las indicaciones del Cuaderno de explotación y el Programa de control integrado de plagas y enfermedades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87"/>
        <w:gridCol w:w="4085"/>
        <w:gridCol w:w="881"/>
        <w:gridCol w:w="891"/>
      </w:tblGrid>
      <w:tr w:rsidR="00E1758E" w:rsidRPr="00993936" w:rsidTr="000452B8">
        <w:trPr>
          <w:cantSplit/>
          <w:trHeight w:val="240"/>
          <w:tblHeader/>
          <w:jc w:val="center"/>
        </w:trPr>
        <w:tc>
          <w:tcPr>
            <w:tcW w:w="1654" w:type="pct"/>
            <w:tcBorders>
              <w:top w:val="single" w:sz="4" w:space="0" w:color="auto"/>
            </w:tcBorders>
            <w:shd w:val="pct15" w:color="auto" w:fill="FFFFFF"/>
            <w:vAlign w:val="center"/>
          </w:tcPr>
          <w:p w:rsidR="00503A41" w:rsidRPr="00993936" w:rsidRDefault="00503A41" w:rsidP="000452B8">
            <w:pPr>
              <w:jc w:val="center"/>
              <w:rPr>
                <w:rFonts w:ascii="Arial" w:hAnsi="Arial" w:cs="Arial"/>
                <w:b/>
                <w:sz w:val="18"/>
                <w:szCs w:val="18"/>
                <w:lang w:val="es-ES"/>
              </w:rPr>
            </w:pPr>
            <w:r w:rsidRPr="00993936">
              <w:rPr>
                <w:rFonts w:ascii="Arial" w:hAnsi="Arial" w:cs="Arial"/>
                <w:b/>
                <w:sz w:val="18"/>
                <w:szCs w:val="18"/>
                <w:lang w:val="es-ES"/>
              </w:rPr>
              <w:t>Plaga/enfermedad</w:t>
            </w:r>
          </w:p>
        </w:tc>
        <w:tc>
          <w:tcPr>
            <w:tcW w:w="2404" w:type="pct"/>
            <w:tcBorders>
              <w:top w:val="single" w:sz="4" w:space="0" w:color="auto"/>
            </w:tcBorders>
            <w:shd w:val="pct15" w:color="auto" w:fill="FFFFFF"/>
            <w:vAlign w:val="center"/>
          </w:tcPr>
          <w:p w:rsidR="00503A41" w:rsidRPr="00993936" w:rsidRDefault="00503A41" w:rsidP="000452B8">
            <w:pPr>
              <w:pStyle w:val="Ttulo1"/>
              <w:jc w:val="center"/>
              <w:rPr>
                <w:rFonts w:ascii="Arial" w:hAnsi="Arial" w:cs="Arial"/>
                <w:b/>
                <w:color w:val="auto"/>
                <w:sz w:val="18"/>
                <w:szCs w:val="18"/>
              </w:rPr>
            </w:pPr>
            <w:r w:rsidRPr="00993936">
              <w:rPr>
                <w:rFonts w:ascii="Arial" w:hAnsi="Arial" w:cs="Arial"/>
                <w:b/>
                <w:color w:val="auto"/>
                <w:sz w:val="18"/>
                <w:szCs w:val="18"/>
              </w:rPr>
              <w:t>Materia/s Activa/s</w:t>
            </w:r>
          </w:p>
        </w:tc>
        <w:tc>
          <w:tcPr>
            <w:tcW w:w="458" w:type="pct"/>
            <w:tcBorders>
              <w:top w:val="single" w:sz="4" w:space="0" w:color="auto"/>
            </w:tcBorders>
            <w:shd w:val="pct15" w:color="auto" w:fill="FFFFFF"/>
            <w:vAlign w:val="center"/>
          </w:tcPr>
          <w:p w:rsidR="00503A41" w:rsidRPr="00993936" w:rsidRDefault="00503A41" w:rsidP="000452B8">
            <w:pPr>
              <w:pStyle w:val="Ttulo1"/>
              <w:jc w:val="center"/>
              <w:rPr>
                <w:rFonts w:ascii="Arial" w:hAnsi="Arial" w:cs="Arial"/>
                <w:b/>
                <w:color w:val="auto"/>
                <w:sz w:val="18"/>
                <w:szCs w:val="18"/>
              </w:rPr>
            </w:pPr>
            <w:r w:rsidRPr="00993936">
              <w:rPr>
                <w:rFonts w:ascii="Arial" w:hAnsi="Arial" w:cs="Arial"/>
                <w:b/>
                <w:color w:val="auto"/>
                <w:sz w:val="18"/>
                <w:szCs w:val="18"/>
              </w:rPr>
              <w:t>Lechuga</w:t>
            </w:r>
          </w:p>
        </w:tc>
        <w:tc>
          <w:tcPr>
            <w:tcW w:w="484" w:type="pct"/>
            <w:tcBorders>
              <w:top w:val="single" w:sz="4" w:space="0" w:color="auto"/>
            </w:tcBorders>
            <w:shd w:val="pct15" w:color="auto" w:fill="FFFFFF"/>
            <w:vAlign w:val="center"/>
          </w:tcPr>
          <w:p w:rsidR="00503A41" w:rsidRPr="00993936" w:rsidRDefault="00503A41" w:rsidP="000452B8">
            <w:pPr>
              <w:pStyle w:val="Ttulo1"/>
              <w:jc w:val="center"/>
              <w:rPr>
                <w:rFonts w:ascii="Arial" w:hAnsi="Arial" w:cs="Arial"/>
                <w:b/>
                <w:color w:val="auto"/>
                <w:sz w:val="18"/>
                <w:szCs w:val="18"/>
              </w:rPr>
            </w:pPr>
            <w:r w:rsidRPr="00993936">
              <w:rPr>
                <w:rFonts w:ascii="Arial" w:hAnsi="Arial" w:cs="Arial"/>
                <w:b/>
                <w:color w:val="auto"/>
                <w:sz w:val="18"/>
                <w:szCs w:val="18"/>
              </w:rPr>
              <w:t>Escarola</w:t>
            </w:r>
          </w:p>
        </w:tc>
      </w:tr>
      <w:tr w:rsidR="00E1758E" w:rsidRPr="00993936" w:rsidTr="000452B8">
        <w:trPr>
          <w:cantSplit/>
          <w:trHeight w:val="197"/>
          <w:jc w:val="center"/>
        </w:trPr>
        <w:tc>
          <w:tcPr>
            <w:tcW w:w="1654" w:type="pct"/>
            <w:vMerge w:val="restart"/>
            <w:shd w:val="clear" w:color="auto" w:fill="auto"/>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Pulgones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Nasonovia ribis nigri</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Myzus persicae</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Aphis gossypii</w:t>
            </w: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Alfa cipermetrín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Azadiractín</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Acetamiprid</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Beauveria bassiana</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Cipermetrín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Deltametrín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Deltametrín + Imidacloprid</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Imidacloprid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Lambda-cihalotrín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Metil-Clorpirifos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Metomilo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Pimetrozina</w:t>
            </w:r>
          </w:p>
        </w:tc>
        <w:tc>
          <w:tcPr>
            <w:tcW w:w="458"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c>
          <w:tcPr>
            <w:tcW w:w="458"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227"/>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Pirimicarb (2)</w:t>
            </w:r>
          </w:p>
        </w:tc>
        <w:tc>
          <w:tcPr>
            <w:tcW w:w="458"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Tiametoxam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Tau-fluvalinat</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Spirotetramat</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9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Zeta-cipermetrín</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1D205D">
        <w:trPr>
          <w:cantSplit/>
          <w:trHeight w:val="156"/>
          <w:jc w:val="center"/>
        </w:trPr>
        <w:tc>
          <w:tcPr>
            <w:tcW w:w="1654" w:type="pct"/>
            <w:vMerge w:val="restart"/>
            <w:shd w:val="clear" w:color="auto" w:fill="auto"/>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Orugas aéreas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Helicoverpa armigera</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Chrysodeixis chalcites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Spodoptera sp.</w:t>
            </w:r>
          </w:p>
        </w:tc>
        <w:tc>
          <w:tcPr>
            <w:tcW w:w="2404" w:type="pct"/>
            <w:shd w:val="clear" w:color="auto" w:fill="auto"/>
            <w:vAlign w:val="center"/>
          </w:tcPr>
          <w:p w:rsidR="00503A41" w:rsidRPr="00993936" w:rsidRDefault="00503A41" w:rsidP="00571B14">
            <w:pPr>
              <w:pStyle w:val="Sinespaciado"/>
              <w:rPr>
                <w:rFonts w:ascii="Arial" w:hAnsi="Arial" w:cs="Arial"/>
                <w:i/>
                <w:sz w:val="18"/>
                <w:lang w:val="es-ES"/>
              </w:rPr>
            </w:pPr>
            <w:r w:rsidRPr="00993936">
              <w:rPr>
                <w:rFonts w:ascii="Arial" w:hAnsi="Arial" w:cs="Arial"/>
                <w:sz w:val="18"/>
                <w:lang w:val="es-ES"/>
              </w:rPr>
              <w:t xml:space="preserve">Alfa cipermetrín   </w:t>
            </w:r>
          </w:p>
        </w:tc>
        <w:tc>
          <w:tcPr>
            <w:tcW w:w="458" w:type="pct"/>
            <w:vAlign w:val="center"/>
          </w:tcPr>
          <w:p w:rsidR="00503A41" w:rsidRPr="00993936" w:rsidRDefault="00503A41" w:rsidP="00571B14">
            <w:pPr>
              <w:pStyle w:val="Sinespaciado"/>
              <w:rPr>
                <w:rFonts w:ascii="Arial" w:hAnsi="Arial" w:cs="Arial"/>
                <w:b/>
                <w:sz w:val="18"/>
                <w:lang w:val="es-ES"/>
              </w:rPr>
            </w:pPr>
            <w:r w:rsidRPr="00993936">
              <w:rPr>
                <w:rFonts w:ascii="Arial" w:hAnsi="Arial" w:cs="Arial"/>
                <w:b/>
                <w:sz w:val="18"/>
                <w:lang w:val="es-ES"/>
              </w:rPr>
              <w:t>X</w:t>
            </w:r>
          </w:p>
        </w:tc>
        <w:tc>
          <w:tcPr>
            <w:tcW w:w="484" w:type="pct"/>
            <w:vAlign w:val="center"/>
          </w:tcPr>
          <w:p w:rsidR="00503A41" w:rsidRPr="00993936" w:rsidRDefault="00503A41" w:rsidP="00571B14">
            <w:pPr>
              <w:pStyle w:val="Sinespaciado"/>
              <w:rPr>
                <w:rFonts w:ascii="Arial" w:hAnsi="Arial" w:cs="Arial"/>
                <w:b/>
                <w:sz w:val="18"/>
                <w:lang w:val="es-ES"/>
              </w:rPr>
            </w:pP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571B14">
            <w:pPr>
              <w:pStyle w:val="Sinespaciado"/>
              <w:rPr>
                <w:rFonts w:ascii="Arial" w:hAnsi="Arial" w:cs="Arial"/>
                <w:sz w:val="18"/>
                <w:lang w:val="es-ES"/>
              </w:rPr>
            </w:pPr>
            <w:r w:rsidRPr="00993936">
              <w:rPr>
                <w:rFonts w:ascii="Arial" w:hAnsi="Arial" w:cs="Arial"/>
                <w:sz w:val="18"/>
                <w:lang w:val="es-ES"/>
              </w:rPr>
              <w:t xml:space="preserve">Azadiractín </w:t>
            </w:r>
          </w:p>
        </w:tc>
        <w:tc>
          <w:tcPr>
            <w:tcW w:w="458" w:type="pct"/>
            <w:vAlign w:val="center"/>
          </w:tcPr>
          <w:p w:rsidR="00503A41" w:rsidRPr="00993936" w:rsidRDefault="00503A41" w:rsidP="00571B14">
            <w:pPr>
              <w:pStyle w:val="Sinespaciado"/>
              <w:rPr>
                <w:rFonts w:ascii="Arial" w:hAnsi="Arial" w:cs="Arial"/>
                <w:b/>
                <w:sz w:val="18"/>
                <w:lang w:val="es-ES"/>
              </w:rPr>
            </w:pPr>
            <w:r w:rsidRPr="00993936">
              <w:rPr>
                <w:rFonts w:ascii="Arial" w:hAnsi="Arial" w:cs="Arial"/>
                <w:b/>
                <w:sz w:val="18"/>
                <w:lang w:val="es-ES"/>
              </w:rPr>
              <w:t>X</w:t>
            </w:r>
          </w:p>
        </w:tc>
        <w:tc>
          <w:tcPr>
            <w:tcW w:w="484" w:type="pct"/>
            <w:vAlign w:val="center"/>
          </w:tcPr>
          <w:p w:rsidR="00503A41" w:rsidRPr="00993936" w:rsidRDefault="00503A41" w:rsidP="00571B14">
            <w:pPr>
              <w:pStyle w:val="Sinespaciado"/>
              <w:rPr>
                <w:rFonts w:ascii="Arial" w:hAnsi="Arial" w:cs="Arial"/>
                <w:b/>
                <w:sz w:val="18"/>
                <w:lang w:val="es-ES"/>
              </w:rPr>
            </w:pPr>
            <w:r w:rsidRPr="00993936">
              <w:rPr>
                <w:rFonts w:ascii="Arial" w:hAnsi="Arial" w:cs="Arial"/>
                <w:b/>
                <w:sz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571B14">
            <w:pPr>
              <w:pStyle w:val="Sinespaciado"/>
              <w:rPr>
                <w:rFonts w:ascii="Arial" w:hAnsi="Arial" w:cs="Arial"/>
                <w:sz w:val="18"/>
                <w:lang w:val="es-ES"/>
              </w:rPr>
            </w:pPr>
            <w:r w:rsidRPr="00993936">
              <w:rPr>
                <w:rFonts w:ascii="Arial" w:hAnsi="Arial" w:cs="Arial"/>
                <w:i/>
                <w:sz w:val="18"/>
                <w:lang w:val="es-ES"/>
              </w:rPr>
              <w:t xml:space="preserve">Bacillus thuringiensis var. aizawai </w:t>
            </w:r>
          </w:p>
        </w:tc>
        <w:tc>
          <w:tcPr>
            <w:tcW w:w="458" w:type="pct"/>
            <w:vAlign w:val="center"/>
          </w:tcPr>
          <w:p w:rsidR="00503A41" w:rsidRPr="00993936" w:rsidRDefault="00503A41" w:rsidP="00571B14">
            <w:pPr>
              <w:pStyle w:val="Sinespaciado"/>
              <w:rPr>
                <w:rFonts w:ascii="Arial" w:hAnsi="Arial" w:cs="Arial"/>
                <w:b/>
                <w:sz w:val="18"/>
                <w:lang w:val="es-ES"/>
              </w:rPr>
            </w:pPr>
            <w:r w:rsidRPr="00993936">
              <w:rPr>
                <w:rFonts w:ascii="Arial" w:hAnsi="Arial" w:cs="Arial"/>
                <w:b/>
                <w:sz w:val="18"/>
                <w:lang w:val="es-ES"/>
              </w:rPr>
              <w:t>X</w:t>
            </w:r>
          </w:p>
        </w:tc>
        <w:tc>
          <w:tcPr>
            <w:tcW w:w="484" w:type="pct"/>
            <w:vAlign w:val="center"/>
          </w:tcPr>
          <w:p w:rsidR="00503A41" w:rsidRPr="00993936" w:rsidRDefault="00503A41" w:rsidP="00571B14">
            <w:pPr>
              <w:pStyle w:val="Sinespaciado"/>
              <w:rPr>
                <w:rFonts w:ascii="Arial" w:hAnsi="Arial" w:cs="Arial"/>
                <w:b/>
                <w:sz w:val="18"/>
                <w:lang w:val="es-ES"/>
              </w:rPr>
            </w:pPr>
            <w:r w:rsidRPr="00993936">
              <w:rPr>
                <w:rFonts w:ascii="Arial" w:hAnsi="Arial" w:cs="Arial"/>
                <w:b/>
                <w:sz w:val="18"/>
                <w:lang w:val="es-ES"/>
              </w:rPr>
              <w:t>X</w:t>
            </w:r>
          </w:p>
        </w:tc>
      </w:tr>
      <w:tr w:rsidR="00E1758E" w:rsidRPr="00993936" w:rsidTr="00571B14">
        <w:trPr>
          <w:cantSplit/>
          <w:trHeight w:val="241"/>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571B14">
            <w:pPr>
              <w:pStyle w:val="Sinespaciado"/>
              <w:rPr>
                <w:rFonts w:ascii="Arial" w:hAnsi="Arial" w:cs="Arial"/>
                <w:i/>
                <w:sz w:val="18"/>
                <w:lang w:val="es-ES"/>
              </w:rPr>
            </w:pPr>
            <w:r w:rsidRPr="00993936">
              <w:rPr>
                <w:rFonts w:ascii="Arial" w:hAnsi="Arial" w:cs="Arial"/>
                <w:i/>
                <w:sz w:val="18"/>
                <w:lang w:val="es-ES"/>
              </w:rPr>
              <w:t xml:space="preserve">Bacillus thuringiensis var. kurstaki </w:t>
            </w:r>
          </w:p>
        </w:tc>
        <w:tc>
          <w:tcPr>
            <w:tcW w:w="458" w:type="pct"/>
            <w:vAlign w:val="center"/>
          </w:tcPr>
          <w:p w:rsidR="00503A41" w:rsidRPr="00993936" w:rsidRDefault="00503A41" w:rsidP="00571B14">
            <w:pPr>
              <w:pStyle w:val="Sinespaciado"/>
              <w:rPr>
                <w:rFonts w:ascii="Arial" w:hAnsi="Arial" w:cs="Arial"/>
                <w:b/>
                <w:sz w:val="18"/>
                <w:lang w:val="es-ES"/>
              </w:rPr>
            </w:pPr>
            <w:r w:rsidRPr="00993936">
              <w:rPr>
                <w:rFonts w:ascii="Arial" w:hAnsi="Arial" w:cs="Arial"/>
                <w:b/>
                <w:sz w:val="18"/>
                <w:lang w:val="es-ES"/>
              </w:rPr>
              <w:t>X</w:t>
            </w:r>
          </w:p>
        </w:tc>
        <w:tc>
          <w:tcPr>
            <w:tcW w:w="484" w:type="pct"/>
            <w:vAlign w:val="center"/>
          </w:tcPr>
          <w:p w:rsidR="00503A41" w:rsidRPr="00993936" w:rsidRDefault="00503A41" w:rsidP="00571B14">
            <w:pPr>
              <w:pStyle w:val="Sinespaciado"/>
              <w:rPr>
                <w:rFonts w:ascii="Arial" w:hAnsi="Arial" w:cs="Arial"/>
                <w:b/>
                <w:sz w:val="18"/>
                <w:lang w:val="es-ES"/>
              </w:rPr>
            </w:pPr>
            <w:r w:rsidRPr="00993936">
              <w:rPr>
                <w:rFonts w:ascii="Arial" w:hAnsi="Arial" w:cs="Arial"/>
                <w:b/>
                <w:sz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Betaciflutrín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Metaflumizona</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Cipermetrín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Clorantraniliprol</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Deltametrín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Deltametrín + Imidacloprid</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Emamectina</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Indoxacarb</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Lambda-cihalotrín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Metil-Clorpirifos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Metomilo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571B14">
            <w:pPr>
              <w:pStyle w:val="Sinespaciado"/>
              <w:rPr>
                <w:rFonts w:ascii="Arial" w:hAnsi="Arial" w:cs="Arial"/>
                <w:lang w:val="es-ES"/>
              </w:rPr>
            </w:pPr>
            <w:r w:rsidRPr="00993936">
              <w:rPr>
                <w:rFonts w:ascii="Arial" w:hAnsi="Arial" w:cs="Arial"/>
                <w:lang w:val="es-ES"/>
              </w:rPr>
              <w:t xml:space="preserve">Espinosad (spodoptera y heicoverpa)  </w:t>
            </w:r>
          </w:p>
        </w:tc>
        <w:tc>
          <w:tcPr>
            <w:tcW w:w="458" w:type="pct"/>
            <w:vAlign w:val="center"/>
          </w:tcPr>
          <w:p w:rsidR="00503A41" w:rsidRPr="00993936" w:rsidRDefault="00503A41" w:rsidP="00571B14">
            <w:pPr>
              <w:pStyle w:val="Sinespaciado"/>
              <w:rPr>
                <w:rFonts w:ascii="Arial" w:hAnsi="Arial" w:cs="Arial"/>
                <w:b/>
                <w:lang w:val="es-ES"/>
              </w:rPr>
            </w:pPr>
            <w:r w:rsidRPr="00993936">
              <w:rPr>
                <w:rFonts w:ascii="Arial" w:hAnsi="Arial" w:cs="Arial"/>
                <w:b/>
                <w:lang w:val="es-ES"/>
              </w:rPr>
              <w:t>X</w:t>
            </w:r>
          </w:p>
        </w:tc>
        <w:tc>
          <w:tcPr>
            <w:tcW w:w="484" w:type="pct"/>
            <w:vAlign w:val="center"/>
          </w:tcPr>
          <w:p w:rsidR="00503A41" w:rsidRPr="00993936" w:rsidRDefault="00503A41" w:rsidP="00571B14">
            <w:pPr>
              <w:pStyle w:val="Sinespaciado"/>
              <w:rPr>
                <w:rFonts w:ascii="Arial" w:hAnsi="Arial" w:cs="Arial"/>
                <w:b/>
                <w:lang w:val="es-ES"/>
              </w:rPr>
            </w:pPr>
            <w:r w:rsidRPr="00993936">
              <w:rPr>
                <w:rFonts w:ascii="Arial" w:hAnsi="Arial" w:cs="Arial"/>
                <w:b/>
                <w:lang w:val="es-ES"/>
              </w:rPr>
              <w:t>X</w:t>
            </w: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571B14">
            <w:pPr>
              <w:pStyle w:val="Sinespaciado"/>
              <w:rPr>
                <w:rFonts w:ascii="Arial" w:hAnsi="Arial" w:cs="Arial"/>
                <w:lang w:val="es-ES"/>
              </w:rPr>
            </w:pPr>
            <w:r w:rsidRPr="00993936">
              <w:rPr>
                <w:rFonts w:ascii="Arial" w:hAnsi="Arial" w:cs="Arial"/>
                <w:lang w:val="es-ES"/>
              </w:rPr>
              <w:t xml:space="preserve">Tebufenocida (spodopera) </w:t>
            </w:r>
          </w:p>
        </w:tc>
        <w:tc>
          <w:tcPr>
            <w:tcW w:w="458" w:type="pct"/>
            <w:vAlign w:val="center"/>
          </w:tcPr>
          <w:p w:rsidR="00503A41" w:rsidRPr="00993936" w:rsidRDefault="00503A41" w:rsidP="00571B14">
            <w:pPr>
              <w:pStyle w:val="Sinespaciado"/>
              <w:rPr>
                <w:rFonts w:ascii="Arial" w:hAnsi="Arial" w:cs="Arial"/>
                <w:b/>
                <w:lang w:val="es-ES"/>
              </w:rPr>
            </w:pPr>
            <w:r w:rsidRPr="00993936">
              <w:rPr>
                <w:rFonts w:ascii="Arial" w:hAnsi="Arial" w:cs="Arial"/>
                <w:b/>
                <w:lang w:val="es-ES"/>
              </w:rPr>
              <w:t>X</w:t>
            </w:r>
          </w:p>
        </w:tc>
        <w:tc>
          <w:tcPr>
            <w:tcW w:w="484" w:type="pct"/>
            <w:vAlign w:val="center"/>
          </w:tcPr>
          <w:p w:rsidR="00503A41" w:rsidRPr="00993936" w:rsidRDefault="00503A41" w:rsidP="00571B14">
            <w:pPr>
              <w:pStyle w:val="Sinespaciado"/>
              <w:rPr>
                <w:rFonts w:ascii="Arial" w:hAnsi="Arial" w:cs="Arial"/>
                <w:b/>
                <w:lang w:val="es-ES"/>
              </w:rPr>
            </w:pPr>
          </w:p>
        </w:tc>
      </w:tr>
      <w:tr w:rsidR="00E1758E" w:rsidRPr="00993936" w:rsidTr="000452B8">
        <w:trPr>
          <w:cantSplit/>
          <w:trHeight w:val="184"/>
          <w:jc w:val="center"/>
        </w:trPr>
        <w:tc>
          <w:tcPr>
            <w:tcW w:w="1654"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571B14">
            <w:pPr>
              <w:pStyle w:val="Sinespaciado"/>
              <w:rPr>
                <w:rFonts w:ascii="Arial" w:hAnsi="Arial" w:cs="Arial"/>
                <w:lang w:val="es-ES"/>
              </w:rPr>
            </w:pPr>
            <w:r w:rsidRPr="00993936">
              <w:rPr>
                <w:rFonts w:ascii="Arial" w:hAnsi="Arial" w:cs="Arial"/>
                <w:lang w:val="es-ES"/>
              </w:rPr>
              <w:t xml:space="preserve">Zeta-cipermetrín </w:t>
            </w:r>
          </w:p>
        </w:tc>
        <w:tc>
          <w:tcPr>
            <w:tcW w:w="458" w:type="pct"/>
            <w:vAlign w:val="center"/>
          </w:tcPr>
          <w:p w:rsidR="00503A41" w:rsidRPr="00993936" w:rsidRDefault="00503A41" w:rsidP="00571B14">
            <w:pPr>
              <w:pStyle w:val="Sinespaciado"/>
              <w:rPr>
                <w:rFonts w:ascii="Arial" w:hAnsi="Arial" w:cs="Arial"/>
                <w:b/>
                <w:lang w:val="es-ES"/>
              </w:rPr>
            </w:pPr>
            <w:r w:rsidRPr="00993936">
              <w:rPr>
                <w:rFonts w:ascii="Arial" w:hAnsi="Arial" w:cs="Arial"/>
                <w:b/>
                <w:lang w:val="es-ES"/>
              </w:rPr>
              <w:t>X</w:t>
            </w:r>
          </w:p>
        </w:tc>
        <w:tc>
          <w:tcPr>
            <w:tcW w:w="484" w:type="pct"/>
            <w:vAlign w:val="center"/>
          </w:tcPr>
          <w:p w:rsidR="00503A41" w:rsidRPr="00993936" w:rsidRDefault="00503A41" w:rsidP="00571B14">
            <w:pPr>
              <w:pStyle w:val="Sinespaciado"/>
              <w:rPr>
                <w:rFonts w:ascii="Arial" w:hAnsi="Arial" w:cs="Arial"/>
                <w:b/>
                <w:lang w:val="es-ES"/>
              </w:rPr>
            </w:pPr>
          </w:p>
        </w:tc>
      </w:tr>
      <w:tr w:rsidR="00E1758E" w:rsidRPr="00993936" w:rsidTr="000452B8">
        <w:trPr>
          <w:cantSplit/>
          <w:trHeight w:val="177"/>
          <w:jc w:val="center"/>
        </w:trPr>
        <w:tc>
          <w:tcPr>
            <w:tcW w:w="1654"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Dormidores y gusanos de alambre</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Agrotis segetum, A. Ipsilon</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Agriotes sp.</w:t>
            </w:r>
          </w:p>
        </w:tc>
        <w:tc>
          <w:tcPr>
            <w:tcW w:w="2404"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Azadiractín</w:t>
            </w:r>
            <w:r w:rsidRPr="00993936">
              <w:rPr>
                <w:rFonts w:ascii="Arial" w:hAnsi="Arial" w:cs="Arial"/>
                <w:sz w:val="16"/>
                <w:szCs w:val="16"/>
                <w:lang w:val="es-ES"/>
              </w:rPr>
              <w:t xml:space="preserve"> </w:t>
            </w:r>
          </w:p>
        </w:tc>
        <w:tc>
          <w:tcPr>
            <w:tcW w:w="458"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67"/>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Clorpirifos (cebo)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57"/>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 xml:space="preserve">Metil-Clorpirifos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263"/>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Piretrinas</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240"/>
          <w:jc w:val="center"/>
        </w:trPr>
        <w:tc>
          <w:tcPr>
            <w:tcW w:w="1654"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Minadora</w:t>
            </w:r>
          </w:p>
          <w:p w:rsidR="00503A41" w:rsidRPr="00993936" w:rsidRDefault="00503A41" w:rsidP="000452B8">
            <w:pPr>
              <w:pStyle w:val="taula"/>
              <w:rPr>
                <w:rFonts w:cs="Arial"/>
                <w:b/>
                <w:noProof w:val="0"/>
                <w:sz w:val="18"/>
                <w:szCs w:val="18"/>
                <w:lang w:val="es-ES"/>
              </w:rPr>
            </w:pPr>
            <w:r w:rsidRPr="00993936">
              <w:rPr>
                <w:rFonts w:cs="Arial"/>
                <w:i/>
                <w:noProof w:val="0"/>
                <w:sz w:val="18"/>
                <w:szCs w:val="18"/>
                <w:lang w:val="es-ES"/>
              </w:rPr>
              <w:t>Liriomyza sp.</w:t>
            </w:r>
          </w:p>
        </w:tc>
        <w:tc>
          <w:tcPr>
            <w:tcW w:w="240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Abamectina</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240"/>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Azadiractín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20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Ciromazina</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20"/>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6"/>
          <w:jc w:val="center"/>
        </w:trPr>
        <w:tc>
          <w:tcPr>
            <w:tcW w:w="1654"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Trips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Frankliniella occidentalis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Heliothrips</w:t>
            </w:r>
          </w:p>
        </w:tc>
        <w:tc>
          <w:tcPr>
            <w:tcW w:w="2404" w:type="pct"/>
            <w:shd w:val="clear" w:color="auto" w:fill="auto"/>
            <w:vAlign w:val="center"/>
          </w:tcPr>
          <w:p w:rsidR="00503A41" w:rsidRPr="00993936" w:rsidRDefault="00503A41" w:rsidP="000452B8">
            <w:pPr>
              <w:pStyle w:val="taula"/>
              <w:rPr>
                <w:rFonts w:cs="Arial"/>
                <w:strike/>
                <w:noProof w:val="0"/>
                <w:sz w:val="18"/>
                <w:szCs w:val="18"/>
                <w:lang w:val="es-ES"/>
              </w:rPr>
            </w:pPr>
            <w:r w:rsidRPr="00993936">
              <w:rPr>
                <w:rFonts w:cs="Arial"/>
                <w:noProof w:val="0"/>
                <w:sz w:val="18"/>
                <w:szCs w:val="18"/>
                <w:lang w:val="es-ES"/>
              </w:rPr>
              <w:t xml:space="preserve">Azadiractín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Acrinatín </w:t>
            </w:r>
            <w:r w:rsidRPr="00993936">
              <w:rPr>
                <w:rFonts w:cs="Arial"/>
                <w:i/>
                <w:noProof w:val="0"/>
                <w:szCs w:val="16"/>
                <w:lang w:val="es-ES"/>
              </w:rPr>
              <w:t xml:space="preserve">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84"/>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Deltametrín</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Metil-Clorpirifos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0452B8">
        <w:trPr>
          <w:cantSplit/>
          <w:trHeight w:val="184"/>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 xml:space="preserve">Espinosad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0452B8">
        <w:trPr>
          <w:cantSplit/>
          <w:trHeight w:val="184"/>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Piretrinas</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bl>
    <w:p w:rsidR="00503A41" w:rsidRPr="00993936" w:rsidRDefault="00503A41" w:rsidP="000452B8">
      <w:pPr>
        <w:pStyle w:val="Textoindependiente3"/>
        <w:rPr>
          <w:rFonts w:cs="Arial"/>
          <w:b w:val="0"/>
          <w:szCs w:val="22"/>
          <w:lang w:val="es-ES"/>
        </w:rPr>
      </w:pPr>
    </w:p>
    <w:p w:rsidR="00503A41" w:rsidRPr="00993936" w:rsidRDefault="00503A41" w:rsidP="000452B8">
      <w:pPr>
        <w:rPr>
          <w:rFonts w:ascii="Arial" w:hAnsi="Arial" w:cs="Arial"/>
          <w:lang w:val="es-ES"/>
        </w:rPr>
      </w:pPr>
      <w:r w:rsidRPr="00993936">
        <w:rPr>
          <w:rFonts w:ascii="Arial" w:hAnsi="Arial" w:cs="Arial"/>
          <w:lang w:val="es-ES"/>
        </w:rPr>
        <w:br w:type="page"/>
      </w:r>
      <w:r w:rsidRPr="00993936">
        <w:rPr>
          <w:rFonts w:ascii="Arial" w:hAnsi="Arial" w:cs="Arial"/>
          <w:lang w:val="es-ES"/>
        </w:rPr>
        <w:lastRenderedPageBreak/>
        <w:t>1.2 Materias activas para la producción integrada de lechuga y de escarola, teniendo en cuenta las indicaciones del Cuaderno de explotación y el Programa de control integrado de plagas y enfermedades (continuación)</w:t>
      </w:r>
    </w:p>
    <w:p w:rsidR="00503A41" w:rsidRPr="00993936" w:rsidRDefault="00503A41">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9"/>
        <w:gridCol w:w="4156"/>
        <w:gridCol w:w="792"/>
        <w:gridCol w:w="837"/>
      </w:tblGrid>
      <w:tr w:rsidR="00503A41" w:rsidRPr="00993936" w:rsidTr="000452B8">
        <w:trPr>
          <w:cantSplit/>
          <w:trHeight w:val="212"/>
          <w:jc w:val="center"/>
        </w:trPr>
        <w:tc>
          <w:tcPr>
            <w:tcW w:w="1654" w:type="pct"/>
            <w:vMerge w:val="restart"/>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t>Mildiu</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Bremia lactucae</w:t>
            </w: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noProof w:val="0"/>
                <w:sz w:val="18"/>
                <w:szCs w:val="18"/>
                <w:lang w:val="es-ES"/>
              </w:rPr>
            </w:pPr>
          </w:p>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Ametoctradín + Dimetomorf</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12"/>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Azoxistrobín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12"/>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Azoxistrobín + Difenoconazol</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Benalaxil + Cimoxanilo + Folpet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1D205D">
        <w:trPr>
          <w:cantSplit/>
          <w:trHeight w:val="258"/>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eastAsia="es-ES"/>
              </w:rPr>
              <w:t xml:space="preserve">Cimoxanilo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Del="005A4ED7" w:rsidRDefault="00503A41" w:rsidP="001D205D">
            <w:pPr>
              <w:pStyle w:val="Sinespaciado"/>
              <w:rPr>
                <w:rFonts w:ascii="Arial" w:hAnsi="Arial" w:cs="Arial"/>
                <w:sz w:val="18"/>
                <w:lang w:val="es-ES"/>
              </w:rPr>
            </w:pPr>
            <w:r w:rsidRPr="00993936">
              <w:rPr>
                <w:rFonts w:ascii="Arial" w:hAnsi="Arial" w:cs="Arial"/>
                <w:sz w:val="18"/>
                <w:lang w:val="es-ES"/>
              </w:rPr>
              <w:t>Cimoxanilo + Sulfato tribásico de cobre</w:t>
            </w:r>
          </w:p>
        </w:tc>
        <w:tc>
          <w:tcPr>
            <w:tcW w:w="458" w:type="pct"/>
            <w:vAlign w:val="center"/>
          </w:tcPr>
          <w:p w:rsidR="00503A41" w:rsidRPr="00993936" w:rsidDel="005A4ED7"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Del="005A4ED7" w:rsidRDefault="00503A41" w:rsidP="000452B8">
            <w:pPr>
              <w:pStyle w:val="taula"/>
              <w:rPr>
                <w:rFonts w:cs="Arial"/>
                <w:noProof w:val="0"/>
                <w:sz w:val="18"/>
                <w:szCs w:val="18"/>
                <w:lang w:val="es-ES"/>
              </w:rPr>
            </w:pPr>
            <w:r w:rsidRPr="00993936">
              <w:rPr>
                <w:rFonts w:cs="Arial"/>
                <w:noProof w:val="0"/>
                <w:sz w:val="18"/>
                <w:szCs w:val="18"/>
                <w:lang w:val="es-ES"/>
              </w:rPr>
              <w:t xml:space="preserve">Cimoxanilo + Sulfato cuprocálcico </w:t>
            </w:r>
          </w:p>
        </w:tc>
        <w:tc>
          <w:tcPr>
            <w:tcW w:w="458" w:type="pct"/>
            <w:vAlign w:val="center"/>
          </w:tcPr>
          <w:p w:rsidR="00503A41" w:rsidRPr="00993936" w:rsidDel="005A4ED7"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Del="005A4ED7" w:rsidRDefault="00503A41" w:rsidP="000452B8">
            <w:pPr>
              <w:pStyle w:val="taula"/>
              <w:rPr>
                <w:rFonts w:cs="Arial"/>
                <w:noProof w:val="0"/>
                <w:sz w:val="18"/>
                <w:szCs w:val="18"/>
                <w:lang w:val="es-ES"/>
              </w:rPr>
            </w:pPr>
            <w:r w:rsidRPr="00993936">
              <w:rPr>
                <w:rFonts w:cs="Arial"/>
                <w:noProof w:val="0"/>
                <w:sz w:val="18"/>
                <w:szCs w:val="18"/>
                <w:lang w:val="es-ES"/>
              </w:rPr>
              <w:t>Cimoxanilo + Folpet</w:t>
            </w:r>
          </w:p>
        </w:tc>
        <w:tc>
          <w:tcPr>
            <w:tcW w:w="458" w:type="pct"/>
            <w:vAlign w:val="center"/>
          </w:tcPr>
          <w:p w:rsidR="00503A41" w:rsidRPr="00993936" w:rsidDel="005A4ED7"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Dimetomorf + Piraclostrobín</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Fenamidona + Fosetil-al</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97"/>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Folpet</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Fosetil + Propamocarb</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Fluopicalida + Propamocarb</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64"/>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 + Metalaxil-M</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 + Metalaxil</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56"/>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 + Oxicloruro de cobre</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56"/>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Mandipropamida</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94"/>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Metiram</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Oxicloruro de cobre</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91"/>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Óxido cuproso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14"/>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Sulfato cuprocálcico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32"/>
          <w:jc w:val="center"/>
        </w:trPr>
        <w:tc>
          <w:tcPr>
            <w:tcW w:w="1654" w:type="pct"/>
            <w:vMerge/>
            <w:vAlign w:val="center"/>
          </w:tcPr>
          <w:p w:rsidR="00503A41" w:rsidRPr="00993936" w:rsidRDefault="00503A41" w:rsidP="000452B8">
            <w:pPr>
              <w:pStyle w:val="taula"/>
              <w:rPr>
                <w:rFonts w:cs="Arial"/>
                <w:b/>
                <w:noProof w:val="0"/>
                <w:sz w:val="18"/>
                <w:szCs w:val="18"/>
                <w:lang w:val="es-ES"/>
              </w:rPr>
            </w:pPr>
          </w:p>
        </w:tc>
        <w:tc>
          <w:tcPr>
            <w:tcW w:w="2404"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Sulfato tribásico de cobre</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5"/>
          <w:jc w:val="center"/>
        </w:trPr>
        <w:tc>
          <w:tcPr>
            <w:tcW w:w="1654" w:type="pct"/>
            <w:vMerge w:val="restart"/>
            <w:vAlign w:val="center"/>
          </w:tcPr>
          <w:p w:rsidR="00503A41" w:rsidRPr="00993936" w:rsidRDefault="00503A41" w:rsidP="000452B8">
            <w:pPr>
              <w:pStyle w:val="taula"/>
              <w:rPr>
                <w:rFonts w:cs="Arial"/>
                <w:i/>
                <w:noProof w:val="0"/>
                <w:sz w:val="18"/>
                <w:szCs w:val="18"/>
                <w:lang w:val="es-ES"/>
              </w:rPr>
            </w:pPr>
            <w:r w:rsidRPr="00993936">
              <w:rPr>
                <w:rFonts w:cs="Arial"/>
                <w:noProof w:val="0"/>
                <w:sz w:val="18"/>
                <w:szCs w:val="18"/>
                <w:lang w:val="es-ES"/>
              </w:rPr>
              <w:t>Alternaria</w:t>
            </w:r>
          </w:p>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Azoxistrobín + Dimenoconazol</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4"/>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Difenoconazol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4"/>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Folpet</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4"/>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Hidróxido cúprico (4)</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59"/>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Oxicloruro de cobre</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4"/>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Óxido cuproso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4"/>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Sulfato cuprocálcico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61"/>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Sulfato tribásico de cobre</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40"/>
          <w:jc w:val="center"/>
        </w:trPr>
        <w:tc>
          <w:tcPr>
            <w:tcW w:w="1654" w:type="pc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Phytium</w:t>
            </w:r>
          </w:p>
        </w:tc>
        <w:tc>
          <w:tcPr>
            <w:tcW w:w="2404" w:type="pct"/>
            <w:vAlign w:val="center"/>
          </w:tcPr>
          <w:p w:rsidR="00503A41" w:rsidRPr="00993936" w:rsidRDefault="00503A41" w:rsidP="000452B8">
            <w:pPr>
              <w:pStyle w:val="taula"/>
              <w:rPr>
                <w:rFonts w:cs="Arial"/>
                <w:noProof w:val="0"/>
                <w:sz w:val="18"/>
                <w:szCs w:val="18"/>
                <w:lang w:val="es-ES"/>
              </w:rPr>
            </w:pPr>
          </w:p>
        </w:tc>
        <w:tc>
          <w:tcPr>
            <w:tcW w:w="458" w:type="pct"/>
            <w:vAlign w:val="center"/>
          </w:tcPr>
          <w:p w:rsidR="00503A41" w:rsidRPr="00993936" w:rsidRDefault="00503A41" w:rsidP="000452B8">
            <w:pPr>
              <w:pStyle w:val="taula"/>
              <w:jc w:val="center"/>
              <w:rPr>
                <w:rFonts w:cs="Arial"/>
                <w:b/>
                <w:noProof w:val="0"/>
                <w:sz w:val="18"/>
                <w:szCs w:val="18"/>
                <w:lang w:val="es-ES"/>
              </w:rPr>
            </w:pP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9"/>
          <w:jc w:val="center"/>
        </w:trPr>
        <w:tc>
          <w:tcPr>
            <w:tcW w:w="1654" w:type="pct"/>
            <w:vMerge w:val="restar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Botrytis </w:t>
            </w:r>
            <w:r w:rsidRPr="00993936">
              <w:rPr>
                <w:rFonts w:cs="Arial"/>
                <w:noProof w:val="0"/>
                <w:sz w:val="18"/>
                <w:szCs w:val="18"/>
                <w:lang w:val="es-ES"/>
              </w:rPr>
              <w:t>spp.</w:t>
            </w: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Boscalida + Piraclostrobín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Folpet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Ciprodinil + Fludioxonil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Fenhexamid</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Folpet</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Iprodiona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0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Pirimetanil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bl>
    <w:p w:rsidR="00503A41" w:rsidRPr="00993936" w:rsidRDefault="00503A41" w:rsidP="000452B8">
      <w:pPr>
        <w:pStyle w:val="Textoindependiente3"/>
        <w:rPr>
          <w:rFonts w:cs="Arial"/>
          <w:b w:val="0"/>
          <w:szCs w:val="22"/>
          <w:lang w:val="es-ES"/>
        </w:rPr>
      </w:pPr>
    </w:p>
    <w:p w:rsidR="00503A41" w:rsidRPr="00993936" w:rsidRDefault="00503A41" w:rsidP="000452B8">
      <w:pPr>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1.2 Materias activas para la producción integrada de lechuga y de escarola, teniendo en cuenta las indicaciones del Cuaderno de explotación y el Programa de control integrado de plagas y enfermedades (continuación)</w:t>
      </w:r>
    </w:p>
    <w:p w:rsidR="00503A41" w:rsidRPr="00993936" w:rsidRDefault="00503A41" w:rsidP="000452B8">
      <w:pPr>
        <w:jc w:val="both"/>
        <w:rPr>
          <w:rFonts w:ascii="Arial" w:hAnsi="Arial" w:cs="Arial"/>
          <w:b/>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59"/>
        <w:gridCol w:w="4156"/>
        <w:gridCol w:w="792"/>
        <w:gridCol w:w="837"/>
      </w:tblGrid>
      <w:tr w:rsidR="00503A41" w:rsidRPr="00993936" w:rsidTr="000452B8">
        <w:trPr>
          <w:cantSplit/>
          <w:trHeight w:val="185"/>
          <w:jc w:val="center"/>
        </w:trPr>
        <w:tc>
          <w:tcPr>
            <w:tcW w:w="1654" w:type="pct"/>
            <w:vMerge w:val="restart"/>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Sclerotinia</w:t>
            </w:r>
            <w:r w:rsidRPr="00993936">
              <w:rPr>
                <w:rFonts w:cs="Arial"/>
                <w:noProof w:val="0"/>
                <w:sz w:val="18"/>
                <w:szCs w:val="18"/>
                <w:lang w:val="es-ES"/>
              </w:rPr>
              <w:t xml:space="preserve"> sp.</w:t>
            </w: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Azoxistrobín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Azoxistrobín + Difenoconazol</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lang w:val="es-ES"/>
              </w:rPr>
              <w:t>Bacillus subtilis</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Boscalida + Piraclostrobín</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Coniothyrium minitans</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Fenhexamid</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Ciprodinil + Fludioxonil </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Iprodiona</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5"/>
          <w:jc w:val="center"/>
        </w:trPr>
        <w:tc>
          <w:tcPr>
            <w:tcW w:w="1654" w:type="pct"/>
            <w:vMerge/>
            <w:vAlign w:val="center"/>
          </w:tcPr>
          <w:p w:rsidR="00503A41" w:rsidRPr="00993936" w:rsidRDefault="00503A41" w:rsidP="000452B8">
            <w:pPr>
              <w:pStyle w:val="taula"/>
              <w:rPr>
                <w:rFonts w:cs="Arial"/>
                <w:i/>
                <w:noProof w:val="0"/>
                <w:sz w:val="18"/>
                <w:szCs w:val="18"/>
                <w:lang w:val="es-ES"/>
              </w:rPr>
            </w:pPr>
          </w:p>
        </w:tc>
        <w:tc>
          <w:tcPr>
            <w:tcW w:w="2404" w:type="pct"/>
            <w:shd w:val="clear" w:color="auto" w:fill="auto"/>
          </w:tcPr>
          <w:p w:rsidR="00503A41" w:rsidRPr="00993936" w:rsidRDefault="00503A41" w:rsidP="000452B8">
            <w:pPr>
              <w:rPr>
                <w:rFonts w:ascii="Arial" w:hAnsi="Arial" w:cs="Arial"/>
                <w:i/>
                <w:sz w:val="18"/>
                <w:szCs w:val="18"/>
                <w:lang w:val="es-ES"/>
              </w:rPr>
            </w:pPr>
            <w:r w:rsidRPr="00993936">
              <w:rPr>
                <w:rFonts w:ascii="Arial" w:hAnsi="Arial" w:cs="Arial"/>
                <w:i/>
                <w:sz w:val="18"/>
                <w:szCs w:val="18"/>
                <w:lang w:val="es-ES"/>
              </w:rPr>
              <w:t>Trichoderma asperellum</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45"/>
          <w:jc w:val="center"/>
        </w:trPr>
        <w:tc>
          <w:tcPr>
            <w:tcW w:w="1654" w:type="pc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Fusarium</w:t>
            </w:r>
            <w:r w:rsidRPr="00993936">
              <w:rPr>
                <w:rFonts w:cs="Arial"/>
                <w:noProof w:val="0"/>
                <w:sz w:val="18"/>
                <w:szCs w:val="18"/>
                <w:lang w:val="es-ES"/>
              </w:rPr>
              <w:t xml:space="preserve"> spp.</w:t>
            </w: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Folpet</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233"/>
          <w:jc w:val="center"/>
        </w:trPr>
        <w:tc>
          <w:tcPr>
            <w:tcW w:w="1654" w:type="pct"/>
            <w:vMerge w:val="restar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Bacterias</w:t>
            </w:r>
          </w:p>
        </w:tc>
        <w:tc>
          <w:tcPr>
            <w:tcW w:w="2404"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Hidróxido cúprico (4)</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4"/>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Oxicloruro de cobre</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4"/>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Óxido cuproso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15"/>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Sulfato cuprocálcico</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4"/>
          <w:jc w:val="center"/>
        </w:trPr>
        <w:tc>
          <w:tcPr>
            <w:tcW w:w="1654" w:type="pct"/>
            <w:vMerge/>
            <w:vAlign w:val="center"/>
          </w:tcPr>
          <w:p w:rsidR="00503A41" w:rsidRPr="00993936" w:rsidRDefault="00503A41" w:rsidP="000452B8">
            <w:pPr>
              <w:pStyle w:val="taula"/>
              <w:rPr>
                <w:rFonts w:cs="Arial"/>
                <w:noProof w:val="0"/>
                <w:sz w:val="18"/>
                <w:szCs w:val="18"/>
                <w:lang w:val="es-ES"/>
              </w:rPr>
            </w:pPr>
          </w:p>
        </w:tc>
        <w:tc>
          <w:tcPr>
            <w:tcW w:w="2404"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Sulfato tribásico de cobre</w:t>
            </w:r>
          </w:p>
        </w:tc>
        <w:tc>
          <w:tcPr>
            <w:tcW w:w="458"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84"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40"/>
          <w:jc w:val="center"/>
        </w:trPr>
        <w:tc>
          <w:tcPr>
            <w:tcW w:w="165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Otras plagas y enfermedades</w:t>
            </w:r>
          </w:p>
        </w:tc>
        <w:tc>
          <w:tcPr>
            <w:tcW w:w="2404" w:type="pct"/>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Las expresamente autorizadas en el cultivo, teniendo en cuenta su efecto sobre la fauna útil y su toxicología</w:t>
            </w:r>
          </w:p>
        </w:tc>
        <w:tc>
          <w:tcPr>
            <w:tcW w:w="458" w:type="pct"/>
          </w:tcPr>
          <w:p w:rsidR="00503A41" w:rsidRPr="00993936" w:rsidRDefault="00503A41" w:rsidP="000452B8">
            <w:pPr>
              <w:pStyle w:val="taula"/>
              <w:rPr>
                <w:rFonts w:cs="Arial"/>
                <w:noProof w:val="0"/>
                <w:sz w:val="18"/>
                <w:szCs w:val="18"/>
                <w:lang w:val="es-ES"/>
              </w:rPr>
            </w:pPr>
          </w:p>
        </w:tc>
        <w:tc>
          <w:tcPr>
            <w:tcW w:w="484" w:type="pct"/>
          </w:tcPr>
          <w:p w:rsidR="00503A41" w:rsidRPr="00993936" w:rsidRDefault="00503A41" w:rsidP="000452B8">
            <w:pPr>
              <w:pStyle w:val="taula"/>
              <w:rPr>
                <w:rFonts w:cs="Arial"/>
                <w:noProof w:val="0"/>
                <w:sz w:val="18"/>
                <w:szCs w:val="18"/>
                <w:lang w:val="es-ES"/>
              </w:rPr>
            </w:pPr>
          </w:p>
        </w:tc>
      </w:tr>
    </w:tbl>
    <w:p w:rsidR="00503A41" w:rsidRPr="00993936" w:rsidRDefault="00503A41" w:rsidP="000452B8">
      <w:pPr>
        <w:jc w:val="both"/>
        <w:rPr>
          <w:rFonts w:ascii="Arial" w:hAnsi="Arial" w:cs="Arial"/>
          <w:b/>
          <w:snapToGrid w:val="0"/>
          <w:lang w:val="es-ES" w:eastAsia="es-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rPr>
          <w:rFonts w:ascii="Arial" w:hAnsi="Arial" w:cs="Arial"/>
          <w:lang w:val="es-ES"/>
        </w:rPr>
      </w:pPr>
      <w:r w:rsidRPr="00993936">
        <w:rPr>
          <w:rFonts w:ascii="Arial" w:hAnsi="Arial" w:cs="Arial"/>
          <w:lang w:val="es-ES"/>
        </w:rPr>
        <w:t>(6) Sólo en cultivos al aire libre</w:t>
      </w:r>
    </w:p>
    <w:p w:rsidR="00503A41" w:rsidRPr="00993936" w:rsidRDefault="00503A41" w:rsidP="000452B8">
      <w:pPr>
        <w:jc w:val="center"/>
        <w:rPr>
          <w:rFonts w:ascii="Arial" w:hAnsi="Arial" w:cs="Arial"/>
          <w:b/>
          <w:sz w:val="28"/>
          <w:szCs w:val="28"/>
          <w:u w:val="single"/>
          <w:lang w:val="es-ES"/>
        </w:rPr>
      </w:pPr>
      <w:r w:rsidRPr="00993936">
        <w:rPr>
          <w:rFonts w:ascii="Arial" w:hAnsi="Arial" w:cs="Arial"/>
          <w:lang w:val="es-ES"/>
        </w:rPr>
        <w:br w:type="page"/>
      </w:r>
      <w:r w:rsidRPr="00993936">
        <w:rPr>
          <w:rFonts w:ascii="Arial" w:hAnsi="Arial" w:cs="Arial"/>
          <w:b/>
          <w:sz w:val="28"/>
          <w:szCs w:val="28"/>
          <w:u w:val="single"/>
          <w:lang w:val="es-ES"/>
        </w:rPr>
        <w:lastRenderedPageBreak/>
        <w:t>CULTIVO: ALUBIA, GARBANZO Y LENTEJA</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 xml:space="preserve">ANEXO 4 </w:t>
      </w: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Materias activas de herbicidas para la producción integrada de alubia, garbanzo y lenteja</w:t>
      </w:r>
    </w:p>
    <w:p w:rsidR="00503A41" w:rsidRPr="00993936" w:rsidRDefault="00503A41" w:rsidP="000452B8">
      <w:pPr>
        <w:jc w:val="both"/>
        <w:rPr>
          <w:rFonts w:ascii="Arial" w:hAnsi="Arial" w:cs="Arial"/>
          <w:b/>
          <w:snapToGrid w:val="0"/>
          <w:lang w:val="es-ES" w:eastAsia="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4941"/>
          <w:jc w:val="center"/>
        </w:trPr>
        <w:tc>
          <w:tcPr>
            <w:tcW w:w="2418" w:type="pct"/>
            <w:vAlign w:val="center"/>
          </w:tcPr>
          <w:p w:rsidR="00503A41" w:rsidRPr="00993936" w:rsidRDefault="00503A41" w:rsidP="000452B8">
            <w:pPr>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Aclonifén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Benfluralina (c)</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Bentazona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Bentazona + Imazamox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Cletodim</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Cicloxidim (a) (c)</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Diclofop(c)</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Diquat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Fluazifop-p-butil</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Glifosato</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Linurón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Pendimetalina (a) (b)</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Pendimetalina + Clomazona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Propaquizafop</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Prosulfocarb (a)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Propizamida (c)</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rPr>
              <w:t>Quizalop-p-etil</w:t>
            </w:r>
          </w:p>
        </w:tc>
        <w:tc>
          <w:tcPr>
            <w:tcW w:w="2582" w:type="pct"/>
          </w:tcPr>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441998">
            <w:pPr>
              <w:widowControl w:val="0"/>
              <w:numPr>
                <w:ilvl w:val="0"/>
                <w:numId w:val="21"/>
              </w:numPr>
              <w:spacing w:after="0" w:line="240" w:lineRule="auto"/>
              <w:jc w:val="both"/>
              <w:rPr>
                <w:rFonts w:ascii="Arial" w:hAnsi="Arial" w:cs="Arial"/>
                <w:snapToGrid w:val="0"/>
                <w:sz w:val="18"/>
                <w:szCs w:val="18"/>
                <w:lang w:val="es-ES"/>
              </w:rPr>
            </w:pPr>
            <w:r w:rsidRPr="00993936">
              <w:rPr>
                <w:rFonts w:ascii="Arial" w:hAnsi="Arial" w:cs="Arial"/>
                <w:snapToGrid w:val="0"/>
                <w:sz w:val="18"/>
                <w:szCs w:val="18"/>
                <w:lang w:val="es-ES"/>
              </w:rPr>
              <w:t>Los productos que no están autorizados para</w:t>
            </w:r>
            <w:r w:rsidRPr="00993936">
              <w:rPr>
                <w:rFonts w:ascii="Arial" w:hAnsi="Arial" w:cs="Arial"/>
                <w:snapToGrid w:val="0"/>
                <w:vanish/>
                <w:sz w:val="18"/>
                <w:szCs w:val="18"/>
                <w:lang w:val="es-ES"/>
              </w:rPr>
              <w:t>&lt;A[para|por]&gt;</w:t>
            </w:r>
            <w:r w:rsidRPr="00993936">
              <w:rPr>
                <w:rFonts w:ascii="Arial" w:hAnsi="Arial" w:cs="Arial"/>
                <w:snapToGrid w:val="0"/>
                <w:sz w:val="18"/>
                <w:szCs w:val="18"/>
                <w:lang w:val="es-ES"/>
              </w:rPr>
              <w:t xml:space="preserve"> los tres cultivos tienen indicados sus usos autorizados mediante las letras:</w:t>
            </w: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9D1A2D">
            <w:pPr>
              <w:numPr>
                <w:ilvl w:val="0"/>
                <w:numId w:val="92"/>
              </w:numPr>
              <w:spacing w:after="0" w:line="240" w:lineRule="auto"/>
              <w:rPr>
                <w:rFonts w:ascii="Arial" w:hAnsi="Arial" w:cs="Arial"/>
                <w:snapToGrid w:val="0"/>
                <w:sz w:val="18"/>
                <w:szCs w:val="18"/>
                <w:lang w:val="es-ES" w:eastAsia="es-ES"/>
              </w:rPr>
            </w:pPr>
            <w:r w:rsidRPr="00993936">
              <w:rPr>
                <w:rFonts w:ascii="Arial" w:hAnsi="Arial" w:cs="Arial"/>
                <w:snapToGrid w:val="0"/>
                <w:sz w:val="18"/>
                <w:szCs w:val="18"/>
                <w:lang w:val="es-ES" w:eastAsia="es-ES"/>
              </w:rPr>
              <w:t xml:space="preserve">Judía para grano </w:t>
            </w:r>
          </w:p>
          <w:p w:rsidR="00503A41" w:rsidRPr="00993936" w:rsidRDefault="00503A41" w:rsidP="009D1A2D">
            <w:pPr>
              <w:numPr>
                <w:ilvl w:val="0"/>
                <w:numId w:val="92"/>
              </w:numPr>
              <w:spacing w:after="0" w:line="240" w:lineRule="auto"/>
              <w:rPr>
                <w:rFonts w:ascii="Arial" w:hAnsi="Arial" w:cs="Arial"/>
                <w:snapToGrid w:val="0"/>
                <w:sz w:val="18"/>
                <w:szCs w:val="18"/>
                <w:lang w:val="es-ES" w:eastAsia="es-ES"/>
              </w:rPr>
            </w:pPr>
            <w:r w:rsidRPr="00993936">
              <w:rPr>
                <w:rFonts w:ascii="Arial" w:hAnsi="Arial" w:cs="Arial"/>
                <w:snapToGrid w:val="0"/>
                <w:sz w:val="18"/>
                <w:szCs w:val="18"/>
                <w:lang w:val="es-ES" w:eastAsia="es-ES"/>
              </w:rPr>
              <w:t xml:space="preserve">Garbanzo </w:t>
            </w:r>
          </w:p>
          <w:p w:rsidR="00503A41" w:rsidRPr="00993936" w:rsidRDefault="00503A41" w:rsidP="009D1A2D">
            <w:pPr>
              <w:numPr>
                <w:ilvl w:val="0"/>
                <w:numId w:val="92"/>
              </w:numPr>
              <w:spacing w:after="0" w:line="240" w:lineRule="auto"/>
              <w:rPr>
                <w:rFonts w:ascii="Arial" w:hAnsi="Arial" w:cs="Arial"/>
                <w:snapToGrid w:val="0"/>
                <w:sz w:val="18"/>
                <w:szCs w:val="18"/>
                <w:lang w:val="es-ES" w:eastAsia="es-ES"/>
              </w:rPr>
            </w:pPr>
            <w:r w:rsidRPr="00993936">
              <w:rPr>
                <w:rFonts w:ascii="Arial" w:hAnsi="Arial" w:cs="Arial"/>
                <w:snapToGrid w:val="0"/>
                <w:sz w:val="18"/>
                <w:szCs w:val="18"/>
                <w:lang w:val="es-ES" w:eastAsia="es-ES"/>
              </w:rPr>
              <w:t>Lenteja</w:t>
            </w:r>
          </w:p>
          <w:p w:rsidR="00503A41" w:rsidRPr="00993936" w:rsidRDefault="00503A41" w:rsidP="000452B8">
            <w:pPr>
              <w:rPr>
                <w:rFonts w:ascii="Arial" w:hAnsi="Arial" w:cs="Arial"/>
                <w:b/>
                <w:snapToGrid w:val="0"/>
                <w:sz w:val="20"/>
                <w:lang w:val="es-ES"/>
              </w:rPr>
            </w:pPr>
          </w:p>
        </w:tc>
      </w:tr>
    </w:tbl>
    <w:p w:rsidR="00503A41" w:rsidRPr="00993936" w:rsidRDefault="00503A41" w:rsidP="000452B8">
      <w:pPr>
        <w:jc w:val="both"/>
        <w:rPr>
          <w:rFonts w:ascii="Arial" w:hAnsi="Arial" w:cs="Arial"/>
          <w:b/>
          <w:snapToGrid w:val="0"/>
          <w:lang w:val="es-ES" w:eastAsia="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pStyle w:val="judit"/>
        <w:numPr>
          <w:ilvl w:val="0"/>
          <w:numId w:val="86"/>
        </w:numPr>
        <w:spacing w:before="120" w:line="240" w:lineRule="auto"/>
        <w:rPr>
          <w:rFonts w:cs="Arial"/>
          <w:i/>
          <w:sz w:val="22"/>
          <w:szCs w:val="22"/>
          <w:lang w:val="es-ES"/>
        </w:rPr>
      </w:pPr>
      <w:r w:rsidRPr="00993936">
        <w:rPr>
          <w:rFonts w:cs="Arial"/>
          <w:i/>
          <w:sz w:val="22"/>
          <w:szCs w:val="22"/>
          <w:lang w:val="es-ES"/>
        </w:rPr>
        <w:t>Orius sp.</w:t>
      </w:r>
    </w:p>
    <w:p w:rsidR="00503A41" w:rsidRPr="00993936" w:rsidRDefault="00503A41" w:rsidP="009D1A2D">
      <w:pPr>
        <w:pStyle w:val="judit"/>
        <w:numPr>
          <w:ilvl w:val="0"/>
          <w:numId w:val="86"/>
        </w:numPr>
        <w:spacing w:before="120" w:line="240" w:lineRule="auto"/>
        <w:rPr>
          <w:rFonts w:cs="Arial"/>
          <w:i/>
          <w:sz w:val="22"/>
          <w:szCs w:val="22"/>
          <w:lang w:val="es-ES"/>
        </w:rPr>
      </w:pPr>
      <w:r w:rsidRPr="00993936">
        <w:rPr>
          <w:rFonts w:cs="Arial"/>
          <w:i/>
          <w:sz w:val="22"/>
          <w:szCs w:val="22"/>
          <w:lang w:val="es-ES"/>
        </w:rPr>
        <w:t>Diglyphus isaea.</w:t>
      </w:r>
    </w:p>
    <w:p w:rsidR="00503A41" w:rsidRPr="00993936" w:rsidRDefault="00503A41" w:rsidP="009D1A2D">
      <w:pPr>
        <w:pStyle w:val="judit"/>
        <w:numPr>
          <w:ilvl w:val="0"/>
          <w:numId w:val="86"/>
        </w:numPr>
        <w:spacing w:before="120" w:line="240" w:lineRule="auto"/>
        <w:rPr>
          <w:rFonts w:cs="Arial"/>
          <w:i/>
          <w:sz w:val="22"/>
          <w:szCs w:val="22"/>
          <w:lang w:val="es-ES"/>
        </w:rPr>
      </w:pPr>
      <w:r w:rsidRPr="00993936">
        <w:rPr>
          <w:rFonts w:cs="Arial"/>
          <w:i/>
          <w:sz w:val="22"/>
          <w:szCs w:val="22"/>
          <w:lang w:val="es-ES"/>
        </w:rPr>
        <w:t>Parasitoides de pulgón</w:t>
      </w:r>
    </w:p>
    <w:p w:rsidR="00503A41" w:rsidRPr="00993936" w:rsidRDefault="00503A41" w:rsidP="009D1A2D">
      <w:pPr>
        <w:pStyle w:val="judit"/>
        <w:numPr>
          <w:ilvl w:val="0"/>
          <w:numId w:val="86"/>
        </w:numPr>
        <w:spacing w:before="120" w:line="240" w:lineRule="auto"/>
        <w:rPr>
          <w:rFonts w:cs="Arial"/>
          <w:i/>
          <w:sz w:val="22"/>
          <w:szCs w:val="22"/>
          <w:lang w:val="es-ES"/>
        </w:rPr>
      </w:pPr>
      <w:r w:rsidRPr="00993936">
        <w:rPr>
          <w:rFonts w:cs="Arial"/>
          <w:i/>
          <w:sz w:val="22"/>
          <w:szCs w:val="22"/>
          <w:lang w:val="es-ES"/>
        </w:rPr>
        <w:t>Ácaros fitoseidos depredadores</w:t>
      </w:r>
    </w:p>
    <w:p w:rsidR="00503A41" w:rsidRPr="00993936" w:rsidRDefault="00503A41" w:rsidP="000452B8">
      <w:pPr>
        <w:pStyle w:val="judit"/>
        <w:spacing w:before="120" w:line="240" w:lineRule="auto"/>
        <w:ind w:left="567"/>
        <w:rPr>
          <w:rFonts w:cs="Arial"/>
          <w:i/>
          <w:sz w:val="22"/>
          <w:szCs w:val="22"/>
          <w:lang w:val="es-ES"/>
        </w:rPr>
      </w:pPr>
    </w:p>
    <w:p w:rsidR="00503A41" w:rsidRPr="00993936" w:rsidRDefault="00503A41" w:rsidP="000452B8">
      <w:pPr>
        <w:pStyle w:val="Ttulo1"/>
        <w:spacing w:before="120"/>
        <w:rPr>
          <w:rFonts w:ascii="Arial" w:hAnsi="Arial" w:cs="Arial"/>
          <w:b/>
          <w:color w:val="auto"/>
          <w:sz w:val="22"/>
        </w:rPr>
      </w:pPr>
      <w:r w:rsidRPr="00993936">
        <w:rPr>
          <w:rFonts w:ascii="Arial" w:hAnsi="Arial" w:cs="Arial"/>
          <w:b/>
          <w:caps/>
          <w:color w:val="auto"/>
          <w:sz w:val="22"/>
        </w:rPr>
        <w:t>ANEXO 6</w:t>
      </w:r>
    </w:p>
    <w:p w:rsidR="00503A41" w:rsidRPr="00993936" w:rsidRDefault="00503A41" w:rsidP="000452B8">
      <w:pPr>
        <w:pStyle w:val="Textoindependiente"/>
        <w:spacing w:before="120"/>
        <w:rPr>
          <w:rFonts w:cs="Arial"/>
          <w:b/>
          <w:lang w:val="es-ES"/>
        </w:rPr>
      </w:pPr>
      <w:r w:rsidRPr="00993936">
        <w:rPr>
          <w:rFonts w:cs="Arial"/>
          <w:b/>
          <w:lang w:val="es-ES"/>
        </w:rPr>
        <w:t>Programas de control fitosanitario</w:t>
      </w:r>
    </w:p>
    <w:p w:rsidR="00503A41" w:rsidRPr="00993936" w:rsidRDefault="00503A41" w:rsidP="000452B8">
      <w:pPr>
        <w:pStyle w:val="Textoindependiente"/>
        <w:spacing w:before="120"/>
        <w:rPr>
          <w:rFonts w:cs="Arial"/>
          <w:lang w:val="es-ES"/>
        </w:rPr>
      </w:pPr>
      <w:r w:rsidRPr="00993936">
        <w:rPr>
          <w:rFonts w:cs="Arial"/>
          <w:lang w:val="es-ES"/>
        </w:rPr>
        <w:t>Para poder aplicar estos programas con éxito, es imprescindible aplicar unas buenas medidas culturales con el objetivo de iniciar el cultivo con plantas con ausencia</w:t>
      </w:r>
      <w:r w:rsidRPr="00993936">
        <w:rPr>
          <w:rFonts w:cs="Arial"/>
          <w:vanish/>
          <w:lang w:val="es-ES"/>
        </w:rPr>
        <w:t>&lt;A[limpias|netas]&gt;</w:t>
      </w:r>
      <w:r w:rsidRPr="00993936">
        <w:rPr>
          <w:rFonts w:cs="Arial"/>
          <w:lang w:val="es-ES"/>
        </w:rPr>
        <w:t xml:space="preserve"> de plagas y enfermedades, disminuir su entrada en el cultivo y la posterior proliferación.</w:t>
      </w:r>
    </w:p>
    <w:p w:rsidR="00503A41" w:rsidRPr="00993936" w:rsidRDefault="00503A41" w:rsidP="000452B8">
      <w:pPr>
        <w:pStyle w:val="Textoindependiente"/>
        <w:spacing w:before="120"/>
        <w:rPr>
          <w:rFonts w:cs="Arial"/>
          <w:lang w:val="es-ES"/>
        </w:rPr>
      </w:pPr>
      <w:r w:rsidRPr="00993936">
        <w:rPr>
          <w:rFonts w:cs="Arial"/>
          <w:lang w:val="es-ES"/>
        </w:rPr>
        <w:lastRenderedPageBreak/>
        <w:t xml:space="preserve">Hay un programa específico para el cultivo, que se recoge en el Cuadro nº. 1 de este Anexo. </w:t>
      </w:r>
    </w:p>
    <w:p w:rsidR="00503A41" w:rsidRPr="00993936" w:rsidRDefault="00503A41" w:rsidP="000452B8">
      <w:pPr>
        <w:pStyle w:val="Textoindependiente"/>
        <w:spacing w:before="120"/>
        <w:rPr>
          <w:rFonts w:cs="Arial"/>
          <w:lang w:val="es-ES"/>
        </w:rPr>
      </w:pPr>
      <w:r w:rsidRPr="00993936">
        <w:rPr>
          <w:rFonts w:cs="Arial"/>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lang w:val="es-ES"/>
        </w:rPr>
      </w:pPr>
      <w:r w:rsidRPr="00993936">
        <w:rPr>
          <w:rFonts w:cs="Arial"/>
          <w:lang w:val="es-ES"/>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rsidR="00503A41" w:rsidRPr="00993936" w:rsidRDefault="00503A41" w:rsidP="000452B8">
      <w:pPr>
        <w:pStyle w:val="Textoindependiente"/>
        <w:spacing w:before="120"/>
        <w:rPr>
          <w:rFonts w:cs="Arial"/>
          <w:lang w:val="es-ES"/>
        </w:rPr>
      </w:pPr>
      <w:r w:rsidRPr="00993936">
        <w:rPr>
          <w:rFonts w:cs="Arial"/>
          <w:lang w:val="es-ES"/>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lang w:val="es-ES"/>
        </w:rPr>
      </w:pPr>
      <w:r w:rsidRPr="00993936">
        <w:rPr>
          <w:rFonts w:cs="Arial"/>
          <w:lang w:val="es-ES"/>
        </w:rPr>
        <w:t>Además de los muestreos específicos propuestos en los Cuadros de Control Fitosanitario, se hará una observación general del cultivo que permita estimar su estado general, así como la presencia de plagas y/o enfermedades. Los recuentos y las observaciones, así como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lang w:val="es-ES"/>
        </w:rPr>
        <w:t xml:space="preserve">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w:t>
      </w:r>
      <w:r w:rsidRPr="00993936">
        <w:rPr>
          <w:rFonts w:cs="Arial"/>
          <w:szCs w:val="22"/>
          <w:lang w:val="es-ES"/>
        </w:rPr>
        <w:t>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empleo</w:t>
      </w:r>
      <w:r w:rsidRPr="00993936">
        <w:rPr>
          <w:rFonts w:cs="Arial"/>
          <w:vanish/>
          <w:szCs w:val="22"/>
          <w:lang w:val="es-ES"/>
        </w:rPr>
        <w:t>&lt;A[empleo|ocupación]&gt;</w:t>
      </w:r>
      <w:r w:rsidRPr="00993936">
        <w:rPr>
          <w:rFonts w:cs="Arial"/>
          <w:szCs w:val="22"/>
          <w:lang w:val="es-ES"/>
        </w:rPr>
        <w:t>) o la infestación media cuando sea requerida. También se calculará el porcentaje de plantas que presentan fauna útil asociada a cada una de las plagas.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6.1.</w:t>
      </w:r>
      <w:r w:rsidRPr="00993936">
        <w:rPr>
          <w:rFonts w:ascii="Arial" w:hAnsi="Arial" w:cs="Arial"/>
          <w:color w:val="auto"/>
          <w:lang w:val="es-ES"/>
        </w:rPr>
        <w:tab/>
      </w:r>
      <w:r w:rsidRPr="00993936">
        <w:rPr>
          <w:rFonts w:ascii="Arial" w:hAnsi="Arial" w:cs="Arial"/>
          <w:i/>
          <w:color w:val="auto"/>
          <w:lang w:val="es-ES"/>
        </w:rPr>
        <w:t>Bemisia tabaci</w:t>
      </w:r>
      <w:r w:rsidRPr="00993936">
        <w:rPr>
          <w:rFonts w:ascii="Arial" w:hAnsi="Arial" w:cs="Arial"/>
          <w:color w:val="auto"/>
          <w:lang w:val="es-ES"/>
        </w:rPr>
        <w:t xml:space="preserve"> (BT) y </w:t>
      </w:r>
      <w:r w:rsidRPr="00993936">
        <w:rPr>
          <w:rFonts w:ascii="Arial" w:hAnsi="Arial" w:cs="Arial"/>
          <w:i/>
          <w:color w:val="auto"/>
          <w:lang w:val="es-ES"/>
        </w:rPr>
        <w:t xml:space="preserve">Trialeurodes vaporariorum </w:t>
      </w:r>
      <w:r w:rsidRPr="00993936">
        <w:rPr>
          <w:rFonts w:ascii="Arial" w:hAnsi="Arial" w:cs="Arial"/>
          <w:color w:val="auto"/>
          <w:lang w:val="es-ES"/>
        </w:rPr>
        <w:t>(TV)</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(MB) se anotará la presencia de adultos de</w:t>
      </w:r>
      <w:r w:rsidRPr="00993936">
        <w:rPr>
          <w:rFonts w:cs="Arial"/>
          <w:i/>
          <w:szCs w:val="22"/>
          <w:lang w:val="es-ES"/>
        </w:rPr>
        <w:t xml:space="preserve"> B. tabaci o T. Vaporariorum</w:t>
      </w:r>
      <w:r w:rsidRPr="00993936">
        <w:rPr>
          <w:rFonts w:cs="Arial"/>
          <w:szCs w:val="22"/>
          <w:lang w:val="es-ES"/>
        </w:rPr>
        <w:t>, en caso de que haya presencia de B. Tabaci se registrará en la columna BT.</w:t>
      </w: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t>6.2.</w:t>
      </w:r>
      <w:r w:rsidRPr="00993936">
        <w:rPr>
          <w:rFonts w:ascii="Arial" w:hAnsi="Arial" w:cs="Arial"/>
          <w:color w:val="auto"/>
          <w:lang w:val="es-ES"/>
        </w:rPr>
        <w:tab/>
        <w:t>Pulgón (PG)</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6.3.</w:t>
      </w:r>
      <w:r w:rsidRPr="00993936">
        <w:rPr>
          <w:rFonts w:ascii="Arial" w:hAnsi="Arial" w:cs="Arial"/>
          <w:color w:val="auto"/>
          <w:lang w:val="es-ES"/>
        </w:rPr>
        <w:tab/>
        <w:t>Minadores de hojas (</w:t>
      </w:r>
      <w:r w:rsidRPr="00993936">
        <w:rPr>
          <w:rFonts w:ascii="Arial" w:hAnsi="Arial" w:cs="Arial"/>
          <w:i/>
          <w:color w:val="auto"/>
          <w:lang w:val="es-ES"/>
        </w:rPr>
        <w:t>Liriomyza spp</w:t>
      </w:r>
      <w:r w:rsidRPr="00993936">
        <w:rPr>
          <w:rFonts w:ascii="Arial" w:hAnsi="Arial" w:cs="Arial"/>
          <w:color w:val="auto"/>
          <w:lang w:val="es-ES"/>
        </w:rPr>
        <w:t>.) (MIN)</w:t>
      </w:r>
    </w:p>
    <w:p w:rsidR="00503A41" w:rsidRPr="00993936" w:rsidRDefault="00503A41" w:rsidP="000452B8">
      <w:pPr>
        <w:pStyle w:val="Textoindependiente"/>
        <w:spacing w:before="120"/>
        <w:rPr>
          <w:rFonts w:cs="Arial"/>
          <w:lang w:val="es-ES"/>
        </w:rPr>
      </w:pPr>
      <w:r w:rsidRPr="00993936">
        <w:rPr>
          <w:rFonts w:cs="Arial"/>
          <w:szCs w:val="22"/>
          <w:lang w:val="es-ES"/>
        </w:rPr>
        <w:t>En la Hoja 3 se anotará la ausencia de minas (-), la existencia de hasta 2 minas por hoja (1) o de más de 2 minas por hoja (2). Cuando</w:t>
      </w:r>
      <w:r w:rsidRPr="00993936">
        <w:rPr>
          <w:rFonts w:cs="Arial"/>
          <w:vanish/>
          <w:szCs w:val="22"/>
          <w:lang w:val="es-ES"/>
        </w:rPr>
        <w:t>&lt;A[Cuando|Cuándo]&gt;</w:t>
      </w:r>
      <w:r w:rsidRPr="00993936">
        <w:rPr>
          <w:rFonts w:cs="Arial"/>
          <w:szCs w:val="22"/>
          <w:lang w:val="es-ES"/>
        </w:rPr>
        <w:t xml:space="preserve"> el nivel medio de minas por hoja sea igual o mayor de 1, se recogerá una muestra de un mínimo de 25 hojas y 50 minas jóvenes. En el laboratorio se evaluará el porcentaje de parasitismo natural causado por </w:t>
      </w:r>
      <w:r w:rsidRPr="00993936">
        <w:rPr>
          <w:rFonts w:cs="Arial"/>
          <w:i/>
          <w:szCs w:val="22"/>
          <w:lang w:val="es-ES"/>
        </w:rPr>
        <w:t xml:space="preserve">Diglyphus isaea </w:t>
      </w:r>
      <w:r w:rsidRPr="00993936">
        <w:rPr>
          <w:rFonts w:cs="Arial"/>
          <w:szCs w:val="22"/>
          <w:lang w:val="es-ES"/>
        </w:rPr>
        <w:t>(</w:t>
      </w:r>
      <w:r w:rsidRPr="00993936">
        <w:rPr>
          <w:rFonts w:cs="Arial"/>
          <w:i/>
          <w:szCs w:val="22"/>
          <w:lang w:val="es-ES"/>
        </w:rPr>
        <w:t>Di</w:t>
      </w:r>
      <w:r w:rsidRPr="00993936">
        <w:rPr>
          <w:rFonts w:cs="Arial"/>
          <w:szCs w:val="22"/>
          <w:lang w:val="es-ES"/>
        </w:rPr>
        <w:t>) (Hoja 2). Si el parasitismo natural (minas muertas y</w:t>
      </w:r>
      <w:r w:rsidRPr="00993936">
        <w:rPr>
          <w:rFonts w:cs="Arial"/>
          <w:lang w:val="es-ES"/>
        </w:rPr>
        <w:t xml:space="preserve"> parasitadas) es &gt;25%, se tomará otra muestra al cabo de 15 días para ver cómo evoluciona el conjunto minadora-</w:t>
      </w:r>
      <w:r w:rsidRPr="00993936">
        <w:rPr>
          <w:rFonts w:cs="Arial"/>
          <w:i/>
          <w:lang w:val="es-ES"/>
        </w:rPr>
        <w:t>Di</w:t>
      </w:r>
      <w:r w:rsidRPr="00993936">
        <w:rPr>
          <w:rFonts w:cs="Arial"/>
          <w:lang w:val="es-ES"/>
        </w:rPr>
        <w:t xml:space="preserve">; en caso de que el parasitismo natural sea inferior al 25%, se entenderá que se ha superado el umbral de intervención </w:t>
      </w:r>
      <w:r w:rsidRPr="00993936">
        <w:rPr>
          <w:rFonts w:cs="Arial"/>
          <w:lang w:val="es-ES"/>
        </w:rPr>
        <w:lastRenderedPageBreak/>
        <w:t>y podrá realizarse un tratamiento con alguno de los productos autorizados para minadora en aquel cultivo.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 etc.).</w:t>
      </w:r>
    </w:p>
    <w:p w:rsidR="00503A41" w:rsidRPr="00993936" w:rsidRDefault="00503A41" w:rsidP="000452B8">
      <w:pPr>
        <w:pStyle w:val="Textoindependiente"/>
        <w:spacing w:before="120"/>
        <w:rPr>
          <w:rFonts w:cs="Arial"/>
          <w:szCs w:val="22"/>
          <w:lang w:val="es-ES"/>
        </w:rPr>
      </w:pPr>
      <w:r w:rsidRPr="00993936">
        <w:rPr>
          <w:rFonts w:cs="Arial"/>
          <w:szCs w:val="22"/>
          <w:lang w:val="es-ES"/>
        </w:rPr>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Ácaros (</w:t>
      </w:r>
      <w:r w:rsidRPr="00993936">
        <w:rPr>
          <w:rFonts w:ascii="Arial" w:hAnsi="Arial" w:cs="Arial"/>
          <w:i/>
          <w:color w:val="auto"/>
          <w:lang w:val="es-ES"/>
        </w:rPr>
        <w:t>Tetranychus spp</w:t>
      </w:r>
      <w:r w:rsidRPr="00993936">
        <w:rPr>
          <w:rFonts w:ascii="Arial" w:hAnsi="Arial" w:cs="Arial"/>
          <w:color w:val="auto"/>
          <w:lang w:val="es-ES"/>
        </w:rPr>
        <w:t xml:space="preserve">., </w:t>
      </w:r>
      <w:r w:rsidRPr="00993936">
        <w:rPr>
          <w:rFonts w:ascii="Arial" w:hAnsi="Arial" w:cs="Arial"/>
          <w:i/>
          <w:color w:val="auto"/>
          <w:lang w:val="es-ES"/>
        </w:rPr>
        <w:t>Polyphagotarsonemus latus</w:t>
      </w:r>
      <w:r w:rsidRPr="00993936">
        <w:rPr>
          <w:rFonts w:ascii="Arial" w:hAnsi="Arial" w:cs="Arial"/>
          <w:color w:val="auto"/>
          <w:lang w:val="es-ES"/>
        </w:rPr>
        <w:t>) (ÁCAROS)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Se evaluará la presencia/ausencia (+/-) de Araña roja en síntomas.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w:t>
      </w:r>
      <w:r w:rsidRPr="00993936">
        <w:rPr>
          <w:rFonts w:cs="Arial"/>
          <w:i/>
          <w:szCs w:val="22"/>
          <w:lang w:val="es-ES"/>
        </w:rPr>
        <w:t>Polygotarsonemus latus</w:t>
      </w:r>
      <w:r w:rsidRPr="00993936">
        <w:rPr>
          <w:rFonts w:cs="Arial"/>
          <w:szCs w:val="22"/>
          <w:lang w:val="es-ES"/>
        </w:rPr>
        <w:t xml:space="preserve">, se anotará la presencia de síntomas (S) de la presencia de este ácaro en los brotes tiernos.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que sea necesario aplicar algún tratamiento para el control de Araña roja o </w:t>
      </w:r>
      <w:r w:rsidRPr="00993936">
        <w:rPr>
          <w:rFonts w:cs="Arial"/>
          <w:i/>
          <w:szCs w:val="22"/>
          <w:lang w:val="es-ES"/>
        </w:rPr>
        <w:t>P. latus</w:t>
      </w:r>
      <w:r w:rsidRPr="00993936">
        <w:rPr>
          <w:rFonts w:cs="Arial"/>
          <w:szCs w:val="22"/>
          <w:lang w:val="es-ES"/>
        </w:rPr>
        <w:t>, se hará con un producto autorizado en el Cuadro 1.2 y para</w:t>
      </w:r>
      <w:r w:rsidRPr="00993936">
        <w:rPr>
          <w:rFonts w:cs="Arial"/>
          <w:vanish/>
          <w:szCs w:val="22"/>
          <w:lang w:val="es-ES"/>
        </w:rPr>
        <w:t>&lt;A[por|para]&gt;</w:t>
      </w:r>
      <w:r w:rsidRPr="00993936">
        <w:rPr>
          <w:rFonts w:cs="Arial"/>
          <w:szCs w:val="22"/>
          <w:lang w:val="es-ES"/>
        </w:rPr>
        <w:t xml:space="preserve"> la plaga en concreto. Siempre que sea posible, los tratamientos se aplicarán en los focos de cultivo afectado y sus alrededores.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plagas no explícitamente previstas en</w:t>
      </w:r>
      <w:r w:rsidRPr="00993936">
        <w:rPr>
          <w:rFonts w:cs="Arial"/>
          <w:lang w:val="es-ES"/>
        </w:rPr>
        <w:t xml:space="preserve"> </w:t>
      </w:r>
      <w:r w:rsidRPr="00993936">
        <w:rPr>
          <w:rFonts w:cs="Arial"/>
          <w:szCs w:val="22"/>
          <w:lang w:val="es-ES"/>
        </w:rPr>
        <w:t>la Hoja 3, especificando en observaciones la especie objeto del seguimiento. En caso de que aparezca una nueva plaga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6.8.</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botritis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el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6.9.</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Cuadro 1.1 especificando en observaciones la especie objeto del seguimiento. En caso de que aparezca una nueva enfermedad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6.10.</w:t>
      </w:r>
      <w:r w:rsidRPr="00993936">
        <w:rPr>
          <w:rFonts w:ascii="Arial" w:hAnsi="Arial" w:cs="Arial"/>
          <w:color w:val="auto"/>
          <w:lang w:val="es-ES"/>
        </w:rPr>
        <w:tab/>
        <w:t xml:space="preserve">Nemátodos </w:t>
      </w:r>
    </w:p>
    <w:p w:rsidR="00503A41" w:rsidRPr="00993936" w:rsidRDefault="00503A41" w:rsidP="000452B8">
      <w:pPr>
        <w:pStyle w:val="Encabezado"/>
        <w:tabs>
          <w:tab w:val="clear" w:pos="4252"/>
          <w:tab w:val="clear" w:pos="8504"/>
        </w:tabs>
        <w:spacing w:before="120"/>
        <w:jc w:val="both"/>
        <w:rPr>
          <w:rFonts w:ascii="Arial" w:hAnsi="Arial" w:cs="Arial"/>
          <w:lang w:val="es-ES"/>
        </w:rPr>
      </w:pPr>
      <w:r w:rsidRPr="00993936">
        <w:rPr>
          <w:rFonts w:ascii="Arial" w:hAnsi="Arial" w:cs="Arial"/>
          <w:lang w:val="es-ES"/>
        </w:rPr>
        <w:t xml:space="preserve">En caso que el cultivo a implantar sea sensible a nemátodos, se escogerán preferentemente variedades resistentes. En caso de que no haya o no sean bien aceptadas por el mercado, se podrán utilizar tratamientos para controlar este problema de suelo en aquellos cultivos en que así lo prevea su Cuadro de Control Fitosanitario. Para justificar este tratamiento, hace falta la autorización previa de Consejo Catalán de la Producción Integrada (CCPI) y se tendrá que adjuntar al Cuaderno de Explotación </w:t>
      </w:r>
      <w:r w:rsidRPr="00993936">
        <w:rPr>
          <w:rFonts w:ascii="Arial" w:hAnsi="Arial" w:cs="Arial"/>
          <w:lang w:val="es-ES"/>
        </w:rPr>
        <w:lastRenderedPageBreak/>
        <w:t>para Hortalizas la documentación técnica (análisis, etc.) que avale la realización del tratamiento en los términos que fija el correspondiente Cuadro de Control Fitosanitario.</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br w:type="page"/>
      </w:r>
      <w:r w:rsidRPr="00993936">
        <w:rPr>
          <w:rFonts w:cs="Arial"/>
          <w:b w:val="0"/>
          <w:szCs w:val="22"/>
          <w:lang w:val="es-ES"/>
        </w:rPr>
        <w:lastRenderedPageBreak/>
        <w:t>Cuadro 1. Métodos de evaluación de incidencia, criterios de intervención y fauna auxiliar para el control integrado de plagas y enfermedades de alubia, garbanzo y lenteja</w:t>
      </w:r>
    </w:p>
    <w:tbl>
      <w:tblPr>
        <w:tblW w:w="57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2"/>
        <w:gridCol w:w="2461"/>
        <w:gridCol w:w="1373"/>
        <w:gridCol w:w="1429"/>
        <w:gridCol w:w="2244"/>
      </w:tblGrid>
      <w:tr w:rsidR="00571B14" w:rsidRPr="00993936" w:rsidTr="00571B14">
        <w:trPr>
          <w:cantSplit/>
          <w:jc w:val="center"/>
        </w:trPr>
        <w:tc>
          <w:tcPr>
            <w:tcW w:w="1227" w:type="pct"/>
            <w:tcBorders>
              <w:bottom w:val="single" w:sz="4" w:space="0" w:color="auto"/>
            </w:tcBorders>
            <w:shd w:val="pct12" w:color="auto" w:fill="FFFFFF"/>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PLAGA / ENFERMEDAD</w:t>
            </w:r>
          </w:p>
        </w:tc>
        <w:tc>
          <w:tcPr>
            <w:tcW w:w="1237" w:type="pct"/>
            <w:tcBorders>
              <w:bottom w:val="single" w:sz="4" w:space="0" w:color="auto"/>
            </w:tcBorders>
            <w:shd w:val="pct12" w:color="auto" w:fill="FFFFFF"/>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MÉTODO DE EVALUACIÓN DE INCIDENCIA</w:t>
            </w:r>
          </w:p>
        </w:tc>
        <w:tc>
          <w:tcPr>
            <w:tcW w:w="690" w:type="pct"/>
            <w:tcBorders>
              <w:bottom w:val="single" w:sz="4" w:space="0" w:color="auto"/>
            </w:tcBorders>
            <w:shd w:val="pct12" w:color="auto" w:fill="FFFFFF"/>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CRITERIOS DE INTERVENCIÓN</w:t>
            </w:r>
          </w:p>
        </w:tc>
        <w:tc>
          <w:tcPr>
            <w:tcW w:w="718" w:type="pct"/>
            <w:tcBorders>
              <w:bottom w:val="single" w:sz="4" w:space="0" w:color="auto"/>
            </w:tcBorders>
            <w:shd w:val="pct12" w:color="auto" w:fill="FFFFFF"/>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FAUNA AUXILIAR</w:t>
            </w:r>
          </w:p>
        </w:tc>
        <w:tc>
          <w:tcPr>
            <w:tcW w:w="1128" w:type="pct"/>
            <w:tcBorders>
              <w:bottom w:val="single" w:sz="4" w:space="0" w:color="auto"/>
            </w:tcBorders>
            <w:shd w:val="pct12" w:color="auto" w:fill="FFFFFF"/>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OTROS MÉTODOS</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(culturales, etc.)</w:t>
            </w:r>
          </w:p>
        </w:tc>
      </w:tr>
      <w:tr w:rsidR="00571B14" w:rsidRPr="00993936" w:rsidTr="00571B14">
        <w:trPr>
          <w:cantSplit/>
          <w:jc w:val="center"/>
        </w:trPr>
        <w:tc>
          <w:tcPr>
            <w:tcW w:w="1227" w:type="pct"/>
            <w:tcBorders>
              <w:top w:val="nil"/>
            </w:tcBorders>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Mosca blanca</w:t>
            </w:r>
          </w:p>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T. vaporariorum</w:t>
            </w:r>
          </w:p>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B. tabaci</w:t>
            </w:r>
          </w:p>
        </w:tc>
        <w:tc>
          <w:tcPr>
            <w:tcW w:w="1237" w:type="pct"/>
            <w:vMerge w:val="restart"/>
            <w:tcBorders>
              <w:top w:val="nil"/>
            </w:tcBorders>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Para judía, observación de 20 plantas anotando la presencia/ausencia de las plagas y fauna auxiliar presentes. De cada planta se observará una hoja de la parte apical de la planta y otra de la parte media-baja. Tener en cuenta la abundancia de fauna auxiliar en la toma de decisiones. Conservar la fauna útil autóctona dentro del marco del control integrado de plagas.</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Para garbanzo y lenteja, se seguirá el mismo recuento haciendo las observaciones en el brote apical de la planta.</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Se anotará también la presencia/ausencia de enfermedades</w:t>
            </w:r>
          </w:p>
        </w:tc>
        <w:tc>
          <w:tcPr>
            <w:tcW w:w="690" w:type="pct"/>
            <w:tcBorders>
              <w:top w:val="nil"/>
            </w:tcBorders>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Presencia de negrita en alguna planta.</w:t>
            </w:r>
          </w:p>
          <w:p w:rsidR="00503A41" w:rsidRPr="00993936" w:rsidRDefault="00503A41" w:rsidP="00571B14">
            <w:pPr>
              <w:pStyle w:val="Sinespaciado"/>
              <w:rPr>
                <w:rFonts w:ascii="Arial" w:hAnsi="Arial" w:cs="Arial"/>
                <w:sz w:val="16"/>
                <w:lang w:val="es-ES"/>
              </w:rPr>
            </w:pPr>
          </w:p>
        </w:tc>
        <w:tc>
          <w:tcPr>
            <w:tcW w:w="718" w:type="pct"/>
            <w:tcBorders>
              <w:top w:val="nil"/>
            </w:tcBorders>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Parasitoides, depredadores (antacóridos, míridos, cecidómidos, coccinélidos)</w:t>
            </w:r>
          </w:p>
        </w:tc>
        <w:tc>
          <w:tcPr>
            <w:tcW w:w="1128" w:type="pct"/>
            <w:tcBorders>
              <w:top w:val="nil"/>
            </w:tcBorders>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Soluciones jabonosas admitidas para adultos</w:t>
            </w:r>
          </w:p>
        </w:tc>
      </w:tr>
      <w:tr w:rsidR="00571B14" w:rsidRPr="00993936" w:rsidTr="00571B14">
        <w:trPr>
          <w:cantSplit/>
          <w:jc w:val="center"/>
        </w:trPr>
        <w:tc>
          <w:tcPr>
            <w:tcW w:w="1227" w:type="pct"/>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Pulgones</w:t>
            </w:r>
          </w:p>
          <w:p w:rsidR="00503A41" w:rsidRPr="00993936" w:rsidRDefault="00503A41" w:rsidP="00571B14">
            <w:pPr>
              <w:pStyle w:val="Sinespaciado"/>
              <w:rPr>
                <w:rFonts w:ascii="Arial" w:hAnsi="Arial" w:cs="Arial"/>
                <w:sz w:val="16"/>
                <w:lang w:val="es-ES"/>
              </w:rPr>
            </w:pP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Presencia de la plaga.</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Preferiblemente tratamientos localizados.</w:t>
            </w:r>
          </w:p>
        </w:tc>
        <w:tc>
          <w:tcPr>
            <w:tcW w:w="71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Parasitoides, depredadores (cecidómidos, coccinélidos, sírfidos)</w:t>
            </w:r>
          </w:p>
        </w:tc>
        <w:tc>
          <w:tcPr>
            <w:tcW w:w="112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Evitar el exceso de abonado</w:t>
            </w:r>
            <w:r w:rsidRPr="00993936">
              <w:rPr>
                <w:rFonts w:ascii="Arial" w:hAnsi="Arial" w:cs="Arial"/>
                <w:vanish/>
                <w:sz w:val="16"/>
                <w:lang w:val="es-ES"/>
              </w:rPr>
              <w:t>&lt;A[adobado|arreglado]&gt;</w:t>
            </w:r>
            <w:r w:rsidRPr="00993936">
              <w:rPr>
                <w:rFonts w:ascii="Arial" w:hAnsi="Arial" w:cs="Arial"/>
                <w:sz w:val="16"/>
                <w:lang w:val="es-ES"/>
              </w:rPr>
              <w:t xml:space="preserve"> nitrogenado</w:t>
            </w:r>
          </w:p>
        </w:tc>
      </w:tr>
      <w:tr w:rsidR="00571B14" w:rsidRPr="00993936" w:rsidTr="00571B14">
        <w:trPr>
          <w:cantSplit/>
          <w:jc w:val="center"/>
        </w:trPr>
        <w:tc>
          <w:tcPr>
            <w:tcW w:w="1227" w:type="pct"/>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Minadoras</w:t>
            </w:r>
          </w:p>
          <w:p w:rsidR="00503A41" w:rsidRPr="00993936" w:rsidRDefault="00503A41" w:rsidP="00571B14">
            <w:pPr>
              <w:pStyle w:val="Sinespaciado"/>
              <w:rPr>
                <w:rFonts w:ascii="Arial" w:hAnsi="Arial" w:cs="Arial"/>
                <w:sz w:val="16"/>
                <w:lang w:val="es-ES"/>
              </w:rPr>
            </w:pPr>
            <w:r w:rsidRPr="00993936">
              <w:rPr>
                <w:rFonts w:ascii="Arial" w:hAnsi="Arial" w:cs="Arial"/>
                <w:i/>
                <w:sz w:val="16"/>
                <w:lang w:val="es-ES"/>
              </w:rPr>
              <w:t>Liriomyza</w:t>
            </w:r>
            <w:r w:rsidRPr="00993936">
              <w:rPr>
                <w:rFonts w:ascii="Arial" w:hAnsi="Arial" w:cs="Arial"/>
                <w:sz w:val="16"/>
                <w:lang w:val="es-ES"/>
              </w:rPr>
              <w:t xml:space="preserve"> spp.</w:t>
            </w: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Aumento del nivel de plaga con niveles bajos (&lt; 25%) de parasitismo</w:t>
            </w:r>
          </w:p>
        </w:tc>
        <w:tc>
          <w:tcPr>
            <w:tcW w:w="71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i/>
                <w:sz w:val="16"/>
                <w:lang w:val="es-ES"/>
              </w:rPr>
              <w:t>D. isaea</w:t>
            </w:r>
            <w:r w:rsidRPr="00993936">
              <w:rPr>
                <w:rFonts w:ascii="Arial" w:hAnsi="Arial" w:cs="Arial"/>
                <w:sz w:val="16"/>
                <w:lang w:val="es-ES"/>
              </w:rPr>
              <w:t xml:space="preserve"> y depredadores polífagos</w:t>
            </w:r>
          </w:p>
        </w:tc>
        <w:tc>
          <w:tcPr>
            <w:tcW w:w="1128" w:type="pct"/>
            <w:vAlign w:val="center"/>
          </w:tcPr>
          <w:p w:rsidR="00503A41" w:rsidRPr="00993936" w:rsidRDefault="00503A41" w:rsidP="00571B14">
            <w:pPr>
              <w:pStyle w:val="Sinespaciado"/>
              <w:rPr>
                <w:rFonts w:ascii="Arial" w:hAnsi="Arial" w:cs="Arial"/>
                <w:sz w:val="16"/>
                <w:lang w:val="es-ES"/>
              </w:rPr>
            </w:pPr>
          </w:p>
        </w:tc>
      </w:tr>
      <w:tr w:rsidR="00571B14" w:rsidRPr="00993936" w:rsidTr="00571B14">
        <w:trPr>
          <w:cantSplit/>
          <w:jc w:val="center"/>
        </w:trPr>
        <w:tc>
          <w:tcPr>
            <w:tcW w:w="1227" w:type="pct"/>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Lepidópteros</w:t>
            </w: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Presencia, dependiendo del cultivo y el especie de lepidóptero puede haber una cierta tolerancia</w:t>
            </w:r>
          </w:p>
        </w:tc>
        <w:tc>
          <w:tcPr>
            <w:tcW w:w="71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Depredadores polífagos</w:t>
            </w:r>
          </w:p>
        </w:tc>
        <w:tc>
          <w:tcPr>
            <w:tcW w:w="1128" w:type="pct"/>
            <w:vAlign w:val="center"/>
          </w:tcPr>
          <w:p w:rsidR="00503A41" w:rsidRPr="00993936" w:rsidRDefault="00503A41" w:rsidP="00571B14">
            <w:pPr>
              <w:pStyle w:val="Sinespaciado"/>
              <w:rPr>
                <w:rFonts w:ascii="Arial" w:hAnsi="Arial" w:cs="Arial"/>
                <w:sz w:val="16"/>
                <w:lang w:val="es-ES"/>
              </w:rPr>
            </w:pPr>
          </w:p>
        </w:tc>
      </w:tr>
      <w:tr w:rsidR="00571B14" w:rsidRPr="00993936" w:rsidTr="00571B14">
        <w:trPr>
          <w:cantSplit/>
          <w:jc w:val="center"/>
        </w:trPr>
        <w:tc>
          <w:tcPr>
            <w:tcW w:w="1227" w:type="pct"/>
            <w:vAlign w:val="center"/>
          </w:tcPr>
          <w:p w:rsidR="00503A41" w:rsidRPr="00993936" w:rsidRDefault="00503A41" w:rsidP="00571B14">
            <w:pPr>
              <w:pStyle w:val="Sinespaciado"/>
              <w:rPr>
                <w:rFonts w:ascii="Arial" w:hAnsi="Arial" w:cs="Arial"/>
                <w:b/>
                <w:i/>
                <w:sz w:val="16"/>
                <w:lang w:val="es-ES"/>
              </w:rPr>
            </w:pPr>
            <w:r w:rsidRPr="00993936">
              <w:rPr>
                <w:rFonts w:ascii="Arial" w:hAnsi="Arial" w:cs="Arial"/>
                <w:b/>
                <w:i/>
                <w:sz w:val="16"/>
                <w:lang w:val="es-ES"/>
              </w:rPr>
              <w:t>Gorgojo</w:t>
            </w:r>
            <w:r w:rsidRPr="00993936">
              <w:rPr>
                <w:rFonts w:ascii="Arial" w:hAnsi="Arial" w:cs="Arial"/>
                <w:b/>
                <w:i/>
                <w:vanish/>
                <w:sz w:val="16"/>
                <w:lang w:val="es-ES"/>
              </w:rPr>
              <w:t>&lt;A[Carcoma|Gorgojo]&gt;</w:t>
            </w:r>
          </w:p>
          <w:p w:rsidR="00503A41" w:rsidRPr="00993936" w:rsidRDefault="00503A41" w:rsidP="00571B14">
            <w:pPr>
              <w:pStyle w:val="Sinespaciado"/>
              <w:rPr>
                <w:rFonts w:ascii="Arial" w:hAnsi="Arial" w:cs="Arial"/>
                <w:sz w:val="16"/>
                <w:lang w:val="es-ES"/>
              </w:rPr>
            </w:pPr>
            <w:r w:rsidRPr="00993936">
              <w:rPr>
                <w:rFonts w:ascii="Arial" w:hAnsi="Arial" w:cs="Arial"/>
                <w:i/>
                <w:sz w:val="16"/>
                <w:lang w:val="es-ES"/>
              </w:rPr>
              <w:t>Bruchus sp.</w:t>
            </w: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Align w:val="center"/>
          </w:tcPr>
          <w:p w:rsidR="00503A41" w:rsidRPr="00993936" w:rsidRDefault="00503A41" w:rsidP="00571B14">
            <w:pPr>
              <w:pStyle w:val="Sinespaciado"/>
              <w:rPr>
                <w:rFonts w:ascii="Arial" w:hAnsi="Arial" w:cs="Arial"/>
                <w:sz w:val="16"/>
                <w:lang w:val="es-ES"/>
              </w:rPr>
            </w:pPr>
          </w:p>
        </w:tc>
        <w:tc>
          <w:tcPr>
            <w:tcW w:w="718" w:type="pct"/>
            <w:vAlign w:val="center"/>
          </w:tcPr>
          <w:p w:rsidR="00503A41" w:rsidRPr="00993936" w:rsidRDefault="00503A41" w:rsidP="00571B14">
            <w:pPr>
              <w:pStyle w:val="Sinespaciado"/>
              <w:rPr>
                <w:rFonts w:ascii="Arial" w:hAnsi="Arial" w:cs="Arial"/>
                <w:sz w:val="16"/>
                <w:lang w:val="es-ES"/>
              </w:rPr>
            </w:pPr>
          </w:p>
        </w:tc>
        <w:tc>
          <w:tcPr>
            <w:tcW w:w="112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Eliminar a los granos afectados durante la siembra.</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Limpieza de restos de almacén y evitar la salida de adultos a la primavera.</w:t>
            </w:r>
          </w:p>
        </w:tc>
      </w:tr>
      <w:tr w:rsidR="00571B14" w:rsidRPr="00993936" w:rsidTr="00571B14">
        <w:trPr>
          <w:cantSplit/>
          <w:jc w:val="center"/>
        </w:trPr>
        <w:tc>
          <w:tcPr>
            <w:tcW w:w="1227"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b/>
                <w:sz w:val="16"/>
                <w:lang w:val="es-ES"/>
              </w:rPr>
              <w:t>Ácaros</w:t>
            </w:r>
            <w:r w:rsidRPr="00993936">
              <w:rPr>
                <w:rFonts w:ascii="Arial" w:hAnsi="Arial" w:cs="Arial"/>
                <w:sz w:val="16"/>
                <w:lang w:val="es-ES"/>
              </w:rPr>
              <w:t xml:space="preserve"> </w:t>
            </w:r>
          </w:p>
          <w:p w:rsidR="00503A41" w:rsidRPr="00993936" w:rsidRDefault="00503A41" w:rsidP="00571B14">
            <w:pPr>
              <w:pStyle w:val="Sinespaciado"/>
              <w:rPr>
                <w:rFonts w:ascii="Arial" w:hAnsi="Arial" w:cs="Arial"/>
                <w:sz w:val="16"/>
                <w:lang w:val="es-ES"/>
              </w:rPr>
            </w:pPr>
            <w:r w:rsidRPr="00993936">
              <w:rPr>
                <w:rFonts w:ascii="Arial" w:hAnsi="Arial" w:cs="Arial"/>
                <w:i/>
                <w:sz w:val="16"/>
                <w:lang w:val="es-ES"/>
              </w:rPr>
              <w:t xml:space="preserve">Tetranychus </w:t>
            </w:r>
            <w:r w:rsidRPr="00993936">
              <w:rPr>
                <w:rFonts w:ascii="Arial" w:hAnsi="Arial" w:cs="Arial"/>
                <w:sz w:val="16"/>
                <w:lang w:val="es-ES"/>
              </w:rPr>
              <w:t>spp</w:t>
            </w:r>
            <w:r w:rsidRPr="00993936">
              <w:rPr>
                <w:rFonts w:ascii="Arial" w:hAnsi="Arial" w:cs="Arial"/>
                <w:i/>
                <w:sz w:val="16"/>
                <w:lang w:val="es-ES"/>
              </w:rPr>
              <w:t>. Polyphagotarsonemus latus</w:t>
            </w:r>
            <w:r w:rsidRPr="00993936">
              <w:rPr>
                <w:rFonts w:ascii="Arial" w:hAnsi="Arial" w:cs="Arial"/>
                <w:sz w:val="16"/>
                <w:lang w:val="es-ES"/>
              </w:rPr>
              <w:t xml:space="preserve"> </w:t>
            </w: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Presencia de foco</w:t>
            </w:r>
          </w:p>
        </w:tc>
        <w:tc>
          <w:tcPr>
            <w:tcW w:w="71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Fitoseidos</w:t>
            </w:r>
          </w:p>
        </w:tc>
        <w:tc>
          <w:tcPr>
            <w:tcW w:w="1128" w:type="pct"/>
            <w:vAlign w:val="center"/>
          </w:tcPr>
          <w:p w:rsidR="00503A41" w:rsidRPr="00993936" w:rsidRDefault="00503A41" w:rsidP="00571B14">
            <w:pPr>
              <w:pStyle w:val="Sinespaciado"/>
              <w:rPr>
                <w:rFonts w:ascii="Arial" w:hAnsi="Arial" w:cs="Arial"/>
                <w:sz w:val="16"/>
                <w:lang w:val="es-ES"/>
              </w:rPr>
            </w:pPr>
          </w:p>
        </w:tc>
      </w:tr>
      <w:tr w:rsidR="00571B14" w:rsidRPr="00993936" w:rsidTr="00571B14">
        <w:trPr>
          <w:cantSplit/>
          <w:jc w:val="center"/>
        </w:trPr>
        <w:tc>
          <w:tcPr>
            <w:tcW w:w="1227" w:type="pct"/>
            <w:tcBorders>
              <w:bottom w:val="nil"/>
            </w:tcBorders>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Trips</w:t>
            </w:r>
          </w:p>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 xml:space="preserve">F. occidentalis </w:t>
            </w:r>
            <w:r w:rsidRPr="00993936">
              <w:rPr>
                <w:rFonts w:ascii="Arial" w:hAnsi="Arial" w:cs="Arial"/>
                <w:sz w:val="16"/>
                <w:lang w:val="es-ES"/>
              </w:rPr>
              <w:t>u otros</w:t>
            </w: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Presencia de daños</w:t>
            </w:r>
          </w:p>
        </w:tc>
        <w:tc>
          <w:tcPr>
            <w:tcW w:w="71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Antacóridos, fitoseidos</w:t>
            </w:r>
          </w:p>
        </w:tc>
        <w:tc>
          <w:tcPr>
            <w:tcW w:w="1128" w:type="pct"/>
            <w:vAlign w:val="center"/>
          </w:tcPr>
          <w:p w:rsidR="00503A41" w:rsidRPr="00993936" w:rsidRDefault="00503A41" w:rsidP="00571B14">
            <w:pPr>
              <w:pStyle w:val="Sinespaciado"/>
              <w:rPr>
                <w:rFonts w:ascii="Arial" w:hAnsi="Arial" w:cs="Arial"/>
                <w:sz w:val="16"/>
                <w:lang w:val="es-ES"/>
              </w:rPr>
            </w:pPr>
          </w:p>
        </w:tc>
      </w:tr>
      <w:tr w:rsidR="00571B14" w:rsidRPr="00993936" w:rsidTr="00571B14">
        <w:trPr>
          <w:cantSplit/>
          <w:jc w:val="center"/>
        </w:trPr>
        <w:tc>
          <w:tcPr>
            <w:tcW w:w="1227" w:type="pct"/>
            <w:tcBorders>
              <w:bottom w:val="nil"/>
            </w:tcBorders>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Antracnosis/Rabia</w:t>
            </w:r>
          </w:p>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Colletotrichum lindemuthianum, Ascochyta rabiei, Ascochyta lentis, Ascochita pise</w:t>
            </w: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Align w:val="center"/>
          </w:tcPr>
          <w:p w:rsidR="00503A41" w:rsidRPr="00993936" w:rsidRDefault="00503A41" w:rsidP="00571B14">
            <w:pPr>
              <w:pStyle w:val="Sinespaciado"/>
              <w:rPr>
                <w:rFonts w:ascii="Arial" w:hAnsi="Arial" w:cs="Arial"/>
                <w:sz w:val="16"/>
                <w:lang w:val="es-ES"/>
              </w:rPr>
            </w:pPr>
          </w:p>
        </w:tc>
        <w:tc>
          <w:tcPr>
            <w:tcW w:w="718" w:type="pct"/>
            <w:vAlign w:val="center"/>
          </w:tcPr>
          <w:p w:rsidR="00503A41" w:rsidRPr="00993936" w:rsidRDefault="00503A41" w:rsidP="00571B14">
            <w:pPr>
              <w:pStyle w:val="Sinespaciado"/>
              <w:rPr>
                <w:rFonts w:ascii="Arial" w:hAnsi="Arial" w:cs="Arial"/>
                <w:sz w:val="16"/>
                <w:lang w:val="es-ES"/>
              </w:rPr>
            </w:pPr>
          </w:p>
        </w:tc>
        <w:tc>
          <w:tcPr>
            <w:tcW w:w="112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Evitar altas densidades de plantación.</w:t>
            </w:r>
          </w:p>
        </w:tc>
      </w:tr>
      <w:tr w:rsidR="00571B14" w:rsidRPr="00993936" w:rsidTr="00571B14">
        <w:trPr>
          <w:cantSplit/>
          <w:jc w:val="center"/>
        </w:trPr>
        <w:tc>
          <w:tcPr>
            <w:tcW w:w="1227" w:type="pct"/>
            <w:tcBorders>
              <w:bottom w:val="nil"/>
            </w:tcBorders>
            <w:vAlign w:val="center"/>
          </w:tcPr>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Rhizoctonia sp.</w:t>
            </w: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Merge w:val="restar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Presencia de la enfermedad</w:t>
            </w:r>
          </w:p>
        </w:tc>
        <w:tc>
          <w:tcPr>
            <w:tcW w:w="718" w:type="pct"/>
            <w:vMerge w:val="restart"/>
            <w:vAlign w:val="center"/>
          </w:tcPr>
          <w:p w:rsidR="00503A41" w:rsidRPr="00993936" w:rsidRDefault="00503A41" w:rsidP="00571B14">
            <w:pPr>
              <w:pStyle w:val="Sinespaciado"/>
              <w:rPr>
                <w:rFonts w:ascii="Arial" w:hAnsi="Arial" w:cs="Arial"/>
                <w:sz w:val="16"/>
                <w:lang w:val="es-ES"/>
              </w:rPr>
            </w:pPr>
          </w:p>
        </w:tc>
        <w:tc>
          <w:tcPr>
            <w:tcW w:w="112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Evitar altas densidades de plantación.</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Rotación.</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Destruir restos de cultivo.</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Solarización</w:t>
            </w:r>
          </w:p>
        </w:tc>
      </w:tr>
      <w:tr w:rsidR="00571B14" w:rsidRPr="00993936" w:rsidTr="00571B14">
        <w:trPr>
          <w:cantSplit/>
          <w:trHeight w:val="244"/>
          <w:jc w:val="center"/>
        </w:trPr>
        <w:tc>
          <w:tcPr>
            <w:tcW w:w="1227" w:type="pct"/>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Mildiu</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w:t>
            </w:r>
            <w:r w:rsidRPr="00993936">
              <w:rPr>
                <w:rFonts w:ascii="Arial" w:hAnsi="Arial" w:cs="Arial"/>
                <w:i/>
                <w:sz w:val="16"/>
                <w:lang w:val="es-ES"/>
              </w:rPr>
              <w:t>Peronospora pise</w:t>
            </w:r>
            <w:r w:rsidRPr="00993936">
              <w:rPr>
                <w:rFonts w:ascii="Arial" w:hAnsi="Arial" w:cs="Arial"/>
                <w:sz w:val="16"/>
                <w:lang w:val="es-ES"/>
              </w:rPr>
              <w:t>)</w:t>
            </w:r>
          </w:p>
        </w:tc>
        <w:tc>
          <w:tcPr>
            <w:tcW w:w="1237" w:type="pct"/>
            <w:vMerge/>
            <w:vAlign w:val="center"/>
          </w:tcPr>
          <w:p w:rsidR="00503A41" w:rsidRPr="00993936" w:rsidRDefault="00503A41" w:rsidP="00571B14">
            <w:pPr>
              <w:pStyle w:val="Sinespaciado"/>
              <w:rPr>
                <w:rFonts w:ascii="Arial" w:hAnsi="Arial" w:cs="Arial"/>
                <w:sz w:val="16"/>
                <w:lang w:val="es-ES"/>
              </w:rPr>
            </w:pPr>
          </w:p>
        </w:tc>
        <w:tc>
          <w:tcPr>
            <w:tcW w:w="690" w:type="pct"/>
            <w:vMerge/>
            <w:vAlign w:val="center"/>
          </w:tcPr>
          <w:p w:rsidR="00503A41" w:rsidRPr="00993936" w:rsidRDefault="00503A41" w:rsidP="00571B14">
            <w:pPr>
              <w:pStyle w:val="Sinespaciado"/>
              <w:rPr>
                <w:rFonts w:ascii="Arial" w:hAnsi="Arial" w:cs="Arial"/>
                <w:sz w:val="16"/>
                <w:lang w:val="es-ES"/>
              </w:rPr>
            </w:pPr>
          </w:p>
        </w:tc>
        <w:tc>
          <w:tcPr>
            <w:tcW w:w="718" w:type="pct"/>
            <w:vMerge/>
            <w:vAlign w:val="center"/>
          </w:tcPr>
          <w:p w:rsidR="00503A41" w:rsidRPr="00993936" w:rsidRDefault="00503A41" w:rsidP="00571B14">
            <w:pPr>
              <w:pStyle w:val="Sinespaciado"/>
              <w:rPr>
                <w:rFonts w:ascii="Arial" w:hAnsi="Arial" w:cs="Arial"/>
                <w:sz w:val="16"/>
                <w:lang w:val="es-ES"/>
              </w:rPr>
            </w:pPr>
          </w:p>
        </w:tc>
        <w:tc>
          <w:tcPr>
            <w:tcW w:w="1128" w:type="pct"/>
            <w:vAlign w:val="center"/>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Evitar altas densidades de plantación</w:t>
            </w:r>
          </w:p>
        </w:tc>
      </w:tr>
      <w:tr w:rsidR="00571B14" w:rsidRPr="00993936" w:rsidTr="00571B14">
        <w:trPr>
          <w:cantSplit/>
          <w:jc w:val="center"/>
        </w:trPr>
        <w:tc>
          <w:tcPr>
            <w:tcW w:w="1227" w:type="pct"/>
            <w:tcBorders>
              <w:top w:val="single" w:sz="4" w:space="0" w:color="auto"/>
            </w:tcBorders>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Oídio</w:t>
            </w:r>
          </w:p>
          <w:p w:rsidR="00503A41" w:rsidRPr="00993936" w:rsidRDefault="00503A41" w:rsidP="00571B14">
            <w:pPr>
              <w:pStyle w:val="Sinespaciado"/>
              <w:rPr>
                <w:rFonts w:ascii="Arial" w:hAnsi="Arial" w:cs="Arial"/>
                <w:sz w:val="16"/>
                <w:lang w:val="es-ES"/>
              </w:rPr>
            </w:pPr>
            <w:r w:rsidRPr="00993936">
              <w:rPr>
                <w:rFonts w:ascii="Arial" w:hAnsi="Arial" w:cs="Arial"/>
                <w:i/>
                <w:sz w:val="16"/>
                <w:lang w:val="es-ES"/>
              </w:rPr>
              <w:t>Erysiphe polygoni</w:t>
            </w:r>
          </w:p>
        </w:tc>
        <w:tc>
          <w:tcPr>
            <w:tcW w:w="1237" w:type="pct"/>
            <w:vMerge/>
          </w:tcPr>
          <w:p w:rsidR="00503A41" w:rsidRPr="00993936" w:rsidRDefault="00503A41" w:rsidP="00571B14">
            <w:pPr>
              <w:pStyle w:val="Sinespaciado"/>
              <w:rPr>
                <w:rFonts w:ascii="Arial" w:hAnsi="Arial" w:cs="Arial"/>
                <w:sz w:val="16"/>
                <w:lang w:val="es-ES"/>
              </w:rPr>
            </w:pPr>
          </w:p>
        </w:tc>
        <w:tc>
          <w:tcPr>
            <w:tcW w:w="690" w:type="pct"/>
            <w:vMerge/>
          </w:tcPr>
          <w:p w:rsidR="00503A41" w:rsidRPr="00993936" w:rsidRDefault="00503A41" w:rsidP="00571B14">
            <w:pPr>
              <w:pStyle w:val="Sinespaciado"/>
              <w:rPr>
                <w:rFonts w:ascii="Arial" w:hAnsi="Arial" w:cs="Arial"/>
                <w:sz w:val="16"/>
                <w:lang w:val="es-ES"/>
              </w:rPr>
            </w:pPr>
          </w:p>
        </w:tc>
        <w:tc>
          <w:tcPr>
            <w:tcW w:w="718" w:type="pct"/>
            <w:vMerge/>
          </w:tcPr>
          <w:p w:rsidR="00503A41" w:rsidRPr="00993936" w:rsidRDefault="00503A41" w:rsidP="00571B14">
            <w:pPr>
              <w:pStyle w:val="Sinespaciado"/>
              <w:rPr>
                <w:rFonts w:ascii="Arial" w:hAnsi="Arial" w:cs="Arial"/>
                <w:sz w:val="16"/>
                <w:lang w:val="es-ES"/>
              </w:rPr>
            </w:pPr>
          </w:p>
        </w:tc>
        <w:tc>
          <w:tcPr>
            <w:tcW w:w="1128" w:type="pct"/>
          </w:tcPr>
          <w:p w:rsidR="00503A41" w:rsidRPr="00993936" w:rsidRDefault="00503A41" w:rsidP="00571B14">
            <w:pPr>
              <w:pStyle w:val="Sinespaciado"/>
              <w:rPr>
                <w:rFonts w:ascii="Arial" w:hAnsi="Arial" w:cs="Arial"/>
                <w:sz w:val="16"/>
                <w:lang w:val="es-ES"/>
              </w:rPr>
            </w:pPr>
          </w:p>
        </w:tc>
      </w:tr>
      <w:tr w:rsidR="00571B14" w:rsidRPr="00993936" w:rsidTr="00571B14">
        <w:trPr>
          <w:cantSplit/>
          <w:jc w:val="center"/>
        </w:trPr>
        <w:tc>
          <w:tcPr>
            <w:tcW w:w="1227" w:type="pct"/>
            <w:tcBorders>
              <w:top w:val="single" w:sz="4" w:space="0" w:color="auto"/>
            </w:tcBorders>
            <w:vAlign w:val="center"/>
          </w:tcPr>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 xml:space="preserve">Botrytis </w:t>
            </w:r>
            <w:r w:rsidRPr="00993936">
              <w:rPr>
                <w:rFonts w:ascii="Arial" w:hAnsi="Arial" w:cs="Arial"/>
                <w:sz w:val="16"/>
                <w:lang w:val="es-ES"/>
              </w:rPr>
              <w:t>sp.</w:t>
            </w:r>
          </w:p>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 xml:space="preserve">Sclerotinia </w:t>
            </w:r>
            <w:r w:rsidRPr="00993936">
              <w:rPr>
                <w:rFonts w:ascii="Arial" w:hAnsi="Arial" w:cs="Arial"/>
                <w:sz w:val="16"/>
                <w:lang w:val="es-ES"/>
              </w:rPr>
              <w:t>sp.</w:t>
            </w:r>
          </w:p>
        </w:tc>
        <w:tc>
          <w:tcPr>
            <w:tcW w:w="1237" w:type="pct"/>
            <w:vMerge/>
          </w:tcPr>
          <w:p w:rsidR="00503A41" w:rsidRPr="00993936" w:rsidRDefault="00503A41" w:rsidP="00571B14">
            <w:pPr>
              <w:pStyle w:val="Sinespaciado"/>
              <w:rPr>
                <w:rFonts w:ascii="Arial" w:hAnsi="Arial" w:cs="Arial"/>
                <w:sz w:val="16"/>
                <w:lang w:val="es-ES"/>
              </w:rPr>
            </w:pPr>
          </w:p>
        </w:tc>
        <w:tc>
          <w:tcPr>
            <w:tcW w:w="690" w:type="pct"/>
            <w:vMerge/>
          </w:tcPr>
          <w:p w:rsidR="00503A41" w:rsidRPr="00993936" w:rsidRDefault="00503A41" w:rsidP="00571B14">
            <w:pPr>
              <w:pStyle w:val="Sinespaciado"/>
              <w:rPr>
                <w:rFonts w:ascii="Arial" w:hAnsi="Arial" w:cs="Arial"/>
                <w:sz w:val="16"/>
                <w:lang w:val="es-ES"/>
              </w:rPr>
            </w:pPr>
          </w:p>
        </w:tc>
        <w:tc>
          <w:tcPr>
            <w:tcW w:w="718" w:type="pct"/>
            <w:vMerge/>
          </w:tcPr>
          <w:p w:rsidR="00503A41" w:rsidRPr="00993936" w:rsidRDefault="00503A41" w:rsidP="00571B14">
            <w:pPr>
              <w:pStyle w:val="Sinespaciado"/>
              <w:rPr>
                <w:rFonts w:ascii="Arial" w:hAnsi="Arial" w:cs="Arial"/>
                <w:sz w:val="16"/>
                <w:lang w:val="es-ES"/>
              </w:rPr>
            </w:pPr>
          </w:p>
        </w:tc>
        <w:tc>
          <w:tcPr>
            <w:tcW w:w="1128" w:type="pct"/>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Solarización</w:t>
            </w:r>
          </w:p>
        </w:tc>
      </w:tr>
      <w:tr w:rsidR="00571B14" w:rsidRPr="00993936" w:rsidTr="00571B14">
        <w:trPr>
          <w:cantSplit/>
          <w:jc w:val="center"/>
        </w:trPr>
        <w:tc>
          <w:tcPr>
            <w:tcW w:w="1227" w:type="pct"/>
            <w:tcBorders>
              <w:top w:val="single" w:sz="4" w:space="0" w:color="auto"/>
            </w:tcBorders>
            <w:vAlign w:val="center"/>
          </w:tcPr>
          <w:p w:rsidR="00503A41" w:rsidRPr="00993936" w:rsidRDefault="00503A41" w:rsidP="00571B14">
            <w:pPr>
              <w:pStyle w:val="Sinespaciado"/>
              <w:rPr>
                <w:rFonts w:ascii="Arial" w:hAnsi="Arial" w:cs="Arial"/>
                <w:sz w:val="16"/>
                <w:lang w:val="es-ES"/>
              </w:rPr>
            </w:pPr>
            <w:r w:rsidRPr="00993936">
              <w:rPr>
                <w:rFonts w:ascii="Arial" w:hAnsi="Arial" w:cs="Arial"/>
                <w:b/>
                <w:sz w:val="16"/>
                <w:lang w:val="es-ES"/>
              </w:rPr>
              <w:t>Roya</w:t>
            </w:r>
          </w:p>
          <w:p w:rsidR="00503A41" w:rsidRPr="00993936" w:rsidRDefault="00503A41" w:rsidP="00571B14">
            <w:pPr>
              <w:pStyle w:val="Sinespaciado"/>
              <w:rPr>
                <w:rFonts w:ascii="Arial" w:hAnsi="Arial" w:cs="Arial"/>
                <w:sz w:val="16"/>
                <w:lang w:val="es-ES"/>
              </w:rPr>
            </w:pPr>
            <w:r w:rsidRPr="00993936">
              <w:rPr>
                <w:rFonts w:ascii="Arial" w:hAnsi="Arial" w:cs="Arial"/>
                <w:i/>
                <w:sz w:val="16"/>
                <w:lang w:val="es-ES"/>
              </w:rPr>
              <w:t>Uromyces appendiculatus</w:t>
            </w:r>
            <w:r w:rsidRPr="00993936">
              <w:rPr>
                <w:rFonts w:ascii="Arial" w:hAnsi="Arial" w:cs="Arial"/>
                <w:sz w:val="16"/>
                <w:lang w:val="es-ES"/>
              </w:rPr>
              <w:t xml:space="preserve"> y otros</w:t>
            </w:r>
          </w:p>
        </w:tc>
        <w:tc>
          <w:tcPr>
            <w:tcW w:w="1237" w:type="pct"/>
            <w:vMerge/>
          </w:tcPr>
          <w:p w:rsidR="00503A41" w:rsidRPr="00993936" w:rsidRDefault="00503A41" w:rsidP="00571B14">
            <w:pPr>
              <w:pStyle w:val="Sinespaciado"/>
              <w:rPr>
                <w:rFonts w:ascii="Arial" w:hAnsi="Arial" w:cs="Arial"/>
                <w:sz w:val="16"/>
                <w:lang w:val="es-ES"/>
              </w:rPr>
            </w:pPr>
          </w:p>
        </w:tc>
        <w:tc>
          <w:tcPr>
            <w:tcW w:w="690" w:type="pct"/>
            <w:vMerge/>
          </w:tcPr>
          <w:p w:rsidR="00503A41" w:rsidRPr="00993936" w:rsidRDefault="00503A41" w:rsidP="00571B14">
            <w:pPr>
              <w:pStyle w:val="Sinespaciado"/>
              <w:rPr>
                <w:rFonts w:ascii="Arial" w:hAnsi="Arial" w:cs="Arial"/>
                <w:sz w:val="16"/>
                <w:lang w:val="es-ES"/>
              </w:rPr>
            </w:pPr>
          </w:p>
        </w:tc>
        <w:tc>
          <w:tcPr>
            <w:tcW w:w="718" w:type="pct"/>
            <w:vMerge/>
          </w:tcPr>
          <w:p w:rsidR="00503A41" w:rsidRPr="00993936" w:rsidRDefault="00503A41" w:rsidP="00571B14">
            <w:pPr>
              <w:pStyle w:val="Sinespaciado"/>
              <w:rPr>
                <w:rFonts w:ascii="Arial" w:hAnsi="Arial" w:cs="Arial"/>
                <w:sz w:val="16"/>
                <w:lang w:val="es-ES"/>
              </w:rPr>
            </w:pPr>
          </w:p>
        </w:tc>
        <w:tc>
          <w:tcPr>
            <w:tcW w:w="1128" w:type="pct"/>
          </w:tcPr>
          <w:p w:rsidR="00503A41" w:rsidRPr="00993936" w:rsidRDefault="00503A41" w:rsidP="00571B14">
            <w:pPr>
              <w:pStyle w:val="Sinespaciado"/>
              <w:rPr>
                <w:rFonts w:ascii="Arial" w:hAnsi="Arial" w:cs="Arial"/>
                <w:sz w:val="16"/>
                <w:lang w:val="es-ES"/>
              </w:rPr>
            </w:pPr>
          </w:p>
        </w:tc>
      </w:tr>
      <w:tr w:rsidR="00571B14" w:rsidRPr="00993936" w:rsidTr="00571B14">
        <w:trPr>
          <w:cantSplit/>
          <w:jc w:val="center"/>
        </w:trPr>
        <w:tc>
          <w:tcPr>
            <w:tcW w:w="1227" w:type="pct"/>
            <w:tcBorders>
              <w:top w:val="single" w:sz="4" w:space="0" w:color="auto"/>
            </w:tcBorders>
            <w:vAlign w:val="center"/>
          </w:tcPr>
          <w:p w:rsidR="00503A41" w:rsidRPr="00993936" w:rsidRDefault="00503A41" w:rsidP="00571B14">
            <w:pPr>
              <w:pStyle w:val="Sinespaciado"/>
              <w:rPr>
                <w:rFonts w:ascii="Arial" w:hAnsi="Arial" w:cs="Arial"/>
                <w:sz w:val="16"/>
                <w:lang w:val="es-ES"/>
              </w:rPr>
            </w:pPr>
            <w:r w:rsidRPr="00993936">
              <w:rPr>
                <w:rFonts w:ascii="Arial" w:hAnsi="Arial" w:cs="Arial"/>
                <w:b/>
                <w:sz w:val="16"/>
                <w:lang w:val="es-ES"/>
              </w:rPr>
              <w:t>Secado vascular</w:t>
            </w:r>
          </w:p>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Fusrium oxisporum</w:t>
            </w:r>
          </w:p>
          <w:p w:rsidR="00503A41" w:rsidRPr="00993936" w:rsidRDefault="00503A41" w:rsidP="00571B14">
            <w:pPr>
              <w:pStyle w:val="Sinespaciado"/>
              <w:rPr>
                <w:rFonts w:ascii="Arial" w:hAnsi="Arial" w:cs="Arial"/>
                <w:i/>
                <w:sz w:val="16"/>
                <w:lang w:val="es-ES"/>
              </w:rPr>
            </w:pPr>
            <w:r w:rsidRPr="00993936">
              <w:rPr>
                <w:rFonts w:ascii="Arial" w:hAnsi="Arial" w:cs="Arial"/>
                <w:i/>
                <w:sz w:val="16"/>
                <w:lang w:val="es-ES"/>
              </w:rPr>
              <w:t>Macrophomina phaseolina</w:t>
            </w:r>
          </w:p>
          <w:p w:rsidR="00503A41" w:rsidRPr="00993936" w:rsidRDefault="00503A41" w:rsidP="00571B14">
            <w:pPr>
              <w:pStyle w:val="Sinespaciado"/>
              <w:rPr>
                <w:rFonts w:ascii="Arial" w:hAnsi="Arial" w:cs="Arial"/>
                <w:b/>
                <w:sz w:val="16"/>
                <w:lang w:val="es-ES"/>
              </w:rPr>
            </w:pPr>
          </w:p>
        </w:tc>
        <w:tc>
          <w:tcPr>
            <w:tcW w:w="1237" w:type="pct"/>
            <w:vMerge/>
          </w:tcPr>
          <w:p w:rsidR="00503A41" w:rsidRPr="00993936" w:rsidRDefault="00503A41" w:rsidP="00571B14">
            <w:pPr>
              <w:pStyle w:val="Sinespaciado"/>
              <w:rPr>
                <w:rFonts w:ascii="Arial" w:hAnsi="Arial" w:cs="Arial"/>
                <w:sz w:val="16"/>
                <w:lang w:val="es-ES"/>
              </w:rPr>
            </w:pPr>
          </w:p>
        </w:tc>
        <w:tc>
          <w:tcPr>
            <w:tcW w:w="690" w:type="pct"/>
            <w:vMerge/>
          </w:tcPr>
          <w:p w:rsidR="00503A41" w:rsidRPr="00993936" w:rsidRDefault="00503A41" w:rsidP="00571B14">
            <w:pPr>
              <w:pStyle w:val="Sinespaciado"/>
              <w:rPr>
                <w:rFonts w:ascii="Arial" w:hAnsi="Arial" w:cs="Arial"/>
                <w:sz w:val="16"/>
                <w:lang w:val="es-ES"/>
              </w:rPr>
            </w:pPr>
          </w:p>
        </w:tc>
        <w:tc>
          <w:tcPr>
            <w:tcW w:w="718" w:type="pct"/>
            <w:vMerge/>
          </w:tcPr>
          <w:p w:rsidR="00503A41" w:rsidRPr="00993936" w:rsidRDefault="00503A41" w:rsidP="00571B14">
            <w:pPr>
              <w:pStyle w:val="Sinespaciado"/>
              <w:rPr>
                <w:rFonts w:ascii="Arial" w:hAnsi="Arial" w:cs="Arial"/>
                <w:sz w:val="16"/>
                <w:lang w:val="es-ES"/>
              </w:rPr>
            </w:pPr>
          </w:p>
        </w:tc>
        <w:tc>
          <w:tcPr>
            <w:tcW w:w="1128" w:type="pct"/>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Solarización</w:t>
            </w:r>
          </w:p>
        </w:tc>
      </w:tr>
      <w:tr w:rsidR="00571B14" w:rsidRPr="00993936" w:rsidTr="00571B14">
        <w:trPr>
          <w:cantSplit/>
          <w:jc w:val="center"/>
        </w:trPr>
        <w:tc>
          <w:tcPr>
            <w:tcW w:w="1227" w:type="pct"/>
            <w:tcBorders>
              <w:top w:val="single" w:sz="4" w:space="0" w:color="auto"/>
            </w:tcBorders>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Bacterias</w:t>
            </w:r>
          </w:p>
          <w:p w:rsidR="00503A41" w:rsidRPr="00993936" w:rsidRDefault="00503A41" w:rsidP="00571B14">
            <w:pPr>
              <w:pStyle w:val="Sinespaciado"/>
              <w:rPr>
                <w:rFonts w:ascii="Arial" w:hAnsi="Arial" w:cs="Arial"/>
                <w:sz w:val="16"/>
                <w:lang w:val="es-ES"/>
              </w:rPr>
            </w:pPr>
            <w:r w:rsidRPr="00993936">
              <w:rPr>
                <w:rFonts w:ascii="Arial" w:hAnsi="Arial" w:cs="Arial"/>
                <w:i/>
                <w:sz w:val="16"/>
                <w:lang w:val="es-ES"/>
              </w:rPr>
              <w:t>Pseudomonas syringae, Xanthomonas campestris</w:t>
            </w:r>
          </w:p>
        </w:tc>
        <w:tc>
          <w:tcPr>
            <w:tcW w:w="1237" w:type="pct"/>
            <w:vMerge/>
          </w:tcPr>
          <w:p w:rsidR="00503A41" w:rsidRPr="00993936" w:rsidRDefault="00503A41" w:rsidP="00571B14">
            <w:pPr>
              <w:pStyle w:val="Sinespaciado"/>
              <w:rPr>
                <w:rFonts w:ascii="Arial" w:hAnsi="Arial" w:cs="Arial"/>
                <w:sz w:val="16"/>
                <w:lang w:val="es-ES"/>
              </w:rPr>
            </w:pPr>
          </w:p>
        </w:tc>
        <w:tc>
          <w:tcPr>
            <w:tcW w:w="690" w:type="pct"/>
            <w:vMerge/>
          </w:tcPr>
          <w:p w:rsidR="00503A41" w:rsidRPr="00993936" w:rsidRDefault="00503A41" w:rsidP="00571B14">
            <w:pPr>
              <w:pStyle w:val="Sinespaciado"/>
              <w:rPr>
                <w:rFonts w:ascii="Arial" w:hAnsi="Arial" w:cs="Arial"/>
                <w:sz w:val="16"/>
                <w:lang w:val="es-ES"/>
              </w:rPr>
            </w:pPr>
          </w:p>
        </w:tc>
        <w:tc>
          <w:tcPr>
            <w:tcW w:w="718" w:type="pct"/>
            <w:vMerge/>
          </w:tcPr>
          <w:p w:rsidR="00503A41" w:rsidRPr="00993936" w:rsidRDefault="00503A41" w:rsidP="00571B14">
            <w:pPr>
              <w:pStyle w:val="Sinespaciado"/>
              <w:rPr>
                <w:rFonts w:ascii="Arial" w:hAnsi="Arial" w:cs="Arial"/>
                <w:sz w:val="16"/>
                <w:lang w:val="es-ES"/>
              </w:rPr>
            </w:pPr>
          </w:p>
        </w:tc>
        <w:tc>
          <w:tcPr>
            <w:tcW w:w="1128" w:type="pct"/>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Evitar altas densidades de plantación.</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Rotación.</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Destruir restos de cultivo.</w:t>
            </w:r>
          </w:p>
        </w:tc>
      </w:tr>
      <w:tr w:rsidR="00571B14" w:rsidRPr="00993936" w:rsidTr="00571B14">
        <w:trPr>
          <w:cantSplit/>
          <w:jc w:val="center"/>
        </w:trPr>
        <w:tc>
          <w:tcPr>
            <w:tcW w:w="1227" w:type="pct"/>
            <w:tcBorders>
              <w:top w:val="single" w:sz="4" w:space="0" w:color="auto"/>
            </w:tcBorders>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Nemátodos</w:t>
            </w:r>
          </w:p>
        </w:tc>
        <w:tc>
          <w:tcPr>
            <w:tcW w:w="1237" w:type="pct"/>
            <w:vMerge/>
          </w:tcPr>
          <w:p w:rsidR="00503A41" w:rsidRPr="00993936" w:rsidRDefault="00503A41" w:rsidP="00571B14">
            <w:pPr>
              <w:pStyle w:val="Sinespaciado"/>
              <w:rPr>
                <w:rFonts w:ascii="Arial" w:hAnsi="Arial" w:cs="Arial"/>
                <w:sz w:val="16"/>
                <w:lang w:val="es-ES"/>
              </w:rPr>
            </w:pPr>
          </w:p>
        </w:tc>
        <w:tc>
          <w:tcPr>
            <w:tcW w:w="690" w:type="pct"/>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Presencia en el cultivo anterior</w:t>
            </w:r>
          </w:p>
        </w:tc>
        <w:tc>
          <w:tcPr>
            <w:tcW w:w="718" w:type="pct"/>
            <w:vMerge/>
          </w:tcPr>
          <w:p w:rsidR="00503A41" w:rsidRPr="00993936" w:rsidRDefault="00503A41" w:rsidP="00571B14">
            <w:pPr>
              <w:pStyle w:val="Sinespaciado"/>
              <w:rPr>
                <w:rFonts w:ascii="Arial" w:hAnsi="Arial" w:cs="Arial"/>
                <w:sz w:val="16"/>
                <w:lang w:val="es-ES"/>
              </w:rPr>
            </w:pPr>
          </w:p>
        </w:tc>
        <w:tc>
          <w:tcPr>
            <w:tcW w:w="1128" w:type="pct"/>
          </w:tcPr>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Utilización de variedades resistentes.</w:t>
            </w:r>
          </w:p>
          <w:p w:rsidR="00503A41" w:rsidRPr="00993936" w:rsidRDefault="00503A41" w:rsidP="00571B14">
            <w:pPr>
              <w:pStyle w:val="Sinespaciado"/>
              <w:rPr>
                <w:rFonts w:ascii="Arial" w:hAnsi="Arial" w:cs="Arial"/>
                <w:sz w:val="16"/>
                <w:lang w:val="es-ES"/>
              </w:rPr>
            </w:pPr>
            <w:r w:rsidRPr="00993936">
              <w:rPr>
                <w:rFonts w:ascii="Arial" w:hAnsi="Arial" w:cs="Arial"/>
                <w:sz w:val="16"/>
                <w:lang w:val="es-ES"/>
              </w:rPr>
              <w:t>Biofumigación.</w:t>
            </w:r>
          </w:p>
        </w:tc>
      </w:tr>
      <w:tr w:rsidR="00571B14" w:rsidRPr="00993936" w:rsidTr="00571B14">
        <w:trPr>
          <w:cantSplit/>
          <w:jc w:val="center"/>
        </w:trPr>
        <w:tc>
          <w:tcPr>
            <w:tcW w:w="1227" w:type="pct"/>
            <w:tcBorders>
              <w:top w:val="single" w:sz="4" w:space="0" w:color="auto"/>
            </w:tcBorders>
            <w:vAlign w:val="center"/>
          </w:tcPr>
          <w:p w:rsidR="00503A41" w:rsidRPr="00993936" w:rsidRDefault="00503A41" w:rsidP="00571B14">
            <w:pPr>
              <w:pStyle w:val="Sinespaciado"/>
              <w:rPr>
                <w:rFonts w:ascii="Arial" w:hAnsi="Arial" w:cs="Arial"/>
                <w:b/>
                <w:sz w:val="16"/>
                <w:lang w:val="es-ES"/>
              </w:rPr>
            </w:pPr>
            <w:r w:rsidRPr="00993936">
              <w:rPr>
                <w:rFonts w:ascii="Arial" w:hAnsi="Arial" w:cs="Arial"/>
                <w:b/>
                <w:sz w:val="16"/>
                <w:lang w:val="es-ES"/>
              </w:rPr>
              <w:t>Otras plagas y enfermedades</w:t>
            </w:r>
          </w:p>
        </w:tc>
        <w:tc>
          <w:tcPr>
            <w:tcW w:w="1237" w:type="pct"/>
            <w:vMerge/>
          </w:tcPr>
          <w:p w:rsidR="00503A41" w:rsidRPr="00993936" w:rsidRDefault="00503A41" w:rsidP="00571B14">
            <w:pPr>
              <w:pStyle w:val="Sinespaciado"/>
              <w:rPr>
                <w:rFonts w:ascii="Arial" w:hAnsi="Arial" w:cs="Arial"/>
                <w:sz w:val="16"/>
                <w:lang w:val="es-ES"/>
              </w:rPr>
            </w:pPr>
          </w:p>
        </w:tc>
        <w:tc>
          <w:tcPr>
            <w:tcW w:w="690" w:type="pct"/>
          </w:tcPr>
          <w:p w:rsidR="00503A41" w:rsidRPr="00993936" w:rsidRDefault="00503A41" w:rsidP="00571B14">
            <w:pPr>
              <w:pStyle w:val="Sinespaciado"/>
              <w:rPr>
                <w:rFonts w:ascii="Arial" w:hAnsi="Arial" w:cs="Arial"/>
                <w:sz w:val="16"/>
                <w:lang w:val="es-ES"/>
              </w:rPr>
            </w:pPr>
          </w:p>
        </w:tc>
        <w:tc>
          <w:tcPr>
            <w:tcW w:w="718" w:type="pct"/>
            <w:vMerge/>
          </w:tcPr>
          <w:p w:rsidR="00503A41" w:rsidRPr="00993936" w:rsidRDefault="00503A41" w:rsidP="00571B14">
            <w:pPr>
              <w:pStyle w:val="Sinespaciado"/>
              <w:rPr>
                <w:rFonts w:ascii="Arial" w:hAnsi="Arial" w:cs="Arial"/>
                <w:sz w:val="16"/>
                <w:lang w:val="es-ES"/>
              </w:rPr>
            </w:pPr>
          </w:p>
        </w:tc>
        <w:tc>
          <w:tcPr>
            <w:tcW w:w="1128" w:type="pct"/>
          </w:tcPr>
          <w:p w:rsidR="00503A41" w:rsidRPr="00993936" w:rsidRDefault="00503A41" w:rsidP="00571B14">
            <w:pPr>
              <w:pStyle w:val="Sinespaciado"/>
              <w:rPr>
                <w:rFonts w:ascii="Arial" w:hAnsi="Arial" w:cs="Arial"/>
                <w:sz w:val="16"/>
                <w:lang w:val="es-ES"/>
              </w:rPr>
            </w:pPr>
          </w:p>
        </w:tc>
      </w:tr>
    </w:tbl>
    <w:p w:rsidR="00503A41" w:rsidRPr="00993936" w:rsidRDefault="00503A41" w:rsidP="000452B8">
      <w:pPr>
        <w:pStyle w:val="Textoindependiente3"/>
        <w:rPr>
          <w:rFonts w:cs="Arial"/>
          <w:lang w:val="es-ES"/>
        </w:rPr>
      </w:pPr>
    </w:p>
    <w:p w:rsidR="00503A41" w:rsidRPr="00993936" w:rsidRDefault="00503A41" w:rsidP="000452B8">
      <w:pPr>
        <w:pStyle w:val="Textoindependiente3"/>
        <w:rPr>
          <w:rFonts w:cs="Arial"/>
          <w:b w:val="0"/>
          <w:szCs w:val="22"/>
          <w:lang w:val="es-ES"/>
        </w:rPr>
      </w:pPr>
      <w:r w:rsidRPr="00993936">
        <w:rPr>
          <w:rFonts w:cs="Arial"/>
          <w:b w:val="0"/>
          <w:szCs w:val="22"/>
          <w:lang w:val="es-ES"/>
        </w:rPr>
        <w:lastRenderedPageBreak/>
        <w:t>Cuadro 2.  Materias activas para la producción integrada de alubia, garbanzo y lenteja, teniendo en cuenta las indicaciones del Cuaderno de explotación y el Programa, de control integrado de plagas y enfermedades.</w:t>
      </w:r>
    </w:p>
    <w:tbl>
      <w:tblPr>
        <w:tblW w:w="56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47"/>
        <w:gridCol w:w="4145"/>
        <w:gridCol w:w="752"/>
        <w:gridCol w:w="1108"/>
        <w:gridCol w:w="1352"/>
      </w:tblGrid>
      <w:tr w:rsidR="00571B14" w:rsidRPr="00993936" w:rsidTr="00571B14">
        <w:trPr>
          <w:cantSplit/>
          <w:trHeight w:val="240"/>
          <w:tblHeader/>
          <w:jc w:val="center"/>
        </w:trPr>
        <w:tc>
          <w:tcPr>
            <w:tcW w:w="1258"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Plaga/enfermedad</w:t>
            </w:r>
          </w:p>
        </w:tc>
        <w:tc>
          <w:tcPr>
            <w:tcW w:w="2124"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Materias Activas</w:t>
            </w:r>
          </w:p>
        </w:tc>
        <w:tc>
          <w:tcPr>
            <w:tcW w:w="344"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Alubia</w:t>
            </w:r>
          </w:p>
        </w:tc>
        <w:tc>
          <w:tcPr>
            <w:tcW w:w="575"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Garbanzo</w:t>
            </w:r>
          </w:p>
        </w:tc>
        <w:tc>
          <w:tcPr>
            <w:tcW w:w="700" w:type="pct"/>
            <w:tcBorders>
              <w:top w:val="single" w:sz="4" w:space="0" w:color="auto"/>
            </w:tcBorders>
            <w:shd w:val="pct15" w:color="auto" w:fill="FFFFFF"/>
            <w:vAlign w:val="center"/>
          </w:tcPr>
          <w:p w:rsidR="00503A41" w:rsidRPr="00993936" w:rsidRDefault="00503A41" w:rsidP="001D205D">
            <w:pPr>
              <w:pStyle w:val="Sinespaciado"/>
              <w:rPr>
                <w:rFonts w:ascii="Arial" w:hAnsi="Arial" w:cs="Arial"/>
              </w:rPr>
            </w:pPr>
            <w:r w:rsidRPr="00993936">
              <w:rPr>
                <w:rFonts w:ascii="Arial" w:hAnsi="Arial" w:cs="Arial"/>
              </w:rPr>
              <w:t>Lenteja</w:t>
            </w:r>
          </w:p>
        </w:tc>
      </w:tr>
      <w:tr w:rsidR="00571B14" w:rsidRPr="00993936" w:rsidTr="00571B14">
        <w:trPr>
          <w:cantSplit/>
          <w:trHeight w:val="298"/>
          <w:jc w:val="center"/>
        </w:trPr>
        <w:tc>
          <w:tcPr>
            <w:tcW w:w="1258"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Mosca blanca</w:t>
            </w:r>
          </w:p>
          <w:p w:rsidR="00503A41" w:rsidRPr="00993936" w:rsidRDefault="00503A41" w:rsidP="001D205D">
            <w:pPr>
              <w:pStyle w:val="Sinespaciado"/>
              <w:rPr>
                <w:rFonts w:ascii="Arial" w:hAnsi="Arial" w:cs="Arial"/>
                <w:i/>
                <w:lang w:val="es-ES"/>
              </w:rPr>
            </w:pPr>
            <w:r w:rsidRPr="00993936">
              <w:rPr>
                <w:rFonts w:ascii="Arial" w:hAnsi="Arial" w:cs="Arial"/>
                <w:i/>
                <w:lang w:val="es-ES"/>
              </w:rPr>
              <w:t>T. vaporariorum</w:t>
            </w:r>
          </w:p>
          <w:p w:rsidR="00503A41" w:rsidRPr="00993936" w:rsidRDefault="00503A41" w:rsidP="001D205D">
            <w:pPr>
              <w:pStyle w:val="Sinespaciado"/>
              <w:rPr>
                <w:rFonts w:ascii="Arial" w:hAnsi="Arial" w:cs="Arial"/>
                <w:i/>
                <w:lang w:val="es-ES"/>
              </w:rPr>
            </w:pPr>
            <w:r w:rsidRPr="00993936">
              <w:rPr>
                <w:rFonts w:ascii="Arial" w:hAnsi="Arial" w:cs="Arial"/>
                <w:i/>
                <w:lang w:val="es-ES"/>
              </w:rPr>
              <w:t>B. tabaci</w:t>
            </w: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3"/>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344" w:type="pct"/>
            <w:vAlign w:val="center"/>
          </w:tcPr>
          <w:p w:rsidR="00503A41" w:rsidRPr="00993936" w:rsidRDefault="00503A41" w:rsidP="001D205D">
            <w:pPr>
              <w:pStyle w:val="Sinespaciado"/>
              <w:rPr>
                <w:rFonts w:ascii="Arial" w:hAnsi="Arial" w:cs="Arial"/>
                <w:dstrike/>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3"/>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Spirotetramat</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8"/>
          <w:jc w:val="center"/>
        </w:trPr>
        <w:tc>
          <w:tcPr>
            <w:tcW w:w="1258"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Pulgones</w:t>
            </w:r>
          </w:p>
          <w:p w:rsidR="00503A41" w:rsidRPr="00993936" w:rsidRDefault="00503A41" w:rsidP="001D205D">
            <w:pPr>
              <w:pStyle w:val="Sinespaciado"/>
              <w:rPr>
                <w:rFonts w:ascii="Arial" w:hAnsi="Arial" w:cs="Arial"/>
                <w:b/>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9"/>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Imidacloprid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Lambda-cihalotrín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Pirimicarb (2)</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Spirotetramat</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424"/>
          <w:jc w:val="center"/>
        </w:trPr>
        <w:tc>
          <w:tcPr>
            <w:tcW w:w="1258"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Minadora</w:t>
            </w:r>
          </w:p>
          <w:p w:rsidR="00503A41" w:rsidRPr="00993936" w:rsidRDefault="00503A41" w:rsidP="001D205D">
            <w:pPr>
              <w:pStyle w:val="Sinespaciado"/>
              <w:rPr>
                <w:rFonts w:ascii="Arial" w:hAnsi="Arial" w:cs="Arial"/>
                <w:lang w:val="es-ES"/>
              </w:rPr>
            </w:pPr>
            <w:r w:rsidRPr="00993936">
              <w:rPr>
                <w:rFonts w:ascii="Arial" w:hAnsi="Arial" w:cs="Arial"/>
                <w:i/>
                <w:lang w:val="es-ES"/>
              </w:rPr>
              <w:t>Liriomyza</w:t>
            </w:r>
            <w:r w:rsidRPr="00993936">
              <w:rPr>
                <w:rFonts w:ascii="Arial" w:hAnsi="Arial" w:cs="Arial"/>
                <w:lang w:val="es-ES"/>
              </w:rPr>
              <w:t xml:space="preserve"> spp.</w:t>
            </w: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5"/>
          <w:jc w:val="center"/>
        </w:trPr>
        <w:tc>
          <w:tcPr>
            <w:tcW w:w="1258"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Lepidópteros y orugas</w:t>
            </w: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Bacillus thuringiensis var. kurstaki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Bacillus thuringiensis var aizawai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Clorantraniliprol</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195"/>
          <w:jc w:val="center"/>
        </w:trPr>
        <w:tc>
          <w:tcPr>
            <w:tcW w:w="1258"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Gorgojo</w:t>
            </w:r>
          </w:p>
          <w:p w:rsidR="00503A41" w:rsidRPr="00993936" w:rsidRDefault="00503A41" w:rsidP="001D205D">
            <w:pPr>
              <w:pStyle w:val="Sinespaciado"/>
              <w:rPr>
                <w:rFonts w:ascii="Arial" w:hAnsi="Arial" w:cs="Arial"/>
                <w:lang w:val="es-ES"/>
              </w:rPr>
            </w:pPr>
            <w:r w:rsidRPr="00993936">
              <w:rPr>
                <w:rFonts w:ascii="Arial" w:hAnsi="Arial" w:cs="Arial"/>
                <w:i/>
                <w:lang w:val="es-ES"/>
              </w:rPr>
              <w:t>Bruchus sp.</w:t>
            </w: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183"/>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3"/>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rPr>
            </w:pPr>
            <w:r w:rsidRPr="00993936">
              <w:rPr>
                <w:rFonts w:ascii="Arial" w:hAnsi="Arial" w:cs="Arial"/>
              </w:rPr>
              <w:t xml:space="preserve">Azufre </w:t>
            </w:r>
          </w:p>
        </w:tc>
        <w:tc>
          <w:tcPr>
            <w:tcW w:w="344" w:type="pct"/>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tcPr>
          <w:p w:rsidR="00503A41" w:rsidRPr="00993936" w:rsidRDefault="00503A41" w:rsidP="001D205D">
            <w:pPr>
              <w:pStyle w:val="Sinespaciado"/>
              <w:rPr>
                <w:rFonts w:ascii="Arial" w:hAnsi="Arial" w:cs="Arial"/>
                <w:lang w:val="es-ES"/>
              </w:rPr>
            </w:pPr>
          </w:p>
        </w:tc>
        <w:tc>
          <w:tcPr>
            <w:tcW w:w="700" w:type="pct"/>
          </w:tcPr>
          <w:p w:rsidR="00503A41" w:rsidRPr="00993936" w:rsidRDefault="00503A41" w:rsidP="001D205D">
            <w:pPr>
              <w:pStyle w:val="Sinespaciado"/>
              <w:rPr>
                <w:rFonts w:ascii="Arial" w:hAnsi="Arial" w:cs="Arial"/>
                <w:lang w:val="es-ES"/>
              </w:rPr>
            </w:pPr>
          </w:p>
        </w:tc>
      </w:tr>
      <w:tr w:rsidR="00571B14" w:rsidRPr="00993936" w:rsidTr="00571B14">
        <w:trPr>
          <w:cantSplit/>
          <w:trHeight w:val="275"/>
          <w:jc w:val="center"/>
        </w:trPr>
        <w:tc>
          <w:tcPr>
            <w:tcW w:w="1258" w:type="pc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Trips</w:t>
            </w:r>
          </w:p>
          <w:p w:rsidR="00503A41" w:rsidRPr="00993936" w:rsidRDefault="00503A41" w:rsidP="001D205D">
            <w:pPr>
              <w:pStyle w:val="Sinespaciado"/>
              <w:rPr>
                <w:rFonts w:ascii="Arial" w:hAnsi="Arial" w:cs="Arial"/>
                <w:i/>
                <w:lang w:val="es-ES"/>
              </w:rPr>
            </w:pPr>
            <w:r w:rsidRPr="00993936">
              <w:rPr>
                <w:rFonts w:ascii="Arial" w:hAnsi="Arial" w:cs="Arial"/>
                <w:i/>
                <w:lang w:val="es-ES"/>
              </w:rPr>
              <w:t>F. occidentalis</w:t>
            </w:r>
            <w:r w:rsidRPr="00993936">
              <w:rPr>
                <w:rFonts w:ascii="Arial" w:hAnsi="Arial" w:cs="Arial"/>
                <w:lang w:val="es-ES"/>
              </w:rPr>
              <w:t xml:space="preserve"> u otros</w:t>
            </w: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52"/>
          <w:jc w:val="center"/>
        </w:trPr>
        <w:tc>
          <w:tcPr>
            <w:tcW w:w="1258"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 xml:space="preserve">Ácaros </w:t>
            </w:r>
          </w:p>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Tetranychus </w:t>
            </w:r>
            <w:r w:rsidRPr="00993936">
              <w:rPr>
                <w:rFonts w:ascii="Arial" w:hAnsi="Arial" w:cs="Arial"/>
                <w:lang w:val="es-ES"/>
              </w:rPr>
              <w:t>spp</w:t>
            </w:r>
            <w:r w:rsidRPr="00993936">
              <w:rPr>
                <w:rFonts w:ascii="Arial" w:hAnsi="Arial" w:cs="Arial"/>
                <w:i/>
                <w:lang w:val="es-ES"/>
              </w:rPr>
              <w:t>. Polyphagotarsonemus latus</w:t>
            </w: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Azadiractín</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85"/>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Azufre</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55"/>
          <w:jc w:val="center"/>
        </w:trPr>
        <w:tc>
          <w:tcPr>
            <w:tcW w:w="1258"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Antracnosis/Rabia</w:t>
            </w:r>
          </w:p>
          <w:p w:rsidR="00503A41" w:rsidRPr="00993936" w:rsidRDefault="00503A41" w:rsidP="001D205D">
            <w:pPr>
              <w:pStyle w:val="Sinespaciado"/>
              <w:rPr>
                <w:rFonts w:ascii="Arial" w:hAnsi="Arial" w:cs="Arial"/>
                <w:lang w:val="es-ES"/>
              </w:rPr>
            </w:pPr>
            <w:r w:rsidRPr="00993936">
              <w:rPr>
                <w:rFonts w:ascii="Arial" w:hAnsi="Arial" w:cs="Arial"/>
                <w:i/>
                <w:lang w:val="es-ES"/>
              </w:rPr>
              <w:t>Colletotrichum lindemuthianum, Ascochyta rabiei, Ascochyta lentis, Ascochita pise</w:t>
            </w:r>
          </w:p>
        </w:tc>
        <w:tc>
          <w:tcPr>
            <w:tcW w:w="2124" w:type="pct"/>
            <w:shd w:val="clear" w:color="auto" w:fill="auto"/>
            <w:vAlign w:val="center"/>
          </w:tcPr>
          <w:p w:rsidR="00503A41" w:rsidRPr="00993936" w:rsidDel="0050677F" w:rsidRDefault="00503A41" w:rsidP="001D205D">
            <w:pPr>
              <w:pStyle w:val="Sinespaciado"/>
              <w:rPr>
                <w:rFonts w:ascii="Arial" w:hAnsi="Arial" w:cs="Arial"/>
                <w:lang w:val="es-ES"/>
              </w:rPr>
            </w:pPr>
            <w:r w:rsidRPr="00993936">
              <w:rPr>
                <w:rFonts w:ascii="Arial" w:hAnsi="Arial" w:cs="Arial"/>
                <w:lang w:val="es-ES"/>
              </w:rPr>
              <w:t>Boscalida + Piraclostrobín</w:t>
            </w:r>
          </w:p>
        </w:tc>
        <w:tc>
          <w:tcPr>
            <w:tcW w:w="344" w:type="pct"/>
            <w:vAlign w:val="center"/>
          </w:tcPr>
          <w:p w:rsidR="00503A41" w:rsidRPr="00993936" w:rsidDel="0050677F"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55"/>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55"/>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Clortalonil</w:t>
            </w: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 (4)</w:t>
            </w: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Mancozeb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Mancozeb + Oxicloruro de cobre</w:t>
            </w: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Mancozeb + Sulfato cuprocálcico</w:t>
            </w: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79"/>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Maneb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Metil-tiofanato</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Oxicloruro de cobre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2"/>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Sulfat Cuprocálcico</w:t>
            </w: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21"/>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Sulfato tribásico de cobre</w:t>
            </w: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21"/>
          <w:jc w:val="center"/>
        </w:trPr>
        <w:tc>
          <w:tcPr>
            <w:tcW w:w="1258"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Oídio</w:t>
            </w:r>
          </w:p>
          <w:p w:rsidR="00503A41" w:rsidRPr="00993936" w:rsidRDefault="00503A41" w:rsidP="001D205D">
            <w:pPr>
              <w:pStyle w:val="Sinespaciado"/>
              <w:rPr>
                <w:rFonts w:ascii="Arial" w:hAnsi="Arial" w:cs="Arial"/>
                <w:lang w:val="es-ES"/>
              </w:rPr>
            </w:pPr>
            <w:r w:rsidRPr="00993936">
              <w:rPr>
                <w:rFonts w:ascii="Arial" w:hAnsi="Arial" w:cs="Arial"/>
                <w:i/>
                <w:lang w:val="es-ES"/>
              </w:rPr>
              <w:t>Erysiphe polygoni</w:t>
            </w: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Metil-tiofanato</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140"/>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w:t>
            </w:r>
          </w:p>
        </w:tc>
        <w:tc>
          <w:tcPr>
            <w:tcW w:w="344" w:type="pct"/>
            <w:vAlign w:val="center"/>
          </w:tcPr>
          <w:p w:rsidR="00503A41" w:rsidRPr="00993936" w:rsidRDefault="00503A41" w:rsidP="001D205D">
            <w:pPr>
              <w:pStyle w:val="Sinespaciado"/>
              <w:rPr>
                <w:rFonts w:ascii="Arial" w:hAnsi="Arial" w:cs="Arial"/>
                <w:dstrike/>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24"/>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Azufre + Compuestos de cobre</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13"/>
          <w:jc w:val="center"/>
        </w:trPr>
        <w:tc>
          <w:tcPr>
            <w:tcW w:w="1258" w:type="pct"/>
            <w:vMerge w:val="restar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Botrytis </w:t>
            </w:r>
            <w:r w:rsidRPr="00993936">
              <w:rPr>
                <w:rFonts w:ascii="Arial" w:hAnsi="Arial" w:cs="Arial"/>
                <w:lang w:val="es-ES"/>
              </w:rPr>
              <w:t>sp.</w:t>
            </w:r>
            <w:r w:rsidRPr="00993936">
              <w:rPr>
                <w:rFonts w:ascii="Arial" w:hAnsi="Arial" w:cs="Arial"/>
                <w:i/>
                <w:lang w:val="es-ES"/>
              </w:rPr>
              <w:t xml:space="preserve"> </w:t>
            </w:r>
          </w:p>
          <w:p w:rsidR="00503A41" w:rsidRPr="00993936" w:rsidRDefault="00503A41" w:rsidP="001D205D">
            <w:pPr>
              <w:pStyle w:val="Sinespaciado"/>
              <w:rPr>
                <w:rFonts w:ascii="Arial" w:hAnsi="Arial" w:cs="Arial"/>
                <w:i/>
                <w:lang w:val="es-ES"/>
              </w:rPr>
            </w:pPr>
          </w:p>
        </w:tc>
        <w:tc>
          <w:tcPr>
            <w:tcW w:w="2124" w:type="pct"/>
            <w:shd w:val="clear" w:color="auto" w:fill="auto"/>
            <w:vAlign w:val="center"/>
          </w:tcPr>
          <w:p w:rsidR="00503A41" w:rsidRPr="00993936" w:rsidRDefault="00503A41" w:rsidP="001D205D">
            <w:pPr>
              <w:pStyle w:val="Sinespaciado"/>
              <w:rPr>
                <w:rFonts w:ascii="Arial" w:hAnsi="Arial" w:cs="Arial"/>
                <w:i/>
                <w:lang w:val="es-ES"/>
              </w:rPr>
            </w:pPr>
            <w:r w:rsidRPr="00993936">
              <w:rPr>
                <w:rFonts w:ascii="Arial" w:hAnsi="Arial" w:cs="Arial"/>
                <w:lang w:val="es-ES"/>
              </w:rPr>
              <w:t xml:space="preserve">Clortalonil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3"/>
          <w:jc w:val="center"/>
        </w:trPr>
        <w:tc>
          <w:tcPr>
            <w:tcW w:w="1258" w:type="pct"/>
            <w:vMerge/>
            <w:vAlign w:val="center"/>
          </w:tcPr>
          <w:p w:rsidR="00503A41" w:rsidRPr="00993936" w:rsidRDefault="00503A41" w:rsidP="001D205D">
            <w:pPr>
              <w:pStyle w:val="Sinespaciado"/>
              <w:rPr>
                <w:rFonts w:ascii="Arial" w:hAnsi="Arial" w:cs="Arial"/>
                <w:i/>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Iprodiona </w:t>
            </w:r>
          </w:p>
        </w:tc>
        <w:tc>
          <w:tcPr>
            <w:tcW w:w="344" w:type="pct"/>
            <w:vAlign w:val="center"/>
          </w:tcPr>
          <w:p w:rsidR="00503A41" w:rsidRPr="00993936" w:rsidRDefault="00503A41" w:rsidP="001D205D">
            <w:pPr>
              <w:pStyle w:val="Sinespaciado"/>
              <w:rPr>
                <w:rFonts w:ascii="Arial" w:hAnsi="Arial" w:cs="Arial"/>
                <w:dstrike/>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3"/>
          <w:jc w:val="center"/>
        </w:trPr>
        <w:tc>
          <w:tcPr>
            <w:tcW w:w="1258" w:type="pct"/>
            <w:vMerge/>
            <w:vAlign w:val="center"/>
          </w:tcPr>
          <w:p w:rsidR="00503A41" w:rsidRPr="00993936" w:rsidRDefault="00503A41" w:rsidP="001D205D">
            <w:pPr>
              <w:pStyle w:val="Sinespaciado"/>
              <w:rPr>
                <w:rFonts w:ascii="Arial" w:hAnsi="Arial" w:cs="Arial"/>
                <w:i/>
                <w:lang w:val="es-ES"/>
              </w:rPr>
            </w:pPr>
          </w:p>
        </w:tc>
        <w:tc>
          <w:tcPr>
            <w:tcW w:w="2124" w:type="pct"/>
            <w:shd w:val="clear" w:color="auto" w:fill="auto"/>
          </w:tcPr>
          <w:p w:rsidR="00503A41" w:rsidRPr="00993936" w:rsidRDefault="00503A41" w:rsidP="001D205D">
            <w:pPr>
              <w:pStyle w:val="Sinespaciado"/>
              <w:rPr>
                <w:rFonts w:ascii="Arial" w:hAnsi="Arial" w:cs="Arial"/>
                <w:lang w:val="es-ES"/>
              </w:rPr>
            </w:pPr>
            <w:r w:rsidRPr="00993936">
              <w:rPr>
                <w:rFonts w:ascii="Arial" w:hAnsi="Arial" w:cs="Arial"/>
                <w:lang w:val="es-ES"/>
              </w:rPr>
              <w:t>Metil-tiofanato</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123"/>
          <w:jc w:val="center"/>
        </w:trPr>
        <w:tc>
          <w:tcPr>
            <w:tcW w:w="1258" w:type="pct"/>
            <w:vMerge w:val="restart"/>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 xml:space="preserve">Sclerotinia </w:t>
            </w:r>
            <w:r w:rsidRPr="00993936">
              <w:rPr>
                <w:rFonts w:ascii="Arial" w:hAnsi="Arial" w:cs="Arial"/>
                <w:lang w:val="es-ES"/>
              </w:rPr>
              <w:t>sp.</w:t>
            </w:r>
          </w:p>
        </w:tc>
        <w:tc>
          <w:tcPr>
            <w:tcW w:w="2124" w:type="pct"/>
            <w:shd w:val="clear" w:color="auto" w:fill="auto"/>
            <w:vAlign w:val="center"/>
          </w:tcPr>
          <w:p w:rsidR="00503A41" w:rsidRPr="00993936" w:rsidRDefault="00503A41" w:rsidP="001D205D">
            <w:pPr>
              <w:pStyle w:val="Sinespaciado"/>
              <w:rPr>
                <w:rFonts w:ascii="Arial" w:hAnsi="Arial" w:cs="Arial"/>
                <w:i/>
                <w:lang w:val="es-ES"/>
              </w:rPr>
            </w:pPr>
            <w:r w:rsidRPr="00993936">
              <w:rPr>
                <w:rFonts w:ascii="Arial" w:hAnsi="Arial" w:cs="Arial"/>
                <w:i/>
                <w:lang w:val="es-ES"/>
              </w:rPr>
              <w:t>Coniothyrium minitans</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69"/>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Metil-tiofanato</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Del="008A3E53" w:rsidRDefault="00503A41" w:rsidP="001D205D">
            <w:pPr>
              <w:pStyle w:val="Sinespaciado"/>
              <w:rPr>
                <w:rFonts w:ascii="Arial" w:hAnsi="Arial" w:cs="Arial"/>
                <w:lang w:val="es-ES"/>
              </w:rPr>
            </w:pPr>
            <w:r w:rsidRPr="00993936">
              <w:rPr>
                <w:rFonts w:ascii="Arial" w:hAnsi="Arial" w:cs="Arial"/>
                <w:lang w:val="es-ES"/>
              </w:rPr>
              <w:t>X</w:t>
            </w:r>
          </w:p>
        </w:tc>
      </w:tr>
      <w:tr w:rsidR="00571B14" w:rsidRPr="00993936" w:rsidTr="00571B14">
        <w:trPr>
          <w:cantSplit/>
          <w:trHeight w:val="187"/>
          <w:jc w:val="center"/>
        </w:trPr>
        <w:tc>
          <w:tcPr>
            <w:tcW w:w="1258" w:type="pct"/>
            <w:vMerge w:val="restart"/>
            <w:vAlign w:val="center"/>
          </w:tcPr>
          <w:p w:rsidR="00503A41" w:rsidRPr="00993936" w:rsidRDefault="00503A41" w:rsidP="001D205D">
            <w:pPr>
              <w:pStyle w:val="Sinespaciado"/>
              <w:rPr>
                <w:rFonts w:ascii="Arial" w:hAnsi="Arial" w:cs="Arial"/>
                <w:b/>
                <w:lang w:val="es-ES"/>
              </w:rPr>
            </w:pPr>
            <w:r w:rsidRPr="00993936">
              <w:rPr>
                <w:rFonts w:ascii="Arial" w:hAnsi="Arial" w:cs="Arial"/>
                <w:b/>
                <w:lang w:val="es-ES"/>
              </w:rPr>
              <w:t>Roya</w:t>
            </w:r>
          </w:p>
          <w:p w:rsidR="00503A41" w:rsidRPr="00993936" w:rsidRDefault="00503A41" w:rsidP="001D205D">
            <w:pPr>
              <w:pStyle w:val="Sinespaciado"/>
              <w:rPr>
                <w:rFonts w:ascii="Arial" w:hAnsi="Arial" w:cs="Arial"/>
                <w:lang w:val="es-ES"/>
              </w:rPr>
            </w:pPr>
            <w:r w:rsidRPr="00993936">
              <w:rPr>
                <w:rFonts w:ascii="Arial" w:hAnsi="Arial" w:cs="Arial"/>
                <w:i/>
                <w:lang w:val="es-ES"/>
              </w:rPr>
              <w:lastRenderedPageBreak/>
              <w:t>Uromyces appendiculatus</w:t>
            </w:r>
            <w:r w:rsidRPr="00993936">
              <w:rPr>
                <w:rFonts w:ascii="Arial" w:hAnsi="Arial" w:cs="Arial"/>
                <w:lang w:val="es-ES"/>
              </w:rPr>
              <w:t xml:space="preserve"> y otros</w:t>
            </w: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lastRenderedPageBreak/>
              <w:t>Azoxistrobín</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187"/>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Mancozeb + Oxicloruro de cobre</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0"/>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Mancozeb </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0"/>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0"/>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p>
        </w:tc>
        <w:tc>
          <w:tcPr>
            <w:tcW w:w="344" w:type="pct"/>
            <w:vAlign w:val="center"/>
          </w:tcPr>
          <w:p w:rsidR="00503A41" w:rsidRPr="00993936" w:rsidRDefault="00503A41" w:rsidP="001D205D">
            <w:pPr>
              <w:pStyle w:val="Sinespaciado"/>
              <w:rPr>
                <w:rFonts w:ascii="Arial" w:hAnsi="Arial" w:cs="Arial"/>
                <w:lang w:val="es-ES"/>
              </w:rPr>
            </w:pPr>
          </w:p>
        </w:tc>
        <w:tc>
          <w:tcPr>
            <w:tcW w:w="575" w:type="pct"/>
            <w:vAlign w:val="center"/>
          </w:tcPr>
          <w:p w:rsidR="00503A41" w:rsidRPr="00993936" w:rsidRDefault="00503A41" w:rsidP="001D205D">
            <w:pPr>
              <w:pStyle w:val="Sinespaciado"/>
              <w:rPr>
                <w:rFonts w:ascii="Arial" w:hAnsi="Arial" w:cs="Arial"/>
                <w:lang w:val="es-ES"/>
              </w:rPr>
            </w:pPr>
          </w:p>
        </w:tc>
        <w:tc>
          <w:tcPr>
            <w:tcW w:w="700" w:type="pct"/>
            <w:vAlign w:val="center"/>
          </w:tcPr>
          <w:p w:rsidR="00503A41" w:rsidRPr="00993936" w:rsidRDefault="00503A41" w:rsidP="001D205D">
            <w:pPr>
              <w:pStyle w:val="Sinespaciado"/>
              <w:rPr>
                <w:rFonts w:ascii="Arial" w:hAnsi="Arial" w:cs="Arial"/>
                <w:lang w:val="es-ES"/>
              </w:rPr>
            </w:pPr>
          </w:p>
        </w:tc>
      </w:tr>
      <w:tr w:rsidR="00571B14" w:rsidRPr="00993936" w:rsidTr="00571B14">
        <w:trPr>
          <w:cantSplit/>
          <w:trHeight w:val="200"/>
          <w:jc w:val="center"/>
        </w:trPr>
        <w:tc>
          <w:tcPr>
            <w:tcW w:w="1258" w:type="pct"/>
            <w:vMerge/>
            <w:vAlign w:val="center"/>
          </w:tcPr>
          <w:p w:rsidR="00503A41" w:rsidRPr="00993936" w:rsidRDefault="00503A41" w:rsidP="001D205D">
            <w:pPr>
              <w:pStyle w:val="Sinespaciado"/>
              <w:rPr>
                <w:rFonts w:ascii="Arial" w:hAnsi="Arial" w:cs="Arial"/>
                <w:lang w:val="es-ES"/>
              </w:rPr>
            </w:pPr>
          </w:p>
        </w:tc>
        <w:tc>
          <w:tcPr>
            <w:tcW w:w="2124" w:type="pct"/>
            <w:shd w:val="clear" w:color="auto" w:fill="auto"/>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Metil-tiofanato</w:t>
            </w:r>
          </w:p>
        </w:tc>
        <w:tc>
          <w:tcPr>
            <w:tcW w:w="344"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575"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c>
          <w:tcPr>
            <w:tcW w:w="700"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X</w:t>
            </w:r>
          </w:p>
        </w:tc>
      </w:tr>
    </w:tbl>
    <w:p w:rsidR="00503A41" w:rsidRPr="00993936" w:rsidRDefault="00503A41">
      <w:pPr>
        <w:rPr>
          <w:rFonts w:ascii="Arial" w:hAnsi="Arial" w:cs="Arial"/>
          <w:lang w:val="es-ES"/>
        </w:rPr>
      </w:pPr>
    </w:p>
    <w:p w:rsidR="00503A41" w:rsidRPr="00993936" w:rsidRDefault="00503A41" w:rsidP="000452B8">
      <w:pPr>
        <w:pStyle w:val="Textoindependiente3"/>
        <w:rPr>
          <w:rFonts w:cs="Arial"/>
          <w:b w:val="0"/>
          <w:szCs w:val="22"/>
          <w:lang w:val="es-ES"/>
        </w:rPr>
      </w:pPr>
      <w:r w:rsidRPr="00993936">
        <w:rPr>
          <w:rFonts w:cs="Arial"/>
          <w:b w:val="0"/>
          <w:szCs w:val="22"/>
          <w:lang w:val="es-ES"/>
        </w:rPr>
        <w:t>Cuadro 2.  Materias activas para la producción integrada de alubia, garbanzo y lenteja, teniendo en cuenta las indicaciones del Cuaderno de explotación y el Programa, de control integrado de plagas y enfermedades. (Continuación).</w:t>
      </w:r>
    </w:p>
    <w:p w:rsidR="00503A41" w:rsidRPr="00993936" w:rsidRDefault="00503A41" w:rsidP="000452B8">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7"/>
        <w:gridCol w:w="3062"/>
        <w:gridCol w:w="923"/>
        <w:gridCol w:w="1072"/>
        <w:gridCol w:w="1260"/>
      </w:tblGrid>
      <w:tr w:rsidR="00503A41" w:rsidRPr="00993936" w:rsidTr="000452B8">
        <w:trPr>
          <w:cantSplit/>
          <w:trHeight w:val="724"/>
          <w:jc w:val="center"/>
        </w:trPr>
        <w:tc>
          <w:tcPr>
            <w:tcW w:w="1346" w:type="pc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Secado vascular</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Fursarium oxisporum </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Macrophomina phaseolina</w:t>
            </w:r>
          </w:p>
        </w:tc>
        <w:tc>
          <w:tcPr>
            <w:tcW w:w="1771" w:type="pct"/>
            <w:shd w:val="clear" w:color="auto" w:fill="auto"/>
            <w:vAlign w:val="center"/>
          </w:tcPr>
          <w:p w:rsidR="00503A41" w:rsidRPr="00993936" w:rsidRDefault="00503A41" w:rsidP="000452B8">
            <w:pPr>
              <w:pStyle w:val="taula"/>
              <w:rPr>
                <w:rFonts w:cs="Arial"/>
                <w:noProof w:val="0"/>
                <w:sz w:val="18"/>
                <w:szCs w:val="18"/>
                <w:lang w:val="es-ES"/>
              </w:rPr>
            </w:pPr>
          </w:p>
        </w:tc>
        <w:tc>
          <w:tcPr>
            <w:tcW w:w="534" w:type="pct"/>
            <w:vAlign w:val="center"/>
          </w:tcPr>
          <w:p w:rsidR="00503A41" w:rsidRPr="00993936" w:rsidRDefault="00503A41" w:rsidP="000452B8">
            <w:pPr>
              <w:pStyle w:val="taula"/>
              <w:rPr>
                <w:rFonts w:cs="Arial"/>
                <w:b/>
                <w:noProof w:val="0"/>
                <w:sz w:val="18"/>
                <w:szCs w:val="18"/>
                <w:lang w:val="es-ES"/>
              </w:rPr>
            </w:pPr>
          </w:p>
        </w:tc>
        <w:tc>
          <w:tcPr>
            <w:tcW w:w="620" w:type="pct"/>
            <w:vAlign w:val="center"/>
          </w:tcPr>
          <w:p w:rsidR="00503A41" w:rsidRPr="00993936" w:rsidRDefault="00503A41" w:rsidP="000452B8">
            <w:pPr>
              <w:pStyle w:val="taula"/>
              <w:jc w:val="center"/>
              <w:rPr>
                <w:rFonts w:cs="Arial"/>
                <w:b/>
                <w:noProof w:val="0"/>
                <w:sz w:val="18"/>
                <w:szCs w:val="18"/>
                <w:lang w:val="es-ES"/>
              </w:rPr>
            </w:pPr>
          </w:p>
        </w:tc>
        <w:tc>
          <w:tcPr>
            <w:tcW w:w="72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22"/>
          <w:jc w:val="center"/>
        </w:trPr>
        <w:tc>
          <w:tcPr>
            <w:tcW w:w="1346" w:type="pct"/>
            <w:shd w:val="clear" w:color="auto" w:fill="auto"/>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Otras plagas y enfermedades</w:t>
            </w:r>
          </w:p>
        </w:tc>
        <w:tc>
          <w:tcPr>
            <w:tcW w:w="3654" w:type="pct"/>
            <w:gridSpan w:val="4"/>
            <w:shd w:val="clear" w:color="auto" w:fill="auto"/>
            <w:vAlign w:val="center"/>
          </w:tcPr>
          <w:p w:rsidR="00503A41" w:rsidRPr="00993936" w:rsidRDefault="00503A41" w:rsidP="000452B8">
            <w:pPr>
              <w:pStyle w:val="taula"/>
              <w:jc w:val="center"/>
              <w:rPr>
                <w:rFonts w:cs="Arial"/>
                <w:b/>
                <w:noProof w:val="0"/>
                <w:sz w:val="18"/>
                <w:szCs w:val="18"/>
                <w:lang w:val="es-ES"/>
              </w:rPr>
            </w:pPr>
            <w:r w:rsidRPr="00993936">
              <w:rPr>
                <w:rFonts w:cs="Arial"/>
                <w:noProof w:val="0"/>
                <w:sz w:val="18"/>
                <w:szCs w:val="18"/>
                <w:lang w:val="es-ES"/>
              </w:rPr>
              <w:t>Las expresamente autorizadas en el cultivo, teniendo en cuenta su efecto sobre la fauna útil y su toxicología</w:t>
            </w:r>
          </w:p>
        </w:tc>
      </w:tr>
    </w:tbl>
    <w:p w:rsidR="00503A41" w:rsidRPr="00993936" w:rsidRDefault="00503A41" w:rsidP="000452B8">
      <w:pPr>
        <w:jc w:val="center"/>
        <w:rPr>
          <w:rFonts w:ascii="Arial" w:hAnsi="Arial" w:cs="Arial"/>
          <w:b/>
          <w:sz w:val="8"/>
          <w:szCs w:val="8"/>
          <w:u w:val="single"/>
          <w:lang w:val="es-ES"/>
        </w:rPr>
      </w:pP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8"/>
          <w:szCs w:val="8"/>
          <w:lang w:val="es-ES" w:eastAsia="ca-ES"/>
        </w:rPr>
      </w:pP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(1) Máximo 1 tratamiento / ciclo de cultivo</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(2) Máximo 2 tratamiento / ciclo de cultivo</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(3) Máximo 3 tratamiento / ciclo de cultivo</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(4) Sólo formulaciones que no sean de clasificación toxicológica (T)</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(5) Sólo formulaciones comerciales registradas</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(6) Sólo en cultivos al aire libre</w:t>
      </w:r>
    </w:p>
    <w:p w:rsidR="00503A41" w:rsidRPr="00993936" w:rsidRDefault="00503A41" w:rsidP="000452B8">
      <w:pPr>
        <w:rPr>
          <w:rFonts w:ascii="Arial" w:hAnsi="Arial" w:cs="Arial"/>
          <w:lang w:val="es-ES" w:eastAsia="es-ES"/>
        </w:rPr>
      </w:pPr>
    </w:p>
    <w:p w:rsidR="00503A41" w:rsidRPr="00993936" w:rsidRDefault="00503A41" w:rsidP="000452B8">
      <w:pPr>
        <w:rPr>
          <w:rFonts w:ascii="Arial" w:hAnsi="Arial" w:cs="Arial"/>
          <w:b/>
          <w:sz w:val="28"/>
          <w:szCs w:val="28"/>
          <w:u w:val="single"/>
          <w:lang w:val="es-ES"/>
        </w:rPr>
      </w:pPr>
    </w:p>
    <w:p w:rsidR="00503A41" w:rsidRPr="00993936" w:rsidRDefault="00503A41" w:rsidP="000452B8">
      <w:pPr>
        <w:jc w:val="center"/>
        <w:rPr>
          <w:rFonts w:ascii="Arial" w:hAnsi="Arial" w:cs="Arial"/>
          <w:b/>
          <w:sz w:val="28"/>
          <w:szCs w:val="28"/>
          <w:u w:val="single"/>
          <w:lang w:val="es-ES"/>
        </w:rPr>
      </w:pPr>
      <w:r w:rsidRPr="00993936">
        <w:rPr>
          <w:rFonts w:ascii="Arial" w:hAnsi="Arial" w:cs="Arial"/>
          <w:b/>
          <w:sz w:val="28"/>
          <w:szCs w:val="28"/>
          <w:u w:val="single"/>
          <w:lang w:val="es-ES"/>
        </w:rPr>
        <w:br w:type="page"/>
      </w:r>
      <w:r w:rsidRPr="00993936">
        <w:rPr>
          <w:rFonts w:ascii="Arial" w:hAnsi="Arial" w:cs="Arial"/>
          <w:b/>
          <w:sz w:val="28"/>
          <w:szCs w:val="28"/>
          <w:u w:val="single"/>
          <w:lang w:val="es-ES"/>
        </w:rPr>
        <w:lastRenderedPageBreak/>
        <w:t>CULTIVO: JUDÍA VERDE, HABA Y GUISANTES</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4</w:t>
      </w: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Materias activas de herbicidas para la producción integrada de judía tierna, haba y guisante</w:t>
      </w:r>
    </w:p>
    <w:p w:rsidR="00503A41" w:rsidRPr="00993936" w:rsidRDefault="00503A41" w:rsidP="000452B8">
      <w:pPr>
        <w:jc w:val="both"/>
        <w:rPr>
          <w:rFonts w:ascii="Arial" w:hAnsi="Arial" w:cs="Arial"/>
          <w:b/>
          <w:snapToGrid w:val="0"/>
          <w:lang w:val="es-ES" w:eastAsia="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4799"/>
          <w:jc w:val="center"/>
        </w:trPr>
        <w:tc>
          <w:tcPr>
            <w:tcW w:w="2418" w:type="pct"/>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eastAsia="es-ES"/>
              </w:rPr>
              <w:t>Ácido pelargónico + Glifosato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Aclonifén (b)</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Bentazona + Imazanox</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Cicloxidim </w:t>
            </w:r>
          </w:p>
          <w:p w:rsidR="00503A41" w:rsidRPr="00993936" w:rsidRDefault="00503A41" w:rsidP="001D205D">
            <w:pPr>
              <w:pStyle w:val="Sinespaciado"/>
              <w:rPr>
                <w:rFonts w:ascii="Arial" w:hAnsi="Arial" w:cs="Arial"/>
                <w:lang w:val="es-ES"/>
              </w:rPr>
            </w:pPr>
            <w:r w:rsidRPr="00993936">
              <w:rPr>
                <w:rFonts w:ascii="Arial" w:hAnsi="Arial" w:cs="Arial"/>
                <w:lang w:val="es-ES"/>
              </w:rPr>
              <w:t>Cletodim</w:t>
            </w:r>
          </w:p>
          <w:p w:rsidR="00503A41" w:rsidRPr="00993936" w:rsidRDefault="00503A41" w:rsidP="001D205D">
            <w:pPr>
              <w:pStyle w:val="Sinespaciado"/>
              <w:rPr>
                <w:rFonts w:ascii="Arial" w:hAnsi="Arial" w:cs="Arial"/>
                <w:lang w:val="es-ES"/>
              </w:rPr>
            </w:pPr>
            <w:r w:rsidRPr="00993936">
              <w:rPr>
                <w:rFonts w:ascii="Arial" w:hAnsi="Arial" w:cs="Arial"/>
                <w:lang w:val="es-ES"/>
              </w:rPr>
              <w:t>Clomazona (b) (c)</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Diclofop (a)(b)</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Fluazifop-p-butil (b)</w:t>
            </w:r>
          </w:p>
          <w:p w:rsidR="00503A41" w:rsidRPr="00993936" w:rsidRDefault="00503A41" w:rsidP="001D205D">
            <w:pPr>
              <w:pStyle w:val="Sinespaciado"/>
              <w:rPr>
                <w:rFonts w:ascii="Arial" w:hAnsi="Arial" w:cs="Arial"/>
                <w:sz w:val="18"/>
                <w:szCs w:val="18"/>
                <w:lang w:val="es-ES"/>
              </w:rPr>
            </w:pPr>
            <w:r w:rsidRPr="00993936">
              <w:rPr>
                <w:rFonts w:ascii="Arial" w:hAnsi="Arial" w:cs="Arial"/>
                <w:snapToGrid w:val="0"/>
                <w:lang w:val="es-ES"/>
              </w:rPr>
              <w:t>Glifosato (a)</w:t>
            </w:r>
            <w:r w:rsidRPr="00993936">
              <w:rPr>
                <w:rFonts w:ascii="Arial" w:hAnsi="Arial" w:cs="Arial"/>
                <w:i/>
                <w:snapToGrid w:val="0"/>
                <w:sz w:val="18"/>
                <w:szCs w:val="18"/>
                <w:lang w:val="es-ES"/>
              </w:rPr>
              <w:t xml:space="preserve">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Glufosinato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Imazamox+ Pendimetalina (b)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Linurón (a)(b)(c)</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eastAsia="es-ES"/>
              </w:rPr>
              <w:t>Pendimetalina</w:t>
            </w:r>
          </w:p>
          <w:p w:rsidR="00503A41" w:rsidRPr="00993936" w:rsidRDefault="00503A41" w:rsidP="001D205D">
            <w:pPr>
              <w:pStyle w:val="Sinespaciado"/>
              <w:rPr>
                <w:rFonts w:ascii="Arial" w:hAnsi="Arial" w:cs="Arial"/>
                <w:lang w:val="es-ES"/>
              </w:rPr>
            </w:pPr>
            <w:r w:rsidRPr="00993936">
              <w:rPr>
                <w:rFonts w:ascii="Arial" w:hAnsi="Arial" w:cs="Arial"/>
                <w:lang w:val="es-ES"/>
              </w:rPr>
              <w:t>Propaquizafop (b) (c)</w:t>
            </w:r>
          </w:p>
          <w:p w:rsidR="00503A41" w:rsidRPr="00993936" w:rsidRDefault="00503A41" w:rsidP="001D205D">
            <w:pPr>
              <w:pStyle w:val="Sinespaciado"/>
              <w:rPr>
                <w:rFonts w:ascii="Arial" w:hAnsi="Arial" w:cs="Arial"/>
                <w:b/>
                <w:snapToGrid w:val="0"/>
                <w:lang w:val="es-ES"/>
              </w:rPr>
            </w:pPr>
            <w:r w:rsidRPr="00993936">
              <w:rPr>
                <w:rFonts w:ascii="Arial" w:hAnsi="Arial" w:cs="Arial"/>
                <w:lang w:val="es-ES"/>
              </w:rPr>
              <w:t>Quizalofop-p-etil (b) (c)</w:t>
            </w:r>
          </w:p>
        </w:tc>
        <w:tc>
          <w:tcPr>
            <w:tcW w:w="2582" w:type="pct"/>
          </w:tcPr>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0452B8">
            <w:pPr>
              <w:widowControl w:val="0"/>
              <w:jc w:val="both"/>
              <w:rPr>
                <w:rFonts w:ascii="Arial" w:hAnsi="Arial" w:cs="Arial"/>
                <w:snapToGrid w:val="0"/>
                <w:sz w:val="18"/>
                <w:szCs w:val="18"/>
                <w:lang w:val="es-ES"/>
              </w:rPr>
            </w:pPr>
          </w:p>
          <w:p w:rsidR="00503A41" w:rsidRPr="00993936" w:rsidRDefault="00503A41" w:rsidP="00441998">
            <w:pPr>
              <w:widowControl w:val="0"/>
              <w:numPr>
                <w:ilvl w:val="0"/>
                <w:numId w:val="21"/>
              </w:numPr>
              <w:spacing w:after="0" w:line="240" w:lineRule="auto"/>
              <w:jc w:val="both"/>
              <w:rPr>
                <w:rFonts w:ascii="Arial" w:hAnsi="Arial" w:cs="Arial"/>
                <w:snapToGrid w:val="0"/>
                <w:sz w:val="18"/>
                <w:szCs w:val="18"/>
                <w:lang w:val="es-ES"/>
              </w:rPr>
            </w:pPr>
            <w:r w:rsidRPr="00993936">
              <w:rPr>
                <w:rFonts w:ascii="Arial" w:hAnsi="Arial" w:cs="Arial"/>
                <w:snapToGrid w:val="0"/>
                <w:sz w:val="18"/>
                <w:szCs w:val="18"/>
                <w:lang w:val="es-ES"/>
              </w:rPr>
              <w:t>Los productos que no están autorizados para</w:t>
            </w:r>
            <w:r w:rsidRPr="00993936">
              <w:rPr>
                <w:rFonts w:ascii="Arial" w:hAnsi="Arial" w:cs="Arial"/>
                <w:snapToGrid w:val="0"/>
                <w:vanish/>
                <w:sz w:val="18"/>
                <w:szCs w:val="18"/>
                <w:lang w:val="es-ES"/>
              </w:rPr>
              <w:t>&lt;A[para|por]&gt;</w:t>
            </w:r>
            <w:r w:rsidRPr="00993936">
              <w:rPr>
                <w:rFonts w:ascii="Arial" w:hAnsi="Arial" w:cs="Arial"/>
                <w:snapToGrid w:val="0"/>
                <w:sz w:val="18"/>
                <w:szCs w:val="18"/>
                <w:lang w:val="es-ES"/>
              </w:rPr>
              <w:t xml:space="preserve"> los tres cultivos tienen indicados sus usos autorizados mediante las letras:</w:t>
            </w:r>
          </w:p>
          <w:p w:rsidR="00503A41" w:rsidRPr="00993936" w:rsidRDefault="00503A41" w:rsidP="009D1A2D">
            <w:pPr>
              <w:numPr>
                <w:ilvl w:val="0"/>
                <w:numId w:val="93"/>
              </w:numPr>
              <w:spacing w:after="0" w:line="240" w:lineRule="auto"/>
              <w:rPr>
                <w:rFonts w:ascii="Arial" w:hAnsi="Arial" w:cs="Arial"/>
                <w:snapToGrid w:val="0"/>
                <w:sz w:val="18"/>
                <w:szCs w:val="18"/>
                <w:lang w:val="es-ES" w:eastAsia="es-ES"/>
              </w:rPr>
            </w:pPr>
            <w:r w:rsidRPr="00993936">
              <w:rPr>
                <w:rFonts w:ascii="Arial" w:hAnsi="Arial" w:cs="Arial"/>
                <w:snapToGrid w:val="0"/>
                <w:sz w:val="18"/>
                <w:szCs w:val="18"/>
                <w:lang w:val="es-ES" w:eastAsia="es-ES"/>
              </w:rPr>
              <w:t>Haba</w:t>
            </w:r>
          </w:p>
          <w:p w:rsidR="00503A41" w:rsidRPr="00993936" w:rsidRDefault="00503A41" w:rsidP="009D1A2D">
            <w:pPr>
              <w:numPr>
                <w:ilvl w:val="0"/>
                <w:numId w:val="93"/>
              </w:numPr>
              <w:spacing w:after="0" w:line="240" w:lineRule="auto"/>
              <w:rPr>
                <w:rFonts w:ascii="Arial" w:hAnsi="Arial" w:cs="Arial"/>
                <w:snapToGrid w:val="0"/>
                <w:sz w:val="18"/>
                <w:szCs w:val="18"/>
                <w:lang w:val="es-ES" w:eastAsia="es-ES"/>
              </w:rPr>
            </w:pPr>
            <w:r w:rsidRPr="00993936">
              <w:rPr>
                <w:rFonts w:ascii="Arial" w:hAnsi="Arial" w:cs="Arial"/>
                <w:snapToGrid w:val="0"/>
                <w:sz w:val="18"/>
                <w:szCs w:val="18"/>
                <w:lang w:val="es-ES" w:eastAsia="es-ES"/>
              </w:rPr>
              <w:t>Guisante</w:t>
            </w:r>
          </w:p>
          <w:p w:rsidR="00503A41" w:rsidRPr="00993936" w:rsidRDefault="00503A41" w:rsidP="009D1A2D">
            <w:pPr>
              <w:numPr>
                <w:ilvl w:val="0"/>
                <w:numId w:val="93"/>
              </w:numPr>
              <w:spacing w:after="0" w:line="240" w:lineRule="auto"/>
              <w:rPr>
                <w:rFonts w:ascii="Arial" w:hAnsi="Arial" w:cs="Arial"/>
                <w:snapToGrid w:val="0"/>
                <w:sz w:val="18"/>
                <w:szCs w:val="18"/>
                <w:lang w:val="es-ES" w:eastAsia="es-ES"/>
              </w:rPr>
            </w:pPr>
            <w:r w:rsidRPr="00993936">
              <w:rPr>
                <w:rFonts w:ascii="Arial" w:hAnsi="Arial" w:cs="Arial"/>
                <w:snapToGrid w:val="0"/>
                <w:sz w:val="18"/>
                <w:szCs w:val="18"/>
                <w:lang w:val="es-ES" w:eastAsia="es-ES"/>
              </w:rPr>
              <w:t>Judía verde</w:t>
            </w:r>
          </w:p>
          <w:p w:rsidR="00503A41" w:rsidRPr="00993936" w:rsidRDefault="00503A41" w:rsidP="000452B8">
            <w:pPr>
              <w:rPr>
                <w:rFonts w:ascii="Arial" w:hAnsi="Arial" w:cs="Arial"/>
                <w:b/>
                <w:snapToGrid w:val="0"/>
                <w:sz w:val="20"/>
                <w:lang w:val="es-ES"/>
              </w:rPr>
            </w:pPr>
          </w:p>
          <w:p w:rsidR="00503A41" w:rsidRPr="00993936" w:rsidRDefault="00503A41" w:rsidP="000452B8">
            <w:pPr>
              <w:rPr>
                <w:rFonts w:ascii="Arial" w:hAnsi="Arial" w:cs="Arial"/>
                <w:b/>
                <w:snapToGrid w:val="0"/>
                <w:sz w:val="20"/>
                <w:lang w:val="es-ES"/>
              </w:rPr>
            </w:pPr>
          </w:p>
        </w:tc>
      </w:tr>
    </w:tbl>
    <w:p w:rsidR="00503A41" w:rsidRPr="00993936" w:rsidRDefault="00503A41" w:rsidP="000452B8">
      <w:pPr>
        <w:jc w:val="both"/>
        <w:rPr>
          <w:rFonts w:ascii="Arial" w:hAnsi="Arial" w:cs="Arial"/>
          <w:b/>
          <w:snapToGrid w:val="0"/>
          <w:lang w:val="es-ES" w:eastAsia="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pStyle w:val="judit"/>
        <w:numPr>
          <w:ilvl w:val="0"/>
          <w:numId w:val="86"/>
        </w:numPr>
        <w:spacing w:before="120" w:line="240" w:lineRule="auto"/>
        <w:rPr>
          <w:rFonts w:cs="Arial"/>
          <w:i/>
          <w:sz w:val="22"/>
          <w:szCs w:val="22"/>
          <w:lang w:val="es-ES"/>
        </w:rPr>
      </w:pPr>
      <w:r w:rsidRPr="00993936">
        <w:rPr>
          <w:rFonts w:cs="Arial"/>
          <w:i/>
          <w:sz w:val="22"/>
          <w:szCs w:val="22"/>
          <w:lang w:val="es-ES"/>
        </w:rPr>
        <w:t>Orius sp.</w:t>
      </w:r>
    </w:p>
    <w:p w:rsidR="00503A41" w:rsidRPr="00993936" w:rsidRDefault="00503A41" w:rsidP="009D1A2D">
      <w:pPr>
        <w:pStyle w:val="judit"/>
        <w:numPr>
          <w:ilvl w:val="0"/>
          <w:numId w:val="86"/>
        </w:numPr>
        <w:spacing w:before="120" w:line="240" w:lineRule="auto"/>
        <w:rPr>
          <w:rFonts w:cs="Arial"/>
          <w:i/>
          <w:sz w:val="22"/>
          <w:szCs w:val="22"/>
          <w:lang w:val="es-ES"/>
        </w:rPr>
      </w:pPr>
      <w:r w:rsidRPr="00993936">
        <w:rPr>
          <w:rFonts w:cs="Arial"/>
          <w:i/>
          <w:sz w:val="22"/>
          <w:szCs w:val="22"/>
          <w:lang w:val="es-ES"/>
        </w:rPr>
        <w:t>Diglyphus isaea.</w:t>
      </w:r>
    </w:p>
    <w:p w:rsidR="00503A41" w:rsidRPr="00993936" w:rsidRDefault="00503A41" w:rsidP="009D1A2D">
      <w:pPr>
        <w:pStyle w:val="judit"/>
        <w:numPr>
          <w:ilvl w:val="0"/>
          <w:numId w:val="86"/>
        </w:numPr>
        <w:spacing w:before="120" w:line="240" w:lineRule="auto"/>
        <w:rPr>
          <w:rFonts w:cs="Arial"/>
          <w:i/>
          <w:sz w:val="22"/>
          <w:szCs w:val="22"/>
          <w:lang w:val="es-ES"/>
        </w:rPr>
      </w:pPr>
      <w:r w:rsidRPr="00993936">
        <w:rPr>
          <w:rFonts w:eastAsia="AdvTimes-i" w:cs="Arial"/>
          <w:sz w:val="22"/>
          <w:szCs w:val="22"/>
          <w:lang w:val="es-ES"/>
        </w:rPr>
        <w:t>Parasitoides de pulgón</w:t>
      </w:r>
    </w:p>
    <w:p w:rsidR="00503A41" w:rsidRPr="00993936" w:rsidRDefault="00503A41" w:rsidP="009D1A2D">
      <w:pPr>
        <w:pStyle w:val="judit"/>
        <w:numPr>
          <w:ilvl w:val="0"/>
          <w:numId w:val="86"/>
        </w:numPr>
        <w:spacing w:before="120" w:line="240" w:lineRule="auto"/>
        <w:rPr>
          <w:rFonts w:cs="Arial"/>
          <w:i/>
          <w:sz w:val="22"/>
          <w:szCs w:val="22"/>
          <w:lang w:val="es-ES"/>
        </w:rPr>
      </w:pPr>
      <w:r w:rsidRPr="00993936">
        <w:rPr>
          <w:rFonts w:eastAsia="AdvTimes-i" w:cs="Arial"/>
          <w:i/>
          <w:sz w:val="22"/>
          <w:szCs w:val="22"/>
          <w:lang w:val="es-ES"/>
        </w:rPr>
        <w:t>Ácaros fitoseidos depredadores.</w:t>
      </w:r>
    </w:p>
    <w:p w:rsidR="00503A41" w:rsidRPr="00993936" w:rsidRDefault="00503A41" w:rsidP="000452B8">
      <w:pPr>
        <w:pStyle w:val="Ttulo1"/>
        <w:spacing w:before="120"/>
        <w:rPr>
          <w:rFonts w:ascii="Arial" w:hAnsi="Arial" w:cs="Arial"/>
          <w:b/>
          <w:color w:val="auto"/>
          <w:sz w:val="22"/>
        </w:rPr>
      </w:pPr>
      <w:r w:rsidRPr="00993936">
        <w:rPr>
          <w:rFonts w:ascii="Arial" w:hAnsi="Arial" w:cs="Arial"/>
          <w:b/>
          <w:caps/>
          <w:color w:val="auto"/>
          <w:sz w:val="22"/>
        </w:rPr>
        <w:t>ANEXO 6</w:t>
      </w:r>
    </w:p>
    <w:p w:rsidR="00503A41" w:rsidRPr="00993936" w:rsidRDefault="00503A41" w:rsidP="000452B8">
      <w:pPr>
        <w:pStyle w:val="Textoindependiente"/>
        <w:spacing w:before="120"/>
        <w:rPr>
          <w:rFonts w:cs="Arial"/>
          <w:b/>
          <w:lang w:val="es-ES"/>
        </w:rPr>
      </w:pPr>
      <w:r w:rsidRPr="00993936">
        <w:rPr>
          <w:rFonts w:cs="Arial"/>
          <w:b/>
          <w:lang w:val="es-ES"/>
        </w:rPr>
        <w:t>Programas de control fitosanitario</w:t>
      </w:r>
    </w:p>
    <w:p w:rsidR="00503A41" w:rsidRPr="00993936" w:rsidRDefault="00503A41" w:rsidP="000452B8">
      <w:pPr>
        <w:pStyle w:val="Textoindependiente"/>
        <w:spacing w:before="120"/>
        <w:rPr>
          <w:rFonts w:cs="Arial"/>
          <w:lang w:val="es-ES"/>
        </w:rPr>
      </w:pPr>
      <w:r w:rsidRPr="00993936">
        <w:rPr>
          <w:rFonts w:cs="Arial"/>
          <w:lang w:val="es-ES"/>
        </w:rPr>
        <w:t>Para poder aplicar estos programas con éxito, es imprescindible aplicar unas buenas medidas culturales con el objetivo de iniciar el cultivo con plantas con ausencia de plagas y enfermedades, disminuir su entrada en el cultivo y la posterior proliferación.</w:t>
      </w:r>
    </w:p>
    <w:p w:rsidR="00503A41" w:rsidRPr="00993936" w:rsidRDefault="00503A41" w:rsidP="000452B8">
      <w:pPr>
        <w:pStyle w:val="Textoindependiente"/>
        <w:spacing w:before="120"/>
        <w:rPr>
          <w:rFonts w:cs="Arial"/>
          <w:lang w:val="es-ES"/>
        </w:rPr>
      </w:pPr>
      <w:r w:rsidRPr="00993936">
        <w:rPr>
          <w:rFonts w:cs="Arial"/>
          <w:lang w:val="es-ES"/>
        </w:rPr>
        <w:lastRenderedPageBreak/>
        <w:t xml:space="preserve">Hay un programa específico para el cultivo, que se recoge en el Cuadro nº. 1 de este Anexo. </w:t>
      </w:r>
    </w:p>
    <w:p w:rsidR="00503A41" w:rsidRPr="00993936" w:rsidRDefault="00503A41" w:rsidP="000452B8">
      <w:pPr>
        <w:pStyle w:val="Textoindependiente"/>
        <w:spacing w:before="120"/>
        <w:rPr>
          <w:rFonts w:cs="Arial"/>
          <w:lang w:val="es-ES"/>
        </w:rPr>
      </w:pPr>
      <w:r w:rsidRPr="00993936">
        <w:rPr>
          <w:rFonts w:cs="Arial"/>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lang w:val="es-ES"/>
        </w:rPr>
      </w:pPr>
      <w:r w:rsidRPr="00993936">
        <w:rPr>
          <w:rFonts w:cs="Arial"/>
          <w:lang w:val="es-ES"/>
        </w:rPr>
        <w:t xml:space="preserve">Como método de control de las diferentes plagas, se dará prioridad al control biológico, biotecnológico, medidas culturales y medios físicos. Únicamente cuando se supere el umbral de intervención estará justificado el tratamiento con alguno de los productos autorizados para aquella plaga o enfermedad. </w:t>
      </w:r>
    </w:p>
    <w:p w:rsidR="00503A41" w:rsidRPr="00993936" w:rsidRDefault="00503A41" w:rsidP="000452B8">
      <w:pPr>
        <w:pStyle w:val="Textoindependiente"/>
        <w:spacing w:before="120"/>
        <w:rPr>
          <w:rFonts w:cs="Arial"/>
          <w:lang w:val="es-ES"/>
        </w:rPr>
      </w:pPr>
      <w:r w:rsidRPr="00993936">
        <w:rPr>
          <w:rFonts w:cs="Arial"/>
          <w:lang w:val="es-ES"/>
        </w:rPr>
        <w:t>En caso de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lang w:val="es-ES"/>
        </w:rPr>
      </w:pPr>
      <w:r w:rsidRPr="00993936">
        <w:rPr>
          <w:rFonts w:cs="Arial"/>
          <w:lang w:val="es-ES"/>
        </w:rPr>
        <w:t>Además de los muestreos específicos propuestos en los Cuadros de Control Fitosanitario, se hará una observación general del cultivo que permita estimar</w:t>
      </w:r>
      <w:r w:rsidRPr="00993936">
        <w:rPr>
          <w:rFonts w:cs="Arial"/>
          <w:vanish/>
          <w:lang w:val="es-ES"/>
        </w:rPr>
        <w:t>&lt;A[amar|estimar]&gt;</w:t>
      </w:r>
      <w:r w:rsidRPr="00993936">
        <w:rPr>
          <w:rFonts w:cs="Arial"/>
          <w:lang w:val="es-ES"/>
        </w:rPr>
        <w:t xml:space="preserve"> su estado general, así como la presencia de plagas y/o enfermedades. Los recuentos y las observaciones, así como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lang w:val="es-ES"/>
        </w:rPr>
        <w:t xml:space="preserve">La Hoja 3 se rellenará en el momento de realizar el muestreo siguiendo las </w:t>
      </w:r>
      <w:r w:rsidRPr="00993936">
        <w:rPr>
          <w:rFonts w:cs="Arial"/>
          <w:szCs w:val="22"/>
          <w:lang w:val="es-ES"/>
        </w:rPr>
        <w:t>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empleo</w:t>
      </w:r>
      <w:r w:rsidRPr="00993936">
        <w:rPr>
          <w:rFonts w:cs="Arial"/>
          <w:vanish/>
          <w:szCs w:val="22"/>
          <w:lang w:val="es-ES"/>
        </w:rPr>
        <w:t>&lt;A[empleo|ocupación]&gt;</w:t>
      </w:r>
      <w:r w:rsidRPr="00993936">
        <w:rPr>
          <w:rFonts w:cs="Arial"/>
          <w:szCs w:val="22"/>
          <w:lang w:val="es-ES"/>
        </w:rPr>
        <w:t>) o la infestación media cuando sea requerida. También se calculará el porcentaje de plantas que presentan fauna útil asociada a cada una de las plagas.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6.1.</w:t>
      </w:r>
      <w:r w:rsidRPr="00993936">
        <w:rPr>
          <w:rFonts w:ascii="Arial" w:hAnsi="Arial" w:cs="Arial"/>
          <w:color w:val="auto"/>
          <w:lang w:val="es-ES"/>
        </w:rPr>
        <w:tab/>
      </w:r>
      <w:r w:rsidRPr="00993936">
        <w:rPr>
          <w:rFonts w:ascii="Arial" w:hAnsi="Arial" w:cs="Arial"/>
          <w:i/>
          <w:color w:val="auto"/>
          <w:lang w:val="es-ES"/>
        </w:rPr>
        <w:t>Bemisia tabaci</w:t>
      </w:r>
      <w:r w:rsidRPr="00993936">
        <w:rPr>
          <w:rFonts w:ascii="Arial" w:hAnsi="Arial" w:cs="Arial"/>
          <w:color w:val="auto"/>
          <w:lang w:val="es-ES"/>
        </w:rPr>
        <w:t xml:space="preserve"> (BT) y </w:t>
      </w:r>
      <w:r w:rsidRPr="00993936">
        <w:rPr>
          <w:rFonts w:ascii="Arial" w:hAnsi="Arial" w:cs="Arial"/>
          <w:i/>
          <w:color w:val="auto"/>
          <w:lang w:val="es-ES"/>
        </w:rPr>
        <w:t xml:space="preserve">Trialeurodes vaporariorum </w:t>
      </w:r>
      <w:r w:rsidRPr="00993936">
        <w:rPr>
          <w:rFonts w:ascii="Arial" w:hAnsi="Arial" w:cs="Arial"/>
          <w:color w:val="auto"/>
          <w:lang w:val="es-ES"/>
        </w:rPr>
        <w:t>(TV)</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(MB) se anotará la presencia de adultos de</w:t>
      </w:r>
      <w:r w:rsidRPr="00993936">
        <w:rPr>
          <w:rFonts w:cs="Arial"/>
          <w:i/>
          <w:szCs w:val="22"/>
          <w:lang w:val="es-ES"/>
        </w:rPr>
        <w:t xml:space="preserve"> B. tabaci o T. Vaporariorum</w:t>
      </w:r>
      <w:r w:rsidRPr="00993936">
        <w:rPr>
          <w:rFonts w:cs="Arial"/>
          <w:szCs w:val="22"/>
          <w:lang w:val="es-ES"/>
        </w:rPr>
        <w:t xml:space="preserve">, en caso de que haya presencia de </w:t>
      </w:r>
      <w:r w:rsidRPr="00993936">
        <w:rPr>
          <w:rFonts w:cs="Arial"/>
          <w:i/>
          <w:szCs w:val="22"/>
          <w:lang w:val="es-ES"/>
        </w:rPr>
        <w:t>B. Tabaci</w:t>
      </w:r>
      <w:r w:rsidRPr="00993936">
        <w:rPr>
          <w:rFonts w:cs="Arial"/>
          <w:szCs w:val="22"/>
          <w:lang w:val="es-ES"/>
        </w:rPr>
        <w:t>, se registrará en la columna BT.</w:t>
      </w: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t>6.2.</w:t>
      </w:r>
      <w:r w:rsidRPr="00993936">
        <w:rPr>
          <w:rFonts w:ascii="Arial" w:hAnsi="Arial" w:cs="Arial"/>
          <w:color w:val="auto"/>
          <w:lang w:val="es-ES"/>
        </w:rPr>
        <w:tab/>
        <w:t>Pulgón (PG)</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6.3.</w:t>
      </w:r>
      <w:r w:rsidRPr="00993936">
        <w:rPr>
          <w:rFonts w:ascii="Arial" w:hAnsi="Arial" w:cs="Arial"/>
          <w:color w:val="auto"/>
          <w:lang w:val="es-ES"/>
        </w:rPr>
        <w:tab/>
        <w:t>Minadores de hoja (</w:t>
      </w:r>
      <w:r w:rsidRPr="00993936">
        <w:rPr>
          <w:rFonts w:ascii="Arial" w:hAnsi="Arial" w:cs="Arial"/>
          <w:i/>
          <w:color w:val="auto"/>
          <w:lang w:val="es-ES"/>
        </w:rPr>
        <w:t>Liriomyza spp</w:t>
      </w:r>
      <w:r w:rsidRPr="00993936">
        <w:rPr>
          <w:rFonts w:ascii="Arial" w:hAnsi="Arial" w:cs="Arial"/>
          <w:color w:val="auto"/>
          <w:lang w:val="es-ES"/>
        </w:rPr>
        <w:t>.) (MIN)</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Hoja 3, y para aquellos cultivos que así lo especifique el correspondiente Cuadro de Control Fitosanitario, se anotará la ausencia de minas (-), la existencia de hasta 2 minas por hoja (1) o de más de 2 minas por hoja (2). Cuando</w:t>
      </w:r>
      <w:r w:rsidRPr="00993936">
        <w:rPr>
          <w:rFonts w:cs="Arial"/>
          <w:vanish/>
          <w:szCs w:val="22"/>
          <w:lang w:val="es-ES"/>
        </w:rPr>
        <w:t>&lt;A[Cuando|Cuándo]&gt;</w:t>
      </w:r>
      <w:r w:rsidRPr="00993936">
        <w:rPr>
          <w:rFonts w:cs="Arial"/>
          <w:szCs w:val="22"/>
          <w:lang w:val="es-ES"/>
        </w:rPr>
        <w:t xml:space="preserve"> el nivel medio de minas por hoja sea igual o mayor de 1, se recogerá una muestra de un mínimo de 25 hojas y 50 minas jóvenes. En el laboratorio se evaluará el porcentaje de parasitismo natural causado por </w:t>
      </w:r>
      <w:r w:rsidRPr="00993936">
        <w:rPr>
          <w:rFonts w:cs="Arial"/>
          <w:i/>
          <w:szCs w:val="22"/>
          <w:lang w:val="es-ES"/>
        </w:rPr>
        <w:t xml:space="preserve">Diglyphus isaea </w:t>
      </w:r>
      <w:r w:rsidRPr="00993936">
        <w:rPr>
          <w:rFonts w:cs="Arial"/>
          <w:szCs w:val="22"/>
          <w:lang w:val="es-ES"/>
        </w:rPr>
        <w:t>(</w:t>
      </w:r>
      <w:r w:rsidRPr="00993936">
        <w:rPr>
          <w:rFonts w:cs="Arial"/>
          <w:i/>
          <w:szCs w:val="22"/>
          <w:lang w:val="es-ES"/>
        </w:rPr>
        <w:t>Di</w:t>
      </w:r>
      <w:r w:rsidRPr="00993936">
        <w:rPr>
          <w:rFonts w:cs="Arial"/>
          <w:szCs w:val="22"/>
          <w:lang w:val="es-ES"/>
        </w:rPr>
        <w:t>) (Hoja 2). Si el parasitismo natural (minas muertas y parasitadas) es &gt;25%, se tomará otra muestra al cabo de 15 días para ver cómo evoluciona el conjunto minadora-</w:t>
      </w:r>
      <w:r w:rsidRPr="00993936">
        <w:rPr>
          <w:rFonts w:cs="Arial"/>
          <w:i/>
          <w:szCs w:val="22"/>
          <w:lang w:val="es-ES"/>
        </w:rPr>
        <w:t>Di</w:t>
      </w:r>
      <w:r w:rsidRPr="00993936">
        <w:rPr>
          <w:rFonts w:cs="Arial"/>
          <w:szCs w:val="22"/>
          <w:lang w:val="es-ES"/>
        </w:rPr>
        <w:t xml:space="preserve">; en caso de que el parasitismo </w:t>
      </w:r>
      <w:r w:rsidRPr="00993936">
        <w:rPr>
          <w:rFonts w:cs="Arial"/>
          <w:szCs w:val="22"/>
          <w:lang w:val="es-ES"/>
        </w:rPr>
        <w:lastRenderedPageBreak/>
        <w:t>natural sea inferior al 25%, se entenderá que se ha superado el umbral de intervención y podrá realizarse un tratamiento con alguno de los productos autorizados para minadora en aquel cultivo.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1.1.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Ácaros (</w:t>
      </w:r>
      <w:r w:rsidRPr="00993936">
        <w:rPr>
          <w:rFonts w:ascii="Arial" w:hAnsi="Arial" w:cs="Arial"/>
          <w:i/>
          <w:color w:val="auto"/>
          <w:lang w:val="es-ES"/>
        </w:rPr>
        <w:t>Tetranychus spp</w:t>
      </w:r>
      <w:r w:rsidRPr="00993936">
        <w:rPr>
          <w:rFonts w:ascii="Arial" w:hAnsi="Arial" w:cs="Arial"/>
          <w:color w:val="auto"/>
          <w:lang w:val="es-ES"/>
        </w:rPr>
        <w:t xml:space="preserve">., </w:t>
      </w:r>
      <w:r w:rsidRPr="00993936">
        <w:rPr>
          <w:rFonts w:ascii="Arial" w:hAnsi="Arial" w:cs="Arial"/>
          <w:i/>
          <w:color w:val="auto"/>
          <w:lang w:val="es-ES"/>
        </w:rPr>
        <w:t>Polyphagotarsonemus latus</w:t>
      </w:r>
      <w:r w:rsidRPr="00993936">
        <w:rPr>
          <w:rFonts w:ascii="Arial" w:hAnsi="Arial" w:cs="Arial"/>
          <w:color w:val="auto"/>
          <w:lang w:val="es-ES"/>
        </w:rPr>
        <w:t>) (ÁCAROS)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Se evaluará la presencia/ausencia (+/-) de Araña roja en síntomas.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w:t>
      </w:r>
      <w:r w:rsidRPr="00993936">
        <w:rPr>
          <w:rFonts w:cs="Arial"/>
          <w:i/>
          <w:szCs w:val="22"/>
          <w:lang w:val="es-ES"/>
        </w:rPr>
        <w:t>Polygotarsonemus latus</w:t>
      </w:r>
      <w:r w:rsidRPr="00993936">
        <w:rPr>
          <w:rFonts w:cs="Arial"/>
          <w:szCs w:val="22"/>
          <w:lang w:val="es-ES"/>
        </w:rPr>
        <w:t xml:space="preserve">, se anotará la presencia de síntomas (S) de la presencia de este ácaro en los brotes tiernos.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que sea necesario aplicar algún tratamiento para el control de Araña roja o </w:t>
      </w:r>
      <w:r w:rsidRPr="00993936">
        <w:rPr>
          <w:rFonts w:cs="Arial"/>
          <w:i/>
          <w:szCs w:val="22"/>
          <w:lang w:val="es-ES"/>
        </w:rPr>
        <w:t>P. latus</w:t>
      </w:r>
      <w:r w:rsidRPr="00993936">
        <w:rPr>
          <w:rFonts w:cs="Arial"/>
          <w:szCs w:val="22"/>
          <w:lang w:val="es-ES"/>
        </w:rPr>
        <w:t>, se hará con un producto autorizado en el Cuadro 1.2 y para</w:t>
      </w:r>
      <w:r w:rsidRPr="00993936">
        <w:rPr>
          <w:rFonts w:cs="Arial"/>
          <w:vanish/>
          <w:szCs w:val="22"/>
          <w:lang w:val="es-ES"/>
        </w:rPr>
        <w:t>&lt;A[por|para]&gt;</w:t>
      </w:r>
      <w:r w:rsidRPr="00993936">
        <w:rPr>
          <w:rFonts w:cs="Arial"/>
          <w:szCs w:val="22"/>
          <w:lang w:val="es-ES"/>
        </w:rPr>
        <w:t xml:space="preserve"> la plaga en concreto. Siempre que sea posible, los tratamientos se aplicarán en los focos de cultivo afectado y sus alrededores.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plagas no explícitamente previstas en el Cuadro 1.1, especificando en observaciones la especie objeto del seguimiento. En caso de que aparezca una nueva plaga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6.8.</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botritis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el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6.9.</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el Cuadro 1.1 especificando en observaciones la especie objeto del seguimiento. En caso de que aparezca una nueva enfermedad no especificada en el Cuadro de Control Fitosanitario del cultivo,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6.10.</w:t>
      </w:r>
      <w:r w:rsidRPr="00993936">
        <w:rPr>
          <w:rFonts w:ascii="Arial" w:hAnsi="Arial" w:cs="Arial"/>
          <w:color w:val="auto"/>
          <w:lang w:val="es-ES"/>
        </w:rPr>
        <w:tab/>
        <w:t xml:space="preserve">Nemátodos </w:t>
      </w:r>
    </w:p>
    <w:p w:rsidR="00503A41" w:rsidRPr="00993936" w:rsidRDefault="00503A41" w:rsidP="000452B8">
      <w:pPr>
        <w:pStyle w:val="Encabezado"/>
        <w:tabs>
          <w:tab w:val="clear" w:pos="4252"/>
          <w:tab w:val="clear" w:pos="8504"/>
        </w:tabs>
        <w:spacing w:before="120"/>
        <w:jc w:val="both"/>
        <w:rPr>
          <w:rFonts w:ascii="Arial" w:hAnsi="Arial" w:cs="Arial"/>
          <w:lang w:val="es-ES"/>
        </w:rPr>
      </w:pPr>
      <w:r w:rsidRPr="00993936">
        <w:rPr>
          <w:rFonts w:ascii="Arial" w:hAnsi="Arial" w:cs="Arial"/>
          <w:lang w:val="es-ES"/>
        </w:rPr>
        <w:t xml:space="preserve">En caso que el cultivo a implantar sea sensible a nemátodos, se escogerán preferentemente variedades resistentes. En caso de que no haya o no sean bien aceptadas por el mercado, se podrán utilizartratamientos para controlar este problema de suelo en aquellos cultivos en que así lo prevea su Cuadro de Control Fitosanitario. </w:t>
      </w:r>
      <w:r w:rsidRPr="00993936">
        <w:rPr>
          <w:rFonts w:ascii="Arial" w:hAnsi="Arial" w:cs="Arial"/>
          <w:lang w:val="es-ES"/>
        </w:rPr>
        <w:lastRenderedPageBreak/>
        <w:t>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bookmarkStart w:id="11" w:name="_Toc529930355"/>
    </w:p>
    <w:p w:rsidR="00503A41" w:rsidRPr="00993936" w:rsidRDefault="00503A41" w:rsidP="000452B8">
      <w:pPr>
        <w:pStyle w:val="Textoindependiente3"/>
        <w:spacing w:before="120"/>
        <w:rPr>
          <w:rFonts w:cs="Arial"/>
          <w:b w:val="0"/>
          <w:szCs w:val="22"/>
          <w:lang w:val="es-ES"/>
        </w:rPr>
      </w:pPr>
    </w:p>
    <w:p w:rsidR="00503A41" w:rsidRPr="00993936" w:rsidRDefault="00503A41" w:rsidP="000452B8">
      <w:pPr>
        <w:pStyle w:val="Textoindependiente3"/>
        <w:spacing w:before="120"/>
        <w:rPr>
          <w:rFonts w:cs="Arial"/>
          <w:b w:val="0"/>
          <w:szCs w:val="22"/>
          <w:lang w:val="es-ES"/>
        </w:rPr>
      </w:pP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Cuadro 1. Métodos de evaluación de incidencia, criterios de intervención y fauna auxiliar para el control integrado de plagas y enfermedades de judía, haba y guisante</w:t>
      </w:r>
    </w:p>
    <w:p w:rsidR="00503A41" w:rsidRPr="00993936" w:rsidRDefault="00503A41" w:rsidP="000452B8">
      <w:pPr>
        <w:pStyle w:val="Textoindependiente3"/>
        <w:rPr>
          <w:rFonts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35"/>
        <w:gridCol w:w="1748"/>
        <w:gridCol w:w="1872"/>
        <w:gridCol w:w="1497"/>
        <w:gridCol w:w="1592"/>
      </w:tblGrid>
      <w:tr w:rsidR="00503A41" w:rsidRPr="00993936" w:rsidTr="000452B8">
        <w:trPr>
          <w:cantSplit/>
          <w:jc w:val="center"/>
        </w:trPr>
        <w:tc>
          <w:tcPr>
            <w:tcW w:w="1119" w:type="pct"/>
            <w:tcBorders>
              <w:bottom w:val="single" w:sz="4" w:space="0" w:color="auto"/>
            </w:tcBorders>
            <w:shd w:val="pct12" w:color="auto" w:fill="FFFFFF"/>
            <w:vAlign w:val="center"/>
          </w:tcPr>
          <w:bookmarkEnd w:id="11"/>
          <w:p w:rsidR="00503A41" w:rsidRPr="00993936" w:rsidRDefault="00503A41" w:rsidP="000452B8">
            <w:pPr>
              <w:pStyle w:val="titolstaula"/>
              <w:rPr>
                <w:rFonts w:cs="Arial"/>
                <w:noProof w:val="0"/>
                <w:lang w:val="es-ES"/>
              </w:rPr>
            </w:pPr>
            <w:r w:rsidRPr="00993936">
              <w:rPr>
                <w:rFonts w:cs="Arial"/>
                <w:noProof w:val="0"/>
                <w:lang w:val="es-ES"/>
              </w:rPr>
              <w:t>PLAGA / ENFERMEDAD</w:t>
            </w:r>
          </w:p>
        </w:tc>
        <w:tc>
          <w:tcPr>
            <w:tcW w:w="1011" w:type="pct"/>
            <w:tcBorders>
              <w:bottom w:val="single" w:sz="4" w:space="0" w:color="auto"/>
            </w:tcBorders>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MÉTODO DE EVALUACIÓN DE INCIDENCIA</w:t>
            </w:r>
          </w:p>
        </w:tc>
        <w:tc>
          <w:tcPr>
            <w:tcW w:w="1083" w:type="pct"/>
            <w:tcBorders>
              <w:bottom w:val="single" w:sz="4" w:space="0" w:color="auto"/>
            </w:tcBorders>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CRITERIOS DE INTERVENCIÓN</w:t>
            </w:r>
          </w:p>
        </w:tc>
        <w:tc>
          <w:tcPr>
            <w:tcW w:w="866" w:type="pct"/>
            <w:tcBorders>
              <w:bottom w:val="single" w:sz="4" w:space="0" w:color="auto"/>
            </w:tcBorders>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FAUNA AUXILIAR</w:t>
            </w:r>
          </w:p>
        </w:tc>
        <w:tc>
          <w:tcPr>
            <w:tcW w:w="921" w:type="pct"/>
            <w:tcBorders>
              <w:bottom w:val="single" w:sz="4" w:space="0" w:color="auto"/>
            </w:tcBorders>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OTROS MÉTODOS</w:t>
            </w:r>
          </w:p>
          <w:p w:rsidR="00503A41" w:rsidRPr="00993936" w:rsidRDefault="00503A41" w:rsidP="000452B8">
            <w:pPr>
              <w:pStyle w:val="titolstaula"/>
              <w:rPr>
                <w:rFonts w:cs="Arial"/>
                <w:noProof w:val="0"/>
                <w:lang w:val="es-ES"/>
              </w:rPr>
            </w:pPr>
            <w:r w:rsidRPr="00993936">
              <w:rPr>
                <w:rFonts w:cs="Arial"/>
                <w:noProof w:val="0"/>
                <w:lang w:val="es-ES"/>
              </w:rPr>
              <w:t>(culturales, etc.)</w:t>
            </w:r>
          </w:p>
        </w:tc>
      </w:tr>
      <w:tr w:rsidR="00503A41" w:rsidRPr="00993936" w:rsidTr="000452B8">
        <w:trPr>
          <w:cantSplit/>
          <w:jc w:val="center"/>
        </w:trPr>
        <w:tc>
          <w:tcPr>
            <w:tcW w:w="1119" w:type="pct"/>
            <w:tcBorders>
              <w:top w:val="nil"/>
            </w:tcBorders>
            <w:vAlign w:val="center"/>
          </w:tcPr>
          <w:p w:rsidR="00503A41" w:rsidRPr="00993936" w:rsidRDefault="00503A41" w:rsidP="000452B8">
            <w:pPr>
              <w:pStyle w:val="taula"/>
              <w:rPr>
                <w:rFonts w:cs="Arial"/>
                <w:b/>
                <w:noProof w:val="0"/>
                <w:lang w:val="es-ES"/>
              </w:rPr>
            </w:pPr>
            <w:r w:rsidRPr="00993936">
              <w:rPr>
                <w:rFonts w:cs="Arial"/>
                <w:b/>
                <w:noProof w:val="0"/>
                <w:lang w:val="es-ES"/>
              </w:rPr>
              <w:t>Mosca blanca</w:t>
            </w:r>
          </w:p>
          <w:p w:rsidR="00503A41" w:rsidRPr="00993936" w:rsidRDefault="00503A41" w:rsidP="000452B8">
            <w:pPr>
              <w:pStyle w:val="taula"/>
              <w:rPr>
                <w:rFonts w:cs="Arial"/>
                <w:i/>
                <w:noProof w:val="0"/>
                <w:lang w:val="es-ES"/>
              </w:rPr>
            </w:pPr>
            <w:r w:rsidRPr="00993936">
              <w:rPr>
                <w:rFonts w:cs="Arial"/>
                <w:i/>
                <w:noProof w:val="0"/>
                <w:lang w:val="es-ES"/>
              </w:rPr>
              <w:t>T. vaporariorum</w:t>
            </w:r>
          </w:p>
          <w:p w:rsidR="00503A41" w:rsidRPr="00993936" w:rsidRDefault="00503A41" w:rsidP="000452B8">
            <w:pPr>
              <w:pStyle w:val="taula"/>
              <w:rPr>
                <w:rFonts w:cs="Arial"/>
                <w:i/>
                <w:noProof w:val="0"/>
                <w:lang w:val="es-ES"/>
              </w:rPr>
            </w:pPr>
            <w:r w:rsidRPr="00993936">
              <w:rPr>
                <w:rFonts w:cs="Arial"/>
                <w:i/>
                <w:noProof w:val="0"/>
                <w:lang w:val="es-ES"/>
              </w:rPr>
              <w:t>B. tabaci</w:t>
            </w:r>
          </w:p>
        </w:tc>
        <w:tc>
          <w:tcPr>
            <w:tcW w:w="1011" w:type="pct"/>
            <w:vMerge w:val="restart"/>
            <w:tcBorders>
              <w:top w:val="nil"/>
            </w:tcBorders>
            <w:vAlign w:val="center"/>
          </w:tcPr>
          <w:p w:rsidR="00503A41" w:rsidRPr="00993936" w:rsidRDefault="00503A41" w:rsidP="000452B8">
            <w:pPr>
              <w:pStyle w:val="taula"/>
              <w:rPr>
                <w:rFonts w:cs="Arial"/>
                <w:noProof w:val="0"/>
                <w:lang w:val="es-ES"/>
              </w:rPr>
            </w:pPr>
            <w:r w:rsidRPr="00993936">
              <w:rPr>
                <w:rFonts w:cs="Arial"/>
                <w:noProof w:val="0"/>
                <w:lang w:val="es-ES"/>
              </w:rPr>
              <w:t>Para judía, observación de 20 plantas anotando la presencia/ausencia de las plagas y fauna auxiliar presentes. De cada planta se observará una hoja de la parte apical de la planta y otra de la parte media-baja. Tener en cuenta la abundancia de fauna auxiliar en la toma de decisiones. Conservar la fauna útil autóctona dentro del marco del control integrado de plagas.</w:t>
            </w:r>
          </w:p>
          <w:p w:rsidR="00503A41" w:rsidRPr="00993936" w:rsidRDefault="00503A41" w:rsidP="000452B8">
            <w:pPr>
              <w:pStyle w:val="taula"/>
              <w:rPr>
                <w:rFonts w:cs="Arial"/>
                <w:noProof w:val="0"/>
                <w:lang w:val="es-ES"/>
              </w:rPr>
            </w:pPr>
            <w:r w:rsidRPr="00993936">
              <w:rPr>
                <w:rFonts w:cs="Arial"/>
                <w:noProof w:val="0"/>
                <w:lang w:val="es-ES"/>
              </w:rPr>
              <w:t>Para haba y guisante, se seguirá el mismo recuento haciendo las observaciones en el brote apical de la planta.</w:t>
            </w:r>
          </w:p>
          <w:p w:rsidR="00503A41" w:rsidRPr="00993936" w:rsidRDefault="00503A41" w:rsidP="000452B8">
            <w:pPr>
              <w:pStyle w:val="taula"/>
              <w:rPr>
                <w:rFonts w:cs="Arial"/>
                <w:noProof w:val="0"/>
                <w:lang w:val="es-ES"/>
              </w:rPr>
            </w:pPr>
            <w:r w:rsidRPr="00993936">
              <w:rPr>
                <w:rFonts w:cs="Arial"/>
                <w:noProof w:val="0"/>
                <w:lang w:val="es-ES"/>
              </w:rPr>
              <w:t>Se anotará también la presencia/ausencia de enfermedades</w:t>
            </w:r>
          </w:p>
        </w:tc>
        <w:tc>
          <w:tcPr>
            <w:tcW w:w="1083" w:type="pct"/>
            <w:tcBorders>
              <w:top w:val="nil"/>
            </w:tcBorders>
            <w:vAlign w:val="center"/>
          </w:tcPr>
          <w:p w:rsidR="00503A41" w:rsidRPr="00993936" w:rsidRDefault="00503A41" w:rsidP="000452B8">
            <w:pPr>
              <w:pStyle w:val="taula"/>
              <w:rPr>
                <w:rFonts w:cs="Arial"/>
                <w:noProof w:val="0"/>
                <w:lang w:val="es-ES"/>
              </w:rPr>
            </w:pPr>
            <w:r w:rsidRPr="00993936">
              <w:rPr>
                <w:rFonts w:cs="Arial"/>
                <w:noProof w:val="0"/>
                <w:lang w:val="es-ES"/>
              </w:rPr>
              <w:t>Presencia de negrita en alguna planta.</w:t>
            </w:r>
          </w:p>
          <w:p w:rsidR="00503A41" w:rsidRPr="00993936" w:rsidRDefault="00503A41" w:rsidP="000452B8">
            <w:pPr>
              <w:pStyle w:val="taula"/>
              <w:rPr>
                <w:rFonts w:cs="Arial"/>
                <w:noProof w:val="0"/>
                <w:lang w:val="es-ES"/>
              </w:rPr>
            </w:pPr>
          </w:p>
        </w:tc>
        <w:tc>
          <w:tcPr>
            <w:tcW w:w="866" w:type="pct"/>
            <w:tcBorders>
              <w:top w:val="nil"/>
            </w:tcBorders>
            <w:vAlign w:val="center"/>
          </w:tcPr>
          <w:p w:rsidR="00503A41" w:rsidRPr="00993936" w:rsidRDefault="00503A41" w:rsidP="000452B8">
            <w:pPr>
              <w:pStyle w:val="taula"/>
              <w:rPr>
                <w:rFonts w:cs="Arial"/>
                <w:noProof w:val="0"/>
                <w:lang w:val="es-ES"/>
              </w:rPr>
            </w:pPr>
            <w:r w:rsidRPr="00993936">
              <w:rPr>
                <w:rFonts w:cs="Arial"/>
                <w:noProof w:val="0"/>
                <w:lang w:val="es-ES"/>
              </w:rPr>
              <w:t>Parasitoides, depredadores (antacóridos, míridos, cecidómidos, coccinélidos)</w:t>
            </w:r>
          </w:p>
        </w:tc>
        <w:tc>
          <w:tcPr>
            <w:tcW w:w="921" w:type="pct"/>
            <w:tcBorders>
              <w:top w:val="nil"/>
            </w:tcBorders>
            <w:vAlign w:val="center"/>
          </w:tcPr>
          <w:p w:rsidR="00503A41" w:rsidRPr="00993936" w:rsidRDefault="00503A41" w:rsidP="000452B8">
            <w:pPr>
              <w:pStyle w:val="taula"/>
              <w:rPr>
                <w:rFonts w:cs="Arial"/>
                <w:noProof w:val="0"/>
                <w:lang w:val="es-ES"/>
              </w:rPr>
            </w:pPr>
            <w:r w:rsidRPr="00993936">
              <w:rPr>
                <w:rFonts w:cs="Arial"/>
                <w:noProof w:val="0"/>
                <w:lang w:val="es-ES"/>
              </w:rPr>
              <w:t>Soluciones jabonosas admitidas para adultos</w:t>
            </w:r>
          </w:p>
        </w:tc>
      </w:tr>
      <w:tr w:rsidR="00503A41" w:rsidRPr="00993936" w:rsidTr="000452B8">
        <w:trPr>
          <w:cantSplit/>
          <w:jc w:val="center"/>
        </w:trPr>
        <w:tc>
          <w:tcPr>
            <w:tcW w:w="1119" w:type="pct"/>
            <w:vAlign w:val="center"/>
          </w:tcPr>
          <w:p w:rsidR="00503A41" w:rsidRPr="00993936" w:rsidRDefault="00503A41" w:rsidP="000452B8">
            <w:pPr>
              <w:pStyle w:val="taula"/>
              <w:rPr>
                <w:rFonts w:cs="Arial"/>
                <w:b/>
                <w:noProof w:val="0"/>
                <w:lang w:val="es-ES"/>
              </w:rPr>
            </w:pPr>
            <w:r w:rsidRPr="00993936">
              <w:rPr>
                <w:rFonts w:cs="Arial"/>
                <w:b/>
                <w:noProof w:val="0"/>
                <w:lang w:val="es-ES"/>
              </w:rPr>
              <w:t>Pulgones</w:t>
            </w:r>
          </w:p>
          <w:p w:rsidR="00503A41" w:rsidRPr="00993936" w:rsidRDefault="00503A41" w:rsidP="000452B8">
            <w:pPr>
              <w:pStyle w:val="taula"/>
              <w:rPr>
                <w:rFonts w:cs="Arial"/>
                <w:noProof w:val="0"/>
                <w:lang w:val="es-ES"/>
              </w:rPr>
            </w:pPr>
          </w:p>
        </w:tc>
        <w:tc>
          <w:tcPr>
            <w:tcW w:w="1011" w:type="pct"/>
            <w:vMerge/>
            <w:vAlign w:val="center"/>
          </w:tcPr>
          <w:p w:rsidR="00503A41" w:rsidRPr="00993936" w:rsidRDefault="00503A41" w:rsidP="000452B8">
            <w:pPr>
              <w:pStyle w:val="taula"/>
              <w:rPr>
                <w:rFonts w:cs="Arial"/>
                <w:noProof w:val="0"/>
                <w:lang w:val="es-ES"/>
              </w:rPr>
            </w:pPr>
          </w:p>
        </w:tc>
        <w:tc>
          <w:tcPr>
            <w:tcW w:w="1083"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 de la plaga.</w:t>
            </w:r>
          </w:p>
          <w:p w:rsidR="00503A41" w:rsidRPr="00993936" w:rsidRDefault="00503A41" w:rsidP="000452B8">
            <w:pPr>
              <w:pStyle w:val="taula"/>
              <w:rPr>
                <w:rFonts w:cs="Arial"/>
                <w:noProof w:val="0"/>
                <w:lang w:val="es-ES"/>
              </w:rPr>
            </w:pPr>
            <w:r w:rsidRPr="00993936">
              <w:rPr>
                <w:rFonts w:cs="Arial"/>
                <w:noProof w:val="0"/>
                <w:lang w:val="es-ES"/>
              </w:rPr>
              <w:t>Preferiblemente tratamientos localizados.</w:t>
            </w:r>
          </w:p>
        </w:tc>
        <w:tc>
          <w:tcPr>
            <w:tcW w:w="866" w:type="pct"/>
            <w:vAlign w:val="center"/>
          </w:tcPr>
          <w:p w:rsidR="00503A41" w:rsidRPr="00993936" w:rsidRDefault="00503A41" w:rsidP="000452B8">
            <w:pPr>
              <w:pStyle w:val="taula"/>
              <w:rPr>
                <w:rFonts w:cs="Arial"/>
                <w:noProof w:val="0"/>
                <w:lang w:val="es-ES"/>
              </w:rPr>
            </w:pPr>
            <w:r w:rsidRPr="00993936">
              <w:rPr>
                <w:rFonts w:cs="Arial"/>
                <w:noProof w:val="0"/>
                <w:lang w:val="es-ES"/>
              </w:rPr>
              <w:t>Parasitoides, depredadores (cecidómidos, coccinélidos, sírfidos)</w:t>
            </w:r>
          </w:p>
        </w:tc>
        <w:tc>
          <w:tcPr>
            <w:tcW w:w="921" w:type="pct"/>
            <w:vAlign w:val="center"/>
          </w:tcPr>
          <w:p w:rsidR="00503A41" w:rsidRPr="00993936" w:rsidRDefault="00503A41" w:rsidP="001D205D">
            <w:pPr>
              <w:pStyle w:val="taula"/>
              <w:rPr>
                <w:rFonts w:cs="Arial"/>
                <w:noProof w:val="0"/>
                <w:lang w:val="es-ES"/>
              </w:rPr>
            </w:pPr>
            <w:r w:rsidRPr="00993936">
              <w:rPr>
                <w:rFonts w:cs="Arial"/>
                <w:noProof w:val="0"/>
                <w:lang w:val="es-ES"/>
              </w:rPr>
              <w:t>Evitar el exceso de abonado</w:t>
            </w:r>
            <w:r w:rsidRPr="00993936">
              <w:rPr>
                <w:rFonts w:cs="Arial"/>
                <w:noProof w:val="0"/>
                <w:vanish/>
                <w:lang w:val="es-ES"/>
              </w:rPr>
              <w:t>&lt;A[adobado|arreglado]&gt;</w:t>
            </w:r>
            <w:r w:rsidRPr="00993936">
              <w:rPr>
                <w:rFonts w:cs="Arial"/>
                <w:noProof w:val="0"/>
                <w:lang w:val="es-ES"/>
              </w:rPr>
              <w:t xml:space="preserve"> nitrogenado</w:t>
            </w:r>
          </w:p>
        </w:tc>
      </w:tr>
      <w:tr w:rsidR="00503A41" w:rsidRPr="00993936" w:rsidTr="000452B8">
        <w:trPr>
          <w:cantSplit/>
          <w:jc w:val="center"/>
        </w:trPr>
        <w:tc>
          <w:tcPr>
            <w:tcW w:w="1119" w:type="pct"/>
            <w:vAlign w:val="center"/>
          </w:tcPr>
          <w:p w:rsidR="00503A41" w:rsidRPr="00993936" w:rsidRDefault="00503A41" w:rsidP="000452B8">
            <w:pPr>
              <w:pStyle w:val="taula"/>
              <w:rPr>
                <w:rFonts w:cs="Arial"/>
                <w:b/>
                <w:noProof w:val="0"/>
                <w:lang w:val="es-ES"/>
              </w:rPr>
            </w:pPr>
            <w:r w:rsidRPr="00993936">
              <w:rPr>
                <w:rFonts w:cs="Arial"/>
                <w:b/>
                <w:noProof w:val="0"/>
                <w:lang w:val="es-ES"/>
              </w:rPr>
              <w:t>Minadora</w:t>
            </w:r>
          </w:p>
          <w:p w:rsidR="00503A41" w:rsidRPr="00993936" w:rsidRDefault="00503A41" w:rsidP="000452B8">
            <w:pPr>
              <w:pStyle w:val="taula"/>
              <w:rPr>
                <w:rFonts w:cs="Arial"/>
                <w:noProof w:val="0"/>
                <w:lang w:val="es-ES"/>
              </w:rPr>
            </w:pPr>
            <w:r w:rsidRPr="00993936">
              <w:rPr>
                <w:rFonts w:cs="Arial"/>
                <w:i/>
                <w:noProof w:val="0"/>
                <w:lang w:val="es-ES"/>
              </w:rPr>
              <w:t>Liriomyza</w:t>
            </w:r>
            <w:r w:rsidRPr="00993936">
              <w:rPr>
                <w:rFonts w:cs="Arial"/>
                <w:noProof w:val="0"/>
                <w:lang w:val="es-ES"/>
              </w:rPr>
              <w:t xml:space="preserve"> spp.</w:t>
            </w:r>
          </w:p>
        </w:tc>
        <w:tc>
          <w:tcPr>
            <w:tcW w:w="1011" w:type="pct"/>
            <w:vMerge/>
            <w:vAlign w:val="center"/>
          </w:tcPr>
          <w:p w:rsidR="00503A41" w:rsidRPr="00993936" w:rsidRDefault="00503A41" w:rsidP="000452B8">
            <w:pPr>
              <w:pStyle w:val="taula"/>
              <w:rPr>
                <w:rFonts w:cs="Arial"/>
                <w:noProof w:val="0"/>
                <w:lang w:val="es-ES"/>
              </w:rPr>
            </w:pPr>
          </w:p>
        </w:tc>
        <w:tc>
          <w:tcPr>
            <w:tcW w:w="1083" w:type="pct"/>
            <w:vAlign w:val="center"/>
          </w:tcPr>
          <w:p w:rsidR="00503A41" w:rsidRPr="00993936" w:rsidRDefault="00503A41" w:rsidP="000452B8">
            <w:pPr>
              <w:pStyle w:val="taula"/>
              <w:rPr>
                <w:rFonts w:cs="Arial"/>
                <w:noProof w:val="0"/>
                <w:lang w:val="es-ES"/>
              </w:rPr>
            </w:pPr>
            <w:r w:rsidRPr="00993936">
              <w:rPr>
                <w:rFonts w:cs="Arial"/>
                <w:noProof w:val="0"/>
                <w:lang w:val="es-ES"/>
              </w:rPr>
              <w:t>Aumento del nivel de plaga con niveles bajos (&lt; 25%) de parasitismo</w:t>
            </w:r>
          </w:p>
        </w:tc>
        <w:tc>
          <w:tcPr>
            <w:tcW w:w="866" w:type="pct"/>
            <w:vAlign w:val="center"/>
          </w:tcPr>
          <w:p w:rsidR="00503A41" w:rsidRPr="00993936" w:rsidRDefault="00503A41" w:rsidP="000452B8">
            <w:pPr>
              <w:pStyle w:val="taula"/>
              <w:rPr>
                <w:rFonts w:cs="Arial"/>
                <w:noProof w:val="0"/>
                <w:lang w:val="es-ES"/>
              </w:rPr>
            </w:pPr>
            <w:r w:rsidRPr="00993936">
              <w:rPr>
                <w:rFonts w:cs="Arial"/>
                <w:i/>
                <w:noProof w:val="0"/>
                <w:lang w:val="es-ES"/>
              </w:rPr>
              <w:t>D. isaea</w:t>
            </w:r>
            <w:r w:rsidRPr="00993936">
              <w:rPr>
                <w:rFonts w:cs="Arial"/>
                <w:noProof w:val="0"/>
                <w:lang w:val="es-ES"/>
              </w:rPr>
              <w:t xml:space="preserve"> y depredadores polífagos</w:t>
            </w:r>
          </w:p>
        </w:tc>
        <w:tc>
          <w:tcPr>
            <w:tcW w:w="921"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19" w:type="pct"/>
            <w:vAlign w:val="center"/>
          </w:tcPr>
          <w:p w:rsidR="00503A41" w:rsidRPr="00993936" w:rsidRDefault="00503A41" w:rsidP="000452B8">
            <w:pPr>
              <w:pStyle w:val="taula"/>
              <w:rPr>
                <w:rFonts w:cs="Arial"/>
                <w:b/>
                <w:noProof w:val="0"/>
                <w:lang w:val="es-ES"/>
              </w:rPr>
            </w:pPr>
            <w:r w:rsidRPr="00993936">
              <w:rPr>
                <w:rFonts w:cs="Arial"/>
                <w:b/>
                <w:noProof w:val="0"/>
                <w:lang w:val="es-ES"/>
              </w:rPr>
              <w:t>Lepidópteros y orugas</w:t>
            </w:r>
          </w:p>
        </w:tc>
        <w:tc>
          <w:tcPr>
            <w:tcW w:w="1011" w:type="pct"/>
            <w:vMerge/>
            <w:vAlign w:val="center"/>
          </w:tcPr>
          <w:p w:rsidR="00503A41" w:rsidRPr="00993936" w:rsidRDefault="00503A41" w:rsidP="000452B8">
            <w:pPr>
              <w:pStyle w:val="taula"/>
              <w:rPr>
                <w:rFonts w:cs="Arial"/>
                <w:noProof w:val="0"/>
                <w:lang w:val="es-ES"/>
              </w:rPr>
            </w:pPr>
          </w:p>
        </w:tc>
        <w:tc>
          <w:tcPr>
            <w:tcW w:w="1083"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 dependiendo del cultivo y la especie de lepidóptero puede haber una cierta tolerancia.</w:t>
            </w:r>
          </w:p>
        </w:tc>
        <w:tc>
          <w:tcPr>
            <w:tcW w:w="866" w:type="pct"/>
            <w:vAlign w:val="center"/>
          </w:tcPr>
          <w:p w:rsidR="00503A41" w:rsidRPr="00993936" w:rsidRDefault="00503A41" w:rsidP="000452B8">
            <w:pPr>
              <w:pStyle w:val="taula"/>
              <w:rPr>
                <w:rFonts w:cs="Arial"/>
                <w:noProof w:val="0"/>
                <w:lang w:val="es-ES"/>
              </w:rPr>
            </w:pPr>
            <w:r w:rsidRPr="00993936">
              <w:rPr>
                <w:rFonts w:cs="Arial"/>
                <w:noProof w:val="0"/>
                <w:lang w:val="es-ES"/>
              </w:rPr>
              <w:t>Depredadores polífagos</w:t>
            </w:r>
          </w:p>
        </w:tc>
        <w:tc>
          <w:tcPr>
            <w:tcW w:w="921"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19" w:type="pct"/>
            <w:vAlign w:val="center"/>
          </w:tcPr>
          <w:p w:rsidR="00503A41" w:rsidRPr="00993936" w:rsidRDefault="00503A41" w:rsidP="000452B8">
            <w:pPr>
              <w:pStyle w:val="taula"/>
              <w:rPr>
                <w:rFonts w:cs="Arial"/>
                <w:noProof w:val="0"/>
                <w:lang w:val="es-ES"/>
              </w:rPr>
            </w:pPr>
            <w:r w:rsidRPr="00993936">
              <w:rPr>
                <w:rFonts w:cs="Arial"/>
                <w:b/>
                <w:noProof w:val="0"/>
                <w:lang w:val="es-ES"/>
              </w:rPr>
              <w:t>Ácaros</w:t>
            </w:r>
            <w:r w:rsidRPr="00993936">
              <w:rPr>
                <w:rFonts w:cs="Arial"/>
                <w:noProof w:val="0"/>
                <w:lang w:val="es-ES"/>
              </w:rPr>
              <w:t xml:space="preserve"> </w:t>
            </w:r>
          </w:p>
          <w:p w:rsidR="00503A41" w:rsidRPr="00993936" w:rsidRDefault="00503A41" w:rsidP="000452B8">
            <w:pPr>
              <w:pStyle w:val="taula"/>
              <w:rPr>
                <w:rFonts w:cs="Arial"/>
                <w:noProof w:val="0"/>
                <w:lang w:val="es-ES"/>
              </w:rPr>
            </w:pPr>
            <w:r w:rsidRPr="00993936">
              <w:rPr>
                <w:rFonts w:cs="Arial"/>
                <w:i/>
                <w:noProof w:val="0"/>
                <w:lang w:val="es-ES"/>
              </w:rPr>
              <w:t xml:space="preserve">Tetranychus </w:t>
            </w:r>
            <w:r w:rsidRPr="00993936">
              <w:rPr>
                <w:rFonts w:cs="Arial"/>
                <w:noProof w:val="0"/>
                <w:lang w:val="es-ES"/>
              </w:rPr>
              <w:t>spp</w:t>
            </w:r>
            <w:r w:rsidRPr="00993936">
              <w:rPr>
                <w:rFonts w:cs="Arial"/>
                <w:i/>
                <w:noProof w:val="0"/>
                <w:lang w:val="es-ES"/>
              </w:rPr>
              <w:t>. Polyphagotarsonemus latus</w:t>
            </w:r>
            <w:r w:rsidRPr="00993936">
              <w:rPr>
                <w:rFonts w:cs="Arial"/>
                <w:noProof w:val="0"/>
                <w:lang w:val="es-ES"/>
              </w:rPr>
              <w:t xml:space="preserve"> </w:t>
            </w:r>
          </w:p>
        </w:tc>
        <w:tc>
          <w:tcPr>
            <w:tcW w:w="1011" w:type="pct"/>
            <w:vMerge/>
            <w:vAlign w:val="center"/>
          </w:tcPr>
          <w:p w:rsidR="00503A41" w:rsidRPr="00993936" w:rsidRDefault="00503A41" w:rsidP="000452B8">
            <w:pPr>
              <w:pStyle w:val="taula"/>
              <w:rPr>
                <w:rFonts w:cs="Arial"/>
                <w:noProof w:val="0"/>
                <w:lang w:val="es-ES"/>
              </w:rPr>
            </w:pPr>
          </w:p>
        </w:tc>
        <w:tc>
          <w:tcPr>
            <w:tcW w:w="1083"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 de foco</w:t>
            </w:r>
          </w:p>
        </w:tc>
        <w:tc>
          <w:tcPr>
            <w:tcW w:w="866" w:type="pct"/>
            <w:vAlign w:val="center"/>
          </w:tcPr>
          <w:p w:rsidR="00503A41" w:rsidRPr="00993936" w:rsidRDefault="00503A41" w:rsidP="000452B8">
            <w:pPr>
              <w:pStyle w:val="taula"/>
              <w:rPr>
                <w:rFonts w:cs="Arial"/>
                <w:noProof w:val="0"/>
                <w:lang w:val="es-ES"/>
              </w:rPr>
            </w:pPr>
            <w:r w:rsidRPr="00993936">
              <w:rPr>
                <w:rFonts w:cs="Arial"/>
                <w:noProof w:val="0"/>
                <w:lang w:val="es-ES"/>
              </w:rPr>
              <w:t>Fitoseidos</w:t>
            </w:r>
          </w:p>
        </w:tc>
        <w:tc>
          <w:tcPr>
            <w:tcW w:w="921"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19" w:type="pct"/>
            <w:tcBorders>
              <w:bottom w:val="nil"/>
            </w:tcBorders>
            <w:vAlign w:val="center"/>
          </w:tcPr>
          <w:p w:rsidR="00503A41" w:rsidRPr="00993936" w:rsidRDefault="00503A41" w:rsidP="000452B8">
            <w:pPr>
              <w:pStyle w:val="taula"/>
              <w:rPr>
                <w:rFonts w:cs="Arial"/>
                <w:b/>
                <w:noProof w:val="0"/>
                <w:lang w:val="es-ES"/>
              </w:rPr>
            </w:pPr>
            <w:r w:rsidRPr="00993936">
              <w:rPr>
                <w:rFonts w:cs="Arial"/>
                <w:b/>
                <w:noProof w:val="0"/>
                <w:lang w:val="es-ES"/>
              </w:rPr>
              <w:t>Trips</w:t>
            </w:r>
          </w:p>
          <w:p w:rsidR="00503A41" w:rsidRPr="00993936" w:rsidRDefault="00503A41" w:rsidP="000452B8">
            <w:pPr>
              <w:pStyle w:val="taula"/>
              <w:rPr>
                <w:rFonts w:cs="Arial"/>
                <w:i/>
                <w:noProof w:val="0"/>
                <w:lang w:val="es-ES"/>
              </w:rPr>
            </w:pPr>
            <w:r w:rsidRPr="00993936">
              <w:rPr>
                <w:rFonts w:cs="Arial"/>
                <w:i/>
                <w:noProof w:val="0"/>
                <w:lang w:val="es-ES"/>
              </w:rPr>
              <w:t xml:space="preserve">F. occidentalis </w:t>
            </w:r>
            <w:r w:rsidRPr="00993936">
              <w:rPr>
                <w:rFonts w:cs="Arial"/>
                <w:noProof w:val="0"/>
                <w:lang w:val="es-ES"/>
              </w:rPr>
              <w:t>u otros</w:t>
            </w:r>
          </w:p>
        </w:tc>
        <w:tc>
          <w:tcPr>
            <w:tcW w:w="1011" w:type="pct"/>
            <w:vMerge/>
            <w:vAlign w:val="center"/>
          </w:tcPr>
          <w:p w:rsidR="00503A41" w:rsidRPr="00993936" w:rsidRDefault="00503A41" w:rsidP="000452B8">
            <w:pPr>
              <w:pStyle w:val="taula"/>
              <w:rPr>
                <w:rFonts w:cs="Arial"/>
                <w:noProof w:val="0"/>
                <w:lang w:val="es-ES"/>
              </w:rPr>
            </w:pPr>
          </w:p>
        </w:tc>
        <w:tc>
          <w:tcPr>
            <w:tcW w:w="1083"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 de daños</w:t>
            </w:r>
          </w:p>
        </w:tc>
        <w:tc>
          <w:tcPr>
            <w:tcW w:w="866" w:type="pct"/>
            <w:vAlign w:val="center"/>
          </w:tcPr>
          <w:p w:rsidR="00503A41" w:rsidRPr="00993936" w:rsidRDefault="00503A41" w:rsidP="000452B8">
            <w:pPr>
              <w:pStyle w:val="taula"/>
              <w:rPr>
                <w:rFonts w:cs="Arial"/>
                <w:noProof w:val="0"/>
                <w:lang w:val="es-ES"/>
              </w:rPr>
            </w:pPr>
            <w:r w:rsidRPr="00993936">
              <w:rPr>
                <w:rFonts w:cs="Arial"/>
                <w:noProof w:val="0"/>
                <w:lang w:val="es-ES"/>
              </w:rPr>
              <w:t>Antacóridos, fitoseidos</w:t>
            </w:r>
          </w:p>
        </w:tc>
        <w:tc>
          <w:tcPr>
            <w:tcW w:w="921"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19" w:type="pct"/>
            <w:tcBorders>
              <w:bottom w:val="nil"/>
            </w:tcBorders>
            <w:vAlign w:val="center"/>
          </w:tcPr>
          <w:p w:rsidR="00503A41" w:rsidRPr="00993936" w:rsidRDefault="00503A41" w:rsidP="000452B8">
            <w:pPr>
              <w:pStyle w:val="taula"/>
              <w:rPr>
                <w:rFonts w:cs="Arial"/>
                <w:i/>
                <w:noProof w:val="0"/>
                <w:lang w:val="es-ES"/>
              </w:rPr>
            </w:pPr>
            <w:r w:rsidRPr="00993936">
              <w:rPr>
                <w:rFonts w:cs="Arial"/>
                <w:i/>
                <w:noProof w:val="0"/>
                <w:lang w:val="es-ES"/>
              </w:rPr>
              <w:t>Rhizoctonia sp.</w:t>
            </w:r>
          </w:p>
        </w:tc>
        <w:tc>
          <w:tcPr>
            <w:tcW w:w="1011" w:type="pct"/>
            <w:vMerge/>
            <w:vAlign w:val="center"/>
          </w:tcPr>
          <w:p w:rsidR="00503A41" w:rsidRPr="00993936" w:rsidRDefault="00503A41" w:rsidP="000452B8">
            <w:pPr>
              <w:pStyle w:val="taula"/>
              <w:rPr>
                <w:rFonts w:cs="Arial"/>
                <w:noProof w:val="0"/>
                <w:lang w:val="es-ES"/>
              </w:rPr>
            </w:pPr>
          </w:p>
        </w:tc>
        <w:tc>
          <w:tcPr>
            <w:tcW w:w="1083" w:type="pct"/>
            <w:vMerge w:val="restart"/>
            <w:vAlign w:val="center"/>
          </w:tcPr>
          <w:p w:rsidR="00503A41" w:rsidRPr="00993936" w:rsidRDefault="00503A41" w:rsidP="000452B8">
            <w:pPr>
              <w:pStyle w:val="taula"/>
              <w:rPr>
                <w:rFonts w:cs="Arial"/>
                <w:noProof w:val="0"/>
                <w:lang w:val="es-ES"/>
              </w:rPr>
            </w:pPr>
            <w:r w:rsidRPr="00993936">
              <w:rPr>
                <w:rFonts w:cs="Arial"/>
                <w:noProof w:val="0"/>
                <w:lang w:val="es-ES"/>
              </w:rPr>
              <w:t>Presencia de la enfermedad</w:t>
            </w:r>
          </w:p>
        </w:tc>
        <w:tc>
          <w:tcPr>
            <w:tcW w:w="866" w:type="pct"/>
            <w:vMerge w:val="restart"/>
            <w:vAlign w:val="center"/>
          </w:tcPr>
          <w:p w:rsidR="00503A41" w:rsidRPr="00993936" w:rsidRDefault="00503A41" w:rsidP="000452B8">
            <w:pPr>
              <w:pStyle w:val="taula"/>
              <w:rPr>
                <w:rFonts w:cs="Arial"/>
                <w:noProof w:val="0"/>
                <w:lang w:val="es-ES"/>
              </w:rPr>
            </w:pPr>
          </w:p>
        </w:tc>
        <w:tc>
          <w:tcPr>
            <w:tcW w:w="921" w:type="pct"/>
            <w:vAlign w:val="center"/>
          </w:tcPr>
          <w:p w:rsidR="00503A41" w:rsidRPr="00993936" w:rsidRDefault="00503A41" w:rsidP="000452B8">
            <w:pPr>
              <w:pStyle w:val="taula"/>
              <w:rPr>
                <w:rFonts w:cs="Arial"/>
                <w:noProof w:val="0"/>
                <w:lang w:val="es-ES"/>
              </w:rPr>
            </w:pPr>
            <w:r w:rsidRPr="00993936">
              <w:rPr>
                <w:rFonts w:cs="Arial"/>
                <w:noProof w:val="0"/>
                <w:lang w:val="es-ES"/>
              </w:rPr>
              <w:t>Evitar altas densidades de plantación.</w:t>
            </w:r>
          </w:p>
          <w:p w:rsidR="00503A41" w:rsidRPr="00993936" w:rsidRDefault="00503A41" w:rsidP="000452B8">
            <w:pPr>
              <w:pStyle w:val="taula"/>
              <w:rPr>
                <w:rFonts w:cs="Arial"/>
                <w:noProof w:val="0"/>
                <w:lang w:val="es-ES"/>
              </w:rPr>
            </w:pPr>
            <w:r w:rsidRPr="00993936">
              <w:rPr>
                <w:rFonts w:cs="Arial"/>
                <w:noProof w:val="0"/>
                <w:lang w:val="es-ES"/>
              </w:rPr>
              <w:t>Rotación.</w:t>
            </w:r>
          </w:p>
          <w:p w:rsidR="00503A41" w:rsidRPr="00993936" w:rsidRDefault="00503A41" w:rsidP="000452B8">
            <w:pPr>
              <w:pStyle w:val="taula"/>
              <w:rPr>
                <w:rFonts w:cs="Arial"/>
                <w:noProof w:val="0"/>
                <w:lang w:val="es-ES"/>
              </w:rPr>
            </w:pPr>
            <w:r w:rsidRPr="00993936">
              <w:rPr>
                <w:rFonts w:cs="Arial"/>
                <w:noProof w:val="0"/>
                <w:lang w:val="es-ES"/>
              </w:rPr>
              <w:t>Destruir restos de cultivo.</w:t>
            </w:r>
          </w:p>
          <w:p w:rsidR="00503A41" w:rsidRPr="00993936" w:rsidRDefault="00503A41" w:rsidP="000452B8">
            <w:pPr>
              <w:pStyle w:val="taula"/>
              <w:rPr>
                <w:rFonts w:cs="Arial"/>
                <w:noProof w:val="0"/>
                <w:lang w:val="es-ES"/>
              </w:rPr>
            </w:pPr>
            <w:r w:rsidRPr="00993936">
              <w:rPr>
                <w:rFonts w:cs="Arial"/>
                <w:noProof w:val="0"/>
                <w:lang w:val="es-ES"/>
              </w:rPr>
              <w:t>Solarización.</w:t>
            </w:r>
          </w:p>
        </w:tc>
      </w:tr>
      <w:tr w:rsidR="00503A41" w:rsidRPr="00993936" w:rsidTr="000452B8">
        <w:trPr>
          <w:cantSplit/>
          <w:jc w:val="center"/>
        </w:trPr>
        <w:tc>
          <w:tcPr>
            <w:tcW w:w="1119" w:type="pct"/>
            <w:tcBorders>
              <w:bottom w:val="single" w:sz="4" w:space="0" w:color="auto"/>
            </w:tcBorders>
            <w:vAlign w:val="center"/>
          </w:tcPr>
          <w:p w:rsidR="00503A41" w:rsidRPr="00993936" w:rsidRDefault="00503A41" w:rsidP="000452B8">
            <w:pPr>
              <w:pStyle w:val="taula"/>
              <w:rPr>
                <w:rFonts w:cs="Arial"/>
                <w:b/>
                <w:noProof w:val="0"/>
                <w:lang w:val="es-ES"/>
              </w:rPr>
            </w:pPr>
            <w:r w:rsidRPr="00993936">
              <w:rPr>
                <w:rFonts w:cs="Arial"/>
                <w:b/>
                <w:noProof w:val="0"/>
                <w:lang w:val="es-ES"/>
              </w:rPr>
              <w:t>Mildiu</w:t>
            </w:r>
          </w:p>
          <w:p w:rsidR="00503A41" w:rsidRPr="00993936" w:rsidRDefault="00503A41" w:rsidP="000452B8">
            <w:pPr>
              <w:pStyle w:val="taula"/>
              <w:rPr>
                <w:rFonts w:cs="Arial"/>
                <w:noProof w:val="0"/>
                <w:lang w:val="es-ES"/>
              </w:rPr>
            </w:pPr>
            <w:r w:rsidRPr="00993936">
              <w:rPr>
                <w:rFonts w:cs="Arial"/>
                <w:noProof w:val="0"/>
                <w:lang w:val="es-ES"/>
              </w:rPr>
              <w:t>(</w:t>
            </w:r>
            <w:r w:rsidRPr="00993936">
              <w:rPr>
                <w:rFonts w:cs="Arial"/>
                <w:i/>
                <w:noProof w:val="0"/>
                <w:lang w:val="es-ES"/>
              </w:rPr>
              <w:t>Peronospora pise</w:t>
            </w:r>
            <w:r w:rsidRPr="00993936">
              <w:rPr>
                <w:rFonts w:cs="Arial"/>
                <w:noProof w:val="0"/>
                <w:lang w:val="es-ES"/>
              </w:rPr>
              <w:t>)</w:t>
            </w:r>
          </w:p>
        </w:tc>
        <w:tc>
          <w:tcPr>
            <w:tcW w:w="1011" w:type="pct"/>
            <w:vMerge/>
            <w:vAlign w:val="center"/>
          </w:tcPr>
          <w:p w:rsidR="00503A41" w:rsidRPr="00993936" w:rsidRDefault="00503A41" w:rsidP="000452B8">
            <w:pPr>
              <w:pStyle w:val="taula"/>
              <w:rPr>
                <w:rFonts w:cs="Arial"/>
                <w:noProof w:val="0"/>
                <w:lang w:val="es-ES"/>
              </w:rPr>
            </w:pPr>
          </w:p>
        </w:tc>
        <w:tc>
          <w:tcPr>
            <w:tcW w:w="1083" w:type="pct"/>
            <w:vMerge/>
            <w:vAlign w:val="center"/>
          </w:tcPr>
          <w:p w:rsidR="00503A41" w:rsidRPr="00993936" w:rsidRDefault="00503A41" w:rsidP="000452B8">
            <w:pPr>
              <w:pStyle w:val="taula"/>
              <w:rPr>
                <w:rFonts w:cs="Arial"/>
                <w:noProof w:val="0"/>
                <w:lang w:val="es-ES"/>
              </w:rPr>
            </w:pPr>
          </w:p>
        </w:tc>
        <w:tc>
          <w:tcPr>
            <w:tcW w:w="866" w:type="pct"/>
            <w:vMerge/>
            <w:vAlign w:val="center"/>
          </w:tcPr>
          <w:p w:rsidR="00503A41" w:rsidRPr="00993936" w:rsidRDefault="00503A41" w:rsidP="000452B8">
            <w:pPr>
              <w:pStyle w:val="taula"/>
              <w:rPr>
                <w:rFonts w:cs="Arial"/>
                <w:noProof w:val="0"/>
                <w:lang w:val="es-ES"/>
              </w:rPr>
            </w:pPr>
          </w:p>
        </w:tc>
        <w:tc>
          <w:tcPr>
            <w:tcW w:w="921" w:type="pct"/>
            <w:vAlign w:val="center"/>
          </w:tcPr>
          <w:p w:rsidR="00503A41" w:rsidRPr="00993936" w:rsidRDefault="00503A41" w:rsidP="000452B8">
            <w:pPr>
              <w:pStyle w:val="taula"/>
              <w:rPr>
                <w:rFonts w:cs="Arial"/>
                <w:noProof w:val="0"/>
                <w:lang w:val="es-ES"/>
              </w:rPr>
            </w:pPr>
            <w:r w:rsidRPr="00993936">
              <w:rPr>
                <w:rFonts w:cs="Arial"/>
                <w:noProof w:val="0"/>
                <w:lang w:val="es-ES"/>
              </w:rPr>
              <w:t>Evitar altas densidades de plantación.</w:t>
            </w:r>
          </w:p>
        </w:tc>
      </w:tr>
      <w:tr w:rsidR="00503A41" w:rsidRPr="00993936" w:rsidTr="000452B8">
        <w:trPr>
          <w:cantSplit/>
          <w:jc w:val="center"/>
        </w:trPr>
        <w:tc>
          <w:tcPr>
            <w:tcW w:w="1119" w:type="pct"/>
            <w:tcBorders>
              <w:top w:val="single" w:sz="4" w:space="0" w:color="auto"/>
            </w:tcBorders>
            <w:vAlign w:val="center"/>
          </w:tcPr>
          <w:p w:rsidR="00503A41" w:rsidRPr="00993936" w:rsidRDefault="00503A41" w:rsidP="000452B8">
            <w:pPr>
              <w:pStyle w:val="taula"/>
              <w:rPr>
                <w:rFonts w:cs="Arial"/>
                <w:b/>
                <w:noProof w:val="0"/>
                <w:lang w:val="es-ES"/>
              </w:rPr>
            </w:pPr>
            <w:r w:rsidRPr="00993936">
              <w:rPr>
                <w:rFonts w:cs="Arial"/>
                <w:b/>
                <w:noProof w:val="0"/>
                <w:lang w:val="es-ES"/>
              </w:rPr>
              <w:t>Antracnosis</w:t>
            </w:r>
          </w:p>
          <w:p w:rsidR="00503A41" w:rsidRPr="00993936" w:rsidRDefault="00503A41" w:rsidP="000452B8">
            <w:pPr>
              <w:pStyle w:val="taula"/>
              <w:rPr>
                <w:rFonts w:cs="Arial"/>
                <w:i/>
                <w:noProof w:val="0"/>
                <w:lang w:val="es-ES"/>
              </w:rPr>
            </w:pPr>
            <w:r w:rsidRPr="00993936">
              <w:rPr>
                <w:rFonts w:cs="Arial"/>
                <w:i/>
                <w:noProof w:val="0"/>
                <w:lang w:val="es-ES"/>
              </w:rPr>
              <w:t>Ascochyta pise</w:t>
            </w:r>
          </w:p>
        </w:tc>
        <w:tc>
          <w:tcPr>
            <w:tcW w:w="1011" w:type="pct"/>
            <w:vMerge/>
          </w:tcPr>
          <w:p w:rsidR="00503A41" w:rsidRPr="00993936" w:rsidRDefault="00503A41" w:rsidP="000452B8">
            <w:pPr>
              <w:pStyle w:val="taula"/>
              <w:rPr>
                <w:rFonts w:cs="Arial"/>
                <w:noProof w:val="0"/>
                <w:lang w:val="es-ES"/>
              </w:rPr>
            </w:pPr>
          </w:p>
        </w:tc>
        <w:tc>
          <w:tcPr>
            <w:tcW w:w="1083" w:type="pct"/>
            <w:vMerge/>
          </w:tcPr>
          <w:p w:rsidR="00503A41" w:rsidRPr="00993936" w:rsidRDefault="00503A41" w:rsidP="000452B8">
            <w:pPr>
              <w:pStyle w:val="taula"/>
              <w:rPr>
                <w:rFonts w:cs="Arial"/>
                <w:noProof w:val="0"/>
                <w:lang w:val="es-ES"/>
              </w:rPr>
            </w:pPr>
          </w:p>
        </w:tc>
        <w:tc>
          <w:tcPr>
            <w:tcW w:w="866" w:type="pct"/>
            <w:vMerge/>
          </w:tcPr>
          <w:p w:rsidR="00503A41" w:rsidRPr="00993936" w:rsidRDefault="00503A41" w:rsidP="000452B8">
            <w:pPr>
              <w:pStyle w:val="taula"/>
              <w:rPr>
                <w:rFonts w:cs="Arial"/>
                <w:noProof w:val="0"/>
                <w:lang w:val="es-ES"/>
              </w:rPr>
            </w:pPr>
          </w:p>
        </w:tc>
        <w:tc>
          <w:tcPr>
            <w:tcW w:w="921" w:type="pct"/>
          </w:tcPr>
          <w:p w:rsidR="00503A41" w:rsidRPr="00993936" w:rsidRDefault="00503A41" w:rsidP="000452B8">
            <w:pPr>
              <w:pStyle w:val="taula"/>
              <w:rPr>
                <w:rFonts w:cs="Arial"/>
                <w:noProof w:val="0"/>
                <w:lang w:val="es-ES"/>
              </w:rPr>
            </w:pPr>
            <w:r w:rsidRPr="00993936">
              <w:rPr>
                <w:rFonts w:cs="Arial"/>
                <w:noProof w:val="0"/>
                <w:lang w:val="es-ES"/>
              </w:rPr>
              <w:t>Evitar altas densidades de plantación.</w:t>
            </w:r>
          </w:p>
        </w:tc>
      </w:tr>
      <w:tr w:rsidR="00503A41" w:rsidRPr="00993936" w:rsidTr="000452B8">
        <w:trPr>
          <w:cantSplit/>
          <w:jc w:val="center"/>
        </w:trPr>
        <w:tc>
          <w:tcPr>
            <w:tcW w:w="1119" w:type="pct"/>
            <w:tcBorders>
              <w:top w:val="single" w:sz="4" w:space="0" w:color="auto"/>
            </w:tcBorders>
            <w:vAlign w:val="center"/>
          </w:tcPr>
          <w:p w:rsidR="00503A41" w:rsidRPr="00993936" w:rsidRDefault="00503A41" w:rsidP="000452B8">
            <w:pPr>
              <w:pStyle w:val="taula"/>
              <w:rPr>
                <w:rFonts w:cs="Arial"/>
                <w:b/>
                <w:noProof w:val="0"/>
                <w:lang w:val="es-ES"/>
              </w:rPr>
            </w:pPr>
            <w:r w:rsidRPr="00993936">
              <w:rPr>
                <w:rFonts w:cs="Arial"/>
                <w:b/>
                <w:noProof w:val="0"/>
                <w:lang w:val="es-ES"/>
              </w:rPr>
              <w:t>Oídio</w:t>
            </w:r>
          </w:p>
          <w:p w:rsidR="00503A41" w:rsidRPr="00993936" w:rsidRDefault="00503A41" w:rsidP="000452B8">
            <w:pPr>
              <w:pStyle w:val="taula"/>
              <w:rPr>
                <w:rFonts w:cs="Arial"/>
                <w:noProof w:val="0"/>
                <w:lang w:val="es-ES"/>
              </w:rPr>
            </w:pPr>
            <w:r w:rsidRPr="00993936">
              <w:rPr>
                <w:rFonts w:cs="Arial"/>
                <w:i/>
                <w:noProof w:val="0"/>
                <w:lang w:val="es-ES"/>
              </w:rPr>
              <w:t>Erysiphe polygoni</w:t>
            </w:r>
          </w:p>
        </w:tc>
        <w:tc>
          <w:tcPr>
            <w:tcW w:w="1011" w:type="pct"/>
            <w:vMerge/>
          </w:tcPr>
          <w:p w:rsidR="00503A41" w:rsidRPr="00993936" w:rsidRDefault="00503A41" w:rsidP="000452B8">
            <w:pPr>
              <w:pStyle w:val="taula"/>
              <w:rPr>
                <w:rFonts w:cs="Arial"/>
                <w:noProof w:val="0"/>
                <w:lang w:val="es-ES"/>
              </w:rPr>
            </w:pPr>
          </w:p>
        </w:tc>
        <w:tc>
          <w:tcPr>
            <w:tcW w:w="1083" w:type="pct"/>
            <w:vMerge/>
          </w:tcPr>
          <w:p w:rsidR="00503A41" w:rsidRPr="00993936" w:rsidRDefault="00503A41" w:rsidP="000452B8">
            <w:pPr>
              <w:pStyle w:val="taula"/>
              <w:rPr>
                <w:rFonts w:cs="Arial"/>
                <w:noProof w:val="0"/>
                <w:lang w:val="es-ES"/>
              </w:rPr>
            </w:pPr>
          </w:p>
        </w:tc>
        <w:tc>
          <w:tcPr>
            <w:tcW w:w="866" w:type="pct"/>
            <w:vMerge/>
          </w:tcPr>
          <w:p w:rsidR="00503A41" w:rsidRPr="00993936" w:rsidRDefault="00503A41" w:rsidP="000452B8">
            <w:pPr>
              <w:pStyle w:val="taula"/>
              <w:rPr>
                <w:rFonts w:cs="Arial"/>
                <w:noProof w:val="0"/>
                <w:lang w:val="es-ES"/>
              </w:rPr>
            </w:pPr>
          </w:p>
        </w:tc>
        <w:tc>
          <w:tcPr>
            <w:tcW w:w="921" w:type="pct"/>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19" w:type="pct"/>
            <w:tcBorders>
              <w:top w:val="single" w:sz="4" w:space="0" w:color="auto"/>
            </w:tcBorders>
            <w:vAlign w:val="center"/>
          </w:tcPr>
          <w:p w:rsidR="00503A41" w:rsidRPr="00993936" w:rsidRDefault="00503A41" w:rsidP="000452B8">
            <w:pPr>
              <w:pStyle w:val="taula"/>
              <w:rPr>
                <w:rFonts w:cs="Arial"/>
                <w:i/>
                <w:noProof w:val="0"/>
                <w:lang w:val="es-ES"/>
              </w:rPr>
            </w:pPr>
            <w:r w:rsidRPr="00993936">
              <w:rPr>
                <w:rFonts w:cs="Arial"/>
                <w:i/>
                <w:noProof w:val="0"/>
                <w:lang w:val="es-ES"/>
              </w:rPr>
              <w:t xml:space="preserve">Botrytis </w:t>
            </w:r>
            <w:r w:rsidRPr="00993936">
              <w:rPr>
                <w:rFonts w:cs="Arial"/>
                <w:noProof w:val="0"/>
                <w:lang w:val="es-ES"/>
              </w:rPr>
              <w:t>sp.</w:t>
            </w:r>
          </w:p>
          <w:p w:rsidR="00503A41" w:rsidRPr="00993936" w:rsidRDefault="00503A41" w:rsidP="000452B8">
            <w:pPr>
              <w:pStyle w:val="taula"/>
              <w:rPr>
                <w:rFonts w:cs="Arial"/>
                <w:i/>
                <w:noProof w:val="0"/>
                <w:lang w:val="es-ES"/>
              </w:rPr>
            </w:pPr>
            <w:r w:rsidRPr="00993936">
              <w:rPr>
                <w:rFonts w:cs="Arial"/>
                <w:i/>
                <w:noProof w:val="0"/>
                <w:lang w:val="es-ES"/>
              </w:rPr>
              <w:t xml:space="preserve">Sclerotinia </w:t>
            </w:r>
            <w:r w:rsidRPr="00993936">
              <w:rPr>
                <w:rFonts w:cs="Arial"/>
                <w:noProof w:val="0"/>
                <w:lang w:val="es-ES"/>
              </w:rPr>
              <w:t>sp.</w:t>
            </w:r>
          </w:p>
        </w:tc>
        <w:tc>
          <w:tcPr>
            <w:tcW w:w="1011" w:type="pct"/>
            <w:vMerge/>
          </w:tcPr>
          <w:p w:rsidR="00503A41" w:rsidRPr="00993936" w:rsidRDefault="00503A41" w:rsidP="000452B8">
            <w:pPr>
              <w:pStyle w:val="taula"/>
              <w:rPr>
                <w:rFonts w:cs="Arial"/>
                <w:noProof w:val="0"/>
                <w:lang w:val="es-ES"/>
              </w:rPr>
            </w:pPr>
          </w:p>
        </w:tc>
        <w:tc>
          <w:tcPr>
            <w:tcW w:w="1083" w:type="pct"/>
            <w:vMerge/>
          </w:tcPr>
          <w:p w:rsidR="00503A41" w:rsidRPr="00993936" w:rsidRDefault="00503A41" w:rsidP="000452B8">
            <w:pPr>
              <w:pStyle w:val="taula"/>
              <w:rPr>
                <w:rFonts w:cs="Arial"/>
                <w:noProof w:val="0"/>
                <w:lang w:val="es-ES"/>
              </w:rPr>
            </w:pPr>
          </w:p>
        </w:tc>
        <w:tc>
          <w:tcPr>
            <w:tcW w:w="866" w:type="pct"/>
            <w:vMerge/>
          </w:tcPr>
          <w:p w:rsidR="00503A41" w:rsidRPr="00993936" w:rsidRDefault="00503A41" w:rsidP="000452B8">
            <w:pPr>
              <w:pStyle w:val="taula"/>
              <w:rPr>
                <w:rFonts w:cs="Arial"/>
                <w:noProof w:val="0"/>
                <w:lang w:val="es-ES"/>
              </w:rPr>
            </w:pPr>
          </w:p>
        </w:tc>
        <w:tc>
          <w:tcPr>
            <w:tcW w:w="921" w:type="pct"/>
          </w:tcPr>
          <w:p w:rsidR="00503A41" w:rsidRPr="00993936" w:rsidRDefault="00503A41" w:rsidP="000452B8">
            <w:pPr>
              <w:pStyle w:val="taula"/>
              <w:rPr>
                <w:rFonts w:cs="Arial"/>
                <w:noProof w:val="0"/>
                <w:lang w:val="es-ES"/>
              </w:rPr>
            </w:pPr>
            <w:r w:rsidRPr="00993936">
              <w:rPr>
                <w:rFonts w:cs="Arial"/>
                <w:noProof w:val="0"/>
                <w:lang w:val="es-ES"/>
              </w:rPr>
              <w:t>Solarización</w:t>
            </w:r>
          </w:p>
        </w:tc>
      </w:tr>
      <w:tr w:rsidR="00503A41" w:rsidRPr="00993936" w:rsidTr="000452B8">
        <w:trPr>
          <w:cantSplit/>
          <w:jc w:val="center"/>
        </w:trPr>
        <w:tc>
          <w:tcPr>
            <w:tcW w:w="1119" w:type="pct"/>
            <w:tcBorders>
              <w:top w:val="single" w:sz="4" w:space="0" w:color="auto"/>
            </w:tcBorders>
            <w:vAlign w:val="center"/>
          </w:tcPr>
          <w:p w:rsidR="00503A41" w:rsidRPr="00993936" w:rsidRDefault="00503A41" w:rsidP="000452B8">
            <w:pPr>
              <w:pStyle w:val="taula"/>
              <w:rPr>
                <w:rFonts w:cs="Arial"/>
                <w:noProof w:val="0"/>
                <w:lang w:val="es-ES"/>
              </w:rPr>
            </w:pPr>
            <w:r w:rsidRPr="00993936">
              <w:rPr>
                <w:rFonts w:cs="Arial"/>
                <w:b/>
                <w:noProof w:val="0"/>
                <w:lang w:val="es-ES"/>
              </w:rPr>
              <w:t>Óxido</w:t>
            </w:r>
            <w:r w:rsidRPr="00993936">
              <w:rPr>
                <w:rFonts w:cs="Arial"/>
                <w:b/>
                <w:noProof w:val="0"/>
                <w:vanish/>
                <w:lang w:val="es-ES"/>
              </w:rPr>
              <w:t>&lt;A[Óxido|Yema]&gt;</w:t>
            </w:r>
            <w:r w:rsidRPr="00993936">
              <w:rPr>
                <w:rFonts w:cs="Arial"/>
                <w:b/>
                <w:noProof w:val="0"/>
                <w:lang w:val="es-ES"/>
              </w:rPr>
              <w:t xml:space="preserve"> </w:t>
            </w:r>
          </w:p>
          <w:p w:rsidR="00503A41" w:rsidRPr="00993936" w:rsidRDefault="00503A41" w:rsidP="000452B8">
            <w:pPr>
              <w:pStyle w:val="taula"/>
              <w:rPr>
                <w:rFonts w:cs="Arial"/>
                <w:noProof w:val="0"/>
                <w:lang w:val="es-ES"/>
              </w:rPr>
            </w:pPr>
            <w:r w:rsidRPr="00993936">
              <w:rPr>
                <w:rFonts w:cs="Arial"/>
                <w:i/>
                <w:noProof w:val="0"/>
                <w:lang w:val="es-ES"/>
              </w:rPr>
              <w:t>Uromyces appendiculatus</w:t>
            </w:r>
            <w:r w:rsidRPr="00993936">
              <w:rPr>
                <w:rFonts w:cs="Arial"/>
                <w:noProof w:val="0"/>
                <w:lang w:val="es-ES"/>
              </w:rPr>
              <w:t xml:space="preserve"> y otros</w:t>
            </w:r>
          </w:p>
        </w:tc>
        <w:tc>
          <w:tcPr>
            <w:tcW w:w="1011" w:type="pct"/>
            <w:vMerge/>
          </w:tcPr>
          <w:p w:rsidR="00503A41" w:rsidRPr="00993936" w:rsidRDefault="00503A41" w:rsidP="000452B8">
            <w:pPr>
              <w:pStyle w:val="taula"/>
              <w:rPr>
                <w:rFonts w:cs="Arial"/>
                <w:noProof w:val="0"/>
                <w:lang w:val="es-ES"/>
              </w:rPr>
            </w:pPr>
          </w:p>
        </w:tc>
        <w:tc>
          <w:tcPr>
            <w:tcW w:w="1083" w:type="pct"/>
            <w:vMerge/>
          </w:tcPr>
          <w:p w:rsidR="00503A41" w:rsidRPr="00993936" w:rsidRDefault="00503A41" w:rsidP="000452B8">
            <w:pPr>
              <w:pStyle w:val="taula"/>
              <w:rPr>
                <w:rFonts w:cs="Arial"/>
                <w:noProof w:val="0"/>
                <w:lang w:val="es-ES"/>
              </w:rPr>
            </w:pPr>
          </w:p>
        </w:tc>
        <w:tc>
          <w:tcPr>
            <w:tcW w:w="866" w:type="pct"/>
            <w:vMerge/>
          </w:tcPr>
          <w:p w:rsidR="00503A41" w:rsidRPr="00993936" w:rsidRDefault="00503A41" w:rsidP="000452B8">
            <w:pPr>
              <w:pStyle w:val="taula"/>
              <w:rPr>
                <w:rFonts w:cs="Arial"/>
                <w:noProof w:val="0"/>
                <w:lang w:val="es-ES"/>
              </w:rPr>
            </w:pPr>
          </w:p>
        </w:tc>
        <w:tc>
          <w:tcPr>
            <w:tcW w:w="921" w:type="pct"/>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19" w:type="pct"/>
            <w:tcBorders>
              <w:top w:val="single" w:sz="4" w:space="0" w:color="auto"/>
            </w:tcBorders>
            <w:vAlign w:val="center"/>
          </w:tcPr>
          <w:p w:rsidR="00503A41" w:rsidRPr="00993936" w:rsidRDefault="00503A41" w:rsidP="000452B8">
            <w:pPr>
              <w:pStyle w:val="taula"/>
              <w:rPr>
                <w:rFonts w:cs="Arial"/>
                <w:b/>
                <w:noProof w:val="0"/>
                <w:lang w:val="es-ES"/>
              </w:rPr>
            </w:pPr>
            <w:r w:rsidRPr="00993936">
              <w:rPr>
                <w:rFonts w:cs="Arial"/>
                <w:b/>
                <w:noProof w:val="0"/>
                <w:lang w:val="es-ES"/>
              </w:rPr>
              <w:t>Bacterias</w:t>
            </w:r>
          </w:p>
          <w:p w:rsidR="00503A41" w:rsidRPr="00993936" w:rsidRDefault="00503A41" w:rsidP="000452B8">
            <w:pPr>
              <w:pStyle w:val="taula"/>
              <w:rPr>
                <w:rFonts w:cs="Arial"/>
                <w:noProof w:val="0"/>
                <w:lang w:val="es-ES"/>
              </w:rPr>
            </w:pPr>
            <w:r w:rsidRPr="00993936">
              <w:rPr>
                <w:rFonts w:cs="Arial"/>
                <w:i/>
                <w:noProof w:val="0"/>
                <w:lang w:val="es-ES"/>
              </w:rPr>
              <w:t>Pseudomonas syringae, Xanthomonas campestris</w:t>
            </w:r>
          </w:p>
        </w:tc>
        <w:tc>
          <w:tcPr>
            <w:tcW w:w="1011" w:type="pct"/>
            <w:vMerge/>
          </w:tcPr>
          <w:p w:rsidR="00503A41" w:rsidRPr="00993936" w:rsidRDefault="00503A41" w:rsidP="000452B8">
            <w:pPr>
              <w:pStyle w:val="taula"/>
              <w:rPr>
                <w:rFonts w:cs="Arial"/>
                <w:noProof w:val="0"/>
                <w:lang w:val="es-ES"/>
              </w:rPr>
            </w:pPr>
          </w:p>
        </w:tc>
        <w:tc>
          <w:tcPr>
            <w:tcW w:w="1083" w:type="pct"/>
            <w:vMerge/>
          </w:tcPr>
          <w:p w:rsidR="00503A41" w:rsidRPr="00993936" w:rsidRDefault="00503A41" w:rsidP="000452B8">
            <w:pPr>
              <w:pStyle w:val="taula"/>
              <w:rPr>
                <w:rFonts w:cs="Arial"/>
                <w:noProof w:val="0"/>
                <w:lang w:val="es-ES"/>
              </w:rPr>
            </w:pPr>
          </w:p>
        </w:tc>
        <w:tc>
          <w:tcPr>
            <w:tcW w:w="866" w:type="pct"/>
            <w:vMerge/>
          </w:tcPr>
          <w:p w:rsidR="00503A41" w:rsidRPr="00993936" w:rsidRDefault="00503A41" w:rsidP="000452B8">
            <w:pPr>
              <w:pStyle w:val="taula"/>
              <w:rPr>
                <w:rFonts w:cs="Arial"/>
                <w:noProof w:val="0"/>
                <w:lang w:val="es-ES"/>
              </w:rPr>
            </w:pPr>
          </w:p>
        </w:tc>
        <w:tc>
          <w:tcPr>
            <w:tcW w:w="921" w:type="pct"/>
          </w:tcPr>
          <w:p w:rsidR="00503A41" w:rsidRPr="00993936" w:rsidRDefault="00503A41" w:rsidP="000452B8">
            <w:pPr>
              <w:pStyle w:val="taula"/>
              <w:rPr>
                <w:rFonts w:cs="Arial"/>
                <w:noProof w:val="0"/>
                <w:lang w:val="es-ES"/>
              </w:rPr>
            </w:pPr>
            <w:r w:rsidRPr="00993936">
              <w:rPr>
                <w:rFonts w:cs="Arial"/>
                <w:noProof w:val="0"/>
                <w:lang w:val="es-ES"/>
              </w:rPr>
              <w:t>Evitar altas densidades de plantación.</w:t>
            </w:r>
          </w:p>
          <w:p w:rsidR="00503A41" w:rsidRPr="00993936" w:rsidRDefault="00503A41" w:rsidP="000452B8">
            <w:pPr>
              <w:pStyle w:val="taula"/>
              <w:rPr>
                <w:rFonts w:cs="Arial"/>
                <w:noProof w:val="0"/>
                <w:lang w:val="es-ES"/>
              </w:rPr>
            </w:pPr>
            <w:r w:rsidRPr="00993936">
              <w:rPr>
                <w:rFonts w:cs="Arial"/>
                <w:noProof w:val="0"/>
                <w:lang w:val="es-ES"/>
              </w:rPr>
              <w:t>Rotación.</w:t>
            </w:r>
          </w:p>
          <w:p w:rsidR="00503A41" w:rsidRPr="00993936" w:rsidRDefault="00503A41" w:rsidP="000452B8">
            <w:pPr>
              <w:pStyle w:val="taula"/>
              <w:rPr>
                <w:rFonts w:cs="Arial"/>
                <w:noProof w:val="0"/>
                <w:lang w:val="es-ES"/>
              </w:rPr>
            </w:pPr>
            <w:r w:rsidRPr="00993936">
              <w:rPr>
                <w:rFonts w:cs="Arial"/>
                <w:noProof w:val="0"/>
                <w:lang w:val="es-ES"/>
              </w:rPr>
              <w:t>Destruir restos de cultivo.</w:t>
            </w:r>
          </w:p>
        </w:tc>
      </w:tr>
      <w:tr w:rsidR="00503A41" w:rsidRPr="00993936" w:rsidTr="000452B8">
        <w:trPr>
          <w:cantSplit/>
          <w:jc w:val="center"/>
        </w:trPr>
        <w:tc>
          <w:tcPr>
            <w:tcW w:w="1119" w:type="pct"/>
            <w:tcBorders>
              <w:top w:val="single" w:sz="4" w:space="0" w:color="auto"/>
            </w:tcBorders>
            <w:vAlign w:val="center"/>
          </w:tcPr>
          <w:p w:rsidR="00503A41" w:rsidRPr="00993936" w:rsidRDefault="00503A41" w:rsidP="000452B8">
            <w:pPr>
              <w:pStyle w:val="taula"/>
              <w:rPr>
                <w:rFonts w:cs="Arial"/>
                <w:b/>
                <w:noProof w:val="0"/>
                <w:lang w:val="es-ES"/>
              </w:rPr>
            </w:pPr>
            <w:r w:rsidRPr="00993936">
              <w:rPr>
                <w:rFonts w:cs="Arial"/>
                <w:b/>
                <w:noProof w:val="0"/>
                <w:lang w:val="es-ES"/>
              </w:rPr>
              <w:t>Nemátodos</w:t>
            </w:r>
          </w:p>
        </w:tc>
        <w:tc>
          <w:tcPr>
            <w:tcW w:w="1011" w:type="pct"/>
            <w:vMerge/>
          </w:tcPr>
          <w:p w:rsidR="00503A41" w:rsidRPr="00993936" w:rsidRDefault="00503A41" w:rsidP="000452B8">
            <w:pPr>
              <w:pStyle w:val="taula"/>
              <w:rPr>
                <w:rFonts w:cs="Arial"/>
                <w:noProof w:val="0"/>
                <w:lang w:val="es-ES"/>
              </w:rPr>
            </w:pPr>
          </w:p>
        </w:tc>
        <w:tc>
          <w:tcPr>
            <w:tcW w:w="1083" w:type="pct"/>
          </w:tcPr>
          <w:p w:rsidR="00503A41" w:rsidRPr="00993936" w:rsidRDefault="00503A41" w:rsidP="000452B8">
            <w:pPr>
              <w:pStyle w:val="taula"/>
              <w:rPr>
                <w:rFonts w:cs="Arial"/>
                <w:noProof w:val="0"/>
                <w:lang w:val="es-ES"/>
              </w:rPr>
            </w:pPr>
            <w:r w:rsidRPr="00993936">
              <w:rPr>
                <w:rFonts w:cs="Arial"/>
                <w:noProof w:val="0"/>
                <w:lang w:val="es-ES"/>
              </w:rPr>
              <w:t>Presencia en el cultivo anterior</w:t>
            </w:r>
          </w:p>
        </w:tc>
        <w:tc>
          <w:tcPr>
            <w:tcW w:w="866" w:type="pct"/>
            <w:vMerge/>
          </w:tcPr>
          <w:p w:rsidR="00503A41" w:rsidRPr="00993936" w:rsidRDefault="00503A41" w:rsidP="000452B8">
            <w:pPr>
              <w:pStyle w:val="taula"/>
              <w:rPr>
                <w:rFonts w:cs="Arial"/>
                <w:noProof w:val="0"/>
                <w:lang w:val="es-ES"/>
              </w:rPr>
            </w:pPr>
          </w:p>
        </w:tc>
        <w:tc>
          <w:tcPr>
            <w:tcW w:w="921" w:type="pct"/>
          </w:tcPr>
          <w:p w:rsidR="00503A41" w:rsidRPr="00993936" w:rsidRDefault="00503A41" w:rsidP="000452B8">
            <w:pPr>
              <w:pStyle w:val="taula"/>
              <w:rPr>
                <w:rFonts w:cs="Arial"/>
                <w:noProof w:val="0"/>
                <w:lang w:val="es-ES"/>
              </w:rPr>
            </w:pPr>
            <w:r w:rsidRPr="00993936">
              <w:rPr>
                <w:rFonts w:cs="Arial"/>
                <w:noProof w:val="0"/>
                <w:lang w:val="es-ES"/>
              </w:rPr>
              <w:t>Utilización de variedades resistentes.</w:t>
            </w:r>
          </w:p>
          <w:p w:rsidR="00503A41" w:rsidRPr="00993936" w:rsidRDefault="00503A41" w:rsidP="000452B8">
            <w:pPr>
              <w:pStyle w:val="taula"/>
              <w:rPr>
                <w:rFonts w:cs="Arial"/>
                <w:noProof w:val="0"/>
                <w:lang w:val="es-ES"/>
              </w:rPr>
            </w:pPr>
            <w:r w:rsidRPr="00993936">
              <w:rPr>
                <w:rFonts w:cs="Arial"/>
                <w:noProof w:val="0"/>
                <w:lang w:val="es-ES"/>
              </w:rPr>
              <w:t>Biofumigación.</w:t>
            </w:r>
          </w:p>
        </w:tc>
      </w:tr>
      <w:tr w:rsidR="00503A41" w:rsidRPr="00993936" w:rsidTr="000452B8">
        <w:trPr>
          <w:cantSplit/>
          <w:jc w:val="center"/>
        </w:trPr>
        <w:tc>
          <w:tcPr>
            <w:tcW w:w="1119" w:type="pct"/>
            <w:tcBorders>
              <w:top w:val="single" w:sz="4" w:space="0" w:color="auto"/>
            </w:tcBorders>
            <w:vAlign w:val="center"/>
          </w:tcPr>
          <w:p w:rsidR="00503A41" w:rsidRPr="00993936" w:rsidRDefault="00503A41" w:rsidP="000452B8">
            <w:pPr>
              <w:pStyle w:val="taula"/>
              <w:rPr>
                <w:rFonts w:cs="Arial"/>
                <w:b/>
                <w:noProof w:val="0"/>
                <w:lang w:val="es-ES"/>
              </w:rPr>
            </w:pPr>
            <w:r w:rsidRPr="00993936">
              <w:rPr>
                <w:rFonts w:cs="Arial"/>
                <w:b/>
                <w:noProof w:val="0"/>
                <w:lang w:val="es-ES"/>
              </w:rPr>
              <w:t>Otras plagas y enfermedades</w:t>
            </w:r>
          </w:p>
        </w:tc>
        <w:tc>
          <w:tcPr>
            <w:tcW w:w="1011" w:type="pct"/>
            <w:vMerge/>
          </w:tcPr>
          <w:p w:rsidR="00503A41" w:rsidRPr="00993936" w:rsidRDefault="00503A41" w:rsidP="000452B8">
            <w:pPr>
              <w:pStyle w:val="taula"/>
              <w:rPr>
                <w:rFonts w:cs="Arial"/>
                <w:noProof w:val="0"/>
                <w:lang w:val="es-ES"/>
              </w:rPr>
            </w:pPr>
          </w:p>
        </w:tc>
        <w:tc>
          <w:tcPr>
            <w:tcW w:w="1083" w:type="pct"/>
          </w:tcPr>
          <w:p w:rsidR="00503A41" w:rsidRPr="00993936" w:rsidRDefault="00503A41" w:rsidP="000452B8">
            <w:pPr>
              <w:pStyle w:val="taula"/>
              <w:rPr>
                <w:rFonts w:cs="Arial"/>
                <w:noProof w:val="0"/>
                <w:lang w:val="es-ES"/>
              </w:rPr>
            </w:pPr>
          </w:p>
        </w:tc>
        <w:tc>
          <w:tcPr>
            <w:tcW w:w="866" w:type="pct"/>
            <w:vMerge/>
          </w:tcPr>
          <w:p w:rsidR="00503A41" w:rsidRPr="00993936" w:rsidRDefault="00503A41" w:rsidP="000452B8">
            <w:pPr>
              <w:pStyle w:val="taula"/>
              <w:rPr>
                <w:rFonts w:cs="Arial"/>
                <w:noProof w:val="0"/>
                <w:lang w:val="es-ES"/>
              </w:rPr>
            </w:pPr>
          </w:p>
        </w:tc>
        <w:tc>
          <w:tcPr>
            <w:tcW w:w="921" w:type="pct"/>
          </w:tcPr>
          <w:p w:rsidR="00503A41" w:rsidRPr="00993936" w:rsidRDefault="00503A41" w:rsidP="000452B8">
            <w:pPr>
              <w:pStyle w:val="taula"/>
              <w:rPr>
                <w:rFonts w:cs="Arial"/>
                <w:noProof w:val="0"/>
                <w:lang w:val="es-ES"/>
              </w:rPr>
            </w:pPr>
          </w:p>
        </w:tc>
      </w:tr>
    </w:tbl>
    <w:p w:rsidR="00503A41" w:rsidRPr="00993936" w:rsidRDefault="00503A41" w:rsidP="000452B8">
      <w:pPr>
        <w:pStyle w:val="Textoindependiente3"/>
        <w:rPr>
          <w:rFonts w:cs="Arial"/>
          <w:lang w:val="es-ES"/>
        </w:rPr>
      </w:pPr>
    </w:p>
    <w:p w:rsidR="00503A41" w:rsidRPr="00993936" w:rsidRDefault="00503A41" w:rsidP="000452B8">
      <w:pPr>
        <w:pStyle w:val="Textoindependiente3"/>
        <w:rPr>
          <w:rFonts w:cs="Arial"/>
          <w:lang w:val="es-ES"/>
        </w:rPr>
      </w:pPr>
    </w:p>
    <w:p w:rsidR="00503A41" w:rsidRPr="00993936" w:rsidRDefault="00503A41" w:rsidP="000452B8">
      <w:pPr>
        <w:pStyle w:val="Textoindependiente3"/>
        <w:rPr>
          <w:rFonts w:cs="Arial"/>
          <w:lang w:val="es-ES"/>
        </w:rPr>
      </w:pPr>
    </w:p>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p>
    <w:p w:rsidR="00503A41" w:rsidRPr="00993936" w:rsidRDefault="00503A41" w:rsidP="000452B8">
      <w:pPr>
        <w:pStyle w:val="Textoindependiente3"/>
        <w:rPr>
          <w:rFonts w:cs="Arial"/>
          <w:b w:val="0"/>
          <w:szCs w:val="22"/>
          <w:lang w:val="es-ES"/>
        </w:rPr>
      </w:pPr>
      <w:r w:rsidRPr="00993936">
        <w:rPr>
          <w:rFonts w:cs="Arial"/>
          <w:b w:val="0"/>
          <w:szCs w:val="22"/>
          <w:lang w:val="es-ES"/>
        </w:rPr>
        <w:t>Cuadro 2.  Materias activas para la producción integrada de judía, haba y guisante, teniendo en cuenta las indicaciones del Cuaderno, de explotación y el Programa de control integrado de plagas y enfermedades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5"/>
        <w:gridCol w:w="2632"/>
        <w:gridCol w:w="1161"/>
        <w:gridCol w:w="815"/>
        <w:gridCol w:w="911"/>
      </w:tblGrid>
      <w:tr w:rsidR="00E1758E" w:rsidRPr="00993936" w:rsidTr="00571B14">
        <w:trPr>
          <w:cantSplit/>
          <w:trHeight w:val="240"/>
          <w:tblHeader/>
          <w:jc w:val="center"/>
        </w:trPr>
        <w:tc>
          <w:tcPr>
            <w:tcW w:w="1811" w:type="pct"/>
            <w:tcBorders>
              <w:top w:val="single" w:sz="4" w:space="0" w:color="auto"/>
            </w:tcBorders>
            <w:shd w:val="pct15" w:color="auto" w:fill="FFFFFF"/>
            <w:vAlign w:val="center"/>
          </w:tcPr>
          <w:p w:rsidR="00503A41" w:rsidRPr="00993936" w:rsidRDefault="00503A41" w:rsidP="000452B8">
            <w:pPr>
              <w:jc w:val="center"/>
              <w:rPr>
                <w:rFonts w:ascii="Arial" w:hAnsi="Arial" w:cs="Arial"/>
                <w:b/>
                <w:sz w:val="18"/>
                <w:lang w:val="es-ES"/>
              </w:rPr>
            </w:pPr>
            <w:r w:rsidRPr="00993936">
              <w:rPr>
                <w:rFonts w:ascii="Arial" w:hAnsi="Arial" w:cs="Arial"/>
                <w:b/>
                <w:sz w:val="18"/>
                <w:lang w:val="es-ES"/>
              </w:rPr>
              <w:t>Plaga/enfermedad</w:t>
            </w:r>
          </w:p>
        </w:tc>
        <w:tc>
          <w:tcPr>
            <w:tcW w:w="1526" w:type="pct"/>
            <w:tcBorders>
              <w:top w:val="single" w:sz="4" w:space="0" w:color="auto"/>
            </w:tcBorders>
            <w:shd w:val="pct15" w:color="auto" w:fill="FFFFFF"/>
            <w:vAlign w:val="center"/>
          </w:tcPr>
          <w:p w:rsidR="00503A41" w:rsidRPr="00993936" w:rsidRDefault="00503A41" w:rsidP="000452B8">
            <w:pPr>
              <w:pStyle w:val="Ttulo1"/>
              <w:jc w:val="center"/>
              <w:rPr>
                <w:rFonts w:ascii="Arial" w:hAnsi="Arial" w:cs="Arial"/>
                <w:b/>
                <w:color w:val="auto"/>
                <w:sz w:val="18"/>
              </w:rPr>
            </w:pPr>
            <w:r w:rsidRPr="00993936">
              <w:rPr>
                <w:rFonts w:ascii="Arial" w:hAnsi="Arial" w:cs="Arial"/>
                <w:b/>
                <w:color w:val="auto"/>
                <w:sz w:val="18"/>
              </w:rPr>
              <w:t>Materias Activas</w:t>
            </w:r>
          </w:p>
        </w:tc>
        <w:tc>
          <w:tcPr>
            <w:tcW w:w="675" w:type="pct"/>
            <w:tcBorders>
              <w:top w:val="single" w:sz="4" w:space="0" w:color="auto"/>
            </w:tcBorders>
            <w:shd w:val="pct15" w:color="auto" w:fill="FFFFFF"/>
            <w:vAlign w:val="center"/>
          </w:tcPr>
          <w:p w:rsidR="00503A41" w:rsidRPr="00993936" w:rsidRDefault="00503A41" w:rsidP="000452B8">
            <w:pPr>
              <w:pStyle w:val="Ttulo1"/>
              <w:jc w:val="center"/>
              <w:rPr>
                <w:rFonts w:ascii="Arial" w:hAnsi="Arial" w:cs="Arial"/>
                <w:b/>
                <w:color w:val="auto"/>
                <w:sz w:val="18"/>
              </w:rPr>
            </w:pPr>
            <w:r w:rsidRPr="00993936">
              <w:rPr>
                <w:rFonts w:ascii="Arial" w:hAnsi="Arial" w:cs="Arial"/>
                <w:b/>
                <w:color w:val="auto"/>
                <w:sz w:val="18"/>
              </w:rPr>
              <w:t>Judía verde</w:t>
            </w:r>
          </w:p>
        </w:tc>
        <w:tc>
          <w:tcPr>
            <w:tcW w:w="475" w:type="pct"/>
            <w:tcBorders>
              <w:top w:val="single" w:sz="4" w:space="0" w:color="auto"/>
            </w:tcBorders>
            <w:shd w:val="pct15" w:color="auto" w:fill="FFFFFF"/>
            <w:vAlign w:val="center"/>
          </w:tcPr>
          <w:p w:rsidR="00503A41" w:rsidRPr="00993936" w:rsidRDefault="00503A41" w:rsidP="000452B8">
            <w:pPr>
              <w:pStyle w:val="Ttulo1"/>
              <w:jc w:val="center"/>
              <w:rPr>
                <w:rFonts w:ascii="Arial" w:hAnsi="Arial" w:cs="Arial"/>
                <w:b/>
                <w:color w:val="auto"/>
                <w:sz w:val="18"/>
              </w:rPr>
            </w:pPr>
            <w:r w:rsidRPr="00993936">
              <w:rPr>
                <w:rFonts w:ascii="Arial" w:hAnsi="Arial" w:cs="Arial"/>
                <w:b/>
                <w:color w:val="auto"/>
                <w:sz w:val="18"/>
              </w:rPr>
              <w:t>Haba</w:t>
            </w:r>
          </w:p>
        </w:tc>
        <w:tc>
          <w:tcPr>
            <w:tcW w:w="513" w:type="pct"/>
            <w:tcBorders>
              <w:top w:val="single" w:sz="4" w:space="0" w:color="auto"/>
            </w:tcBorders>
            <w:shd w:val="pct15" w:color="auto" w:fill="FFFFFF"/>
            <w:vAlign w:val="center"/>
          </w:tcPr>
          <w:p w:rsidR="00503A41" w:rsidRPr="00993936" w:rsidRDefault="00503A41" w:rsidP="000452B8">
            <w:pPr>
              <w:pStyle w:val="Ttulo1"/>
              <w:jc w:val="center"/>
              <w:rPr>
                <w:rFonts w:ascii="Arial" w:hAnsi="Arial" w:cs="Arial"/>
                <w:b/>
                <w:color w:val="auto"/>
                <w:sz w:val="18"/>
              </w:rPr>
            </w:pPr>
            <w:r w:rsidRPr="00993936">
              <w:rPr>
                <w:rFonts w:ascii="Arial" w:hAnsi="Arial" w:cs="Arial"/>
                <w:b/>
                <w:color w:val="auto"/>
                <w:sz w:val="18"/>
              </w:rPr>
              <w:t>Guisante</w:t>
            </w:r>
          </w:p>
        </w:tc>
      </w:tr>
      <w:tr w:rsidR="00E1758E" w:rsidRPr="00993936" w:rsidTr="00571B14">
        <w:trPr>
          <w:cantSplit/>
          <w:trHeight w:val="189"/>
          <w:jc w:val="center"/>
        </w:trPr>
        <w:tc>
          <w:tcPr>
            <w:tcW w:w="1811"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Mosca blanca</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T. vaporariorum</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B. tabaci</w:t>
            </w: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Aceite parafínico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Alfa cipermetrín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tabs>
                <w:tab w:val="left" w:pos="2250"/>
              </w:tabs>
              <w:rPr>
                <w:rFonts w:cs="Arial"/>
                <w:noProof w:val="0"/>
                <w:sz w:val="18"/>
                <w:szCs w:val="18"/>
                <w:lang w:val="es-ES"/>
              </w:rPr>
            </w:pPr>
            <w:r w:rsidRPr="00993936">
              <w:rPr>
                <w:rFonts w:cs="Arial"/>
                <w:noProof w:val="0"/>
                <w:sz w:val="18"/>
                <w:szCs w:val="18"/>
                <w:lang w:val="es-ES"/>
              </w:rPr>
              <w:t xml:space="preserve">Azadiractín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tabs>
                <w:tab w:val="center" w:pos="1622"/>
              </w:tabs>
              <w:rPr>
                <w:rFonts w:cs="Arial"/>
                <w:i/>
                <w:noProof w:val="0"/>
                <w:sz w:val="18"/>
                <w:szCs w:val="18"/>
                <w:lang w:val="es-ES"/>
              </w:rPr>
            </w:pPr>
            <w:r w:rsidRPr="00993936">
              <w:rPr>
                <w:rFonts w:cs="Arial"/>
                <w:i/>
                <w:noProof w:val="0"/>
                <w:sz w:val="18"/>
                <w:szCs w:val="18"/>
                <w:lang w:val="es-ES"/>
              </w:rPr>
              <w:t>Beauveria bassiana</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tabs>
                <w:tab w:val="center" w:pos="1622"/>
              </w:tabs>
              <w:rPr>
                <w:rFonts w:cs="Arial"/>
                <w:noProof w:val="0"/>
                <w:sz w:val="18"/>
                <w:szCs w:val="18"/>
                <w:lang w:val="es-ES"/>
              </w:rPr>
            </w:pPr>
            <w:r w:rsidRPr="00993936">
              <w:rPr>
                <w:rFonts w:cs="Arial"/>
                <w:noProof w:val="0"/>
                <w:sz w:val="18"/>
                <w:szCs w:val="18"/>
                <w:lang w:val="es-ES"/>
              </w:rPr>
              <w:t>Deltametrín</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tabs>
                <w:tab w:val="center" w:pos="1622"/>
              </w:tabs>
              <w:rPr>
                <w:rFonts w:cs="Arial"/>
                <w:noProof w:val="0"/>
                <w:sz w:val="18"/>
                <w:szCs w:val="18"/>
                <w:lang w:val="es-ES"/>
              </w:rPr>
            </w:pPr>
            <w:r w:rsidRPr="00993936">
              <w:rPr>
                <w:rFonts w:cs="Arial"/>
                <w:noProof w:val="0"/>
                <w:sz w:val="18"/>
                <w:szCs w:val="18"/>
                <w:lang w:val="es-ES"/>
              </w:rPr>
              <w:t>Spirotetramat</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Imidacloprid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Espiromesifén</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Tiametoxam</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 xml:space="preserve">Tau-fluvanilato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8"/>
          <w:jc w:val="center"/>
        </w:trPr>
        <w:tc>
          <w:tcPr>
            <w:tcW w:w="1811"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Pulgones</w:t>
            </w:r>
          </w:p>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Acetamiprid</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8"/>
          <w:jc w:val="center"/>
        </w:trPr>
        <w:tc>
          <w:tcPr>
            <w:tcW w:w="1811" w:type="pct"/>
            <w:vMerge/>
            <w:vAlign w:val="center"/>
          </w:tcPr>
          <w:p w:rsidR="00503A41" w:rsidRPr="00993936" w:rsidRDefault="00503A41" w:rsidP="000452B8">
            <w:pPr>
              <w:pStyle w:val="taula"/>
              <w:rPr>
                <w:rFonts w:cs="Arial"/>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Alfa cipermetrín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9"/>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tabs>
                <w:tab w:val="left" w:pos="2250"/>
              </w:tabs>
              <w:rPr>
                <w:rFonts w:cs="Arial"/>
                <w:noProof w:val="0"/>
                <w:sz w:val="18"/>
                <w:szCs w:val="18"/>
                <w:lang w:val="es-ES"/>
              </w:rPr>
            </w:pPr>
            <w:r w:rsidRPr="00993936">
              <w:rPr>
                <w:rFonts w:cs="Arial"/>
                <w:noProof w:val="0"/>
                <w:sz w:val="18"/>
                <w:szCs w:val="18"/>
                <w:lang w:val="es-ES"/>
              </w:rPr>
              <w:t>Azadiractín</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Cipermetrín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Deltametrín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Imidacloprid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Lambda-cihalotrín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Aceite parafínico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Pirimicarb (2)</w:t>
            </w:r>
          </w:p>
        </w:tc>
        <w:tc>
          <w:tcPr>
            <w:tcW w:w="675" w:type="pct"/>
            <w:vAlign w:val="center"/>
          </w:tcPr>
          <w:p w:rsidR="00503A41" w:rsidRPr="00993936" w:rsidRDefault="00503A41" w:rsidP="000452B8">
            <w:pPr>
              <w:pStyle w:val="taula"/>
              <w:jc w:val="center"/>
              <w:rPr>
                <w:rFonts w:cs="Arial"/>
                <w:b/>
                <w:noProof w:val="0"/>
                <w:sz w:val="18"/>
                <w:szCs w:val="18"/>
                <w:lang w:val="es-ES"/>
              </w:rPr>
            </w:pP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tabs>
                <w:tab w:val="left" w:pos="1815"/>
              </w:tabs>
              <w:rPr>
                <w:rFonts w:ascii="Arial" w:hAnsi="Arial" w:cs="Arial"/>
                <w:sz w:val="18"/>
                <w:szCs w:val="18"/>
                <w:lang w:val="es-ES"/>
              </w:rPr>
            </w:pPr>
            <w:r w:rsidRPr="00993936">
              <w:rPr>
                <w:rFonts w:ascii="Arial" w:hAnsi="Arial" w:cs="Arial"/>
                <w:sz w:val="18"/>
                <w:szCs w:val="18"/>
                <w:lang w:val="es-ES"/>
              </w:rPr>
              <w:t xml:space="preserve">Tau-fluvanilato </w:t>
            </w:r>
            <w:r w:rsidRPr="00993936">
              <w:rPr>
                <w:rFonts w:ascii="Arial" w:hAnsi="Arial" w:cs="Arial"/>
                <w:i/>
                <w:sz w:val="16"/>
                <w:szCs w:val="16"/>
                <w:lang w:val="es-ES" w:eastAsia="es-ES"/>
              </w:rPr>
              <w:t xml:space="preserve">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tabs>
                <w:tab w:val="left" w:pos="1815"/>
              </w:tabs>
              <w:rPr>
                <w:rFonts w:ascii="Arial" w:hAnsi="Arial" w:cs="Arial"/>
                <w:sz w:val="18"/>
                <w:szCs w:val="18"/>
                <w:lang w:val="es-ES"/>
              </w:rPr>
            </w:pPr>
            <w:r w:rsidRPr="00993936">
              <w:rPr>
                <w:rFonts w:ascii="Arial" w:hAnsi="Arial" w:cs="Arial"/>
                <w:sz w:val="18"/>
                <w:szCs w:val="18"/>
                <w:lang w:val="es-ES"/>
              </w:rPr>
              <w:t>Tiametoxam</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tabs>
                <w:tab w:val="left" w:pos="1815"/>
              </w:tabs>
              <w:rPr>
                <w:rFonts w:ascii="Arial" w:hAnsi="Arial" w:cs="Arial"/>
                <w:sz w:val="18"/>
                <w:szCs w:val="18"/>
                <w:lang w:val="es-ES"/>
              </w:rPr>
            </w:pPr>
            <w:r w:rsidRPr="00993936">
              <w:rPr>
                <w:rFonts w:ascii="Arial" w:hAnsi="Arial" w:cs="Arial"/>
                <w:sz w:val="18"/>
                <w:szCs w:val="18"/>
                <w:lang w:val="es-ES"/>
              </w:rPr>
              <w:t>Spirotetramat</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Zeta-cipermetrín</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8"/>
          <w:jc w:val="center"/>
        </w:trPr>
        <w:tc>
          <w:tcPr>
            <w:tcW w:w="1811"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Minadora</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Liriomyza</w:t>
            </w:r>
            <w:r w:rsidRPr="00993936">
              <w:rPr>
                <w:rFonts w:cs="Arial"/>
                <w:noProof w:val="0"/>
                <w:sz w:val="18"/>
                <w:szCs w:val="18"/>
                <w:lang w:val="es-ES"/>
              </w:rPr>
              <w:t xml:space="preserve"> spp.</w:t>
            </w:r>
          </w:p>
        </w:tc>
        <w:tc>
          <w:tcPr>
            <w:tcW w:w="1526"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Azadiractín</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8"/>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Abamectina</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8"/>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Ciromazina</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7"/>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Aceite parafínico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dstrike/>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7"/>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5"/>
          <w:jc w:val="center"/>
        </w:trPr>
        <w:tc>
          <w:tcPr>
            <w:tcW w:w="1811"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Lepidópteros y orugas</w:t>
            </w:r>
          </w:p>
        </w:tc>
        <w:tc>
          <w:tcPr>
            <w:tcW w:w="1526" w:type="pct"/>
            <w:shd w:val="clear" w:color="auto" w:fill="auto"/>
          </w:tcPr>
          <w:p w:rsidR="00503A41" w:rsidRPr="00993936" w:rsidRDefault="00503A41" w:rsidP="000452B8">
            <w:pPr>
              <w:tabs>
                <w:tab w:val="left" w:pos="1935"/>
              </w:tabs>
              <w:rPr>
                <w:rFonts w:ascii="Arial" w:hAnsi="Arial" w:cs="Arial"/>
                <w:sz w:val="18"/>
                <w:szCs w:val="18"/>
                <w:lang w:val="es-ES"/>
              </w:rPr>
            </w:pPr>
            <w:r w:rsidRPr="00993936">
              <w:rPr>
                <w:rFonts w:ascii="Arial" w:hAnsi="Arial" w:cs="Arial"/>
                <w:sz w:val="18"/>
                <w:szCs w:val="18"/>
                <w:lang w:val="es-ES"/>
              </w:rPr>
              <w:t xml:space="preserve">Azadiractín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rPr>
                <w:rFonts w:ascii="Arial" w:hAnsi="Arial" w:cs="Arial"/>
                <w:i/>
                <w:sz w:val="18"/>
                <w:szCs w:val="18"/>
                <w:lang w:val="es-ES"/>
              </w:rPr>
            </w:pPr>
            <w:r w:rsidRPr="00993936">
              <w:rPr>
                <w:rFonts w:ascii="Arial" w:hAnsi="Arial" w:cs="Arial"/>
                <w:i/>
                <w:sz w:val="18"/>
                <w:szCs w:val="18"/>
                <w:lang w:val="es-ES"/>
              </w:rPr>
              <w:t xml:space="preserve">Bacillus thuringiensis var. kurstaki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Bacillus thuringiensis var aizawai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205"/>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Clorantraniliprol</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205"/>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Cipermetrín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Deltametrín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Espinosad</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4"/>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Tau-fluvanilato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95"/>
          <w:jc w:val="center"/>
        </w:trPr>
        <w:tc>
          <w:tcPr>
            <w:tcW w:w="1811" w:type="pct"/>
            <w:vMerge w:val="restart"/>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lastRenderedPageBreak/>
              <w:t>Ácaros</w:t>
            </w:r>
            <w:r w:rsidRPr="00993936">
              <w:rPr>
                <w:rFonts w:cs="Arial"/>
                <w:noProof w:val="0"/>
                <w:sz w:val="18"/>
                <w:szCs w:val="18"/>
                <w:lang w:val="es-ES"/>
              </w:rPr>
              <w:t xml:space="preserve"> </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 xml:space="preserve">Tetranychus </w:t>
            </w:r>
            <w:r w:rsidRPr="00993936">
              <w:rPr>
                <w:rFonts w:cs="Arial"/>
                <w:noProof w:val="0"/>
                <w:sz w:val="18"/>
                <w:szCs w:val="18"/>
                <w:lang w:val="es-ES"/>
              </w:rPr>
              <w:t>spp</w:t>
            </w:r>
            <w:r w:rsidRPr="00993936">
              <w:rPr>
                <w:rFonts w:cs="Arial"/>
                <w:i/>
                <w:noProof w:val="0"/>
                <w:sz w:val="18"/>
                <w:szCs w:val="18"/>
                <w:lang w:val="es-ES"/>
              </w:rPr>
              <w:t>. Polyphagotarsonemus latus</w:t>
            </w:r>
            <w:r w:rsidRPr="00993936">
              <w:rPr>
                <w:rFonts w:cs="Arial"/>
                <w:noProof w:val="0"/>
                <w:sz w:val="18"/>
                <w:szCs w:val="18"/>
                <w:lang w:val="es-ES"/>
              </w:rPr>
              <w:t xml:space="preserve"> </w:t>
            </w: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Acrinatrín</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Azadiractín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13"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Fenpiroximat</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vAlign w:val="center"/>
          </w:tcPr>
          <w:p w:rsidR="00503A41" w:rsidRPr="00993936" w:rsidRDefault="00503A41" w:rsidP="000452B8">
            <w:pPr>
              <w:pStyle w:val="taula"/>
              <w:jc w:val="center"/>
              <w:rPr>
                <w:rFonts w:cs="Arial"/>
                <w:b/>
                <w:noProof w:val="0"/>
                <w:sz w:val="18"/>
                <w:szCs w:val="18"/>
                <w:lang w:val="es-ES"/>
              </w:rPr>
            </w:pPr>
          </w:p>
        </w:tc>
        <w:tc>
          <w:tcPr>
            <w:tcW w:w="513" w:type="pct"/>
            <w:vAlign w:val="center"/>
          </w:tcPr>
          <w:p w:rsidR="00503A41" w:rsidRPr="00993936" w:rsidRDefault="00503A41" w:rsidP="000452B8">
            <w:pPr>
              <w:pStyle w:val="taula"/>
              <w:jc w:val="center"/>
              <w:rPr>
                <w:rFonts w:cs="Arial"/>
                <w:b/>
                <w:noProof w:val="0"/>
                <w:sz w:val="18"/>
                <w:szCs w:val="18"/>
                <w:lang w:val="es-ES"/>
              </w:rPr>
            </w:pPr>
          </w:p>
        </w:tc>
      </w:tr>
      <w:tr w:rsidR="00E1758E" w:rsidRPr="00993936" w:rsidTr="00571B14">
        <w:trPr>
          <w:cantSplit/>
          <w:trHeight w:val="183"/>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tulo1"/>
              <w:rPr>
                <w:rFonts w:ascii="Arial" w:hAnsi="Arial" w:cs="Arial"/>
                <w:color w:val="auto"/>
                <w:sz w:val="18"/>
                <w:szCs w:val="18"/>
              </w:rPr>
            </w:pPr>
            <w:r w:rsidRPr="00993936">
              <w:rPr>
                <w:rFonts w:ascii="Arial" w:hAnsi="Arial" w:cs="Arial"/>
                <w:color w:val="auto"/>
                <w:sz w:val="18"/>
                <w:szCs w:val="18"/>
              </w:rPr>
              <w:t xml:space="preserve">Azufre </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tcPr>
          <w:p w:rsidR="00503A41" w:rsidRPr="00993936" w:rsidRDefault="00503A41" w:rsidP="000452B8">
            <w:pPr>
              <w:jc w:val="center"/>
              <w:rPr>
                <w:rFonts w:ascii="Arial" w:hAnsi="Arial" w:cs="Arial"/>
                <w:sz w:val="18"/>
                <w:szCs w:val="18"/>
                <w:lang w:val="es-ES"/>
              </w:rPr>
            </w:pPr>
            <w:r w:rsidRPr="00993936">
              <w:rPr>
                <w:rFonts w:ascii="Arial" w:hAnsi="Arial" w:cs="Arial"/>
                <w:b/>
                <w:sz w:val="18"/>
                <w:szCs w:val="18"/>
                <w:lang w:val="es-ES"/>
              </w:rPr>
              <w:t>X</w:t>
            </w:r>
          </w:p>
        </w:tc>
        <w:tc>
          <w:tcPr>
            <w:tcW w:w="513" w:type="pct"/>
          </w:tcPr>
          <w:p w:rsidR="00503A41" w:rsidRPr="00993936" w:rsidRDefault="00503A41" w:rsidP="000452B8">
            <w:pPr>
              <w:jc w:val="center"/>
              <w:rPr>
                <w:rFonts w:ascii="Arial" w:hAnsi="Arial" w:cs="Arial"/>
                <w:sz w:val="18"/>
                <w:szCs w:val="18"/>
                <w:lang w:val="es-ES"/>
              </w:rPr>
            </w:pPr>
            <w:r w:rsidRPr="00993936">
              <w:rPr>
                <w:rFonts w:ascii="Arial" w:hAnsi="Arial" w:cs="Arial"/>
                <w:b/>
                <w:sz w:val="18"/>
                <w:szCs w:val="18"/>
                <w:lang w:val="es-ES"/>
              </w:rPr>
              <w:t>X</w:t>
            </w:r>
          </w:p>
        </w:tc>
      </w:tr>
      <w:tr w:rsidR="00E1758E" w:rsidRPr="00993936" w:rsidTr="00571B14">
        <w:trPr>
          <w:cantSplit/>
          <w:trHeight w:val="141"/>
          <w:jc w:val="center"/>
        </w:trPr>
        <w:tc>
          <w:tcPr>
            <w:tcW w:w="1811" w:type="pct"/>
            <w:vMerge/>
            <w:vAlign w:val="center"/>
          </w:tcPr>
          <w:p w:rsidR="00503A41" w:rsidRPr="00993936" w:rsidRDefault="00503A41" w:rsidP="000452B8">
            <w:pPr>
              <w:pStyle w:val="taula"/>
              <w:rPr>
                <w:rFonts w:cs="Arial"/>
                <w:b/>
                <w:noProof w:val="0"/>
                <w:sz w:val="18"/>
                <w:szCs w:val="18"/>
                <w:lang w:val="es-ES"/>
              </w:rPr>
            </w:pPr>
          </w:p>
        </w:tc>
        <w:tc>
          <w:tcPr>
            <w:tcW w:w="1526" w:type="pct"/>
            <w:shd w:val="clear" w:color="auto" w:fill="auto"/>
          </w:tcPr>
          <w:p w:rsidR="00503A41" w:rsidRPr="00993936" w:rsidRDefault="00503A41" w:rsidP="000452B8">
            <w:pPr>
              <w:pStyle w:val="Ttulo1"/>
              <w:rPr>
                <w:rFonts w:ascii="Arial" w:hAnsi="Arial" w:cs="Arial"/>
                <w:color w:val="auto"/>
              </w:rPr>
            </w:pPr>
            <w:r w:rsidRPr="00993936">
              <w:rPr>
                <w:rFonts w:ascii="Arial" w:hAnsi="Arial" w:cs="Arial"/>
                <w:color w:val="auto"/>
                <w:sz w:val="18"/>
                <w:szCs w:val="18"/>
              </w:rPr>
              <w:t>Espiromesifén</w:t>
            </w:r>
          </w:p>
        </w:tc>
        <w:tc>
          <w:tcPr>
            <w:tcW w:w="675"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475" w:type="pct"/>
          </w:tcPr>
          <w:p w:rsidR="00503A41" w:rsidRPr="00993936" w:rsidRDefault="00503A41" w:rsidP="000452B8">
            <w:pPr>
              <w:jc w:val="center"/>
              <w:rPr>
                <w:rFonts w:ascii="Arial" w:hAnsi="Arial" w:cs="Arial"/>
                <w:b/>
                <w:sz w:val="18"/>
                <w:szCs w:val="18"/>
                <w:lang w:val="es-ES"/>
              </w:rPr>
            </w:pPr>
          </w:p>
        </w:tc>
        <w:tc>
          <w:tcPr>
            <w:tcW w:w="513" w:type="pct"/>
          </w:tcPr>
          <w:p w:rsidR="00503A41" w:rsidRPr="00993936" w:rsidRDefault="00503A41" w:rsidP="000452B8">
            <w:pPr>
              <w:jc w:val="center"/>
              <w:rPr>
                <w:rFonts w:ascii="Arial" w:hAnsi="Arial" w:cs="Arial"/>
                <w:b/>
                <w:sz w:val="18"/>
                <w:szCs w:val="18"/>
                <w:lang w:val="es-ES"/>
              </w:rPr>
            </w:pPr>
          </w:p>
        </w:tc>
      </w:tr>
    </w:tbl>
    <w:p w:rsidR="00503A41" w:rsidRPr="00993936" w:rsidRDefault="00503A41" w:rsidP="000452B8">
      <w:pPr>
        <w:pStyle w:val="Textoindependiente3"/>
        <w:rPr>
          <w:rFonts w:cs="Arial"/>
          <w:b w:val="0"/>
          <w:szCs w:val="22"/>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Cuadro 2.  Materias activas para la producción integrada de judía, haba y guisante, teniendo en cuenta las indicaciones del Cuaderno, de explotación y el Programa de control integrado de plagas y enfermedades (continuación).</w:t>
      </w:r>
    </w:p>
    <w:p w:rsidR="00503A41" w:rsidRPr="00993936" w:rsidRDefault="00503A41" w:rsidP="000452B8">
      <w:pPr>
        <w:jc w:val="both"/>
        <w:rPr>
          <w:rFonts w:ascii="Arial" w:hAnsi="Arial" w:cs="Arial"/>
          <w:b/>
          <w:lang w:val="es-ES"/>
        </w:rPr>
      </w:pP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6"/>
        <w:gridCol w:w="3143"/>
        <w:gridCol w:w="877"/>
        <w:gridCol w:w="877"/>
        <w:gridCol w:w="880"/>
      </w:tblGrid>
      <w:tr w:rsidR="00503A41" w:rsidRPr="00993936" w:rsidTr="000452B8">
        <w:trPr>
          <w:cantSplit/>
          <w:trHeight w:val="189"/>
          <w:jc w:val="center"/>
        </w:trPr>
        <w:tc>
          <w:tcPr>
            <w:tcW w:w="1265"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Trips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 xml:space="preserve">F. occidentalis </w:t>
            </w:r>
            <w:r w:rsidRPr="00993936">
              <w:rPr>
                <w:rFonts w:cs="Arial"/>
                <w:noProof w:val="0"/>
                <w:sz w:val="18"/>
                <w:szCs w:val="18"/>
                <w:lang w:val="es-ES"/>
              </w:rPr>
              <w:t>u otros</w:t>
            </w:r>
          </w:p>
        </w:tc>
        <w:tc>
          <w:tcPr>
            <w:tcW w:w="2032" w:type="pct"/>
            <w:shd w:val="clear" w:color="auto" w:fill="auto"/>
          </w:tcPr>
          <w:p w:rsidR="00503A41" w:rsidRPr="00993936" w:rsidRDefault="00503A41" w:rsidP="000452B8">
            <w:pPr>
              <w:pStyle w:val="taula"/>
              <w:tabs>
                <w:tab w:val="left" w:pos="1950"/>
              </w:tabs>
              <w:rPr>
                <w:rFonts w:cs="Arial"/>
                <w:noProof w:val="0"/>
                <w:sz w:val="18"/>
                <w:szCs w:val="18"/>
                <w:lang w:val="es-ES"/>
              </w:rPr>
            </w:pPr>
            <w:r w:rsidRPr="00993936">
              <w:rPr>
                <w:rFonts w:cs="Arial"/>
                <w:noProof w:val="0"/>
                <w:sz w:val="18"/>
                <w:szCs w:val="18"/>
                <w:lang w:val="es-ES"/>
              </w:rPr>
              <w:t xml:space="preserve">Acrinatrín  </w:t>
            </w:r>
            <w:r w:rsidRPr="00993936">
              <w:rPr>
                <w:rFonts w:cs="Arial"/>
                <w:i/>
                <w:noProof w:val="0"/>
                <w:szCs w:val="16"/>
                <w:lang w:val="es-ES"/>
              </w:rPr>
              <w:t xml:space="preserve">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Azadiractín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Deltametrín</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Espinosad</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Aceite parafínico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Tau-fluvanilato</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5"/>
          <w:jc w:val="center"/>
        </w:trPr>
        <w:tc>
          <w:tcPr>
            <w:tcW w:w="1265" w:type="pct"/>
            <w:vMerge w:val="restart"/>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Rhizoctonia sp.</w:t>
            </w: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Flutolanil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5"/>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Iprodiona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1D205D">
        <w:trPr>
          <w:cantSplit/>
          <w:trHeight w:val="276"/>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tabs>
                <w:tab w:val="center" w:pos="1622"/>
              </w:tabs>
              <w:rPr>
                <w:rFonts w:ascii="Arial" w:hAnsi="Arial" w:cs="Arial"/>
                <w:sz w:val="18"/>
                <w:szCs w:val="18"/>
                <w:lang w:val="es-ES"/>
              </w:rPr>
            </w:pPr>
            <w:r w:rsidRPr="00993936">
              <w:rPr>
                <w:rFonts w:ascii="Arial" w:hAnsi="Arial" w:cs="Arial"/>
                <w:sz w:val="18"/>
                <w:szCs w:val="18"/>
                <w:lang w:val="es-ES" w:eastAsia="es-ES"/>
              </w:rPr>
              <w:t>Pencicurón</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66"/>
          <w:jc w:val="center"/>
        </w:trPr>
        <w:tc>
          <w:tcPr>
            <w:tcW w:w="1265"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Mildiu</w:t>
            </w:r>
          </w:p>
          <w:p w:rsidR="00503A41" w:rsidRPr="00993936" w:rsidRDefault="00503A41" w:rsidP="000452B8">
            <w:pPr>
              <w:pStyle w:val="taula"/>
              <w:rPr>
                <w:rFonts w:cs="Arial"/>
                <w:b/>
                <w:noProof w:val="0"/>
                <w:sz w:val="18"/>
                <w:szCs w:val="18"/>
                <w:lang w:val="es-ES"/>
              </w:rPr>
            </w:pPr>
            <w:r w:rsidRPr="00993936">
              <w:rPr>
                <w:rFonts w:cs="Arial"/>
                <w:noProof w:val="0"/>
                <w:sz w:val="18"/>
                <w:szCs w:val="18"/>
                <w:lang w:val="es-ES"/>
              </w:rPr>
              <w:t>(</w:t>
            </w:r>
            <w:r w:rsidRPr="00993936">
              <w:rPr>
                <w:rFonts w:cs="Arial"/>
                <w:i/>
                <w:noProof w:val="0"/>
                <w:sz w:val="18"/>
                <w:szCs w:val="18"/>
                <w:lang w:val="es-ES"/>
              </w:rPr>
              <w:t>Peronospora pise</w:t>
            </w:r>
            <w:r w:rsidRPr="00993936">
              <w:rPr>
                <w:rFonts w:cs="Arial"/>
                <w:noProof w:val="0"/>
                <w:sz w:val="18"/>
                <w:szCs w:val="18"/>
                <w:lang w:val="es-ES"/>
              </w:rPr>
              <w:t>)</w:t>
            </w:r>
          </w:p>
        </w:tc>
        <w:tc>
          <w:tcPr>
            <w:tcW w:w="2032" w:type="pct"/>
            <w:shd w:val="clear" w:color="auto" w:fill="auto"/>
          </w:tcPr>
          <w:p w:rsidR="00503A41" w:rsidRPr="00993936" w:rsidRDefault="00503A41" w:rsidP="000452B8">
            <w:pPr>
              <w:pStyle w:val="taula"/>
              <w:rPr>
                <w:rFonts w:cs="Arial"/>
                <w:noProof w:val="0"/>
                <w:sz w:val="18"/>
                <w:szCs w:val="18"/>
                <w:lang w:val="es-ES"/>
              </w:rPr>
            </w:pP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dstrike/>
                <w:noProof w:val="0"/>
                <w:sz w:val="18"/>
                <w:szCs w:val="18"/>
                <w:lang w:val="es-ES"/>
              </w:rPr>
            </w:pPr>
          </w:p>
        </w:tc>
        <w:tc>
          <w:tcPr>
            <w:tcW w:w="569"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97"/>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Folpet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97"/>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dstrike/>
                <w:noProof w:val="0"/>
                <w:sz w:val="18"/>
                <w:szCs w:val="18"/>
                <w:lang w:val="es-ES"/>
              </w:rPr>
            </w:pPr>
          </w:p>
        </w:tc>
        <w:tc>
          <w:tcPr>
            <w:tcW w:w="569"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r>
      <w:tr w:rsidR="00503A41" w:rsidRPr="00993936" w:rsidTr="000452B8">
        <w:trPr>
          <w:cantSplit/>
          <w:trHeight w:val="134"/>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Maneb   </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97"/>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Oxicloruro de cobre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97"/>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Óxido cuproso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90"/>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Sulfato cuprocálcico</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97"/>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 xml:space="preserve">Sulfato tribásico de cobre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12"/>
          <w:jc w:val="center"/>
        </w:trPr>
        <w:tc>
          <w:tcPr>
            <w:tcW w:w="1265"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Antracnosis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Ascochyta pise</w:t>
            </w:r>
          </w:p>
        </w:tc>
        <w:tc>
          <w:tcPr>
            <w:tcW w:w="2032" w:type="pct"/>
            <w:shd w:val="clear" w:color="auto" w:fill="auto"/>
            <w:vAlign w:val="center"/>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Azoxistrobín</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dstrike/>
                <w:noProof w:val="0"/>
                <w:sz w:val="18"/>
                <w:szCs w:val="18"/>
                <w:lang w:val="es-ES"/>
              </w:rPr>
            </w:pPr>
          </w:p>
        </w:tc>
        <w:tc>
          <w:tcPr>
            <w:tcW w:w="569"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r>
      <w:tr w:rsidR="00503A41" w:rsidRPr="00993936" w:rsidTr="000452B8">
        <w:trPr>
          <w:cantSplit/>
          <w:trHeight w:val="155"/>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vAlign w:val="center"/>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Difenoconazol</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02"/>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Folpet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dstrike/>
                <w:noProof w:val="0"/>
                <w:sz w:val="18"/>
                <w:szCs w:val="18"/>
                <w:lang w:val="es-ES"/>
              </w:rPr>
            </w:pPr>
          </w:p>
        </w:tc>
        <w:tc>
          <w:tcPr>
            <w:tcW w:w="569"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202"/>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Hidróxido cúprico (4)</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02"/>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Mancozeb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79"/>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Maneb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202"/>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Oxicloruro de cobre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02"/>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Óxido cuproso</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209"/>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Sulfato cuprocálcico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30"/>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Sulfato tribásico de cobre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6"/>
          <w:jc w:val="center"/>
        </w:trPr>
        <w:tc>
          <w:tcPr>
            <w:tcW w:w="1265"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Oídio</w:t>
            </w:r>
          </w:p>
          <w:p w:rsidR="00503A41" w:rsidRPr="00993936" w:rsidRDefault="00503A41" w:rsidP="000452B8">
            <w:pPr>
              <w:pStyle w:val="taula"/>
              <w:rPr>
                <w:rFonts w:cs="Arial"/>
                <w:b/>
                <w:noProof w:val="0"/>
                <w:sz w:val="18"/>
                <w:szCs w:val="18"/>
                <w:lang w:val="es-ES"/>
              </w:rPr>
            </w:pPr>
            <w:r w:rsidRPr="00993936">
              <w:rPr>
                <w:rFonts w:cs="Arial"/>
                <w:i/>
                <w:noProof w:val="0"/>
                <w:sz w:val="18"/>
                <w:szCs w:val="18"/>
                <w:lang w:val="es-ES"/>
              </w:rPr>
              <w:t>Erysiphe polygoni</w:t>
            </w:r>
          </w:p>
        </w:tc>
        <w:tc>
          <w:tcPr>
            <w:tcW w:w="2032"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Azoxistrobín</w:t>
            </w:r>
          </w:p>
        </w:tc>
        <w:tc>
          <w:tcPr>
            <w:tcW w:w="567" w:type="pct"/>
            <w:vAlign w:val="center"/>
          </w:tcPr>
          <w:p w:rsidR="00503A41" w:rsidRPr="00993936" w:rsidRDefault="00503A41" w:rsidP="000452B8">
            <w:pPr>
              <w:pStyle w:val="taula"/>
              <w:jc w:val="center"/>
              <w:rPr>
                <w:rFonts w:cs="Arial"/>
                <w:b/>
                <w:dstrike/>
                <w:noProof w:val="0"/>
                <w:sz w:val="18"/>
                <w:szCs w:val="18"/>
                <w:lang w:val="es-ES"/>
              </w:rPr>
            </w:pP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6"/>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Metil-tiofanato</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4"/>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Azufre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4"/>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vAlign w:val="center"/>
          </w:tcPr>
          <w:p w:rsidR="00503A41" w:rsidRPr="00993936" w:rsidRDefault="00503A41" w:rsidP="000452B8">
            <w:pPr>
              <w:rPr>
                <w:rFonts w:ascii="Arial" w:hAnsi="Arial" w:cs="Arial"/>
                <w:b/>
                <w:sz w:val="18"/>
                <w:szCs w:val="18"/>
                <w:lang w:val="es-ES"/>
              </w:rPr>
            </w:pPr>
            <w:r w:rsidRPr="00993936">
              <w:rPr>
                <w:rFonts w:ascii="Arial" w:hAnsi="Arial" w:cs="Arial"/>
                <w:sz w:val="18"/>
                <w:szCs w:val="18"/>
                <w:lang w:val="es-ES"/>
              </w:rPr>
              <w:t xml:space="preserve">Bupirimat </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9"/>
          <w:jc w:val="center"/>
        </w:trPr>
        <w:tc>
          <w:tcPr>
            <w:tcW w:w="1265"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Botrytis</w:t>
            </w:r>
          </w:p>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 xml:space="preserve">Sclerotinia </w:t>
            </w:r>
          </w:p>
        </w:tc>
        <w:tc>
          <w:tcPr>
            <w:tcW w:w="2032" w:type="pct"/>
            <w:shd w:val="clear" w:color="auto" w:fill="auto"/>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Botrytis sp.</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Azoxistrobín</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Boscalida</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Boscalida + Piraclostrobín</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Ciprodinil + Fludioxonil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dstrike/>
                <w:noProof w:val="0"/>
                <w:sz w:val="18"/>
                <w:szCs w:val="18"/>
                <w:lang w:val="es-ES"/>
              </w:rPr>
            </w:pPr>
          </w:p>
        </w:tc>
        <w:tc>
          <w:tcPr>
            <w:tcW w:w="569"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Clortalonil </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Folpet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dstrike/>
                <w:noProof w:val="0"/>
                <w:sz w:val="18"/>
                <w:szCs w:val="18"/>
                <w:lang w:val="es-ES"/>
              </w:rPr>
            </w:pPr>
          </w:p>
        </w:tc>
        <w:tc>
          <w:tcPr>
            <w:tcW w:w="569" w:type="pct"/>
            <w:vAlign w:val="center"/>
          </w:tcPr>
          <w:p w:rsidR="00503A41" w:rsidRPr="00993936" w:rsidRDefault="00503A41" w:rsidP="000452B8">
            <w:pPr>
              <w:pStyle w:val="taula"/>
              <w:jc w:val="center"/>
              <w:rPr>
                <w:rFonts w:cs="Arial"/>
                <w:b/>
                <w:dstrike/>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Iprodiona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Pirimetanil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5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Tebuconazol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Sclerotinia sp.</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Boscalida</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Ciprodinil + Fludioxonil</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rPr>
                <w:rFonts w:ascii="Arial" w:hAnsi="Arial" w:cs="Arial"/>
                <w:i/>
                <w:sz w:val="18"/>
                <w:szCs w:val="18"/>
                <w:lang w:val="es-ES"/>
              </w:rPr>
            </w:pPr>
            <w:r w:rsidRPr="00993936">
              <w:rPr>
                <w:rFonts w:ascii="Arial" w:hAnsi="Arial" w:cs="Arial"/>
                <w:i/>
                <w:sz w:val="18"/>
                <w:szCs w:val="18"/>
                <w:lang w:val="es-ES"/>
              </w:rPr>
              <w:t>Coniothyrium minitans</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83"/>
          <w:jc w:val="center"/>
        </w:trPr>
        <w:tc>
          <w:tcPr>
            <w:tcW w:w="1265" w:type="pct"/>
            <w:vMerge/>
            <w:vAlign w:val="center"/>
          </w:tcPr>
          <w:p w:rsidR="00503A41" w:rsidRPr="00993936" w:rsidRDefault="00503A41" w:rsidP="000452B8">
            <w:pPr>
              <w:pStyle w:val="taula"/>
              <w:rPr>
                <w:rFonts w:cs="Arial"/>
                <w:i/>
                <w:noProof w:val="0"/>
                <w:sz w:val="18"/>
                <w:szCs w:val="18"/>
                <w:lang w:val="es-ES"/>
              </w:rPr>
            </w:pPr>
          </w:p>
        </w:tc>
        <w:tc>
          <w:tcPr>
            <w:tcW w:w="2032"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 xml:space="preserve">Tebuconazol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169"/>
          <w:jc w:val="center"/>
        </w:trPr>
        <w:tc>
          <w:tcPr>
            <w:tcW w:w="1265" w:type="pct"/>
            <w:vMerge w:val="restart"/>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t>Roya</w:t>
            </w:r>
          </w:p>
          <w:p w:rsidR="00503A41" w:rsidRPr="00993936" w:rsidRDefault="00503A41" w:rsidP="000452B8">
            <w:pPr>
              <w:pStyle w:val="taula"/>
              <w:rPr>
                <w:rFonts w:cs="Arial"/>
                <w:b/>
                <w:noProof w:val="0"/>
                <w:sz w:val="18"/>
                <w:szCs w:val="18"/>
                <w:lang w:val="es-ES"/>
              </w:rPr>
            </w:pPr>
            <w:r w:rsidRPr="00993936">
              <w:rPr>
                <w:rFonts w:cs="Arial"/>
                <w:i/>
                <w:noProof w:val="0"/>
                <w:sz w:val="18"/>
                <w:szCs w:val="18"/>
                <w:lang w:val="es-ES"/>
              </w:rPr>
              <w:t>Uromyces appendiculatus</w:t>
            </w:r>
            <w:r w:rsidRPr="00993936">
              <w:rPr>
                <w:rFonts w:cs="Arial"/>
                <w:noProof w:val="0"/>
                <w:sz w:val="18"/>
                <w:szCs w:val="18"/>
                <w:lang w:val="es-ES"/>
              </w:rPr>
              <w:t xml:space="preserve"> y otros</w:t>
            </w:r>
          </w:p>
        </w:tc>
        <w:tc>
          <w:tcPr>
            <w:tcW w:w="2032"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Azoxistrobín</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0452B8">
        <w:trPr>
          <w:cantSplit/>
          <w:trHeight w:val="169"/>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Boscalida + Piraclostrobín</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r w:rsidR="00503A41" w:rsidRPr="00993936" w:rsidTr="000452B8">
        <w:trPr>
          <w:cantSplit/>
          <w:trHeight w:val="200"/>
          <w:jc w:val="center"/>
        </w:trPr>
        <w:tc>
          <w:tcPr>
            <w:tcW w:w="1265"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Tebuconazol</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p>
        </w:tc>
        <w:tc>
          <w:tcPr>
            <w:tcW w:w="569" w:type="pct"/>
            <w:vAlign w:val="center"/>
          </w:tcPr>
          <w:p w:rsidR="00503A41" w:rsidRPr="00993936" w:rsidRDefault="00503A41" w:rsidP="000452B8">
            <w:pPr>
              <w:pStyle w:val="taula"/>
              <w:jc w:val="center"/>
              <w:rPr>
                <w:rFonts w:cs="Arial"/>
                <w:b/>
                <w:noProof w:val="0"/>
                <w:sz w:val="18"/>
                <w:szCs w:val="18"/>
                <w:lang w:val="es-ES"/>
              </w:rPr>
            </w:pPr>
          </w:p>
        </w:tc>
      </w:tr>
    </w:tbl>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Cuadro 2.  Materias activas para la producción integrada de judía, haba y guisante, teniendo en cuenta las indicaciones del Cuaderno, de explotación y el Programa de control integrado de plagas y enfermedades (continuación).</w:t>
      </w:r>
    </w:p>
    <w:p w:rsidR="00503A41" w:rsidRPr="00993936" w:rsidRDefault="00503A41" w:rsidP="000452B8">
      <w:pPr>
        <w:jc w:val="both"/>
        <w:rPr>
          <w:rFonts w:ascii="Arial" w:hAnsi="Arial" w:cs="Arial"/>
          <w:b/>
          <w:lang w:val="es-ES"/>
        </w:rPr>
      </w:pP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53"/>
        <w:gridCol w:w="3143"/>
        <w:gridCol w:w="877"/>
        <w:gridCol w:w="877"/>
        <w:gridCol w:w="883"/>
      </w:tblGrid>
      <w:tr w:rsidR="00503A41" w:rsidRPr="00993936" w:rsidTr="001D205D">
        <w:trPr>
          <w:cantSplit/>
          <w:trHeight w:val="205"/>
          <w:jc w:val="center"/>
        </w:trPr>
        <w:tc>
          <w:tcPr>
            <w:tcW w:w="1263" w:type="pct"/>
            <w:vMerge w:val="restart"/>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Bacterias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Pseudomonas syringae, Xanthomonas campestris</w:t>
            </w:r>
          </w:p>
        </w:tc>
        <w:tc>
          <w:tcPr>
            <w:tcW w:w="2032" w:type="pct"/>
            <w:shd w:val="clear" w:color="auto" w:fill="auto"/>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Hidróxido cúpric(4)</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7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1D205D">
        <w:trPr>
          <w:cantSplit/>
          <w:trHeight w:val="157"/>
          <w:jc w:val="center"/>
        </w:trPr>
        <w:tc>
          <w:tcPr>
            <w:tcW w:w="1263"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Oxicloruro de cobre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7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1D205D">
        <w:trPr>
          <w:cantSplit/>
          <w:trHeight w:val="183"/>
          <w:jc w:val="center"/>
        </w:trPr>
        <w:tc>
          <w:tcPr>
            <w:tcW w:w="1263"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Óxido cuproso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7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1D205D">
        <w:trPr>
          <w:cantSplit/>
          <w:trHeight w:val="201"/>
          <w:jc w:val="center"/>
        </w:trPr>
        <w:tc>
          <w:tcPr>
            <w:tcW w:w="1263"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Sulfato cuprocálcico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7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1D205D">
        <w:trPr>
          <w:cantSplit/>
          <w:trHeight w:val="183"/>
          <w:jc w:val="center"/>
        </w:trPr>
        <w:tc>
          <w:tcPr>
            <w:tcW w:w="1263" w:type="pct"/>
            <w:vMerge/>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 xml:space="preserve">Sulfato tribásico de cobre </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70"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r>
      <w:tr w:rsidR="00503A41" w:rsidRPr="00993936" w:rsidTr="001D205D">
        <w:trPr>
          <w:cantSplit/>
          <w:trHeight w:val="195"/>
          <w:jc w:val="center"/>
        </w:trPr>
        <w:tc>
          <w:tcPr>
            <w:tcW w:w="1263" w:type="pct"/>
            <w:vMerge w:val="restart"/>
            <w:shd w:val="clear" w:color="auto" w:fill="auto"/>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Nemátodos</w:t>
            </w:r>
          </w:p>
        </w:tc>
        <w:tc>
          <w:tcPr>
            <w:tcW w:w="2032" w:type="pct"/>
            <w:shd w:val="clear" w:color="auto" w:fill="auto"/>
            <w:vAlign w:val="center"/>
          </w:tcPr>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Metam sodio</w:t>
            </w:r>
          </w:p>
        </w:tc>
        <w:tc>
          <w:tcPr>
            <w:tcW w:w="567" w:type="pct"/>
            <w:vAlign w:val="center"/>
          </w:tcPr>
          <w:p w:rsidR="00503A41" w:rsidRPr="00993936"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c>
          <w:tcPr>
            <w:tcW w:w="570"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r>
      <w:tr w:rsidR="00503A41" w:rsidRPr="00993936" w:rsidTr="001D205D">
        <w:trPr>
          <w:cantSplit/>
          <w:trHeight w:val="122"/>
          <w:jc w:val="center"/>
        </w:trPr>
        <w:tc>
          <w:tcPr>
            <w:tcW w:w="1263" w:type="pct"/>
            <w:vMerge/>
            <w:shd w:val="clear" w:color="auto" w:fill="auto"/>
            <w:vAlign w:val="center"/>
          </w:tcPr>
          <w:p w:rsidR="00503A41" w:rsidRPr="00993936" w:rsidRDefault="00503A41" w:rsidP="000452B8">
            <w:pPr>
              <w:pStyle w:val="taula"/>
              <w:rPr>
                <w:rFonts w:cs="Arial"/>
                <w:b/>
                <w:noProof w:val="0"/>
                <w:sz w:val="18"/>
                <w:szCs w:val="18"/>
                <w:lang w:val="es-ES"/>
              </w:rPr>
            </w:pPr>
          </w:p>
        </w:tc>
        <w:tc>
          <w:tcPr>
            <w:tcW w:w="2032" w:type="pct"/>
            <w:shd w:val="clear" w:color="auto" w:fill="auto"/>
            <w:vAlign w:val="center"/>
          </w:tcPr>
          <w:p w:rsidR="00503A41" w:rsidRPr="00993936" w:rsidDel="00603E9A" w:rsidRDefault="00503A41" w:rsidP="000452B8">
            <w:pPr>
              <w:rPr>
                <w:rFonts w:ascii="Arial" w:hAnsi="Arial" w:cs="Arial"/>
                <w:sz w:val="18"/>
                <w:szCs w:val="18"/>
                <w:lang w:val="es-ES"/>
              </w:rPr>
            </w:pPr>
            <w:r w:rsidRPr="00993936">
              <w:rPr>
                <w:rFonts w:ascii="Arial" w:hAnsi="Arial" w:cs="Arial"/>
                <w:sz w:val="18"/>
                <w:szCs w:val="18"/>
                <w:lang w:val="es-ES"/>
              </w:rPr>
              <w:t>Metam potasio</w:t>
            </w:r>
          </w:p>
        </w:tc>
        <w:tc>
          <w:tcPr>
            <w:tcW w:w="567" w:type="pct"/>
            <w:vAlign w:val="center"/>
          </w:tcPr>
          <w:p w:rsidR="00503A41" w:rsidRPr="00993936" w:rsidDel="00603E9A" w:rsidRDefault="00503A41" w:rsidP="000452B8">
            <w:pPr>
              <w:pStyle w:val="taula"/>
              <w:jc w:val="center"/>
              <w:rPr>
                <w:rFonts w:cs="Arial"/>
                <w:b/>
                <w:noProof w:val="0"/>
                <w:sz w:val="18"/>
                <w:szCs w:val="18"/>
                <w:lang w:val="es-ES"/>
              </w:rPr>
            </w:pPr>
            <w:r w:rsidRPr="00993936">
              <w:rPr>
                <w:rFonts w:cs="Arial"/>
                <w:b/>
                <w:noProof w:val="0"/>
                <w:sz w:val="18"/>
                <w:szCs w:val="18"/>
                <w:lang w:val="es-ES"/>
              </w:rPr>
              <w:t>X</w:t>
            </w:r>
          </w:p>
        </w:tc>
        <w:tc>
          <w:tcPr>
            <w:tcW w:w="567"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c>
          <w:tcPr>
            <w:tcW w:w="570" w:type="pct"/>
            <w:vAlign w:val="center"/>
          </w:tcPr>
          <w:p w:rsidR="00503A41" w:rsidRPr="00993936" w:rsidRDefault="00503A41" w:rsidP="000452B8">
            <w:pPr>
              <w:pStyle w:val="taula"/>
              <w:jc w:val="center"/>
              <w:rPr>
                <w:rFonts w:cs="Arial"/>
                <w:b/>
                <w:dstrike/>
                <w:noProof w:val="0"/>
                <w:sz w:val="18"/>
                <w:szCs w:val="18"/>
                <w:lang w:val="es-ES"/>
              </w:rPr>
            </w:pPr>
            <w:r w:rsidRPr="00993936">
              <w:rPr>
                <w:rFonts w:cs="Arial"/>
                <w:b/>
                <w:noProof w:val="0"/>
                <w:sz w:val="18"/>
                <w:szCs w:val="18"/>
                <w:lang w:val="es-ES"/>
              </w:rPr>
              <w:t>X</w:t>
            </w:r>
          </w:p>
        </w:tc>
      </w:tr>
      <w:tr w:rsidR="00503A41" w:rsidRPr="00993936" w:rsidTr="001D205D">
        <w:trPr>
          <w:cantSplit/>
          <w:trHeight w:val="122"/>
          <w:jc w:val="center"/>
        </w:trPr>
        <w:tc>
          <w:tcPr>
            <w:tcW w:w="1263" w:type="pct"/>
            <w:shd w:val="clear" w:color="auto" w:fill="auto"/>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Otras Plagas y Enfermedades</w:t>
            </w:r>
          </w:p>
        </w:tc>
        <w:tc>
          <w:tcPr>
            <w:tcW w:w="3737" w:type="pct"/>
            <w:gridSpan w:val="4"/>
            <w:shd w:val="clear" w:color="auto" w:fill="auto"/>
            <w:vAlign w:val="center"/>
          </w:tcPr>
          <w:p w:rsidR="00503A41" w:rsidRPr="00993936" w:rsidRDefault="00503A41" w:rsidP="000452B8">
            <w:pPr>
              <w:pStyle w:val="taula"/>
              <w:jc w:val="both"/>
              <w:rPr>
                <w:rFonts w:cs="Arial"/>
                <w:noProof w:val="0"/>
                <w:sz w:val="18"/>
                <w:szCs w:val="18"/>
                <w:lang w:val="es-ES"/>
              </w:rPr>
            </w:pPr>
            <w:r w:rsidRPr="00993936">
              <w:rPr>
                <w:rFonts w:cs="Arial"/>
                <w:noProof w:val="0"/>
                <w:sz w:val="18"/>
                <w:szCs w:val="18"/>
                <w:lang w:val="es-ES"/>
              </w:rPr>
              <w:t>Las expresamente autorizadas en el cultivo, teniendo en cuenta su efecto sobre la fauna útil y su toxicología</w:t>
            </w:r>
          </w:p>
        </w:tc>
      </w:tr>
    </w:tbl>
    <w:p w:rsidR="00503A41" w:rsidRPr="00993936" w:rsidRDefault="00503A41" w:rsidP="000452B8">
      <w:pPr>
        <w:jc w:val="center"/>
        <w:rPr>
          <w:rFonts w:ascii="Arial" w:hAnsi="Arial" w:cs="Arial"/>
          <w:b/>
          <w:sz w:val="8"/>
          <w:szCs w:val="8"/>
          <w:u w:val="single"/>
          <w:lang w:val="es-ES"/>
        </w:rPr>
      </w:pP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8"/>
          <w:szCs w:val="8"/>
          <w:lang w:val="es-ES" w:eastAsia="ca-ES"/>
        </w:rPr>
      </w:pP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(1) Máximo 1 tratamiento / ciclo de cultivo</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(2) Máximo 2 tratamiento / ciclo de cultivo</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(3) Máximo 3 tratamiento / ciclo de cultivo</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(4) Sólo formulaciones que no sean de clasificación toxicológica (T)</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(5) Sólo formulaciones comerciales registradas</w:t>
      </w:r>
    </w:p>
    <w:p w:rsidR="00503A41" w:rsidRPr="00993936" w:rsidRDefault="00503A41" w:rsidP="000452B8">
      <w:pPr>
        <w:pStyle w:val="taula"/>
        <w:rPr>
          <w:rFonts w:cs="Arial"/>
          <w:noProof w:val="0"/>
          <w:sz w:val="18"/>
          <w:szCs w:val="18"/>
          <w:lang w:val="es-ES" w:eastAsia="ca-ES"/>
        </w:rPr>
      </w:pPr>
      <w:r w:rsidRPr="00993936">
        <w:rPr>
          <w:rFonts w:cs="Arial"/>
          <w:noProof w:val="0"/>
          <w:sz w:val="18"/>
          <w:szCs w:val="18"/>
          <w:lang w:val="es-ES" w:eastAsia="ca-ES"/>
        </w:rPr>
        <w:t>(6) Sólo en cultivos al aire libre</w:t>
      </w:r>
    </w:p>
    <w:p w:rsidR="00503A41" w:rsidRPr="00993936" w:rsidRDefault="00503A41" w:rsidP="000452B8">
      <w:pPr>
        <w:jc w:val="center"/>
        <w:rPr>
          <w:rFonts w:ascii="Arial" w:hAnsi="Arial" w:cs="Arial"/>
          <w:b/>
          <w:sz w:val="28"/>
          <w:szCs w:val="28"/>
          <w:u w:val="single"/>
          <w:lang w:val="es-ES"/>
        </w:rPr>
      </w:pPr>
      <w:r w:rsidRPr="00993936">
        <w:rPr>
          <w:rFonts w:ascii="Arial" w:hAnsi="Arial" w:cs="Arial"/>
          <w:b/>
          <w:sz w:val="28"/>
          <w:szCs w:val="28"/>
          <w:u w:val="single"/>
          <w:lang w:val="es-ES"/>
        </w:rPr>
        <w:br w:type="page"/>
      </w:r>
    </w:p>
    <w:p w:rsidR="00503A41" w:rsidRPr="00993936" w:rsidRDefault="00503A41" w:rsidP="000452B8">
      <w:pPr>
        <w:jc w:val="center"/>
        <w:rPr>
          <w:rFonts w:ascii="Arial" w:hAnsi="Arial" w:cs="Arial"/>
          <w:b/>
          <w:sz w:val="28"/>
          <w:szCs w:val="28"/>
          <w:u w:val="single"/>
          <w:lang w:val="es-ES"/>
        </w:rPr>
      </w:pPr>
      <w:r w:rsidRPr="00993936">
        <w:rPr>
          <w:rFonts w:ascii="Arial" w:hAnsi="Arial" w:cs="Arial"/>
          <w:b/>
          <w:sz w:val="28"/>
          <w:szCs w:val="28"/>
          <w:u w:val="single"/>
          <w:lang w:val="es-ES"/>
        </w:rPr>
        <w:lastRenderedPageBreak/>
        <w:t>CULTIVO: PATATA</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4</w:t>
      </w:r>
    </w:p>
    <w:p w:rsidR="00503A41" w:rsidRPr="00993936" w:rsidRDefault="00503A41" w:rsidP="000452B8">
      <w:pPr>
        <w:jc w:val="both"/>
        <w:rPr>
          <w:rFonts w:ascii="Arial" w:hAnsi="Arial" w:cs="Arial"/>
          <w:b/>
          <w:snapToGrid w:val="0"/>
          <w:lang w:val="es-ES" w:eastAsia="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Materias activas de herbicidas para la producción integrada de la patata</w:t>
      </w:r>
    </w:p>
    <w:p w:rsidR="00503A41" w:rsidRPr="00993936" w:rsidRDefault="00503A41" w:rsidP="000452B8">
      <w:pPr>
        <w:jc w:val="both"/>
        <w:rPr>
          <w:rFonts w:ascii="Arial" w:hAnsi="Arial" w:cs="Arial"/>
          <w:b/>
          <w:snapToGrid w:val="0"/>
          <w:lang w:val="es-ES" w:eastAsia="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4903"/>
          <w:jc w:val="center"/>
        </w:trPr>
        <w:tc>
          <w:tcPr>
            <w:tcW w:w="2418" w:type="pct"/>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 + Glifosato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Aclonifén</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Bentazona</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Carfentrazona-etil</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Cicloxidín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Diquat</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Fluazifop</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Fluorocloridona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Glifosato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Glufosinato (2)</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Linurón (1)</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Metribuzina</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Napropamida</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Pendimetalina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Piraflufen-etil</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Piridato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Propaquizafop</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Prosulfocarb </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eastAsia="es-ES"/>
              </w:rPr>
              <w:t>Quizalofol-p-etil</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Rimsulfurón</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eastAsia="es-ES"/>
              </w:rPr>
              <w:t xml:space="preserve">S-metacloro </w:t>
            </w:r>
          </w:p>
        </w:tc>
        <w:tc>
          <w:tcPr>
            <w:tcW w:w="2582" w:type="pct"/>
          </w:tcPr>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20"/>
                <w:lang w:val="es-ES"/>
              </w:rPr>
            </w:pPr>
            <w:r w:rsidRPr="00993936">
              <w:rPr>
                <w:rFonts w:ascii="Arial" w:hAnsi="Arial" w:cs="Arial"/>
                <w:snapToGrid w:val="0"/>
                <w:sz w:val="18"/>
                <w:lang w:val="es-ES"/>
              </w:rPr>
              <w:t>Las restricciones numéricas se detallan al final de este documento.</w:t>
            </w:r>
          </w:p>
        </w:tc>
      </w:tr>
    </w:tbl>
    <w:p w:rsidR="00503A41" w:rsidRPr="00993936" w:rsidRDefault="00503A41" w:rsidP="000452B8">
      <w:pPr>
        <w:jc w:val="both"/>
        <w:rPr>
          <w:rFonts w:ascii="Arial" w:hAnsi="Arial" w:cs="Arial"/>
          <w:b/>
          <w:snapToGrid w:val="0"/>
          <w:lang w:val="es-ES" w:eastAsia="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numPr>
          <w:ilvl w:val="0"/>
          <w:numId w:val="87"/>
        </w:numPr>
        <w:spacing w:before="120" w:after="0" w:line="240" w:lineRule="auto"/>
        <w:jc w:val="both"/>
        <w:rPr>
          <w:rFonts w:ascii="Arial" w:hAnsi="Arial" w:cs="Arial"/>
          <w:i/>
          <w:lang w:val="es-ES"/>
        </w:rPr>
      </w:pPr>
      <w:r w:rsidRPr="00993936">
        <w:rPr>
          <w:rFonts w:ascii="Arial" w:hAnsi="Arial" w:cs="Arial"/>
          <w:i/>
          <w:lang w:val="es-ES"/>
        </w:rPr>
        <w:t>Aphidius matricariae</w:t>
      </w:r>
    </w:p>
    <w:p w:rsidR="00503A41" w:rsidRPr="00993936" w:rsidRDefault="00503A41" w:rsidP="009D1A2D">
      <w:pPr>
        <w:numPr>
          <w:ilvl w:val="0"/>
          <w:numId w:val="87"/>
        </w:numPr>
        <w:spacing w:before="120" w:after="0" w:line="240" w:lineRule="auto"/>
        <w:jc w:val="both"/>
        <w:rPr>
          <w:rFonts w:ascii="Arial" w:hAnsi="Arial" w:cs="Arial"/>
          <w:i/>
          <w:lang w:val="es-ES"/>
        </w:rPr>
      </w:pPr>
      <w:r w:rsidRPr="00993936">
        <w:rPr>
          <w:rFonts w:ascii="Arial" w:hAnsi="Arial" w:cs="Arial"/>
          <w:i/>
          <w:lang w:val="es-ES"/>
        </w:rPr>
        <w:t>Eretmocerus mundus.</w:t>
      </w:r>
    </w:p>
    <w:p w:rsidR="00503A41" w:rsidRPr="00993936" w:rsidRDefault="00503A41" w:rsidP="009D1A2D">
      <w:pPr>
        <w:numPr>
          <w:ilvl w:val="0"/>
          <w:numId w:val="87"/>
        </w:numPr>
        <w:spacing w:before="120" w:after="0" w:line="240" w:lineRule="auto"/>
        <w:jc w:val="both"/>
        <w:rPr>
          <w:rFonts w:ascii="Arial" w:hAnsi="Arial" w:cs="Arial"/>
          <w:i/>
          <w:lang w:val="es-ES"/>
        </w:rPr>
      </w:pPr>
      <w:r w:rsidRPr="00993936">
        <w:rPr>
          <w:rFonts w:ascii="Arial" w:hAnsi="Arial" w:cs="Arial"/>
          <w:i/>
          <w:lang w:val="es-ES"/>
        </w:rPr>
        <w:t>Lysiphlebus testaceipes.</w:t>
      </w:r>
    </w:p>
    <w:p w:rsidR="00503A41" w:rsidRPr="00993936" w:rsidRDefault="00503A41" w:rsidP="009D1A2D">
      <w:pPr>
        <w:numPr>
          <w:ilvl w:val="0"/>
          <w:numId w:val="87"/>
        </w:numPr>
        <w:spacing w:before="120" w:after="0" w:line="240" w:lineRule="auto"/>
        <w:jc w:val="both"/>
        <w:rPr>
          <w:rFonts w:ascii="Arial" w:hAnsi="Arial" w:cs="Arial"/>
          <w:lang w:val="es-ES"/>
        </w:rPr>
      </w:pPr>
      <w:r w:rsidRPr="00993936">
        <w:rPr>
          <w:rFonts w:ascii="Arial" w:hAnsi="Arial" w:cs="Arial"/>
          <w:i/>
          <w:lang w:val="es-ES"/>
        </w:rPr>
        <w:t>Macrolophus pygmaeus</w:t>
      </w:r>
      <w:r w:rsidRPr="00993936">
        <w:rPr>
          <w:rFonts w:ascii="Arial" w:hAnsi="Arial" w:cs="Arial"/>
          <w:lang w:val="es-ES"/>
        </w:rPr>
        <w:t>.</w:t>
      </w:r>
      <w:r w:rsidRPr="00993936">
        <w:rPr>
          <w:rFonts w:ascii="Arial" w:hAnsi="Arial" w:cs="Arial"/>
          <w:i/>
          <w:lang w:val="es-ES"/>
        </w:rPr>
        <w:t xml:space="preserve"> </w:t>
      </w:r>
    </w:p>
    <w:p w:rsidR="00503A41" w:rsidRPr="00993936" w:rsidRDefault="00503A41" w:rsidP="000452B8">
      <w:pPr>
        <w:pStyle w:val="Ttulo1"/>
        <w:rPr>
          <w:rFonts w:ascii="Arial" w:hAnsi="Arial" w:cs="Arial"/>
          <w:b/>
          <w:caps/>
          <w:color w:val="auto"/>
          <w:sz w:val="22"/>
        </w:rPr>
      </w:pPr>
    </w:p>
    <w:p w:rsidR="00503A41" w:rsidRPr="00993936" w:rsidRDefault="00503A41" w:rsidP="000452B8">
      <w:pPr>
        <w:pStyle w:val="Ttulo1"/>
        <w:spacing w:before="120"/>
        <w:rPr>
          <w:rFonts w:ascii="Arial" w:hAnsi="Arial" w:cs="Arial"/>
          <w:b/>
          <w:color w:val="auto"/>
          <w:sz w:val="22"/>
          <w:szCs w:val="22"/>
        </w:rPr>
      </w:pPr>
      <w:r w:rsidRPr="00993936">
        <w:rPr>
          <w:rFonts w:ascii="Arial" w:hAnsi="Arial" w:cs="Arial"/>
          <w:b/>
          <w:caps/>
          <w:color w:val="auto"/>
          <w:sz w:val="22"/>
          <w:szCs w:val="22"/>
        </w:rPr>
        <w:t>ANEXO 6</w:t>
      </w:r>
    </w:p>
    <w:p w:rsidR="00503A41" w:rsidRPr="00993936" w:rsidRDefault="00503A41" w:rsidP="000452B8">
      <w:pPr>
        <w:pStyle w:val="Textoindependiente"/>
        <w:spacing w:before="120"/>
        <w:rPr>
          <w:rFonts w:cs="Arial"/>
          <w:b/>
          <w:szCs w:val="22"/>
          <w:lang w:val="es-ES"/>
        </w:rPr>
      </w:pPr>
      <w:r w:rsidRPr="00993936">
        <w:rPr>
          <w:rFonts w:cs="Arial"/>
          <w:b/>
          <w:szCs w:val="22"/>
          <w:lang w:val="es-ES"/>
        </w:rPr>
        <w:t>Programas de control fitosanitario</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Para poder aplicar estos programas con éxito, es imprescindible aplicar unas buenas medidas culturales con el objetivo de iniciar el cultivo con plantas con </w:t>
      </w:r>
      <w:r w:rsidRPr="00993936">
        <w:rPr>
          <w:rFonts w:cs="Arial"/>
          <w:szCs w:val="22"/>
          <w:lang w:val="es-ES"/>
        </w:rPr>
        <w:lastRenderedPageBreak/>
        <w:t>ausencia</w:t>
      </w:r>
      <w:r w:rsidRPr="00993936">
        <w:rPr>
          <w:rFonts w:cs="Arial"/>
          <w:vanish/>
          <w:szCs w:val="22"/>
          <w:lang w:val="es-ES"/>
        </w:rPr>
        <w:t>&lt;A[limpias|netas]&gt;</w:t>
      </w:r>
      <w:r w:rsidRPr="00993936">
        <w:rPr>
          <w:rFonts w:cs="Arial"/>
          <w:szCs w:val="22"/>
          <w:lang w:val="es-ES"/>
        </w:rPr>
        <w:t xml:space="preserve"> de plagas y enfermedades, disminuir la entrada en el cultivo y la posterior proliferación.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Hay un programa específico para el cultivo, que se recoge en el Cuadro nº. 1 de este Anexo.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Como método de control de las diferentes plagas, se dará prioridad al control biológico, </w:t>
      </w:r>
      <w:r w:rsidRPr="00993936">
        <w:rPr>
          <w:rFonts w:cs="Arial"/>
          <w:lang w:val="es-ES"/>
        </w:rPr>
        <w:t>biotecnológico, medidas culturales y medios físicos</w:t>
      </w:r>
      <w:r w:rsidRPr="00993936">
        <w:rPr>
          <w:rFonts w:cs="Arial"/>
          <w:szCs w:val="22"/>
          <w:lang w:val="es-ES"/>
        </w:rPr>
        <w:t xml:space="preserve">. Únicamente cuando se supere el umbral de intervención estará justificado el tratamiento con alguno de los productos autorizados por aquella plaga o enfermedad. </w:t>
      </w:r>
    </w:p>
    <w:p w:rsidR="00503A41" w:rsidRPr="00993936" w:rsidRDefault="00503A41" w:rsidP="000452B8">
      <w:pPr>
        <w:pStyle w:val="Textoindependiente"/>
        <w:spacing w:before="120"/>
        <w:rPr>
          <w:rFonts w:cs="Arial"/>
          <w:szCs w:val="22"/>
          <w:lang w:val="es-ES"/>
        </w:rPr>
      </w:pPr>
      <w:r w:rsidRPr="00993936">
        <w:rPr>
          <w:rFonts w:cs="Arial"/>
          <w:szCs w:val="22"/>
          <w:lang w:val="es-ES"/>
        </w:rPr>
        <w:t>Cuando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szCs w:val="22"/>
          <w:lang w:val="es-ES"/>
        </w:rPr>
      </w:pPr>
      <w:r w:rsidRPr="00993936">
        <w:rPr>
          <w:rFonts w:cs="Arial"/>
          <w:szCs w:val="22"/>
          <w:lang w:val="es-ES"/>
        </w:rPr>
        <w:t>Además de los muestreos específicos propuestos en los Cuadros de Control Fitosanitario, se hará una observación general del cultivo que permita estimar</w:t>
      </w:r>
      <w:r w:rsidRPr="00993936">
        <w:rPr>
          <w:rFonts w:cs="Arial"/>
          <w:vanish/>
          <w:szCs w:val="22"/>
          <w:lang w:val="es-ES"/>
        </w:rPr>
        <w:t>&lt;A[amar|estimar]&gt;</w:t>
      </w:r>
      <w:r w:rsidRPr="00993936">
        <w:rPr>
          <w:rFonts w:cs="Arial"/>
          <w:szCs w:val="22"/>
          <w:lang w:val="es-ES"/>
        </w:rPr>
        <w:t xml:space="preserve"> su estado general así como la presencia de plagas y/o enfermedades. Los recuentos y las observaciones, y también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993936">
        <w:rPr>
          <w:rFonts w:cs="Arial"/>
          <w:vanish/>
          <w:szCs w:val="22"/>
          <w:lang w:val="es-ES"/>
        </w:rPr>
        <w:t>&lt;A[empleo|ocupación]&gt;</w:t>
      </w:r>
      <w:r w:rsidRPr="00993936">
        <w:rPr>
          <w:rFonts w:cs="Arial"/>
          <w:szCs w:val="22"/>
          <w:lang w:val="es-ES"/>
        </w:rPr>
        <w:t>) o la infestación media cuando sea requerida. También se calculará el porcentaje de plantas que presentan fauna útil asociada a cada una de las plagas.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Los métodos de muestreo y los umbrales de intervención en los casos previstos son los que figuran en el Cuadro 1 de este anexo.  </w:t>
      </w: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t>6.1.</w:t>
      </w:r>
      <w:r w:rsidRPr="00993936">
        <w:rPr>
          <w:rFonts w:ascii="Arial" w:hAnsi="Arial" w:cs="Arial"/>
          <w:color w:val="auto"/>
          <w:lang w:val="es-ES"/>
        </w:rPr>
        <w:tab/>
        <w:t>Pulgón (PG)</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6.2.</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1.1.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lastRenderedPageBreak/>
        <w:t>6.3.</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plagas no explícitamente previstas en el Cuadro 1.1, especificando en observaciones la especie objeto del seguimiento. En caso de que aparezca una nueva plaga no especificada en el Cuadro de Control Fitosanitario del cultivo,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botritis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el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 xml:space="preserve">Nemátodos </w:t>
      </w:r>
    </w:p>
    <w:p w:rsidR="00503A41" w:rsidRPr="00993936" w:rsidRDefault="00503A41" w:rsidP="000452B8">
      <w:pPr>
        <w:spacing w:before="120"/>
        <w:jc w:val="both"/>
        <w:rPr>
          <w:rFonts w:ascii="Arial" w:hAnsi="Arial" w:cs="Arial"/>
          <w:lang w:val="es-ES"/>
        </w:rPr>
      </w:pPr>
      <w:r w:rsidRPr="00993936">
        <w:rPr>
          <w:rFonts w:ascii="Arial" w:hAnsi="Arial" w:cs="Arial"/>
          <w:lang w:val="es-ES"/>
        </w:rPr>
        <w:t>Cuando el cultivo a implantar sea sensible a nemátodos, se escogerán preferentemente variedades resistentes. En caso de que no haya o no sean bien aceptadas por el mercado, se podrán utilizar tratamientos para controlar este problema de suelo en 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rsidR="00503A41" w:rsidRPr="00993936" w:rsidRDefault="00503A41" w:rsidP="000452B8">
      <w:pPr>
        <w:pStyle w:val="Textoindependiente3"/>
        <w:spacing w:before="120"/>
        <w:rPr>
          <w:rFonts w:cs="Arial"/>
          <w:b w:val="0"/>
          <w:szCs w:val="22"/>
          <w:lang w:val="es-ES"/>
        </w:rPr>
      </w:pPr>
      <w:bookmarkStart w:id="12" w:name="_Toc529930356"/>
      <w:r w:rsidRPr="00993936">
        <w:rPr>
          <w:rFonts w:cs="Arial"/>
          <w:b w:val="0"/>
          <w:szCs w:val="22"/>
          <w:lang w:val="es-ES"/>
        </w:rPr>
        <w:br w:type="page"/>
      </w:r>
      <w:r w:rsidRPr="00993936">
        <w:rPr>
          <w:rFonts w:cs="Arial"/>
          <w:b w:val="0"/>
          <w:szCs w:val="22"/>
          <w:lang w:val="es-ES"/>
        </w:rPr>
        <w:lastRenderedPageBreak/>
        <w:t>Cuadro 1.-  Control fitosanitario en patata</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 la patata.</w:t>
      </w:r>
    </w:p>
    <w:p w:rsidR="00503A41" w:rsidRPr="00993936" w:rsidRDefault="00503A41" w:rsidP="000452B8">
      <w:pPr>
        <w:pStyle w:val="Textoindependiente3"/>
        <w:rPr>
          <w:rFonts w:cs="Arial"/>
          <w:caps/>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5"/>
        <w:gridCol w:w="2261"/>
        <w:gridCol w:w="2296"/>
        <w:gridCol w:w="1722"/>
      </w:tblGrid>
      <w:tr w:rsidR="00503A41" w:rsidRPr="00993936" w:rsidTr="000452B8">
        <w:trPr>
          <w:cantSplit/>
          <w:tblHeader/>
          <w:jc w:val="center"/>
        </w:trPr>
        <w:tc>
          <w:tcPr>
            <w:tcW w:w="1368" w:type="pct"/>
            <w:shd w:val="pct12" w:color="auto" w:fill="FFFFFF"/>
            <w:vAlign w:val="center"/>
          </w:tcPr>
          <w:bookmarkEnd w:id="12"/>
          <w:p w:rsidR="00503A41" w:rsidRPr="00993936" w:rsidRDefault="00503A41" w:rsidP="000452B8">
            <w:pPr>
              <w:pStyle w:val="titolstaula"/>
              <w:rPr>
                <w:rFonts w:cs="Arial"/>
                <w:noProof w:val="0"/>
                <w:lang w:val="es-ES"/>
              </w:rPr>
            </w:pPr>
            <w:r w:rsidRPr="00993936">
              <w:rPr>
                <w:rFonts w:cs="Arial"/>
                <w:noProof w:val="0"/>
                <w:lang w:val="es-ES"/>
              </w:rPr>
              <w:t>PLAGA / ENFERMEDAD</w:t>
            </w:r>
          </w:p>
        </w:tc>
        <w:tc>
          <w:tcPr>
            <w:tcW w:w="1308"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MÉTODO DE EVALUACIÓN DE INCIDENCIA</w:t>
            </w:r>
          </w:p>
        </w:tc>
        <w:tc>
          <w:tcPr>
            <w:tcW w:w="1328"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CRITERIO DE INTERVENCIÓN</w:t>
            </w:r>
          </w:p>
        </w:tc>
        <w:tc>
          <w:tcPr>
            <w:tcW w:w="996"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OTROS MÉTODOS</w:t>
            </w:r>
          </w:p>
          <w:p w:rsidR="00503A41" w:rsidRPr="00993936" w:rsidRDefault="00503A41" w:rsidP="000452B8">
            <w:pPr>
              <w:pStyle w:val="titolstaula"/>
              <w:rPr>
                <w:rFonts w:cs="Arial"/>
                <w:noProof w:val="0"/>
                <w:lang w:val="es-ES"/>
              </w:rPr>
            </w:pPr>
            <w:r w:rsidRPr="00993936">
              <w:rPr>
                <w:rFonts w:cs="Arial"/>
                <w:noProof w:val="0"/>
                <w:lang w:val="es-ES"/>
              </w:rPr>
              <w:t>(culturales, etc.)</w:t>
            </w: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Escarabajo </w:t>
            </w:r>
          </w:p>
          <w:p w:rsidR="00503A41" w:rsidRPr="00993936" w:rsidRDefault="00503A41" w:rsidP="000452B8">
            <w:pPr>
              <w:pStyle w:val="taula"/>
              <w:rPr>
                <w:rFonts w:cs="Arial"/>
                <w:noProof w:val="0"/>
                <w:lang w:val="es-ES"/>
              </w:rPr>
            </w:pPr>
            <w:r w:rsidRPr="00993936">
              <w:rPr>
                <w:rFonts w:cs="Arial"/>
                <w:noProof w:val="0"/>
                <w:lang w:val="es-ES"/>
              </w:rPr>
              <w:t>(</w:t>
            </w:r>
            <w:r w:rsidRPr="00993936">
              <w:rPr>
                <w:rFonts w:cs="Arial"/>
                <w:i/>
                <w:noProof w:val="0"/>
                <w:lang w:val="es-ES"/>
              </w:rPr>
              <w:t>Leptinotarsa decemlineata</w:t>
            </w:r>
            <w:r w:rsidRPr="00993936">
              <w:rPr>
                <w:rFonts w:cs="Arial"/>
                <w:noProof w:val="0"/>
                <w:lang w:val="es-ES"/>
              </w:rPr>
              <w:t>)</w:t>
            </w:r>
          </w:p>
        </w:tc>
        <w:tc>
          <w:tcPr>
            <w:tcW w:w="1308" w:type="pct"/>
            <w:vMerge w:val="restart"/>
            <w:vAlign w:val="center"/>
          </w:tcPr>
          <w:p w:rsidR="00503A41" w:rsidRPr="00993936" w:rsidRDefault="00503A41" w:rsidP="000452B8">
            <w:pPr>
              <w:pStyle w:val="taula"/>
              <w:rPr>
                <w:rFonts w:cs="Arial"/>
                <w:noProof w:val="0"/>
                <w:lang w:val="es-ES"/>
              </w:rPr>
            </w:pPr>
            <w:r w:rsidRPr="00993936">
              <w:rPr>
                <w:rFonts w:cs="Arial"/>
                <w:noProof w:val="0"/>
                <w:lang w:val="es-ES"/>
              </w:rPr>
              <w:t>15 plantas por parcela o ha (número mínimo 15)</w:t>
            </w: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3 plantas ocupadas por cualquier estadio (huevo, larva, adulto)</w:t>
            </w:r>
          </w:p>
        </w:tc>
        <w:tc>
          <w:tcPr>
            <w:tcW w:w="996"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Pulgones</w:t>
            </w:r>
          </w:p>
        </w:tc>
        <w:tc>
          <w:tcPr>
            <w:tcW w:w="1308" w:type="pct"/>
            <w:vMerge/>
            <w:vAlign w:val="center"/>
          </w:tcPr>
          <w:p w:rsidR="00503A41" w:rsidRPr="00993936" w:rsidRDefault="00503A41" w:rsidP="000452B8">
            <w:pPr>
              <w:pStyle w:val="taula"/>
              <w:rPr>
                <w:rFonts w:cs="Arial"/>
                <w:noProof w:val="0"/>
                <w:lang w:val="es-ES"/>
              </w:rPr>
            </w:pP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4 plantas con pulgón. Si se observan enemigos naturales, esperar el muestreo siguiente</w:t>
            </w:r>
          </w:p>
        </w:tc>
        <w:tc>
          <w:tcPr>
            <w:tcW w:w="996"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Palometa </w:t>
            </w:r>
          </w:p>
          <w:p w:rsidR="00503A41" w:rsidRPr="00993936" w:rsidRDefault="00503A41" w:rsidP="000452B8">
            <w:pPr>
              <w:pStyle w:val="taula"/>
              <w:rPr>
                <w:rFonts w:cs="Arial"/>
                <w:noProof w:val="0"/>
                <w:lang w:val="es-ES"/>
              </w:rPr>
            </w:pPr>
            <w:r w:rsidRPr="00993936">
              <w:rPr>
                <w:rFonts w:cs="Arial"/>
                <w:noProof w:val="0"/>
                <w:lang w:val="es-ES"/>
              </w:rPr>
              <w:t>(</w:t>
            </w:r>
            <w:r w:rsidRPr="00993936">
              <w:rPr>
                <w:rFonts w:cs="Arial"/>
                <w:i/>
                <w:noProof w:val="0"/>
                <w:lang w:val="es-ES"/>
              </w:rPr>
              <w:t>Pthorimaea operculella</w:t>
            </w:r>
            <w:r w:rsidRPr="00993936">
              <w:rPr>
                <w:rFonts w:cs="Arial"/>
                <w:noProof w:val="0"/>
                <w:lang w:val="es-ES"/>
              </w:rPr>
              <w:t>)</w:t>
            </w:r>
          </w:p>
        </w:tc>
        <w:tc>
          <w:tcPr>
            <w:tcW w:w="1308" w:type="pct"/>
            <w:vAlign w:val="center"/>
          </w:tcPr>
          <w:p w:rsidR="00503A41" w:rsidRPr="00993936" w:rsidRDefault="00503A41" w:rsidP="000452B8">
            <w:pPr>
              <w:pStyle w:val="taula"/>
              <w:rPr>
                <w:rFonts w:cs="Arial"/>
                <w:noProof w:val="0"/>
                <w:lang w:val="es-ES"/>
              </w:rPr>
            </w:pPr>
            <w:r w:rsidRPr="00993936">
              <w:rPr>
                <w:rFonts w:cs="Arial"/>
                <w:noProof w:val="0"/>
                <w:lang w:val="es-ES"/>
              </w:rPr>
              <w:t>Seguimiento del vuelo con trampas de feromonas</w:t>
            </w: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Intervenir enprimeras capturas</w:t>
            </w:r>
          </w:p>
        </w:tc>
        <w:tc>
          <w:tcPr>
            <w:tcW w:w="996" w:type="pct"/>
            <w:vAlign w:val="center"/>
          </w:tcPr>
          <w:p w:rsidR="00503A41" w:rsidRPr="00993936" w:rsidRDefault="00503A41" w:rsidP="000452B8">
            <w:pPr>
              <w:pStyle w:val="taula"/>
              <w:rPr>
                <w:rFonts w:cs="Arial"/>
                <w:noProof w:val="0"/>
                <w:lang w:val="es-ES"/>
              </w:rPr>
            </w:pPr>
            <w:r w:rsidRPr="00993936">
              <w:rPr>
                <w:rFonts w:cs="Arial"/>
                <w:noProof w:val="0"/>
                <w:lang w:val="es-ES"/>
              </w:rPr>
              <w:t>Evitar grietas en el surco por secamiento del suelo.</w:t>
            </w:r>
          </w:p>
          <w:p w:rsidR="00503A41" w:rsidRPr="00993936" w:rsidRDefault="00503A41" w:rsidP="000452B8">
            <w:pPr>
              <w:pStyle w:val="taula"/>
              <w:rPr>
                <w:rFonts w:cs="Arial"/>
                <w:noProof w:val="0"/>
                <w:lang w:val="es-ES"/>
              </w:rPr>
            </w:pPr>
            <w:r w:rsidRPr="00993936">
              <w:rPr>
                <w:rFonts w:cs="Arial"/>
                <w:noProof w:val="0"/>
                <w:lang w:val="es-ES"/>
              </w:rPr>
              <w:t>Asegurar que las patatas estén bien enterradas.</w:t>
            </w:r>
          </w:p>
          <w:p w:rsidR="00503A41" w:rsidRPr="00993936" w:rsidRDefault="00503A41" w:rsidP="000452B8">
            <w:pPr>
              <w:pStyle w:val="taula"/>
              <w:rPr>
                <w:rFonts w:cs="Arial"/>
                <w:noProof w:val="0"/>
                <w:lang w:val="es-ES"/>
              </w:rPr>
            </w:pPr>
            <w:r w:rsidRPr="00993936">
              <w:rPr>
                <w:rFonts w:cs="Arial"/>
                <w:noProof w:val="0"/>
                <w:lang w:val="es-ES"/>
              </w:rPr>
              <w:t>Cosechar las patatas lo más rápido posible</w:t>
            </w: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Gusano del alambre </w:t>
            </w:r>
          </w:p>
          <w:p w:rsidR="00503A41" w:rsidRPr="00993936" w:rsidRDefault="00503A41" w:rsidP="000452B8">
            <w:pPr>
              <w:pStyle w:val="taula"/>
              <w:rPr>
                <w:rFonts w:cs="Arial"/>
                <w:noProof w:val="0"/>
                <w:lang w:val="es-ES"/>
              </w:rPr>
            </w:pPr>
            <w:r w:rsidRPr="00993936">
              <w:rPr>
                <w:rFonts w:cs="Arial"/>
                <w:noProof w:val="0"/>
                <w:lang w:val="es-ES"/>
              </w:rPr>
              <w:t>(</w:t>
            </w:r>
            <w:r w:rsidRPr="00993936">
              <w:rPr>
                <w:rFonts w:cs="Arial"/>
                <w:i/>
                <w:noProof w:val="0"/>
                <w:lang w:val="es-ES"/>
              </w:rPr>
              <w:t>Agriotis</w:t>
            </w:r>
            <w:r w:rsidRPr="00993936">
              <w:rPr>
                <w:rFonts w:cs="Arial"/>
                <w:noProof w:val="0"/>
                <w:lang w:val="es-ES"/>
              </w:rPr>
              <w:t xml:space="preserve"> sp.) y gusanos dormidores (</w:t>
            </w:r>
            <w:r w:rsidRPr="00993936">
              <w:rPr>
                <w:rFonts w:cs="Arial"/>
                <w:i/>
                <w:noProof w:val="0"/>
                <w:lang w:val="es-ES"/>
              </w:rPr>
              <w:t>Agrotis</w:t>
            </w:r>
            <w:r w:rsidRPr="00993936">
              <w:rPr>
                <w:rFonts w:cs="Arial"/>
                <w:noProof w:val="0"/>
                <w:lang w:val="es-ES"/>
              </w:rPr>
              <w:t xml:space="preserve"> sp.)</w:t>
            </w:r>
          </w:p>
        </w:tc>
        <w:tc>
          <w:tcPr>
            <w:tcW w:w="1308" w:type="pct"/>
            <w:vMerge w:val="restart"/>
            <w:vAlign w:val="center"/>
          </w:tcPr>
          <w:p w:rsidR="00503A41" w:rsidRPr="00993936" w:rsidRDefault="00503A41" w:rsidP="000452B8">
            <w:pPr>
              <w:pStyle w:val="taula"/>
              <w:rPr>
                <w:rFonts w:cs="Arial"/>
                <w:noProof w:val="0"/>
                <w:lang w:val="es-ES"/>
              </w:rPr>
            </w:pPr>
            <w:r w:rsidRPr="00993936">
              <w:rPr>
                <w:rFonts w:cs="Arial"/>
                <w:noProof w:val="0"/>
                <w:lang w:val="es-ES"/>
              </w:rPr>
              <w:t>15 plantas por parcela o hectárea (número mínimo 15)</w:t>
            </w:r>
          </w:p>
          <w:p w:rsidR="00503A41" w:rsidRPr="00993936" w:rsidRDefault="00503A41" w:rsidP="000452B8">
            <w:pPr>
              <w:pStyle w:val="taula"/>
              <w:rPr>
                <w:rFonts w:cs="Arial"/>
                <w:noProof w:val="0"/>
                <w:lang w:val="es-ES"/>
              </w:rPr>
            </w:pPr>
            <w:r w:rsidRPr="00993936">
              <w:rPr>
                <w:rFonts w:cs="Arial"/>
                <w:noProof w:val="0"/>
                <w:lang w:val="es-ES"/>
              </w:rPr>
              <w:t>15 plantas por parcela o ha (número mínimo 15)</w:t>
            </w:r>
          </w:p>
          <w:p w:rsidR="00503A41" w:rsidRPr="00993936" w:rsidRDefault="00503A41" w:rsidP="000452B8">
            <w:pPr>
              <w:pStyle w:val="titolcontinuaci"/>
              <w:jc w:val="left"/>
              <w:outlineLvl w:val="0"/>
              <w:rPr>
                <w:rFonts w:cs="Arial"/>
                <w:noProof w:val="0"/>
                <w:lang w:val="es-ES"/>
              </w:rPr>
            </w:pP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 en cultivos anteriores</w:t>
            </w:r>
          </w:p>
        </w:tc>
        <w:tc>
          <w:tcPr>
            <w:tcW w:w="996" w:type="pct"/>
            <w:vMerge w:val="restar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Lepidópteros Defoliadores</w:t>
            </w:r>
          </w:p>
        </w:tc>
        <w:tc>
          <w:tcPr>
            <w:tcW w:w="1308" w:type="pct"/>
            <w:vMerge/>
            <w:vAlign w:val="center"/>
          </w:tcPr>
          <w:p w:rsidR="00503A41" w:rsidRPr="00993936" w:rsidRDefault="00503A41" w:rsidP="000452B8">
            <w:pPr>
              <w:pStyle w:val="titolcontinuaci"/>
              <w:jc w:val="left"/>
              <w:outlineLvl w:val="0"/>
              <w:rPr>
                <w:rFonts w:cs="Arial"/>
                <w:noProof w:val="0"/>
                <w:lang w:val="es-ES"/>
              </w:rPr>
            </w:pP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5 plantas con larvas o huevos</w:t>
            </w:r>
          </w:p>
        </w:tc>
        <w:tc>
          <w:tcPr>
            <w:tcW w:w="996"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Alacrán cebollero </w:t>
            </w:r>
          </w:p>
          <w:p w:rsidR="00503A41" w:rsidRPr="00993936" w:rsidRDefault="00503A41" w:rsidP="000452B8">
            <w:pPr>
              <w:pStyle w:val="taula"/>
              <w:rPr>
                <w:rFonts w:cs="Arial"/>
                <w:noProof w:val="0"/>
                <w:lang w:val="es-ES"/>
              </w:rPr>
            </w:pPr>
            <w:r w:rsidRPr="00993936">
              <w:rPr>
                <w:rFonts w:cs="Arial"/>
                <w:noProof w:val="0"/>
                <w:lang w:val="es-ES"/>
              </w:rPr>
              <w:t>(</w:t>
            </w:r>
            <w:r w:rsidRPr="00993936">
              <w:rPr>
                <w:rFonts w:cs="Arial"/>
                <w:i/>
                <w:noProof w:val="0"/>
                <w:lang w:val="es-ES"/>
              </w:rPr>
              <w:t>Gryllotalpa gryllotalpa</w:t>
            </w:r>
            <w:r w:rsidRPr="00993936">
              <w:rPr>
                <w:rFonts w:cs="Arial"/>
                <w:noProof w:val="0"/>
                <w:lang w:val="es-ES"/>
              </w:rPr>
              <w:t>)</w:t>
            </w:r>
          </w:p>
        </w:tc>
        <w:tc>
          <w:tcPr>
            <w:tcW w:w="1308" w:type="pct"/>
            <w:vMerge/>
            <w:vAlign w:val="center"/>
          </w:tcPr>
          <w:p w:rsidR="00503A41" w:rsidRPr="00993936" w:rsidRDefault="00503A41" w:rsidP="000452B8">
            <w:pPr>
              <w:pStyle w:val="titolcontinuaci"/>
              <w:jc w:val="left"/>
              <w:outlineLvl w:val="0"/>
              <w:rPr>
                <w:rFonts w:cs="Arial"/>
                <w:noProof w:val="0"/>
                <w:lang w:val="es-ES"/>
              </w:rPr>
            </w:pP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w:t>
            </w:r>
          </w:p>
        </w:tc>
        <w:tc>
          <w:tcPr>
            <w:tcW w:w="996"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Mildiu</w:t>
            </w:r>
          </w:p>
        </w:tc>
        <w:tc>
          <w:tcPr>
            <w:tcW w:w="1308" w:type="pct"/>
            <w:vMerge/>
            <w:vAlign w:val="center"/>
          </w:tcPr>
          <w:p w:rsidR="00503A41" w:rsidRPr="00993936" w:rsidRDefault="00503A41" w:rsidP="000452B8">
            <w:pPr>
              <w:pStyle w:val="titolcontinuaci"/>
              <w:jc w:val="left"/>
              <w:outlineLvl w:val="0"/>
              <w:rPr>
                <w:rFonts w:cs="Arial"/>
                <w:noProof w:val="0"/>
                <w:lang w:val="es-ES"/>
              </w:rPr>
            </w:pP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De acuerdo con previsiones de modelos, condiciones favorables o aparición de síntomas en algún campo de la zona</w:t>
            </w:r>
          </w:p>
        </w:tc>
        <w:tc>
          <w:tcPr>
            <w:tcW w:w="996"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itolcontinuaci"/>
              <w:spacing w:line="240" w:lineRule="auto"/>
              <w:jc w:val="left"/>
              <w:outlineLvl w:val="0"/>
              <w:rPr>
                <w:rFonts w:cs="Arial"/>
                <w:b w:val="0"/>
                <w:i/>
                <w:caps w:val="0"/>
                <w:noProof w:val="0"/>
                <w:sz w:val="16"/>
                <w:lang w:val="es-ES"/>
              </w:rPr>
            </w:pPr>
            <w:r w:rsidRPr="00993936">
              <w:rPr>
                <w:rFonts w:cs="Arial"/>
                <w:b w:val="0"/>
                <w:caps w:val="0"/>
                <w:noProof w:val="0"/>
                <w:sz w:val="16"/>
                <w:lang w:val="es-ES"/>
              </w:rPr>
              <w:t>Alternaria</w:t>
            </w:r>
          </w:p>
        </w:tc>
        <w:tc>
          <w:tcPr>
            <w:tcW w:w="1308" w:type="pct"/>
            <w:vMerge/>
            <w:vAlign w:val="center"/>
          </w:tcPr>
          <w:p w:rsidR="00503A41" w:rsidRPr="00993936" w:rsidRDefault="00503A41" w:rsidP="000452B8">
            <w:pPr>
              <w:pStyle w:val="titolcontinuaci"/>
              <w:spacing w:line="240" w:lineRule="auto"/>
              <w:jc w:val="left"/>
              <w:outlineLvl w:val="0"/>
              <w:rPr>
                <w:rFonts w:cs="Arial"/>
                <w:b w:val="0"/>
                <w:i/>
                <w:caps w:val="0"/>
                <w:noProof w:val="0"/>
                <w:sz w:val="16"/>
                <w:lang w:val="es-ES"/>
              </w:rPr>
            </w:pPr>
          </w:p>
        </w:tc>
        <w:tc>
          <w:tcPr>
            <w:tcW w:w="1328" w:type="pct"/>
            <w:vMerge w:val="restart"/>
            <w:vAlign w:val="center"/>
          </w:tcPr>
          <w:p w:rsidR="00503A41" w:rsidRPr="00993936" w:rsidRDefault="00503A41" w:rsidP="000452B8">
            <w:pPr>
              <w:pStyle w:val="titolcontinuaci"/>
              <w:spacing w:line="240" w:lineRule="auto"/>
              <w:jc w:val="left"/>
              <w:outlineLvl w:val="0"/>
              <w:rPr>
                <w:rFonts w:cs="Arial"/>
                <w:b w:val="0"/>
                <w:i/>
                <w:caps w:val="0"/>
                <w:noProof w:val="0"/>
                <w:sz w:val="16"/>
                <w:lang w:val="es-ES"/>
              </w:rPr>
            </w:pPr>
            <w:r w:rsidRPr="00993936">
              <w:rPr>
                <w:rFonts w:cs="Arial"/>
                <w:b w:val="0"/>
                <w:caps w:val="0"/>
                <w:noProof w:val="0"/>
                <w:sz w:val="16"/>
                <w:lang w:val="es-ES"/>
              </w:rPr>
              <w:t>Aparición de síntomas en el campo</w:t>
            </w:r>
          </w:p>
        </w:tc>
        <w:tc>
          <w:tcPr>
            <w:tcW w:w="996"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Rizoctonia, Fusarium </w:t>
            </w:r>
          </w:p>
        </w:tc>
        <w:tc>
          <w:tcPr>
            <w:tcW w:w="1308" w:type="pct"/>
            <w:vMerge/>
            <w:vAlign w:val="center"/>
          </w:tcPr>
          <w:p w:rsidR="00503A41" w:rsidRPr="00993936" w:rsidRDefault="00503A41" w:rsidP="000452B8">
            <w:pPr>
              <w:pStyle w:val="taula"/>
              <w:rPr>
                <w:rFonts w:cs="Arial"/>
                <w:noProof w:val="0"/>
                <w:lang w:val="es-ES"/>
              </w:rPr>
            </w:pPr>
          </w:p>
        </w:tc>
        <w:tc>
          <w:tcPr>
            <w:tcW w:w="1328" w:type="pct"/>
            <w:vMerge/>
            <w:vAlign w:val="center"/>
          </w:tcPr>
          <w:p w:rsidR="00503A41" w:rsidRPr="00993936" w:rsidRDefault="00503A41" w:rsidP="000452B8">
            <w:pPr>
              <w:pStyle w:val="taula"/>
              <w:rPr>
                <w:rFonts w:cs="Arial"/>
                <w:noProof w:val="0"/>
                <w:lang w:val="es-ES"/>
              </w:rPr>
            </w:pPr>
          </w:p>
        </w:tc>
        <w:tc>
          <w:tcPr>
            <w:tcW w:w="996"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Podredumbres </w:t>
            </w:r>
          </w:p>
          <w:p w:rsidR="00503A41" w:rsidRPr="00993936" w:rsidRDefault="00503A41" w:rsidP="000452B8">
            <w:pPr>
              <w:pStyle w:val="taula"/>
              <w:rPr>
                <w:rFonts w:cs="Arial"/>
                <w:noProof w:val="0"/>
                <w:lang w:val="es-ES"/>
              </w:rPr>
            </w:pPr>
            <w:r w:rsidRPr="00993936">
              <w:rPr>
                <w:rFonts w:cs="Arial"/>
                <w:noProof w:val="0"/>
                <w:lang w:val="es-ES"/>
              </w:rPr>
              <w:t>(Botrytis, Sclerotínia)</w:t>
            </w:r>
          </w:p>
        </w:tc>
        <w:tc>
          <w:tcPr>
            <w:tcW w:w="1308" w:type="pct"/>
            <w:vMerge/>
            <w:vAlign w:val="center"/>
          </w:tcPr>
          <w:p w:rsidR="00503A41" w:rsidRPr="00993936" w:rsidRDefault="00503A41" w:rsidP="000452B8">
            <w:pPr>
              <w:pStyle w:val="taula"/>
              <w:rPr>
                <w:rFonts w:cs="Arial"/>
                <w:noProof w:val="0"/>
                <w:lang w:val="es-ES"/>
              </w:rPr>
            </w:pPr>
          </w:p>
        </w:tc>
        <w:tc>
          <w:tcPr>
            <w:tcW w:w="1328" w:type="pct"/>
            <w:vMerge/>
            <w:vAlign w:val="center"/>
          </w:tcPr>
          <w:p w:rsidR="00503A41" w:rsidRPr="00993936" w:rsidRDefault="00503A41" w:rsidP="000452B8">
            <w:pPr>
              <w:pStyle w:val="taula"/>
              <w:rPr>
                <w:rFonts w:cs="Arial"/>
                <w:noProof w:val="0"/>
                <w:lang w:val="es-ES"/>
              </w:rPr>
            </w:pPr>
          </w:p>
        </w:tc>
        <w:tc>
          <w:tcPr>
            <w:tcW w:w="996"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Nemátodos fitopatógenos</w:t>
            </w:r>
          </w:p>
        </w:tc>
        <w:tc>
          <w:tcPr>
            <w:tcW w:w="1308" w:type="pct"/>
            <w:vMerge/>
            <w:vAlign w:val="center"/>
          </w:tcPr>
          <w:p w:rsidR="00503A41" w:rsidRPr="00993936" w:rsidRDefault="00503A41" w:rsidP="000452B8">
            <w:pPr>
              <w:pStyle w:val="taula"/>
              <w:rPr>
                <w:rFonts w:cs="Arial"/>
                <w:noProof w:val="0"/>
                <w:lang w:val="es-ES"/>
              </w:rPr>
            </w:pP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 en cultivos anteriores</w:t>
            </w:r>
          </w:p>
        </w:tc>
        <w:tc>
          <w:tcPr>
            <w:tcW w:w="996" w:type="pct"/>
            <w:vAlign w:val="center"/>
          </w:tcPr>
          <w:p w:rsidR="00503A41" w:rsidRPr="00993936" w:rsidRDefault="00503A41" w:rsidP="000452B8">
            <w:pPr>
              <w:pStyle w:val="taula"/>
              <w:rPr>
                <w:rFonts w:cs="Arial"/>
                <w:noProof w:val="0"/>
                <w:lang w:val="es-ES"/>
              </w:rPr>
            </w:pPr>
            <w:r w:rsidRPr="00993936">
              <w:rPr>
                <w:rFonts w:cs="Arial"/>
                <w:noProof w:val="0"/>
                <w:lang w:val="es-ES"/>
              </w:rPr>
              <w:t>Variedades resistentes, rotaciones.</w:t>
            </w: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Topos</w:t>
            </w:r>
          </w:p>
        </w:tc>
        <w:tc>
          <w:tcPr>
            <w:tcW w:w="1308" w:type="pct"/>
            <w:vMerge/>
            <w:vAlign w:val="center"/>
          </w:tcPr>
          <w:p w:rsidR="00503A41" w:rsidRPr="00993936" w:rsidRDefault="00503A41" w:rsidP="000452B8">
            <w:pPr>
              <w:pStyle w:val="taula"/>
              <w:rPr>
                <w:rFonts w:cs="Arial"/>
                <w:noProof w:val="0"/>
                <w:lang w:val="es-ES"/>
              </w:rPr>
            </w:pP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w:t>
            </w:r>
          </w:p>
        </w:tc>
        <w:tc>
          <w:tcPr>
            <w:tcW w:w="996"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368" w:type="pct"/>
            <w:vAlign w:val="center"/>
          </w:tcPr>
          <w:p w:rsidR="00503A41" w:rsidRPr="00993936" w:rsidRDefault="00503A41" w:rsidP="000452B8">
            <w:pPr>
              <w:pStyle w:val="taula"/>
              <w:rPr>
                <w:rFonts w:cs="Arial"/>
                <w:noProof w:val="0"/>
                <w:lang w:val="es-ES"/>
              </w:rPr>
            </w:pPr>
            <w:r w:rsidRPr="00993936">
              <w:rPr>
                <w:rFonts w:cs="Arial"/>
                <w:noProof w:val="0"/>
                <w:lang w:val="es-ES"/>
              </w:rPr>
              <w:t>Otras plagas y enfermedades</w:t>
            </w:r>
          </w:p>
        </w:tc>
        <w:tc>
          <w:tcPr>
            <w:tcW w:w="1308" w:type="pct"/>
            <w:vMerge/>
            <w:vAlign w:val="center"/>
          </w:tcPr>
          <w:p w:rsidR="00503A41" w:rsidRPr="00993936" w:rsidRDefault="00503A41" w:rsidP="000452B8">
            <w:pPr>
              <w:pStyle w:val="taula"/>
              <w:rPr>
                <w:rFonts w:cs="Arial"/>
                <w:noProof w:val="0"/>
                <w:lang w:val="es-ES"/>
              </w:rPr>
            </w:pPr>
          </w:p>
        </w:tc>
        <w:tc>
          <w:tcPr>
            <w:tcW w:w="1328"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Intervenciones de acuerdo con las prescripciones técnicas </w:t>
            </w:r>
          </w:p>
        </w:tc>
        <w:tc>
          <w:tcPr>
            <w:tcW w:w="996" w:type="pct"/>
            <w:vAlign w:val="center"/>
          </w:tcPr>
          <w:p w:rsidR="00503A41" w:rsidRPr="00993936" w:rsidRDefault="00503A41" w:rsidP="000452B8">
            <w:pPr>
              <w:pStyle w:val="taula"/>
              <w:rPr>
                <w:rFonts w:cs="Arial"/>
                <w:noProof w:val="0"/>
                <w:lang w:val="es-ES"/>
              </w:rPr>
            </w:pPr>
          </w:p>
        </w:tc>
      </w:tr>
    </w:tbl>
    <w:p w:rsidR="00503A41" w:rsidRPr="00993936" w:rsidRDefault="00503A41" w:rsidP="000452B8">
      <w:pPr>
        <w:pStyle w:val="titolcontinuaci"/>
        <w:outlineLvl w:val="0"/>
        <w:rPr>
          <w:rFonts w:cs="Arial"/>
          <w:noProof w:val="0"/>
          <w:lang w:val="es-ES"/>
        </w:rPr>
      </w:pPr>
    </w:p>
    <w:p w:rsidR="00503A41" w:rsidRPr="00993936" w:rsidRDefault="00503A41" w:rsidP="000452B8">
      <w:pPr>
        <w:pStyle w:val="Textoindependiente3"/>
        <w:rPr>
          <w:rFonts w:cs="Arial"/>
          <w:b w:val="0"/>
          <w:szCs w:val="22"/>
          <w:lang w:val="es-ES"/>
        </w:rPr>
      </w:pPr>
      <w:r w:rsidRPr="00993936">
        <w:rPr>
          <w:rFonts w:cs="Arial"/>
          <w:b w:val="0"/>
          <w:szCs w:val="22"/>
          <w:lang w:val="es-ES"/>
        </w:rPr>
        <w:br w:type="page"/>
      </w:r>
      <w:r w:rsidRPr="00993936">
        <w:rPr>
          <w:rFonts w:cs="Arial"/>
          <w:b w:val="0"/>
          <w:szCs w:val="22"/>
          <w:lang w:val="es-ES"/>
        </w:rPr>
        <w:lastRenderedPageBreak/>
        <w:t xml:space="preserve">1.2 Materias activas para la producción integrada de patata, teniendo en cuenta las indicaciones del Cuaderno de explotación y el Programa de control integrado de plagas y enfermedades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tblHeader/>
          <w:jc w:val="center"/>
        </w:trPr>
        <w:tc>
          <w:tcPr>
            <w:tcW w:w="3544" w:type="dxa"/>
            <w:tcBorders>
              <w:top w:val="single" w:sz="4" w:space="0" w:color="auto"/>
            </w:tcBorders>
            <w:shd w:val="pct15" w:color="auto" w:fill="FFFFFF"/>
          </w:tcPr>
          <w:p w:rsidR="00503A41" w:rsidRPr="00993936" w:rsidRDefault="00503A41" w:rsidP="000452B8">
            <w:pPr>
              <w:jc w:val="center"/>
              <w:rPr>
                <w:rFonts w:ascii="Arial" w:hAnsi="Arial" w:cs="Arial"/>
                <w:b/>
                <w:sz w:val="18"/>
                <w:lang w:val="es-ES"/>
              </w:rPr>
            </w:pPr>
            <w:r w:rsidRPr="00993936">
              <w:rPr>
                <w:rFonts w:ascii="Arial" w:hAnsi="Arial" w:cs="Arial"/>
                <w:b/>
                <w:sz w:val="18"/>
                <w:lang w:val="es-ES"/>
              </w:rPr>
              <w:t>Plaga/enfermedad</w:t>
            </w:r>
          </w:p>
        </w:tc>
        <w:tc>
          <w:tcPr>
            <w:tcW w:w="5440" w:type="dxa"/>
            <w:tcBorders>
              <w:top w:val="single" w:sz="4" w:space="0" w:color="auto"/>
            </w:tcBorders>
            <w:shd w:val="pct15" w:color="auto" w:fill="FFFFFF"/>
          </w:tcPr>
          <w:p w:rsidR="00503A41" w:rsidRPr="00993936" w:rsidRDefault="00503A41" w:rsidP="000452B8">
            <w:pPr>
              <w:pStyle w:val="Ttulo1"/>
              <w:jc w:val="center"/>
              <w:rPr>
                <w:rFonts w:ascii="Arial" w:hAnsi="Arial" w:cs="Arial"/>
                <w:b/>
                <w:color w:val="auto"/>
                <w:sz w:val="18"/>
              </w:rPr>
            </w:pPr>
            <w:r w:rsidRPr="00993936">
              <w:rPr>
                <w:rFonts w:ascii="Arial" w:hAnsi="Arial" w:cs="Arial"/>
                <w:b/>
                <w:color w:val="auto"/>
                <w:sz w:val="18"/>
              </w:rPr>
              <w:t>Materias Activas</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t>Escarabajo</w:t>
            </w:r>
            <w:r w:rsidRPr="00993936">
              <w:rPr>
                <w:rFonts w:cs="Arial"/>
                <w:noProof w:val="0"/>
                <w:sz w:val="18"/>
                <w:szCs w:val="18"/>
                <w:lang w:val="es-ES"/>
              </w:rPr>
              <w:t xml:space="preserve"> </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Leptinotarsa decemlineata</w:t>
            </w:r>
          </w:p>
        </w:tc>
        <w:tc>
          <w:tcPr>
            <w:tcW w:w="5440" w:type="dxa"/>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Acetamiprid</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Alfa cipermetrín  </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Bacillus thuringiensis var. tenebrionis</w:t>
            </w:r>
          </w:p>
          <w:p w:rsidR="00503A41" w:rsidRPr="00993936" w:rsidRDefault="00503A41" w:rsidP="000452B8">
            <w:pPr>
              <w:pStyle w:val="taula"/>
              <w:tabs>
                <w:tab w:val="center" w:pos="2650"/>
              </w:tabs>
              <w:rPr>
                <w:rFonts w:cs="Arial"/>
                <w:noProof w:val="0"/>
                <w:sz w:val="18"/>
                <w:szCs w:val="18"/>
                <w:lang w:val="es-ES"/>
              </w:rPr>
            </w:pPr>
            <w:r w:rsidRPr="00993936">
              <w:rPr>
                <w:rFonts w:cs="Arial"/>
                <w:noProof w:val="0"/>
                <w:sz w:val="18"/>
                <w:szCs w:val="18"/>
                <w:lang w:val="es-ES"/>
              </w:rPr>
              <w:t xml:space="preserve">Betaciflutrín  </w:t>
            </w:r>
            <w:r w:rsidRPr="00993936">
              <w:rPr>
                <w:rFonts w:cs="Arial"/>
                <w:noProof w:val="0"/>
                <w:sz w:val="18"/>
                <w:szCs w:val="18"/>
                <w:lang w:val="es-ES"/>
              </w:rPr>
              <w:tab/>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Cipermetrín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Clorantraniliprol</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Clorpirifos (granulado)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Clotianidina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Deltametrín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Espinosad</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Esfenvalerat</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Imidacloprid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Lambda-cihalotrín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Metaflumizona</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Metil-Clorpirifos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Azufre + Cipermetrín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Tiacloprid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Tiametoxam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Zeta-cipermetrín </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Pulgones</w:t>
            </w:r>
          </w:p>
        </w:tc>
        <w:tc>
          <w:tcPr>
            <w:tcW w:w="5440" w:type="dxa"/>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Acetamiprid</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Alfa cipermetrín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Cipermetrín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Clotianidina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Deltametrín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Esfenvalerat</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Imidacloprid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Lambda-cihalotrín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Metil-Clorpirifos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Pimetrozina</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Azufre + Cipermetrín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Tau-fluvanilato (4)</w:t>
            </w:r>
            <w:r w:rsidRPr="00993936" w:rsidDel="00CC0F39">
              <w:rPr>
                <w:rFonts w:cs="Arial"/>
                <w:noProof w:val="0"/>
                <w:sz w:val="18"/>
                <w:szCs w:val="18"/>
                <w:lang w:val="es-ES"/>
              </w:rPr>
              <w:t xml:space="preserve">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Tiacloprid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Tiametoxam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Zeta-cipermetrín  </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 xml:space="preserve">Palometa </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Pthorimaea operculella</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Clorpirifos </w:t>
            </w:r>
            <w:r w:rsidRPr="00993936">
              <w:rPr>
                <w:rFonts w:cs="Arial"/>
                <w:noProof w:val="0"/>
                <w:snapToGrid w:val="0"/>
                <w:sz w:val="18"/>
                <w:szCs w:val="18"/>
                <w:lang w:val="es-ES"/>
              </w:rPr>
              <w:t>(granulado)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Deltametrín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Gusano del alambre y gusanos dormidores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Agriotis</w:t>
            </w:r>
            <w:r w:rsidRPr="00993936">
              <w:rPr>
                <w:rFonts w:cs="Arial"/>
                <w:noProof w:val="0"/>
                <w:sz w:val="18"/>
                <w:szCs w:val="18"/>
                <w:lang w:val="es-ES"/>
              </w:rPr>
              <w:t xml:space="preserve"> sp.</w:t>
            </w:r>
          </w:p>
        </w:tc>
        <w:tc>
          <w:tcPr>
            <w:tcW w:w="5440" w:type="dxa"/>
          </w:tcPr>
          <w:p w:rsidR="00503A41" w:rsidRPr="00993936" w:rsidRDefault="00503A41" w:rsidP="000452B8">
            <w:pPr>
              <w:pStyle w:val="taula"/>
              <w:rPr>
                <w:rFonts w:cs="Arial"/>
                <w:i/>
                <w:noProof w:val="0"/>
                <w:szCs w:val="16"/>
                <w:lang w:val="es-ES"/>
              </w:rPr>
            </w:pPr>
            <w:r w:rsidRPr="00993936">
              <w:rPr>
                <w:rFonts w:cs="Arial"/>
                <w:noProof w:val="0"/>
                <w:sz w:val="18"/>
                <w:szCs w:val="18"/>
                <w:lang w:val="es-ES"/>
              </w:rPr>
              <w:t xml:space="preserve">Azadiractín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Clorpirifos </w:t>
            </w:r>
            <w:r w:rsidRPr="00993936">
              <w:rPr>
                <w:rFonts w:cs="Arial"/>
                <w:noProof w:val="0"/>
                <w:snapToGrid w:val="0"/>
                <w:sz w:val="18"/>
                <w:szCs w:val="18"/>
                <w:lang w:val="es-ES"/>
              </w:rPr>
              <w:t>(granulado)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Etoprofós  (2)</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r>
    </w:tbl>
    <w:p w:rsidR="00503A41" w:rsidRPr="00993936" w:rsidRDefault="00503A41">
      <w:pPr>
        <w:rPr>
          <w:rFonts w:ascii="Arial" w:hAnsi="Arial" w:cs="Arial"/>
          <w:b/>
          <w:lang w:val="es-ES"/>
        </w:rPr>
      </w:pPr>
    </w:p>
    <w:p w:rsidR="00503A41" w:rsidRPr="00993936" w:rsidRDefault="00503A41" w:rsidP="000452B8">
      <w:pPr>
        <w:jc w:val="both"/>
        <w:rPr>
          <w:rFonts w:ascii="Arial" w:hAnsi="Arial" w:cs="Arial"/>
          <w:lang w:val="es-ES"/>
        </w:rPr>
      </w:pPr>
      <w:r w:rsidRPr="00993936">
        <w:rPr>
          <w:rFonts w:ascii="Arial" w:hAnsi="Arial" w:cs="Arial"/>
          <w:b/>
          <w:lang w:val="es-ES"/>
        </w:rPr>
        <w:br w:type="page"/>
      </w:r>
      <w:r w:rsidRPr="00993936">
        <w:rPr>
          <w:rFonts w:ascii="Arial" w:hAnsi="Arial" w:cs="Arial"/>
          <w:b/>
          <w:lang w:val="es-ES"/>
        </w:rPr>
        <w:lastRenderedPageBreak/>
        <w:t>1.2 Materias activas para la producción integrada de patata, teniendo en cuenta las indicaciones del Cuaderno de explotación y el Programa de control integrado de plagas y enfermedades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Lepidópteros Defoliadores</w:t>
            </w:r>
          </w:p>
        </w:tc>
        <w:tc>
          <w:tcPr>
            <w:tcW w:w="5440" w:type="dxa"/>
          </w:tcPr>
          <w:p w:rsidR="00503A41" w:rsidRPr="00993936" w:rsidRDefault="00503A41" w:rsidP="000452B8">
            <w:pPr>
              <w:pStyle w:val="taula"/>
              <w:rPr>
                <w:rFonts w:cs="Arial"/>
                <w:i/>
                <w:noProof w:val="0"/>
                <w:szCs w:val="16"/>
                <w:lang w:val="es-ES"/>
              </w:rPr>
            </w:pPr>
            <w:r w:rsidRPr="00993936">
              <w:rPr>
                <w:rFonts w:cs="Arial"/>
                <w:noProof w:val="0"/>
                <w:sz w:val="18"/>
                <w:szCs w:val="18"/>
                <w:lang w:val="es-ES"/>
              </w:rPr>
              <w:t xml:space="preserve">Azadiractín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Alfa cipermetrín  </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Bacillus thuringiensis var. aizawai</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Bacillus thuringiensis var. kurstaki</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Betaciflutrín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Cipermetrín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Deltametrín   </w:t>
            </w:r>
          </w:p>
          <w:p w:rsidR="00503A41" w:rsidRPr="00993936" w:rsidRDefault="00503A41" w:rsidP="000452B8">
            <w:pPr>
              <w:pStyle w:val="taula"/>
              <w:tabs>
                <w:tab w:val="left" w:pos="1301"/>
              </w:tabs>
              <w:rPr>
                <w:rFonts w:cs="Arial"/>
                <w:noProof w:val="0"/>
                <w:sz w:val="18"/>
                <w:szCs w:val="18"/>
                <w:lang w:val="es-ES"/>
              </w:rPr>
            </w:pPr>
            <w:r w:rsidRPr="00993936">
              <w:rPr>
                <w:rFonts w:cs="Arial"/>
                <w:noProof w:val="0"/>
                <w:sz w:val="18"/>
                <w:szCs w:val="18"/>
                <w:lang w:val="es-ES"/>
              </w:rPr>
              <w:t>Esfenvalerat</w:t>
            </w:r>
            <w:r w:rsidRPr="00993936">
              <w:rPr>
                <w:rFonts w:cs="Arial"/>
                <w:noProof w:val="0"/>
                <w:sz w:val="18"/>
                <w:szCs w:val="18"/>
                <w:lang w:val="es-ES"/>
              </w:rPr>
              <w:tab/>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Lambda-cihalotrín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Tau-fluvanilato  </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t>Alacrán cebollero</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Gryllotalpa gryllotalpa</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p w:rsidR="00503A41" w:rsidRPr="00993936" w:rsidRDefault="00503A41" w:rsidP="000452B8">
            <w:pPr>
              <w:pStyle w:val="taula"/>
              <w:rPr>
                <w:rFonts w:cs="Arial"/>
                <w:dstrike/>
                <w:noProof w:val="0"/>
                <w:sz w:val="18"/>
                <w:szCs w:val="18"/>
                <w:lang w:val="es-ES"/>
              </w:rPr>
            </w:pPr>
            <w:r w:rsidRPr="00993936">
              <w:rPr>
                <w:rFonts w:cs="Arial"/>
                <w:noProof w:val="0"/>
                <w:sz w:val="18"/>
                <w:szCs w:val="18"/>
                <w:lang w:val="es-ES"/>
              </w:rPr>
              <w:t>Teflutrín</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Mildiu</w:t>
            </w:r>
          </w:p>
        </w:tc>
        <w:tc>
          <w:tcPr>
            <w:tcW w:w="5440" w:type="dxa"/>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Ametoctradín + Dimetomorf</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Benalaxil + Cimoxanilo + Folpet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Benalaxil + Cimoxanilo + Mancozeb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Benalaxil + Mancozeb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Benalaxil + Oxicloruro de cobre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Benalaxil-M + Mancozeb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Bentiavalicarb isopropil + Mancozeb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Ciazofamida</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Cimoxanilo + Folpet</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Cimoxanilo + Folpet + Fosetil-al</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Cimoxanilo + Folpet + Oxicloruro de cobre</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Cimoxanilo + Mancozeb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Cimoxanilo + Oxicloruro de cobre +Sulfato cuprocálcico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Cimoxanilo + Sulfato cuprocálcico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Sulfato tribásico de cobre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Folpet</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Fosetil-al+ Mancozeb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Mancoceb + Metalaxil</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Famoxadona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Mancozeb + Fosetil-al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Metiram  </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Cimoxanilo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Clortalonil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Dimetomorf + Mancozeb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Dimetomorf + Piraclostrobín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Fluazinam</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Fluopicalida + Propamocarb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Hidróxido cúprico (4)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 + Metalaxil-M</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Mandipropamida</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Maneb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Metalaxil</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Oxicloruro de cobre</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Óxido cuproso</w:t>
            </w:r>
          </w:p>
          <w:p w:rsidR="00503A41" w:rsidRPr="00993936" w:rsidRDefault="00503A41" w:rsidP="000452B8">
            <w:pPr>
              <w:pStyle w:val="titol"/>
              <w:spacing w:line="240" w:lineRule="auto"/>
              <w:jc w:val="left"/>
              <w:outlineLvl w:val="0"/>
              <w:rPr>
                <w:rFonts w:cs="Arial"/>
                <w:b w:val="0"/>
                <w:caps w:val="0"/>
                <w:noProof w:val="0"/>
                <w:szCs w:val="18"/>
                <w:lang w:val="es-ES"/>
              </w:rPr>
            </w:pPr>
            <w:r w:rsidRPr="00993936">
              <w:rPr>
                <w:rFonts w:cs="Arial"/>
                <w:b w:val="0"/>
                <w:caps w:val="0"/>
                <w:noProof w:val="0"/>
                <w:szCs w:val="18"/>
                <w:lang w:val="es-ES"/>
              </w:rPr>
              <w:t>Propineb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Sulfato cuprocálcico</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Sulfato tribásico de cobre</w:t>
            </w:r>
          </w:p>
          <w:p w:rsidR="00503A41" w:rsidRPr="00993936" w:rsidRDefault="00503A41" w:rsidP="000452B8">
            <w:pPr>
              <w:pStyle w:val="taula"/>
              <w:rPr>
                <w:rFonts w:cs="Arial"/>
                <w:noProof w:val="0"/>
                <w:sz w:val="18"/>
                <w:szCs w:val="18"/>
                <w:u w:val="single"/>
                <w:lang w:val="es-ES"/>
              </w:rPr>
            </w:pPr>
            <w:r w:rsidRPr="00993936">
              <w:rPr>
                <w:rFonts w:cs="Arial"/>
                <w:noProof w:val="0"/>
                <w:sz w:val="18"/>
                <w:szCs w:val="18"/>
                <w:lang w:val="es-ES"/>
              </w:rPr>
              <w:t>Zoxamida + Mancozeb</w:t>
            </w:r>
          </w:p>
        </w:tc>
      </w:tr>
    </w:tbl>
    <w:p w:rsidR="00503A41" w:rsidRPr="00993936" w:rsidRDefault="00503A41">
      <w:pPr>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1.2 Materias activas para la producción integrada de patata, teniendo en cuenta las indicaciones del Cuaderno de explotación y el Programa de control integrado de plagas y enfermedades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jc w:val="center"/>
        </w:trPr>
        <w:tc>
          <w:tcPr>
            <w:tcW w:w="3544" w:type="dxa"/>
            <w:vAlign w:val="center"/>
          </w:tcPr>
          <w:p w:rsidR="00503A41" w:rsidRPr="00993936" w:rsidRDefault="00503A41" w:rsidP="000452B8">
            <w:pPr>
              <w:pStyle w:val="titolcontinuaci"/>
              <w:spacing w:line="240" w:lineRule="auto"/>
              <w:jc w:val="left"/>
              <w:outlineLvl w:val="0"/>
              <w:rPr>
                <w:rFonts w:cs="Arial"/>
                <w:i/>
                <w:caps w:val="0"/>
                <w:noProof w:val="0"/>
                <w:szCs w:val="18"/>
                <w:lang w:val="es-ES"/>
              </w:rPr>
            </w:pPr>
            <w:r w:rsidRPr="00993936">
              <w:rPr>
                <w:rFonts w:cs="Arial"/>
                <w:caps w:val="0"/>
                <w:noProof w:val="0"/>
                <w:szCs w:val="18"/>
                <w:lang w:val="es-ES"/>
              </w:rPr>
              <w:t>Alternaria</w:t>
            </w:r>
          </w:p>
        </w:tc>
        <w:tc>
          <w:tcPr>
            <w:tcW w:w="5440" w:type="dxa"/>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Benalaxil + Cimoxanilo + Mancozeb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Benalaxil + Oxicloruro de cobre  </w:t>
            </w:r>
          </w:p>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Bentiavalicarb isopropil + Mancozeb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Mancozeb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Cimoxanilo + Clortalonil (2)</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Famoxadona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Folpet + Fosetil-al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Folpet + Oxicloruro de cobre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Mancozeb + Oxicloruro de cobre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Metiram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Oxicloruro de cobre + Sulfato cuprocálcico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Cimoxanilo + Sulfato cuprocálcico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Clortalonil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Difenoconazol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Dimetomorf + Mancozeb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Folpet</w:t>
            </w:r>
          </w:p>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Hidróxido cúprico (4)</w:t>
            </w:r>
          </w:p>
          <w:p w:rsidR="00503A41" w:rsidRPr="00993936" w:rsidRDefault="00503A41" w:rsidP="000452B8">
            <w:pPr>
              <w:rPr>
                <w:rFonts w:ascii="Arial" w:hAnsi="Arial" w:cs="Arial"/>
                <w:sz w:val="18"/>
                <w:szCs w:val="18"/>
                <w:lang w:val="es-ES"/>
              </w:rPr>
            </w:pPr>
            <w:r w:rsidRPr="00993936">
              <w:rPr>
                <w:rFonts w:ascii="Arial" w:hAnsi="Arial" w:cs="Arial"/>
                <w:sz w:val="18"/>
                <w:szCs w:val="18"/>
                <w:lang w:val="es-ES"/>
              </w:rPr>
              <w:t>Mancozeb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Mancozeb + Metalaxil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 + Metalaxil-M</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Maneb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Oxicloruro de cobre</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Propineb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Sulfato cuprocálcico</w:t>
            </w:r>
          </w:p>
          <w:p w:rsidR="00503A41" w:rsidRPr="00993936" w:rsidRDefault="00503A41" w:rsidP="000452B8">
            <w:pPr>
              <w:pStyle w:val="taula"/>
              <w:rPr>
                <w:rFonts w:cs="Arial"/>
                <w:b/>
                <w:i/>
                <w:caps/>
                <w:noProof w:val="0"/>
                <w:sz w:val="18"/>
                <w:szCs w:val="18"/>
                <w:lang w:val="es-ES"/>
              </w:rPr>
            </w:pPr>
            <w:r w:rsidRPr="00993936">
              <w:rPr>
                <w:rFonts w:cs="Arial"/>
                <w:noProof w:val="0"/>
                <w:sz w:val="18"/>
                <w:szCs w:val="18"/>
                <w:lang w:val="es-ES"/>
              </w:rPr>
              <w:t>Zoxamida + Mancozeb</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Rizoctonia</w:t>
            </w:r>
          </w:p>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 xml:space="preserve">Fusarium </w:t>
            </w:r>
          </w:p>
        </w:tc>
        <w:tc>
          <w:tcPr>
            <w:tcW w:w="5440" w:type="dxa"/>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Rizoctonia</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Flutolanil (</w:t>
            </w:r>
            <w:r w:rsidRPr="00993936">
              <w:rPr>
                <w:rFonts w:cs="Arial"/>
                <w:noProof w:val="0"/>
                <w:szCs w:val="16"/>
                <w:lang w:val="es-ES"/>
              </w:rPr>
              <w:t>sólo tratamientos semilla patata siembra</w:t>
            </w:r>
            <w:r w:rsidRPr="00993936">
              <w:rPr>
                <w:rFonts w:cs="Arial"/>
                <w:noProof w:val="0"/>
                <w:sz w:val="18"/>
                <w:szCs w:val="18"/>
                <w:lang w:val="es-ES"/>
              </w:rPr>
              <w:t>)</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Metil-tolclofós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Pencicurón </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Fusarium</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Folpet</w:t>
            </w:r>
          </w:p>
          <w:p w:rsidR="00503A41" w:rsidRPr="00993936" w:rsidRDefault="00503A41" w:rsidP="000452B8">
            <w:pPr>
              <w:pStyle w:val="taula"/>
              <w:rPr>
                <w:rFonts w:cs="Arial"/>
                <w:noProof w:val="0"/>
                <w:sz w:val="18"/>
                <w:szCs w:val="18"/>
                <w:lang w:val="es-ES"/>
              </w:rPr>
            </w:pP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noProof w:val="0"/>
                <w:sz w:val="18"/>
                <w:szCs w:val="18"/>
                <w:lang w:val="es-ES"/>
              </w:rPr>
            </w:pPr>
            <w:r w:rsidRPr="00993936">
              <w:rPr>
                <w:rFonts w:cs="Arial"/>
                <w:b/>
                <w:noProof w:val="0"/>
                <w:sz w:val="18"/>
                <w:szCs w:val="18"/>
                <w:lang w:val="es-ES"/>
              </w:rPr>
              <w:t>Podredumbres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Botrytis, Sclerotínia</w:t>
            </w:r>
          </w:p>
        </w:tc>
        <w:tc>
          <w:tcPr>
            <w:tcW w:w="5440" w:type="dxa"/>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Coniothyrium minitans</w:t>
            </w:r>
          </w:p>
          <w:p w:rsidR="00503A41" w:rsidRPr="00993936" w:rsidRDefault="00503A41" w:rsidP="000452B8">
            <w:pPr>
              <w:pStyle w:val="taula"/>
              <w:rPr>
                <w:rFonts w:cs="Arial"/>
                <w:noProof w:val="0"/>
                <w:sz w:val="18"/>
                <w:szCs w:val="18"/>
                <w:lang w:val="es-ES"/>
              </w:rPr>
            </w:pP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Nemátodos fitopatógenos</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Etoprofós  (4)</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Oxamilo (2)</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Topos</w:t>
            </w:r>
          </w:p>
        </w:tc>
        <w:tc>
          <w:tcPr>
            <w:tcW w:w="5440" w:type="dxa"/>
            <w:vAlign w:val="center"/>
          </w:tcPr>
          <w:p w:rsidR="00503A41" w:rsidRPr="00993936" w:rsidRDefault="00503A41" w:rsidP="000452B8">
            <w:pPr>
              <w:pStyle w:val="taula"/>
              <w:rPr>
                <w:rFonts w:cs="Arial"/>
                <w:noProof w:val="0"/>
                <w:sz w:val="18"/>
                <w:szCs w:val="18"/>
                <w:lang w:val="es-ES"/>
              </w:rPr>
            </w:pP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Otras plagas y enfermedades</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Los específicamente utilizados en el cultivo</w:t>
            </w:r>
          </w:p>
        </w:tc>
      </w:tr>
    </w:tbl>
    <w:p w:rsidR="00503A41" w:rsidRPr="00993936" w:rsidRDefault="00503A41" w:rsidP="000452B8">
      <w:pPr>
        <w:jc w:val="both"/>
        <w:rPr>
          <w:rFonts w:ascii="Arial" w:hAnsi="Arial" w:cs="Arial"/>
          <w:lang w:val="es-ES"/>
        </w:rPr>
      </w:pP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pStyle w:val="Ttulo2"/>
        <w:jc w:val="center"/>
        <w:rPr>
          <w:rFonts w:ascii="Arial" w:hAnsi="Arial" w:cs="Arial"/>
          <w:color w:val="auto"/>
          <w:sz w:val="28"/>
          <w:szCs w:val="28"/>
          <w:u w:val="single"/>
          <w:lang w:val="es-ES"/>
        </w:rPr>
      </w:pPr>
      <w:r w:rsidRPr="00993936">
        <w:rPr>
          <w:rFonts w:ascii="Arial" w:hAnsi="Arial" w:cs="Arial"/>
          <w:color w:val="auto"/>
          <w:sz w:val="28"/>
          <w:szCs w:val="28"/>
          <w:u w:val="single"/>
          <w:lang w:val="es-ES"/>
        </w:rPr>
        <w:br w:type="page"/>
      </w:r>
      <w:r w:rsidRPr="00993936">
        <w:rPr>
          <w:rFonts w:ascii="Arial" w:hAnsi="Arial" w:cs="Arial"/>
          <w:color w:val="auto"/>
          <w:sz w:val="28"/>
          <w:szCs w:val="28"/>
          <w:u w:val="single"/>
          <w:lang w:val="es-ES"/>
        </w:rPr>
        <w:lastRenderedPageBreak/>
        <w:t>CULTIVO:  PIMIENTO</w:t>
      </w:r>
    </w:p>
    <w:p w:rsidR="00503A41" w:rsidRPr="00993936" w:rsidRDefault="00503A41" w:rsidP="000452B8">
      <w:pPr>
        <w:jc w:val="center"/>
        <w:rPr>
          <w:rFonts w:ascii="Arial" w:hAnsi="Arial" w:cs="Arial"/>
          <w:b/>
          <w:sz w:val="28"/>
          <w:szCs w:val="28"/>
          <w:u w:val="single"/>
          <w:lang w:val="es-ES"/>
        </w:rPr>
      </w:pPr>
      <w:r w:rsidRPr="00993936">
        <w:rPr>
          <w:rFonts w:ascii="Arial" w:hAnsi="Arial" w:cs="Arial"/>
          <w:b/>
          <w:sz w:val="28"/>
          <w:szCs w:val="28"/>
          <w:u w:val="single"/>
          <w:lang w:val="es-ES"/>
        </w:rPr>
        <w:t xml:space="preserve"> </w:t>
      </w: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4</w:t>
      </w:r>
    </w:p>
    <w:p w:rsidR="00503A41" w:rsidRPr="00993936" w:rsidRDefault="00503A41" w:rsidP="000452B8">
      <w:pPr>
        <w:jc w:val="both"/>
        <w:rPr>
          <w:rFonts w:ascii="Arial" w:hAnsi="Arial" w:cs="Arial"/>
          <w:b/>
          <w:lang w:val="es-ES"/>
        </w:rPr>
      </w:pPr>
      <w:r w:rsidRPr="00993936">
        <w:rPr>
          <w:rFonts w:ascii="Arial" w:hAnsi="Arial" w:cs="Arial"/>
          <w:b/>
          <w:snapToGrid w:val="0"/>
          <w:lang w:val="es-ES"/>
        </w:rPr>
        <w:t>Materias activas de herbicidas para la producción integrada</w:t>
      </w:r>
      <w:r w:rsidRPr="00993936">
        <w:rPr>
          <w:rFonts w:ascii="Arial" w:hAnsi="Arial" w:cs="Arial"/>
          <w:b/>
          <w:snapToGrid w:val="0"/>
          <w:lang w:val="es-ES" w:eastAsia="es-ES"/>
        </w:rPr>
        <w:t xml:space="preserve"> </w:t>
      </w:r>
      <w:r w:rsidRPr="00993936">
        <w:rPr>
          <w:rFonts w:ascii="Arial" w:hAnsi="Arial" w:cs="Arial"/>
          <w:b/>
          <w:lang w:val="es-ES"/>
        </w:rPr>
        <w:t>del pimiento</w:t>
      </w:r>
    </w:p>
    <w:p w:rsidR="00503A41" w:rsidRPr="00993936" w:rsidRDefault="00503A41" w:rsidP="000452B8">
      <w:pPr>
        <w:jc w:val="both"/>
        <w:rPr>
          <w:rFonts w:ascii="Arial" w:hAnsi="Arial" w:cs="Arial"/>
          <w:b/>
          <w:lang w:val="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4984"/>
          <w:jc w:val="center"/>
        </w:trPr>
        <w:tc>
          <w:tcPr>
            <w:tcW w:w="2418" w:type="pct"/>
            <w:vAlign w:val="center"/>
          </w:tcPr>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szCs w:val="18"/>
                <w:lang w:val="es-ES" w:eastAsia="es-ES"/>
              </w:rPr>
            </w:pP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 + Glifosato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Clomazona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Diquat</w:t>
            </w:r>
          </w:p>
          <w:p w:rsidR="00503A41" w:rsidRPr="00993936" w:rsidRDefault="00503A41" w:rsidP="001D205D">
            <w:pPr>
              <w:pStyle w:val="Sinespaciado"/>
              <w:rPr>
                <w:rFonts w:ascii="Arial" w:hAnsi="Arial" w:cs="Arial"/>
                <w:lang w:val="es-ES"/>
              </w:rPr>
            </w:pPr>
            <w:r w:rsidRPr="00993936">
              <w:rPr>
                <w:rFonts w:ascii="Arial" w:hAnsi="Arial" w:cs="Arial"/>
                <w:lang w:val="es-ES"/>
              </w:rPr>
              <w:t>Fluazifop</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Glifosato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Glufosinato </w:t>
            </w:r>
            <w:r w:rsidRPr="00993936">
              <w:rPr>
                <w:rFonts w:ascii="Arial" w:hAnsi="Arial" w:cs="Arial"/>
                <w:lang w:val="es-ES"/>
              </w:rPr>
              <w:t>(2)</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Napropamida</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Pendimetalina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Piridato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Quizalofop-p-etil</w:t>
            </w:r>
          </w:p>
          <w:p w:rsidR="00503A41" w:rsidRPr="00993936" w:rsidRDefault="00503A41" w:rsidP="001D205D">
            <w:pPr>
              <w:pStyle w:val="Sinespaciado"/>
              <w:rPr>
                <w:rFonts w:ascii="Arial" w:hAnsi="Arial" w:cs="Arial"/>
                <w:snapToGrid w:val="0"/>
                <w:lang w:val="es-ES"/>
              </w:rPr>
            </w:pPr>
          </w:p>
        </w:tc>
        <w:tc>
          <w:tcPr>
            <w:tcW w:w="2582" w:type="pct"/>
          </w:tcPr>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lang w:val="es-ES"/>
              </w:rPr>
            </w:pPr>
            <w:r w:rsidRPr="00993936">
              <w:rPr>
                <w:rFonts w:ascii="Arial" w:hAnsi="Arial" w:cs="Arial"/>
                <w:snapToGrid w:val="0"/>
                <w:sz w:val="18"/>
                <w:lang w:val="es-ES"/>
              </w:rPr>
              <w:t>Qué las restricciones numéricas se detallan al final de este documento.</w:t>
            </w:r>
          </w:p>
        </w:tc>
      </w:tr>
    </w:tbl>
    <w:p w:rsidR="00503A41" w:rsidRPr="00993936" w:rsidRDefault="00503A41" w:rsidP="000452B8">
      <w:pPr>
        <w:jc w:val="both"/>
        <w:rPr>
          <w:rFonts w:ascii="Arial" w:hAnsi="Arial" w:cs="Arial"/>
          <w:b/>
          <w:lang w:val="es-ES"/>
        </w:rPr>
      </w:pPr>
    </w:p>
    <w:p w:rsidR="00503A41" w:rsidRPr="00993936" w:rsidRDefault="00503A41" w:rsidP="000452B8">
      <w:pPr>
        <w:pStyle w:val="Textoindependiente3"/>
        <w:rPr>
          <w:rFonts w:cs="Arial"/>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pStyle w:val="judit"/>
        <w:numPr>
          <w:ilvl w:val="0"/>
          <w:numId w:val="88"/>
        </w:numPr>
        <w:spacing w:before="120" w:line="240" w:lineRule="auto"/>
        <w:rPr>
          <w:rFonts w:cs="Arial"/>
          <w:i/>
          <w:sz w:val="22"/>
          <w:szCs w:val="22"/>
          <w:lang w:val="es-ES"/>
        </w:rPr>
      </w:pPr>
      <w:r w:rsidRPr="00993936">
        <w:rPr>
          <w:rFonts w:cs="Arial"/>
          <w:i/>
          <w:sz w:val="22"/>
          <w:szCs w:val="22"/>
          <w:lang w:val="es-ES"/>
        </w:rPr>
        <w:t>Orius laevigatus y O. majusculus</w:t>
      </w:r>
    </w:p>
    <w:p w:rsidR="00503A41" w:rsidRPr="00993936" w:rsidRDefault="00503A41" w:rsidP="009D1A2D">
      <w:pPr>
        <w:pStyle w:val="judit"/>
        <w:numPr>
          <w:ilvl w:val="0"/>
          <w:numId w:val="88"/>
        </w:numPr>
        <w:spacing w:before="120" w:line="240" w:lineRule="auto"/>
        <w:rPr>
          <w:rFonts w:cs="Arial"/>
          <w:i/>
          <w:sz w:val="22"/>
          <w:szCs w:val="22"/>
          <w:lang w:val="es-ES"/>
        </w:rPr>
      </w:pPr>
      <w:r w:rsidRPr="00993936">
        <w:rPr>
          <w:rFonts w:cs="Arial"/>
          <w:i/>
          <w:sz w:val="22"/>
          <w:szCs w:val="22"/>
          <w:lang w:val="es-ES"/>
        </w:rPr>
        <w:t>Eretmocerus mundus.</w:t>
      </w:r>
    </w:p>
    <w:p w:rsidR="00503A41" w:rsidRPr="00993936" w:rsidRDefault="00503A41" w:rsidP="009D1A2D">
      <w:pPr>
        <w:pStyle w:val="judit"/>
        <w:numPr>
          <w:ilvl w:val="0"/>
          <w:numId w:val="88"/>
        </w:numPr>
        <w:spacing w:before="120" w:line="240" w:lineRule="auto"/>
        <w:rPr>
          <w:rFonts w:cs="Arial"/>
          <w:i/>
          <w:sz w:val="22"/>
          <w:szCs w:val="22"/>
          <w:lang w:val="es-ES"/>
        </w:rPr>
      </w:pPr>
      <w:r w:rsidRPr="00993936">
        <w:rPr>
          <w:rFonts w:eastAsia="AdvTimes-i" w:cs="Arial"/>
          <w:i/>
          <w:sz w:val="22"/>
          <w:szCs w:val="22"/>
          <w:lang w:val="es-ES"/>
        </w:rPr>
        <w:t>Á</w:t>
      </w:r>
      <w:r w:rsidRPr="00993936">
        <w:rPr>
          <w:rFonts w:eastAsia="AdvTimes-i" w:cs="Arial"/>
          <w:sz w:val="22"/>
          <w:szCs w:val="22"/>
          <w:lang w:val="es-ES"/>
        </w:rPr>
        <w:t>caros fitoseidos depredadores</w:t>
      </w:r>
    </w:p>
    <w:p w:rsidR="00503A41" w:rsidRPr="00993936" w:rsidRDefault="00503A41" w:rsidP="009D1A2D">
      <w:pPr>
        <w:pStyle w:val="judit"/>
        <w:numPr>
          <w:ilvl w:val="0"/>
          <w:numId w:val="88"/>
        </w:numPr>
        <w:spacing w:before="120" w:line="240" w:lineRule="auto"/>
        <w:rPr>
          <w:rFonts w:cs="Arial"/>
          <w:i/>
          <w:sz w:val="22"/>
          <w:szCs w:val="22"/>
          <w:lang w:val="es-ES"/>
        </w:rPr>
      </w:pPr>
      <w:r w:rsidRPr="00993936">
        <w:rPr>
          <w:rFonts w:cs="Arial"/>
          <w:sz w:val="22"/>
          <w:szCs w:val="22"/>
          <w:lang w:val="es-ES"/>
        </w:rPr>
        <w:t>Parasitoides de pulgones</w:t>
      </w:r>
    </w:p>
    <w:p w:rsidR="00503A41" w:rsidRPr="00993936" w:rsidRDefault="00503A41" w:rsidP="000452B8">
      <w:pPr>
        <w:rPr>
          <w:rFonts w:ascii="Arial" w:hAnsi="Arial" w:cs="Arial"/>
          <w:snapToGrid w:val="0"/>
          <w:lang w:val="es-ES" w:eastAsia="es-ES"/>
        </w:rPr>
      </w:pPr>
    </w:p>
    <w:p w:rsidR="00503A41" w:rsidRPr="00993936" w:rsidRDefault="00503A41" w:rsidP="000452B8">
      <w:pPr>
        <w:pStyle w:val="Ttulo1"/>
        <w:spacing w:before="120"/>
        <w:rPr>
          <w:rFonts w:ascii="Arial" w:hAnsi="Arial" w:cs="Arial"/>
          <w:b/>
          <w:color w:val="auto"/>
          <w:sz w:val="22"/>
          <w:szCs w:val="22"/>
        </w:rPr>
      </w:pPr>
      <w:r w:rsidRPr="00993936">
        <w:rPr>
          <w:rFonts w:ascii="Arial" w:hAnsi="Arial" w:cs="Arial"/>
          <w:b/>
          <w:caps/>
          <w:color w:val="auto"/>
          <w:sz w:val="22"/>
          <w:szCs w:val="22"/>
        </w:rPr>
        <w:t>ANEXO 6</w:t>
      </w:r>
    </w:p>
    <w:p w:rsidR="00503A41" w:rsidRPr="00993936" w:rsidRDefault="00503A41" w:rsidP="000452B8">
      <w:pPr>
        <w:pStyle w:val="Textoindependiente"/>
        <w:spacing w:before="120"/>
        <w:rPr>
          <w:rFonts w:cs="Arial"/>
          <w:b/>
          <w:szCs w:val="22"/>
          <w:lang w:val="es-ES"/>
        </w:rPr>
      </w:pPr>
      <w:r w:rsidRPr="00993936">
        <w:rPr>
          <w:rFonts w:cs="Arial"/>
          <w:b/>
          <w:szCs w:val="22"/>
          <w:lang w:val="es-ES"/>
        </w:rPr>
        <w:t>Programas de control fitosanitario</w:t>
      </w:r>
    </w:p>
    <w:p w:rsidR="00503A41" w:rsidRPr="00993936" w:rsidRDefault="00503A41" w:rsidP="000452B8">
      <w:pPr>
        <w:pStyle w:val="Textoindependiente"/>
        <w:spacing w:before="120"/>
        <w:rPr>
          <w:rFonts w:cs="Arial"/>
          <w:szCs w:val="22"/>
          <w:lang w:val="es-ES"/>
        </w:rPr>
      </w:pPr>
      <w:r w:rsidRPr="00993936">
        <w:rPr>
          <w:rFonts w:cs="Arial"/>
          <w:szCs w:val="22"/>
          <w:lang w:val="es-ES"/>
        </w:rPr>
        <w:t>Para poder aplicar estos programas con éxito, es imprescindible aplicar unas buenas medidas culturales con el objetivo de iniciar el cultivo con plantas con ausencia</w:t>
      </w:r>
      <w:r w:rsidRPr="00993936">
        <w:rPr>
          <w:rFonts w:cs="Arial"/>
          <w:vanish/>
          <w:szCs w:val="22"/>
          <w:lang w:val="es-ES"/>
        </w:rPr>
        <w:t>&lt;A[limpias|netas]&gt;</w:t>
      </w:r>
      <w:r w:rsidRPr="00993936">
        <w:rPr>
          <w:rFonts w:cs="Arial"/>
          <w:szCs w:val="22"/>
          <w:lang w:val="es-ES"/>
        </w:rPr>
        <w:t xml:space="preserve"> de plagas y enfermedades, disminuir su entrada en el cultivo y la posterior proliferación.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Hay un programa específico para el cultivo, que se recoge en el Cuadro nº. 1 de este Anexo. </w:t>
      </w:r>
    </w:p>
    <w:p w:rsidR="00503A41" w:rsidRPr="00993936" w:rsidRDefault="00503A41" w:rsidP="000452B8">
      <w:pPr>
        <w:pStyle w:val="Textoindependiente"/>
        <w:spacing w:before="120"/>
        <w:rPr>
          <w:rFonts w:cs="Arial"/>
          <w:szCs w:val="22"/>
          <w:lang w:val="es-ES"/>
        </w:rPr>
      </w:pPr>
      <w:r w:rsidRPr="00993936">
        <w:rPr>
          <w:rFonts w:cs="Arial"/>
          <w:szCs w:val="22"/>
          <w:lang w:val="es-ES"/>
        </w:rPr>
        <w:lastRenderedPageBreak/>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Como método de control de las diferentes plagas, se dará prioridad al control biológico, </w:t>
      </w:r>
      <w:r w:rsidRPr="00993936">
        <w:rPr>
          <w:rFonts w:cs="Arial"/>
          <w:lang w:val="es-ES"/>
        </w:rPr>
        <w:t>biotecnológico, medidas culturales y medios físicos</w:t>
      </w:r>
      <w:r w:rsidRPr="00993936">
        <w:rPr>
          <w:rFonts w:cs="Arial"/>
          <w:szCs w:val="22"/>
          <w:lang w:val="es-ES"/>
        </w:rPr>
        <w:t xml:space="preserve">. Únicamente cuando se supere el umbral de intervención estará justificado el tratamiento con alguno de los productos autorizados por aquella plaga o enfermedad. </w:t>
      </w:r>
    </w:p>
    <w:p w:rsidR="00503A41" w:rsidRPr="00993936" w:rsidRDefault="00503A41" w:rsidP="000452B8">
      <w:pPr>
        <w:pStyle w:val="Textoindependiente"/>
        <w:spacing w:before="120"/>
        <w:rPr>
          <w:rFonts w:cs="Arial"/>
          <w:szCs w:val="22"/>
          <w:lang w:val="es-ES"/>
        </w:rPr>
      </w:pPr>
      <w:r w:rsidRPr="00993936">
        <w:rPr>
          <w:rFonts w:cs="Arial"/>
          <w:szCs w:val="22"/>
          <w:lang w:val="es-ES"/>
        </w:rPr>
        <w:t>En caso que el técnico detectara alguna plaga o enfermedad no explícitamente prevista en el Cuadro correspondiente, y que según su criterio pudiera producir pérdidas en el cultivo, es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szCs w:val="22"/>
          <w:lang w:val="es-ES"/>
        </w:rPr>
      </w:pPr>
      <w:r w:rsidRPr="00993936">
        <w:rPr>
          <w:rFonts w:cs="Arial"/>
          <w:szCs w:val="22"/>
          <w:lang w:val="es-ES"/>
        </w:rPr>
        <w:t>Además de los muestreos específicos propuestos en los Cuadros de Control Fitosanitario, se hará una observación general del cultivo que permita estimar</w:t>
      </w:r>
      <w:r w:rsidRPr="00993936">
        <w:rPr>
          <w:rFonts w:cs="Arial"/>
          <w:vanish/>
          <w:szCs w:val="22"/>
          <w:lang w:val="es-ES"/>
        </w:rPr>
        <w:t>&lt;A[amar|estimar]&gt;</w:t>
      </w:r>
      <w:r w:rsidRPr="00993936">
        <w:rPr>
          <w:rFonts w:cs="Arial"/>
          <w:szCs w:val="22"/>
          <w:lang w:val="es-ES"/>
        </w:rPr>
        <w:t xml:space="preserve"> su estado general, así como la presencia de plagas y/o enfermedades. Los recuentos y las observaciones, y también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993936">
        <w:rPr>
          <w:rFonts w:cs="Arial"/>
          <w:vanish/>
          <w:szCs w:val="22"/>
          <w:lang w:val="es-ES"/>
        </w:rPr>
        <w:t>&lt;A[empleo|ocupación]&gt;</w:t>
      </w:r>
      <w:r w:rsidRPr="00993936">
        <w:rPr>
          <w:rFonts w:cs="Arial"/>
          <w:szCs w:val="22"/>
          <w:lang w:val="es-ES"/>
        </w:rPr>
        <w:t>) o la infestación media cuando sea requerida. También se calculará el porcentaje de plantas que presentan fauna útil asociada a cada una de las plagas.</w:t>
      </w:r>
    </w:p>
    <w:p w:rsidR="00503A41" w:rsidRPr="00993936" w:rsidRDefault="00503A41" w:rsidP="000452B8">
      <w:pPr>
        <w:pStyle w:val="Textoindependiente"/>
        <w:spacing w:before="120"/>
        <w:rPr>
          <w:rFonts w:cs="Arial"/>
          <w:szCs w:val="22"/>
          <w:lang w:val="es-ES"/>
        </w:rPr>
      </w:pPr>
      <w:r w:rsidRPr="00993936">
        <w:rPr>
          <w:rFonts w:cs="Arial"/>
          <w:szCs w:val="22"/>
          <w:lang w:val="es-ES"/>
        </w:rPr>
        <w:t>Los métodos de muestreo y los umbrales de intervención en los casos previstos son los que figuran en el Cuadro 1 de este anexo.  Cuando</w:t>
      </w:r>
      <w:r w:rsidRPr="00993936">
        <w:rPr>
          <w:rFonts w:cs="Arial"/>
          <w:vanish/>
          <w:szCs w:val="22"/>
          <w:lang w:val="es-ES"/>
        </w:rPr>
        <w:t>&lt;A[Cuando|Cuándo]&gt;</w:t>
      </w:r>
      <w:r w:rsidRPr="00993936">
        <w:rPr>
          <w:rFonts w:cs="Arial"/>
          <w:szCs w:val="22"/>
          <w:lang w:val="es-ES"/>
        </w:rPr>
        <w:t xml:space="preserve"> haya que hacer un tratamiento fitosanitario los productos a utilizar se escogerán dentro de los que figuran en el Cuadro 1.2 de este Anexo.</w:t>
      </w:r>
    </w:p>
    <w:p w:rsidR="00503A41" w:rsidRPr="00993936" w:rsidRDefault="00503A41" w:rsidP="000452B8">
      <w:pPr>
        <w:pStyle w:val="Textoindependiente"/>
        <w:spacing w:before="120"/>
        <w:rPr>
          <w:rFonts w:cs="Arial"/>
          <w:szCs w:val="22"/>
          <w:lang w:val="es-ES"/>
        </w:rPr>
      </w:pPr>
    </w:p>
    <w:p w:rsidR="00503A41" w:rsidRPr="00993936" w:rsidRDefault="00503A41" w:rsidP="000452B8">
      <w:pPr>
        <w:pStyle w:val="Ttulo5"/>
        <w:spacing w:before="120"/>
        <w:rPr>
          <w:rFonts w:ascii="Arial" w:hAnsi="Arial" w:cs="Arial"/>
          <w:i/>
          <w:color w:val="auto"/>
          <w:lang w:val="es-ES"/>
        </w:rPr>
      </w:pPr>
      <w:r w:rsidRPr="00993936">
        <w:rPr>
          <w:rFonts w:ascii="Arial" w:hAnsi="Arial" w:cs="Arial"/>
          <w:color w:val="auto"/>
          <w:lang w:val="es-ES"/>
        </w:rPr>
        <w:t>6.1.</w:t>
      </w:r>
      <w:r w:rsidRPr="00993936">
        <w:rPr>
          <w:rFonts w:ascii="Arial" w:hAnsi="Arial" w:cs="Arial"/>
          <w:color w:val="auto"/>
          <w:lang w:val="es-ES"/>
        </w:rPr>
        <w:tab/>
        <w:t>Pulgón (PG)</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columna correspondiente (PG) se anotará la ausencia (-), la presencia de colonias aisladas (1) o si el ataque es importante y está más o menos generalizado en toda la planta (2). Siempre que sea posible, el tratamiento se hará en los focos o grupos de plantas afectados.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6.2.</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extoindependiente"/>
        <w:spacing w:before="120"/>
        <w:outlineLvl w:val="0"/>
        <w:rPr>
          <w:rFonts w:cs="Arial"/>
          <w:b/>
          <w:szCs w:val="22"/>
          <w:lang w:val="es-ES"/>
        </w:rPr>
      </w:pPr>
      <w:r w:rsidRPr="00993936">
        <w:rPr>
          <w:rFonts w:cs="Arial"/>
          <w:b/>
          <w:szCs w:val="22"/>
          <w:lang w:val="es-ES"/>
        </w:rPr>
        <w:t xml:space="preserve">6.3. Trips (TRIPS) </w:t>
      </w:r>
    </w:p>
    <w:p w:rsidR="00503A41" w:rsidRPr="00993936" w:rsidRDefault="00503A41" w:rsidP="000452B8">
      <w:pPr>
        <w:pStyle w:val="Textoindependiente"/>
        <w:spacing w:before="120"/>
        <w:rPr>
          <w:rFonts w:cs="Arial"/>
          <w:szCs w:val="22"/>
          <w:lang w:val="es-ES"/>
        </w:rPr>
      </w:pPr>
      <w:r w:rsidRPr="00993936">
        <w:rPr>
          <w:rFonts w:cs="Arial"/>
          <w:szCs w:val="22"/>
          <w:lang w:val="es-ES"/>
        </w:rPr>
        <w:lastRenderedPageBreak/>
        <w:t xml:space="preserve">En los muestreos se anotará la ausencia (-) o la presencia o número de larvas (L), adultos (A) y daños (D) de trips según las directrices del Cuadro de Control Fitosanitario. En aquellas zonas donde el virus del bronceado del tomate (TSWV) es un problema importante, se tendrá en cuenta la incidencia de esta enfermedad en la decisión a adoptar. </w:t>
      </w:r>
    </w:p>
    <w:p w:rsidR="00503A41" w:rsidRPr="00993936" w:rsidRDefault="00503A41" w:rsidP="000452B8">
      <w:pPr>
        <w:pStyle w:val="Textoindependiente"/>
        <w:spacing w:before="120"/>
        <w:rPr>
          <w:rFonts w:cs="Arial"/>
          <w:szCs w:val="22"/>
          <w:lang w:val="es-ES"/>
        </w:rPr>
      </w:pPr>
      <w:r w:rsidRPr="00993936">
        <w:rPr>
          <w:rFonts w:cs="Arial"/>
          <w:szCs w:val="22"/>
          <w:lang w:val="es-ES"/>
        </w:rPr>
        <w:t>Es particularmente importante seguir todas las medidas culturales que permitan evitar la extensión de la plaga y reducir la incidencia de este virus.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 xml:space="preserve">Ácaros (Araña roja, </w:t>
      </w:r>
      <w:r w:rsidRPr="00993936">
        <w:rPr>
          <w:rFonts w:ascii="Arial" w:hAnsi="Arial" w:cs="Arial"/>
          <w:i/>
          <w:color w:val="auto"/>
          <w:lang w:val="es-ES"/>
        </w:rPr>
        <w:t>Polygotarsonemus latus</w:t>
      </w:r>
      <w:r w:rsidRPr="00993936">
        <w:rPr>
          <w:rFonts w:ascii="Arial" w:hAnsi="Arial" w:cs="Arial"/>
          <w:color w:val="auto"/>
          <w:lang w:val="es-ES"/>
        </w:rPr>
        <w:t>) (ÁCAROS)</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Se evaluará la presencia/ausencia (+/-) de Araña roja en síntomas.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w:t>
      </w:r>
      <w:r w:rsidRPr="00993936">
        <w:rPr>
          <w:rFonts w:cs="Arial"/>
          <w:i/>
          <w:szCs w:val="22"/>
          <w:lang w:val="es-ES"/>
        </w:rPr>
        <w:t>Polygotarsonemus latus</w:t>
      </w:r>
      <w:r w:rsidRPr="00993936">
        <w:rPr>
          <w:rFonts w:cs="Arial"/>
          <w:szCs w:val="22"/>
          <w:lang w:val="es-ES"/>
        </w:rPr>
        <w:t xml:space="preserve">, se anotará la presencia de síntomas (S) de la presencia de este ácaro en los brotes tiernos.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caso de que sea necesario aplicar algún tratamiento para el control de Araña roja o </w:t>
      </w:r>
      <w:r w:rsidRPr="00993936">
        <w:rPr>
          <w:rFonts w:cs="Arial"/>
          <w:i/>
          <w:szCs w:val="22"/>
          <w:lang w:val="es-ES"/>
        </w:rPr>
        <w:t>P. latus</w:t>
      </w:r>
      <w:r w:rsidRPr="00993936">
        <w:rPr>
          <w:rFonts w:cs="Arial"/>
          <w:szCs w:val="22"/>
          <w:lang w:val="es-ES"/>
        </w:rPr>
        <w:t>. Siempre que sea posible, los tratamientos se aplicarán en los focos de cultivo afectado y sus alrededores.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botritis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recogidos en el Cuadro 1.2 de este Anexo.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6.8.</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el Cuadro 1.1 especificando en observaciones la especie objeto del seguimiento. En caso de que aparezca una nueva enfermedad no especificada en el Cuadro de Control Fitosanitario del cultivo,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6.9.</w:t>
      </w:r>
      <w:r w:rsidRPr="00993936">
        <w:rPr>
          <w:rFonts w:ascii="Arial" w:hAnsi="Arial" w:cs="Arial"/>
          <w:color w:val="auto"/>
          <w:lang w:val="es-ES"/>
        </w:rPr>
        <w:tab/>
        <w:t xml:space="preserve">Nemátodos </w:t>
      </w:r>
    </w:p>
    <w:p w:rsidR="00503A41" w:rsidRPr="00993936" w:rsidRDefault="00503A41" w:rsidP="000452B8">
      <w:pPr>
        <w:spacing w:before="120"/>
        <w:jc w:val="both"/>
        <w:rPr>
          <w:rFonts w:ascii="Arial" w:hAnsi="Arial" w:cs="Arial"/>
          <w:b/>
          <w:snapToGrid w:val="0"/>
          <w:lang w:val="es-ES" w:eastAsia="es-ES"/>
        </w:rPr>
      </w:pPr>
      <w:r w:rsidRPr="00993936">
        <w:rPr>
          <w:rFonts w:ascii="Arial" w:hAnsi="Arial" w:cs="Arial"/>
          <w:lang w:val="es-ES"/>
        </w:rPr>
        <w:t>Se escogerán preferentemente variedades resistentes. En caso de que no haya o no sean bien aceptadas por el mercado, se podrán utilizar tratamientos para controlar este problema que aparecen en el Cuadro 1.2 de este Anexo.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rsidR="00503A41" w:rsidRPr="00993936" w:rsidRDefault="00503A41" w:rsidP="000452B8">
      <w:pPr>
        <w:spacing w:before="120"/>
        <w:jc w:val="both"/>
        <w:rPr>
          <w:rFonts w:ascii="Arial" w:hAnsi="Arial" w:cs="Arial"/>
          <w:b/>
          <w:snapToGrid w:val="0"/>
          <w:lang w:val="es-ES" w:eastAsia="es-ES"/>
        </w:rPr>
      </w:pPr>
    </w:p>
    <w:p w:rsidR="00571B14" w:rsidRPr="00993936" w:rsidRDefault="00571B14">
      <w:pPr>
        <w:rPr>
          <w:rFonts w:ascii="Arial" w:eastAsia="Times New Roman" w:hAnsi="Arial" w:cs="Arial"/>
          <w:snapToGrid w:val="0"/>
          <w:lang w:val="es-ES" w:eastAsia="es-ES"/>
        </w:rPr>
      </w:pPr>
      <w:bookmarkStart w:id="13" w:name="_Toc529930357"/>
      <w:r w:rsidRPr="00993936">
        <w:rPr>
          <w:rFonts w:cs="Arial"/>
          <w:b/>
          <w:lang w:val="es-ES"/>
        </w:rPr>
        <w:br w:type="page"/>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lastRenderedPageBreak/>
        <w:t>Cuadro 1.-  Control fitosanitario en Pimiento</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del pimiento.</w:t>
      </w:r>
    </w:p>
    <w:p w:rsidR="00503A41" w:rsidRPr="00993936" w:rsidRDefault="00503A41" w:rsidP="000452B8">
      <w:pPr>
        <w:pStyle w:val="Textoindependiente3"/>
        <w:spacing w:before="120"/>
        <w:rPr>
          <w:rFonts w:cs="Arial"/>
          <w:b w:val="0"/>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00"/>
        <w:gridCol w:w="1912"/>
        <w:gridCol w:w="1941"/>
        <w:gridCol w:w="1335"/>
        <w:gridCol w:w="1456"/>
      </w:tblGrid>
      <w:tr w:rsidR="00503A41" w:rsidRPr="00993936" w:rsidTr="000452B8">
        <w:trPr>
          <w:cantSplit/>
          <w:tblHeader/>
          <w:jc w:val="center"/>
        </w:trPr>
        <w:tc>
          <w:tcPr>
            <w:tcW w:w="1157" w:type="pct"/>
            <w:shd w:val="pct12" w:color="auto" w:fill="FFFFFF"/>
            <w:vAlign w:val="center"/>
          </w:tcPr>
          <w:bookmarkEnd w:id="13"/>
          <w:p w:rsidR="00503A41" w:rsidRPr="00993936" w:rsidRDefault="00503A41" w:rsidP="000452B8">
            <w:pPr>
              <w:pStyle w:val="titolstaula"/>
              <w:rPr>
                <w:rFonts w:cs="Arial"/>
                <w:noProof w:val="0"/>
                <w:lang w:val="es-ES"/>
              </w:rPr>
            </w:pPr>
            <w:r w:rsidRPr="00993936">
              <w:rPr>
                <w:rFonts w:cs="Arial"/>
                <w:noProof w:val="0"/>
                <w:lang w:val="es-ES"/>
              </w:rPr>
              <w:t>PLAGA / ENFERMEDAD</w:t>
            </w:r>
          </w:p>
        </w:tc>
        <w:tc>
          <w:tcPr>
            <w:tcW w:w="1106"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MÉTODO DE EVALUACIÓN DE INCIDENCIA</w:t>
            </w:r>
          </w:p>
        </w:tc>
        <w:tc>
          <w:tcPr>
            <w:tcW w:w="1123"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CRITERIO DE INTERVENCIÓN</w:t>
            </w:r>
          </w:p>
        </w:tc>
        <w:tc>
          <w:tcPr>
            <w:tcW w:w="772"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FAUNA AUXILIAR</w:t>
            </w:r>
          </w:p>
        </w:tc>
        <w:tc>
          <w:tcPr>
            <w:tcW w:w="842"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OTROS MÉTODOS</w:t>
            </w:r>
          </w:p>
          <w:p w:rsidR="00503A41" w:rsidRPr="00993936" w:rsidRDefault="00503A41" w:rsidP="000452B8">
            <w:pPr>
              <w:pStyle w:val="titolstaula"/>
              <w:rPr>
                <w:rFonts w:cs="Arial"/>
                <w:noProof w:val="0"/>
                <w:lang w:val="es-ES"/>
              </w:rPr>
            </w:pPr>
            <w:r w:rsidRPr="00993936">
              <w:rPr>
                <w:rFonts w:cs="Arial"/>
                <w:noProof w:val="0"/>
                <w:lang w:val="es-ES"/>
              </w:rPr>
              <w:t>(culturales, etc.)</w:t>
            </w:r>
          </w:p>
        </w:tc>
      </w:tr>
      <w:tr w:rsidR="00503A41" w:rsidRPr="00993936" w:rsidTr="000452B8">
        <w:trPr>
          <w:cantSplit/>
          <w:jc w:val="center"/>
        </w:trPr>
        <w:tc>
          <w:tcPr>
            <w:tcW w:w="1157"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Pulgones </w:t>
            </w:r>
          </w:p>
          <w:p w:rsidR="00503A41" w:rsidRPr="00993936" w:rsidRDefault="00503A41" w:rsidP="000452B8">
            <w:pPr>
              <w:pStyle w:val="taula"/>
              <w:rPr>
                <w:rFonts w:cs="Arial"/>
                <w:noProof w:val="0"/>
                <w:lang w:val="es-ES"/>
              </w:rPr>
            </w:pPr>
            <w:r w:rsidRPr="00993936">
              <w:rPr>
                <w:rFonts w:cs="Arial"/>
                <w:noProof w:val="0"/>
                <w:lang w:val="es-ES"/>
              </w:rPr>
              <w:t>(</w:t>
            </w:r>
            <w:r w:rsidRPr="00993936">
              <w:rPr>
                <w:rFonts w:cs="Arial"/>
                <w:i/>
                <w:noProof w:val="0"/>
                <w:lang w:val="es-ES"/>
              </w:rPr>
              <w:t>A. gossypii</w:t>
            </w:r>
            <w:r w:rsidRPr="00993936">
              <w:rPr>
                <w:rFonts w:cs="Arial"/>
                <w:noProof w:val="0"/>
                <w:lang w:val="es-ES"/>
              </w:rPr>
              <w:t xml:space="preserve">, </w:t>
            </w:r>
            <w:r w:rsidRPr="00993936">
              <w:rPr>
                <w:rFonts w:cs="Arial"/>
                <w:i/>
                <w:noProof w:val="0"/>
                <w:lang w:val="es-ES"/>
              </w:rPr>
              <w:t>M. persicae</w:t>
            </w:r>
            <w:r w:rsidRPr="00993936">
              <w:rPr>
                <w:rFonts w:cs="Arial"/>
                <w:noProof w:val="0"/>
                <w:lang w:val="es-ES"/>
              </w:rPr>
              <w:t>)</w:t>
            </w:r>
          </w:p>
        </w:tc>
        <w:tc>
          <w:tcPr>
            <w:tcW w:w="1106" w:type="pct"/>
            <w:vMerge w:val="restart"/>
            <w:vAlign w:val="center"/>
          </w:tcPr>
          <w:p w:rsidR="00503A41" w:rsidRPr="00993936" w:rsidRDefault="00503A41" w:rsidP="000452B8">
            <w:pPr>
              <w:pStyle w:val="taula"/>
              <w:rPr>
                <w:rFonts w:cs="Arial"/>
                <w:noProof w:val="0"/>
                <w:lang w:val="es-ES"/>
              </w:rPr>
            </w:pPr>
            <w:r w:rsidRPr="00993936">
              <w:rPr>
                <w:rFonts w:cs="Arial"/>
                <w:noProof w:val="0"/>
                <w:lang w:val="es-ES"/>
              </w:rPr>
              <w:t>Observar 15 plantas por parcela anotando la presencia/ausencia de las plagas y fauna auxiliar presentes. Se observará un brote, una flor y un fruto de cada planta. Se anotará también la presencia/ausencia de síntomas de enfermedades.</w:t>
            </w:r>
          </w:p>
          <w:p w:rsidR="00503A41" w:rsidRPr="00993936" w:rsidRDefault="00503A41" w:rsidP="000452B8">
            <w:pPr>
              <w:pStyle w:val="taula"/>
              <w:jc w:val="center"/>
              <w:rPr>
                <w:rFonts w:cs="Arial"/>
                <w:noProof w:val="0"/>
                <w:lang w:val="es-ES"/>
              </w:rPr>
            </w:pPr>
          </w:p>
          <w:p w:rsidR="00503A41" w:rsidRPr="00993936" w:rsidRDefault="00503A41" w:rsidP="000452B8">
            <w:pPr>
              <w:pStyle w:val="taula"/>
              <w:jc w:val="center"/>
              <w:rPr>
                <w:rFonts w:cs="Arial"/>
                <w:noProof w:val="0"/>
                <w:lang w:val="es-ES"/>
              </w:rPr>
            </w:pPr>
          </w:p>
          <w:p w:rsidR="00503A41" w:rsidRPr="00993936" w:rsidRDefault="00503A41" w:rsidP="000452B8">
            <w:pPr>
              <w:pStyle w:val="taula"/>
              <w:jc w:val="center"/>
              <w:rPr>
                <w:rFonts w:cs="Arial"/>
                <w:noProof w:val="0"/>
                <w:lang w:val="es-ES"/>
              </w:rPr>
            </w:pPr>
          </w:p>
        </w:tc>
        <w:tc>
          <w:tcPr>
            <w:tcW w:w="1123" w:type="pct"/>
            <w:vAlign w:val="center"/>
          </w:tcPr>
          <w:p w:rsidR="00503A41" w:rsidRPr="00993936" w:rsidRDefault="00503A41" w:rsidP="000452B8">
            <w:pPr>
              <w:pStyle w:val="taula"/>
              <w:rPr>
                <w:rFonts w:cs="Arial"/>
                <w:noProof w:val="0"/>
                <w:lang w:val="es-ES"/>
              </w:rPr>
            </w:pPr>
            <w:r w:rsidRPr="00993936">
              <w:rPr>
                <w:rFonts w:cs="Arial"/>
                <w:noProof w:val="0"/>
                <w:lang w:val="es-ES"/>
              </w:rPr>
              <w:t>Primeras colonias</w:t>
            </w:r>
          </w:p>
        </w:tc>
        <w:tc>
          <w:tcPr>
            <w:tcW w:w="772" w:type="pct"/>
            <w:vAlign w:val="center"/>
          </w:tcPr>
          <w:p w:rsidR="00503A41" w:rsidRPr="00993936" w:rsidRDefault="00503A41" w:rsidP="000452B8">
            <w:pPr>
              <w:pStyle w:val="taula"/>
              <w:rPr>
                <w:rFonts w:cs="Arial"/>
                <w:noProof w:val="0"/>
                <w:lang w:val="es-ES"/>
              </w:rPr>
            </w:pPr>
            <w:r w:rsidRPr="00993936">
              <w:rPr>
                <w:rFonts w:cs="Arial"/>
                <w:noProof w:val="0"/>
                <w:lang w:val="es-ES"/>
              </w:rPr>
              <w:t>Parasitoides, depredadores</w:t>
            </w:r>
          </w:p>
        </w:tc>
        <w:tc>
          <w:tcPr>
            <w:tcW w:w="842" w:type="pct"/>
            <w:vMerge w:val="restar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57"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Trips </w:t>
            </w:r>
          </w:p>
          <w:p w:rsidR="00503A41" w:rsidRPr="00993936" w:rsidRDefault="00503A41" w:rsidP="000452B8">
            <w:pPr>
              <w:pStyle w:val="taula"/>
              <w:rPr>
                <w:rFonts w:cs="Arial"/>
                <w:noProof w:val="0"/>
                <w:lang w:val="es-ES"/>
              </w:rPr>
            </w:pPr>
            <w:r w:rsidRPr="00993936">
              <w:rPr>
                <w:rFonts w:cs="Arial"/>
                <w:noProof w:val="0"/>
                <w:lang w:val="es-ES"/>
              </w:rPr>
              <w:t>(</w:t>
            </w:r>
            <w:r w:rsidRPr="00993936">
              <w:rPr>
                <w:rFonts w:cs="Arial"/>
                <w:i/>
                <w:noProof w:val="0"/>
                <w:lang w:val="es-ES"/>
              </w:rPr>
              <w:t xml:space="preserve">F. occidentalis) </w:t>
            </w:r>
          </w:p>
        </w:tc>
        <w:tc>
          <w:tcPr>
            <w:tcW w:w="1106" w:type="pct"/>
            <w:vMerge/>
            <w:vAlign w:val="center"/>
          </w:tcPr>
          <w:p w:rsidR="00503A41" w:rsidRPr="00993936" w:rsidRDefault="00503A41" w:rsidP="000452B8">
            <w:pPr>
              <w:pStyle w:val="taula"/>
              <w:jc w:val="center"/>
              <w:rPr>
                <w:rFonts w:cs="Arial"/>
                <w:noProof w:val="0"/>
                <w:lang w:val="es-ES"/>
              </w:rPr>
            </w:pPr>
          </w:p>
        </w:tc>
        <w:tc>
          <w:tcPr>
            <w:tcW w:w="1123" w:type="pct"/>
            <w:vAlign w:val="center"/>
          </w:tcPr>
          <w:p w:rsidR="00503A41" w:rsidRPr="00993936" w:rsidRDefault="00503A41" w:rsidP="000452B8">
            <w:pPr>
              <w:pStyle w:val="taula"/>
              <w:rPr>
                <w:rFonts w:cs="Arial"/>
                <w:noProof w:val="0"/>
                <w:lang w:val="es-ES"/>
              </w:rPr>
            </w:pPr>
            <w:r w:rsidRPr="00993936">
              <w:rPr>
                <w:rFonts w:cs="Arial"/>
                <w:noProof w:val="0"/>
                <w:lang w:val="es-ES"/>
              </w:rPr>
              <w:t>En presencia de TSWV y trips, arrancar plantas y tratar.</w:t>
            </w:r>
          </w:p>
          <w:p w:rsidR="00503A41" w:rsidRPr="00993936" w:rsidRDefault="00503A41" w:rsidP="000452B8">
            <w:pPr>
              <w:pStyle w:val="taula"/>
              <w:rPr>
                <w:rFonts w:cs="Arial"/>
                <w:noProof w:val="0"/>
                <w:lang w:val="es-ES"/>
              </w:rPr>
            </w:pPr>
            <w:r w:rsidRPr="00993936">
              <w:rPr>
                <w:rFonts w:cs="Arial"/>
                <w:noProof w:val="0"/>
                <w:lang w:val="es-ES"/>
              </w:rPr>
              <w:t>8 adultos/flor</w:t>
            </w:r>
          </w:p>
        </w:tc>
        <w:tc>
          <w:tcPr>
            <w:tcW w:w="772" w:type="pct"/>
            <w:vAlign w:val="center"/>
          </w:tcPr>
          <w:p w:rsidR="00503A41" w:rsidRPr="00993936" w:rsidRDefault="00503A41" w:rsidP="000452B8">
            <w:pPr>
              <w:pStyle w:val="taula"/>
              <w:rPr>
                <w:rFonts w:cs="Arial"/>
                <w:noProof w:val="0"/>
                <w:lang w:val="es-ES"/>
              </w:rPr>
            </w:pPr>
            <w:r w:rsidRPr="00993936">
              <w:rPr>
                <w:rFonts w:cs="Arial"/>
                <w:noProof w:val="0"/>
                <w:lang w:val="es-ES"/>
              </w:rPr>
              <w:t>Antacóridos</w:t>
            </w:r>
          </w:p>
          <w:p w:rsidR="00503A41" w:rsidRPr="00993936" w:rsidRDefault="00503A41" w:rsidP="000452B8">
            <w:pPr>
              <w:pStyle w:val="taula"/>
              <w:rPr>
                <w:rFonts w:cs="Arial"/>
                <w:i/>
                <w:noProof w:val="0"/>
                <w:lang w:val="es-ES"/>
              </w:rPr>
            </w:pPr>
            <w:r w:rsidRPr="00993936">
              <w:rPr>
                <w:rFonts w:cs="Arial"/>
                <w:i/>
                <w:noProof w:val="0"/>
                <w:lang w:val="es-ES"/>
              </w:rPr>
              <w:t>Amblyseius swirskii</w:t>
            </w:r>
          </w:p>
        </w:tc>
        <w:tc>
          <w:tcPr>
            <w:tcW w:w="842"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57"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Lepidópteros </w:t>
            </w:r>
          </w:p>
          <w:p w:rsidR="00503A41" w:rsidRPr="00993936" w:rsidRDefault="00503A41" w:rsidP="000452B8">
            <w:pPr>
              <w:pStyle w:val="taula"/>
              <w:rPr>
                <w:rFonts w:cs="Arial"/>
                <w:i/>
                <w:noProof w:val="0"/>
                <w:lang w:val="es-ES"/>
              </w:rPr>
            </w:pPr>
            <w:r w:rsidRPr="00993936">
              <w:rPr>
                <w:rFonts w:cs="Arial"/>
                <w:noProof w:val="0"/>
                <w:lang w:val="es-ES"/>
              </w:rPr>
              <w:t>(</w:t>
            </w:r>
            <w:r w:rsidRPr="00993936">
              <w:rPr>
                <w:rFonts w:cs="Arial"/>
                <w:i/>
                <w:noProof w:val="0"/>
                <w:lang w:val="es-ES"/>
              </w:rPr>
              <w:t>S. exigua, H. armigera)</w:t>
            </w:r>
          </w:p>
        </w:tc>
        <w:tc>
          <w:tcPr>
            <w:tcW w:w="1106" w:type="pct"/>
            <w:vMerge/>
            <w:vAlign w:val="center"/>
          </w:tcPr>
          <w:p w:rsidR="00503A41" w:rsidRPr="00993936" w:rsidRDefault="00503A41" w:rsidP="000452B8">
            <w:pPr>
              <w:pStyle w:val="taula"/>
              <w:jc w:val="center"/>
              <w:rPr>
                <w:rFonts w:cs="Arial"/>
                <w:noProof w:val="0"/>
                <w:lang w:val="es-ES"/>
              </w:rPr>
            </w:pPr>
          </w:p>
        </w:tc>
        <w:tc>
          <w:tcPr>
            <w:tcW w:w="1123"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 daños en fruto</w:t>
            </w:r>
          </w:p>
        </w:tc>
        <w:tc>
          <w:tcPr>
            <w:tcW w:w="772" w:type="pct"/>
            <w:vMerge w:val="restart"/>
            <w:vAlign w:val="center"/>
          </w:tcPr>
          <w:p w:rsidR="00503A41" w:rsidRPr="00993936" w:rsidRDefault="00503A41" w:rsidP="000452B8">
            <w:pPr>
              <w:pStyle w:val="taula"/>
              <w:rPr>
                <w:rFonts w:cs="Arial"/>
                <w:noProof w:val="0"/>
                <w:lang w:val="es-ES"/>
              </w:rPr>
            </w:pPr>
          </w:p>
        </w:tc>
        <w:tc>
          <w:tcPr>
            <w:tcW w:w="842"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57" w:type="pct"/>
            <w:vAlign w:val="center"/>
          </w:tcPr>
          <w:p w:rsidR="00503A41" w:rsidRPr="00993936" w:rsidRDefault="00503A41" w:rsidP="000452B8">
            <w:pPr>
              <w:pStyle w:val="taula"/>
              <w:rPr>
                <w:rFonts w:cs="Arial"/>
                <w:noProof w:val="0"/>
                <w:lang w:val="es-ES"/>
              </w:rPr>
            </w:pPr>
            <w:r w:rsidRPr="00993936">
              <w:rPr>
                <w:rFonts w:cs="Arial"/>
                <w:noProof w:val="0"/>
                <w:lang w:val="es-ES"/>
              </w:rPr>
              <w:t>Ácaros (</w:t>
            </w:r>
            <w:r w:rsidRPr="00993936">
              <w:rPr>
                <w:rFonts w:cs="Arial"/>
                <w:i/>
                <w:noProof w:val="0"/>
                <w:lang w:val="es-ES"/>
              </w:rPr>
              <w:t>Polyphagotarsonemus latus</w:t>
            </w:r>
            <w:r w:rsidRPr="00993936">
              <w:rPr>
                <w:rFonts w:cs="Arial"/>
                <w:noProof w:val="0"/>
                <w:lang w:val="es-ES"/>
              </w:rPr>
              <w:t>)</w:t>
            </w:r>
          </w:p>
        </w:tc>
        <w:tc>
          <w:tcPr>
            <w:tcW w:w="1106" w:type="pct"/>
            <w:vMerge/>
            <w:vAlign w:val="center"/>
          </w:tcPr>
          <w:p w:rsidR="00503A41" w:rsidRPr="00993936" w:rsidRDefault="00503A41" w:rsidP="000452B8">
            <w:pPr>
              <w:pStyle w:val="taula"/>
              <w:jc w:val="center"/>
              <w:rPr>
                <w:rFonts w:cs="Arial"/>
                <w:noProof w:val="0"/>
                <w:lang w:val="es-ES"/>
              </w:rPr>
            </w:pPr>
          </w:p>
        </w:tc>
        <w:tc>
          <w:tcPr>
            <w:tcW w:w="1123" w:type="pct"/>
            <w:vAlign w:val="center"/>
          </w:tcPr>
          <w:p w:rsidR="00503A41" w:rsidRPr="00993936" w:rsidRDefault="00503A41" w:rsidP="000452B8">
            <w:pPr>
              <w:pStyle w:val="taula"/>
              <w:rPr>
                <w:rFonts w:cs="Arial"/>
                <w:noProof w:val="0"/>
                <w:lang w:val="es-ES"/>
              </w:rPr>
            </w:pPr>
            <w:r w:rsidRPr="00993936">
              <w:rPr>
                <w:rFonts w:cs="Arial"/>
                <w:noProof w:val="0"/>
                <w:lang w:val="es-ES"/>
              </w:rPr>
              <w:t>Aparición primeros brotes afectados</w:t>
            </w:r>
          </w:p>
        </w:tc>
        <w:tc>
          <w:tcPr>
            <w:tcW w:w="772" w:type="pct"/>
            <w:vMerge/>
            <w:vAlign w:val="center"/>
          </w:tcPr>
          <w:p w:rsidR="00503A41" w:rsidRPr="00993936" w:rsidRDefault="00503A41" w:rsidP="000452B8">
            <w:pPr>
              <w:pStyle w:val="taula"/>
              <w:rPr>
                <w:rFonts w:cs="Arial"/>
                <w:noProof w:val="0"/>
                <w:lang w:val="es-ES"/>
              </w:rPr>
            </w:pPr>
          </w:p>
        </w:tc>
        <w:tc>
          <w:tcPr>
            <w:tcW w:w="842"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57" w:type="pct"/>
            <w:vAlign w:val="center"/>
          </w:tcPr>
          <w:p w:rsidR="00503A41" w:rsidRPr="00993936" w:rsidRDefault="00503A41" w:rsidP="000452B8">
            <w:pPr>
              <w:pStyle w:val="taula"/>
              <w:rPr>
                <w:rFonts w:cs="Arial"/>
                <w:noProof w:val="0"/>
                <w:lang w:val="es-ES"/>
              </w:rPr>
            </w:pPr>
            <w:r w:rsidRPr="00993936">
              <w:rPr>
                <w:rFonts w:cs="Arial"/>
                <w:noProof w:val="0"/>
                <w:lang w:val="es-ES"/>
              </w:rPr>
              <w:t>Oídio y Oidiopsis</w:t>
            </w:r>
          </w:p>
          <w:p w:rsidR="00503A41" w:rsidRPr="00993936" w:rsidRDefault="00503A41" w:rsidP="000452B8">
            <w:pPr>
              <w:pStyle w:val="taula"/>
              <w:rPr>
                <w:rFonts w:cs="Arial"/>
                <w:noProof w:val="0"/>
                <w:lang w:val="es-ES"/>
              </w:rPr>
            </w:pPr>
          </w:p>
        </w:tc>
        <w:tc>
          <w:tcPr>
            <w:tcW w:w="1106" w:type="pct"/>
            <w:vMerge/>
            <w:vAlign w:val="center"/>
          </w:tcPr>
          <w:p w:rsidR="00503A41" w:rsidRPr="00993936" w:rsidRDefault="00503A41" w:rsidP="000452B8">
            <w:pPr>
              <w:pStyle w:val="taula"/>
              <w:jc w:val="center"/>
              <w:rPr>
                <w:rFonts w:cs="Arial"/>
                <w:noProof w:val="0"/>
                <w:lang w:val="es-ES"/>
              </w:rPr>
            </w:pPr>
          </w:p>
        </w:tc>
        <w:tc>
          <w:tcPr>
            <w:tcW w:w="1123" w:type="pct"/>
            <w:vMerge w:val="restart"/>
            <w:vAlign w:val="center"/>
          </w:tcPr>
          <w:p w:rsidR="00503A41" w:rsidRPr="00993936" w:rsidRDefault="00503A41" w:rsidP="000452B8">
            <w:pPr>
              <w:pStyle w:val="taula"/>
              <w:rPr>
                <w:rFonts w:cs="Arial"/>
                <w:noProof w:val="0"/>
                <w:lang w:val="es-ES"/>
              </w:rPr>
            </w:pPr>
            <w:r w:rsidRPr="00993936">
              <w:rPr>
                <w:rFonts w:cs="Arial"/>
                <w:noProof w:val="0"/>
                <w:lang w:val="es-ES"/>
              </w:rPr>
              <w:t>Presencia de síntomas de la enfermedad</w:t>
            </w:r>
          </w:p>
        </w:tc>
        <w:tc>
          <w:tcPr>
            <w:tcW w:w="772" w:type="pct"/>
            <w:vMerge/>
            <w:vAlign w:val="center"/>
          </w:tcPr>
          <w:p w:rsidR="00503A41" w:rsidRPr="00993936" w:rsidRDefault="00503A41" w:rsidP="000452B8">
            <w:pPr>
              <w:pStyle w:val="taula"/>
              <w:rPr>
                <w:rFonts w:cs="Arial"/>
                <w:noProof w:val="0"/>
                <w:lang w:val="es-ES"/>
              </w:rPr>
            </w:pPr>
          </w:p>
        </w:tc>
        <w:tc>
          <w:tcPr>
            <w:tcW w:w="842" w:type="pct"/>
            <w:vMerge/>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157"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Mildiu </w:t>
            </w:r>
          </w:p>
          <w:p w:rsidR="00503A41" w:rsidRPr="00993936" w:rsidRDefault="00503A41" w:rsidP="000452B8">
            <w:pPr>
              <w:pStyle w:val="taula"/>
              <w:rPr>
                <w:rFonts w:cs="Arial"/>
                <w:noProof w:val="0"/>
                <w:lang w:val="es-ES"/>
              </w:rPr>
            </w:pPr>
            <w:r w:rsidRPr="00993936">
              <w:rPr>
                <w:rFonts w:cs="Arial"/>
                <w:noProof w:val="0"/>
                <w:lang w:val="es-ES"/>
              </w:rPr>
              <w:t>(</w:t>
            </w:r>
            <w:r w:rsidRPr="00993936">
              <w:rPr>
                <w:rFonts w:cs="Arial"/>
                <w:i/>
                <w:noProof w:val="0"/>
                <w:lang w:val="es-ES"/>
              </w:rPr>
              <w:t>Phytophthora capsici</w:t>
            </w:r>
            <w:r w:rsidRPr="00993936">
              <w:rPr>
                <w:rFonts w:cs="Arial"/>
                <w:noProof w:val="0"/>
                <w:lang w:val="es-ES"/>
              </w:rPr>
              <w:t>)</w:t>
            </w:r>
          </w:p>
        </w:tc>
        <w:tc>
          <w:tcPr>
            <w:tcW w:w="1106" w:type="pct"/>
            <w:vMerge/>
            <w:vAlign w:val="center"/>
          </w:tcPr>
          <w:p w:rsidR="00503A41" w:rsidRPr="00993936" w:rsidRDefault="00503A41" w:rsidP="000452B8">
            <w:pPr>
              <w:pStyle w:val="taula"/>
              <w:jc w:val="center"/>
              <w:rPr>
                <w:rFonts w:cs="Arial"/>
                <w:noProof w:val="0"/>
                <w:lang w:val="es-ES"/>
              </w:rPr>
            </w:pPr>
          </w:p>
        </w:tc>
        <w:tc>
          <w:tcPr>
            <w:tcW w:w="1123" w:type="pct"/>
            <w:vMerge/>
            <w:vAlign w:val="center"/>
          </w:tcPr>
          <w:p w:rsidR="00503A41" w:rsidRPr="00993936" w:rsidRDefault="00503A41" w:rsidP="000452B8">
            <w:pPr>
              <w:pStyle w:val="taula"/>
              <w:rPr>
                <w:rFonts w:cs="Arial"/>
                <w:noProof w:val="0"/>
                <w:lang w:val="es-ES"/>
              </w:rPr>
            </w:pPr>
          </w:p>
        </w:tc>
        <w:tc>
          <w:tcPr>
            <w:tcW w:w="772" w:type="pct"/>
            <w:vMerge/>
            <w:vAlign w:val="center"/>
          </w:tcPr>
          <w:p w:rsidR="00503A41" w:rsidRPr="00993936" w:rsidRDefault="00503A41" w:rsidP="000452B8">
            <w:pPr>
              <w:pStyle w:val="taula"/>
              <w:rPr>
                <w:rFonts w:cs="Arial"/>
                <w:noProof w:val="0"/>
                <w:lang w:val="es-ES"/>
              </w:rPr>
            </w:pPr>
          </w:p>
        </w:tc>
        <w:tc>
          <w:tcPr>
            <w:tcW w:w="842" w:type="pct"/>
            <w:vAlign w:val="center"/>
          </w:tcPr>
          <w:p w:rsidR="00503A41" w:rsidRPr="00993936" w:rsidRDefault="00503A41" w:rsidP="000452B8">
            <w:pPr>
              <w:pStyle w:val="taula"/>
              <w:rPr>
                <w:rFonts w:cs="Arial"/>
                <w:noProof w:val="0"/>
                <w:lang w:val="es-ES"/>
              </w:rPr>
            </w:pPr>
            <w:r w:rsidRPr="00993936">
              <w:rPr>
                <w:rFonts w:cs="Arial"/>
                <w:noProof w:val="0"/>
                <w:lang w:val="es-ES"/>
              </w:rPr>
              <w:t>Evitar encharcamientos en el cuello</w:t>
            </w:r>
            <w:r w:rsidRPr="00993936">
              <w:rPr>
                <w:rFonts w:cs="Arial"/>
                <w:noProof w:val="0"/>
                <w:vanish/>
                <w:lang w:val="es-ES"/>
              </w:rPr>
              <w:t>&lt;A[cuello|garganta]&gt;</w:t>
            </w:r>
            <w:r w:rsidRPr="00993936">
              <w:rPr>
                <w:rFonts w:cs="Arial"/>
                <w:noProof w:val="0"/>
                <w:lang w:val="es-ES"/>
              </w:rPr>
              <w:t xml:space="preserve"> de la planta mediante el uso adecuado del riego.</w:t>
            </w:r>
          </w:p>
          <w:p w:rsidR="00503A41" w:rsidRPr="00993936" w:rsidRDefault="00503A41" w:rsidP="000452B8">
            <w:pPr>
              <w:pStyle w:val="taula"/>
              <w:rPr>
                <w:rFonts w:cs="Arial"/>
                <w:noProof w:val="0"/>
                <w:lang w:val="es-ES"/>
              </w:rPr>
            </w:pPr>
            <w:r w:rsidRPr="00993936">
              <w:rPr>
                <w:rFonts w:cs="Arial"/>
                <w:noProof w:val="0"/>
                <w:lang w:val="es-ES"/>
              </w:rPr>
              <w:t>Eliminar primeras plantas afectadas</w:t>
            </w:r>
          </w:p>
        </w:tc>
      </w:tr>
      <w:tr w:rsidR="00503A41" w:rsidRPr="00993936" w:rsidTr="000452B8">
        <w:trPr>
          <w:cantSplit/>
          <w:jc w:val="center"/>
        </w:trPr>
        <w:tc>
          <w:tcPr>
            <w:tcW w:w="1157" w:type="pct"/>
            <w:vAlign w:val="center"/>
          </w:tcPr>
          <w:p w:rsidR="00503A41" w:rsidRPr="00993936" w:rsidRDefault="00503A41" w:rsidP="000452B8">
            <w:pPr>
              <w:pStyle w:val="taula"/>
              <w:rPr>
                <w:rFonts w:cs="Arial"/>
                <w:noProof w:val="0"/>
                <w:lang w:val="es-ES"/>
              </w:rPr>
            </w:pPr>
            <w:r w:rsidRPr="00993936">
              <w:rPr>
                <w:rFonts w:cs="Arial"/>
                <w:noProof w:val="0"/>
                <w:lang w:val="es-ES"/>
              </w:rPr>
              <w:t>Otras plagas y enfermedades</w:t>
            </w:r>
          </w:p>
        </w:tc>
        <w:tc>
          <w:tcPr>
            <w:tcW w:w="1106" w:type="pct"/>
            <w:vMerge/>
            <w:vAlign w:val="center"/>
          </w:tcPr>
          <w:p w:rsidR="00503A41" w:rsidRPr="00993936" w:rsidRDefault="00503A41" w:rsidP="000452B8">
            <w:pPr>
              <w:pStyle w:val="taula"/>
              <w:jc w:val="center"/>
              <w:rPr>
                <w:rFonts w:cs="Arial"/>
                <w:noProof w:val="0"/>
                <w:lang w:val="es-ES"/>
              </w:rPr>
            </w:pPr>
          </w:p>
        </w:tc>
        <w:tc>
          <w:tcPr>
            <w:tcW w:w="1123" w:type="pct"/>
            <w:vAlign w:val="center"/>
          </w:tcPr>
          <w:p w:rsidR="00503A41" w:rsidRPr="00993936" w:rsidRDefault="00503A41" w:rsidP="000452B8">
            <w:pPr>
              <w:pStyle w:val="taula"/>
              <w:rPr>
                <w:rFonts w:cs="Arial"/>
                <w:noProof w:val="0"/>
                <w:lang w:val="es-ES"/>
              </w:rPr>
            </w:pPr>
            <w:r w:rsidRPr="00993936">
              <w:rPr>
                <w:rFonts w:cs="Arial"/>
                <w:noProof w:val="0"/>
                <w:lang w:val="es-ES"/>
              </w:rPr>
              <w:t>Intervenciones en función de las prescripciones técnicas</w:t>
            </w:r>
          </w:p>
        </w:tc>
        <w:tc>
          <w:tcPr>
            <w:tcW w:w="772" w:type="pct"/>
            <w:vMerge/>
            <w:vAlign w:val="center"/>
          </w:tcPr>
          <w:p w:rsidR="00503A41" w:rsidRPr="00993936" w:rsidRDefault="00503A41" w:rsidP="000452B8">
            <w:pPr>
              <w:pStyle w:val="taula"/>
              <w:rPr>
                <w:rFonts w:cs="Arial"/>
                <w:noProof w:val="0"/>
                <w:lang w:val="es-ES"/>
              </w:rPr>
            </w:pPr>
          </w:p>
        </w:tc>
        <w:tc>
          <w:tcPr>
            <w:tcW w:w="842" w:type="pct"/>
            <w:vAlign w:val="center"/>
          </w:tcPr>
          <w:p w:rsidR="00503A41" w:rsidRPr="00993936" w:rsidRDefault="00503A41" w:rsidP="000452B8">
            <w:pPr>
              <w:pStyle w:val="taula"/>
              <w:rPr>
                <w:rFonts w:cs="Arial"/>
                <w:noProof w:val="0"/>
                <w:lang w:val="es-ES"/>
              </w:rPr>
            </w:pPr>
          </w:p>
        </w:tc>
      </w:tr>
    </w:tbl>
    <w:p w:rsidR="00503A41" w:rsidRPr="00993936" w:rsidRDefault="00503A41" w:rsidP="000452B8">
      <w:pPr>
        <w:rPr>
          <w:rFonts w:ascii="Arial" w:hAnsi="Arial" w:cs="Arial"/>
          <w:lang w:val="es-ES"/>
        </w:rPr>
      </w:pPr>
    </w:p>
    <w:p w:rsidR="00571B14" w:rsidRPr="00993936" w:rsidRDefault="00571B14">
      <w:pPr>
        <w:rPr>
          <w:rFonts w:ascii="Arial" w:eastAsia="Times New Roman" w:hAnsi="Arial" w:cs="Arial"/>
          <w:snapToGrid w:val="0"/>
          <w:lang w:val="es-ES" w:eastAsia="es-ES"/>
        </w:rPr>
      </w:pPr>
      <w:r w:rsidRPr="00993936">
        <w:rPr>
          <w:rFonts w:cs="Arial"/>
          <w:b/>
          <w:lang w:val="es-ES"/>
        </w:rPr>
        <w:br w:type="page"/>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lastRenderedPageBreak/>
        <w:t>1.2 Materias activas para la producción integrada de pimiento, teniendo en cuenta las indicaciones del cuaderno de explotación y el programa de control integrado de plagas y enfermedades</w:t>
      </w:r>
    </w:p>
    <w:p w:rsidR="00503A41" w:rsidRPr="00993936" w:rsidRDefault="00503A41" w:rsidP="000452B8">
      <w:pPr>
        <w:rPr>
          <w:rFonts w:ascii="Arial" w:hAnsi="Arial"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tblHeader/>
          <w:jc w:val="center"/>
        </w:trPr>
        <w:tc>
          <w:tcPr>
            <w:tcW w:w="3544" w:type="dxa"/>
            <w:tcBorders>
              <w:top w:val="single" w:sz="4" w:space="0" w:color="auto"/>
            </w:tcBorders>
            <w:shd w:val="pct15" w:color="auto" w:fill="FFFFFF"/>
            <w:vAlign w:val="center"/>
          </w:tcPr>
          <w:p w:rsidR="00503A41" w:rsidRPr="00993936" w:rsidRDefault="00503A41" w:rsidP="000452B8">
            <w:pPr>
              <w:pStyle w:val="titolstaula"/>
              <w:rPr>
                <w:rFonts w:cs="Arial"/>
                <w:noProof w:val="0"/>
                <w:sz w:val="18"/>
                <w:lang w:val="es-ES"/>
              </w:rPr>
            </w:pPr>
            <w:r w:rsidRPr="00993936">
              <w:rPr>
                <w:rFonts w:cs="Arial"/>
                <w:noProof w:val="0"/>
                <w:sz w:val="18"/>
                <w:lang w:val="es-ES"/>
              </w:rPr>
              <w:t>PLAGA / ENFERMEDAD</w:t>
            </w:r>
          </w:p>
        </w:tc>
        <w:tc>
          <w:tcPr>
            <w:tcW w:w="5440" w:type="dxa"/>
            <w:tcBorders>
              <w:top w:val="single" w:sz="4" w:space="0" w:color="auto"/>
            </w:tcBorders>
            <w:shd w:val="pct15" w:color="auto" w:fill="FFFFFF"/>
            <w:vAlign w:val="center"/>
          </w:tcPr>
          <w:p w:rsidR="00503A41" w:rsidRPr="00993936" w:rsidRDefault="00503A41" w:rsidP="000452B8">
            <w:pPr>
              <w:pStyle w:val="titolstaula"/>
              <w:rPr>
                <w:rFonts w:cs="Arial"/>
                <w:noProof w:val="0"/>
                <w:sz w:val="18"/>
                <w:lang w:val="es-ES"/>
              </w:rPr>
            </w:pPr>
            <w:r w:rsidRPr="00993936">
              <w:rPr>
                <w:rFonts w:cs="Arial"/>
                <w:noProof w:val="0"/>
                <w:sz w:val="18"/>
                <w:lang w:val="es-ES"/>
              </w:rPr>
              <w:t>CONTROL</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b/>
                <w:sz w:val="18"/>
                <w:szCs w:val="18"/>
                <w:lang w:val="es-ES"/>
              </w:rPr>
            </w:pPr>
            <w:r w:rsidRPr="00993936">
              <w:rPr>
                <w:rFonts w:ascii="Arial" w:hAnsi="Arial" w:cs="Arial"/>
                <w:b/>
                <w:sz w:val="18"/>
                <w:szCs w:val="18"/>
                <w:lang w:val="es-ES"/>
              </w:rPr>
              <w:t>Pulgones</w:t>
            </w:r>
          </w:p>
          <w:p w:rsidR="00503A41" w:rsidRPr="00993936" w:rsidRDefault="00503A41" w:rsidP="000452B8">
            <w:pPr>
              <w:rPr>
                <w:rFonts w:ascii="Arial" w:hAnsi="Arial" w:cs="Arial"/>
                <w:sz w:val="18"/>
                <w:szCs w:val="18"/>
                <w:lang w:val="es-ES"/>
              </w:rPr>
            </w:pPr>
            <w:r w:rsidRPr="00993936">
              <w:rPr>
                <w:rFonts w:ascii="Arial" w:hAnsi="Arial" w:cs="Arial"/>
                <w:i/>
                <w:sz w:val="18"/>
                <w:szCs w:val="18"/>
                <w:lang w:val="es-ES"/>
              </w:rPr>
              <w:t>A. gossypii</w:t>
            </w:r>
            <w:r w:rsidRPr="00993936">
              <w:rPr>
                <w:rFonts w:ascii="Arial" w:hAnsi="Arial" w:cs="Arial"/>
                <w:sz w:val="18"/>
                <w:szCs w:val="18"/>
                <w:lang w:val="es-ES"/>
              </w:rPr>
              <w:t xml:space="preserve">, </w:t>
            </w:r>
            <w:r w:rsidRPr="00993936">
              <w:rPr>
                <w:rFonts w:ascii="Arial" w:hAnsi="Arial" w:cs="Arial"/>
                <w:i/>
                <w:sz w:val="18"/>
                <w:szCs w:val="18"/>
                <w:lang w:val="es-ES"/>
              </w:rPr>
              <w:t>M. persicae</w:t>
            </w: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Acetamiprid</w:t>
            </w:r>
          </w:p>
          <w:p w:rsidR="00503A41" w:rsidRPr="00993936" w:rsidRDefault="00503A41" w:rsidP="001D205D">
            <w:pPr>
              <w:pStyle w:val="Sinespaciado"/>
              <w:rPr>
                <w:rFonts w:ascii="Arial" w:hAnsi="Arial" w:cs="Arial"/>
                <w:i/>
                <w:sz w:val="16"/>
                <w:szCs w:val="16"/>
                <w:lang w:val="es-ES"/>
              </w:rPr>
            </w:pPr>
            <w:r w:rsidRPr="00993936">
              <w:rPr>
                <w:rFonts w:ascii="Arial" w:hAnsi="Arial" w:cs="Arial"/>
                <w:lang w:val="es-ES"/>
              </w:rPr>
              <w:t xml:space="preserve">Azadiractín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(4)</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Imidacloprid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Lambda-cihalotrín    </w:t>
            </w:r>
          </w:p>
          <w:p w:rsidR="00503A41" w:rsidRPr="00993936" w:rsidRDefault="00503A41" w:rsidP="001D205D">
            <w:pPr>
              <w:pStyle w:val="Sinespaciado"/>
              <w:rPr>
                <w:rFonts w:ascii="Arial" w:hAnsi="Arial" w:cs="Arial"/>
                <w:lang w:val="es-ES"/>
              </w:rPr>
            </w:pPr>
            <w:r w:rsidRPr="00993936">
              <w:rPr>
                <w:rFonts w:ascii="Arial" w:hAnsi="Arial" w:cs="Arial"/>
                <w:lang w:val="es-ES"/>
              </w:rPr>
              <w:t>Metomilo</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p w:rsidR="00503A41" w:rsidRPr="00993936" w:rsidRDefault="00503A41" w:rsidP="001D205D">
            <w:pPr>
              <w:pStyle w:val="Sinespaciado"/>
              <w:rPr>
                <w:rFonts w:ascii="Arial" w:hAnsi="Arial" w:cs="Arial"/>
                <w:lang w:val="es-ES"/>
              </w:rPr>
            </w:pPr>
            <w:r w:rsidRPr="00993936">
              <w:rPr>
                <w:rFonts w:ascii="Arial" w:hAnsi="Arial" w:cs="Arial"/>
                <w:lang w:val="es-ES"/>
              </w:rPr>
              <w:t>Pimetrozina</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Pirimicarb (2)</w:t>
            </w:r>
          </w:p>
          <w:p w:rsidR="00503A41" w:rsidRPr="00993936" w:rsidRDefault="00503A41" w:rsidP="001D205D">
            <w:pPr>
              <w:pStyle w:val="Sinespaciado"/>
              <w:rPr>
                <w:rFonts w:ascii="Arial" w:hAnsi="Arial" w:cs="Arial"/>
                <w:lang w:val="es-ES"/>
              </w:rPr>
            </w:pPr>
            <w:r w:rsidRPr="00993936">
              <w:rPr>
                <w:rFonts w:ascii="Arial" w:hAnsi="Arial" w:cs="Arial"/>
                <w:lang w:val="es-ES"/>
              </w:rPr>
              <w:t>Azufre + Cipermetrín</w:t>
            </w:r>
          </w:p>
          <w:p w:rsidR="00503A41" w:rsidRPr="00993936" w:rsidRDefault="00503A41" w:rsidP="001D205D">
            <w:pPr>
              <w:pStyle w:val="Sinespaciado"/>
              <w:rPr>
                <w:rFonts w:ascii="Arial" w:hAnsi="Arial" w:cs="Arial"/>
                <w:lang w:val="es-ES"/>
              </w:rPr>
            </w:pPr>
            <w:r w:rsidRPr="00993936">
              <w:rPr>
                <w:rFonts w:ascii="Arial" w:hAnsi="Arial" w:cs="Arial"/>
                <w:lang w:val="es-ES"/>
              </w:rPr>
              <w:t>Spirotetramat</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Tiacloprid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Tiametoxam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Zeta-cipermetrín </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b/>
                <w:sz w:val="18"/>
                <w:szCs w:val="18"/>
                <w:lang w:val="es-ES"/>
              </w:rPr>
            </w:pPr>
            <w:r w:rsidRPr="00993936">
              <w:rPr>
                <w:rFonts w:ascii="Arial" w:hAnsi="Arial" w:cs="Arial"/>
                <w:b/>
                <w:sz w:val="18"/>
                <w:szCs w:val="18"/>
                <w:lang w:val="es-ES"/>
              </w:rPr>
              <w:t>Trips</w:t>
            </w:r>
          </w:p>
          <w:p w:rsidR="00503A41" w:rsidRPr="00993936" w:rsidRDefault="00503A41" w:rsidP="000452B8">
            <w:pPr>
              <w:rPr>
                <w:rFonts w:ascii="Arial" w:hAnsi="Arial" w:cs="Arial"/>
                <w:sz w:val="18"/>
                <w:szCs w:val="18"/>
                <w:lang w:val="es-ES"/>
              </w:rPr>
            </w:pPr>
            <w:r w:rsidRPr="00993936">
              <w:rPr>
                <w:rFonts w:ascii="Arial" w:hAnsi="Arial" w:cs="Arial"/>
                <w:i/>
                <w:sz w:val="18"/>
                <w:szCs w:val="18"/>
                <w:lang w:val="es-ES"/>
              </w:rPr>
              <w:t>Frankliniella occidentalis</w:t>
            </w:r>
          </w:p>
          <w:p w:rsidR="00503A41" w:rsidRPr="00993936" w:rsidRDefault="00503A41" w:rsidP="000452B8">
            <w:pPr>
              <w:rPr>
                <w:rFonts w:ascii="Arial" w:hAnsi="Arial" w:cs="Arial"/>
                <w:sz w:val="18"/>
                <w:szCs w:val="18"/>
                <w:lang w:val="es-ES"/>
              </w:rPr>
            </w:pPr>
          </w:p>
        </w:tc>
        <w:tc>
          <w:tcPr>
            <w:tcW w:w="5440" w:type="dxa"/>
            <w:vAlign w:val="center"/>
          </w:tcPr>
          <w:p w:rsidR="00503A41" w:rsidRPr="00993936" w:rsidRDefault="00503A41" w:rsidP="001D205D">
            <w:pPr>
              <w:pStyle w:val="Sinespaciado"/>
              <w:rPr>
                <w:rFonts w:ascii="Arial" w:hAnsi="Arial" w:cs="Arial"/>
                <w:i/>
                <w:sz w:val="16"/>
                <w:szCs w:val="16"/>
                <w:lang w:val="es-ES"/>
              </w:rPr>
            </w:pPr>
            <w:r w:rsidRPr="00993936">
              <w:rPr>
                <w:rFonts w:ascii="Arial" w:hAnsi="Arial" w:cs="Arial"/>
                <w:lang w:val="es-ES"/>
              </w:rPr>
              <w:t xml:space="preserve">Acrinatrín  </w:t>
            </w:r>
            <w:r w:rsidRPr="00993936">
              <w:rPr>
                <w:rFonts w:ascii="Arial" w:hAnsi="Arial" w:cs="Arial"/>
                <w:i/>
                <w:sz w:val="16"/>
                <w:szCs w:val="16"/>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p w:rsidR="00503A41" w:rsidRPr="00993936" w:rsidRDefault="00503A41" w:rsidP="001D205D">
            <w:pPr>
              <w:pStyle w:val="Sinespaciado"/>
              <w:rPr>
                <w:rFonts w:ascii="Arial" w:hAnsi="Arial" w:cs="Arial"/>
                <w:i/>
                <w:lang w:val="es-ES"/>
              </w:rPr>
            </w:pPr>
            <w:r w:rsidRPr="00993936">
              <w:rPr>
                <w:rFonts w:ascii="Arial" w:hAnsi="Arial" w:cs="Arial"/>
                <w:i/>
                <w:lang w:val="es-ES"/>
              </w:rPr>
              <w:t>Beauveria bassiana</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Lufenurón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Metil-Clorpirifos  </w:t>
            </w:r>
          </w:p>
          <w:p w:rsidR="00503A41" w:rsidRPr="00993936" w:rsidRDefault="00503A41" w:rsidP="001D205D">
            <w:pPr>
              <w:pStyle w:val="Sinespaciado"/>
              <w:rPr>
                <w:rFonts w:ascii="Arial" w:hAnsi="Arial" w:cs="Arial"/>
                <w:lang w:val="es-ES"/>
              </w:rPr>
            </w:pPr>
            <w:r w:rsidRPr="00993936">
              <w:rPr>
                <w:rFonts w:ascii="Arial" w:hAnsi="Arial" w:cs="Arial"/>
                <w:lang w:val="es-ES"/>
              </w:rPr>
              <w:t>Metiocarb (2)</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Espinosad </w:t>
            </w:r>
            <w:r w:rsidRPr="00993936">
              <w:rPr>
                <w:rFonts w:ascii="Arial" w:hAnsi="Arial" w:cs="Arial"/>
                <w:lang w:val="es-ES"/>
              </w:rPr>
              <w:br/>
            </w:r>
          </w:p>
        </w:tc>
      </w:tr>
    </w:tbl>
    <w:p w:rsidR="00503A41" w:rsidRPr="00993936" w:rsidRDefault="00503A41" w:rsidP="000452B8">
      <w:pPr>
        <w:pStyle w:val="Textoindependiente3"/>
        <w:spacing w:before="120"/>
        <w:rPr>
          <w:rFonts w:cs="Arial"/>
          <w:b w:val="0"/>
          <w:szCs w:val="22"/>
          <w:lang w:val="es-ES"/>
        </w:rPr>
      </w:pPr>
    </w:p>
    <w:p w:rsidR="00503A41" w:rsidRPr="00993936" w:rsidRDefault="00503A41" w:rsidP="00571B14">
      <w:pPr>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1.2 Materias activas para la producción integrada de pimiento, teniendo en cuenta las indicaciones del cuaderno de explotación y el programa de control integrado de plagas y enfermedades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sz w:val="18"/>
                <w:szCs w:val="18"/>
                <w:lang w:val="es-ES"/>
              </w:rPr>
            </w:pPr>
            <w:r w:rsidRPr="00993936">
              <w:rPr>
                <w:rFonts w:ascii="Arial" w:hAnsi="Arial" w:cs="Arial"/>
                <w:b/>
                <w:sz w:val="18"/>
                <w:szCs w:val="18"/>
                <w:lang w:val="es-ES"/>
              </w:rPr>
              <w:t>Lepidópteros</w:t>
            </w:r>
            <w:r w:rsidRPr="00993936">
              <w:rPr>
                <w:rFonts w:ascii="Arial" w:hAnsi="Arial" w:cs="Arial"/>
                <w:sz w:val="18"/>
                <w:szCs w:val="18"/>
                <w:lang w:val="es-ES"/>
              </w:rPr>
              <w:t xml:space="preserve"> </w:t>
            </w:r>
          </w:p>
          <w:p w:rsidR="00503A41" w:rsidRPr="00993936" w:rsidRDefault="00503A41" w:rsidP="000452B8">
            <w:pPr>
              <w:rPr>
                <w:rFonts w:ascii="Arial" w:hAnsi="Arial" w:cs="Arial"/>
                <w:sz w:val="18"/>
                <w:szCs w:val="18"/>
                <w:lang w:val="es-ES"/>
              </w:rPr>
            </w:pPr>
            <w:r w:rsidRPr="00993936">
              <w:rPr>
                <w:rFonts w:ascii="Arial" w:hAnsi="Arial" w:cs="Arial"/>
                <w:i/>
                <w:sz w:val="18"/>
                <w:szCs w:val="18"/>
                <w:lang w:val="es-ES"/>
              </w:rPr>
              <w:t>S.exigua</w:t>
            </w:r>
            <w:r w:rsidRPr="00993936">
              <w:rPr>
                <w:rFonts w:ascii="Arial" w:hAnsi="Arial" w:cs="Arial"/>
                <w:sz w:val="18"/>
                <w:szCs w:val="18"/>
                <w:lang w:val="es-ES"/>
              </w:rPr>
              <w:t xml:space="preserve">, </w:t>
            </w:r>
            <w:r w:rsidRPr="00993936">
              <w:rPr>
                <w:rFonts w:ascii="Arial" w:hAnsi="Arial" w:cs="Arial"/>
                <w:i/>
                <w:sz w:val="18"/>
                <w:szCs w:val="18"/>
                <w:lang w:val="es-ES"/>
              </w:rPr>
              <w:t>H. armigera</w:t>
            </w: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p w:rsidR="00503A41" w:rsidRPr="00993936" w:rsidRDefault="00503A41" w:rsidP="001D205D">
            <w:pPr>
              <w:pStyle w:val="Sinespaciado"/>
              <w:rPr>
                <w:rFonts w:ascii="Arial" w:hAnsi="Arial" w:cs="Arial"/>
                <w:i/>
                <w:lang w:val="es-ES"/>
              </w:rPr>
            </w:pPr>
            <w:r w:rsidRPr="00993936">
              <w:rPr>
                <w:rFonts w:ascii="Arial" w:hAnsi="Arial" w:cs="Arial"/>
                <w:i/>
                <w:lang w:val="es-ES"/>
              </w:rPr>
              <w:t>Bacillus thuringiensis Kurstaki</w:t>
            </w:r>
          </w:p>
          <w:p w:rsidR="00503A41" w:rsidRPr="00993936" w:rsidRDefault="00503A41" w:rsidP="001D205D">
            <w:pPr>
              <w:pStyle w:val="Sinespaciado"/>
              <w:rPr>
                <w:rFonts w:ascii="Arial" w:hAnsi="Arial" w:cs="Arial"/>
                <w:i/>
                <w:lang w:val="es-ES"/>
              </w:rPr>
            </w:pPr>
            <w:r w:rsidRPr="00993936">
              <w:rPr>
                <w:rFonts w:ascii="Arial" w:hAnsi="Arial" w:cs="Arial"/>
                <w:i/>
                <w:lang w:val="es-ES"/>
              </w:rPr>
              <w:t>Bacillus thuringiensis Aizawai</w:t>
            </w:r>
          </w:p>
          <w:p w:rsidR="00503A41" w:rsidRPr="00993936" w:rsidRDefault="00503A41" w:rsidP="001D205D">
            <w:pPr>
              <w:pStyle w:val="Sinespaciado"/>
              <w:rPr>
                <w:rFonts w:ascii="Arial" w:hAnsi="Arial" w:cs="Arial"/>
                <w:lang w:val="es-ES"/>
              </w:rPr>
            </w:pPr>
            <w:r w:rsidRPr="00993936">
              <w:rPr>
                <w:rFonts w:ascii="Arial" w:hAnsi="Arial" w:cs="Arial"/>
                <w:lang w:val="es-ES"/>
              </w:rPr>
              <w:t>Betaciflutrín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Clorantraniliprol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Deltametrín   </w:t>
            </w:r>
          </w:p>
          <w:p w:rsidR="00503A41" w:rsidRPr="00993936" w:rsidRDefault="00503A41" w:rsidP="001D205D">
            <w:pPr>
              <w:pStyle w:val="Sinespaciado"/>
              <w:rPr>
                <w:rFonts w:ascii="Arial" w:hAnsi="Arial" w:cs="Arial"/>
                <w:lang w:val="es-ES"/>
              </w:rPr>
            </w:pPr>
            <w:r w:rsidRPr="00993936">
              <w:rPr>
                <w:rFonts w:ascii="Arial" w:hAnsi="Arial" w:cs="Arial"/>
                <w:lang w:val="es-ES"/>
              </w:rPr>
              <w:t>Emamectina</w:t>
            </w:r>
          </w:p>
          <w:p w:rsidR="00503A41" w:rsidRPr="00993936" w:rsidRDefault="00503A41" w:rsidP="001D205D">
            <w:pPr>
              <w:pStyle w:val="Sinespaciado"/>
              <w:rPr>
                <w:rFonts w:ascii="Arial" w:hAnsi="Arial" w:cs="Arial"/>
                <w:lang w:val="es-ES"/>
              </w:rPr>
            </w:pPr>
            <w:r w:rsidRPr="00993936">
              <w:rPr>
                <w:rFonts w:ascii="Arial" w:hAnsi="Arial" w:cs="Arial"/>
                <w:lang w:val="es-ES"/>
              </w:rPr>
              <w:t>Indoxacarb</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Lambda-cihalotrín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Lufenuró </w:t>
            </w:r>
          </w:p>
          <w:p w:rsidR="00503A41" w:rsidRPr="00993936" w:rsidRDefault="00503A41" w:rsidP="001D205D">
            <w:pPr>
              <w:pStyle w:val="Sinespaciado"/>
              <w:rPr>
                <w:rFonts w:ascii="Arial" w:hAnsi="Arial" w:cs="Arial"/>
                <w:lang w:val="es-ES"/>
              </w:rPr>
            </w:pPr>
            <w:r w:rsidRPr="00993936">
              <w:rPr>
                <w:rFonts w:ascii="Arial" w:hAnsi="Arial" w:cs="Arial"/>
                <w:lang w:val="es-ES"/>
              </w:rPr>
              <w:t>Metaflumizona</w:t>
            </w:r>
          </w:p>
          <w:p w:rsidR="00503A41" w:rsidRPr="00993936" w:rsidRDefault="00503A41" w:rsidP="001D205D">
            <w:pPr>
              <w:pStyle w:val="Sinespaciado"/>
              <w:rPr>
                <w:rFonts w:ascii="Arial" w:hAnsi="Arial" w:cs="Arial"/>
                <w:lang w:val="es-ES"/>
              </w:rPr>
            </w:pPr>
            <w:r w:rsidRPr="00993936">
              <w:rPr>
                <w:rFonts w:ascii="Arial" w:hAnsi="Arial" w:cs="Arial"/>
                <w:lang w:val="es-ES"/>
              </w:rPr>
              <w:t>Metoxifenocida</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Azufre + Cipermetrín</w:t>
            </w:r>
          </w:p>
          <w:p w:rsidR="00503A41" w:rsidRPr="00993936" w:rsidRDefault="00503A41" w:rsidP="001D205D">
            <w:pPr>
              <w:pStyle w:val="Sinespaciado"/>
              <w:rPr>
                <w:rFonts w:ascii="Arial" w:hAnsi="Arial" w:cs="Arial"/>
                <w:i/>
                <w:lang w:val="es-ES"/>
              </w:rPr>
            </w:pPr>
            <w:r w:rsidRPr="00993936">
              <w:rPr>
                <w:rFonts w:ascii="Arial" w:hAnsi="Arial" w:cs="Arial"/>
                <w:lang w:val="es-ES"/>
              </w:rPr>
              <w:t xml:space="preserve">Azufre + </w:t>
            </w:r>
            <w:r w:rsidRPr="00993936">
              <w:rPr>
                <w:rFonts w:ascii="Arial" w:hAnsi="Arial" w:cs="Arial"/>
                <w:i/>
                <w:lang w:val="es-ES"/>
              </w:rPr>
              <w:t>Bacillus thuringiensis Kurstaki</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Espinosad  </w:t>
            </w:r>
          </w:p>
          <w:p w:rsidR="00503A41" w:rsidRPr="00993936" w:rsidRDefault="00503A41" w:rsidP="001D205D">
            <w:pPr>
              <w:pStyle w:val="Sinespaciado"/>
              <w:rPr>
                <w:rFonts w:ascii="Arial" w:hAnsi="Arial" w:cs="Arial"/>
                <w:lang w:val="es-ES"/>
              </w:rPr>
            </w:pPr>
            <w:r w:rsidRPr="00993936">
              <w:rPr>
                <w:rFonts w:ascii="Arial" w:hAnsi="Arial" w:cs="Arial"/>
                <w:lang w:val="es-ES"/>
              </w:rPr>
              <w:t>Tebufenocida</w:t>
            </w:r>
          </w:p>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b/>
                <w:sz w:val="18"/>
                <w:szCs w:val="18"/>
                <w:lang w:val="es-ES"/>
              </w:rPr>
            </w:pPr>
            <w:r w:rsidRPr="00993936">
              <w:rPr>
                <w:rFonts w:ascii="Arial" w:hAnsi="Arial" w:cs="Arial"/>
                <w:b/>
                <w:sz w:val="18"/>
                <w:szCs w:val="18"/>
                <w:lang w:val="es-ES"/>
              </w:rPr>
              <w:t>Minadora</w:t>
            </w:r>
          </w:p>
          <w:p w:rsidR="00503A41" w:rsidRPr="00993936" w:rsidRDefault="00503A41" w:rsidP="000452B8">
            <w:pPr>
              <w:rPr>
                <w:rFonts w:ascii="Arial" w:hAnsi="Arial" w:cs="Arial"/>
                <w:i/>
                <w:sz w:val="18"/>
                <w:szCs w:val="18"/>
                <w:lang w:val="es-ES"/>
              </w:rPr>
            </w:pPr>
            <w:r w:rsidRPr="00993936">
              <w:rPr>
                <w:rFonts w:ascii="Arial" w:hAnsi="Arial" w:cs="Arial"/>
                <w:i/>
                <w:sz w:val="18"/>
                <w:szCs w:val="18"/>
                <w:lang w:val="es-ES"/>
              </w:rPr>
              <w:t>L. huidobrensis</w:t>
            </w: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Abamectina</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p w:rsidR="00503A41" w:rsidRPr="00993936" w:rsidRDefault="00503A41" w:rsidP="001D205D">
            <w:pPr>
              <w:pStyle w:val="Sinespaciado"/>
              <w:rPr>
                <w:rFonts w:ascii="Arial" w:hAnsi="Arial" w:cs="Arial"/>
                <w:lang w:val="es-ES"/>
              </w:rPr>
            </w:pPr>
            <w:r w:rsidRPr="00993936">
              <w:rPr>
                <w:rFonts w:ascii="Arial" w:hAnsi="Arial" w:cs="Arial"/>
                <w:lang w:val="es-ES"/>
              </w:rPr>
              <w:t>Ciromazina</w:t>
            </w:r>
          </w:p>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b/>
                <w:sz w:val="18"/>
                <w:szCs w:val="18"/>
                <w:lang w:val="es-ES"/>
              </w:rPr>
            </w:pPr>
            <w:r w:rsidRPr="00993936">
              <w:rPr>
                <w:rFonts w:ascii="Arial" w:hAnsi="Arial" w:cs="Arial"/>
                <w:b/>
                <w:sz w:val="18"/>
                <w:szCs w:val="18"/>
                <w:lang w:val="es-ES"/>
              </w:rPr>
              <w:t>Mosca Blanca</w:t>
            </w:r>
          </w:p>
          <w:p w:rsidR="00503A41" w:rsidRPr="00993936" w:rsidRDefault="00503A41" w:rsidP="000452B8">
            <w:pPr>
              <w:rPr>
                <w:rFonts w:ascii="Arial" w:hAnsi="Arial" w:cs="Arial"/>
                <w:i/>
                <w:sz w:val="18"/>
                <w:szCs w:val="18"/>
                <w:lang w:val="es-ES"/>
              </w:rPr>
            </w:pPr>
            <w:r w:rsidRPr="00993936">
              <w:rPr>
                <w:rFonts w:ascii="Arial" w:hAnsi="Arial" w:cs="Arial"/>
                <w:i/>
                <w:sz w:val="18"/>
                <w:szCs w:val="18"/>
                <w:lang w:val="es-ES"/>
              </w:rPr>
              <w:t>B. tabaci</w:t>
            </w: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Acetamiprid</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Alfa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p w:rsidR="00503A41" w:rsidRPr="00993936" w:rsidRDefault="00503A41" w:rsidP="001D205D">
            <w:pPr>
              <w:pStyle w:val="Sinespaciado"/>
              <w:rPr>
                <w:rFonts w:ascii="Arial" w:hAnsi="Arial" w:cs="Arial"/>
                <w:i/>
                <w:lang w:val="es-ES"/>
              </w:rPr>
            </w:pPr>
            <w:r w:rsidRPr="00993936">
              <w:rPr>
                <w:rFonts w:ascii="Arial" w:hAnsi="Arial" w:cs="Arial"/>
                <w:i/>
                <w:lang w:val="es-ES"/>
              </w:rPr>
              <w:t>Beauveria bassiana</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Imidacloprid</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Lambda-cihalotrín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Metomilo  </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Aceite de naranja</w:t>
            </w:r>
          </w:p>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p w:rsidR="00503A41" w:rsidRPr="00993936" w:rsidRDefault="00503A41" w:rsidP="001D205D">
            <w:pPr>
              <w:pStyle w:val="Sinespaciado"/>
              <w:rPr>
                <w:rFonts w:ascii="Arial" w:hAnsi="Arial" w:cs="Arial"/>
                <w:lang w:val="es-ES"/>
              </w:rPr>
            </w:pPr>
            <w:r w:rsidRPr="00993936">
              <w:rPr>
                <w:rFonts w:ascii="Arial" w:hAnsi="Arial" w:cs="Arial"/>
                <w:lang w:val="es-ES"/>
              </w:rPr>
              <w:t>Pimetrozina</w:t>
            </w:r>
          </w:p>
          <w:p w:rsidR="00503A41" w:rsidRPr="00993936" w:rsidRDefault="00503A41" w:rsidP="001D205D">
            <w:pPr>
              <w:pStyle w:val="Sinespaciado"/>
              <w:rPr>
                <w:rFonts w:ascii="Arial" w:hAnsi="Arial" w:cs="Arial"/>
                <w:lang w:val="es-ES"/>
              </w:rPr>
            </w:pPr>
            <w:r w:rsidRPr="00993936">
              <w:rPr>
                <w:rFonts w:ascii="Arial" w:hAnsi="Arial" w:cs="Arial"/>
                <w:lang w:val="es-ES"/>
              </w:rPr>
              <w:t>Piriproxifén</w:t>
            </w:r>
          </w:p>
          <w:p w:rsidR="00503A41" w:rsidRPr="00993936" w:rsidRDefault="00503A41" w:rsidP="001D205D">
            <w:pPr>
              <w:pStyle w:val="Sinespaciado"/>
              <w:rPr>
                <w:rFonts w:ascii="Arial" w:hAnsi="Arial" w:cs="Arial"/>
                <w:lang w:val="es-ES"/>
              </w:rPr>
            </w:pPr>
            <w:r w:rsidRPr="00993936">
              <w:rPr>
                <w:rFonts w:ascii="Arial" w:hAnsi="Arial" w:cs="Arial"/>
                <w:lang w:val="es-ES"/>
              </w:rPr>
              <w:t>Piretrinas</w:t>
            </w:r>
          </w:p>
          <w:p w:rsidR="00503A41" w:rsidRPr="00993936" w:rsidRDefault="00503A41" w:rsidP="001D205D">
            <w:pPr>
              <w:pStyle w:val="Sinespaciado"/>
              <w:rPr>
                <w:rFonts w:ascii="Arial" w:hAnsi="Arial" w:cs="Arial"/>
                <w:lang w:val="es-ES"/>
              </w:rPr>
            </w:pPr>
            <w:r w:rsidRPr="00993936">
              <w:rPr>
                <w:rFonts w:ascii="Arial" w:hAnsi="Arial" w:cs="Arial"/>
                <w:lang w:val="es-ES"/>
              </w:rPr>
              <w:t>Sales potásicas de ácidos grasos</w:t>
            </w:r>
          </w:p>
          <w:p w:rsidR="00503A41" w:rsidRPr="00993936" w:rsidRDefault="00503A41" w:rsidP="001D205D">
            <w:pPr>
              <w:pStyle w:val="Sinespaciado"/>
              <w:rPr>
                <w:rFonts w:ascii="Arial" w:hAnsi="Arial" w:cs="Arial"/>
                <w:lang w:val="es-ES"/>
              </w:rPr>
            </w:pPr>
            <w:r w:rsidRPr="00993936">
              <w:rPr>
                <w:rFonts w:ascii="Arial" w:hAnsi="Arial" w:cs="Arial"/>
                <w:lang w:val="es-ES"/>
              </w:rPr>
              <w:t>Espiromesifén</w:t>
            </w:r>
          </w:p>
          <w:p w:rsidR="00503A41" w:rsidRPr="00993936" w:rsidRDefault="00503A41" w:rsidP="001D205D">
            <w:pPr>
              <w:pStyle w:val="Sinespaciado"/>
              <w:rPr>
                <w:rFonts w:ascii="Arial" w:hAnsi="Arial" w:cs="Arial"/>
                <w:lang w:val="es-ES"/>
              </w:rPr>
            </w:pPr>
            <w:r w:rsidRPr="00993936">
              <w:rPr>
                <w:rFonts w:ascii="Arial" w:hAnsi="Arial" w:cs="Arial"/>
                <w:lang w:val="es-ES"/>
              </w:rPr>
              <w:t>Spirotetramat</w:t>
            </w:r>
          </w:p>
          <w:p w:rsidR="00503A41" w:rsidRPr="00993936" w:rsidRDefault="00503A41" w:rsidP="001D205D">
            <w:pPr>
              <w:pStyle w:val="Sinespaciado"/>
              <w:rPr>
                <w:rFonts w:ascii="Arial" w:hAnsi="Arial" w:cs="Arial"/>
                <w:lang w:val="es-ES"/>
              </w:rPr>
            </w:pPr>
            <w:r w:rsidRPr="00993936">
              <w:rPr>
                <w:rFonts w:ascii="Arial" w:hAnsi="Arial" w:cs="Arial"/>
                <w:lang w:val="es-ES"/>
              </w:rPr>
              <w:t>Tiacloprid</w:t>
            </w:r>
          </w:p>
          <w:p w:rsidR="00503A41" w:rsidRPr="00993936" w:rsidRDefault="00503A41" w:rsidP="001D205D">
            <w:pPr>
              <w:pStyle w:val="Sinespaciado"/>
              <w:rPr>
                <w:rFonts w:ascii="Arial" w:hAnsi="Arial" w:cs="Arial"/>
                <w:lang w:val="es-ES"/>
              </w:rPr>
            </w:pPr>
            <w:r w:rsidRPr="00993936">
              <w:rPr>
                <w:rFonts w:ascii="Arial" w:hAnsi="Arial" w:cs="Arial"/>
                <w:lang w:val="es-ES"/>
              </w:rPr>
              <w:t>Tiametoxam</w:t>
            </w:r>
          </w:p>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b/>
                <w:sz w:val="18"/>
                <w:szCs w:val="18"/>
                <w:lang w:val="es-ES"/>
              </w:rPr>
            </w:pPr>
            <w:r w:rsidRPr="00993936">
              <w:rPr>
                <w:rFonts w:ascii="Arial" w:hAnsi="Arial" w:cs="Arial"/>
                <w:b/>
                <w:sz w:val="18"/>
                <w:szCs w:val="18"/>
                <w:lang w:val="es-ES"/>
              </w:rPr>
              <w:lastRenderedPageBreak/>
              <w:t>Ácaros</w:t>
            </w: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Abamectina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Acrinatrin </w:t>
            </w:r>
            <w:r w:rsidRPr="00993936">
              <w:rPr>
                <w:rFonts w:ascii="Arial" w:hAnsi="Arial" w:cs="Arial"/>
                <w:i/>
                <w:sz w:val="16"/>
                <w:szCs w:val="16"/>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Azadiractín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Fenbutatina </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t>Oxamilo (2)</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w:t>
            </w:r>
          </w:p>
          <w:p w:rsidR="00503A41" w:rsidRPr="00993936" w:rsidRDefault="00503A41" w:rsidP="001D205D">
            <w:pPr>
              <w:pStyle w:val="Sinespaciado"/>
              <w:rPr>
                <w:rFonts w:ascii="Arial" w:hAnsi="Arial" w:cs="Arial"/>
                <w:lang w:val="es-ES"/>
              </w:rPr>
            </w:pPr>
            <w:r w:rsidRPr="00993936">
              <w:rPr>
                <w:rFonts w:ascii="Arial" w:hAnsi="Arial" w:cs="Arial"/>
                <w:lang w:val="es-ES"/>
              </w:rPr>
              <w:t>Espiromesifén</w:t>
            </w:r>
          </w:p>
        </w:tc>
      </w:tr>
    </w:tbl>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1.2 Materias activas para la producción integrada de pimiento, teniendo en cuenta las indicaciones del cuaderno de explotación y el programa de control integrado de plagas y enfermedades (continuación)</w:t>
      </w:r>
    </w:p>
    <w:p w:rsidR="00503A41" w:rsidRPr="00993936" w:rsidRDefault="00503A41">
      <w:pPr>
        <w:rPr>
          <w:rFonts w:ascii="Arial" w:hAnsi="Arial"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b/>
                <w:sz w:val="18"/>
                <w:szCs w:val="18"/>
                <w:lang w:val="es-ES"/>
              </w:rPr>
            </w:pPr>
          </w:p>
          <w:p w:rsidR="00503A41" w:rsidRPr="00993936" w:rsidRDefault="00503A41" w:rsidP="000452B8">
            <w:pPr>
              <w:rPr>
                <w:rFonts w:ascii="Arial" w:hAnsi="Arial" w:cs="Arial"/>
                <w:b/>
                <w:sz w:val="18"/>
                <w:szCs w:val="18"/>
                <w:lang w:val="es-ES"/>
              </w:rPr>
            </w:pPr>
            <w:r w:rsidRPr="00993936">
              <w:rPr>
                <w:rFonts w:ascii="Arial" w:hAnsi="Arial" w:cs="Arial"/>
                <w:b/>
                <w:sz w:val="18"/>
                <w:szCs w:val="18"/>
                <w:lang w:val="es-ES"/>
              </w:rPr>
              <w:t>Oïdi y Oidioopsi</w:t>
            </w: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Boscalida + Piraclostrobín </w:t>
            </w:r>
          </w:p>
          <w:p w:rsidR="00503A41" w:rsidRPr="00993936" w:rsidRDefault="00503A41" w:rsidP="001D205D">
            <w:pPr>
              <w:pStyle w:val="Sinespaciado"/>
              <w:rPr>
                <w:rFonts w:ascii="Arial" w:hAnsi="Arial" w:cs="Arial"/>
                <w:lang w:val="es-ES"/>
              </w:rPr>
            </w:pPr>
            <w:r w:rsidRPr="00993936">
              <w:rPr>
                <w:rFonts w:ascii="Arial" w:hAnsi="Arial" w:cs="Arial"/>
                <w:lang w:val="es-ES"/>
              </w:rPr>
              <w:t>Ciflufenamida + Difenoconazol</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p w:rsidR="00503A41" w:rsidRPr="00993936" w:rsidRDefault="00503A41" w:rsidP="001D205D">
            <w:pPr>
              <w:pStyle w:val="Sinespaciado"/>
              <w:rPr>
                <w:rFonts w:ascii="Arial" w:hAnsi="Arial" w:cs="Arial"/>
                <w:u w:val="single"/>
                <w:lang w:val="es-ES"/>
              </w:rPr>
            </w:pPr>
            <w:r w:rsidRPr="00993936">
              <w:rPr>
                <w:rFonts w:ascii="Arial" w:hAnsi="Arial" w:cs="Arial"/>
                <w:u w:val="single"/>
                <w:lang w:val="es-ES"/>
              </w:rPr>
              <w:t>Oídio</w:t>
            </w:r>
          </w:p>
          <w:p w:rsidR="00503A41" w:rsidRPr="00993936" w:rsidRDefault="00503A41" w:rsidP="001D205D">
            <w:pPr>
              <w:pStyle w:val="Sinespaciado"/>
              <w:rPr>
                <w:rFonts w:ascii="Arial" w:hAnsi="Arial" w:cs="Arial"/>
                <w:i/>
                <w:lang w:val="es-ES"/>
              </w:rPr>
            </w:pPr>
            <w:r w:rsidRPr="00993936">
              <w:rPr>
                <w:rFonts w:ascii="Arial" w:hAnsi="Arial" w:cs="Arial"/>
                <w:i/>
                <w:lang w:val="es-ES"/>
              </w:rPr>
              <w:t>Ampelomyces quisqualis</w:t>
            </w:r>
          </w:p>
          <w:p w:rsidR="00503A41" w:rsidRPr="00993936" w:rsidRDefault="00503A41" w:rsidP="001D205D">
            <w:pPr>
              <w:pStyle w:val="Sinespaciado"/>
              <w:rPr>
                <w:rFonts w:ascii="Arial" w:hAnsi="Arial" w:cs="Arial"/>
                <w:lang w:val="es-ES"/>
              </w:rPr>
            </w:pPr>
            <w:r w:rsidRPr="00993936">
              <w:rPr>
                <w:rFonts w:ascii="Arial" w:hAnsi="Arial" w:cs="Arial"/>
                <w:lang w:val="es-ES"/>
              </w:rPr>
              <w:t>Carbonato de hidrógeno de potasio</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Ciproconazol </w:t>
            </w:r>
          </w:p>
          <w:p w:rsidR="00503A41" w:rsidRPr="00993936" w:rsidRDefault="00503A41" w:rsidP="001D205D">
            <w:pPr>
              <w:pStyle w:val="Sinespaciado"/>
              <w:rPr>
                <w:rFonts w:ascii="Arial" w:hAnsi="Arial" w:cs="Arial"/>
                <w:lang w:val="es-ES"/>
              </w:rPr>
            </w:pPr>
            <w:r w:rsidRPr="00993936">
              <w:rPr>
                <w:rFonts w:ascii="Arial" w:hAnsi="Arial" w:cs="Arial"/>
                <w:lang w:val="es-ES"/>
              </w:rPr>
              <w:t>Difenoconazol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Kresoxim-metil </w:t>
            </w:r>
          </w:p>
          <w:p w:rsidR="00503A41" w:rsidRPr="00993936" w:rsidRDefault="00503A41" w:rsidP="001D205D">
            <w:pPr>
              <w:pStyle w:val="Sinespaciado"/>
              <w:rPr>
                <w:rFonts w:ascii="Arial" w:hAnsi="Arial" w:cs="Arial"/>
                <w:lang w:val="es-ES"/>
              </w:rPr>
            </w:pPr>
            <w:r w:rsidRPr="00993936">
              <w:rPr>
                <w:rFonts w:ascii="Arial" w:hAnsi="Arial" w:cs="Arial"/>
                <w:lang w:val="es-ES"/>
              </w:rPr>
              <w:t>Metrafenona</w:t>
            </w:r>
          </w:p>
          <w:p w:rsidR="00503A41" w:rsidRPr="00993936" w:rsidRDefault="00503A41" w:rsidP="001D205D">
            <w:pPr>
              <w:pStyle w:val="Sinespaciado"/>
              <w:rPr>
                <w:rFonts w:ascii="Arial" w:hAnsi="Arial" w:cs="Arial"/>
                <w:lang w:val="es-ES"/>
              </w:rPr>
            </w:pPr>
            <w:r w:rsidRPr="00993936">
              <w:rPr>
                <w:rFonts w:ascii="Arial" w:hAnsi="Arial" w:cs="Arial"/>
                <w:lang w:val="es-ES"/>
              </w:rPr>
              <w:t>Miclobutanil</w:t>
            </w:r>
          </w:p>
          <w:p w:rsidR="00503A41" w:rsidRPr="00993936" w:rsidRDefault="00503A41" w:rsidP="001D205D">
            <w:pPr>
              <w:pStyle w:val="Sinespaciado"/>
              <w:rPr>
                <w:rFonts w:ascii="Arial" w:hAnsi="Arial" w:cs="Arial"/>
                <w:lang w:val="es-ES"/>
              </w:rPr>
            </w:pPr>
            <w:r w:rsidRPr="00993936">
              <w:rPr>
                <w:rFonts w:ascii="Arial" w:hAnsi="Arial" w:cs="Arial"/>
                <w:lang w:val="es-ES"/>
              </w:rPr>
              <w:t>Tebuconazol</w:t>
            </w:r>
          </w:p>
          <w:p w:rsidR="00503A41" w:rsidRPr="00993936" w:rsidRDefault="00503A41" w:rsidP="001D205D">
            <w:pPr>
              <w:pStyle w:val="Sinespaciado"/>
              <w:rPr>
                <w:rFonts w:ascii="Arial" w:hAnsi="Arial" w:cs="Arial"/>
                <w:u w:val="single"/>
                <w:lang w:val="es-ES"/>
              </w:rPr>
            </w:pPr>
            <w:r w:rsidRPr="00993936">
              <w:rPr>
                <w:rFonts w:ascii="Arial" w:hAnsi="Arial" w:cs="Arial"/>
                <w:u w:val="single"/>
                <w:lang w:val="es-ES"/>
              </w:rPr>
              <w:t>Oidiopsi</w:t>
            </w:r>
          </w:p>
          <w:p w:rsidR="00503A41" w:rsidRPr="00993936" w:rsidRDefault="00503A41" w:rsidP="001D205D">
            <w:pPr>
              <w:pStyle w:val="Sinespaciado"/>
              <w:rPr>
                <w:rFonts w:ascii="Arial" w:hAnsi="Arial" w:cs="Arial"/>
                <w:lang w:val="es-ES"/>
              </w:rPr>
            </w:pPr>
            <w:r w:rsidRPr="00993936">
              <w:rPr>
                <w:rFonts w:ascii="Arial" w:hAnsi="Arial" w:cs="Arial"/>
                <w:lang w:val="es-ES"/>
              </w:rPr>
              <w:t>Azoxistrobín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Bupirimat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Flutriafol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Miclobutanil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Miclobutanil + Azufre </w:t>
            </w:r>
          </w:p>
          <w:p w:rsidR="00503A41" w:rsidRPr="00993936" w:rsidRDefault="00503A41" w:rsidP="001D205D">
            <w:pPr>
              <w:pStyle w:val="Sinespaciado"/>
              <w:rPr>
                <w:rFonts w:ascii="Arial" w:hAnsi="Arial" w:cs="Arial"/>
                <w:lang w:val="es-ES"/>
              </w:rPr>
            </w:pPr>
            <w:r w:rsidRPr="00993936">
              <w:rPr>
                <w:rFonts w:ascii="Arial" w:hAnsi="Arial" w:cs="Arial"/>
                <w:lang w:val="es-ES"/>
              </w:rPr>
              <w:t>Penconazol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 Cipermetrín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 Ciproconazol  </w:t>
            </w:r>
          </w:p>
          <w:p w:rsidR="00503A41" w:rsidRPr="00993936" w:rsidRDefault="00503A41" w:rsidP="001D205D">
            <w:pPr>
              <w:pStyle w:val="Sinespaciado"/>
              <w:rPr>
                <w:rFonts w:ascii="Arial" w:hAnsi="Arial" w:cs="Arial"/>
                <w:lang w:val="es-ES"/>
              </w:rPr>
            </w:pPr>
            <w:r w:rsidRPr="00993936">
              <w:rPr>
                <w:rFonts w:ascii="Arial" w:hAnsi="Arial" w:cs="Arial"/>
                <w:lang w:val="es-ES"/>
              </w:rPr>
              <w:t>Triadimenol</w:t>
            </w:r>
          </w:p>
          <w:p w:rsidR="00503A41" w:rsidRPr="00993936" w:rsidRDefault="00503A41" w:rsidP="001D205D">
            <w:pPr>
              <w:pStyle w:val="Sinespaciado"/>
              <w:rPr>
                <w:rFonts w:ascii="Arial" w:hAnsi="Arial" w:cs="Arial"/>
                <w:lang w:val="es-ES"/>
              </w:rPr>
            </w:pPr>
            <w:r w:rsidRPr="00993936">
              <w:rPr>
                <w:rFonts w:ascii="Arial" w:hAnsi="Arial" w:cs="Arial"/>
                <w:lang w:val="es-ES"/>
              </w:rPr>
              <w:t>Trifloxistrobina</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Botritis</w:t>
            </w:r>
          </w:p>
        </w:tc>
        <w:tc>
          <w:tcPr>
            <w:tcW w:w="5440"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Bacillus subtilis</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Boscalida + Piraclostrobín </w:t>
            </w:r>
          </w:p>
          <w:p w:rsidR="00503A41" w:rsidRPr="00993936" w:rsidRDefault="00503A41" w:rsidP="001D205D">
            <w:pPr>
              <w:pStyle w:val="Sinespaciado"/>
              <w:rPr>
                <w:rFonts w:ascii="Arial" w:hAnsi="Arial" w:cs="Arial"/>
                <w:lang w:val="es-ES"/>
              </w:rPr>
            </w:pPr>
            <w:r w:rsidRPr="00993936">
              <w:rPr>
                <w:rFonts w:ascii="Arial" w:hAnsi="Arial" w:cs="Arial"/>
                <w:lang w:val="es-ES"/>
              </w:rPr>
              <w:t>Ciprodinil + Fludioxonil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Clortalonil  </w:t>
            </w:r>
          </w:p>
          <w:p w:rsidR="00503A41" w:rsidRPr="00993936" w:rsidRDefault="00503A41" w:rsidP="001D205D">
            <w:pPr>
              <w:pStyle w:val="Sinespaciado"/>
              <w:rPr>
                <w:rFonts w:ascii="Arial" w:hAnsi="Arial" w:cs="Arial"/>
                <w:lang w:val="es-ES"/>
              </w:rPr>
            </w:pPr>
            <w:r w:rsidRPr="00993936">
              <w:rPr>
                <w:rFonts w:ascii="Arial" w:hAnsi="Arial" w:cs="Arial"/>
                <w:lang w:val="es-ES"/>
              </w:rPr>
              <w:t>Fenpirazamina</w:t>
            </w:r>
          </w:p>
          <w:p w:rsidR="00503A41" w:rsidRPr="00993936" w:rsidRDefault="00503A41" w:rsidP="001D205D">
            <w:pPr>
              <w:pStyle w:val="Sinespaciado"/>
              <w:rPr>
                <w:rFonts w:ascii="Arial" w:hAnsi="Arial" w:cs="Arial"/>
                <w:lang w:val="es-ES"/>
              </w:rPr>
            </w:pPr>
            <w:r w:rsidRPr="00993936">
              <w:rPr>
                <w:rFonts w:ascii="Arial" w:hAnsi="Arial" w:cs="Arial"/>
                <w:lang w:val="es-ES"/>
              </w:rPr>
              <w:t>Iprodiona</w:t>
            </w:r>
          </w:p>
          <w:p w:rsidR="00503A41" w:rsidRPr="00993936" w:rsidRDefault="00503A41" w:rsidP="001D205D">
            <w:pPr>
              <w:pStyle w:val="Sinespaciado"/>
              <w:rPr>
                <w:rFonts w:ascii="Arial" w:hAnsi="Arial" w:cs="Arial"/>
                <w:lang w:val="es-ES"/>
              </w:rPr>
            </w:pPr>
            <w:r w:rsidRPr="00993936">
              <w:rPr>
                <w:rFonts w:ascii="Arial" w:hAnsi="Arial" w:cs="Arial"/>
                <w:lang w:val="es-ES"/>
              </w:rPr>
              <w:t>Fenhexamid</w:t>
            </w:r>
          </w:p>
          <w:p w:rsidR="00503A41" w:rsidRPr="00993936" w:rsidRDefault="00503A41" w:rsidP="001D205D">
            <w:pPr>
              <w:pStyle w:val="Sinespaciado"/>
              <w:rPr>
                <w:rFonts w:ascii="Arial" w:hAnsi="Arial" w:cs="Arial"/>
                <w:lang w:val="es-ES"/>
              </w:rPr>
            </w:pPr>
            <w:r w:rsidRPr="00993936">
              <w:rPr>
                <w:rFonts w:ascii="Arial" w:hAnsi="Arial" w:cs="Arial"/>
                <w:lang w:val="es-ES"/>
              </w:rPr>
              <w:t>Pirimetanil</w:t>
            </w:r>
          </w:p>
          <w:p w:rsidR="00503A41" w:rsidRPr="00993936" w:rsidRDefault="00503A41" w:rsidP="001D205D">
            <w:pPr>
              <w:pStyle w:val="Sinespaciado"/>
              <w:rPr>
                <w:rFonts w:ascii="Arial" w:hAnsi="Arial" w:cs="Arial"/>
                <w:lang w:val="es-ES"/>
              </w:rPr>
            </w:pPr>
            <w:r w:rsidRPr="00993936">
              <w:rPr>
                <w:rFonts w:ascii="Arial" w:hAnsi="Arial" w:cs="Arial"/>
                <w:lang w:val="es-ES"/>
              </w:rPr>
              <w:t>Tebuconazol</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sz w:val="18"/>
                <w:szCs w:val="18"/>
                <w:lang w:val="es-ES"/>
              </w:rPr>
            </w:pPr>
            <w:r w:rsidRPr="00993936">
              <w:rPr>
                <w:rFonts w:ascii="Arial" w:hAnsi="Arial" w:cs="Arial"/>
                <w:b/>
                <w:sz w:val="18"/>
                <w:szCs w:val="18"/>
                <w:lang w:val="es-ES"/>
              </w:rPr>
              <w:t>Mildiu</w:t>
            </w:r>
          </w:p>
          <w:p w:rsidR="00503A41" w:rsidRPr="00993936" w:rsidRDefault="00503A41" w:rsidP="000452B8">
            <w:pPr>
              <w:rPr>
                <w:rFonts w:ascii="Arial" w:hAnsi="Arial" w:cs="Arial"/>
                <w:i/>
                <w:sz w:val="18"/>
                <w:szCs w:val="18"/>
                <w:lang w:val="es-ES"/>
              </w:rPr>
            </w:pPr>
            <w:r w:rsidRPr="00993936">
              <w:rPr>
                <w:rFonts w:ascii="Arial" w:hAnsi="Arial" w:cs="Arial"/>
                <w:i/>
                <w:sz w:val="18"/>
                <w:szCs w:val="18"/>
                <w:lang w:val="es-ES"/>
              </w:rPr>
              <w:t>Phytophthora capsici</w:t>
            </w:r>
          </w:p>
          <w:p w:rsidR="00503A41" w:rsidRPr="00993936" w:rsidRDefault="00503A41" w:rsidP="000452B8">
            <w:pPr>
              <w:rPr>
                <w:rFonts w:ascii="Arial" w:hAnsi="Arial" w:cs="Arial"/>
                <w:sz w:val="18"/>
                <w:szCs w:val="18"/>
                <w:lang w:val="es-ES"/>
              </w:rPr>
            </w:pPr>
          </w:p>
        </w:tc>
        <w:tc>
          <w:tcPr>
            <w:tcW w:w="5440" w:type="dxa"/>
          </w:tcPr>
          <w:p w:rsidR="00503A41" w:rsidRPr="00993936" w:rsidRDefault="00503A41" w:rsidP="001D205D">
            <w:pPr>
              <w:pStyle w:val="Sinespaciado"/>
              <w:rPr>
                <w:rFonts w:ascii="Arial" w:hAnsi="Arial" w:cs="Arial"/>
                <w:lang w:val="es-ES"/>
              </w:rPr>
            </w:pPr>
            <w:r w:rsidRPr="00993936">
              <w:rPr>
                <w:rFonts w:ascii="Arial" w:hAnsi="Arial" w:cs="Arial"/>
                <w:lang w:val="es-ES"/>
              </w:rPr>
              <w:t>Azoxistribina</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Clortalonil </w:t>
            </w:r>
          </w:p>
          <w:p w:rsidR="00503A41" w:rsidRPr="00993936" w:rsidRDefault="00503A41" w:rsidP="001D205D">
            <w:pPr>
              <w:pStyle w:val="Sinespaciado"/>
              <w:rPr>
                <w:rFonts w:ascii="Arial" w:hAnsi="Arial" w:cs="Arial"/>
                <w:lang w:val="es-ES"/>
              </w:rPr>
            </w:pPr>
            <w:r w:rsidRPr="00993936">
              <w:rPr>
                <w:rFonts w:ascii="Arial" w:hAnsi="Arial" w:cs="Arial"/>
                <w:lang w:val="es-ES"/>
              </w:rPr>
              <w:t>Etridiazol</w:t>
            </w:r>
          </w:p>
          <w:p w:rsidR="00503A41" w:rsidRPr="00993936" w:rsidRDefault="00503A41" w:rsidP="001D205D">
            <w:pPr>
              <w:pStyle w:val="Sinespaciado"/>
              <w:rPr>
                <w:rFonts w:ascii="Arial" w:hAnsi="Arial" w:cs="Arial"/>
                <w:lang w:val="es-ES"/>
              </w:rPr>
            </w:pPr>
            <w:r w:rsidRPr="00993936">
              <w:rPr>
                <w:rFonts w:ascii="Arial" w:hAnsi="Arial" w:cs="Arial"/>
                <w:lang w:val="es-ES"/>
              </w:rPr>
              <w:t>Mancozeb</w:t>
            </w:r>
          </w:p>
          <w:p w:rsidR="00503A41" w:rsidRPr="00993936" w:rsidRDefault="00503A41" w:rsidP="001D205D">
            <w:pPr>
              <w:pStyle w:val="Sinespaciado"/>
              <w:rPr>
                <w:rFonts w:ascii="Arial" w:hAnsi="Arial" w:cs="Arial"/>
                <w:b/>
                <w:caps/>
                <w:lang w:val="es-ES"/>
              </w:rPr>
            </w:pPr>
            <w:r w:rsidRPr="00993936">
              <w:rPr>
                <w:rFonts w:ascii="Arial" w:hAnsi="Arial" w:cs="Arial"/>
                <w:lang w:val="es-ES"/>
              </w:rPr>
              <w:t>Metalaxil-M</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b/>
                <w:sz w:val="18"/>
                <w:szCs w:val="18"/>
                <w:lang w:val="es-ES"/>
              </w:rPr>
            </w:pPr>
            <w:r w:rsidRPr="00993936">
              <w:rPr>
                <w:rFonts w:ascii="Arial" w:hAnsi="Arial" w:cs="Arial"/>
                <w:b/>
                <w:sz w:val="18"/>
                <w:szCs w:val="18"/>
                <w:lang w:val="es-ES"/>
              </w:rPr>
              <w:t>Fusarium, Pytium y Rhizoctonia</w:t>
            </w:r>
          </w:p>
        </w:tc>
        <w:tc>
          <w:tcPr>
            <w:tcW w:w="5440" w:type="dxa"/>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Etridiazol (aplicación al suelo) </w:t>
            </w:r>
          </w:p>
          <w:p w:rsidR="00503A41" w:rsidRPr="00993936" w:rsidRDefault="00503A41" w:rsidP="001D205D">
            <w:pPr>
              <w:pStyle w:val="Sinespaciado"/>
              <w:rPr>
                <w:rFonts w:ascii="Arial" w:hAnsi="Arial" w:cs="Arial"/>
                <w:i/>
                <w:lang w:val="es-ES"/>
              </w:rPr>
            </w:pPr>
            <w:r w:rsidRPr="00993936">
              <w:rPr>
                <w:rFonts w:ascii="Arial" w:hAnsi="Arial" w:cs="Arial"/>
                <w:i/>
                <w:lang w:val="es-ES"/>
              </w:rPr>
              <w:t>Trichoderma sp.</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b/>
                <w:lang w:val="es-ES"/>
              </w:rPr>
            </w:pPr>
            <w:r w:rsidRPr="00993936">
              <w:rPr>
                <w:rFonts w:ascii="Arial" w:hAnsi="Arial" w:cs="Arial"/>
                <w:b/>
                <w:lang w:val="es-ES"/>
              </w:rPr>
              <w:t>Otras plagas y enfermedades</w:t>
            </w:r>
          </w:p>
        </w:tc>
        <w:tc>
          <w:tcPr>
            <w:tcW w:w="5440" w:type="dxa"/>
          </w:tcPr>
          <w:p w:rsidR="00503A41" w:rsidRPr="00993936" w:rsidRDefault="00503A41" w:rsidP="000452B8">
            <w:pPr>
              <w:pStyle w:val="taula"/>
              <w:rPr>
                <w:rFonts w:cs="Arial"/>
                <w:noProof w:val="0"/>
                <w:sz w:val="22"/>
                <w:szCs w:val="22"/>
                <w:lang w:val="es-ES"/>
              </w:rPr>
            </w:pPr>
            <w:r w:rsidRPr="00993936">
              <w:rPr>
                <w:rFonts w:cs="Arial"/>
                <w:noProof w:val="0"/>
                <w:sz w:val="22"/>
                <w:szCs w:val="22"/>
                <w:lang w:val="es-ES"/>
              </w:rPr>
              <w:t>Las expresamente autorizadas en el cultivo, teniendo en cuenta su efecto sobre la fauna útil y su toxicología</w:t>
            </w:r>
          </w:p>
        </w:tc>
      </w:tr>
    </w:tbl>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jc w:val="center"/>
        <w:rPr>
          <w:rFonts w:ascii="Arial" w:hAnsi="Arial" w:cs="Arial"/>
          <w:b/>
          <w:sz w:val="28"/>
          <w:szCs w:val="28"/>
          <w:u w:val="single"/>
          <w:lang w:val="es-ES"/>
        </w:rPr>
      </w:pPr>
      <w:r w:rsidRPr="00993936">
        <w:rPr>
          <w:rFonts w:ascii="Arial" w:hAnsi="Arial" w:cs="Arial"/>
          <w:b/>
          <w:sz w:val="28"/>
          <w:szCs w:val="28"/>
          <w:u w:val="single"/>
          <w:lang w:val="es-ES"/>
        </w:rPr>
        <w:br w:type="page"/>
      </w:r>
      <w:r w:rsidRPr="00993936">
        <w:rPr>
          <w:rFonts w:ascii="Arial" w:hAnsi="Arial" w:cs="Arial"/>
          <w:b/>
          <w:sz w:val="28"/>
          <w:szCs w:val="28"/>
          <w:u w:val="single"/>
          <w:lang w:val="es-ES"/>
        </w:rPr>
        <w:lastRenderedPageBreak/>
        <w:t>CULTIVO: RÁBANO</w:t>
      </w:r>
    </w:p>
    <w:p w:rsidR="00503A41" w:rsidRPr="00993936" w:rsidRDefault="00503A41" w:rsidP="000452B8">
      <w:pPr>
        <w:jc w:val="center"/>
        <w:rPr>
          <w:rFonts w:ascii="Arial" w:hAnsi="Arial" w:cs="Arial"/>
          <w:b/>
          <w:sz w:val="28"/>
          <w:szCs w:val="28"/>
          <w:u w:val="single"/>
          <w:lang w:val="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4</w:t>
      </w:r>
    </w:p>
    <w:p w:rsidR="00503A41" w:rsidRPr="00993936" w:rsidRDefault="00503A41" w:rsidP="000452B8">
      <w:pPr>
        <w:rPr>
          <w:rFonts w:ascii="Arial" w:hAnsi="Arial" w:cs="Arial"/>
          <w:b/>
          <w:snapToGrid w:val="0"/>
          <w:lang w:val="es-ES" w:eastAsia="es-ES"/>
        </w:rPr>
      </w:pPr>
      <w:r w:rsidRPr="00993936">
        <w:rPr>
          <w:rFonts w:ascii="Arial" w:hAnsi="Arial" w:cs="Arial"/>
          <w:b/>
          <w:snapToGrid w:val="0"/>
          <w:lang w:val="es-ES" w:eastAsia="es-ES"/>
        </w:rPr>
        <w:t>Materias activas de herbicidas para la producción integrada del rábano</w:t>
      </w:r>
    </w:p>
    <w:p w:rsidR="00503A41" w:rsidRPr="00993936" w:rsidRDefault="00503A41" w:rsidP="000452B8">
      <w:pPr>
        <w:rPr>
          <w:rFonts w:ascii="Arial" w:hAnsi="Arial" w:cs="Arial"/>
          <w:b/>
          <w:snapToGrid w:val="0"/>
          <w:lang w:val="es-ES" w:eastAsia="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shd w:val="pct12" w:color="auto" w:fill="FFFFFF"/>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pct20" w:color="auto" w:fill="FFFFFF"/>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5237"/>
          <w:jc w:val="center"/>
        </w:trPr>
        <w:tc>
          <w:tcPr>
            <w:tcW w:w="2418" w:type="pct"/>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 + Glifosato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Diquat</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Fluazifop</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Glifosato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Glufosinato (2) </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eastAsia="es-ES"/>
              </w:rPr>
              <w:t>Piridato</w:t>
            </w:r>
          </w:p>
        </w:tc>
        <w:tc>
          <w:tcPr>
            <w:tcW w:w="2582" w:type="pct"/>
          </w:tcPr>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p>
          <w:p w:rsidR="00503A41" w:rsidRPr="00993936" w:rsidRDefault="00503A41" w:rsidP="000452B8">
            <w:pPr>
              <w:widowControl w:val="0"/>
              <w:ind w:left="360"/>
              <w:rPr>
                <w:rFonts w:ascii="Arial" w:hAnsi="Arial" w:cs="Arial"/>
                <w:snapToGrid w:val="0"/>
                <w:sz w:val="18"/>
                <w:lang w:val="es-ES"/>
              </w:rPr>
            </w:pPr>
            <w:r w:rsidRPr="00993936">
              <w:rPr>
                <w:rFonts w:ascii="Arial" w:hAnsi="Arial" w:cs="Arial"/>
                <w:snapToGrid w:val="0"/>
                <w:sz w:val="18"/>
                <w:lang w:val="es-ES"/>
              </w:rPr>
              <w:t>Qué las restricciones numéricas se detallan al final de este documento.</w:t>
            </w:r>
          </w:p>
          <w:p w:rsidR="00503A41" w:rsidRPr="00993936" w:rsidRDefault="00503A41" w:rsidP="000452B8">
            <w:pPr>
              <w:pStyle w:val="Prrafodelista"/>
              <w:widowControl w:val="0"/>
              <w:rPr>
                <w:rFonts w:ascii="Arial" w:hAnsi="Arial" w:cs="Arial"/>
                <w:b/>
                <w:snapToGrid w:val="0"/>
                <w:sz w:val="20"/>
                <w:lang w:val="es-ES"/>
              </w:rPr>
            </w:pPr>
          </w:p>
        </w:tc>
      </w:tr>
    </w:tbl>
    <w:p w:rsidR="00503A41" w:rsidRPr="00993936" w:rsidRDefault="00503A41" w:rsidP="000452B8">
      <w:pPr>
        <w:rPr>
          <w:rFonts w:ascii="Arial" w:hAnsi="Arial" w:cs="Arial"/>
          <w:b/>
          <w:snapToGrid w:val="0"/>
          <w:lang w:val="es-ES" w:eastAsia="es-ES"/>
        </w:rPr>
      </w:pPr>
    </w:p>
    <w:p w:rsidR="00503A41" w:rsidRPr="00993936" w:rsidRDefault="00503A41" w:rsidP="000452B8">
      <w:pPr>
        <w:rPr>
          <w:rFonts w:ascii="Arial" w:hAnsi="Arial" w:cs="Arial"/>
          <w:snapToGrid w:val="0"/>
          <w:lang w:val="es-ES" w:eastAsia="es-ES"/>
        </w:rPr>
      </w:pP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t>ANEXO 5</w:t>
      </w:r>
    </w:p>
    <w:p w:rsidR="00503A41" w:rsidRPr="00993936" w:rsidRDefault="00503A41" w:rsidP="000452B8">
      <w:pPr>
        <w:jc w:val="both"/>
        <w:rPr>
          <w:rFonts w:ascii="Arial" w:hAnsi="Arial" w:cs="Arial"/>
          <w:b/>
          <w:snapToGrid w:val="0"/>
          <w:lang w:val="es-ES" w:eastAsia="es-ES"/>
        </w:rPr>
      </w:pPr>
    </w:p>
    <w:p w:rsidR="00503A41" w:rsidRPr="00993936" w:rsidRDefault="00503A41" w:rsidP="000452B8">
      <w:pPr>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numPr>
          <w:ilvl w:val="0"/>
          <w:numId w:val="77"/>
        </w:numPr>
        <w:spacing w:before="120" w:after="0" w:line="240" w:lineRule="auto"/>
        <w:jc w:val="both"/>
        <w:rPr>
          <w:rFonts w:ascii="Arial" w:hAnsi="Arial" w:cs="Arial"/>
          <w:lang w:val="es-ES"/>
        </w:rPr>
      </w:pPr>
      <w:r w:rsidRPr="00993936">
        <w:rPr>
          <w:rFonts w:ascii="Arial" w:hAnsi="Arial" w:cs="Arial"/>
          <w:i/>
          <w:lang w:val="es-ES"/>
        </w:rPr>
        <w:t>Aphidius matricariae</w:t>
      </w:r>
    </w:p>
    <w:p w:rsidR="00503A41" w:rsidRPr="00993936" w:rsidRDefault="00503A41" w:rsidP="009D1A2D">
      <w:pPr>
        <w:numPr>
          <w:ilvl w:val="0"/>
          <w:numId w:val="77"/>
        </w:numPr>
        <w:spacing w:before="120" w:after="0" w:line="240" w:lineRule="auto"/>
        <w:jc w:val="both"/>
        <w:rPr>
          <w:rFonts w:ascii="Arial" w:hAnsi="Arial" w:cs="Arial"/>
          <w:lang w:val="es-ES"/>
        </w:rPr>
      </w:pPr>
      <w:r w:rsidRPr="00993936">
        <w:rPr>
          <w:rFonts w:ascii="Arial" w:hAnsi="Arial" w:cs="Arial"/>
          <w:i/>
          <w:lang w:val="es-ES"/>
        </w:rPr>
        <w:t>Diglyphus isaea.</w:t>
      </w:r>
    </w:p>
    <w:p w:rsidR="00503A41" w:rsidRPr="00993936" w:rsidRDefault="00503A41" w:rsidP="000452B8">
      <w:pPr>
        <w:spacing w:before="120"/>
        <w:ind w:left="284"/>
        <w:jc w:val="both"/>
        <w:rPr>
          <w:rFonts w:ascii="Arial" w:hAnsi="Arial" w:cs="Arial"/>
          <w:lang w:val="es-ES"/>
        </w:rPr>
      </w:pPr>
    </w:p>
    <w:p w:rsidR="00503A41" w:rsidRPr="00993936" w:rsidRDefault="00503A41" w:rsidP="000452B8">
      <w:pPr>
        <w:pStyle w:val="Ttulo1"/>
        <w:spacing w:before="120"/>
        <w:rPr>
          <w:rFonts w:ascii="Arial" w:hAnsi="Arial" w:cs="Arial"/>
          <w:b/>
          <w:color w:val="auto"/>
          <w:sz w:val="22"/>
          <w:szCs w:val="22"/>
        </w:rPr>
      </w:pPr>
      <w:r w:rsidRPr="00993936">
        <w:rPr>
          <w:rFonts w:ascii="Arial" w:hAnsi="Arial" w:cs="Arial"/>
          <w:b/>
          <w:caps/>
          <w:color w:val="auto"/>
          <w:sz w:val="22"/>
          <w:szCs w:val="22"/>
        </w:rPr>
        <w:t>ANEXO 6</w:t>
      </w:r>
    </w:p>
    <w:p w:rsidR="00503A41" w:rsidRPr="00993936" w:rsidRDefault="00503A41" w:rsidP="000452B8">
      <w:pPr>
        <w:pStyle w:val="Textoindependiente"/>
        <w:spacing w:before="120"/>
        <w:rPr>
          <w:rFonts w:cs="Arial"/>
          <w:b/>
          <w:szCs w:val="22"/>
          <w:lang w:val="es-ES"/>
        </w:rPr>
      </w:pPr>
      <w:r w:rsidRPr="00993936">
        <w:rPr>
          <w:rFonts w:cs="Arial"/>
          <w:b/>
          <w:szCs w:val="22"/>
          <w:lang w:val="es-ES"/>
        </w:rPr>
        <w:t>Programas de control fitosanitario</w:t>
      </w:r>
    </w:p>
    <w:p w:rsidR="00503A41" w:rsidRPr="00993936" w:rsidRDefault="00503A41" w:rsidP="000452B8">
      <w:pPr>
        <w:pStyle w:val="Textoindependiente"/>
        <w:spacing w:before="120"/>
        <w:rPr>
          <w:rFonts w:cs="Arial"/>
          <w:szCs w:val="22"/>
          <w:lang w:val="es-ES"/>
        </w:rPr>
      </w:pPr>
      <w:r w:rsidRPr="00993936">
        <w:rPr>
          <w:rFonts w:cs="Arial"/>
          <w:szCs w:val="22"/>
          <w:lang w:val="es-ES"/>
        </w:rPr>
        <w:t>Para poder aplicar estos programas con éxito, es imprescindible aplicar unas buenas medidas culturales con el objetivo de iniciar el cultivo con plantas con ausencia</w:t>
      </w:r>
      <w:r w:rsidRPr="00993936">
        <w:rPr>
          <w:rFonts w:cs="Arial"/>
          <w:vanish/>
          <w:szCs w:val="22"/>
          <w:lang w:val="es-ES"/>
        </w:rPr>
        <w:t>&lt;A[limpias|netas]&gt;</w:t>
      </w:r>
      <w:r w:rsidRPr="00993936">
        <w:rPr>
          <w:rFonts w:cs="Arial"/>
          <w:szCs w:val="22"/>
          <w:lang w:val="es-ES"/>
        </w:rPr>
        <w:t xml:space="preserve"> de plagas y enfermedades, disminuir su entrada en el cultivo y la posterior proliferación.</w:t>
      </w:r>
    </w:p>
    <w:p w:rsidR="00503A41" w:rsidRPr="00993936" w:rsidRDefault="00503A41" w:rsidP="000452B8">
      <w:pPr>
        <w:pStyle w:val="Textoindependiente"/>
        <w:spacing w:before="120"/>
        <w:rPr>
          <w:rFonts w:cs="Arial"/>
          <w:szCs w:val="22"/>
          <w:lang w:val="es-ES"/>
        </w:rPr>
      </w:pPr>
      <w:r w:rsidRPr="00993936">
        <w:rPr>
          <w:rFonts w:cs="Arial"/>
          <w:szCs w:val="22"/>
          <w:lang w:val="es-ES"/>
        </w:rPr>
        <w:lastRenderedPageBreak/>
        <w:t xml:space="preserve">Hay un programa específico para el cultivo, que se recoge en el Cuadro nº. 1 de este Anexo.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este Cuadro de Control Fitosanitario se especifican los métodos de muestreo a utilizar, así como los umbrales de intervención para cada una de las plagas y enfermedades más comunes en el cultivo en cuestión.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Como método de control de las diferentes plagas se dará prioridad al control biológico. Únicamente cuando se supere el umbral de intervención estará justificado el tratamiento con alguno de los productos autorizados por aquella plaga o enfermedad. </w:t>
      </w:r>
    </w:p>
    <w:p w:rsidR="00503A41" w:rsidRPr="00993936" w:rsidRDefault="00503A41" w:rsidP="000452B8">
      <w:pPr>
        <w:pStyle w:val="Textoindependiente"/>
        <w:spacing w:before="120"/>
        <w:rPr>
          <w:rFonts w:cs="Arial"/>
          <w:szCs w:val="22"/>
          <w:lang w:val="es-ES"/>
        </w:rPr>
      </w:pPr>
      <w:r w:rsidRPr="00993936">
        <w:rPr>
          <w:rFonts w:cs="Arial"/>
          <w:szCs w:val="22"/>
          <w:lang w:val="es-ES"/>
        </w:rPr>
        <w:t>En caso que el técnico detectara alguna plaga o enfermedad no explícitamente prevista en el Cuadro correspondiente, y que según su criterio pudiera producir pérdidas en el cultivo, se podrá aconsejar un tratamiento con alguno de los productos autorizados en la protección fitosanitaria de aquel cultivo. En la selección del producto se tendrá en cuenta, además de la eficacia en el control de la plaga o enfermedad, la toxicidad del producto y su efecto sobre la fauna útil.</w:t>
      </w:r>
    </w:p>
    <w:p w:rsidR="00503A41" w:rsidRPr="00993936" w:rsidRDefault="00503A41" w:rsidP="000452B8">
      <w:pPr>
        <w:pStyle w:val="Textoindependiente"/>
        <w:spacing w:before="120"/>
        <w:rPr>
          <w:rFonts w:cs="Arial"/>
          <w:szCs w:val="22"/>
          <w:lang w:val="es-ES"/>
        </w:rPr>
      </w:pPr>
      <w:r w:rsidRPr="00993936">
        <w:rPr>
          <w:rFonts w:cs="Arial"/>
          <w:szCs w:val="22"/>
          <w:lang w:val="es-ES"/>
        </w:rPr>
        <w:t>Además de los muestreos específicos propuestos en los Cuadros de Control Fitosanitario, se hará una observación general del cultivo que permita estimar</w:t>
      </w:r>
      <w:r w:rsidRPr="00993936">
        <w:rPr>
          <w:rFonts w:cs="Arial"/>
          <w:vanish/>
          <w:szCs w:val="22"/>
          <w:lang w:val="es-ES"/>
        </w:rPr>
        <w:t>&lt;A[amar|estimar]&gt;</w:t>
      </w:r>
      <w:r w:rsidRPr="00993936">
        <w:rPr>
          <w:rFonts w:cs="Arial"/>
          <w:szCs w:val="22"/>
          <w:lang w:val="es-ES"/>
        </w:rPr>
        <w:t xml:space="preserve"> su estado general, así como la presencia de plagas y/o enfermedades. Los recuentos y las observaciones, y también las instrucciones dejadas, se anotarán en la correspondiente Hoja 3 del Cuaderno de Explotación.</w:t>
      </w:r>
    </w:p>
    <w:p w:rsidR="00503A41" w:rsidRPr="00993936" w:rsidRDefault="00503A41" w:rsidP="000452B8">
      <w:pPr>
        <w:pStyle w:val="Textoindependiente"/>
        <w:spacing w:before="120"/>
        <w:rPr>
          <w:rFonts w:cs="Arial"/>
          <w:szCs w:val="22"/>
          <w:lang w:val="es-ES"/>
        </w:rPr>
      </w:pPr>
      <w:r w:rsidRPr="00993936">
        <w:rPr>
          <w:rFonts w:cs="Arial"/>
          <w:szCs w:val="22"/>
          <w:lang w:val="es-ES"/>
        </w:rPr>
        <w:t>La Hoja 3 se rellenará en el momento de realizar el muestreo siguiendo las indicaciones del Cuadro de Control Fitosanitario del cultivo. En cada una de las columnas se registrará la información solicitada de acuerdo con las instrucciones del cuadro, así como información sobre la presencia de fauna auxiliar asociada: parasitoides (P) o depredadores (DP). Cualquier información adicional con respecto a fauna útil (especie o grupo de enemigo natural) se reflejará en la columna de Observaciones. En base a los recuentos realizados, se calculará el porcentaje de plantas que presentan una determinada plaga o enfermedad (porcentaje de ocupación</w:t>
      </w:r>
      <w:r w:rsidRPr="00993936">
        <w:rPr>
          <w:rFonts w:cs="Arial"/>
          <w:vanish/>
          <w:szCs w:val="22"/>
          <w:lang w:val="es-ES"/>
        </w:rPr>
        <w:t>&lt;A[empleo|ocupación]&gt;</w:t>
      </w:r>
      <w:r w:rsidRPr="00993936">
        <w:rPr>
          <w:rFonts w:cs="Arial"/>
          <w:szCs w:val="22"/>
          <w:lang w:val="es-ES"/>
        </w:rPr>
        <w:t>) o la infestación media cuando sea requerida. También se calculará el porcentaje de plantas que presentan fauna útil asociada a cada una de las plagas.</w:t>
      </w:r>
    </w:p>
    <w:p w:rsidR="00503A41" w:rsidRPr="00993936" w:rsidRDefault="00503A41" w:rsidP="000452B8">
      <w:pPr>
        <w:pStyle w:val="Textoindependiente"/>
        <w:spacing w:before="120"/>
        <w:rPr>
          <w:rFonts w:cs="Arial"/>
          <w:szCs w:val="22"/>
          <w:lang w:val="es-ES"/>
        </w:rPr>
      </w:pPr>
      <w:r w:rsidRPr="00993936">
        <w:rPr>
          <w:rFonts w:cs="Arial"/>
          <w:szCs w:val="22"/>
          <w:lang w:val="es-ES"/>
        </w:rPr>
        <w:t>Los métodos de muestreo y los umbrales de intervención en los casos previstos son los que figuran en el Cuadro 1 de este anexo.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6.1.</w:t>
      </w:r>
      <w:r w:rsidRPr="00993936">
        <w:rPr>
          <w:rFonts w:ascii="Arial" w:hAnsi="Arial" w:cs="Arial"/>
          <w:color w:val="auto"/>
          <w:lang w:val="es-ES"/>
        </w:rPr>
        <w:tab/>
        <w:t>Minadores de hoja (</w:t>
      </w:r>
      <w:r w:rsidRPr="00993936">
        <w:rPr>
          <w:rFonts w:ascii="Arial" w:hAnsi="Arial" w:cs="Arial"/>
          <w:i/>
          <w:color w:val="auto"/>
          <w:lang w:val="es-ES"/>
        </w:rPr>
        <w:t>Liriomyza spp</w:t>
      </w:r>
      <w:r w:rsidRPr="00993936">
        <w:rPr>
          <w:rFonts w:ascii="Arial" w:hAnsi="Arial" w:cs="Arial"/>
          <w:color w:val="auto"/>
          <w:lang w:val="es-ES"/>
        </w:rPr>
        <w:t>.) (MIN)</w:t>
      </w:r>
    </w:p>
    <w:p w:rsidR="00503A41" w:rsidRPr="00993936" w:rsidRDefault="00503A41" w:rsidP="000452B8">
      <w:pPr>
        <w:pStyle w:val="Textoindependiente"/>
        <w:spacing w:before="120"/>
        <w:rPr>
          <w:rFonts w:cs="Arial"/>
          <w:szCs w:val="22"/>
          <w:lang w:val="es-ES"/>
        </w:rPr>
      </w:pPr>
      <w:r w:rsidRPr="00993936">
        <w:rPr>
          <w:rFonts w:cs="Arial"/>
          <w:szCs w:val="22"/>
          <w:lang w:val="es-ES"/>
        </w:rPr>
        <w:t>En la Hoja 3 se anotará la ausencia de minas (-), la existencia de hasta 2 minas por hoja (1) o de más de 2 minas por hoja (2). Cuando</w:t>
      </w:r>
      <w:r w:rsidRPr="00993936">
        <w:rPr>
          <w:rFonts w:cs="Arial"/>
          <w:vanish/>
          <w:szCs w:val="22"/>
          <w:lang w:val="es-ES"/>
        </w:rPr>
        <w:t>&lt;A[Cuando|Cuándo]&gt;</w:t>
      </w:r>
      <w:r w:rsidRPr="00993936">
        <w:rPr>
          <w:rFonts w:cs="Arial"/>
          <w:szCs w:val="22"/>
          <w:lang w:val="es-ES"/>
        </w:rPr>
        <w:t xml:space="preserve"> el nivel medio de minas por hoja sea igual o mayor de 1, se recogerá una muestra de un mínimo de 25 hojas y 50 minas jóvenes. En el laboratorio se evaluará el porcentaje de parasitismo natural causado por </w:t>
      </w:r>
      <w:r w:rsidRPr="00993936">
        <w:rPr>
          <w:rFonts w:cs="Arial"/>
          <w:i/>
          <w:szCs w:val="22"/>
          <w:lang w:val="es-ES"/>
        </w:rPr>
        <w:t xml:space="preserve">Diglyphus isaea </w:t>
      </w:r>
      <w:r w:rsidRPr="00993936">
        <w:rPr>
          <w:rFonts w:cs="Arial"/>
          <w:szCs w:val="22"/>
          <w:lang w:val="es-ES"/>
        </w:rPr>
        <w:t>(</w:t>
      </w:r>
      <w:r w:rsidRPr="00993936">
        <w:rPr>
          <w:rFonts w:cs="Arial"/>
          <w:i/>
          <w:szCs w:val="22"/>
          <w:lang w:val="es-ES"/>
        </w:rPr>
        <w:t>Di</w:t>
      </w:r>
      <w:r w:rsidRPr="00993936">
        <w:rPr>
          <w:rFonts w:cs="Arial"/>
          <w:szCs w:val="22"/>
          <w:lang w:val="es-ES"/>
        </w:rPr>
        <w:t>) (Hoja 2). Si el parasitismo natural (minas muertas y parasitadas) es &gt;25%, se tomará otra muestra al cabo de 15 días para ver cómo evoluciona el conjunto minadora-</w:t>
      </w:r>
      <w:r w:rsidRPr="00993936">
        <w:rPr>
          <w:rFonts w:cs="Arial"/>
          <w:i/>
          <w:szCs w:val="22"/>
          <w:lang w:val="es-ES"/>
        </w:rPr>
        <w:t>Di</w:t>
      </w:r>
      <w:r w:rsidRPr="00993936">
        <w:rPr>
          <w:rFonts w:cs="Arial"/>
          <w:szCs w:val="22"/>
          <w:lang w:val="es-ES"/>
        </w:rPr>
        <w:t>; en caso de que el parasitismo natural sea inferior al 25%, se entenderá que se ha superado el umbral de intervención y podrá realizarse un tratamiento con alguno de los productos autorizados para minadora en aquel cultivo.</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6.2.</w:t>
      </w:r>
      <w:r w:rsidRPr="00993936">
        <w:rPr>
          <w:rFonts w:ascii="Arial" w:hAnsi="Arial" w:cs="Arial"/>
          <w:color w:val="auto"/>
          <w:lang w:val="es-ES"/>
        </w:rPr>
        <w:tab/>
        <w:t>Lepidópteros</w:t>
      </w:r>
      <w:r w:rsidRPr="00993936">
        <w:rPr>
          <w:rFonts w:ascii="Arial" w:hAnsi="Arial" w:cs="Arial"/>
          <w:i/>
          <w:color w:val="auto"/>
          <w:lang w:val="es-ES"/>
        </w:rPr>
        <w:t xml:space="preserve"> </w:t>
      </w:r>
      <w:r w:rsidRPr="00993936">
        <w:rPr>
          <w:rFonts w:ascii="Arial" w:hAnsi="Arial" w:cs="Arial"/>
          <w:color w:val="auto"/>
          <w:lang w:val="es-ES"/>
        </w:rPr>
        <w:t>(LEP)</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la Hoja 3 se anotará la ausencia (-) o la presencia o número de huevos (O), larvas (L) y/o daños (D) en hojas y en frutos producidos por lepidópteros en función de lo que se pida en el Cuadro de Control Fitosanitario de cada cultivo. En la columna de Observaciones se anotará siempre la especie y, si no hay, el tipo de lepidóptero (defoliadora, </w:t>
      </w:r>
      <w:r w:rsidRPr="00993936">
        <w:rPr>
          <w:rFonts w:cs="Arial"/>
          <w:i/>
          <w:szCs w:val="22"/>
          <w:lang w:val="es-ES"/>
        </w:rPr>
        <w:t>H. armigera</w:t>
      </w:r>
      <w:r w:rsidRPr="00993936">
        <w:rPr>
          <w:rFonts w:cs="Arial"/>
          <w:szCs w:val="22"/>
          <w:lang w:val="es-ES"/>
        </w:rPr>
        <w:t xml:space="preserve">, </w:t>
      </w:r>
      <w:r w:rsidRPr="00993936">
        <w:rPr>
          <w:rFonts w:cs="Arial"/>
          <w:i/>
          <w:szCs w:val="22"/>
          <w:lang w:val="es-ES"/>
        </w:rPr>
        <w:t xml:space="preserve">Spodoptera </w:t>
      </w:r>
      <w:r w:rsidRPr="00993936">
        <w:rPr>
          <w:rFonts w:cs="Arial"/>
          <w:szCs w:val="22"/>
          <w:lang w:val="es-ES"/>
        </w:rPr>
        <w:t>sp., dormidora, etc.).</w:t>
      </w:r>
    </w:p>
    <w:p w:rsidR="00503A41" w:rsidRPr="00993936" w:rsidRDefault="00503A41" w:rsidP="000452B8">
      <w:pPr>
        <w:pStyle w:val="Textoindependiente"/>
        <w:spacing w:before="120"/>
        <w:rPr>
          <w:rFonts w:cs="Arial"/>
          <w:szCs w:val="22"/>
          <w:lang w:val="es-ES"/>
        </w:rPr>
      </w:pPr>
      <w:r w:rsidRPr="00993936">
        <w:rPr>
          <w:rFonts w:cs="Arial"/>
          <w:szCs w:val="22"/>
          <w:lang w:val="es-ES"/>
        </w:rPr>
        <w:lastRenderedPageBreak/>
        <w:t>Con respecto a tratamientos, se dará preferencia a los realizados con insecticidas biológicos. El tratamiento se realizará, siempre que sea posible, cuando la plaga esté en fase de larva de primeros estadios.</w:t>
      </w:r>
    </w:p>
    <w:p w:rsidR="00503A41" w:rsidRPr="00993936" w:rsidRDefault="00503A41" w:rsidP="000452B8">
      <w:pPr>
        <w:pStyle w:val="Textoindependiente"/>
        <w:spacing w:before="120"/>
        <w:outlineLvl w:val="0"/>
        <w:rPr>
          <w:rFonts w:cs="Arial"/>
          <w:b/>
          <w:szCs w:val="22"/>
          <w:lang w:val="es-ES"/>
        </w:rPr>
      </w:pPr>
      <w:r w:rsidRPr="00993936">
        <w:rPr>
          <w:rFonts w:cs="Arial"/>
          <w:b/>
          <w:szCs w:val="22"/>
          <w:lang w:val="es-ES"/>
        </w:rPr>
        <w:t xml:space="preserve">6.3. Trips (TRIPS) </w:t>
      </w:r>
    </w:p>
    <w:p w:rsidR="00503A41" w:rsidRPr="00993936" w:rsidRDefault="00503A41" w:rsidP="000452B8">
      <w:pPr>
        <w:pStyle w:val="Textoindependiente"/>
        <w:spacing w:before="120"/>
        <w:rPr>
          <w:rFonts w:cs="Arial"/>
          <w:szCs w:val="22"/>
          <w:lang w:val="es-ES"/>
        </w:rPr>
      </w:pPr>
      <w:r w:rsidRPr="00993936">
        <w:rPr>
          <w:rFonts w:cs="Arial"/>
          <w:szCs w:val="22"/>
          <w:lang w:val="es-ES"/>
        </w:rPr>
        <w:t xml:space="preserve">En los muestreos se anotará la ausencia (-) o la presencia o número de larvas (L), adultos (A) y daños (D) de trips según las directrices del Cuadro de Control Fitosanitario correspondiente del cultivo. En aquellos cultivos donde el virus del bronceado del tomate (TSWV) es un problema importante, se tendrá en cuenta la incidencia de esta enfermedad en la decisión a adoptar. </w:t>
      </w:r>
    </w:p>
    <w:p w:rsidR="00503A41" w:rsidRPr="00993936" w:rsidRDefault="00503A41" w:rsidP="000452B8">
      <w:pPr>
        <w:pStyle w:val="Textoindependiente"/>
        <w:spacing w:before="120"/>
        <w:rPr>
          <w:rFonts w:cs="Arial"/>
          <w:szCs w:val="22"/>
          <w:lang w:val="es-ES"/>
        </w:rPr>
      </w:pPr>
      <w:r w:rsidRPr="00993936">
        <w:rPr>
          <w:rFonts w:cs="Arial"/>
          <w:szCs w:val="22"/>
          <w:lang w:val="es-ES"/>
        </w:rPr>
        <w:t>Es particularmente importante seguir todas las medidas culturales que permitan evitar la extensión de la plaga y reducir la incidencia de este virus.</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6.4.</w:t>
      </w:r>
      <w:r w:rsidRPr="00993936">
        <w:rPr>
          <w:rFonts w:ascii="Arial" w:hAnsi="Arial" w:cs="Arial"/>
          <w:color w:val="auto"/>
          <w:lang w:val="es-ES"/>
        </w:rPr>
        <w:tab/>
        <w:t>Otras plagas (ALTRES PLG)</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plagas no explícitamente previstas en la Hoja 3, especificando en Observaciones la especie objeto del seguimiento. En caso de que aparezca una nueva plaga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6.5.</w:t>
      </w:r>
      <w:r w:rsidRPr="00993936">
        <w:rPr>
          <w:rFonts w:ascii="Arial" w:hAnsi="Arial" w:cs="Arial"/>
          <w:color w:val="auto"/>
          <w:lang w:val="es-ES"/>
        </w:rPr>
        <w:tab/>
        <w:t>Depredadores polífagos (DEP POLF)</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depredadores polífagos, especificando en Observaciones de qué depredadores se trata.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6.6.</w:t>
      </w:r>
      <w:r w:rsidRPr="00993936">
        <w:rPr>
          <w:rFonts w:ascii="Arial" w:hAnsi="Arial" w:cs="Arial"/>
          <w:color w:val="auto"/>
          <w:lang w:val="es-ES"/>
        </w:rPr>
        <w:tab/>
        <w:t>Enfermedades</w:t>
      </w:r>
    </w:p>
    <w:p w:rsidR="00503A41" w:rsidRPr="00993936" w:rsidRDefault="00503A41" w:rsidP="000452B8">
      <w:pPr>
        <w:pStyle w:val="Textoindependiente"/>
        <w:spacing w:before="120"/>
        <w:rPr>
          <w:rFonts w:cs="Arial"/>
          <w:szCs w:val="22"/>
          <w:lang w:val="es-ES"/>
        </w:rPr>
      </w:pPr>
      <w:r w:rsidRPr="00993936">
        <w:rPr>
          <w:rFonts w:cs="Arial"/>
          <w:szCs w:val="22"/>
          <w:lang w:val="es-ES"/>
        </w:rPr>
        <w:t>En las columnas correspondientes de la Hoja 3 se anotará la presencia/ausencia (+/-) de síntomas recientes de las enfermedades más comunas como oídio (OÍDIO), botritis (BOT</w:t>
      </w:r>
      <w:r w:rsidRPr="00993936">
        <w:rPr>
          <w:rFonts w:cs="Arial"/>
          <w:vanish/>
          <w:szCs w:val="22"/>
          <w:lang w:val="es-ES"/>
        </w:rPr>
        <w:t>&lt;A[BOTE|ODRE]&gt;</w:t>
      </w:r>
      <w:r w:rsidRPr="00993936">
        <w:rPr>
          <w:rFonts w:cs="Arial"/>
          <w:szCs w:val="22"/>
          <w:lang w:val="es-ES"/>
        </w:rPr>
        <w:t>), mildiu (MILD) y bacterias (BACT). En caso de observarse síntomas y/o cuando las condiciones agronómicas y/o meteorológicas hagan suponer la aparición de la enfermedad, se realizarán tratamientos con el producto más adecuado de los indicados en el Cuadro 1.2.</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6.7.</w:t>
      </w:r>
      <w:r w:rsidRPr="00993936">
        <w:rPr>
          <w:rFonts w:ascii="Arial" w:hAnsi="Arial" w:cs="Arial"/>
          <w:color w:val="auto"/>
          <w:lang w:val="es-ES"/>
        </w:rPr>
        <w:tab/>
        <w:t>Otras enfermedades (ALTRES MLT)</w:t>
      </w:r>
    </w:p>
    <w:p w:rsidR="00503A41" w:rsidRPr="00993936" w:rsidRDefault="00503A41" w:rsidP="000452B8">
      <w:pPr>
        <w:pStyle w:val="Textoindependiente"/>
        <w:spacing w:before="120"/>
        <w:rPr>
          <w:rFonts w:cs="Arial"/>
          <w:szCs w:val="22"/>
          <w:lang w:val="es-ES"/>
        </w:rPr>
      </w:pPr>
      <w:r w:rsidRPr="00993936">
        <w:rPr>
          <w:rFonts w:cs="Arial"/>
          <w:szCs w:val="22"/>
          <w:lang w:val="es-ES"/>
        </w:rPr>
        <w:t>Se anotará la presencia/ausencia (+/-) de otras enfermedades diferentes a las mencionadas en el Cuadro 1.1 especificando en Observaciones la especie objeto del seguimiento. En caso de que aparezca una nueva enfermedad no especificada en el Cuadro 1.1, su seguimiento también se especificará en esta columna.</w:t>
      </w:r>
    </w:p>
    <w:p w:rsidR="00503A41" w:rsidRPr="00993936" w:rsidRDefault="00503A41" w:rsidP="000452B8">
      <w:pPr>
        <w:pStyle w:val="Ttulo5"/>
        <w:spacing w:before="120"/>
        <w:rPr>
          <w:rFonts w:ascii="Arial" w:hAnsi="Arial" w:cs="Arial"/>
          <w:color w:val="auto"/>
          <w:lang w:val="es-ES"/>
        </w:rPr>
      </w:pPr>
      <w:r w:rsidRPr="00993936">
        <w:rPr>
          <w:rFonts w:ascii="Arial" w:hAnsi="Arial" w:cs="Arial"/>
          <w:color w:val="auto"/>
          <w:lang w:val="es-ES"/>
        </w:rPr>
        <w:t>6.8.</w:t>
      </w:r>
      <w:r w:rsidRPr="00993936">
        <w:rPr>
          <w:rFonts w:ascii="Arial" w:hAnsi="Arial" w:cs="Arial"/>
          <w:color w:val="auto"/>
          <w:lang w:val="es-ES"/>
        </w:rPr>
        <w:tab/>
        <w:t xml:space="preserve">Nemátodos </w:t>
      </w:r>
    </w:p>
    <w:p w:rsidR="00503A41" w:rsidRPr="00993936" w:rsidRDefault="00503A41" w:rsidP="000452B8">
      <w:pPr>
        <w:spacing w:before="120"/>
        <w:jc w:val="both"/>
        <w:rPr>
          <w:rFonts w:ascii="Arial" w:hAnsi="Arial" w:cs="Arial"/>
          <w:b/>
          <w:snapToGrid w:val="0"/>
          <w:lang w:val="es-ES" w:eastAsia="es-ES"/>
        </w:rPr>
      </w:pPr>
      <w:r w:rsidRPr="00993936">
        <w:rPr>
          <w:rFonts w:ascii="Arial" w:hAnsi="Arial" w:cs="Arial"/>
          <w:lang w:val="es-ES"/>
        </w:rPr>
        <w:t>En caso que el cultivo a implantar sea sensible a nemátodos, se escogerán preferentemente variedades resistentes. En caso de que no haya o no sean bien aceptadas por el mercado, se podrán utilizar tratamientos para controlar este problema de suelo en los cultivos en que así lo prevea su Cuadro de Control Fitosanitario. Para justificar este tratamiento, hace falta la autorización previa de Consejo Catalán de la Producción Integrada (CCPI) y se tendrá que adjuntar al Cuaderno de Explotación para Hortalizas la documentación técnica (análisis, etc.) que avale la realización del tratamiento en los términos que fija el correspondiente Cuadro de Control Fitosanitario.</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Cuadro 1.-  Control fitosanitario en rábano</w:t>
      </w:r>
    </w:p>
    <w:p w:rsidR="00503A41" w:rsidRPr="00993936" w:rsidRDefault="00503A41" w:rsidP="000452B8">
      <w:pPr>
        <w:pStyle w:val="Textoindependiente3"/>
        <w:spacing w:before="120"/>
        <w:rPr>
          <w:rFonts w:cs="Arial"/>
          <w:b w:val="0"/>
          <w:szCs w:val="22"/>
          <w:lang w:val="es-ES"/>
        </w:rPr>
      </w:pPr>
      <w:r w:rsidRPr="00993936">
        <w:rPr>
          <w:rFonts w:cs="Arial"/>
          <w:b w:val="0"/>
          <w:szCs w:val="22"/>
          <w:lang w:val="es-ES"/>
        </w:rPr>
        <w:t>1.1 Métodos de evaluación de incidencia, criterios de intervención y fauna auxiliar para el control integrado de plagas y enfermedades del rábano.</w:t>
      </w:r>
    </w:p>
    <w:p w:rsidR="00503A41" w:rsidRPr="00993936" w:rsidRDefault="00503A41" w:rsidP="000452B8">
      <w:pPr>
        <w:pStyle w:val="titol"/>
        <w:spacing w:line="240" w:lineRule="auto"/>
        <w:jc w:val="both"/>
        <w:outlineLvl w:val="0"/>
        <w:rPr>
          <w:rFonts w:cs="Arial"/>
          <w:caps w:val="0"/>
          <w:noProof w:val="0"/>
          <w:sz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3"/>
        <w:gridCol w:w="1814"/>
        <w:gridCol w:w="2056"/>
        <w:gridCol w:w="1450"/>
        <w:gridCol w:w="1571"/>
      </w:tblGrid>
      <w:tr w:rsidR="00503A41" w:rsidRPr="00993936" w:rsidTr="000452B8">
        <w:trPr>
          <w:cantSplit/>
          <w:tblHeader/>
          <w:jc w:val="center"/>
        </w:trPr>
        <w:tc>
          <w:tcPr>
            <w:tcW w:w="1014"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PLAGA / ENFERMEDAD</w:t>
            </w:r>
          </w:p>
        </w:tc>
        <w:tc>
          <w:tcPr>
            <w:tcW w:w="1049"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MÉTODO DE EVALUACIÓN DE INCIDENCIA</w:t>
            </w:r>
          </w:p>
        </w:tc>
        <w:tc>
          <w:tcPr>
            <w:tcW w:w="1189" w:type="pct"/>
            <w:shd w:val="pct12" w:color="auto" w:fill="FFFFFF"/>
            <w:vAlign w:val="center"/>
          </w:tcPr>
          <w:p w:rsidR="00503A41" w:rsidRPr="00993936" w:rsidRDefault="00503A41" w:rsidP="000452B8">
            <w:pPr>
              <w:pStyle w:val="titolstaula"/>
              <w:rPr>
                <w:rFonts w:cs="Arial"/>
                <w:caps/>
                <w:noProof w:val="0"/>
                <w:lang w:val="es-ES"/>
              </w:rPr>
            </w:pPr>
            <w:r w:rsidRPr="00993936">
              <w:rPr>
                <w:rFonts w:cs="Arial"/>
                <w:caps/>
                <w:noProof w:val="0"/>
                <w:lang w:val="es-ES"/>
              </w:rPr>
              <w:t>Criterio de intervención</w:t>
            </w:r>
          </w:p>
        </w:tc>
        <w:tc>
          <w:tcPr>
            <w:tcW w:w="839"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FAUNA AUXILIAR</w:t>
            </w:r>
          </w:p>
        </w:tc>
        <w:tc>
          <w:tcPr>
            <w:tcW w:w="909" w:type="pct"/>
            <w:shd w:val="pct12"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OTROS MÉTODOS (culturales, etc.)</w:t>
            </w:r>
          </w:p>
        </w:tc>
      </w:tr>
      <w:tr w:rsidR="00503A41" w:rsidRPr="00993936" w:rsidTr="000452B8">
        <w:trPr>
          <w:cantSplit/>
          <w:jc w:val="center"/>
        </w:trPr>
        <w:tc>
          <w:tcPr>
            <w:tcW w:w="1014" w:type="pct"/>
            <w:vAlign w:val="center"/>
          </w:tcPr>
          <w:p w:rsidR="00503A41" w:rsidRPr="00993936" w:rsidRDefault="00503A41" w:rsidP="000452B8">
            <w:pPr>
              <w:pStyle w:val="taula"/>
              <w:rPr>
                <w:rFonts w:cs="Arial"/>
                <w:noProof w:val="0"/>
                <w:lang w:val="es-ES"/>
              </w:rPr>
            </w:pPr>
            <w:r w:rsidRPr="00993936">
              <w:rPr>
                <w:rFonts w:cs="Arial"/>
                <w:noProof w:val="0"/>
                <w:lang w:val="es-ES"/>
              </w:rPr>
              <w:lastRenderedPageBreak/>
              <w:t>Orugas aéreas</w:t>
            </w:r>
          </w:p>
          <w:p w:rsidR="00503A41" w:rsidRPr="00993936" w:rsidRDefault="00503A41" w:rsidP="000452B8">
            <w:pPr>
              <w:pStyle w:val="taula"/>
              <w:rPr>
                <w:rFonts w:cs="Arial"/>
                <w:i/>
                <w:noProof w:val="0"/>
                <w:lang w:val="es-ES"/>
              </w:rPr>
            </w:pPr>
            <w:r w:rsidRPr="00993936">
              <w:rPr>
                <w:rFonts w:cs="Arial"/>
                <w:i/>
                <w:noProof w:val="0"/>
                <w:lang w:val="es-ES"/>
              </w:rPr>
              <w:t>Helicoverpa armigera</w:t>
            </w:r>
          </w:p>
          <w:p w:rsidR="00503A41" w:rsidRPr="00993936" w:rsidRDefault="00503A41" w:rsidP="000452B8">
            <w:pPr>
              <w:pStyle w:val="taula"/>
              <w:rPr>
                <w:rFonts w:cs="Arial"/>
                <w:i/>
                <w:noProof w:val="0"/>
                <w:lang w:val="es-ES"/>
              </w:rPr>
            </w:pPr>
            <w:r w:rsidRPr="00993936">
              <w:rPr>
                <w:rFonts w:cs="Arial"/>
                <w:i/>
                <w:noProof w:val="0"/>
                <w:lang w:val="es-ES"/>
              </w:rPr>
              <w:t>Chrysodexis chalcites</w:t>
            </w:r>
          </w:p>
          <w:p w:rsidR="00503A41" w:rsidRPr="00993936" w:rsidRDefault="00503A41" w:rsidP="000452B8">
            <w:pPr>
              <w:pStyle w:val="taula"/>
              <w:rPr>
                <w:rFonts w:cs="Arial"/>
                <w:noProof w:val="0"/>
                <w:lang w:val="es-ES"/>
              </w:rPr>
            </w:pPr>
            <w:r w:rsidRPr="00993936">
              <w:rPr>
                <w:rFonts w:cs="Arial"/>
                <w:i/>
                <w:noProof w:val="0"/>
                <w:lang w:val="es-ES"/>
              </w:rPr>
              <w:t xml:space="preserve">Spodoptera </w:t>
            </w:r>
            <w:r w:rsidRPr="00993936">
              <w:rPr>
                <w:rFonts w:cs="Arial"/>
                <w:noProof w:val="0"/>
                <w:lang w:val="es-ES"/>
              </w:rPr>
              <w:t>sp.</w:t>
            </w:r>
          </w:p>
        </w:tc>
        <w:tc>
          <w:tcPr>
            <w:tcW w:w="1049" w:type="pct"/>
            <w:vMerge w:val="restart"/>
            <w:vAlign w:val="center"/>
          </w:tcPr>
          <w:p w:rsidR="00503A41" w:rsidRPr="00993936" w:rsidRDefault="00503A41" w:rsidP="000452B8">
            <w:pPr>
              <w:pStyle w:val="taula"/>
              <w:rPr>
                <w:rFonts w:cs="Arial"/>
                <w:noProof w:val="0"/>
                <w:lang w:val="es-ES"/>
              </w:rPr>
            </w:pPr>
            <w:r w:rsidRPr="00993936">
              <w:rPr>
                <w:rFonts w:cs="Arial"/>
                <w:noProof w:val="0"/>
                <w:lang w:val="es-ES"/>
              </w:rPr>
              <w:t>Observación en 15 plantas por parcela</w:t>
            </w:r>
          </w:p>
        </w:tc>
        <w:tc>
          <w:tcPr>
            <w:tcW w:w="1189" w:type="pct"/>
            <w:vAlign w:val="center"/>
          </w:tcPr>
          <w:p w:rsidR="00503A41" w:rsidRPr="00993936" w:rsidRDefault="00503A41" w:rsidP="000452B8">
            <w:pPr>
              <w:pStyle w:val="taula"/>
              <w:rPr>
                <w:rFonts w:cs="Arial"/>
                <w:noProof w:val="0"/>
                <w:lang w:val="es-ES"/>
              </w:rPr>
            </w:pPr>
            <w:r w:rsidRPr="00993936">
              <w:rPr>
                <w:rFonts w:cs="Arial"/>
                <w:noProof w:val="0"/>
                <w:lang w:val="es-ES"/>
              </w:rPr>
              <w:t>20% de plantas ocupadas por larvas</w:t>
            </w:r>
          </w:p>
        </w:tc>
        <w:tc>
          <w:tcPr>
            <w:tcW w:w="839" w:type="pct"/>
            <w:vAlign w:val="center"/>
          </w:tcPr>
          <w:p w:rsidR="00503A41" w:rsidRPr="00993936" w:rsidRDefault="00503A41" w:rsidP="000452B8">
            <w:pPr>
              <w:pStyle w:val="taula"/>
              <w:rPr>
                <w:rFonts w:cs="Arial"/>
                <w:noProof w:val="0"/>
                <w:lang w:val="es-ES"/>
              </w:rPr>
            </w:pPr>
            <w:r w:rsidRPr="00993936">
              <w:rPr>
                <w:rFonts w:cs="Arial"/>
                <w:noProof w:val="0"/>
                <w:lang w:val="es-ES"/>
              </w:rPr>
              <w:t>Parasitoides y depredadores generalistas</w:t>
            </w:r>
          </w:p>
        </w:tc>
        <w:tc>
          <w:tcPr>
            <w:tcW w:w="909"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014" w:type="pct"/>
            <w:vAlign w:val="center"/>
          </w:tcPr>
          <w:p w:rsidR="00503A41" w:rsidRPr="00993936" w:rsidRDefault="00503A41" w:rsidP="000452B8">
            <w:pPr>
              <w:pStyle w:val="taula"/>
              <w:rPr>
                <w:rFonts w:cs="Arial"/>
                <w:noProof w:val="0"/>
                <w:lang w:val="es-ES"/>
              </w:rPr>
            </w:pPr>
            <w:r w:rsidRPr="00993936">
              <w:rPr>
                <w:rFonts w:cs="Arial"/>
                <w:noProof w:val="0"/>
                <w:lang w:val="es-ES"/>
              </w:rPr>
              <w:t>Dormidores y gusanos de alambre</w:t>
            </w:r>
          </w:p>
          <w:p w:rsidR="00503A41" w:rsidRPr="00993936" w:rsidRDefault="00503A41" w:rsidP="000452B8">
            <w:pPr>
              <w:pStyle w:val="taula"/>
              <w:rPr>
                <w:rFonts w:cs="Arial"/>
                <w:i/>
                <w:noProof w:val="0"/>
                <w:lang w:val="es-ES"/>
              </w:rPr>
            </w:pPr>
            <w:r w:rsidRPr="00993936">
              <w:rPr>
                <w:rFonts w:cs="Arial"/>
                <w:i/>
                <w:noProof w:val="0"/>
                <w:lang w:val="es-ES"/>
              </w:rPr>
              <w:t>Agrotis segetum, A. Ipsilon</w:t>
            </w:r>
          </w:p>
          <w:p w:rsidR="00503A41" w:rsidRPr="00993936" w:rsidRDefault="00503A41" w:rsidP="000452B8">
            <w:pPr>
              <w:pStyle w:val="taula"/>
              <w:rPr>
                <w:rFonts w:cs="Arial"/>
                <w:noProof w:val="0"/>
                <w:lang w:val="es-ES"/>
              </w:rPr>
            </w:pPr>
            <w:r w:rsidRPr="00993936">
              <w:rPr>
                <w:rFonts w:cs="Arial"/>
                <w:i/>
                <w:noProof w:val="0"/>
                <w:lang w:val="es-ES"/>
              </w:rPr>
              <w:t xml:space="preserve">Agriotes </w:t>
            </w:r>
            <w:r w:rsidRPr="00993936">
              <w:rPr>
                <w:rFonts w:cs="Arial"/>
                <w:noProof w:val="0"/>
                <w:lang w:val="es-ES"/>
              </w:rPr>
              <w:t>sp.</w:t>
            </w:r>
          </w:p>
        </w:tc>
        <w:tc>
          <w:tcPr>
            <w:tcW w:w="1049" w:type="pct"/>
            <w:vMerge/>
            <w:vAlign w:val="center"/>
          </w:tcPr>
          <w:p w:rsidR="00503A41" w:rsidRPr="00993936" w:rsidRDefault="00503A41" w:rsidP="000452B8">
            <w:pPr>
              <w:pStyle w:val="taula"/>
              <w:rPr>
                <w:rFonts w:cs="Arial"/>
                <w:noProof w:val="0"/>
                <w:lang w:val="es-ES"/>
              </w:rPr>
            </w:pPr>
          </w:p>
        </w:tc>
        <w:tc>
          <w:tcPr>
            <w:tcW w:w="1189" w:type="pct"/>
            <w:vAlign w:val="center"/>
          </w:tcPr>
          <w:p w:rsidR="00503A41" w:rsidRPr="00993936" w:rsidRDefault="00503A41" w:rsidP="000452B8">
            <w:pPr>
              <w:pStyle w:val="taula"/>
              <w:rPr>
                <w:rFonts w:cs="Arial"/>
                <w:noProof w:val="0"/>
                <w:lang w:val="es-ES"/>
              </w:rPr>
            </w:pPr>
            <w:r w:rsidRPr="00993936">
              <w:rPr>
                <w:rFonts w:cs="Arial"/>
                <w:noProof w:val="0"/>
                <w:lang w:val="es-ES"/>
              </w:rPr>
              <w:t>Presencia de daños en más del 20% de las plantas</w:t>
            </w:r>
          </w:p>
        </w:tc>
        <w:tc>
          <w:tcPr>
            <w:tcW w:w="839" w:type="pct"/>
            <w:vAlign w:val="center"/>
          </w:tcPr>
          <w:p w:rsidR="00503A41" w:rsidRPr="00993936" w:rsidRDefault="00503A41" w:rsidP="000452B8">
            <w:pPr>
              <w:pStyle w:val="taula"/>
              <w:rPr>
                <w:rFonts w:cs="Arial"/>
                <w:noProof w:val="0"/>
                <w:lang w:val="es-ES"/>
              </w:rPr>
            </w:pPr>
          </w:p>
        </w:tc>
        <w:tc>
          <w:tcPr>
            <w:tcW w:w="909"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014" w:type="pct"/>
            <w:vAlign w:val="center"/>
          </w:tcPr>
          <w:p w:rsidR="00503A41" w:rsidRPr="00993936" w:rsidRDefault="00503A41" w:rsidP="000452B8">
            <w:pPr>
              <w:pStyle w:val="taula"/>
              <w:rPr>
                <w:rFonts w:cs="Arial"/>
                <w:noProof w:val="0"/>
                <w:lang w:val="es-ES"/>
              </w:rPr>
            </w:pPr>
            <w:r w:rsidRPr="00993936">
              <w:rPr>
                <w:rFonts w:cs="Arial"/>
                <w:noProof w:val="0"/>
                <w:lang w:val="es-ES"/>
              </w:rPr>
              <w:t>Minadora</w:t>
            </w:r>
          </w:p>
          <w:p w:rsidR="00503A41" w:rsidRPr="00993936" w:rsidRDefault="00503A41" w:rsidP="000452B8">
            <w:pPr>
              <w:pStyle w:val="taula"/>
              <w:rPr>
                <w:rFonts w:cs="Arial"/>
                <w:i/>
                <w:noProof w:val="0"/>
                <w:lang w:val="es-ES"/>
              </w:rPr>
            </w:pPr>
            <w:r w:rsidRPr="00993936">
              <w:rPr>
                <w:rFonts w:cs="Arial"/>
                <w:i/>
                <w:noProof w:val="0"/>
                <w:lang w:val="es-ES"/>
              </w:rPr>
              <w:t>Liriomyza sp.</w:t>
            </w:r>
          </w:p>
        </w:tc>
        <w:tc>
          <w:tcPr>
            <w:tcW w:w="1049" w:type="pct"/>
            <w:vMerge/>
            <w:vAlign w:val="center"/>
          </w:tcPr>
          <w:p w:rsidR="00503A41" w:rsidRPr="00993936" w:rsidRDefault="00503A41" w:rsidP="000452B8">
            <w:pPr>
              <w:pStyle w:val="taula"/>
              <w:rPr>
                <w:rFonts w:cs="Arial"/>
                <w:noProof w:val="0"/>
                <w:lang w:val="es-ES"/>
              </w:rPr>
            </w:pPr>
          </w:p>
        </w:tc>
        <w:tc>
          <w:tcPr>
            <w:tcW w:w="1189" w:type="pct"/>
            <w:vAlign w:val="center"/>
          </w:tcPr>
          <w:p w:rsidR="00503A41" w:rsidRPr="00993936" w:rsidRDefault="00503A41" w:rsidP="000452B8">
            <w:pPr>
              <w:pStyle w:val="taula"/>
              <w:rPr>
                <w:rFonts w:cs="Arial"/>
                <w:noProof w:val="0"/>
                <w:lang w:val="es-ES"/>
              </w:rPr>
            </w:pPr>
            <w:r w:rsidRPr="00993936">
              <w:rPr>
                <w:rFonts w:cs="Arial"/>
                <w:noProof w:val="0"/>
                <w:lang w:val="es-ES"/>
              </w:rPr>
              <w:t>Ataque importante</w:t>
            </w:r>
          </w:p>
        </w:tc>
        <w:tc>
          <w:tcPr>
            <w:tcW w:w="839" w:type="pct"/>
            <w:vAlign w:val="center"/>
          </w:tcPr>
          <w:p w:rsidR="00503A41" w:rsidRPr="00993936" w:rsidRDefault="00503A41" w:rsidP="000452B8">
            <w:pPr>
              <w:pStyle w:val="taula"/>
              <w:rPr>
                <w:rFonts w:cs="Arial"/>
                <w:noProof w:val="0"/>
                <w:lang w:val="es-ES"/>
              </w:rPr>
            </w:pPr>
            <w:r w:rsidRPr="00993936">
              <w:rPr>
                <w:rFonts w:cs="Arial"/>
                <w:i/>
                <w:noProof w:val="0"/>
                <w:lang w:val="es-ES"/>
              </w:rPr>
              <w:t>Diglyphus isaea</w:t>
            </w:r>
            <w:r w:rsidRPr="00993936">
              <w:rPr>
                <w:rFonts w:cs="Arial"/>
                <w:noProof w:val="0"/>
                <w:lang w:val="es-ES"/>
              </w:rPr>
              <w:t xml:space="preserve"> y otros parasitoides</w:t>
            </w:r>
          </w:p>
        </w:tc>
        <w:tc>
          <w:tcPr>
            <w:tcW w:w="909"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014" w:type="pct"/>
            <w:vAlign w:val="center"/>
          </w:tcPr>
          <w:p w:rsidR="00503A41" w:rsidRPr="00993936" w:rsidRDefault="00503A41" w:rsidP="000452B8">
            <w:pPr>
              <w:pStyle w:val="taula"/>
              <w:rPr>
                <w:rFonts w:cs="Arial"/>
                <w:noProof w:val="0"/>
                <w:lang w:val="es-ES"/>
              </w:rPr>
            </w:pPr>
            <w:r w:rsidRPr="00993936">
              <w:rPr>
                <w:rFonts w:cs="Arial"/>
                <w:noProof w:val="0"/>
                <w:lang w:val="es-ES"/>
              </w:rPr>
              <w:t>Trips</w:t>
            </w:r>
          </w:p>
          <w:p w:rsidR="00503A41" w:rsidRPr="00993936" w:rsidRDefault="00503A41" w:rsidP="000452B8">
            <w:pPr>
              <w:pStyle w:val="taula"/>
              <w:rPr>
                <w:rFonts w:cs="Arial"/>
                <w:i/>
                <w:noProof w:val="0"/>
                <w:lang w:val="es-ES"/>
              </w:rPr>
            </w:pPr>
            <w:r w:rsidRPr="00993936">
              <w:rPr>
                <w:rFonts w:cs="Arial"/>
                <w:i/>
                <w:noProof w:val="0"/>
                <w:lang w:val="es-ES"/>
              </w:rPr>
              <w:t>Frankliniella occidentalis</w:t>
            </w:r>
          </w:p>
          <w:p w:rsidR="00503A41" w:rsidRPr="00993936" w:rsidRDefault="00503A41" w:rsidP="000452B8">
            <w:pPr>
              <w:pStyle w:val="taula"/>
              <w:rPr>
                <w:rFonts w:cs="Arial"/>
                <w:noProof w:val="0"/>
                <w:lang w:val="es-ES"/>
              </w:rPr>
            </w:pPr>
          </w:p>
        </w:tc>
        <w:tc>
          <w:tcPr>
            <w:tcW w:w="1049" w:type="pct"/>
            <w:vMerge/>
            <w:vAlign w:val="center"/>
          </w:tcPr>
          <w:p w:rsidR="00503A41" w:rsidRPr="00993936" w:rsidRDefault="00503A41" w:rsidP="000452B8">
            <w:pPr>
              <w:pStyle w:val="taula"/>
              <w:rPr>
                <w:rFonts w:cs="Arial"/>
                <w:noProof w:val="0"/>
                <w:lang w:val="es-ES"/>
              </w:rPr>
            </w:pPr>
          </w:p>
        </w:tc>
        <w:tc>
          <w:tcPr>
            <w:tcW w:w="1189"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60% de las plantas con trips o daños </w:t>
            </w:r>
          </w:p>
        </w:tc>
        <w:tc>
          <w:tcPr>
            <w:tcW w:w="839" w:type="pct"/>
            <w:vAlign w:val="center"/>
          </w:tcPr>
          <w:p w:rsidR="00503A41" w:rsidRPr="00993936" w:rsidRDefault="00503A41" w:rsidP="000452B8">
            <w:pPr>
              <w:pStyle w:val="taula"/>
              <w:rPr>
                <w:rFonts w:cs="Arial"/>
                <w:noProof w:val="0"/>
                <w:lang w:val="es-ES"/>
              </w:rPr>
            </w:pPr>
          </w:p>
        </w:tc>
        <w:tc>
          <w:tcPr>
            <w:tcW w:w="909"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014" w:type="pct"/>
            <w:vAlign w:val="center"/>
          </w:tcPr>
          <w:p w:rsidR="00503A41" w:rsidRPr="00993936" w:rsidRDefault="00503A41" w:rsidP="000452B8">
            <w:pPr>
              <w:pStyle w:val="taula"/>
              <w:rPr>
                <w:rFonts w:cs="Arial"/>
                <w:i/>
                <w:noProof w:val="0"/>
                <w:lang w:val="es-ES"/>
              </w:rPr>
            </w:pPr>
            <w:r w:rsidRPr="00993936">
              <w:rPr>
                <w:rFonts w:cs="Arial"/>
                <w:i/>
                <w:noProof w:val="0"/>
                <w:lang w:val="es-ES"/>
              </w:rPr>
              <w:t>Rhizoctonia solani</w:t>
            </w:r>
          </w:p>
          <w:p w:rsidR="00503A41" w:rsidRPr="00993936" w:rsidRDefault="00503A41" w:rsidP="000452B8">
            <w:pPr>
              <w:pStyle w:val="taula"/>
              <w:rPr>
                <w:rFonts w:cs="Arial"/>
                <w:noProof w:val="0"/>
                <w:lang w:val="es-ES"/>
              </w:rPr>
            </w:pPr>
            <w:r w:rsidRPr="00993936">
              <w:rPr>
                <w:rFonts w:cs="Arial"/>
                <w:noProof w:val="0"/>
                <w:lang w:val="es-ES"/>
              </w:rPr>
              <w:t>.</w:t>
            </w:r>
          </w:p>
        </w:tc>
        <w:tc>
          <w:tcPr>
            <w:tcW w:w="1049" w:type="pct"/>
            <w:vMerge/>
            <w:vAlign w:val="center"/>
          </w:tcPr>
          <w:p w:rsidR="00503A41" w:rsidRPr="00993936" w:rsidRDefault="00503A41" w:rsidP="000452B8">
            <w:pPr>
              <w:pStyle w:val="taula"/>
              <w:rPr>
                <w:rFonts w:cs="Arial"/>
                <w:noProof w:val="0"/>
                <w:lang w:val="es-ES"/>
              </w:rPr>
            </w:pPr>
          </w:p>
        </w:tc>
        <w:tc>
          <w:tcPr>
            <w:tcW w:w="1189" w:type="pct"/>
            <w:vAlign w:val="center"/>
          </w:tcPr>
          <w:p w:rsidR="00503A41" w:rsidRPr="00993936" w:rsidRDefault="00503A41" w:rsidP="000452B8">
            <w:pPr>
              <w:pStyle w:val="taula"/>
              <w:rPr>
                <w:rFonts w:cs="Arial"/>
                <w:noProof w:val="0"/>
                <w:lang w:val="es-ES"/>
              </w:rPr>
            </w:pPr>
            <w:r w:rsidRPr="00993936">
              <w:rPr>
                <w:rFonts w:cs="Arial"/>
                <w:noProof w:val="0"/>
                <w:lang w:val="es-ES"/>
              </w:rPr>
              <w:t>20% de plantas afectadas</w:t>
            </w:r>
          </w:p>
        </w:tc>
        <w:tc>
          <w:tcPr>
            <w:tcW w:w="839" w:type="pct"/>
            <w:vAlign w:val="center"/>
          </w:tcPr>
          <w:p w:rsidR="00503A41" w:rsidRPr="00993936" w:rsidRDefault="00503A41" w:rsidP="000452B8">
            <w:pPr>
              <w:pStyle w:val="taula"/>
              <w:rPr>
                <w:rFonts w:cs="Arial"/>
                <w:noProof w:val="0"/>
                <w:lang w:val="es-ES"/>
              </w:rPr>
            </w:pPr>
          </w:p>
        </w:tc>
        <w:tc>
          <w:tcPr>
            <w:tcW w:w="909"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014" w:type="pct"/>
            <w:vAlign w:val="center"/>
          </w:tcPr>
          <w:p w:rsidR="00503A41" w:rsidRPr="00993936" w:rsidRDefault="00503A41" w:rsidP="000452B8">
            <w:pPr>
              <w:pStyle w:val="taula"/>
              <w:rPr>
                <w:rFonts w:cs="Arial"/>
                <w:noProof w:val="0"/>
                <w:lang w:val="es-ES"/>
              </w:rPr>
            </w:pPr>
            <w:r w:rsidRPr="00993936">
              <w:rPr>
                <w:rFonts w:cs="Arial"/>
                <w:noProof w:val="0"/>
                <w:lang w:val="es-ES"/>
              </w:rPr>
              <w:t>Fusarium spp.</w:t>
            </w:r>
          </w:p>
        </w:tc>
        <w:tc>
          <w:tcPr>
            <w:tcW w:w="1049" w:type="pct"/>
            <w:vMerge/>
            <w:vAlign w:val="center"/>
          </w:tcPr>
          <w:p w:rsidR="00503A41" w:rsidRPr="00993936" w:rsidRDefault="00503A41" w:rsidP="000452B8">
            <w:pPr>
              <w:pStyle w:val="taula"/>
              <w:rPr>
                <w:rFonts w:cs="Arial"/>
                <w:noProof w:val="0"/>
                <w:lang w:val="es-ES"/>
              </w:rPr>
            </w:pPr>
          </w:p>
        </w:tc>
        <w:tc>
          <w:tcPr>
            <w:tcW w:w="1189" w:type="pct"/>
            <w:vMerge w:val="restart"/>
            <w:vAlign w:val="center"/>
          </w:tcPr>
          <w:p w:rsidR="00503A41" w:rsidRPr="00993936" w:rsidRDefault="00503A41" w:rsidP="000452B8">
            <w:pPr>
              <w:pStyle w:val="taula"/>
              <w:rPr>
                <w:rFonts w:cs="Arial"/>
                <w:noProof w:val="0"/>
                <w:lang w:val="es-ES"/>
              </w:rPr>
            </w:pPr>
            <w:r w:rsidRPr="00993936">
              <w:rPr>
                <w:rFonts w:cs="Arial"/>
                <w:noProof w:val="0"/>
                <w:lang w:val="es-ES"/>
              </w:rPr>
              <w:t>Síntomas, condiciones climáticas favorables para el desarrollo de la enfermedad</w:t>
            </w:r>
          </w:p>
        </w:tc>
        <w:tc>
          <w:tcPr>
            <w:tcW w:w="839" w:type="pct"/>
            <w:vAlign w:val="center"/>
          </w:tcPr>
          <w:p w:rsidR="00503A41" w:rsidRPr="00993936" w:rsidRDefault="00503A41" w:rsidP="000452B8">
            <w:pPr>
              <w:pStyle w:val="taula"/>
              <w:rPr>
                <w:rFonts w:cs="Arial"/>
                <w:noProof w:val="0"/>
                <w:lang w:val="es-ES"/>
              </w:rPr>
            </w:pPr>
          </w:p>
        </w:tc>
        <w:tc>
          <w:tcPr>
            <w:tcW w:w="909"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014" w:type="pct"/>
            <w:vAlign w:val="center"/>
          </w:tcPr>
          <w:p w:rsidR="00503A41" w:rsidRPr="00993936" w:rsidRDefault="00503A41" w:rsidP="000452B8">
            <w:pPr>
              <w:pStyle w:val="taula"/>
              <w:rPr>
                <w:rFonts w:cs="Arial"/>
                <w:noProof w:val="0"/>
                <w:lang w:val="es-ES"/>
              </w:rPr>
            </w:pPr>
            <w:r w:rsidRPr="00993936">
              <w:rPr>
                <w:rFonts w:cs="Arial"/>
                <w:noProof w:val="0"/>
                <w:lang w:val="es-ES"/>
              </w:rPr>
              <w:t xml:space="preserve">Mildiu </w:t>
            </w:r>
          </w:p>
          <w:p w:rsidR="00503A41" w:rsidRPr="00993936" w:rsidRDefault="00503A41" w:rsidP="000452B8">
            <w:pPr>
              <w:pStyle w:val="taula"/>
              <w:rPr>
                <w:rFonts w:cs="Arial"/>
                <w:i/>
                <w:noProof w:val="0"/>
                <w:lang w:val="es-ES"/>
              </w:rPr>
            </w:pPr>
            <w:r w:rsidRPr="00993936">
              <w:rPr>
                <w:rFonts w:cs="Arial"/>
                <w:i/>
                <w:noProof w:val="0"/>
                <w:lang w:val="es-ES"/>
              </w:rPr>
              <w:t>Albugo almibarada</w:t>
            </w:r>
          </w:p>
          <w:p w:rsidR="00503A41" w:rsidRPr="00993936" w:rsidRDefault="00503A41" w:rsidP="000452B8">
            <w:pPr>
              <w:pStyle w:val="taula"/>
              <w:rPr>
                <w:rFonts w:cs="Arial"/>
                <w:i/>
                <w:noProof w:val="0"/>
                <w:lang w:val="es-ES"/>
              </w:rPr>
            </w:pPr>
          </w:p>
        </w:tc>
        <w:tc>
          <w:tcPr>
            <w:tcW w:w="1049" w:type="pct"/>
            <w:vMerge/>
            <w:vAlign w:val="center"/>
          </w:tcPr>
          <w:p w:rsidR="00503A41" w:rsidRPr="00993936" w:rsidRDefault="00503A41" w:rsidP="000452B8">
            <w:pPr>
              <w:pStyle w:val="taula"/>
              <w:rPr>
                <w:rFonts w:cs="Arial"/>
                <w:noProof w:val="0"/>
                <w:lang w:val="es-ES"/>
              </w:rPr>
            </w:pPr>
          </w:p>
        </w:tc>
        <w:tc>
          <w:tcPr>
            <w:tcW w:w="1189" w:type="pct"/>
            <w:vMerge/>
            <w:vAlign w:val="center"/>
          </w:tcPr>
          <w:p w:rsidR="00503A41" w:rsidRPr="00993936" w:rsidRDefault="00503A41" w:rsidP="000452B8">
            <w:pPr>
              <w:pStyle w:val="taula"/>
              <w:rPr>
                <w:rFonts w:cs="Arial"/>
                <w:noProof w:val="0"/>
                <w:lang w:val="es-ES"/>
              </w:rPr>
            </w:pPr>
          </w:p>
        </w:tc>
        <w:tc>
          <w:tcPr>
            <w:tcW w:w="839" w:type="pct"/>
            <w:vAlign w:val="center"/>
          </w:tcPr>
          <w:p w:rsidR="00503A41" w:rsidRPr="00993936" w:rsidRDefault="00503A41" w:rsidP="000452B8">
            <w:pPr>
              <w:pStyle w:val="taula"/>
              <w:rPr>
                <w:rFonts w:cs="Arial"/>
                <w:noProof w:val="0"/>
                <w:lang w:val="es-ES"/>
              </w:rPr>
            </w:pPr>
          </w:p>
        </w:tc>
        <w:tc>
          <w:tcPr>
            <w:tcW w:w="909" w:type="pct"/>
            <w:vAlign w:val="center"/>
          </w:tcPr>
          <w:p w:rsidR="00503A41" w:rsidRPr="00993936" w:rsidRDefault="00503A41" w:rsidP="000452B8">
            <w:pPr>
              <w:pStyle w:val="taula"/>
              <w:rPr>
                <w:rFonts w:cs="Arial"/>
                <w:noProof w:val="0"/>
                <w:lang w:val="es-ES"/>
              </w:rPr>
            </w:pPr>
          </w:p>
        </w:tc>
      </w:tr>
      <w:tr w:rsidR="00503A41" w:rsidRPr="00993936" w:rsidTr="000452B8">
        <w:trPr>
          <w:cantSplit/>
          <w:jc w:val="center"/>
        </w:trPr>
        <w:tc>
          <w:tcPr>
            <w:tcW w:w="1014" w:type="pct"/>
            <w:vAlign w:val="center"/>
          </w:tcPr>
          <w:p w:rsidR="00503A41" w:rsidRPr="00993936" w:rsidRDefault="00503A41" w:rsidP="000452B8">
            <w:pPr>
              <w:rPr>
                <w:rFonts w:ascii="Arial" w:hAnsi="Arial" w:cs="Arial"/>
                <w:sz w:val="16"/>
                <w:lang w:val="es-ES"/>
              </w:rPr>
            </w:pPr>
            <w:r w:rsidRPr="00993936">
              <w:rPr>
                <w:rFonts w:ascii="Arial" w:hAnsi="Arial" w:cs="Arial"/>
                <w:sz w:val="16"/>
                <w:lang w:val="es-ES"/>
              </w:rPr>
              <w:t>Otras plagas y enfermedades</w:t>
            </w:r>
          </w:p>
          <w:p w:rsidR="00503A41" w:rsidRPr="00993936" w:rsidRDefault="00503A41" w:rsidP="000452B8">
            <w:pPr>
              <w:rPr>
                <w:rFonts w:ascii="Arial" w:hAnsi="Arial" w:cs="Arial"/>
                <w:sz w:val="16"/>
                <w:lang w:val="es-ES"/>
              </w:rPr>
            </w:pPr>
          </w:p>
        </w:tc>
        <w:tc>
          <w:tcPr>
            <w:tcW w:w="1049" w:type="pct"/>
            <w:vMerge/>
            <w:vAlign w:val="center"/>
          </w:tcPr>
          <w:p w:rsidR="00503A41" w:rsidRPr="00993936" w:rsidRDefault="00503A41" w:rsidP="000452B8">
            <w:pPr>
              <w:rPr>
                <w:rFonts w:ascii="Arial" w:hAnsi="Arial" w:cs="Arial"/>
                <w:sz w:val="16"/>
                <w:lang w:val="es-ES"/>
              </w:rPr>
            </w:pPr>
          </w:p>
        </w:tc>
        <w:tc>
          <w:tcPr>
            <w:tcW w:w="1189" w:type="pct"/>
            <w:vAlign w:val="center"/>
          </w:tcPr>
          <w:p w:rsidR="00503A41" w:rsidRPr="00993936" w:rsidRDefault="00503A41" w:rsidP="000452B8">
            <w:pPr>
              <w:rPr>
                <w:rFonts w:ascii="Arial" w:hAnsi="Arial" w:cs="Arial"/>
                <w:sz w:val="16"/>
                <w:lang w:val="es-ES"/>
              </w:rPr>
            </w:pPr>
            <w:r w:rsidRPr="00993936">
              <w:rPr>
                <w:rFonts w:ascii="Arial" w:hAnsi="Arial" w:cs="Arial"/>
                <w:sz w:val="16"/>
                <w:lang w:val="es-ES"/>
              </w:rPr>
              <w:t xml:space="preserve">Intervenciones en función de las prescripciones técnicas </w:t>
            </w:r>
          </w:p>
        </w:tc>
        <w:tc>
          <w:tcPr>
            <w:tcW w:w="839" w:type="pct"/>
            <w:vAlign w:val="center"/>
          </w:tcPr>
          <w:p w:rsidR="00503A41" w:rsidRPr="00993936" w:rsidRDefault="00503A41" w:rsidP="000452B8">
            <w:pPr>
              <w:rPr>
                <w:rFonts w:ascii="Arial" w:hAnsi="Arial" w:cs="Arial"/>
                <w:sz w:val="16"/>
                <w:lang w:val="es-ES"/>
              </w:rPr>
            </w:pPr>
          </w:p>
        </w:tc>
        <w:tc>
          <w:tcPr>
            <w:tcW w:w="909" w:type="pct"/>
            <w:vAlign w:val="center"/>
          </w:tcPr>
          <w:p w:rsidR="00503A41" w:rsidRPr="00993936" w:rsidRDefault="00503A41" w:rsidP="000452B8">
            <w:pPr>
              <w:pStyle w:val="Ttulo4"/>
              <w:rPr>
                <w:rFonts w:ascii="Arial" w:hAnsi="Arial" w:cs="Arial"/>
                <w:color w:val="auto"/>
                <w:lang w:val="es-ES"/>
              </w:rPr>
            </w:pPr>
          </w:p>
        </w:tc>
      </w:tr>
    </w:tbl>
    <w:p w:rsidR="00503A41" w:rsidRPr="00993936" w:rsidRDefault="00503A41" w:rsidP="000452B8">
      <w:pPr>
        <w:pStyle w:val="Textoindependiente3"/>
        <w:rPr>
          <w:rFonts w:cs="Arial"/>
          <w:b w:val="0"/>
          <w:szCs w:val="22"/>
          <w:lang w:val="es-ES"/>
        </w:rPr>
      </w:pPr>
    </w:p>
    <w:p w:rsidR="00503A41" w:rsidRPr="00993936" w:rsidRDefault="00503A41" w:rsidP="00571B14">
      <w:pPr>
        <w:pStyle w:val="Textoindependiente3"/>
        <w:rPr>
          <w:rFonts w:cs="Arial"/>
          <w:b w:val="0"/>
          <w:szCs w:val="22"/>
          <w:lang w:val="es-ES"/>
        </w:rPr>
      </w:pPr>
      <w:r w:rsidRPr="00993936">
        <w:rPr>
          <w:rFonts w:cs="Arial"/>
          <w:b w:val="0"/>
          <w:szCs w:val="22"/>
          <w:lang w:val="es-ES"/>
        </w:rPr>
        <w:t xml:space="preserve">1.2 Materias activas para la producción integrada de rábano, teniendo en cuenta las indicaciones del Cuaderno de explotación y el Programa de control integrado de plagas y enfermedades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tblHeader/>
          <w:jc w:val="center"/>
        </w:trPr>
        <w:tc>
          <w:tcPr>
            <w:tcW w:w="3544" w:type="dxa"/>
            <w:tcBorders>
              <w:top w:val="single" w:sz="4" w:space="0" w:color="auto"/>
            </w:tcBorders>
            <w:shd w:val="pct15"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PLAGA / ENFERMEDAD</w:t>
            </w:r>
          </w:p>
        </w:tc>
        <w:tc>
          <w:tcPr>
            <w:tcW w:w="5440" w:type="dxa"/>
            <w:tcBorders>
              <w:top w:val="single" w:sz="4" w:space="0" w:color="auto"/>
            </w:tcBorders>
            <w:shd w:val="pct15" w:color="auto" w:fill="FFFFFF"/>
            <w:vAlign w:val="center"/>
          </w:tcPr>
          <w:p w:rsidR="00503A41" w:rsidRPr="00993936" w:rsidRDefault="00503A41" w:rsidP="000452B8">
            <w:pPr>
              <w:pStyle w:val="titolstaula"/>
              <w:rPr>
                <w:rFonts w:cs="Arial"/>
                <w:noProof w:val="0"/>
                <w:lang w:val="es-ES"/>
              </w:rPr>
            </w:pPr>
            <w:r w:rsidRPr="00993936">
              <w:rPr>
                <w:rFonts w:cs="Arial"/>
                <w:noProof w:val="0"/>
                <w:lang w:val="es-ES"/>
              </w:rPr>
              <w:t xml:space="preserve">CONTROL  </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Orugas aéreas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Helicoverpa armigera</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Chrysodexis chalcites</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 xml:space="preserve">Spodoptera </w:t>
            </w:r>
            <w:r w:rsidRPr="00993936">
              <w:rPr>
                <w:rFonts w:cs="Arial"/>
                <w:noProof w:val="0"/>
                <w:sz w:val="18"/>
                <w:szCs w:val="18"/>
                <w:lang w:val="es-ES"/>
              </w:rPr>
              <w:t>sp.</w:t>
            </w:r>
          </w:p>
          <w:p w:rsidR="00503A41" w:rsidRPr="00993936" w:rsidRDefault="00503A41" w:rsidP="000452B8">
            <w:pPr>
              <w:pStyle w:val="taula"/>
              <w:rPr>
                <w:rFonts w:cs="Arial"/>
                <w:noProof w:val="0"/>
                <w:sz w:val="18"/>
                <w:szCs w:val="18"/>
                <w:lang w:val="es-ES"/>
              </w:rPr>
            </w:pPr>
          </w:p>
        </w:tc>
        <w:tc>
          <w:tcPr>
            <w:tcW w:w="5440" w:type="dxa"/>
          </w:tcPr>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 xml:space="preserve">Azadiractín </w:t>
            </w:r>
          </w:p>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 xml:space="preserve">Bacillus thuringiensis var. aizawai </w:t>
            </w:r>
          </w:p>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 xml:space="preserve">Bacillus thuringiensis var. kurstaki </w:t>
            </w:r>
          </w:p>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Clorantraniliprol</w:t>
            </w:r>
          </w:p>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 xml:space="preserve">Clorpirifos    </w:t>
            </w:r>
          </w:p>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Deltametrín</w:t>
            </w:r>
          </w:p>
          <w:p w:rsidR="00503A41" w:rsidRPr="00993936" w:rsidRDefault="00503A41" w:rsidP="001D205D">
            <w:pPr>
              <w:pStyle w:val="taula"/>
              <w:rPr>
                <w:rFonts w:cs="Arial"/>
                <w:noProof w:val="0"/>
                <w:sz w:val="18"/>
                <w:szCs w:val="18"/>
                <w:lang w:val="es-ES"/>
              </w:rPr>
            </w:pPr>
            <w:r w:rsidRPr="00993936">
              <w:rPr>
                <w:rFonts w:cs="Arial"/>
                <w:noProof w:val="0"/>
                <w:sz w:val="18"/>
                <w:szCs w:val="18"/>
                <w:lang w:val="es-ES"/>
              </w:rPr>
              <w:t xml:space="preserve">Lambda-cihalotrín    </w:t>
            </w:r>
          </w:p>
          <w:p w:rsidR="00503A41" w:rsidRPr="00993936" w:rsidRDefault="00503A41" w:rsidP="001D205D">
            <w:pPr>
              <w:pStyle w:val="taula"/>
              <w:rPr>
                <w:rFonts w:cs="Arial"/>
                <w:strike/>
                <w:lang w:val="es-ES"/>
              </w:rPr>
            </w:pPr>
            <w:r w:rsidRPr="00993936">
              <w:rPr>
                <w:rFonts w:cs="Arial"/>
                <w:noProof w:val="0"/>
                <w:sz w:val="18"/>
                <w:szCs w:val="18"/>
                <w:lang w:val="es-ES"/>
              </w:rPr>
              <w:t>Piretrinas</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Dormidores y gusanos de alambre</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Agrotis segetum, A. Ipsilon</w:t>
            </w:r>
          </w:p>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 xml:space="preserve">Agriotes </w:t>
            </w:r>
            <w:r w:rsidRPr="00993936">
              <w:rPr>
                <w:rFonts w:cs="Arial"/>
                <w:noProof w:val="0"/>
                <w:sz w:val="18"/>
                <w:szCs w:val="18"/>
                <w:lang w:val="es-ES"/>
              </w:rPr>
              <w:t>sp.</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Azadiractín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Clorpirifos (cebo)</w:t>
            </w:r>
          </w:p>
          <w:p w:rsidR="00503A41" w:rsidRPr="00993936" w:rsidRDefault="00503A41" w:rsidP="000452B8">
            <w:pPr>
              <w:pStyle w:val="taula"/>
              <w:rPr>
                <w:rFonts w:cs="Arial"/>
                <w:dstrike/>
                <w:noProof w:val="0"/>
                <w:sz w:val="18"/>
                <w:szCs w:val="18"/>
                <w:lang w:val="es-ES"/>
              </w:rPr>
            </w:pPr>
            <w:r w:rsidRPr="00993936">
              <w:rPr>
                <w:rFonts w:cs="Arial"/>
                <w:noProof w:val="0"/>
                <w:sz w:val="18"/>
                <w:szCs w:val="18"/>
                <w:lang w:val="es-ES"/>
              </w:rPr>
              <w:t>Piretrinas</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 xml:space="preserve">Pulgones </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Azadiractín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Deltametrín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Lambda-cihalotrín</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Pirimicarb (2)</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Minadora</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Liriomyza sp.</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 xml:space="preserve">Azadiractín </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Piretrinas</w:t>
            </w:r>
          </w:p>
        </w:tc>
      </w:tr>
      <w:tr w:rsidR="00503A41" w:rsidRPr="00993936" w:rsidTr="000452B8">
        <w:trPr>
          <w:cantSplit/>
          <w:trHeight w:val="433"/>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Trips</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Frankliniella occidentalis</w:t>
            </w:r>
          </w:p>
        </w:tc>
        <w:tc>
          <w:tcPr>
            <w:tcW w:w="5440" w:type="dxa"/>
          </w:tcPr>
          <w:p w:rsidR="00503A41" w:rsidRPr="00993936" w:rsidRDefault="00503A41" w:rsidP="000452B8">
            <w:pPr>
              <w:pStyle w:val="taula"/>
              <w:tabs>
                <w:tab w:val="left" w:pos="2190"/>
              </w:tabs>
              <w:jc w:val="both"/>
              <w:rPr>
                <w:rFonts w:cs="Arial"/>
                <w:noProof w:val="0"/>
                <w:sz w:val="18"/>
                <w:szCs w:val="18"/>
                <w:lang w:val="es-ES"/>
              </w:rPr>
            </w:pPr>
            <w:r w:rsidRPr="00993936">
              <w:rPr>
                <w:rFonts w:cs="Arial"/>
                <w:noProof w:val="0"/>
                <w:sz w:val="18"/>
                <w:szCs w:val="18"/>
                <w:lang w:val="es-ES"/>
              </w:rPr>
              <w:t xml:space="preserve">Azadiractín </w:t>
            </w:r>
          </w:p>
          <w:p w:rsidR="00503A41" w:rsidRPr="00993936" w:rsidRDefault="00503A41" w:rsidP="000452B8">
            <w:pPr>
              <w:pStyle w:val="taula"/>
              <w:jc w:val="both"/>
              <w:rPr>
                <w:rFonts w:cs="Arial"/>
                <w:noProof w:val="0"/>
                <w:sz w:val="18"/>
                <w:szCs w:val="18"/>
                <w:lang w:val="es-ES"/>
              </w:rPr>
            </w:pPr>
            <w:r w:rsidRPr="00993936">
              <w:rPr>
                <w:rFonts w:cs="Arial"/>
                <w:noProof w:val="0"/>
                <w:sz w:val="18"/>
                <w:szCs w:val="18"/>
                <w:lang w:val="es-ES"/>
              </w:rPr>
              <w:t>Deltametrín</w:t>
            </w:r>
          </w:p>
          <w:p w:rsidR="00503A41" w:rsidRPr="00993936" w:rsidRDefault="00503A41" w:rsidP="000452B8">
            <w:pPr>
              <w:pStyle w:val="taula"/>
              <w:jc w:val="both"/>
              <w:rPr>
                <w:rFonts w:cs="Arial"/>
                <w:noProof w:val="0"/>
                <w:sz w:val="18"/>
                <w:szCs w:val="18"/>
                <w:lang w:val="es-ES"/>
              </w:rPr>
            </w:pPr>
            <w:r w:rsidRPr="00993936">
              <w:rPr>
                <w:rFonts w:cs="Arial"/>
                <w:noProof w:val="0"/>
                <w:sz w:val="18"/>
                <w:szCs w:val="18"/>
                <w:lang w:val="es-ES"/>
              </w:rPr>
              <w:t>Piretrinas</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noProof w:val="0"/>
                <w:sz w:val="18"/>
                <w:szCs w:val="18"/>
                <w:lang w:val="es-ES"/>
              </w:rPr>
            </w:pPr>
            <w:r w:rsidRPr="00993936">
              <w:rPr>
                <w:rFonts w:cs="Arial"/>
                <w:i/>
                <w:noProof w:val="0"/>
                <w:sz w:val="18"/>
                <w:szCs w:val="18"/>
                <w:lang w:val="es-ES"/>
              </w:rPr>
              <w:t>Rhizoctonia solani</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Pencicuró</w:t>
            </w: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Fusarium spp.</w:t>
            </w:r>
          </w:p>
        </w:tc>
        <w:tc>
          <w:tcPr>
            <w:tcW w:w="5440" w:type="dxa"/>
          </w:tcPr>
          <w:p w:rsidR="00503A41" w:rsidRPr="00993936" w:rsidRDefault="00503A41" w:rsidP="000452B8">
            <w:pPr>
              <w:pStyle w:val="taula"/>
              <w:tabs>
                <w:tab w:val="center" w:pos="2650"/>
              </w:tabs>
              <w:rPr>
                <w:rFonts w:cs="Arial"/>
                <w:noProof w:val="0"/>
                <w:sz w:val="18"/>
                <w:szCs w:val="18"/>
                <w:lang w:val="es-ES"/>
              </w:rPr>
            </w:pPr>
          </w:p>
        </w:tc>
      </w:tr>
      <w:tr w:rsidR="00503A41" w:rsidRPr="00993936" w:rsidTr="000452B8">
        <w:trPr>
          <w:cantSplit/>
          <w:trHeight w:val="240"/>
          <w:jc w:val="center"/>
        </w:trPr>
        <w:tc>
          <w:tcPr>
            <w:tcW w:w="3544" w:type="dxa"/>
            <w:vAlign w:val="center"/>
          </w:tcPr>
          <w:p w:rsidR="00503A41" w:rsidRPr="00993936" w:rsidRDefault="00503A41" w:rsidP="000452B8">
            <w:pPr>
              <w:pStyle w:val="taula"/>
              <w:rPr>
                <w:rFonts w:cs="Arial"/>
                <w:b/>
                <w:noProof w:val="0"/>
                <w:sz w:val="18"/>
                <w:szCs w:val="18"/>
                <w:lang w:val="es-ES"/>
              </w:rPr>
            </w:pPr>
            <w:r w:rsidRPr="00993936">
              <w:rPr>
                <w:rFonts w:cs="Arial"/>
                <w:b/>
                <w:noProof w:val="0"/>
                <w:sz w:val="18"/>
                <w:szCs w:val="18"/>
                <w:lang w:val="es-ES"/>
              </w:rPr>
              <w:t xml:space="preserve">Mildiu </w:t>
            </w:r>
          </w:p>
          <w:p w:rsidR="00503A41" w:rsidRPr="00993936" w:rsidRDefault="00503A41" w:rsidP="000452B8">
            <w:pPr>
              <w:pStyle w:val="taula"/>
              <w:rPr>
                <w:rFonts w:cs="Arial"/>
                <w:i/>
                <w:noProof w:val="0"/>
                <w:sz w:val="18"/>
                <w:szCs w:val="18"/>
                <w:lang w:val="es-ES"/>
              </w:rPr>
            </w:pPr>
            <w:r w:rsidRPr="00993936">
              <w:rPr>
                <w:rFonts w:cs="Arial"/>
                <w:i/>
                <w:noProof w:val="0"/>
                <w:sz w:val="18"/>
                <w:szCs w:val="18"/>
                <w:lang w:val="es-ES"/>
              </w:rPr>
              <w:t>Albugo almibarada</w:t>
            </w:r>
          </w:p>
        </w:tc>
        <w:tc>
          <w:tcPr>
            <w:tcW w:w="5440" w:type="dxa"/>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Mancozeb</w:t>
            </w:r>
          </w:p>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Aceite de Naranja</w:t>
            </w:r>
          </w:p>
        </w:tc>
      </w:tr>
      <w:tr w:rsidR="00503A41" w:rsidRPr="00993936" w:rsidTr="000452B8">
        <w:trPr>
          <w:cantSplit/>
          <w:trHeight w:val="240"/>
          <w:jc w:val="center"/>
        </w:trPr>
        <w:tc>
          <w:tcPr>
            <w:tcW w:w="3544" w:type="dxa"/>
            <w:vAlign w:val="center"/>
          </w:tcPr>
          <w:p w:rsidR="00503A41" w:rsidRPr="00993936" w:rsidRDefault="00503A41" w:rsidP="000452B8">
            <w:pPr>
              <w:rPr>
                <w:rFonts w:ascii="Arial" w:hAnsi="Arial" w:cs="Arial"/>
                <w:sz w:val="18"/>
                <w:szCs w:val="18"/>
                <w:lang w:val="es-ES"/>
              </w:rPr>
            </w:pPr>
            <w:r w:rsidRPr="00993936">
              <w:rPr>
                <w:rFonts w:ascii="Arial" w:hAnsi="Arial" w:cs="Arial"/>
                <w:b/>
                <w:sz w:val="18"/>
                <w:szCs w:val="18"/>
                <w:lang w:val="es-ES"/>
              </w:rPr>
              <w:t>Otras plagas y enfermedades</w:t>
            </w:r>
          </w:p>
        </w:tc>
        <w:tc>
          <w:tcPr>
            <w:tcW w:w="5440" w:type="dxa"/>
            <w:vAlign w:val="center"/>
          </w:tcPr>
          <w:p w:rsidR="00503A41" w:rsidRPr="00993936" w:rsidRDefault="00503A41" w:rsidP="000452B8">
            <w:pPr>
              <w:pStyle w:val="taula"/>
              <w:rPr>
                <w:rFonts w:cs="Arial"/>
                <w:noProof w:val="0"/>
                <w:sz w:val="18"/>
                <w:szCs w:val="18"/>
                <w:lang w:val="es-ES"/>
              </w:rPr>
            </w:pPr>
            <w:r w:rsidRPr="00993936">
              <w:rPr>
                <w:rFonts w:cs="Arial"/>
                <w:noProof w:val="0"/>
                <w:sz w:val="18"/>
                <w:szCs w:val="18"/>
                <w:lang w:val="es-ES"/>
              </w:rPr>
              <w:t>Todos los productos registrados por este cultivo y plaga o enfermedad</w:t>
            </w:r>
          </w:p>
        </w:tc>
      </w:tr>
    </w:tbl>
    <w:p w:rsidR="00503A41" w:rsidRPr="00993936" w:rsidRDefault="00503A41" w:rsidP="000452B8">
      <w:pPr>
        <w:rPr>
          <w:rFonts w:ascii="Arial" w:hAnsi="Arial" w:cs="Arial"/>
          <w:lang w:val="es-ES"/>
        </w:rPr>
      </w:pPr>
    </w:p>
    <w:p w:rsidR="00571B14" w:rsidRPr="00993936" w:rsidRDefault="00571B14">
      <w:pPr>
        <w:rPr>
          <w:rFonts w:ascii="Arial" w:eastAsia="Times New Roman" w:hAnsi="Arial" w:cs="Arial"/>
          <w:b/>
          <w:lang w:val="es-ES" w:eastAsia="ca-ES"/>
        </w:rPr>
      </w:pPr>
      <w:r w:rsidRPr="00993936">
        <w:rPr>
          <w:rFonts w:cs="Arial"/>
          <w:b/>
          <w:lang w:val="es-ES" w:eastAsia="ca-ES"/>
        </w:rPr>
        <w:br w:type="page"/>
      </w: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lastRenderedPageBreak/>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rPr>
          <w:rFonts w:ascii="Arial" w:hAnsi="Arial" w:cs="Arial"/>
          <w:lang w:val="es-ES"/>
        </w:rPr>
      </w:pPr>
    </w:p>
    <w:p w:rsidR="00503A41" w:rsidRPr="00993936" w:rsidRDefault="00503A41" w:rsidP="000452B8">
      <w:pPr>
        <w:jc w:val="center"/>
        <w:rPr>
          <w:rFonts w:ascii="Arial" w:hAnsi="Arial" w:cs="Arial"/>
          <w:b/>
          <w:sz w:val="28"/>
          <w:szCs w:val="28"/>
          <w:u w:val="single"/>
          <w:lang w:val="es-ES"/>
        </w:rPr>
      </w:pPr>
      <w:r w:rsidRPr="00993936">
        <w:rPr>
          <w:rFonts w:ascii="Arial" w:hAnsi="Arial" w:cs="Arial"/>
          <w:b/>
          <w:sz w:val="28"/>
          <w:szCs w:val="28"/>
          <w:u w:val="single"/>
          <w:lang w:val="es-ES"/>
        </w:rPr>
        <w:br w:type="page"/>
      </w:r>
      <w:r w:rsidRPr="00993936">
        <w:rPr>
          <w:rFonts w:ascii="Arial" w:hAnsi="Arial" w:cs="Arial"/>
          <w:b/>
          <w:sz w:val="28"/>
          <w:szCs w:val="28"/>
          <w:u w:val="single"/>
          <w:lang w:val="es-ES"/>
        </w:rPr>
        <w:lastRenderedPageBreak/>
        <w:t>CULTIVO: TOMAQUET</w:t>
      </w:r>
    </w:p>
    <w:p w:rsidR="00503A41" w:rsidRPr="00993936" w:rsidRDefault="00503A41" w:rsidP="000452B8">
      <w:pPr>
        <w:widowControl w:val="0"/>
        <w:rPr>
          <w:rFonts w:ascii="Arial" w:hAnsi="Arial" w:cs="Arial"/>
          <w:b/>
          <w:lang w:val="es-ES"/>
        </w:rPr>
      </w:pPr>
    </w:p>
    <w:p w:rsidR="00503A41" w:rsidRPr="00993936" w:rsidRDefault="00503A41">
      <w:pPr>
        <w:jc w:val="both"/>
        <w:rPr>
          <w:rFonts w:ascii="Arial" w:hAnsi="Arial" w:cs="Arial"/>
          <w:b/>
          <w:snapToGrid w:val="0"/>
          <w:lang w:val="es-ES" w:eastAsia="es-ES"/>
        </w:rPr>
      </w:pPr>
      <w:r w:rsidRPr="00993936">
        <w:rPr>
          <w:rFonts w:ascii="Arial" w:hAnsi="Arial" w:cs="Arial"/>
          <w:b/>
          <w:snapToGrid w:val="0"/>
          <w:lang w:val="es-ES" w:eastAsia="es-ES"/>
        </w:rPr>
        <w:t>ANEXO 4</w:t>
      </w:r>
    </w:p>
    <w:p w:rsidR="00503A41" w:rsidRPr="00993936" w:rsidRDefault="00503A41">
      <w:pPr>
        <w:jc w:val="both"/>
        <w:rPr>
          <w:rFonts w:ascii="Arial" w:hAnsi="Arial" w:cs="Arial"/>
          <w:b/>
          <w:snapToGrid w:val="0"/>
          <w:lang w:val="es-ES" w:eastAsia="es-ES"/>
        </w:rPr>
      </w:pPr>
      <w:r w:rsidRPr="00993936">
        <w:rPr>
          <w:rFonts w:ascii="Arial" w:hAnsi="Arial" w:cs="Arial"/>
          <w:b/>
          <w:snapToGrid w:val="0"/>
          <w:lang w:val="es-ES" w:eastAsia="es-ES"/>
        </w:rPr>
        <w:t>Materias activas de herbicidas para la producción integrada del tomate</w:t>
      </w:r>
    </w:p>
    <w:p w:rsidR="00503A41" w:rsidRPr="00993936" w:rsidRDefault="00503A41">
      <w:pPr>
        <w:jc w:val="both"/>
        <w:rPr>
          <w:rFonts w:ascii="Arial" w:hAnsi="Arial" w:cs="Arial"/>
          <w:b/>
          <w:snapToGrid w:val="0"/>
          <w:lang w:val="es-ES" w:eastAsia="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452B8">
        <w:trPr>
          <w:cantSplit/>
          <w:jc w:val="center"/>
        </w:trPr>
        <w:tc>
          <w:tcPr>
            <w:tcW w:w="5000" w:type="pct"/>
            <w:gridSpan w:val="2"/>
            <w:shd w:val="pct12" w:color="auto" w:fill="FFFFFF"/>
            <w:vAlign w:val="center"/>
          </w:tcPr>
          <w:p w:rsidR="00503A41" w:rsidRPr="00993936" w:rsidRDefault="00503A41" w:rsidP="000452B8">
            <w:pPr>
              <w:jc w:val="center"/>
              <w:rPr>
                <w:rFonts w:ascii="Arial" w:hAnsi="Arial" w:cs="Arial"/>
                <w:b/>
                <w:snapToGrid w:val="0"/>
                <w:lang w:val="es-ES"/>
              </w:rPr>
            </w:pPr>
            <w:r w:rsidRPr="00993936">
              <w:rPr>
                <w:rFonts w:ascii="Arial" w:hAnsi="Arial" w:cs="Arial"/>
                <w:b/>
                <w:snapToGrid w:val="0"/>
                <w:sz w:val="28"/>
                <w:lang w:val="es-ES"/>
              </w:rPr>
              <w:t>TIPO DE HERBICIDAS</w:t>
            </w:r>
          </w:p>
        </w:tc>
      </w:tr>
      <w:tr w:rsidR="00503A41" w:rsidRPr="00993936" w:rsidTr="000452B8">
        <w:trPr>
          <w:cantSplit/>
          <w:jc w:val="center"/>
        </w:trPr>
        <w:tc>
          <w:tcPr>
            <w:tcW w:w="2418" w:type="pct"/>
            <w:vAlign w:val="center"/>
          </w:tcPr>
          <w:p w:rsidR="00503A41" w:rsidRPr="00993936" w:rsidRDefault="00503A41" w:rsidP="000452B8">
            <w:pPr>
              <w:pStyle w:val="Textoindependiente"/>
              <w:jc w:val="center"/>
              <w:rPr>
                <w:rFonts w:cs="Arial"/>
                <w:b/>
                <w:sz w:val="24"/>
                <w:lang w:val="es-ES"/>
              </w:rPr>
            </w:pPr>
            <w:r w:rsidRPr="00993936">
              <w:rPr>
                <w:rFonts w:cs="Arial"/>
                <w:b/>
                <w:sz w:val="24"/>
                <w:lang w:val="es-ES"/>
              </w:rPr>
              <w:t>Materia activa</w:t>
            </w:r>
          </w:p>
        </w:tc>
        <w:tc>
          <w:tcPr>
            <w:tcW w:w="2582" w:type="pct"/>
            <w:shd w:val="clear" w:color="auto" w:fill="D9D9D9"/>
          </w:tcPr>
          <w:p w:rsidR="00503A41" w:rsidRPr="00993936" w:rsidRDefault="00503A41" w:rsidP="000452B8">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452B8">
        <w:trPr>
          <w:cantSplit/>
          <w:trHeight w:val="6136"/>
          <w:jc w:val="center"/>
        </w:trPr>
        <w:tc>
          <w:tcPr>
            <w:tcW w:w="2418" w:type="pct"/>
            <w:vAlign w:val="center"/>
          </w:tcPr>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Ácido pelargónico + Glifosato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Aclonifén + Oxadiargil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Cletodim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Diquat</w:t>
            </w:r>
          </w:p>
          <w:p w:rsidR="00503A41" w:rsidRPr="00993936" w:rsidRDefault="00503A41" w:rsidP="001D205D">
            <w:pPr>
              <w:pStyle w:val="Sinespaciado"/>
              <w:rPr>
                <w:rFonts w:ascii="Arial" w:hAnsi="Arial" w:cs="Arial"/>
                <w:lang w:val="es-ES"/>
              </w:rPr>
            </w:pPr>
            <w:r w:rsidRPr="00993936">
              <w:rPr>
                <w:rFonts w:ascii="Arial" w:hAnsi="Arial" w:cs="Arial"/>
                <w:lang w:val="es-ES"/>
              </w:rPr>
              <w:t>Fluazifop</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Glifosato </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 xml:space="preserve">Glufosinato </w:t>
            </w:r>
            <w:r w:rsidRPr="00993936">
              <w:rPr>
                <w:rFonts w:ascii="Arial" w:hAnsi="Arial" w:cs="Arial"/>
                <w:lang w:val="es-ES"/>
              </w:rPr>
              <w:t>(2)</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Metribuzina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Napropamida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Pendimetalina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Piridato</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Propaquizafop</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Quizalofop-p-etil</w:t>
            </w:r>
          </w:p>
          <w:p w:rsidR="00503A41" w:rsidRPr="00993936" w:rsidRDefault="00503A41" w:rsidP="001D205D">
            <w:pPr>
              <w:pStyle w:val="Sinespaciado"/>
              <w:rPr>
                <w:rFonts w:ascii="Arial" w:hAnsi="Arial" w:cs="Arial"/>
                <w:snapToGrid w:val="0"/>
                <w:lang w:val="es-ES" w:eastAsia="es-ES"/>
              </w:rPr>
            </w:pPr>
            <w:r w:rsidRPr="00993936">
              <w:rPr>
                <w:rFonts w:ascii="Arial" w:hAnsi="Arial" w:cs="Arial"/>
                <w:snapToGrid w:val="0"/>
                <w:lang w:val="es-ES" w:eastAsia="es-ES"/>
              </w:rPr>
              <w:t>Rimsulfurón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S-metacloro</w:t>
            </w:r>
          </w:p>
          <w:p w:rsidR="00503A41" w:rsidRPr="00993936" w:rsidRDefault="00503A41" w:rsidP="001D205D">
            <w:pPr>
              <w:pStyle w:val="Sinespaciado"/>
              <w:rPr>
                <w:rFonts w:ascii="Arial" w:hAnsi="Arial" w:cs="Arial"/>
                <w:snapToGrid w:val="0"/>
                <w:lang w:val="es-ES" w:eastAsia="es-ES"/>
              </w:rPr>
            </w:pPr>
          </w:p>
          <w:p w:rsidR="00503A41" w:rsidRPr="00993936" w:rsidRDefault="00503A41" w:rsidP="001D205D">
            <w:pPr>
              <w:pStyle w:val="Sinespaciado"/>
              <w:rPr>
                <w:rFonts w:ascii="Arial" w:hAnsi="Arial" w:cs="Arial"/>
                <w:b/>
                <w:snapToGrid w:val="0"/>
                <w:lang w:val="es-ES"/>
              </w:rPr>
            </w:pPr>
          </w:p>
        </w:tc>
        <w:tc>
          <w:tcPr>
            <w:tcW w:w="2582" w:type="pct"/>
          </w:tcPr>
          <w:p w:rsidR="00503A41" w:rsidRPr="00993936" w:rsidRDefault="00503A41" w:rsidP="000452B8">
            <w:pPr>
              <w:widowControl w:val="0"/>
              <w:rPr>
                <w:rFonts w:ascii="Arial" w:hAnsi="Arial" w:cs="Arial"/>
                <w:b/>
                <w:snapToGrid w:val="0"/>
                <w:sz w:val="2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pStyle w:val="Prrafodelista"/>
              <w:widowControl w:val="0"/>
              <w:rPr>
                <w:rFonts w:ascii="Arial" w:hAnsi="Arial" w:cs="Arial"/>
                <w:snapToGrid w:val="0"/>
                <w:lang w:val="es-ES"/>
              </w:rPr>
            </w:pPr>
          </w:p>
          <w:p w:rsidR="00503A41" w:rsidRPr="00993936" w:rsidRDefault="00503A41" w:rsidP="000452B8">
            <w:pPr>
              <w:widowControl w:val="0"/>
              <w:ind w:left="360"/>
              <w:rPr>
                <w:rFonts w:ascii="Arial" w:hAnsi="Arial" w:cs="Arial"/>
                <w:snapToGrid w:val="0"/>
                <w:sz w:val="18"/>
                <w:lang w:val="es-ES"/>
              </w:rPr>
            </w:pPr>
            <w:r w:rsidRPr="00993936">
              <w:rPr>
                <w:rFonts w:ascii="Arial" w:hAnsi="Arial" w:cs="Arial"/>
                <w:snapToGrid w:val="0"/>
                <w:sz w:val="18"/>
                <w:lang w:val="es-ES"/>
              </w:rPr>
              <w:t>Las restricciones numéricas se detallan al final de este documento.</w:t>
            </w:r>
          </w:p>
          <w:p w:rsidR="00503A41" w:rsidRPr="00993936" w:rsidRDefault="00503A41" w:rsidP="000452B8">
            <w:pPr>
              <w:pStyle w:val="Prrafodelista"/>
              <w:widowControl w:val="0"/>
              <w:rPr>
                <w:rFonts w:ascii="Arial" w:hAnsi="Arial" w:cs="Arial"/>
                <w:b/>
                <w:snapToGrid w:val="0"/>
                <w:sz w:val="20"/>
                <w:lang w:val="es-ES"/>
              </w:rPr>
            </w:pPr>
          </w:p>
        </w:tc>
      </w:tr>
    </w:tbl>
    <w:p w:rsidR="00503A41" w:rsidRPr="00993936" w:rsidRDefault="00503A41">
      <w:pPr>
        <w:jc w:val="both"/>
        <w:rPr>
          <w:rFonts w:ascii="Arial" w:hAnsi="Arial" w:cs="Arial"/>
          <w:b/>
          <w:snapToGrid w:val="0"/>
          <w:lang w:val="es-ES" w:eastAsia="es-ES"/>
        </w:rPr>
      </w:pPr>
    </w:p>
    <w:p w:rsidR="00503A41" w:rsidRPr="00993936" w:rsidRDefault="00503A41">
      <w:pPr>
        <w:jc w:val="both"/>
        <w:rPr>
          <w:rFonts w:ascii="Arial" w:hAnsi="Arial" w:cs="Arial"/>
          <w:snapToGrid w:val="0"/>
          <w:lang w:val="es-ES" w:eastAsia="es-ES"/>
        </w:rPr>
      </w:pPr>
    </w:p>
    <w:p w:rsidR="00503A41" w:rsidRPr="00993936" w:rsidRDefault="00503A41">
      <w:pPr>
        <w:jc w:val="both"/>
        <w:rPr>
          <w:rFonts w:ascii="Arial" w:hAnsi="Arial" w:cs="Arial"/>
          <w:snapToGrid w:val="0"/>
          <w:lang w:val="es-ES" w:eastAsia="es-ES"/>
        </w:rPr>
      </w:pPr>
    </w:p>
    <w:p w:rsidR="00503A41" w:rsidRPr="00993936" w:rsidRDefault="00503A41" w:rsidP="000452B8">
      <w:pPr>
        <w:jc w:val="both"/>
        <w:rPr>
          <w:rFonts w:ascii="Arial" w:hAnsi="Arial" w:cs="Arial"/>
          <w:b/>
          <w:snapToGrid w:val="0"/>
          <w:lang w:val="es-ES" w:eastAsia="es-ES"/>
        </w:rPr>
      </w:pPr>
      <w:bookmarkStart w:id="14" w:name="_Toc529930500"/>
      <w:r w:rsidRPr="00993936">
        <w:rPr>
          <w:rFonts w:ascii="Arial" w:hAnsi="Arial" w:cs="Arial"/>
          <w:b/>
          <w:snapToGrid w:val="0"/>
          <w:lang w:val="es-ES" w:eastAsia="es-ES"/>
        </w:rPr>
        <w:t>ANEXO 5</w:t>
      </w:r>
    </w:p>
    <w:p w:rsidR="00503A41" w:rsidRPr="00993936" w:rsidRDefault="00503A41" w:rsidP="000452B8">
      <w:pPr>
        <w:jc w:val="both"/>
        <w:rPr>
          <w:rFonts w:ascii="Arial" w:hAnsi="Arial" w:cs="Arial"/>
          <w:b/>
          <w:lang w:val="es-ES"/>
        </w:rPr>
      </w:pPr>
      <w:r w:rsidRPr="00993936">
        <w:rPr>
          <w:rFonts w:ascii="Arial" w:hAnsi="Arial" w:cs="Arial"/>
          <w:b/>
          <w:lang w:val="es-ES"/>
        </w:rPr>
        <w:t>Especies</w:t>
      </w:r>
      <w:r w:rsidRPr="00993936">
        <w:rPr>
          <w:rFonts w:ascii="Arial" w:hAnsi="Arial" w:cs="Arial"/>
          <w:b/>
          <w:vanish/>
          <w:lang w:val="es-ES"/>
        </w:rPr>
        <w:t>&lt;A[Especies|Especias]&gt;</w:t>
      </w:r>
      <w:r w:rsidRPr="00993936">
        <w:rPr>
          <w:rFonts w:ascii="Arial" w:hAnsi="Arial" w:cs="Arial"/>
          <w:b/>
          <w:lang w:val="es-ES"/>
        </w:rPr>
        <w:t xml:space="preserve"> de fauna auxiliar que se consideran prioritarias  </w:t>
      </w:r>
    </w:p>
    <w:p w:rsidR="00503A41" w:rsidRPr="00993936" w:rsidRDefault="00503A41" w:rsidP="009D1A2D">
      <w:pPr>
        <w:numPr>
          <w:ilvl w:val="0"/>
          <w:numId w:val="77"/>
        </w:numPr>
        <w:spacing w:before="120" w:after="0" w:line="240" w:lineRule="auto"/>
        <w:jc w:val="both"/>
        <w:rPr>
          <w:rFonts w:ascii="Arial" w:hAnsi="Arial" w:cs="Arial"/>
          <w:lang w:val="es-ES"/>
        </w:rPr>
      </w:pPr>
      <w:r w:rsidRPr="00993936">
        <w:rPr>
          <w:rFonts w:ascii="Arial" w:hAnsi="Arial" w:cs="Arial"/>
          <w:i/>
          <w:lang w:val="es-ES"/>
        </w:rPr>
        <w:t>Macrolophus pygmaeus.</w:t>
      </w:r>
    </w:p>
    <w:p w:rsidR="00503A41" w:rsidRPr="00993936" w:rsidRDefault="00503A41" w:rsidP="009D1A2D">
      <w:pPr>
        <w:numPr>
          <w:ilvl w:val="0"/>
          <w:numId w:val="77"/>
        </w:numPr>
        <w:spacing w:before="120" w:after="0" w:line="240" w:lineRule="auto"/>
        <w:jc w:val="both"/>
        <w:rPr>
          <w:rFonts w:ascii="Arial" w:hAnsi="Arial" w:cs="Arial"/>
          <w:i/>
          <w:lang w:val="es-ES"/>
        </w:rPr>
      </w:pPr>
      <w:r w:rsidRPr="00993936">
        <w:rPr>
          <w:rFonts w:ascii="Arial" w:hAnsi="Arial" w:cs="Arial"/>
          <w:i/>
          <w:lang w:val="es-ES"/>
        </w:rPr>
        <w:t xml:space="preserve">Diglyphus isaea </w:t>
      </w:r>
    </w:p>
    <w:p w:rsidR="00503A41" w:rsidRPr="00993936" w:rsidRDefault="00503A41" w:rsidP="009D1A2D">
      <w:pPr>
        <w:numPr>
          <w:ilvl w:val="0"/>
          <w:numId w:val="77"/>
        </w:numPr>
        <w:spacing w:before="120" w:after="0" w:line="240" w:lineRule="auto"/>
        <w:jc w:val="both"/>
        <w:rPr>
          <w:rFonts w:ascii="Arial" w:hAnsi="Arial" w:cs="Arial"/>
          <w:lang w:val="es-ES"/>
        </w:rPr>
      </w:pPr>
      <w:r w:rsidRPr="00993936">
        <w:rPr>
          <w:rFonts w:ascii="Arial" w:hAnsi="Arial" w:cs="Arial"/>
          <w:i/>
          <w:lang w:val="es-ES"/>
        </w:rPr>
        <w:t>Aphidoletes aphidimyza</w:t>
      </w:r>
    </w:p>
    <w:p w:rsidR="00503A41" w:rsidRPr="00993936" w:rsidRDefault="00503A41" w:rsidP="009D1A2D">
      <w:pPr>
        <w:numPr>
          <w:ilvl w:val="0"/>
          <w:numId w:val="77"/>
        </w:numPr>
        <w:spacing w:before="120" w:after="0" w:line="240" w:lineRule="auto"/>
        <w:jc w:val="both"/>
        <w:rPr>
          <w:rFonts w:ascii="Arial" w:hAnsi="Arial" w:cs="Arial"/>
          <w:lang w:val="es-ES"/>
        </w:rPr>
      </w:pPr>
      <w:r w:rsidRPr="00993936">
        <w:rPr>
          <w:rFonts w:ascii="Arial" w:hAnsi="Arial" w:cs="Arial"/>
          <w:lang w:val="es-ES"/>
        </w:rPr>
        <w:t>Parasotoides de pulgones</w:t>
      </w:r>
    </w:p>
    <w:bookmarkEnd w:id="14"/>
    <w:p w:rsidR="00503A41" w:rsidRPr="00993936" w:rsidRDefault="00503A41" w:rsidP="000452B8">
      <w:pPr>
        <w:jc w:val="both"/>
        <w:rPr>
          <w:rFonts w:ascii="Arial" w:hAnsi="Arial" w:cs="Arial"/>
          <w:b/>
          <w:snapToGrid w:val="0"/>
          <w:lang w:val="es-ES" w:eastAsia="es-ES"/>
        </w:rPr>
      </w:pPr>
    </w:p>
    <w:p w:rsidR="00571B14" w:rsidRPr="00993936" w:rsidRDefault="00571B14">
      <w:pPr>
        <w:rPr>
          <w:rFonts w:ascii="Arial" w:hAnsi="Arial" w:cs="Arial"/>
          <w:b/>
          <w:snapToGrid w:val="0"/>
          <w:lang w:val="es-ES" w:eastAsia="es-ES"/>
        </w:rPr>
      </w:pPr>
      <w:r w:rsidRPr="00993936">
        <w:rPr>
          <w:rFonts w:ascii="Arial" w:hAnsi="Arial" w:cs="Arial"/>
          <w:b/>
          <w:snapToGrid w:val="0"/>
          <w:lang w:val="es-ES" w:eastAsia="es-ES"/>
        </w:rPr>
        <w:br w:type="page"/>
      </w:r>
    </w:p>
    <w:p w:rsidR="00503A41" w:rsidRPr="00993936" w:rsidRDefault="00503A41" w:rsidP="000452B8">
      <w:pPr>
        <w:jc w:val="both"/>
        <w:rPr>
          <w:rFonts w:ascii="Arial" w:hAnsi="Arial" w:cs="Arial"/>
          <w:b/>
          <w:snapToGrid w:val="0"/>
          <w:lang w:val="es-ES" w:eastAsia="es-ES"/>
        </w:rPr>
      </w:pPr>
      <w:r w:rsidRPr="00993936">
        <w:rPr>
          <w:rFonts w:ascii="Arial" w:hAnsi="Arial" w:cs="Arial"/>
          <w:b/>
          <w:snapToGrid w:val="0"/>
          <w:lang w:val="es-ES" w:eastAsia="es-ES"/>
        </w:rPr>
        <w:lastRenderedPageBreak/>
        <w:t>ANEXO 6</w:t>
      </w:r>
    </w:p>
    <w:p w:rsidR="00503A41" w:rsidRPr="00993936" w:rsidRDefault="00503A41" w:rsidP="000452B8">
      <w:pPr>
        <w:rPr>
          <w:rFonts w:ascii="Arial" w:hAnsi="Arial" w:cs="Arial"/>
          <w:lang w:val="es-ES" w:eastAsia="es-ES"/>
        </w:rPr>
      </w:pPr>
    </w:p>
    <w:p w:rsidR="00503A41" w:rsidRPr="00993936" w:rsidRDefault="00503A41" w:rsidP="000452B8">
      <w:pPr>
        <w:pStyle w:val="Ttulo1"/>
        <w:rPr>
          <w:rFonts w:ascii="Arial" w:hAnsi="Arial" w:cs="Arial"/>
          <w:b/>
          <w:color w:val="auto"/>
          <w:sz w:val="22"/>
          <w:szCs w:val="22"/>
        </w:rPr>
      </w:pPr>
      <w:r w:rsidRPr="00993936">
        <w:rPr>
          <w:rFonts w:ascii="Arial" w:hAnsi="Arial" w:cs="Arial"/>
          <w:b/>
          <w:color w:val="auto"/>
          <w:sz w:val="22"/>
          <w:szCs w:val="22"/>
        </w:rPr>
        <w:t xml:space="preserve">Programa de control fitosanitario basado en la inoculación o conservación de míridos depredadores para tomate tutorado </w:t>
      </w:r>
    </w:p>
    <w:p w:rsidR="00503A41" w:rsidRPr="00993936" w:rsidRDefault="00503A41" w:rsidP="000452B8">
      <w:pPr>
        <w:rPr>
          <w:rFonts w:ascii="Arial" w:hAnsi="Arial" w:cs="Arial"/>
          <w:lang w:val="es-ES"/>
        </w:rPr>
      </w:pPr>
    </w:p>
    <w:p w:rsidR="00503A41" w:rsidRPr="00993936" w:rsidRDefault="00503A41" w:rsidP="000452B8">
      <w:pPr>
        <w:pStyle w:val="Textoindependiente"/>
        <w:rPr>
          <w:rFonts w:cs="Arial"/>
          <w:lang w:val="es-ES"/>
        </w:rPr>
      </w:pPr>
      <w:r w:rsidRPr="00993936">
        <w:rPr>
          <w:rFonts w:cs="Arial"/>
          <w:lang w:val="es-ES"/>
        </w:rPr>
        <w:t>Unas medidas culturales correctas son imprescindibles para aplicar un programa de Control Integrado de Plagas (CIP). Las medidas culturales son todas aquellas actividades que se hacen antes, durante y después de un cultivo en una determinada parcela o invernadero, como: preparación del suelo, el manejo de las malas hierbas, el manejo de los invernaderos, el riego, la fertilización, la planificación o rotación de cultivos y la limpieza de las parcelas. Los objetivos generales de unas buenas medidas culturales en CIP son: iniciar el cultivo con plantas exentas de plagas y enfermedades, y disminuir las posibilidades de entrada y proliferación de plagas y enfermedades.</w:t>
      </w:r>
    </w:p>
    <w:p w:rsidR="00503A41" w:rsidRPr="00993936" w:rsidRDefault="00503A41" w:rsidP="000452B8">
      <w:pPr>
        <w:pStyle w:val="Sangradetextonormal"/>
        <w:rPr>
          <w:rFonts w:cs="Arial"/>
          <w:lang w:val="es-ES"/>
        </w:rPr>
      </w:pPr>
      <w:r w:rsidRPr="00993936">
        <w:rPr>
          <w:rFonts w:cs="Arial"/>
          <w:lang w:val="es-ES"/>
        </w:rPr>
        <w:t>Además de los recuentos específicos que se indican a continuación, semanalmente o como máximo quincenalmente, se hará una observación del cultivo que permita estimar</w:t>
      </w:r>
      <w:r w:rsidRPr="00993936">
        <w:rPr>
          <w:rFonts w:cs="Arial"/>
          <w:vanish/>
          <w:lang w:val="es-ES"/>
        </w:rPr>
        <w:t>&lt;A[amar|estimar]&gt;</w:t>
      </w:r>
      <w:r w:rsidRPr="00993936">
        <w:rPr>
          <w:rFonts w:cs="Arial"/>
          <w:lang w:val="es-ES"/>
        </w:rPr>
        <w:t xml:space="preserve"> su estado general, así como la presencia de plagas y/o enfermedades. Los recuentos y las observaciones, y también las instrucciones dejadas, se anotarán en la correspondiente Hoja 1.</w:t>
      </w:r>
    </w:p>
    <w:p w:rsidR="00503A41" w:rsidRPr="00993936" w:rsidRDefault="00503A41" w:rsidP="000452B8">
      <w:pPr>
        <w:rPr>
          <w:rFonts w:ascii="Arial" w:hAnsi="Arial" w:cs="Arial"/>
          <w:b/>
          <w:lang w:val="es-ES"/>
        </w:rPr>
      </w:pPr>
    </w:p>
    <w:p w:rsidR="00503A41" w:rsidRPr="00993936" w:rsidRDefault="00503A41" w:rsidP="000452B8">
      <w:pPr>
        <w:rPr>
          <w:rFonts w:ascii="Arial" w:hAnsi="Arial" w:cs="Arial"/>
          <w:b/>
          <w:lang w:val="es-ES"/>
        </w:rPr>
      </w:pPr>
      <w:r w:rsidRPr="00993936">
        <w:rPr>
          <w:rFonts w:ascii="Arial" w:hAnsi="Arial" w:cs="Arial"/>
          <w:b/>
          <w:lang w:val="es-ES"/>
        </w:rPr>
        <w:t>6.1 Mosca blanca (</w:t>
      </w:r>
      <w:r w:rsidRPr="00993936">
        <w:rPr>
          <w:rFonts w:ascii="Arial" w:hAnsi="Arial" w:cs="Arial"/>
          <w:b/>
          <w:i/>
          <w:lang w:val="es-ES"/>
        </w:rPr>
        <w:t>Trialeurodes vaporariorum</w:t>
      </w:r>
      <w:r w:rsidRPr="00993936">
        <w:rPr>
          <w:rFonts w:ascii="Arial" w:hAnsi="Arial" w:cs="Arial"/>
          <w:b/>
          <w:lang w:val="es-ES"/>
        </w:rPr>
        <w:t xml:space="preserve"> y </w:t>
      </w:r>
      <w:r w:rsidRPr="00993936">
        <w:rPr>
          <w:rFonts w:ascii="Arial" w:hAnsi="Arial" w:cs="Arial"/>
          <w:b/>
          <w:i/>
          <w:lang w:val="es-ES"/>
        </w:rPr>
        <w:t>Bemisia tabaci</w:t>
      </w:r>
      <w:r w:rsidRPr="00993936">
        <w:rPr>
          <w:rFonts w:ascii="Arial" w:hAnsi="Arial" w:cs="Arial"/>
          <w:b/>
          <w:lang w:val="es-ES"/>
        </w:rPr>
        <w:t>)</w:t>
      </w:r>
    </w:p>
    <w:p w:rsidR="00503A41" w:rsidRPr="00993936" w:rsidRDefault="00503A41" w:rsidP="000452B8">
      <w:pPr>
        <w:rPr>
          <w:rFonts w:ascii="Arial" w:hAnsi="Arial" w:cs="Arial"/>
          <w:b/>
          <w:lang w:val="es-ES"/>
        </w:rPr>
      </w:pPr>
    </w:p>
    <w:p w:rsidR="00503A41" w:rsidRPr="00993936" w:rsidRDefault="00503A41" w:rsidP="000452B8">
      <w:pPr>
        <w:rPr>
          <w:rFonts w:ascii="Arial" w:hAnsi="Arial" w:cs="Arial"/>
          <w:b/>
          <w:lang w:val="es-ES"/>
        </w:rPr>
      </w:pPr>
    </w:p>
    <w:p w:rsidR="00503A41" w:rsidRPr="00993936" w:rsidRDefault="00503A41" w:rsidP="000452B8">
      <w:pPr>
        <w:jc w:val="both"/>
        <w:rPr>
          <w:rFonts w:ascii="Arial" w:hAnsi="Arial" w:cs="Arial"/>
          <w:lang w:val="es-ES"/>
        </w:rPr>
      </w:pPr>
      <w:r w:rsidRPr="00993936">
        <w:rPr>
          <w:rFonts w:ascii="Arial" w:hAnsi="Arial" w:cs="Arial"/>
          <w:lang w:val="es-ES"/>
        </w:rPr>
        <w:t xml:space="preserve">Por el control de la mosca blanca se puede seguir una estrategia basada en la inoculación del mírido depredador </w:t>
      </w:r>
      <w:r w:rsidRPr="00993936">
        <w:rPr>
          <w:rFonts w:ascii="Arial" w:hAnsi="Arial" w:cs="Arial"/>
          <w:i/>
          <w:lang w:val="es-ES"/>
        </w:rPr>
        <w:t>Macrolophus pygmaeus</w:t>
      </w:r>
      <w:r w:rsidRPr="00993936">
        <w:rPr>
          <w:rFonts w:ascii="Arial" w:hAnsi="Arial" w:cs="Arial"/>
          <w:lang w:val="es-ES"/>
        </w:rPr>
        <w:t xml:space="preserve"> o la conservación de las poblaciones espontáneas de míridos depredadores.</w:t>
      </w:r>
    </w:p>
    <w:p w:rsidR="00503A41" w:rsidRPr="00993936" w:rsidRDefault="00503A41" w:rsidP="000452B8">
      <w:pPr>
        <w:rPr>
          <w:rFonts w:ascii="Arial" w:hAnsi="Arial" w:cs="Arial"/>
          <w:b/>
          <w:lang w:val="es-ES"/>
        </w:rPr>
      </w:pPr>
    </w:p>
    <w:p w:rsidR="00503A41" w:rsidRPr="00993936" w:rsidRDefault="00503A41" w:rsidP="000452B8">
      <w:pPr>
        <w:rPr>
          <w:rFonts w:ascii="Arial" w:hAnsi="Arial" w:cs="Arial"/>
          <w:b/>
          <w:lang w:val="es-ES"/>
        </w:rPr>
      </w:pPr>
    </w:p>
    <w:p w:rsidR="00503A41" w:rsidRPr="00993936" w:rsidRDefault="00503A41" w:rsidP="000452B8">
      <w:pPr>
        <w:rPr>
          <w:rFonts w:ascii="Arial" w:hAnsi="Arial" w:cs="Arial"/>
          <w:b/>
          <w:lang w:val="es-ES"/>
        </w:rPr>
      </w:pPr>
      <w:r w:rsidRPr="00993936">
        <w:rPr>
          <w:rFonts w:ascii="Arial" w:hAnsi="Arial" w:cs="Arial"/>
          <w:b/>
          <w:lang w:val="es-ES"/>
        </w:rPr>
        <w:t xml:space="preserve">6.1.1. Inoculación de </w:t>
      </w:r>
      <w:r w:rsidRPr="00993936">
        <w:rPr>
          <w:rFonts w:ascii="Arial" w:hAnsi="Arial" w:cs="Arial"/>
          <w:b/>
          <w:i/>
          <w:lang w:val="es-ES"/>
        </w:rPr>
        <w:t>Macrolophus pygmaeus</w:t>
      </w:r>
      <w:r w:rsidRPr="00993936">
        <w:rPr>
          <w:rFonts w:ascii="Arial" w:hAnsi="Arial" w:cs="Arial"/>
          <w:b/>
          <w:lang w:val="es-ES"/>
        </w:rPr>
        <w:t xml:space="preserve"> en invernadero</w:t>
      </w:r>
    </w:p>
    <w:p w:rsidR="00503A41" w:rsidRPr="00993936" w:rsidRDefault="00503A41" w:rsidP="000452B8">
      <w:pPr>
        <w:jc w:val="both"/>
        <w:rPr>
          <w:rFonts w:ascii="Arial" w:hAnsi="Arial" w:cs="Arial"/>
          <w:lang w:val="es-ES"/>
        </w:rPr>
      </w:pPr>
      <w:r w:rsidRPr="00993936">
        <w:rPr>
          <w:rFonts w:ascii="Arial" w:hAnsi="Arial" w:cs="Arial"/>
          <w:lang w:val="es-ES"/>
        </w:rPr>
        <w:t xml:space="preserve">Para decidir la introducción de míridos depredadores en los invernaderos tempranos, se contará el número de adultos de mosca blanca (no Índice) por planta, en 30 plantas de la zona lateral del invernadero, y se anotará en la columna IMB de la Hoja 1 del Cuaderno de explotación. Se contará la planta entera hasta que esta tenga 9 hojas, momento a partir del cual sólo se contarán las 3 hojas superiores bien desarrolladas Cuando se llegue a la media de 1 adulto de mosca blanca por planta en esta zona lateral, se iniciarán las introducciones de </w:t>
      </w:r>
      <w:r w:rsidRPr="00993936">
        <w:rPr>
          <w:rFonts w:ascii="Arial" w:hAnsi="Arial" w:cs="Arial"/>
          <w:i/>
          <w:lang w:val="es-ES"/>
        </w:rPr>
        <w:t>Macrolophus.</w:t>
      </w:r>
      <w:r w:rsidRPr="00993936">
        <w:rPr>
          <w:rFonts w:ascii="Arial" w:hAnsi="Arial" w:cs="Arial"/>
          <w:lang w:val="es-ES"/>
        </w:rPr>
        <w:t xml:space="preserve"> </w:t>
      </w:r>
      <w:r w:rsidRPr="00993936">
        <w:rPr>
          <w:rFonts w:ascii="Arial" w:hAnsi="Arial" w:cs="Arial"/>
          <w:bCs/>
          <w:lang w:val="es-ES"/>
        </w:rPr>
        <w:t xml:space="preserve">Si al principio de mayo no se ha llegado a este umbral de intervención, se observarán 30 folíolos de la zona lateral y 20 de la zona central del invernadero. Los folíolos se escogerán del estrato de la planta donde presumiblemente puede haber larvas de mosca blanca. Si en este control se localizan larvas de mosca blanca de cualquier estadio, se entenderá que se ha llegado al umbral de intervención. </w:t>
      </w:r>
      <w:r w:rsidRPr="00993936">
        <w:rPr>
          <w:rFonts w:ascii="Arial" w:hAnsi="Arial" w:cs="Arial"/>
          <w:lang w:val="es-ES"/>
        </w:rPr>
        <w:t>Se recomienda iniciar las introducciones antes de llegar a los umbrales de 1 adulto de mosca blanca por planta en esta zona lateral o en el de presencia de larva en las siguientes situaciones:</w:t>
      </w:r>
    </w:p>
    <w:p w:rsidR="00503A41" w:rsidRPr="00993936" w:rsidRDefault="00503A41" w:rsidP="009D1A2D">
      <w:pPr>
        <w:numPr>
          <w:ilvl w:val="0"/>
          <w:numId w:val="75"/>
        </w:numPr>
        <w:spacing w:after="0" w:line="240" w:lineRule="auto"/>
        <w:jc w:val="both"/>
        <w:rPr>
          <w:rFonts w:ascii="Arial" w:hAnsi="Arial" w:cs="Arial"/>
          <w:lang w:val="es-ES"/>
        </w:rPr>
      </w:pPr>
      <w:r w:rsidRPr="00993936">
        <w:rPr>
          <w:rFonts w:ascii="Arial" w:hAnsi="Arial" w:cs="Arial"/>
          <w:lang w:val="es-ES"/>
        </w:rPr>
        <w:t>Si se i</w:t>
      </w:r>
      <w:r w:rsidRPr="00993936">
        <w:rPr>
          <w:rFonts w:ascii="Arial" w:hAnsi="Arial" w:cs="Arial"/>
          <w:u w:val="single"/>
          <w:lang w:val="es-ES"/>
        </w:rPr>
        <w:t xml:space="preserve">ntroducen ninfas de </w:t>
      </w:r>
      <w:r w:rsidRPr="00993936">
        <w:rPr>
          <w:rFonts w:ascii="Arial" w:hAnsi="Arial" w:cs="Arial"/>
          <w:i/>
          <w:u w:val="single"/>
          <w:lang w:val="es-ES"/>
        </w:rPr>
        <w:t>M. pygmaeus.</w:t>
      </w:r>
      <w:r w:rsidRPr="00993936">
        <w:rPr>
          <w:rFonts w:ascii="Arial" w:hAnsi="Arial" w:cs="Arial"/>
          <w:lang w:val="es-ES"/>
        </w:rPr>
        <w:t xml:space="preserve"> Como las ninfas tienen una capacidad de dispersión menor, es importante “concentrar” las liberaciones en los lugares</w:t>
      </w:r>
      <w:r w:rsidRPr="00993936">
        <w:rPr>
          <w:rFonts w:ascii="Arial" w:hAnsi="Arial" w:cs="Arial"/>
          <w:vanish/>
          <w:lang w:val="es-ES"/>
        </w:rPr>
        <w:t>&lt;A[lugares|sitios]&gt;</w:t>
      </w:r>
      <w:r w:rsidRPr="00993936">
        <w:rPr>
          <w:rFonts w:ascii="Arial" w:hAnsi="Arial" w:cs="Arial"/>
          <w:lang w:val="es-ES"/>
        </w:rPr>
        <w:t xml:space="preserve"> donde haya más plaga y, si puede ser, </w:t>
      </w:r>
      <w:r w:rsidRPr="00993936">
        <w:rPr>
          <w:rFonts w:ascii="Arial" w:hAnsi="Arial" w:cs="Arial"/>
          <w:lang w:val="es-ES"/>
        </w:rPr>
        <w:lastRenderedPageBreak/>
        <w:t xml:space="preserve">suministrar alimento suplementario/alternativo para favorecer la instalación (por ejemplo, poniendo de Artemia o huevos de </w:t>
      </w:r>
      <w:r w:rsidRPr="00993936">
        <w:rPr>
          <w:rFonts w:ascii="Arial" w:hAnsi="Arial" w:cs="Arial"/>
          <w:i/>
          <w:lang w:val="es-ES"/>
        </w:rPr>
        <w:t>Ephestia</w:t>
      </w:r>
      <w:r w:rsidRPr="00993936">
        <w:rPr>
          <w:rFonts w:ascii="Arial" w:hAnsi="Arial" w:cs="Arial"/>
          <w:lang w:val="es-ES"/>
        </w:rPr>
        <w:t xml:space="preserve"> encima de las plantas).  </w:t>
      </w:r>
    </w:p>
    <w:p w:rsidR="00503A41" w:rsidRPr="00993936" w:rsidRDefault="00503A41" w:rsidP="009D1A2D">
      <w:pPr>
        <w:numPr>
          <w:ilvl w:val="0"/>
          <w:numId w:val="75"/>
        </w:numPr>
        <w:spacing w:after="0" w:line="240" w:lineRule="auto"/>
        <w:jc w:val="both"/>
        <w:rPr>
          <w:rFonts w:ascii="Arial" w:hAnsi="Arial" w:cs="Arial"/>
          <w:lang w:val="es-ES"/>
        </w:rPr>
      </w:pPr>
      <w:r w:rsidRPr="00993936">
        <w:rPr>
          <w:rFonts w:ascii="Arial" w:hAnsi="Arial" w:cs="Arial"/>
          <w:lang w:val="es-ES"/>
        </w:rPr>
        <w:t xml:space="preserve">Si </w:t>
      </w:r>
      <w:r w:rsidRPr="00993936">
        <w:rPr>
          <w:rFonts w:ascii="Arial" w:hAnsi="Arial" w:cs="Arial"/>
          <w:u w:val="single"/>
          <w:lang w:val="es-ES"/>
        </w:rPr>
        <w:t>en el invernadero hay otra plaga</w:t>
      </w:r>
      <w:r w:rsidRPr="00993936">
        <w:rPr>
          <w:rFonts w:ascii="Arial" w:hAnsi="Arial" w:cs="Arial"/>
          <w:lang w:val="es-ES"/>
        </w:rPr>
        <w:t xml:space="preserve">, por ejemplo minadora, Tuta o trips. En este caso, esta plaga puede servir de alimento para los </w:t>
      </w:r>
      <w:r w:rsidRPr="00993936">
        <w:rPr>
          <w:rFonts w:ascii="Arial" w:hAnsi="Arial" w:cs="Arial"/>
          <w:i/>
          <w:lang w:val="es-ES"/>
        </w:rPr>
        <w:t xml:space="preserve">M. pygmaeus </w:t>
      </w:r>
      <w:r w:rsidRPr="00993936">
        <w:rPr>
          <w:rFonts w:ascii="Arial" w:hAnsi="Arial" w:cs="Arial"/>
          <w:lang w:val="es-ES"/>
        </w:rPr>
        <w:t>introducidos y adelantar</w:t>
      </w:r>
      <w:r w:rsidRPr="00993936">
        <w:rPr>
          <w:rFonts w:ascii="Arial" w:hAnsi="Arial" w:cs="Arial"/>
          <w:vanish/>
          <w:lang w:val="es-ES"/>
        </w:rPr>
        <w:t>&lt;A[adelantar|avanzar]&gt;</w:t>
      </w:r>
      <w:r w:rsidRPr="00993936">
        <w:rPr>
          <w:rFonts w:ascii="Arial" w:hAnsi="Arial" w:cs="Arial"/>
          <w:lang w:val="es-ES"/>
        </w:rPr>
        <w:t xml:space="preserve"> así la instalación del depredador.</w:t>
      </w:r>
    </w:p>
    <w:p w:rsidR="00503A41" w:rsidRPr="00993936" w:rsidRDefault="00503A41" w:rsidP="000452B8">
      <w:pPr>
        <w:ind w:left="284"/>
        <w:jc w:val="both"/>
        <w:rPr>
          <w:rFonts w:ascii="Arial" w:hAnsi="Arial" w:cs="Arial"/>
          <w:lang w:val="es-ES"/>
        </w:rPr>
      </w:pPr>
    </w:p>
    <w:p w:rsidR="00503A41" w:rsidRPr="00993936" w:rsidRDefault="00503A41" w:rsidP="000452B8">
      <w:pPr>
        <w:rPr>
          <w:rFonts w:ascii="Arial" w:hAnsi="Arial" w:cs="Arial"/>
          <w:lang w:val="es-ES"/>
        </w:rPr>
      </w:pPr>
      <w:r w:rsidRPr="00993936">
        <w:rPr>
          <w:rFonts w:ascii="Arial" w:hAnsi="Arial" w:cs="Arial"/>
          <w:lang w:val="es-ES"/>
        </w:rPr>
        <w:t xml:space="preserve">La dosis de </w:t>
      </w:r>
      <w:r w:rsidRPr="00993936">
        <w:rPr>
          <w:rFonts w:ascii="Arial" w:hAnsi="Arial" w:cs="Arial"/>
          <w:i/>
          <w:lang w:val="es-ES"/>
        </w:rPr>
        <w:t>Macrolophus</w:t>
      </w:r>
      <w:r w:rsidRPr="00993936">
        <w:rPr>
          <w:rFonts w:ascii="Arial" w:hAnsi="Arial" w:cs="Arial"/>
          <w:lang w:val="es-ES"/>
        </w:rPr>
        <w:t xml:space="preserve"> a introducir es:</w:t>
      </w:r>
    </w:p>
    <w:p w:rsidR="00503A41" w:rsidRPr="00993936" w:rsidRDefault="00503A41" w:rsidP="009D1A2D">
      <w:pPr>
        <w:numPr>
          <w:ilvl w:val="0"/>
          <w:numId w:val="76"/>
        </w:numPr>
        <w:spacing w:after="0" w:line="240" w:lineRule="auto"/>
        <w:jc w:val="both"/>
        <w:rPr>
          <w:rFonts w:ascii="Arial" w:hAnsi="Arial" w:cs="Arial"/>
          <w:lang w:val="es-ES"/>
        </w:rPr>
      </w:pPr>
      <w:r w:rsidRPr="00993936">
        <w:rPr>
          <w:rFonts w:ascii="Arial" w:hAnsi="Arial" w:cs="Arial"/>
          <w:lang w:val="es-ES"/>
        </w:rPr>
        <w:t xml:space="preserve">En los invernaderos donde la experiencia indique que normalmente hay colonización espontánea de míridos autóctonos y la presión de otras plagas no sea muy elevada, se hará una única liberación de 1 </w:t>
      </w:r>
      <w:r w:rsidRPr="00993936">
        <w:rPr>
          <w:rFonts w:ascii="Arial" w:hAnsi="Arial" w:cs="Arial"/>
          <w:i/>
          <w:lang w:val="es-ES"/>
        </w:rPr>
        <w:t>Macrolophus</w:t>
      </w:r>
      <w:r w:rsidRPr="00993936">
        <w:rPr>
          <w:rFonts w:ascii="Arial" w:hAnsi="Arial" w:cs="Arial"/>
          <w:lang w:val="es-ES"/>
        </w:rPr>
        <w:t>/m</w:t>
      </w:r>
      <w:r w:rsidRPr="00993936">
        <w:rPr>
          <w:rFonts w:ascii="Arial" w:hAnsi="Arial" w:cs="Arial"/>
          <w:vertAlign w:val="superscript"/>
          <w:lang w:val="es-ES"/>
        </w:rPr>
        <w:t>2</w:t>
      </w:r>
      <w:r w:rsidRPr="00993936">
        <w:rPr>
          <w:rFonts w:ascii="Arial" w:hAnsi="Arial" w:cs="Arial"/>
          <w:lang w:val="es-ES"/>
        </w:rPr>
        <w:t>. Esta liberación se hará al cabo de 15 días de haber llegado al umbral si este se alcanza antes de principios de abril, y al cabo de una semana si es a partir de esta fecha.</w:t>
      </w:r>
    </w:p>
    <w:p w:rsidR="00503A41" w:rsidRPr="00993936" w:rsidRDefault="00503A41" w:rsidP="009D1A2D">
      <w:pPr>
        <w:numPr>
          <w:ilvl w:val="0"/>
          <w:numId w:val="76"/>
        </w:numPr>
        <w:spacing w:after="0" w:line="240" w:lineRule="auto"/>
        <w:jc w:val="both"/>
        <w:rPr>
          <w:rFonts w:ascii="Arial" w:hAnsi="Arial" w:cs="Arial"/>
          <w:lang w:val="es-ES"/>
        </w:rPr>
      </w:pPr>
      <w:r w:rsidRPr="00993936">
        <w:rPr>
          <w:rFonts w:ascii="Arial" w:hAnsi="Arial" w:cs="Arial"/>
          <w:lang w:val="es-ES"/>
        </w:rPr>
        <w:t xml:space="preserve">En los invernaderos donde habitualmente no haya colonización espontánea de míridos autóctonos y no se disponga de experiencia que permita determinar este hecho o la presión de otras plagas sea muy alta se harán un mínimo de dos liberaciones de 0,75. La dosis total será de entre 1,5 y 4 </w:t>
      </w:r>
      <w:r w:rsidRPr="00993936">
        <w:rPr>
          <w:rFonts w:ascii="Arial" w:hAnsi="Arial" w:cs="Arial"/>
          <w:i/>
          <w:lang w:val="es-ES"/>
        </w:rPr>
        <w:t>Macrolophus</w:t>
      </w:r>
      <w:r w:rsidRPr="00993936">
        <w:rPr>
          <w:rFonts w:ascii="Arial" w:hAnsi="Arial" w:cs="Arial"/>
          <w:lang w:val="es-ES"/>
        </w:rPr>
        <w:t>/m</w:t>
      </w:r>
      <w:r w:rsidRPr="00993936">
        <w:rPr>
          <w:rFonts w:ascii="Arial" w:hAnsi="Arial" w:cs="Arial"/>
          <w:vertAlign w:val="superscript"/>
          <w:lang w:val="es-ES"/>
        </w:rPr>
        <w:t>2</w:t>
      </w:r>
      <w:r w:rsidRPr="00993936">
        <w:rPr>
          <w:rFonts w:ascii="Arial" w:hAnsi="Arial" w:cs="Arial"/>
          <w:lang w:val="es-ES"/>
        </w:rPr>
        <w:t>. La primera liberación se hará al cabo de 15 días de haber llegado al umbral si este se alcanza antes de principios de abril y al cabo de una semana si es a partir de esta fecha. La segunda liberación se hará 15 días o una semana después de la primera, según si estamos antes o después de principios de abril.</w:t>
      </w:r>
    </w:p>
    <w:p w:rsidR="00503A41" w:rsidRPr="00993936" w:rsidRDefault="00503A41" w:rsidP="000452B8">
      <w:pPr>
        <w:jc w:val="both"/>
        <w:rPr>
          <w:rFonts w:ascii="Arial" w:hAnsi="Arial" w:cs="Arial"/>
          <w:lang w:val="es-ES"/>
        </w:rPr>
      </w:pPr>
      <w:r w:rsidRPr="00993936">
        <w:rPr>
          <w:rFonts w:ascii="Arial" w:hAnsi="Arial" w:cs="Arial"/>
          <w:lang w:val="es-ES"/>
        </w:rPr>
        <w:t xml:space="preserve">Una vez liberados los </w:t>
      </w:r>
      <w:r w:rsidRPr="00993936">
        <w:rPr>
          <w:rFonts w:ascii="Arial" w:hAnsi="Arial" w:cs="Arial"/>
          <w:i/>
          <w:lang w:val="es-ES"/>
        </w:rPr>
        <w:t>Macrolophus</w:t>
      </w:r>
      <w:r w:rsidRPr="00993936">
        <w:rPr>
          <w:rFonts w:ascii="Arial" w:hAnsi="Arial" w:cs="Arial"/>
          <w:lang w:val="es-ES"/>
        </w:rPr>
        <w:t>, se harán recuentos siguiendo lo que indica el punto 6.1.2. de este anexo 6.</w:t>
      </w:r>
    </w:p>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 xml:space="preserve">6.1.2. Conservación de poblaciones espontáneas de </w:t>
      </w:r>
      <w:r w:rsidRPr="00993936">
        <w:rPr>
          <w:rFonts w:ascii="Arial" w:hAnsi="Arial" w:cs="Arial"/>
          <w:b/>
          <w:i/>
          <w:lang w:val="es-ES"/>
        </w:rPr>
        <w:t>M. pygmaeus</w:t>
      </w:r>
      <w:r w:rsidRPr="00993936">
        <w:rPr>
          <w:rFonts w:ascii="Arial" w:hAnsi="Arial" w:cs="Arial"/>
          <w:b/>
          <w:lang w:val="es-ES"/>
        </w:rPr>
        <w:t xml:space="preserve"> en invernadero o al aire libre y seguimiento del depredador</w:t>
      </w:r>
    </w:p>
    <w:p w:rsidR="00503A41" w:rsidRPr="00993936" w:rsidRDefault="00503A41" w:rsidP="000452B8">
      <w:pPr>
        <w:jc w:val="both"/>
        <w:rPr>
          <w:rFonts w:ascii="Arial" w:hAnsi="Arial" w:cs="Arial"/>
          <w:lang w:val="es-ES"/>
        </w:rPr>
      </w:pPr>
      <w:r w:rsidRPr="00993936">
        <w:rPr>
          <w:rFonts w:ascii="Arial" w:hAnsi="Arial" w:cs="Arial"/>
          <w:lang w:val="es-ES"/>
        </w:rPr>
        <w:t>El recuento se hace sobre 14 plantas escogidas por cada 5.000 m</w:t>
      </w:r>
      <w:r w:rsidRPr="00993936">
        <w:rPr>
          <w:rFonts w:ascii="Arial" w:hAnsi="Arial" w:cs="Arial"/>
          <w:vertAlign w:val="superscript"/>
          <w:lang w:val="es-ES"/>
        </w:rPr>
        <w:t>2</w:t>
      </w:r>
      <w:r w:rsidRPr="00993936">
        <w:rPr>
          <w:rFonts w:ascii="Arial" w:hAnsi="Arial" w:cs="Arial"/>
          <w:lang w:val="es-ES"/>
        </w:rPr>
        <w:t xml:space="preserve"> de cultivo. Se escoge una planta al azar. Se observan las tres hojas superiores bien desarrolladas y se valora el nivel de infestación por adultos de mosca blanca de acuerdo con la escalera</w:t>
      </w:r>
      <w:r w:rsidRPr="00993936">
        <w:rPr>
          <w:rFonts w:ascii="Arial" w:hAnsi="Arial" w:cs="Arial"/>
          <w:vanish/>
          <w:lang w:val="es-ES"/>
        </w:rPr>
        <w:t>&lt;A[escalera|escala]&gt;</w:t>
      </w:r>
      <w:r w:rsidRPr="00993936">
        <w:rPr>
          <w:rFonts w:ascii="Arial" w:hAnsi="Arial" w:cs="Arial"/>
          <w:lang w:val="es-ES"/>
        </w:rPr>
        <w:t xml:space="preserve"> que se indica en la Tabla 1.</w:t>
      </w: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b/>
          <w:lang w:val="es-ES"/>
        </w:rPr>
      </w:pP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b/>
          <w:lang w:val="es-ES"/>
        </w:rPr>
      </w:pP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lang w:val="es-ES"/>
        </w:rPr>
      </w:pPr>
      <w:r w:rsidRPr="00993936">
        <w:rPr>
          <w:rFonts w:ascii="Arial" w:hAnsi="Arial" w:cs="Arial"/>
          <w:b/>
          <w:lang w:val="es-ES"/>
        </w:rPr>
        <w:t>Tabla</w:t>
      </w:r>
      <w:r w:rsidRPr="00993936">
        <w:rPr>
          <w:rFonts w:ascii="Arial" w:hAnsi="Arial" w:cs="Arial"/>
          <w:b/>
          <w:vanish/>
          <w:lang w:val="es-ES"/>
        </w:rPr>
        <w:t>&lt;A[Mesa|Tabla]&gt;</w:t>
      </w:r>
      <w:r w:rsidRPr="00993936">
        <w:rPr>
          <w:rFonts w:ascii="Arial" w:hAnsi="Arial" w:cs="Arial"/>
          <w:b/>
          <w:lang w:val="es-ES"/>
        </w:rPr>
        <w:t xml:space="preserve"> 1.</w:t>
      </w:r>
      <w:r w:rsidRPr="00993936">
        <w:rPr>
          <w:rFonts w:ascii="Arial" w:hAnsi="Arial" w:cs="Arial"/>
          <w:lang w:val="es-ES"/>
        </w:rPr>
        <w:t xml:space="preserve"> Número aproximado de adultos de mosca blanca (MB) encontrados en las tres hojas superiores de la planta de tomatera e índice (IMB) que hay que anotar en cada recuento.</w:t>
      </w: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lang w:val="es-ES"/>
        </w:rPr>
      </w:pPr>
    </w:p>
    <w:tbl>
      <w:tblPr>
        <w:tblW w:w="0" w:type="auto"/>
        <w:tblInd w:w="2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1010"/>
      </w:tblGrid>
      <w:tr w:rsidR="00503A41" w:rsidRPr="00993936" w:rsidTr="000452B8">
        <w:trPr>
          <w:cantSplit/>
        </w:trPr>
        <w:tc>
          <w:tcPr>
            <w:tcW w:w="2410" w:type="dxa"/>
          </w:tcPr>
          <w:p w:rsidR="00503A41" w:rsidRPr="00993936" w:rsidRDefault="00503A41" w:rsidP="00571B14">
            <w:pPr>
              <w:pStyle w:val="Sinespaciado"/>
              <w:rPr>
                <w:rFonts w:ascii="Arial" w:hAnsi="Arial" w:cs="Arial"/>
                <w:lang w:val="es-ES"/>
              </w:rPr>
            </w:pPr>
            <w:r w:rsidRPr="00993936">
              <w:rPr>
                <w:rFonts w:ascii="Arial" w:hAnsi="Arial" w:cs="Arial"/>
                <w:lang w:val="es-ES"/>
              </w:rPr>
              <w:t>Nº. adultos MB</w:t>
            </w:r>
          </w:p>
        </w:tc>
        <w:tc>
          <w:tcPr>
            <w:tcW w:w="1010" w:type="dxa"/>
          </w:tcPr>
          <w:p w:rsidR="00503A41" w:rsidRPr="00993936" w:rsidRDefault="00503A41" w:rsidP="00571B14">
            <w:pPr>
              <w:pStyle w:val="Sinespaciado"/>
              <w:rPr>
                <w:rFonts w:ascii="Arial" w:hAnsi="Arial" w:cs="Arial"/>
                <w:lang w:val="es-ES"/>
              </w:rPr>
            </w:pPr>
            <w:r w:rsidRPr="00993936">
              <w:rPr>
                <w:rFonts w:ascii="Arial" w:hAnsi="Arial" w:cs="Arial"/>
                <w:lang w:val="es-ES"/>
              </w:rPr>
              <w:t>IMB</w:t>
            </w:r>
          </w:p>
        </w:tc>
      </w:tr>
      <w:tr w:rsidR="00503A41" w:rsidRPr="00993936" w:rsidTr="000452B8">
        <w:trPr>
          <w:cantSplit/>
        </w:trPr>
        <w:tc>
          <w:tcPr>
            <w:tcW w:w="2410" w:type="dxa"/>
          </w:tcPr>
          <w:p w:rsidR="00503A41" w:rsidRPr="00993936" w:rsidRDefault="00503A41" w:rsidP="00571B14">
            <w:pPr>
              <w:pStyle w:val="Sinespaciado"/>
              <w:rPr>
                <w:rFonts w:ascii="Arial" w:hAnsi="Arial" w:cs="Arial"/>
                <w:lang w:val="es-ES"/>
              </w:rPr>
            </w:pPr>
            <w:r w:rsidRPr="00993936">
              <w:rPr>
                <w:rFonts w:ascii="Arial" w:hAnsi="Arial" w:cs="Arial"/>
                <w:lang w:val="es-ES"/>
              </w:rPr>
              <w:t>0</w:t>
            </w:r>
          </w:p>
        </w:tc>
        <w:tc>
          <w:tcPr>
            <w:tcW w:w="1010" w:type="dxa"/>
          </w:tcPr>
          <w:p w:rsidR="00503A41" w:rsidRPr="00993936" w:rsidRDefault="00503A41" w:rsidP="00571B14">
            <w:pPr>
              <w:pStyle w:val="Sinespaciado"/>
              <w:rPr>
                <w:rFonts w:ascii="Arial" w:hAnsi="Arial" w:cs="Arial"/>
                <w:lang w:val="es-ES"/>
              </w:rPr>
            </w:pPr>
            <w:r w:rsidRPr="00993936">
              <w:rPr>
                <w:rFonts w:ascii="Arial" w:hAnsi="Arial" w:cs="Arial"/>
                <w:lang w:val="es-ES"/>
              </w:rPr>
              <w:t>0</w:t>
            </w:r>
          </w:p>
        </w:tc>
      </w:tr>
      <w:tr w:rsidR="00503A41" w:rsidRPr="00993936" w:rsidTr="000452B8">
        <w:trPr>
          <w:cantSplit/>
        </w:trPr>
        <w:tc>
          <w:tcPr>
            <w:tcW w:w="2410" w:type="dxa"/>
          </w:tcPr>
          <w:p w:rsidR="00503A41" w:rsidRPr="00993936" w:rsidRDefault="00503A41" w:rsidP="00571B14">
            <w:pPr>
              <w:pStyle w:val="Sinespaciado"/>
              <w:rPr>
                <w:rFonts w:ascii="Arial" w:hAnsi="Arial" w:cs="Arial"/>
                <w:lang w:val="es-ES"/>
              </w:rPr>
            </w:pPr>
            <w:r w:rsidRPr="00993936">
              <w:rPr>
                <w:rFonts w:ascii="Arial" w:hAnsi="Arial" w:cs="Arial"/>
                <w:lang w:val="es-ES"/>
              </w:rPr>
              <w:t>1-5</w:t>
            </w:r>
          </w:p>
        </w:tc>
        <w:tc>
          <w:tcPr>
            <w:tcW w:w="1010" w:type="dxa"/>
          </w:tcPr>
          <w:p w:rsidR="00503A41" w:rsidRPr="00993936" w:rsidRDefault="00503A41" w:rsidP="00571B14">
            <w:pPr>
              <w:pStyle w:val="Sinespaciado"/>
              <w:rPr>
                <w:rFonts w:ascii="Arial" w:hAnsi="Arial" w:cs="Arial"/>
                <w:lang w:val="es-ES"/>
              </w:rPr>
            </w:pPr>
            <w:r w:rsidRPr="00993936">
              <w:rPr>
                <w:rFonts w:ascii="Arial" w:hAnsi="Arial" w:cs="Arial"/>
                <w:lang w:val="es-ES"/>
              </w:rPr>
              <w:t>1</w:t>
            </w:r>
          </w:p>
        </w:tc>
      </w:tr>
      <w:tr w:rsidR="00503A41" w:rsidRPr="00993936" w:rsidTr="000452B8">
        <w:trPr>
          <w:cantSplit/>
        </w:trPr>
        <w:tc>
          <w:tcPr>
            <w:tcW w:w="2410" w:type="dxa"/>
          </w:tcPr>
          <w:p w:rsidR="00503A41" w:rsidRPr="00993936" w:rsidRDefault="00503A41" w:rsidP="00571B14">
            <w:pPr>
              <w:pStyle w:val="Sinespaciado"/>
              <w:rPr>
                <w:rFonts w:ascii="Arial" w:hAnsi="Arial" w:cs="Arial"/>
                <w:lang w:val="es-ES"/>
              </w:rPr>
            </w:pPr>
            <w:r w:rsidRPr="00993936">
              <w:rPr>
                <w:rFonts w:ascii="Arial" w:hAnsi="Arial" w:cs="Arial"/>
                <w:lang w:val="es-ES"/>
              </w:rPr>
              <w:t>6-20</w:t>
            </w:r>
          </w:p>
        </w:tc>
        <w:tc>
          <w:tcPr>
            <w:tcW w:w="1010" w:type="dxa"/>
          </w:tcPr>
          <w:p w:rsidR="00503A41" w:rsidRPr="00993936" w:rsidRDefault="00503A41" w:rsidP="00571B14">
            <w:pPr>
              <w:pStyle w:val="Sinespaciado"/>
              <w:rPr>
                <w:rFonts w:ascii="Arial" w:hAnsi="Arial" w:cs="Arial"/>
                <w:lang w:val="es-ES"/>
              </w:rPr>
            </w:pPr>
            <w:r w:rsidRPr="00993936">
              <w:rPr>
                <w:rFonts w:ascii="Arial" w:hAnsi="Arial" w:cs="Arial"/>
                <w:lang w:val="es-ES"/>
              </w:rPr>
              <w:t>2</w:t>
            </w:r>
          </w:p>
        </w:tc>
      </w:tr>
      <w:tr w:rsidR="00503A41" w:rsidRPr="00993936" w:rsidTr="000452B8">
        <w:trPr>
          <w:cantSplit/>
        </w:trPr>
        <w:tc>
          <w:tcPr>
            <w:tcW w:w="2410" w:type="dxa"/>
          </w:tcPr>
          <w:p w:rsidR="00503A41" w:rsidRPr="00993936" w:rsidRDefault="00503A41" w:rsidP="00571B14">
            <w:pPr>
              <w:pStyle w:val="Sinespaciado"/>
              <w:rPr>
                <w:rFonts w:ascii="Arial" w:hAnsi="Arial" w:cs="Arial"/>
                <w:lang w:val="es-ES"/>
              </w:rPr>
            </w:pPr>
            <w:r w:rsidRPr="00993936">
              <w:rPr>
                <w:rFonts w:ascii="Arial" w:hAnsi="Arial" w:cs="Arial"/>
                <w:lang w:val="es-ES"/>
              </w:rPr>
              <w:t>21-100</w:t>
            </w:r>
          </w:p>
        </w:tc>
        <w:tc>
          <w:tcPr>
            <w:tcW w:w="1010" w:type="dxa"/>
          </w:tcPr>
          <w:p w:rsidR="00503A41" w:rsidRPr="00993936" w:rsidRDefault="00503A41" w:rsidP="00571B14">
            <w:pPr>
              <w:pStyle w:val="Sinespaciado"/>
              <w:rPr>
                <w:rFonts w:ascii="Arial" w:hAnsi="Arial" w:cs="Arial"/>
                <w:lang w:val="es-ES"/>
              </w:rPr>
            </w:pPr>
            <w:r w:rsidRPr="00993936">
              <w:rPr>
                <w:rFonts w:ascii="Arial" w:hAnsi="Arial" w:cs="Arial"/>
                <w:lang w:val="es-ES"/>
              </w:rPr>
              <w:t>3</w:t>
            </w:r>
          </w:p>
        </w:tc>
      </w:tr>
      <w:tr w:rsidR="00503A41" w:rsidRPr="00993936" w:rsidTr="000452B8">
        <w:trPr>
          <w:cantSplit/>
        </w:trPr>
        <w:tc>
          <w:tcPr>
            <w:tcW w:w="2410" w:type="dxa"/>
          </w:tcPr>
          <w:p w:rsidR="00503A41" w:rsidRPr="00993936" w:rsidRDefault="00503A41" w:rsidP="00571B14">
            <w:pPr>
              <w:pStyle w:val="Sinespaciado"/>
              <w:rPr>
                <w:rFonts w:ascii="Arial" w:hAnsi="Arial" w:cs="Arial"/>
                <w:lang w:val="es-ES"/>
              </w:rPr>
            </w:pPr>
            <w:r w:rsidRPr="00993936">
              <w:rPr>
                <w:rFonts w:ascii="Arial" w:hAnsi="Arial" w:cs="Arial"/>
                <w:lang w:val="es-ES"/>
              </w:rPr>
              <w:t>101-400</w:t>
            </w:r>
          </w:p>
        </w:tc>
        <w:tc>
          <w:tcPr>
            <w:tcW w:w="1010" w:type="dxa"/>
          </w:tcPr>
          <w:p w:rsidR="00503A41" w:rsidRPr="00993936" w:rsidRDefault="00503A41" w:rsidP="00571B14">
            <w:pPr>
              <w:pStyle w:val="Sinespaciado"/>
              <w:rPr>
                <w:rFonts w:ascii="Arial" w:hAnsi="Arial" w:cs="Arial"/>
                <w:lang w:val="es-ES"/>
              </w:rPr>
            </w:pPr>
            <w:r w:rsidRPr="00993936">
              <w:rPr>
                <w:rFonts w:ascii="Arial" w:hAnsi="Arial" w:cs="Arial"/>
                <w:lang w:val="es-ES"/>
              </w:rPr>
              <w:t>4</w:t>
            </w:r>
          </w:p>
        </w:tc>
      </w:tr>
      <w:tr w:rsidR="00503A41" w:rsidRPr="00993936" w:rsidTr="000452B8">
        <w:trPr>
          <w:cantSplit/>
        </w:trPr>
        <w:tc>
          <w:tcPr>
            <w:tcW w:w="2410" w:type="dxa"/>
          </w:tcPr>
          <w:p w:rsidR="00503A41" w:rsidRPr="00993936" w:rsidRDefault="00503A41" w:rsidP="00571B14">
            <w:pPr>
              <w:pStyle w:val="Sinespaciado"/>
              <w:rPr>
                <w:rFonts w:ascii="Arial" w:hAnsi="Arial" w:cs="Arial"/>
                <w:lang w:val="es-ES"/>
              </w:rPr>
            </w:pPr>
            <w:r w:rsidRPr="00993936">
              <w:rPr>
                <w:rFonts w:ascii="Arial" w:hAnsi="Arial" w:cs="Arial"/>
                <w:lang w:val="es-ES"/>
              </w:rPr>
              <w:t>&gt;400</w:t>
            </w:r>
          </w:p>
        </w:tc>
        <w:tc>
          <w:tcPr>
            <w:tcW w:w="1010" w:type="dxa"/>
          </w:tcPr>
          <w:p w:rsidR="00503A41" w:rsidRPr="00993936" w:rsidRDefault="00503A41" w:rsidP="00571B14">
            <w:pPr>
              <w:pStyle w:val="Sinespaciado"/>
              <w:rPr>
                <w:rFonts w:ascii="Arial" w:hAnsi="Arial" w:cs="Arial"/>
                <w:lang w:val="es-ES"/>
              </w:rPr>
            </w:pPr>
            <w:r w:rsidRPr="00993936">
              <w:rPr>
                <w:rFonts w:ascii="Arial" w:hAnsi="Arial" w:cs="Arial"/>
                <w:lang w:val="es-ES"/>
              </w:rPr>
              <w:t>5</w:t>
            </w:r>
          </w:p>
        </w:tc>
      </w:tr>
    </w:tbl>
    <w:p w:rsidR="00503A41" w:rsidRPr="00993936" w:rsidRDefault="00503A41" w:rsidP="000452B8">
      <w:pPr>
        <w:rPr>
          <w:rFonts w:ascii="Arial" w:hAnsi="Arial" w:cs="Arial"/>
          <w:lang w:val="es-ES"/>
        </w:rPr>
      </w:pPr>
    </w:p>
    <w:p w:rsidR="00503A41" w:rsidRPr="00993936" w:rsidRDefault="00503A41" w:rsidP="000452B8">
      <w:pPr>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 xml:space="preserve">En estas tres hojas y las cuatro siguientes (siete hojas en total) se cuenta el número de adultos de </w:t>
      </w:r>
      <w:r w:rsidRPr="00993936">
        <w:rPr>
          <w:rFonts w:ascii="Arial" w:hAnsi="Arial" w:cs="Arial"/>
          <w:i/>
          <w:lang w:val="es-ES"/>
        </w:rPr>
        <w:t xml:space="preserve">Macrolophus pygmaeus </w:t>
      </w:r>
      <w:r w:rsidRPr="00993936">
        <w:rPr>
          <w:rFonts w:ascii="Arial" w:hAnsi="Arial" w:cs="Arial"/>
          <w:lang w:val="es-ES"/>
        </w:rPr>
        <w:t>(</w:t>
      </w:r>
      <w:r w:rsidRPr="00993936">
        <w:rPr>
          <w:rFonts w:ascii="Arial" w:hAnsi="Arial" w:cs="Arial"/>
          <w:i/>
          <w:lang w:val="es-ES"/>
        </w:rPr>
        <w:t>Mc</w:t>
      </w:r>
      <w:r w:rsidRPr="00993936">
        <w:rPr>
          <w:rFonts w:ascii="Arial" w:hAnsi="Arial" w:cs="Arial"/>
          <w:lang w:val="es-ES"/>
        </w:rPr>
        <w:t>)</w:t>
      </w:r>
      <w:r w:rsidRPr="00993936">
        <w:rPr>
          <w:rFonts w:ascii="Arial" w:hAnsi="Arial" w:cs="Arial"/>
          <w:i/>
          <w:lang w:val="es-ES"/>
        </w:rPr>
        <w:t>,</w:t>
      </w:r>
      <w:r w:rsidRPr="00993936">
        <w:rPr>
          <w:rFonts w:ascii="Arial" w:hAnsi="Arial" w:cs="Arial"/>
          <w:lang w:val="es-ES"/>
        </w:rPr>
        <w:t xml:space="preserve"> </w:t>
      </w:r>
      <w:r w:rsidRPr="00993936">
        <w:rPr>
          <w:rFonts w:ascii="Arial" w:hAnsi="Arial" w:cs="Arial"/>
          <w:i/>
          <w:lang w:val="es-ES"/>
        </w:rPr>
        <w:t xml:space="preserve">Dicyphus tamaninii </w:t>
      </w:r>
      <w:r w:rsidRPr="00993936">
        <w:rPr>
          <w:rFonts w:ascii="Arial" w:hAnsi="Arial" w:cs="Arial"/>
          <w:lang w:val="es-ES"/>
        </w:rPr>
        <w:t>(</w:t>
      </w:r>
      <w:r w:rsidRPr="00993936">
        <w:rPr>
          <w:rFonts w:ascii="Arial" w:hAnsi="Arial" w:cs="Arial"/>
          <w:i/>
          <w:lang w:val="es-ES"/>
        </w:rPr>
        <w:t>Ma</w:t>
      </w:r>
      <w:r w:rsidRPr="00993936">
        <w:rPr>
          <w:rFonts w:ascii="Arial" w:hAnsi="Arial" w:cs="Arial"/>
          <w:lang w:val="es-ES"/>
        </w:rPr>
        <w:t xml:space="preserve">) y </w:t>
      </w:r>
      <w:r w:rsidRPr="00993936">
        <w:rPr>
          <w:rFonts w:ascii="Arial" w:hAnsi="Arial" w:cs="Arial"/>
          <w:i/>
          <w:lang w:val="es-ES"/>
        </w:rPr>
        <w:t xml:space="preserve">Nesidiocoris </w:t>
      </w:r>
      <w:r w:rsidRPr="00993936">
        <w:rPr>
          <w:rFonts w:ascii="Arial" w:hAnsi="Arial" w:cs="Arial"/>
          <w:lang w:val="es-ES"/>
        </w:rPr>
        <w:t>(</w:t>
      </w:r>
      <w:r w:rsidRPr="00993936">
        <w:rPr>
          <w:rFonts w:ascii="Arial" w:hAnsi="Arial" w:cs="Arial"/>
          <w:i/>
          <w:lang w:val="es-ES"/>
        </w:rPr>
        <w:t>Cyrtopeltis</w:t>
      </w:r>
      <w:r w:rsidRPr="00993936">
        <w:rPr>
          <w:rFonts w:ascii="Arial" w:hAnsi="Arial" w:cs="Arial"/>
          <w:lang w:val="es-ES"/>
        </w:rPr>
        <w:t>)</w:t>
      </w:r>
      <w:r w:rsidRPr="00993936">
        <w:rPr>
          <w:rFonts w:ascii="Arial" w:hAnsi="Arial" w:cs="Arial"/>
          <w:i/>
          <w:lang w:val="es-ES"/>
        </w:rPr>
        <w:t xml:space="preserve"> tenuis</w:t>
      </w:r>
      <w:r w:rsidRPr="00993936">
        <w:rPr>
          <w:rFonts w:ascii="Arial" w:hAnsi="Arial" w:cs="Arial"/>
          <w:lang w:val="es-ES"/>
        </w:rPr>
        <w:t xml:space="preserve"> (</w:t>
      </w:r>
      <w:r w:rsidRPr="00993936">
        <w:rPr>
          <w:rFonts w:ascii="Arial" w:hAnsi="Arial" w:cs="Arial"/>
          <w:i/>
          <w:lang w:val="es-ES"/>
        </w:rPr>
        <w:t>Nt</w:t>
      </w:r>
      <w:r w:rsidRPr="00993936">
        <w:rPr>
          <w:rFonts w:ascii="Arial" w:hAnsi="Arial" w:cs="Arial"/>
          <w:lang w:val="es-ES"/>
        </w:rPr>
        <w:t>), así como el número de ninfas de míridos</w:t>
      </w:r>
      <w:r w:rsidRPr="00993936">
        <w:rPr>
          <w:rFonts w:ascii="Arial" w:hAnsi="Arial" w:cs="Arial"/>
          <w:i/>
          <w:lang w:val="es-ES"/>
        </w:rPr>
        <w:t xml:space="preserve"> </w:t>
      </w:r>
      <w:r w:rsidRPr="00993936">
        <w:rPr>
          <w:rFonts w:ascii="Arial" w:hAnsi="Arial" w:cs="Arial"/>
          <w:lang w:val="es-ES"/>
        </w:rPr>
        <w:t>presentes. Es recomendable diferenciar, tanto como sea posible, a las ninfas de las tres especies</w:t>
      </w:r>
      <w:r w:rsidRPr="00993936">
        <w:rPr>
          <w:rFonts w:ascii="Arial" w:hAnsi="Arial" w:cs="Arial"/>
          <w:vanish/>
          <w:lang w:val="es-ES"/>
        </w:rPr>
        <w:t>&lt;A[especies|especias]&gt;</w:t>
      </w:r>
      <w:r w:rsidRPr="00993936">
        <w:rPr>
          <w:rFonts w:ascii="Arial" w:hAnsi="Arial" w:cs="Arial"/>
          <w:lang w:val="es-ES"/>
        </w:rPr>
        <w:t xml:space="preserve"> y anotarlas por separado. En caso de que no sea posible, se considerarán conjuntamente bajo el epígrafe “ninfas” (Hoja 1 del Cuaderno de explotación). Con estos datos se calcula la media por planta del nivel de adultos de mosca blanca y del número de adultos y ninfas de míridos. Con este valores se entra al cuadro de decisión (Figura 1) con el fin de conocer el estado del equilibrio presa</w:t>
      </w:r>
      <w:r w:rsidRPr="00993936">
        <w:rPr>
          <w:rFonts w:ascii="Arial" w:hAnsi="Arial" w:cs="Arial"/>
          <w:vanish/>
          <w:lang w:val="es-ES"/>
        </w:rPr>
        <w:t>&lt;A[toma|presa]&gt;</w:t>
      </w:r>
      <w:r w:rsidRPr="00993936">
        <w:rPr>
          <w:rFonts w:ascii="Arial" w:hAnsi="Arial" w:cs="Arial"/>
          <w:lang w:val="es-ES"/>
        </w:rPr>
        <w:t xml:space="preserve">-depredador y tomar la decisión correspondiente. </w:t>
      </w:r>
    </w:p>
    <w:p w:rsidR="00503A41" w:rsidRPr="00993936" w:rsidRDefault="00503A41" w:rsidP="000452B8">
      <w:pPr>
        <w:ind w:firstLine="708"/>
        <w:jc w:val="both"/>
        <w:rPr>
          <w:rFonts w:ascii="Arial" w:hAnsi="Arial" w:cs="Arial"/>
          <w:lang w:val="es-ES"/>
        </w:rPr>
      </w:pPr>
      <w:r w:rsidRPr="00993936">
        <w:rPr>
          <w:rFonts w:ascii="Arial" w:hAnsi="Arial" w:cs="Arial"/>
          <w:lang w:val="es-ES"/>
        </w:rPr>
        <w:t xml:space="preserve">Cuando la planta es muy alta o está despuntada y sea difícil hacer el recuento en las 7 hojas superiores, puede realizarse un recuento alternativo en 10 folíolos al azar cogidos a lo largo de toda la planta [Castañé, Gabarra, Alomar y Goula (1996). </w:t>
      </w:r>
      <w:r w:rsidRPr="00993936">
        <w:rPr>
          <w:rFonts w:ascii="Arial" w:hAnsi="Arial" w:cs="Arial"/>
          <w:i/>
          <w:lang w:val="es-ES"/>
        </w:rPr>
        <w:t>Investigación Agraria</w:t>
      </w:r>
      <w:r w:rsidRPr="00993936">
        <w:rPr>
          <w:rFonts w:ascii="Arial" w:hAnsi="Arial" w:cs="Arial"/>
          <w:lang w:val="es-ES"/>
        </w:rPr>
        <w:t xml:space="preserve"> 11 (2): 313-322]. Si se utiliza el recuento en 10 folíolos, hay que contar 30 plantas en lugar de las 14 que se cuentan cuando el recuento se hace en 7 hojas. Con el valor de la media del número de míridos por planta en 10 folíolos, se puede inferir el número de míridos totales en 7 hojas, que es el valor que hay que entrar en el cuadro de decisión. La regresión que relaciona el número total de míridos en 7 hojas (X) con el número en 10 folíolos (Y) es:</w:t>
      </w:r>
      <w:r w:rsidRPr="00993936">
        <w:rPr>
          <w:rFonts w:ascii="Arial" w:hAnsi="Arial" w:cs="Arial"/>
          <w:b/>
          <w:lang w:val="es-ES"/>
        </w:rPr>
        <w:t xml:space="preserve"> Y = 0,427 X </w:t>
      </w:r>
      <w:r w:rsidRPr="00993936">
        <w:rPr>
          <w:rFonts w:ascii="Arial" w:hAnsi="Arial" w:cs="Arial"/>
          <w:lang w:val="es-ES"/>
        </w:rPr>
        <w:t>(R</w:t>
      </w:r>
      <w:r w:rsidRPr="00993936">
        <w:rPr>
          <w:rFonts w:ascii="Arial" w:hAnsi="Arial" w:cs="Arial"/>
          <w:vertAlign w:val="superscript"/>
          <w:lang w:val="es-ES"/>
        </w:rPr>
        <w:t>2</w:t>
      </w:r>
      <w:r w:rsidRPr="00993936">
        <w:rPr>
          <w:rFonts w:ascii="Arial" w:hAnsi="Arial" w:cs="Arial"/>
          <w:lang w:val="es-ES"/>
        </w:rPr>
        <w:t>= 0,85; P&lt;0,0001). Cuando</w:t>
      </w:r>
      <w:r w:rsidRPr="00993936">
        <w:rPr>
          <w:rFonts w:ascii="Arial" w:hAnsi="Arial" w:cs="Arial"/>
          <w:vanish/>
          <w:lang w:val="es-ES"/>
        </w:rPr>
        <w:t>&lt;A[Cuando|Cuándo]&gt;</w:t>
      </w:r>
      <w:r w:rsidRPr="00993936">
        <w:rPr>
          <w:rFonts w:ascii="Arial" w:hAnsi="Arial" w:cs="Arial"/>
          <w:lang w:val="es-ES"/>
        </w:rPr>
        <w:t xml:space="preserve"> el recuento se haga en 10 folíolos y se prevea que puede haber problemas de mosca blanca, la estimación</w:t>
      </w:r>
      <w:r w:rsidRPr="00993936">
        <w:rPr>
          <w:rFonts w:ascii="Arial" w:hAnsi="Arial" w:cs="Arial"/>
          <w:vanish/>
          <w:lang w:val="es-ES"/>
        </w:rPr>
        <w:t>&lt;A[estimación|estima]&gt;</w:t>
      </w:r>
      <w:r w:rsidRPr="00993936">
        <w:rPr>
          <w:rFonts w:ascii="Arial" w:hAnsi="Arial" w:cs="Arial"/>
          <w:lang w:val="es-ES"/>
        </w:rPr>
        <w:t xml:space="preserve"> de esta plaga se hará en 14 brotes laterales tiernos del invernadero (3 hojas bien desarrolladas por brote) siguiendo el método descrito en este mismo apartado. </w:t>
      </w:r>
    </w:p>
    <w:p w:rsidR="00503A41" w:rsidRPr="00993936" w:rsidRDefault="00503A41" w:rsidP="000452B8">
      <w:pPr>
        <w:ind w:firstLine="708"/>
        <w:jc w:val="both"/>
        <w:rPr>
          <w:rFonts w:ascii="Arial" w:hAnsi="Arial" w:cs="Arial"/>
          <w:lang w:val="es-ES"/>
        </w:rPr>
      </w:pPr>
      <w:r w:rsidRPr="00993936">
        <w:rPr>
          <w:rFonts w:ascii="Arial" w:hAnsi="Arial" w:cs="Arial"/>
          <w:lang w:val="es-ES"/>
        </w:rPr>
        <w:t>Cuando en la evaluación de las poblaciones de míridos (en 7 hojas o bien en 10 folíolos) se detecte algún individuo (adulto o ninfa) de Nt se procederá a anotar en las casillas correspondientes si hay daños en el pomo en flor o en el brote apical de la planta. Los daños consisten en una banda</w:t>
      </w:r>
      <w:r w:rsidRPr="00993936">
        <w:rPr>
          <w:rFonts w:ascii="Arial" w:hAnsi="Arial" w:cs="Arial"/>
          <w:vanish/>
          <w:lang w:val="es-ES"/>
        </w:rPr>
        <w:t>&lt;A[banda|lado]&gt;</w:t>
      </w:r>
      <w:r w:rsidRPr="00993936">
        <w:rPr>
          <w:rFonts w:ascii="Arial" w:hAnsi="Arial" w:cs="Arial"/>
          <w:lang w:val="es-ES"/>
        </w:rPr>
        <w:t xml:space="preserve"> marrón en torno al pedúnculo floral o el tallo del brote. Cuando se observen daños nuevos en más del 10% de las plantas incluidas en el muestreo, tendrá que realizarse un tratamiento para reducir la población de este mírido.</w:t>
      </w:r>
    </w:p>
    <w:p w:rsidR="00503A41" w:rsidRPr="00993936" w:rsidRDefault="00503A41" w:rsidP="000452B8">
      <w:pPr>
        <w:ind w:right="3969"/>
        <w:jc w:val="both"/>
        <w:rPr>
          <w:rFonts w:ascii="Arial" w:hAnsi="Arial" w:cs="Arial"/>
          <w:b/>
          <w:lang w:val="es-ES"/>
        </w:rPr>
      </w:pPr>
    </w:p>
    <w:p w:rsidR="00503A41" w:rsidRPr="00993936" w:rsidRDefault="00503A41" w:rsidP="000452B8">
      <w:pPr>
        <w:ind w:right="3969"/>
        <w:jc w:val="both"/>
        <w:rPr>
          <w:rFonts w:ascii="Arial" w:hAnsi="Arial" w:cs="Arial"/>
          <w:b/>
          <w:lang w:val="es-ES"/>
        </w:rPr>
      </w:pPr>
    </w:p>
    <w:p w:rsidR="00503A41" w:rsidRPr="00993936" w:rsidRDefault="00503A41" w:rsidP="000452B8">
      <w:pPr>
        <w:ind w:right="3969"/>
        <w:jc w:val="both"/>
        <w:rPr>
          <w:rFonts w:ascii="Arial" w:hAnsi="Arial" w:cs="Arial"/>
          <w:b/>
          <w:lang w:val="es-ES"/>
        </w:rPr>
      </w:pPr>
    </w:p>
    <w:p w:rsidR="00503A41" w:rsidRPr="00993936" w:rsidRDefault="00503A41" w:rsidP="000452B8">
      <w:pPr>
        <w:ind w:right="3969"/>
        <w:jc w:val="both"/>
        <w:rPr>
          <w:rFonts w:ascii="Arial" w:hAnsi="Arial" w:cs="Arial"/>
          <w:b/>
          <w:lang w:val="es-ES"/>
        </w:rPr>
      </w:pPr>
    </w:p>
    <w:p w:rsidR="00503A41" w:rsidRPr="00993936" w:rsidRDefault="00503A41" w:rsidP="000452B8">
      <w:pPr>
        <w:ind w:right="3969"/>
        <w:jc w:val="both"/>
        <w:rPr>
          <w:rFonts w:ascii="Arial" w:hAnsi="Arial" w:cs="Arial"/>
          <w:lang w:val="es-ES"/>
        </w:rPr>
      </w:pPr>
      <w:r w:rsidRPr="00993936">
        <w:rPr>
          <w:rFonts w:ascii="Arial" w:hAnsi="Arial" w:cs="Arial"/>
          <w:b/>
          <w:lang w:val="es-ES"/>
        </w:rPr>
        <w:br w:type="page"/>
      </w:r>
      <w:r w:rsidRPr="00993936">
        <w:rPr>
          <w:rFonts w:ascii="Arial" w:hAnsi="Arial" w:cs="Arial"/>
          <w:b/>
          <w:lang w:val="es-ES"/>
        </w:rPr>
        <w:lastRenderedPageBreak/>
        <w:t>Figura 1</w:t>
      </w:r>
      <w:r w:rsidRPr="00993936">
        <w:rPr>
          <w:rFonts w:ascii="Arial" w:hAnsi="Arial" w:cs="Arial"/>
          <w:lang w:val="es-ES"/>
        </w:rPr>
        <w:t xml:space="preserve">. </w:t>
      </w:r>
    </w:p>
    <w:p w:rsidR="00503A41" w:rsidRPr="00993936" w:rsidRDefault="00503A41" w:rsidP="000452B8">
      <w:pPr>
        <w:ind w:right="3969"/>
        <w:jc w:val="both"/>
        <w:rPr>
          <w:rFonts w:ascii="Arial" w:hAnsi="Arial" w:cs="Arial"/>
          <w:lang w:val="es-ES"/>
        </w:rPr>
      </w:pPr>
      <w:r w:rsidRPr="00993936">
        <w:rPr>
          <w:rFonts w:ascii="Arial" w:hAnsi="Arial" w:cs="Arial"/>
          <w:lang w:val="es-ES"/>
        </w:rPr>
        <w:t xml:space="preserve">Cuadro de decisión para las recomendaciones insecticidas de acuerdo con las abundancias de mosca blanca y de míridos. (Adaptado de Alomar, 1994: </w:t>
      </w:r>
      <w:r w:rsidRPr="00993936">
        <w:rPr>
          <w:rFonts w:ascii="Arial" w:hAnsi="Arial" w:cs="Arial"/>
          <w:i/>
          <w:lang w:val="es-ES"/>
        </w:rPr>
        <w:t>Los míridos depredadores (Heteroptera: Miridae) en el control integrado de plagas de cultivos de tomate</w:t>
      </w:r>
      <w:r w:rsidRPr="00993936">
        <w:rPr>
          <w:rFonts w:ascii="Arial" w:hAnsi="Arial" w:cs="Arial"/>
          <w:lang w:val="es-ES"/>
        </w:rPr>
        <w:t xml:space="preserve">. Tesis doctoral. Universidad de Barcelona)         </w:t>
      </w:r>
    </w:p>
    <w:p w:rsidR="00503A41" w:rsidRPr="00993936" w:rsidRDefault="00503A41" w:rsidP="000452B8">
      <w:pPr>
        <w:ind w:right="3969"/>
        <w:jc w:val="both"/>
        <w:rPr>
          <w:rFonts w:ascii="Arial" w:hAnsi="Arial" w:cs="Arial"/>
          <w:lang w:val="es-ES"/>
        </w:rPr>
      </w:pPr>
    </w:p>
    <w:p w:rsidR="00503A41" w:rsidRPr="00993936" w:rsidRDefault="00503A41" w:rsidP="000452B8">
      <w:pPr>
        <w:ind w:right="3969"/>
        <w:jc w:val="both"/>
        <w:rPr>
          <w:rFonts w:ascii="Arial" w:hAnsi="Arial" w:cs="Arial"/>
          <w:lang w:val="es-ES"/>
        </w:rPr>
      </w:pPr>
      <w:r w:rsidRPr="00993936">
        <w:rPr>
          <w:rFonts w:ascii="Arial" w:hAnsi="Arial" w:cs="Arial"/>
          <w:lang w:val="es-ES"/>
        </w:rPr>
        <w:object w:dxaOrig="4174" w:dyaOrig="4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6pt;height:207.65pt" o:ole="" fillcolor="window">
            <v:imagedata r:id="rId31" o:title=""/>
          </v:shape>
          <o:OLEObject Type="Embed" ProgID="Word.Picture.8" ShapeID="_x0000_i1025" DrawAspect="Content" ObjectID="_1580026915" r:id="rId32"/>
        </w:object>
      </w:r>
    </w:p>
    <w:p w:rsidR="00503A41" w:rsidRPr="00993936" w:rsidRDefault="00503A41" w:rsidP="000452B8">
      <w:pPr>
        <w:ind w:right="3969"/>
        <w:jc w:val="both"/>
        <w:rPr>
          <w:rFonts w:ascii="Arial" w:hAnsi="Arial" w:cs="Arial"/>
          <w:lang w:val="es-ES"/>
        </w:rPr>
      </w:pPr>
    </w:p>
    <w:p w:rsidR="00503A41" w:rsidRPr="00993936" w:rsidRDefault="00503A41" w:rsidP="000452B8">
      <w:pPr>
        <w:ind w:right="3969"/>
        <w:jc w:val="both"/>
        <w:rPr>
          <w:rFonts w:ascii="Arial" w:hAnsi="Arial" w:cs="Arial"/>
          <w:lang w:val="es-ES"/>
        </w:rPr>
      </w:pPr>
    </w:p>
    <w:p w:rsidR="00503A41" w:rsidRPr="00993936" w:rsidRDefault="00503A41" w:rsidP="000452B8">
      <w:pPr>
        <w:ind w:right="3969"/>
        <w:jc w:val="both"/>
        <w:rPr>
          <w:rFonts w:ascii="Arial" w:hAnsi="Arial" w:cs="Arial"/>
          <w:lang w:val="es-ES"/>
        </w:rPr>
      </w:pP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61"/>
        <w:gridCol w:w="4395"/>
        <w:gridCol w:w="3957"/>
      </w:tblGrid>
      <w:tr w:rsidR="00503A41" w:rsidRPr="00993936" w:rsidTr="001D205D">
        <w:trPr>
          <w:jc w:val="center"/>
        </w:trPr>
        <w:tc>
          <w:tcPr>
            <w:tcW w:w="961" w:type="dxa"/>
            <w:tcBorders>
              <w:top w:val="single" w:sz="8" w:space="0" w:color="auto"/>
              <w:left w:val="single" w:sz="8" w:space="0" w:color="auto"/>
              <w:bottom w:val="single" w:sz="6" w:space="0" w:color="auto"/>
              <w:right w:val="single" w:sz="6" w:space="0" w:color="auto"/>
            </w:tcBorders>
            <w:shd w:val="clear" w:color="auto" w:fill="D9D9D9" w:themeFill="background1" w:themeFillShade="D9"/>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jc w:val="center"/>
              <w:rPr>
                <w:rFonts w:cs="Arial"/>
                <w:b/>
                <w:lang w:val="es-ES"/>
              </w:rPr>
            </w:pPr>
            <w:r w:rsidRPr="00993936">
              <w:rPr>
                <w:rFonts w:cs="Arial"/>
                <w:b/>
                <w:lang w:val="es-ES"/>
              </w:rPr>
              <w:t>Región</w:t>
            </w:r>
          </w:p>
        </w:tc>
        <w:tc>
          <w:tcPr>
            <w:tcW w:w="4395" w:type="dxa"/>
            <w:tcBorders>
              <w:top w:val="single" w:sz="8" w:space="0" w:color="auto"/>
              <w:left w:val="single" w:sz="6" w:space="0" w:color="auto"/>
              <w:bottom w:val="single" w:sz="6" w:space="0" w:color="auto"/>
              <w:right w:val="single" w:sz="6" w:space="0" w:color="auto"/>
            </w:tcBorders>
            <w:shd w:val="clear" w:color="auto" w:fill="D9D9D9" w:themeFill="background1" w:themeFillShade="D9"/>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jc w:val="center"/>
              <w:rPr>
                <w:rFonts w:cs="Arial"/>
                <w:b/>
                <w:lang w:val="es-ES"/>
              </w:rPr>
            </w:pPr>
            <w:r w:rsidRPr="00993936">
              <w:rPr>
                <w:rFonts w:cs="Arial"/>
                <w:b/>
                <w:lang w:val="es-ES"/>
              </w:rPr>
              <w:t>Situación</w:t>
            </w:r>
          </w:p>
        </w:tc>
        <w:tc>
          <w:tcPr>
            <w:tcW w:w="3957" w:type="dxa"/>
            <w:tcBorders>
              <w:top w:val="single" w:sz="8" w:space="0" w:color="auto"/>
              <w:left w:val="single" w:sz="6" w:space="0" w:color="auto"/>
              <w:bottom w:val="single" w:sz="6" w:space="0" w:color="auto"/>
              <w:right w:val="single" w:sz="8" w:space="0" w:color="auto"/>
            </w:tcBorders>
            <w:shd w:val="clear" w:color="auto" w:fill="D9D9D9" w:themeFill="background1" w:themeFillShade="D9"/>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jc w:val="center"/>
              <w:rPr>
                <w:rFonts w:cs="Arial"/>
                <w:b/>
                <w:lang w:val="es-ES"/>
              </w:rPr>
            </w:pPr>
            <w:r w:rsidRPr="00993936">
              <w:rPr>
                <w:rFonts w:cs="Arial"/>
                <w:b/>
                <w:lang w:val="es-ES"/>
              </w:rPr>
              <w:t>Recomendación</w:t>
            </w:r>
          </w:p>
        </w:tc>
      </w:tr>
      <w:tr w:rsidR="00503A41" w:rsidRPr="00993936" w:rsidTr="001D205D">
        <w:trPr>
          <w:jc w:val="center"/>
        </w:trPr>
        <w:tc>
          <w:tcPr>
            <w:tcW w:w="961" w:type="dxa"/>
            <w:tcBorders>
              <w:top w:val="single" w:sz="8" w:space="0" w:color="auto"/>
              <w:left w:val="single" w:sz="8" w:space="0" w:color="auto"/>
              <w:bottom w:val="single" w:sz="6" w:space="0" w:color="auto"/>
              <w:right w:val="single" w:sz="6" w:space="0" w:color="auto"/>
            </w:tcBorders>
            <w:vAlign w:val="center"/>
          </w:tcPr>
          <w:p w:rsidR="00503A41" w:rsidRPr="00993936" w:rsidRDefault="00503A41" w:rsidP="001D205D">
            <w:pPr>
              <w:jc w:val="center"/>
              <w:rPr>
                <w:rFonts w:ascii="Arial" w:hAnsi="Arial" w:cs="Arial"/>
                <w:b/>
                <w:lang w:val="es-ES"/>
              </w:rPr>
            </w:pPr>
            <w:r w:rsidRPr="00993936">
              <w:rPr>
                <w:rFonts w:ascii="Arial" w:hAnsi="Arial" w:cs="Arial"/>
                <w:b/>
                <w:lang w:val="es-ES"/>
              </w:rPr>
              <w:t>1</w:t>
            </w:r>
          </w:p>
        </w:tc>
        <w:tc>
          <w:tcPr>
            <w:tcW w:w="4395" w:type="dxa"/>
            <w:tcBorders>
              <w:top w:val="single" w:sz="8" w:space="0" w:color="auto"/>
              <w:left w:val="single" w:sz="6" w:space="0" w:color="auto"/>
              <w:bottom w:val="single" w:sz="6" w:space="0" w:color="auto"/>
              <w:right w:val="single" w:sz="6" w:space="0" w:color="auto"/>
            </w:tcBorders>
            <w:vAlign w:val="center"/>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es-ES"/>
              </w:rPr>
            </w:pPr>
            <w:r w:rsidRPr="00993936">
              <w:rPr>
                <w:rFonts w:cs="Arial"/>
                <w:lang w:val="es-ES"/>
              </w:rPr>
              <w:t xml:space="preserve">La población de los dos insectos es pequeña, o hay suficientes míridos para controlar la mosca blanca sin que hagan daño al fruto. </w:t>
            </w:r>
          </w:p>
        </w:tc>
        <w:tc>
          <w:tcPr>
            <w:tcW w:w="3957" w:type="dxa"/>
            <w:tcBorders>
              <w:top w:val="single" w:sz="8" w:space="0" w:color="auto"/>
              <w:left w:val="single" w:sz="6" w:space="0" w:color="auto"/>
              <w:bottom w:val="single" w:sz="6" w:space="0" w:color="auto"/>
              <w:right w:val="single" w:sz="8" w:space="0" w:color="auto"/>
            </w:tcBorders>
            <w:vAlign w:val="center"/>
          </w:tcPr>
          <w:p w:rsidR="00503A41" w:rsidRPr="00993936" w:rsidRDefault="00503A41" w:rsidP="001D205D">
            <w:pPr>
              <w:jc w:val="both"/>
              <w:rPr>
                <w:rFonts w:ascii="Arial" w:hAnsi="Arial" w:cs="Arial"/>
                <w:lang w:val="es-ES"/>
              </w:rPr>
            </w:pPr>
            <w:r w:rsidRPr="00993936">
              <w:rPr>
                <w:rFonts w:ascii="Arial" w:hAnsi="Arial" w:cs="Arial"/>
                <w:lang w:val="es-ES"/>
              </w:rPr>
              <w:t>No hace falta ninguna intervención con insecticida.</w:t>
            </w:r>
          </w:p>
        </w:tc>
      </w:tr>
      <w:tr w:rsidR="00503A41" w:rsidRPr="00993936" w:rsidTr="001D205D">
        <w:trPr>
          <w:jc w:val="center"/>
        </w:trPr>
        <w:tc>
          <w:tcPr>
            <w:tcW w:w="961" w:type="dxa"/>
            <w:tcBorders>
              <w:top w:val="single" w:sz="6" w:space="0" w:color="auto"/>
              <w:left w:val="single" w:sz="8" w:space="0" w:color="auto"/>
              <w:bottom w:val="single" w:sz="6" w:space="0" w:color="auto"/>
              <w:right w:val="single" w:sz="6" w:space="0" w:color="auto"/>
            </w:tcBorders>
            <w:vAlign w:val="center"/>
          </w:tcPr>
          <w:p w:rsidR="00503A41" w:rsidRPr="00993936" w:rsidRDefault="00503A41" w:rsidP="001D205D">
            <w:pPr>
              <w:jc w:val="center"/>
              <w:rPr>
                <w:rFonts w:ascii="Arial" w:hAnsi="Arial" w:cs="Arial"/>
                <w:b/>
                <w:lang w:val="es-ES"/>
              </w:rPr>
            </w:pPr>
            <w:r w:rsidRPr="00993936">
              <w:rPr>
                <w:rFonts w:ascii="Arial" w:hAnsi="Arial" w:cs="Arial"/>
                <w:b/>
                <w:lang w:val="es-ES"/>
              </w:rPr>
              <w:t>2</w:t>
            </w:r>
          </w:p>
        </w:tc>
        <w:tc>
          <w:tcPr>
            <w:tcW w:w="4395" w:type="dxa"/>
            <w:tcBorders>
              <w:top w:val="single" w:sz="6" w:space="0" w:color="auto"/>
              <w:left w:val="single" w:sz="6" w:space="0" w:color="auto"/>
              <w:bottom w:val="single" w:sz="6" w:space="0" w:color="auto"/>
              <w:right w:val="single" w:sz="6" w:space="0" w:color="auto"/>
            </w:tcBorders>
            <w:vAlign w:val="center"/>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es-ES"/>
              </w:rPr>
            </w:pPr>
            <w:r w:rsidRPr="00993936">
              <w:rPr>
                <w:rFonts w:cs="Arial"/>
                <w:lang w:val="es-ES"/>
              </w:rPr>
              <w:t>Los depredadores todavía pueden prevenir que la mosca blanca llegue a niveles perniciosos, pero el resultado es incierto.</w:t>
            </w:r>
          </w:p>
        </w:tc>
        <w:tc>
          <w:tcPr>
            <w:tcW w:w="3957" w:type="dxa"/>
            <w:tcBorders>
              <w:top w:val="single" w:sz="6" w:space="0" w:color="auto"/>
              <w:left w:val="single" w:sz="6" w:space="0" w:color="auto"/>
              <w:bottom w:val="single" w:sz="6" w:space="0" w:color="auto"/>
              <w:right w:val="single" w:sz="8" w:space="0" w:color="auto"/>
            </w:tcBorders>
            <w:vAlign w:val="center"/>
          </w:tcPr>
          <w:p w:rsidR="00503A41" w:rsidRPr="00993936" w:rsidRDefault="00503A41" w:rsidP="001D205D">
            <w:pPr>
              <w:jc w:val="both"/>
              <w:rPr>
                <w:rFonts w:ascii="Arial" w:hAnsi="Arial" w:cs="Arial"/>
                <w:lang w:val="es-ES"/>
              </w:rPr>
            </w:pPr>
            <w:r w:rsidRPr="00993936">
              <w:rPr>
                <w:rFonts w:ascii="Arial" w:hAnsi="Arial" w:cs="Arial"/>
                <w:lang w:val="es-ES"/>
              </w:rPr>
              <w:t>No hace falta una intervención insecticida inmediata: hay que esperar los resultados del recuento siguiente para tomar una decisión.</w:t>
            </w:r>
          </w:p>
        </w:tc>
      </w:tr>
      <w:tr w:rsidR="00503A41" w:rsidRPr="00993936" w:rsidTr="001D205D">
        <w:trPr>
          <w:jc w:val="center"/>
        </w:trPr>
        <w:tc>
          <w:tcPr>
            <w:tcW w:w="961" w:type="dxa"/>
            <w:tcBorders>
              <w:top w:val="single" w:sz="6" w:space="0" w:color="auto"/>
              <w:left w:val="single" w:sz="8" w:space="0" w:color="auto"/>
              <w:bottom w:val="single" w:sz="6" w:space="0" w:color="auto"/>
              <w:right w:val="single" w:sz="6" w:space="0" w:color="auto"/>
            </w:tcBorders>
            <w:vAlign w:val="center"/>
          </w:tcPr>
          <w:p w:rsidR="00503A41" w:rsidRPr="00993936" w:rsidRDefault="00503A41" w:rsidP="001D205D">
            <w:pPr>
              <w:jc w:val="center"/>
              <w:rPr>
                <w:rFonts w:ascii="Arial" w:hAnsi="Arial" w:cs="Arial"/>
                <w:b/>
                <w:lang w:val="es-ES"/>
              </w:rPr>
            </w:pPr>
            <w:r w:rsidRPr="00993936">
              <w:rPr>
                <w:rFonts w:ascii="Arial" w:hAnsi="Arial" w:cs="Arial"/>
                <w:b/>
                <w:lang w:val="es-ES"/>
              </w:rPr>
              <w:t>3</w:t>
            </w:r>
          </w:p>
        </w:tc>
        <w:tc>
          <w:tcPr>
            <w:tcW w:w="4395" w:type="dxa"/>
            <w:tcBorders>
              <w:top w:val="single" w:sz="6" w:space="0" w:color="auto"/>
              <w:left w:val="single" w:sz="6" w:space="0" w:color="auto"/>
              <w:bottom w:val="single" w:sz="6" w:space="0" w:color="auto"/>
              <w:right w:val="single" w:sz="6" w:space="0" w:color="auto"/>
            </w:tcBorders>
            <w:vAlign w:val="center"/>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es-ES"/>
              </w:rPr>
            </w:pPr>
            <w:r w:rsidRPr="00993936">
              <w:rPr>
                <w:rFonts w:cs="Arial"/>
                <w:lang w:val="es-ES"/>
              </w:rPr>
              <w:t>No hay lo bastante depredadores y/o se puede desarrollar lo bastante negrita antes de que la mosca blanca esté controlada.</w:t>
            </w:r>
          </w:p>
        </w:tc>
        <w:tc>
          <w:tcPr>
            <w:tcW w:w="3957" w:type="dxa"/>
            <w:tcBorders>
              <w:top w:val="single" w:sz="6" w:space="0" w:color="auto"/>
              <w:left w:val="single" w:sz="6" w:space="0" w:color="auto"/>
              <w:bottom w:val="single" w:sz="6" w:space="0" w:color="auto"/>
              <w:right w:val="single" w:sz="8" w:space="0" w:color="auto"/>
            </w:tcBorders>
            <w:vAlign w:val="center"/>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es-ES"/>
              </w:rPr>
            </w:pPr>
            <w:r w:rsidRPr="00993936">
              <w:rPr>
                <w:rFonts w:cs="Arial"/>
                <w:lang w:val="es-ES"/>
              </w:rPr>
              <w:t>Si el índice permanece aquí más de una semana, es recomendable de tratar contra la mosca blanca con insecticida para volver el sistema de nuevo en la región 1.</w:t>
            </w:r>
          </w:p>
        </w:tc>
      </w:tr>
      <w:tr w:rsidR="00503A41" w:rsidRPr="00993936" w:rsidTr="001D205D">
        <w:trPr>
          <w:jc w:val="center"/>
        </w:trPr>
        <w:tc>
          <w:tcPr>
            <w:tcW w:w="961" w:type="dxa"/>
            <w:tcBorders>
              <w:top w:val="single" w:sz="6" w:space="0" w:color="auto"/>
              <w:left w:val="single" w:sz="8" w:space="0" w:color="auto"/>
              <w:bottom w:val="single" w:sz="8" w:space="0" w:color="auto"/>
              <w:right w:val="single" w:sz="6" w:space="0" w:color="auto"/>
            </w:tcBorders>
            <w:vAlign w:val="center"/>
          </w:tcPr>
          <w:p w:rsidR="00503A41" w:rsidRPr="00993936" w:rsidRDefault="00503A41" w:rsidP="001D205D">
            <w:pPr>
              <w:jc w:val="center"/>
              <w:rPr>
                <w:rFonts w:ascii="Arial" w:hAnsi="Arial" w:cs="Arial"/>
                <w:b/>
                <w:lang w:val="es-ES"/>
              </w:rPr>
            </w:pPr>
            <w:r w:rsidRPr="00993936">
              <w:rPr>
                <w:rFonts w:ascii="Arial" w:hAnsi="Arial" w:cs="Arial"/>
                <w:b/>
                <w:lang w:val="es-ES"/>
              </w:rPr>
              <w:t>4</w:t>
            </w:r>
          </w:p>
        </w:tc>
        <w:tc>
          <w:tcPr>
            <w:tcW w:w="4395" w:type="dxa"/>
            <w:tcBorders>
              <w:top w:val="single" w:sz="6" w:space="0" w:color="auto"/>
              <w:left w:val="single" w:sz="6" w:space="0" w:color="auto"/>
              <w:bottom w:val="single" w:sz="8" w:space="0" w:color="auto"/>
              <w:right w:val="single" w:sz="6" w:space="0" w:color="auto"/>
            </w:tcBorders>
            <w:vAlign w:val="center"/>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es-ES"/>
              </w:rPr>
            </w:pPr>
            <w:r w:rsidRPr="00993936">
              <w:rPr>
                <w:rFonts w:cs="Arial"/>
                <w:lang w:val="es-ES"/>
              </w:rPr>
              <w:t>Los míridos han reducido el número de moscas blancas de manera que ya no será problema, pero si hay Ma pueden aparecer picaduras</w:t>
            </w:r>
            <w:r w:rsidRPr="00993936">
              <w:rPr>
                <w:rFonts w:cs="Arial"/>
                <w:vanish/>
                <w:lang w:val="es-ES"/>
              </w:rPr>
              <w:t>&lt;A[picaduras|picotazos]&gt;</w:t>
            </w:r>
            <w:r w:rsidRPr="00993936">
              <w:rPr>
                <w:rFonts w:cs="Arial"/>
                <w:lang w:val="es-ES"/>
              </w:rPr>
              <w:t xml:space="preserve"> en el fruto.</w:t>
            </w:r>
          </w:p>
        </w:tc>
        <w:tc>
          <w:tcPr>
            <w:tcW w:w="3957" w:type="dxa"/>
            <w:tcBorders>
              <w:top w:val="single" w:sz="6" w:space="0" w:color="auto"/>
              <w:left w:val="single" w:sz="6" w:space="0" w:color="auto"/>
              <w:bottom w:val="single" w:sz="8" w:space="0" w:color="auto"/>
              <w:right w:val="single" w:sz="8" w:space="0" w:color="auto"/>
            </w:tcBorders>
            <w:vAlign w:val="center"/>
          </w:tcPr>
          <w:p w:rsidR="00503A41" w:rsidRPr="00993936" w:rsidRDefault="00503A41" w:rsidP="001D205D">
            <w:pPr>
              <w:pStyle w:val="Textoindependiente"/>
              <w:tabs>
                <w:tab w:val="left" w:pos="820"/>
                <w:tab w:val="left" w:pos="1540"/>
                <w:tab w:val="left" w:pos="2260"/>
                <w:tab w:val="left" w:pos="2980"/>
                <w:tab w:val="left" w:pos="3700"/>
                <w:tab w:val="left" w:pos="4420"/>
                <w:tab w:val="left" w:pos="5140"/>
                <w:tab w:val="left" w:pos="5860"/>
                <w:tab w:val="left" w:pos="6580"/>
                <w:tab w:val="left" w:pos="7300"/>
                <w:tab w:val="left" w:pos="8020"/>
              </w:tabs>
              <w:rPr>
                <w:rFonts w:cs="Arial"/>
                <w:lang w:val="es-ES"/>
              </w:rPr>
            </w:pPr>
            <w:r w:rsidRPr="00993936">
              <w:rPr>
                <w:rFonts w:cs="Arial"/>
                <w:lang w:val="es-ES"/>
              </w:rPr>
              <w:t>En presencia de algún adulto o ninfa del Ma, hacer un recuento secuencial de daños en fruto.</w:t>
            </w:r>
          </w:p>
        </w:tc>
      </w:tr>
    </w:tbl>
    <w:p w:rsidR="00503A41" w:rsidRPr="00993936" w:rsidRDefault="00503A41" w:rsidP="000452B8">
      <w:pPr>
        <w:ind w:right="3969"/>
        <w:jc w:val="both"/>
        <w:rPr>
          <w:rFonts w:ascii="Arial" w:hAnsi="Arial" w:cs="Arial"/>
          <w:lang w:val="es-ES"/>
        </w:rPr>
      </w:pP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t>Para hacer un recuento secuencial de daños en fruto, se escoge un punto al azar en el campo y se observan 5 frutos de una medida</w:t>
      </w:r>
      <w:r w:rsidRPr="00993936">
        <w:rPr>
          <w:rFonts w:ascii="Arial" w:hAnsi="Arial" w:cs="Arial"/>
          <w:vanish/>
          <w:lang w:val="es-ES"/>
        </w:rPr>
        <w:t>&lt;A[medida|tamaño]&gt;</w:t>
      </w:r>
      <w:r w:rsidRPr="00993936">
        <w:rPr>
          <w:rFonts w:ascii="Arial" w:hAnsi="Arial" w:cs="Arial"/>
          <w:lang w:val="es-ES"/>
        </w:rPr>
        <w:t xml:space="preserve"> aproximada de 4 cm de diámetro en los 3 pomos superiores. Se anota el número de frutos que presenten picaduras</w:t>
      </w:r>
      <w:r w:rsidRPr="00993936">
        <w:rPr>
          <w:rFonts w:ascii="Arial" w:hAnsi="Arial" w:cs="Arial"/>
          <w:vanish/>
          <w:lang w:val="es-ES"/>
        </w:rPr>
        <w:t>&lt;A[picaduras|picotazos]&gt;</w:t>
      </w:r>
      <w:r w:rsidRPr="00993936">
        <w:rPr>
          <w:rFonts w:ascii="Arial" w:hAnsi="Arial" w:cs="Arial"/>
          <w:lang w:val="es-ES"/>
        </w:rPr>
        <w:t xml:space="preserve"> de míridos. A continuación se selecciona otro punto en el campo y también se cuenta el número de frutos con picaduras</w:t>
      </w:r>
      <w:r w:rsidRPr="00993936">
        <w:rPr>
          <w:rFonts w:ascii="Arial" w:hAnsi="Arial" w:cs="Arial"/>
          <w:vanish/>
          <w:lang w:val="es-ES"/>
        </w:rPr>
        <w:t>&lt;A[picaduras|picotazos]&gt;</w:t>
      </w:r>
      <w:r w:rsidRPr="00993936">
        <w:rPr>
          <w:rFonts w:ascii="Arial" w:hAnsi="Arial" w:cs="Arial"/>
          <w:lang w:val="es-ES"/>
        </w:rPr>
        <w:t>. Las observaciones se anotan de forma acumulada con las observaciones de los puntos anteriores en la tabla</w:t>
      </w:r>
      <w:r w:rsidRPr="00993936">
        <w:rPr>
          <w:rFonts w:ascii="Arial" w:hAnsi="Arial" w:cs="Arial"/>
          <w:vanish/>
          <w:lang w:val="es-ES"/>
        </w:rPr>
        <w:t>&lt;A[mesa|tabla]&gt;</w:t>
      </w:r>
      <w:r w:rsidRPr="00993936">
        <w:rPr>
          <w:rFonts w:ascii="Arial" w:hAnsi="Arial" w:cs="Arial"/>
          <w:lang w:val="es-ES"/>
        </w:rPr>
        <w:t xml:space="preserve"> correspondiente de la Hoja 1. Si el valor acumulado en las observaciones es menor que el que aparece en la columna "NO TRATAR", no habrá que realizar ningún tratamiento, y si el valor acumulado es mayor de lo que aparece en la columna "TRATAR" hará falta tratar para reducir la población de míridos.</w:t>
      </w:r>
    </w:p>
    <w:p w:rsidR="00503A41" w:rsidRPr="00993936" w:rsidRDefault="00503A41" w:rsidP="000452B8">
      <w:pPr>
        <w:jc w:val="both"/>
        <w:rPr>
          <w:rFonts w:ascii="Arial" w:hAnsi="Arial" w:cs="Arial"/>
          <w:lang w:val="es-ES"/>
        </w:rPr>
      </w:pPr>
      <w:r w:rsidRPr="00993936">
        <w:rPr>
          <w:rFonts w:ascii="Arial" w:hAnsi="Arial" w:cs="Arial"/>
          <w:lang w:val="es-ES"/>
        </w:rPr>
        <w:t>Los productos para realizar los tratamientos de mosca blanca se escogerán entre los citados al cuadro A del apartado 6.13.</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 xml:space="preserve">6.2. </w:t>
      </w:r>
      <w:r w:rsidRPr="00993936">
        <w:rPr>
          <w:rFonts w:ascii="Arial" w:hAnsi="Arial" w:cs="Arial"/>
          <w:b/>
          <w:i/>
          <w:lang w:val="es-ES"/>
        </w:rPr>
        <w:t>Tuta absoluta</w:t>
      </w:r>
    </w:p>
    <w:p w:rsidR="00503A41" w:rsidRPr="00993936" w:rsidRDefault="00503A41" w:rsidP="000452B8">
      <w:pPr>
        <w:spacing w:before="120" w:line="276" w:lineRule="auto"/>
        <w:jc w:val="both"/>
        <w:rPr>
          <w:rFonts w:ascii="Arial" w:hAnsi="Arial" w:cs="Arial"/>
          <w:lang w:val="es-ES"/>
        </w:rPr>
      </w:pPr>
      <w:r w:rsidRPr="00993936">
        <w:rPr>
          <w:rFonts w:ascii="Arial" w:hAnsi="Arial" w:cs="Arial"/>
          <w:lang w:val="es-ES"/>
        </w:rPr>
        <w:t>En las mismas 7 hojas superiores que se utilizan para hacer el recuento de depredadores se hace una estimación</w:t>
      </w:r>
      <w:r w:rsidRPr="00993936">
        <w:rPr>
          <w:rFonts w:ascii="Arial" w:hAnsi="Arial" w:cs="Arial"/>
          <w:vanish/>
          <w:lang w:val="es-ES"/>
        </w:rPr>
        <w:t>&lt;A[estimación|estima]&gt;</w:t>
      </w:r>
      <w:r w:rsidRPr="00993936">
        <w:rPr>
          <w:rFonts w:ascii="Arial" w:hAnsi="Arial" w:cs="Arial"/>
          <w:lang w:val="es-ES"/>
        </w:rPr>
        <w:t xml:space="preserve"> de</w:t>
      </w:r>
      <w:r w:rsidRPr="00993936">
        <w:rPr>
          <w:rFonts w:ascii="Arial" w:hAnsi="Arial" w:cs="Arial"/>
          <w:b/>
          <w:i/>
          <w:lang w:val="es-ES"/>
        </w:rPr>
        <w:t xml:space="preserve"> </w:t>
      </w:r>
      <w:r w:rsidRPr="00993936">
        <w:rPr>
          <w:rFonts w:ascii="Arial" w:hAnsi="Arial" w:cs="Arial"/>
          <w:lang w:val="es-ES"/>
        </w:rPr>
        <w:t xml:space="preserve">la abundancia de minas de </w:t>
      </w:r>
      <w:r w:rsidRPr="00993936">
        <w:rPr>
          <w:rFonts w:ascii="Arial" w:hAnsi="Arial" w:cs="Arial"/>
          <w:i/>
          <w:lang w:val="es-ES"/>
        </w:rPr>
        <w:t>Tuta</w:t>
      </w:r>
      <w:r w:rsidRPr="00993936">
        <w:rPr>
          <w:rFonts w:ascii="Arial" w:hAnsi="Arial" w:cs="Arial"/>
          <w:lang w:val="es-ES"/>
        </w:rPr>
        <w:t xml:space="preserve"> utilizando la escalera</w:t>
      </w:r>
      <w:r w:rsidRPr="00993936">
        <w:rPr>
          <w:rFonts w:ascii="Arial" w:hAnsi="Arial" w:cs="Arial"/>
          <w:vanish/>
          <w:lang w:val="es-ES"/>
        </w:rPr>
        <w:t>&lt;A[escalera|escala]&gt;</w:t>
      </w:r>
      <w:r w:rsidRPr="00993936">
        <w:rPr>
          <w:rFonts w:ascii="Arial" w:hAnsi="Arial" w:cs="Arial"/>
          <w:lang w:val="es-ES"/>
        </w:rPr>
        <w:t xml:space="preserve"> de la Tabla</w:t>
      </w:r>
      <w:r w:rsidRPr="00993936">
        <w:rPr>
          <w:rFonts w:ascii="Arial" w:hAnsi="Arial" w:cs="Arial"/>
          <w:vanish/>
          <w:lang w:val="es-ES"/>
        </w:rPr>
        <w:t>&lt;A[Mesa|Tabla]&gt;</w:t>
      </w:r>
      <w:r w:rsidRPr="00993936">
        <w:rPr>
          <w:rFonts w:ascii="Arial" w:hAnsi="Arial" w:cs="Arial"/>
          <w:lang w:val="es-ES"/>
        </w:rPr>
        <w:t xml:space="preserve"> 2. En caso de que se observe un mínimo de 4 plantas con nivel 1 y no se haya observado míridos depredadores en el recuento se recomendará un tratamiento. Si se alcanza este mismo nivel de plaga pero a la hora se observa presencia de míridos depredadores, se esperará al siguiente recuento y se recomendará un tratamiento siempre que el nivel de </w:t>
      </w:r>
      <w:r w:rsidRPr="00993936">
        <w:rPr>
          <w:rFonts w:ascii="Arial" w:hAnsi="Arial" w:cs="Arial"/>
          <w:i/>
          <w:lang w:val="es-ES"/>
        </w:rPr>
        <w:t>Tuta</w:t>
      </w:r>
      <w:r w:rsidRPr="00993936">
        <w:rPr>
          <w:rFonts w:ascii="Arial" w:hAnsi="Arial" w:cs="Arial"/>
          <w:lang w:val="es-ES"/>
        </w:rPr>
        <w:t xml:space="preserve"> haya aumentado. Se tendrá especial cuidado</w:t>
      </w:r>
      <w:r w:rsidRPr="00993936">
        <w:rPr>
          <w:rFonts w:ascii="Arial" w:hAnsi="Arial" w:cs="Arial"/>
          <w:vanish/>
          <w:lang w:val="es-ES"/>
        </w:rPr>
        <w:t>&lt;A[cuidado|cura]&gt;</w:t>
      </w:r>
      <w:r w:rsidRPr="00993936">
        <w:rPr>
          <w:rFonts w:ascii="Arial" w:hAnsi="Arial" w:cs="Arial"/>
          <w:lang w:val="es-ES"/>
        </w:rPr>
        <w:t xml:space="preserve"> en utilizar productos respectuaosos con </w:t>
      </w:r>
      <w:r w:rsidRPr="00993936">
        <w:rPr>
          <w:rFonts w:ascii="Arial" w:hAnsi="Arial" w:cs="Arial"/>
          <w:i/>
          <w:lang w:val="es-ES"/>
        </w:rPr>
        <w:t>Macrolophus.</w:t>
      </w: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b/>
          <w:lang w:val="es-ES"/>
        </w:rPr>
      </w:pP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b/>
          <w:lang w:val="es-ES"/>
        </w:rPr>
      </w:pP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lang w:val="es-ES"/>
        </w:rPr>
      </w:pPr>
      <w:r w:rsidRPr="00993936">
        <w:rPr>
          <w:rFonts w:ascii="Arial" w:hAnsi="Arial" w:cs="Arial"/>
          <w:b/>
          <w:lang w:val="es-ES"/>
        </w:rPr>
        <w:t>Tabla</w:t>
      </w:r>
      <w:r w:rsidRPr="00993936">
        <w:rPr>
          <w:rFonts w:ascii="Arial" w:hAnsi="Arial" w:cs="Arial"/>
          <w:b/>
          <w:vanish/>
          <w:lang w:val="es-ES"/>
        </w:rPr>
        <w:t>&lt;A[Mesa|Tabla]&gt;</w:t>
      </w:r>
      <w:r w:rsidRPr="00993936">
        <w:rPr>
          <w:rFonts w:ascii="Arial" w:hAnsi="Arial" w:cs="Arial"/>
          <w:b/>
          <w:lang w:val="es-ES"/>
        </w:rPr>
        <w:t xml:space="preserve"> 2.</w:t>
      </w:r>
      <w:r w:rsidRPr="00993936">
        <w:rPr>
          <w:rFonts w:ascii="Arial" w:hAnsi="Arial" w:cs="Arial"/>
          <w:lang w:val="es-ES"/>
        </w:rPr>
        <w:t xml:space="preserve"> Número aproximado de galerías encontrados en las siete hojas superiores de la planta de tomatera e índice </w:t>
      </w:r>
      <w:r w:rsidRPr="00993936">
        <w:rPr>
          <w:rFonts w:ascii="Arial" w:eastAsia="Calibri" w:hAnsi="Arial" w:cs="Arial"/>
          <w:lang w:val="es-ES"/>
        </w:rPr>
        <w:t xml:space="preserve">de </w:t>
      </w:r>
      <w:r w:rsidRPr="00993936">
        <w:rPr>
          <w:rFonts w:ascii="Arial" w:eastAsia="Calibri" w:hAnsi="Arial" w:cs="Arial"/>
          <w:i/>
          <w:lang w:val="es-ES"/>
        </w:rPr>
        <w:t>T. absoluto</w:t>
      </w:r>
      <w:r w:rsidRPr="00993936">
        <w:rPr>
          <w:rFonts w:ascii="Arial" w:eastAsia="Calibri" w:hAnsi="Arial" w:cs="Arial"/>
          <w:lang w:val="es-ES"/>
        </w:rPr>
        <w:t xml:space="preserve"> </w:t>
      </w:r>
      <w:r w:rsidRPr="00993936">
        <w:rPr>
          <w:rFonts w:ascii="Arial" w:hAnsi="Arial" w:cs="Arial"/>
          <w:lang w:val="es-ES"/>
        </w:rPr>
        <w:t>que hay que anotar en cada recuento.</w:t>
      </w:r>
    </w:p>
    <w:p w:rsidR="00503A41" w:rsidRPr="00993936" w:rsidRDefault="00503A41" w:rsidP="000452B8">
      <w:pPr>
        <w:tabs>
          <w:tab w:val="left" w:pos="820"/>
          <w:tab w:val="left" w:pos="1540"/>
          <w:tab w:val="left" w:pos="2260"/>
          <w:tab w:val="left" w:pos="2980"/>
          <w:tab w:val="left" w:pos="3700"/>
          <w:tab w:val="left" w:pos="4420"/>
          <w:tab w:val="left" w:pos="5140"/>
          <w:tab w:val="left" w:pos="5860"/>
          <w:tab w:val="left" w:pos="6580"/>
          <w:tab w:val="left" w:pos="7300"/>
          <w:tab w:val="left" w:pos="8020"/>
        </w:tabs>
        <w:jc w:val="both"/>
        <w:rPr>
          <w:rFonts w:ascii="Arial" w:hAnsi="Arial" w:cs="Arial"/>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4"/>
        <w:gridCol w:w="2887"/>
      </w:tblGrid>
      <w:tr w:rsidR="00503A41" w:rsidRPr="00993936" w:rsidTr="000452B8">
        <w:trPr>
          <w:trHeight w:hRule="exact" w:val="461"/>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Nº. galerías</w:t>
            </w:r>
          </w:p>
        </w:tc>
        <w:tc>
          <w:tcPr>
            <w:tcW w:w="2887"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 xml:space="preserve">Índice de </w:t>
            </w:r>
            <w:r w:rsidRPr="00993936">
              <w:rPr>
                <w:rFonts w:ascii="Arial" w:eastAsia="Calibri" w:hAnsi="Arial" w:cs="Arial"/>
                <w:i/>
                <w:lang w:val="es-ES"/>
              </w:rPr>
              <w:t>T. absoluta</w:t>
            </w:r>
            <w:r w:rsidRPr="00993936">
              <w:rPr>
                <w:rFonts w:ascii="Arial" w:eastAsia="Calibri" w:hAnsi="Arial" w:cs="Arial"/>
                <w:lang w:val="es-ES"/>
              </w:rPr>
              <w:t xml:space="preserve"> (ITa)</w:t>
            </w:r>
          </w:p>
        </w:tc>
      </w:tr>
      <w:tr w:rsidR="00503A41" w:rsidRPr="00993936" w:rsidTr="000452B8">
        <w:trPr>
          <w:trHeight w:hRule="exact" w:val="284"/>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0</w:t>
            </w:r>
          </w:p>
        </w:tc>
        <w:tc>
          <w:tcPr>
            <w:tcW w:w="2887"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0</w:t>
            </w:r>
          </w:p>
        </w:tc>
      </w:tr>
      <w:tr w:rsidR="00503A41" w:rsidRPr="00993936" w:rsidTr="000452B8">
        <w:trPr>
          <w:trHeight w:hRule="exact" w:val="284"/>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1-5</w:t>
            </w:r>
          </w:p>
        </w:tc>
        <w:tc>
          <w:tcPr>
            <w:tcW w:w="2887"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1</w:t>
            </w:r>
          </w:p>
        </w:tc>
      </w:tr>
      <w:tr w:rsidR="00503A41" w:rsidRPr="00993936" w:rsidTr="000452B8">
        <w:trPr>
          <w:trHeight w:hRule="exact" w:val="284"/>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6-20</w:t>
            </w:r>
          </w:p>
        </w:tc>
        <w:tc>
          <w:tcPr>
            <w:tcW w:w="2887"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2</w:t>
            </w:r>
          </w:p>
        </w:tc>
      </w:tr>
      <w:tr w:rsidR="00503A41" w:rsidRPr="00993936" w:rsidTr="000452B8">
        <w:trPr>
          <w:trHeight w:hRule="exact" w:val="284"/>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21-100</w:t>
            </w:r>
          </w:p>
        </w:tc>
        <w:tc>
          <w:tcPr>
            <w:tcW w:w="2887"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3</w:t>
            </w:r>
          </w:p>
        </w:tc>
      </w:tr>
      <w:tr w:rsidR="00503A41" w:rsidRPr="00993936" w:rsidTr="000452B8">
        <w:trPr>
          <w:trHeight w:hRule="exact" w:val="284"/>
          <w:jc w:val="center"/>
        </w:trPr>
        <w:tc>
          <w:tcPr>
            <w:tcW w:w="1634"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101-400</w:t>
            </w:r>
          </w:p>
        </w:tc>
        <w:tc>
          <w:tcPr>
            <w:tcW w:w="2887" w:type="dxa"/>
            <w:tcBorders>
              <w:top w:val="single" w:sz="4" w:space="0" w:color="000000"/>
              <w:left w:val="single" w:sz="4" w:space="0" w:color="000000"/>
              <w:bottom w:val="single" w:sz="4" w:space="0" w:color="000000"/>
              <w:right w:val="single" w:sz="4" w:space="0" w:color="000000"/>
            </w:tcBorders>
            <w:vAlign w:val="center"/>
            <w:hideMark/>
          </w:tcPr>
          <w:p w:rsidR="00503A41" w:rsidRPr="00993936" w:rsidRDefault="00503A41">
            <w:pPr>
              <w:spacing w:line="276" w:lineRule="auto"/>
              <w:rPr>
                <w:rFonts w:ascii="Arial" w:eastAsia="Calibri" w:hAnsi="Arial" w:cs="Arial"/>
                <w:lang w:val="es-ES"/>
              </w:rPr>
            </w:pPr>
            <w:r w:rsidRPr="00993936">
              <w:rPr>
                <w:rFonts w:ascii="Arial" w:eastAsia="Calibri" w:hAnsi="Arial" w:cs="Arial"/>
                <w:lang w:val="es-ES"/>
              </w:rPr>
              <w:t>4</w:t>
            </w:r>
          </w:p>
        </w:tc>
      </w:tr>
    </w:tbl>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lastRenderedPageBreak/>
        <w:t>6.3 Oruga del tomate (</w:t>
      </w:r>
      <w:r w:rsidRPr="00993936">
        <w:rPr>
          <w:rFonts w:ascii="Arial" w:hAnsi="Arial" w:cs="Arial"/>
          <w:b/>
          <w:i/>
          <w:lang w:val="es-ES"/>
        </w:rPr>
        <w:t>Helicoverpa armigera</w:t>
      </w:r>
      <w:r w:rsidRPr="00993936">
        <w:rPr>
          <w:rFonts w:ascii="Arial" w:hAnsi="Arial" w:cs="Arial"/>
          <w:b/>
          <w:lang w:val="es-ES"/>
        </w:rPr>
        <w:t>) y orugas defoliadoras</w:t>
      </w:r>
      <w:r w:rsidRPr="00993936">
        <w:rPr>
          <w:rFonts w:ascii="Arial" w:hAnsi="Arial" w:cs="Arial"/>
          <w:b/>
          <w:i/>
          <w:lang w:val="es-ES"/>
        </w:rPr>
        <w:t xml:space="preserve"> </w:t>
      </w:r>
      <w:r w:rsidRPr="00993936">
        <w:rPr>
          <w:rFonts w:ascii="Arial" w:hAnsi="Arial" w:cs="Arial"/>
          <w:b/>
          <w:lang w:val="es-ES"/>
        </w:rPr>
        <w:t>(</w:t>
      </w:r>
      <w:r w:rsidRPr="00993936">
        <w:rPr>
          <w:rFonts w:ascii="Arial" w:hAnsi="Arial" w:cs="Arial"/>
          <w:b/>
          <w:i/>
          <w:lang w:val="es-ES"/>
        </w:rPr>
        <w:t>Autographa gama</w:t>
      </w:r>
      <w:r w:rsidRPr="00993936">
        <w:rPr>
          <w:rFonts w:ascii="Arial" w:hAnsi="Arial" w:cs="Arial"/>
          <w:b/>
          <w:i/>
          <w:vanish/>
          <w:lang w:val="es-ES"/>
        </w:rPr>
        <w:t>&lt;A[gama|gamma]&gt;</w:t>
      </w:r>
      <w:r w:rsidRPr="00993936">
        <w:rPr>
          <w:rFonts w:ascii="Arial" w:hAnsi="Arial" w:cs="Arial"/>
          <w:b/>
          <w:lang w:val="es-ES"/>
        </w:rPr>
        <w:t xml:space="preserve">, </w:t>
      </w:r>
      <w:r w:rsidRPr="00993936">
        <w:rPr>
          <w:rFonts w:ascii="Arial" w:hAnsi="Arial" w:cs="Arial"/>
          <w:b/>
          <w:i/>
          <w:lang w:val="es-ES"/>
        </w:rPr>
        <w:t>Chrysodeixis chalcites</w:t>
      </w:r>
      <w:r w:rsidRPr="00993936">
        <w:rPr>
          <w:rFonts w:ascii="Arial" w:hAnsi="Arial" w:cs="Arial"/>
          <w:b/>
          <w:lang w:val="es-ES"/>
        </w:rPr>
        <w:t>, etc.)</w:t>
      </w:r>
    </w:p>
    <w:p w:rsidR="00503A41" w:rsidRPr="00993936" w:rsidRDefault="00503A41" w:rsidP="000452B8">
      <w:pPr>
        <w:jc w:val="both"/>
        <w:rPr>
          <w:rFonts w:ascii="Arial" w:hAnsi="Arial" w:cs="Arial"/>
          <w:lang w:val="es-ES"/>
        </w:rPr>
      </w:pPr>
      <w:r w:rsidRPr="00993936">
        <w:rPr>
          <w:rFonts w:ascii="Arial" w:hAnsi="Arial" w:cs="Arial"/>
          <w:lang w:val="es-ES"/>
        </w:rPr>
        <w:t>En las mismas 7 hojas superiores, se cuentan los huevos y las larvas del bicho del tomate (</w:t>
      </w:r>
      <w:r w:rsidRPr="00993936">
        <w:rPr>
          <w:rFonts w:ascii="Arial" w:hAnsi="Arial" w:cs="Arial"/>
          <w:i/>
          <w:lang w:val="es-ES"/>
        </w:rPr>
        <w:t>Helicoverpa armigera</w:t>
      </w:r>
      <w:r w:rsidRPr="00993936">
        <w:rPr>
          <w:rFonts w:ascii="Arial" w:hAnsi="Arial" w:cs="Arial"/>
          <w:lang w:val="es-ES"/>
        </w:rPr>
        <w:t xml:space="preserve"> (Ha)) y de las defoliadoras (DEF) presentes. Cuando</w:t>
      </w:r>
      <w:r w:rsidRPr="00993936">
        <w:rPr>
          <w:rFonts w:ascii="Arial" w:hAnsi="Arial" w:cs="Arial"/>
          <w:vanish/>
          <w:lang w:val="es-ES"/>
        </w:rPr>
        <w:t>&lt;A[Cuando|Cuándo]&gt;</w:t>
      </w:r>
      <w:r w:rsidRPr="00993936">
        <w:rPr>
          <w:rFonts w:ascii="Arial" w:hAnsi="Arial" w:cs="Arial"/>
          <w:lang w:val="es-ES"/>
        </w:rPr>
        <w:t xml:space="preserve"> se utilice el recuento de 10 folíolos al azar por planta, la presión de </w:t>
      </w:r>
      <w:r w:rsidRPr="00993936">
        <w:rPr>
          <w:rFonts w:ascii="Arial" w:hAnsi="Arial" w:cs="Arial"/>
          <w:i/>
          <w:lang w:val="es-ES"/>
        </w:rPr>
        <w:t>Ha</w:t>
      </w:r>
      <w:r w:rsidRPr="00993936">
        <w:rPr>
          <w:rFonts w:ascii="Arial" w:hAnsi="Arial" w:cs="Arial"/>
          <w:lang w:val="es-ES"/>
        </w:rPr>
        <w:t xml:space="preserve"> en las parcelas próximas sea elevada y la planta no esté despuntada, se contará el número de huevos y larvas presentes en la hoja que se encuentra justo por encima del último pomo en flor. No se incluirán en el recuento los huevos que se vean depredados o sean de color negro brillante (parasitados). Se recomienda un tratamiento cuando se encuentra al menos 1 huevo o larva de primeros estadios de </w:t>
      </w:r>
      <w:r w:rsidRPr="00993936">
        <w:rPr>
          <w:rFonts w:ascii="Arial" w:hAnsi="Arial" w:cs="Arial"/>
          <w:i/>
          <w:lang w:val="es-ES"/>
        </w:rPr>
        <w:t>Ha</w:t>
      </w:r>
      <w:r w:rsidRPr="00993936">
        <w:rPr>
          <w:rFonts w:ascii="Arial" w:hAnsi="Arial" w:cs="Arial"/>
          <w:lang w:val="es-ES"/>
        </w:rPr>
        <w:t xml:space="preserve"> en el conjunto de las 14 o 30 plantas observadas según cuál sea el recuento realizado. En caso de las defoliadoras, hace falta recomendar un tratamiento cuando se observa una media de 4 o más larvas en las 7 hojas superiores de la planta o 2 o más larvas cuando el recuento se hace en 10 folíolos por planta. </w:t>
      </w:r>
    </w:p>
    <w:p w:rsidR="00503A41" w:rsidRPr="00993936" w:rsidRDefault="00503A41" w:rsidP="000452B8">
      <w:pPr>
        <w:jc w:val="both"/>
        <w:rPr>
          <w:rFonts w:ascii="Arial" w:hAnsi="Arial" w:cs="Arial"/>
          <w:lang w:val="es-ES"/>
        </w:rPr>
      </w:pPr>
      <w:r w:rsidRPr="00993936">
        <w:rPr>
          <w:rFonts w:ascii="Arial" w:hAnsi="Arial" w:cs="Arial"/>
          <w:lang w:val="es-ES"/>
        </w:rPr>
        <w:t>Los productos utilizados deben escogerse de entre los indicados al Cuadro 1.1. Cuando</w:t>
      </w:r>
      <w:r w:rsidRPr="00993936">
        <w:rPr>
          <w:rFonts w:ascii="Arial" w:hAnsi="Arial" w:cs="Arial"/>
          <w:vanish/>
          <w:lang w:val="es-ES"/>
        </w:rPr>
        <w:t>&lt;A[Cuando|Cuándo]&gt;</w:t>
      </w:r>
      <w:r w:rsidRPr="00993936">
        <w:rPr>
          <w:rFonts w:ascii="Arial" w:hAnsi="Arial" w:cs="Arial"/>
          <w:lang w:val="es-ES"/>
        </w:rPr>
        <w:t xml:space="preserve"> la presión de </w:t>
      </w:r>
      <w:r w:rsidRPr="00993936">
        <w:rPr>
          <w:rFonts w:ascii="Arial" w:hAnsi="Arial" w:cs="Arial"/>
          <w:i/>
          <w:lang w:val="es-ES"/>
        </w:rPr>
        <w:t>Ha</w:t>
      </w:r>
      <w:r w:rsidRPr="00993936">
        <w:rPr>
          <w:rFonts w:ascii="Arial" w:hAnsi="Arial" w:cs="Arial"/>
          <w:lang w:val="es-ES"/>
        </w:rPr>
        <w:t xml:space="preserve"> sea elevada, se recomienda alternar entre los diferentes productos para el control de esta plaga. </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6.4 Minadores de hoja (</w:t>
      </w:r>
      <w:r w:rsidRPr="00993936">
        <w:rPr>
          <w:rFonts w:ascii="Arial" w:hAnsi="Arial" w:cs="Arial"/>
          <w:b/>
          <w:i/>
          <w:lang w:val="es-ES"/>
        </w:rPr>
        <w:t xml:space="preserve">Liriomyza </w:t>
      </w:r>
      <w:r w:rsidRPr="00993936">
        <w:rPr>
          <w:rFonts w:ascii="Arial" w:hAnsi="Arial" w:cs="Arial"/>
          <w:b/>
          <w:lang w:val="es-ES"/>
        </w:rPr>
        <w:t>spp.)</w:t>
      </w:r>
    </w:p>
    <w:p w:rsidR="00503A41" w:rsidRPr="00993936" w:rsidRDefault="00503A41" w:rsidP="000452B8">
      <w:pPr>
        <w:jc w:val="both"/>
        <w:rPr>
          <w:rFonts w:ascii="Arial" w:hAnsi="Arial" w:cs="Arial"/>
          <w:lang w:val="es-ES"/>
        </w:rPr>
      </w:pPr>
      <w:r w:rsidRPr="00993936">
        <w:rPr>
          <w:rFonts w:ascii="Arial" w:hAnsi="Arial" w:cs="Arial"/>
          <w:lang w:val="es-ES"/>
        </w:rPr>
        <w:t>Cuando</w:t>
      </w:r>
      <w:r w:rsidRPr="00993936">
        <w:rPr>
          <w:rFonts w:ascii="Arial" w:hAnsi="Arial" w:cs="Arial"/>
          <w:vanish/>
          <w:lang w:val="es-ES"/>
        </w:rPr>
        <w:t>&lt;A[Cuando|Cuándo]&gt;</w:t>
      </w:r>
      <w:r w:rsidRPr="00993936">
        <w:rPr>
          <w:rFonts w:ascii="Arial" w:hAnsi="Arial" w:cs="Arial"/>
          <w:lang w:val="es-ES"/>
        </w:rPr>
        <w:t xml:space="preserve"> se detecte un ataque de minadores de hoja, hay que recoger una muestra de como mínimo 25 folíolos con mina reciente de </w:t>
      </w:r>
      <w:r w:rsidRPr="00993936">
        <w:rPr>
          <w:rFonts w:ascii="Arial" w:hAnsi="Arial" w:cs="Arial"/>
          <w:i/>
          <w:lang w:val="es-ES"/>
        </w:rPr>
        <w:t>Liriomyza</w:t>
      </w:r>
      <w:r w:rsidRPr="00993936">
        <w:rPr>
          <w:rFonts w:ascii="Arial" w:hAnsi="Arial" w:cs="Arial"/>
          <w:lang w:val="es-ES"/>
        </w:rPr>
        <w:t xml:space="preserve">. De cada folíolo se anota el número de minas presentes. Bajo lupa binocular, se diseccionan un mínimo de 50 minas, anotando por separado el número de larvas de minador vivas, muertas, parasitadas y el número de minas vacías (Hoja 2 del Cuaderno de explotación). Si el control natural producido por los enemigos naturales (principalmente </w:t>
      </w:r>
      <w:r w:rsidRPr="00993936">
        <w:rPr>
          <w:rFonts w:ascii="Arial" w:hAnsi="Arial" w:cs="Arial"/>
          <w:i/>
          <w:lang w:val="es-ES"/>
        </w:rPr>
        <w:t>Diglyphus isaea</w:t>
      </w:r>
      <w:r w:rsidRPr="00993936">
        <w:rPr>
          <w:rFonts w:ascii="Arial" w:hAnsi="Arial" w:cs="Arial"/>
          <w:lang w:val="es-ES"/>
        </w:rPr>
        <w:t xml:space="preserve"> y </w:t>
      </w:r>
      <w:r w:rsidRPr="00993936">
        <w:rPr>
          <w:rFonts w:ascii="Arial" w:hAnsi="Arial" w:cs="Arial"/>
          <w:i/>
          <w:lang w:val="es-ES"/>
        </w:rPr>
        <w:t>Macrolophus pygmaeus</w:t>
      </w:r>
      <w:r w:rsidRPr="00993936">
        <w:rPr>
          <w:rFonts w:ascii="Arial" w:hAnsi="Arial" w:cs="Arial"/>
          <w:lang w:val="es-ES"/>
        </w:rPr>
        <w:t>) es insuficiente, es decir, el número de larvas de minador muertas y parasitadas sobre el total de minas abiertas es &lt;40% y se observan 2 o más minas vivas por folíolo, se realizará un tratamiento con alguno de los productos insecticidas indicados al Cuadro 1.1.</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i/>
          <w:lang w:val="es-ES"/>
        </w:rPr>
      </w:pPr>
      <w:r w:rsidRPr="00993936">
        <w:rPr>
          <w:rFonts w:ascii="Arial" w:hAnsi="Arial" w:cs="Arial"/>
          <w:b/>
          <w:lang w:val="es-ES"/>
        </w:rPr>
        <w:t>6.5 Pulgón</w:t>
      </w:r>
    </w:p>
    <w:p w:rsidR="00503A41" w:rsidRPr="00993936" w:rsidRDefault="00503A41" w:rsidP="000452B8">
      <w:pPr>
        <w:jc w:val="both"/>
        <w:rPr>
          <w:rFonts w:ascii="Arial" w:hAnsi="Arial" w:cs="Arial"/>
          <w:lang w:val="es-ES"/>
        </w:rPr>
      </w:pPr>
      <w:r w:rsidRPr="00993936">
        <w:rPr>
          <w:rFonts w:ascii="Arial" w:hAnsi="Arial" w:cs="Arial"/>
          <w:lang w:val="es-ES"/>
        </w:rPr>
        <w:t xml:space="preserve">Es da preferencia a la utilización de agentes de control biológico (por ejemplo, el depredador </w:t>
      </w:r>
      <w:r w:rsidRPr="00993936">
        <w:rPr>
          <w:rFonts w:ascii="Arial" w:hAnsi="Arial" w:cs="Arial"/>
          <w:i/>
          <w:lang w:val="es-ES"/>
        </w:rPr>
        <w:t xml:space="preserve">Aphidoletes aphidimyza </w:t>
      </w:r>
      <w:r w:rsidRPr="00993936">
        <w:rPr>
          <w:rFonts w:ascii="Arial" w:hAnsi="Arial" w:cs="Arial"/>
          <w:lang w:val="es-ES"/>
        </w:rPr>
        <w:t>o varias especies</w:t>
      </w:r>
      <w:r w:rsidRPr="00993936">
        <w:rPr>
          <w:rFonts w:ascii="Arial" w:hAnsi="Arial" w:cs="Arial"/>
          <w:vanish/>
          <w:lang w:val="es-ES"/>
        </w:rPr>
        <w:t>&lt;A[especies|especias]&gt;</w:t>
      </w:r>
      <w:r w:rsidRPr="00993936">
        <w:rPr>
          <w:rFonts w:ascii="Arial" w:hAnsi="Arial" w:cs="Arial"/>
          <w:lang w:val="es-ES"/>
        </w:rPr>
        <w:t xml:space="preserve"> de de parasitoides). En caso de que, a criterio del técnico, el control biológico no sea suficiente, se tratará con alguno de los productos indicados en al Cuadro 1.1.Siempre que sea posible, los tratamientos serán localizados.</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6.6 Escarabajo de la patata</w:t>
      </w:r>
      <w:r w:rsidRPr="00993936">
        <w:rPr>
          <w:rFonts w:ascii="Arial" w:hAnsi="Arial" w:cs="Arial"/>
          <w:b/>
          <w:i/>
          <w:lang w:val="es-ES"/>
        </w:rPr>
        <w:t xml:space="preserve"> </w:t>
      </w:r>
      <w:r w:rsidRPr="00993936">
        <w:rPr>
          <w:rFonts w:ascii="Arial" w:hAnsi="Arial" w:cs="Arial"/>
          <w:b/>
          <w:lang w:val="es-ES"/>
        </w:rPr>
        <w:t>(</w:t>
      </w:r>
      <w:r w:rsidRPr="00993936">
        <w:rPr>
          <w:rFonts w:ascii="Arial" w:hAnsi="Arial" w:cs="Arial"/>
          <w:b/>
          <w:i/>
          <w:lang w:val="es-ES"/>
        </w:rPr>
        <w:t>Leptinotarsa decemlineata</w:t>
      </w:r>
      <w:r w:rsidRPr="00993936">
        <w:rPr>
          <w:rFonts w:ascii="Arial" w:hAnsi="Arial" w:cs="Arial"/>
          <w:b/>
          <w:lang w:val="es-ES"/>
        </w:rPr>
        <w:t>)</w:t>
      </w:r>
    </w:p>
    <w:p w:rsidR="00503A41" w:rsidRPr="00993936" w:rsidRDefault="00503A41" w:rsidP="000452B8">
      <w:pPr>
        <w:jc w:val="both"/>
        <w:rPr>
          <w:rFonts w:ascii="Arial" w:hAnsi="Arial" w:cs="Arial"/>
          <w:lang w:val="es-ES"/>
        </w:rPr>
      </w:pPr>
      <w:r w:rsidRPr="00993936">
        <w:rPr>
          <w:rFonts w:ascii="Arial" w:hAnsi="Arial" w:cs="Arial"/>
          <w:lang w:val="es-ES"/>
        </w:rPr>
        <w:t>Cuando se observe la presencia de larvas y/o adultos de esta plaga en las primeras fases de cultivo, se realizará un tratamiento con uno de los productos incluidos al Cuadro 1.1.</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b/>
          <w:lang w:val="es-ES"/>
        </w:rPr>
        <w:t>6.7 Trips (</w:t>
      </w:r>
      <w:r w:rsidRPr="00993936">
        <w:rPr>
          <w:rFonts w:ascii="Arial" w:hAnsi="Arial" w:cs="Arial"/>
          <w:b/>
          <w:i/>
          <w:lang w:val="es-ES"/>
        </w:rPr>
        <w:t>Frankliniella occidentalis</w:t>
      </w:r>
      <w:r w:rsidRPr="00993936">
        <w:rPr>
          <w:rFonts w:ascii="Arial" w:hAnsi="Arial" w:cs="Arial"/>
          <w:b/>
          <w:lang w:val="es-ES"/>
        </w:rPr>
        <w:t>)</w:t>
      </w:r>
    </w:p>
    <w:p w:rsidR="00503A41" w:rsidRPr="00993936" w:rsidRDefault="00503A41" w:rsidP="000452B8">
      <w:pPr>
        <w:jc w:val="both"/>
        <w:rPr>
          <w:rFonts w:ascii="Arial" w:hAnsi="Arial" w:cs="Arial"/>
          <w:lang w:val="es-ES"/>
        </w:rPr>
      </w:pPr>
      <w:r w:rsidRPr="00993936">
        <w:rPr>
          <w:rFonts w:ascii="Arial" w:hAnsi="Arial" w:cs="Arial"/>
          <w:lang w:val="es-ES"/>
        </w:rPr>
        <w:lastRenderedPageBreak/>
        <w:t xml:space="preserve">En el muestreo se anotará la presencia de larvas, adultos y daños de </w:t>
      </w:r>
      <w:r w:rsidRPr="00993936">
        <w:rPr>
          <w:rFonts w:ascii="Arial" w:hAnsi="Arial" w:cs="Arial"/>
          <w:i/>
          <w:lang w:val="es-ES"/>
        </w:rPr>
        <w:t xml:space="preserve">F. occidentalis </w:t>
      </w:r>
      <w:r w:rsidRPr="00993936">
        <w:rPr>
          <w:rFonts w:ascii="Arial" w:hAnsi="Arial" w:cs="Arial"/>
          <w:lang w:val="es-ES"/>
        </w:rPr>
        <w:t>(Fo). Si en las primeras fases del cultivo aparecen plantas afectadas por Tomato Spottet Wilt Virus (TSWV) y se detecta Fo, el técnico podrá autorizar tratamientos para el control del insecto vector durante el primer mes después del trasplante con alguno de los productos indicados al Cuadro 1.1. Las plantas con síntomas de virus se arrancarán y se destruirán. También podrá autorizarse un tratamiento contra trips en caso de que se detecten daños en fruto en más del 2% de los pomos.</w:t>
      </w:r>
    </w:p>
    <w:p w:rsidR="00503A41" w:rsidRPr="00993936" w:rsidRDefault="00503A41" w:rsidP="000452B8">
      <w:pPr>
        <w:jc w:val="both"/>
        <w:rPr>
          <w:rFonts w:ascii="Arial" w:hAnsi="Arial" w:cs="Arial"/>
          <w:lang w:val="es-ES"/>
        </w:rPr>
      </w:pPr>
      <w:r w:rsidRPr="00993936">
        <w:rPr>
          <w:rFonts w:ascii="Arial" w:hAnsi="Arial" w:cs="Arial"/>
          <w:lang w:val="es-ES"/>
        </w:rPr>
        <w:t xml:space="preserve">En las zonas donde la incidencia de TSWV en cultivos anteriores haya sido elevada, se recomienda la utilización de variedades resistentes o tolerantes a este virus. En caso de que el cultivo anterior haya soportado infestaciones importantes de Fo, se tendrá que laborar el suelo con el fin de enterrar las pupas. Si también ha sido afectado de TSWV y la variedad que se tiene que trasplantar es una variedad sensible, se considerará la posibilidad de realizar un tratamiento inmediatamente antes del trasplante. </w:t>
      </w:r>
    </w:p>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lang w:val="es-ES"/>
        </w:rPr>
      </w:pPr>
      <w:r w:rsidRPr="00993936">
        <w:rPr>
          <w:rFonts w:ascii="Arial" w:hAnsi="Arial" w:cs="Arial"/>
          <w:b/>
          <w:lang w:val="es-ES"/>
        </w:rPr>
        <w:t>6.8 Ácaro del bronceado del tomate</w:t>
      </w:r>
      <w:r w:rsidRPr="00993936">
        <w:rPr>
          <w:rFonts w:ascii="Arial" w:hAnsi="Arial" w:cs="Arial"/>
          <w:b/>
          <w:i/>
          <w:lang w:val="es-ES"/>
        </w:rPr>
        <w:t xml:space="preserve"> </w:t>
      </w:r>
      <w:r w:rsidRPr="00993936">
        <w:rPr>
          <w:rFonts w:ascii="Arial" w:hAnsi="Arial" w:cs="Arial"/>
          <w:b/>
          <w:lang w:val="es-ES"/>
        </w:rPr>
        <w:t>(</w:t>
      </w:r>
      <w:r w:rsidRPr="00993936">
        <w:rPr>
          <w:rFonts w:ascii="Arial" w:hAnsi="Arial" w:cs="Arial"/>
          <w:b/>
          <w:i/>
          <w:lang w:val="es-ES"/>
        </w:rPr>
        <w:t>Aculops lycopersici</w:t>
      </w:r>
      <w:r w:rsidRPr="00993936">
        <w:rPr>
          <w:rFonts w:ascii="Arial" w:hAnsi="Arial" w:cs="Arial"/>
          <w:b/>
          <w:lang w:val="es-ES"/>
        </w:rPr>
        <w:t>)</w:t>
      </w:r>
    </w:p>
    <w:p w:rsidR="00503A41" w:rsidRPr="00993936" w:rsidRDefault="00503A41" w:rsidP="000452B8">
      <w:pPr>
        <w:jc w:val="both"/>
        <w:rPr>
          <w:rFonts w:ascii="Arial" w:hAnsi="Arial" w:cs="Arial"/>
          <w:lang w:val="es-ES"/>
        </w:rPr>
      </w:pPr>
      <w:r w:rsidRPr="00993936">
        <w:rPr>
          <w:rFonts w:ascii="Arial" w:hAnsi="Arial" w:cs="Arial"/>
          <w:lang w:val="es-ES"/>
        </w:rPr>
        <w:t xml:space="preserve">Se asegurará de localizar las primeras plantas afectadas, que se arrancarán y se sacarán del campo. Es importante, tanto como sea posible, de evitar el movimiento de plantas dentro de la parcela (por ejemplo, las plantas que se arrancan) para no favorecer la dispersión del ácaro. En caso de que se observe un incremento de plantas afectadas, estas y sus alrededores se tratarán con los productos autorizados al Cuadro 1.1. Siempre que sea posible, se harán tratamientos localizados en los focos afectados. Cuando el número de foco sea elevado, se harán tratamientos generalizados. </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6.9 Araña roja</w:t>
      </w:r>
      <w:r w:rsidRPr="00993936">
        <w:rPr>
          <w:rFonts w:ascii="Arial" w:hAnsi="Arial" w:cs="Arial"/>
          <w:b/>
          <w:i/>
          <w:lang w:val="es-ES"/>
        </w:rPr>
        <w:t xml:space="preserve"> </w:t>
      </w:r>
      <w:r w:rsidRPr="00993936">
        <w:rPr>
          <w:rFonts w:ascii="Arial" w:hAnsi="Arial" w:cs="Arial"/>
          <w:b/>
          <w:lang w:val="es-ES"/>
        </w:rPr>
        <w:t>(</w:t>
      </w:r>
      <w:r w:rsidRPr="00993936">
        <w:rPr>
          <w:rFonts w:ascii="Arial" w:hAnsi="Arial" w:cs="Arial"/>
          <w:b/>
          <w:i/>
          <w:lang w:val="es-ES"/>
        </w:rPr>
        <w:t>Tetranychus urticae, T. turkestani</w:t>
      </w:r>
      <w:r w:rsidRPr="00993936">
        <w:rPr>
          <w:rFonts w:ascii="Arial" w:hAnsi="Arial" w:cs="Arial"/>
          <w:b/>
          <w:lang w:val="es-ES"/>
        </w:rPr>
        <w:t>)</w:t>
      </w:r>
    </w:p>
    <w:p w:rsidR="00503A41" w:rsidRPr="00993936" w:rsidRDefault="00503A41" w:rsidP="000452B8">
      <w:pPr>
        <w:jc w:val="both"/>
        <w:rPr>
          <w:rFonts w:ascii="Arial" w:hAnsi="Arial" w:cs="Arial"/>
          <w:lang w:val="es-ES"/>
        </w:rPr>
      </w:pPr>
      <w:r w:rsidRPr="00993936">
        <w:rPr>
          <w:rFonts w:ascii="Arial" w:hAnsi="Arial" w:cs="Arial"/>
          <w:lang w:val="es-ES"/>
        </w:rPr>
        <w:t>Se dará preferencia a la utilización de fauna útil. En caso de que el control biológico no sea suficiente, se localizarán los focos y se tratarán estos y los alrededores con los productos autorizados, recogidos al Cuadro 1.1.</w:t>
      </w:r>
    </w:p>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6.10 Dormidores (</w:t>
      </w:r>
      <w:r w:rsidRPr="00993936">
        <w:rPr>
          <w:rFonts w:ascii="Arial" w:hAnsi="Arial" w:cs="Arial"/>
          <w:b/>
          <w:i/>
          <w:lang w:val="es-ES"/>
        </w:rPr>
        <w:t>Agrotis segetum</w:t>
      </w:r>
      <w:r w:rsidRPr="00993936">
        <w:rPr>
          <w:rFonts w:ascii="Arial" w:hAnsi="Arial" w:cs="Arial"/>
          <w:b/>
          <w:lang w:val="es-ES"/>
        </w:rPr>
        <w:t xml:space="preserve">, </w:t>
      </w:r>
      <w:r w:rsidRPr="00993936">
        <w:rPr>
          <w:rFonts w:ascii="Arial" w:hAnsi="Arial" w:cs="Arial"/>
          <w:b/>
          <w:i/>
          <w:lang w:val="es-ES"/>
        </w:rPr>
        <w:t>A. ipsilon</w:t>
      </w:r>
      <w:r w:rsidRPr="00993936">
        <w:rPr>
          <w:rFonts w:ascii="Arial" w:hAnsi="Arial" w:cs="Arial"/>
          <w:b/>
          <w:lang w:val="es-ES"/>
        </w:rPr>
        <w:t>) y gusanos del alambre (</w:t>
      </w:r>
      <w:r w:rsidRPr="00993936">
        <w:rPr>
          <w:rFonts w:ascii="Arial" w:hAnsi="Arial" w:cs="Arial"/>
          <w:b/>
          <w:i/>
          <w:lang w:val="es-ES"/>
        </w:rPr>
        <w:t>Agriotes</w:t>
      </w:r>
      <w:r w:rsidRPr="00993936">
        <w:rPr>
          <w:rFonts w:ascii="Arial" w:hAnsi="Arial" w:cs="Arial"/>
          <w:b/>
          <w:lang w:val="es-ES"/>
        </w:rPr>
        <w:t xml:space="preserve"> sp.)</w:t>
      </w:r>
    </w:p>
    <w:p w:rsidR="00503A41" w:rsidRPr="00993936" w:rsidRDefault="00503A41" w:rsidP="000452B8">
      <w:pPr>
        <w:jc w:val="both"/>
        <w:rPr>
          <w:rFonts w:ascii="Arial" w:hAnsi="Arial" w:cs="Arial"/>
          <w:lang w:val="es-ES"/>
        </w:rPr>
      </w:pPr>
      <w:r w:rsidRPr="00993936">
        <w:rPr>
          <w:rFonts w:ascii="Arial" w:hAnsi="Arial" w:cs="Arial"/>
          <w:lang w:val="es-ES"/>
        </w:rPr>
        <w:t>Si se observan plantas afectadas, se utilizarán cebos envenenados o se esparcirán granulados insecticidas en la zona afectada con alguno de los productos autorizados, indicados al Cuadro 1.1. Estos tratamientos sólo podrán realizarse a principios de cultivo.</w:t>
      </w:r>
    </w:p>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6.11. Nemátodos</w:t>
      </w:r>
    </w:p>
    <w:p w:rsidR="00503A41" w:rsidRPr="00993936" w:rsidRDefault="00503A41" w:rsidP="000452B8">
      <w:pPr>
        <w:spacing w:before="120"/>
        <w:jc w:val="both"/>
        <w:rPr>
          <w:rFonts w:ascii="Arial" w:hAnsi="Arial" w:cs="Arial"/>
          <w:b/>
          <w:snapToGrid w:val="0"/>
          <w:lang w:val="es-ES" w:eastAsia="es-ES"/>
        </w:rPr>
      </w:pPr>
      <w:r w:rsidRPr="00993936">
        <w:rPr>
          <w:rFonts w:ascii="Arial" w:hAnsi="Arial" w:cs="Arial"/>
          <w:lang w:val="es-ES"/>
        </w:rPr>
        <w:t xml:space="preserve">Se escogerán preferentemente variedades resistentes. En caso de que no haya o no sean bien aceptadas por el mercado, se podrán utilizar tratamientos para controlar este problema que aparecen en el Cuadro 1.1. Para justificar este tratamiento, hace falta la autorización previa de Consejo Catalán de la Producción Integrada (CCPI) y se tendrá que adjuntar al Cuaderno de Explotación para Hortalizas la documentación </w:t>
      </w:r>
      <w:r w:rsidRPr="00993936">
        <w:rPr>
          <w:rFonts w:ascii="Arial" w:hAnsi="Arial" w:cs="Arial"/>
          <w:lang w:val="es-ES"/>
        </w:rPr>
        <w:lastRenderedPageBreak/>
        <w:t>técnica (análisis, etc.) que avale la realización del tratamiento en los términos que fija el correspondiente Cuadro de Control Fitosanitario.</w:t>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 xml:space="preserve">6.12 Enfermedades </w:t>
      </w:r>
    </w:p>
    <w:p w:rsidR="00503A41" w:rsidRPr="00993936" w:rsidRDefault="00503A41" w:rsidP="000452B8">
      <w:pPr>
        <w:jc w:val="both"/>
        <w:rPr>
          <w:rFonts w:ascii="Arial" w:hAnsi="Arial" w:cs="Arial"/>
          <w:lang w:val="es-ES"/>
        </w:rPr>
      </w:pPr>
      <w:r w:rsidRPr="00993936">
        <w:rPr>
          <w:rFonts w:ascii="Arial" w:hAnsi="Arial" w:cs="Arial"/>
          <w:lang w:val="es-ES"/>
        </w:rPr>
        <w:t>En caso de observar síntomas y/o cuando las condiciones agronómicas y/o meteorológicas hagan suponer la aparición de la enfermedad, se realizarán tratamientos con el producto más adecuado de los indicados al Cuadro 1.2.</w:t>
      </w: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lang w:val="es-ES"/>
        </w:rPr>
      </w:pPr>
    </w:p>
    <w:p w:rsidR="00503A41" w:rsidRPr="00993936" w:rsidRDefault="00503A41">
      <w:pPr>
        <w:jc w:val="both"/>
        <w:rPr>
          <w:rFonts w:ascii="Arial" w:hAnsi="Arial" w:cs="Arial"/>
          <w:b/>
          <w:snapToGrid w:val="0"/>
          <w:sz w:val="24"/>
          <w:lang w:val="es-ES" w:eastAsia="es-ES"/>
        </w:rPr>
      </w:pPr>
      <w:r w:rsidRPr="00993936">
        <w:rPr>
          <w:rFonts w:ascii="Arial" w:hAnsi="Arial" w:cs="Arial"/>
          <w:b/>
          <w:lang w:val="es-ES"/>
        </w:rPr>
        <w:t>Cuadro 1: Materias activas para la producción integrada de tomate tutorado al aire libre y tomate de invernadero, teniendo en cuenta las indicaciones del programa basado en la inoculación o conservación de míridos depredadores y las restricciones de uso indicados detrás del nombre de cada materia activa.</w:t>
      </w:r>
    </w:p>
    <w:p w:rsidR="00503A41" w:rsidRPr="00993936" w:rsidRDefault="00503A41" w:rsidP="000452B8">
      <w:pPr>
        <w:jc w:val="both"/>
        <w:rPr>
          <w:rFonts w:ascii="Arial" w:hAnsi="Arial" w:cs="Arial"/>
          <w:b/>
          <w:snapToGrid w:val="0"/>
          <w:lang w:val="es-ES" w:eastAsia="es-ES"/>
        </w:rPr>
      </w:pPr>
    </w:p>
    <w:p w:rsidR="00503A41" w:rsidRPr="00993936" w:rsidRDefault="00503A41" w:rsidP="000452B8">
      <w:pPr>
        <w:jc w:val="both"/>
        <w:rPr>
          <w:rFonts w:ascii="Arial" w:hAnsi="Arial" w:cs="Arial"/>
          <w:b/>
          <w:lang w:val="es-ES"/>
        </w:rPr>
      </w:pPr>
      <w:r w:rsidRPr="00993936">
        <w:rPr>
          <w:rFonts w:ascii="Arial" w:hAnsi="Arial" w:cs="Arial"/>
          <w:b/>
          <w:lang w:val="es-ES"/>
        </w:rPr>
        <w:t>1.1: Insecticidas, acaricidas y nematicides</w:t>
      </w:r>
    </w:p>
    <w:p w:rsidR="00503A41" w:rsidRPr="00993936" w:rsidRDefault="00503A41">
      <w:pPr>
        <w:rPr>
          <w:rFonts w:ascii="Arial" w:hAnsi="Arial" w:cs="Arial"/>
          <w:lang w:val="es-ES"/>
        </w:rPr>
      </w:pP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94"/>
        <w:gridCol w:w="2794"/>
        <w:gridCol w:w="3656"/>
      </w:tblGrid>
      <w:tr w:rsidR="00503A41" w:rsidRPr="00993936" w:rsidTr="000452B8">
        <w:trPr>
          <w:cantSplit/>
          <w:tblHeader/>
          <w:jc w:val="center"/>
        </w:trPr>
        <w:tc>
          <w:tcPr>
            <w:tcW w:w="1269" w:type="pct"/>
            <w:tcBorders>
              <w:top w:val="double" w:sz="6" w:space="0" w:color="auto"/>
              <w:bottom w:val="double" w:sz="6" w:space="0" w:color="auto"/>
            </w:tcBorders>
            <w:shd w:val="pct12" w:color="auto" w:fill="FFFFFF"/>
            <w:vAlign w:val="center"/>
          </w:tcPr>
          <w:p w:rsidR="00503A41" w:rsidRPr="00993936" w:rsidRDefault="00503A41">
            <w:pPr>
              <w:jc w:val="center"/>
              <w:rPr>
                <w:rFonts w:ascii="Arial" w:hAnsi="Arial" w:cs="Arial"/>
                <w:b/>
                <w:caps/>
                <w:sz w:val="16"/>
                <w:lang w:val="es-ES"/>
              </w:rPr>
            </w:pPr>
            <w:r w:rsidRPr="00993936">
              <w:rPr>
                <w:rFonts w:ascii="Arial" w:hAnsi="Arial" w:cs="Arial"/>
                <w:b/>
                <w:caps/>
                <w:sz w:val="16"/>
                <w:lang w:val="es-ES"/>
              </w:rPr>
              <w:t>Plagas</w:t>
            </w:r>
          </w:p>
        </w:tc>
        <w:tc>
          <w:tcPr>
            <w:tcW w:w="1616" w:type="pct"/>
            <w:tcBorders>
              <w:top w:val="double" w:sz="6" w:space="0" w:color="auto"/>
              <w:bottom w:val="double" w:sz="6" w:space="0" w:color="auto"/>
            </w:tcBorders>
            <w:shd w:val="pct12" w:color="auto" w:fill="FFFFFF"/>
            <w:vAlign w:val="center"/>
          </w:tcPr>
          <w:p w:rsidR="00503A41" w:rsidRPr="00993936" w:rsidRDefault="00503A41">
            <w:pPr>
              <w:jc w:val="center"/>
              <w:rPr>
                <w:rFonts w:ascii="Arial" w:hAnsi="Arial" w:cs="Arial"/>
                <w:b/>
                <w:caps/>
                <w:sz w:val="16"/>
                <w:lang w:val="es-ES"/>
              </w:rPr>
            </w:pPr>
            <w:r w:rsidRPr="00993936">
              <w:rPr>
                <w:rFonts w:ascii="Arial" w:hAnsi="Arial" w:cs="Arial"/>
                <w:b/>
                <w:caps/>
                <w:sz w:val="16"/>
                <w:lang w:val="es-ES"/>
              </w:rPr>
              <w:t>Agentes de control biolÓgic</w:t>
            </w:r>
          </w:p>
        </w:tc>
        <w:tc>
          <w:tcPr>
            <w:tcW w:w="2115" w:type="pct"/>
            <w:tcBorders>
              <w:top w:val="double" w:sz="6" w:space="0" w:color="auto"/>
              <w:bottom w:val="double" w:sz="6" w:space="0" w:color="auto"/>
            </w:tcBorders>
            <w:shd w:val="pct12" w:color="auto" w:fill="FFFFFF"/>
            <w:vAlign w:val="center"/>
          </w:tcPr>
          <w:p w:rsidR="00503A41" w:rsidRPr="00993936" w:rsidRDefault="00503A41">
            <w:pPr>
              <w:jc w:val="center"/>
              <w:rPr>
                <w:rFonts w:ascii="Arial" w:hAnsi="Arial" w:cs="Arial"/>
                <w:b/>
                <w:caps/>
                <w:sz w:val="16"/>
                <w:lang w:val="es-ES"/>
              </w:rPr>
            </w:pPr>
            <w:r w:rsidRPr="00993936">
              <w:rPr>
                <w:rFonts w:ascii="Arial" w:hAnsi="Arial" w:cs="Arial"/>
                <w:b/>
                <w:caps/>
                <w:sz w:val="16"/>
                <w:lang w:val="es-ES"/>
              </w:rPr>
              <w:t>Productos admitidos</w:t>
            </w:r>
          </w:p>
        </w:tc>
      </w:tr>
      <w:tr w:rsidR="00503A41" w:rsidRPr="00993936" w:rsidTr="000452B8">
        <w:trPr>
          <w:cantSplit/>
          <w:jc w:val="center"/>
        </w:trPr>
        <w:tc>
          <w:tcPr>
            <w:tcW w:w="1269" w:type="pct"/>
            <w:tcBorders>
              <w:top w:val="nil"/>
              <w:bottom w:val="nil"/>
            </w:tcBorders>
            <w:vAlign w:val="center"/>
          </w:tcPr>
          <w:p w:rsidR="00503A41" w:rsidRPr="00993936" w:rsidRDefault="00503A41">
            <w:pPr>
              <w:rPr>
                <w:rFonts w:ascii="Arial" w:hAnsi="Arial" w:cs="Arial"/>
                <w:b/>
                <w:sz w:val="18"/>
                <w:lang w:val="es-ES"/>
              </w:rPr>
            </w:pPr>
            <w:r w:rsidRPr="00993936">
              <w:rPr>
                <w:rFonts w:ascii="Arial" w:hAnsi="Arial" w:cs="Arial"/>
                <w:b/>
                <w:sz w:val="18"/>
                <w:lang w:val="es-ES"/>
              </w:rPr>
              <w:t>Mosca blanca</w:t>
            </w:r>
          </w:p>
          <w:p w:rsidR="00503A41" w:rsidRPr="00993936" w:rsidRDefault="00503A41" w:rsidP="001D205D">
            <w:pPr>
              <w:rPr>
                <w:rFonts w:ascii="Arial" w:hAnsi="Arial" w:cs="Arial"/>
                <w:sz w:val="16"/>
                <w:lang w:val="es-ES"/>
              </w:rPr>
            </w:pPr>
            <w:r w:rsidRPr="00993936">
              <w:rPr>
                <w:rFonts w:ascii="Arial" w:hAnsi="Arial" w:cs="Arial"/>
                <w:i/>
                <w:sz w:val="16"/>
                <w:lang w:val="es-ES"/>
              </w:rPr>
              <w:t>Trialeurodes vaporariorum</w:t>
            </w:r>
            <w:r w:rsidRPr="00993936">
              <w:rPr>
                <w:rFonts w:ascii="Arial" w:hAnsi="Arial" w:cs="Arial"/>
                <w:sz w:val="16"/>
                <w:lang w:val="es-ES"/>
              </w:rPr>
              <w:t xml:space="preserve">, </w:t>
            </w:r>
          </w:p>
          <w:p w:rsidR="00503A41" w:rsidRPr="00993936" w:rsidRDefault="00503A41" w:rsidP="001D205D">
            <w:pPr>
              <w:rPr>
                <w:rFonts w:ascii="Arial" w:hAnsi="Arial" w:cs="Arial"/>
                <w:sz w:val="18"/>
                <w:lang w:val="es-ES"/>
              </w:rPr>
            </w:pPr>
            <w:r w:rsidRPr="00993936">
              <w:rPr>
                <w:rFonts w:ascii="Arial" w:hAnsi="Arial" w:cs="Arial"/>
                <w:i/>
                <w:sz w:val="16"/>
                <w:lang w:val="es-ES"/>
              </w:rPr>
              <w:t>Bemisia tabaci</w:t>
            </w:r>
          </w:p>
        </w:tc>
        <w:tc>
          <w:tcPr>
            <w:tcW w:w="1616" w:type="pct"/>
            <w:tcBorders>
              <w:top w:val="nil"/>
              <w:bottom w:val="nil"/>
            </w:tcBorders>
            <w:vAlign w:val="center"/>
          </w:tcPr>
          <w:p w:rsidR="00503A41" w:rsidRPr="00993936" w:rsidRDefault="00503A41">
            <w:pPr>
              <w:rPr>
                <w:rFonts w:ascii="Arial" w:hAnsi="Arial" w:cs="Arial"/>
                <w:i/>
                <w:sz w:val="18"/>
                <w:lang w:val="es-ES"/>
              </w:rPr>
            </w:pPr>
            <w:r w:rsidRPr="00993936">
              <w:rPr>
                <w:rFonts w:ascii="Arial" w:hAnsi="Arial" w:cs="Arial"/>
                <w:i/>
                <w:sz w:val="18"/>
                <w:lang w:val="es-ES"/>
              </w:rPr>
              <w:t>Macrolophus pygmaeus</w:t>
            </w:r>
          </w:p>
          <w:p w:rsidR="00503A41" w:rsidRPr="00993936" w:rsidRDefault="00503A41">
            <w:pPr>
              <w:rPr>
                <w:rFonts w:ascii="Arial" w:hAnsi="Arial" w:cs="Arial"/>
                <w:i/>
                <w:sz w:val="18"/>
                <w:lang w:val="es-ES"/>
              </w:rPr>
            </w:pPr>
            <w:r w:rsidRPr="00993936">
              <w:rPr>
                <w:rFonts w:ascii="Arial" w:hAnsi="Arial" w:cs="Arial"/>
                <w:i/>
                <w:sz w:val="18"/>
                <w:lang w:val="es-ES"/>
              </w:rPr>
              <w:t>Dicyphus tamaninii</w:t>
            </w:r>
          </w:p>
          <w:p w:rsidR="00503A41" w:rsidRPr="00993936" w:rsidRDefault="00503A41">
            <w:pPr>
              <w:rPr>
                <w:rFonts w:ascii="Arial" w:hAnsi="Arial" w:cs="Arial"/>
                <w:i/>
                <w:sz w:val="18"/>
                <w:lang w:val="es-ES"/>
              </w:rPr>
            </w:pPr>
            <w:r w:rsidRPr="00993936">
              <w:rPr>
                <w:rFonts w:ascii="Arial" w:hAnsi="Arial" w:cs="Arial"/>
                <w:i/>
                <w:sz w:val="18"/>
                <w:lang w:val="es-ES"/>
              </w:rPr>
              <w:t>Nesidiocoris tenuis</w:t>
            </w:r>
          </w:p>
          <w:p w:rsidR="00503A41" w:rsidRPr="00993936" w:rsidRDefault="00503A41">
            <w:pPr>
              <w:rPr>
                <w:rFonts w:ascii="Arial" w:hAnsi="Arial" w:cs="Arial"/>
                <w:i/>
                <w:sz w:val="18"/>
                <w:lang w:val="es-ES"/>
              </w:rPr>
            </w:pPr>
            <w:r w:rsidRPr="00993936">
              <w:rPr>
                <w:rFonts w:ascii="Arial" w:hAnsi="Arial" w:cs="Arial"/>
                <w:i/>
                <w:sz w:val="18"/>
                <w:lang w:val="es-ES"/>
              </w:rPr>
              <w:t xml:space="preserve">Encarsia pergandiella </w:t>
            </w:r>
          </w:p>
          <w:p w:rsidR="00503A41" w:rsidRPr="00993936" w:rsidRDefault="00503A41">
            <w:pPr>
              <w:rPr>
                <w:rFonts w:ascii="Arial" w:hAnsi="Arial" w:cs="Arial"/>
                <w:sz w:val="18"/>
                <w:lang w:val="es-ES"/>
              </w:rPr>
            </w:pPr>
            <w:r w:rsidRPr="00993936">
              <w:rPr>
                <w:rFonts w:ascii="Arial" w:hAnsi="Arial" w:cs="Arial"/>
                <w:i/>
                <w:sz w:val="18"/>
                <w:lang w:val="es-ES"/>
              </w:rPr>
              <w:t>Eretmocerus mundus</w:t>
            </w:r>
          </w:p>
        </w:tc>
        <w:tc>
          <w:tcPr>
            <w:tcW w:w="2115" w:type="pct"/>
            <w:tcBorders>
              <w:top w:val="nil"/>
              <w:bottom w:val="nil"/>
            </w:tcBorders>
            <w:vAlign w:val="center"/>
          </w:tcPr>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Acetamiprid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Alfa cipermetrín   </w:t>
            </w:r>
          </w:p>
          <w:p w:rsidR="00503A41" w:rsidRPr="00993936" w:rsidRDefault="00503A41" w:rsidP="000452B8">
            <w:pPr>
              <w:pStyle w:val="texto"/>
              <w:spacing w:before="0" w:after="0"/>
              <w:ind w:firstLine="0"/>
              <w:jc w:val="left"/>
              <w:rPr>
                <w:rFonts w:ascii="Arial" w:hAnsi="Arial" w:cs="Arial"/>
                <w:color w:val="auto"/>
                <w:sz w:val="18"/>
              </w:rPr>
            </w:pPr>
            <w:r w:rsidRPr="00993936">
              <w:rPr>
                <w:rFonts w:ascii="Arial" w:hAnsi="Arial" w:cs="Arial"/>
                <w:color w:val="auto"/>
                <w:sz w:val="18"/>
              </w:rPr>
              <w:t xml:space="preserve">Azadiractín </w:t>
            </w:r>
          </w:p>
          <w:p w:rsidR="00503A41" w:rsidRPr="00993936" w:rsidRDefault="00503A41">
            <w:pPr>
              <w:pStyle w:val="texto"/>
              <w:spacing w:before="0" w:after="0"/>
              <w:ind w:firstLine="0"/>
              <w:rPr>
                <w:rFonts w:ascii="Arial" w:hAnsi="Arial" w:cs="Arial"/>
                <w:i/>
                <w:color w:val="auto"/>
                <w:sz w:val="18"/>
              </w:rPr>
            </w:pPr>
            <w:r w:rsidRPr="00993936">
              <w:rPr>
                <w:rFonts w:ascii="Arial" w:hAnsi="Arial" w:cs="Arial"/>
                <w:i/>
                <w:color w:val="auto"/>
                <w:sz w:val="18"/>
              </w:rPr>
              <w:t>Beauveria bassiana</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Cipermetrín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Deltametrín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Imidacloprid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Lambda-cihalotrín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Metomilo</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Aceite parafínico</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Aceite de naranja</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Oxamilo </w:t>
            </w:r>
            <w:r w:rsidRPr="00993936">
              <w:rPr>
                <w:rFonts w:ascii="Arial" w:hAnsi="Arial" w:cs="Arial"/>
                <w:color w:val="auto"/>
                <w:sz w:val="18"/>
                <w:szCs w:val="18"/>
              </w:rPr>
              <w:t>(2)</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Pimetrozina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Piretrinas</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Piriproxifén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Spiromesifén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Spirotetramat</w:t>
            </w:r>
          </w:p>
          <w:p w:rsidR="00503A41" w:rsidRPr="00993936" w:rsidRDefault="00503A41" w:rsidP="000452B8">
            <w:pPr>
              <w:pStyle w:val="texto"/>
              <w:spacing w:before="0" w:after="0"/>
              <w:ind w:firstLine="0"/>
              <w:jc w:val="left"/>
              <w:rPr>
                <w:rFonts w:ascii="Arial" w:hAnsi="Arial" w:cs="Arial"/>
                <w:i/>
                <w:color w:val="auto"/>
                <w:sz w:val="18"/>
                <w:szCs w:val="16"/>
              </w:rPr>
            </w:pPr>
            <w:r w:rsidRPr="00993936">
              <w:rPr>
                <w:rFonts w:ascii="Arial" w:hAnsi="Arial" w:cs="Arial"/>
                <w:color w:val="auto"/>
                <w:sz w:val="18"/>
              </w:rPr>
              <w:t xml:space="preserve">Tau-fluvalinat    </w:t>
            </w:r>
            <w:r w:rsidRPr="00993936">
              <w:rPr>
                <w:rFonts w:ascii="Arial" w:hAnsi="Arial" w:cs="Arial"/>
                <w:color w:val="auto"/>
                <w:sz w:val="18"/>
                <w:szCs w:val="18"/>
              </w:rPr>
              <w:t xml:space="preserve">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Tiacloprid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Tiametoxam  </w:t>
            </w:r>
          </w:p>
          <w:p w:rsidR="00503A41" w:rsidRPr="00993936" w:rsidRDefault="00503A41">
            <w:pPr>
              <w:pStyle w:val="texto"/>
              <w:spacing w:before="0" w:after="0"/>
              <w:ind w:firstLine="0"/>
              <w:rPr>
                <w:rFonts w:ascii="Arial" w:hAnsi="Arial" w:cs="Arial"/>
                <w:i/>
                <w:color w:val="auto"/>
                <w:sz w:val="18"/>
              </w:rPr>
            </w:pPr>
            <w:r w:rsidRPr="00993936">
              <w:rPr>
                <w:rFonts w:ascii="Arial" w:hAnsi="Arial" w:cs="Arial"/>
                <w:i/>
                <w:color w:val="auto"/>
                <w:sz w:val="18"/>
              </w:rPr>
              <w:t>Verticillium sp.</w:t>
            </w:r>
          </w:p>
          <w:p w:rsidR="00503A41" w:rsidRPr="00993936" w:rsidRDefault="00503A41" w:rsidP="000452B8">
            <w:pPr>
              <w:rPr>
                <w:rFonts w:ascii="Arial" w:hAnsi="Arial" w:cs="Arial"/>
                <w:sz w:val="18"/>
                <w:lang w:val="es-ES"/>
              </w:rPr>
            </w:pPr>
            <w:r w:rsidRPr="00993936">
              <w:rPr>
                <w:rFonts w:ascii="Arial" w:hAnsi="Arial" w:cs="Arial"/>
                <w:sz w:val="18"/>
                <w:lang w:val="es-ES"/>
              </w:rPr>
              <w:t xml:space="preserve">Zeta-cipermetrín  </w:t>
            </w:r>
          </w:p>
        </w:tc>
      </w:tr>
      <w:tr w:rsidR="00503A41" w:rsidRPr="00993936" w:rsidTr="000452B8">
        <w:trPr>
          <w:cantSplit/>
          <w:trHeight w:val="615"/>
          <w:jc w:val="center"/>
        </w:trPr>
        <w:tc>
          <w:tcPr>
            <w:tcW w:w="1269" w:type="pct"/>
            <w:tcBorders>
              <w:top w:val="single" w:sz="6" w:space="0" w:color="auto"/>
              <w:bottom w:val="single" w:sz="6" w:space="0" w:color="auto"/>
            </w:tcBorders>
            <w:vAlign w:val="center"/>
          </w:tcPr>
          <w:p w:rsidR="00503A41" w:rsidRPr="00993936" w:rsidRDefault="00503A41">
            <w:pPr>
              <w:rPr>
                <w:rFonts w:ascii="Arial" w:hAnsi="Arial" w:cs="Arial"/>
                <w:sz w:val="18"/>
                <w:lang w:val="es-ES"/>
              </w:rPr>
            </w:pPr>
            <w:r w:rsidRPr="00993936">
              <w:rPr>
                <w:rFonts w:ascii="Arial" w:hAnsi="Arial" w:cs="Arial"/>
                <w:b/>
                <w:sz w:val="18"/>
                <w:lang w:val="es-ES"/>
              </w:rPr>
              <w:t>Minadores de hoja</w:t>
            </w:r>
            <w:r w:rsidRPr="00993936">
              <w:rPr>
                <w:rFonts w:ascii="Arial" w:hAnsi="Arial" w:cs="Arial"/>
                <w:sz w:val="18"/>
                <w:lang w:val="es-ES"/>
              </w:rPr>
              <w:t xml:space="preserve"> </w:t>
            </w:r>
          </w:p>
          <w:p w:rsidR="00503A41" w:rsidRPr="00993936" w:rsidRDefault="00503A41">
            <w:pPr>
              <w:rPr>
                <w:rFonts w:ascii="Arial" w:hAnsi="Arial" w:cs="Arial"/>
                <w:sz w:val="18"/>
                <w:lang w:val="es-ES"/>
              </w:rPr>
            </w:pPr>
            <w:r w:rsidRPr="00993936">
              <w:rPr>
                <w:rFonts w:ascii="Arial" w:hAnsi="Arial" w:cs="Arial"/>
                <w:i/>
                <w:sz w:val="18"/>
                <w:lang w:val="es-ES"/>
              </w:rPr>
              <w:t xml:space="preserve">Liriomyza </w:t>
            </w:r>
            <w:r w:rsidRPr="00993936">
              <w:rPr>
                <w:rFonts w:ascii="Arial" w:hAnsi="Arial" w:cs="Arial"/>
                <w:sz w:val="18"/>
                <w:lang w:val="es-ES"/>
              </w:rPr>
              <w:t>spp.</w:t>
            </w:r>
          </w:p>
        </w:tc>
        <w:tc>
          <w:tcPr>
            <w:tcW w:w="1616" w:type="pct"/>
            <w:tcBorders>
              <w:top w:val="single" w:sz="6" w:space="0" w:color="auto"/>
              <w:bottom w:val="single" w:sz="6" w:space="0" w:color="auto"/>
            </w:tcBorders>
            <w:vAlign w:val="center"/>
          </w:tcPr>
          <w:p w:rsidR="00503A41" w:rsidRPr="00993936" w:rsidRDefault="00503A41">
            <w:pPr>
              <w:rPr>
                <w:rFonts w:ascii="Arial" w:hAnsi="Arial" w:cs="Arial"/>
                <w:i/>
                <w:sz w:val="18"/>
                <w:lang w:val="es-ES"/>
              </w:rPr>
            </w:pPr>
            <w:r w:rsidRPr="00993936">
              <w:rPr>
                <w:rFonts w:ascii="Arial" w:hAnsi="Arial" w:cs="Arial"/>
                <w:i/>
                <w:sz w:val="18"/>
                <w:lang w:val="es-ES"/>
              </w:rPr>
              <w:t>Diglyphus isaea</w:t>
            </w:r>
          </w:p>
          <w:p w:rsidR="00503A41" w:rsidRPr="00993936" w:rsidRDefault="00503A41" w:rsidP="000452B8">
            <w:pPr>
              <w:rPr>
                <w:rFonts w:ascii="Arial" w:hAnsi="Arial" w:cs="Arial"/>
                <w:i/>
                <w:sz w:val="18"/>
                <w:lang w:val="es-ES"/>
              </w:rPr>
            </w:pPr>
            <w:r w:rsidRPr="00993936">
              <w:rPr>
                <w:rFonts w:ascii="Arial" w:hAnsi="Arial" w:cs="Arial"/>
                <w:i/>
                <w:sz w:val="18"/>
                <w:lang w:val="es-ES"/>
              </w:rPr>
              <w:t>Macrolophus pygmaeus</w:t>
            </w:r>
          </w:p>
        </w:tc>
        <w:tc>
          <w:tcPr>
            <w:tcW w:w="2115" w:type="pct"/>
            <w:tcBorders>
              <w:top w:val="single" w:sz="6" w:space="0" w:color="auto"/>
              <w:bottom w:val="single" w:sz="6" w:space="0" w:color="auto"/>
            </w:tcBorders>
            <w:vAlign w:val="center"/>
          </w:tcPr>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Abamectina   </w:t>
            </w:r>
          </w:p>
          <w:p w:rsidR="00503A41" w:rsidRPr="00993936" w:rsidRDefault="00503A41" w:rsidP="000452B8">
            <w:pPr>
              <w:pStyle w:val="texto"/>
              <w:spacing w:before="0" w:after="0"/>
              <w:ind w:firstLine="0"/>
              <w:jc w:val="left"/>
              <w:rPr>
                <w:rFonts w:ascii="Arial" w:hAnsi="Arial" w:cs="Arial"/>
                <w:i/>
                <w:color w:val="auto"/>
                <w:sz w:val="18"/>
                <w:szCs w:val="16"/>
              </w:rPr>
            </w:pPr>
            <w:r w:rsidRPr="00993936">
              <w:rPr>
                <w:rFonts w:ascii="Arial" w:hAnsi="Arial" w:cs="Arial"/>
                <w:color w:val="auto"/>
                <w:sz w:val="18"/>
              </w:rPr>
              <w:t>Azadiractín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Ciromazina</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Aceite parafínico  </w:t>
            </w:r>
          </w:p>
          <w:p w:rsidR="00503A41" w:rsidRPr="00993936" w:rsidRDefault="00503A41">
            <w:pPr>
              <w:rPr>
                <w:rFonts w:ascii="Arial" w:hAnsi="Arial" w:cs="Arial"/>
                <w:sz w:val="18"/>
                <w:lang w:val="es-ES"/>
              </w:rPr>
            </w:pPr>
            <w:r w:rsidRPr="00993936">
              <w:rPr>
                <w:rFonts w:ascii="Arial" w:hAnsi="Arial" w:cs="Arial"/>
                <w:sz w:val="18"/>
                <w:lang w:val="es-ES"/>
              </w:rPr>
              <w:t xml:space="preserve">Oxamilo </w:t>
            </w:r>
            <w:r w:rsidRPr="00993936">
              <w:rPr>
                <w:rFonts w:ascii="Arial" w:hAnsi="Arial" w:cs="Arial"/>
                <w:sz w:val="18"/>
                <w:szCs w:val="18"/>
                <w:lang w:val="es-ES"/>
              </w:rPr>
              <w:t>(2)</w:t>
            </w:r>
            <w:r w:rsidRPr="00993936">
              <w:rPr>
                <w:rFonts w:ascii="Arial" w:hAnsi="Arial" w:cs="Arial"/>
                <w:sz w:val="18"/>
                <w:lang w:val="es-ES"/>
              </w:rPr>
              <w:br/>
              <w:t>Piretrinas</w:t>
            </w:r>
          </w:p>
        </w:tc>
      </w:tr>
      <w:tr w:rsidR="00503A41" w:rsidRPr="00993936" w:rsidTr="000452B8">
        <w:trPr>
          <w:cantSplit/>
          <w:trHeight w:val="300"/>
          <w:jc w:val="center"/>
        </w:trPr>
        <w:tc>
          <w:tcPr>
            <w:tcW w:w="1269" w:type="pct"/>
            <w:tcBorders>
              <w:top w:val="nil"/>
            </w:tcBorders>
            <w:vAlign w:val="center"/>
          </w:tcPr>
          <w:p w:rsidR="00503A41" w:rsidRPr="00993936" w:rsidRDefault="00503A41">
            <w:pPr>
              <w:rPr>
                <w:rFonts w:ascii="Arial" w:hAnsi="Arial" w:cs="Arial"/>
                <w:sz w:val="18"/>
                <w:lang w:val="es-ES"/>
              </w:rPr>
            </w:pPr>
            <w:r w:rsidRPr="00993936">
              <w:rPr>
                <w:rFonts w:ascii="Arial" w:hAnsi="Arial" w:cs="Arial"/>
                <w:b/>
                <w:sz w:val="18"/>
                <w:lang w:val="es-ES"/>
              </w:rPr>
              <w:lastRenderedPageBreak/>
              <w:t>Pulgón</w:t>
            </w:r>
            <w:r w:rsidRPr="00993936">
              <w:rPr>
                <w:rFonts w:ascii="Arial" w:hAnsi="Arial" w:cs="Arial"/>
                <w:sz w:val="18"/>
                <w:lang w:val="es-ES"/>
              </w:rPr>
              <w:t xml:space="preserve"> </w:t>
            </w:r>
          </w:p>
          <w:p w:rsidR="00503A41" w:rsidRPr="00993936" w:rsidRDefault="00503A41">
            <w:pPr>
              <w:rPr>
                <w:rFonts w:ascii="Arial" w:hAnsi="Arial" w:cs="Arial"/>
                <w:sz w:val="18"/>
                <w:lang w:val="es-ES"/>
              </w:rPr>
            </w:pPr>
            <w:r w:rsidRPr="00993936">
              <w:rPr>
                <w:rFonts w:ascii="Arial" w:hAnsi="Arial" w:cs="Arial"/>
                <w:i/>
                <w:sz w:val="18"/>
                <w:lang w:val="es-ES"/>
              </w:rPr>
              <w:t>Macrosiphum euphorbiae</w:t>
            </w:r>
            <w:r w:rsidRPr="00993936">
              <w:rPr>
                <w:rFonts w:ascii="Arial" w:hAnsi="Arial" w:cs="Arial"/>
                <w:sz w:val="18"/>
                <w:lang w:val="es-ES"/>
              </w:rPr>
              <w:t xml:space="preserve">, </w:t>
            </w:r>
            <w:r w:rsidRPr="00993936">
              <w:rPr>
                <w:rFonts w:ascii="Arial" w:hAnsi="Arial" w:cs="Arial"/>
                <w:i/>
                <w:sz w:val="18"/>
                <w:lang w:val="es-ES"/>
              </w:rPr>
              <w:t>Myzus persicae</w:t>
            </w:r>
            <w:r w:rsidRPr="00993936">
              <w:rPr>
                <w:rFonts w:ascii="Arial" w:hAnsi="Arial" w:cs="Arial"/>
                <w:sz w:val="18"/>
                <w:lang w:val="es-ES"/>
              </w:rPr>
              <w:t>...</w:t>
            </w:r>
          </w:p>
        </w:tc>
        <w:tc>
          <w:tcPr>
            <w:tcW w:w="1616" w:type="pct"/>
            <w:tcBorders>
              <w:top w:val="nil"/>
            </w:tcBorders>
            <w:vAlign w:val="center"/>
          </w:tcPr>
          <w:p w:rsidR="00503A41" w:rsidRPr="00993936" w:rsidRDefault="00503A41">
            <w:pPr>
              <w:pStyle w:val="Ttulo3"/>
              <w:rPr>
                <w:rFonts w:ascii="Arial" w:hAnsi="Arial" w:cs="Arial"/>
                <w:b/>
                <w:i/>
                <w:color w:val="auto"/>
                <w:sz w:val="18"/>
                <w:lang w:val="es-ES"/>
              </w:rPr>
            </w:pPr>
            <w:r w:rsidRPr="00993936">
              <w:rPr>
                <w:rFonts w:ascii="Arial" w:hAnsi="Arial" w:cs="Arial"/>
                <w:i/>
                <w:color w:val="auto"/>
                <w:sz w:val="18"/>
                <w:lang w:val="es-ES"/>
              </w:rPr>
              <w:t>Aphidoletes aphidimiza</w:t>
            </w:r>
          </w:p>
          <w:p w:rsidR="00503A41" w:rsidRPr="00993936" w:rsidRDefault="00503A41">
            <w:pPr>
              <w:rPr>
                <w:rFonts w:ascii="Arial" w:hAnsi="Arial" w:cs="Arial"/>
                <w:sz w:val="18"/>
                <w:lang w:val="es-ES"/>
              </w:rPr>
            </w:pPr>
            <w:r w:rsidRPr="00993936">
              <w:rPr>
                <w:rFonts w:ascii="Arial" w:hAnsi="Arial" w:cs="Arial"/>
                <w:i/>
                <w:sz w:val="18"/>
                <w:lang w:val="es-ES"/>
              </w:rPr>
              <w:t>Aphelinus spp.</w:t>
            </w:r>
            <w:r w:rsidRPr="00993936">
              <w:rPr>
                <w:rFonts w:ascii="Arial" w:hAnsi="Arial" w:cs="Arial"/>
                <w:sz w:val="18"/>
                <w:lang w:val="es-ES"/>
              </w:rPr>
              <w:t>y otros parasitoides de pulgones</w:t>
            </w:r>
          </w:p>
        </w:tc>
        <w:tc>
          <w:tcPr>
            <w:tcW w:w="2115" w:type="pct"/>
            <w:tcBorders>
              <w:top w:val="nil"/>
            </w:tcBorders>
            <w:vAlign w:val="center"/>
          </w:tcPr>
          <w:p w:rsidR="00503A41" w:rsidRPr="00993936" w:rsidRDefault="00503A41" w:rsidP="001D205D">
            <w:pPr>
              <w:pStyle w:val="Sinespaciado"/>
              <w:rPr>
                <w:rFonts w:ascii="Arial" w:hAnsi="Arial" w:cs="Arial"/>
              </w:rPr>
            </w:pPr>
            <w:r w:rsidRPr="00993936">
              <w:rPr>
                <w:rFonts w:ascii="Arial" w:hAnsi="Arial" w:cs="Arial"/>
              </w:rPr>
              <w:t xml:space="preserve">Acetamiprid  </w:t>
            </w:r>
          </w:p>
          <w:p w:rsidR="00503A41" w:rsidRPr="00993936" w:rsidRDefault="00503A41" w:rsidP="001D205D">
            <w:pPr>
              <w:pStyle w:val="Sinespaciado"/>
              <w:rPr>
                <w:rFonts w:ascii="Arial" w:hAnsi="Arial" w:cs="Arial"/>
              </w:rPr>
            </w:pPr>
            <w:r w:rsidRPr="00993936">
              <w:rPr>
                <w:rFonts w:ascii="Arial" w:hAnsi="Arial" w:cs="Arial"/>
              </w:rPr>
              <w:t>Alfa cipermetrín</w:t>
            </w:r>
          </w:p>
          <w:p w:rsidR="00503A41" w:rsidRPr="00993936" w:rsidRDefault="00503A41" w:rsidP="001D205D">
            <w:pPr>
              <w:pStyle w:val="Sinespaciado"/>
              <w:rPr>
                <w:rFonts w:ascii="Arial" w:hAnsi="Arial" w:cs="Arial"/>
                <w:i/>
                <w:szCs w:val="16"/>
              </w:rPr>
            </w:pPr>
            <w:r w:rsidRPr="00993936">
              <w:rPr>
                <w:rFonts w:ascii="Arial" w:hAnsi="Arial" w:cs="Arial"/>
              </w:rPr>
              <w:t xml:space="preserve">Azadiractín </w:t>
            </w:r>
          </w:p>
          <w:p w:rsidR="00503A41" w:rsidRPr="00993936" w:rsidRDefault="00503A41" w:rsidP="001D205D">
            <w:pPr>
              <w:pStyle w:val="Sinespaciado"/>
              <w:rPr>
                <w:rFonts w:ascii="Arial" w:hAnsi="Arial" w:cs="Arial"/>
              </w:rPr>
            </w:pPr>
            <w:r w:rsidRPr="00993936">
              <w:rPr>
                <w:rFonts w:ascii="Arial" w:hAnsi="Arial" w:cs="Arial"/>
              </w:rPr>
              <w:t>Cipermetrín</w:t>
            </w:r>
          </w:p>
          <w:p w:rsidR="00503A41" w:rsidRPr="00993936" w:rsidRDefault="00503A41" w:rsidP="001D205D">
            <w:pPr>
              <w:pStyle w:val="Sinespaciado"/>
              <w:rPr>
                <w:rFonts w:ascii="Arial" w:hAnsi="Arial" w:cs="Arial"/>
              </w:rPr>
            </w:pPr>
            <w:r w:rsidRPr="00993936">
              <w:rPr>
                <w:rFonts w:ascii="Arial" w:hAnsi="Arial" w:cs="Arial"/>
              </w:rPr>
              <w:t>Cipermetrima + Metil-Clorpirifos</w:t>
            </w:r>
          </w:p>
          <w:p w:rsidR="00503A41" w:rsidRPr="00993936" w:rsidRDefault="00503A41" w:rsidP="001D205D">
            <w:pPr>
              <w:pStyle w:val="Sinespaciado"/>
              <w:rPr>
                <w:rFonts w:ascii="Arial" w:hAnsi="Arial" w:cs="Arial"/>
              </w:rPr>
            </w:pPr>
            <w:r w:rsidRPr="00993936">
              <w:rPr>
                <w:rFonts w:ascii="Arial" w:hAnsi="Arial" w:cs="Arial"/>
              </w:rPr>
              <w:t xml:space="preserve">Deltametrín  </w:t>
            </w:r>
          </w:p>
          <w:p w:rsidR="00503A41" w:rsidRPr="00993936" w:rsidRDefault="00503A41" w:rsidP="001D205D">
            <w:pPr>
              <w:pStyle w:val="Sinespaciado"/>
              <w:rPr>
                <w:rFonts w:ascii="Arial" w:hAnsi="Arial" w:cs="Arial"/>
              </w:rPr>
            </w:pPr>
            <w:r w:rsidRPr="00993936">
              <w:rPr>
                <w:rFonts w:ascii="Arial" w:hAnsi="Arial" w:cs="Arial"/>
              </w:rPr>
              <w:t xml:space="preserve">Esfenvalerat   </w:t>
            </w:r>
          </w:p>
          <w:p w:rsidR="00503A41" w:rsidRPr="00993936" w:rsidRDefault="00503A41" w:rsidP="001D205D">
            <w:pPr>
              <w:pStyle w:val="Sinespaciado"/>
              <w:rPr>
                <w:rFonts w:ascii="Arial" w:hAnsi="Arial" w:cs="Arial"/>
              </w:rPr>
            </w:pPr>
            <w:r w:rsidRPr="00993936">
              <w:rPr>
                <w:rFonts w:ascii="Arial" w:hAnsi="Arial" w:cs="Arial"/>
              </w:rPr>
              <w:t xml:space="preserve">Etofenprox  </w:t>
            </w:r>
          </w:p>
          <w:p w:rsidR="00503A41" w:rsidRPr="00993936" w:rsidRDefault="00503A41" w:rsidP="001D205D">
            <w:pPr>
              <w:pStyle w:val="Sinespaciado"/>
              <w:rPr>
                <w:rFonts w:ascii="Arial" w:hAnsi="Arial" w:cs="Arial"/>
                <w:lang w:val="es-ES"/>
              </w:rPr>
            </w:pPr>
            <w:r w:rsidRPr="00993936">
              <w:rPr>
                <w:rFonts w:ascii="Arial" w:hAnsi="Arial" w:cs="Arial"/>
                <w:szCs w:val="18"/>
                <w:lang w:val="es-ES"/>
              </w:rPr>
              <w:t xml:space="preserve">Flonicamid </w:t>
            </w:r>
          </w:p>
          <w:p w:rsidR="00503A41" w:rsidRPr="00993936" w:rsidRDefault="00503A41" w:rsidP="001D205D">
            <w:pPr>
              <w:pStyle w:val="Sinespaciado"/>
              <w:rPr>
                <w:rFonts w:ascii="Arial" w:hAnsi="Arial" w:cs="Arial"/>
              </w:rPr>
            </w:pPr>
            <w:r w:rsidRPr="00993936">
              <w:rPr>
                <w:rFonts w:ascii="Arial" w:hAnsi="Arial" w:cs="Arial"/>
              </w:rPr>
              <w:t xml:space="preserve">Imidacloprid   </w:t>
            </w:r>
          </w:p>
          <w:p w:rsidR="00503A41" w:rsidRPr="00993936" w:rsidRDefault="00503A41" w:rsidP="001D205D">
            <w:pPr>
              <w:pStyle w:val="Sinespaciado"/>
              <w:rPr>
                <w:rFonts w:ascii="Arial" w:hAnsi="Arial" w:cs="Arial"/>
              </w:rPr>
            </w:pPr>
            <w:r w:rsidRPr="00993936">
              <w:rPr>
                <w:rFonts w:ascii="Arial" w:hAnsi="Arial" w:cs="Arial"/>
              </w:rPr>
              <w:t xml:space="preserve">Lambda-cihalotrín    </w:t>
            </w:r>
          </w:p>
          <w:p w:rsidR="00503A41" w:rsidRPr="00993936" w:rsidRDefault="00503A41" w:rsidP="001D205D">
            <w:pPr>
              <w:pStyle w:val="Sinespaciado"/>
              <w:rPr>
                <w:rFonts w:ascii="Arial" w:hAnsi="Arial" w:cs="Arial"/>
              </w:rPr>
            </w:pPr>
            <w:r w:rsidRPr="00993936">
              <w:rPr>
                <w:rFonts w:ascii="Arial" w:hAnsi="Arial" w:cs="Arial"/>
              </w:rPr>
              <w:t>Metomilo</w:t>
            </w:r>
          </w:p>
          <w:p w:rsidR="00503A41" w:rsidRPr="00993936" w:rsidRDefault="00503A41" w:rsidP="001D205D">
            <w:pPr>
              <w:pStyle w:val="Sinespaciado"/>
              <w:rPr>
                <w:rFonts w:ascii="Arial" w:hAnsi="Arial" w:cs="Arial"/>
              </w:rPr>
            </w:pPr>
            <w:r w:rsidRPr="00993936">
              <w:rPr>
                <w:rFonts w:ascii="Arial" w:hAnsi="Arial" w:cs="Arial"/>
              </w:rPr>
              <w:t xml:space="preserve">Aceite parafínico </w:t>
            </w:r>
          </w:p>
          <w:p w:rsidR="00503A41" w:rsidRPr="00993936" w:rsidRDefault="00503A41" w:rsidP="001D205D">
            <w:pPr>
              <w:pStyle w:val="Sinespaciado"/>
              <w:rPr>
                <w:rFonts w:ascii="Arial" w:hAnsi="Arial" w:cs="Arial"/>
              </w:rPr>
            </w:pPr>
            <w:r w:rsidRPr="00993936">
              <w:rPr>
                <w:rFonts w:ascii="Arial" w:hAnsi="Arial" w:cs="Arial"/>
              </w:rPr>
              <w:t xml:space="preserve">Oxamilo </w:t>
            </w:r>
            <w:r w:rsidRPr="00993936">
              <w:rPr>
                <w:rFonts w:ascii="Arial" w:hAnsi="Arial" w:cs="Arial"/>
                <w:szCs w:val="18"/>
              </w:rPr>
              <w:t>(2)</w:t>
            </w:r>
          </w:p>
          <w:p w:rsidR="00503A41" w:rsidRPr="00993936" w:rsidRDefault="00503A41" w:rsidP="001D205D">
            <w:pPr>
              <w:pStyle w:val="Sinespaciado"/>
              <w:rPr>
                <w:rFonts w:ascii="Arial" w:hAnsi="Arial" w:cs="Arial"/>
              </w:rPr>
            </w:pPr>
            <w:r w:rsidRPr="00993936">
              <w:rPr>
                <w:rFonts w:ascii="Arial" w:hAnsi="Arial" w:cs="Arial"/>
              </w:rPr>
              <w:t xml:space="preserve">Pimetrozina  </w:t>
            </w:r>
          </w:p>
          <w:p w:rsidR="00503A41" w:rsidRPr="00993936" w:rsidRDefault="00503A41" w:rsidP="001D205D">
            <w:pPr>
              <w:pStyle w:val="Sinespaciado"/>
              <w:rPr>
                <w:rFonts w:ascii="Arial" w:hAnsi="Arial" w:cs="Arial"/>
              </w:rPr>
            </w:pPr>
            <w:r w:rsidRPr="00993936">
              <w:rPr>
                <w:rFonts w:ascii="Arial" w:hAnsi="Arial" w:cs="Arial"/>
              </w:rPr>
              <w:t>Piretrinas</w:t>
            </w:r>
          </w:p>
          <w:p w:rsidR="00503A41" w:rsidRPr="00993936" w:rsidRDefault="00503A41" w:rsidP="001D205D">
            <w:pPr>
              <w:pStyle w:val="Sinespaciado"/>
              <w:rPr>
                <w:rFonts w:ascii="Arial" w:hAnsi="Arial" w:cs="Arial"/>
              </w:rPr>
            </w:pPr>
            <w:r w:rsidRPr="00993936">
              <w:rPr>
                <w:rFonts w:ascii="Arial" w:hAnsi="Arial" w:cs="Arial"/>
              </w:rPr>
              <w:t xml:space="preserve">Pirimicarb </w:t>
            </w:r>
            <w:r w:rsidRPr="00993936">
              <w:rPr>
                <w:rFonts w:ascii="Arial" w:hAnsi="Arial" w:cs="Arial"/>
                <w:szCs w:val="18"/>
              </w:rPr>
              <w:t>(2)</w:t>
            </w:r>
          </w:p>
          <w:p w:rsidR="00503A41" w:rsidRPr="00993936" w:rsidRDefault="00503A41" w:rsidP="001D205D">
            <w:pPr>
              <w:pStyle w:val="Sinespaciado"/>
              <w:rPr>
                <w:rFonts w:ascii="Arial" w:hAnsi="Arial" w:cs="Arial"/>
              </w:rPr>
            </w:pPr>
            <w:r w:rsidRPr="00993936">
              <w:rPr>
                <w:rFonts w:ascii="Arial" w:hAnsi="Arial" w:cs="Arial"/>
              </w:rPr>
              <w:t>Azufre + Cipermetrín</w:t>
            </w:r>
          </w:p>
          <w:p w:rsidR="00503A41" w:rsidRPr="00993936" w:rsidRDefault="00503A41" w:rsidP="001D205D">
            <w:pPr>
              <w:pStyle w:val="Sinespaciado"/>
              <w:rPr>
                <w:rFonts w:ascii="Arial" w:hAnsi="Arial" w:cs="Arial"/>
              </w:rPr>
            </w:pPr>
            <w:r w:rsidRPr="00993936">
              <w:rPr>
                <w:rFonts w:ascii="Arial" w:hAnsi="Arial" w:cs="Arial"/>
              </w:rPr>
              <w:t>Spirotetramat</w:t>
            </w:r>
          </w:p>
          <w:p w:rsidR="00503A41" w:rsidRPr="00993936" w:rsidRDefault="00503A41" w:rsidP="001D205D">
            <w:pPr>
              <w:pStyle w:val="Sinespaciado"/>
              <w:rPr>
                <w:rFonts w:ascii="Arial" w:hAnsi="Arial" w:cs="Arial"/>
                <w:i/>
                <w:szCs w:val="16"/>
              </w:rPr>
            </w:pPr>
            <w:r w:rsidRPr="00993936">
              <w:rPr>
                <w:rFonts w:ascii="Arial" w:hAnsi="Arial" w:cs="Arial"/>
              </w:rPr>
              <w:t xml:space="preserve">Tau-fluvalinat     </w:t>
            </w:r>
          </w:p>
          <w:p w:rsidR="00503A41" w:rsidRPr="00993936" w:rsidRDefault="00503A41" w:rsidP="001D205D">
            <w:pPr>
              <w:pStyle w:val="Sinespaciado"/>
              <w:rPr>
                <w:rFonts w:ascii="Arial" w:hAnsi="Arial" w:cs="Arial"/>
              </w:rPr>
            </w:pPr>
            <w:r w:rsidRPr="00993936">
              <w:rPr>
                <w:rFonts w:ascii="Arial" w:hAnsi="Arial" w:cs="Arial"/>
              </w:rPr>
              <w:t xml:space="preserve">Tiacloprid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Tiametoxam   </w:t>
            </w:r>
          </w:p>
          <w:p w:rsidR="00503A41" w:rsidRPr="00993936" w:rsidRDefault="00503A41" w:rsidP="001D205D">
            <w:pPr>
              <w:pStyle w:val="Sinespaciado"/>
              <w:rPr>
                <w:rFonts w:ascii="Arial" w:hAnsi="Arial" w:cs="Arial"/>
                <w:lang w:val="es-ES"/>
              </w:rPr>
            </w:pPr>
            <w:r w:rsidRPr="00993936">
              <w:rPr>
                <w:rFonts w:ascii="Arial" w:hAnsi="Arial" w:cs="Arial"/>
                <w:lang w:val="es-ES"/>
              </w:rPr>
              <w:t>Zeta-cipermetrín</w:t>
            </w:r>
          </w:p>
        </w:tc>
      </w:tr>
    </w:tbl>
    <w:p w:rsidR="00503A41" w:rsidRPr="00993936" w:rsidRDefault="00503A41">
      <w:pPr>
        <w:rPr>
          <w:rFonts w:ascii="Arial" w:hAnsi="Arial" w:cs="Arial"/>
          <w:lang w:val="es-ES"/>
        </w:rPr>
      </w:pPr>
    </w:p>
    <w:p w:rsidR="00503A41" w:rsidRPr="00993936" w:rsidRDefault="00503A41" w:rsidP="001D205D">
      <w:pPr>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1.1: Insecticidas, acaricidas y nematicides (continuación)</w:t>
      </w:r>
    </w:p>
    <w:p w:rsidR="00503A41" w:rsidRPr="00993936" w:rsidRDefault="00503A41" w:rsidP="000452B8">
      <w:pPr>
        <w:rPr>
          <w:rFonts w:ascii="Arial" w:hAnsi="Arial" w:cs="Arial"/>
          <w:lang w:val="es-ES"/>
        </w:rPr>
      </w:pP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94"/>
        <w:gridCol w:w="2794"/>
        <w:gridCol w:w="3656"/>
      </w:tblGrid>
      <w:tr w:rsidR="00503A41" w:rsidRPr="00993936" w:rsidTr="000452B8">
        <w:trPr>
          <w:cantSplit/>
          <w:tblHeader/>
          <w:jc w:val="center"/>
        </w:trPr>
        <w:tc>
          <w:tcPr>
            <w:tcW w:w="1269" w:type="pct"/>
            <w:tcBorders>
              <w:top w:val="double" w:sz="6" w:space="0" w:color="auto"/>
              <w:bottom w:val="double" w:sz="6" w:space="0" w:color="auto"/>
            </w:tcBorders>
            <w:shd w:val="pct12" w:color="auto" w:fill="FFFFFF"/>
            <w:vAlign w:val="center"/>
          </w:tcPr>
          <w:p w:rsidR="00503A41" w:rsidRPr="00993936" w:rsidRDefault="00503A41" w:rsidP="000452B8">
            <w:pPr>
              <w:jc w:val="center"/>
              <w:rPr>
                <w:rFonts w:ascii="Arial" w:hAnsi="Arial" w:cs="Arial"/>
                <w:b/>
                <w:caps/>
                <w:sz w:val="16"/>
                <w:lang w:val="es-ES"/>
              </w:rPr>
            </w:pPr>
            <w:r w:rsidRPr="00993936">
              <w:rPr>
                <w:rFonts w:ascii="Arial" w:hAnsi="Arial" w:cs="Arial"/>
                <w:b/>
                <w:caps/>
                <w:sz w:val="16"/>
                <w:lang w:val="es-ES"/>
              </w:rPr>
              <w:t>Plagas</w:t>
            </w:r>
          </w:p>
        </w:tc>
        <w:tc>
          <w:tcPr>
            <w:tcW w:w="1616" w:type="pct"/>
            <w:tcBorders>
              <w:top w:val="double" w:sz="6" w:space="0" w:color="auto"/>
              <w:bottom w:val="double" w:sz="6" w:space="0" w:color="auto"/>
            </w:tcBorders>
            <w:shd w:val="pct12" w:color="auto" w:fill="FFFFFF"/>
            <w:vAlign w:val="center"/>
          </w:tcPr>
          <w:p w:rsidR="00503A41" w:rsidRPr="00993936" w:rsidRDefault="00503A41" w:rsidP="001D205D">
            <w:pPr>
              <w:jc w:val="center"/>
              <w:rPr>
                <w:rFonts w:ascii="Arial" w:hAnsi="Arial" w:cs="Arial"/>
                <w:b/>
                <w:caps/>
                <w:sz w:val="16"/>
                <w:lang w:val="es-ES"/>
              </w:rPr>
            </w:pPr>
            <w:r w:rsidRPr="00993936">
              <w:rPr>
                <w:rFonts w:ascii="Arial" w:hAnsi="Arial" w:cs="Arial"/>
                <w:b/>
                <w:caps/>
                <w:sz w:val="16"/>
                <w:lang w:val="es-ES"/>
              </w:rPr>
              <w:t>Agentes de control biolÓgicO</w:t>
            </w:r>
          </w:p>
        </w:tc>
        <w:tc>
          <w:tcPr>
            <w:tcW w:w="2115" w:type="pct"/>
            <w:tcBorders>
              <w:top w:val="double" w:sz="6" w:space="0" w:color="auto"/>
              <w:bottom w:val="double" w:sz="6" w:space="0" w:color="auto"/>
            </w:tcBorders>
            <w:shd w:val="pct12" w:color="auto" w:fill="FFFFFF"/>
            <w:vAlign w:val="center"/>
          </w:tcPr>
          <w:p w:rsidR="00503A41" w:rsidRPr="00993936" w:rsidRDefault="00503A41" w:rsidP="000452B8">
            <w:pPr>
              <w:jc w:val="center"/>
              <w:rPr>
                <w:rFonts w:ascii="Arial" w:hAnsi="Arial" w:cs="Arial"/>
                <w:b/>
                <w:caps/>
                <w:sz w:val="16"/>
                <w:lang w:val="es-ES"/>
              </w:rPr>
            </w:pPr>
            <w:r w:rsidRPr="00993936">
              <w:rPr>
                <w:rFonts w:ascii="Arial" w:hAnsi="Arial" w:cs="Arial"/>
                <w:b/>
                <w:caps/>
                <w:sz w:val="16"/>
                <w:lang w:val="es-ES"/>
              </w:rPr>
              <w:t>Productos admitidos</w:t>
            </w:r>
          </w:p>
        </w:tc>
      </w:tr>
      <w:tr w:rsidR="00503A41" w:rsidRPr="00993936" w:rsidTr="000452B8">
        <w:trPr>
          <w:cantSplit/>
          <w:jc w:val="center"/>
        </w:trPr>
        <w:tc>
          <w:tcPr>
            <w:tcW w:w="1269" w:type="pct"/>
            <w:vAlign w:val="center"/>
          </w:tcPr>
          <w:p w:rsidR="00503A41" w:rsidRPr="00993936" w:rsidRDefault="00503A41">
            <w:pPr>
              <w:rPr>
                <w:rFonts w:ascii="Arial" w:hAnsi="Arial" w:cs="Arial"/>
                <w:b/>
                <w:sz w:val="18"/>
                <w:lang w:val="es-ES"/>
              </w:rPr>
            </w:pPr>
            <w:r w:rsidRPr="00993936">
              <w:rPr>
                <w:rFonts w:ascii="Arial" w:hAnsi="Arial" w:cs="Arial"/>
                <w:b/>
                <w:sz w:val="18"/>
                <w:lang w:val="es-ES"/>
              </w:rPr>
              <w:t>Dormidores</w:t>
            </w:r>
          </w:p>
          <w:p w:rsidR="00503A41" w:rsidRPr="00993936" w:rsidRDefault="00503A41">
            <w:pPr>
              <w:rPr>
                <w:rFonts w:ascii="Arial" w:hAnsi="Arial" w:cs="Arial"/>
                <w:sz w:val="18"/>
                <w:lang w:val="es-ES"/>
              </w:rPr>
            </w:pPr>
            <w:r w:rsidRPr="00993936">
              <w:rPr>
                <w:rFonts w:ascii="Arial" w:hAnsi="Arial" w:cs="Arial"/>
                <w:i/>
                <w:sz w:val="18"/>
                <w:lang w:val="es-ES"/>
              </w:rPr>
              <w:t>Agrotis segetum</w:t>
            </w:r>
            <w:r w:rsidRPr="00993936">
              <w:rPr>
                <w:rFonts w:ascii="Arial" w:hAnsi="Arial" w:cs="Arial"/>
                <w:sz w:val="18"/>
                <w:lang w:val="es-ES"/>
              </w:rPr>
              <w:t xml:space="preserve">, </w:t>
            </w:r>
            <w:r w:rsidRPr="00993936">
              <w:rPr>
                <w:rFonts w:ascii="Arial" w:hAnsi="Arial" w:cs="Arial"/>
                <w:i/>
                <w:sz w:val="18"/>
                <w:lang w:val="es-ES"/>
              </w:rPr>
              <w:t>A. ipsilon</w:t>
            </w:r>
            <w:r w:rsidRPr="00993936">
              <w:rPr>
                <w:rFonts w:ascii="Arial" w:hAnsi="Arial" w:cs="Arial"/>
                <w:sz w:val="18"/>
                <w:lang w:val="es-ES"/>
              </w:rPr>
              <w:t xml:space="preserve"> y</w:t>
            </w:r>
          </w:p>
          <w:p w:rsidR="00503A41" w:rsidRPr="00993936" w:rsidRDefault="00503A41">
            <w:pPr>
              <w:rPr>
                <w:rFonts w:ascii="Arial" w:hAnsi="Arial" w:cs="Arial"/>
                <w:sz w:val="18"/>
                <w:lang w:val="es-ES"/>
              </w:rPr>
            </w:pPr>
            <w:r w:rsidRPr="00993936">
              <w:rPr>
                <w:rFonts w:ascii="Arial" w:hAnsi="Arial" w:cs="Arial"/>
                <w:b/>
                <w:sz w:val="18"/>
                <w:lang w:val="es-ES"/>
              </w:rPr>
              <w:t>Gusanos del alambre</w:t>
            </w:r>
            <w:r w:rsidRPr="00993936">
              <w:rPr>
                <w:rFonts w:ascii="Arial" w:hAnsi="Arial" w:cs="Arial"/>
                <w:sz w:val="18"/>
                <w:lang w:val="es-ES"/>
              </w:rPr>
              <w:t xml:space="preserve"> </w:t>
            </w:r>
          </w:p>
          <w:p w:rsidR="00503A41" w:rsidRPr="00993936" w:rsidRDefault="00503A41">
            <w:pPr>
              <w:rPr>
                <w:rFonts w:ascii="Arial" w:hAnsi="Arial" w:cs="Arial"/>
                <w:sz w:val="18"/>
                <w:lang w:val="es-ES"/>
              </w:rPr>
            </w:pPr>
            <w:r w:rsidRPr="00993936">
              <w:rPr>
                <w:rFonts w:ascii="Arial" w:hAnsi="Arial" w:cs="Arial"/>
                <w:i/>
                <w:sz w:val="18"/>
                <w:lang w:val="es-ES"/>
              </w:rPr>
              <w:t>Agriotes</w:t>
            </w:r>
            <w:r w:rsidRPr="00993936">
              <w:rPr>
                <w:rFonts w:ascii="Arial" w:hAnsi="Arial" w:cs="Arial"/>
                <w:sz w:val="18"/>
                <w:lang w:val="es-ES"/>
              </w:rPr>
              <w:t xml:space="preserve"> sp.</w:t>
            </w:r>
          </w:p>
        </w:tc>
        <w:tc>
          <w:tcPr>
            <w:tcW w:w="1616" w:type="pct"/>
            <w:vAlign w:val="center"/>
          </w:tcPr>
          <w:p w:rsidR="00503A41" w:rsidRPr="00993936" w:rsidRDefault="00503A41">
            <w:pPr>
              <w:rPr>
                <w:rFonts w:ascii="Arial" w:hAnsi="Arial" w:cs="Arial"/>
                <w:sz w:val="18"/>
                <w:lang w:val="es-ES"/>
              </w:rPr>
            </w:pPr>
          </w:p>
        </w:tc>
        <w:tc>
          <w:tcPr>
            <w:tcW w:w="2115" w:type="pct"/>
            <w:vAlign w:val="center"/>
          </w:tcPr>
          <w:p w:rsidR="00503A41" w:rsidRPr="00993936" w:rsidRDefault="00503A41" w:rsidP="000452B8">
            <w:pPr>
              <w:pStyle w:val="texto"/>
              <w:spacing w:before="0" w:after="0"/>
              <w:ind w:firstLine="0"/>
              <w:jc w:val="left"/>
              <w:rPr>
                <w:rFonts w:ascii="Arial" w:hAnsi="Arial" w:cs="Arial"/>
                <w:i/>
                <w:color w:val="auto"/>
                <w:sz w:val="16"/>
                <w:szCs w:val="16"/>
              </w:rPr>
            </w:pPr>
            <w:r w:rsidRPr="00993936">
              <w:rPr>
                <w:rFonts w:ascii="Arial" w:hAnsi="Arial" w:cs="Arial"/>
                <w:color w:val="auto"/>
                <w:sz w:val="18"/>
              </w:rPr>
              <w:t xml:space="preserve">Azadiractín (Agrotis)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Cipermetrín+ Metil-Clorpirifos</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Clorpirifos (granulado)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Deltametrín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Etoprofós  </w:t>
            </w:r>
            <w:r w:rsidRPr="00993936">
              <w:rPr>
                <w:rFonts w:ascii="Arial" w:hAnsi="Arial" w:cs="Arial"/>
                <w:color w:val="auto"/>
                <w:sz w:val="18"/>
                <w:szCs w:val="18"/>
              </w:rPr>
              <w:t>(2)</w:t>
            </w:r>
          </w:p>
          <w:p w:rsidR="00503A41" w:rsidRPr="00993936" w:rsidRDefault="00503A41">
            <w:pPr>
              <w:pStyle w:val="texto"/>
              <w:spacing w:before="0" w:after="0"/>
              <w:ind w:firstLine="0"/>
              <w:rPr>
                <w:rFonts w:ascii="Arial" w:hAnsi="Arial" w:cs="Arial"/>
                <w:color w:val="auto"/>
                <w:sz w:val="18"/>
                <w:szCs w:val="18"/>
              </w:rPr>
            </w:pPr>
            <w:r w:rsidRPr="00993936">
              <w:rPr>
                <w:rFonts w:ascii="Arial" w:hAnsi="Arial" w:cs="Arial"/>
                <w:color w:val="auto"/>
                <w:sz w:val="18"/>
              </w:rPr>
              <w:t xml:space="preserve">Oxamilo </w:t>
            </w:r>
            <w:r w:rsidRPr="00993936">
              <w:rPr>
                <w:rFonts w:ascii="Arial" w:hAnsi="Arial" w:cs="Arial"/>
                <w:color w:val="auto"/>
                <w:sz w:val="18"/>
                <w:szCs w:val="18"/>
              </w:rPr>
              <w:t>(2)</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szCs w:val="18"/>
              </w:rPr>
              <w:t>Lambda-cihalotrín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Metil-Clorpirifos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Metomilo</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Piretrinas</w:t>
            </w:r>
          </w:p>
          <w:p w:rsidR="00503A41" w:rsidRPr="00993936" w:rsidRDefault="00503A41" w:rsidP="000452B8">
            <w:pPr>
              <w:pStyle w:val="texto"/>
              <w:spacing w:before="0" w:after="0"/>
              <w:ind w:firstLine="0"/>
              <w:jc w:val="left"/>
              <w:rPr>
                <w:rFonts w:ascii="Arial" w:hAnsi="Arial" w:cs="Arial"/>
                <w:color w:val="auto"/>
                <w:sz w:val="18"/>
                <w:szCs w:val="18"/>
              </w:rPr>
            </w:pPr>
            <w:r w:rsidRPr="00993936">
              <w:rPr>
                <w:rFonts w:ascii="Arial" w:hAnsi="Arial" w:cs="Arial"/>
                <w:color w:val="auto"/>
                <w:sz w:val="18"/>
              </w:rPr>
              <w:t xml:space="preserve">Tau-fluvalinat (Agrotis) </w:t>
            </w:r>
            <w:r w:rsidRPr="00993936">
              <w:rPr>
                <w:rFonts w:ascii="Arial" w:hAnsi="Arial" w:cs="Arial"/>
                <w:color w:val="auto"/>
                <w:sz w:val="18"/>
                <w:szCs w:val="18"/>
              </w:rPr>
              <w:t>(4)</w:t>
            </w:r>
            <w:r w:rsidRPr="00993936" w:rsidDel="007C5DDA">
              <w:rPr>
                <w:rFonts w:ascii="Arial" w:hAnsi="Arial" w:cs="Arial"/>
                <w:color w:val="auto"/>
                <w:sz w:val="18"/>
                <w:szCs w:val="18"/>
              </w:rPr>
              <w:t xml:space="preserve"> </w:t>
            </w:r>
          </w:p>
          <w:p w:rsidR="00503A41" w:rsidRPr="00993936" w:rsidRDefault="00503A41" w:rsidP="000452B8">
            <w:pPr>
              <w:pStyle w:val="texto"/>
              <w:spacing w:before="0" w:after="0"/>
              <w:ind w:firstLine="0"/>
              <w:jc w:val="left"/>
              <w:rPr>
                <w:rFonts w:ascii="Arial" w:hAnsi="Arial" w:cs="Arial"/>
                <w:color w:val="auto"/>
                <w:sz w:val="18"/>
              </w:rPr>
            </w:pPr>
            <w:r w:rsidRPr="00993936">
              <w:rPr>
                <w:rFonts w:ascii="Arial" w:hAnsi="Arial" w:cs="Arial"/>
                <w:color w:val="auto"/>
                <w:sz w:val="18"/>
              </w:rPr>
              <w:t>Teflutrín</w:t>
            </w:r>
          </w:p>
        </w:tc>
      </w:tr>
      <w:tr w:rsidR="00503A41" w:rsidRPr="00993936" w:rsidTr="000452B8">
        <w:trPr>
          <w:cantSplit/>
          <w:jc w:val="center"/>
        </w:trPr>
        <w:tc>
          <w:tcPr>
            <w:tcW w:w="1269" w:type="pct"/>
            <w:vAlign w:val="center"/>
          </w:tcPr>
          <w:p w:rsidR="00503A41" w:rsidRPr="00993936" w:rsidRDefault="00503A41">
            <w:pPr>
              <w:rPr>
                <w:rFonts w:ascii="Arial" w:hAnsi="Arial" w:cs="Arial"/>
                <w:sz w:val="18"/>
                <w:lang w:val="es-ES"/>
              </w:rPr>
            </w:pPr>
            <w:r w:rsidRPr="00993936">
              <w:rPr>
                <w:rFonts w:ascii="Arial" w:hAnsi="Arial" w:cs="Arial"/>
                <w:b/>
                <w:sz w:val="18"/>
                <w:lang w:val="es-ES"/>
              </w:rPr>
              <w:t>Orugas</w:t>
            </w:r>
            <w:r w:rsidRPr="00993936">
              <w:rPr>
                <w:rFonts w:ascii="Arial" w:hAnsi="Arial" w:cs="Arial"/>
                <w:sz w:val="18"/>
                <w:lang w:val="es-ES"/>
              </w:rPr>
              <w:t xml:space="preserve"> </w:t>
            </w:r>
          </w:p>
          <w:p w:rsidR="00503A41" w:rsidRPr="00993936" w:rsidRDefault="00503A41">
            <w:pPr>
              <w:rPr>
                <w:rFonts w:ascii="Arial" w:hAnsi="Arial" w:cs="Arial"/>
                <w:sz w:val="18"/>
                <w:lang w:val="es-ES"/>
              </w:rPr>
            </w:pPr>
            <w:r w:rsidRPr="00993936">
              <w:rPr>
                <w:rFonts w:ascii="Arial" w:hAnsi="Arial" w:cs="Arial"/>
                <w:i/>
                <w:sz w:val="18"/>
                <w:lang w:val="es-ES"/>
              </w:rPr>
              <w:t>Helicoverpa armigera</w:t>
            </w:r>
            <w:r w:rsidRPr="00993936">
              <w:rPr>
                <w:rFonts w:ascii="Arial" w:hAnsi="Arial" w:cs="Arial"/>
                <w:sz w:val="18"/>
                <w:lang w:val="es-ES"/>
              </w:rPr>
              <w:t xml:space="preserve">, </w:t>
            </w:r>
            <w:r w:rsidRPr="00993936">
              <w:rPr>
                <w:rFonts w:ascii="Arial" w:hAnsi="Arial" w:cs="Arial"/>
                <w:i/>
                <w:sz w:val="18"/>
                <w:lang w:val="es-ES"/>
              </w:rPr>
              <w:t>Autographa gamma</w:t>
            </w:r>
            <w:r w:rsidRPr="00993936">
              <w:rPr>
                <w:rFonts w:ascii="Arial" w:hAnsi="Arial" w:cs="Arial"/>
                <w:i/>
                <w:vanish/>
                <w:sz w:val="18"/>
                <w:lang w:val="es-ES"/>
              </w:rPr>
              <w:t>&lt;A[gama|gamma]&gt;</w:t>
            </w:r>
            <w:r w:rsidRPr="00993936">
              <w:rPr>
                <w:rFonts w:ascii="Arial" w:hAnsi="Arial" w:cs="Arial"/>
                <w:sz w:val="18"/>
                <w:lang w:val="es-ES"/>
              </w:rPr>
              <w:t>,</w:t>
            </w:r>
          </w:p>
          <w:p w:rsidR="00503A41" w:rsidRPr="00993936" w:rsidRDefault="00503A41">
            <w:pPr>
              <w:rPr>
                <w:rFonts w:ascii="Arial" w:hAnsi="Arial" w:cs="Arial"/>
                <w:sz w:val="18"/>
                <w:lang w:val="es-ES"/>
              </w:rPr>
            </w:pPr>
            <w:r w:rsidRPr="00993936">
              <w:rPr>
                <w:rFonts w:ascii="Arial" w:hAnsi="Arial" w:cs="Arial"/>
                <w:i/>
                <w:sz w:val="18"/>
                <w:lang w:val="es-ES"/>
              </w:rPr>
              <w:t>Chrysodeixis chalcites</w:t>
            </w:r>
            <w:r w:rsidRPr="00993936">
              <w:rPr>
                <w:rFonts w:ascii="Arial" w:hAnsi="Arial" w:cs="Arial"/>
                <w:sz w:val="18"/>
                <w:lang w:val="es-ES"/>
              </w:rPr>
              <w:t xml:space="preserve">, </w:t>
            </w:r>
          </w:p>
          <w:p w:rsidR="00503A41" w:rsidRPr="00993936" w:rsidRDefault="00503A41">
            <w:pPr>
              <w:rPr>
                <w:rFonts w:ascii="Arial" w:hAnsi="Arial" w:cs="Arial"/>
                <w:sz w:val="18"/>
                <w:lang w:val="es-ES"/>
              </w:rPr>
            </w:pPr>
            <w:r w:rsidRPr="00993936">
              <w:rPr>
                <w:rFonts w:ascii="Arial" w:hAnsi="Arial" w:cs="Arial"/>
                <w:i/>
                <w:sz w:val="18"/>
                <w:lang w:val="es-ES"/>
              </w:rPr>
              <w:t>Tuta absoluta</w:t>
            </w:r>
            <w:r w:rsidRPr="00993936">
              <w:rPr>
                <w:rFonts w:ascii="Arial" w:hAnsi="Arial" w:cs="Arial"/>
                <w:sz w:val="18"/>
                <w:lang w:val="es-ES"/>
              </w:rPr>
              <w:t>, etc.</w:t>
            </w:r>
          </w:p>
        </w:tc>
        <w:tc>
          <w:tcPr>
            <w:tcW w:w="1616" w:type="pct"/>
            <w:vAlign w:val="center"/>
          </w:tcPr>
          <w:p w:rsidR="00503A41" w:rsidRPr="00993936" w:rsidRDefault="00503A41" w:rsidP="000452B8">
            <w:pPr>
              <w:rPr>
                <w:rFonts w:ascii="Arial" w:eastAsia="Arial Unicode MS" w:hAnsi="Arial" w:cs="Arial"/>
                <w:sz w:val="18"/>
                <w:lang w:val="es-ES"/>
              </w:rPr>
            </w:pPr>
            <w:r w:rsidRPr="00993936">
              <w:rPr>
                <w:rFonts w:ascii="Arial" w:eastAsia="Arial Unicode MS" w:hAnsi="Arial" w:cs="Arial"/>
                <w:sz w:val="18"/>
                <w:lang w:val="es-ES"/>
              </w:rPr>
              <w:t>Macrolophus pygmaeus</w:t>
            </w:r>
          </w:p>
        </w:tc>
        <w:tc>
          <w:tcPr>
            <w:tcW w:w="2115" w:type="pct"/>
            <w:vAlign w:val="center"/>
          </w:tcPr>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Abamectina (T. Absoluta)</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Alfa cipermetrín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Azadiractín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Bacillus thuringiensis var aizawai</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Bacillus thuringiensis var kurstaki</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Cipermetrín</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Clorantranilipole</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Deltametrín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Esfenvalerat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Emamectina</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Etofenprox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Indoxacarb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Lambda-cihalotrín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Lufenuró (Spodoptera, Helicoverpa)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Metaflumizona (Plusia, Tuta y Helicoverpa)</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Metil-Clorpirifos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Metoxifenocida (Spodoptera, Plusia)</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Piretrinas</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Espinosad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Tau-fluvalinat (2)</w:t>
            </w:r>
            <w:r w:rsidRPr="00993936" w:rsidDel="007C5DDA">
              <w:rPr>
                <w:rFonts w:ascii="Arial" w:eastAsia="Arial Unicode MS" w:hAnsi="Arial" w:cs="Arial"/>
                <w:sz w:val="18"/>
                <w:szCs w:val="18"/>
                <w:lang w:val="es-ES" w:eastAsia="ca-ES"/>
              </w:rPr>
              <w:t xml:space="preserve">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Tebufenocida (Spodoptera)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Zeta-cipermetrín</w:t>
            </w:r>
          </w:p>
        </w:tc>
      </w:tr>
      <w:tr w:rsidR="00503A41" w:rsidRPr="00993936" w:rsidTr="000452B8">
        <w:trPr>
          <w:cantSplit/>
          <w:jc w:val="center"/>
        </w:trPr>
        <w:tc>
          <w:tcPr>
            <w:tcW w:w="1269" w:type="pct"/>
            <w:vAlign w:val="center"/>
          </w:tcPr>
          <w:p w:rsidR="00503A41" w:rsidRPr="00993936" w:rsidRDefault="00503A41">
            <w:pPr>
              <w:rPr>
                <w:rFonts w:ascii="Arial" w:hAnsi="Arial" w:cs="Arial"/>
                <w:b/>
                <w:sz w:val="18"/>
                <w:lang w:val="es-ES"/>
              </w:rPr>
            </w:pPr>
            <w:r w:rsidRPr="00993936">
              <w:rPr>
                <w:rFonts w:ascii="Arial" w:hAnsi="Arial" w:cs="Arial"/>
                <w:b/>
                <w:sz w:val="18"/>
                <w:lang w:val="es-ES"/>
              </w:rPr>
              <w:t>Ácaro del bronceado del tomate</w:t>
            </w:r>
          </w:p>
          <w:p w:rsidR="00503A41" w:rsidRPr="00993936" w:rsidRDefault="00503A41">
            <w:pPr>
              <w:rPr>
                <w:rFonts w:ascii="Arial" w:hAnsi="Arial" w:cs="Arial"/>
                <w:sz w:val="18"/>
                <w:lang w:val="es-ES"/>
              </w:rPr>
            </w:pPr>
            <w:r w:rsidRPr="00993936">
              <w:rPr>
                <w:rFonts w:ascii="Arial" w:hAnsi="Arial" w:cs="Arial"/>
                <w:i/>
                <w:sz w:val="18"/>
                <w:lang w:val="es-ES"/>
              </w:rPr>
              <w:t>Aculops lycopersici</w:t>
            </w:r>
          </w:p>
        </w:tc>
        <w:tc>
          <w:tcPr>
            <w:tcW w:w="1616" w:type="pct"/>
            <w:vAlign w:val="center"/>
          </w:tcPr>
          <w:p w:rsidR="00503A41" w:rsidRPr="00993936" w:rsidRDefault="00503A41">
            <w:pPr>
              <w:rPr>
                <w:rFonts w:ascii="Arial" w:hAnsi="Arial" w:cs="Arial"/>
                <w:sz w:val="18"/>
                <w:lang w:val="es-ES"/>
              </w:rPr>
            </w:pPr>
          </w:p>
        </w:tc>
        <w:tc>
          <w:tcPr>
            <w:tcW w:w="2115" w:type="pct"/>
            <w:vAlign w:val="center"/>
          </w:tcPr>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Abamectina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Azadiractín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Aceite parafínico   </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Oxamilo</w:t>
            </w:r>
          </w:p>
          <w:p w:rsidR="00503A41" w:rsidRPr="00993936" w:rsidRDefault="00503A41" w:rsidP="001D205D">
            <w:pPr>
              <w:pStyle w:val="Sinespaciado"/>
              <w:rPr>
                <w:rFonts w:ascii="Arial" w:eastAsia="Arial Unicode MS" w:hAnsi="Arial" w:cs="Arial"/>
                <w:sz w:val="18"/>
                <w:szCs w:val="18"/>
                <w:lang w:val="es-ES" w:eastAsia="ca-ES"/>
              </w:rPr>
            </w:pPr>
            <w:r w:rsidRPr="00993936">
              <w:rPr>
                <w:rFonts w:ascii="Arial" w:eastAsia="Arial Unicode MS" w:hAnsi="Arial" w:cs="Arial"/>
                <w:sz w:val="18"/>
                <w:szCs w:val="18"/>
                <w:lang w:val="es-ES" w:eastAsia="ca-ES"/>
              </w:rPr>
              <w:t xml:space="preserve">Azufre </w:t>
            </w:r>
          </w:p>
          <w:p w:rsidR="00503A41" w:rsidRPr="00993936" w:rsidRDefault="00503A41" w:rsidP="001D205D">
            <w:pPr>
              <w:pStyle w:val="Sinespaciado"/>
              <w:rPr>
                <w:rFonts w:ascii="Arial" w:hAnsi="Arial" w:cs="Arial"/>
              </w:rPr>
            </w:pPr>
            <w:r w:rsidRPr="00993936">
              <w:rPr>
                <w:rFonts w:ascii="Arial" w:eastAsia="Arial Unicode MS" w:hAnsi="Arial" w:cs="Arial"/>
                <w:sz w:val="18"/>
                <w:szCs w:val="18"/>
                <w:lang w:val="es-ES" w:eastAsia="ca-ES"/>
              </w:rPr>
              <w:t>Espiromesifén</w:t>
            </w:r>
          </w:p>
        </w:tc>
      </w:tr>
      <w:tr w:rsidR="00503A41" w:rsidRPr="00993936" w:rsidTr="000452B8">
        <w:trPr>
          <w:cantSplit/>
          <w:jc w:val="center"/>
        </w:trPr>
        <w:tc>
          <w:tcPr>
            <w:tcW w:w="1269" w:type="pct"/>
            <w:vAlign w:val="center"/>
          </w:tcPr>
          <w:p w:rsidR="00503A41" w:rsidRPr="00993936" w:rsidRDefault="00503A41">
            <w:pPr>
              <w:rPr>
                <w:rFonts w:ascii="Arial" w:hAnsi="Arial" w:cs="Arial"/>
                <w:sz w:val="18"/>
                <w:lang w:val="es-ES"/>
              </w:rPr>
            </w:pPr>
            <w:r w:rsidRPr="00993936">
              <w:rPr>
                <w:rFonts w:ascii="Arial" w:hAnsi="Arial" w:cs="Arial"/>
                <w:b/>
                <w:sz w:val="18"/>
                <w:lang w:val="es-ES"/>
              </w:rPr>
              <w:t>Araña roja</w:t>
            </w:r>
            <w:r w:rsidRPr="00993936">
              <w:rPr>
                <w:rFonts w:ascii="Arial" w:hAnsi="Arial" w:cs="Arial"/>
                <w:sz w:val="18"/>
                <w:lang w:val="es-ES"/>
              </w:rPr>
              <w:t xml:space="preserve"> </w:t>
            </w:r>
          </w:p>
          <w:p w:rsidR="00503A41" w:rsidRPr="00993936" w:rsidRDefault="00503A41">
            <w:pPr>
              <w:rPr>
                <w:rFonts w:ascii="Arial" w:hAnsi="Arial" w:cs="Arial"/>
                <w:sz w:val="18"/>
                <w:lang w:val="es-ES"/>
              </w:rPr>
            </w:pPr>
            <w:r w:rsidRPr="00993936">
              <w:rPr>
                <w:rFonts w:ascii="Arial" w:hAnsi="Arial" w:cs="Arial"/>
                <w:i/>
                <w:sz w:val="18"/>
                <w:lang w:val="es-ES"/>
              </w:rPr>
              <w:t>Tetranychus urticae</w:t>
            </w:r>
            <w:r w:rsidRPr="00993936">
              <w:rPr>
                <w:rFonts w:ascii="Arial" w:hAnsi="Arial" w:cs="Arial"/>
                <w:sz w:val="18"/>
                <w:lang w:val="es-ES"/>
              </w:rPr>
              <w:t>,</w:t>
            </w:r>
          </w:p>
          <w:p w:rsidR="00503A41" w:rsidRPr="00993936" w:rsidRDefault="00503A41">
            <w:pPr>
              <w:rPr>
                <w:rFonts w:ascii="Arial" w:hAnsi="Arial" w:cs="Arial"/>
                <w:sz w:val="18"/>
                <w:lang w:val="es-ES"/>
              </w:rPr>
            </w:pPr>
            <w:r w:rsidRPr="00993936">
              <w:rPr>
                <w:rFonts w:ascii="Arial" w:hAnsi="Arial" w:cs="Arial"/>
                <w:i/>
                <w:sz w:val="18"/>
                <w:lang w:val="es-ES"/>
              </w:rPr>
              <w:t>T. turkestan</w:t>
            </w:r>
            <w:r w:rsidRPr="00993936">
              <w:rPr>
                <w:rFonts w:ascii="Arial" w:hAnsi="Arial" w:cs="Arial"/>
                <w:sz w:val="18"/>
                <w:lang w:val="es-ES"/>
              </w:rPr>
              <w:t>i</w:t>
            </w:r>
          </w:p>
        </w:tc>
        <w:tc>
          <w:tcPr>
            <w:tcW w:w="1616" w:type="pct"/>
            <w:vAlign w:val="center"/>
          </w:tcPr>
          <w:p w:rsidR="00503A41" w:rsidRPr="00993936" w:rsidRDefault="00503A41">
            <w:pPr>
              <w:rPr>
                <w:rFonts w:ascii="Arial" w:hAnsi="Arial" w:cs="Arial"/>
                <w:i/>
                <w:sz w:val="18"/>
                <w:lang w:val="es-ES"/>
              </w:rPr>
            </w:pPr>
            <w:r w:rsidRPr="00993936">
              <w:rPr>
                <w:rFonts w:ascii="Arial" w:hAnsi="Arial" w:cs="Arial"/>
                <w:i/>
                <w:sz w:val="18"/>
                <w:lang w:val="es-ES"/>
              </w:rPr>
              <w:t>Neoseiulus</w:t>
            </w:r>
            <w:r w:rsidRPr="00993936">
              <w:rPr>
                <w:rFonts w:ascii="Arial" w:hAnsi="Arial" w:cs="Arial"/>
                <w:sz w:val="18"/>
                <w:lang w:val="es-ES"/>
              </w:rPr>
              <w:t xml:space="preserve"> (=</w:t>
            </w:r>
            <w:r w:rsidRPr="00993936">
              <w:rPr>
                <w:rFonts w:ascii="Arial" w:hAnsi="Arial" w:cs="Arial"/>
                <w:i/>
                <w:sz w:val="18"/>
                <w:lang w:val="es-ES"/>
              </w:rPr>
              <w:t>Amblyseius</w:t>
            </w:r>
            <w:r w:rsidRPr="00993936">
              <w:rPr>
                <w:rFonts w:ascii="Arial" w:hAnsi="Arial" w:cs="Arial"/>
                <w:sz w:val="18"/>
                <w:lang w:val="es-ES"/>
              </w:rPr>
              <w:t>)</w:t>
            </w:r>
            <w:r w:rsidRPr="00993936">
              <w:rPr>
                <w:rFonts w:ascii="Arial" w:hAnsi="Arial" w:cs="Arial"/>
                <w:i/>
                <w:sz w:val="18"/>
                <w:lang w:val="es-ES"/>
              </w:rPr>
              <w:t xml:space="preserve"> californicus</w:t>
            </w:r>
          </w:p>
          <w:p w:rsidR="00503A41" w:rsidRPr="00993936" w:rsidRDefault="00503A41">
            <w:pPr>
              <w:rPr>
                <w:rFonts w:ascii="Arial" w:hAnsi="Arial" w:cs="Arial"/>
                <w:i/>
                <w:sz w:val="18"/>
                <w:lang w:val="es-ES"/>
              </w:rPr>
            </w:pPr>
            <w:r w:rsidRPr="00993936">
              <w:rPr>
                <w:rFonts w:ascii="Arial" w:hAnsi="Arial" w:cs="Arial"/>
                <w:i/>
                <w:sz w:val="18"/>
                <w:lang w:val="es-ES"/>
              </w:rPr>
              <w:t>Phytoiulus persimilis</w:t>
            </w:r>
          </w:p>
          <w:p w:rsidR="00503A41" w:rsidRPr="00993936" w:rsidRDefault="00503A41" w:rsidP="000452B8">
            <w:pPr>
              <w:rPr>
                <w:rFonts w:ascii="Arial" w:hAnsi="Arial" w:cs="Arial"/>
                <w:i/>
                <w:sz w:val="18"/>
                <w:lang w:val="es-ES"/>
              </w:rPr>
            </w:pPr>
            <w:r w:rsidRPr="00993936">
              <w:rPr>
                <w:rFonts w:ascii="Arial" w:hAnsi="Arial" w:cs="Arial"/>
                <w:i/>
                <w:sz w:val="18"/>
                <w:lang w:val="es-ES"/>
              </w:rPr>
              <w:t>Macrolophus pygmaeus</w:t>
            </w:r>
          </w:p>
        </w:tc>
        <w:tc>
          <w:tcPr>
            <w:tcW w:w="2115" w:type="pct"/>
            <w:vAlign w:val="center"/>
          </w:tcPr>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Abamectina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Acrinatrín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Azadiractín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Clofentezina</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Etoxazol</w:t>
            </w:r>
          </w:p>
          <w:p w:rsidR="00503A41" w:rsidRPr="00993936" w:rsidRDefault="00503A41" w:rsidP="000452B8">
            <w:pPr>
              <w:pStyle w:val="texto"/>
              <w:spacing w:before="0" w:after="0"/>
              <w:ind w:firstLine="0"/>
              <w:jc w:val="left"/>
              <w:rPr>
                <w:rFonts w:ascii="Arial" w:eastAsia="Times New Roman" w:hAnsi="Arial" w:cs="Arial"/>
                <w:i/>
                <w:color w:val="auto"/>
                <w:sz w:val="16"/>
                <w:szCs w:val="16"/>
              </w:rPr>
            </w:pPr>
            <w:r w:rsidRPr="00993936">
              <w:rPr>
                <w:rFonts w:ascii="Arial" w:hAnsi="Arial" w:cs="Arial"/>
                <w:color w:val="auto"/>
                <w:sz w:val="18"/>
              </w:rPr>
              <w:t xml:space="preserve">Fenbutatina    </w:t>
            </w:r>
          </w:p>
          <w:p w:rsidR="00503A41" w:rsidRPr="00993936" w:rsidRDefault="00503A41" w:rsidP="000452B8">
            <w:pPr>
              <w:pStyle w:val="texto"/>
              <w:spacing w:before="0" w:after="0"/>
              <w:ind w:firstLine="0"/>
              <w:jc w:val="left"/>
              <w:rPr>
                <w:rFonts w:ascii="Arial" w:hAnsi="Arial" w:cs="Arial"/>
                <w:color w:val="auto"/>
                <w:sz w:val="18"/>
              </w:rPr>
            </w:pPr>
            <w:r w:rsidRPr="00993936">
              <w:rPr>
                <w:rFonts w:ascii="Arial" w:hAnsi="Arial" w:cs="Arial"/>
                <w:color w:val="auto"/>
                <w:sz w:val="18"/>
              </w:rPr>
              <w:t xml:space="preserve">Fenpiroximat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Aceite parafínico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Oxamilo </w:t>
            </w:r>
            <w:r w:rsidRPr="00993936">
              <w:rPr>
                <w:rFonts w:ascii="Arial" w:hAnsi="Arial" w:cs="Arial"/>
                <w:color w:val="auto"/>
                <w:sz w:val="18"/>
                <w:szCs w:val="18"/>
              </w:rPr>
              <w:t>(2)</w:t>
            </w:r>
          </w:p>
          <w:p w:rsidR="00503A41" w:rsidRPr="00993936" w:rsidRDefault="00503A41" w:rsidP="001D205D">
            <w:pPr>
              <w:pStyle w:val="Sinespaciado"/>
              <w:rPr>
                <w:rFonts w:ascii="Arial" w:hAnsi="Arial" w:cs="Arial"/>
                <w:sz w:val="18"/>
                <w:lang w:val="es-ES"/>
              </w:rPr>
            </w:pPr>
            <w:r w:rsidRPr="00993936">
              <w:rPr>
                <w:rFonts w:ascii="Arial" w:hAnsi="Arial" w:cs="Arial"/>
                <w:lang w:val="es-ES"/>
              </w:rPr>
              <w:t xml:space="preserve">Azufre </w:t>
            </w:r>
          </w:p>
          <w:p w:rsidR="00503A41" w:rsidRPr="00993936" w:rsidRDefault="00503A41" w:rsidP="001D205D">
            <w:pPr>
              <w:pStyle w:val="Sinespaciado"/>
              <w:rPr>
                <w:rFonts w:ascii="Arial" w:hAnsi="Arial" w:cs="Arial"/>
                <w:sz w:val="18"/>
              </w:rPr>
            </w:pPr>
            <w:r w:rsidRPr="00993936">
              <w:rPr>
                <w:rFonts w:ascii="Arial" w:hAnsi="Arial" w:cs="Arial"/>
                <w:sz w:val="18"/>
              </w:rPr>
              <w:t>Espiromesifén</w:t>
            </w:r>
          </w:p>
          <w:p w:rsidR="00503A41" w:rsidRPr="00993936" w:rsidRDefault="00503A41" w:rsidP="001D205D">
            <w:pPr>
              <w:pStyle w:val="Sinespaciado"/>
              <w:rPr>
                <w:rFonts w:ascii="Arial" w:hAnsi="Arial" w:cs="Arial"/>
              </w:rPr>
            </w:pPr>
            <w:r w:rsidRPr="00993936">
              <w:rPr>
                <w:rFonts w:ascii="Arial" w:hAnsi="Arial" w:cs="Arial"/>
                <w:sz w:val="18"/>
              </w:rPr>
              <w:t xml:space="preserve">Tebufenpirad </w:t>
            </w:r>
          </w:p>
        </w:tc>
      </w:tr>
    </w:tbl>
    <w:p w:rsidR="00503A41" w:rsidRPr="00993936" w:rsidRDefault="00503A41" w:rsidP="000452B8">
      <w:pPr>
        <w:pStyle w:val="Ttulo7"/>
        <w:rPr>
          <w:rFonts w:ascii="Arial" w:hAnsi="Arial" w:cs="Arial"/>
          <w:color w:val="auto"/>
          <w:lang w:val="es-ES"/>
        </w:rPr>
      </w:pPr>
    </w:p>
    <w:p w:rsidR="00503A41" w:rsidRPr="00993936" w:rsidRDefault="00503A41" w:rsidP="000452B8">
      <w:pPr>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1.1: Insecticidas, acaricidas y nematicides (continuación)</w:t>
      </w:r>
    </w:p>
    <w:p w:rsidR="00503A41" w:rsidRPr="00993936" w:rsidRDefault="00503A41">
      <w:pPr>
        <w:rPr>
          <w:rFonts w:ascii="Arial" w:hAnsi="Arial" w:cs="Arial"/>
          <w:lang w:val="es-ES"/>
        </w:rPr>
      </w:pP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94"/>
        <w:gridCol w:w="2794"/>
        <w:gridCol w:w="3656"/>
      </w:tblGrid>
      <w:tr w:rsidR="00503A41" w:rsidRPr="00993936" w:rsidTr="000452B8">
        <w:trPr>
          <w:cantSplit/>
          <w:jc w:val="center"/>
        </w:trPr>
        <w:tc>
          <w:tcPr>
            <w:tcW w:w="1269" w:type="pct"/>
            <w:vAlign w:val="center"/>
          </w:tcPr>
          <w:p w:rsidR="00503A41" w:rsidRPr="00993936" w:rsidRDefault="00503A41">
            <w:pPr>
              <w:rPr>
                <w:rFonts w:ascii="Arial" w:hAnsi="Arial" w:cs="Arial"/>
                <w:sz w:val="18"/>
                <w:lang w:val="es-ES"/>
              </w:rPr>
            </w:pPr>
            <w:r w:rsidRPr="00993936">
              <w:rPr>
                <w:rFonts w:ascii="Arial" w:hAnsi="Arial" w:cs="Arial"/>
                <w:b/>
                <w:sz w:val="18"/>
                <w:lang w:val="es-ES"/>
              </w:rPr>
              <w:t xml:space="preserve">Trips </w:t>
            </w:r>
          </w:p>
          <w:p w:rsidR="00503A41" w:rsidRPr="00993936" w:rsidRDefault="00503A41">
            <w:pPr>
              <w:rPr>
                <w:rFonts w:ascii="Arial" w:hAnsi="Arial" w:cs="Arial"/>
                <w:sz w:val="18"/>
                <w:lang w:val="es-ES"/>
              </w:rPr>
            </w:pPr>
            <w:r w:rsidRPr="00993936">
              <w:rPr>
                <w:rFonts w:ascii="Arial" w:hAnsi="Arial" w:cs="Arial"/>
                <w:i/>
                <w:sz w:val="18"/>
                <w:lang w:val="es-ES"/>
              </w:rPr>
              <w:t>Frankliniella occidentalis</w:t>
            </w:r>
          </w:p>
        </w:tc>
        <w:tc>
          <w:tcPr>
            <w:tcW w:w="1616" w:type="pct"/>
            <w:vAlign w:val="center"/>
          </w:tcPr>
          <w:p w:rsidR="00503A41" w:rsidRPr="00993936" w:rsidRDefault="00503A41">
            <w:pPr>
              <w:rPr>
                <w:rFonts w:ascii="Arial" w:hAnsi="Arial" w:cs="Arial"/>
                <w:sz w:val="18"/>
                <w:lang w:val="es-ES"/>
              </w:rPr>
            </w:pPr>
            <w:r w:rsidRPr="00993936">
              <w:rPr>
                <w:rFonts w:ascii="Arial" w:hAnsi="Arial" w:cs="Arial"/>
                <w:i/>
                <w:sz w:val="18"/>
                <w:lang w:val="es-ES"/>
              </w:rPr>
              <w:t>Macrolophus pygmaeus</w:t>
            </w:r>
          </w:p>
        </w:tc>
        <w:tc>
          <w:tcPr>
            <w:tcW w:w="2115" w:type="pct"/>
            <w:vAlign w:val="center"/>
          </w:tcPr>
          <w:p w:rsidR="00503A41" w:rsidRPr="00993936" w:rsidRDefault="00503A41" w:rsidP="000452B8">
            <w:pPr>
              <w:pStyle w:val="texto"/>
              <w:spacing w:before="0" w:after="0"/>
              <w:ind w:firstLine="0"/>
              <w:jc w:val="left"/>
              <w:rPr>
                <w:rFonts w:ascii="Arial" w:hAnsi="Arial" w:cs="Arial"/>
                <w:color w:val="auto"/>
                <w:sz w:val="18"/>
              </w:rPr>
            </w:pPr>
            <w:r w:rsidRPr="00993936">
              <w:rPr>
                <w:rFonts w:ascii="Arial" w:hAnsi="Arial" w:cs="Arial"/>
                <w:color w:val="auto"/>
                <w:sz w:val="18"/>
              </w:rPr>
              <w:t xml:space="preserve">Acrinatrín  </w:t>
            </w:r>
            <w:r w:rsidRPr="00993936">
              <w:rPr>
                <w:rFonts w:ascii="Arial" w:hAnsi="Arial" w:cs="Arial"/>
                <w:i/>
                <w:color w:val="auto"/>
                <w:sz w:val="16"/>
                <w:szCs w:val="16"/>
              </w:rPr>
              <w:t xml:space="preserve"> </w:t>
            </w:r>
          </w:p>
          <w:p w:rsidR="00503A41" w:rsidRPr="00993936" w:rsidRDefault="00503A41" w:rsidP="000452B8">
            <w:pPr>
              <w:pStyle w:val="texto"/>
              <w:spacing w:before="0" w:after="0"/>
              <w:ind w:firstLine="0"/>
              <w:jc w:val="left"/>
              <w:rPr>
                <w:rFonts w:ascii="Arial" w:hAnsi="Arial" w:cs="Arial"/>
                <w:color w:val="auto"/>
                <w:sz w:val="18"/>
                <w:szCs w:val="18"/>
              </w:rPr>
            </w:pPr>
            <w:r w:rsidRPr="00993936">
              <w:rPr>
                <w:rFonts w:ascii="Arial" w:hAnsi="Arial" w:cs="Arial"/>
                <w:color w:val="auto"/>
                <w:sz w:val="18"/>
              </w:rPr>
              <w:t>Azadiractín</w:t>
            </w:r>
            <w:r w:rsidRPr="00993936">
              <w:rPr>
                <w:rFonts w:ascii="Arial" w:hAnsi="Arial" w:cs="Arial"/>
                <w:color w:val="auto"/>
                <w:sz w:val="18"/>
                <w:szCs w:val="18"/>
              </w:rPr>
              <w:t xml:space="preserve"> </w:t>
            </w:r>
          </w:p>
          <w:p w:rsidR="00503A41" w:rsidRPr="00993936" w:rsidRDefault="00503A41" w:rsidP="000452B8">
            <w:pPr>
              <w:pStyle w:val="texto"/>
              <w:spacing w:before="0" w:after="0"/>
              <w:ind w:firstLine="0"/>
              <w:jc w:val="left"/>
              <w:rPr>
                <w:rFonts w:ascii="Arial" w:hAnsi="Arial" w:cs="Arial"/>
                <w:color w:val="auto"/>
                <w:sz w:val="18"/>
              </w:rPr>
            </w:pPr>
            <w:r w:rsidRPr="00993936">
              <w:rPr>
                <w:rFonts w:ascii="Arial" w:hAnsi="Arial" w:cs="Arial"/>
                <w:color w:val="auto"/>
                <w:sz w:val="18"/>
              </w:rPr>
              <w:t>Cipermetrín</w:t>
            </w:r>
          </w:p>
          <w:p w:rsidR="00503A41" w:rsidRPr="00993936" w:rsidRDefault="00503A41" w:rsidP="000452B8">
            <w:pPr>
              <w:pStyle w:val="texto"/>
              <w:spacing w:before="0" w:after="0"/>
              <w:ind w:firstLine="0"/>
              <w:jc w:val="left"/>
              <w:rPr>
                <w:rFonts w:ascii="Arial" w:hAnsi="Arial" w:cs="Arial"/>
                <w:color w:val="auto"/>
                <w:sz w:val="18"/>
              </w:rPr>
            </w:pPr>
            <w:r w:rsidRPr="00993936">
              <w:rPr>
                <w:rFonts w:ascii="Arial" w:hAnsi="Arial" w:cs="Arial"/>
                <w:color w:val="auto"/>
                <w:sz w:val="18"/>
              </w:rPr>
              <w:t>Cipermetrín + Metil-tiofanato</w:t>
            </w:r>
          </w:p>
          <w:p w:rsidR="00503A41" w:rsidRPr="00993936" w:rsidRDefault="00503A41" w:rsidP="000452B8">
            <w:pPr>
              <w:pStyle w:val="texto"/>
              <w:spacing w:before="0" w:after="0"/>
              <w:ind w:firstLine="0"/>
              <w:jc w:val="left"/>
              <w:rPr>
                <w:rFonts w:ascii="Arial" w:hAnsi="Arial" w:cs="Arial"/>
                <w:color w:val="auto"/>
                <w:sz w:val="18"/>
              </w:rPr>
            </w:pPr>
            <w:r w:rsidRPr="00993936">
              <w:rPr>
                <w:rFonts w:ascii="Arial" w:hAnsi="Arial" w:cs="Arial"/>
                <w:color w:val="auto"/>
                <w:sz w:val="18"/>
              </w:rPr>
              <w:t xml:space="preserve">Deltametrín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Lufenurón</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Metil-Clorpirifos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Metiocarb </w:t>
            </w:r>
            <w:r w:rsidRPr="00993936">
              <w:rPr>
                <w:rFonts w:ascii="Arial" w:hAnsi="Arial" w:cs="Arial"/>
                <w:color w:val="auto"/>
                <w:sz w:val="18"/>
                <w:szCs w:val="18"/>
              </w:rPr>
              <w:t>(2)</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Aceite parafínico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Oxamilo </w:t>
            </w:r>
            <w:r w:rsidRPr="00993936">
              <w:rPr>
                <w:rFonts w:ascii="Arial" w:hAnsi="Arial" w:cs="Arial"/>
                <w:color w:val="auto"/>
                <w:sz w:val="18"/>
                <w:szCs w:val="18"/>
              </w:rPr>
              <w:t>(2)</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Piretrinas</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Sofre+ Cipermetrín   </w:t>
            </w:r>
          </w:p>
          <w:p w:rsidR="00503A41" w:rsidRPr="00993936" w:rsidRDefault="00503A41">
            <w:pPr>
              <w:pStyle w:val="texto"/>
              <w:spacing w:before="0" w:after="0"/>
              <w:ind w:firstLine="0"/>
              <w:rPr>
                <w:rFonts w:ascii="Arial" w:hAnsi="Arial" w:cs="Arial"/>
                <w:color w:val="auto"/>
                <w:sz w:val="18"/>
              </w:rPr>
            </w:pPr>
            <w:r w:rsidRPr="00993936">
              <w:rPr>
                <w:rFonts w:ascii="Arial" w:hAnsi="Arial" w:cs="Arial"/>
                <w:color w:val="auto"/>
                <w:sz w:val="18"/>
              </w:rPr>
              <w:t xml:space="preserve">Espinosad   </w:t>
            </w:r>
          </w:p>
          <w:p w:rsidR="00503A41" w:rsidRPr="00993936" w:rsidRDefault="00503A41">
            <w:pPr>
              <w:rPr>
                <w:rFonts w:ascii="Arial" w:hAnsi="Arial" w:cs="Arial"/>
                <w:sz w:val="18"/>
                <w:lang w:val="es-ES"/>
              </w:rPr>
            </w:pPr>
            <w:r w:rsidRPr="00993936">
              <w:rPr>
                <w:rFonts w:ascii="Arial" w:hAnsi="Arial" w:cs="Arial"/>
                <w:sz w:val="18"/>
                <w:lang w:val="es-ES"/>
              </w:rPr>
              <w:t xml:space="preserve">Tau-fluvalinat </w:t>
            </w:r>
            <w:r w:rsidRPr="00993936">
              <w:rPr>
                <w:rFonts w:ascii="Arial" w:hAnsi="Arial" w:cs="Arial"/>
                <w:sz w:val="18"/>
                <w:szCs w:val="18"/>
                <w:lang w:val="es-ES"/>
              </w:rPr>
              <w:t>(4)</w:t>
            </w:r>
          </w:p>
        </w:tc>
      </w:tr>
      <w:tr w:rsidR="00503A41" w:rsidRPr="00993936" w:rsidTr="000452B8">
        <w:trPr>
          <w:cantSplit/>
          <w:jc w:val="center"/>
        </w:trPr>
        <w:tc>
          <w:tcPr>
            <w:tcW w:w="1269" w:type="pct"/>
            <w:vAlign w:val="center"/>
          </w:tcPr>
          <w:p w:rsidR="00503A41" w:rsidRPr="00993936" w:rsidRDefault="00503A41">
            <w:pPr>
              <w:rPr>
                <w:rFonts w:ascii="Arial" w:hAnsi="Arial" w:cs="Arial"/>
                <w:sz w:val="18"/>
                <w:lang w:val="es-ES"/>
              </w:rPr>
            </w:pPr>
            <w:r w:rsidRPr="00993936">
              <w:rPr>
                <w:rFonts w:ascii="Arial" w:hAnsi="Arial" w:cs="Arial"/>
                <w:b/>
                <w:sz w:val="18"/>
                <w:lang w:val="es-ES"/>
              </w:rPr>
              <w:t>Escarabajo de la patata</w:t>
            </w:r>
            <w:r w:rsidRPr="00993936">
              <w:rPr>
                <w:rFonts w:ascii="Arial" w:hAnsi="Arial" w:cs="Arial"/>
                <w:sz w:val="18"/>
                <w:lang w:val="es-ES"/>
              </w:rPr>
              <w:t xml:space="preserve"> </w:t>
            </w:r>
            <w:r w:rsidRPr="00993936">
              <w:rPr>
                <w:rFonts w:ascii="Arial" w:hAnsi="Arial" w:cs="Arial"/>
                <w:i/>
                <w:sz w:val="18"/>
                <w:lang w:val="es-ES"/>
              </w:rPr>
              <w:t>Leptinotarsa decemlineata</w:t>
            </w:r>
          </w:p>
        </w:tc>
        <w:tc>
          <w:tcPr>
            <w:tcW w:w="1616" w:type="pct"/>
            <w:vAlign w:val="center"/>
          </w:tcPr>
          <w:p w:rsidR="00503A41" w:rsidRPr="00993936" w:rsidRDefault="00503A41">
            <w:pPr>
              <w:rPr>
                <w:rFonts w:ascii="Arial" w:hAnsi="Arial" w:cs="Arial"/>
                <w:sz w:val="18"/>
                <w:lang w:val="es-ES"/>
              </w:rPr>
            </w:pPr>
          </w:p>
        </w:tc>
        <w:tc>
          <w:tcPr>
            <w:tcW w:w="2115" w:type="pct"/>
            <w:vAlign w:val="center"/>
          </w:tcPr>
          <w:p w:rsidR="00503A41" w:rsidRPr="00993936" w:rsidRDefault="00503A41" w:rsidP="000452B8">
            <w:pPr>
              <w:pStyle w:val="texto"/>
              <w:spacing w:before="0" w:after="0"/>
              <w:ind w:firstLine="0"/>
              <w:rPr>
                <w:rFonts w:ascii="Arial" w:hAnsi="Arial" w:cs="Arial"/>
                <w:color w:val="auto"/>
                <w:sz w:val="18"/>
              </w:rPr>
            </w:pPr>
            <w:r w:rsidRPr="00993936">
              <w:rPr>
                <w:rFonts w:ascii="Arial" w:hAnsi="Arial" w:cs="Arial"/>
                <w:color w:val="auto"/>
                <w:sz w:val="18"/>
              </w:rPr>
              <w:t>Lambda-cihalotrín</w:t>
            </w:r>
          </w:p>
          <w:p w:rsidR="00503A41" w:rsidRPr="00993936" w:rsidRDefault="00503A41" w:rsidP="000452B8">
            <w:pPr>
              <w:pStyle w:val="texto"/>
              <w:spacing w:before="0" w:after="0"/>
              <w:ind w:firstLine="0"/>
              <w:rPr>
                <w:rFonts w:ascii="Arial" w:hAnsi="Arial" w:cs="Arial"/>
                <w:color w:val="auto"/>
                <w:sz w:val="18"/>
              </w:rPr>
            </w:pPr>
            <w:r w:rsidRPr="00993936">
              <w:rPr>
                <w:rFonts w:ascii="Arial" w:hAnsi="Arial" w:cs="Arial"/>
                <w:color w:val="auto"/>
                <w:sz w:val="18"/>
              </w:rPr>
              <w:t>Piretrinas</w:t>
            </w:r>
          </w:p>
        </w:tc>
      </w:tr>
      <w:tr w:rsidR="00503A41" w:rsidRPr="00993936" w:rsidTr="000452B8">
        <w:trPr>
          <w:cantSplit/>
          <w:jc w:val="center"/>
        </w:trPr>
        <w:tc>
          <w:tcPr>
            <w:tcW w:w="1269" w:type="pct"/>
            <w:vAlign w:val="center"/>
          </w:tcPr>
          <w:p w:rsidR="00503A41" w:rsidRPr="00993936" w:rsidRDefault="00503A41">
            <w:pPr>
              <w:rPr>
                <w:rFonts w:ascii="Arial" w:hAnsi="Arial" w:cs="Arial"/>
                <w:b/>
                <w:sz w:val="18"/>
                <w:szCs w:val="18"/>
                <w:lang w:val="es-ES"/>
              </w:rPr>
            </w:pPr>
            <w:r w:rsidRPr="00993936">
              <w:rPr>
                <w:rFonts w:ascii="Arial" w:hAnsi="Arial" w:cs="Arial"/>
                <w:b/>
                <w:sz w:val="18"/>
                <w:szCs w:val="18"/>
                <w:lang w:val="es-ES"/>
              </w:rPr>
              <w:t xml:space="preserve">Nemátodos </w:t>
            </w:r>
          </w:p>
        </w:tc>
        <w:tc>
          <w:tcPr>
            <w:tcW w:w="1616" w:type="pct"/>
            <w:vAlign w:val="center"/>
          </w:tcPr>
          <w:p w:rsidR="00503A41" w:rsidRPr="00993936" w:rsidRDefault="00503A41">
            <w:pPr>
              <w:rPr>
                <w:rFonts w:ascii="Arial" w:hAnsi="Arial" w:cs="Arial"/>
                <w:sz w:val="16"/>
                <w:lang w:val="es-ES"/>
              </w:rPr>
            </w:pPr>
          </w:p>
        </w:tc>
        <w:tc>
          <w:tcPr>
            <w:tcW w:w="2115" w:type="pct"/>
            <w:vAlign w:val="center"/>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Etoprofós  </w:t>
            </w:r>
            <w:r w:rsidRPr="00993936">
              <w:rPr>
                <w:rFonts w:ascii="Arial" w:hAnsi="Arial" w:cs="Arial"/>
                <w:sz w:val="18"/>
                <w:szCs w:val="18"/>
                <w:lang w:val="es-ES"/>
              </w:rPr>
              <w:t>(2)</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Fenamifós</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Fortiazat</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Metam-potassi</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Metam-sodi</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Oxamilo </w:t>
            </w:r>
            <w:r w:rsidRPr="00993936">
              <w:rPr>
                <w:rFonts w:ascii="Arial" w:hAnsi="Arial" w:cs="Arial"/>
                <w:sz w:val="18"/>
                <w:szCs w:val="18"/>
                <w:lang w:val="es-ES"/>
              </w:rPr>
              <w:t>(2)</w:t>
            </w:r>
          </w:p>
        </w:tc>
      </w:tr>
    </w:tbl>
    <w:p w:rsidR="00503A41" w:rsidRPr="00993936" w:rsidRDefault="00503A41">
      <w:pPr>
        <w:widowControl w:val="0"/>
        <w:rPr>
          <w:rFonts w:ascii="Arial" w:hAnsi="Arial" w:cs="Arial"/>
          <w:b/>
          <w:lang w:val="es-ES"/>
        </w:rPr>
      </w:pPr>
    </w:p>
    <w:p w:rsidR="00503A41" w:rsidRPr="00993936" w:rsidRDefault="00503A41">
      <w:pPr>
        <w:widowControl w:val="0"/>
        <w:rPr>
          <w:rFonts w:ascii="Arial" w:hAnsi="Arial" w:cs="Arial"/>
          <w:snapToGrid w:val="0"/>
          <w:sz w:val="20"/>
          <w:lang w:val="es-ES" w:eastAsia="es-ES"/>
        </w:rPr>
      </w:pPr>
    </w:p>
    <w:p w:rsidR="00503A41" w:rsidRPr="00993936" w:rsidRDefault="00503A41">
      <w:pPr>
        <w:widowControl w:val="0"/>
        <w:rPr>
          <w:rFonts w:ascii="Arial" w:hAnsi="Arial" w:cs="Arial"/>
          <w:snapToGrid w:val="0"/>
          <w:sz w:val="20"/>
          <w:lang w:val="es-ES" w:eastAsia="es-ES"/>
        </w:rPr>
      </w:pPr>
    </w:p>
    <w:p w:rsidR="00503A41" w:rsidRPr="00993936" w:rsidRDefault="00503A41">
      <w:pPr>
        <w:widowControl w:val="0"/>
        <w:rPr>
          <w:rFonts w:ascii="Arial" w:hAnsi="Arial" w:cs="Arial"/>
          <w:b/>
          <w:lang w:val="es-ES"/>
        </w:rPr>
      </w:pPr>
      <w:r w:rsidRPr="00993936">
        <w:rPr>
          <w:rFonts w:ascii="Arial" w:hAnsi="Arial" w:cs="Arial"/>
          <w:b/>
          <w:snapToGrid w:val="0"/>
          <w:lang w:val="es-ES" w:eastAsia="es-ES"/>
        </w:rPr>
        <w:br w:type="page"/>
      </w:r>
      <w:r w:rsidRPr="00993936">
        <w:rPr>
          <w:rFonts w:ascii="Arial" w:hAnsi="Arial" w:cs="Arial"/>
          <w:b/>
          <w:snapToGrid w:val="0"/>
          <w:lang w:val="es-ES" w:eastAsia="es-ES"/>
        </w:rPr>
        <w:lastRenderedPageBreak/>
        <w:t xml:space="preserve">1.2: </w:t>
      </w:r>
      <w:r w:rsidRPr="00993936">
        <w:rPr>
          <w:rFonts w:ascii="Arial" w:hAnsi="Arial" w:cs="Arial"/>
          <w:b/>
          <w:lang w:val="es-ES"/>
        </w:rPr>
        <w:t>Productos fungicidas.</w:t>
      </w:r>
    </w:p>
    <w:p w:rsidR="00503A41" w:rsidRPr="00993936" w:rsidRDefault="00503A41" w:rsidP="000452B8">
      <w:pPr>
        <w:widowControl w:val="0"/>
        <w:rPr>
          <w:rFonts w:ascii="Arial" w:hAnsi="Arial"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trPr>
          <w:cantSplit/>
          <w:trHeight w:val="240"/>
          <w:tblHeader/>
          <w:jc w:val="center"/>
        </w:trPr>
        <w:tc>
          <w:tcPr>
            <w:tcW w:w="3544" w:type="dxa"/>
            <w:tcBorders>
              <w:top w:val="single" w:sz="4" w:space="0" w:color="auto"/>
            </w:tcBorders>
            <w:shd w:val="pct15" w:color="auto" w:fill="FFFFFF"/>
          </w:tcPr>
          <w:p w:rsidR="00503A41" w:rsidRPr="00993936" w:rsidRDefault="00503A41">
            <w:pPr>
              <w:jc w:val="center"/>
              <w:rPr>
                <w:rFonts w:ascii="Arial" w:hAnsi="Arial" w:cs="Arial"/>
                <w:b/>
                <w:sz w:val="18"/>
                <w:lang w:val="es-ES"/>
              </w:rPr>
            </w:pPr>
            <w:r w:rsidRPr="00993936">
              <w:rPr>
                <w:rFonts w:ascii="Arial" w:hAnsi="Arial" w:cs="Arial"/>
                <w:b/>
                <w:sz w:val="18"/>
                <w:lang w:val="es-ES"/>
              </w:rPr>
              <w:t>Plaga/enfermedad</w:t>
            </w:r>
          </w:p>
        </w:tc>
        <w:tc>
          <w:tcPr>
            <w:tcW w:w="5440" w:type="dxa"/>
            <w:tcBorders>
              <w:top w:val="single" w:sz="4" w:space="0" w:color="auto"/>
            </w:tcBorders>
            <w:shd w:val="pct15" w:color="auto" w:fill="FFFFFF"/>
          </w:tcPr>
          <w:p w:rsidR="00503A41" w:rsidRPr="00993936" w:rsidRDefault="00503A41">
            <w:pPr>
              <w:pStyle w:val="Ttulo1"/>
              <w:jc w:val="center"/>
              <w:rPr>
                <w:rFonts w:ascii="Arial" w:hAnsi="Arial" w:cs="Arial"/>
                <w:b/>
                <w:color w:val="auto"/>
                <w:sz w:val="18"/>
              </w:rPr>
            </w:pPr>
            <w:r w:rsidRPr="00993936">
              <w:rPr>
                <w:rFonts w:ascii="Arial" w:hAnsi="Arial" w:cs="Arial"/>
                <w:b/>
                <w:color w:val="auto"/>
                <w:sz w:val="18"/>
              </w:rPr>
              <w:t>Materias Activas</w:t>
            </w:r>
          </w:p>
        </w:tc>
      </w:tr>
      <w:tr w:rsidR="00503A41" w:rsidRPr="00993936">
        <w:trPr>
          <w:cantSplit/>
          <w:trHeight w:val="240"/>
          <w:jc w:val="center"/>
        </w:trPr>
        <w:tc>
          <w:tcPr>
            <w:tcW w:w="3544" w:type="dxa"/>
            <w:vAlign w:val="center"/>
          </w:tcPr>
          <w:p w:rsidR="00503A41" w:rsidRPr="00993936" w:rsidRDefault="00503A41">
            <w:pPr>
              <w:rPr>
                <w:rFonts w:ascii="Arial" w:hAnsi="Arial" w:cs="Arial"/>
                <w:sz w:val="18"/>
                <w:szCs w:val="18"/>
                <w:lang w:val="es-ES"/>
              </w:rPr>
            </w:pPr>
            <w:r w:rsidRPr="00993936">
              <w:rPr>
                <w:rFonts w:ascii="Arial" w:hAnsi="Arial" w:cs="Arial"/>
                <w:b/>
                <w:sz w:val="18"/>
                <w:szCs w:val="18"/>
                <w:lang w:val="es-ES"/>
              </w:rPr>
              <w:t xml:space="preserve">Mildiu </w:t>
            </w:r>
          </w:p>
          <w:p w:rsidR="00503A41" w:rsidRPr="00993936" w:rsidRDefault="00503A41">
            <w:pPr>
              <w:rPr>
                <w:rFonts w:ascii="Arial" w:hAnsi="Arial" w:cs="Arial"/>
                <w:sz w:val="18"/>
                <w:szCs w:val="18"/>
                <w:lang w:val="es-ES"/>
              </w:rPr>
            </w:pPr>
            <w:r w:rsidRPr="00993936">
              <w:rPr>
                <w:rFonts w:ascii="Arial" w:hAnsi="Arial" w:cs="Arial"/>
                <w:i/>
                <w:sz w:val="18"/>
                <w:szCs w:val="18"/>
                <w:lang w:val="es-ES"/>
              </w:rPr>
              <w:t>Phytophthora infestans</w:t>
            </w:r>
          </w:p>
        </w:tc>
        <w:tc>
          <w:tcPr>
            <w:tcW w:w="5440" w:type="dxa"/>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Ametoctradín + Dimetomorf</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Azoxistrobín</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Benalaxil + Cimoxanilo + Mancozeb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Benalaxil + Mancozeb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Benalaxil + Oxicloruro de cobre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Benalaxil-M + Mancozeb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Bentiavalicarb isopropil + Mancozeb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Captan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Ciazofamida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Cimoxanilo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Cimoxanilo + Famoxadona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Cimoxanilo + Folpet + Fosetil-al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Cimoxanilo + Fosetil-al+ Mancozeb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Cimoxanilo + Mancozeb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Cimoxanilo + Mancozeb + Oxicloruro de cobre</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Cimoxanilo + Oxicloruro de cobre + Sulfato cuprocálcico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Cimoxanilo + Sulfato cuprocálcico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Clortalonil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Dimetomorf + Mancozeb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Dimetomorf + Piraclostrobín</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Famoxadona + Mancozeb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Hidróxido cúprico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Mancozeb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Mancozeb + Metalaxil-M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Mandipropamida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Maneb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Oxicloruro de cobre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Óxido cuproso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Propineb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Sulfato cuprocálcico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Sulfato de cobre</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Sulfato tribásico de cobre</w:t>
            </w:r>
          </w:p>
        </w:tc>
      </w:tr>
      <w:tr w:rsidR="00503A41" w:rsidRPr="00993936">
        <w:trPr>
          <w:cantSplit/>
          <w:trHeight w:val="240"/>
          <w:jc w:val="center"/>
        </w:trPr>
        <w:tc>
          <w:tcPr>
            <w:tcW w:w="3544" w:type="dxa"/>
            <w:vAlign w:val="center"/>
          </w:tcPr>
          <w:p w:rsidR="00503A41" w:rsidRPr="00993936" w:rsidRDefault="00503A41">
            <w:pPr>
              <w:rPr>
                <w:rFonts w:ascii="Arial" w:hAnsi="Arial" w:cs="Arial"/>
                <w:sz w:val="18"/>
                <w:szCs w:val="18"/>
                <w:lang w:val="es-ES"/>
              </w:rPr>
            </w:pPr>
            <w:r w:rsidRPr="00993936">
              <w:rPr>
                <w:rFonts w:ascii="Arial" w:hAnsi="Arial" w:cs="Arial"/>
                <w:b/>
                <w:sz w:val="18"/>
                <w:szCs w:val="18"/>
                <w:lang w:val="es-ES"/>
              </w:rPr>
              <w:t>Podredumbres de cuello</w:t>
            </w:r>
            <w:r w:rsidRPr="00993936">
              <w:rPr>
                <w:rFonts w:ascii="Arial" w:hAnsi="Arial" w:cs="Arial"/>
                <w:b/>
                <w:vanish/>
                <w:sz w:val="18"/>
                <w:szCs w:val="18"/>
                <w:lang w:val="es-ES"/>
              </w:rPr>
              <w:t>&lt;A[cuello|garganta]&gt;</w:t>
            </w:r>
            <w:r w:rsidRPr="00993936">
              <w:rPr>
                <w:rFonts w:ascii="Arial" w:hAnsi="Arial" w:cs="Arial"/>
                <w:b/>
                <w:sz w:val="18"/>
                <w:szCs w:val="18"/>
                <w:lang w:val="es-ES"/>
              </w:rPr>
              <w:t xml:space="preserve"> y raíz</w:t>
            </w:r>
          </w:p>
          <w:p w:rsidR="00503A41" w:rsidRPr="00993936" w:rsidRDefault="00503A41">
            <w:pPr>
              <w:rPr>
                <w:rFonts w:ascii="Arial" w:hAnsi="Arial" w:cs="Arial"/>
                <w:sz w:val="18"/>
                <w:szCs w:val="18"/>
                <w:lang w:val="es-ES"/>
              </w:rPr>
            </w:pPr>
            <w:r w:rsidRPr="00993936">
              <w:rPr>
                <w:rFonts w:ascii="Arial" w:hAnsi="Arial" w:cs="Arial"/>
                <w:i/>
                <w:sz w:val="18"/>
                <w:szCs w:val="18"/>
                <w:lang w:val="es-ES"/>
              </w:rPr>
              <w:t>Phytophthora</w:t>
            </w:r>
            <w:r w:rsidRPr="00993936">
              <w:rPr>
                <w:rFonts w:ascii="Arial" w:hAnsi="Arial" w:cs="Arial"/>
                <w:sz w:val="18"/>
                <w:szCs w:val="18"/>
                <w:lang w:val="es-ES"/>
              </w:rPr>
              <w:t xml:space="preserve"> sp., </w:t>
            </w:r>
            <w:r w:rsidRPr="00993936">
              <w:rPr>
                <w:rFonts w:ascii="Arial" w:hAnsi="Arial" w:cs="Arial"/>
                <w:i/>
                <w:sz w:val="18"/>
                <w:szCs w:val="18"/>
                <w:lang w:val="es-ES"/>
              </w:rPr>
              <w:t>Rhizoctonia solani</w:t>
            </w:r>
          </w:p>
        </w:tc>
        <w:tc>
          <w:tcPr>
            <w:tcW w:w="5440" w:type="dxa"/>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Etridiazol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Propamocarb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Pencicurón (</w:t>
            </w:r>
            <w:r w:rsidRPr="00993936">
              <w:rPr>
                <w:rFonts w:ascii="Arial" w:hAnsi="Arial" w:cs="Arial"/>
                <w:i/>
                <w:sz w:val="18"/>
                <w:lang w:val="es-ES"/>
              </w:rPr>
              <w:t>Rhizoctonia</w:t>
            </w:r>
            <w:r w:rsidRPr="00993936">
              <w:rPr>
                <w:rFonts w:ascii="Arial" w:hAnsi="Arial" w:cs="Arial"/>
                <w:sz w:val="18"/>
                <w:lang w:val="es-ES"/>
              </w:rPr>
              <w:t xml:space="preserve">) </w:t>
            </w:r>
          </w:p>
          <w:p w:rsidR="00503A41" w:rsidRPr="00993936" w:rsidRDefault="00503A41" w:rsidP="001D205D">
            <w:pPr>
              <w:pStyle w:val="Sinespaciado"/>
              <w:rPr>
                <w:rFonts w:ascii="Arial" w:hAnsi="Arial" w:cs="Arial"/>
                <w:i/>
                <w:lang w:val="es-ES"/>
              </w:rPr>
            </w:pPr>
            <w:r w:rsidRPr="00993936">
              <w:rPr>
                <w:rFonts w:ascii="Arial" w:hAnsi="Arial" w:cs="Arial"/>
                <w:i/>
                <w:sz w:val="18"/>
                <w:lang w:val="es-ES"/>
              </w:rPr>
              <w:t>Trichoderma sp</w:t>
            </w:r>
          </w:p>
        </w:tc>
      </w:tr>
    </w:tbl>
    <w:p w:rsidR="00503A41" w:rsidRPr="00993936" w:rsidRDefault="00503A41" w:rsidP="000452B8">
      <w:pPr>
        <w:widowControl w:val="0"/>
        <w:rPr>
          <w:rFonts w:ascii="Arial" w:hAnsi="Arial" w:cs="Arial"/>
          <w:b/>
          <w:snapToGrid w:val="0"/>
          <w:lang w:val="es-ES" w:eastAsia="es-ES"/>
        </w:rPr>
      </w:pPr>
    </w:p>
    <w:p w:rsidR="00503A41" w:rsidRPr="00993936" w:rsidRDefault="00503A41" w:rsidP="000452B8">
      <w:pPr>
        <w:widowControl w:val="0"/>
        <w:rPr>
          <w:rFonts w:ascii="Arial" w:hAnsi="Arial" w:cs="Arial"/>
          <w:b/>
          <w:lang w:val="es-ES"/>
        </w:rPr>
      </w:pPr>
      <w:r w:rsidRPr="00993936">
        <w:rPr>
          <w:rFonts w:ascii="Arial" w:hAnsi="Arial" w:cs="Arial"/>
          <w:b/>
          <w:snapToGrid w:val="0"/>
          <w:lang w:val="es-ES" w:eastAsia="es-ES"/>
        </w:rPr>
        <w:br w:type="page"/>
      </w:r>
      <w:r w:rsidRPr="00993936">
        <w:rPr>
          <w:rFonts w:ascii="Arial" w:hAnsi="Arial" w:cs="Arial"/>
          <w:b/>
          <w:snapToGrid w:val="0"/>
          <w:lang w:val="es-ES" w:eastAsia="es-ES"/>
        </w:rPr>
        <w:lastRenderedPageBreak/>
        <w:t xml:space="preserve">1.2: </w:t>
      </w:r>
      <w:r w:rsidRPr="00993936">
        <w:rPr>
          <w:rFonts w:ascii="Arial" w:hAnsi="Arial" w:cs="Arial"/>
          <w:b/>
          <w:lang w:val="es-ES"/>
        </w:rPr>
        <w:t>Productos fungicidas (continuación).</w:t>
      </w:r>
    </w:p>
    <w:p w:rsidR="00503A41" w:rsidRPr="00993936" w:rsidRDefault="00503A41">
      <w:pPr>
        <w:rPr>
          <w:rFonts w:ascii="Arial" w:hAnsi="Arial"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tblHeader/>
          <w:jc w:val="center"/>
        </w:trPr>
        <w:tc>
          <w:tcPr>
            <w:tcW w:w="3544" w:type="dxa"/>
            <w:tcBorders>
              <w:top w:val="single" w:sz="4" w:space="0" w:color="auto"/>
            </w:tcBorders>
            <w:shd w:val="pct15" w:color="auto" w:fill="FFFFFF"/>
          </w:tcPr>
          <w:p w:rsidR="00503A41" w:rsidRPr="00993936" w:rsidRDefault="00503A41" w:rsidP="000452B8">
            <w:pPr>
              <w:jc w:val="center"/>
              <w:rPr>
                <w:rFonts w:ascii="Arial" w:hAnsi="Arial" w:cs="Arial"/>
                <w:b/>
                <w:sz w:val="18"/>
                <w:lang w:val="es-ES"/>
              </w:rPr>
            </w:pPr>
            <w:r w:rsidRPr="00993936">
              <w:rPr>
                <w:rFonts w:ascii="Arial" w:hAnsi="Arial" w:cs="Arial"/>
                <w:b/>
                <w:sz w:val="18"/>
                <w:lang w:val="es-ES"/>
              </w:rPr>
              <w:t>Plaga/enfermedad</w:t>
            </w:r>
          </w:p>
        </w:tc>
        <w:tc>
          <w:tcPr>
            <w:tcW w:w="5440" w:type="dxa"/>
            <w:tcBorders>
              <w:top w:val="single" w:sz="4" w:space="0" w:color="auto"/>
            </w:tcBorders>
            <w:shd w:val="pct15" w:color="auto" w:fill="FFFFFF"/>
          </w:tcPr>
          <w:p w:rsidR="00503A41" w:rsidRPr="00993936" w:rsidRDefault="00503A41" w:rsidP="000452B8">
            <w:pPr>
              <w:pStyle w:val="Ttulo1"/>
              <w:jc w:val="center"/>
              <w:rPr>
                <w:rFonts w:ascii="Arial" w:hAnsi="Arial" w:cs="Arial"/>
                <w:b/>
                <w:color w:val="auto"/>
                <w:sz w:val="18"/>
              </w:rPr>
            </w:pPr>
            <w:r w:rsidRPr="00993936">
              <w:rPr>
                <w:rFonts w:ascii="Arial" w:hAnsi="Arial" w:cs="Arial"/>
                <w:b/>
                <w:color w:val="auto"/>
                <w:sz w:val="18"/>
              </w:rPr>
              <w:t>Materias Activas</w:t>
            </w:r>
          </w:p>
        </w:tc>
      </w:tr>
      <w:tr w:rsidR="00503A41" w:rsidRPr="00993936">
        <w:trPr>
          <w:cantSplit/>
          <w:trHeight w:val="240"/>
          <w:jc w:val="center"/>
        </w:trPr>
        <w:tc>
          <w:tcPr>
            <w:tcW w:w="3544" w:type="dxa"/>
            <w:vAlign w:val="center"/>
          </w:tcPr>
          <w:p w:rsidR="00503A41" w:rsidRPr="00993936" w:rsidRDefault="00503A41">
            <w:pPr>
              <w:rPr>
                <w:rFonts w:ascii="Arial" w:hAnsi="Arial" w:cs="Arial"/>
                <w:sz w:val="18"/>
                <w:szCs w:val="18"/>
                <w:lang w:val="es-ES"/>
              </w:rPr>
            </w:pPr>
            <w:r w:rsidRPr="00993936">
              <w:rPr>
                <w:rFonts w:ascii="Arial" w:hAnsi="Arial" w:cs="Arial"/>
                <w:b/>
                <w:sz w:val="18"/>
                <w:szCs w:val="18"/>
                <w:lang w:val="es-ES"/>
              </w:rPr>
              <w:t>Oidio y Oidiopsi</w:t>
            </w:r>
            <w:r w:rsidRPr="00993936">
              <w:rPr>
                <w:rFonts w:ascii="Arial" w:hAnsi="Arial" w:cs="Arial"/>
                <w:sz w:val="18"/>
                <w:szCs w:val="18"/>
                <w:lang w:val="es-ES"/>
              </w:rPr>
              <w:t xml:space="preserve"> </w:t>
            </w:r>
          </w:p>
          <w:p w:rsidR="00503A41" w:rsidRPr="00993936" w:rsidRDefault="00503A41">
            <w:pPr>
              <w:rPr>
                <w:rFonts w:ascii="Arial" w:hAnsi="Arial" w:cs="Arial"/>
                <w:sz w:val="18"/>
                <w:szCs w:val="18"/>
                <w:lang w:val="es-ES"/>
              </w:rPr>
            </w:pPr>
            <w:r w:rsidRPr="00993936">
              <w:rPr>
                <w:rFonts w:ascii="Arial" w:hAnsi="Arial" w:cs="Arial"/>
                <w:i/>
                <w:sz w:val="18"/>
                <w:szCs w:val="18"/>
                <w:lang w:val="es-ES"/>
              </w:rPr>
              <w:t>Leveillula taurica</w:t>
            </w:r>
            <w:r w:rsidRPr="00993936">
              <w:rPr>
                <w:rFonts w:ascii="Arial" w:hAnsi="Arial" w:cs="Arial"/>
                <w:sz w:val="18"/>
                <w:szCs w:val="18"/>
                <w:lang w:val="es-ES"/>
              </w:rPr>
              <w:t>...</w:t>
            </w:r>
          </w:p>
        </w:tc>
        <w:tc>
          <w:tcPr>
            <w:tcW w:w="5440" w:type="dxa"/>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Boscalida + Piraclostrobín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Azufre </w:t>
            </w:r>
          </w:p>
          <w:p w:rsidR="00503A41" w:rsidRPr="00993936" w:rsidRDefault="00503A41" w:rsidP="001D205D">
            <w:pPr>
              <w:pStyle w:val="Sinespaciado"/>
              <w:rPr>
                <w:rFonts w:ascii="Arial" w:hAnsi="Arial" w:cs="Arial"/>
                <w:b/>
                <w:sz w:val="18"/>
                <w:lang w:val="es-ES"/>
              </w:rPr>
            </w:pPr>
            <w:r w:rsidRPr="00993936">
              <w:rPr>
                <w:rFonts w:ascii="Arial" w:hAnsi="Arial" w:cs="Arial"/>
                <w:b/>
                <w:sz w:val="18"/>
                <w:lang w:val="es-ES"/>
              </w:rPr>
              <w:t>Oídio</w:t>
            </w:r>
          </w:p>
          <w:p w:rsidR="00503A41" w:rsidRPr="00993936" w:rsidRDefault="00503A41" w:rsidP="001D205D">
            <w:pPr>
              <w:pStyle w:val="Sinespaciado"/>
              <w:rPr>
                <w:rFonts w:ascii="Arial" w:hAnsi="Arial" w:cs="Arial"/>
                <w:i/>
                <w:sz w:val="18"/>
                <w:lang w:val="es-ES"/>
              </w:rPr>
            </w:pPr>
            <w:r w:rsidRPr="00993936">
              <w:rPr>
                <w:rFonts w:ascii="Arial" w:hAnsi="Arial" w:cs="Arial"/>
                <w:i/>
                <w:sz w:val="18"/>
                <w:lang w:val="es-ES"/>
              </w:rPr>
              <w:t>Ampelomices sp.</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Carbonato de hidrógeno de potasio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Ciflufenamida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Ciflufenamida + Difenoconazol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Ciproconazol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Kresoxim-metil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Metil-tiofanato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Metrafenona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Tebuconazol</w:t>
            </w:r>
          </w:p>
          <w:p w:rsidR="00503A41" w:rsidRPr="00993936" w:rsidRDefault="00503A41" w:rsidP="001D205D">
            <w:pPr>
              <w:pStyle w:val="Sinespaciado"/>
              <w:rPr>
                <w:rFonts w:ascii="Arial" w:hAnsi="Arial" w:cs="Arial"/>
                <w:b/>
                <w:sz w:val="18"/>
                <w:lang w:val="es-ES"/>
              </w:rPr>
            </w:pPr>
            <w:r w:rsidRPr="00993936">
              <w:rPr>
                <w:rFonts w:ascii="Arial" w:hAnsi="Arial" w:cs="Arial"/>
                <w:b/>
                <w:sz w:val="18"/>
                <w:lang w:val="es-ES"/>
              </w:rPr>
              <w:t>Oidiopsi</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Azoxistrobín</w:t>
            </w:r>
          </w:p>
          <w:p w:rsidR="00503A41" w:rsidRPr="00993936" w:rsidRDefault="00503A41" w:rsidP="001D205D">
            <w:pPr>
              <w:pStyle w:val="Sinespaciado"/>
              <w:rPr>
                <w:rFonts w:ascii="Arial" w:hAnsi="Arial" w:cs="Arial"/>
                <w:b/>
                <w:sz w:val="18"/>
                <w:lang w:val="es-ES"/>
              </w:rPr>
            </w:pPr>
            <w:r w:rsidRPr="00993936">
              <w:rPr>
                <w:rFonts w:ascii="Arial" w:hAnsi="Arial" w:cs="Arial"/>
                <w:sz w:val="18"/>
                <w:lang w:val="es-ES"/>
              </w:rPr>
              <w:t>Bupirimat</w:t>
            </w:r>
            <w:r w:rsidRPr="00993936">
              <w:rPr>
                <w:rFonts w:ascii="Arial" w:hAnsi="Arial" w:cs="Arial"/>
                <w:b/>
                <w:sz w:val="18"/>
                <w:lang w:val="es-ES"/>
              </w:rPr>
              <w:t xml:space="preserve">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Difenoconazol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Flutriafol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Penconazol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Miclobutanil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Azufre + Cipermetrín</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Azufre + Ciproconazol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Azufre + Miclobutanil </w:t>
            </w:r>
          </w:p>
          <w:p w:rsidR="00503A41" w:rsidRPr="00993936" w:rsidRDefault="00503A41" w:rsidP="001D205D">
            <w:pPr>
              <w:pStyle w:val="Sinespaciado"/>
              <w:rPr>
                <w:rFonts w:ascii="Arial" w:hAnsi="Arial" w:cs="Arial"/>
                <w:i/>
                <w:sz w:val="18"/>
                <w:szCs w:val="16"/>
                <w:lang w:val="es-ES"/>
              </w:rPr>
            </w:pPr>
            <w:r w:rsidRPr="00993936">
              <w:rPr>
                <w:rFonts w:ascii="Arial" w:hAnsi="Arial" w:cs="Arial"/>
                <w:sz w:val="18"/>
                <w:lang w:val="es-ES"/>
              </w:rPr>
              <w:t>Azufre + Oxicloruro de cobre</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Tebuconazol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Tetraconazol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Triadimenol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Trifloxistrobina</w:t>
            </w:r>
          </w:p>
        </w:tc>
      </w:tr>
      <w:tr w:rsidR="00503A41" w:rsidRPr="00993936">
        <w:trPr>
          <w:cantSplit/>
          <w:trHeight w:val="240"/>
          <w:jc w:val="center"/>
        </w:trPr>
        <w:tc>
          <w:tcPr>
            <w:tcW w:w="3544" w:type="dxa"/>
            <w:vAlign w:val="center"/>
          </w:tcPr>
          <w:p w:rsidR="00503A41" w:rsidRPr="00993936" w:rsidRDefault="00503A41">
            <w:pPr>
              <w:rPr>
                <w:rFonts w:ascii="Arial" w:hAnsi="Arial" w:cs="Arial"/>
                <w:sz w:val="18"/>
                <w:szCs w:val="18"/>
                <w:lang w:val="es-ES"/>
              </w:rPr>
            </w:pPr>
            <w:r w:rsidRPr="00993936">
              <w:rPr>
                <w:rFonts w:ascii="Arial" w:hAnsi="Arial" w:cs="Arial"/>
                <w:b/>
                <w:sz w:val="18"/>
                <w:szCs w:val="18"/>
                <w:lang w:val="es-ES"/>
              </w:rPr>
              <w:t>Cladosporiosis</w:t>
            </w:r>
          </w:p>
          <w:p w:rsidR="00503A41" w:rsidRPr="00993936" w:rsidRDefault="00503A41">
            <w:pPr>
              <w:rPr>
                <w:rFonts w:ascii="Arial" w:hAnsi="Arial" w:cs="Arial"/>
                <w:sz w:val="18"/>
                <w:szCs w:val="18"/>
                <w:lang w:val="es-ES"/>
              </w:rPr>
            </w:pPr>
            <w:r w:rsidRPr="00993936">
              <w:rPr>
                <w:rFonts w:ascii="Arial" w:hAnsi="Arial" w:cs="Arial"/>
                <w:i/>
                <w:sz w:val="18"/>
                <w:szCs w:val="18"/>
                <w:lang w:val="es-ES"/>
              </w:rPr>
              <w:t>Fulvia fulva</w:t>
            </w:r>
            <w:r w:rsidRPr="00993936">
              <w:rPr>
                <w:rFonts w:ascii="Arial" w:hAnsi="Arial" w:cs="Arial"/>
                <w:sz w:val="18"/>
                <w:szCs w:val="18"/>
                <w:lang w:val="es-ES"/>
              </w:rPr>
              <w:t>-</w:t>
            </w:r>
            <w:r w:rsidRPr="00993936">
              <w:rPr>
                <w:rFonts w:ascii="Arial" w:hAnsi="Arial" w:cs="Arial"/>
                <w:i/>
                <w:sz w:val="18"/>
                <w:szCs w:val="18"/>
                <w:lang w:val="es-ES"/>
              </w:rPr>
              <w:t>Cladosporium fulvum</w:t>
            </w:r>
          </w:p>
        </w:tc>
        <w:tc>
          <w:tcPr>
            <w:tcW w:w="5440" w:type="dxa"/>
            <w:vAlign w:val="center"/>
          </w:tcPr>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Azoxistrobín</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Tebuconazol</w:t>
            </w:r>
          </w:p>
        </w:tc>
      </w:tr>
      <w:tr w:rsidR="00503A41" w:rsidRPr="00993936" w:rsidTr="000452B8">
        <w:trPr>
          <w:cantSplit/>
          <w:trHeight w:val="240"/>
          <w:jc w:val="center"/>
        </w:trPr>
        <w:tc>
          <w:tcPr>
            <w:tcW w:w="3544" w:type="dxa"/>
            <w:vAlign w:val="center"/>
          </w:tcPr>
          <w:p w:rsidR="00503A41" w:rsidRPr="00993936" w:rsidRDefault="00503A41" w:rsidP="000452B8">
            <w:pPr>
              <w:tabs>
                <w:tab w:val="left" w:pos="0"/>
              </w:tabs>
              <w:rPr>
                <w:rFonts w:ascii="Arial" w:hAnsi="Arial" w:cs="Arial"/>
                <w:b/>
                <w:sz w:val="18"/>
                <w:szCs w:val="18"/>
                <w:lang w:val="es-ES"/>
              </w:rPr>
            </w:pPr>
            <w:r w:rsidRPr="00993936">
              <w:rPr>
                <w:rFonts w:ascii="Arial" w:hAnsi="Arial" w:cs="Arial"/>
                <w:b/>
                <w:i/>
                <w:sz w:val="18"/>
                <w:szCs w:val="18"/>
                <w:lang w:val="es-ES"/>
              </w:rPr>
              <w:t>Botrytis cinerea</w:t>
            </w:r>
          </w:p>
          <w:p w:rsidR="00503A41" w:rsidRPr="00993936" w:rsidRDefault="00503A41" w:rsidP="000452B8">
            <w:pPr>
              <w:rPr>
                <w:rFonts w:ascii="Arial" w:hAnsi="Arial" w:cs="Arial"/>
                <w:sz w:val="18"/>
                <w:szCs w:val="18"/>
                <w:lang w:val="es-ES"/>
              </w:rPr>
            </w:pPr>
          </w:p>
        </w:tc>
        <w:tc>
          <w:tcPr>
            <w:tcW w:w="5440" w:type="dxa"/>
            <w:vAlign w:val="center"/>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Boscalida + Piraclostrobín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Captan (4)</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Ciprodinil + Fludioxonil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Clortalonil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Dietofencarb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Fenhexamid</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Fenpirazamida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Iprodiona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Mancozeb + Metil-tiofanato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Mepanipyrim</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Metil-tiofanato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Pirimetanil</w:t>
            </w:r>
          </w:p>
          <w:p w:rsidR="00503A41" w:rsidRPr="00993936" w:rsidRDefault="00503A41" w:rsidP="001D205D">
            <w:pPr>
              <w:pStyle w:val="Sinespaciado"/>
              <w:rPr>
                <w:rFonts w:ascii="Arial" w:hAnsi="Arial" w:cs="Arial"/>
                <w:i/>
                <w:sz w:val="18"/>
                <w:lang w:val="es-ES"/>
              </w:rPr>
            </w:pPr>
            <w:r w:rsidRPr="00993936">
              <w:rPr>
                <w:rFonts w:ascii="Arial" w:hAnsi="Arial" w:cs="Arial"/>
                <w:i/>
                <w:sz w:val="18"/>
                <w:lang w:val="es-ES"/>
              </w:rPr>
              <w:t>Trichoderma sp</w:t>
            </w:r>
          </w:p>
        </w:tc>
      </w:tr>
      <w:tr w:rsidR="00503A41" w:rsidRPr="00993936">
        <w:trPr>
          <w:cantSplit/>
          <w:trHeight w:val="240"/>
          <w:jc w:val="center"/>
        </w:trPr>
        <w:tc>
          <w:tcPr>
            <w:tcW w:w="3544" w:type="dxa"/>
            <w:vAlign w:val="center"/>
          </w:tcPr>
          <w:p w:rsidR="00503A41" w:rsidRPr="00993936" w:rsidRDefault="00503A41">
            <w:pPr>
              <w:tabs>
                <w:tab w:val="left" w:pos="0"/>
              </w:tabs>
              <w:rPr>
                <w:rFonts w:ascii="Arial" w:hAnsi="Arial" w:cs="Arial"/>
                <w:b/>
                <w:sz w:val="18"/>
                <w:szCs w:val="18"/>
                <w:lang w:val="es-ES"/>
              </w:rPr>
            </w:pPr>
            <w:r w:rsidRPr="00993936">
              <w:rPr>
                <w:rFonts w:ascii="Arial" w:hAnsi="Arial" w:cs="Arial"/>
                <w:b/>
                <w:i/>
                <w:sz w:val="18"/>
                <w:szCs w:val="18"/>
                <w:lang w:val="es-ES"/>
              </w:rPr>
              <w:t>Sclerotinia sclerotiorum</w:t>
            </w:r>
          </w:p>
          <w:p w:rsidR="00503A41" w:rsidRPr="00993936" w:rsidRDefault="00503A41">
            <w:pPr>
              <w:rPr>
                <w:rFonts w:ascii="Arial" w:hAnsi="Arial" w:cs="Arial"/>
                <w:sz w:val="18"/>
                <w:szCs w:val="18"/>
                <w:lang w:val="es-ES"/>
              </w:rPr>
            </w:pPr>
          </w:p>
        </w:tc>
        <w:tc>
          <w:tcPr>
            <w:tcW w:w="5440" w:type="dxa"/>
            <w:vAlign w:val="center"/>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Boscalida + Piraclostrobín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Ciprodinil + Fludioxonil </w:t>
            </w:r>
          </w:p>
          <w:p w:rsidR="00503A41" w:rsidRPr="00993936" w:rsidRDefault="00503A41" w:rsidP="001D205D">
            <w:pPr>
              <w:pStyle w:val="Sinespaciado"/>
              <w:rPr>
                <w:rFonts w:ascii="Arial" w:hAnsi="Arial" w:cs="Arial"/>
                <w:i/>
                <w:sz w:val="18"/>
                <w:lang w:val="es-ES"/>
              </w:rPr>
            </w:pPr>
            <w:r w:rsidRPr="00993936">
              <w:rPr>
                <w:rFonts w:ascii="Arial" w:hAnsi="Arial" w:cs="Arial"/>
                <w:i/>
                <w:sz w:val="18"/>
                <w:lang w:val="es-ES"/>
              </w:rPr>
              <w:t xml:space="preserve">Coniothyrium minitans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Dietofencarb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Tebuconazol </w:t>
            </w:r>
          </w:p>
          <w:p w:rsidR="00503A41" w:rsidRPr="00993936" w:rsidRDefault="00503A41" w:rsidP="001D205D">
            <w:pPr>
              <w:pStyle w:val="Sinespaciado"/>
              <w:rPr>
                <w:rFonts w:ascii="Arial" w:hAnsi="Arial" w:cs="Arial"/>
                <w:i/>
                <w:lang w:val="es-ES"/>
              </w:rPr>
            </w:pPr>
            <w:r w:rsidRPr="00993936">
              <w:rPr>
                <w:rFonts w:ascii="Arial" w:hAnsi="Arial" w:cs="Arial"/>
                <w:sz w:val="18"/>
                <w:lang w:val="es-ES"/>
              </w:rPr>
              <w:t>Bacillus subtilis</w:t>
            </w:r>
          </w:p>
        </w:tc>
      </w:tr>
    </w:tbl>
    <w:p w:rsidR="00503A41" w:rsidRPr="00993936" w:rsidRDefault="00503A41" w:rsidP="000452B8">
      <w:pPr>
        <w:widowControl w:val="0"/>
        <w:rPr>
          <w:rFonts w:ascii="Arial" w:hAnsi="Arial" w:cs="Arial"/>
          <w:b/>
          <w:snapToGrid w:val="0"/>
          <w:lang w:val="es-ES" w:eastAsia="es-ES"/>
        </w:rPr>
      </w:pPr>
    </w:p>
    <w:p w:rsidR="00503A41" w:rsidRPr="00993936" w:rsidRDefault="00503A41" w:rsidP="000452B8">
      <w:pPr>
        <w:rPr>
          <w:rFonts w:ascii="Arial" w:hAnsi="Arial" w:cs="Arial"/>
          <w:b/>
          <w:lang w:val="es-ES"/>
        </w:rPr>
      </w:pPr>
      <w:r w:rsidRPr="00993936">
        <w:rPr>
          <w:rFonts w:ascii="Arial" w:hAnsi="Arial" w:cs="Arial"/>
          <w:snapToGrid w:val="0"/>
          <w:lang w:val="es-ES" w:eastAsia="es-ES"/>
        </w:rPr>
        <w:br w:type="page"/>
      </w:r>
      <w:r w:rsidRPr="00993936">
        <w:rPr>
          <w:rFonts w:ascii="Arial" w:hAnsi="Arial" w:cs="Arial"/>
          <w:b/>
          <w:snapToGrid w:val="0"/>
          <w:lang w:val="es-ES" w:eastAsia="es-ES"/>
        </w:rPr>
        <w:lastRenderedPageBreak/>
        <w:t xml:space="preserve">1.2: </w:t>
      </w:r>
      <w:r w:rsidRPr="00993936">
        <w:rPr>
          <w:rFonts w:ascii="Arial" w:hAnsi="Arial" w:cs="Arial"/>
          <w:b/>
          <w:lang w:val="es-ES"/>
        </w:rPr>
        <w:t>Productos fungicidas (continuación).</w:t>
      </w:r>
    </w:p>
    <w:p w:rsidR="00503A41" w:rsidRPr="00993936" w:rsidRDefault="00503A41">
      <w:pPr>
        <w:rPr>
          <w:rFonts w:ascii="Arial" w:hAnsi="Arial"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gridCol w:w="5440"/>
      </w:tblGrid>
      <w:tr w:rsidR="00503A41" w:rsidRPr="00993936" w:rsidTr="000452B8">
        <w:trPr>
          <w:cantSplit/>
          <w:trHeight w:val="240"/>
          <w:tblHeader/>
          <w:jc w:val="center"/>
        </w:trPr>
        <w:tc>
          <w:tcPr>
            <w:tcW w:w="3544" w:type="dxa"/>
            <w:tcBorders>
              <w:top w:val="single" w:sz="4" w:space="0" w:color="auto"/>
            </w:tcBorders>
            <w:shd w:val="pct15" w:color="auto" w:fill="FFFFFF"/>
          </w:tcPr>
          <w:p w:rsidR="00503A41" w:rsidRPr="00993936" w:rsidRDefault="00503A41" w:rsidP="000452B8">
            <w:pPr>
              <w:jc w:val="center"/>
              <w:rPr>
                <w:rFonts w:ascii="Arial" w:hAnsi="Arial" w:cs="Arial"/>
                <w:b/>
                <w:sz w:val="18"/>
                <w:lang w:val="es-ES"/>
              </w:rPr>
            </w:pPr>
            <w:r w:rsidRPr="00993936">
              <w:rPr>
                <w:rFonts w:ascii="Arial" w:hAnsi="Arial" w:cs="Arial"/>
                <w:b/>
                <w:sz w:val="18"/>
                <w:lang w:val="es-ES"/>
              </w:rPr>
              <w:t>Plaga/enfermedad</w:t>
            </w:r>
          </w:p>
        </w:tc>
        <w:tc>
          <w:tcPr>
            <w:tcW w:w="5440" w:type="dxa"/>
            <w:tcBorders>
              <w:top w:val="single" w:sz="4" w:space="0" w:color="auto"/>
            </w:tcBorders>
            <w:shd w:val="pct15" w:color="auto" w:fill="FFFFFF"/>
          </w:tcPr>
          <w:p w:rsidR="00503A41" w:rsidRPr="00993936" w:rsidRDefault="00503A41" w:rsidP="000452B8">
            <w:pPr>
              <w:pStyle w:val="Ttulo1"/>
              <w:jc w:val="center"/>
              <w:rPr>
                <w:rFonts w:ascii="Arial" w:hAnsi="Arial" w:cs="Arial"/>
                <w:b/>
                <w:color w:val="auto"/>
                <w:sz w:val="18"/>
              </w:rPr>
            </w:pPr>
            <w:r w:rsidRPr="00993936">
              <w:rPr>
                <w:rFonts w:ascii="Arial" w:hAnsi="Arial" w:cs="Arial"/>
                <w:b/>
                <w:color w:val="auto"/>
                <w:sz w:val="18"/>
              </w:rPr>
              <w:t>Materias Activas</w:t>
            </w:r>
          </w:p>
        </w:tc>
      </w:tr>
      <w:tr w:rsidR="00503A41" w:rsidRPr="00993936">
        <w:trPr>
          <w:cantSplit/>
          <w:trHeight w:val="240"/>
          <w:jc w:val="center"/>
        </w:trPr>
        <w:tc>
          <w:tcPr>
            <w:tcW w:w="3544" w:type="dxa"/>
            <w:vAlign w:val="center"/>
          </w:tcPr>
          <w:p w:rsidR="00503A41" w:rsidRPr="00993936" w:rsidRDefault="00503A41">
            <w:pPr>
              <w:tabs>
                <w:tab w:val="left" w:pos="284"/>
              </w:tabs>
              <w:rPr>
                <w:rFonts w:ascii="Arial" w:hAnsi="Arial" w:cs="Arial"/>
                <w:b/>
                <w:sz w:val="18"/>
                <w:szCs w:val="18"/>
                <w:lang w:val="es-ES"/>
              </w:rPr>
            </w:pPr>
            <w:r w:rsidRPr="00993936">
              <w:rPr>
                <w:rFonts w:ascii="Arial" w:hAnsi="Arial" w:cs="Arial"/>
                <w:b/>
                <w:sz w:val="18"/>
                <w:szCs w:val="18"/>
                <w:lang w:val="es-ES"/>
              </w:rPr>
              <w:t>Alternariosis</w:t>
            </w:r>
          </w:p>
          <w:p w:rsidR="00503A41" w:rsidRPr="00993936" w:rsidRDefault="00503A41">
            <w:pPr>
              <w:tabs>
                <w:tab w:val="left" w:pos="284"/>
              </w:tabs>
              <w:rPr>
                <w:rFonts w:ascii="Arial" w:hAnsi="Arial" w:cs="Arial"/>
                <w:sz w:val="18"/>
                <w:szCs w:val="18"/>
                <w:lang w:val="es-ES"/>
              </w:rPr>
            </w:pPr>
            <w:r w:rsidRPr="00993936">
              <w:rPr>
                <w:rFonts w:ascii="Arial" w:hAnsi="Arial" w:cs="Arial"/>
                <w:i/>
                <w:sz w:val="18"/>
                <w:szCs w:val="18"/>
                <w:lang w:val="es-ES"/>
              </w:rPr>
              <w:t>Alternaria dauci</w:t>
            </w:r>
            <w:r w:rsidRPr="00993936">
              <w:rPr>
                <w:rFonts w:ascii="Arial" w:hAnsi="Arial" w:cs="Arial"/>
                <w:sz w:val="18"/>
                <w:szCs w:val="18"/>
                <w:lang w:val="es-ES"/>
              </w:rPr>
              <w:t xml:space="preserve"> f.sp. </w:t>
            </w:r>
            <w:r w:rsidRPr="00993936">
              <w:rPr>
                <w:rFonts w:ascii="Arial" w:hAnsi="Arial" w:cs="Arial"/>
                <w:i/>
                <w:sz w:val="18"/>
                <w:szCs w:val="18"/>
                <w:lang w:val="es-ES"/>
              </w:rPr>
              <w:t>solani</w:t>
            </w:r>
          </w:p>
        </w:tc>
        <w:tc>
          <w:tcPr>
            <w:tcW w:w="5440" w:type="dxa"/>
          </w:tcPr>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Azoxistrobín</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Benalaxil + Oxicloruro de cobre </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Benalaxil + Cimoxanilo + Mancozeb </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Ciflufenamida + Difenoconazol</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Cimoxanilo + Mancozeb + Oxicloruro de cobre</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Cimoxanilo + Metiram</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Cimoxanilo + Mancoceb </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Cimoxanilo + Oxicloruro de cobre </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Cimoxanilo + Famoxadona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 xml:space="preserve">Captan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Clortalonil + Difenoconazol</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Difenoconazol</w:t>
            </w:r>
          </w:p>
          <w:p w:rsidR="00503A41" w:rsidRPr="00993936" w:rsidRDefault="00503A41" w:rsidP="000452B8">
            <w:pPr>
              <w:tabs>
                <w:tab w:val="left" w:pos="284"/>
              </w:tabs>
              <w:rPr>
                <w:rFonts w:ascii="Arial" w:hAnsi="Arial" w:cs="Arial"/>
                <w:sz w:val="18"/>
                <w:szCs w:val="18"/>
                <w:lang w:val="es-ES"/>
              </w:rPr>
            </w:pPr>
            <w:r w:rsidRPr="00993936">
              <w:rPr>
                <w:rFonts w:ascii="Arial" w:hAnsi="Arial" w:cs="Arial"/>
                <w:sz w:val="18"/>
                <w:szCs w:val="18"/>
                <w:lang w:val="es-ES"/>
              </w:rPr>
              <w:t xml:space="preserve">Famoxadona + Mancozeb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Hidróxido cúprico</w:t>
            </w:r>
            <w:r w:rsidRPr="00993936">
              <w:rPr>
                <w:rFonts w:ascii="Arial" w:hAnsi="Arial" w:cs="Arial"/>
                <w:sz w:val="18"/>
                <w:lang w:val="es-ES"/>
              </w:rPr>
              <w:t xml:space="preserve"> </w:t>
            </w:r>
            <w:r w:rsidRPr="00993936">
              <w:rPr>
                <w:rFonts w:ascii="Arial" w:hAnsi="Arial" w:cs="Arial"/>
                <w:sz w:val="18"/>
                <w:szCs w:val="18"/>
                <w:lang w:val="es-ES"/>
              </w:rPr>
              <w:t>(4)</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 xml:space="preserve">Mancozeb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 xml:space="preserve">Mancozeb + Metalaxil-M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 xml:space="preserve">Maneb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 xml:space="preserve">Metiram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 xml:space="preserve">Oxicloruro de cobre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Óxido cuproso</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Propineb</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Sulfato cuprocálcico</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 xml:space="preserve">Sulfato tribásico de cobre </w:t>
            </w:r>
          </w:p>
        </w:tc>
      </w:tr>
      <w:tr w:rsidR="00503A41" w:rsidRPr="00993936">
        <w:trPr>
          <w:cantSplit/>
          <w:trHeight w:val="240"/>
          <w:jc w:val="center"/>
        </w:trPr>
        <w:tc>
          <w:tcPr>
            <w:tcW w:w="3544" w:type="dxa"/>
            <w:vAlign w:val="center"/>
          </w:tcPr>
          <w:p w:rsidR="00503A41" w:rsidRPr="00993936" w:rsidRDefault="00503A41">
            <w:pPr>
              <w:tabs>
                <w:tab w:val="left" w:pos="284"/>
              </w:tabs>
              <w:rPr>
                <w:rFonts w:ascii="Arial" w:hAnsi="Arial" w:cs="Arial"/>
                <w:sz w:val="18"/>
                <w:szCs w:val="18"/>
                <w:lang w:val="es-ES"/>
              </w:rPr>
            </w:pPr>
            <w:r w:rsidRPr="00993936">
              <w:rPr>
                <w:rFonts w:ascii="Arial" w:hAnsi="Arial" w:cs="Arial"/>
                <w:b/>
                <w:sz w:val="18"/>
                <w:szCs w:val="18"/>
                <w:lang w:val="es-ES"/>
              </w:rPr>
              <w:t>Enfermedades vasculares</w:t>
            </w:r>
            <w:r w:rsidRPr="00993936">
              <w:rPr>
                <w:rFonts w:ascii="Arial" w:hAnsi="Arial" w:cs="Arial"/>
                <w:sz w:val="18"/>
                <w:szCs w:val="18"/>
                <w:lang w:val="es-ES"/>
              </w:rPr>
              <w:t xml:space="preserve"> </w:t>
            </w:r>
          </w:p>
          <w:p w:rsidR="00503A41" w:rsidRPr="00993936" w:rsidRDefault="00503A41">
            <w:pPr>
              <w:tabs>
                <w:tab w:val="left" w:pos="284"/>
              </w:tabs>
              <w:rPr>
                <w:rFonts w:ascii="Arial" w:hAnsi="Arial" w:cs="Arial"/>
                <w:sz w:val="18"/>
                <w:szCs w:val="18"/>
                <w:lang w:val="es-ES"/>
              </w:rPr>
            </w:pPr>
            <w:r w:rsidRPr="00993936">
              <w:rPr>
                <w:rFonts w:ascii="Arial" w:hAnsi="Arial" w:cs="Arial"/>
                <w:i/>
                <w:sz w:val="18"/>
                <w:szCs w:val="18"/>
                <w:lang w:val="es-ES"/>
              </w:rPr>
              <w:t>Fusarium oxysporum</w:t>
            </w:r>
            <w:r w:rsidRPr="00993936">
              <w:rPr>
                <w:rFonts w:ascii="Arial" w:hAnsi="Arial" w:cs="Arial"/>
                <w:sz w:val="18"/>
                <w:szCs w:val="18"/>
                <w:lang w:val="es-ES"/>
              </w:rPr>
              <w:t xml:space="preserve"> f. sp. </w:t>
            </w:r>
            <w:r w:rsidRPr="00993936">
              <w:rPr>
                <w:rFonts w:ascii="Arial" w:hAnsi="Arial" w:cs="Arial"/>
                <w:i/>
                <w:sz w:val="18"/>
                <w:szCs w:val="18"/>
                <w:lang w:val="es-ES"/>
              </w:rPr>
              <w:t>Lycopersici</w:t>
            </w:r>
          </w:p>
        </w:tc>
        <w:tc>
          <w:tcPr>
            <w:tcW w:w="5440" w:type="dxa"/>
          </w:tcPr>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 xml:space="preserve">Ditianona </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Etridiazol</w:t>
            </w:r>
          </w:p>
          <w:p w:rsidR="00503A41" w:rsidRPr="00993936" w:rsidRDefault="00503A41" w:rsidP="000452B8">
            <w:pPr>
              <w:tabs>
                <w:tab w:val="left" w:pos="284"/>
                <w:tab w:val="left" w:pos="1545"/>
              </w:tabs>
              <w:rPr>
                <w:rFonts w:ascii="Arial" w:hAnsi="Arial" w:cs="Arial"/>
                <w:sz w:val="18"/>
                <w:szCs w:val="18"/>
                <w:lang w:val="es-ES"/>
              </w:rPr>
            </w:pPr>
            <w:r w:rsidRPr="00993936">
              <w:rPr>
                <w:rFonts w:ascii="Arial" w:hAnsi="Arial" w:cs="Arial"/>
                <w:sz w:val="18"/>
                <w:szCs w:val="18"/>
                <w:lang w:val="es-ES"/>
              </w:rPr>
              <w:t>Metil-tiofanato</w:t>
            </w:r>
          </w:p>
          <w:p w:rsidR="00503A41" w:rsidRPr="00993936" w:rsidRDefault="00503A41" w:rsidP="000452B8">
            <w:pPr>
              <w:tabs>
                <w:tab w:val="left" w:pos="284"/>
                <w:tab w:val="left" w:pos="1755"/>
              </w:tabs>
              <w:rPr>
                <w:rFonts w:ascii="Arial" w:hAnsi="Arial" w:cs="Arial"/>
                <w:sz w:val="18"/>
                <w:szCs w:val="18"/>
                <w:lang w:val="es-ES"/>
              </w:rPr>
            </w:pPr>
            <w:r w:rsidRPr="00993936">
              <w:rPr>
                <w:rFonts w:ascii="Arial" w:hAnsi="Arial" w:cs="Arial"/>
                <w:sz w:val="18"/>
                <w:szCs w:val="18"/>
                <w:lang w:val="es-ES"/>
              </w:rPr>
              <w:t xml:space="preserve">Procloraz  </w:t>
            </w:r>
          </w:p>
          <w:p w:rsidR="00503A41" w:rsidRPr="00993936" w:rsidRDefault="00503A41" w:rsidP="000452B8">
            <w:pPr>
              <w:tabs>
                <w:tab w:val="left" w:pos="284"/>
                <w:tab w:val="left" w:pos="1755"/>
              </w:tabs>
              <w:rPr>
                <w:rFonts w:ascii="Arial" w:hAnsi="Arial" w:cs="Arial"/>
                <w:i/>
                <w:sz w:val="18"/>
                <w:szCs w:val="18"/>
                <w:lang w:val="es-ES"/>
              </w:rPr>
            </w:pPr>
            <w:r w:rsidRPr="00993936">
              <w:rPr>
                <w:rFonts w:ascii="Arial" w:hAnsi="Arial" w:cs="Arial"/>
                <w:i/>
                <w:sz w:val="18"/>
                <w:szCs w:val="18"/>
                <w:lang w:val="es-ES"/>
              </w:rPr>
              <w:t>Trichoderma sp.</w:t>
            </w:r>
          </w:p>
        </w:tc>
      </w:tr>
      <w:tr w:rsidR="00503A41" w:rsidRPr="00993936">
        <w:trPr>
          <w:cantSplit/>
          <w:trHeight w:val="240"/>
          <w:jc w:val="center"/>
        </w:trPr>
        <w:tc>
          <w:tcPr>
            <w:tcW w:w="3544" w:type="dxa"/>
            <w:vAlign w:val="center"/>
          </w:tcPr>
          <w:p w:rsidR="00503A41" w:rsidRPr="00993936" w:rsidRDefault="00503A41">
            <w:pPr>
              <w:rPr>
                <w:rFonts w:ascii="Arial" w:hAnsi="Arial" w:cs="Arial"/>
                <w:b/>
                <w:snapToGrid w:val="0"/>
                <w:sz w:val="18"/>
                <w:szCs w:val="18"/>
                <w:lang w:val="es-ES" w:eastAsia="es-ES"/>
              </w:rPr>
            </w:pPr>
            <w:r w:rsidRPr="00993936">
              <w:rPr>
                <w:rFonts w:ascii="Arial" w:hAnsi="Arial" w:cs="Arial"/>
                <w:b/>
                <w:snapToGrid w:val="0"/>
                <w:sz w:val="18"/>
                <w:szCs w:val="18"/>
                <w:lang w:val="es-ES" w:eastAsia="es-ES"/>
              </w:rPr>
              <w:lastRenderedPageBreak/>
              <w:t>Pítium i Alfanomices</w:t>
            </w:r>
          </w:p>
          <w:p w:rsidR="00503A41" w:rsidRPr="00993936" w:rsidRDefault="00503A41">
            <w:pPr>
              <w:rPr>
                <w:rFonts w:ascii="Arial" w:hAnsi="Arial" w:cs="Arial"/>
                <w:i/>
                <w:snapToGrid w:val="0"/>
                <w:sz w:val="18"/>
                <w:szCs w:val="18"/>
                <w:lang w:val="es-ES" w:eastAsia="es-ES"/>
              </w:rPr>
            </w:pPr>
            <w:r w:rsidRPr="00993936">
              <w:rPr>
                <w:rFonts w:ascii="Arial" w:hAnsi="Arial" w:cs="Arial"/>
                <w:i/>
                <w:snapToGrid w:val="0"/>
                <w:sz w:val="18"/>
                <w:szCs w:val="18"/>
                <w:lang w:val="es-ES" w:eastAsia="es-ES"/>
              </w:rPr>
              <w:t>Pythium sp, Alphanomyces spp</w:t>
            </w:r>
          </w:p>
        </w:tc>
        <w:tc>
          <w:tcPr>
            <w:tcW w:w="5440" w:type="dxa"/>
          </w:tcPr>
          <w:p w:rsidR="00503A41" w:rsidRPr="00993936" w:rsidRDefault="00503A41">
            <w:pPr>
              <w:jc w:val="both"/>
              <w:rPr>
                <w:rFonts w:ascii="Arial" w:hAnsi="Arial" w:cs="Arial"/>
                <w:b/>
                <w:snapToGrid w:val="0"/>
                <w:sz w:val="18"/>
                <w:szCs w:val="18"/>
                <w:lang w:val="es-ES" w:eastAsia="es-ES"/>
              </w:rPr>
            </w:pPr>
            <w:r w:rsidRPr="00993936">
              <w:rPr>
                <w:rFonts w:ascii="Arial" w:hAnsi="Arial" w:cs="Arial"/>
                <w:b/>
                <w:snapToGrid w:val="0"/>
                <w:sz w:val="18"/>
                <w:szCs w:val="18"/>
                <w:lang w:val="es-ES" w:eastAsia="es-ES"/>
              </w:rPr>
              <w:t>Alfanomices</w:t>
            </w:r>
          </w:p>
          <w:p w:rsidR="00503A41" w:rsidRPr="00993936" w:rsidRDefault="00503A41" w:rsidP="000452B8">
            <w:pPr>
              <w:tabs>
                <w:tab w:val="left" w:pos="1185"/>
              </w:tabs>
              <w:jc w:val="both"/>
              <w:rPr>
                <w:rFonts w:ascii="Arial" w:hAnsi="Arial" w:cs="Arial"/>
                <w:b/>
                <w:snapToGrid w:val="0"/>
                <w:sz w:val="18"/>
                <w:szCs w:val="18"/>
                <w:lang w:val="es-ES" w:eastAsia="es-ES"/>
              </w:rPr>
            </w:pPr>
          </w:p>
          <w:p w:rsidR="00503A41" w:rsidRPr="00993936" w:rsidRDefault="00503A41">
            <w:pPr>
              <w:jc w:val="both"/>
              <w:rPr>
                <w:rFonts w:ascii="Arial" w:hAnsi="Arial" w:cs="Arial"/>
                <w:b/>
                <w:snapToGrid w:val="0"/>
                <w:sz w:val="18"/>
                <w:szCs w:val="18"/>
                <w:lang w:val="es-ES" w:eastAsia="es-ES"/>
              </w:rPr>
            </w:pPr>
            <w:r w:rsidRPr="00993936">
              <w:rPr>
                <w:rFonts w:ascii="Arial" w:hAnsi="Arial" w:cs="Arial"/>
                <w:b/>
                <w:snapToGrid w:val="0"/>
                <w:sz w:val="18"/>
                <w:szCs w:val="18"/>
                <w:lang w:val="es-ES" w:eastAsia="es-ES"/>
              </w:rPr>
              <w:t>Pítium</w:t>
            </w:r>
          </w:p>
          <w:p w:rsidR="00503A41" w:rsidRPr="00993936" w:rsidRDefault="00503A41" w:rsidP="000452B8">
            <w:pPr>
              <w:tabs>
                <w:tab w:val="left" w:pos="1320"/>
              </w:tabs>
              <w:jc w:val="both"/>
              <w:rPr>
                <w:rFonts w:ascii="Arial" w:hAnsi="Arial" w:cs="Arial"/>
                <w:snapToGrid w:val="0"/>
                <w:sz w:val="18"/>
                <w:szCs w:val="18"/>
                <w:lang w:val="es-ES" w:eastAsia="es-ES"/>
              </w:rPr>
            </w:pPr>
            <w:r w:rsidRPr="00993936">
              <w:rPr>
                <w:rFonts w:ascii="Arial" w:hAnsi="Arial" w:cs="Arial"/>
                <w:snapToGrid w:val="0"/>
                <w:sz w:val="18"/>
                <w:szCs w:val="18"/>
                <w:lang w:val="es-ES" w:eastAsia="es-ES"/>
              </w:rPr>
              <w:t xml:space="preserve">Etridiazol </w:t>
            </w:r>
          </w:p>
          <w:p w:rsidR="00503A41" w:rsidRPr="00993936" w:rsidRDefault="00503A41">
            <w:pPr>
              <w:jc w:val="both"/>
              <w:rPr>
                <w:rFonts w:ascii="Arial" w:hAnsi="Arial" w:cs="Arial"/>
                <w:snapToGrid w:val="0"/>
                <w:sz w:val="18"/>
                <w:szCs w:val="18"/>
                <w:lang w:val="es-ES" w:eastAsia="es-ES"/>
              </w:rPr>
            </w:pPr>
            <w:r w:rsidRPr="00993936">
              <w:rPr>
                <w:rFonts w:ascii="Arial" w:hAnsi="Arial" w:cs="Arial"/>
                <w:snapToGrid w:val="0"/>
                <w:sz w:val="18"/>
                <w:szCs w:val="18"/>
                <w:lang w:val="es-ES" w:eastAsia="es-ES"/>
              </w:rPr>
              <w:t>Trichoderma sp.</w:t>
            </w:r>
          </w:p>
        </w:tc>
      </w:tr>
      <w:tr w:rsidR="00503A41" w:rsidRPr="00993936">
        <w:trPr>
          <w:cantSplit/>
          <w:trHeight w:val="240"/>
          <w:jc w:val="center"/>
        </w:trPr>
        <w:tc>
          <w:tcPr>
            <w:tcW w:w="3544" w:type="dxa"/>
            <w:vAlign w:val="center"/>
          </w:tcPr>
          <w:p w:rsidR="00503A41" w:rsidRPr="00993936" w:rsidRDefault="00503A41">
            <w:pPr>
              <w:tabs>
                <w:tab w:val="left" w:pos="284"/>
              </w:tabs>
              <w:rPr>
                <w:rFonts w:ascii="Arial" w:hAnsi="Arial" w:cs="Arial"/>
                <w:sz w:val="18"/>
                <w:szCs w:val="18"/>
                <w:lang w:val="es-ES"/>
              </w:rPr>
            </w:pPr>
            <w:r w:rsidRPr="00993936">
              <w:rPr>
                <w:rFonts w:ascii="Arial" w:hAnsi="Arial" w:cs="Arial"/>
                <w:b/>
                <w:sz w:val="18"/>
                <w:szCs w:val="18"/>
                <w:lang w:val="es-ES"/>
              </w:rPr>
              <w:t>Bacteriosis</w:t>
            </w:r>
          </w:p>
          <w:p w:rsidR="00503A41" w:rsidRPr="00993936" w:rsidRDefault="00503A41">
            <w:pPr>
              <w:tabs>
                <w:tab w:val="left" w:pos="284"/>
              </w:tabs>
              <w:rPr>
                <w:rFonts w:ascii="Arial" w:hAnsi="Arial" w:cs="Arial"/>
                <w:sz w:val="18"/>
                <w:szCs w:val="18"/>
                <w:lang w:val="es-ES"/>
              </w:rPr>
            </w:pPr>
            <w:r w:rsidRPr="00993936">
              <w:rPr>
                <w:rFonts w:ascii="Arial" w:hAnsi="Arial" w:cs="Arial"/>
                <w:i/>
                <w:sz w:val="18"/>
                <w:szCs w:val="18"/>
                <w:lang w:val="es-ES"/>
              </w:rPr>
              <w:t>Pseudomonas syringae</w:t>
            </w:r>
            <w:r w:rsidRPr="00993936">
              <w:rPr>
                <w:rFonts w:ascii="Arial" w:hAnsi="Arial" w:cs="Arial"/>
                <w:sz w:val="18"/>
                <w:szCs w:val="18"/>
                <w:lang w:val="es-ES"/>
              </w:rPr>
              <w:t xml:space="preserve"> pv. </w:t>
            </w:r>
            <w:r w:rsidRPr="00993936">
              <w:rPr>
                <w:rFonts w:ascii="Arial" w:hAnsi="Arial" w:cs="Arial"/>
                <w:i/>
                <w:sz w:val="18"/>
                <w:szCs w:val="18"/>
                <w:lang w:val="es-ES"/>
              </w:rPr>
              <w:t>tomato</w:t>
            </w:r>
            <w:r w:rsidRPr="00993936">
              <w:rPr>
                <w:rFonts w:ascii="Arial" w:hAnsi="Arial" w:cs="Arial"/>
                <w:sz w:val="18"/>
                <w:szCs w:val="18"/>
                <w:lang w:val="es-ES"/>
              </w:rPr>
              <w:t xml:space="preserve">, </w:t>
            </w:r>
            <w:r w:rsidRPr="00993936">
              <w:rPr>
                <w:rFonts w:ascii="Arial" w:hAnsi="Arial" w:cs="Arial"/>
                <w:i/>
                <w:sz w:val="18"/>
                <w:szCs w:val="18"/>
                <w:lang w:val="es-ES"/>
              </w:rPr>
              <w:t>Pseudomonas corrugata</w:t>
            </w:r>
            <w:r w:rsidRPr="00993936">
              <w:rPr>
                <w:rFonts w:ascii="Arial" w:hAnsi="Arial" w:cs="Arial"/>
                <w:sz w:val="18"/>
                <w:szCs w:val="18"/>
                <w:lang w:val="es-ES"/>
              </w:rPr>
              <w:t xml:space="preserve">, </w:t>
            </w:r>
            <w:r w:rsidRPr="00993936">
              <w:rPr>
                <w:rFonts w:ascii="Arial" w:hAnsi="Arial" w:cs="Arial"/>
                <w:i/>
                <w:sz w:val="18"/>
                <w:szCs w:val="18"/>
                <w:lang w:val="es-ES"/>
              </w:rPr>
              <w:t>Xanthomonas campestris</w:t>
            </w:r>
            <w:r w:rsidRPr="00993936">
              <w:rPr>
                <w:rFonts w:ascii="Arial" w:hAnsi="Arial" w:cs="Arial"/>
                <w:sz w:val="18"/>
                <w:szCs w:val="18"/>
                <w:lang w:val="es-ES"/>
              </w:rPr>
              <w:t xml:space="preserve"> pv. </w:t>
            </w:r>
            <w:r w:rsidRPr="00993936">
              <w:rPr>
                <w:rFonts w:ascii="Arial" w:hAnsi="Arial" w:cs="Arial"/>
                <w:i/>
                <w:sz w:val="18"/>
                <w:szCs w:val="18"/>
                <w:lang w:val="es-ES"/>
              </w:rPr>
              <w:t>versicatoria</w:t>
            </w:r>
            <w:r w:rsidRPr="00993936">
              <w:rPr>
                <w:rFonts w:ascii="Arial" w:hAnsi="Arial" w:cs="Arial"/>
                <w:sz w:val="18"/>
                <w:szCs w:val="18"/>
                <w:lang w:val="es-ES"/>
              </w:rPr>
              <w:t xml:space="preserve">, </w:t>
            </w:r>
            <w:r w:rsidRPr="00993936">
              <w:rPr>
                <w:rFonts w:ascii="Arial" w:hAnsi="Arial" w:cs="Arial"/>
                <w:i/>
                <w:sz w:val="18"/>
                <w:szCs w:val="18"/>
                <w:lang w:val="es-ES"/>
              </w:rPr>
              <w:t>Erwinia carotovora</w:t>
            </w:r>
            <w:r w:rsidRPr="00993936">
              <w:rPr>
                <w:rFonts w:ascii="Arial" w:hAnsi="Arial" w:cs="Arial"/>
                <w:sz w:val="18"/>
                <w:szCs w:val="18"/>
                <w:lang w:val="es-ES"/>
              </w:rPr>
              <w:t xml:space="preserve"> subsp. </w:t>
            </w:r>
            <w:r w:rsidRPr="00993936">
              <w:rPr>
                <w:rFonts w:ascii="Arial" w:hAnsi="Arial" w:cs="Arial"/>
                <w:i/>
                <w:sz w:val="18"/>
                <w:szCs w:val="18"/>
                <w:lang w:val="es-ES"/>
              </w:rPr>
              <w:t>carotovora</w:t>
            </w:r>
          </w:p>
        </w:tc>
        <w:tc>
          <w:tcPr>
            <w:tcW w:w="5440" w:type="dxa"/>
          </w:tcPr>
          <w:p w:rsidR="00503A41" w:rsidRPr="00993936" w:rsidRDefault="00503A41">
            <w:pPr>
              <w:tabs>
                <w:tab w:val="left" w:pos="284"/>
              </w:tabs>
              <w:rPr>
                <w:rFonts w:ascii="Arial" w:hAnsi="Arial" w:cs="Arial"/>
                <w:sz w:val="18"/>
                <w:lang w:val="es-ES"/>
              </w:rPr>
            </w:pPr>
            <w:r w:rsidRPr="00993936">
              <w:rPr>
                <w:rFonts w:ascii="Arial" w:hAnsi="Arial" w:cs="Arial"/>
                <w:sz w:val="18"/>
                <w:lang w:val="es-ES"/>
              </w:rPr>
              <w:t>Acibenzolar-s-metil</w:t>
            </w:r>
          </w:p>
          <w:p w:rsidR="00503A41" w:rsidRPr="00993936" w:rsidRDefault="00503A41">
            <w:pPr>
              <w:tabs>
                <w:tab w:val="left" w:pos="284"/>
              </w:tabs>
              <w:rPr>
                <w:rFonts w:ascii="Arial" w:hAnsi="Arial" w:cs="Arial"/>
                <w:i/>
                <w:sz w:val="18"/>
                <w:lang w:val="es-ES"/>
              </w:rPr>
            </w:pPr>
            <w:r w:rsidRPr="00993936">
              <w:rPr>
                <w:rFonts w:ascii="Arial" w:hAnsi="Arial" w:cs="Arial"/>
                <w:i/>
                <w:sz w:val="18"/>
                <w:lang w:val="es-ES"/>
              </w:rPr>
              <w:t>Bacillus subtilis</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Hidróxido cúprico</w:t>
            </w:r>
            <w:r w:rsidRPr="00993936">
              <w:rPr>
                <w:rFonts w:ascii="Arial" w:hAnsi="Arial" w:cs="Arial"/>
                <w:sz w:val="18"/>
                <w:lang w:val="es-ES"/>
              </w:rPr>
              <w:t xml:space="preserve"> </w:t>
            </w:r>
            <w:r w:rsidRPr="00993936">
              <w:rPr>
                <w:rFonts w:ascii="Arial" w:hAnsi="Arial" w:cs="Arial"/>
                <w:sz w:val="18"/>
                <w:szCs w:val="18"/>
                <w:lang w:val="es-ES"/>
              </w:rPr>
              <w:t>(4)</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Oxicloruro de cobre</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Óxido cuproso</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Sulfato cuprocálcico</w:t>
            </w:r>
          </w:p>
          <w:p w:rsidR="00503A41" w:rsidRPr="00993936" w:rsidRDefault="00503A41">
            <w:pPr>
              <w:tabs>
                <w:tab w:val="left" w:pos="284"/>
              </w:tabs>
              <w:rPr>
                <w:rFonts w:ascii="Arial" w:hAnsi="Arial" w:cs="Arial"/>
                <w:sz w:val="18"/>
                <w:szCs w:val="18"/>
                <w:lang w:val="es-ES"/>
              </w:rPr>
            </w:pPr>
            <w:r w:rsidRPr="00993936">
              <w:rPr>
                <w:rFonts w:ascii="Arial" w:hAnsi="Arial" w:cs="Arial"/>
                <w:sz w:val="18"/>
                <w:szCs w:val="18"/>
                <w:lang w:val="es-ES"/>
              </w:rPr>
              <w:t>Sulfato tribásico de cobre</w:t>
            </w:r>
          </w:p>
        </w:tc>
      </w:tr>
      <w:tr w:rsidR="00503A41" w:rsidRPr="00993936">
        <w:trPr>
          <w:cantSplit/>
          <w:trHeight w:val="240"/>
          <w:jc w:val="center"/>
        </w:trPr>
        <w:tc>
          <w:tcPr>
            <w:tcW w:w="3544" w:type="dxa"/>
            <w:vAlign w:val="center"/>
          </w:tcPr>
          <w:p w:rsidR="00503A41" w:rsidRPr="00993936" w:rsidRDefault="00503A41">
            <w:pPr>
              <w:rPr>
                <w:rFonts w:ascii="Arial" w:hAnsi="Arial" w:cs="Arial"/>
                <w:sz w:val="18"/>
                <w:szCs w:val="18"/>
                <w:lang w:val="es-ES"/>
              </w:rPr>
            </w:pPr>
            <w:r w:rsidRPr="00993936">
              <w:rPr>
                <w:rFonts w:ascii="Arial" w:hAnsi="Arial" w:cs="Arial"/>
                <w:b/>
                <w:snapToGrid w:val="0"/>
                <w:sz w:val="18"/>
                <w:szCs w:val="18"/>
                <w:lang w:val="es-ES" w:eastAsia="es-ES"/>
              </w:rPr>
              <w:t>Otras plagas y enfermedades</w:t>
            </w:r>
          </w:p>
        </w:tc>
        <w:tc>
          <w:tcPr>
            <w:tcW w:w="5440" w:type="dxa"/>
            <w:vAlign w:val="center"/>
          </w:tcPr>
          <w:p w:rsidR="00503A41" w:rsidRPr="00993936" w:rsidRDefault="00503A41">
            <w:pPr>
              <w:jc w:val="both"/>
              <w:rPr>
                <w:rFonts w:ascii="Arial" w:hAnsi="Arial" w:cs="Arial"/>
                <w:sz w:val="18"/>
                <w:szCs w:val="18"/>
                <w:lang w:val="es-ES"/>
              </w:rPr>
            </w:pPr>
            <w:r w:rsidRPr="00993936">
              <w:rPr>
                <w:rFonts w:ascii="Arial" w:hAnsi="Arial" w:cs="Arial"/>
                <w:snapToGrid w:val="0"/>
                <w:sz w:val="18"/>
                <w:szCs w:val="18"/>
                <w:lang w:val="es-ES" w:eastAsia="es-ES"/>
              </w:rPr>
              <w:t>Las expresamente autorizadas en el cultivo, teniendo en cuenta su efecto sobre la fauna útil y su toxicología.</w:t>
            </w:r>
          </w:p>
        </w:tc>
      </w:tr>
    </w:tbl>
    <w:p w:rsidR="00503A41" w:rsidRPr="00993936" w:rsidRDefault="00503A41">
      <w:pPr>
        <w:jc w:val="both"/>
        <w:rPr>
          <w:rFonts w:ascii="Arial" w:hAnsi="Arial" w:cs="Arial"/>
          <w:b/>
          <w:lang w:val="es-ES"/>
        </w:rPr>
      </w:pPr>
      <w:r w:rsidRPr="00993936">
        <w:rPr>
          <w:rFonts w:ascii="Arial" w:hAnsi="Arial" w:cs="Arial"/>
          <w:b/>
          <w:lang w:val="es-ES"/>
        </w:rPr>
        <w:t xml:space="preserve"> </w:t>
      </w:r>
    </w:p>
    <w:p w:rsidR="00503A41" w:rsidRPr="00993936" w:rsidRDefault="00503A41" w:rsidP="000452B8">
      <w:pPr>
        <w:pStyle w:val="taula"/>
        <w:rPr>
          <w:rFonts w:cs="Arial"/>
          <w:b/>
          <w:noProof w:val="0"/>
          <w:sz w:val="22"/>
          <w:szCs w:val="22"/>
          <w:lang w:val="es-ES" w:eastAsia="ca-ES"/>
        </w:rPr>
      </w:pPr>
      <w:r w:rsidRPr="00993936">
        <w:rPr>
          <w:rFonts w:cs="Arial"/>
          <w:b/>
          <w:noProof w:val="0"/>
          <w:sz w:val="22"/>
          <w:szCs w:val="22"/>
          <w:lang w:val="es-ES" w:eastAsia="ca-ES"/>
        </w:rPr>
        <w:t>RESTRICCIONES</w:t>
      </w:r>
    </w:p>
    <w:p w:rsidR="00503A41" w:rsidRPr="00993936" w:rsidRDefault="00503A41" w:rsidP="000452B8">
      <w:pPr>
        <w:pStyle w:val="taula"/>
        <w:rPr>
          <w:rFonts w:cs="Arial"/>
          <w:b/>
          <w:noProof w:val="0"/>
          <w:sz w:val="22"/>
          <w:szCs w:val="22"/>
          <w:lang w:val="es-ES" w:eastAsia="ca-ES"/>
        </w:rPr>
      </w:pP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(1) Máximo 1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(2) Máximo 2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(3) Máximo 3 tratamiento / ciclo de cultivo</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(4) Sólo formulaciones que no sean de clasificación toxicológica (T)</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(5) Sólo formulaciones comerciales registradas</w:t>
      </w:r>
    </w:p>
    <w:p w:rsidR="00503A41" w:rsidRPr="00993936" w:rsidRDefault="00503A41" w:rsidP="000452B8">
      <w:pPr>
        <w:pStyle w:val="taula"/>
        <w:rPr>
          <w:rFonts w:cs="Arial"/>
          <w:noProof w:val="0"/>
          <w:sz w:val="22"/>
          <w:szCs w:val="22"/>
          <w:lang w:val="es-ES" w:eastAsia="ca-ES"/>
        </w:rPr>
      </w:pPr>
      <w:r w:rsidRPr="00993936">
        <w:rPr>
          <w:rFonts w:cs="Arial"/>
          <w:noProof w:val="0"/>
          <w:sz w:val="22"/>
          <w:szCs w:val="22"/>
          <w:lang w:val="es-ES" w:eastAsia="ca-ES"/>
        </w:rPr>
        <w:t>(6) Sólo en cultivos al aire libre</w:t>
      </w:r>
    </w:p>
    <w:p w:rsidR="00503A41" w:rsidRPr="00993936" w:rsidRDefault="00503A41" w:rsidP="000452B8">
      <w:pPr>
        <w:pStyle w:val="Textoindependiente2"/>
        <w:rPr>
          <w:rFonts w:cs="Arial"/>
          <w:lang w:val="es-ES"/>
        </w:rPr>
      </w:pPr>
      <w:r w:rsidRPr="00993936">
        <w:rPr>
          <w:rFonts w:cs="Arial"/>
          <w:lang w:val="es-ES"/>
        </w:rPr>
        <w:br w:type="page"/>
      </w:r>
      <w:r w:rsidRPr="00993936">
        <w:rPr>
          <w:rFonts w:cs="Arial"/>
          <w:b/>
          <w:sz w:val="22"/>
          <w:lang w:val="es-ES"/>
        </w:rPr>
        <w:lastRenderedPageBreak/>
        <w:t>APÉNDICE FINAL: Códigos HRAC, IRAC y FRAC</w:t>
      </w:r>
    </w:p>
    <w:p w:rsidR="00503A41" w:rsidRPr="00993936" w:rsidRDefault="00503A41" w:rsidP="000452B8">
      <w:pPr>
        <w:pStyle w:val="Textoindependiente2"/>
        <w:rPr>
          <w:rFonts w:cs="Arial"/>
          <w:b/>
          <w:sz w:val="22"/>
          <w:lang w:val="es-ES"/>
        </w:rPr>
      </w:pPr>
    </w:p>
    <w:p w:rsidR="00503A41" w:rsidRPr="00993936" w:rsidRDefault="00503A41" w:rsidP="000452B8">
      <w:pPr>
        <w:pStyle w:val="Textoindependiente2"/>
        <w:rPr>
          <w:rFonts w:cs="Arial"/>
          <w:b/>
          <w:sz w:val="22"/>
          <w:lang w:val="es-ES"/>
        </w:rPr>
      </w:pPr>
      <w:r w:rsidRPr="00993936">
        <w:rPr>
          <w:rFonts w:cs="Arial"/>
          <w:b/>
          <w:sz w:val="22"/>
          <w:lang w:val="es-ES"/>
        </w:rPr>
        <w:t>A. Materias activas de herbicidas para la producción integrada de Hortalizas con indicación del código de resistencia HRAC.</w:t>
      </w:r>
    </w:p>
    <w:p w:rsidR="00503A41" w:rsidRPr="00993936" w:rsidRDefault="00503A41" w:rsidP="000452B8">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0452B8">
            <w:pPr>
              <w:autoSpaceDE w:val="0"/>
              <w:autoSpaceDN w:val="0"/>
              <w:adjustRightInd w:val="0"/>
              <w:jc w:val="center"/>
              <w:rPr>
                <w:rFonts w:ascii="Arial" w:hAnsi="Arial" w:cs="Arial"/>
                <w:b/>
                <w:bCs/>
                <w:sz w:val="20"/>
                <w:lang w:val="es-ES"/>
              </w:rPr>
            </w:pPr>
            <w:r w:rsidRPr="00993936">
              <w:rPr>
                <w:rFonts w:ascii="Arial" w:hAnsi="Arial" w:cs="Arial"/>
                <w:b/>
                <w:bCs/>
                <w:sz w:val="20"/>
                <w:lang w:val="es-ES"/>
              </w:rPr>
              <w:t>TIPO DE HERBICIDAS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0452B8">
            <w:pPr>
              <w:autoSpaceDE w:val="0"/>
              <w:autoSpaceDN w:val="0"/>
              <w:adjustRightInd w:val="0"/>
              <w:rPr>
                <w:rFonts w:ascii="Arial" w:hAnsi="Arial" w:cs="Arial"/>
                <w:b/>
                <w:bCs/>
                <w:sz w:val="20"/>
                <w:lang w:val="es-ES"/>
              </w:rPr>
            </w:pPr>
            <w:r w:rsidRPr="00993936">
              <w:rPr>
                <w:rFonts w:ascii="Arial" w:hAnsi="Arial" w:cs="Arial"/>
                <w:b/>
                <w:bCs/>
                <w:sz w:val="20"/>
                <w:lang w:val="es-ES"/>
              </w:rPr>
              <w:t xml:space="preserve">Materia activa </w:t>
            </w: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sz w:val="20"/>
                <w:lang w:val="es-ES"/>
              </w:rPr>
            </w:pPr>
            <w:r w:rsidRPr="00993936">
              <w:rPr>
                <w:rFonts w:ascii="Arial" w:hAnsi="Arial" w:cs="Arial"/>
                <w:b/>
                <w:bCs/>
                <w:sz w:val="20"/>
                <w:lang w:val="es-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0452B8">
            <w:pPr>
              <w:autoSpaceDE w:val="0"/>
              <w:autoSpaceDN w:val="0"/>
              <w:adjustRightInd w:val="0"/>
              <w:jc w:val="center"/>
              <w:rPr>
                <w:rFonts w:ascii="Arial" w:hAnsi="Arial" w:cs="Arial"/>
                <w:b/>
                <w:bCs/>
                <w:sz w:val="20"/>
                <w:lang w:val="es-ES"/>
              </w:rPr>
            </w:pP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sz w:val="20"/>
                <w:lang w:val="es-ES"/>
              </w:rPr>
            </w:pPr>
            <w:r w:rsidRPr="00993936">
              <w:rPr>
                <w:rFonts w:ascii="Arial" w:hAnsi="Arial" w:cs="Arial"/>
                <w:b/>
                <w:bCs/>
                <w:sz w:val="20"/>
                <w:lang w:val="es-ES"/>
              </w:rPr>
              <w:t>HRAC (*)</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Ácido pelargónico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Z</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Ácido pelargónico + Glifosato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Z+G</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Aclonifén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F3</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Benfluralina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K1</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Bentazona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C3</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Bentazona + Imazamox</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C3+B</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Bromoxinil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C3</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Carfentrazona-etil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E</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Cicloxidim</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Cletodim</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Clomazona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F4</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Clorprofam</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K2</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Diclofop</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Diquat</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D</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Etofumesato + Metamitrona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N+C1</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Fluazifop</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Fluazifop-p-butil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Fluorocloridona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F1</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Glifosato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G</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Glifosato + Piraflufen-etil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G+E</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Glufosinato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H</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Imazamox + Pendimetalina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B+K1</w:t>
            </w:r>
          </w:p>
        </w:tc>
      </w:tr>
      <w:tr w:rsidR="00503A41" w:rsidRPr="00993936" w:rsidTr="000452B8">
        <w:trPr>
          <w:trHeight w:val="270"/>
        </w:trPr>
        <w:tc>
          <w:tcPr>
            <w:tcW w:w="2500" w:type="pct"/>
            <w:shd w:val="solid" w:color="FFFFFF" w:fill="auto"/>
          </w:tcPr>
          <w:p w:rsidR="00503A41" w:rsidRPr="00993936" w:rsidRDefault="00503A41" w:rsidP="001D205D">
            <w:pPr>
              <w:autoSpaceDE w:val="0"/>
              <w:autoSpaceDN w:val="0"/>
              <w:adjustRightInd w:val="0"/>
              <w:rPr>
                <w:rFonts w:ascii="Arial" w:hAnsi="Arial" w:cs="Arial"/>
                <w:sz w:val="20"/>
                <w:lang w:val="es-ES"/>
              </w:rPr>
            </w:pPr>
            <w:r w:rsidRPr="00993936">
              <w:rPr>
                <w:rFonts w:ascii="Arial" w:hAnsi="Arial" w:cs="Arial"/>
                <w:sz w:val="20"/>
                <w:lang w:val="es-ES"/>
              </w:rPr>
              <w:t>Isoxabén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L</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Lenacil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C1</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Linurón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C2</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Metam-potassi</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Z</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Metazaclor</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K3</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lastRenderedPageBreak/>
              <w:t>Metribuzina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C1</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Napropamida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K3</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Oxifluorfén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E</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Pendimetalina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K1</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Pendimetalina + Clomazona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K1+F4</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Para evitar la aparición de resistencias alternar el uso de materias activas que presenten códigos de resistencia (HRAC) diferentes</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 Fuente: Comité de Acción de Resistencia en Herbicidas</w:t>
            </w:r>
          </w:p>
        </w:tc>
      </w:tr>
    </w:tbl>
    <w:p w:rsidR="00503A41" w:rsidRPr="00993936" w:rsidRDefault="00503A41">
      <w:pPr>
        <w:rPr>
          <w:rFonts w:ascii="Arial" w:hAnsi="Arial" w:cs="Arial"/>
          <w:lang w:val="es-ES"/>
        </w:rPr>
      </w:pPr>
    </w:p>
    <w:p w:rsidR="00503A41" w:rsidRPr="00993936" w:rsidRDefault="00503A41" w:rsidP="000452B8">
      <w:pPr>
        <w:jc w:val="both"/>
        <w:rPr>
          <w:rFonts w:ascii="Arial" w:hAnsi="Arial" w:cs="Arial"/>
          <w:lang w:val="es-ES"/>
        </w:rPr>
      </w:pPr>
      <w:r w:rsidRPr="00993936">
        <w:rPr>
          <w:rFonts w:ascii="Arial" w:hAnsi="Arial" w:cs="Arial"/>
          <w:lang w:val="es-ES"/>
        </w:rPr>
        <w:br w:type="page"/>
      </w:r>
    </w:p>
    <w:p w:rsidR="00503A41" w:rsidRPr="00993936" w:rsidRDefault="00503A41" w:rsidP="000452B8">
      <w:pPr>
        <w:jc w:val="both"/>
        <w:rPr>
          <w:rFonts w:ascii="Arial" w:hAnsi="Arial" w:cs="Arial"/>
          <w:lang w:val="es-ES"/>
        </w:rPr>
      </w:pPr>
    </w:p>
    <w:p w:rsidR="00503A41" w:rsidRPr="00993936" w:rsidRDefault="00503A41" w:rsidP="000452B8">
      <w:pPr>
        <w:jc w:val="both"/>
        <w:rPr>
          <w:rFonts w:ascii="Arial" w:hAnsi="Arial" w:cs="Arial"/>
          <w:b/>
          <w:lang w:val="es-ES"/>
        </w:rPr>
      </w:pPr>
      <w:r w:rsidRPr="00993936">
        <w:rPr>
          <w:rFonts w:ascii="Arial" w:hAnsi="Arial" w:cs="Arial"/>
          <w:b/>
          <w:lang w:val="es-ES"/>
        </w:rPr>
        <w:t>A. Materias activas de herbicidas para la producción integrada de Hortalizas con indicación del código de resistencia HRAC (continuación).</w:t>
      </w:r>
    </w:p>
    <w:p w:rsidR="00503A41" w:rsidRPr="00993936" w:rsidRDefault="00503A41">
      <w:pPr>
        <w:rPr>
          <w:rFonts w:ascii="Arial" w:hAnsi="Arial"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0452B8">
            <w:pPr>
              <w:autoSpaceDE w:val="0"/>
              <w:autoSpaceDN w:val="0"/>
              <w:adjustRightInd w:val="0"/>
              <w:jc w:val="center"/>
              <w:rPr>
                <w:rFonts w:ascii="Arial" w:hAnsi="Arial" w:cs="Arial"/>
                <w:b/>
                <w:bCs/>
                <w:sz w:val="20"/>
                <w:lang w:val="es-ES"/>
              </w:rPr>
            </w:pPr>
            <w:r w:rsidRPr="00993936">
              <w:rPr>
                <w:rFonts w:ascii="Arial" w:hAnsi="Arial" w:cs="Arial"/>
                <w:b/>
                <w:bCs/>
                <w:sz w:val="20"/>
                <w:lang w:val="es-ES"/>
              </w:rPr>
              <w:t>TIPO DE HERBICIDAS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0452B8">
            <w:pPr>
              <w:autoSpaceDE w:val="0"/>
              <w:autoSpaceDN w:val="0"/>
              <w:adjustRightInd w:val="0"/>
              <w:rPr>
                <w:rFonts w:ascii="Arial" w:hAnsi="Arial" w:cs="Arial"/>
                <w:b/>
                <w:bCs/>
                <w:sz w:val="20"/>
                <w:lang w:val="es-ES"/>
              </w:rPr>
            </w:pPr>
            <w:r w:rsidRPr="00993936">
              <w:rPr>
                <w:rFonts w:ascii="Arial" w:hAnsi="Arial" w:cs="Arial"/>
                <w:b/>
                <w:bCs/>
                <w:sz w:val="20"/>
                <w:lang w:val="es-ES"/>
              </w:rPr>
              <w:t xml:space="preserve">Materia activa </w:t>
            </w: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sz w:val="20"/>
                <w:lang w:val="es-ES"/>
              </w:rPr>
            </w:pPr>
            <w:r w:rsidRPr="00993936">
              <w:rPr>
                <w:rFonts w:ascii="Arial" w:hAnsi="Arial" w:cs="Arial"/>
                <w:b/>
                <w:bCs/>
                <w:sz w:val="20"/>
                <w:lang w:val="es-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0452B8">
            <w:pPr>
              <w:autoSpaceDE w:val="0"/>
              <w:autoSpaceDN w:val="0"/>
              <w:adjustRightInd w:val="0"/>
              <w:jc w:val="center"/>
              <w:rPr>
                <w:rFonts w:ascii="Arial" w:hAnsi="Arial" w:cs="Arial"/>
                <w:b/>
                <w:bCs/>
                <w:sz w:val="20"/>
                <w:lang w:val="es-ES"/>
              </w:rPr>
            </w:pP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sz w:val="20"/>
                <w:lang w:val="es-ES"/>
              </w:rPr>
            </w:pPr>
            <w:r w:rsidRPr="00993936">
              <w:rPr>
                <w:rFonts w:ascii="Arial" w:hAnsi="Arial" w:cs="Arial"/>
                <w:b/>
                <w:bCs/>
                <w:sz w:val="20"/>
                <w:lang w:val="es-ES"/>
              </w:rPr>
              <w:t>HRAC (*)</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Piraflufen-etil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E</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Piridato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C3</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Propaquizafop</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Propizamida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K1</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Prosulfocarb</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N</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Quizalofop-p-etil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Rimsulfurón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B</w:t>
            </w:r>
          </w:p>
        </w:tc>
      </w:tr>
      <w:tr w:rsidR="00503A41" w:rsidRPr="00993936" w:rsidTr="000452B8">
        <w:trPr>
          <w:trHeight w:val="27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S-metolaclor</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K3</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Para evitar la aparición de resistencias alternar el uso de materias activas que presenten códigos de resistencia (HRAC) diferentes</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 Fuente: Comité de Acción de Resistencia en Herbicidas</w:t>
            </w:r>
          </w:p>
        </w:tc>
      </w:tr>
    </w:tbl>
    <w:p w:rsidR="00503A41" w:rsidRPr="00993936" w:rsidRDefault="00503A41" w:rsidP="000452B8">
      <w:pPr>
        <w:pStyle w:val="Textoindependiente2"/>
        <w:rPr>
          <w:rFonts w:cs="Arial"/>
          <w:lang w:val="es-ES"/>
        </w:rPr>
      </w:pPr>
    </w:p>
    <w:p w:rsidR="00503A41" w:rsidRPr="00993936" w:rsidRDefault="00503A41" w:rsidP="000452B8">
      <w:pPr>
        <w:spacing w:after="200" w:line="276" w:lineRule="auto"/>
        <w:jc w:val="both"/>
        <w:rPr>
          <w:rFonts w:ascii="Arial" w:hAnsi="Arial" w:cs="Arial"/>
          <w:b/>
          <w:lang w:val="es-ES"/>
        </w:rPr>
      </w:pPr>
      <w:r w:rsidRPr="00993936">
        <w:rPr>
          <w:rFonts w:ascii="Arial" w:hAnsi="Arial" w:cs="Arial"/>
          <w:b/>
          <w:lang w:val="es-ES"/>
        </w:rPr>
        <w:t>B. Materias activas de insecticidas para la producción integrada de Hortalizas con indicación del código de resistencia IRAC</w:t>
      </w:r>
    </w:p>
    <w:p w:rsidR="00503A41" w:rsidRPr="00993936" w:rsidRDefault="00503A41" w:rsidP="000452B8">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0452B8">
            <w:pPr>
              <w:autoSpaceDE w:val="0"/>
              <w:autoSpaceDN w:val="0"/>
              <w:adjustRightInd w:val="0"/>
              <w:jc w:val="center"/>
              <w:rPr>
                <w:rFonts w:ascii="Arial" w:hAnsi="Arial" w:cs="Arial"/>
                <w:b/>
                <w:bCs/>
                <w:sz w:val="18"/>
                <w:lang w:val="es-ES"/>
              </w:rPr>
            </w:pPr>
            <w:r w:rsidRPr="00993936">
              <w:rPr>
                <w:rFonts w:ascii="Arial" w:hAnsi="Arial" w:cs="Arial"/>
                <w:b/>
                <w:bCs/>
                <w:sz w:val="18"/>
                <w:lang w:val="es-ES"/>
              </w:rPr>
              <w:t>TIPO DE INSECTICIDAS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0452B8">
            <w:pPr>
              <w:autoSpaceDE w:val="0"/>
              <w:autoSpaceDN w:val="0"/>
              <w:adjustRightInd w:val="0"/>
              <w:rPr>
                <w:rFonts w:ascii="Arial" w:hAnsi="Arial" w:cs="Arial"/>
                <w:b/>
                <w:bCs/>
                <w:sz w:val="18"/>
                <w:lang w:val="es-ES"/>
              </w:rPr>
            </w:pPr>
            <w:r w:rsidRPr="00993936">
              <w:rPr>
                <w:rFonts w:ascii="Arial" w:hAnsi="Arial" w:cs="Arial"/>
                <w:b/>
                <w:bCs/>
                <w:sz w:val="18"/>
                <w:lang w:val="es-ES"/>
              </w:rPr>
              <w:t xml:space="preserve">Materia activa </w:t>
            </w: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sz w:val="18"/>
                <w:lang w:val="es-ES"/>
              </w:rPr>
            </w:pPr>
            <w:r w:rsidRPr="00993936">
              <w:rPr>
                <w:rFonts w:ascii="Arial" w:hAnsi="Arial" w:cs="Arial"/>
                <w:b/>
                <w:bCs/>
                <w:sz w:val="18"/>
                <w:lang w:val="es-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0452B8">
            <w:pPr>
              <w:autoSpaceDE w:val="0"/>
              <w:autoSpaceDN w:val="0"/>
              <w:adjustRightInd w:val="0"/>
              <w:jc w:val="center"/>
              <w:rPr>
                <w:rFonts w:ascii="Arial" w:hAnsi="Arial" w:cs="Arial"/>
                <w:b/>
                <w:bCs/>
                <w:sz w:val="18"/>
                <w:lang w:val="es-ES"/>
              </w:rPr>
            </w:pP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sz w:val="18"/>
                <w:lang w:val="es-ES"/>
              </w:rPr>
            </w:pPr>
            <w:r w:rsidRPr="00993936">
              <w:rPr>
                <w:rFonts w:ascii="Arial" w:hAnsi="Arial" w:cs="Arial"/>
                <w:b/>
                <w:bCs/>
                <w:sz w:val="18"/>
                <w:lang w:val="es-ES"/>
              </w:rPr>
              <w:t>IRAC (*)</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Abamectina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6</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Acetamiprid</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4A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Acrinatrín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Alfa cipermetrín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Azadiractín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UNO</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Azoxistrobín + Difenoconazol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C3+3</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Bacillus thuringiensis aizawai</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11A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Bacillus thuringiensis kurstaki</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11A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Beauveria bassiana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18"/>
                <w:lang w:val="es-ES"/>
              </w:rPr>
              <w:t>-</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Betaciflutrín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lastRenderedPageBreak/>
              <w:t xml:space="preserve">Cipermetrín </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Cipermetrín + Clorpirifos</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3A+1B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Cipermetrín + Metil-cloripirifós</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3A+1B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Ciromazina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17</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Clofentezina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10A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Clorantraniliprol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28</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Clorpirifos</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1B</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18"/>
                <w:lang w:val="es-ES"/>
              </w:rPr>
              <w:t>Para evitar la aparición de resistencias alternar el uso de materias activas que presenten códigos de resistencia (IRAC) diferentes</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18"/>
                <w:lang w:val="es-ES"/>
              </w:rPr>
              <w:t>(*) Fuente: Comité de Acción de Resistencia en Insecticidas</w:t>
            </w:r>
          </w:p>
        </w:tc>
      </w:tr>
    </w:tbl>
    <w:p w:rsidR="00503A41" w:rsidRPr="00993936" w:rsidRDefault="00503A41">
      <w:pPr>
        <w:rPr>
          <w:rFonts w:ascii="Arial" w:hAnsi="Arial" w:cs="Arial"/>
          <w:lang w:val="es-ES"/>
        </w:rPr>
      </w:pPr>
    </w:p>
    <w:p w:rsidR="00503A41" w:rsidRPr="00993936" w:rsidRDefault="00503A41">
      <w:pPr>
        <w:rPr>
          <w:rFonts w:ascii="Arial" w:hAnsi="Arial" w:cs="Arial"/>
          <w:lang w:val="es-ES"/>
        </w:rPr>
      </w:pPr>
    </w:p>
    <w:p w:rsidR="00503A41" w:rsidRPr="00993936" w:rsidRDefault="00503A41" w:rsidP="000452B8">
      <w:pPr>
        <w:spacing w:after="200" w:line="276" w:lineRule="auto"/>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 xml:space="preserve"> </w:t>
      </w:r>
    </w:p>
    <w:p w:rsidR="00503A41" w:rsidRPr="00993936" w:rsidRDefault="00503A41" w:rsidP="000452B8">
      <w:pPr>
        <w:spacing w:after="200" w:line="276" w:lineRule="auto"/>
        <w:jc w:val="both"/>
        <w:rPr>
          <w:rFonts w:ascii="Arial" w:hAnsi="Arial" w:cs="Arial"/>
          <w:lang w:val="es-ES"/>
        </w:rPr>
      </w:pPr>
      <w:r w:rsidRPr="00993936">
        <w:rPr>
          <w:rFonts w:ascii="Arial" w:hAnsi="Arial" w:cs="Arial"/>
          <w:b/>
          <w:lang w:val="es-ES"/>
        </w:rPr>
        <w:t>B. Materias activas de insecticidas para la producción integrada de Hortalizas con indicación del código de resistencia IRAC (continuación)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0452B8">
            <w:pPr>
              <w:autoSpaceDE w:val="0"/>
              <w:autoSpaceDN w:val="0"/>
              <w:adjustRightInd w:val="0"/>
              <w:jc w:val="center"/>
              <w:rPr>
                <w:rFonts w:ascii="Arial" w:hAnsi="Arial" w:cs="Arial"/>
                <w:b/>
                <w:bCs/>
                <w:sz w:val="18"/>
                <w:lang w:val="es-ES"/>
              </w:rPr>
            </w:pPr>
            <w:r w:rsidRPr="00993936">
              <w:rPr>
                <w:rFonts w:ascii="Arial" w:hAnsi="Arial" w:cs="Arial"/>
                <w:b/>
                <w:bCs/>
                <w:sz w:val="18"/>
                <w:lang w:val="es-ES"/>
              </w:rPr>
              <w:t>TIPO DE INSECTICIDAS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0452B8">
            <w:pPr>
              <w:autoSpaceDE w:val="0"/>
              <w:autoSpaceDN w:val="0"/>
              <w:adjustRightInd w:val="0"/>
              <w:rPr>
                <w:rFonts w:ascii="Arial" w:hAnsi="Arial" w:cs="Arial"/>
                <w:b/>
                <w:bCs/>
                <w:sz w:val="18"/>
                <w:lang w:val="es-ES"/>
              </w:rPr>
            </w:pPr>
            <w:r w:rsidRPr="00993936">
              <w:rPr>
                <w:rFonts w:ascii="Arial" w:hAnsi="Arial" w:cs="Arial"/>
                <w:b/>
                <w:bCs/>
                <w:sz w:val="18"/>
                <w:lang w:val="es-ES"/>
              </w:rPr>
              <w:t xml:space="preserve">Materia activa </w:t>
            </w: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sz w:val="18"/>
                <w:lang w:val="es-ES"/>
              </w:rPr>
            </w:pPr>
            <w:r w:rsidRPr="00993936">
              <w:rPr>
                <w:rFonts w:ascii="Arial" w:hAnsi="Arial" w:cs="Arial"/>
                <w:b/>
                <w:bCs/>
                <w:sz w:val="18"/>
                <w:lang w:val="es-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0452B8">
            <w:pPr>
              <w:autoSpaceDE w:val="0"/>
              <w:autoSpaceDN w:val="0"/>
              <w:adjustRightInd w:val="0"/>
              <w:jc w:val="center"/>
              <w:rPr>
                <w:rFonts w:ascii="Arial" w:hAnsi="Arial" w:cs="Arial"/>
                <w:b/>
                <w:bCs/>
                <w:sz w:val="18"/>
                <w:lang w:val="es-ES"/>
              </w:rPr>
            </w:pPr>
          </w:p>
        </w:tc>
        <w:tc>
          <w:tcPr>
            <w:tcW w:w="2500" w:type="pct"/>
            <w:shd w:val="solid" w:color="C0C0C0" w:fill="auto"/>
          </w:tcPr>
          <w:p w:rsidR="00503A41" w:rsidRPr="00993936" w:rsidRDefault="00503A41" w:rsidP="000452B8">
            <w:pPr>
              <w:autoSpaceDE w:val="0"/>
              <w:autoSpaceDN w:val="0"/>
              <w:adjustRightInd w:val="0"/>
              <w:jc w:val="center"/>
              <w:rPr>
                <w:rFonts w:ascii="Arial" w:hAnsi="Arial" w:cs="Arial"/>
                <w:b/>
                <w:bCs/>
                <w:sz w:val="18"/>
                <w:lang w:val="es-ES"/>
              </w:rPr>
            </w:pPr>
            <w:r w:rsidRPr="00993936">
              <w:rPr>
                <w:rFonts w:ascii="Arial" w:hAnsi="Arial" w:cs="Arial"/>
                <w:b/>
                <w:bCs/>
                <w:sz w:val="18"/>
                <w:lang w:val="es-ES"/>
              </w:rPr>
              <w:t>IRAC (*)</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Clotianidina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4A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Deltametrín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Deltametrín + Imidacloprid</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3A+4A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Emamectina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6</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Esfenvalerat</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Espinosad</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5</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Spirotetramat</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23</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Espiromesifén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23</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Etofenprox</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 xml:space="preserve">Etoprofós </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Etoxazol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10B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20"/>
                <w:lang w:val="es-ES"/>
              </w:rPr>
            </w:pPr>
            <w:r w:rsidRPr="00993936">
              <w:rPr>
                <w:rFonts w:ascii="Arial" w:hAnsi="Arial" w:cs="Arial"/>
                <w:sz w:val="20"/>
                <w:lang w:val="es-ES"/>
              </w:rPr>
              <w:t>Fenamidona + Fosetil-al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20"/>
                <w:lang w:val="es-ES"/>
              </w:rPr>
            </w:pPr>
            <w:r w:rsidRPr="00993936">
              <w:rPr>
                <w:rFonts w:ascii="Arial" w:hAnsi="Arial" w:cs="Arial"/>
                <w:sz w:val="20"/>
                <w:lang w:val="es-ES"/>
              </w:rPr>
              <w:t>11+33</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Fenamifós</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Fenbutatina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12B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Fenpiroximat</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21B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Flonicamid</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29</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Hexitiazox</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10A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Imidacloprid</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4A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Indoxacarb</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22A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Lambda-cihalotrín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Lufenurón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15</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Metaflumizona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22B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Metam-sodi</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8F</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Metazaclor</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8F</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Metil-Clorpirifos</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Metiocarb</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Metomilo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lastRenderedPageBreak/>
              <w:t>Metoxifenozida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18</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Miclobutanil</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Aceite parafínico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NC</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Oxamilo</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Pimetrozina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9B</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Piretrinas/piretrina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Pirimicarb</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Piriproxifén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7C</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Azufre + Cipermetrín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M2+3A</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18"/>
                <w:lang w:val="es-ES"/>
              </w:rPr>
              <w:t>Para evitar la aparición de resistencias alternar el uso de materias activas que presenten códigos de resistencia (IRAC) diferentes</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18"/>
                <w:lang w:val="es-ES"/>
              </w:rPr>
              <w:t>(*) Fuente: Comité de Acción de Resistencia en Insecticidas</w:t>
            </w:r>
          </w:p>
        </w:tc>
      </w:tr>
    </w:tbl>
    <w:p w:rsidR="00503A41" w:rsidRPr="00993936" w:rsidRDefault="00503A41">
      <w:pPr>
        <w:rPr>
          <w:rFonts w:ascii="Arial" w:hAnsi="Arial" w:cs="Arial"/>
          <w:lang w:val="es-ES"/>
        </w:rPr>
      </w:pPr>
    </w:p>
    <w:p w:rsidR="00503A41" w:rsidRPr="00993936" w:rsidRDefault="00503A41" w:rsidP="000452B8">
      <w:pPr>
        <w:spacing w:after="200" w:line="276" w:lineRule="auto"/>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B.</w:t>
      </w:r>
      <w:r w:rsidRPr="00993936">
        <w:rPr>
          <w:rFonts w:ascii="Arial" w:hAnsi="Arial" w:cs="Arial"/>
          <w:lang w:val="es-ES"/>
        </w:rPr>
        <w:t xml:space="preserve"> </w:t>
      </w:r>
      <w:r w:rsidRPr="00993936">
        <w:rPr>
          <w:rFonts w:ascii="Arial" w:hAnsi="Arial" w:cs="Arial"/>
          <w:b/>
          <w:lang w:val="es-ES"/>
        </w:rPr>
        <w:t>Materias activas de insecticidas para la producción integrada de Hortalizas con indicación del código de resistencia IRAC (continuación)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Tau-fluvalinat</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Tebufenocida</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18</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Tebufenpirad</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21A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Teflutrín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Tiacloprid</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4A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Tiametoxam</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4A</w:t>
            </w:r>
          </w:p>
        </w:tc>
      </w:tr>
      <w:tr w:rsidR="00503A41" w:rsidRPr="00993936" w:rsidTr="000452B8">
        <w:trPr>
          <w:trHeight w:val="260"/>
        </w:trPr>
        <w:tc>
          <w:tcPr>
            <w:tcW w:w="2500" w:type="pct"/>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20"/>
                <w:lang w:val="es-ES"/>
              </w:rPr>
              <w:t>Zeta-cipermetrín</w:t>
            </w:r>
          </w:p>
        </w:tc>
        <w:tc>
          <w:tcPr>
            <w:tcW w:w="2500" w:type="pct"/>
            <w:shd w:val="solid" w:color="FFFFFF" w:fill="auto"/>
          </w:tcPr>
          <w:p w:rsidR="00503A41" w:rsidRPr="00993936" w:rsidRDefault="00503A41" w:rsidP="000452B8">
            <w:pPr>
              <w:autoSpaceDE w:val="0"/>
              <w:autoSpaceDN w:val="0"/>
              <w:adjustRightInd w:val="0"/>
              <w:jc w:val="center"/>
              <w:rPr>
                <w:rFonts w:ascii="Arial" w:hAnsi="Arial" w:cs="Arial"/>
                <w:sz w:val="18"/>
                <w:lang w:val="es-ES"/>
              </w:rPr>
            </w:pPr>
            <w:r w:rsidRPr="00993936">
              <w:rPr>
                <w:rFonts w:ascii="Arial" w:hAnsi="Arial" w:cs="Arial"/>
                <w:sz w:val="20"/>
                <w:lang w:val="es-ES"/>
              </w:rPr>
              <w:t>3A</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18"/>
                <w:lang w:val="es-ES"/>
              </w:rPr>
              <w:t>Para evitar la aparición de resistencias alternar el uso de materias activas que presenten códigos de resistencia (IRAC) diferentes</w:t>
            </w:r>
          </w:p>
        </w:tc>
      </w:tr>
      <w:tr w:rsidR="00503A41" w:rsidRPr="00993936" w:rsidTr="000452B8">
        <w:trPr>
          <w:trHeight w:val="270"/>
        </w:trPr>
        <w:tc>
          <w:tcPr>
            <w:tcW w:w="5000" w:type="pct"/>
            <w:gridSpan w:val="2"/>
            <w:shd w:val="solid" w:color="FFFFFF" w:fill="auto"/>
          </w:tcPr>
          <w:p w:rsidR="00503A41" w:rsidRPr="00993936" w:rsidRDefault="00503A41" w:rsidP="000452B8">
            <w:pPr>
              <w:autoSpaceDE w:val="0"/>
              <w:autoSpaceDN w:val="0"/>
              <w:adjustRightInd w:val="0"/>
              <w:rPr>
                <w:rFonts w:ascii="Arial" w:hAnsi="Arial" w:cs="Arial"/>
                <w:sz w:val="18"/>
                <w:lang w:val="es-ES"/>
              </w:rPr>
            </w:pPr>
            <w:r w:rsidRPr="00993936">
              <w:rPr>
                <w:rFonts w:ascii="Arial" w:hAnsi="Arial" w:cs="Arial"/>
                <w:sz w:val="18"/>
                <w:lang w:val="es-ES"/>
              </w:rPr>
              <w:t>(*) Fuente: Comité de Acción de Resistencia en Insecticidas</w:t>
            </w:r>
          </w:p>
        </w:tc>
      </w:tr>
    </w:tbl>
    <w:p w:rsidR="00503A41" w:rsidRPr="00993936" w:rsidRDefault="00503A41" w:rsidP="000452B8">
      <w:pPr>
        <w:pStyle w:val="Textoindependiente2"/>
        <w:rPr>
          <w:rFonts w:cs="Arial"/>
          <w:lang w:val="es-ES"/>
        </w:rPr>
      </w:pPr>
    </w:p>
    <w:p w:rsidR="00503A41" w:rsidRPr="00993936" w:rsidRDefault="00503A41" w:rsidP="000452B8">
      <w:pPr>
        <w:spacing w:before="120"/>
        <w:jc w:val="both"/>
        <w:rPr>
          <w:rFonts w:ascii="Arial" w:hAnsi="Arial" w:cs="Arial"/>
          <w:b/>
          <w:lang w:val="es-ES"/>
        </w:rPr>
      </w:pPr>
      <w:r w:rsidRPr="00993936">
        <w:rPr>
          <w:rFonts w:ascii="Arial" w:hAnsi="Arial" w:cs="Arial"/>
          <w:b/>
          <w:lang w:val="es-ES"/>
        </w:rPr>
        <w:t>C. Materias activas de acaricidas para la producción integrada de Hortalizas con indicación del código de resistencia IRAC</w:t>
      </w:r>
    </w:p>
    <w:p w:rsidR="00503A41" w:rsidRPr="00993936" w:rsidRDefault="00503A41" w:rsidP="000452B8">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TIPO DE ACARICIDAS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Materia activa</w:t>
            </w:r>
          </w:p>
        </w:tc>
        <w:tc>
          <w:tcPr>
            <w:tcW w:w="2500" w:type="pct"/>
            <w:shd w:val="solid" w:color="C0C0C0" w:fill="auto"/>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571B14">
            <w:pPr>
              <w:pStyle w:val="Sinespaciado"/>
              <w:rPr>
                <w:rFonts w:ascii="Arial" w:hAnsi="Arial" w:cs="Arial"/>
                <w:b/>
                <w:lang w:val="es-ES"/>
              </w:rPr>
            </w:pPr>
          </w:p>
        </w:tc>
        <w:tc>
          <w:tcPr>
            <w:tcW w:w="2500" w:type="pct"/>
            <w:shd w:val="solid" w:color="C0C0C0" w:fill="auto"/>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IRAC (*)</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Abamectina</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6</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Acrinatrín</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3A</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Azadiractín</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UNO</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Beauveria bassiana</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Clofentezina</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10A</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Espiromesifén</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Etoxazol</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10B</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Fenbutatina</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12B</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Fenpiroximat</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21B</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Hexitiazox</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10A</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Aceite parafínico</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NC</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Oxamilo</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1A</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Azufre</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M2</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Tebufenpirad</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21A</w:t>
            </w:r>
          </w:p>
        </w:tc>
      </w:tr>
      <w:tr w:rsidR="00503A41" w:rsidRPr="00993936" w:rsidTr="000452B8">
        <w:trPr>
          <w:trHeight w:val="270"/>
        </w:trPr>
        <w:tc>
          <w:tcPr>
            <w:tcW w:w="5000" w:type="pct"/>
            <w:gridSpan w:val="2"/>
            <w:shd w:val="solid" w:color="FFFFFF" w:fill="auto"/>
          </w:tcPr>
          <w:p w:rsidR="00503A41" w:rsidRPr="00993936" w:rsidRDefault="00503A41" w:rsidP="00571B14">
            <w:pPr>
              <w:pStyle w:val="Sinespaciado"/>
              <w:rPr>
                <w:rFonts w:ascii="Arial" w:hAnsi="Arial" w:cs="Arial"/>
                <w:lang w:val="es-ES"/>
              </w:rPr>
            </w:pPr>
            <w:r w:rsidRPr="00993936">
              <w:rPr>
                <w:rFonts w:ascii="Arial" w:hAnsi="Arial" w:cs="Arial"/>
                <w:lang w:val="es-ES"/>
              </w:rPr>
              <w:t>Para evitar la aparición de resistencias alternar el uso de materias activas que presenten códigos de resistencia (IRAC) diferentes</w:t>
            </w:r>
          </w:p>
        </w:tc>
      </w:tr>
      <w:tr w:rsidR="00503A41" w:rsidRPr="00993936" w:rsidTr="000452B8">
        <w:trPr>
          <w:trHeight w:val="270"/>
        </w:trPr>
        <w:tc>
          <w:tcPr>
            <w:tcW w:w="5000" w:type="pct"/>
            <w:gridSpan w:val="2"/>
            <w:shd w:val="solid" w:color="FFFFFF" w:fill="auto"/>
          </w:tcPr>
          <w:p w:rsidR="00503A41" w:rsidRPr="00993936" w:rsidRDefault="00503A41" w:rsidP="00571B14">
            <w:pPr>
              <w:pStyle w:val="Sinespaciado"/>
              <w:rPr>
                <w:rFonts w:ascii="Arial" w:hAnsi="Arial" w:cs="Arial"/>
                <w:lang w:val="es-ES"/>
              </w:rPr>
            </w:pPr>
            <w:r w:rsidRPr="00993936">
              <w:rPr>
                <w:rFonts w:ascii="Arial" w:hAnsi="Arial" w:cs="Arial"/>
                <w:lang w:val="es-ES"/>
              </w:rPr>
              <w:t>(*) Fuente: Comité de Acción de Resistencia en Insecticidas</w:t>
            </w:r>
          </w:p>
        </w:tc>
      </w:tr>
    </w:tbl>
    <w:p w:rsidR="00503A41" w:rsidRPr="00993936" w:rsidRDefault="00503A41" w:rsidP="000452B8">
      <w:pPr>
        <w:pStyle w:val="Textoindependiente2"/>
        <w:rPr>
          <w:rFonts w:cs="Arial"/>
          <w:lang w:val="es-ES"/>
        </w:rPr>
      </w:pPr>
    </w:p>
    <w:p w:rsidR="00503A41" w:rsidRPr="00993936" w:rsidRDefault="00503A41" w:rsidP="000452B8">
      <w:pPr>
        <w:rPr>
          <w:rFonts w:ascii="Arial" w:hAnsi="Arial" w:cs="Arial"/>
          <w:lang w:val="es-ES"/>
        </w:rPr>
      </w:pPr>
    </w:p>
    <w:p w:rsidR="00503A41" w:rsidRPr="00993936" w:rsidRDefault="00503A41" w:rsidP="000452B8">
      <w:pPr>
        <w:tabs>
          <w:tab w:val="left" w:pos="2550"/>
        </w:tabs>
        <w:rPr>
          <w:rFonts w:ascii="Arial" w:hAnsi="Arial" w:cs="Arial"/>
          <w:lang w:val="es-ES"/>
        </w:rPr>
      </w:pPr>
    </w:p>
    <w:p w:rsidR="00503A41" w:rsidRPr="00993936" w:rsidRDefault="00503A41" w:rsidP="000452B8">
      <w:pPr>
        <w:spacing w:before="120"/>
        <w:jc w:val="both"/>
        <w:rPr>
          <w:rFonts w:ascii="Arial" w:hAnsi="Arial" w:cs="Arial"/>
          <w:lang w:val="es-ES"/>
        </w:rPr>
      </w:pPr>
    </w:p>
    <w:p w:rsidR="00503A41" w:rsidRPr="00993936" w:rsidRDefault="00503A41" w:rsidP="000452B8">
      <w:pPr>
        <w:spacing w:after="200" w:line="276" w:lineRule="auto"/>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D</w:t>
      </w:r>
      <w:r w:rsidRPr="00993936">
        <w:rPr>
          <w:rFonts w:ascii="Arial" w:hAnsi="Arial" w:cs="Arial"/>
          <w:lang w:val="es-ES"/>
        </w:rPr>
        <w:t xml:space="preserve">. </w:t>
      </w:r>
      <w:r w:rsidRPr="00993936">
        <w:rPr>
          <w:rFonts w:ascii="Arial" w:hAnsi="Arial" w:cs="Arial"/>
          <w:b/>
          <w:lang w:val="es-ES"/>
        </w:rPr>
        <w:t>Materias activas de fungicidas para la producción integrada de Hortalizas con indicación del código de resistencia FRAC.</w:t>
      </w:r>
    </w:p>
    <w:p w:rsidR="00503A41" w:rsidRPr="00993936" w:rsidRDefault="00503A41" w:rsidP="000452B8">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TIPO DE FUNGICIDAS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Materia activa</w:t>
            </w:r>
          </w:p>
        </w:tc>
        <w:tc>
          <w:tcPr>
            <w:tcW w:w="2500" w:type="pct"/>
            <w:shd w:val="solid" w:color="C0C0C0" w:fill="auto"/>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571B14">
            <w:pPr>
              <w:pStyle w:val="Sinespaciado"/>
              <w:jc w:val="center"/>
              <w:rPr>
                <w:rFonts w:ascii="Arial" w:hAnsi="Arial" w:cs="Arial"/>
                <w:b/>
                <w:lang w:val="es-ES"/>
              </w:rPr>
            </w:pPr>
          </w:p>
        </w:tc>
        <w:tc>
          <w:tcPr>
            <w:tcW w:w="2500" w:type="pct"/>
            <w:shd w:val="solid" w:color="C0C0C0" w:fill="auto"/>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FRAC (*)</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Acibenzolar-s-metil</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P</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Ametroctatín + Dimetomorf</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45+40</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Azoxistrobín</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Benalaxil + Cimoxanilo + Folpet</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4+27+M4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Benalaxil + Cimoxanilo + Mancozeb</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4+27+M3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Benalaxil + Mancozeb</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4+M3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Benalaxil + Oxicloruro de cobre</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4+M1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Benalaxil-M + Mancozeb</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4+M3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Bentiavalicarb isopropil + Mancozeb</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40+M3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Boscalida</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7</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Boscalida + Kresoxim-metil</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7+11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Boscalida + Piraclostrobín</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7+11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Bupirimat</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8</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Captan</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Carbonato de hidrógeno de potasio</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Ciazofamida</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Ciflufenamida</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Ciflufenamida + Difenoconazol</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C4+3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Clortalonil</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27+M5</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Cobre</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Famoxadona</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27+11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Folpet</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Folpet + Fosetil-Al</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27+M4+33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Folpet + Oxicloruro de cobre</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27+M4+M1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Fosetil-al+ Mancozeb</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27+33+M3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Mancozeb</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Mancozeb + Oxicloruro de cobre</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27+M3+M1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Metiram</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Oxicloruro de cobre + Sulfato cuprocálcico</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27+M1+M1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Sulfato cuprocálcico</w:t>
            </w:r>
          </w:p>
        </w:tc>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27+M1</w:t>
            </w:r>
          </w:p>
        </w:tc>
      </w:tr>
      <w:tr w:rsidR="00503A41" w:rsidRPr="00993936" w:rsidTr="000452B8">
        <w:trPr>
          <w:trHeight w:val="270"/>
        </w:trPr>
        <w:tc>
          <w:tcPr>
            <w:tcW w:w="5000" w:type="pct"/>
            <w:gridSpan w:val="2"/>
            <w:shd w:val="solid" w:color="FFFFFF" w:fill="auto"/>
          </w:tcPr>
          <w:p w:rsidR="00503A41" w:rsidRPr="00993936" w:rsidRDefault="00503A41" w:rsidP="00571B14">
            <w:pPr>
              <w:pStyle w:val="Sinespaciado"/>
              <w:rPr>
                <w:rFonts w:ascii="Arial" w:hAnsi="Arial" w:cs="Arial"/>
                <w:lang w:val="es-ES"/>
              </w:rPr>
            </w:pPr>
            <w:r w:rsidRPr="00993936">
              <w:rPr>
                <w:rFonts w:ascii="Arial" w:hAnsi="Arial" w:cs="Arial"/>
                <w:lang w:val="es-ES"/>
              </w:rPr>
              <w:t>Para evitar la aparición de resistencias alternar el uso de materias activas que presenten códigos de resistencia (FRAC) diferentes</w:t>
            </w:r>
          </w:p>
        </w:tc>
      </w:tr>
      <w:tr w:rsidR="00503A41" w:rsidRPr="00993936" w:rsidTr="000452B8">
        <w:trPr>
          <w:trHeight w:val="270"/>
        </w:trPr>
        <w:tc>
          <w:tcPr>
            <w:tcW w:w="5000" w:type="pct"/>
            <w:gridSpan w:val="2"/>
            <w:shd w:val="solid" w:color="FFFFFF" w:fill="auto"/>
          </w:tcPr>
          <w:p w:rsidR="00503A41" w:rsidRPr="00993936" w:rsidRDefault="00503A41" w:rsidP="00571B14">
            <w:pPr>
              <w:pStyle w:val="Sinespaciado"/>
              <w:rPr>
                <w:rFonts w:ascii="Arial" w:hAnsi="Arial" w:cs="Arial"/>
                <w:lang w:val="es-ES"/>
              </w:rPr>
            </w:pPr>
            <w:r w:rsidRPr="00993936">
              <w:rPr>
                <w:rFonts w:ascii="Arial" w:hAnsi="Arial" w:cs="Arial"/>
                <w:lang w:val="es-ES"/>
              </w:rPr>
              <w:t>(*) Fuente: Comité de Acción de Resistencia en Fungicidas</w:t>
            </w:r>
          </w:p>
        </w:tc>
      </w:tr>
    </w:tbl>
    <w:p w:rsidR="00503A41" w:rsidRPr="00993936" w:rsidRDefault="00503A41">
      <w:pPr>
        <w:rPr>
          <w:rFonts w:ascii="Arial" w:hAnsi="Arial" w:cs="Arial"/>
          <w:lang w:val="es-ES"/>
        </w:rPr>
      </w:pPr>
    </w:p>
    <w:p w:rsidR="00503A41" w:rsidRPr="00993936" w:rsidRDefault="00503A41" w:rsidP="000452B8">
      <w:pPr>
        <w:spacing w:before="120"/>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D.</w:t>
      </w:r>
      <w:r w:rsidRPr="00993936">
        <w:rPr>
          <w:rFonts w:ascii="Arial" w:hAnsi="Arial" w:cs="Arial"/>
          <w:lang w:val="es-ES"/>
        </w:rPr>
        <w:t xml:space="preserve"> </w:t>
      </w:r>
      <w:r w:rsidRPr="00993936">
        <w:rPr>
          <w:rFonts w:ascii="Arial" w:hAnsi="Arial" w:cs="Arial"/>
          <w:b/>
          <w:lang w:val="es-ES"/>
        </w:rPr>
        <w:t>Materias activas de fungicidas para la producción integrada de Hortalizas con indicación del código de resistencia FRAC (Continuacó).</w:t>
      </w:r>
    </w:p>
    <w:p w:rsidR="00503A41" w:rsidRPr="00993936" w:rsidRDefault="00503A41">
      <w:pPr>
        <w:rPr>
          <w:rFonts w:ascii="Arial" w:hAnsi="Arial"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TIPO DE FUNGICIDAS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Materia activa</w:t>
            </w:r>
          </w:p>
        </w:tc>
        <w:tc>
          <w:tcPr>
            <w:tcW w:w="2500" w:type="pct"/>
            <w:shd w:val="solid" w:color="C0C0C0" w:fill="auto"/>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571B14">
            <w:pPr>
              <w:pStyle w:val="Sinespaciado"/>
              <w:jc w:val="center"/>
              <w:rPr>
                <w:rFonts w:ascii="Arial" w:hAnsi="Arial" w:cs="Arial"/>
                <w:b/>
                <w:lang w:val="es-ES"/>
              </w:rPr>
            </w:pPr>
          </w:p>
        </w:tc>
        <w:tc>
          <w:tcPr>
            <w:tcW w:w="2500" w:type="pct"/>
            <w:shd w:val="solid" w:color="C0C0C0" w:fill="auto"/>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FRAC (*)</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Cimoxanilo + Sulfato tribásico de cobre</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27+M1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Ciproconazol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Ciprodinil + Fludioxonil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9+12</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Clortalonil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M5</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Clortalonil + Tetraconazol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M5+3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Dietofencarb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B2</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Difenoconazol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Dimetomorf + Mancozeb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40+M3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Dimetomorf + Piraclostrobín</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40+11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Ditianona</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M9</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Etridiazol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14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Famoxadona + Mancozeb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C3+M3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Fenbuconazol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G1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Fenhexamid</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17</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Fenpirazamina</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Fluazinam</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29</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Fluopicolida + Propamocarb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B5+28</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Fluopiram + Tebuconazol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C2+3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Flutolanil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C2</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Flutriafol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G1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Folpet</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Fosetil + Propamocarb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33+28</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Fosetil-Al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Fosetil-al+ Mancozeb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33+M3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Hidróxido cúprico</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Iprodiona</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E3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Kresoxim-metil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11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Mancozeb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M3+B1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Mancozeb + Metalaxil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Mancozeb + Metalaxil-M</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Mancozeb + Metil-tiofanato</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Mancozeb + Oxicloruro de cobre</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Mancozeb + Sulfato cuprocálcico</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M3+M1</w:t>
            </w:r>
          </w:p>
        </w:tc>
      </w:tr>
      <w:tr w:rsidR="00503A41" w:rsidRPr="00993936" w:rsidTr="000452B8">
        <w:trPr>
          <w:trHeight w:val="270"/>
        </w:trPr>
        <w:tc>
          <w:tcPr>
            <w:tcW w:w="5000" w:type="pct"/>
            <w:gridSpan w:val="2"/>
            <w:shd w:val="solid" w:color="FFFFFF" w:fill="auto"/>
          </w:tcPr>
          <w:p w:rsidR="00503A41" w:rsidRPr="00993936" w:rsidRDefault="00503A41" w:rsidP="00571B14">
            <w:pPr>
              <w:pStyle w:val="Sinespaciado"/>
              <w:rPr>
                <w:rFonts w:ascii="Arial" w:hAnsi="Arial" w:cs="Arial"/>
                <w:lang w:val="es-ES"/>
              </w:rPr>
            </w:pPr>
            <w:r w:rsidRPr="00993936">
              <w:rPr>
                <w:rFonts w:ascii="Arial" w:hAnsi="Arial" w:cs="Arial"/>
                <w:lang w:val="es-ES"/>
              </w:rPr>
              <w:t>Para evitar la aparición de resistencias alternar el uso de materias activas que presenten códigos de resistencia (FRAC) diferentes</w:t>
            </w:r>
          </w:p>
        </w:tc>
      </w:tr>
      <w:tr w:rsidR="00503A41" w:rsidRPr="00993936" w:rsidTr="000452B8">
        <w:trPr>
          <w:trHeight w:val="270"/>
        </w:trPr>
        <w:tc>
          <w:tcPr>
            <w:tcW w:w="5000" w:type="pct"/>
            <w:gridSpan w:val="2"/>
            <w:shd w:val="solid" w:color="FFFFFF" w:fill="auto"/>
          </w:tcPr>
          <w:p w:rsidR="00503A41" w:rsidRPr="00993936" w:rsidRDefault="00503A41" w:rsidP="00571B14">
            <w:pPr>
              <w:pStyle w:val="Sinespaciado"/>
              <w:rPr>
                <w:rFonts w:ascii="Arial" w:hAnsi="Arial" w:cs="Arial"/>
                <w:lang w:val="es-ES"/>
              </w:rPr>
            </w:pPr>
            <w:r w:rsidRPr="00993936">
              <w:rPr>
                <w:rFonts w:ascii="Arial" w:hAnsi="Arial" w:cs="Arial"/>
                <w:lang w:val="es-ES"/>
              </w:rPr>
              <w:t>(*) Fuente: Comité de Acción de Resistencia en Fungicidas</w:t>
            </w:r>
          </w:p>
        </w:tc>
      </w:tr>
    </w:tbl>
    <w:p w:rsidR="00503A41" w:rsidRPr="00993936" w:rsidRDefault="00503A41">
      <w:pPr>
        <w:rPr>
          <w:rFonts w:ascii="Arial" w:hAnsi="Arial" w:cs="Arial"/>
          <w:lang w:val="es-ES"/>
        </w:rPr>
      </w:pPr>
    </w:p>
    <w:p w:rsidR="00503A41" w:rsidRPr="00993936" w:rsidRDefault="00503A41" w:rsidP="000452B8">
      <w:pPr>
        <w:spacing w:before="120"/>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D.</w:t>
      </w:r>
      <w:r w:rsidRPr="00993936">
        <w:rPr>
          <w:rFonts w:ascii="Arial" w:hAnsi="Arial" w:cs="Arial"/>
          <w:lang w:val="es-ES"/>
        </w:rPr>
        <w:t xml:space="preserve"> </w:t>
      </w:r>
      <w:r w:rsidRPr="00993936">
        <w:rPr>
          <w:rFonts w:ascii="Arial" w:hAnsi="Arial" w:cs="Arial"/>
          <w:b/>
          <w:lang w:val="es-ES"/>
        </w:rPr>
        <w:t>Materias activas de fungicidas para la producción integrada de Hortalizas con indicación del código de resistencia FRAC (Continuacó).</w:t>
      </w:r>
    </w:p>
    <w:p w:rsidR="00503A41" w:rsidRPr="00993936" w:rsidRDefault="00503A41" w:rsidP="000452B8">
      <w:pPr>
        <w:spacing w:before="120"/>
        <w:jc w:val="both"/>
        <w:rPr>
          <w:rFonts w:ascii="Arial" w:hAnsi="Arial" w:cs="Arial"/>
          <w:b/>
          <w:sz w:val="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452B8">
        <w:trPr>
          <w:trHeight w:val="393"/>
        </w:trPr>
        <w:tc>
          <w:tcPr>
            <w:tcW w:w="5000" w:type="pct"/>
            <w:gridSpan w:val="2"/>
            <w:shd w:val="solid" w:color="C0C0C0" w:fill="auto"/>
            <w:vAlign w:val="center"/>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TIPO DE FUNGICIDAS</w:t>
            </w:r>
          </w:p>
        </w:tc>
      </w:tr>
      <w:tr w:rsidR="00503A41" w:rsidRPr="00993936" w:rsidTr="000452B8">
        <w:trPr>
          <w:trHeight w:val="270"/>
        </w:trPr>
        <w:tc>
          <w:tcPr>
            <w:tcW w:w="2500" w:type="pct"/>
            <w:vMerge w:val="restart"/>
            <w:shd w:val="solid" w:color="C0C0C0" w:fill="auto"/>
            <w:vAlign w:val="center"/>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Materia activa</w:t>
            </w:r>
          </w:p>
        </w:tc>
        <w:tc>
          <w:tcPr>
            <w:tcW w:w="2500" w:type="pct"/>
            <w:shd w:val="solid" w:color="C0C0C0" w:fill="auto"/>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Indicación del código de resistencia</w:t>
            </w:r>
          </w:p>
        </w:tc>
      </w:tr>
      <w:tr w:rsidR="00503A41" w:rsidRPr="00993936" w:rsidTr="000452B8">
        <w:trPr>
          <w:trHeight w:val="270"/>
        </w:trPr>
        <w:tc>
          <w:tcPr>
            <w:tcW w:w="2500" w:type="pct"/>
            <w:vMerge/>
            <w:shd w:val="solid" w:color="C0C0C0" w:fill="auto"/>
          </w:tcPr>
          <w:p w:rsidR="00503A41" w:rsidRPr="00993936" w:rsidRDefault="00503A41" w:rsidP="00571B14">
            <w:pPr>
              <w:pStyle w:val="Sinespaciado"/>
              <w:jc w:val="center"/>
              <w:rPr>
                <w:rFonts w:ascii="Arial" w:hAnsi="Arial" w:cs="Arial"/>
                <w:b/>
                <w:lang w:val="es-ES"/>
              </w:rPr>
            </w:pPr>
          </w:p>
        </w:tc>
        <w:tc>
          <w:tcPr>
            <w:tcW w:w="2500" w:type="pct"/>
            <w:shd w:val="solid" w:color="C0C0C0" w:fill="auto"/>
          </w:tcPr>
          <w:p w:rsidR="00503A41" w:rsidRPr="00993936" w:rsidRDefault="00503A41" w:rsidP="00571B14">
            <w:pPr>
              <w:pStyle w:val="Sinespaciado"/>
              <w:jc w:val="center"/>
              <w:rPr>
                <w:rFonts w:ascii="Arial" w:hAnsi="Arial" w:cs="Arial"/>
                <w:b/>
                <w:lang w:val="es-ES"/>
              </w:rPr>
            </w:pPr>
            <w:r w:rsidRPr="00993936">
              <w:rPr>
                <w:rFonts w:ascii="Arial" w:hAnsi="Arial" w:cs="Arial"/>
                <w:b/>
                <w:lang w:val="es-ES"/>
              </w:rPr>
              <w:t>FRAC (*)</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Mandipropamida</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40</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Maneb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Mepanipirim</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9</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Metalaxil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Metalaxil + Cobre</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4+M1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Metil-tiofanato</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Metil-tolclofós</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14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Metiram</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Metrafenona</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U8</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Miclobutanil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Aceite de naranja</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NC</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Aceite parafínico</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NC</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Oxicloruro de cobre</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Oxicloruro de cobre + Sulfato cuprocálcico</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M1+M1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Óxido cuproso</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Pencicurón</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B4</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Penconazol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Pirimetanil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9</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Procloraz</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Propamocarb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28</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Propineb</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Quinoxifén</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13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Azufre</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M2</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Azufre + Bacillus thuringiensis kurstaki</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M2+11A</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Azufre + Cipermetrín</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M2+3A</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Azufre + Ciproconazol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M2+3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Azufre + Miclobutanil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M2+3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Azufre + Oxicloruro de cobre</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M2+M1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Azufre coloidal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M2</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Sulfato cuprocálcico</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Sulfato tribásico de cobre</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M1</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Tebuconazol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Tebuconazol + Trifloxistrobina</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3+C3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Tetraconazol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Triadimenol</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Trifloxistrobina</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lang w:val="es-ES"/>
              </w:rPr>
              <w:t>C3</w:t>
            </w:r>
          </w:p>
        </w:tc>
      </w:tr>
      <w:tr w:rsidR="00503A41" w:rsidRPr="00993936" w:rsidTr="000452B8">
        <w:trPr>
          <w:trHeight w:val="270"/>
        </w:trPr>
        <w:tc>
          <w:tcPr>
            <w:tcW w:w="2500" w:type="pct"/>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szCs w:val="18"/>
                <w:lang w:val="es-ES"/>
              </w:rPr>
              <w:t xml:space="preserve">Zoxamida + Mancozeb </w:t>
            </w:r>
          </w:p>
        </w:tc>
        <w:tc>
          <w:tcPr>
            <w:tcW w:w="2500" w:type="pct"/>
            <w:shd w:val="solid" w:color="FFFFFF" w:fill="auto"/>
          </w:tcPr>
          <w:p w:rsidR="00503A41" w:rsidRPr="00993936" w:rsidRDefault="00503A41" w:rsidP="00571B14">
            <w:pPr>
              <w:pStyle w:val="Sinespaciado"/>
              <w:jc w:val="center"/>
              <w:rPr>
                <w:rFonts w:ascii="Arial" w:hAnsi="Arial" w:cs="Arial"/>
                <w:sz w:val="20"/>
                <w:lang w:val="es-ES"/>
              </w:rPr>
            </w:pPr>
            <w:r w:rsidRPr="00993936">
              <w:rPr>
                <w:rFonts w:ascii="Arial" w:hAnsi="Arial" w:cs="Arial"/>
                <w:sz w:val="20"/>
                <w:szCs w:val="18"/>
                <w:lang w:val="es-ES"/>
              </w:rPr>
              <w:t>22+M3</w:t>
            </w:r>
          </w:p>
        </w:tc>
      </w:tr>
      <w:tr w:rsidR="00503A41" w:rsidRPr="00993936" w:rsidTr="000452B8">
        <w:trPr>
          <w:trHeight w:val="270"/>
        </w:trPr>
        <w:tc>
          <w:tcPr>
            <w:tcW w:w="5000" w:type="pct"/>
            <w:gridSpan w:val="2"/>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Para evitar la aparición de resistencias alternar el uso de materias activas que presenten códigos de resistencia (FRAC) diferentes</w:t>
            </w:r>
          </w:p>
        </w:tc>
      </w:tr>
      <w:tr w:rsidR="00503A41" w:rsidRPr="00993936" w:rsidTr="000452B8">
        <w:trPr>
          <w:trHeight w:val="270"/>
        </w:trPr>
        <w:tc>
          <w:tcPr>
            <w:tcW w:w="5000" w:type="pct"/>
            <w:gridSpan w:val="2"/>
            <w:shd w:val="solid" w:color="FFFFFF" w:fill="auto"/>
          </w:tcPr>
          <w:p w:rsidR="00503A41" w:rsidRPr="00993936" w:rsidRDefault="00503A41" w:rsidP="00571B14">
            <w:pPr>
              <w:pStyle w:val="Sinespaciado"/>
              <w:rPr>
                <w:rFonts w:ascii="Arial" w:hAnsi="Arial" w:cs="Arial"/>
                <w:sz w:val="20"/>
                <w:lang w:val="es-ES"/>
              </w:rPr>
            </w:pPr>
            <w:r w:rsidRPr="00993936">
              <w:rPr>
                <w:rFonts w:ascii="Arial" w:hAnsi="Arial" w:cs="Arial"/>
                <w:sz w:val="20"/>
                <w:lang w:val="es-ES"/>
              </w:rPr>
              <w:t>(*) Fuente: Comité de Acción de Resistencia en Fungicidas</w:t>
            </w:r>
          </w:p>
        </w:tc>
      </w:tr>
    </w:tbl>
    <w:p w:rsidR="00503A41" w:rsidRPr="00993936" w:rsidRDefault="00503A41" w:rsidP="000452B8">
      <w:pPr>
        <w:rPr>
          <w:rFonts w:ascii="Arial" w:hAnsi="Arial" w:cs="Arial"/>
          <w:lang w:val="es-ES"/>
        </w:rPr>
      </w:pPr>
    </w:p>
    <w:p w:rsidR="00503A41" w:rsidRPr="00993936" w:rsidRDefault="00503A41" w:rsidP="008260E4">
      <w:pPr>
        <w:jc w:val="both"/>
        <w:rPr>
          <w:rFonts w:ascii="Arial" w:hAnsi="Arial" w:cs="Arial"/>
          <w:lang w:val="es-ES"/>
        </w:rPr>
      </w:pPr>
    </w:p>
    <w:p w:rsidR="00503A41" w:rsidRPr="00993936" w:rsidRDefault="00503A41" w:rsidP="009D1A2D">
      <w:pPr>
        <w:pStyle w:val="Prrafodelista"/>
        <w:numPr>
          <w:ilvl w:val="0"/>
          <w:numId w:val="24"/>
        </w:numPr>
        <w:jc w:val="both"/>
        <w:rPr>
          <w:rFonts w:ascii="Arial" w:hAnsi="Arial" w:cs="Arial"/>
          <w:lang w:val="es-ES"/>
        </w:rPr>
      </w:pPr>
      <w:r w:rsidRPr="00993936">
        <w:rPr>
          <w:rFonts w:ascii="Arial" w:hAnsi="Arial" w:cs="Arial"/>
          <w:lang w:val="es-ES"/>
        </w:rPr>
        <w:br w:type="page"/>
      </w:r>
    </w:p>
    <w:p w:rsidR="00503A41" w:rsidRPr="00993936" w:rsidRDefault="00503A41" w:rsidP="0009331F">
      <w:pPr>
        <w:jc w:val="both"/>
        <w:rPr>
          <w:rFonts w:ascii="Arial" w:hAnsi="Arial" w:cs="Arial"/>
          <w:b/>
          <w:sz w:val="28"/>
          <w:lang w:val="es-ES"/>
        </w:rPr>
      </w:pPr>
      <w:r w:rsidRPr="00993936">
        <w:rPr>
          <w:rFonts w:ascii="Arial" w:hAnsi="Arial" w:cs="Arial"/>
          <w:b/>
          <w:sz w:val="24"/>
          <w:szCs w:val="24"/>
          <w:lang w:val="es-ES"/>
        </w:rPr>
        <w:lastRenderedPageBreak/>
        <w:t>Anexo IX. Norma técnica de producción integrada de uva de vinificación</w:t>
      </w:r>
    </w:p>
    <w:p w:rsidR="00503A41" w:rsidRPr="00993936" w:rsidRDefault="00503A41" w:rsidP="0009331F">
      <w:pPr>
        <w:jc w:val="both"/>
        <w:outlineLvl w:val="0"/>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b/>
          <w:lang w:val="es-ES"/>
        </w:rPr>
        <w:t>Definiciones</w:t>
      </w:r>
      <w:r w:rsidRPr="00993936">
        <w:rPr>
          <w:rFonts w:ascii="Arial" w:hAnsi="Arial" w:cs="Arial"/>
          <w:lang w:val="es-ES"/>
        </w:rPr>
        <w:tab/>
      </w:r>
    </w:p>
    <w:p w:rsidR="00503A41" w:rsidRPr="00993936" w:rsidRDefault="00503A41" w:rsidP="0009331F">
      <w:pPr>
        <w:jc w:val="both"/>
        <w:rPr>
          <w:rFonts w:ascii="Arial" w:hAnsi="Arial" w:cs="Arial"/>
          <w:lang w:val="es-ES"/>
        </w:rPr>
      </w:pPr>
      <w:r w:rsidRPr="00993936">
        <w:rPr>
          <w:rFonts w:ascii="Arial" w:hAnsi="Arial" w:cs="Arial"/>
          <w:lang w:val="es-ES"/>
        </w:rPr>
        <w:t>A los efectos de esta norma se entenderá por</w:t>
      </w:r>
      <w:r w:rsidRPr="00993936">
        <w:rPr>
          <w:rFonts w:ascii="Arial" w:hAnsi="Arial" w:cs="Arial"/>
          <w:vanish/>
          <w:lang w:val="es-ES"/>
        </w:rPr>
        <w:t>&lt;A[por|para]&gt;</w:t>
      </w:r>
      <w:r w:rsidRPr="00993936">
        <w:rPr>
          <w:rFonts w:ascii="Arial" w:hAnsi="Arial" w:cs="Arial"/>
          <w:lang w:val="es-ES"/>
        </w:rPr>
        <w:t>:</w:t>
      </w:r>
    </w:p>
    <w:p w:rsidR="00503A41" w:rsidRPr="00993936" w:rsidRDefault="00503A41" w:rsidP="0009331F">
      <w:pPr>
        <w:jc w:val="both"/>
        <w:rPr>
          <w:rFonts w:ascii="Arial" w:hAnsi="Arial" w:cs="Arial"/>
          <w:lang w:val="es-ES"/>
        </w:rPr>
      </w:pPr>
      <w:r w:rsidRPr="00993936">
        <w:rPr>
          <w:rFonts w:ascii="Arial" w:hAnsi="Arial" w:cs="Arial"/>
          <w:i/>
          <w:lang w:val="es-ES"/>
        </w:rPr>
        <w:t>Agrupación de Producción Integrada:</w:t>
      </w:r>
      <w:r w:rsidRPr="00993936">
        <w:rPr>
          <w:rFonts w:ascii="Arial" w:hAnsi="Arial" w:cs="Arial"/>
          <w:lang w:val="es-ES"/>
        </w:rPr>
        <w:t xml:space="preserve"> aquella agrupación de operadores constituida bajo cualquier fórmula jurídica o integrada en otra agrupación previamente constituida y reconocida por la autoridad competente con el objetivo de obtener productos vegetales bajo los requisitos de producción integrada para ser comercializados.</w:t>
      </w:r>
    </w:p>
    <w:p w:rsidR="00503A41" w:rsidRPr="00993936" w:rsidRDefault="00503A41" w:rsidP="0009331F">
      <w:pPr>
        <w:jc w:val="both"/>
        <w:rPr>
          <w:rFonts w:ascii="Arial" w:hAnsi="Arial" w:cs="Arial"/>
          <w:lang w:val="es-ES"/>
        </w:rPr>
      </w:pPr>
      <w:r w:rsidRPr="00993936">
        <w:rPr>
          <w:rFonts w:ascii="Arial" w:hAnsi="Arial" w:cs="Arial"/>
          <w:i/>
          <w:lang w:val="es-ES"/>
        </w:rPr>
        <w:t>Análisis de Peligros y Puntos de control críticos (APPCC):</w:t>
      </w:r>
      <w:r w:rsidRPr="00993936">
        <w:rPr>
          <w:rFonts w:ascii="Arial" w:hAnsi="Arial" w:cs="Arial"/>
          <w:lang w:val="es-ES"/>
        </w:rPr>
        <w:t xml:space="preserve"> enfoque sistemático de base científica que permite identificar riesgos específicos y medidas para el control, con la finalidad de asegurar la inocuidad de los alimentos. Es un instrumento para evaluar los riesgos y establecer sistemas de control que se orientan hacia la prevención en lugar de fundamentarse en el análisis del producto final.</w:t>
      </w:r>
    </w:p>
    <w:p w:rsidR="00503A41" w:rsidRPr="00993936" w:rsidRDefault="00503A41" w:rsidP="0009331F">
      <w:pPr>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w:t>
      </w:r>
      <w:r w:rsidRPr="00993936">
        <w:rPr>
          <w:rFonts w:ascii="Arial" w:hAnsi="Arial" w:cs="Arial"/>
          <w:vanish/>
          <w:lang w:val="es-ES"/>
        </w:rPr>
        <w:t>&lt;A[especies|especias]&gt;</w:t>
      </w:r>
      <w:r w:rsidRPr="00993936">
        <w:rPr>
          <w:rFonts w:ascii="Arial" w:hAnsi="Arial" w:cs="Arial"/>
          <w:lang w:val="es-ES"/>
        </w:rPr>
        <w:t xml:space="preserve"> diferentes que vive en un ecosistema determinado.</w:t>
      </w:r>
    </w:p>
    <w:p w:rsidR="00503A41" w:rsidRPr="00993936" w:rsidRDefault="00503A41" w:rsidP="0009331F">
      <w:pPr>
        <w:jc w:val="both"/>
        <w:rPr>
          <w:rFonts w:ascii="Arial" w:hAnsi="Arial" w:cs="Arial"/>
          <w:lang w:val="es-ES"/>
        </w:rPr>
      </w:pPr>
      <w:r w:rsidRPr="00993936">
        <w:rPr>
          <w:rFonts w:ascii="Arial" w:hAnsi="Arial" w:cs="Arial"/>
          <w:i/>
          <w:lang w:val="es-ES"/>
        </w:rPr>
        <w:t>Buenas prácticas fitosanitarias:</w:t>
      </w:r>
      <w:r w:rsidRPr="00993936">
        <w:rPr>
          <w:rFonts w:ascii="Arial" w:hAnsi="Arial" w:cs="Arial"/>
          <w:lang w:val="es-ES"/>
        </w:rPr>
        <w:t xml:space="preserve"> utilizar productos fitosanitarios y otros medios de defensa fitosanitaria bajo las condiciones de uso autorizadas.</w:t>
      </w:r>
    </w:p>
    <w:p w:rsidR="00503A41" w:rsidRPr="00993936" w:rsidRDefault="00503A41" w:rsidP="0009331F">
      <w:pPr>
        <w:jc w:val="both"/>
        <w:rPr>
          <w:rFonts w:ascii="Arial" w:hAnsi="Arial" w:cs="Arial"/>
          <w:lang w:val="es-ES"/>
        </w:rPr>
      </w:pPr>
      <w:r w:rsidRPr="00993936">
        <w:rPr>
          <w:rFonts w:ascii="Arial" w:hAnsi="Arial" w:cs="Arial"/>
          <w:i/>
          <w:lang w:val="es-ES"/>
        </w:rPr>
        <w:t>Bodega:</w:t>
      </w:r>
      <w:r w:rsidRPr="00993936">
        <w:rPr>
          <w:rFonts w:ascii="Arial" w:hAnsi="Arial" w:cs="Arial"/>
          <w:lang w:val="es-ES"/>
        </w:rPr>
        <w:t xml:space="preserve"> instalación o conjunto de instalaciones donde se reciben, se manipulan, almacenan la uva.</w:t>
      </w:r>
    </w:p>
    <w:p w:rsidR="00503A41" w:rsidRPr="00993936" w:rsidRDefault="00503A41" w:rsidP="0009331F">
      <w:pPr>
        <w:jc w:val="both"/>
        <w:rPr>
          <w:rFonts w:ascii="Arial" w:hAnsi="Arial" w:cs="Arial"/>
          <w:lang w:val="es-ES"/>
        </w:rPr>
      </w:pPr>
      <w:r w:rsidRPr="00993936">
        <w:rPr>
          <w:rFonts w:ascii="Arial" w:hAnsi="Arial" w:cs="Arial"/>
          <w:i/>
          <w:lang w:val="es-ES"/>
        </w:rPr>
        <w:t>Coeficiente de uniformidad:</w:t>
      </w:r>
      <w:r w:rsidRPr="00993936">
        <w:rPr>
          <w:rFonts w:ascii="Arial" w:hAnsi="Arial" w:cs="Arial"/>
          <w:lang w:val="es-ES"/>
        </w:rPr>
        <w:t xml:space="preserve"> valor obtenido de aplicar una fórmula que indica la uniformidad en la distribución del agua aplicada por el sistema de riego. </w:t>
      </w:r>
    </w:p>
    <w:p w:rsidR="00503A41" w:rsidRPr="00993936" w:rsidRDefault="00503A41" w:rsidP="0009331F">
      <w:pPr>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productos vegetales.</w:t>
      </w:r>
    </w:p>
    <w:p w:rsidR="00503A41" w:rsidRPr="00993936" w:rsidRDefault="00503A41" w:rsidP="0009331F">
      <w:pPr>
        <w:jc w:val="both"/>
        <w:rPr>
          <w:rFonts w:ascii="Arial" w:hAnsi="Arial" w:cs="Arial"/>
          <w:lang w:val="es-ES"/>
        </w:rPr>
      </w:pPr>
      <w:r w:rsidRPr="00993936">
        <w:rPr>
          <w:rFonts w:ascii="Arial" w:hAnsi="Arial" w:cs="Arial"/>
          <w:i/>
          <w:lang w:val="es-ES"/>
        </w:rPr>
        <w:t>Control o lucha integrada:</w:t>
      </w:r>
      <w:r w:rsidRPr="00993936">
        <w:rPr>
          <w:rFonts w:ascii="Arial" w:hAnsi="Arial" w:cs="Arial"/>
          <w:b/>
          <w:lang w:val="es-ES"/>
        </w:rPr>
        <w:t xml:space="preserve"> </w:t>
      </w:r>
      <w:r w:rsidRPr="00993936">
        <w:rPr>
          <w:rFonts w:ascii="Arial" w:hAnsi="Arial" w:cs="Arial"/>
          <w:lang w:val="es-ES"/>
        </w:rPr>
        <w:t>la aplicación racional de una combinación de medidas biológicas, físicas, biotecnológicas, químicas, de cultivo o de selección de vegetales, de manera que la utilización de productos fitosanitarios se limite al mínimo necesario para controlar las plagas.</w:t>
      </w:r>
    </w:p>
    <w:p w:rsidR="00503A41" w:rsidRPr="00993936" w:rsidRDefault="00503A41" w:rsidP="0009331F">
      <w:pPr>
        <w:jc w:val="both"/>
        <w:rPr>
          <w:rFonts w:ascii="Arial" w:hAnsi="Arial" w:cs="Arial"/>
          <w:lang w:val="es-ES"/>
        </w:rPr>
      </w:pPr>
      <w:r w:rsidRPr="00993936">
        <w:rPr>
          <w:rFonts w:ascii="Arial" w:hAnsi="Arial" w:cs="Arial"/>
          <w:i/>
          <w:lang w:val="es-ES"/>
        </w:rPr>
        <w:t>Criterio de intervención:</w:t>
      </w:r>
      <w:r w:rsidRPr="00993936">
        <w:rPr>
          <w:rFonts w:ascii="Arial" w:hAnsi="Arial" w:cs="Arial"/>
          <w:lang w:val="es-ES"/>
        </w:rPr>
        <w:t xml:space="preserve"> conjunto de condiciones que permiten justificar la realización de un tratamiento contra una plaga o agente patógeno.</w:t>
      </w:r>
    </w:p>
    <w:p w:rsidR="00503A41" w:rsidRPr="00993936" w:rsidRDefault="00503A41" w:rsidP="0009331F">
      <w:pPr>
        <w:jc w:val="both"/>
        <w:rPr>
          <w:rFonts w:ascii="Arial" w:hAnsi="Arial" w:cs="Arial"/>
          <w:i/>
          <w:lang w:val="es-ES"/>
        </w:rPr>
      </w:pPr>
      <w:r w:rsidRPr="00993936">
        <w:rPr>
          <w:rFonts w:ascii="Arial" w:hAnsi="Arial" w:cs="Arial"/>
          <w:i/>
          <w:lang w:val="es-ES"/>
        </w:rPr>
        <w:t>Cultivo:</w:t>
      </w:r>
      <w:r w:rsidRPr="00993936">
        <w:rPr>
          <w:rFonts w:ascii="Arial" w:hAnsi="Arial" w:cs="Arial"/>
          <w:lang w:val="es-ES"/>
        </w:rPr>
        <w:t xml:space="preserve"> para cada especie la totalidad de la producción que gestiona un agricultor</w:t>
      </w:r>
      <w:r w:rsidRPr="00993936">
        <w:rPr>
          <w:rFonts w:ascii="Arial" w:hAnsi="Arial" w:cs="Arial"/>
          <w:i/>
          <w:lang w:val="es-ES"/>
        </w:rPr>
        <w:t>.</w:t>
      </w:r>
    </w:p>
    <w:p w:rsidR="00503A41" w:rsidRPr="00993936" w:rsidRDefault="00503A41" w:rsidP="0009331F">
      <w:pPr>
        <w:jc w:val="both"/>
        <w:rPr>
          <w:rFonts w:ascii="Arial" w:hAnsi="Arial" w:cs="Arial"/>
          <w:lang w:val="es-ES"/>
        </w:rPr>
      </w:pPr>
      <w:r w:rsidRPr="00993936">
        <w:rPr>
          <w:rStyle w:val="TextoindependienteCar"/>
          <w:rFonts w:eastAsiaTheme="minorHAnsi" w:cs="Arial"/>
          <w:i/>
          <w:iCs/>
          <w:lang w:val="es-ES"/>
        </w:rPr>
        <w:t xml:space="preserve">Ecosistema: </w:t>
      </w:r>
      <w:r w:rsidRPr="00993936">
        <w:rPr>
          <w:rFonts w:ascii="Arial" w:hAnsi="Arial" w:cs="Arial"/>
          <w:lang w:val="es-ES"/>
        </w:rPr>
        <w:t>sistema formado por el conjunto de seres vivos presentes en un lugar</w:t>
      </w:r>
      <w:r w:rsidRPr="00993936">
        <w:rPr>
          <w:rFonts w:ascii="Arial" w:hAnsi="Arial" w:cs="Arial"/>
          <w:vanish/>
          <w:lang w:val="es-ES"/>
        </w:rPr>
        <w:t>&lt;A[lugar|sitio]&gt;</w:t>
      </w:r>
      <w:r w:rsidRPr="00993936">
        <w:rPr>
          <w:rFonts w:ascii="Arial" w:hAnsi="Arial" w:cs="Arial"/>
          <w:lang w:val="es-ES"/>
        </w:rPr>
        <w:t xml:space="preserve"> determinado y el medio ambiente que le es propio.</w:t>
      </w:r>
    </w:p>
    <w:p w:rsidR="00503A41" w:rsidRPr="00993936" w:rsidRDefault="00503A41" w:rsidP="0009331F">
      <w:pPr>
        <w:jc w:val="both"/>
        <w:rPr>
          <w:rFonts w:ascii="Arial" w:hAnsi="Arial" w:cs="Arial"/>
          <w:lang w:val="es-ES"/>
        </w:rPr>
      </w:pPr>
      <w:r w:rsidRPr="00993936">
        <w:rPr>
          <w:rFonts w:ascii="Arial" w:hAnsi="Arial" w:cs="Arial"/>
          <w:i/>
          <w:lang w:val="es-ES"/>
        </w:rPr>
        <w:t>Enemigo natural:</w:t>
      </w:r>
      <w:r w:rsidRPr="00993936">
        <w:rPr>
          <w:rFonts w:ascii="Arial" w:hAnsi="Arial" w:cs="Arial"/>
          <w:lang w:val="es-ES"/>
        </w:rPr>
        <w:t xml:space="preserve"> insecto o ácaro que actúa como agente de control biológico interaccionando con las plagas del cultivo depredándolas o parasitándolas.</w:t>
      </w:r>
    </w:p>
    <w:p w:rsidR="00503A41" w:rsidRPr="00993936" w:rsidRDefault="00503A41" w:rsidP="0009331F">
      <w:pPr>
        <w:jc w:val="both"/>
        <w:rPr>
          <w:rFonts w:ascii="Arial" w:hAnsi="Arial" w:cs="Arial"/>
          <w:lang w:val="es-ES"/>
        </w:rPr>
      </w:pPr>
      <w:r w:rsidRPr="00993936">
        <w:rPr>
          <w:rFonts w:ascii="Arial" w:hAnsi="Arial" w:cs="Arial"/>
          <w:i/>
          <w:lang w:val="es-ES"/>
        </w:rPr>
        <w:t>Entidades de Certificación:</w:t>
      </w:r>
      <w:r w:rsidRPr="00993936">
        <w:rPr>
          <w:rFonts w:ascii="Arial" w:hAnsi="Arial" w:cs="Arial"/>
          <w:lang w:val="es-ES"/>
        </w:rPr>
        <w:t xml:space="preserve"> son aquellas entidades acreditadas por la Entidad Nacional de Acreditación (ENAC) para realizar las funciones de control y certificación, donde tendrá que estar sometida la producción para que los productos obtenidos puedan ser diferenciados con un distintivo de garantía de producción integrada, de acuerdo con el Decreto 241/2002 (DOGC nº. 3744, de 21.10.2002) o, si es el caso, las acreditadas </w:t>
      </w:r>
      <w:r w:rsidRPr="00993936">
        <w:rPr>
          <w:rFonts w:ascii="Arial" w:hAnsi="Arial" w:cs="Arial"/>
          <w:lang w:val="es-ES"/>
        </w:rPr>
        <w:lastRenderedPageBreak/>
        <w:t>por cualquier otro organismo acreditativo firmante del Acuerdo Multilateral de Reconocimiento del European Cooperation for Acreditation (EA).</w:t>
      </w:r>
    </w:p>
    <w:p w:rsidR="00503A41" w:rsidRPr="00993936" w:rsidRDefault="00503A41" w:rsidP="0009331F">
      <w:pPr>
        <w:jc w:val="both"/>
        <w:rPr>
          <w:rFonts w:ascii="Arial" w:hAnsi="Arial" w:cs="Arial"/>
          <w:lang w:val="es-ES"/>
        </w:rPr>
      </w:pPr>
      <w:r w:rsidRPr="00993936">
        <w:rPr>
          <w:rFonts w:ascii="Arial" w:hAnsi="Arial" w:cs="Arial"/>
          <w:i/>
          <w:lang w:val="es-ES"/>
        </w:rPr>
        <w:t>Especie mejorante:</w:t>
      </w:r>
      <w:r w:rsidRPr="00993936">
        <w:rPr>
          <w:rFonts w:ascii="Arial" w:hAnsi="Arial" w:cs="Arial"/>
          <w:lang w:val="es-ES"/>
        </w:rPr>
        <w:t xml:space="preserve"> especie vegetal, normalmente gramíneas o leguminosas que por</w:t>
      </w:r>
      <w:r w:rsidRPr="00993936">
        <w:rPr>
          <w:rFonts w:ascii="Arial" w:hAnsi="Arial" w:cs="Arial"/>
          <w:vanish/>
          <w:lang w:val="es-ES"/>
        </w:rPr>
        <w:t>&lt;A[por|para]&gt;</w:t>
      </w:r>
      <w:r w:rsidRPr="00993936">
        <w:rPr>
          <w:rFonts w:ascii="Arial" w:hAnsi="Arial" w:cs="Arial"/>
          <w:lang w:val="es-ES"/>
        </w:rPr>
        <w:t xml:space="preserve"> sus características biológicas mejoran las propiedades fisicoquímicas del suelo durante su cultivo.</w:t>
      </w:r>
    </w:p>
    <w:p w:rsidR="00503A41" w:rsidRPr="00993936" w:rsidRDefault="00503A41" w:rsidP="0009331F">
      <w:pPr>
        <w:jc w:val="both"/>
        <w:rPr>
          <w:rFonts w:ascii="Arial" w:hAnsi="Arial" w:cs="Arial"/>
          <w:lang w:val="es-ES"/>
        </w:rPr>
      </w:pPr>
      <w:r w:rsidRPr="00993936">
        <w:rPr>
          <w:rFonts w:ascii="Arial" w:hAnsi="Arial" w:cs="Arial"/>
          <w:i/>
          <w:lang w:val="es-ES"/>
        </w:rPr>
        <w:t>Etiquetado:</w:t>
      </w:r>
      <w:r w:rsidRPr="00993936">
        <w:rPr>
          <w:rFonts w:ascii="Arial" w:hAnsi="Arial" w:cs="Arial"/>
          <w:lang w:val="es-ES"/>
        </w:rPr>
        <w:t xml:space="preserve"> todas las menciones, las indicaciones, las identificaciones de fábrica o de comercio, las imágenes o los signos que figuran en los envases, documentos, letreros, etiquetas, argollas</w:t>
      </w:r>
      <w:r w:rsidRPr="00993936">
        <w:rPr>
          <w:rFonts w:ascii="Arial" w:hAnsi="Arial" w:cs="Arial"/>
          <w:vanish/>
          <w:lang w:val="es-ES"/>
        </w:rPr>
        <w:t>&lt;A[argollas|servilleteros]&gt;</w:t>
      </w:r>
      <w:r w:rsidRPr="00993936">
        <w:rPr>
          <w:rFonts w:ascii="Arial" w:hAnsi="Arial" w:cs="Arial"/>
          <w:lang w:val="es-ES"/>
        </w:rPr>
        <w:t xml:space="preserve"> o collares que acompañan o se refieran a productos que prevé el Decreto 241/2002</w:t>
      </w:r>
    </w:p>
    <w:p w:rsidR="00503A41" w:rsidRPr="00993936" w:rsidRDefault="00503A41" w:rsidP="0009331F">
      <w:pPr>
        <w:jc w:val="both"/>
        <w:rPr>
          <w:rFonts w:ascii="Arial" w:hAnsi="Arial" w:cs="Arial"/>
          <w:lang w:val="es-ES"/>
        </w:rPr>
      </w:pPr>
      <w:r w:rsidRPr="00993936">
        <w:rPr>
          <w:rFonts w:ascii="Arial" w:hAnsi="Arial" w:cs="Arial"/>
          <w:i/>
          <w:lang w:val="es-ES"/>
        </w:rPr>
        <w:t>Explotación:</w:t>
      </w:r>
      <w:r w:rsidRPr="00993936">
        <w:rPr>
          <w:rFonts w:ascii="Arial" w:hAnsi="Arial" w:cs="Arial"/>
          <w:b/>
          <w:lang w:val="es-ES"/>
        </w:rPr>
        <w:t xml:space="preserve"> </w:t>
      </w:r>
      <w:r w:rsidRPr="00993936">
        <w:rPr>
          <w:rFonts w:ascii="Arial" w:hAnsi="Arial" w:cs="Arial"/>
          <w:lang w:val="es-ES"/>
        </w:rPr>
        <w:t>conjunto de bienes productivos que dan origen a una actividad económica.</w:t>
      </w:r>
    </w:p>
    <w:p w:rsidR="00503A41" w:rsidRPr="00993936" w:rsidRDefault="00503A41" w:rsidP="0009331F">
      <w:pPr>
        <w:jc w:val="both"/>
        <w:rPr>
          <w:rFonts w:ascii="Arial" w:hAnsi="Arial" w:cs="Arial"/>
          <w:lang w:val="es-ES"/>
        </w:rPr>
      </w:pPr>
      <w:r w:rsidRPr="00993936">
        <w:rPr>
          <w:rFonts w:ascii="Arial" w:hAnsi="Arial" w:cs="Arial"/>
          <w:i/>
          <w:lang w:val="es-ES"/>
        </w:rPr>
        <w:t>Fauna auxiliar:</w:t>
      </w:r>
      <w:r w:rsidRPr="00993936">
        <w:rPr>
          <w:rFonts w:ascii="Arial" w:hAnsi="Arial" w:cs="Arial"/>
          <w:lang w:val="es-ES"/>
        </w:rPr>
        <w:t xml:space="preserve"> ved enemigo natural.</w:t>
      </w:r>
    </w:p>
    <w:p w:rsidR="00503A41" w:rsidRPr="00993936" w:rsidRDefault="00503A41" w:rsidP="0009331F">
      <w:pPr>
        <w:jc w:val="both"/>
        <w:rPr>
          <w:rFonts w:ascii="Arial" w:hAnsi="Arial" w:cs="Arial"/>
          <w:lang w:val="es-ES"/>
        </w:rPr>
      </w:pPr>
      <w:r w:rsidRPr="00993936">
        <w:rPr>
          <w:rFonts w:ascii="Arial" w:hAnsi="Arial" w:cs="Arial"/>
          <w:i/>
          <w:lang w:val="es-ES"/>
        </w:rPr>
        <w:t>Herbigación:</w:t>
      </w:r>
      <w:r w:rsidRPr="00993936">
        <w:rPr>
          <w:rFonts w:ascii="Arial" w:hAnsi="Arial" w:cs="Arial"/>
          <w:lang w:val="es-ES"/>
        </w:rPr>
        <w:t xml:space="preserve"> Aplicación de herbicidas a través de las instalaciones de riego localizado.</w:t>
      </w:r>
    </w:p>
    <w:p w:rsidR="00503A41" w:rsidRPr="00993936" w:rsidRDefault="00503A41" w:rsidP="0009331F">
      <w:pPr>
        <w:jc w:val="both"/>
        <w:rPr>
          <w:rFonts w:ascii="Arial" w:hAnsi="Arial" w:cs="Arial"/>
          <w:lang w:val="es-ES"/>
        </w:rPr>
      </w:pPr>
      <w:r w:rsidRPr="00993936">
        <w:rPr>
          <w:rFonts w:ascii="Arial" w:hAnsi="Arial" w:cs="Arial"/>
          <w:i/>
          <w:lang w:val="es-ES"/>
        </w:rPr>
        <w:t>Método de Merrien-Keller:</w:t>
      </w:r>
      <w:r w:rsidRPr="00993936">
        <w:rPr>
          <w:rFonts w:ascii="Arial" w:hAnsi="Arial" w:cs="Arial"/>
          <w:lang w:val="es-ES"/>
        </w:rPr>
        <w:t xml:space="preserve"> método de cálculo del coeficiente de uniformidad de un sistema de riego, expresado por la fórmula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503A41" w:rsidRPr="00993936" w:rsidTr="0009331F">
        <w:trPr>
          <w:cantSplit/>
        </w:trPr>
        <w:tc>
          <w:tcPr>
            <w:tcW w:w="921" w:type="dxa"/>
            <w:vMerge w:val="restart"/>
            <w:tcBorders>
              <w:top w:val="nil"/>
              <w:left w:val="nil"/>
              <w:bottom w:val="nil"/>
              <w:right w:val="nil"/>
            </w:tcBorders>
            <w:vAlign w:val="center"/>
          </w:tcPr>
          <w:p w:rsidR="00503A41" w:rsidRPr="00993936" w:rsidRDefault="00503A41" w:rsidP="0009331F">
            <w:pPr>
              <w:jc w:val="both"/>
              <w:rPr>
                <w:rFonts w:ascii="Arial" w:hAnsi="Arial" w:cs="Arial"/>
                <w:lang w:val="es-ES"/>
              </w:rPr>
            </w:pPr>
            <w:r w:rsidRPr="00993936">
              <w:rPr>
                <w:rFonts w:ascii="Arial" w:hAnsi="Arial" w:cs="Arial"/>
                <w:lang w:val="es-ES"/>
              </w:rPr>
              <w:t xml:space="preserve">CU = </w:t>
            </w:r>
          </w:p>
        </w:tc>
        <w:tc>
          <w:tcPr>
            <w:tcW w:w="992" w:type="dxa"/>
            <w:tcBorders>
              <w:top w:val="nil"/>
              <w:left w:val="nil"/>
              <w:bottom w:val="single" w:sz="4" w:space="0" w:color="auto"/>
              <w:right w:val="nil"/>
            </w:tcBorders>
          </w:tcPr>
          <w:p w:rsidR="00503A41" w:rsidRPr="00993936" w:rsidRDefault="00503A41" w:rsidP="0009331F">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25%</w:t>
            </w:r>
          </w:p>
        </w:tc>
        <w:tc>
          <w:tcPr>
            <w:tcW w:w="992" w:type="dxa"/>
            <w:vMerge w:val="restart"/>
            <w:tcBorders>
              <w:top w:val="nil"/>
              <w:left w:val="nil"/>
              <w:bottom w:val="nil"/>
              <w:right w:val="nil"/>
            </w:tcBorders>
            <w:vAlign w:val="center"/>
          </w:tcPr>
          <w:p w:rsidR="00503A41" w:rsidRPr="00993936" w:rsidRDefault="00503A41" w:rsidP="0009331F">
            <w:pPr>
              <w:jc w:val="both"/>
              <w:rPr>
                <w:rFonts w:ascii="Arial" w:hAnsi="Arial" w:cs="Arial"/>
                <w:lang w:val="es-ES"/>
              </w:rPr>
            </w:pPr>
            <w:r w:rsidRPr="00993936">
              <w:rPr>
                <w:rFonts w:ascii="Arial" w:hAnsi="Arial" w:cs="Arial"/>
                <w:lang w:val="es-ES"/>
              </w:rPr>
              <w:t xml:space="preserve"> X 100</w:t>
            </w:r>
          </w:p>
        </w:tc>
      </w:tr>
      <w:tr w:rsidR="00503A41" w:rsidRPr="00993936" w:rsidTr="0009331F">
        <w:trPr>
          <w:cantSplit/>
        </w:trPr>
        <w:tc>
          <w:tcPr>
            <w:tcW w:w="921" w:type="dxa"/>
            <w:vMerge/>
            <w:tcBorders>
              <w:top w:val="nil"/>
              <w:left w:val="nil"/>
              <w:bottom w:val="nil"/>
              <w:right w:val="nil"/>
            </w:tcBorders>
          </w:tcPr>
          <w:p w:rsidR="00503A41" w:rsidRPr="00993936" w:rsidRDefault="00503A41" w:rsidP="0009331F">
            <w:pPr>
              <w:jc w:val="both"/>
              <w:rPr>
                <w:rFonts w:ascii="Arial" w:hAnsi="Arial" w:cs="Arial"/>
                <w:lang w:val="es-ES"/>
              </w:rPr>
            </w:pPr>
          </w:p>
        </w:tc>
        <w:tc>
          <w:tcPr>
            <w:tcW w:w="992" w:type="dxa"/>
            <w:tcBorders>
              <w:top w:val="single" w:sz="4" w:space="0" w:color="auto"/>
              <w:left w:val="nil"/>
              <w:bottom w:val="nil"/>
              <w:right w:val="nil"/>
            </w:tcBorders>
          </w:tcPr>
          <w:p w:rsidR="00503A41" w:rsidRPr="00993936" w:rsidRDefault="00503A41" w:rsidP="0009331F">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n</w:t>
            </w:r>
          </w:p>
        </w:tc>
        <w:tc>
          <w:tcPr>
            <w:tcW w:w="992" w:type="dxa"/>
            <w:vMerge/>
            <w:tcBorders>
              <w:top w:val="nil"/>
              <w:left w:val="nil"/>
              <w:bottom w:val="nil"/>
              <w:right w:val="nil"/>
            </w:tcBorders>
          </w:tcPr>
          <w:p w:rsidR="00503A41" w:rsidRPr="00993936" w:rsidRDefault="00503A41" w:rsidP="0009331F">
            <w:pPr>
              <w:jc w:val="both"/>
              <w:rPr>
                <w:rFonts w:ascii="Arial" w:hAnsi="Arial" w:cs="Arial"/>
                <w:lang w:val="es-ES"/>
              </w:rPr>
            </w:pPr>
          </w:p>
        </w:tc>
      </w:tr>
    </w:tbl>
    <w:p w:rsidR="00503A41" w:rsidRPr="00993936" w:rsidRDefault="00503A41" w:rsidP="0009331F">
      <w:pPr>
        <w:jc w:val="both"/>
        <w:rPr>
          <w:rFonts w:ascii="Arial" w:hAnsi="Arial" w:cs="Arial"/>
          <w:lang w:val="es-ES"/>
        </w:rPr>
      </w:pPr>
      <w:r w:rsidRPr="00993936">
        <w:rPr>
          <w:rFonts w:ascii="Arial" w:hAnsi="Arial" w:cs="Arial"/>
          <w:lang w:val="es-ES"/>
        </w:rPr>
        <w:t>Donde Q</w:t>
      </w:r>
      <w:r w:rsidRPr="00993936">
        <w:rPr>
          <w:rFonts w:ascii="Arial" w:hAnsi="Arial" w:cs="Arial"/>
          <w:vertAlign w:val="subscript"/>
          <w:lang w:val="es-ES"/>
        </w:rPr>
        <w:t>25%</w:t>
      </w:r>
      <w:r w:rsidRPr="00993936">
        <w:rPr>
          <w:rFonts w:ascii="Arial" w:hAnsi="Arial" w:cs="Arial"/>
          <w:lang w:val="es-ES"/>
        </w:rPr>
        <w:t xml:space="preserve"> es la media del caudal de la descarga del 25% de los emisores del caudal más reducido;  Q</w:t>
      </w:r>
      <w:r w:rsidRPr="00993936">
        <w:rPr>
          <w:rFonts w:ascii="Arial" w:hAnsi="Arial" w:cs="Arial"/>
          <w:vertAlign w:val="subscript"/>
          <w:lang w:val="es-ES"/>
        </w:rPr>
        <w:t>n</w:t>
      </w:r>
      <w:r w:rsidRPr="00993936">
        <w:rPr>
          <w:rFonts w:ascii="Arial" w:hAnsi="Arial" w:cs="Arial"/>
          <w:lang w:val="es-ES"/>
        </w:rPr>
        <w:t xml:space="preserve"> es el caudal medio de todos los emisores, y n el número de unidades o puestos de control (se recomienda que n </w:t>
      </w:r>
      <w:r w:rsidR="00241200" w:rsidRPr="00993936">
        <w:rPr>
          <w:rFonts w:ascii="Arial" w:hAnsi="Arial" w:cs="Arial"/>
          <w:lang w:val="es-ES"/>
        </w:rPr>
        <w:t>≥</w:t>
      </w:r>
      <w:r w:rsidRPr="00993936">
        <w:rPr>
          <w:rFonts w:ascii="Arial" w:hAnsi="Arial" w:cs="Arial"/>
          <w:lang w:val="es-ES"/>
        </w:rPr>
        <w:t xml:space="preserve"> 16). En caso de que la unidad de control tenga más de un emisor, el caudal total a considerar será la suma del caudal de todos los emisores que constituyen la unidad.</w:t>
      </w:r>
    </w:p>
    <w:p w:rsidR="00503A41" w:rsidRPr="00993936" w:rsidRDefault="00503A41" w:rsidP="0009331F">
      <w:pPr>
        <w:jc w:val="both"/>
        <w:rPr>
          <w:rFonts w:ascii="Arial" w:hAnsi="Arial" w:cs="Arial"/>
          <w:lang w:val="es-ES"/>
        </w:rPr>
      </w:pPr>
      <w:r w:rsidRPr="00993936">
        <w:rPr>
          <w:rFonts w:ascii="Arial" w:hAnsi="Arial" w:cs="Arial"/>
          <w:i/>
          <w:lang w:val="es-ES"/>
        </w:rPr>
        <w:t>Operador o persona operadora:</w:t>
      </w:r>
      <w:r w:rsidRPr="00993936">
        <w:rPr>
          <w:rFonts w:ascii="Arial" w:hAnsi="Arial" w:cs="Arial"/>
          <w:lang w:val="es-ES"/>
        </w:rPr>
        <w:t xml:space="preserve"> toda persona física o jurídica que obtiene, manipula, elabora, envasa, etiqueta, almacena o comercializa productos vegetales en las condiciones que establece esta disposición y que como tal figura inscrita en el Registro del Consejo Catalán de la Producción Integrada.</w:t>
      </w:r>
    </w:p>
    <w:p w:rsidR="00503A41" w:rsidRPr="00993936" w:rsidRDefault="00503A41" w:rsidP="0009331F">
      <w:pPr>
        <w:jc w:val="both"/>
        <w:rPr>
          <w:rFonts w:ascii="Arial" w:hAnsi="Arial" w:cs="Arial"/>
          <w:lang w:val="es-ES"/>
        </w:rPr>
      </w:pPr>
      <w:r w:rsidRPr="00993936">
        <w:rPr>
          <w:rFonts w:ascii="Arial" w:hAnsi="Arial" w:cs="Arial"/>
          <w:i/>
          <w:lang w:val="es-ES"/>
        </w:rPr>
        <w:t>Operador individual:</w:t>
      </w:r>
      <w:r w:rsidRPr="00993936">
        <w:rPr>
          <w:rFonts w:ascii="Arial" w:hAnsi="Arial" w:cs="Arial"/>
          <w:lang w:val="es-ES"/>
        </w:rPr>
        <w:t xml:space="preserve"> aquel operador que no está agrupado bajo ninguna forma de Agrupación de Producción Integrada. </w:t>
      </w:r>
    </w:p>
    <w:p w:rsidR="00503A41" w:rsidRPr="00993936" w:rsidRDefault="00503A41" w:rsidP="0009331F">
      <w:pPr>
        <w:jc w:val="both"/>
        <w:rPr>
          <w:rFonts w:ascii="Arial" w:hAnsi="Arial" w:cs="Arial"/>
          <w:lang w:val="es-ES"/>
        </w:rPr>
      </w:pPr>
      <w:r w:rsidRPr="00993936">
        <w:rPr>
          <w:rFonts w:ascii="Arial" w:hAnsi="Arial" w:cs="Arial"/>
          <w:i/>
          <w:lang w:val="es-ES"/>
        </w:rPr>
        <w:t>Organismo de control biológico:</w:t>
      </w:r>
      <w:r w:rsidRPr="00993936">
        <w:rPr>
          <w:rFonts w:ascii="Arial" w:hAnsi="Arial" w:cs="Arial"/>
          <w:lang w:val="es-ES"/>
        </w:rPr>
        <w:t xml:space="preserve"> enemigo natural antagonista o competidor u otra entidad biótica capaz de reproducirse, utilizado para el control de plagas con excepción de los microorganismos y virus contenidos en la definición de sustancia activa.</w:t>
      </w:r>
    </w:p>
    <w:p w:rsidR="00503A41" w:rsidRPr="00993936" w:rsidRDefault="00503A41" w:rsidP="0009331F">
      <w:pPr>
        <w:jc w:val="both"/>
        <w:rPr>
          <w:rFonts w:ascii="Arial" w:hAnsi="Arial" w:cs="Arial"/>
          <w:lang w:val="es-ES"/>
        </w:rPr>
      </w:pPr>
      <w:r w:rsidRPr="00993936">
        <w:rPr>
          <w:rFonts w:ascii="Arial" w:hAnsi="Arial" w:cs="Arial"/>
          <w:i/>
          <w:lang w:val="es-ES"/>
        </w:rPr>
        <w:t>Parcela:</w:t>
      </w:r>
      <w:r w:rsidRPr="00993936">
        <w:rPr>
          <w:rFonts w:ascii="Arial" w:hAnsi="Arial" w:cs="Arial"/>
          <w:lang w:val="es-ES"/>
        </w:rPr>
        <w:t xml:space="preserve"> superficie continua de terreno geográficamente definida e inscrita en el Registro Catastral a nombre de unos o más titulares, donde el operador realiza las prácticas de producción integrada.</w:t>
      </w:r>
    </w:p>
    <w:p w:rsidR="00503A41" w:rsidRPr="00993936" w:rsidRDefault="00503A41" w:rsidP="0009331F">
      <w:pPr>
        <w:jc w:val="both"/>
        <w:rPr>
          <w:rFonts w:ascii="Arial" w:hAnsi="Arial" w:cs="Arial"/>
          <w:lang w:val="es-ES"/>
        </w:rPr>
      </w:pPr>
      <w:r w:rsidRPr="00993936">
        <w:rPr>
          <w:rFonts w:ascii="Arial" w:hAnsi="Arial" w:cs="Arial"/>
          <w:i/>
          <w:lang w:val="es-ES"/>
        </w:rPr>
        <w:t>Pérdidas técnicas de nutrientes:</w:t>
      </w:r>
      <w:r w:rsidRPr="00993936">
        <w:rPr>
          <w:rFonts w:ascii="Arial" w:hAnsi="Arial" w:cs="Arial"/>
          <w:lang w:val="es-ES"/>
        </w:rPr>
        <w:t xml:space="preserve"> son las que se deben a la falta de incorporación de elementos nutritivos a la planta como consecuencia de errores de homogeneidad en la aportación, extracción de vegetación adventicia, lixiviación, pérdida de asimilibilidad por</w:t>
      </w:r>
      <w:r w:rsidRPr="00993936">
        <w:rPr>
          <w:rFonts w:ascii="Arial" w:hAnsi="Arial" w:cs="Arial"/>
          <w:vanish/>
          <w:lang w:val="es-ES"/>
        </w:rPr>
        <w:t>&lt;A[por|para]&gt;</w:t>
      </w:r>
      <w:r w:rsidRPr="00993936">
        <w:rPr>
          <w:rFonts w:ascii="Arial" w:hAnsi="Arial" w:cs="Arial"/>
          <w:lang w:val="es-ES"/>
        </w:rPr>
        <w:t xml:space="preserve"> antagonismos, transformación en compuestos orgánicos, precipitación o insolubilización de elementos minerales o cualquier otro factor biótico.</w:t>
      </w:r>
    </w:p>
    <w:p w:rsidR="00503A41" w:rsidRPr="00993936" w:rsidRDefault="00503A41" w:rsidP="0009331F">
      <w:pPr>
        <w:jc w:val="both"/>
        <w:rPr>
          <w:rFonts w:ascii="Arial" w:hAnsi="Arial" w:cs="Arial"/>
          <w:lang w:val="es-ES"/>
        </w:rPr>
      </w:pPr>
      <w:r w:rsidRPr="00993936">
        <w:rPr>
          <w:rFonts w:ascii="Arial" w:hAnsi="Arial" w:cs="Arial"/>
          <w:i/>
          <w:lang w:val="es-ES"/>
        </w:rPr>
        <w:t>Personal técnico competente:</w:t>
      </w:r>
      <w:r w:rsidRPr="00993936">
        <w:rPr>
          <w:rFonts w:ascii="Arial" w:hAnsi="Arial" w:cs="Arial"/>
          <w:lang w:val="es-ES"/>
        </w:rPr>
        <w:t xml:space="preserve"> persona/s física/s que presta/n servicios técnicos de asistencia en producción integrada y que cuentacon titulación universitaria de grado </w:t>
      </w:r>
      <w:r w:rsidRPr="00993936">
        <w:rPr>
          <w:rFonts w:ascii="Arial" w:hAnsi="Arial" w:cs="Arial"/>
          <w:lang w:val="es-ES"/>
        </w:rPr>
        <w:lastRenderedPageBreak/>
        <w:t>medio o superior, de acuerdo con lo que especifica el artículo 11.1 del Decreto 241/2002.</w:t>
      </w:r>
    </w:p>
    <w:p w:rsidR="00503A41" w:rsidRPr="00993936" w:rsidRDefault="00503A41" w:rsidP="0009331F">
      <w:pPr>
        <w:jc w:val="both"/>
        <w:rPr>
          <w:rFonts w:ascii="Arial" w:hAnsi="Arial" w:cs="Arial"/>
          <w:lang w:val="es-ES"/>
        </w:rPr>
      </w:pPr>
      <w:r w:rsidRPr="00993936">
        <w:rPr>
          <w:rFonts w:ascii="Arial" w:hAnsi="Arial" w:cs="Arial"/>
          <w:i/>
          <w:lang w:val="es-ES"/>
        </w:rPr>
        <w:t>Producción integrada:</w:t>
      </w:r>
      <w:r w:rsidRPr="00993936">
        <w:rPr>
          <w:rFonts w:ascii="Arial" w:hAnsi="Arial" w:cs="Arial"/>
          <w:lang w:val="es-ES"/>
        </w:rPr>
        <w:t xml:space="preserve"> el sistema agrario de producción y obtención de alimentos de calidad, frescos o transformados, y otros productos, que prioriza la utilización de los recursos y mecanismos de regulación naturales, con el objetivo de optimizar los métodos de producción, evitar las aportaciones perjudiciales al medio ambiente y asegurar a largo plazo una agricultura y una ganadería sostenibles.</w:t>
      </w:r>
      <w:r w:rsidRPr="00993936" w:rsidDel="007F4AB2">
        <w:rPr>
          <w:rFonts w:ascii="Arial" w:hAnsi="Arial" w:cs="Arial"/>
          <w:lang w:val="es-ES"/>
        </w:rPr>
        <w:t xml:space="preserve"> </w:t>
      </w:r>
    </w:p>
    <w:p w:rsidR="00503A41" w:rsidRPr="00993936" w:rsidRDefault="00503A41" w:rsidP="0009331F">
      <w:pPr>
        <w:jc w:val="both"/>
        <w:rPr>
          <w:rFonts w:ascii="Arial" w:hAnsi="Arial" w:cs="Arial"/>
          <w:lang w:val="es-ES"/>
        </w:rPr>
      </w:pPr>
      <w:r w:rsidRPr="00993936">
        <w:rPr>
          <w:rFonts w:ascii="Arial" w:hAnsi="Arial" w:cs="Arial"/>
          <w:i/>
          <w:lang w:val="es-ES"/>
        </w:rPr>
        <w:t>Cuaderno de conservación/postcosecha:</w:t>
      </w:r>
      <w:r w:rsidRPr="00993936">
        <w:rPr>
          <w:rFonts w:ascii="Arial" w:hAnsi="Arial" w:cs="Arial"/>
          <w:lang w:val="es-ES"/>
        </w:rPr>
        <w:t xml:space="preserve"> documento donde se registran los datos relativos a las instalaciones de los productos vegetales, mediante el cual es posible hacer un seguimiento detallado de todas las operaciones de recepción, manipulado, almacenamiento, envasado y expedición.</w:t>
      </w:r>
    </w:p>
    <w:p w:rsidR="00503A41" w:rsidRPr="00993936" w:rsidRDefault="00503A41" w:rsidP="0009331F">
      <w:pPr>
        <w:jc w:val="both"/>
        <w:rPr>
          <w:rFonts w:ascii="Arial" w:hAnsi="Arial" w:cs="Arial"/>
          <w:i/>
          <w:lang w:val="es-ES"/>
        </w:rPr>
      </w:pPr>
      <w:r w:rsidRPr="00993936">
        <w:rPr>
          <w:rFonts w:ascii="Arial" w:hAnsi="Arial" w:cs="Arial"/>
          <w:i/>
          <w:lang w:val="es-ES"/>
        </w:rPr>
        <w:t>Cuaderno de explotación:</w:t>
      </w:r>
      <w:r w:rsidRPr="00993936">
        <w:rPr>
          <w:rFonts w:ascii="Arial" w:hAnsi="Arial" w:cs="Arial"/>
          <w:lang w:val="es-ES"/>
        </w:rPr>
        <w:t xml:space="preserve"> documento donde se registran los datos relativos a una parcela o agrupación de parcelas de cultivo (ved definición de la Unidad Homogénea de Cultivo), mediante el cual es posible hacer un seguimiento detallado de todas las operaciones culturales realizadas durante el ciclo de cultivo.</w:t>
      </w:r>
    </w:p>
    <w:p w:rsidR="00503A41" w:rsidRPr="00993936" w:rsidRDefault="00503A41" w:rsidP="0009331F">
      <w:pPr>
        <w:jc w:val="both"/>
        <w:rPr>
          <w:rFonts w:ascii="Arial" w:hAnsi="Arial" w:cs="Arial"/>
          <w:lang w:val="es-ES"/>
        </w:rPr>
      </w:pPr>
      <w:r w:rsidRPr="00993936">
        <w:rPr>
          <w:rFonts w:ascii="Arial" w:hAnsi="Arial" w:cs="Arial"/>
          <w:i/>
          <w:lang w:val="es-ES"/>
        </w:rPr>
        <w:t>Sustancia activa:</w:t>
      </w:r>
      <w:r w:rsidRPr="00993936">
        <w:rPr>
          <w:rFonts w:ascii="Arial" w:hAnsi="Arial" w:cs="Arial"/>
          <w:lang w:val="es-ES"/>
        </w:rPr>
        <w:t xml:space="preserve"> las sustancias o microorganismos, incluidos los virus, que ejercen una acción general o específica contra las plagas, incluidas las enfermedades, o en vegetales, partes de vegetales o productos vegetales.</w:t>
      </w:r>
    </w:p>
    <w:p w:rsidR="00503A41" w:rsidRPr="00993936" w:rsidRDefault="00503A41" w:rsidP="0009331F">
      <w:pPr>
        <w:jc w:val="both"/>
        <w:rPr>
          <w:rFonts w:ascii="Arial" w:hAnsi="Arial" w:cs="Arial"/>
          <w:lang w:val="es-ES"/>
        </w:rPr>
      </w:pPr>
      <w:r w:rsidRPr="00993936">
        <w:rPr>
          <w:rFonts w:ascii="Arial" w:hAnsi="Arial" w:cs="Arial"/>
          <w:i/>
          <w:lang w:val="es-ES"/>
        </w:rPr>
        <w:t>Unidad Homogénea de Cultivo (UHC):</w:t>
      </w:r>
      <w:r w:rsidRPr="00993936">
        <w:rPr>
          <w:rFonts w:ascii="Arial" w:hAnsi="Arial" w:cs="Arial"/>
          <w:lang w:val="es-ES"/>
        </w:rPr>
        <w:t xml:space="preserve"> para cada cultivo, superficie de terreno que presenta unas características similares con respecto al tipo de suelo, al sistema de riego y al tipo de cultivo, en la cual se aplican operaciones culturales y técnicas de cultivo similares, así como los mismos tratamientos fitosanitarios. En caso de agrupaciones de productores, podrá haber UHC que incluyan cultivos o partes de cultivos de varios agricultores. Para cultivos protegidos, la unidad homogénea de cultivo se encontrará dentro de un mismo recinto delimitado bajo un mismo tipo de protección.</w:t>
      </w:r>
    </w:p>
    <w:p w:rsidR="00503A41" w:rsidRPr="00993936" w:rsidRDefault="00503A41" w:rsidP="0009331F">
      <w:pPr>
        <w:tabs>
          <w:tab w:val="left" w:pos="1815"/>
        </w:tabs>
        <w:jc w:val="both"/>
        <w:outlineLvl w:val="0"/>
        <w:rPr>
          <w:rFonts w:ascii="Arial" w:hAnsi="Arial" w:cs="Arial"/>
          <w:b/>
          <w:snapToGrid w:val="0"/>
          <w:lang w:val="es-ES"/>
        </w:rPr>
      </w:pPr>
      <w:r w:rsidRPr="00993936">
        <w:rPr>
          <w:rFonts w:ascii="Arial" w:hAnsi="Arial" w:cs="Arial"/>
          <w:b/>
          <w:snapToGrid w:val="0"/>
          <w:lang w:val="es-ES"/>
        </w:rPr>
        <w:t>I.  BIODIVERSIDAD Y PRÁCTICAS DE CULTIVO</w:t>
      </w:r>
    </w:p>
    <w:p w:rsidR="00503A41" w:rsidRPr="00993936" w:rsidRDefault="00503A41" w:rsidP="0009331F">
      <w:pPr>
        <w:tabs>
          <w:tab w:val="left" w:pos="1815"/>
        </w:tabs>
        <w:jc w:val="both"/>
        <w:outlineLvl w:val="0"/>
        <w:rPr>
          <w:rFonts w:ascii="Arial" w:hAnsi="Arial" w:cs="Arial"/>
          <w:snapToGrid w:val="0"/>
          <w:lang w:val="es-ES"/>
        </w:rPr>
      </w:pPr>
    </w:p>
    <w:p w:rsidR="00503A41" w:rsidRPr="00993936" w:rsidRDefault="00503A41" w:rsidP="0009331F">
      <w:pPr>
        <w:tabs>
          <w:tab w:val="left" w:pos="1815"/>
        </w:tabs>
        <w:jc w:val="both"/>
        <w:outlineLvl w:val="0"/>
        <w:rPr>
          <w:rFonts w:ascii="Arial" w:hAnsi="Arial" w:cs="Arial"/>
          <w:snapToGrid w:val="0"/>
          <w:lang w:val="es-ES"/>
        </w:rPr>
      </w:pPr>
      <w:r w:rsidRPr="00993936">
        <w:rPr>
          <w:rFonts w:ascii="Arial" w:hAnsi="Arial" w:cs="Arial"/>
          <w:snapToGrid w:val="0"/>
          <w:lang w:val="es-ES"/>
        </w:rPr>
        <w:t>rtículo 1</w:t>
      </w:r>
      <w:r w:rsidRPr="00993936">
        <w:rPr>
          <w:rFonts w:ascii="Arial" w:hAnsi="Arial" w:cs="Arial"/>
          <w:snapToGrid w:val="0"/>
          <w:lang w:val="es-ES"/>
        </w:rPr>
        <w:tab/>
      </w:r>
    </w:p>
    <w:p w:rsidR="00503A41" w:rsidRPr="00993936" w:rsidRDefault="00503A41" w:rsidP="0009331F">
      <w:pPr>
        <w:jc w:val="both"/>
        <w:outlineLvl w:val="0"/>
        <w:rPr>
          <w:rFonts w:ascii="Arial" w:hAnsi="Arial" w:cs="Arial"/>
          <w:snapToGrid w:val="0"/>
          <w:lang w:val="es-ES"/>
        </w:rPr>
      </w:pPr>
      <w:r w:rsidRPr="00993936">
        <w:rPr>
          <w:rFonts w:ascii="Arial" w:hAnsi="Arial" w:cs="Arial"/>
          <w:b/>
          <w:snapToGrid w:val="0"/>
          <w:lang w:val="es-ES"/>
        </w:rPr>
        <w:t>Biodiversidad</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1.1.</w:t>
      </w:r>
      <w:r w:rsidRPr="00993936">
        <w:rPr>
          <w:rFonts w:ascii="Arial" w:hAnsi="Arial" w:cs="Arial"/>
          <w:i/>
          <w:snapToGrid w:val="0"/>
          <w:lang w:val="es-ES"/>
        </w:rPr>
        <w:t>Obligaciones</w:t>
      </w:r>
    </w:p>
    <w:p w:rsidR="00503A41" w:rsidRPr="00993936" w:rsidRDefault="00503A41" w:rsidP="0009331F">
      <w:pPr>
        <w:pStyle w:val="Textoindependiente"/>
        <w:rPr>
          <w:rFonts w:cs="Arial"/>
          <w:szCs w:val="22"/>
          <w:lang w:val="es-ES"/>
        </w:rPr>
      </w:pPr>
      <w:r w:rsidRPr="00993936">
        <w:rPr>
          <w:rFonts w:cs="Arial"/>
          <w:szCs w:val="22"/>
          <w:lang w:val="es-ES"/>
        </w:rPr>
        <w:t>1.1.1 Fomentar de manera activa la diversidad biológica de los niveles genéticos, específicos y del ecosistema, ya que constituye un recurso natural importante de la explotación agraria.</w:t>
      </w:r>
    </w:p>
    <w:p w:rsidR="00503A41" w:rsidRPr="00993936" w:rsidRDefault="00503A41" w:rsidP="0009331F">
      <w:pPr>
        <w:pStyle w:val="Textodenotaalfinal"/>
        <w:jc w:val="both"/>
        <w:rPr>
          <w:rFonts w:ascii="Arial" w:hAnsi="Arial" w:cs="Arial"/>
          <w:sz w:val="22"/>
          <w:szCs w:val="22"/>
          <w:u w:val="single"/>
          <w:lang w:val="es-ES"/>
        </w:rPr>
      </w:pPr>
      <w:r w:rsidRPr="00993936">
        <w:rPr>
          <w:rFonts w:ascii="Arial" w:hAnsi="Arial" w:cs="Arial"/>
          <w:sz w:val="22"/>
          <w:szCs w:val="22"/>
          <w:lang w:val="es-ES"/>
        </w:rPr>
        <w:t>1.1.2 Fomentar y conservar un entorno de la explotación agraria natural y equilibrado, con un ecosistema de plantas y animales diversificado, identificando para cada cultivo y tipo de explotación agraria los elementos importantes de las infraestructuras ecológicas que contribuyan al mantenimiento y a la mejora de la biodiversidad biológica. Cada operador productor tendrá</w:t>
      </w:r>
      <w:r w:rsidRPr="00993936">
        <w:rPr>
          <w:rFonts w:ascii="Arial" w:hAnsi="Arial" w:cs="Arial"/>
          <w:sz w:val="22"/>
          <w:szCs w:val="22"/>
          <w:u w:val="single"/>
          <w:lang w:val="es-ES"/>
        </w:rPr>
        <w:t xml:space="preserve"> </w:t>
      </w:r>
      <w:r w:rsidRPr="00993936">
        <w:rPr>
          <w:rFonts w:ascii="Arial" w:hAnsi="Arial" w:cs="Arial"/>
          <w:sz w:val="22"/>
          <w:szCs w:val="22"/>
          <w:lang w:val="es-ES"/>
        </w:rPr>
        <w:t>que impulsar la realización de al menos dos opciones ecológicas que contribuyan a la mejora de la biodiversidad de sus plantaciones, seleccionándolas, prioritariamente, de la lista que se describe a continuación. Si no fuera posible la realización de las opciones propuestas el operador podrá establecer una lista de alternativas, de la cual como mínimo tendrá que practicar dos:</w:t>
      </w:r>
    </w:p>
    <w:p w:rsidR="00503A41" w:rsidRPr="00993936" w:rsidRDefault="00503A41" w:rsidP="009D1A2D">
      <w:pPr>
        <w:pStyle w:val="Textodenotaalfinal"/>
        <w:numPr>
          <w:ilvl w:val="0"/>
          <w:numId w:val="152"/>
        </w:numPr>
        <w:tabs>
          <w:tab w:val="clear" w:pos="360"/>
          <w:tab w:val="num" w:pos="709"/>
        </w:tabs>
        <w:ind w:left="709" w:hanging="283"/>
        <w:jc w:val="both"/>
        <w:rPr>
          <w:rFonts w:ascii="Arial" w:hAnsi="Arial" w:cs="Arial"/>
          <w:sz w:val="22"/>
          <w:szCs w:val="22"/>
          <w:lang w:val="es-ES"/>
        </w:rPr>
      </w:pPr>
      <w:r w:rsidRPr="00993936">
        <w:rPr>
          <w:rFonts w:ascii="Arial" w:hAnsi="Arial" w:cs="Arial"/>
          <w:sz w:val="22"/>
          <w:szCs w:val="22"/>
          <w:lang w:val="es-ES"/>
        </w:rPr>
        <w:t xml:space="preserve">Establecer un área de compensación ecológica, en la que no se apliquen </w:t>
      </w:r>
      <w:r w:rsidRPr="00993936">
        <w:rPr>
          <w:rFonts w:ascii="Arial" w:hAnsi="Arial" w:cs="Arial"/>
          <w:sz w:val="22"/>
          <w:szCs w:val="22"/>
          <w:lang w:val="es-ES"/>
        </w:rPr>
        <w:lastRenderedPageBreak/>
        <w:t>plaguicidas ni fertilizantes, para aumentar la biodiversidad faunística y botánica, de al menos un 5% de la superficie total de la explotación (excluidos los bosques). Se podrán considerar dentro de estas áreas, por ejemplo: cortavientos, márgenes de caminos, de canales, de ríos o rieras, etc.</w:t>
      </w:r>
    </w:p>
    <w:p w:rsidR="00503A41" w:rsidRPr="00993936" w:rsidRDefault="00503A41" w:rsidP="0009331F">
      <w:pPr>
        <w:pStyle w:val="Textodenotaalfinal"/>
        <w:ind w:left="708"/>
        <w:jc w:val="both"/>
        <w:rPr>
          <w:rFonts w:ascii="Arial" w:hAnsi="Arial" w:cs="Arial"/>
          <w:sz w:val="22"/>
          <w:szCs w:val="22"/>
          <w:lang w:val="es-ES"/>
        </w:rPr>
      </w:pPr>
      <w:r w:rsidRPr="00993936">
        <w:rPr>
          <w:rFonts w:ascii="Arial" w:hAnsi="Arial" w:cs="Arial"/>
          <w:sz w:val="22"/>
          <w:szCs w:val="22"/>
          <w:lang w:val="es-ES"/>
        </w:rPr>
        <w:t>Se admitirá que las áreas de compensación ecológica se establezcan a nivel de organización de productores o municipal, siempre que vayan asociadas directamente a las zonas de producción.</w:t>
      </w:r>
    </w:p>
    <w:p w:rsidR="00503A41" w:rsidRPr="00993936" w:rsidRDefault="00503A41" w:rsidP="009D1A2D">
      <w:pPr>
        <w:pStyle w:val="Textodenotaalfinal"/>
        <w:numPr>
          <w:ilvl w:val="0"/>
          <w:numId w:val="152"/>
        </w:numPr>
        <w:ind w:left="714" w:hanging="357"/>
        <w:jc w:val="both"/>
        <w:rPr>
          <w:rFonts w:ascii="Arial" w:hAnsi="Arial" w:cs="Arial"/>
          <w:sz w:val="22"/>
          <w:szCs w:val="22"/>
          <w:lang w:val="es-ES"/>
        </w:rPr>
      </w:pPr>
      <w:r w:rsidRPr="00993936">
        <w:rPr>
          <w:rFonts w:ascii="Arial" w:hAnsi="Arial" w:cs="Arial"/>
          <w:sz w:val="22"/>
          <w:szCs w:val="22"/>
          <w:lang w:val="es-ES"/>
        </w:rPr>
        <w:t>Establecer o mantener una cubierta vegetal del suelo.</w:t>
      </w:r>
    </w:p>
    <w:p w:rsidR="00503A41" w:rsidRPr="00993936" w:rsidRDefault="00503A41" w:rsidP="009D1A2D">
      <w:pPr>
        <w:pStyle w:val="Textodenotaalfinal"/>
        <w:numPr>
          <w:ilvl w:val="0"/>
          <w:numId w:val="152"/>
        </w:numPr>
        <w:ind w:left="714" w:hanging="357"/>
        <w:jc w:val="both"/>
        <w:rPr>
          <w:rFonts w:ascii="Arial" w:hAnsi="Arial" w:cs="Arial"/>
          <w:sz w:val="22"/>
          <w:szCs w:val="22"/>
          <w:lang w:val="es-ES"/>
        </w:rPr>
      </w:pPr>
      <w:r w:rsidRPr="00993936">
        <w:rPr>
          <w:rFonts w:ascii="Arial" w:hAnsi="Arial" w:cs="Arial"/>
          <w:sz w:val="22"/>
          <w:szCs w:val="22"/>
          <w:lang w:val="es-ES"/>
        </w:rPr>
        <w:t>No aplicar herbicidas en las plantaciones durante el periodo de otoño-invierno.</w:t>
      </w:r>
    </w:p>
    <w:p w:rsidR="00503A41" w:rsidRPr="00993936" w:rsidRDefault="00503A41" w:rsidP="009D1A2D">
      <w:pPr>
        <w:pStyle w:val="Textodenotaalfinal"/>
        <w:numPr>
          <w:ilvl w:val="0"/>
          <w:numId w:val="152"/>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los pájaros insectívoros.</w:t>
      </w:r>
    </w:p>
    <w:p w:rsidR="00503A41" w:rsidRPr="00993936" w:rsidRDefault="00503A41" w:rsidP="009D1A2D">
      <w:pPr>
        <w:pStyle w:val="Textodenotaalfinal"/>
        <w:numPr>
          <w:ilvl w:val="0"/>
          <w:numId w:val="152"/>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los insectos que favorezcan la polinización.</w:t>
      </w:r>
    </w:p>
    <w:p w:rsidR="00503A41" w:rsidRPr="00993936" w:rsidRDefault="00503A41" w:rsidP="009D1A2D">
      <w:pPr>
        <w:pStyle w:val="Textodenotaalfinal"/>
        <w:numPr>
          <w:ilvl w:val="0"/>
          <w:numId w:val="152"/>
        </w:numPr>
        <w:ind w:left="714" w:hanging="357"/>
        <w:jc w:val="both"/>
        <w:rPr>
          <w:rFonts w:ascii="Arial" w:hAnsi="Arial" w:cs="Arial"/>
          <w:sz w:val="22"/>
          <w:szCs w:val="22"/>
          <w:lang w:val="es-ES"/>
        </w:rPr>
      </w:pPr>
      <w:r w:rsidRPr="00993936">
        <w:rPr>
          <w:rFonts w:ascii="Arial" w:hAnsi="Arial" w:cs="Arial"/>
          <w:sz w:val="22"/>
          <w:szCs w:val="22"/>
          <w:lang w:val="es-ES"/>
        </w:rPr>
        <w:t>No aplicar productos fitosanitarios, ni herbicidas sobre la vegetación espontánea de los márgenes de las parcelas y realizar el control con medios culturales.</w:t>
      </w:r>
    </w:p>
    <w:p w:rsidR="00503A41" w:rsidRPr="00993936" w:rsidRDefault="00503A41" w:rsidP="009D1A2D">
      <w:pPr>
        <w:pStyle w:val="Textodenotaalfinal"/>
        <w:numPr>
          <w:ilvl w:val="0"/>
          <w:numId w:val="152"/>
        </w:numPr>
        <w:ind w:left="714" w:hanging="357"/>
        <w:jc w:val="both"/>
        <w:rPr>
          <w:rFonts w:ascii="Arial" w:hAnsi="Arial" w:cs="Arial"/>
          <w:sz w:val="22"/>
          <w:szCs w:val="22"/>
          <w:lang w:val="es-ES"/>
        </w:rPr>
      </w:pPr>
      <w:r w:rsidRPr="00993936">
        <w:rPr>
          <w:rFonts w:ascii="Arial" w:hAnsi="Arial" w:cs="Arial"/>
          <w:sz w:val="22"/>
          <w:szCs w:val="22"/>
          <w:lang w:val="es-ES"/>
        </w:rPr>
        <w:t>Establecer refugios artificiales para las aves de rapiña.</w:t>
      </w:r>
    </w:p>
    <w:p w:rsidR="00503A41" w:rsidRPr="00993936" w:rsidRDefault="00503A41" w:rsidP="009D1A2D">
      <w:pPr>
        <w:pStyle w:val="Textodenotaalfinal"/>
        <w:numPr>
          <w:ilvl w:val="0"/>
          <w:numId w:val="152"/>
        </w:numPr>
        <w:ind w:left="714" w:hanging="357"/>
        <w:jc w:val="both"/>
        <w:rPr>
          <w:rFonts w:ascii="Arial" w:hAnsi="Arial" w:cs="Arial"/>
          <w:sz w:val="22"/>
          <w:szCs w:val="22"/>
          <w:lang w:val="es-ES"/>
        </w:rPr>
      </w:pPr>
      <w:r w:rsidRPr="00993936">
        <w:rPr>
          <w:rFonts w:ascii="Arial" w:hAnsi="Arial" w:cs="Arial"/>
          <w:sz w:val="22"/>
          <w:szCs w:val="22"/>
          <w:lang w:val="es-ES"/>
        </w:rPr>
        <w:t>Establecer cortavientos en los márgenes de las parcelas, especialmente en zonas ventosas.</w:t>
      </w:r>
    </w:p>
    <w:p w:rsidR="00503A41" w:rsidRPr="00993936" w:rsidRDefault="00503A41" w:rsidP="009D1A2D">
      <w:pPr>
        <w:pStyle w:val="Textodenotaalfinal"/>
        <w:numPr>
          <w:ilvl w:val="0"/>
          <w:numId w:val="152"/>
        </w:numPr>
        <w:ind w:left="714" w:hanging="357"/>
        <w:jc w:val="both"/>
        <w:rPr>
          <w:rFonts w:ascii="Arial" w:hAnsi="Arial" w:cs="Arial"/>
          <w:sz w:val="22"/>
          <w:szCs w:val="22"/>
          <w:lang w:val="es-ES"/>
        </w:rPr>
      </w:pPr>
      <w:r w:rsidRPr="00993936">
        <w:rPr>
          <w:rFonts w:ascii="Arial" w:hAnsi="Arial" w:cs="Arial"/>
          <w:sz w:val="22"/>
          <w:szCs w:val="22"/>
          <w:lang w:val="es-ES"/>
        </w:rPr>
        <w:t>Proporcionar alimentos a los adultos de los enemigos naturales mediante plantas con flores.</w:t>
      </w:r>
    </w:p>
    <w:p w:rsidR="00503A41" w:rsidRPr="00993936" w:rsidRDefault="00503A41" w:rsidP="0009331F">
      <w:pPr>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503A41" w:rsidRPr="00993936" w:rsidRDefault="00503A41" w:rsidP="0009331F">
      <w:pPr>
        <w:jc w:val="both"/>
        <w:rPr>
          <w:rFonts w:ascii="Arial" w:hAnsi="Arial" w:cs="Arial"/>
          <w:lang w:val="es-ES"/>
        </w:rPr>
      </w:pPr>
      <w:r w:rsidRPr="00993936">
        <w:rPr>
          <w:rFonts w:ascii="Arial" w:hAnsi="Arial" w:cs="Arial"/>
          <w:lang w:val="es-ES"/>
        </w:rPr>
        <w:t>1.2.1 En caso de que se implanten cortavientos, siempre que sea posible se realizarán con especies</w:t>
      </w:r>
      <w:r w:rsidRPr="00993936">
        <w:rPr>
          <w:rFonts w:ascii="Arial" w:hAnsi="Arial" w:cs="Arial"/>
          <w:vanish/>
          <w:lang w:val="es-ES"/>
        </w:rPr>
        <w:t>&lt;A[especies|especias]&gt;</w:t>
      </w:r>
      <w:r w:rsidRPr="00993936">
        <w:rPr>
          <w:rFonts w:ascii="Arial" w:hAnsi="Arial" w:cs="Arial"/>
          <w:lang w:val="es-ES"/>
        </w:rPr>
        <w:t xml:space="preserve"> autóctonas, procurando mantener una diversidad de estructura y composición.</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Artículo 2</w:t>
      </w:r>
    </w:p>
    <w:p w:rsidR="00503A41" w:rsidRPr="00993936" w:rsidRDefault="00503A41" w:rsidP="0009331F">
      <w:pPr>
        <w:jc w:val="both"/>
        <w:rPr>
          <w:rFonts w:ascii="Arial" w:hAnsi="Arial" w:cs="Arial"/>
          <w:b/>
          <w:lang w:val="es-ES"/>
        </w:rPr>
      </w:pPr>
      <w:r w:rsidRPr="00993936">
        <w:rPr>
          <w:rFonts w:ascii="Arial" w:hAnsi="Arial" w:cs="Arial"/>
          <w:b/>
          <w:lang w:val="es-ES"/>
        </w:rPr>
        <w:t>Aspectos agronómicos generales</w:t>
      </w:r>
    </w:p>
    <w:p w:rsidR="00503A41" w:rsidRPr="00993936" w:rsidRDefault="00503A41" w:rsidP="0009331F">
      <w:pPr>
        <w:jc w:val="both"/>
        <w:rPr>
          <w:rFonts w:ascii="Arial" w:hAnsi="Arial" w:cs="Arial"/>
          <w:lang w:val="es-ES"/>
        </w:rPr>
      </w:pPr>
      <w:r w:rsidRPr="00993936">
        <w:rPr>
          <w:rFonts w:ascii="Arial" w:hAnsi="Arial" w:cs="Arial"/>
          <w:lang w:val="es-ES"/>
        </w:rPr>
        <w:t xml:space="preserve">2.1.-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2.1.1 El momento y la intensidad de las operaciones culturales tiene que minimizar los posibles impactos ambientales.</w:t>
      </w:r>
    </w:p>
    <w:p w:rsidR="00503A41" w:rsidRPr="00993936" w:rsidRDefault="00503A41" w:rsidP="0009331F">
      <w:pPr>
        <w:jc w:val="both"/>
        <w:rPr>
          <w:rFonts w:ascii="Arial" w:hAnsi="Arial" w:cs="Arial"/>
          <w:lang w:val="es-ES"/>
        </w:rPr>
      </w:pPr>
      <w:r w:rsidRPr="00993936">
        <w:rPr>
          <w:rFonts w:ascii="Arial" w:hAnsi="Arial" w:cs="Arial"/>
          <w:lang w:val="es-ES"/>
        </w:rPr>
        <w:t>2.1.2 En viña, el sistema de cultivo incluye el sistema de formación y tiene que respetar el estado fisiológico óptimo de las plantas.</w:t>
      </w:r>
    </w:p>
    <w:p w:rsidR="00503A41" w:rsidRPr="00993936" w:rsidRDefault="00503A41" w:rsidP="0009331F">
      <w:pPr>
        <w:jc w:val="both"/>
        <w:rPr>
          <w:rFonts w:ascii="Arial" w:hAnsi="Arial" w:cs="Arial"/>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3</w:t>
      </w:r>
    </w:p>
    <w:p w:rsidR="00503A41" w:rsidRPr="00993936" w:rsidRDefault="00503A41" w:rsidP="0009331F">
      <w:pPr>
        <w:jc w:val="both"/>
        <w:outlineLvl w:val="0"/>
        <w:rPr>
          <w:rFonts w:ascii="Arial" w:hAnsi="Arial" w:cs="Arial"/>
          <w:b/>
          <w:lang w:val="es-ES"/>
        </w:rPr>
      </w:pPr>
      <w:r w:rsidRPr="00993936">
        <w:rPr>
          <w:rFonts w:ascii="Arial" w:hAnsi="Arial" w:cs="Arial"/>
          <w:b/>
          <w:lang w:val="es-ES"/>
        </w:rPr>
        <w:t>Suelo, preparación del terreno y cultivo</w:t>
      </w:r>
    </w:p>
    <w:p w:rsidR="00503A41" w:rsidRPr="00993936" w:rsidRDefault="00503A41" w:rsidP="0009331F">
      <w:pPr>
        <w:jc w:val="both"/>
        <w:rPr>
          <w:rFonts w:ascii="Arial" w:hAnsi="Arial" w:cs="Arial"/>
          <w:lang w:val="es-ES"/>
        </w:rPr>
      </w:pPr>
      <w:r w:rsidRPr="00993936">
        <w:rPr>
          <w:rFonts w:ascii="Arial" w:hAnsi="Arial" w:cs="Arial"/>
          <w:lang w:val="es-ES"/>
        </w:rPr>
        <w:t xml:space="preserve">3.1 </w:t>
      </w:r>
      <w:r w:rsidRPr="00993936">
        <w:rPr>
          <w:rFonts w:ascii="Arial" w:hAnsi="Arial" w:cs="Arial"/>
          <w:i/>
          <w:lang w:val="es-ES"/>
        </w:rPr>
        <w:t>Obligaciones</w:t>
      </w:r>
    </w:p>
    <w:p w:rsidR="00503A41" w:rsidRPr="00993936" w:rsidRDefault="00503A41" w:rsidP="0009331F">
      <w:pPr>
        <w:jc w:val="both"/>
        <w:rPr>
          <w:rFonts w:ascii="Arial" w:hAnsi="Arial" w:cs="Arial"/>
          <w:i/>
          <w:lang w:val="es-ES"/>
        </w:rPr>
      </w:pPr>
      <w:r w:rsidRPr="00993936">
        <w:rPr>
          <w:rFonts w:ascii="Arial" w:hAnsi="Arial" w:cs="Arial"/>
          <w:lang w:val="es-ES"/>
        </w:rPr>
        <w:t>3.1.1 En las nuevas plantaciones, se realizará una caracterización del suelo mediante el examen directo y su análisis. Con esta finalidad, se realizarán zanjas del suelo para obtener información sobre la profundidad, textura, capacidad de retención de agua y posibles problemas de salinidad, permeabilidad y encharcamientos. Las zanjas se realizarán por zonas homogéneas, que no hará falta que sean necesariamente coincidentes con las unidades de control. No habrá que realizar esta práctica si la información se puede obtener a través de los mapas de suelos existentes.</w:t>
      </w:r>
    </w:p>
    <w:p w:rsidR="00503A41" w:rsidRPr="00993936" w:rsidRDefault="00503A41" w:rsidP="0009331F">
      <w:pPr>
        <w:jc w:val="both"/>
        <w:rPr>
          <w:rFonts w:ascii="Arial" w:hAnsi="Arial" w:cs="Arial"/>
          <w:lang w:val="es-ES"/>
        </w:rPr>
      </w:pPr>
      <w:r w:rsidRPr="00993936">
        <w:rPr>
          <w:rFonts w:ascii="Arial" w:hAnsi="Arial" w:cs="Arial"/>
          <w:lang w:val="es-ES"/>
        </w:rPr>
        <w:t>En viñas establecidas se realizarán análisis del suelo, excepto En caso que se disponga de datos recientes.</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3.1.2 En nuevas plantaciones la disposición de las hileras de las viñas será la que minimice la erosión, y si hace falta se adoptarán medidas de conservación de suelos.</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3.1.3 Realizar la eliminación exhaustiva de las raíces de cultivos anteriores, especialmente si se trata de viña, a la máxima profundidad que sea posible.</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3.1.4 En caso de replantación, cuando se observen indicios de infección, habrá que guardar un periodo de reposo del suelo mínimo de 4 años. Si la viña anterior estaba afectada por el virus del entrenudo corto GFLV, el periodo de reposo del suelo se alargará a un mínimo de 6 años.</w:t>
      </w:r>
    </w:p>
    <w:p w:rsidR="00503A41" w:rsidRPr="00993936" w:rsidRDefault="00503A41" w:rsidP="0009331F">
      <w:pPr>
        <w:pStyle w:val="Textoindependiente"/>
        <w:rPr>
          <w:rFonts w:cs="Arial"/>
          <w:szCs w:val="22"/>
          <w:lang w:val="es-ES"/>
        </w:rPr>
      </w:pPr>
      <w:r w:rsidRPr="00993936">
        <w:rPr>
          <w:rFonts w:cs="Arial"/>
          <w:szCs w:val="22"/>
          <w:lang w:val="es-ES"/>
        </w:rPr>
        <w:t>3.1.5 Mantener y mejorar la fertilidad del suelo mediante:</w:t>
      </w:r>
    </w:p>
    <w:p w:rsidR="00503A41" w:rsidRPr="00993936" w:rsidRDefault="00503A41" w:rsidP="009D1A2D">
      <w:pPr>
        <w:pStyle w:val="Textoindependiente"/>
        <w:numPr>
          <w:ilvl w:val="0"/>
          <w:numId w:val="150"/>
        </w:numPr>
        <w:rPr>
          <w:rFonts w:cs="Arial"/>
          <w:szCs w:val="22"/>
          <w:lang w:val="es-ES"/>
        </w:rPr>
      </w:pPr>
      <w:r w:rsidRPr="00993936">
        <w:rPr>
          <w:rFonts w:cs="Arial"/>
          <w:szCs w:val="22"/>
          <w:lang w:val="es-ES"/>
        </w:rPr>
        <w:t xml:space="preserve">El conocimiento de los niveles de materia orgánica del suelo y la velocidad de mineralización, la cual estimarán de acuerdo con el tipo de suelo y con las condiciones climáticas de la zona. </w:t>
      </w:r>
    </w:p>
    <w:p w:rsidR="00503A41" w:rsidRPr="00993936" w:rsidRDefault="00503A41" w:rsidP="009D1A2D">
      <w:pPr>
        <w:pStyle w:val="Textoindependiente"/>
        <w:numPr>
          <w:ilvl w:val="0"/>
          <w:numId w:val="150"/>
        </w:numPr>
        <w:rPr>
          <w:rFonts w:cs="Arial"/>
          <w:szCs w:val="22"/>
          <w:lang w:val="es-ES"/>
        </w:rPr>
      </w:pPr>
      <w:r w:rsidRPr="00993936">
        <w:rPr>
          <w:rFonts w:cs="Arial"/>
          <w:szCs w:val="22"/>
          <w:lang w:val="es-ES"/>
        </w:rPr>
        <w:t>El mantenimiento de un nivel de materia orgánica del horizonte superficial del suelo de como mínimo un 1%. Por debajo de este nivel se tendrá que aportar materia orgánica o bien realizar un sistema de manejo del cultivo (siembra de especies</w:t>
      </w:r>
      <w:r w:rsidRPr="00993936">
        <w:rPr>
          <w:rFonts w:cs="Arial"/>
          <w:vanish/>
          <w:szCs w:val="22"/>
          <w:lang w:val="es-ES"/>
        </w:rPr>
        <w:t>&lt;A[especies|especias]&gt;</w:t>
      </w:r>
      <w:r w:rsidRPr="00993936">
        <w:rPr>
          <w:rFonts w:cs="Arial"/>
          <w:szCs w:val="22"/>
          <w:lang w:val="es-ES"/>
        </w:rPr>
        <w:t xml:space="preserve"> vegetales para enterrar en verde, implantación de cubierta vegetal, incorporación de restos de poda, etc.), que permita aumentar progresivamente el nivel de materia orgánica del suelo hasta llegar al nivel establecido. El sistema de manejo se establecerá de acuerdo con las indicaciones del técnico responsable de producción integrada.</w:t>
      </w:r>
    </w:p>
    <w:p w:rsidR="00503A41" w:rsidRPr="00993936" w:rsidRDefault="00503A41" w:rsidP="009D1A2D">
      <w:pPr>
        <w:numPr>
          <w:ilvl w:val="0"/>
          <w:numId w:val="150"/>
        </w:numPr>
        <w:spacing w:after="0" w:line="240" w:lineRule="auto"/>
        <w:jc w:val="both"/>
        <w:rPr>
          <w:rFonts w:ascii="Arial" w:hAnsi="Arial" w:cs="Arial"/>
          <w:lang w:val="es-ES"/>
        </w:rPr>
      </w:pPr>
      <w:r w:rsidRPr="00993936">
        <w:rPr>
          <w:rFonts w:ascii="Arial" w:hAnsi="Arial" w:cs="Arial"/>
          <w:lang w:val="es-ES"/>
        </w:rPr>
        <w:t>La optimización de las propiedades biofísicas del suelo para evitar la compactación minimizando el paso de la maquinaria en condiciones de excesiva humedad del suelo.</w:t>
      </w:r>
    </w:p>
    <w:p w:rsidR="00503A41" w:rsidRPr="00993936" w:rsidRDefault="00503A41" w:rsidP="009D1A2D">
      <w:pPr>
        <w:numPr>
          <w:ilvl w:val="0"/>
          <w:numId w:val="150"/>
        </w:numPr>
        <w:spacing w:after="0" w:line="240" w:lineRule="auto"/>
        <w:jc w:val="both"/>
        <w:rPr>
          <w:rFonts w:ascii="Arial" w:hAnsi="Arial" w:cs="Arial"/>
          <w:lang w:val="es-ES"/>
        </w:rPr>
      </w:pPr>
      <w:r w:rsidRPr="00993936">
        <w:rPr>
          <w:rFonts w:ascii="Arial" w:hAnsi="Arial" w:cs="Arial"/>
          <w:lang w:val="es-ES"/>
        </w:rPr>
        <w:t>El mantenimiento de la protección del suelo durante el máximo tiempo posible mediante el mantenimiento de una cubierta vegetal preferentemente a base de vegetación espontánea.</w:t>
      </w:r>
    </w:p>
    <w:p w:rsidR="00503A41" w:rsidRPr="00993936" w:rsidRDefault="00503A41" w:rsidP="009D1A2D">
      <w:pPr>
        <w:numPr>
          <w:ilvl w:val="0"/>
          <w:numId w:val="150"/>
        </w:numPr>
        <w:spacing w:after="0" w:line="240" w:lineRule="auto"/>
        <w:ind w:left="720"/>
        <w:jc w:val="both"/>
        <w:rPr>
          <w:rFonts w:ascii="Arial" w:hAnsi="Arial" w:cs="Arial"/>
          <w:lang w:val="es-ES"/>
        </w:rPr>
      </w:pPr>
      <w:r w:rsidRPr="00993936">
        <w:rPr>
          <w:rFonts w:ascii="Arial" w:hAnsi="Arial" w:cs="Arial"/>
          <w:lang w:val="es-ES"/>
        </w:rPr>
        <w:t>La mínima perturbación física o química del suelo.</w:t>
      </w:r>
    </w:p>
    <w:p w:rsidR="00503A41" w:rsidRPr="00993936" w:rsidRDefault="00503A41" w:rsidP="001D205D">
      <w:pPr>
        <w:spacing w:after="0" w:line="240" w:lineRule="auto"/>
        <w:ind w:left="720"/>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3.1.6 Los trabajos de campo se realizarán respetando al máximo la estructura del suelo, evitando la escorrentía</w:t>
      </w:r>
      <w:r w:rsidRPr="00993936">
        <w:rPr>
          <w:rFonts w:ascii="Arial" w:hAnsi="Arial" w:cs="Arial"/>
          <w:vanish/>
          <w:lang w:val="es-ES"/>
        </w:rPr>
        <w:t>&lt;A[vaciado|corriente]&gt;</w:t>
      </w:r>
      <w:r w:rsidRPr="00993936">
        <w:rPr>
          <w:rFonts w:ascii="Arial" w:hAnsi="Arial" w:cs="Arial"/>
          <w:lang w:val="es-ES"/>
        </w:rPr>
        <w:t xml:space="preserve"> superficial y el encharcamiento. También se tendrá en cuenta la pendiente del suelo para la adecuada conservación del suelo, adaptando las dimensiones y características de las obras de conservación (terrazas, bancales, cerros) con la finalidad de evitar fenómenos de erosión.</w:t>
      </w:r>
    </w:p>
    <w:p w:rsidR="00503A41" w:rsidRPr="00993936" w:rsidRDefault="00503A41" w:rsidP="0009331F">
      <w:pPr>
        <w:jc w:val="both"/>
        <w:rPr>
          <w:rFonts w:ascii="Arial" w:hAnsi="Arial" w:cs="Arial"/>
          <w:lang w:val="es-ES"/>
        </w:rPr>
      </w:pPr>
      <w:r w:rsidRPr="00993936">
        <w:rPr>
          <w:rFonts w:ascii="Arial" w:hAnsi="Arial" w:cs="Arial"/>
          <w:lang w:val="es-ES"/>
        </w:rPr>
        <w:t>3.1.7 Las técnicas de cultivo utilizadas serán las adecuadas para reducir la erosión del suelo y el consumo energético.</w:t>
      </w:r>
    </w:p>
    <w:p w:rsidR="00503A41" w:rsidRPr="00993936" w:rsidRDefault="00503A41" w:rsidP="0009331F">
      <w:pPr>
        <w:jc w:val="both"/>
        <w:outlineLvl w:val="0"/>
        <w:rPr>
          <w:rFonts w:ascii="Arial" w:hAnsi="Arial" w:cs="Arial"/>
          <w:i/>
          <w:lang w:val="es-ES"/>
        </w:rPr>
      </w:pPr>
      <w:r w:rsidRPr="00993936">
        <w:rPr>
          <w:rFonts w:ascii="Arial" w:hAnsi="Arial" w:cs="Arial"/>
          <w:lang w:val="es-ES"/>
        </w:rPr>
        <w:t xml:space="preserve">3.2 </w:t>
      </w:r>
      <w:r w:rsidRPr="00993936">
        <w:rPr>
          <w:rFonts w:ascii="Arial" w:hAnsi="Arial" w:cs="Arial"/>
          <w:i/>
          <w:lang w:val="es-ES"/>
        </w:rPr>
        <w:t>Prohibiciones</w:t>
      </w:r>
    </w:p>
    <w:p w:rsidR="00503A41" w:rsidRPr="00993936" w:rsidRDefault="00503A41" w:rsidP="0009331F">
      <w:pPr>
        <w:jc w:val="both"/>
        <w:rPr>
          <w:rFonts w:ascii="Arial" w:hAnsi="Arial" w:cs="Arial"/>
          <w:lang w:val="es-ES"/>
        </w:rPr>
      </w:pPr>
      <w:r w:rsidRPr="00993936">
        <w:rPr>
          <w:rFonts w:ascii="Arial" w:hAnsi="Arial" w:cs="Arial"/>
          <w:lang w:val="es-ES"/>
        </w:rPr>
        <w:t>3.2.1 Realizar la desinfección química del suelo.</w:t>
      </w:r>
    </w:p>
    <w:p w:rsidR="00503A41" w:rsidRPr="00993936" w:rsidRDefault="00503A41" w:rsidP="0009331F">
      <w:pPr>
        <w:pStyle w:val="Textoindependiente"/>
        <w:rPr>
          <w:rFonts w:cs="Arial"/>
          <w:szCs w:val="22"/>
          <w:lang w:val="es-ES"/>
        </w:rPr>
      </w:pPr>
      <w:r w:rsidRPr="00993936">
        <w:rPr>
          <w:rFonts w:cs="Arial"/>
          <w:szCs w:val="22"/>
          <w:lang w:val="es-ES"/>
        </w:rPr>
        <w:t>3.2.2 Realizar los trabajos del suelo en el sentido de la pendiente en parcelas con pendientes superiores al 10%, así como también efectuar trabajos preparatorios que alteren los horizontes del suelo.</w:t>
      </w:r>
    </w:p>
    <w:p w:rsidR="00503A41" w:rsidRPr="00993936" w:rsidRDefault="00503A41" w:rsidP="0009331F">
      <w:pPr>
        <w:jc w:val="both"/>
        <w:rPr>
          <w:rFonts w:ascii="Arial" w:hAnsi="Arial" w:cs="Arial"/>
          <w:u w:val="single"/>
          <w:lang w:val="es-ES"/>
        </w:rPr>
      </w:pPr>
      <w:r w:rsidRPr="00993936">
        <w:rPr>
          <w:rFonts w:ascii="Arial" w:hAnsi="Arial" w:cs="Arial"/>
          <w:lang w:val="es-ES"/>
        </w:rPr>
        <w:t>3.2.3 La utilización sistemática</w:t>
      </w:r>
      <w:r w:rsidRPr="00993936">
        <w:rPr>
          <w:rFonts w:ascii="Arial" w:hAnsi="Arial" w:cs="Arial"/>
          <w:i/>
          <w:lang w:val="es-ES"/>
        </w:rPr>
        <w:t xml:space="preserve"> </w:t>
      </w:r>
      <w:r w:rsidRPr="00993936">
        <w:rPr>
          <w:rFonts w:ascii="Arial" w:hAnsi="Arial" w:cs="Arial"/>
          <w:lang w:val="es-ES"/>
        </w:rPr>
        <w:t>y permanente</w:t>
      </w:r>
      <w:r w:rsidRPr="00993936">
        <w:rPr>
          <w:rFonts w:ascii="Arial" w:hAnsi="Arial" w:cs="Arial"/>
          <w:i/>
          <w:lang w:val="es-ES"/>
        </w:rPr>
        <w:t xml:space="preserve"> </w:t>
      </w:r>
      <w:r w:rsidRPr="00993936">
        <w:rPr>
          <w:rFonts w:ascii="Arial" w:hAnsi="Arial" w:cs="Arial"/>
          <w:lang w:val="es-ES"/>
        </w:rPr>
        <w:t>de herramientas agrícolas (cavadoras, discos, etc.) que destruyan la estructura del suelo y favorezcan la formación de un estrato o zona de compactación.</w:t>
      </w:r>
    </w:p>
    <w:p w:rsidR="00503A41" w:rsidRPr="00993936" w:rsidRDefault="00503A41" w:rsidP="0009331F">
      <w:pPr>
        <w:pStyle w:val="Textoindependiente"/>
        <w:outlineLvl w:val="0"/>
        <w:rPr>
          <w:rFonts w:cs="Arial"/>
          <w:szCs w:val="22"/>
          <w:lang w:val="es-ES"/>
        </w:rPr>
      </w:pPr>
      <w:r w:rsidRPr="00993936">
        <w:rPr>
          <w:rFonts w:cs="Arial"/>
          <w:szCs w:val="22"/>
          <w:lang w:val="es-ES"/>
        </w:rPr>
        <w:t xml:space="preserve">3.3 </w:t>
      </w:r>
      <w:r w:rsidRPr="00993936">
        <w:rPr>
          <w:rFonts w:cs="Arial"/>
          <w:i/>
          <w:szCs w:val="22"/>
          <w:lang w:val="es-ES"/>
        </w:rPr>
        <w:t>Recomendaciones</w:t>
      </w:r>
    </w:p>
    <w:p w:rsidR="00503A41" w:rsidRPr="00993936" w:rsidRDefault="00503A41" w:rsidP="0009331F">
      <w:pPr>
        <w:jc w:val="both"/>
        <w:rPr>
          <w:rFonts w:ascii="Arial" w:hAnsi="Arial" w:cs="Arial"/>
          <w:lang w:val="es-ES"/>
        </w:rPr>
      </w:pPr>
      <w:r w:rsidRPr="00993936">
        <w:rPr>
          <w:rFonts w:ascii="Arial" w:hAnsi="Arial" w:cs="Arial"/>
          <w:lang w:val="es-ES"/>
        </w:rPr>
        <w:t>3.3.1 Se preferirán los tipos de suelos que tengan una profundidad adecuada para el desarrollo de las raíces, que estén bien drenados y de textura media. La conductividad eléctrica (CE) tiene que ser menor de 1,0 dS/m en 25ºC.</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3.3.2 La información sobre el tipo de suelo podrá ser extraída del mapa detallado de suelos de Cataluña, en caso de que haya.</w:t>
      </w:r>
    </w:p>
    <w:p w:rsidR="00503A41" w:rsidRPr="00993936" w:rsidRDefault="00503A41" w:rsidP="0009331F">
      <w:pPr>
        <w:pStyle w:val="Textoindependiente"/>
        <w:rPr>
          <w:rFonts w:cs="Arial"/>
          <w:szCs w:val="22"/>
          <w:lang w:val="es-ES"/>
        </w:rPr>
      </w:pPr>
      <w:r w:rsidRPr="00993936">
        <w:rPr>
          <w:rFonts w:cs="Arial"/>
          <w:szCs w:val="22"/>
          <w:lang w:val="es-ES"/>
        </w:rPr>
        <w:t xml:space="preserve">3.3.3 No realizar el cultivo en zonas con factores limitantes: encharcamientos, salinidad, capa freática alta, poca profundidad. </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3.3.4 Si la parcela está afectada por la presencia de los hongos del suelo (</w:t>
      </w:r>
      <w:r w:rsidRPr="00993936">
        <w:rPr>
          <w:rFonts w:ascii="Arial" w:hAnsi="Arial" w:cs="Arial"/>
          <w:i/>
          <w:snapToGrid w:val="0"/>
          <w:lang w:val="es-ES"/>
        </w:rPr>
        <w:t xml:space="preserve">Armillaria mellea </w:t>
      </w:r>
      <w:r w:rsidRPr="00993936">
        <w:rPr>
          <w:rFonts w:ascii="Arial" w:hAnsi="Arial" w:cs="Arial"/>
          <w:snapToGrid w:val="0"/>
          <w:lang w:val="es-ES"/>
        </w:rPr>
        <w:t xml:space="preserve">o </w:t>
      </w:r>
      <w:r w:rsidRPr="00993936">
        <w:rPr>
          <w:rFonts w:ascii="Arial" w:hAnsi="Arial" w:cs="Arial"/>
          <w:i/>
          <w:snapToGrid w:val="0"/>
          <w:lang w:val="es-ES"/>
        </w:rPr>
        <w:t xml:space="preserve">Dematophora </w:t>
      </w:r>
      <w:r w:rsidRPr="00993936">
        <w:rPr>
          <w:rFonts w:ascii="Arial" w:hAnsi="Arial" w:cs="Arial"/>
          <w:snapToGrid w:val="0"/>
          <w:lang w:val="es-ES"/>
        </w:rPr>
        <w:t>necatrix), se recomienda no plantar o bien esperar un mínimo de 10 años, durante los cuales se realizarán de forma continuada trabajos de airear del suelo y eliminación de raíces.</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3.3.5 Durante el periodo de reposo del suelo se aconseja realizar algún cultivo de cereal o leguminosa.</w:t>
      </w:r>
    </w:p>
    <w:p w:rsidR="00503A41" w:rsidRPr="00993936" w:rsidRDefault="00503A41" w:rsidP="0009331F">
      <w:pPr>
        <w:jc w:val="both"/>
        <w:rPr>
          <w:rFonts w:ascii="Arial" w:hAnsi="Arial" w:cs="Arial"/>
          <w:lang w:val="es-ES"/>
        </w:rPr>
      </w:pPr>
    </w:p>
    <w:p w:rsidR="00503A41" w:rsidRPr="00993936" w:rsidRDefault="00503A41" w:rsidP="0009331F">
      <w:pPr>
        <w:pStyle w:val="Ttulo2"/>
        <w:rPr>
          <w:rFonts w:ascii="Arial" w:hAnsi="Arial" w:cs="Arial"/>
          <w:b/>
          <w:color w:val="auto"/>
          <w:sz w:val="22"/>
          <w:szCs w:val="22"/>
          <w:lang w:val="es-ES"/>
        </w:rPr>
      </w:pPr>
      <w:r w:rsidRPr="00993936">
        <w:rPr>
          <w:rFonts w:ascii="Arial" w:hAnsi="Arial" w:cs="Arial"/>
          <w:b/>
          <w:color w:val="auto"/>
          <w:sz w:val="22"/>
          <w:szCs w:val="22"/>
          <w:lang w:val="es-ES"/>
        </w:rPr>
        <w:t>Artículo 4</w:t>
      </w:r>
    </w:p>
    <w:p w:rsidR="00503A41" w:rsidRPr="00993936" w:rsidRDefault="00503A41" w:rsidP="0009331F">
      <w:pPr>
        <w:pStyle w:val="Ttulo2"/>
        <w:rPr>
          <w:rFonts w:ascii="Arial" w:hAnsi="Arial" w:cs="Arial"/>
          <w:color w:val="auto"/>
          <w:sz w:val="22"/>
          <w:szCs w:val="22"/>
          <w:lang w:val="es-ES"/>
        </w:rPr>
      </w:pPr>
      <w:r w:rsidRPr="00993936">
        <w:rPr>
          <w:rFonts w:ascii="Arial" w:hAnsi="Arial" w:cs="Arial"/>
          <w:color w:val="auto"/>
          <w:sz w:val="22"/>
          <w:szCs w:val="22"/>
          <w:lang w:val="es-ES"/>
        </w:rPr>
        <w:t xml:space="preserve">Material vegetal </w:t>
      </w:r>
    </w:p>
    <w:p w:rsidR="00503A41" w:rsidRPr="00993936" w:rsidRDefault="00503A41" w:rsidP="0009331F">
      <w:pPr>
        <w:jc w:val="both"/>
        <w:rPr>
          <w:rFonts w:ascii="Arial" w:hAnsi="Arial" w:cs="Arial"/>
          <w:lang w:val="es-ES"/>
        </w:rPr>
      </w:pPr>
      <w:r w:rsidRPr="00993936">
        <w:rPr>
          <w:rFonts w:ascii="Arial" w:hAnsi="Arial" w:cs="Arial"/>
          <w:lang w:val="es-ES"/>
        </w:rPr>
        <w:t>Para realizar la producción integrada de uva para vinificación se admiten todas las variedades y los patrones que hay en las actuales plantaciones.</w:t>
      </w:r>
    </w:p>
    <w:p w:rsidR="00503A41" w:rsidRPr="00993936" w:rsidRDefault="00503A41" w:rsidP="0009331F">
      <w:pPr>
        <w:pStyle w:val="Textoindependiente"/>
        <w:rPr>
          <w:rFonts w:cs="Arial"/>
          <w:szCs w:val="22"/>
          <w:lang w:val="es-ES"/>
        </w:rPr>
      </w:pPr>
      <w:r w:rsidRPr="00993936">
        <w:rPr>
          <w:rFonts w:cs="Arial"/>
          <w:szCs w:val="22"/>
          <w:lang w:val="es-ES"/>
        </w:rPr>
        <w:t>En las nuevas plantaciones, se escogerán las variedades y los patrones más adecuados para la zona de cultivo.</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4.1 </w:t>
      </w:r>
      <w:r w:rsidRPr="00993936">
        <w:rPr>
          <w:rFonts w:ascii="Arial" w:hAnsi="Arial" w:cs="Arial"/>
          <w:i/>
          <w:lang w:val="es-ES"/>
        </w:rPr>
        <w:t>Obligaciones</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4.1.1 En caso de nuevas plantaciones, se utilizará material vegetal certificado, cuando</w:t>
      </w:r>
      <w:r w:rsidRPr="00993936">
        <w:rPr>
          <w:rFonts w:ascii="Arial" w:hAnsi="Arial" w:cs="Arial"/>
          <w:snapToGrid w:val="0"/>
          <w:vanish/>
          <w:lang w:val="es-ES"/>
        </w:rPr>
        <w:t>&lt;A[cuando|cuándo]&gt;</w:t>
      </w:r>
      <w:r w:rsidRPr="00993936">
        <w:rPr>
          <w:rFonts w:ascii="Arial" w:hAnsi="Arial" w:cs="Arial"/>
          <w:snapToGrid w:val="0"/>
          <w:lang w:val="es-ES"/>
        </w:rPr>
        <w:t xml:space="preserve"> haya que provenga de viveristas que estén inscritos en cualquier Registro Oficial de la UE de proveedores de material vegetal y que cumpla con las exigencias que establece la legislación vigente en materia de pasaporte fitosanitario CEE y del Reglamento Técnico de Control y Certificación de viña. En caso de variedades de las cuales no haya material certificado en el mercado, se aceptará la utilización de material estándar, siempre sobre patrón certificado.</w:t>
      </w:r>
    </w:p>
    <w:p w:rsidR="00503A41" w:rsidRPr="00993936" w:rsidRDefault="00503A41" w:rsidP="0009331F">
      <w:pPr>
        <w:jc w:val="both"/>
        <w:rPr>
          <w:rFonts w:ascii="Arial" w:hAnsi="Arial" w:cs="Arial"/>
          <w:i/>
          <w:lang w:val="es-ES"/>
        </w:rPr>
      </w:pPr>
      <w:r w:rsidRPr="00993936">
        <w:rPr>
          <w:rFonts w:ascii="Arial" w:hAnsi="Arial" w:cs="Arial"/>
          <w:lang w:val="es-ES"/>
        </w:rPr>
        <w:t>4.1.2 En plantaciones de viña, los patrones se adaptarán a las condiciones edáficas y no serán susceptibles a los patógenos y a las fisiopatias que sean habituales de la zona.</w:t>
      </w:r>
    </w:p>
    <w:p w:rsidR="00503A41" w:rsidRPr="00993936" w:rsidRDefault="00503A41" w:rsidP="0009331F">
      <w:pPr>
        <w:jc w:val="both"/>
        <w:rPr>
          <w:rFonts w:ascii="Arial" w:hAnsi="Arial" w:cs="Arial"/>
          <w:i/>
          <w:lang w:val="es-ES"/>
        </w:rPr>
      </w:pPr>
      <w:r w:rsidRPr="00993936">
        <w:rPr>
          <w:rFonts w:ascii="Arial" w:hAnsi="Arial" w:cs="Arial"/>
          <w:lang w:val="es-ES"/>
        </w:rPr>
        <w:t>4.1.3 Todas las variedades y patrones deben estar inscritas dentro del Catálogo Común de la Unión Europea y/o en la lista de variedades comerciales de plantas española.</w:t>
      </w:r>
      <w:r w:rsidRPr="00993936">
        <w:rPr>
          <w:rFonts w:ascii="Arial" w:hAnsi="Arial" w:cs="Arial"/>
          <w:i/>
          <w:lang w:val="es-ES"/>
        </w:rPr>
        <w:t xml:space="preserve"> </w:t>
      </w:r>
    </w:p>
    <w:p w:rsidR="00503A41" w:rsidRPr="00993936" w:rsidRDefault="00503A41" w:rsidP="0009331F">
      <w:pPr>
        <w:jc w:val="both"/>
        <w:rPr>
          <w:rFonts w:ascii="Arial" w:hAnsi="Arial" w:cs="Arial"/>
          <w:lang w:val="es-ES"/>
        </w:rPr>
      </w:pPr>
      <w:r w:rsidRPr="00993936">
        <w:rPr>
          <w:rFonts w:ascii="Arial" w:hAnsi="Arial" w:cs="Arial"/>
          <w:lang w:val="es-ES"/>
        </w:rPr>
        <w:t>4.1.4 Eliminar antes de la plantación todo el material vegetal que presente síntomas de enfermedad o un crecimiento anormal.</w:t>
      </w:r>
    </w:p>
    <w:p w:rsidR="00503A41" w:rsidRPr="00993936" w:rsidRDefault="00503A41" w:rsidP="0009331F">
      <w:pPr>
        <w:pStyle w:val="Textoindependiente"/>
        <w:rPr>
          <w:rFonts w:cs="Arial"/>
          <w:szCs w:val="22"/>
          <w:lang w:val="es-ES"/>
        </w:rPr>
      </w:pPr>
      <w:r w:rsidRPr="00993936">
        <w:rPr>
          <w:rFonts w:cs="Arial"/>
          <w:szCs w:val="22"/>
          <w:lang w:val="es-ES"/>
        </w:rPr>
        <w:t>4.1.5 El material de plantación, variedades, densidad de plantación, se adaptarán a las condiciones locales, con el objetivo de conseguir un producto de calidad con las mínimas intervenciones posibles.</w:t>
      </w:r>
    </w:p>
    <w:p w:rsidR="00503A41" w:rsidRPr="00993936" w:rsidRDefault="00503A41" w:rsidP="0009331F">
      <w:pPr>
        <w:jc w:val="both"/>
        <w:rPr>
          <w:rFonts w:ascii="Arial" w:hAnsi="Arial" w:cs="Arial"/>
          <w:lang w:val="es-ES"/>
        </w:rPr>
      </w:pPr>
      <w:r w:rsidRPr="00993936">
        <w:rPr>
          <w:rFonts w:ascii="Arial" w:hAnsi="Arial" w:cs="Arial"/>
          <w:lang w:val="es-ES"/>
        </w:rPr>
        <w:t>4.1.6 Utilizar, si hay, variedades y/o patrones resistentes o tolerantes a alguna de las enfermedades importantes de la especie y adaptadas a las condiciones locales, salvo una justificación técnica expresa.</w:t>
      </w:r>
    </w:p>
    <w:p w:rsidR="00503A41" w:rsidRPr="00993936" w:rsidRDefault="00503A41" w:rsidP="0009331F">
      <w:pPr>
        <w:jc w:val="both"/>
        <w:rPr>
          <w:rFonts w:ascii="Arial" w:hAnsi="Arial" w:cs="Arial"/>
          <w:lang w:val="es-ES"/>
        </w:rPr>
      </w:pPr>
      <w:r w:rsidRPr="00993936">
        <w:rPr>
          <w:rFonts w:ascii="Arial" w:hAnsi="Arial" w:cs="Arial"/>
          <w:lang w:val="es-ES"/>
        </w:rPr>
        <w:t>4.1.7  En las parcelas de viña, para incorporarse al programa de producción integrada, se controlará previamente la incidencia de problemas fitopatológicos virosis o problemas fúngicos, los cuales se harán constar en el cuaderno de explotación.</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4.2 </w:t>
      </w:r>
      <w:r w:rsidRPr="00993936">
        <w:rPr>
          <w:rFonts w:ascii="Arial" w:hAnsi="Arial" w:cs="Arial"/>
          <w:i/>
          <w:lang w:val="es-ES"/>
        </w:rPr>
        <w:t>Prohibiciones</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4.2.1 El uso de patrones, combinaciones injerto-patrón o variedades especialmente sensibles a determinadas enfermedades de especial incidencia o relevancia establecidas por la dirección general competente en materia de agricultura.</w:t>
      </w:r>
    </w:p>
    <w:p w:rsidR="00503A41" w:rsidRPr="00993936" w:rsidRDefault="00503A41" w:rsidP="0009331F">
      <w:pPr>
        <w:jc w:val="both"/>
        <w:rPr>
          <w:rFonts w:ascii="Arial" w:hAnsi="Arial" w:cs="Arial"/>
          <w:lang w:val="es-ES"/>
        </w:rPr>
      </w:pPr>
      <w:r w:rsidRPr="00993936">
        <w:rPr>
          <w:rFonts w:ascii="Arial" w:hAnsi="Arial" w:cs="Arial"/>
          <w:lang w:val="es-ES"/>
        </w:rPr>
        <w:t xml:space="preserve">4.3 </w:t>
      </w:r>
      <w:r w:rsidRPr="00993936">
        <w:rPr>
          <w:rFonts w:ascii="Arial" w:hAnsi="Arial" w:cs="Arial"/>
          <w:i/>
          <w:lang w:val="es-ES"/>
        </w:rPr>
        <w:t>Recomendaciones</w:t>
      </w:r>
    </w:p>
    <w:p w:rsidR="00503A41" w:rsidRPr="00993936" w:rsidRDefault="00503A41" w:rsidP="0009331F">
      <w:pPr>
        <w:jc w:val="both"/>
        <w:rPr>
          <w:rFonts w:ascii="Arial" w:hAnsi="Arial" w:cs="Arial"/>
          <w:lang w:val="es-ES"/>
        </w:rPr>
      </w:pPr>
      <w:r w:rsidRPr="00993936">
        <w:rPr>
          <w:rFonts w:ascii="Arial" w:hAnsi="Arial" w:cs="Arial"/>
          <w:lang w:val="es-ES"/>
        </w:rPr>
        <w:t xml:space="preserve">4.3.1 Se escogerán preferentemente las variedades más adecuadas a la zona, con el objetivo de conseguir un fruto de calidad con las mínimas intervenciones posibles. </w:t>
      </w:r>
    </w:p>
    <w:p w:rsidR="00503A41" w:rsidRPr="00993936" w:rsidRDefault="00503A41" w:rsidP="0009331F">
      <w:pPr>
        <w:jc w:val="both"/>
        <w:rPr>
          <w:rFonts w:ascii="Arial" w:hAnsi="Arial" w:cs="Arial"/>
          <w:lang w:val="es-ES"/>
        </w:rPr>
      </w:pPr>
      <w:r w:rsidRPr="00993936">
        <w:rPr>
          <w:rFonts w:ascii="Arial" w:hAnsi="Arial" w:cs="Arial"/>
          <w:lang w:val="es-ES"/>
        </w:rPr>
        <w:t>4.3.2 Conocer el grado de susceptibilidad de la/s variedad/es elegidas a plagas y enfermedades.</w:t>
      </w:r>
    </w:p>
    <w:p w:rsidR="00503A41" w:rsidRPr="00993936" w:rsidRDefault="00503A41" w:rsidP="0009331F">
      <w:pPr>
        <w:jc w:val="both"/>
        <w:rPr>
          <w:rFonts w:ascii="Arial" w:hAnsi="Arial" w:cs="Arial"/>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5</w:t>
      </w:r>
    </w:p>
    <w:p w:rsidR="00503A41" w:rsidRPr="00993936" w:rsidRDefault="00503A41" w:rsidP="0009331F">
      <w:pPr>
        <w:jc w:val="both"/>
        <w:outlineLvl w:val="0"/>
        <w:rPr>
          <w:rFonts w:ascii="Arial" w:hAnsi="Arial" w:cs="Arial"/>
          <w:lang w:val="es-ES"/>
        </w:rPr>
      </w:pPr>
      <w:r w:rsidRPr="00993936">
        <w:rPr>
          <w:rFonts w:ascii="Arial" w:hAnsi="Arial" w:cs="Arial"/>
          <w:b/>
          <w:lang w:val="es-ES"/>
        </w:rPr>
        <w:t>Características de la plantación</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 xml:space="preserve">5.1.- </w:t>
      </w:r>
      <w:r w:rsidRPr="00993936">
        <w:rPr>
          <w:rFonts w:ascii="Arial" w:hAnsi="Arial" w:cs="Arial"/>
          <w:i/>
          <w:snapToGrid w:val="0"/>
          <w:lang w:val="es-ES"/>
        </w:rPr>
        <w:t>Obligaciones</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5.1.1. Todas las parcelas que se acojan al sistema de producción integrada tendrán que cumplir todos los requisitos legales a efectos de autorización de plantación de viña.</w:t>
      </w:r>
    </w:p>
    <w:p w:rsidR="00503A41" w:rsidRPr="00993936" w:rsidRDefault="00503A41" w:rsidP="0009331F">
      <w:pPr>
        <w:jc w:val="both"/>
        <w:rPr>
          <w:rFonts w:ascii="Arial" w:hAnsi="Arial" w:cs="Arial"/>
          <w:snapToGrid w:val="0"/>
          <w:lang w:val="es-ES"/>
        </w:rPr>
      </w:pPr>
      <w:r w:rsidRPr="00993936">
        <w:rPr>
          <w:rFonts w:ascii="Arial" w:hAnsi="Arial" w:cs="Arial"/>
          <w:lang w:val="es-ES"/>
        </w:rPr>
        <w:t>5.1.2. En parcelas establecidas de viña, para incorporarse al programa de producción integrada, se tendrá que controlar previamente la incidencia de virosis o problemas fúngicos, las cuales se harán constar en el Cuaderno de explotación.</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5.1.3  Respetar el entorno y el paisaje vitícola.</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5.1.4  Disponer las hileras de manera que se minimice la erosión del terreno.</w:t>
      </w:r>
    </w:p>
    <w:p w:rsidR="00503A41" w:rsidRPr="00993936" w:rsidRDefault="00503A41" w:rsidP="0009331F">
      <w:pPr>
        <w:pStyle w:val="Textoindependiente"/>
        <w:rPr>
          <w:rFonts w:cs="Arial"/>
          <w:szCs w:val="22"/>
          <w:lang w:val="es-ES"/>
        </w:rPr>
      </w:pPr>
      <w:r w:rsidRPr="00993936">
        <w:rPr>
          <w:rFonts w:cs="Arial"/>
          <w:szCs w:val="22"/>
          <w:lang w:val="es-ES"/>
        </w:rPr>
        <w:t>5.1.5 Establecer una densidad de plantación que permita el adecuado desarrollo de la combinación variedad–patrón escogida, con la finalidad de alcanzar vendimias de calidad.</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 xml:space="preserve">5.2 </w:t>
      </w:r>
      <w:r w:rsidRPr="00993936">
        <w:rPr>
          <w:rFonts w:ascii="Arial" w:hAnsi="Arial" w:cs="Arial"/>
          <w:i/>
          <w:snapToGrid w:val="0"/>
          <w:lang w:val="es-ES"/>
        </w:rPr>
        <w:t>Recomendaciones</w:t>
      </w:r>
    </w:p>
    <w:p w:rsidR="00503A41" w:rsidRPr="00993936" w:rsidRDefault="00503A41" w:rsidP="0009331F">
      <w:pPr>
        <w:pStyle w:val="Textoindependiente"/>
        <w:rPr>
          <w:rFonts w:cs="Arial"/>
          <w:szCs w:val="22"/>
          <w:lang w:val="es-ES"/>
        </w:rPr>
      </w:pPr>
      <w:r w:rsidRPr="00993936">
        <w:rPr>
          <w:rFonts w:cs="Arial"/>
          <w:szCs w:val="22"/>
          <w:lang w:val="es-ES"/>
        </w:rPr>
        <w:t>5.2.1 Orientar las filas de la plantación, si es posible, de norte a sur con el fin de conseguir frutos de maduración y coloración uniformes.</w:t>
      </w:r>
    </w:p>
    <w:p w:rsidR="00503A41" w:rsidRPr="00993936" w:rsidRDefault="00503A41" w:rsidP="0009331F">
      <w:pPr>
        <w:jc w:val="both"/>
        <w:rPr>
          <w:rFonts w:ascii="Arial" w:hAnsi="Arial" w:cs="Arial"/>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6</w:t>
      </w:r>
    </w:p>
    <w:p w:rsidR="00503A41" w:rsidRPr="00993936" w:rsidRDefault="00503A41" w:rsidP="0009331F">
      <w:pPr>
        <w:jc w:val="both"/>
        <w:outlineLvl w:val="0"/>
        <w:rPr>
          <w:rFonts w:ascii="Arial" w:hAnsi="Arial" w:cs="Arial"/>
          <w:b/>
          <w:lang w:val="es-ES"/>
        </w:rPr>
      </w:pPr>
      <w:r w:rsidRPr="00993936">
        <w:rPr>
          <w:rFonts w:ascii="Arial" w:hAnsi="Arial" w:cs="Arial"/>
          <w:b/>
          <w:lang w:val="es-ES"/>
        </w:rPr>
        <w:t>Manejo de la plantación y manejo del fruto</w:t>
      </w:r>
    </w:p>
    <w:p w:rsidR="00503A41" w:rsidRPr="00993936" w:rsidRDefault="00503A41" w:rsidP="0009331F">
      <w:pPr>
        <w:jc w:val="both"/>
        <w:outlineLvl w:val="0"/>
        <w:rPr>
          <w:rFonts w:ascii="Arial" w:hAnsi="Arial" w:cs="Arial"/>
          <w:b/>
          <w:lang w:val="es-ES"/>
        </w:rPr>
      </w:pPr>
      <w:r w:rsidRPr="00993936">
        <w:rPr>
          <w:rFonts w:ascii="Arial" w:hAnsi="Arial" w:cs="Arial"/>
          <w:b/>
          <w:lang w:val="es-ES"/>
        </w:rPr>
        <w:t>6.1 Control de vigor</w:t>
      </w:r>
    </w:p>
    <w:p w:rsidR="00503A41" w:rsidRPr="00993936" w:rsidRDefault="00503A41" w:rsidP="0009331F">
      <w:pPr>
        <w:jc w:val="both"/>
        <w:rPr>
          <w:rFonts w:ascii="Arial" w:hAnsi="Arial" w:cs="Arial"/>
          <w:lang w:val="es-ES"/>
        </w:rPr>
      </w:pPr>
      <w:r w:rsidRPr="00993936">
        <w:rPr>
          <w:rFonts w:ascii="Arial" w:hAnsi="Arial" w:cs="Arial"/>
          <w:lang w:val="es-ES"/>
        </w:rPr>
        <w:t xml:space="preserve">6.1.1 </w:t>
      </w:r>
      <w:r w:rsidRPr="00993936">
        <w:rPr>
          <w:rFonts w:ascii="Arial" w:hAnsi="Arial" w:cs="Arial"/>
          <w:i/>
          <w:lang w:val="es-ES"/>
        </w:rPr>
        <w:t>Obligaciones</w:t>
      </w:r>
    </w:p>
    <w:p w:rsidR="00503A41" w:rsidRPr="00993936" w:rsidRDefault="00503A41" w:rsidP="0009331F">
      <w:pPr>
        <w:pStyle w:val="Textoindependiente"/>
        <w:rPr>
          <w:rFonts w:cs="Arial"/>
          <w:szCs w:val="22"/>
          <w:lang w:val="es-ES"/>
        </w:rPr>
      </w:pPr>
      <w:r w:rsidRPr="00993936">
        <w:rPr>
          <w:rFonts w:cs="Arial"/>
          <w:szCs w:val="22"/>
          <w:lang w:val="es-ES"/>
        </w:rPr>
        <w:t>6.1.1.1 El control de vigor se realizará preferentemente combinando la poda con la racionalización del resto de técnicas productivas, especialmente con respecto al riego y la fertilización.</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6.2 Poda</w:t>
      </w:r>
    </w:p>
    <w:p w:rsidR="00503A41" w:rsidRPr="00993936" w:rsidRDefault="00503A41" w:rsidP="0009331F">
      <w:pPr>
        <w:jc w:val="both"/>
        <w:rPr>
          <w:rFonts w:ascii="Arial" w:hAnsi="Arial" w:cs="Arial"/>
          <w:lang w:val="es-ES"/>
        </w:rPr>
      </w:pPr>
      <w:r w:rsidRPr="00993936">
        <w:rPr>
          <w:rFonts w:ascii="Arial" w:hAnsi="Arial" w:cs="Arial"/>
          <w:lang w:val="es-ES"/>
        </w:rPr>
        <w:t xml:space="preserve">6.2.1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6.2.1.1 La poda se llevará a cabo con un planteamiento técnico, teniendo en cuenta los principios fundamentales que rigen esta práctica, para maximizar la eficacia y la rentabilidad.</w:t>
      </w:r>
    </w:p>
    <w:p w:rsidR="00503A41" w:rsidRPr="00993936" w:rsidRDefault="00503A41" w:rsidP="0009331F">
      <w:pPr>
        <w:jc w:val="both"/>
        <w:rPr>
          <w:rFonts w:ascii="Arial" w:hAnsi="Arial" w:cs="Arial"/>
          <w:lang w:val="es-ES"/>
        </w:rPr>
      </w:pPr>
      <w:r w:rsidRPr="00993936">
        <w:rPr>
          <w:rFonts w:ascii="Arial" w:hAnsi="Arial" w:cs="Arial"/>
          <w:lang w:val="es-ES"/>
        </w:rPr>
        <w:t>6.2.1.2 El sistema de poda tiene que respetar el estado fisiológico óptimo de la viña permitir uno bueno aireado y una buena penetración de la luz y de los tratamientos, y mantener una adecuada relación hojas/frutos. El exceso de vigor se corregirá preferentemente mediante prácticas culturales, además de la poda.</w:t>
      </w:r>
    </w:p>
    <w:p w:rsidR="00503A41" w:rsidRPr="00993936" w:rsidRDefault="00503A41" w:rsidP="0009331F">
      <w:pPr>
        <w:jc w:val="both"/>
        <w:rPr>
          <w:rFonts w:ascii="Arial" w:hAnsi="Arial" w:cs="Arial"/>
          <w:lang w:val="es-ES"/>
        </w:rPr>
      </w:pPr>
      <w:r w:rsidRPr="00993936">
        <w:rPr>
          <w:rFonts w:ascii="Arial" w:hAnsi="Arial" w:cs="Arial"/>
          <w:lang w:val="es-ES"/>
        </w:rPr>
        <w:t>6.2.1.3 Desinfectar los instrumentos de poda cuando se cambie de parcela o de variedad en caso de haber riesgo de propagación de problemas fitosanitarios.</w:t>
      </w:r>
      <w:r w:rsidRPr="00993936" w:rsidDel="004C0492">
        <w:rPr>
          <w:rFonts w:ascii="Arial" w:hAnsi="Arial" w:cs="Arial"/>
          <w:lang w:val="es-ES"/>
        </w:rPr>
        <w:t xml:space="preserve"> </w:t>
      </w:r>
    </w:p>
    <w:p w:rsidR="00503A41" w:rsidRPr="00993936" w:rsidRDefault="00503A41" w:rsidP="0009331F">
      <w:pPr>
        <w:jc w:val="both"/>
        <w:rPr>
          <w:rFonts w:ascii="Arial" w:hAnsi="Arial" w:cs="Arial"/>
          <w:b/>
          <w:snapToGrid w:val="0"/>
          <w:lang w:val="es-ES"/>
        </w:rPr>
      </w:pPr>
      <w:r w:rsidRPr="00993936">
        <w:rPr>
          <w:rFonts w:ascii="Arial" w:hAnsi="Arial" w:cs="Arial"/>
          <w:lang w:val="es-ES"/>
        </w:rPr>
        <w:t xml:space="preserve">6.2.1.4 El equilibrio de la viña se tendrá que controlar de manera prioritaria con medidas culturales, como la fertilización, un adecuado suministro de agua, la poda de verano y/o la regulación del número de uvas cuajadas. </w:t>
      </w:r>
    </w:p>
    <w:p w:rsidR="00503A41" w:rsidRPr="00993936" w:rsidRDefault="00503A41" w:rsidP="0009331F">
      <w:pPr>
        <w:pStyle w:val="Textoindependiente"/>
        <w:rPr>
          <w:rFonts w:cs="Arial"/>
          <w:szCs w:val="22"/>
          <w:lang w:val="es-ES"/>
        </w:rPr>
      </w:pPr>
      <w:r w:rsidRPr="00993936">
        <w:rPr>
          <w:rFonts w:cs="Arial"/>
          <w:szCs w:val="22"/>
          <w:lang w:val="es-ES"/>
        </w:rPr>
        <w:t>6.2.1.5 Realizar una poda de invierno equilibrada, adaptando el número de brotes por hectárea a las exigencias de obtención de vendimias de calidad.</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6.2.1.6 Realizar una poda que minimice la realización de heridas grandes, con el fin de evitar la proliferación de hongos de madera. En caso de realizarse modificaciones importantes en los sistemas de formación (por ejemplo: de vaso en emparrado) hará falta proteger las heridas con un producto específico para esta finalidad.</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6.2.1.7 Realizar la poda en verde en los casos necesarios para conseguir una mejora sanitaria y cualitativa de la uva.</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6.2.1.8 Arrancar y destruir las cepas</w:t>
      </w:r>
      <w:r w:rsidRPr="00993936">
        <w:rPr>
          <w:rFonts w:ascii="Arial" w:hAnsi="Arial" w:cs="Arial"/>
          <w:snapToGrid w:val="0"/>
          <w:vanish/>
          <w:lang w:val="es-ES"/>
        </w:rPr>
        <w:t>&lt;A[cepas|vides]&gt;</w:t>
      </w:r>
      <w:r w:rsidRPr="00993936">
        <w:rPr>
          <w:rFonts w:ascii="Arial" w:hAnsi="Arial" w:cs="Arial"/>
          <w:snapToGrid w:val="0"/>
          <w:lang w:val="es-ES"/>
        </w:rPr>
        <w:t xml:space="preserve"> muertas del interior de la parcela.</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6.2.1.9 Amputar las partes muertas de la cepa</w:t>
      </w:r>
      <w:r w:rsidRPr="00993936">
        <w:rPr>
          <w:rFonts w:ascii="Arial" w:hAnsi="Arial" w:cs="Arial"/>
          <w:snapToGrid w:val="0"/>
          <w:vanish/>
          <w:lang w:val="es-ES"/>
        </w:rPr>
        <w:t>&lt;A[cepa|vid]&gt;</w:t>
      </w:r>
      <w:r w:rsidRPr="00993936">
        <w:rPr>
          <w:rFonts w:ascii="Arial" w:hAnsi="Arial" w:cs="Arial"/>
          <w:snapToGrid w:val="0"/>
          <w:lang w:val="es-ES"/>
        </w:rPr>
        <w:t xml:space="preserve"> en el momento de la poda y destruirlas, protegiendo posteriormente la herida con un producto específico.</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 xml:space="preserve">6.2.2 </w:t>
      </w:r>
      <w:r w:rsidRPr="00993936">
        <w:rPr>
          <w:rFonts w:ascii="Arial" w:hAnsi="Arial" w:cs="Arial"/>
          <w:i/>
          <w:snapToGrid w:val="0"/>
          <w:lang w:val="es-ES"/>
        </w:rPr>
        <w:t>Prohibiciones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6.2.2.1 La utilización de productos fitoreguladores de síntesis.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6.2.2.2 Dejar los restos de poda sin triturar o picar en la parcela.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6.2.2.3 Quemar de manera incontrolada los restos de poda.</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6.2.2.4 Abandonar los restos de poda en la parcela o en sus márgenes.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6.2.3 Recomendaciones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6.2.3.1 Adoptar las medidas técnicas adecuadas para conseguir producciones equilibradas tanto en las fases de formación como en las de producción.</w:t>
      </w:r>
    </w:p>
    <w:p w:rsidR="00503A41" w:rsidRPr="00993936" w:rsidRDefault="00503A41" w:rsidP="0009331F">
      <w:pPr>
        <w:jc w:val="both"/>
        <w:outlineLvl w:val="0"/>
        <w:rPr>
          <w:rFonts w:ascii="Arial" w:hAnsi="Arial" w:cs="Arial"/>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7</w:t>
      </w:r>
    </w:p>
    <w:p w:rsidR="00503A41" w:rsidRPr="00993936" w:rsidRDefault="00503A41" w:rsidP="0009331F">
      <w:pPr>
        <w:jc w:val="both"/>
        <w:outlineLvl w:val="0"/>
        <w:rPr>
          <w:rFonts w:ascii="Arial" w:hAnsi="Arial" w:cs="Arial"/>
          <w:lang w:val="es-ES"/>
        </w:rPr>
      </w:pPr>
      <w:r w:rsidRPr="00993936">
        <w:rPr>
          <w:rFonts w:ascii="Arial" w:hAnsi="Arial" w:cs="Arial"/>
          <w:b/>
          <w:lang w:val="es-ES"/>
        </w:rPr>
        <w:t>Fertilización</w:t>
      </w:r>
    </w:p>
    <w:p w:rsidR="00503A41" w:rsidRPr="00993936" w:rsidRDefault="00503A41" w:rsidP="0009331F">
      <w:pPr>
        <w:jc w:val="both"/>
        <w:rPr>
          <w:rFonts w:ascii="Arial" w:hAnsi="Arial" w:cs="Arial"/>
          <w:lang w:val="es-ES"/>
        </w:rPr>
      </w:pPr>
      <w:r w:rsidRPr="00993936">
        <w:rPr>
          <w:rFonts w:ascii="Arial" w:hAnsi="Arial" w:cs="Arial"/>
          <w:lang w:val="es-ES"/>
        </w:rPr>
        <w:t xml:space="preserve">7.1 </w:t>
      </w:r>
      <w:r w:rsidRPr="00993936">
        <w:rPr>
          <w:rFonts w:ascii="Arial" w:hAnsi="Arial" w:cs="Arial"/>
          <w:i/>
          <w:lang w:val="es-ES"/>
        </w:rPr>
        <w:t>Obligaciones</w:t>
      </w:r>
    </w:p>
    <w:p w:rsidR="00503A41" w:rsidRPr="00993936" w:rsidRDefault="00503A41" w:rsidP="0009331F">
      <w:pPr>
        <w:pStyle w:val="Textoindependiente"/>
        <w:rPr>
          <w:rFonts w:cs="Arial"/>
          <w:szCs w:val="22"/>
          <w:lang w:val="es-ES"/>
        </w:rPr>
      </w:pPr>
      <w:r w:rsidRPr="00993936">
        <w:rPr>
          <w:rFonts w:cs="Arial"/>
          <w:szCs w:val="22"/>
          <w:lang w:val="es-ES"/>
        </w:rPr>
        <w:t>7.1.1 En las nuevas plantaciones, previamente a la plantación, se realizarán análisis del suelo y del agua de riego. Los resultados de estos análisis determinarán la fertilización de fondo previa a la plantación.</w:t>
      </w:r>
    </w:p>
    <w:p w:rsidR="00503A41" w:rsidRPr="00993936" w:rsidRDefault="00503A41" w:rsidP="0009331F">
      <w:pPr>
        <w:pStyle w:val="Textoindependiente"/>
        <w:rPr>
          <w:rFonts w:cs="Arial"/>
          <w:szCs w:val="22"/>
          <w:lang w:val="es-ES"/>
        </w:rPr>
      </w:pPr>
      <w:r w:rsidRPr="00993936">
        <w:rPr>
          <w:rFonts w:cs="Arial"/>
          <w:szCs w:val="22"/>
          <w:lang w:val="es-ES"/>
        </w:rPr>
        <w:t>7.1.2 En plantaciones establecidas, cada explotación tendrá que realizar y disponer, de forma justificada, de análisis de suelo y del agua de riego para planificar la fertilización. Los análisis se realizarán cada 5 años.</w:t>
      </w:r>
    </w:p>
    <w:p w:rsidR="00503A41" w:rsidRPr="00993936" w:rsidRDefault="00503A41" w:rsidP="0009331F">
      <w:pPr>
        <w:pStyle w:val="Textoindependiente"/>
        <w:ind w:left="708"/>
        <w:rPr>
          <w:rFonts w:cs="Arial"/>
          <w:szCs w:val="22"/>
          <w:lang w:val="es-ES"/>
        </w:rPr>
      </w:pPr>
      <w:r w:rsidRPr="00993936">
        <w:rPr>
          <w:rFonts w:cs="Arial"/>
          <w:szCs w:val="22"/>
          <w:lang w:val="es-ES"/>
        </w:rPr>
        <w:t>7.1.2.1 En caso de que el abastecimiento del agua de riego se haga a través de una comunidad de regantes o bien por</w:t>
      </w:r>
      <w:r w:rsidRPr="00993936">
        <w:rPr>
          <w:rFonts w:cs="Arial"/>
          <w:vanish/>
          <w:szCs w:val="22"/>
          <w:lang w:val="es-ES"/>
        </w:rPr>
        <w:t>&lt;A[para|por]&gt;</w:t>
      </w:r>
      <w:r w:rsidRPr="00993936">
        <w:rPr>
          <w:rFonts w:cs="Arial"/>
          <w:szCs w:val="22"/>
          <w:lang w:val="es-ES"/>
        </w:rPr>
        <w:t xml:space="preserve"> una entidad similar, el </w:t>
      </w:r>
      <w:r w:rsidRPr="00993936">
        <w:rPr>
          <w:rFonts w:cs="Arial"/>
          <w:szCs w:val="22"/>
          <w:lang w:val="es-ES"/>
        </w:rPr>
        <w:lastRenderedPageBreak/>
        <w:t>cumplimiento</w:t>
      </w:r>
      <w:r w:rsidRPr="00993936">
        <w:rPr>
          <w:rFonts w:cs="Arial"/>
          <w:vanish/>
          <w:szCs w:val="22"/>
          <w:lang w:val="es-ES"/>
        </w:rPr>
        <w:t>&lt;A[cumplimiento|cumplido]&gt;</w:t>
      </w:r>
      <w:r w:rsidRPr="00993936">
        <w:rPr>
          <w:rFonts w:cs="Arial"/>
          <w:szCs w:val="22"/>
          <w:lang w:val="es-ES"/>
        </w:rPr>
        <w:t xml:space="preserve"> del requisito indicado al punto anterior se podrá justificar con la disposición de una analítica de agua, realizada por alguna de las entidades indicadas, siempre que incluya los parámetros que se indican en el artículo 9.1.</w:t>
      </w:r>
    </w:p>
    <w:p w:rsidR="00503A41" w:rsidRPr="00993936" w:rsidRDefault="00503A41" w:rsidP="0009331F">
      <w:pPr>
        <w:pStyle w:val="Textoindependiente"/>
        <w:ind w:left="708"/>
        <w:rPr>
          <w:rFonts w:cs="Arial"/>
          <w:szCs w:val="22"/>
          <w:lang w:val="es-ES"/>
        </w:rPr>
      </w:pPr>
      <w:r w:rsidRPr="00993936">
        <w:rPr>
          <w:rFonts w:cs="Arial"/>
          <w:szCs w:val="22"/>
          <w:lang w:val="es-ES"/>
        </w:rPr>
        <w:t>7.1.2.2 Cuando el abastecimiento del agua de riego sea de pozo, los análisis se harán como mínimo cada dos años. Cuando los resultados de dos analíticas consecutivas del agua, realizadas en el plazo señalado, sean similares los análisis se podrán efectuar cada 5 años.</w:t>
      </w:r>
    </w:p>
    <w:p w:rsidR="00503A41" w:rsidRPr="00993936" w:rsidRDefault="00503A41" w:rsidP="0009331F">
      <w:pPr>
        <w:pStyle w:val="Textoindependiente"/>
        <w:rPr>
          <w:rFonts w:cs="Arial"/>
          <w:szCs w:val="22"/>
          <w:lang w:val="es-ES"/>
        </w:rPr>
      </w:pPr>
      <w:r w:rsidRPr="00993936">
        <w:rPr>
          <w:rFonts w:cs="Arial"/>
          <w:szCs w:val="22"/>
          <w:lang w:val="es-ES"/>
        </w:rPr>
        <w:t>El número de análisis a efectuar será como mínimo un análisis del suelo por unidad homogénea de cultivo. Cuando se integre una UHC en el sistema de producción integrada habrá que realizar un análisis físico y químico siempre que no tenga uno realizado en un periodo de tiempo inferior a cinco años.</w:t>
      </w:r>
    </w:p>
    <w:p w:rsidR="00503A41" w:rsidRPr="00993936" w:rsidRDefault="00503A41" w:rsidP="0009331F">
      <w:pPr>
        <w:pStyle w:val="Textoindependiente"/>
        <w:rPr>
          <w:rFonts w:cs="Arial"/>
          <w:szCs w:val="22"/>
          <w:lang w:val="es-ES"/>
        </w:rPr>
      </w:pPr>
      <w:r w:rsidRPr="00993936">
        <w:rPr>
          <w:rFonts w:cs="Arial"/>
          <w:szCs w:val="22"/>
          <w:lang w:val="es-ES"/>
        </w:rPr>
        <w:t>7.1.3 Todas las analíticas de suelo incluirán, al menos, la determinación de fósforo, potasio y magnesio asimilables, la materia orgánica, la prueba previa de salinidad y, si procede</w:t>
      </w:r>
      <w:r w:rsidRPr="00993936">
        <w:rPr>
          <w:rFonts w:cs="Arial"/>
          <w:vanish/>
          <w:szCs w:val="22"/>
          <w:lang w:val="es-ES"/>
        </w:rPr>
        <w:t>&lt;A[pega|ocurre]&gt;</w:t>
      </w:r>
      <w:r w:rsidRPr="00993936">
        <w:rPr>
          <w:rFonts w:cs="Arial"/>
          <w:szCs w:val="22"/>
          <w:lang w:val="es-ES"/>
        </w:rPr>
        <w:t xml:space="preserve">, el análisis de sales solubles. En la primera analítica se incluirá, además, la determinación de textura y pH, y en caso de establecer una nueva plantación la determinación de carbonatos y cal activa. </w:t>
      </w:r>
    </w:p>
    <w:p w:rsidR="00503A41" w:rsidRPr="00993936" w:rsidRDefault="00503A41" w:rsidP="0009331F">
      <w:pPr>
        <w:jc w:val="both"/>
        <w:rPr>
          <w:rFonts w:ascii="Arial" w:hAnsi="Arial" w:cs="Arial"/>
          <w:lang w:val="es-ES"/>
        </w:rPr>
      </w:pPr>
      <w:r w:rsidRPr="00993936">
        <w:rPr>
          <w:rFonts w:ascii="Arial" w:hAnsi="Arial" w:cs="Arial"/>
          <w:lang w:val="es-ES"/>
        </w:rPr>
        <w:t>7.1.4 A partir del tercer año de la plantación se hará un seguimiento del estado nutritivo de la plantación mediante análisis foliares realizados cada año durante el periodo de floración y/o envero. El análisis de las hojas servirá para conocer la respuesta de la planta al programa de fertilización, corregir las desviaciones que puedan producirse y validar los programas de abonado</w:t>
      </w:r>
      <w:r w:rsidRPr="00993936">
        <w:rPr>
          <w:rFonts w:ascii="Arial" w:hAnsi="Arial" w:cs="Arial"/>
          <w:vanish/>
          <w:lang w:val="es-ES"/>
        </w:rPr>
        <w:t>&lt;A[abono|adobo]&gt;</w:t>
      </w:r>
      <w:r w:rsidRPr="00993936">
        <w:rPr>
          <w:rFonts w:ascii="Arial" w:hAnsi="Arial" w:cs="Arial"/>
          <w:lang w:val="es-ES"/>
        </w:rPr>
        <w:t>. Cada explotación tendrá que disponer de análisis foliares. El número de análisis foliares a realizar anualmente será, como mínimo, de un análisis por UHC. En cada UHC se analizarán al menos los nutrientes mayoritarios (N, P, K, Ca y Mg). Si hay síntomas de deficiencia o se utilizan fertilizantes con oligoelementos, se tendrán que incluir los microelementos en los análisis, al menos Fe, Mn, Cu y Zn o bien aquellos de los cuales se requiera la aportación.</w:t>
      </w:r>
    </w:p>
    <w:p w:rsidR="00503A41" w:rsidRPr="00993936" w:rsidRDefault="00503A41" w:rsidP="0009331F">
      <w:pPr>
        <w:jc w:val="both"/>
        <w:rPr>
          <w:rFonts w:ascii="Arial" w:hAnsi="Arial" w:cs="Arial"/>
          <w:lang w:val="es-ES"/>
        </w:rPr>
      </w:pPr>
      <w:r w:rsidRPr="00993936">
        <w:rPr>
          <w:rFonts w:ascii="Arial" w:hAnsi="Arial" w:cs="Arial"/>
          <w:lang w:val="es-ES"/>
        </w:rPr>
        <w:t>7.1.5 Las aplicaciones de abonos</w:t>
      </w:r>
      <w:r w:rsidRPr="00993936">
        <w:rPr>
          <w:rFonts w:ascii="Arial" w:hAnsi="Arial" w:cs="Arial"/>
          <w:vanish/>
          <w:lang w:val="es-ES"/>
        </w:rPr>
        <w:t>&lt;A[abonos|adobos]&gt;</w:t>
      </w:r>
      <w:r w:rsidRPr="00993936">
        <w:rPr>
          <w:rFonts w:ascii="Arial" w:hAnsi="Arial" w:cs="Arial"/>
          <w:lang w:val="es-ES"/>
        </w:rPr>
        <w:t xml:space="preserve"> foliares y oligoelementos requerirán siempre de la disposición de un análisis foliar. La fertilización foliar sólo se utilizará cuando el técnico responsable de producción integrada la considere necesaria y siempre en función de las necesidades y exigencias del cultivo.</w:t>
      </w:r>
    </w:p>
    <w:p w:rsidR="00503A41" w:rsidRPr="00993936" w:rsidRDefault="00503A41" w:rsidP="0009331F">
      <w:pPr>
        <w:jc w:val="both"/>
        <w:rPr>
          <w:rFonts w:ascii="Arial" w:hAnsi="Arial" w:cs="Arial"/>
          <w:lang w:val="es-ES"/>
        </w:rPr>
      </w:pPr>
      <w:r w:rsidRPr="00993936">
        <w:rPr>
          <w:rFonts w:ascii="Arial" w:hAnsi="Arial" w:cs="Arial"/>
          <w:lang w:val="es-ES"/>
        </w:rPr>
        <w:t>7.1.6 Efectuar el suministro de nutrientes fundamentalmente a través del sistema radicular.</w:t>
      </w:r>
    </w:p>
    <w:p w:rsidR="00503A41" w:rsidRPr="00993936" w:rsidRDefault="00503A41" w:rsidP="0009331F">
      <w:pPr>
        <w:jc w:val="both"/>
        <w:rPr>
          <w:rFonts w:ascii="Arial" w:hAnsi="Arial" w:cs="Arial"/>
          <w:lang w:val="es-ES"/>
        </w:rPr>
      </w:pPr>
      <w:r w:rsidRPr="00993936">
        <w:rPr>
          <w:rFonts w:ascii="Arial" w:hAnsi="Arial" w:cs="Arial"/>
          <w:lang w:val="es-ES"/>
        </w:rPr>
        <w:t>7.1.7 Utilizar el análisis físico y químico del suelo como base para estimar</w:t>
      </w:r>
      <w:r w:rsidRPr="00993936">
        <w:rPr>
          <w:rFonts w:ascii="Arial" w:hAnsi="Arial" w:cs="Arial"/>
          <w:vanish/>
          <w:lang w:val="es-ES"/>
        </w:rPr>
        <w:t>&lt;A[amar|estimar]&gt;</w:t>
      </w:r>
      <w:r w:rsidRPr="00993936">
        <w:rPr>
          <w:rFonts w:ascii="Arial" w:hAnsi="Arial" w:cs="Arial"/>
          <w:lang w:val="es-ES"/>
        </w:rPr>
        <w:t xml:space="preserve"> las necesidades de macronutrientes, a excepción del nitrógeno. </w:t>
      </w:r>
    </w:p>
    <w:p w:rsidR="00503A41" w:rsidRPr="00993936" w:rsidRDefault="00503A41" w:rsidP="0009331F">
      <w:pPr>
        <w:jc w:val="both"/>
        <w:rPr>
          <w:rFonts w:ascii="Arial" w:hAnsi="Arial" w:cs="Arial"/>
          <w:lang w:val="es-ES"/>
        </w:rPr>
      </w:pPr>
      <w:r w:rsidRPr="00993936">
        <w:rPr>
          <w:rFonts w:ascii="Arial" w:hAnsi="Arial" w:cs="Arial"/>
          <w:lang w:val="es-ES"/>
        </w:rPr>
        <w:t>7.1.8 Realizar y aplicar un programa de fertilización de macronutrientes para cada cultivo y unidad homogénea de cultivo que considere los resultados de las análisis y tenga en cuenta, además de las extracciones del cultivo, el estado nutricional y de crecimiento, el tipo y nivel de fertilidad del suelo y las aportaciones efectuadas por otras vías (agua y materia orgánica). El programa determinará las épocas y la forma de aplicación más adecuadas para minimizar las pérdidas por</w:t>
      </w:r>
      <w:r w:rsidRPr="00993936">
        <w:rPr>
          <w:rFonts w:ascii="Arial" w:hAnsi="Arial" w:cs="Arial"/>
          <w:vanish/>
          <w:lang w:val="es-ES"/>
        </w:rPr>
        <w:t>&lt;A[por|para]&gt;</w:t>
      </w:r>
      <w:r w:rsidRPr="00993936">
        <w:rPr>
          <w:rFonts w:ascii="Arial" w:hAnsi="Arial" w:cs="Arial"/>
          <w:lang w:val="es-ES"/>
        </w:rPr>
        <w:t xml:space="preserve"> lixiviación, erosión, etc., potenciando la aportación, de fertilizantes naturales y reduints los químicos de síntesis.</w:t>
      </w:r>
    </w:p>
    <w:p w:rsidR="00503A41" w:rsidRPr="00993936" w:rsidRDefault="00503A41" w:rsidP="0009331F">
      <w:pPr>
        <w:jc w:val="both"/>
        <w:rPr>
          <w:rFonts w:ascii="Arial" w:hAnsi="Arial" w:cs="Arial"/>
          <w:lang w:val="es-ES"/>
        </w:rPr>
      </w:pPr>
      <w:r w:rsidRPr="00993936">
        <w:rPr>
          <w:rFonts w:ascii="Arial" w:hAnsi="Arial" w:cs="Arial"/>
          <w:lang w:val="es-ES"/>
        </w:rPr>
        <w:t xml:space="preserve">7.1.9 La programación tiene que tener en cuenta que los fertilizantes que provienen del exterior (aguas, materia orgánica, fertilización directa) deben compensar las extracciones de las cosechas y las pérdidas técnicas. El programa determinará las épocas y la manera de aplicación más adecuadas, según la extracción periódica del </w:t>
      </w:r>
      <w:r w:rsidRPr="00993936">
        <w:rPr>
          <w:rFonts w:ascii="Arial" w:hAnsi="Arial" w:cs="Arial"/>
          <w:lang w:val="es-ES"/>
        </w:rPr>
        <w:lastRenderedPageBreak/>
        <w:t>cultivo, para minimizar las pérdidas por lixiviación, volatilización, desnitrificación, erosión, etc.</w:t>
      </w:r>
    </w:p>
    <w:p w:rsidR="00503A41" w:rsidRPr="00993936" w:rsidRDefault="00503A41" w:rsidP="0009331F">
      <w:pPr>
        <w:jc w:val="both"/>
        <w:outlineLvl w:val="0"/>
        <w:rPr>
          <w:rFonts w:ascii="Arial" w:hAnsi="Arial" w:cs="Arial"/>
          <w:lang w:val="es-ES"/>
        </w:rPr>
      </w:pPr>
      <w:r w:rsidRPr="00993936">
        <w:rPr>
          <w:rFonts w:ascii="Arial" w:hAnsi="Arial" w:cs="Arial"/>
          <w:lang w:val="es-ES"/>
        </w:rPr>
        <w:t>7.1.10 Considerando las aportaciones de las diferentes entradas (deyecciones ganaderas, aguas de riego, abonos</w:t>
      </w:r>
      <w:r w:rsidRPr="00993936">
        <w:rPr>
          <w:rFonts w:ascii="Arial" w:hAnsi="Arial" w:cs="Arial"/>
          <w:vanish/>
          <w:lang w:val="es-ES"/>
        </w:rPr>
        <w:t>&lt;A[abonos|adobos]&gt;</w:t>
      </w:r>
      <w:r w:rsidRPr="00993936">
        <w:rPr>
          <w:rFonts w:ascii="Arial" w:hAnsi="Arial" w:cs="Arial"/>
          <w:lang w:val="es-ES"/>
        </w:rPr>
        <w:t xml:space="preserve"> minerales, y otros), se establece el máximo de aportaciones siguientes:</w:t>
      </w:r>
    </w:p>
    <w:p w:rsidR="00503A41" w:rsidRPr="00993936" w:rsidRDefault="00503A41" w:rsidP="0009331F">
      <w:pPr>
        <w:jc w:val="both"/>
        <w:outlineLvl w:val="0"/>
        <w:rPr>
          <w:rFonts w:ascii="Arial"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1972"/>
        <w:gridCol w:w="4939"/>
      </w:tblGrid>
      <w:tr w:rsidR="00503A41" w:rsidRPr="00993936" w:rsidTr="001D205D">
        <w:tc>
          <w:tcPr>
            <w:tcW w:w="1037" w:type="pct"/>
            <w:shd w:val="clear" w:color="auto" w:fill="auto"/>
          </w:tcPr>
          <w:p w:rsidR="00503A41" w:rsidRPr="00993936" w:rsidRDefault="00503A41" w:rsidP="0009331F">
            <w:pPr>
              <w:jc w:val="center"/>
              <w:rPr>
                <w:rFonts w:ascii="Arial" w:hAnsi="Arial" w:cs="Arial"/>
                <w:b/>
                <w:lang w:val="es-ES"/>
              </w:rPr>
            </w:pPr>
            <w:r w:rsidRPr="00993936">
              <w:rPr>
                <w:rFonts w:ascii="Arial" w:hAnsi="Arial" w:cs="Arial"/>
                <w:b/>
                <w:lang w:val="es-ES"/>
              </w:rPr>
              <w:t>Elemento</w:t>
            </w:r>
          </w:p>
        </w:tc>
        <w:tc>
          <w:tcPr>
            <w:tcW w:w="1131" w:type="pct"/>
            <w:shd w:val="clear" w:color="auto" w:fill="auto"/>
          </w:tcPr>
          <w:p w:rsidR="00503A41" w:rsidRPr="00993936" w:rsidRDefault="00503A41" w:rsidP="0009331F">
            <w:pPr>
              <w:jc w:val="center"/>
              <w:rPr>
                <w:rFonts w:ascii="Arial" w:hAnsi="Arial" w:cs="Arial"/>
                <w:b/>
                <w:lang w:val="es-ES"/>
              </w:rPr>
            </w:pPr>
            <w:r w:rsidRPr="00993936">
              <w:rPr>
                <w:rFonts w:ascii="Arial" w:hAnsi="Arial" w:cs="Arial"/>
                <w:b/>
                <w:lang w:val="es-ES"/>
              </w:rPr>
              <w:t>Máximo aportaciones</w:t>
            </w:r>
          </w:p>
          <w:p w:rsidR="00503A41" w:rsidRPr="00993936" w:rsidRDefault="00503A41" w:rsidP="0009331F">
            <w:pPr>
              <w:jc w:val="center"/>
              <w:rPr>
                <w:rFonts w:ascii="Arial" w:hAnsi="Arial" w:cs="Arial"/>
                <w:b/>
                <w:lang w:val="es-ES"/>
              </w:rPr>
            </w:pPr>
            <w:r w:rsidRPr="00993936">
              <w:rPr>
                <w:rFonts w:ascii="Arial" w:hAnsi="Arial" w:cs="Arial"/>
                <w:b/>
                <w:lang w:val="es-ES"/>
              </w:rPr>
              <w:t>UF/ha y año</w:t>
            </w:r>
          </w:p>
        </w:tc>
        <w:tc>
          <w:tcPr>
            <w:tcW w:w="2832" w:type="pct"/>
            <w:shd w:val="clear" w:color="auto" w:fill="auto"/>
          </w:tcPr>
          <w:p w:rsidR="00503A41" w:rsidRPr="00993936" w:rsidRDefault="00503A41" w:rsidP="0009331F">
            <w:pPr>
              <w:jc w:val="center"/>
              <w:rPr>
                <w:rFonts w:ascii="Arial" w:hAnsi="Arial" w:cs="Arial"/>
                <w:b/>
                <w:lang w:val="es-ES"/>
              </w:rPr>
            </w:pPr>
            <w:r w:rsidRPr="00993936">
              <w:rPr>
                <w:rFonts w:ascii="Arial" w:hAnsi="Arial" w:cs="Arial"/>
                <w:b/>
                <w:lang w:val="es-ES"/>
              </w:rPr>
              <w:t>Cultivos y condiciones a considerar</w:t>
            </w:r>
          </w:p>
        </w:tc>
      </w:tr>
      <w:tr w:rsidR="00503A41" w:rsidRPr="00993936" w:rsidTr="001D205D">
        <w:tc>
          <w:tcPr>
            <w:tcW w:w="1037" w:type="pct"/>
            <w:shd w:val="clear" w:color="auto" w:fill="auto"/>
          </w:tcPr>
          <w:p w:rsidR="00503A41" w:rsidRPr="00993936" w:rsidRDefault="00503A41" w:rsidP="001D205D">
            <w:pPr>
              <w:jc w:val="both"/>
              <w:rPr>
                <w:rFonts w:ascii="Arial" w:hAnsi="Arial" w:cs="Arial"/>
                <w:lang w:val="es-ES"/>
              </w:rPr>
            </w:pPr>
            <w:r w:rsidRPr="00993936">
              <w:rPr>
                <w:rFonts w:ascii="Arial" w:hAnsi="Arial" w:cs="Arial"/>
                <w:lang w:val="es-ES"/>
              </w:rPr>
              <w:t xml:space="preserve"> Nitrógeno (N)</w:t>
            </w:r>
          </w:p>
        </w:tc>
        <w:tc>
          <w:tcPr>
            <w:tcW w:w="1131" w:type="pct"/>
            <w:shd w:val="clear" w:color="auto" w:fill="auto"/>
          </w:tcPr>
          <w:p w:rsidR="00503A41" w:rsidRPr="00993936" w:rsidRDefault="00503A41" w:rsidP="0009331F">
            <w:pPr>
              <w:jc w:val="center"/>
              <w:rPr>
                <w:rFonts w:ascii="Arial" w:hAnsi="Arial" w:cs="Arial"/>
                <w:lang w:val="es-ES"/>
              </w:rPr>
            </w:pPr>
            <w:r w:rsidRPr="00993936">
              <w:rPr>
                <w:rFonts w:ascii="Arial" w:hAnsi="Arial" w:cs="Arial"/>
                <w:lang w:val="es-ES"/>
              </w:rPr>
              <w:t>40</w:t>
            </w:r>
          </w:p>
        </w:tc>
        <w:tc>
          <w:tcPr>
            <w:tcW w:w="2832" w:type="pct"/>
            <w:shd w:val="clear" w:color="auto" w:fill="auto"/>
          </w:tcPr>
          <w:p w:rsidR="00503A41" w:rsidRPr="00993936" w:rsidRDefault="00503A41" w:rsidP="0009331F">
            <w:pPr>
              <w:jc w:val="both"/>
              <w:rPr>
                <w:rFonts w:ascii="Arial" w:hAnsi="Arial" w:cs="Arial"/>
                <w:lang w:val="es-ES"/>
              </w:rPr>
            </w:pPr>
          </w:p>
        </w:tc>
      </w:tr>
      <w:tr w:rsidR="00503A41" w:rsidRPr="00993936" w:rsidTr="001D205D">
        <w:tc>
          <w:tcPr>
            <w:tcW w:w="1037" w:type="pct"/>
            <w:shd w:val="clear" w:color="auto" w:fill="auto"/>
          </w:tcPr>
          <w:p w:rsidR="00503A41" w:rsidRPr="00993936" w:rsidRDefault="00503A41" w:rsidP="001D205D">
            <w:pPr>
              <w:jc w:val="both"/>
              <w:rPr>
                <w:rFonts w:ascii="Arial" w:hAnsi="Arial" w:cs="Arial"/>
                <w:lang w:val="es-ES"/>
              </w:rPr>
            </w:pPr>
            <w:r w:rsidRPr="00993936">
              <w:rPr>
                <w:rFonts w:ascii="Arial" w:hAnsi="Arial" w:cs="Arial"/>
                <w:lang w:val="es-ES"/>
              </w:rPr>
              <w:t>Fósforo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5</w:t>
            </w:r>
            <w:r w:rsidRPr="00993936">
              <w:rPr>
                <w:rFonts w:ascii="Arial" w:hAnsi="Arial" w:cs="Arial"/>
                <w:lang w:val="es-ES"/>
              </w:rPr>
              <w:t>)</w:t>
            </w:r>
          </w:p>
        </w:tc>
        <w:tc>
          <w:tcPr>
            <w:tcW w:w="1131" w:type="pct"/>
            <w:shd w:val="clear" w:color="auto" w:fill="auto"/>
          </w:tcPr>
          <w:p w:rsidR="00503A41" w:rsidRPr="00993936" w:rsidRDefault="00503A41" w:rsidP="0009331F">
            <w:pPr>
              <w:jc w:val="center"/>
              <w:rPr>
                <w:rFonts w:ascii="Arial" w:hAnsi="Arial" w:cs="Arial"/>
                <w:lang w:val="es-ES"/>
              </w:rPr>
            </w:pPr>
            <w:r w:rsidRPr="00993936">
              <w:rPr>
                <w:rFonts w:ascii="Arial" w:hAnsi="Arial" w:cs="Arial"/>
                <w:lang w:val="es-ES"/>
              </w:rPr>
              <w:t>250</w:t>
            </w:r>
          </w:p>
        </w:tc>
        <w:tc>
          <w:tcPr>
            <w:tcW w:w="2832" w:type="pct"/>
            <w:shd w:val="clear" w:color="auto" w:fill="auto"/>
          </w:tcPr>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Si el nivel de fósforo en el suelo es superior a 25 ppm </w:t>
            </w:r>
          </w:p>
        </w:tc>
      </w:tr>
      <w:tr w:rsidR="00503A41" w:rsidRPr="00993936" w:rsidTr="001D205D">
        <w:tc>
          <w:tcPr>
            <w:tcW w:w="1037" w:type="pct"/>
            <w:shd w:val="clear" w:color="auto" w:fill="auto"/>
          </w:tcPr>
          <w:p w:rsidR="00503A41" w:rsidRPr="00993936" w:rsidRDefault="00503A41" w:rsidP="001D205D">
            <w:pPr>
              <w:jc w:val="both"/>
              <w:rPr>
                <w:rFonts w:ascii="Arial" w:hAnsi="Arial" w:cs="Arial"/>
                <w:lang w:val="es-ES"/>
              </w:rPr>
            </w:pPr>
            <w:r w:rsidRPr="00993936">
              <w:rPr>
                <w:rFonts w:ascii="Arial" w:hAnsi="Arial" w:cs="Arial"/>
                <w:lang w:val="es-ES"/>
              </w:rPr>
              <w:t xml:space="preserve"> Potasio (K</w:t>
            </w:r>
            <w:r w:rsidRPr="00993936">
              <w:rPr>
                <w:rFonts w:ascii="Arial" w:hAnsi="Arial" w:cs="Arial"/>
                <w:vertAlign w:val="subscript"/>
                <w:lang w:val="es-ES"/>
              </w:rPr>
              <w:t>2</w:t>
            </w:r>
            <w:r w:rsidRPr="00993936">
              <w:rPr>
                <w:rFonts w:ascii="Arial" w:hAnsi="Arial" w:cs="Arial"/>
                <w:lang w:val="es-ES"/>
              </w:rPr>
              <w:t>O)</w:t>
            </w:r>
          </w:p>
        </w:tc>
        <w:tc>
          <w:tcPr>
            <w:tcW w:w="1131" w:type="pct"/>
            <w:shd w:val="clear" w:color="auto" w:fill="auto"/>
          </w:tcPr>
          <w:p w:rsidR="00503A41" w:rsidRPr="00993936" w:rsidRDefault="00503A41" w:rsidP="0009331F">
            <w:pPr>
              <w:jc w:val="center"/>
              <w:rPr>
                <w:rFonts w:ascii="Arial" w:hAnsi="Arial" w:cs="Arial"/>
                <w:lang w:val="es-ES"/>
              </w:rPr>
            </w:pPr>
            <w:r w:rsidRPr="00993936">
              <w:rPr>
                <w:rFonts w:ascii="Arial" w:hAnsi="Arial" w:cs="Arial"/>
                <w:lang w:val="es-ES"/>
              </w:rPr>
              <w:t>300</w:t>
            </w:r>
          </w:p>
        </w:tc>
        <w:tc>
          <w:tcPr>
            <w:tcW w:w="2832" w:type="pct"/>
            <w:shd w:val="clear" w:color="auto" w:fill="auto"/>
          </w:tcPr>
          <w:p w:rsidR="00503A41" w:rsidRPr="00993936" w:rsidRDefault="00503A41" w:rsidP="0009331F">
            <w:pPr>
              <w:jc w:val="both"/>
              <w:outlineLvl w:val="0"/>
              <w:rPr>
                <w:rFonts w:ascii="Arial" w:hAnsi="Arial" w:cs="Arial"/>
                <w:i/>
                <w:lang w:val="es-ES"/>
              </w:rPr>
            </w:pPr>
            <w:r w:rsidRPr="00993936">
              <w:rPr>
                <w:rFonts w:ascii="Arial" w:hAnsi="Arial" w:cs="Arial"/>
                <w:lang w:val="es-ES"/>
              </w:rPr>
              <w:t>Si el nivel de potasio en el suelo es superior a 125 ppm</w:t>
            </w:r>
          </w:p>
        </w:tc>
      </w:tr>
      <w:tr w:rsidR="00503A41" w:rsidRPr="00993936" w:rsidTr="0009331F">
        <w:tc>
          <w:tcPr>
            <w:tcW w:w="5000" w:type="pct"/>
            <w:gridSpan w:val="3"/>
            <w:shd w:val="clear" w:color="auto" w:fill="auto"/>
          </w:tcPr>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  ppm: partes por millón</w:t>
            </w:r>
          </w:p>
        </w:tc>
      </w:tr>
    </w:tbl>
    <w:p w:rsidR="00503A41" w:rsidRPr="00993936" w:rsidRDefault="00503A41" w:rsidP="0009331F">
      <w:pPr>
        <w:jc w:val="both"/>
        <w:outlineLvl w:val="0"/>
        <w:rPr>
          <w:rFonts w:ascii="Arial" w:hAnsi="Arial" w:cs="Arial"/>
          <w:lang w:val="es-ES"/>
        </w:rPr>
      </w:pPr>
    </w:p>
    <w:p w:rsidR="00503A41" w:rsidRPr="00993936" w:rsidRDefault="00503A41" w:rsidP="0009331F">
      <w:pPr>
        <w:jc w:val="both"/>
        <w:outlineLvl w:val="0"/>
        <w:rPr>
          <w:rFonts w:ascii="Arial" w:hAnsi="Arial" w:cs="Arial"/>
          <w:i/>
          <w:lang w:val="es-ES"/>
        </w:rPr>
      </w:pPr>
      <w:r w:rsidRPr="00993936">
        <w:rPr>
          <w:rFonts w:ascii="Arial" w:hAnsi="Arial" w:cs="Arial"/>
          <w:lang w:val="es-ES"/>
        </w:rPr>
        <w:t xml:space="preserve">En caso del nitrógeno, las cantidades anteriores se podrán aumentar hasta alcanzar un máximo de 60 kg de N/ha y año en caso de que toda la fertilización o una gran parte de ella se haga con fertilizantes orgánicos. </w:t>
      </w:r>
    </w:p>
    <w:p w:rsidR="00503A41" w:rsidRPr="00993936" w:rsidRDefault="00503A41" w:rsidP="0009331F">
      <w:pPr>
        <w:jc w:val="both"/>
        <w:rPr>
          <w:rFonts w:ascii="Arial" w:hAnsi="Arial" w:cs="Arial"/>
          <w:lang w:val="es-ES"/>
        </w:rPr>
      </w:pPr>
      <w:r w:rsidRPr="00993936">
        <w:rPr>
          <w:rFonts w:ascii="Arial" w:hAnsi="Arial" w:cs="Arial"/>
          <w:lang w:val="es-ES"/>
        </w:rPr>
        <w:t>La aplicación de microelementos se reducirá al mínimo posible y sólo se aplicarán cuando</w:t>
      </w:r>
      <w:r w:rsidRPr="00993936">
        <w:rPr>
          <w:rFonts w:ascii="Arial" w:hAnsi="Arial" w:cs="Arial"/>
          <w:vanish/>
          <w:lang w:val="es-ES"/>
        </w:rPr>
        <w:t>&lt;A[cuando|cuándo]&gt;</w:t>
      </w:r>
      <w:r w:rsidRPr="00993936">
        <w:rPr>
          <w:rFonts w:ascii="Arial" w:hAnsi="Arial" w:cs="Arial"/>
          <w:lang w:val="es-ES"/>
        </w:rPr>
        <w:t xml:space="preserve"> un análisis previo, o su sintomatología evidente determine la insuficiencia para los requerimientos reales del cultivo.</w:t>
      </w:r>
    </w:p>
    <w:p w:rsidR="00503A41" w:rsidRPr="00993936" w:rsidRDefault="00503A41" w:rsidP="0009331F">
      <w:pPr>
        <w:pStyle w:val="Textoindependiente"/>
        <w:rPr>
          <w:rFonts w:cs="Arial"/>
          <w:i/>
          <w:szCs w:val="22"/>
          <w:lang w:val="es-ES"/>
        </w:rPr>
      </w:pPr>
      <w:r w:rsidRPr="00993936">
        <w:rPr>
          <w:rFonts w:cs="Arial"/>
          <w:szCs w:val="22"/>
          <w:lang w:val="es-ES"/>
        </w:rPr>
        <w:t>La aplicación de fertilizantes se tendrá que revisar a posteriori por el técnico responsable de producción integrada, y su conformidad figurará en el Cuaderno de explotación.</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7.1.11 Se fraccionará el abonado</w:t>
      </w:r>
      <w:r w:rsidRPr="00993936">
        <w:rPr>
          <w:rFonts w:ascii="Arial" w:hAnsi="Arial" w:cs="Arial"/>
          <w:vanish/>
          <w:lang w:val="es-ES"/>
        </w:rPr>
        <w:t>&lt;A[adobado|arreglado]&gt;</w:t>
      </w:r>
      <w:r w:rsidRPr="00993936">
        <w:rPr>
          <w:rFonts w:ascii="Arial" w:hAnsi="Arial" w:cs="Arial"/>
          <w:lang w:val="es-ES"/>
        </w:rPr>
        <w:t xml:space="preserve"> nitrogenado, especialmente en zonas vulnerables, y se escogerá el tipo de abono</w:t>
      </w:r>
      <w:r w:rsidRPr="00993936">
        <w:rPr>
          <w:rFonts w:ascii="Arial" w:hAnsi="Arial" w:cs="Arial"/>
          <w:vanish/>
          <w:lang w:val="es-ES"/>
        </w:rPr>
        <w:t>&lt;A[abono|adobo]&gt;</w:t>
      </w:r>
      <w:r w:rsidRPr="00993936">
        <w:rPr>
          <w:rFonts w:ascii="Arial" w:hAnsi="Arial" w:cs="Arial"/>
          <w:lang w:val="es-ES"/>
        </w:rPr>
        <w:t xml:space="preserve"> más adecuado en función del manejo del agua de riego, de la pluviometría, del tipo de suelo, de la época del año y de la problemática específica de la viña.</w:t>
      </w:r>
    </w:p>
    <w:p w:rsidR="00503A41" w:rsidRPr="00993936" w:rsidRDefault="00503A41" w:rsidP="0009331F">
      <w:pPr>
        <w:jc w:val="both"/>
        <w:rPr>
          <w:rFonts w:ascii="Arial" w:hAnsi="Arial" w:cs="Arial"/>
          <w:lang w:val="es-ES"/>
        </w:rPr>
      </w:pPr>
      <w:r w:rsidRPr="00993936">
        <w:rPr>
          <w:rFonts w:ascii="Arial" w:hAnsi="Arial" w:cs="Arial"/>
          <w:lang w:val="es-ES"/>
        </w:rPr>
        <w:t>7.1.12 Cuando se aporte materia orgánica en el suelo, se tendrán que conocer los contenidos medios aportados en N, P</w:t>
      </w:r>
      <w:r w:rsidRPr="00993936">
        <w:rPr>
          <w:rFonts w:ascii="Arial" w:hAnsi="Arial" w:cs="Arial"/>
          <w:vertAlign w:val="subscript"/>
          <w:lang w:val="es-ES"/>
        </w:rPr>
        <w:t>2</w:t>
      </w:r>
      <w:r w:rsidRPr="00993936">
        <w:rPr>
          <w:rFonts w:ascii="Arial" w:hAnsi="Arial" w:cs="Arial"/>
          <w:lang w:val="es-ES"/>
        </w:rPr>
        <w:t>O, K</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5</w:t>
      </w:r>
      <w:r w:rsidRPr="00993936">
        <w:rPr>
          <w:rFonts w:ascii="Arial" w:hAnsi="Arial" w:cs="Arial"/>
          <w:lang w:val="es-ES"/>
        </w:rPr>
        <w:t>. Para el cálculo de los elementos fertilizantes aportados se utiltizarán preferentemente los resultados del análisis de la materia orgánica, o si no hay, se podrán utilizar como valores orientativos los que figuran en el anexo 7.</w:t>
      </w:r>
    </w:p>
    <w:p w:rsidR="00503A41" w:rsidRPr="00993936" w:rsidRDefault="00503A41" w:rsidP="0009331F">
      <w:pPr>
        <w:jc w:val="both"/>
        <w:rPr>
          <w:rFonts w:ascii="Arial" w:hAnsi="Arial" w:cs="Arial"/>
          <w:lang w:val="es-ES"/>
        </w:rPr>
      </w:pPr>
      <w:r w:rsidRPr="00993936">
        <w:rPr>
          <w:rFonts w:ascii="Arial" w:hAnsi="Arial" w:cs="Arial"/>
          <w:lang w:val="es-ES"/>
        </w:rPr>
        <w:t>7.1.13 Cuando</w:t>
      </w:r>
      <w:r w:rsidRPr="00993936">
        <w:rPr>
          <w:rFonts w:ascii="Arial" w:hAnsi="Arial" w:cs="Arial"/>
          <w:vanish/>
          <w:lang w:val="es-ES"/>
        </w:rPr>
        <w:t>&lt;A[Cuando|Cuándo]&gt;</w:t>
      </w:r>
      <w:r w:rsidRPr="00993936">
        <w:rPr>
          <w:rFonts w:ascii="Arial" w:hAnsi="Arial" w:cs="Arial"/>
          <w:lang w:val="es-ES"/>
        </w:rPr>
        <w:t xml:space="preserve"> se aporten materias con valor fertilizando de origen urbano o industrial (p. e. Compuestos de residuos sólidos urbanos, lodos de depuradoras ...)  , hará falta disponer o bien realizar</w:t>
      </w:r>
      <w:r w:rsidRPr="00993936">
        <w:rPr>
          <w:rFonts w:ascii="Arial" w:hAnsi="Arial" w:cs="Arial"/>
          <w:i/>
          <w:lang w:val="es-ES"/>
        </w:rPr>
        <w:t xml:space="preserve"> </w:t>
      </w:r>
      <w:r w:rsidRPr="00993936">
        <w:rPr>
          <w:rFonts w:ascii="Arial" w:hAnsi="Arial" w:cs="Arial"/>
          <w:lang w:val="es-ES"/>
        </w:rPr>
        <w:t xml:space="preserve">un análisis de metales pesados con el fin de conocer que no se exceden los límites legales establecidos, teniendo en cuenta el programa de actuaciones para la gestión de lodos de depuración de aguas residuales urbanas de Cataluña. En cualquier caso, esta aportación tiene que contener </w:t>
      </w:r>
      <w:r w:rsidRPr="00993936">
        <w:rPr>
          <w:rFonts w:ascii="Arial" w:hAnsi="Arial" w:cs="Arial"/>
          <w:lang w:val="es-ES"/>
        </w:rPr>
        <w:lastRenderedPageBreak/>
        <w:t>la mínima cantidad de metales pesados (cadmio, cromo, cobre, plomo, cinc, níquel y mercurio), patógenos u otros productos tóxicos.</w:t>
      </w:r>
    </w:p>
    <w:p w:rsidR="00503A41" w:rsidRPr="00993936" w:rsidRDefault="00503A41" w:rsidP="0009331F">
      <w:pPr>
        <w:pStyle w:val="Textoindependiente"/>
        <w:rPr>
          <w:rFonts w:cs="Arial"/>
          <w:szCs w:val="22"/>
          <w:lang w:val="es-ES"/>
        </w:rPr>
      </w:pPr>
      <w:r w:rsidRPr="00993936">
        <w:rPr>
          <w:rFonts w:cs="Arial"/>
          <w:szCs w:val="22"/>
          <w:lang w:val="es-ES"/>
        </w:rPr>
        <w:t>7.1.14 Almacenar los abonos</w:t>
      </w:r>
      <w:r w:rsidRPr="00993936">
        <w:rPr>
          <w:rFonts w:cs="Arial"/>
          <w:vanish/>
          <w:szCs w:val="22"/>
          <w:lang w:val="es-ES"/>
        </w:rPr>
        <w:t>&lt;A[abonos|adobos]&gt;</w:t>
      </w:r>
      <w:r w:rsidRPr="00993936">
        <w:rPr>
          <w:rFonts w:cs="Arial"/>
          <w:szCs w:val="22"/>
          <w:lang w:val="es-ES"/>
        </w:rPr>
        <w:t xml:space="preserve"> orgánicos de manera adecuada, de forma que se reduzca el riesgo de contaminación del medio ambiente.</w:t>
      </w:r>
    </w:p>
    <w:p w:rsidR="00503A41" w:rsidRPr="00993936" w:rsidRDefault="00503A41" w:rsidP="0009331F">
      <w:pPr>
        <w:jc w:val="both"/>
        <w:rPr>
          <w:rFonts w:ascii="Arial" w:hAnsi="Arial" w:cs="Arial"/>
          <w:lang w:val="es-ES"/>
        </w:rPr>
      </w:pPr>
      <w:r w:rsidRPr="00993936">
        <w:rPr>
          <w:rFonts w:ascii="Arial" w:hAnsi="Arial" w:cs="Arial"/>
          <w:lang w:val="es-ES"/>
        </w:rPr>
        <w:t>7.1.15 Realizar las enmiendas necesarias siempre que el pH del suelo se aparte sustancialmente de un nivel de pH comprara entre 6,5 y 8,9, o cuando las características físicas o químicas del suelo así lo aconsejen. En cualquier caso, las enmiendas tendrán que ser técnicamente justificadas de acuerdo con un análisis del suelo y con las necesidades reales de la variedad y especie cultivada.</w:t>
      </w:r>
    </w:p>
    <w:p w:rsidR="00503A41" w:rsidRPr="00993936" w:rsidRDefault="00503A41" w:rsidP="0009331F">
      <w:pPr>
        <w:jc w:val="both"/>
        <w:rPr>
          <w:rFonts w:ascii="Arial" w:hAnsi="Arial" w:cs="Arial"/>
          <w:lang w:val="es-ES"/>
        </w:rPr>
      </w:pPr>
      <w:r w:rsidRPr="00993936">
        <w:rPr>
          <w:rFonts w:ascii="Arial" w:hAnsi="Arial" w:cs="Arial"/>
          <w:lang w:val="es-ES"/>
        </w:rPr>
        <w:t>7.1.16 Optimizar el reparto de los fertilizantes en función de los medios disponibles.</w:t>
      </w:r>
    </w:p>
    <w:p w:rsidR="00503A41" w:rsidRPr="00993936" w:rsidRDefault="00503A41" w:rsidP="0009331F">
      <w:pPr>
        <w:jc w:val="both"/>
        <w:rPr>
          <w:rFonts w:ascii="Arial" w:hAnsi="Arial" w:cs="Arial"/>
          <w:lang w:val="es-ES"/>
        </w:rPr>
      </w:pPr>
      <w:r w:rsidRPr="00993936">
        <w:rPr>
          <w:rFonts w:ascii="Arial" w:hAnsi="Arial" w:cs="Arial"/>
          <w:lang w:val="es-ES"/>
        </w:rPr>
        <w:t>7.1.17 Conseguir, mediante un manejo adecuado, un nivel de pH comprendido entre 6,5 y 8,9.</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7.2 </w:t>
      </w:r>
      <w:r w:rsidRPr="00993936">
        <w:rPr>
          <w:rFonts w:ascii="Arial" w:hAnsi="Arial" w:cs="Arial"/>
          <w:i/>
          <w:lang w:val="es-ES"/>
        </w:rPr>
        <w:t>Prohibiciones</w:t>
      </w:r>
    </w:p>
    <w:p w:rsidR="00503A41" w:rsidRPr="00993936" w:rsidRDefault="00503A41" w:rsidP="0009331F">
      <w:pPr>
        <w:jc w:val="both"/>
        <w:outlineLvl w:val="0"/>
        <w:rPr>
          <w:rFonts w:ascii="Arial" w:hAnsi="Arial" w:cs="Arial"/>
          <w:lang w:val="es-ES"/>
        </w:rPr>
      </w:pPr>
      <w:r w:rsidRPr="00993936">
        <w:rPr>
          <w:rFonts w:ascii="Arial" w:hAnsi="Arial" w:cs="Arial"/>
          <w:lang w:val="es-ES"/>
        </w:rPr>
        <w:t>7.2.1 Superar la cantidad máxima tolerable por</w:t>
      </w:r>
      <w:r w:rsidRPr="00993936">
        <w:rPr>
          <w:rFonts w:ascii="Arial" w:hAnsi="Arial" w:cs="Arial"/>
          <w:vanish/>
          <w:lang w:val="es-ES"/>
        </w:rPr>
        <w:t>&lt;A[por|para]&gt;</w:t>
      </w:r>
      <w:r w:rsidRPr="00993936">
        <w:rPr>
          <w:rFonts w:ascii="Arial" w:hAnsi="Arial" w:cs="Arial"/>
          <w:lang w:val="es-ES"/>
        </w:rPr>
        <w:t xml:space="preserve"> hectárea y año de nitrógeno total, fósforo y potasio y exceder los límites nacionales e internacionales aplicables a cada territorio relativos al enriquecimiento de nitratos o fosfatos en el agua subterránea, así como los límites que se fijan de metales pesados en el anexo 4 de esta norma, de patógenos y de otros productos tóxicos.</w:t>
      </w:r>
    </w:p>
    <w:p w:rsidR="00503A41" w:rsidRPr="00993936" w:rsidRDefault="00503A41" w:rsidP="0009331F">
      <w:pPr>
        <w:pStyle w:val="Textoindependiente"/>
        <w:rPr>
          <w:rFonts w:cs="Arial"/>
          <w:szCs w:val="22"/>
          <w:lang w:val="es-ES"/>
        </w:rPr>
      </w:pPr>
      <w:r w:rsidRPr="00993936">
        <w:rPr>
          <w:rFonts w:cs="Arial"/>
          <w:szCs w:val="22"/>
          <w:lang w:val="es-ES"/>
        </w:rPr>
        <w:t>7.2.2 Almacenar los fertilizantes y los fitosanitarios sin estar separados físicamente y etiquetados correctamente.</w:t>
      </w:r>
    </w:p>
    <w:p w:rsidR="00503A41" w:rsidRPr="00993936" w:rsidRDefault="00503A41" w:rsidP="0009331F">
      <w:pPr>
        <w:pStyle w:val="Textoindependiente"/>
        <w:rPr>
          <w:rFonts w:cs="Arial"/>
          <w:szCs w:val="22"/>
          <w:lang w:val="es-ES"/>
        </w:rPr>
      </w:pPr>
      <w:r w:rsidRPr="00993936">
        <w:rPr>
          <w:rFonts w:cs="Arial"/>
          <w:szCs w:val="22"/>
          <w:lang w:val="es-ES"/>
        </w:rPr>
        <w:t>7.2.3 Hacer una programación de la fertilización sin tener en cuenta los resultados de los análisis de suelo, y/o hojas y agua.</w:t>
      </w:r>
    </w:p>
    <w:p w:rsidR="00503A41" w:rsidRPr="00993936" w:rsidRDefault="00503A41" w:rsidP="0009331F">
      <w:pPr>
        <w:jc w:val="both"/>
        <w:outlineLvl w:val="0"/>
        <w:rPr>
          <w:rFonts w:ascii="Arial" w:hAnsi="Arial" w:cs="Arial"/>
          <w:lang w:val="es-ES"/>
        </w:rPr>
      </w:pPr>
      <w:r w:rsidRPr="00993936">
        <w:rPr>
          <w:rFonts w:ascii="Arial" w:hAnsi="Arial" w:cs="Arial"/>
          <w:lang w:val="es-ES"/>
        </w:rPr>
        <w:t>7.2.4 Aplicar estiércol y purines sobre los terrenos encharcados o con nieve y a menos de 50 m de una captación de agua destinada al consumo humano.</w:t>
      </w:r>
    </w:p>
    <w:p w:rsidR="00503A41" w:rsidRPr="00993936" w:rsidRDefault="00503A41" w:rsidP="0009331F">
      <w:pPr>
        <w:jc w:val="both"/>
        <w:outlineLvl w:val="0"/>
        <w:rPr>
          <w:rFonts w:ascii="Arial" w:hAnsi="Arial" w:cs="Arial"/>
          <w:lang w:val="es-ES"/>
        </w:rPr>
      </w:pPr>
      <w:r w:rsidRPr="00993936">
        <w:rPr>
          <w:rFonts w:ascii="Arial" w:hAnsi="Arial" w:cs="Arial"/>
          <w:lang w:val="es-ES"/>
        </w:rPr>
        <w:t>7.2.5 Utilizar, sin haber realizado un tratamiento previo reconocido por la dirección general competente en materia de agricultura, tanto lodos que procedan de depuradora como</w:t>
      </w:r>
      <w:r w:rsidRPr="00993936">
        <w:rPr>
          <w:rFonts w:ascii="Arial" w:hAnsi="Arial" w:cs="Arial"/>
          <w:vanish/>
          <w:lang w:val="es-ES"/>
        </w:rPr>
        <w:t>&lt;A[como|cómo]&gt;</w:t>
      </w:r>
      <w:r w:rsidRPr="00993936">
        <w:rPr>
          <w:rFonts w:ascii="Arial" w:hAnsi="Arial" w:cs="Arial"/>
          <w:lang w:val="es-ES"/>
        </w:rPr>
        <w:t xml:space="preserve"> residuos sólidos urbanos.</w:t>
      </w:r>
    </w:p>
    <w:p w:rsidR="00503A41" w:rsidRPr="00993936" w:rsidRDefault="00503A41" w:rsidP="0009331F">
      <w:pPr>
        <w:jc w:val="both"/>
        <w:outlineLvl w:val="0"/>
        <w:rPr>
          <w:rFonts w:ascii="Arial" w:hAnsi="Arial" w:cs="Arial"/>
          <w:lang w:val="es-ES"/>
        </w:rPr>
      </w:pPr>
      <w:r w:rsidRPr="00993936">
        <w:rPr>
          <w:rFonts w:ascii="Arial" w:hAnsi="Arial" w:cs="Arial"/>
          <w:lang w:val="es-ES"/>
        </w:rPr>
        <w:t>7.2.6 Utilizar purines y estiércol directamente sobre viñas ya establecidas y en que estos productos entren en contacto directo con las uvas.</w:t>
      </w:r>
    </w:p>
    <w:p w:rsidR="00503A41" w:rsidRPr="00993936" w:rsidRDefault="00503A41" w:rsidP="0009331F">
      <w:pPr>
        <w:pStyle w:val="Textoindependiente"/>
        <w:outlineLvl w:val="0"/>
        <w:rPr>
          <w:rFonts w:cs="Arial"/>
          <w:i/>
          <w:szCs w:val="22"/>
          <w:lang w:val="es-ES"/>
        </w:rPr>
      </w:pPr>
      <w:r w:rsidRPr="00993936">
        <w:rPr>
          <w:rFonts w:cs="Arial"/>
          <w:szCs w:val="22"/>
          <w:lang w:val="es-ES"/>
        </w:rPr>
        <w:t xml:space="preserve">7.3 </w:t>
      </w:r>
      <w:r w:rsidRPr="00993936">
        <w:rPr>
          <w:rFonts w:cs="Arial"/>
          <w:i/>
          <w:szCs w:val="22"/>
          <w:lang w:val="es-ES"/>
        </w:rPr>
        <w:t>Recomendaciones</w:t>
      </w:r>
    </w:p>
    <w:p w:rsidR="00503A41" w:rsidRPr="00993936" w:rsidRDefault="00503A41" w:rsidP="0009331F">
      <w:pPr>
        <w:jc w:val="both"/>
        <w:rPr>
          <w:rFonts w:ascii="Arial" w:hAnsi="Arial" w:cs="Arial"/>
          <w:u w:val="single"/>
          <w:lang w:val="es-ES"/>
        </w:rPr>
      </w:pPr>
      <w:r w:rsidRPr="00993936">
        <w:rPr>
          <w:rFonts w:ascii="Arial" w:hAnsi="Arial" w:cs="Arial"/>
          <w:lang w:val="es-ES"/>
        </w:rPr>
        <w:t>7.3.1 Realizar la fertirrigación de manera que se minimice el lavado de nutrientes, evitando la salinización del suelo.</w:t>
      </w:r>
    </w:p>
    <w:p w:rsidR="00503A41" w:rsidRPr="00993936" w:rsidRDefault="00503A41" w:rsidP="0009331F">
      <w:pPr>
        <w:pStyle w:val="Textoindependiente3"/>
        <w:rPr>
          <w:rFonts w:cs="Arial"/>
          <w:b w:val="0"/>
          <w:szCs w:val="22"/>
          <w:lang w:val="es-ES"/>
        </w:rPr>
      </w:pPr>
      <w:r w:rsidRPr="00993936">
        <w:rPr>
          <w:rFonts w:cs="Arial"/>
          <w:b w:val="0"/>
          <w:szCs w:val="22"/>
          <w:lang w:val="es-ES"/>
        </w:rPr>
        <w:t>7.3.2 En caso de carencias o de desequilibrios, se realizará un seguimiento analítico del cultivo (hojas o frutos) para comprobar que el programa de fertilización adoptado es el adecuado, y se harán las correcciones necesarias en este programa. Para la interpretación de estos análisis, se tendrán en cuenta los valores que figuran en el anexo 6 de esta norma.</w:t>
      </w:r>
    </w:p>
    <w:p w:rsidR="00503A41" w:rsidRPr="00993936" w:rsidRDefault="00503A41" w:rsidP="0009331F">
      <w:pPr>
        <w:jc w:val="both"/>
        <w:rPr>
          <w:rFonts w:ascii="Arial" w:hAnsi="Arial" w:cs="Arial"/>
          <w:lang w:val="es-ES"/>
        </w:rPr>
      </w:pPr>
      <w:r w:rsidRPr="00993936">
        <w:rPr>
          <w:rFonts w:ascii="Arial" w:hAnsi="Arial" w:cs="Arial"/>
          <w:lang w:val="es-ES"/>
        </w:rPr>
        <w:t>7.3.3 Las aportaciones al suelo de quelatos u otras formulaciones de micronutrientes se limitarán a las situaciones en que los análisis o la experiencia contrastada demuestren que son imprescindibles para una adecuada producción. Específicamente, se permite la aplicación de quelatos para controlar la clorosis férrica en suelos con un contenido de carbonatos superior al 15%.</w:t>
      </w:r>
    </w:p>
    <w:p w:rsidR="00503A41" w:rsidRPr="00993936" w:rsidRDefault="00503A41" w:rsidP="0009331F">
      <w:pPr>
        <w:jc w:val="both"/>
        <w:rPr>
          <w:rFonts w:ascii="Arial" w:hAnsi="Arial" w:cs="Arial"/>
          <w:lang w:val="es-ES"/>
        </w:rPr>
      </w:pPr>
      <w:r w:rsidRPr="00993936">
        <w:rPr>
          <w:rFonts w:ascii="Arial" w:hAnsi="Arial" w:cs="Arial"/>
          <w:lang w:val="es-ES"/>
        </w:rPr>
        <w:t>7.3.4 Conseguir, mediante un manejo adecuado, un nivel de pH comprendido entre 6,5 y 8,9.</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lastRenderedPageBreak/>
        <w:t>Artículo 8</w:t>
      </w:r>
    </w:p>
    <w:p w:rsidR="00503A41" w:rsidRPr="00993936" w:rsidRDefault="00503A41" w:rsidP="0009331F">
      <w:pPr>
        <w:jc w:val="both"/>
        <w:outlineLvl w:val="0"/>
        <w:rPr>
          <w:rFonts w:ascii="Arial" w:hAnsi="Arial" w:cs="Arial"/>
          <w:b/>
          <w:snapToGrid w:val="0"/>
          <w:lang w:val="es-ES"/>
        </w:rPr>
      </w:pPr>
      <w:r w:rsidRPr="00993936">
        <w:rPr>
          <w:rFonts w:ascii="Arial" w:hAnsi="Arial" w:cs="Arial"/>
          <w:b/>
          <w:snapToGrid w:val="0"/>
          <w:lang w:val="es-ES"/>
        </w:rPr>
        <w:t>Control de malas hierbas</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8.1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8.1.1 Mantener una cubierta vegetal del suelo, preferentemente a base de flora espontánea o bien siembra, con el fin de mejorar la fertilidad del suelo, reducir las pérdidas de nutrientes y disminuir el riesgo de erosión. El manejo de esta cubierta se hará preferentemente mediante la siega.</w:t>
      </w:r>
    </w:p>
    <w:p w:rsidR="00503A41" w:rsidRPr="00993936" w:rsidRDefault="00503A41" w:rsidP="0009331F">
      <w:pPr>
        <w:jc w:val="both"/>
        <w:rPr>
          <w:rFonts w:ascii="Arial" w:hAnsi="Arial" w:cs="Arial"/>
          <w:lang w:val="es-ES"/>
        </w:rPr>
      </w:pPr>
      <w:r w:rsidRPr="00993936">
        <w:rPr>
          <w:rFonts w:ascii="Arial" w:hAnsi="Arial" w:cs="Arial"/>
          <w:lang w:val="es-ES"/>
        </w:rPr>
        <w:t>8.1.2 Controlar las malas hierbas, siempre que sea posible, con medios físicos, mecánicos, biológicos o aquellos que ofrezcan el menor riesgo de emisiones de CO</w:t>
      </w:r>
      <w:r w:rsidRPr="00993936">
        <w:rPr>
          <w:rFonts w:ascii="Arial" w:hAnsi="Arial" w:cs="Arial"/>
          <w:vertAlign w:val="subscript"/>
          <w:lang w:val="es-ES"/>
        </w:rPr>
        <w:t>2</w:t>
      </w:r>
      <w:r w:rsidRPr="00993936">
        <w:rPr>
          <w:rFonts w:ascii="Arial" w:hAnsi="Arial" w:cs="Arial"/>
          <w:lang w:val="es-ES"/>
        </w:rPr>
        <w:t xml:space="preserve">. Cuando los medios señalados anteriormente no permitan un control adecuado de las malas hierbas, se podrá justificar la aplicación de alguno de los herbicidas que figuran en el anexo 1, lista 1.1 de esta norma. </w:t>
      </w:r>
    </w:p>
    <w:p w:rsidR="00503A41" w:rsidRPr="00993936" w:rsidRDefault="00503A41" w:rsidP="0009331F">
      <w:pPr>
        <w:jc w:val="both"/>
        <w:rPr>
          <w:rFonts w:ascii="Arial" w:hAnsi="Arial" w:cs="Arial"/>
          <w:lang w:val="es-ES"/>
        </w:rPr>
      </w:pPr>
      <w:r w:rsidRPr="00993936">
        <w:rPr>
          <w:rFonts w:ascii="Arial" w:hAnsi="Arial" w:cs="Arial"/>
          <w:lang w:val="es-ES"/>
        </w:rPr>
        <w:t>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malas hierbas que, por no ser habituales, o no se haya definido el umbral y/o criterio mínimo de intervención, se podrá actuar en contra con cualquier otro herbicida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Esta excepción también será de aplicación para</w:t>
      </w:r>
      <w:r w:rsidRPr="00993936">
        <w:rPr>
          <w:rFonts w:ascii="Arial" w:hAnsi="Arial" w:cs="Arial"/>
          <w:vanish/>
          <w:lang w:val="es-ES"/>
        </w:rPr>
        <w:t>&lt;A[por|para]&gt;</w:t>
      </w:r>
      <w:r w:rsidRPr="00993936">
        <w:rPr>
          <w:rFonts w:ascii="Arial" w:hAnsi="Arial" w:cs="Arial"/>
          <w:lang w:val="es-ES"/>
        </w:rPr>
        <w:t xml:space="preserve"> aquellos herbicidas que aparezcan al Registro, para combatir determinadas malas hierbas y que no estén contempladas por</w:t>
      </w:r>
      <w:r w:rsidRPr="00993936">
        <w:rPr>
          <w:rFonts w:ascii="Arial" w:hAnsi="Arial" w:cs="Arial"/>
          <w:vanish/>
          <w:lang w:val="es-ES"/>
        </w:rPr>
        <w:t>&lt;A[por|para]&gt;</w:t>
      </w:r>
      <w:r w:rsidRPr="00993936">
        <w:rPr>
          <w:rFonts w:ascii="Arial" w:hAnsi="Arial" w:cs="Arial"/>
          <w:lang w:val="es-ES"/>
        </w:rPr>
        <w:t xml:space="preserve"> su novedad en el anexo de herbicidas de esta norma.</w:t>
      </w:r>
    </w:p>
    <w:p w:rsidR="00503A41" w:rsidRPr="00993936" w:rsidRDefault="00503A41" w:rsidP="0009331F">
      <w:pPr>
        <w:jc w:val="both"/>
        <w:rPr>
          <w:rFonts w:ascii="Arial" w:hAnsi="Arial" w:cs="Arial"/>
          <w:lang w:val="es-ES"/>
        </w:rPr>
      </w:pPr>
      <w:r w:rsidRPr="00993936">
        <w:rPr>
          <w:rFonts w:ascii="Arial" w:hAnsi="Arial" w:cs="Arial"/>
          <w:lang w:val="es-ES"/>
        </w:rPr>
        <w:t xml:space="preserve">En caso de que sea necesaria la aplicación de herbicidas, se efectuará mediante las técnicas recomendadas en la etiqueta del producto. </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En el cultivo de la viña, cuando el mantenimiento de la cubierta vegetal produzca una competencia importante para</w:t>
      </w:r>
      <w:r w:rsidRPr="00993936">
        <w:rPr>
          <w:rFonts w:ascii="Arial" w:hAnsi="Arial" w:cs="Arial"/>
          <w:snapToGrid w:val="0"/>
          <w:vanish/>
          <w:lang w:val="es-ES"/>
        </w:rPr>
        <w:t>&lt;A[por|para]&gt;</w:t>
      </w:r>
      <w:r w:rsidRPr="00993936">
        <w:rPr>
          <w:rFonts w:ascii="Arial" w:hAnsi="Arial" w:cs="Arial"/>
          <w:snapToGrid w:val="0"/>
          <w:lang w:val="es-ES"/>
        </w:rPr>
        <w:t xml:space="preserve"> el agua disponible, especialmente en los periodos de sequía en cultivo de secano, se podrá justificar el control más restrictivo o bien la eliminación temporal mediante los métodos señalados en el punto anterior.</w:t>
      </w:r>
    </w:p>
    <w:p w:rsidR="00503A41" w:rsidRPr="00993936" w:rsidRDefault="00503A41" w:rsidP="0009331F">
      <w:pPr>
        <w:pStyle w:val="Textoindependiente"/>
        <w:rPr>
          <w:rFonts w:cs="Arial"/>
          <w:szCs w:val="22"/>
          <w:lang w:val="es-ES"/>
        </w:rPr>
      </w:pPr>
      <w:r w:rsidRPr="00993936">
        <w:rPr>
          <w:rFonts w:cs="Arial"/>
          <w:szCs w:val="22"/>
          <w:lang w:val="es-ES"/>
        </w:rPr>
        <w:t>En este cultivo, el periodo sin cobertura vegetal se podrá justificar desde comienzo del mes de febrero a finales de septiembre.</w:t>
      </w:r>
    </w:p>
    <w:p w:rsidR="00503A41" w:rsidRPr="00993936" w:rsidRDefault="00503A41" w:rsidP="0009331F">
      <w:pPr>
        <w:jc w:val="both"/>
        <w:rPr>
          <w:rFonts w:ascii="Arial" w:hAnsi="Arial" w:cs="Arial"/>
          <w:lang w:val="es-ES"/>
        </w:rPr>
      </w:pPr>
      <w:r w:rsidRPr="00993936">
        <w:rPr>
          <w:rFonts w:ascii="Arial" w:hAnsi="Arial" w:cs="Arial"/>
          <w:lang w:val="es-ES"/>
        </w:rPr>
        <w:t>8.1.3 En el supuesto de que se utilicen herbicidas, su aplicación se limitará a la línea de plantación y que afecte como máximo el 30% del total de la superficie comprendida entre las hileras de viñas</w:t>
      </w:r>
      <w:r w:rsidRPr="00993936">
        <w:rPr>
          <w:rFonts w:ascii="Arial" w:hAnsi="Arial" w:cs="Arial"/>
          <w:vanish/>
          <w:lang w:val="es-ES"/>
        </w:rPr>
        <w:t>&lt;A[cepas|vides]&gt;</w:t>
      </w:r>
      <w:r w:rsidRPr="00993936">
        <w:rPr>
          <w:rFonts w:ascii="Arial" w:hAnsi="Arial" w:cs="Arial"/>
          <w:lang w:val="es-ES"/>
        </w:rPr>
        <w:t>. El tratamiento herbicida se hará, preferentemente, en el momento en que la mala hierba sea más sensible con la finalidad de utilizar las dosis mínimas eficaces.</w:t>
      </w:r>
    </w:p>
    <w:p w:rsidR="00503A41" w:rsidRPr="00993936" w:rsidRDefault="00503A41" w:rsidP="0009331F">
      <w:pPr>
        <w:pStyle w:val="Textoindependiente"/>
        <w:rPr>
          <w:rFonts w:cs="Arial"/>
          <w:szCs w:val="22"/>
          <w:lang w:val="es-ES"/>
        </w:rPr>
      </w:pPr>
      <w:r w:rsidRPr="00993936">
        <w:rPr>
          <w:rFonts w:cs="Arial"/>
          <w:szCs w:val="22"/>
          <w:lang w:val="es-ES"/>
        </w:rPr>
        <w:t>8.1.4 Las materias activas a utilizar serán seleccionadas de acuerdo con los criterios de menor peligrosidad para los humanos, la fauna silvestre y el medio ambiente, y que proporcionen un control efectivo de la mala hierba. En cualquier caso, sólo se podrán utilizar los herbicidas inscritos en el Registro Oficial de Productos y de Material Fitosanitario del Ministerio de Agricultura, Pesca, Alimentación y Medio Ambiente, (MAPAMA) y aprobados expresamente para los cultivos autorizados que figuran en el anexo 1 de esta norma.</w:t>
      </w:r>
    </w:p>
    <w:p w:rsidR="00503A41" w:rsidRPr="00993936" w:rsidRDefault="00503A41" w:rsidP="0009331F">
      <w:pPr>
        <w:pStyle w:val="Textoindependiente"/>
        <w:rPr>
          <w:rFonts w:cs="Arial"/>
          <w:i/>
          <w:szCs w:val="22"/>
          <w:lang w:val="es-ES"/>
        </w:rPr>
      </w:pPr>
      <w:r w:rsidRPr="00993936">
        <w:rPr>
          <w:rFonts w:cs="Arial"/>
          <w:szCs w:val="22"/>
          <w:lang w:val="es-ES"/>
        </w:rPr>
        <w:t>8.1.5 La maquinaria utilizada para aplicar los productos herbicidas se tiene que mantener en un adecuado estado de funcionamiento y someterse, periódicamente, a los controles e inspecciones que establece el artículo 16 de esta norma.</w:t>
      </w:r>
    </w:p>
    <w:p w:rsidR="00503A41" w:rsidRPr="00993936" w:rsidRDefault="00503A41" w:rsidP="0009331F">
      <w:pPr>
        <w:jc w:val="both"/>
        <w:rPr>
          <w:rFonts w:ascii="Arial" w:hAnsi="Arial" w:cs="Arial"/>
          <w:lang w:val="es-ES"/>
        </w:rPr>
      </w:pPr>
      <w:r w:rsidRPr="00993936">
        <w:rPr>
          <w:rFonts w:ascii="Arial" w:hAnsi="Arial" w:cs="Arial"/>
          <w:lang w:val="es-ES"/>
        </w:rPr>
        <w:t>8.1.6 Adoptar las medidas precisas para evitar que la deriva de las aplicaciones llegue a parcelas y/o UHC diferentes a las que se pretenden tratar.</w:t>
      </w:r>
    </w:p>
    <w:p w:rsidR="00503A41" w:rsidRPr="00993936" w:rsidRDefault="00503A41" w:rsidP="0009331F">
      <w:pPr>
        <w:pStyle w:val="Textoindependiente"/>
        <w:rPr>
          <w:rFonts w:cs="Arial"/>
          <w:szCs w:val="22"/>
          <w:lang w:val="es-ES"/>
        </w:rPr>
      </w:pPr>
      <w:r w:rsidRPr="00993936">
        <w:rPr>
          <w:rFonts w:cs="Arial"/>
          <w:szCs w:val="22"/>
          <w:lang w:val="es-ES"/>
        </w:rPr>
        <w:lastRenderedPageBreak/>
        <w:t xml:space="preserve">8.1.7 </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503A41" w:rsidRPr="00993936" w:rsidRDefault="00503A41" w:rsidP="0009331F">
      <w:pPr>
        <w:jc w:val="both"/>
        <w:rPr>
          <w:rFonts w:ascii="Arial" w:hAnsi="Arial" w:cs="Arial"/>
          <w:lang w:val="es-ES"/>
        </w:rPr>
      </w:pPr>
      <w:r w:rsidRPr="00993936">
        <w:rPr>
          <w:rFonts w:ascii="Arial" w:hAnsi="Arial" w:cs="Arial"/>
          <w:snapToGrid w:val="0"/>
          <w:lang w:val="es-ES"/>
        </w:rPr>
        <w:t>8.2.1 La aplicación de herbicidas en el 100% de la superficie del suelo (no cultivo).</w:t>
      </w:r>
    </w:p>
    <w:p w:rsidR="00503A41" w:rsidRPr="00993936" w:rsidRDefault="00503A41" w:rsidP="0009331F">
      <w:pPr>
        <w:jc w:val="both"/>
        <w:rPr>
          <w:rFonts w:ascii="Arial" w:hAnsi="Arial" w:cs="Arial"/>
          <w:lang w:val="es-ES"/>
        </w:rPr>
      </w:pPr>
      <w:r w:rsidRPr="00993936">
        <w:rPr>
          <w:rFonts w:ascii="Arial" w:hAnsi="Arial" w:cs="Arial"/>
          <w:lang w:val="es-ES"/>
        </w:rPr>
        <w:t>8.2.2 La utilización de herbicidas residuales en suelos arenosos.</w:t>
      </w:r>
    </w:p>
    <w:p w:rsidR="00503A41" w:rsidRPr="00993936" w:rsidRDefault="00503A41" w:rsidP="0009331F">
      <w:pPr>
        <w:jc w:val="both"/>
        <w:rPr>
          <w:rFonts w:ascii="Arial" w:hAnsi="Arial" w:cs="Arial"/>
          <w:lang w:val="es-ES"/>
        </w:rPr>
      </w:pPr>
      <w:r w:rsidRPr="00993936">
        <w:rPr>
          <w:rFonts w:ascii="Arial" w:hAnsi="Arial" w:cs="Arial"/>
          <w:lang w:val="es-ES"/>
        </w:rPr>
        <w:t>8.2.3 Utilizar cualquier herbicida que, a pesar de figurar en el anexo 1 de esta norma, se haya dado de baja del Registro Oficial de Productos y de Material Fitosanitario del Ministerio de Agricultura, Pesca, Alimentación y Medio Ambiente, (MAPAMA) con posterioridad a la publicación de la disposición que lo aprueba o que haya perdido la autorización de uso correspondiente.</w:t>
      </w:r>
    </w:p>
    <w:p w:rsidR="00503A41" w:rsidRPr="00993936" w:rsidRDefault="00503A41" w:rsidP="0009331F">
      <w:pPr>
        <w:jc w:val="both"/>
        <w:rPr>
          <w:rFonts w:ascii="Arial" w:hAnsi="Arial" w:cs="Arial"/>
          <w:lang w:val="es-ES"/>
        </w:rPr>
      </w:pPr>
      <w:r w:rsidRPr="00993936">
        <w:rPr>
          <w:rFonts w:ascii="Arial" w:hAnsi="Arial" w:cs="Arial"/>
          <w:lang w:val="es-ES"/>
        </w:rPr>
        <w:t>8.2.4 Utilizar herbicidas a menos de 5 metros de las aguas superficiales.</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8.3.1  La lucha contra las malas hierbas de tipo perenne se hará dirigida a los rodales donde se presenten.</w:t>
      </w:r>
    </w:p>
    <w:p w:rsidR="00503A41" w:rsidRPr="00993936" w:rsidRDefault="00503A41" w:rsidP="0009331F">
      <w:pPr>
        <w:jc w:val="both"/>
        <w:rPr>
          <w:rFonts w:ascii="Arial" w:hAnsi="Arial" w:cs="Arial"/>
          <w:lang w:val="es-ES"/>
        </w:rPr>
      </w:pPr>
      <w:r w:rsidRPr="00993936">
        <w:rPr>
          <w:rFonts w:ascii="Arial" w:hAnsi="Arial" w:cs="Arial"/>
          <w:lang w:val="es-ES"/>
        </w:rPr>
        <w:t xml:space="preserve">8.3.2 En caso de que la hilera bajo las viñas se mantenga controlada de malas hierbas, para su control se utilizarán preferentemente los métodos como el almohadillado (cobertura con materia inerte), la cobertura con los restos del material vegetal segado, o bien los métodos mecánicos como la siega o el cultivo. </w:t>
      </w:r>
    </w:p>
    <w:p w:rsidR="00503A41" w:rsidRPr="00993936" w:rsidRDefault="00503A41" w:rsidP="0009331F">
      <w:pPr>
        <w:jc w:val="both"/>
        <w:rPr>
          <w:rFonts w:ascii="Arial" w:hAnsi="Arial" w:cs="Arial"/>
          <w:lang w:val="es-ES"/>
        </w:rPr>
      </w:pPr>
      <w:r w:rsidRPr="00993936">
        <w:rPr>
          <w:rFonts w:ascii="Arial" w:hAnsi="Arial" w:cs="Arial"/>
          <w:lang w:val="es-ES"/>
        </w:rPr>
        <w:t>8.3.3 Controlar las malas hierbas utilizando técnicas de control integrado.</w:t>
      </w:r>
    </w:p>
    <w:p w:rsidR="00503A41" w:rsidRPr="00993936" w:rsidRDefault="00503A41" w:rsidP="0009331F">
      <w:pPr>
        <w:jc w:val="both"/>
        <w:outlineLvl w:val="0"/>
        <w:rPr>
          <w:rFonts w:ascii="Arial" w:hAnsi="Arial" w:cs="Arial"/>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9</w:t>
      </w:r>
    </w:p>
    <w:p w:rsidR="00503A41" w:rsidRPr="00993936" w:rsidRDefault="00503A41" w:rsidP="001D205D">
      <w:pPr>
        <w:jc w:val="both"/>
        <w:outlineLvl w:val="0"/>
        <w:rPr>
          <w:rFonts w:ascii="Arial" w:hAnsi="Arial" w:cs="Arial"/>
          <w:b/>
          <w:snapToGrid w:val="0"/>
          <w:lang w:val="es-ES"/>
        </w:rPr>
      </w:pPr>
      <w:r w:rsidRPr="00993936">
        <w:rPr>
          <w:rFonts w:ascii="Arial" w:hAnsi="Arial" w:cs="Arial"/>
          <w:b/>
          <w:snapToGrid w:val="0"/>
          <w:lang w:val="es-ES"/>
        </w:rPr>
        <w:t>Riego</w:t>
      </w:r>
    </w:p>
    <w:p w:rsidR="00503A41" w:rsidRPr="00993936" w:rsidRDefault="00503A41" w:rsidP="0009331F">
      <w:pPr>
        <w:jc w:val="both"/>
        <w:outlineLvl w:val="0"/>
        <w:rPr>
          <w:rFonts w:ascii="Arial" w:hAnsi="Arial" w:cs="Arial"/>
          <w:i/>
          <w:lang w:val="es-ES"/>
        </w:rPr>
      </w:pPr>
      <w:r w:rsidRPr="00993936">
        <w:rPr>
          <w:rFonts w:ascii="Arial" w:hAnsi="Arial" w:cs="Arial"/>
          <w:lang w:val="es-ES"/>
        </w:rPr>
        <w:t xml:space="preserve">9.1 </w:t>
      </w:r>
      <w:r w:rsidRPr="00993936">
        <w:rPr>
          <w:rFonts w:ascii="Arial" w:hAnsi="Arial" w:cs="Arial"/>
          <w:i/>
          <w:lang w:val="es-ES"/>
        </w:rPr>
        <w:t>Obligaciones</w:t>
      </w:r>
    </w:p>
    <w:p w:rsidR="00503A41" w:rsidRPr="00993936" w:rsidRDefault="00503A41" w:rsidP="0009331F">
      <w:pPr>
        <w:jc w:val="both"/>
        <w:outlineLvl w:val="0"/>
        <w:rPr>
          <w:rFonts w:ascii="Arial" w:hAnsi="Arial" w:cs="Arial"/>
          <w:lang w:val="es-ES"/>
        </w:rPr>
      </w:pPr>
      <w:r w:rsidRPr="00993936">
        <w:rPr>
          <w:rFonts w:ascii="Arial" w:hAnsi="Arial" w:cs="Arial"/>
          <w:lang w:val="es-ES"/>
        </w:rPr>
        <w:t>9.1.1 Disponer de las características analíticas de la calidad del agua de riego con la finalidad de tomar una decisión sobre su utilización. El análisis químico incluirá al menos las determinaciones de nitratos y de conductividad, sin perjuicio de otros elementos que puedan ser de interés. Los análisis se harán en laboratorios autorizados.</w:t>
      </w:r>
    </w:p>
    <w:p w:rsidR="00503A41" w:rsidRPr="00993936" w:rsidRDefault="00503A41" w:rsidP="0009331F">
      <w:pPr>
        <w:jc w:val="both"/>
        <w:rPr>
          <w:rFonts w:ascii="Arial" w:hAnsi="Arial" w:cs="Arial"/>
          <w:lang w:val="es-ES"/>
        </w:rPr>
      </w:pPr>
      <w:r w:rsidRPr="00993936">
        <w:rPr>
          <w:rFonts w:ascii="Arial" w:hAnsi="Arial" w:cs="Arial"/>
          <w:lang w:val="es-ES"/>
        </w:rPr>
        <w:t>9.1.2 Analizar el agua de riego cada 5 años en un laboratorio reconocido por la Administración. Si en razón de su origen la composición del agua es muy variable, se tendrán que hacer análisis con más frecuencia del contenido de nitratos y de la conductividad. En caso de utilizar, para el riego aguas residuales depuradas, analizar la posible presencia de contaminantes microbianos, químicos o bacteriológicos con el fin de tomar una decisión sobre su utilización.</w:t>
      </w:r>
    </w:p>
    <w:p w:rsidR="00503A41" w:rsidRPr="00993936" w:rsidRDefault="00503A41" w:rsidP="0009331F">
      <w:pPr>
        <w:jc w:val="both"/>
        <w:rPr>
          <w:rFonts w:ascii="Arial" w:hAnsi="Arial" w:cs="Arial"/>
          <w:lang w:val="es-ES"/>
        </w:rPr>
      </w:pPr>
      <w:r w:rsidRPr="00993936">
        <w:rPr>
          <w:rFonts w:ascii="Arial" w:hAnsi="Arial" w:cs="Arial"/>
          <w:lang w:val="es-ES"/>
        </w:rPr>
        <w:t>9.1.3 Tomar las medidas necesarias para evitar las pérdidas de agua.</w:t>
      </w:r>
    </w:p>
    <w:p w:rsidR="00503A41" w:rsidRPr="00993936" w:rsidRDefault="00503A41" w:rsidP="0009331F">
      <w:pPr>
        <w:pStyle w:val="Textoindependiente"/>
        <w:rPr>
          <w:rFonts w:cs="Arial"/>
          <w:szCs w:val="22"/>
          <w:lang w:val="es-ES"/>
        </w:rPr>
      </w:pPr>
      <w:r w:rsidRPr="00993936">
        <w:rPr>
          <w:rFonts w:cs="Arial"/>
          <w:szCs w:val="22"/>
          <w:lang w:val="es-ES"/>
        </w:rPr>
        <w:t>9.1.4 Establecer los volúmenes anuales necesarios mediante el cálculo de las necesidades del cultivo, de acuerdo con los datos locales de la evapotranspiración calculada por medio de los datos de la estación meteorológica más representativa.</w:t>
      </w:r>
    </w:p>
    <w:p w:rsidR="00503A41" w:rsidRPr="00993936" w:rsidRDefault="00503A41" w:rsidP="0009331F">
      <w:pPr>
        <w:pStyle w:val="Textoindependiente"/>
        <w:rPr>
          <w:rFonts w:cs="Arial"/>
          <w:szCs w:val="22"/>
          <w:lang w:val="es-ES"/>
        </w:rPr>
      </w:pPr>
      <w:r w:rsidRPr="00993936">
        <w:rPr>
          <w:rFonts w:cs="Arial"/>
          <w:szCs w:val="22"/>
          <w:lang w:val="es-ES"/>
        </w:rPr>
        <w:t>9.1.5 Establecer los volúmenes máximos de cada riego en función del sistema, la profundidad radicular del cultivo, el estado hídrico y las características físicas del suelo. Para valores de conductividad eléctrica del agua superiores a de 2,1 dS/m, se utilizará una fracción de lavado complementaria a las dosis normales del riego.</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 xml:space="preserve">9.1.6  Los riegos se programarán para cada parcela y/o UHC siguiendo métodos técnicamente aceptados. </w:t>
      </w:r>
    </w:p>
    <w:p w:rsidR="00503A41" w:rsidRPr="00993936" w:rsidRDefault="00503A41" w:rsidP="0009331F">
      <w:pPr>
        <w:jc w:val="both"/>
        <w:rPr>
          <w:rFonts w:ascii="Arial" w:hAnsi="Arial" w:cs="Arial"/>
          <w:lang w:val="es-ES"/>
        </w:rPr>
      </w:pPr>
      <w:r w:rsidRPr="00993936">
        <w:rPr>
          <w:rFonts w:ascii="Arial" w:hAnsi="Arial" w:cs="Arial"/>
          <w:lang w:val="es-ES"/>
        </w:rPr>
        <w:t>9.1.7 Al regar, se evitará la aplicación de aguas que conduzcan a una degradación del suelo por salinización y/o sodificación.</w:t>
      </w:r>
    </w:p>
    <w:p w:rsidR="00503A41" w:rsidRPr="00993936" w:rsidRDefault="00503A41" w:rsidP="0009331F">
      <w:pPr>
        <w:pStyle w:val="Textoindependiente"/>
        <w:rPr>
          <w:rFonts w:cs="Arial"/>
          <w:szCs w:val="22"/>
          <w:lang w:val="es-ES"/>
        </w:rPr>
      </w:pPr>
      <w:r w:rsidRPr="00993936">
        <w:rPr>
          <w:rFonts w:cs="Arial"/>
          <w:szCs w:val="22"/>
          <w:lang w:val="es-ES"/>
        </w:rPr>
        <w:t>9.1.8 Para la programación de los riegos, se establecerá un programa que determine los volúmenes de agua a aplicar y los tiempos de riego.</w:t>
      </w:r>
    </w:p>
    <w:p w:rsidR="00503A41" w:rsidRPr="00993936" w:rsidRDefault="00503A41" w:rsidP="0009331F">
      <w:pPr>
        <w:jc w:val="both"/>
        <w:rPr>
          <w:rFonts w:ascii="Arial" w:hAnsi="Arial" w:cs="Arial"/>
          <w:lang w:val="es-ES"/>
        </w:rPr>
      </w:pPr>
      <w:r w:rsidRPr="00993936">
        <w:rPr>
          <w:rFonts w:ascii="Arial" w:hAnsi="Arial" w:cs="Arial"/>
          <w:lang w:val="es-ES"/>
        </w:rPr>
        <w:t>9.1.9 Se diseñará un sistema de riego para cada parcela que garantice de manera permanente la conservación del suelo.</w:t>
      </w:r>
    </w:p>
    <w:p w:rsidR="00503A41" w:rsidRPr="00993936" w:rsidRDefault="00503A41" w:rsidP="0009331F">
      <w:pPr>
        <w:pStyle w:val="Textoindependiente"/>
        <w:rPr>
          <w:rFonts w:cs="Arial"/>
          <w:szCs w:val="22"/>
          <w:lang w:val="es-ES"/>
        </w:rPr>
      </w:pPr>
      <w:r w:rsidRPr="00993936">
        <w:rPr>
          <w:rFonts w:cs="Arial"/>
          <w:szCs w:val="22"/>
          <w:lang w:val="es-ES"/>
        </w:rPr>
        <w:t>9.1.10 Se utilizarán técnicas de riego que garanticen la máxima eficiencia en el uso del agua y la optimización de los recursos hídricos, para</w:t>
      </w:r>
      <w:r w:rsidRPr="00993936">
        <w:rPr>
          <w:rFonts w:cs="Arial"/>
          <w:vanish/>
          <w:szCs w:val="22"/>
          <w:lang w:val="es-ES"/>
        </w:rPr>
        <w:t>&lt;A[por|para]&gt;</w:t>
      </w:r>
      <w:r w:rsidRPr="00993936">
        <w:rPr>
          <w:rFonts w:cs="Arial"/>
          <w:szCs w:val="22"/>
          <w:lang w:val="es-ES"/>
        </w:rPr>
        <w:t xml:space="preserve"> lo cual se tendrá en cuenta que:</w:t>
      </w:r>
    </w:p>
    <w:p w:rsidR="00503A41" w:rsidRPr="00993936" w:rsidRDefault="00503A41" w:rsidP="0009331F">
      <w:pPr>
        <w:numPr>
          <w:ilvl w:val="0"/>
          <w:numId w:val="13"/>
        </w:numPr>
        <w:spacing w:after="0" w:line="240" w:lineRule="auto"/>
        <w:jc w:val="both"/>
        <w:rPr>
          <w:rFonts w:ascii="Arial" w:hAnsi="Arial" w:cs="Arial"/>
          <w:lang w:val="es-ES"/>
        </w:rPr>
      </w:pPr>
      <w:r w:rsidRPr="00993936">
        <w:rPr>
          <w:rFonts w:ascii="Arial" w:hAnsi="Arial" w:cs="Arial"/>
          <w:lang w:val="es-ES"/>
        </w:rPr>
        <w:t>Las dosis de riego se ajustarán a las necesidades de los cultivos y a la textura y a las características de drenaje del suelo.</w:t>
      </w:r>
    </w:p>
    <w:p w:rsidR="00503A41" w:rsidRPr="00993936" w:rsidRDefault="00503A41" w:rsidP="0009331F">
      <w:pPr>
        <w:numPr>
          <w:ilvl w:val="0"/>
          <w:numId w:val="13"/>
        </w:numPr>
        <w:spacing w:after="0" w:line="240" w:lineRule="auto"/>
        <w:jc w:val="both"/>
        <w:rPr>
          <w:rFonts w:ascii="Arial" w:hAnsi="Arial" w:cs="Arial"/>
          <w:lang w:val="es-ES"/>
        </w:rPr>
      </w:pPr>
      <w:r w:rsidRPr="00993936">
        <w:rPr>
          <w:rFonts w:ascii="Arial" w:hAnsi="Arial" w:cs="Arial"/>
          <w:lang w:val="es-ES"/>
        </w:rPr>
        <w:t>En riego por gravedad o inundación, la longitud de los tablares</w:t>
      </w:r>
      <w:r w:rsidRPr="00993936">
        <w:rPr>
          <w:rFonts w:ascii="Arial" w:hAnsi="Arial" w:cs="Arial"/>
          <w:vanish/>
          <w:lang w:val="es-ES"/>
        </w:rPr>
        <w:t>&lt;A[mesas|tablas]&gt;</w:t>
      </w:r>
      <w:r w:rsidRPr="00993936">
        <w:rPr>
          <w:rFonts w:ascii="Arial" w:hAnsi="Arial" w:cs="Arial"/>
          <w:lang w:val="es-ES"/>
        </w:rPr>
        <w:t xml:space="preserve"> y su pendiente máxima se establecerá en función del volumen de riego necesario y de las condiciones hidráulicas y de permeabilidad del terreno.</w:t>
      </w:r>
    </w:p>
    <w:p w:rsidR="00503A41" w:rsidRPr="00993936" w:rsidRDefault="00503A41" w:rsidP="0009331F">
      <w:pPr>
        <w:numPr>
          <w:ilvl w:val="0"/>
          <w:numId w:val="13"/>
        </w:numPr>
        <w:spacing w:after="0" w:line="240" w:lineRule="auto"/>
        <w:jc w:val="both"/>
        <w:rPr>
          <w:rFonts w:ascii="Arial" w:hAnsi="Arial" w:cs="Arial"/>
          <w:lang w:val="es-ES"/>
        </w:rPr>
      </w:pPr>
      <w:r w:rsidRPr="00993936">
        <w:rPr>
          <w:rFonts w:ascii="Arial" w:hAnsi="Arial" w:cs="Arial"/>
          <w:lang w:val="es-ES"/>
        </w:rPr>
        <w:t xml:space="preserve">En el riego localizado se justificará que el valor del coeficiente de uniformidad (CU) estará comprendido entre los valores establecidos en función de la separación entre los emisores y la pendiente del terreno. </w:t>
      </w:r>
    </w:p>
    <w:p w:rsidR="00503A41" w:rsidRPr="00993936" w:rsidRDefault="00503A41" w:rsidP="0009331F">
      <w:pPr>
        <w:numPr>
          <w:ilvl w:val="0"/>
          <w:numId w:val="13"/>
        </w:numPr>
        <w:spacing w:after="0" w:line="240" w:lineRule="auto"/>
        <w:jc w:val="both"/>
        <w:rPr>
          <w:rFonts w:ascii="Arial" w:hAnsi="Arial" w:cs="Arial"/>
          <w:lang w:val="es-ES"/>
        </w:rPr>
      </w:pPr>
      <w:r w:rsidRPr="00993936">
        <w:rPr>
          <w:rFonts w:ascii="Arial" w:hAnsi="Arial" w:cs="Arial"/>
          <w:lang w:val="es-ES"/>
        </w:rPr>
        <w:t xml:space="preserve">La medida del cálculo del coeficiente de uniformidad se realizará mediante el método de Merrien-Keller (anexo 8). </w:t>
      </w:r>
    </w:p>
    <w:p w:rsidR="00503A41" w:rsidRPr="00993936" w:rsidRDefault="00503A41" w:rsidP="0009331F">
      <w:pPr>
        <w:numPr>
          <w:ilvl w:val="0"/>
          <w:numId w:val="13"/>
        </w:numPr>
        <w:spacing w:after="0" w:line="240" w:lineRule="auto"/>
        <w:jc w:val="both"/>
        <w:rPr>
          <w:rFonts w:ascii="Arial" w:hAnsi="Arial" w:cs="Arial"/>
          <w:lang w:val="es-ES"/>
        </w:rPr>
      </w:pPr>
      <w:r w:rsidRPr="00993936">
        <w:rPr>
          <w:rFonts w:ascii="Arial" w:hAnsi="Arial" w:cs="Arial"/>
          <w:lang w:val="es-ES"/>
        </w:rPr>
        <w:t>Mantener en buen estado de conservación los sistemas de distribución del agua.</w:t>
      </w:r>
    </w:p>
    <w:p w:rsidR="00503A41" w:rsidRPr="00993936" w:rsidRDefault="00503A41" w:rsidP="0009331F">
      <w:pPr>
        <w:numPr>
          <w:ilvl w:val="0"/>
          <w:numId w:val="13"/>
        </w:numPr>
        <w:spacing w:after="0" w:line="240" w:lineRule="auto"/>
        <w:jc w:val="both"/>
        <w:rPr>
          <w:rFonts w:ascii="Arial" w:hAnsi="Arial" w:cs="Arial"/>
          <w:lang w:val="es-ES"/>
        </w:rPr>
      </w:pPr>
      <w:r w:rsidRPr="00993936">
        <w:rPr>
          <w:rFonts w:ascii="Arial" w:hAnsi="Arial" w:cs="Arial"/>
          <w:lang w:val="es-ES"/>
        </w:rPr>
        <w:t>Registrar el agua de riego aplicada al Cuaderno de Explotación. Si no fuera posible, se efectuará una estimación</w:t>
      </w:r>
      <w:r w:rsidRPr="00993936">
        <w:rPr>
          <w:rFonts w:ascii="Arial" w:hAnsi="Arial" w:cs="Arial"/>
          <w:vanish/>
          <w:lang w:val="es-ES"/>
        </w:rPr>
        <w:t>&lt;A[estimación|estima]&gt;</w:t>
      </w:r>
      <w:r w:rsidRPr="00993936">
        <w:rPr>
          <w:rFonts w:ascii="Arial" w:hAnsi="Arial" w:cs="Arial"/>
          <w:lang w:val="es-ES"/>
        </w:rPr>
        <w:t>.</w:t>
      </w:r>
    </w:p>
    <w:p w:rsidR="00503A41" w:rsidRPr="00993936" w:rsidRDefault="00503A41" w:rsidP="0009331F">
      <w:pPr>
        <w:jc w:val="both"/>
        <w:rPr>
          <w:rFonts w:ascii="Arial" w:hAnsi="Arial" w:cs="Arial"/>
          <w:lang w:val="es-ES"/>
        </w:rPr>
      </w:pPr>
      <w:r w:rsidRPr="00993936">
        <w:rPr>
          <w:rFonts w:ascii="Arial" w:hAnsi="Arial" w:cs="Arial"/>
          <w:lang w:val="es-ES"/>
        </w:rPr>
        <w:t>9.1.11 El agua para el riego se utilizará con criterios de máxima eficiencia. Se tendrá que utilizar algún método de programación de riegos que permita ajustar las dosis de riego a las necesidades de los cultivos y a la textura y al drenaje del suelo. El agua de riego se distribuirá uniformemente en las parcelas minimizando las pérdidas que se produzcan por percolación y escorrentía</w:t>
      </w:r>
      <w:r w:rsidRPr="00993936">
        <w:rPr>
          <w:rFonts w:ascii="Arial" w:hAnsi="Arial" w:cs="Arial"/>
          <w:vanish/>
          <w:lang w:val="es-ES"/>
        </w:rPr>
        <w:t>&lt;A[vaciado|corriente]&gt;</w:t>
      </w:r>
      <w:r w:rsidRPr="00993936">
        <w:rPr>
          <w:rFonts w:ascii="Arial" w:hAnsi="Arial" w:cs="Arial"/>
          <w:lang w:val="es-ES"/>
        </w:rPr>
        <w:t xml:space="preserve">. </w:t>
      </w:r>
    </w:p>
    <w:p w:rsidR="00503A41" w:rsidRPr="00993936" w:rsidRDefault="00503A41" w:rsidP="0009331F">
      <w:pPr>
        <w:jc w:val="both"/>
        <w:rPr>
          <w:rFonts w:ascii="Arial" w:hAnsi="Arial" w:cs="Arial"/>
          <w:lang w:val="es-ES"/>
        </w:rPr>
      </w:pPr>
      <w:r w:rsidRPr="00993936">
        <w:rPr>
          <w:rFonts w:ascii="Arial" w:hAnsi="Arial" w:cs="Arial"/>
          <w:lang w:val="es-ES"/>
        </w:rPr>
        <w:t xml:space="preserve">9.1.12 En los sistemas de presión, hay que alcanzar un coeficiente de uniformidad (CU) superior al 80%. La comprobación de este coeficiente se realizará cada 3 años, en cada sector de riego, de forma que se pueda asegurar el buen funcionamiento de las instalaciones. </w:t>
      </w:r>
    </w:p>
    <w:p w:rsidR="00503A41" w:rsidRPr="00993936" w:rsidRDefault="00503A41" w:rsidP="0009331F">
      <w:pPr>
        <w:jc w:val="both"/>
        <w:rPr>
          <w:rFonts w:ascii="Arial" w:hAnsi="Arial" w:cs="Arial"/>
          <w:lang w:val="es-ES"/>
        </w:rPr>
      </w:pPr>
      <w:r w:rsidRPr="00993936">
        <w:rPr>
          <w:rFonts w:ascii="Arial" w:hAnsi="Arial" w:cs="Arial"/>
          <w:lang w:val="es-ES"/>
        </w:rPr>
        <w:t>9.1.13 En caso del riego superficial, se tiene que exigir una nivelación precisa en el momento de realizar una nueva plantación, a la vez que una adaptación de la sistematización de la superficie a regar a los módulos de riego que se utilicen y a las condiciones de infiltración. En el riego superficial, habrá que conseguir la máxima uniformidad de distribución.</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9.2 </w:t>
      </w:r>
      <w:r w:rsidRPr="00993936">
        <w:rPr>
          <w:rFonts w:ascii="Arial" w:hAnsi="Arial" w:cs="Arial"/>
          <w:i/>
          <w:lang w:val="es-ES"/>
        </w:rPr>
        <w:t>Prohibiciones</w:t>
      </w:r>
    </w:p>
    <w:p w:rsidR="00503A41" w:rsidRPr="00993936" w:rsidRDefault="00503A41" w:rsidP="0009331F">
      <w:pPr>
        <w:jc w:val="both"/>
        <w:rPr>
          <w:rFonts w:ascii="Arial" w:hAnsi="Arial" w:cs="Arial"/>
          <w:lang w:val="es-ES"/>
        </w:rPr>
      </w:pPr>
      <w:r w:rsidRPr="00993936">
        <w:rPr>
          <w:rFonts w:ascii="Arial" w:hAnsi="Arial" w:cs="Arial"/>
          <w:lang w:val="es-ES"/>
        </w:rPr>
        <w:t>9.2.1 La utilización de aguas residuales sin la depuración previa.</w:t>
      </w:r>
    </w:p>
    <w:p w:rsidR="00503A41" w:rsidRPr="00993936" w:rsidRDefault="00503A41" w:rsidP="0009331F">
      <w:pPr>
        <w:jc w:val="both"/>
        <w:rPr>
          <w:rFonts w:ascii="Arial" w:hAnsi="Arial" w:cs="Arial"/>
          <w:lang w:val="es-ES"/>
        </w:rPr>
      </w:pPr>
      <w:r w:rsidRPr="00993936">
        <w:rPr>
          <w:rFonts w:ascii="Arial" w:hAnsi="Arial" w:cs="Arial"/>
          <w:lang w:val="es-ES"/>
        </w:rPr>
        <w:t>9.2.2 Utilizar aguas caracterizadas por parámetros de calidad inadecuados para el cultivo y para el suelo.</w:t>
      </w:r>
    </w:p>
    <w:p w:rsidR="00503A41" w:rsidRPr="00993936" w:rsidRDefault="00503A41" w:rsidP="0009331F">
      <w:pPr>
        <w:jc w:val="both"/>
        <w:rPr>
          <w:rFonts w:ascii="Arial" w:hAnsi="Arial" w:cs="Arial"/>
          <w:lang w:val="es-ES"/>
        </w:rPr>
      </w:pPr>
      <w:r w:rsidRPr="00993936">
        <w:rPr>
          <w:rFonts w:ascii="Arial" w:hAnsi="Arial" w:cs="Arial"/>
          <w:lang w:val="es-ES"/>
        </w:rPr>
        <w:t>9.2.3 Utilizar aguas residuales sin depuración previa o aguas que están depuradas, pero superan los parámetros que establece la legislación vigente.</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9.2.4. El uso de aguas de riego que superen los parámetros siguientes:</w:t>
      </w:r>
    </w:p>
    <w:p w:rsidR="00503A41" w:rsidRPr="00993936" w:rsidRDefault="00503A41" w:rsidP="009D1A2D">
      <w:pPr>
        <w:numPr>
          <w:ilvl w:val="0"/>
          <w:numId w:val="101"/>
        </w:numPr>
        <w:spacing w:after="0" w:line="240" w:lineRule="auto"/>
        <w:jc w:val="both"/>
        <w:rPr>
          <w:rFonts w:ascii="Arial" w:hAnsi="Arial" w:cs="Arial"/>
          <w:lang w:val="es-ES"/>
        </w:rPr>
      </w:pPr>
      <w:r w:rsidRPr="00993936">
        <w:rPr>
          <w:rFonts w:ascii="Arial" w:hAnsi="Arial" w:cs="Arial"/>
          <w:lang w:val="es-ES"/>
        </w:rPr>
        <w:t>Conductividad (CEW)………3,0 dS/m</w:t>
      </w:r>
    </w:p>
    <w:p w:rsidR="00503A41" w:rsidRPr="00993936" w:rsidRDefault="00503A41" w:rsidP="009D1A2D">
      <w:pPr>
        <w:numPr>
          <w:ilvl w:val="0"/>
          <w:numId w:val="101"/>
        </w:numPr>
        <w:spacing w:after="0" w:line="240" w:lineRule="auto"/>
        <w:jc w:val="both"/>
        <w:rPr>
          <w:rFonts w:ascii="Arial" w:hAnsi="Arial" w:cs="Arial"/>
          <w:lang w:val="es-ES"/>
        </w:rPr>
      </w:pPr>
      <w:r w:rsidRPr="00993936">
        <w:rPr>
          <w:rFonts w:ascii="Arial" w:hAnsi="Arial" w:cs="Arial"/>
          <w:lang w:val="es-ES"/>
        </w:rPr>
        <w:t>RAS...............................     4</w:t>
      </w:r>
    </w:p>
    <w:p w:rsidR="00503A41" w:rsidRPr="00993936" w:rsidRDefault="00503A41" w:rsidP="009D1A2D">
      <w:pPr>
        <w:numPr>
          <w:ilvl w:val="0"/>
          <w:numId w:val="101"/>
        </w:numPr>
        <w:spacing w:after="0" w:line="240" w:lineRule="auto"/>
        <w:jc w:val="both"/>
        <w:rPr>
          <w:rFonts w:ascii="Arial" w:hAnsi="Arial" w:cs="Arial"/>
          <w:lang w:val="es-ES"/>
        </w:rPr>
      </w:pPr>
      <w:r w:rsidRPr="00993936">
        <w:rPr>
          <w:rFonts w:ascii="Arial" w:hAnsi="Arial" w:cs="Arial"/>
          <w:lang w:val="es-ES"/>
        </w:rPr>
        <w:t>Boro................................     2 ppm</w:t>
      </w:r>
    </w:p>
    <w:p w:rsidR="00503A41" w:rsidRPr="00993936" w:rsidRDefault="00503A41" w:rsidP="009D1A2D">
      <w:pPr>
        <w:numPr>
          <w:ilvl w:val="0"/>
          <w:numId w:val="101"/>
        </w:numPr>
        <w:spacing w:after="0" w:line="240" w:lineRule="auto"/>
        <w:jc w:val="both"/>
        <w:rPr>
          <w:rFonts w:ascii="Arial" w:hAnsi="Arial" w:cs="Arial"/>
          <w:lang w:val="es-ES"/>
        </w:rPr>
      </w:pPr>
      <w:r w:rsidRPr="00993936">
        <w:rPr>
          <w:rFonts w:ascii="Arial" w:hAnsi="Arial" w:cs="Arial"/>
          <w:lang w:val="es-ES"/>
        </w:rPr>
        <w:t>Cloruros............................  10 meq/l</w:t>
      </w:r>
    </w:p>
    <w:p w:rsidR="00503A41" w:rsidRPr="00993936" w:rsidRDefault="00503A41" w:rsidP="009D1A2D">
      <w:pPr>
        <w:numPr>
          <w:ilvl w:val="0"/>
          <w:numId w:val="101"/>
        </w:numPr>
        <w:spacing w:after="0" w:line="240" w:lineRule="auto"/>
        <w:jc w:val="both"/>
        <w:rPr>
          <w:rFonts w:ascii="Arial" w:hAnsi="Arial" w:cs="Arial"/>
          <w:lang w:val="es-ES"/>
        </w:rPr>
      </w:pPr>
      <w:r w:rsidRPr="00993936">
        <w:rPr>
          <w:rFonts w:ascii="Arial" w:hAnsi="Arial" w:cs="Arial"/>
          <w:lang w:val="es-ES"/>
        </w:rPr>
        <w:t>Sodio................................    9 meq/l</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9.3 </w:t>
      </w:r>
      <w:r w:rsidRPr="00993936">
        <w:rPr>
          <w:rFonts w:ascii="Arial" w:hAnsi="Arial" w:cs="Arial"/>
          <w:i/>
          <w:lang w:val="es-ES"/>
        </w:rPr>
        <w:t>Recomendaciones</w:t>
      </w:r>
    </w:p>
    <w:p w:rsidR="00503A41" w:rsidRPr="00993936" w:rsidRDefault="00503A41" w:rsidP="0009331F">
      <w:pPr>
        <w:jc w:val="both"/>
        <w:rPr>
          <w:rFonts w:ascii="Arial" w:hAnsi="Arial" w:cs="Arial"/>
          <w:lang w:val="es-ES"/>
        </w:rPr>
      </w:pPr>
      <w:r w:rsidRPr="00993936">
        <w:rPr>
          <w:rFonts w:ascii="Arial" w:hAnsi="Arial" w:cs="Arial"/>
          <w:lang w:val="es-ES"/>
        </w:rPr>
        <w:t>9.3.1 Para utilizar el agua de riego con criterios de máxima eficiencia, se recomienda en los sistemas de riego a presión la instalación de un caudalímetro o algún otro sistema de medida de consumo de agua, como instalar contadores en los conductos a presión o bien contar las horas de riego superficial, que permitan llevar</w:t>
      </w:r>
      <w:r w:rsidRPr="00993936">
        <w:rPr>
          <w:rFonts w:ascii="Arial" w:hAnsi="Arial" w:cs="Arial"/>
          <w:vanish/>
          <w:lang w:val="es-ES"/>
        </w:rPr>
        <w:t>&lt;A[llevar|traer]&gt;</w:t>
      </w:r>
      <w:r w:rsidRPr="00993936">
        <w:rPr>
          <w:rFonts w:ascii="Arial" w:hAnsi="Arial" w:cs="Arial"/>
          <w:lang w:val="es-ES"/>
        </w:rPr>
        <w:t xml:space="preserve"> un control preciso de las dosis de agua y de los momentos de aplicación.</w:t>
      </w:r>
    </w:p>
    <w:p w:rsidR="00503A41" w:rsidRPr="00993936" w:rsidRDefault="00503A41" w:rsidP="0009331F">
      <w:pPr>
        <w:jc w:val="both"/>
        <w:rPr>
          <w:rFonts w:ascii="Arial" w:hAnsi="Arial" w:cs="Arial"/>
          <w:lang w:val="es-ES"/>
        </w:rPr>
      </w:pPr>
      <w:r w:rsidRPr="00993936">
        <w:rPr>
          <w:rFonts w:ascii="Arial" w:hAnsi="Arial" w:cs="Arial"/>
          <w:lang w:val="es-ES"/>
        </w:rPr>
        <w:t xml:space="preserve">9.3.2 Para evaluar el estado del agua en el suelo, se recomienda disponer de algún tipo de control de la humedad del suelo (tensiómetros, sondas u otros). </w:t>
      </w:r>
    </w:p>
    <w:p w:rsidR="00503A41" w:rsidRPr="00993936" w:rsidRDefault="00503A41" w:rsidP="0009331F">
      <w:pPr>
        <w:jc w:val="both"/>
        <w:rPr>
          <w:rFonts w:ascii="Arial" w:hAnsi="Arial" w:cs="Arial"/>
          <w:lang w:val="es-ES"/>
        </w:rPr>
      </w:pPr>
      <w:r w:rsidRPr="00993936">
        <w:rPr>
          <w:rFonts w:ascii="Arial" w:hAnsi="Arial" w:cs="Arial"/>
          <w:lang w:val="es-ES"/>
        </w:rPr>
        <w:t>9.3.3 Que el material utilizado en las instalaciones nuevas de microirrigación corresponda a los modelos de emisores, tubos emisores y difusores certificados por el programa de control de características de material de microirrigación del Departamento de Agricultura, Ganadería y Pesca (Orden de 2 de mayo de 1995, DOGC nº. 2050, de 15.5.1995) o para</w:t>
      </w:r>
      <w:r w:rsidRPr="00993936">
        <w:rPr>
          <w:rFonts w:ascii="Arial" w:hAnsi="Arial" w:cs="Arial"/>
          <w:vanish/>
          <w:lang w:val="es-ES"/>
        </w:rPr>
        <w:t>&lt;A[para|por]&gt;</w:t>
      </w:r>
      <w:r w:rsidRPr="00993936">
        <w:rPr>
          <w:rFonts w:ascii="Arial" w:hAnsi="Arial" w:cs="Arial"/>
          <w:lang w:val="es-ES"/>
        </w:rPr>
        <w:t xml:space="preserve"> otros programas oficiales.</w:t>
      </w:r>
    </w:p>
    <w:p w:rsidR="00503A41" w:rsidRPr="00993936" w:rsidRDefault="00503A41" w:rsidP="0009331F">
      <w:pPr>
        <w:jc w:val="both"/>
        <w:rPr>
          <w:rFonts w:ascii="Arial" w:hAnsi="Arial" w:cs="Arial"/>
          <w:lang w:val="es-ES"/>
        </w:rPr>
      </w:pPr>
      <w:r w:rsidRPr="00993936">
        <w:rPr>
          <w:rFonts w:ascii="Arial" w:hAnsi="Arial" w:cs="Arial"/>
          <w:lang w:val="es-ES"/>
        </w:rPr>
        <w:t>9.3.4 Establecer un plan</w:t>
      </w:r>
      <w:r w:rsidRPr="00993936">
        <w:rPr>
          <w:rFonts w:ascii="Arial" w:hAnsi="Arial" w:cs="Arial"/>
          <w:vanish/>
          <w:lang w:val="es-ES"/>
        </w:rPr>
        <w:t>&lt;A[plan|plano]&gt;</w:t>
      </w:r>
      <w:r w:rsidRPr="00993936">
        <w:rPr>
          <w:rFonts w:ascii="Arial" w:hAnsi="Arial" w:cs="Arial"/>
          <w:lang w:val="es-ES"/>
        </w:rPr>
        <w:t xml:space="preserve"> de gestión del agua que permita optimizar el uso y reducir las pérdidas.</w:t>
      </w:r>
    </w:p>
    <w:p w:rsidR="00503A41" w:rsidRPr="00993936" w:rsidRDefault="00503A41" w:rsidP="0009331F">
      <w:pPr>
        <w:pStyle w:val="Ttulo2"/>
        <w:rPr>
          <w:rFonts w:ascii="Arial" w:eastAsiaTheme="minorHAnsi" w:hAnsi="Arial" w:cs="Arial"/>
          <w:color w:val="auto"/>
          <w:sz w:val="22"/>
          <w:szCs w:val="22"/>
          <w:lang w:val="es-ES"/>
        </w:rPr>
      </w:pPr>
      <w:r w:rsidRPr="00993936">
        <w:rPr>
          <w:rFonts w:ascii="Arial" w:eastAsiaTheme="minorHAnsi" w:hAnsi="Arial" w:cs="Arial"/>
          <w:color w:val="auto"/>
          <w:sz w:val="22"/>
          <w:szCs w:val="22"/>
          <w:lang w:val="es-ES"/>
        </w:rPr>
        <w:t>9.3.5 Evitar el riego por gravedad en suelos de textura arenosa.</w:t>
      </w:r>
    </w:p>
    <w:p w:rsidR="00503A41" w:rsidRPr="00993936" w:rsidRDefault="00503A41" w:rsidP="0009331F">
      <w:pPr>
        <w:jc w:val="both"/>
        <w:rPr>
          <w:rFonts w:ascii="Arial" w:hAnsi="Arial" w:cs="Arial"/>
          <w:i/>
          <w:lang w:val="es-ES"/>
        </w:rPr>
      </w:pPr>
      <w:r w:rsidRPr="00993936">
        <w:rPr>
          <w:rFonts w:ascii="Arial" w:hAnsi="Arial" w:cs="Arial"/>
          <w:lang w:val="es-ES"/>
        </w:rPr>
        <w:t>9.3.6 Utilizar el riego por goteo, cuando sea posible.</w:t>
      </w:r>
    </w:p>
    <w:p w:rsidR="00503A41" w:rsidRPr="00993936" w:rsidRDefault="00503A41" w:rsidP="0009331F">
      <w:pPr>
        <w:jc w:val="both"/>
        <w:rPr>
          <w:rFonts w:ascii="Arial" w:hAnsi="Arial" w:cs="Arial"/>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10</w:t>
      </w:r>
    </w:p>
    <w:p w:rsidR="00503A41" w:rsidRPr="00993936" w:rsidRDefault="00503A41" w:rsidP="0009331F">
      <w:pPr>
        <w:jc w:val="both"/>
        <w:outlineLvl w:val="0"/>
        <w:rPr>
          <w:rFonts w:ascii="Arial" w:hAnsi="Arial" w:cs="Arial"/>
          <w:lang w:val="es-ES"/>
        </w:rPr>
      </w:pPr>
      <w:r w:rsidRPr="00993936">
        <w:rPr>
          <w:rFonts w:ascii="Arial" w:hAnsi="Arial" w:cs="Arial"/>
          <w:b/>
          <w:lang w:val="es-ES"/>
        </w:rPr>
        <w:t xml:space="preserve">Control integrado de plagas y enfermedades </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 xml:space="preserve">10.1.1 Para controlar plagas y enfermedades se deben priorizar, siempre que sea posible, los métodos biológicos, biotecnológicos, culturales, físicos y genéticos antes que los métodos químicos. </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10.1.2 Se consultarán los avisos agrícolas de los servicios de sanidad vegetales, como contraste y paso previo a la toma de decisiones a nivel de parcela o finca.</w:t>
      </w:r>
    </w:p>
    <w:p w:rsidR="00503A41" w:rsidRPr="00993936" w:rsidRDefault="00503A41" w:rsidP="0009331F">
      <w:pPr>
        <w:pStyle w:val="Textoindependiente"/>
        <w:rPr>
          <w:rFonts w:cs="Arial"/>
          <w:szCs w:val="22"/>
          <w:lang w:val="es-ES"/>
        </w:rPr>
      </w:pPr>
      <w:r w:rsidRPr="00993936">
        <w:rPr>
          <w:rFonts w:cs="Arial"/>
          <w:szCs w:val="22"/>
          <w:lang w:val="es-ES"/>
        </w:rPr>
        <w:t>10.1.3 La estimación</w:t>
      </w:r>
      <w:r w:rsidRPr="00993936">
        <w:rPr>
          <w:rFonts w:cs="Arial"/>
          <w:vanish/>
          <w:szCs w:val="22"/>
          <w:lang w:val="es-ES"/>
        </w:rPr>
        <w:t>&lt;A[estimación|estima]&gt;</w:t>
      </w:r>
      <w:r w:rsidRPr="00993936">
        <w:rPr>
          <w:rFonts w:cs="Arial"/>
          <w:szCs w:val="22"/>
          <w:lang w:val="es-ES"/>
        </w:rPr>
        <w:t xml:space="preserve"> del riesgo en cada parcela y/o UHC se hará mediante estimaciones de los niveles de población calculadas mediante sistemas de muestreo, estado de desarrollo de las plagas, enfermedades, y fauna útil, fenología del cultivo y condiciones climáticas. La aplicación de medidas directas de control de plagas y enfermedades sólo se efectuará cuando los niveles de población o las condiciones ambientales superen los correspondientes umbrales y/o criterios mínimos de intervención que figuran en el anexo 5 de esta norma, y en caso de enfermedades cuando</w:t>
      </w:r>
      <w:r w:rsidRPr="00993936">
        <w:rPr>
          <w:rFonts w:cs="Arial"/>
          <w:vanish/>
          <w:szCs w:val="22"/>
          <w:lang w:val="es-ES"/>
        </w:rPr>
        <w:t>&lt;A[cuando|cuándo]&gt;</w:t>
      </w:r>
      <w:r w:rsidRPr="00993936">
        <w:rPr>
          <w:rFonts w:cs="Arial"/>
          <w:szCs w:val="22"/>
          <w:lang w:val="es-ES"/>
        </w:rPr>
        <w:t xml:space="preserve"> la estimación</w:t>
      </w:r>
      <w:r w:rsidRPr="00993936">
        <w:rPr>
          <w:rFonts w:cs="Arial"/>
          <w:vanish/>
          <w:szCs w:val="22"/>
          <w:lang w:val="es-ES"/>
        </w:rPr>
        <w:t>&lt;A[estimación|estima]&gt;</w:t>
      </w:r>
      <w:r w:rsidRPr="00993936">
        <w:rPr>
          <w:rFonts w:cs="Arial"/>
          <w:szCs w:val="22"/>
          <w:lang w:val="es-ES"/>
        </w:rPr>
        <w:t xml:space="preserve"> del riesgo lo indique.</w:t>
      </w:r>
    </w:p>
    <w:p w:rsidR="00503A41" w:rsidRPr="00993936" w:rsidRDefault="00503A41" w:rsidP="0009331F">
      <w:pPr>
        <w:pStyle w:val="Textoindependiente"/>
        <w:rPr>
          <w:rFonts w:cs="Arial"/>
          <w:szCs w:val="22"/>
          <w:lang w:val="es-ES"/>
        </w:rPr>
      </w:pPr>
      <w:r w:rsidRPr="00993936">
        <w:rPr>
          <w:rFonts w:cs="Arial"/>
          <w:szCs w:val="22"/>
          <w:lang w:val="es-ES"/>
        </w:rPr>
        <w:t>Los niveles de población de cada plaga se estimarán</w:t>
      </w:r>
      <w:r w:rsidRPr="00993936">
        <w:rPr>
          <w:rFonts w:cs="Arial"/>
          <w:vanish/>
          <w:szCs w:val="22"/>
          <w:lang w:val="es-ES"/>
        </w:rPr>
        <w:t>&lt;A[amarán|estimarán]&gt;</w:t>
      </w:r>
      <w:r w:rsidRPr="00993936">
        <w:rPr>
          <w:rFonts w:cs="Arial"/>
          <w:szCs w:val="22"/>
          <w:lang w:val="es-ES"/>
        </w:rPr>
        <w:t xml:space="preserve"> mediante un control visual de daños o de presencia a nivel de parcela, con una superficie no mayor de 4 hectáreas, de manera que si la extensión es superior se tendrá que dividir en unidades de control inferiores a la mencionada superficie. </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En caso de agrupaciones de productores el número de controles a realizar será determinado por los técnicos responsables de producción integrada en función del número y la distribución de las plantaciones, de manera que se garantice un sistema de control fiable y representativo de la zona que se quiera controlar. En este caso, cada agrupación de productores tendrá que disponer de una plano de situación de los controles, indicación del tipo de plaga a controlar, así como la relación de fincas, hectáreas y nombres de los productores incluidos, junto con la descripción del plan</w:t>
      </w:r>
      <w:r w:rsidRPr="00993936">
        <w:rPr>
          <w:rFonts w:ascii="Arial" w:hAnsi="Arial" w:cs="Arial"/>
          <w:vanish/>
          <w:lang w:val="es-ES"/>
        </w:rPr>
        <w:t>&lt;A[plan|plano]&gt;</w:t>
      </w:r>
      <w:r w:rsidRPr="00993936">
        <w:rPr>
          <w:rFonts w:ascii="Arial" w:hAnsi="Arial" w:cs="Arial"/>
          <w:lang w:val="es-ES"/>
        </w:rPr>
        <w:t xml:space="preserve"> de control.</w:t>
      </w:r>
    </w:p>
    <w:p w:rsidR="00503A41" w:rsidRPr="00993936" w:rsidRDefault="00503A41" w:rsidP="0009331F">
      <w:pPr>
        <w:jc w:val="both"/>
        <w:rPr>
          <w:rFonts w:ascii="Arial" w:hAnsi="Arial" w:cs="Arial"/>
          <w:lang w:val="es-ES"/>
        </w:rPr>
      </w:pPr>
      <w:r w:rsidRPr="00993936">
        <w:rPr>
          <w:rFonts w:ascii="Arial" w:hAnsi="Arial" w:cs="Arial"/>
          <w:lang w:val="es-ES"/>
        </w:rPr>
        <w:t xml:space="preserve">Los criterios que se utilicen para la justificación de los posibles tratamientos fitosanitarios tendrán que estar previstos en el Programa de control integrado de plagas y enfermedades (CIP) que prevé esta norma. </w:t>
      </w:r>
    </w:p>
    <w:p w:rsidR="00503A41" w:rsidRPr="00993936" w:rsidRDefault="00503A41" w:rsidP="0009331F">
      <w:pPr>
        <w:jc w:val="both"/>
        <w:rPr>
          <w:rFonts w:ascii="Arial" w:hAnsi="Arial" w:cs="Arial"/>
          <w:lang w:val="es-ES"/>
        </w:rPr>
      </w:pPr>
      <w:r w:rsidRPr="00993936">
        <w:rPr>
          <w:rFonts w:ascii="Arial" w:hAnsi="Arial" w:cs="Arial"/>
          <w:lang w:val="es-ES"/>
        </w:rPr>
        <w:t>10.1.4  En caso de que haga falta una intervención química con productos fitosanitarios, las sustancias activas a utilizar serán seleccionadas de acuerdo con los criterios de menor peligrosidad para los humanos, la fauna y el medio ambiente; la efectividad en el control de la plaga o la mala hierba; la selectividad (se tiene que evitar la toxicidad para los polinizadores y los enemigos naturales); los residuos y el riesgo de aparición de poblaciones resistentes. En cualquier caso, sólo se podrán utilizar productos fitosanitarios inscritos en el Registro Oficial de Productos y Material Fitosanitario del Estado Español y aprobados expresamente para los cultivos y usos autorizados y de acuerdo con las instrucciones y/o restricciones que figuran en el anexo 2 de esta norma.</w:t>
      </w:r>
    </w:p>
    <w:p w:rsidR="00503A41" w:rsidRPr="00993936" w:rsidRDefault="00503A41" w:rsidP="0009331F">
      <w:pPr>
        <w:jc w:val="both"/>
        <w:rPr>
          <w:rFonts w:ascii="Arial" w:hAnsi="Arial" w:cs="Arial"/>
          <w:lang w:val="es-ES"/>
        </w:rPr>
      </w:pPr>
      <w:r w:rsidRPr="00993936">
        <w:rPr>
          <w:rFonts w:ascii="Arial" w:hAnsi="Arial" w:cs="Arial"/>
          <w:lang w:val="es-ES"/>
        </w:rPr>
        <w:t>10.1.5 En caso de utilizarse para el control de plagas y enfermedades formulados comerciales a base de mezclas de sustancias activas, vista la gran cantidad existente, se consideran admitidas en producción integrada de uva por vinificación, aunque no estén expresamente definidas en el anexo 2 de esta norma, todas las mezclas de formulados, que incluyan 2 o más sustancias activas incluidas en el mencionado anexo, siempre que la mezcla comercial esté autorizada en el Registro Oficial de Productos y Material Fitosanitario por el cultivo y para los usos oficialmente autorizados.</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No se podrán utilizar los formulados a base de mezclas de sustancias activas que tengan alguna sustancia no dirigida contra una determinada plaga y/o enfermedad, salvo las ocasiones en que se justifique el tratamiento simultáneo contra varios organismos nocivos.</w:t>
      </w:r>
    </w:p>
    <w:p w:rsidR="00503A41" w:rsidRPr="00993936" w:rsidRDefault="00503A41" w:rsidP="0009331F">
      <w:pPr>
        <w:jc w:val="both"/>
        <w:rPr>
          <w:rFonts w:ascii="Arial" w:hAnsi="Arial" w:cs="Arial"/>
          <w:lang w:val="es-ES"/>
        </w:rPr>
      </w:pPr>
      <w:r w:rsidRPr="00993936">
        <w:rPr>
          <w:rFonts w:ascii="Arial" w:hAnsi="Arial" w:cs="Arial"/>
          <w:lang w:val="es-ES"/>
        </w:rPr>
        <w:t>10.1.6 Para evitar riesgos a los operarios, a los consumidores y al medio ambiente, el uso y la aplicación de productos fitosanitarios se realizará respetando siempre las indicaciones reflejadas en las etiquetas correspondientes de los productos y siguiendo las recomendaciones y/o instrucciones dictadas por el responsable técnico de producción integrada.</w:t>
      </w:r>
    </w:p>
    <w:p w:rsidR="00503A41" w:rsidRPr="00993936" w:rsidRDefault="00503A41" w:rsidP="0009331F">
      <w:pPr>
        <w:jc w:val="both"/>
        <w:rPr>
          <w:rFonts w:ascii="Arial" w:hAnsi="Arial" w:cs="Arial"/>
          <w:lang w:val="es-ES"/>
        </w:rPr>
      </w:pPr>
      <w:r w:rsidRPr="00993936">
        <w:rPr>
          <w:rFonts w:ascii="Arial" w:hAnsi="Arial" w:cs="Arial"/>
          <w:lang w:val="es-ES"/>
        </w:rPr>
        <w:t>10.1.7 Se tendrán que registrar en el Cuaderno de explotación todas las aplicaciones de productos químicos indicando como mínimo la fecha, el producto, el principio activo, la cantidad y el volumen utilizado, las cuales tendrán que revisarse a posteriori por el técnico responsable de producción integrada y su conformidad figurará en el mencionado Cuaderno.</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10.1.8 Cuando se mezclen fitosanitarios, habrá que seguir los procedimientos adecuados para el manejo y la carga, según se indique en las instrucciones de la etiqueta del producto.</w:t>
      </w:r>
    </w:p>
    <w:p w:rsidR="00503A41" w:rsidRPr="00993936" w:rsidRDefault="00503A41" w:rsidP="0009331F">
      <w:pPr>
        <w:pStyle w:val="Textoindependiente"/>
        <w:rPr>
          <w:rFonts w:cs="Arial"/>
          <w:i/>
          <w:szCs w:val="22"/>
          <w:lang w:val="es-ES"/>
        </w:rPr>
      </w:pPr>
      <w:r w:rsidRPr="00993936">
        <w:rPr>
          <w:rFonts w:cs="Arial"/>
          <w:szCs w:val="22"/>
          <w:lang w:val="es-ES"/>
        </w:rPr>
        <w:t>10.1.9 Con la finalidad de disminuir la contaminación que provenga de los restos de fitosanitarios que quedan en los envases, se realizará un triple lavado. El agua de este lavado se añadirá al tanque de aplicación.</w:t>
      </w:r>
    </w:p>
    <w:p w:rsidR="00503A41" w:rsidRPr="00993936" w:rsidRDefault="00503A41" w:rsidP="0009331F">
      <w:pPr>
        <w:pStyle w:val="Textoindependiente"/>
        <w:rPr>
          <w:rFonts w:cs="Arial"/>
          <w:szCs w:val="22"/>
          <w:lang w:val="es-ES"/>
        </w:rPr>
      </w:pPr>
      <w:r w:rsidRPr="00993936">
        <w:rPr>
          <w:rFonts w:cs="Arial"/>
          <w:szCs w:val="22"/>
          <w:lang w:val="es-ES"/>
        </w:rPr>
        <w:t>10.1.10 La presencia de residuos se tiene que minimizar mediante la máxima ampliación posible de los plazos de seguridad.</w:t>
      </w:r>
    </w:p>
    <w:p w:rsidR="00503A41" w:rsidRPr="00993936" w:rsidRDefault="00503A41" w:rsidP="0009331F">
      <w:pPr>
        <w:jc w:val="both"/>
        <w:rPr>
          <w:rFonts w:ascii="Arial" w:hAnsi="Arial" w:cs="Arial"/>
          <w:lang w:val="es-ES"/>
        </w:rPr>
      </w:pPr>
      <w:r w:rsidRPr="00993936">
        <w:rPr>
          <w:rFonts w:ascii="Arial" w:hAnsi="Arial" w:cs="Arial"/>
          <w:lang w:val="es-ES"/>
        </w:rPr>
        <w:t>10.1.11 Se tendrá que proteger la fauna auxiliar en general y, en particular, al menos, dos especies</w:t>
      </w:r>
      <w:r w:rsidRPr="00993936">
        <w:rPr>
          <w:rFonts w:ascii="Arial" w:hAnsi="Arial" w:cs="Arial"/>
          <w:vanish/>
          <w:lang w:val="es-ES"/>
        </w:rPr>
        <w:t>&lt;A[especies|especias]&gt;</w:t>
      </w:r>
      <w:r w:rsidRPr="00993936">
        <w:rPr>
          <w:rFonts w:ascii="Arial" w:hAnsi="Arial" w:cs="Arial"/>
          <w:lang w:val="es-ES"/>
        </w:rPr>
        <w:t xml:space="preserve"> de las cuales su protección y aumento de sus poblaciones se considere prioritaria para cada cultivo. Las especies</w:t>
      </w:r>
      <w:r w:rsidRPr="00993936">
        <w:rPr>
          <w:rFonts w:ascii="Arial" w:hAnsi="Arial" w:cs="Arial"/>
          <w:vanish/>
          <w:lang w:val="es-ES"/>
        </w:rPr>
        <w:t>&lt;A[especies|especias]&gt;</w:t>
      </w:r>
      <w:r w:rsidRPr="00993936">
        <w:rPr>
          <w:rFonts w:ascii="Arial" w:hAnsi="Arial" w:cs="Arial"/>
          <w:lang w:val="es-ES"/>
        </w:rPr>
        <w:t xml:space="preserve"> de fauna auxiliar a proteger para el cultivo de uva para la vinificación son las siguientes:</w:t>
      </w:r>
    </w:p>
    <w:p w:rsidR="00503A41" w:rsidRPr="00993936" w:rsidRDefault="00503A41" w:rsidP="0009331F">
      <w:pPr>
        <w:pStyle w:val="Textoindependiente"/>
        <w:rPr>
          <w:rFonts w:cs="Arial"/>
          <w:i/>
          <w:szCs w:val="22"/>
          <w:lang w:val="es-ES"/>
        </w:rPr>
      </w:pPr>
      <w:r w:rsidRPr="00993936">
        <w:rPr>
          <w:rFonts w:cs="Arial"/>
          <w:i/>
          <w:szCs w:val="22"/>
          <w:lang w:val="es-ES"/>
        </w:rPr>
        <w:t>Typhlodromus pyri, Chrysoperla carnea, Dybrachis affinis.</w:t>
      </w:r>
    </w:p>
    <w:p w:rsidR="00503A41" w:rsidRPr="00993936" w:rsidRDefault="00503A41" w:rsidP="0009331F">
      <w:pPr>
        <w:jc w:val="both"/>
        <w:rPr>
          <w:rFonts w:ascii="Arial" w:hAnsi="Arial" w:cs="Arial"/>
          <w:lang w:val="es-ES"/>
        </w:rPr>
      </w:pPr>
      <w:r w:rsidRPr="00993936">
        <w:rPr>
          <w:rFonts w:ascii="Arial" w:hAnsi="Arial" w:cs="Arial"/>
          <w:lang w:val="es-ES"/>
        </w:rPr>
        <w:t>10.1.12 El aplicador de productos fitosanitarios tendrá que estar cualificado</w:t>
      </w:r>
      <w:r w:rsidRPr="00993936">
        <w:rPr>
          <w:rFonts w:ascii="Arial" w:hAnsi="Arial" w:cs="Arial"/>
          <w:vanish/>
          <w:lang w:val="es-ES"/>
        </w:rPr>
        <w:t>&lt;A[cualificado|calificado]&gt;</w:t>
      </w:r>
      <w:r w:rsidRPr="00993936">
        <w:rPr>
          <w:rFonts w:ascii="Arial" w:hAnsi="Arial" w:cs="Arial"/>
          <w:lang w:val="es-ES"/>
        </w:rPr>
        <w:t xml:space="preserve"> específicamente, para</w:t>
      </w:r>
      <w:r w:rsidRPr="00993936">
        <w:rPr>
          <w:rFonts w:ascii="Arial" w:hAnsi="Arial" w:cs="Arial"/>
          <w:vanish/>
          <w:lang w:val="es-ES"/>
        </w:rPr>
        <w:t>&lt;A[por|para]&gt;</w:t>
      </w:r>
      <w:r w:rsidRPr="00993936">
        <w:rPr>
          <w:rFonts w:ascii="Arial" w:hAnsi="Arial" w:cs="Arial"/>
          <w:lang w:val="es-ES"/>
        </w:rPr>
        <w:t xml:space="preserve"> lo cual tendrá que justificar que dispone de la acreditación del carné básico de aplicador de productos fitosanitarios o el carné cualificado</w:t>
      </w:r>
      <w:r w:rsidRPr="00993936">
        <w:rPr>
          <w:rFonts w:ascii="Arial" w:hAnsi="Arial" w:cs="Arial"/>
          <w:vanish/>
          <w:lang w:val="es-ES"/>
        </w:rPr>
        <w:t>&lt;A[calificado|cualificado]&gt;</w:t>
      </w:r>
      <w:r w:rsidRPr="00993936">
        <w:rPr>
          <w:rFonts w:ascii="Arial" w:hAnsi="Arial" w:cs="Arial"/>
          <w:lang w:val="es-ES"/>
        </w:rPr>
        <w:t xml:space="preserve"> en caso de que sea obligatorio de acuerdo con lo que establece el RD 1311/2012.</w:t>
      </w:r>
    </w:p>
    <w:p w:rsidR="00503A41" w:rsidRPr="00993936" w:rsidRDefault="00503A41" w:rsidP="0009331F">
      <w:pPr>
        <w:jc w:val="both"/>
        <w:rPr>
          <w:rFonts w:ascii="Arial" w:hAnsi="Arial" w:cs="Arial"/>
          <w:lang w:val="es-ES"/>
        </w:rPr>
      </w:pPr>
      <w:r w:rsidRPr="00993936">
        <w:rPr>
          <w:rFonts w:ascii="Arial" w:hAnsi="Arial" w:cs="Arial"/>
          <w:lang w:val="es-ES"/>
        </w:rPr>
        <w:t>10.1.13 La maquinaria utilizada para aplicar los productos fitosanitarios se tiene que mantener en un adecuado estado de funcionamiento y someterse, periódicamente, a los controles que establece el artículo 16 de esta norma.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10.1.14 En caso de tratamientos fitosanitarios y con la finalidad de obtener la máxima eficacia con la menor dosis, se deben ajustar las concentraciones de los productos, los volúmenes máximos de caldo y el caudal de aire, con el objetivo de evitar las sobredosificaciones y procurar que las aplicaciones no lleguen a una parcela y/o UHC diferente de la que se pretende tratar, y tener en cuenta el estado fenológico del cultivo.   </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10.1.15 Reducir el área tratada a foco o rodales con tratamientos químicos siempre que la plaga o enfermedad se encuentre lo bastante localizada y sea posible.</w:t>
      </w:r>
    </w:p>
    <w:p w:rsidR="00503A41" w:rsidRPr="00993936" w:rsidRDefault="00503A41" w:rsidP="0009331F">
      <w:pPr>
        <w:pStyle w:val="Textoindependiente"/>
        <w:rPr>
          <w:rFonts w:cs="Arial"/>
          <w:szCs w:val="22"/>
          <w:lang w:val="es-ES"/>
        </w:rPr>
      </w:pPr>
      <w:r w:rsidRPr="00993936">
        <w:rPr>
          <w:rFonts w:cs="Arial"/>
          <w:szCs w:val="22"/>
          <w:lang w:val="es-ES"/>
        </w:rPr>
        <w:t>10.1.16 Respetar las estrategias de anti-resistencias de los productos fitosanitarios.</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10.1.17 Respetar todas las medidas de prevención sanitaria y de almacenamiento de los productos fitosanitarios.</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10.2 </w:t>
      </w:r>
      <w:r w:rsidRPr="00993936">
        <w:rPr>
          <w:rFonts w:ascii="Arial" w:hAnsi="Arial" w:cs="Arial"/>
          <w:i/>
          <w:lang w:val="es-ES"/>
        </w:rPr>
        <w:t>Prohibiciones</w:t>
      </w:r>
    </w:p>
    <w:p w:rsidR="00503A41" w:rsidRPr="00993936" w:rsidRDefault="00503A41" w:rsidP="0009331F">
      <w:pPr>
        <w:jc w:val="both"/>
        <w:rPr>
          <w:rFonts w:ascii="Arial" w:hAnsi="Arial" w:cs="Arial"/>
          <w:lang w:val="es-ES"/>
        </w:rPr>
      </w:pPr>
      <w:r w:rsidRPr="00993936">
        <w:rPr>
          <w:rFonts w:ascii="Arial" w:hAnsi="Arial" w:cs="Arial"/>
          <w:lang w:val="es-ES"/>
        </w:rPr>
        <w:t>10.2.1 Realizar liberaciones de enemigos naturales no presentes en la fauna española, o cuya introducción esté prohibida por</w:t>
      </w:r>
      <w:r w:rsidRPr="00993936">
        <w:rPr>
          <w:rFonts w:ascii="Arial" w:hAnsi="Arial" w:cs="Arial"/>
          <w:vanish/>
          <w:lang w:val="es-ES"/>
        </w:rPr>
        <w:t>&lt;A[por|para]&gt;</w:t>
      </w:r>
      <w:r w:rsidRPr="00993936">
        <w:rPr>
          <w:rFonts w:ascii="Arial" w:hAnsi="Arial" w:cs="Arial"/>
          <w:lang w:val="es-ES"/>
        </w:rPr>
        <w:t xml:space="preserve"> la legislación correspondiente, salvo autorización expresa de la dirección general competente en materia de agricultura.                                                                                                                                                 10.2.2 Utilizar calendarios de tratamientos y realizar aplicaciones indiscriminadas sin la prescripción técnica.</w:t>
      </w:r>
    </w:p>
    <w:p w:rsidR="00503A41" w:rsidRPr="00993936" w:rsidRDefault="00503A41" w:rsidP="0009331F">
      <w:pPr>
        <w:jc w:val="both"/>
        <w:rPr>
          <w:rFonts w:ascii="Arial" w:hAnsi="Arial" w:cs="Arial"/>
          <w:lang w:val="es-ES"/>
        </w:rPr>
      </w:pPr>
      <w:r w:rsidRPr="00993936">
        <w:rPr>
          <w:rFonts w:ascii="Arial" w:hAnsi="Arial" w:cs="Arial"/>
          <w:lang w:val="es-ES"/>
        </w:rPr>
        <w:t>10.2.3 Abandonar el control fitosanitario antes de finalizar el periodo vegetativo del cultivo, excepto en casos de bastante mayor reconocidos por la dirección general competente en materia de agricultura.</w:t>
      </w:r>
    </w:p>
    <w:p w:rsidR="00503A41" w:rsidRPr="00993936" w:rsidRDefault="00503A41" w:rsidP="0009331F">
      <w:pPr>
        <w:pStyle w:val="Textoindependiente"/>
        <w:rPr>
          <w:rFonts w:cs="Arial"/>
          <w:szCs w:val="22"/>
          <w:lang w:val="es-ES"/>
        </w:rPr>
      </w:pPr>
      <w:r w:rsidRPr="00993936">
        <w:rPr>
          <w:rFonts w:cs="Arial"/>
          <w:szCs w:val="22"/>
          <w:lang w:val="es-ES"/>
        </w:rPr>
        <w:t>10.2.4 Utilizar de manera sistemática y reiterada, productos fitosanitarios no selectivos, de larga persistencia, alta volatilidad, lixiviables o con otras características negativas.</w:t>
      </w:r>
    </w:p>
    <w:p w:rsidR="00503A41" w:rsidRPr="00993936" w:rsidRDefault="00503A41" w:rsidP="0009331F">
      <w:pPr>
        <w:jc w:val="both"/>
        <w:rPr>
          <w:rFonts w:ascii="Arial" w:hAnsi="Arial" w:cs="Arial"/>
          <w:lang w:val="es-ES"/>
        </w:rPr>
      </w:pPr>
      <w:r w:rsidRPr="00993936">
        <w:rPr>
          <w:rFonts w:ascii="Arial" w:hAnsi="Arial" w:cs="Arial"/>
          <w:lang w:val="es-ES"/>
        </w:rPr>
        <w:t xml:space="preserve">10.2.5 Utilizar productos fitosanitarios a menos de 5 metros de las aguas superficiales. </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10.2.6 En cultivos al aire libre, realizar aplicaciones de productos fitosanitarios en condiciones meteorológicamente desfavorables para evitar la deriva de los productos.</w:t>
      </w:r>
    </w:p>
    <w:p w:rsidR="00503A41" w:rsidRPr="00993936" w:rsidRDefault="00503A41" w:rsidP="0009331F">
      <w:pPr>
        <w:pStyle w:val="Textoindependiente"/>
        <w:rPr>
          <w:rFonts w:cs="Arial"/>
          <w:szCs w:val="22"/>
          <w:lang w:val="es-ES"/>
        </w:rPr>
      </w:pPr>
      <w:r w:rsidRPr="00993936">
        <w:rPr>
          <w:rFonts w:cs="Arial"/>
          <w:szCs w:val="22"/>
          <w:lang w:val="es-ES"/>
        </w:rPr>
        <w:t>10.2.7 El vertido</w:t>
      </w:r>
      <w:r w:rsidRPr="00993936">
        <w:rPr>
          <w:rFonts w:cs="Arial"/>
          <w:vanish/>
          <w:szCs w:val="22"/>
          <w:lang w:val="es-ES"/>
        </w:rPr>
        <w:t>&lt;A[derrame|vertido]&gt;</w:t>
      </w:r>
      <w:r w:rsidRPr="00993936">
        <w:rPr>
          <w:rFonts w:cs="Arial"/>
          <w:szCs w:val="22"/>
          <w:lang w:val="es-ES"/>
        </w:rPr>
        <w:t>, al agua y/o en zonas muy próximas, de productos agroquímicos sobrantes y de los líquidos procedentes de la limpieza de la maquinaria de tratamientos.</w:t>
      </w:r>
    </w:p>
    <w:p w:rsidR="00503A41" w:rsidRPr="00993936" w:rsidRDefault="00503A41" w:rsidP="0009331F">
      <w:pPr>
        <w:jc w:val="both"/>
        <w:rPr>
          <w:rFonts w:ascii="Arial" w:hAnsi="Arial" w:cs="Arial"/>
          <w:lang w:val="es-ES"/>
        </w:rPr>
      </w:pPr>
      <w:r w:rsidRPr="00993936">
        <w:rPr>
          <w:rFonts w:ascii="Arial" w:hAnsi="Arial" w:cs="Arial"/>
          <w:lang w:val="es-ES"/>
        </w:rPr>
        <w:t>10.2.8 Utilizar cualquier producto autorizado por estas normas técnicas que sea dado de baja del Registro Oficial de Productos y Material Fitosanitario del Ministerio de Agricultura, Pesca, Alimentación y Medio Ambiente (MAPAMA) con posterioridad en la publicación de esta norma o que haya perdido la autorización de uso correspondiente.</w:t>
      </w:r>
    </w:p>
    <w:p w:rsidR="00503A41" w:rsidRPr="00993936" w:rsidRDefault="00503A41" w:rsidP="0009331F">
      <w:pPr>
        <w:jc w:val="both"/>
        <w:rPr>
          <w:rFonts w:ascii="Arial" w:hAnsi="Arial" w:cs="Arial"/>
          <w:lang w:val="es-ES"/>
        </w:rPr>
      </w:pPr>
      <w:r w:rsidRPr="00993936">
        <w:rPr>
          <w:rFonts w:ascii="Arial" w:hAnsi="Arial" w:cs="Arial"/>
          <w:lang w:val="es-ES"/>
        </w:rPr>
        <w:t>10.2.9 Utilizar materias activas no incluidas en el anexo 2 de esta norma técnica. Esta prohibición no es de aplicación en las materias activas que tengan una autorización de uso excepcional vigente o a las que aparezcan al Registro Oficial de Productos y Material Fitosanitario, autorizadas para combatir determinadas plagas y/o enfermedades, que no estén contempladas por su novedad en los anexos de fitosanitarios de esta norma. 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plagas, que, por no ser habituales, no están reflejadas en el anexo 2 de esta norma, o no se haya definido el umbral y/o criterio mínimo de intervención, se podrá actuar en contra con cualquier otro fitosanitario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w:t>
      </w:r>
    </w:p>
    <w:p w:rsidR="00503A41" w:rsidRPr="00993936" w:rsidRDefault="00503A41" w:rsidP="0009331F">
      <w:pPr>
        <w:jc w:val="both"/>
        <w:rPr>
          <w:rFonts w:ascii="Arial" w:hAnsi="Arial" w:cs="Arial"/>
          <w:lang w:val="es-ES"/>
        </w:rPr>
      </w:pPr>
      <w:r w:rsidRPr="00993936">
        <w:rPr>
          <w:rFonts w:ascii="Arial" w:hAnsi="Arial" w:cs="Arial"/>
          <w:lang w:val="es-ES"/>
        </w:rPr>
        <w:t>10.2. Aplicar productos fitosanitarios de perfil toxicológico T+ (muy tóxico) o que en su clasificación y etiquetado presenten frases de riesgo con un perfil muy tóxico o mortales para la salud humana.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10.2.11 Aplicar productos fitosanitarios a menos de 50 metros de captaciones de agua de consumo humano.</w:t>
      </w:r>
    </w:p>
    <w:p w:rsidR="00503A41" w:rsidRPr="00993936" w:rsidRDefault="00503A41" w:rsidP="0009331F">
      <w:pPr>
        <w:jc w:val="both"/>
        <w:rPr>
          <w:rFonts w:ascii="Arial" w:hAnsi="Arial" w:cs="Arial"/>
          <w:lang w:val="es-ES"/>
        </w:rPr>
      </w:pPr>
      <w:r w:rsidRPr="00993936">
        <w:rPr>
          <w:rFonts w:ascii="Arial" w:hAnsi="Arial" w:cs="Arial"/>
          <w:lang w:val="es-ES"/>
        </w:rPr>
        <w:t xml:space="preserve">10.3.- </w:t>
      </w:r>
      <w:r w:rsidRPr="00993936">
        <w:rPr>
          <w:rFonts w:ascii="Arial" w:hAnsi="Arial" w:cs="Arial"/>
          <w:i/>
          <w:lang w:val="es-ES"/>
        </w:rPr>
        <w:t>Recomendaciones</w:t>
      </w:r>
    </w:p>
    <w:p w:rsidR="00503A41" w:rsidRPr="00993936" w:rsidRDefault="00503A41" w:rsidP="0009331F">
      <w:pPr>
        <w:jc w:val="both"/>
        <w:rPr>
          <w:rFonts w:ascii="Arial" w:hAnsi="Arial" w:cs="Arial"/>
          <w:lang w:val="es-ES"/>
        </w:rPr>
      </w:pPr>
      <w:r w:rsidRPr="00993936">
        <w:rPr>
          <w:rFonts w:ascii="Arial" w:hAnsi="Arial" w:cs="Arial"/>
          <w:lang w:val="es-ES"/>
        </w:rPr>
        <w:t>10.3.1 Realizar los tratamientos fitosanitarios con velocidades de viento inferiores a los 10,8 kilómetros por hora.</w:t>
      </w:r>
    </w:p>
    <w:p w:rsidR="00503A41" w:rsidRPr="00993936" w:rsidRDefault="00503A41" w:rsidP="0009331F">
      <w:pPr>
        <w:pStyle w:val="Textoindependiente"/>
        <w:rPr>
          <w:rFonts w:cs="Arial"/>
          <w:szCs w:val="22"/>
          <w:lang w:val="es-ES"/>
        </w:rPr>
      </w:pPr>
      <w:r w:rsidRPr="00993936">
        <w:rPr>
          <w:rFonts w:cs="Arial"/>
          <w:szCs w:val="22"/>
          <w:lang w:val="es-ES"/>
        </w:rPr>
        <w:t>10.3.2 En caso de tratamientos fitosanitarios, alternar sustancias activas de los diferentes grupos químicos y mecanismos de acción, no realizando más de dos tratamientos consecutivos con la misma sustancia activa.</w:t>
      </w:r>
    </w:p>
    <w:p w:rsidR="00503A41" w:rsidRPr="00993936" w:rsidRDefault="00503A41" w:rsidP="0009331F">
      <w:pPr>
        <w:jc w:val="both"/>
        <w:rPr>
          <w:rFonts w:ascii="Arial" w:hAnsi="Arial" w:cs="Arial"/>
          <w:lang w:val="es-ES"/>
        </w:rPr>
      </w:pPr>
      <w:r w:rsidRPr="00993936">
        <w:rPr>
          <w:rFonts w:ascii="Arial" w:hAnsi="Arial" w:cs="Arial"/>
          <w:lang w:val="es-ES"/>
        </w:rPr>
        <w:t>10.3.3 No utilizar productos fitosanitarios con más de dos años desde la fecha de fabricación a menos que la etiqueta especifique un plazo inferior.</w:t>
      </w:r>
    </w:p>
    <w:p w:rsidR="00503A41" w:rsidRPr="00993936" w:rsidRDefault="00503A41" w:rsidP="0009331F">
      <w:pPr>
        <w:jc w:val="both"/>
        <w:rPr>
          <w:rFonts w:ascii="Arial" w:hAnsi="Arial" w:cs="Arial"/>
          <w:lang w:val="es-ES"/>
        </w:rPr>
      </w:pPr>
      <w:r w:rsidRPr="00993936">
        <w:rPr>
          <w:rFonts w:ascii="Arial" w:hAnsi="Arial" w:cs="Arial"/>
          <w:lang w:val="es-ES"/>
        </w:rPr>
        <w:t>10.3.4 Disponer en la explotación de zonas preparadas expresamente para llenar los cubos, lavar equipos y depositar los restos de caldos no utilizados, etc.</w:t>
      </w:r>
    </w:p>
    <w:p w:rsidR="00503A41" w:rsidRPr="00993936" w:rsidRDefault="00503A41" w:rsidP="0009331F">
      <w:pPr>
        <w:jc w:val="both"/>
        <w:rPr>
          <w:rFonts w:ascii="Arial" w:hAnsi="Arial" w:cs="Arial"/>
          <w:lang w:val="es-ES"/>
        </w:rPr>
      </w:pPr>
      <w:r w:rsidRPr="00993936">
        <w:rPr>
          <w:rFonts w:ascii="Arial" w:hAnsi="Arial" w:cs="Arial"/>
          <w:lang w:val="es-ES"/>
        </w:rPr>
        <w:t>10.3.5 Utilizar modelos de predicción de plagas y enfermedades, cuando los haya y estén contrastados en la zona de cultivo.</w:t>
      </w:r>
    </w:p>
    <w:p w:rsidR="00503A41" w:rsidRPr="00993936" w:rsidRDefault="00503A41" w:rsidP="0009331F">
      <w:pPr>
        <w:jc w:val="both"/>
        <w:rPr>
          <w:rFonts w:ascii="Arial" w:hAnsi="Arial" w:cs="Arial"/>
          <w:b/>
          <w:snapToGrid w:val="0"/>
          <w:lang w:val="es-ES"/>
        </w:rPr>
      </w:pPr>
      <w:r w:rsidRPr="00993936">
        <w:rPr>
          <w:rFonts w:ascii="Arial" w:hAnsi="Arial" w:cs="Arial"/>
          <w:snapToGrid w:val="0"/>
          <w:lang w:val="es-ES"/>
        </w:rPr>
        <w:t>10.3.6 Realizar la evaluación y el seguimiento de la fauna auxiliar presente en la finca.</w:t>
      </w:r>
    </w:p>
    <w:p w:rsidR="00503A41" w:rsidRPr="00993936" w:rsidRDefault="00503A41" w:rsidP="0009331F">
      <w:pPr>
        <w:jc w:val="both"/>
        <w:rPr>
          <w:rFonts w:ascii="Arial" w:hAnsi="Arial" w:cs="Arial"/>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11</w:t>
      </w:r>
    </w:p>
    <w:p w:rsidR="00503A41" w:rsidRPr="00993936" w:rsidRDefault="00503A41" w:rsidP="0009331F">
      <w:pPr>
        <w:jc w:val="both"/>
        <w:outlineLvl w:val="0"/>
        <w:rPr>
          <w:rFonts w:ascii="Arial" w:hAnsi="Arial" w:cs="Arial"/>
          <w:b/>
          <w:lang w:val="es-ES"/>
        </w:rPr>
      </w:pPr>
      <w:r w:rsidRPr="00993936">
        <w:rPr>
          <w:rFonts w:ascii="Arial" w:hAnsi="Arial" w:cs="Arial"/>
          <w:b/>
          <w:lang w:val="es-ES"/>
        </w:rPr>
        <w:t>Vendimia</w:t>
      </w:r>
    </w:p>
    <w:p w:rsidR="00503A41" w:rsidRPr="00993936" w:rsidRDefault="00503A41" w:rsidP="0009331F">
      <w:pPr>
        <w:jc w:val="both"/>
        <w:outlineLvl w:val="0"/>
        <w:rPr>
          <w:rFonts w:ascii="Arial" w:hAnsi="Arial" w:cs="Arial"/>
          <w:b/>
          <w:lang w:val="es-ES"/>
        </w:rPr>
      </w:pPr>
      <w:r w:rsidRPr="00993936">
        <w:rPr>
          <w:rFonts w:ascii="Arial" w:hAnsi="Arial" w:cs="Arial"/>
          <w:lang w:val="es-ES"/>
        </w:rPr>
        <w:t xml:space="preserve">11.1 </w:t>
      </w:r>
      <w:r w:rsidRPr="00993936">
        <w:rPr>
          <w:rFonts w:ascii="Arial" w:hAnsi="Arial" w:cs="Arial"/>
          <w:i/>
          <w:lang w:val="es-ES"/>
        </w:rPr>
        <w:t>Obligaciones</w:t>
      </w:r>
    </w:p>
    <w:p w:rsidR="00503A41" w:rsidRPr="00993936" w:rsidRDefault="00503A41" w:rsidP="0009331F">
      <w:pPr>
        <w:pStyle w:val="Textoindependiente"/>
        <w:rPr>
          <w:rFonts w:cs="Arial"/>
          <w:szCs w:val="22"/>
          <w:lang w:val="es-ES"/>
        </w:rPr>
      </w:pPr>
      <w:r w:rsidRPr="00993936">
        <w:rPr>
          <w:rFonts w:cs="Arial"/>
          <w:szCs w:val="22"/>
          <w:lang w:val="es-ES"/>
        </w:rPr>
        <w:lastRenderedPageBreak/>
        <w:t>11.1.1 Mantener el equipo de vendimia en condiciones adecuadas de utilización.</w:t>
      </w:r>
    </w:p>
    <w:p w:rsidR="00503A41" w:rsidRPr="00993936" w:rsidRDefault="00503A41" w:rsidP="0009331F">
      <w:pPr>
        <w:pStyle w:val="Textoindependiente"/>
        <w:rPr>
          <w:rFonts w:cs="Arial"/>
          <w:szCs w:val="22"/>
          <w:lang w:val="es-ES"/>
        </w:rPr>
      </w:pPr>
      <w:r w:rsidRPr="00993936">
        <w:rPr>
          <w:rFonts w:cs="Arial"/>
          <w:szCs w:val="22"/>
          <w:lang w:val="es-ES"/>
        </w:rPr>
        <w:t>11.1.2 Los operadores tendrán que recibir instrucciones básicas sobre higiene.</w:t>
      </w:r>
    </w:p>
    <w:p w:rsidR="00503A41" w:rsidRPr="00993936" w:rsidRDefault="00503A41" w:rsidP="0009331F">
      <w:pPr>
        <w:jc w:val="both"/>
        <w:rPr>
          <w:rFonts w:ascii="Arial" w:hAnsi="Arial" w:cs="Arial"/>
          <w:i/>
          <w:lang w:val="es-ES"/>
        </w:rPr>
      </w:pPr>
      <w:r w:rsidRPr="00993936">
        <w:rPr>
          <w:rFonts w:ascii="Arial" w:hAnsi="Arial" w:cs="Arial"/>
          <w:lang w:val="es-ES"/>
        </w:rPr>
        <w:t>11.1.3  Habrá que aportar información de la parcela de procedencia, de la variedad y del tipo de producción, los requisitos de trazabilidad.</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11.1.4 Se realizarán controles de maduración de la uva, para determinar el momento óptimo de vendimia.</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11.1.5 El nivel sanitario de la uva en el momento de la vendimia tendrá que ser el adecuado para el tipo de elaboración a que vaya destinado.</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11.1.6 El transporte de la uva en el centro de recogida se hará en el mínimo tiempo posible y en las mejores condiciones higiénicas, realizando la limpieza de los envases después de cada transporte.</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11.1.7 Habrá que limpiar esmeradamente la máquina de vendimiar después de cada uso.</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11.1.8 El transporte de la uva se hará en contenedores de material para uso alimentario.</w:t>
      </w:r>
    </w:p>
    <w:p w:rsidR="00503A41" w:rsidRPr="00993936" w:rsidRDefault="00503A41" w:rsidP="0009331F">
      <w:pPr>
        <w:jc w:val="both"/>
        <w:rPr>
          <w:rFonts w:ascii="Arial" w:hAnsi="Arial" w:cs="Arial"/>
          <w:lang w:val="es-ES"/>
        </w:rPr>
      </w:pPr>
      <w:r w:rsidRPr="00993936">
        <w:rPr>
          <w:rFonts w:ascii="Arial" w:hAnsi="Arial" w:cs="Arial"/>
          <w:lang w:val="es-ES"/>
        </w:rPr>
        <w:t>11.1.9 Todos los operadores que quieran comercializar productos con la identificación de garantía de producción integrada tomarán muestras durante la vendimia y/o elaboración para</w:t>
      </w:r>
      <w:r w:rsidRPr="00993936">
        <w:rPr>
          <w:rFonts w:ascii="Arial" w:hAnsi="Arial" w:cs="Arial"/>
          <w:vanish/>
          <w:lang w:val="es-ES"/>
        </w:rPr>
        <w:t>&lt;A[por|para]&gt;</w:t>
      </w:r>
      <w:r w:rsidRPr="00993936">
        <w:rPr>
          <w:rFonts w:ascii="Arial" w:hAnsi="Arial" w:cs="Arial"/>
          <w:lang w:val="es-ES"/>
        </w:rPr>
        <w:t xml:space="preserve"> analizar la posible presencia de residuos de productos fitosanitarios, de acuerdo con lo que establezcan los artículos 12 (f) y 13 (g) del Decreto 241/2002, y con el objetivo de garantizar que se han utilizado exclusivamente las materias activas seleccionadas en la estrategia de producción integrada, y que se cumple con lo que establece la legislación española en relación con los límites máximos de residuos </w:t>
      </w:r>
      <w:r w:rsidRPr="00993936">
        <w:rPr>
          <w:rFonts w:ascii="Arial" w:hAnsi="Arial" w:cs="Arial"/>
          <w:i/>
          <w:lang w:val="es-ES"/>
        </w:rPr>
        <w:t xml:space="preserve">(LMR) </w:t>
      </w:r>
      <w:r w:rsidRPr="00993936">
        <w:rPr>
          <w:rFonts w:ascii="Arial" w:hAnsi="Arial" w:cs="Arial"/>
          <w:lang w:val="es-ES"/>
        </w:rPr>
        <w:t>de productos fitosanitarios.</w:t>
      </w:r>
    </w:p>
    <w:p w:rsidR="00503A41" w:rsidRPr="00993936" w:rsidRDefault="00503A41" w:rsidP="0009331F">
      <w:pPr>
        <w:pStyle w:val="Textoindependiente"/>
        <w:rPr>
          <w:rFonts w:cs="Arial"/>
          <w:szCs w:val="22"/>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12</w:t>
      </w:r>
    </w:p>
    <w:p w:rsidR="00503A41" w:rsidRPr="00993936" w:rsidRDefault="00503A41" w:rsidP="0009331F">
      <w:pPr>
        <w:pStyle w:val="Ttulo2"/>
        <w:rPr>
          <w:rFonts w:ascii="Arial" w:hAnsi="Arial" w:cs="Arial"/>
          <w:b/>
          <w:color w:val="auto"/>
          <w:sz w:val="22"/>
          <w:szCs w:val="22"/>
          <w:lang w:val="es-ES"/>
        </w:rPr>
      </w:pPr>
      <w:r w:rsidRPr="00993936">
        <w:rPr>
          <w:rFonts w:ascii="Arial" w:hAnsi="Arial" w:cs="Arial"/>
          <w:b/>
          <w:color w:val="auto"/>
          <w:sz w:val="22"/>
          <w:szCs w:val="22"/>
          <w:lang w:val="es-ES"/>
        </w:rPr>
        <w:t>Cuaderno de explotación</w:t>
      </w:r>
    </w:p>
    <w:p w:rsidR="00503A41" w:rsidRPr="00993936" w:rsidRDefault="00503A41" w:rsidP="0009331F">
      <w:pPr>
        <w:jc w:val="both"/>
        <w:rPr>
          <w:rFonts w:ascii="Arial" w:hAnsi="Arial" w:cs="Arial"/>
          <w:i/>
          <w:lang w:val="es-ES"/>
        </w:rPr>
      </w:pPr>
      <w:r w:rsidRPr="00993936">
        <w:rPr>
          <w:rFonts w:ascii="Arial" w:hAnsi="Arial" w:cs="Arial"/>
          <w:i/>
          <w:lang w:val="es-ES"/>
        </w:rPr>
        <w:t>12.1 Obligaciones</w:t>
      </w:r>
    </w:p>
    <w:p w:rsidR="00503A41" w:rsidRPr="00993936" w:rsidRDefault="00503A41" w:rsidP="0009331F">
      <w:pPr>
        <w:jc w:val="both"/>
        <w:rPr>
          <w:rFonts w:ascii="Arial" w:hAnsi="Arial" w:cs="Arial"/>
          <w:lang w:val="es-ES"/>
        </w:rPr>
      </w:pPr>
      <w:r w:rsidRPr="00993936">
        <w:rPr>
          <w:rFonts w:ascii="Arial" w:hAnsi="Arial" w:cs="Arial"/>
          <w:lang w:val="es-ES"/>
        </w:rPr>
        <w:t xml:space="preserve">12.1.1 El modelo de Cuaderno de explotación es único con respecto al contenido de los datos a registrar, y será aprobado por el Departamento de Agricultura, Ganadería, Pesca y Alimentación. </w:t>
      </w:r>
    </w:p>
    <w:p w:rsidR="00503A41" w:rsidRPr="00993936" w:rsidRDefault="00503A41" w:rsidP="0009331F">
      <w:pPr>
        <w:jc w:val="both"/>
        <w:rPr>
          <w:rFonts w:ascii="Arial" w:hAnsi="Arial" w:cs="Arial"/>
          <w:lang w:val="es-ES"/>
        </w:rPr>
      </w:pPr>
      <w:r w:rsidRPr="00993936">
        <w:rPr>
          <w:rFonts w:ascii="Arial" w:hAnsi="Arial" w:cs="Arial"/>
          <w:lang w:val="es-ES"/>
        </w:rPr>
        <w:t>12.1.2 El productor de producción integrada, mediante su firma, se responsabilizará de la veracidad de las anotaciones realizadas en el Cuaderno de explotación.</w:t>
      </w:r>
    </w:p>
    <w:p w:rsidR="00503A41" w:rsidRPr="00993936" w:rsidRDefault="00503A41" w:rsidP="0009331F">
      <w:pPr>
        <w:pStyle w:val="Textoindependiente"/>
        <w:rPr>
          <w:rFonts w:cs="Arial"/>
          <w:szCs w:val="22"/>
          <w:lang w:val="es-ES"/>
        </w:rPr>
      </w:pPr>
      <w:r w:rsidRPr="00993936">
        <w:rPr>
          <w:rFonts w:cs="Arial"/>
          <w:szCs w:val="22"/>
          <w:lang w:val="es-ES"/>
        </w:rPr>
        <w:t>12.1.3 El Cuaderno de explotación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09331F">
      <w:pPr>
        <w:jc w:val="both"/>
        <w:rPr>
          <w:rFonts w:ascii="Arial" w:hAnsi="Arial" w:cs="Arial"/>
          <w:lang w:val="es-ES"/>
        </w:rPr>
      </w:pPr>
      <w:r w:rsidRPr="00993936">
        <w:rPr>
          <w:rFonts w:ascii="Arial" w:hAnsi="Arial" w:cs="Arial"/>
          <w:lang w:val="es-ES"/>
        </w:rPr>
        <w:t>12.1.4 El Cuaderno de explotación estará controlado y supervisado periódicamente por el técnico responsable de producción integrada y, a fin de que quede constancia, se registrará la fecha y la firma en cada revisión.</w:t>
      </w:r>
    </w:p>
    <w:p w:rsidR="00503A41" w:rsidRPr="00993936" w:rsidRDefault="00503A41" w:rsidP="0009331F">
      <w:pPr>
        <w:pStyle w:val="Textoindependiente"/>
        <w:rPr>
          <w:rFonts w:cs="Arial"/>
          <w:szCs w:val="22"/>
          <w:lang w:val="es-ES"/>
        </w:rPr>
      </w:pPr>
    </w:p>
    <w:p w:rsidR="00503A41" w:rsidRPr="00993936" w:rsidRDefault="00503A41" w:rsidP="0009331F">
      <w:pPr>
        <w:rPr>
          <w:rFonts w:ascii="Arial" w:hAnsi="Arial" w:cs="Arial"/>
          <w:lang w:val="es-ES"/>
        </w:rPr>
      </w:pPr>
    </w:p>
    <w:p w:rsidR="00503A41" w:rsidRPr="00993936" w:rsidRDefault="00503A41" w:rsidP="0009331F">
      <w:pPr>
        <w:spacing w:before="120"/>
        <w:jc w:val="both"/>
        <w:rPr>
          <w:rFonts w:ascii="Arial" w:hAnsi="Arial" w:cs="Arial"/>
          <w:b/>
          <w:lang w:val="es-ES"/>
        </w:rPr>
      </w:pPr>
      <w:r w:rsidRPr="00993936">
        <w:rPr>
          <w:rFonts w:ascii="Arial" w:hAnsi="Arial" w:cs="Arial"/>
          <w:b/>
          <w:lang w:val="es-ES"/>
        </w:rPr>
        <w:t>II.  INSTALACIONS, EQUIPOS, PERSONAL, TRANSPORTE Y ALMACENAMIENTO</w:t>
      </w:r>
    </w:p>
    <w:p w:rsidR="00503A41" w:rsidRPr="00993936" w:rsidRDefault="00503A41" w:rsidP="0009331F">
      <w:pPr>
        <w:pStyle w:val="NormalWeb"/>
        <w:spacing w:before="120" w:after="0"/>
        <w:jc w:val="both"/>
        <w:rPr>
          <w:rFonts w:ascii="Arial" w:hAnsi="Arial" w:cs="Arial"/>
          <w:sz w:val="22"/>
          <w:szCs w:val="22"/>
          <w:lang w:val="es-ES"/>
        </w:rPr>
      </w:pPr>
    </w:p>
    <w:p w:rsidR="00503A41" w:rsidRPr="00993936" w:rsidRDefault="00503A41" w:rsidP="0009331F">
      <w:pPr>
        <w:pStyle w:val="NormalWeb"/>
        <w:spacing w:before="120" w:after="0"/>
        <w:jc w:val="both"/>
        <w:rPr>
          <w:rFonts w:ascii="Arial" w:hAnsi="Arial" w:cs="Arial"/>
          <w:sz w:val="22"/>
          <w:szCs w:val="22"/>
          <w:lang w:val="es-ES"/>
        </w:rPr>
      </w:pPr>
      <w:r w:rsidRPr="00993936">
        <w:rPr>
          <w:rFonts w:ascii="Arial" w:hAnsi="Arial" w:cs="Arial"/>
          <w:sz w:val="22"/>
          <w:szCs w:val="22"/>
          <w:lang w:val="es-ES"/>
        </w:rPr>
        <w:lastRenderedPageBreak/>
        <w:t>Artículo 14</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Instalaciones</w:t>
      </w:r>
    </w:p>
    <w:p w:rsidR="00503A41" w:rsidRPr="00993936" w:rsidRDefault="00503A41" w:rsidP="0009331F">
      <w:pPr>
        <w:pStyle w:val="NormalWeb"/>
        <w:spacing w:after="0"/>
        <w:jc w:val="both"/>
        <w:rPr>
          <w:rFonts w:ascii="Arial" w:hAnsi="Arial" w:cs="Arial"/>
          <w:i/>
          <w:sz w:val="22"/>
          <w:szCs w:val="22"/>
          <w:lang w:val="es-ES"/>
        </w:rPr>
      </w:pPr>
      <w:r w:rsidRPr="00993936">
        <w:rPr>
          <w:rFonts w:ascii="Arial" w:hAnsi="Arial" w:cs="Arial"/>
          <w:i/>
          <w:sz w:val="22"/>
          <w:szCs w:val="22"/>
          <w:lang w:val="es-ES"/>
        </w:rPr>
        <w:t>14.1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14.1.1  Las instalaciones, incluidos los baños, los equipos y el entorno productivo deben estar en un estado de orden y de limpieza adecuado.</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14.1.2 Todas las instalaciones deben estar ventiladas, iluminadas y con sistemas de desagües adecuados para las actividades que desarrollen.</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14.1.3  Existirán zonas diferentes para el almacenamiento de productos y para los envases vacíos.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14.1.4  Los productos químicos deben estar almacenados en un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que se pueda cerrar y debidamente señalizado. El acceso al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de almacenamiento de productos químicos, así como su manipulación, sólo lo podrá realizar el personal designado por la persona operadora.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14.1.5  Los productos químicos almacenados deben estar etiquetados correctamente y autorizados para usar en la industria alimenticia.</w:t>
      </w:r>
    </w:p>
    <w:p w:rsidR="00503A41" w:rsidRPr="00993936" w:rsidRDefault="00503A41" w:rsidP="0009331F">
      <w:pPr>
        <w:pStyle w:val="Sangradetextonormal"/>
        <w:rPr>
          <w:rFonts w:cs="Arial"/>
          <w:szCs w:val="22"/>
          <w:lang w:val="es-ES"/>
        </w:rPr>
      </w:pPr>
    </w:p>
    <w:p w:rsidR="00503A41" w:rsidRPr="00993936" w:rsidRDefault="00503A41" w:rsidP="0009331F">
      <w:pPr>
        <w:pStyle w:val="Sangradetextonormal"/>
        <w:ind w:left="0"/>
        <w:rPr>
          <w:rFonts w:cs="Arial"/>
          <w:szCs w:val="22"/>
          <w:lang w:val="es-ES"/>
        </w:rPr>
      </w:pPr>
      <w:r w:rsidRPr="00993936">
        <w:rPr>
          <w:rFonts w:cs="Arial"/>
          <w:szCs w:val="22"/>
          <w:lang w:val="es-ES"/>
        </w:rPr>
        <w:t>Artículo 15</w:t>
      </w:r>
    </w:p>
    <w:p w:rsidR="00503A41" w:rsidRPr="00993936" w:rsidRDefault="00503A41" w:rsidP="0009331F">
      <w:pPr>
        <w:pStyle w:val="Sangradetextonormal"/>
        <w:ind w:left="0"/>
        <w:rPr>
          <w:rFonts w:cs="Arial"/>
          <w:b/>
          <w:szCs w:val="22"/>
          <w:lang w:val="es-ES"/>
        </w:rPr>
      </w:pPr>
      <w:r w:rsidRPr="00993936">
        <w:rPr>
          <w:rFonts w:cs="Arial"/>
          <w:b/>
          <w:szCs w:val="22"/>
          <w:lang w:val="es-ES"/>
        </w:rPr>
        <w:t>Higiene y mantenimiento de las instalaciones y equipos</w:t>
      </w:r>
    </w:p>
    <w:p w:rsidR="00503A41" w:rsidRPr="00993936" w:rsidRDefault="00503A41" w:rsidP="0009331F">
      <w:pPr>
        <w:pStyle w:val="Sangradetextonormal"/>
        <w:ind w:left="0"/>
        <w:rPr>
          <w:rFonts w:cs="Arial"/>
          <w:b/>
          <w:szCs w:val="22"/>
          <w:lang w:val="es-ES"/>
        </w:rPr>
      </w:pPr>
      <w:r w:rsidRPr="00993936">
        <w:rPr>
          <w:rFonts w:cs="Arial"/>
          <w:szCs w:val="22"/>
          <w:lang w:val="es-ES"/>
        </w:rPr>
        <w:t xml:space="preserve">15.1 </w:t>
      </w:r>
      <w:r w:rsidRPr="00993936">
        <w:rPr>
          <w:rFonts w:cs="Arial"/>
          <w:i/>
          <w:szCs w:val="22"/>
          <w:lang w:val="es-ES"/>
        </w:rPr>
        <w:t>Obligaciones</w:t>
      </w:r>
      <w:r w:rsidRPr="00993936">
        <w:rPr>
          <w:rFonts w:cs="Arial"/>
          <w:szCs w:val="22"/>
          <w:lang w:val="es-ES"/>
        </w:rPr>
        <w:t xml:space="preserve"> </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15.1.1 Cada persona operadora tiene que disponer de un plan</w:t>
      </w:r>
      <w:r w:rsidRPr="00993936">
        <w:rPr>
          <w:rFonts w:cs="Arial"/>
          <w:vanish/>
          <w:szCs w:val="22"/>
          <w:lang w:val="es-ES"/>
        </w:rPr>
        <w:t>&lt;A[plan|plano]&gt;</w:t>
      </w:r>
      <w:r w:rsidRPr="00993936">
        <w:rPr>
          <w:rFonts w:cs="Arial"/>
          <w:szCs w:val="22"/>
          <w:lang w:val="es-ES"/>
        </w:rPr>
        <w:t xml:space="preserve"> general de limpieza y de desinfección detallado de las instalaciones, los equipos el almacenamiento, con la finalidad que en todo momento estén en buen estado de conservación.  El plan</w:t>
      </w:r>
      <w:r w:rsidRPr="00993936">
        <w:rPr>
          <w:rFonts w:cs="Arial"/>
          <w:vanish/>
          <w:szCs w:val="22"/>
          <w:lang w:val="es-ES"/>
        </w:rPr>
        <w:t>&lt;A[plan|plano]&gt;</w:t>
      </w:r>
      <w:r w:rsidRPr="00993936">
        <w:rPr>
          <w:rFonts w:cs="Arial"/>
          <w:szCs w:val="22"/>
          <w:lang w:val="es-ES"/>
        </w:rPr>
        <w:t xml:space="preserve"> tendrá que prever:</w:t>
      </w:r>
    </w:p>
    <w:p w:rsidR="00503A41" w:rsidRPr="00993936" w:rsidRDefault="00503A41" w:rsidP="009D1A2D">
      <w:pPr>
        <w:pStyle w:val="Sangradetextonormal"/>
        <w:numPr>
          <w:ilvl w:val="0"/>
          <w:numId w:val="151"/>
        </w:numPr>
        <w:ind w:left="680"/>
        <w:jc w:val="both"/>
        <w:rPr>
          <w:rFonts w:cs="Arial"/>
          <w:szCs w:val="22"/>
          <w:lang w:val="es-ES"/>
        </w:rPr>
      </w:pPr>
      <w:r w:rsidRPr="00993936">
        <w:rPr>
          <w:rFonts w:cs="Arial"/>
          <w:szCs w:val="22"/>
          <w:lang w:val="es-ES"/>
        </w:rPr>
        <w:t>Las instalaciones se limpiarán y se desinfectarán al inicio de la campaña y al menos una vez al mes en el periodo de funcionamiento.</w:t>
      </w:r>
    </w:p>
    <w:p w:rsidR="00503A41" w:rsidRPr="00993936" w:rsidRDefault="00503A41" w:rsidP="009D1A2D">
      <w:pPr>
        <w:numPr>
          <w:ilvl w:val="0"/>
          <w:numId w:val="151"/>
        </w:numPr>
        <w:spacing w:after="0" w:line="240" w:lineRule="auto"/>
        <w:ind w:left="680"/>
        <w:jc w:val="both"/>
        <w:rPr>
          <w:rFonts w:ascii="Arial" w:hAnsi="Arial" w:cs="Arial"/>
          <w:lang w:val="es-ES"/>
        </w:rPr>
      </w:pPr>
      <w:r w:rsidRPr="00993936">
        <w:rPr>
          <w:rFonts w:ascii="Arial" w:hAnsi="Arial" w:cs="Arial"/>
          <w:lang w:val="es-ES"/>
        </w:rPr>
        <w:t>Los envases se limpiarán y desinfectarán como mínimo una vez al año.</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15.1.3 Evitar agujeros y ventanas e instalar elementos que impidan la entrada de insectos, pájaros y otros animales a las instalaciones.</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15.1.4 Las instalaciones, los equipos y las herramientas estarán en buen estado de conservación mediante un adecuado plan</w:t>
      </w:r>
      <w:r w:rsidRPr="00993936">
        <w:rPr>
          <w:rFonts w:cs="Arial"/>
          <w:vanish/>
          <w:szCs w:val="22"/>
          <w:lang w:val="es-ES"/>
        </w:rPr>
        <w:t>&lt;A[plan|plano]&gt;</w:t>
      </w:r>
      <w:r w:rsidRPr="00993936">
        <w:rPr>
          <w:rFonts w:cs="Arial"/>
          <w:szCs w:val="22"/>
          <w:lang w:val="es-ES"/>
        </w:rPr>
        <w:t xml:space="preserve"> de mantenimiento. </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15.1.5 La persona operadora tiene que tomar las medidas necesarias para evitar el contacto de los productos agrícolas y de las superficies con sustancias químicas, aguas no potables u objetos extraños.</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15.1.6 Los recipientes de evacuación de residuos serán exclusivamente para esta finalidad y se limpiarán periódicamente, de acuerdo con el plan</w:t>
      </w:r>
      <w:r w:rsidRPr="00993936">
        <w:rPr>
          <w:rFonts w:cs="Arial"/>
          <w:vanish/>
          <w:szCs w:val="22"/>
          <w:lang w:val="es-ES"/>
        </w:rPr>
        <w:t>&lt;A[plan|plano]&gt;</w:t>
      </w:r>
      <w:r w:rsidRPr="00993936">
        <w:rPr>
          <w:rFonts w:cs="Arial"/>
          <w:szCs w:val="22"/>
          <w:lang w:val="es-ES"/>
        </w:rPr>
        <w:t xml:space="preserve"> de limpieza establecido.</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 xml:space="preserve">15.2 </w:t>
      </w:r>
      <w:r w:rsidRPr="00993936">
        <w:rPr>
          <w:rFonts w:cs="Arial"/>
          <w:i/>
          <w:szCs w:val="22"/>
          <w:lang w:val="es-ES"/>
        </w:rPr>
        <w:t>Prohibiciones</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15.2.1</w:t>
      </w:r>
      <w:r w:rsidRPr="00993936">
        <w:rPr>
          <w:rFonts w:cs="Arial"/>
          <w:b/>
          <w:szCs w:val="22"/>
          <w:lang w:val="es-ES"/>
        </w:rPr>
        <w:t xml:space="preserve"> </w:t>
      </w:r>
      <w:r w:rsidRPr="00993936">
        <w:rPr>
          <w:rFonts w:cs="Arial"/>
          <w:szCs w:val="22"/>
          <w:lang w:val="es-ES"/>
        </w:rPr>
        <w:t>Utilizar carretillas</w:t>
      </w:r>
      <w:r w:rsidRPr="00993936">
        <w:rPr>
          <w:rFonts w:cs="Arial"/>
          <w:vanish/>
          <w:szCs w:val="22"/>
          <w:lang w:val="es-ES"/>
        </w:rPr>
        <w:t>&lt;A[carretillas|carretones]&gt;</w:t>
      </w:r>
      <w:r w:rsidRPr="00993936">
        <w:rPr>
          <w:rFonts w:cs="Arial"/>
          <w:szCs w:val="22"/>
          <w:lang w:val="es-ES"/>
        </w:rPr>
        <w:t xml:space="preserve"> elevadoras de gasóleo dentro de la bodega.</w:t>
      </w:r>
    </w:p>
    <w:p w:rsidR="00503A41" w:rsidRPr="00993936" w:rsidRDefault="00503A41" w:rsidP="0009331F">
      <w:pPr>
        <w:pStyle w:val="Ttulo2"/>
        <w:rPr>
          <w:rFonts w:ascii="Arial" w:hAnsi="Arial" w:cs="Arial"/>
          <w:b/>
          <w:color w:val="auto"/>
          <w:szCs w:val="22"/>
          <w:lang w:val="es-ES"/>
        </w:rPr>
      </w:pPr>
    </w:p>
    <w:p w:rsidR="00503A41" w:rsidRPr="00993936" w:rsidRDefault="00503A41" w:rsidP="0009331F">
      <w:pPr>
        <w:pStyle w:val="Ttulo2"/>
        <w:rPr>
          <w:rFonts w:ascii="Arial" w:hAnsi="Arial" w:cs="Arial"/>
          <w:color w:val="auto"/>
          <w:sz w:val="22"/>
          <w:szCs w:val="22"/>
          <w:lang w:val="es-ES"/>
        </w:rPr>
      </w:pPr>
      <w:r w:rsidRPr="00993936">
        <w:rPr>
          <w:rFonts w:ascii="Arial" w:hAnsi="Arial" w:cs="Arial"/>
          <w:color w:val="auto"/>
          <w:sz w:val="22"/>
          <w:szCs w:val="22"/>
          <w:lang w:val="es-ES"/>
        </w:rPr>
        <w:t>Artículo 16</w:t>
      </w:r>
    </w:p>
    <w:p w:rsidR="00503A41" w:rsidRPr="00993936" w:rsidRDefault="00503A41" w:rsidP="0009331F">
      <w:pPr>
        <w:jc w:val="both"/>
        <w:outlineLvl w:val="0"/>
        <w:rPr>
          <w:rFonts w:ascii="Arial" w:hAnsi="Arial" w:cs="Arial"/>
          <w:b/>
          <w:snapToGrid w:val="0"/>
          <w:lang w:val="es-ES"/>
        </w:rPr>
      </w:pPr>
      <w:r w:rsidRPr="00993936">
        <w:rPr>
          <w:rFonts w:ascii="Arial" w:hAnsi="Arial" w:cs="Arial"/>
          <w:b/>
          <w:snapToGrid w:val="0"/>
          <w:lang w:val="es-ES"/>
        </w:rPr>
        <w:t xml:space="preserve">Equipos de tratamientos </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 xml:space="preserve">16.1 </w:t>
      </w:r>
      <w:r w:rsidRPr="00993936">
        <w:rPr>
          <w:rFonts w:ascii="Arial" w:hAnsi="Arial" w:cs="Arial"/>
          <w:i/>
          <w:snapToGrid w:val="0"/>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16.1.1 La maquinaria utilizada para los tratamientos fitosanitarios, abonos</w:t>
      </w:r>
      <w:r w:rsidRPr="00993936">
        <w:rPr>
          <w:rFonts w:ascii="Arial" w:hAnsi="Arial" w:cs="Arial"/>
          <w:vanish/>
          <w:lang w:val="es-ES"/>
        </w:rPr>
        <w:t>&lt;A[abonos|adobos]&gt;</w:t>
      </w:r>
      <w:r w:rsidRPr="00993936">
        <w:rPr>
          <w:rFonts w:ascii="Arial" w:hAnsi="Arial" w:cs="Arial"/>
          <w:lang w:val="es-ES"/>
        </w:rPr>
        <w:t xml:space="preserve"> foliares y otros similares tiene que estar en buen estado de funcionamiento y someterse a una revisión y calibración periódica. La persona operadora tiene que realizar una revisión y una calibración cada año validada por el/la técnico/a responsable de producción integrada, y además una vez cada cuatro años tiene que ser inspeccionada por un centro oficial o reconocido, de conformidad con las disposiciones vigentes en materia. La revisión se efectuará de conformidad </w:t>
      </w:r>
      <w:r w:rsidRPr="00993936">
        <w:rPr>
          <w:rFonts w:ascii="Arial" w:hAnsi="Arial" w:cs="Arial"/>
          <w:snapToGrid w:val="0"/>
          <w:lang w:val="es-ES"/>
        </w:rPr>
        <w:t>con las normas de inspección de pulverizadores EN 13790/1 y 2, de seguridad UNE-EN-907 y de protección medioambiental UNO-EN 12761/1,2 y 3</w:t>
      </w:r>
      <w:r w:rsidRPr="00993936">
        <w:rPr>
          <w:rFonts w:ascii="Arial" w:hAnsi="Arial" w:cs="Arial"/>
          <w:lang w:val="es-ES"/>
        </w:rPr>
        <w:t>.</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En caso de contratar servicios externos, la persona productora les exigirá estar al corriente de las inspecciones y las calibraciones estipuladas a la legislación vigente de aplicación.</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16.1.2 Antes de cada tratamiento será necesario regular la máquina en función del estado de la plantación o cultivo y de la plaga o enfermedad a combatir.</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16.1.3 Utilizar maquinaria correctamente adaptada a la aplicación de herbicidas en la línea de la plantación.</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16.1.4 Realizar revisiones periódicas de los elementos de protección y seguridad de los equipos de tratamiento, procurando un buen mantenimiento y una calibración precisa.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16.1.5  Cuando los equipos no se utilicen se deben mantener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no deben contener productos fitosanitarios.</w:t>
      </w:r>
    </w:p>
    <w:p w:rsidR="00503A41" w:rsidRPr="00993936" w:rsidRDefault="00503A41" w:rsidP="0009331F">
      <w:pPr>
        <w:pStyle w:val="NormalWeb"/>
        <w:spacing w:after="0"/>
        <w:jc w:val="both"/>
        <w:rPr>
          <w:rFonts w:ascii="Arial" w:hAnsi="Arial" w:cs="Arial"/>
          <w:sz w:val="22"/>
          <w:szCs w:val="22"/>
          <w:lang w:val="es-ES"/>
        </w:rPr>
      </w:pPr>
    </w:p>
    <w:p w:rsidR="00503A41" w:rsidRPr="00993936" w:rsidRDefault="00503A41" w:rsidP="0009331F">
      <w:pPr>
        <w:jc w:val="both"/>
        <w:outlineLvl w:val="0"/>
        <w:rPr>
          <w:rFonts w:ascii="Arial" w:hAnsi="Arial" w:cs="Arial"/>
          <w:snapToGrid w:val="0"/>
          <w:lang w:val="es-ES"/>
        </w:rPr>
      </w:pPr>
      <w:r w:rsidRPr="00993936">
        <w:rPr>
          <w:rFonts w:ascii="Arial" w:hAnsi="Arial" w:cs="Arial"/>
          <w:snapToGrid w:val="0"/>
          <w:lang w:val="es-ES"/>
        </w:rPr>
        <w:t xml:space="preserve">16.2 </w:t>
      </w:r>
      <w:r w:rsidRPr="00993936">
        <w:rPr>
          <w:rFonts w:ascii="Arial" w:hAnsi="Arial" w:cs="Arial"/>
          <w:i/>
          <w:snapToGrid w:val="0"/>
          <w:lang w:val="es-ES"/>
        </w:rPr>
        <w:t>Prohibiciones</w:t>
      </w:r>
    </w:p>
    <w:p w:rsidR="00503A41" w:rsidRPr="00993936" w:rsidRDefault="00503A41" w:rsidP="0009331F">
      <w:pPr>
        <w:jc w:val="both"/>
        <w:outlineLvl w:val="0"/>
        <w:rPr>
          <w:rFonts w:ascii="Arial" w:hAnsi="Arial" w:cs="Arial"/>
          <w:snapToGrid w:val="0"/>
          <w:lang w:val="es-ES"/>
        </w:rPr>
      </w:pPr>
      <w:r w:rsidRPr="00993936">
        <w:rPr>
          <w:rFonts w:ascii="Arial" w:hAnsi="Arial" w:cs="Arial"/>
          <w:snapToGrid w:val="0"/>
          <w:lang w:val="es-ES"/>
        </w:rPr>
        <w:t>16.2.1 La utilización de equipos de tratamientos que tengan carencias graves en elementos de seguridad, de protección y de funcionamiento.</w:t>
      </w:r>
    </w:p>
    <w:p w:rsidR="00503A41" w:rsidRPr="00993936" w:rsidRDefault="00503A41" w:rsidP="0009331F">
      <w:pPr>
        <w:jc w:val="both"/>
        <w:outlineLvl w:val="0"/>
        <w:rPr>
          <w:rFonts w:ascii="Arial" w:hAnsi="Arial" w:cs="Arial"/>
          <w:snapToGrid w:val="0"/>
          <w:lang w:val="es-ES"/>
        </w:rPr>
      </w:pPr>
      <w:r w:rsidRPr="00993936">
        <w:rPr>
          <w:rFonts w:ascii="Arial" w:hAnsi="Arial" w:cs="Arial"/>
          <w:snapToGrid w:val="0"/>
          <w:lang w:val="es-ES"/>
        </w:rPr>
        <w:t xml:space="preserve">16.3 </w:t>
      </w:r>
      <w:r w:rsidRPr="00993936">
        <w:rPr>
          <w:rFonts w:ascii="Arial" w:hAnsi="Arial" w:cs="Arial"/>
          <w:i/>
          <w:snapToGrid w:val="0"/>
          <w:lang w:val="es-ES"/>
        </w:rPr>
        <w:t>Recomendaciones</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16.3.1 Los pulverizadores nuevos corresponderán a modelos certificados del Programa de Control de Características de Maquinaria de Tratamientos del Departamento de Agricultura, Ganadería, Pesca y Alimentación, o por otros programas oficiales de control.</w:t>
      </w:r>
    </w:p>
    <w:p w:rsidR="00503A41" w:rsidRPr="00993936" w:rsidRDefault="00503A41" w:rsidP="0009331F">
      <w:pPr>
        <w:jc w:val="both"/>
        <w:rPr>
          <w:rFonts w:ascii="Arial" w:hAnsi="Arial" w:cs="Arial"/>
          <w:lang w:val="es-ES"/>
        </w:rPr>
      </w:pP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17 </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Equipos de protección</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sz w:val="22"/>
          <w:szCs w:val="22"/>
          <w:lang w:val="es-ES"/>
        </w:rPr>
        <w:t>17.1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17.1.1 La persona que manipule los productos fitosanitarios tiene que utilizar un equipo adecuado para la protección personal, de acuerdo con la legislación vigente de aplicación y las indicaciones de las etiquetas de cada producto.</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17.1.2 La ropa y el equipo se almacenarán de manera que no entren en contacto con los productos fitosanitarios.</w:t>
      </w:r>
    </w:p>
    <w:p w:rsidR="00503A41" w:rsidRPr="00993936" w:rsidRDefault="00503A41" w:rsidP="0009331F">
      <w:pPr>
        <w:jc w:val="both"/>
        <w:rPr>
          <w:rFonts w:ascii="Arial" w:hAnsi="Arial" w:cs="Arial"/>
          <w:lang w:val="es-ES"/>
        </w:rPr>
      </w:pPr>
    </w:p>
    <w:p w:rsidR="00503A41" w:rsidRPr="00993936" w:rsidRDefault="00503A41" w:rsidP="0009331F">
      <w:pPr>
        <w:pStyle w:val="Sangradetextonormal"/>
        <w:ind w:left="0"/>
        <w:rPr>
          <w:rFonts w:cs="Arial"/>
          <w:szCs w:val="22"/>
          <w:lang w:val="es-ES"/>
        </w:rPr>
      </w:pPr>
      <w:r w:rsidRPr="00993936">
        <w:rPr>
          <w:rFonts w:cs="Arial"/>
          <w:szCs w:val="22"/>
          <w:lang w:val="es-ES"/>
        </w:rPr>
        <w:t>Artículo 18</w:t>
      </w:r>
    </w:p>
    <w:p w:rsidR="00503A41" w:rsidRPr="00993936" w:rsidRDefault="00503A41" w:rsidP="0009331F">
      <w:pPr>
        <w:pStyle w:val="Sangradetextonormal"/>
        <w:ind w:left="0"/>
        <w:rPr>
          <w:rFonts w:cs="Arial"/>
          <w:b/>
          <w:szCs w:val="22"/>
          <w:lang w:val="es-ES"/>
        </w:rPr>
      </w:pPr>
      <w:r w:rsidRPr="00993936">
        <w:rPr>
          <w:rFonts w:cs="Arial"/>
          <w:b/>
          <w:szCs w:val="22"/>
          <w:lang w:val="es-ES"/>
        </w:rPr>
        <w:t xml:space="preserve">Personal </w:t>
      </w:r>
    </w:p>
    <w:p w:rsidR="00503A41" w:rsidRPr="00993936" w:rsidRDefault="00503A41" w:rsidP="0009331F">
      <w:pPr>
        <w:pStyle w:val="Sangradetextonormal"/>
        <w:ind w:left="0"/>
        <w:jc w:val="both"/>
        <w:rPr>
          <w:rFonts w:cs="Arial"/>
          <w:i/>
          <w:szCs w:val="22"/>
          <w:lang w:val="es-ES"/>
        </w:rPr>
      </w:pPr>
      <w:r w:rsidRPr="00993936">
        <w:rPr>
          <w:rFonts w:cs="Arial"/>
          <w:szCs w:val="22"/>
          <w:lang w:val="es-ES"/>
        </w:rPr>
        <w:t xml:space="preserve">18.1 </w:t>
      </w:r>
      <w:r w:rsidRPr="00993936">
        <w:rPr>
          <w:rFonts w:cs="Arial"/>
          <w:i/>
          <w:szCs w:val="22"/>
          <w:lang w:val="es-ES"/>
        </w:rPr>
        <w:t>Obligaciones</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18.1.1 Dar instrucciones los trabajadores y las trabajadoras que, en caso de sufrir enfermedades de transmisión alimenticia, o estar afectados, entre otras patologías, de heridas infectadas, infecciones cutáneas o diarreas, deben informar a la dirección.</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18.1.2 Documentar los procedimientos de actuación en caso de accidentes o de emergencias de forma que sean comprensibles para las personas afectadas.</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18.1.3  Disponer de botiquines de primeros auxilios accesibles para los trabajadores.</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18.1.4  Fomentar la formación del personal del almacén en materia de buenas prácticas de higiene y seguridad alimenticia, y conservar un registro de las actividades formativas que ha impartido la persona operadora o una entidad externa autorizada.</w:t>
      </w:r>
    </w:p>
    <w:p w:rsidR="00503A41" w:rsidRPr="00993936" w:rsidRDefault="00503A41" w:rsidP="0009331F">
      <w:pPr>
        <w:pStyle w:val="Sangradetextonormal"/>
        <w:ind w:left="0"/>
        <w:jc w:val="both"/>
        <w:rPr>
          <w:rFonts w:cs="Arial"/>
          <w:szCs w:val="22"/>
          <w:lang w:val="es-ES"/>
        </w:rPr>
      </w:pPr>
      <w:r w:rsidRPr="00993936">
        <w:rPr>
          <w:rFonts w:cs="Arial"/>
          <w:szCs w:val="22"/>
          <w:lang w:val="es-ES"/>
        </w:rPr>
        <w:t>18.1.5  Elaborar instrucciones para sus trabajadores en las cuales se consideren los aspectos higiénicos que se deben respetar en cada puesto de trabajo, y de acuerdo con las características de la explotación.</w:t>
      </w:r>
    </w:p>
    <w:p w:rsidR="00503A41" w:rsidRPr="00993936" w:rsidRDefault="00503A41" w:rsidP="0009331F">
      <w:pPr>
        <w:pStyle w:val="Sangradetextonormal"/>
        <w:ind w:left="0"/>
        <w:jc w:val="both"/>
        <w:rPr>
          <w:rFonts w:cs="Arial"/>
          <w:szCs w:val="22"/>
          <w:lang w:val="es-ES"/>
        </w:rPr>
      </w:pPr>
      <w:r w:rsidRPr="00993936">
        <w:rPr>
          <w:rFonts w:cs="Arial"/>
          <w:szCs w:val="22"/>
          <w:lang w:val="es-ES"/>
        </w:rPr>
        <w:lastRenderedPageBreak/>
        <w:t>18.1.6 Disponer de un Plan</w:t>
      </w:r>
      <w:r w:rsidRPr="00993936">
        <w:rPr>
          <w:rFonts w:cs="Arial"/>
          <w:vanish/>
          <w:szCs w:val="22"/>
          <w:lang w:val="es-ES"/>
        </w:rPr>
        <w:t>&lt;A[Plan|Plano]&gt;</w:t>
      </w:r>
      <w:r w:rsidRPr="00993936">
        <w:rPr>
          <w:rFonts w:cs="Arial"/>
          <w:szCs w:val="22"/>
          <w:lang w:val="es-ES"/>
        </w:rPr>
        <w:t xml:space="preserve"> de prevención de riesgos laborales y un Plan</w:t>
      </w:r>
      <w:r w:rsidRPr="00993936">
        <w:rPr>
          <w:rFonts w:cs="Arial"/>
          <w:vanish/>
          <w:szCs w:val="22"/>
          <w:lang w:val="es-ES"/>
        </w:rPr>
        <w:t>&lt;A[Plan|Plano]&gt;</w:t>
      </w:r>
      <w:r w:rsidRPr="00993936">
        <w:rPr>
          <w:rFonts w:cs="Arial"/>
          <w:szCs w:val="22"/>
          <w:lang w:val="es-ES"/>
        </w:rPr>
        <w:t xml:space="preserve"> de APPCC (Análisis de Peligros y Puntos de Control Crítico) implantado y aprobado, si procede</w:t>
      </w:r>
      <w:r w:rsidRPr="00993936">
        <w:rPr>
          <w:rFonts w:cs="Arial"/>
          <w:vanish/>
          <w:szCs w:val="22"/>
          <w:lang w:val="es-ES"/>
        </w:rPr>
        <w:t>&lt;A[pega|ocurre]&gt;</w:t>
      </w:r>
      <w:r w:rsidRPr="00993936">
        <w:rPr>
          <w:rFonts w:cs="Arial"/>
          <w:szCs w:val="22"/>
          <w:lang w:val="es-ES"/>
        </w:rPr>
        <w:t xml:space="preserve">, por la autoridad competente. </w:t>
      </w:r>
    </w:p>
    <w:p w:rsidR="00503A41" w:rsidRPr="00993936" w:rsidRDefault="00503A41" w:rsidP="0009331F">
      <w:pPr>
        <w:pStyle w:val="NormalWeb"/>
        <w:spacing w:after="0"/>
        <w:jc w:val="both"/>
        <w:rPr>
          <w:rFonts w:ascii="Arial" w:hAnsi="Arial" w:cs="Arial"/>
          <w:sz w:val="22"/>
          <w:szCs w:val="22"/>
          <w:lang w:val="es-ES"/>
        </w:rPr>
      </w:pP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19 </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Transporte de la uva y contenedores</w:t>
      </w:r>
    </w:p>
    <w:p w:rsidR="00503A41" w:rsidRPr="00993936" w:rsidRDefault="00503A41" w:rsidP="0009331F">
      <w:pPr>
        <w:pStyle w:val="NormalWeb"/>
        <w:spacing w:after="0"/>
        <w:jc w:val="both"/>
        <w:rPr>
          <w:rFonts w:ascii="Arial" w:hAnsi="Arial" w:cs="Arial"/>
          <w:i/>
          <w:sz w:val="22"/>
          <w:szCs w:val="22"/>
          <w:lang w:val="es-ES"/>
        </w:rPr>
      </w:pPr>
      <w:r w:rsidRPr="00993936">
        <w:rPr>
          <w:rFonts w:ascii="Arial" w:hAnsi="Arial" w:cs="Arial"/>
          <w:i/>
          <w:sz w:val="22"/>
          <w:szCs w:val="22"/>
          <w:lang w:val="es-ES"/>
        </w:rPr>
        <w:t>19.1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19.1.1  Los receptáculos y contenedores de los vehículos utilizados para transportar la uva para vinificación deben estar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en condiciones adecuadas de mantenimiento, para protegerlos de la contaminación. Su forma y composición deben permitir una limpieza y desinfección adecuadas.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19.1.2  Cuando se utilizan los receptáculos de vehículos o contenedores para transportar una carga diferente de productos vegetales o de productos alimentarios, se tiene que proceder a una limpieza eficaz entre las cargas para evitar el riesgo de contaminación.</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19.1.3 Conservar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los recipientes utilizados para transportar y recolectar la uva para vinificación y desinfectarlos cuando haga falta.</w:t>
      </w:r>
    </w:p>
    <w:p w:rsidR="00503A41" w:rsidRPr="00993936" w:rsidRDefault="00503A41" w:rsidP="0009331F">
      <w:pPr>
        <w:pStyle w:val="NormalWeb"/>
        <w:spacing w:after="0"/>
        <w:jc w:val="both"/>
        <w:rPr>
          <w:rFonts w:ascii="Arial" w:hAnsi="Arial" w:cs="Arial"/>
          <w:sz w:val="22"/>
          <w:szCs w:val="22"/>
          <w:lang w:val="es-ES"/>
        </w:rPr>
      </w:pPr>
    </w:p>
    <w:p w:rsidR="00503A41" w:rsidRPr="00993936" w:rsidRDefault="00503A41" w:rsidP="0009331F">
      <w:pPr>
        <w:pStyle w:val="Ttulo2"/>
        <w:rPr>
          <w:rFonts w:ascii="Arial" w:hAnsi="Arial" w:cs="Arial"/>
          <w:b/>
          <w:color w:val="auto"/>
          <w:sz w:val="22"/>
          <w:szCs w:val="22"/>
          <w:lang w:val="es-ES"/>
        </w:rPr>
      </w:pPr>
      <w:r w:rsidRPr="00993936">
        <w:rPr>
          <w:rFonts w:ascii="Arial" w:hAnsi="Arial" w:cs="Arial"/>
          <w:b/>
          <w:color w:val="auto"/>
          <w:sz w:val="22"/>
          <w:szCs w:val="22"/>
          <w:lang w:val="es-ES"/>
        </w:rPr>
        <w:t>Artículo 20</w:t>
      </w:r>
    </w:p>
    <w:p w:rsidR="00503A41" w:rsidRPr="00993936" w:rsidRDefault="00503A41" w:rsidP="0009331F">
      <w:pPr>
        <w:pStyle w:val="Ttulo2"/>
        <w:rPr>
          <w:rFonts w:ascii="Arial" w:hAnsi="Arial" w:cs="Arial"/>
          <w:color w:val="auto"/>
          <w:sz w:val="22"/>
          <w:szCs w:val="22"/>
          <w:lang w:val="es-ES"/>
        </w:rPr>
      </w:pPr>
      <w:r w:rsidRPr="00993936">
        <w:rPr>
          <w:rFonts w:ascii="Arial" w:hAnsi="Arial" w:cs="Arial"/>
          <w:color w:val="auto"/>
          <w:sz w:val="22"/>
          <w:szCs w:val="22"/>
          <w:lang w:val="es-ES"/>
        </w:rPr>
        <w:t>Almacenamiento de productos fitosanitarios y fertilizantes</w:t>
      </w:r>
    </w:p>
    <w:p w:rsidR="00503A41" w:rsidRPr="00993936" w:rsidRDefault="00503A41" w:rsidP="0009331F">
      <w:pPr>
        <w:jc w:val="both"/>
        <w:rPr>
          <w:rFonts w:ascii="Arial" w:hAnsi="Arial" w:cs="Arial"/>
          <w:i/>
          <w:lang w:val="es-ES"/>
        </w:rPr>
      </w:pPr>
      <w:r w:rsidRPr="00993936">
        <w:rPr>
          <w:rFonts w:ascii="Arial" w:hAnsi="Arial" w:cs="Arial"/>
          <w:lang w:val="es-ES"/>
        </w:rPr>
        <w:t xml:space="preserve">20.1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 xml:space="preserve">20.1.1 </w:t>
      </w:r>
      <w:r w:rsidRPr="00993936">
        <w:rPr>
          <w:rFonts w:ascii="Arial" w:hAnsi="Arial" w:cs="Arial"/>
          <w:i/>
          <w:u w:val="single"/>
          <w:lang w:val="es-ES"/>
        </w:rPr>
        <w:t>Condiciones de almacenamiento:</w:t>
      </w:r>
    </w:p>
    <w:p w:rsidR="00503A41" w:rsidRPr="00993936" w:rsidRDefault="00503A41" w:rsidP="0009331F">
      <w:pPr>
        <w:jc w:val="both"/>
        <w:rPr>
          <w:rFonts w:ascii="Arial" w:hAnsi="Arial" w:cs="Arial"/>
          <w:lang w:val="es-ES"/>
        </w:rPr>
      </w:pPr>
      <w:r w:rsidRPr="00993936">
        <w:rPr>
          <w:rFonts w:ascii="Arial" w:hAnsi="Arial" w:cs="Arial"/>
          <w:lang w:val="es-ES"/>
        </w:rPr>
        <w:t>20.1.1.1 Los productos fitosanitarios y fertilizantes tendrán que almacenarse en un lugar</w:t>
      </w:r>
      <w:r w:rsidRPr="00993936">
        <w:rPr>
          <w:rFonts w:ascii="Arial" w:hAnsi="Arial" w:cs="Arial"/>
          <w:vanish/>
          <w:lang w:val="es-ES"/>
        </w:rPr>
        <w:t>&lt;A[lugar|sitio]&gt;</w:t>
      </w:r>
      <w:r w:rsidRPr="00993936">
        <w:rPr>
          <w:rFonts w:ascii="Arial" w:hAnsi="Arial" w:cs="Arial"/>
          <w:lang w:val="es-ES"/>
        </w:rPr>
        <w:t xml:space="preserve"> cerrado, separados del material vegetal y de los productos frescos, para evitar cualquier riesgo de contaminación. </w:t>
      </w:r>
    </w:p>
    <w:p w:rsidR="00503A41" w:rsidRPr="00993936" w:rsidRDefault="00503A41" w:rsidP="0009331F">
      <w:pPr>
        <w:jc w:val="both"/>
        <w:rPr>
          <w:rFonts w:ascii="Arial" w:hAnsi="Arial" w:cs="Arial"/>
          <w:lang w:val="es-ES"/>
        </w:rPr>
      </w:pPr>
      <w:r w:rsidRPr="00993936">
        <w:rPr>
          <w:rFonts w:ascii="Arial" w:hAnsi="Arial" w:cs="Arial"/>
          <w:lang w:val="es-ES"/>
        </w:rPr>
        <w:t>20.1.1.2 El almacén dispondrá de llave y ventilación permanente y suficiente</w:t>
      </w:r>
    </w:p>
    <w:p w:rsidR="00503A41" w:rsidRPr="00993936" w:rsidRDefault="00503A41" w:rsidP="0009331F">
      <w:pPr>
        <w:jc w:val="both"/>
        <w:rPr>
          <w:rFonts w:ascii="Arial" w:hAnsi="Arial" w:cs="Arial"/>
          <w:lang w:val="es-ES"/>
        </w:rPr>
      </w:pPr>
      <w:r w:rsidRPr="00993936">
        <w:rPr>
          <w:rFonts w:ascii="Arial" w:hAnsi="Arial" w:cs="Arial"/>
          <w:lang w:val="es-ES"/>
        </w:rPr>
        <w:t>20.1.1.3  El almacén debe disponer de medios para retener posibles derrames</w:t>
      </w:r>
      <w:r w:rsidRPr="00993936">
        <w:rPr>
          <w:rFonts w:ascii="Arial" w:hAnsi="Arial" w:cs="Arial"/>
          <w:vanish/>
          <w:lang w:val="es-ES"/>
        </w:rPr>
        <w:t>&lt;A[derrames|vertidos]&gt;</w:t>
      </w:r>
      <w:r w:rsidRPr="00993936">
        <w:rPr>
          <w:rFonts w:ascii="Arial" w:hAnsi="Arial" w:cs="Arial"/>
          <w:lang w:val="es-ES"/>
        </w:rPr>
        <w:t xml:space="preserve"> accidentales.</w:t>
      </w:r>
    </w:p>
    <w:p w:rsidR="00503A41" w:rsidRPr="00993936" w:rsidRDefault="00503A41" w:rsidP="0009331F">
      <w:pPr>
        <w:jc w:val="both"/>
        <w:rPr>
          <w:rFonts w:ascii="Arial" w:hAnsi="Arial" w:cs="Arial"/>
          <w:lang w:val="es-ES"/>
        </w:rPr>
      </w:pPr>
      <w:r w:rsidRPr="00993936">
        <w:rPr>
          <w:rFonts w:ascii="Arial" w:hAnsi="Arial" w:cs="Arial"/>
          <w:lang w:val="es-ES"/>
        </w:rPr>
        <w:t>20.1.1.4 El lugar</w:t>
      </w:r>
      <w:r w:rsidRPr="00993936">
        <w:rPr>
          <w:rFonts w:ascii="Arial" w:hAnsi="Arial" w:cs="Arial"/>
          <w:vanish/>
          <w:lang w:val="es-ES"/>
        </w:rPr>
        <w:t>&lt;A[lugar|sitio]&gt;</w:t>
      </w:r>
      <w:r w:rsidRPr="00993936">
        <w:rPr>
          <w:rFonts w:ascii="Arial" w:hAnsi="Arial" w:cs="Arial"/>
          <w:lang w:val="es-ES"/>
        </w:rPr>
        <w:t xml:space="preserve"> de almanenamiento tiene que estar debidamente señalado haciendo especial insistencia en la prohibición de acceso a personas no autorizadas.</w:t>
      </w:r>
    </w:p>
    <w:p w:rsidR="00503A41" w:rsidRPr="00993936" w:rsidRDefault="00503A41" w:rsidP="0009331F">
      <w:pPr>
        <w:jc w:val="both"/>
        <w:rPr>
          <w:rFonts w:ascii="Arial" w:hAnsi="Arial" w:cs="Arial"/>
          <w:lang w:val="es-ES"/>
        </w:rPr>
      </w:pPr>
      <w:r w:rsidRPr="00993936">
        <w:rPr>
          <w:rFonts w:ascii="Arial" w:hAnsi="Arial" w:cs="Arial"/>
          <w:lang w:val="es-ES"/>
        </w:rPr>
        <w:t>20.1.1.5 En el almacenamiento de productos fitosanitarios se deber tener en cuenta además el resto de obligaciones que establece el artículo 40 del RD 1311/2012.</w:t>
      </w:r>
    </w:p>
    <w:p w:rsidR="00503A41" w:rsidRPr="00993936" w:rsidRDefault="00503A41" w:rsidP="0009331F">
      <w:pPr>
        <w:jc w:val="both"/>
        <w:rPr>
          <w:rFonts w:ascii="Arial" w:hAnsi="Arial" w:cs="Arial"/>
          <w:lang w:val="es-ES"/>
        </w:rPr>
      </w:pPr>
      <w:r w:rsidRPr="00993936">
        <w:rPr>
          <w:rFonts w:ascii="Arial" w:hAnsi="Arial" w:cs="Arial"/>
          <w:lang w:val="es-ES"/>
        </w:rPr>
        <w:t xml:space="preserve">20.1.2 </w:t>
      </w:r>
      <w:r w:rsidRPr="00993936">
        <w:rPr>
          <w:rFonts w:ascii="Arial" w:hAnsi="Arial" w:cs="Arial"/>
          <w:i/>
          <w:u w:val="single"/>
          <w:lang w:val="es-ES"/>
        </w:rPr>
        <w:t>Almacenamiento de productos:</w:t>
      </w:r>
    </w:p>
    <w:p w:rsidR="00503A41" w:rsidRPr="00993936" w:rsidRDefault="00503A41" w:rsidP="0009331F">
      <w:pPr>
        <w:jc w:val="both"/>
        <w:rPr>
          <w:rFonts w:ascii="Arial" w:hAnsi="Arial" w:cs="Arial"/>
          <w:lang w:val="es-ES"/>
        </w:rPr>
      </w:pPr>
      <w:r w:rsidRPr="00993936">
        <w:rPr>
          <w:rFonts w:ascii="Arial" w:hAnsi="Arial" w:cs="Arial"/>
          <w:lang w:val="es-ES"/>
        </w:rPr>
        <w:t>20.1.2.1 Los fitosanitarios deben mantenerse dentro de su envase original y las etiquetas deben ser perfectamente legibles.</w:t>
      </w:r>
    </w:p>
    <w:p w:rsidR="00503A41" w:rsidRPr="00993936" w:rsidRDefault="00503A41" w:rsidP="0009331F">
      <w:pPr>
        <w:jc w:val="both"/>
        <w:rPr>
          <w:rFonts w:ascii="Arial" w:hAnsi="Arial" w:cs="Arial"/>
          <w:lang w:val="es-ES"/>
        </w:rPr>
      </w:pPr>
      <w:r w:rsidRPr="00993936">
        <w:rPr>
          <w:rFonts w:ascii="Arial" w:hAnsi="Arial" w:cs="Arial"/>
          <w:lang w:val="es-ES"/>
        </w:rPr>
        <w:t>20.1.2.2 Los productos fitosanitarios y fertilizantes deben estar debidamente etiquetados, ordenados y separados físicamente.</w:t>
      </w:r>
    </w:p>
    <w:p w:rsidR="00503A41" w:rsidRPr="00993936" w:rsidRDefault="00503A41" w:rsidP="0009331F">
      <w:pPr>
        <w:jc w:val="both"/>
        <w:rPr>
          <w:rFonts w:ascii="Arial" w:hAnsi="Arial" w:cs="Arial"/>
          <w:lang w:val="es-ES"/>
        </w:rPr>
      </w:pPr>
      <w:r w:rsidRPr="00993936">
        <w:rPr>
          <w:rFonts w:ascii="Arial" w:hAnsi="Arial" w:cs="Arial"/>
          <w:lang w:val="es-ES"/>
        </w:rPr>
        <w:t>20.1.2.3 Los fitosanitarios en polvo deben almacenarse en estantes situados por encima de los líquidos.</w:t>
      </w:r>
    </w:p>
    <w:p w:rsidR="00503A41" w:rsidRPr="00993936" w:rsidRDefault="00503A41" w:rsidP="0009331F">
      <w:pPr>
        <w:jc w:val="both"/>
        <w:rPr>
          <w:rFonts w:ascii="Arial" w:hAnsi="Arial" w:cs="Arial"/>
          <w:lang w:val="es-ES"/>
        </w:rPr>
      </w:pPr>
      <w:r w:rsidRPr="00993936">
        <w:rPr>
          <w:rFonts w:ascii="Arial" w:hAnsi="Arial" w:cs="Arial"/>
          <w:lang w:val="es-ES"/>
        </w:rPr>
        <w:t>20.1.2.4 La conservación de los justificantes de compras y gastos de productos fitosanitarios reflejados en el cuaderno de explotación es obligatoria durante tres años.</w:t>
      </w:r>
    </w:p>
    <w:p w:rsidR="00503A41" w:rsidRPr="00993936" w:rsidRDefault="00503A41" w:rsidP="0009331F">
      <w:pPr>
        <w:jc w:val="both"/>
        <w:rPr>
          <w:rFonts w:ascii="Arial" w:hAnsi="Arial" w:cs="Arial"/>
          <w:lang w:val="es-ES"/>
        </w:rPr>
      </w:pPr>
      <w:r w:rsidRPr="00993936">
        <w:rPr>
          <w:rFonts w:ascii="Arial" w:hAnsi="Arial" w:cs="Arial"/>
          <w:lang w:val="es-ES"/>
        </w:rPr>
        <w:t>20.1.2.5 En caso de existir almacén de productos fitosanitarios y/o fertilizantes, se aplicarán las obligaciones de la RTS (Reglamentación técnica sanitaria) y las del RD 1311/2012.</w:t>
      </w:r>
    </w:p>
    <w:p w:rsidR="00503A41" w:rsidRPr="00993936" w:rsidRDefault="00503A41" w:rsidP="0009331F">
      <w:pPr>
        <w:pStyle w:val="Ttulo1"/>
        <w:rPr>
          <w:rFonts w:ascii="Arial" w:hAnsi="Arial" w:cs="Arial"/>
          <w:b/>
          <w:color w:val="auto"/>
          <w:szCs w:val="22"/>
        </w:rPr>
      </w:pPr>
      <w:r w:rsidRPr="00993936">
        <w:rPr>
          <w:rFonts w:ascii="Arial" w:hAnsi="Arial" w:cs="Arial"/>
          <w:b/>
          <w:color w:val="auto"/>
          <w:szCs w:val="22"/>
        </w:rPr>
        <w:lastRenderedPageBreak/>
        <w:t>20.2</w:t>
      </w:r>
      <w:r w:rsidRPr="00993936">
        <w:rPr>
          <w:rFonts w:ascii="Arial" w:hAnsi="Arial" w:cs="Arial"/>
          <w:b/>
          <w:i/>
          <w:color w:val="auto"/>
          <w:szCs w:val="22"/>
        </w:rPr>
        <w:t xml:space="preserve"> Recomendaciones</w:t>
      </w:r>
    </w:p>
    <w:p w:rsidR="00503A41" w:rsidRPr="00993936" w:rsidRDefault="00503A41" w:rsidP="0009331F">
      <w:pPr>
        <w:jc w:val="both"/>
        <w:rPr>
          <w:rFonts w:ascii="Arial" w:hAnsi="Arial" w:cs="Arial"/>
          <w:lang w:val="es-ES"/>
        </w:rPr>
      </w:pPr>
      <w:r w:rsidRPr="00993936">
        <w:rPr>
          <w:rFonts w:ascii="Arial" w:hAnsi="Arial" w:cs="Arial"/>
          <w:lang w:val="es-ES"/>
        </w:rPr>
        <w:t>20.2.1 No almacenar los productos fitosanitarios ni fertilizantes en contacto con el suelo.</w:t>
      </w:r>
    </w:p>
    <w:p w:rsidR="00503A41" w:rsidRPr="00993936" w:rsidRDefault="00503A41" w:rsidP="0009331F">
      <w:pPr>
        <w:tabs>
          <w:tab w:val="left" w:pos="3686"/>
        </w:tabs>
        <w:jc w:val="both"/>
        <w:rPr>
          <w:rFonts w:ascii="Arial" w:hAnsi="Arial" w:cs="Arial"/>
          <w:lang w:val="es-ES"/>
        </w:rPr>
      </w:pPr>
      <w:r w:rsidRPr="00993936">
        <w:rPr>
          <w:rFonts w:ascii="Arial" w:hAnsi="Arial" w:cs="Arial"/>
          <w:lang w:val="es-ES"/>
        </w:rPr>
        <w:t>20.2.2 Utilizar estantes de almacén de materiales no absorbentes.</w:t>
      </w:r>
    </w:p>
    <w:p w:rsidR="00503A41" w:rsidRPr="00993936" w:rsidRDefault="00503A41" w:rsidP="0009331F">
      <w:pPr>
        <w:tabs>
          <w:tab w:val="left" w:pos="3686"/>
        </w:tabs>
        <w:jc w:val="both"/>
        <w:rPr>
          <w:rFonts w:ascii="Arial" w:hAnsi="Arial" w:cs="Arial"/>
          <w:lang w:val="es-ES"/>
        </w:rPr>
      </w:pPr>
      <w:r w:rsidRPr="00993936">
        <w:rPr>
          <w:rFonts w:ascii="Arial" w:hAnsi="Arial" w:cs="Arial"/>
          <w:lang w:val="es-ES"/>
        </w:rPr>
        <w:t>20.2.3 No almacenar productos innecesariamente.</w:t>
      </w:r>
    </w:p>
    <w:p w:rsidR="00503A41" w:rsidRPr="00993936" w:rsidRDefault="00503A41" w:rsidP="0009331F">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21</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Señalización de seguridad</w:t>
      </w:r>
    </w:p>
    <w:p w:rsidR="00503A41" w:rsidRPr="00993936" w:rsidRDefault="00503A41" w:rsidP="0009331F">
      <w:pPr>
        <w:pStyle w:val="NormalWeb"/>
        <w:spacing w:after="0"/>
        <w:jc w:val="both"/>
        <w:rPr>
          <w:rFonts w:ascii="Arial" w:hAnsi="Arial" w:cs="Arial"/>
          <w:i/>
          <w:sz w:val="22"/>
          <w:szCs w:val="22"/>
          <w:lang w:val="es-ES"/>
        </w:rPr>
      </w:pPr>
      <w:r w:rsidRPr="00993936">
        <w:rPr>
          <w:rFonts w:ascii="Arial" w:hAnsi="Arial" w:cs="Arial"/>
          <w:i/>
          <w:sz w:val="22"/>
          <w:szCs w:val="22"/>
          <w:lang w:val="es-ES"/>
        </w:rPr>
        <w:t>21.1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21.1.1  Utilizar las señalizaciones que prevé la legislación vigente.</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21.1.2  En el almacén de productos fitosanitarios deben estar presentes, de manera accesible y legible, las normas generales de actuación en caso de intoxicación y derrame</w:t>
      </w:r>
      <w:r w:rsidRPr="00993936">
        <w:rPr>
          <w:rFonts w:ascii="Arial" w:hAnsi="Arial" w:cs="Arial"/>
          <w:vanish/>
          <w:sz w:val="22"/>
          <w:szCs w:val="22"/>
          <w:lang w:val="es-ES"/>
        </w:rPr>
        <w:t>&lt;A[derrame|vertido]&gt;</w:t>
      </w:r>
      <w:r w:rsidRPr="00993936">
        <w:rPr>
          <w:rFonts w:ascii="Arial" w:hAnsi="Arial" w:cs="Arial"/>
          <w:sz w:val="22"/>
          <w:szCs w:val="22"/>
          <w:lang w:val="es-ES"/>
        </w:rPr>
        <w:t xml:space="preserve"> accidental, y es obligatorio disponer de los números de teléfono de de instituto de Toxicología y de otros organismos que puedan ser competentes en esta materia.</w:t>
      </w:r>
    </w:p>
    <w:p w:rsidR="00503A41" w:rsidRPr="00993936" w:rsidRDefault="00503A41" w:rsidP="0009331F">
      <w:pPr>
        <w:jc w:val="both"/>
        <w:rPr>
          <w:rFonts w:ascii="Arial" w:hAnsi="Arial" w:cs="Arial"/>
          <w:lang w:val="es-ES"/>
        </w:rPr>
      </w:pPr>
    </w:p>
    <w:p w:rsidR="00503A41" w:rsidRPr="00993936" w:rsidRDefault="00503A41" w:rsidP="001D205D">
      <w:pPr>
        <w:numPr>
          <w:ilvl w:val="0"/>
          <w:numId w:val="16"/>
        </w:numPr>
        <w:spacing w:after="0" w:line="240" w:lineRule="auto"/>
        <w:jc w:val="both"/>
        <w:rPr>
          <w:rFonts w:ascii="Arial" w:hAnsi="Arial" w:cs="Arial"/>
          <w:b/>
          <w:lang w:val="es-ES"/>
        </w:rPr>
      </w:pPr>
      <w:r w:rsidRPr="00993936">
        <w:rPr>
          <w:rFonts w:ascii="Arial" w:hAnsi="Arial" w:cs="Arial"/>
          <w:b/>
          <w:lang w:val="es-ES"/>
        </w:rPr>
        <w:t>EMPRESA ELABORADORA</w:t>
      </w:r>
    </w:p>
    <w:p w:rsidR="00503A41" w:rsidRPr="00993936" w:rsidRDefault="00503A41" w:rsidP="0009331F">
      <w:pPr>
        <w:pStyle w:val="NormalWeb"/>
        <w:spacing w:after="0"/>
        <w:jc w:val="both"/>
        <w:rPr>
          <w:rFonts w:ascii="Arial" w:hAnsi="Arial" w:cs="Arial"/>
          <w:sz w:val="22"/>
          <w:szCs w:val="22"/>
          <w:lang w:val="es-ES"/>
        </w:rPr>
      </w:pP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Artículo 22</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Bodega</w:t>
      </w:r>
    </w:p>
    <w:p w:rsidR="00503A41" w:rsidRPr="00993936" w:rsidRDefault="00503A41" w:rsidP="0009331F">
      <w:pPr>
        <w:pStyle w:val="NormalWeb"/>
        <w:spacing w:after="0"/>
        <w:jc w:val="both"/>
        <w:rPr>
          <w:rFonts w:ascii="Arial" w:hAnsi="Arial" w:cs="Arial"/>
          <w:i/>
          <w:sz w:val="22"/>
          <w:szCs w:val="22"/>
          <w:lang w:val="es-ES"/>
        </w:rPr>
      </w:pPr>
      <w:r w:rsidRPr="00993936">
        <w:rPr>
          <w:rFonts w:ascii="Arial" w:hAnsi="Arial" w:cs="Arial"/>
          <w:i/>
          <w:sz w:val="22"/>
          <w:szCs w:val="22"/>
          <w:lang w:val="es-ES"/>
        </w:rPr>
        <w:t>22.1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22.1.1 Estar inscrita en el Registro sanitario de industrias y productos alimentarios de Cataluña.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22.1.2  Disponer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prevención de riesgos laborales y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análisis de peligros y puntos de control críticos (APPCC) implantados y aprobados por  los organismos competentes en razón de la materia.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22.1.3  En caso de almacenarse productos fitosanitarios y/o fertilizantes en la bodega, se aplicarán las obligaciones que establecen los artículos 7 y 20 de esta Norma. </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22.1.4  Aplicar métodos o técnicas que permitan mantener intacta la calidad del producto, conservar la integridad.</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22.1.5 Todas las máquinas, los recipientes, los elementos de transporte, los envases y los lugares</w:t>
      </w:r>
      <w:r w:rsidRPr="00993936">
        <w:rPr>
          <w:rFonts w:ascii="Arial" w:hAnsi="Arial" w:cs="Arial"/>
          <w:vanish/>
          <w:sz w:val="22"/>
          <w:szCs w:val="22"/>
          <w:lang w:val="es-ES"/>
        </w:rPr>
        <w:t>&lt;A[lugares|sitios]&gt;</w:t>
      </w:r>
      <w:r w:rsidRPr="00993936">
        <w:rPr>
          <w:rFonts w:ascii="Arial" w:hAnsi="Arial" w:cs="Arial"/>
          <w:sz w:val="22"/>
          <w:szCs w:val="22"/>
          <w:lang w:val="es-ES"/>
        </w:rPr>
        <w:t xml:space="preserve"> de almacenamiento deben reunir las condiciones siguientes: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22.1.5.1 No transmitir a los productos con los cuales entren en contacto sustancias tóxicas o que puedan contaminar, ni originar reacciones químicas perjudiciales.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22.1.5.2 No alterar las características de composición y los caracteres organolépticos de los productos.</w:t>
      </w:r>
    </w:p>
    <w:p w:rsidR="00503A41" w:rsidRPr="00993936" w:rsidRDefault="00503A41" w:rsidP="0009331F">
      <w:pPr>
        <w:pStyle w:val="Textoindependiente"/>
        <w:outlineLvl w:val="0"/>
        <w:rPr>
          <w:rFonts w:cs="Arial"/>
          <w:szCs w:val="22"/>
          <w:lang w:val="es-ES"/>
        </w:rPr>
      </w:pPr>
    </w:p>
    <w:p w:rsidR="00503A41" w:rsidRPr="00993936" w:rsidRDefault="00503A41" w:rsidP="0009331F">
      <w:pPr>
        <w:pStyle w:val="Ttulo2"/>
        <w:rPr>
          <w:rFonts w:ascii="Arial" w:hAnsi="Arial" w:cs="Arial"/>
          <w:color w:val="auto"/>
          <w:sz w:val="22"/>
          <w:szCs w:val="22"/>
          <w:lang w:val="es-ES"/>
        </w:rPr>
      </w:pPr>
      <w:r w:rsidRPr="00993936">
        <w:rPr>
          <w:rFonts w:ascii="Arial" w:hAnsi="Arial" w:cs="Arial"/>
          <w:color w:val="auto"/>
          <w:sz w:val="22"/>
          <w:szCs w:val="22"/>
          <w:lang w:val="es-ES"/>
        </w:rPr>
        <w:t xml:space="preserve">Artículo 23 </w:t>
      </w:r>
    </w:p>
    <w:p w:rsidR="00503A41" w:rsidRPr="00993936" w:rsidRDefault="00503A41" w:rsidP="0009331F">
      <w:pPr>
        <w:jc w:val="both"/>
        <w:rPr>
          <w:rFonts w:ascii="Arial" w:hAnsi="Arial" w:cs="Arial"/>
          <w:b/>
          <w:lang w:val="es-ES"/>
        </w:rPr>
      </w:pPr>
      <w:r w:rsidRPr="00993936">
        <w:rPr>
          <w:rFonts w:ascii="Arial" w:hAnsi="Arial" w:cs="Arial"/>
          <w:b/>
          <w:lang w:val="es-ES"/>
        </w:rPr>
        <w:t>Transporte y recepción en la bodega</w:t>
      </w:r>
    </w:p>
    <w:p w:rsidR="00503A41" w:rsidRPr="00993936" w:rsidRDefault="00503A41" w:rsidP="0009331F">
      <w:pPr>
        <w:jc w:val="both"/>
        <w:rPr>
          <w:rFonts w:ascii="Arial" w:hAnsi="Arial" w:cs="Arial"/>
          <w:lang w:val="es-ES"/>
        </w:rPr>
      </w:pPr>
      <w:r w:rsidRPr="00993936">
        <w:rPr>
          <w:rFonts w:ascii="Arial" w:hAnsi="Arial" w:cs="Arial"/>
          <w:lang w:val="es-ES"/>
        </w:rPr>
        <w:t xml:space="preserve">23.1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23.1.1 Los vehículos que lleguen a las instalaciones deben estar en condiciones de higiene adecuadas y cargados exclusivamente con productos vegetales.</w:t>
      </w:r>
    </w:p>
    <w:p w:rsidR="00503A41" w:rsidRPr="00993936" w:rsidRDefault="00503A41" w:rsidP="0009331F">
      <w:pPr>
        <w:jc w:val="both"/>
        <w:rPr>
          <w:rFonts w:ascii="Arial" w:hAnsi="Arial" w:cs="Arial"/>
          <w:lang w:val="es-ES"/>
        </w:rPr>
      </w:pPr>
      <w:r w:rsidRPr="00993936">
        <w:rPr>
          <w:rFonts w:ascii="Arial" w:hAnsi="Arial" w:cs="Arial"/>
          <w:lang w:val="es-ES"/>
        </w:rPr>
        <w:t>23.1.2 Realizar una inspección visual de las partidas de uva cuando lleguen a la recepción, establecer un sistema de verificación de la calidad del producto que entra. Habrá un registro de incidencias en caso de incumplimiento. Las partidas que no cumplan los requisitos anteriores se dejarán de considerar como de producción integrada.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23.1.3  Antes de cargar todos los elementos de transporte deben estar limpios</w:t>
      </w:r>
      <w:r w:rsidRPr="00993936">
        <w:rPr>
          <w:rFonts w:ascii="Arial" w:hAnsi="Arial" w:cs="Arial"/>
          <w:vanish/>
          <w:sz w:val="22"/>
          <w:szCs w:val="22"/>
          <w:lang w:val="es-ES"/>
        </w:rPr>
        <w:t>&lt;A[limpios|netos]&gt;</w:t>
      </w:r>
      <w:r w:rsidRPr="00993936">
        <w:rPr>
          <w:rFonts w:ascii="Arial" w:hAnsi="Arial" w:cs="Arial"/>
          <w:sz w:val="22"/>
          <w:szCs w:val="22"/>
          <w:lang w:val="es-ES"/>
        </w:rPr>
        <w:t>, en buen estado y exentos de plagas y objetos extraños.</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 xml:space="preserve">23.2. </w:t>
      </w:r>
      <w:r w:rsidRPr="00993936">
        <w:rPr>
          <w:rFonts w:ascii="Arial" w:hAnsi="Arial" w:cs="Arial"/>
          <w:i/>
          <w:lang w:val="es-ES"/>
        </w:rPr>
        <w:t>Prohibiciones</w:t>
      </w:r>
    </w:p>
    <w:p w:rsidR="00503A41" w:rsidRPr="00993936" w:rsidRDefault="00503A41" w:rsidP="0009331F">
      <w:pPr>
        <w:jc w:val="both"/>
        <w:rPr>
          <w:rFonts w:ascii="Arial" w:hAnsi="Arial" w:cs="Arial"/>
          <w:lang w:val="es-ES"/>
        </w:rPr>
      </w:pPr>
      <w:r w:rsidRPr="00993936">
        <w:rPr>
          <w:rFonts w:ascii="Arial" w:hAnsi="Arial" w:cs="Arial"/>
          <w:lang w:val="es-ES"/>
        </w:rPr>
        <w:t>23.2.1 Almacenar productos químicos y desperdicios en la zona de recepción de uva.</w:t>
      </w:r>
    </w:p>
    <w:p w:rsidR="00503A41" w:rsidRPr="00993936" w:rsidRDefault="00503A41" w:rsidP="0009331F">
      <w:pPr>
        <w:pStyle w:val="Textoindependiente"/>
        <w:outlineLvl w:val="0"/>
        <w:rPr>
          <w:rFonts w:cs="Arial"/>
          <w:szCs w:val="22"/>
          <w:lang w:val="es-ES"/>
        </w:rPr>
      </w:pPr>
    </w:p>
    <w:p w:rsidR="00503A41" w:rsidRPr="00993936" w:rsidRDefault="00503A41" w:rsidP="0009331F">
      <w:pPr>
        <w:pStyle w:val="Ttulo4"/>
        <w:rPr>
          <w:rFonts w:ascii="Arial" w:hAnsi="Arial" w:cs="Arial"/>
          <w:b/>
          <w:color w:val="auto"/>
          <w:lang w:val="es-ES"/>
        </w:rPr>
      </w:pPr>
      <w:r w:rsidRPr="00993936">
        <w:rPr>
          <w:rFonts w:ascii="Arial" w:hAnsi="Arial" w:cs="Arial"/>
          <w:b/>
          <w:color w:val="auto"/>
          <w:lang w:val="es-ES"/>
        </w:rPr>
        <w:t>Artículo 24</w:t>
      </w:r>
    </w:p>
    <w:p w:rsidR="00503A41" w:rsidRPr="00993936" w:rsidRDefault="00503A41" w:rsidP="0009331F">
      <w:pPr>
        <w:pStyle w:val="Ttulo4"/>
        <w:rPr>
          <w:rFonts w:ascii="Arial" w:hAnsi="Arial" w:cs="Arial"/>
          <w:color w:val="auto"/>
          <w:lang w:val="es-ES"/>
        </w:rPr>
      </w:pPr>
      <w:r w:rsidRPr="00993936">
        <w:rPr>
          <w:rFonts w:ascii="Arial" w:hAnsi="Arial" w:cs="Arial"/>
          <w:color w:val="auto"/>
          <w:lang w:val="es-ES"/>
        </w:rPr>
        <w:t xml:space="preserve">Tratamientos de postcosecha </w:t>
      </w:r>
    </w:p>
    <w:p w:rsidR="00503A41" w:rsidRPr="00993936" w:rsidRDefault="00503A41" w:rsidP="0009331F">
      <w:pPr>
        <w:pStyle w:val="Ttulo4"/>
        <w:rPr>
          <w:rFonts w:ascii="Arial" w:hAnsi="Arial" w:cs="Arial"/>
          <w:i w:val="0"/>
          <w:color w:val="auto"/>
          <w:lang w:val="es-ES"/>
        </w:rPr>
      </w:pPr>
      <w:r w:rsidRPr="00993936">
        <w:rPr>
          <w:rFonts w:ascii="Arial" w:hAnsi="Arial" w:cs="Arial"/>
          <w:color w:val="auto"/>
          <w:lang w:val="es-ES"/>
        </w:rPr>
        <w:t xml:space="preserve">24.1 </w:t>
      </w:r>
      <w:r w:rsidRPr="00993936">
        <w:rPr>
          <w:rFonts w:ascii="Arial" w:hAnsi="Arial" w:cs="Arial"/>
          <w:i w:val="0"/>
          <w:color w:val="auto"/>
          <w:lang w:val="es-ES"/>
        </w:rPr>
        <w:t>Obligaciones</w:t>
      </w:r>
    </w:p>
    <w:p w:rsidR="00503A41" w:rsidRPr="00993936" w:rsidRDefault="00503A41" w:rsidP="0009331F">
      <w:pPr>
        <w:pStyle w:val="Ttulo4"/>
        <w:jc w:val="both"/>
        <w:rPr>
          <w:rFonts w:ascii="Arial" w:hAnsi="Arial" w:cs="Arial"/>
          <w:i w:val="0"/>
          <w:color w:val="auto"/>
          <w:lang w:val="es-ES"/>
        </w:rPr>
      </w:pPr>
      <w:r w:rsidRPr="00993936">
        <w:rPr>
          <w:rFonts w:ascii="Arial" w:hAnsi="Arial" w:cs="Arial"/>
          <w:i w:val="0"/>
          <w:color w:val="auto"/>
          <w:lang w:val="es-ES"/>
        </w:rPr>
        <w:t>24.1.1  Anteponer los métodos físicos o productos naturales a los productos de síntesis. Los métodos químicos sólo se permitirán cuando esté técnicamente justificado. En este caso sólo se podrán utilizar materias activas autorizadas para producción integrada, con los mismos criterios señalados para los productos fitosanitarios.</w:t>
      </w:r>
    </w:p>
    <w:p w:rsidR="00503A41" w:rsidRPr="00993936" w:rsidRDefault="00503A41" w:rsidP="0009331F">
      <w:pPr>
        <w:pStyle w:val="Textoindependiente"/>
        <w:rPr>
          <w:rFonts w:cs="Arial"/>
          <w:szCs w:val="22"/>
          <w:u w:val="single"/>
          <w:lang w:val="es-ES"/>
        </w:rPr>
      </w:pPr>
      <w:r w:rsidRPr="00993936">
        <w:rPr>
          <w:rFonts w:cs="Arial"/>
          <w:szCs w:val="22"/>
          <w:lang w:val="es-ES"/>
        </w:rPr>
        <w:t>24.1.2 Todas las aplicaciones en los tratamientos postcosecha se deben registrar en el Cuaderno de conservación y/o postcosecha indicando en las anotaciones, como mínimo, los datos siguientes: fecha de aplicación, especie y/o variedad, la justificación de la aplicación, producto, sustancia activa y cantidad aplicada y el sistema que se ha utilizado para la aplicación.</w:t>
      </w:r>
    </w:p>
    <w:p w:rsidR="00503A41" w:rsidRPr="00993936" w:rsidRDefault="00503A41" w:rsidP="0009331F">
      <w:pPr>
        <w:jc w:val="both"/>
        <w:rPr>
          <w:rFonts w:ascii="Arial" w:hAnsi="Arial" w:cs="Arial"/>
          <w:lang w:val="es-ES"/>
        </w:rPr>
      </w:pPr>
      <w:r w:rsidRPr="00993936">
        <w:rPr>
          <w:rFonts w:ascii="Arial" w:hAnsi="Arial" w:cs="Arial"/>
          <w:lang w:val="es-ES"/>
        </w:rPr>
        <w:t>24.1.3 La manipulación de los productos se tendrá que hacer por series completas separadas físicamente o en el tiempo de operaciones de productos no obtenidos bajo normas de producción integrada, con la finalidad de evitar superposiciones y contaminaciones y asegurar la trazabilidad.</w:t>
      </w:r>
    </w:p>
    <w:p w:rsidR="00503A41" w:rsidRPr="00993936" w:rsidRDefault="00503A41" w:rsidP="0009331F">
      <w:pPr>
        <w:pStyle w:val="NormalWeb"/>
        <w:spacing w:after="0"/>
        <w:jc w:val="both"/>
        <w:rPr>
          <w:rFonts w:ascii="Arial" w:hAnsi="Arial" w:cs="Arial"/>
          <w:sz w:val="22"/>
          <w:szCs w:val="22"/>
          <w:lang w:val="es-ES"/>
        </w:rPr>
      </w:pP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Artículo 25</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Proceso de transformación y elaboración de la uva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25.1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25.1.1  Todas las uvas que se utilicen para la elaboración de vino tendrán que cumplir las condiciones establecidas por esta norma.</w:t>
      </w:r>
    </w:p>
    <w:p w:rsidR="00503A41" w:rsidRPr="00993936" w:rsidRDefault="00503A41" w:rsidP="0009331F">
      <w:pPr>
        <w:jc w:val="both"/>
        <w:outlineLvl w:val="0"/>
        <w:rPr>
          <w:rFonts w:ascii="Arial" w:hAnsi="Arial" w:cs="Arial"/>
          <w:lang w:val="es-ES"/>
        </w:rPr>
      </w:pPr>
    </w:p>
    <w:p w:rsidR="00503A41" w:rsidRPr="00993936" w:rsidRDefault="00503A41" w:rsidP="0009331F">
      <w:pPr>
        <w:jc w:val="both"/>
        <w:outlineLvl w:val="0"/>
        <w:rPr>
          <w:rFonts w:ascii="Arial" w:hAnsi="Arial" w:cs="Arial"/>
          <w:lang w:val="es-ES"/>
        </w:rPr>
      </w:pPr>
      <w:r w:rsidRPr="00993936">
        <w:rPr>
          <w:rFonts w:ascii="Arial" w:hAnsi="Arial" w:cs="Arial"/>
          <w:lang w:val="es-ES"/>
        </w:rPr>
        <w:t>Artículo 26</w:t>
      </w:r>
    </w:p>
    <w:p w:rsidR="00503A41" w:rsidRPr="00993936" w:rsidRDefault="00503A41" w:rsidP="001D205D">
      <w:pPr>
        <w:pStyle w:val="NormalWeb"/>
        <w:spacing w:after="0"/>
        <w:jc w:val="both"/>
        <w:rPr>
          <w:rFonts w:ascii="Arial" w:hAnsi="Arial" w:cs="Arial"/>
          <w:b/>
          <w:sz w:val="22"/>
          <w:szCs w:val="22"/>
          <w:lang w:val="es-ES"/>
        </w:rPr>
      </w:pPr>
      <w:r w:rsidRPr="00993936">
        <w:rPr>
          <w:rFonts w:ascii="Arial" w:hAnsi="Arial" w:cs="Arial"/>
          <w:b/>
          <w:sz w:val="22"/>
          <w:szCs w:val="22"/>
          <w:lang w:val="es-ES"/>
        </w:rPr>
        <w:t>Conservación</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26.1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26.1.1 Controlar periódicamente la calidad y, específicamente, antes de la comercialización, teniendo en cuenta aspectos de muestreo y tipo de determinación analítica y límites de residuos que garanticen la seguridad del consumidor.</w:t>
      </w:r>
    </w:p>
    <w:p w:rsidR="00503A41" w:rsidRPr="00993936" w:rsidRDefault="00503A41" w:rsidP="0009331F">
      <w:pPr>
        <w:jc w:val="both"/>
        <w:rPr>
          <w:rFonts w:ascii="Arial" w:hAnsi="Arial" w:cs="Arial"/>
          <w:lang w:val="es-ES"/>
        </w:rPr>
      </w:pPr>
      <w:r w:rsidRPr="00993936">
        <w:rPr>
          <w:rFonts w:ascii="Arial" w:hAnsi="Arial" w:cs="Arial"/>
          <w:lang w:val="es-ES"/>
        </w:rPr>
        <w:t>26.1.2 Se utilizarán métodos de conservación autorizados, que tengan la menor toxicidad posible y sean preferentemente métodos físicos o con productos naturales, antes que de síntesis.</w:t>
      </w:r>
    </w:p>
    <w:p w:rsidR="00503A41" w:rsidRPr="00993936" w:rsidRDefault="00503A41" w:rsidP="0009331F">
      <w:pPr>
        <w:jc w:val="both"/>
        <w:outlineLvl w:val="0"/>
        <w:rPr>
          <w:rFonts w:ascii="Arial" w:hAnsi="Arial" w:cs="Arial"/>
          <w:lang w:val="es-ES"/>
        </w:rPr>
      </w:pPr>
    </w:p>
    <w:p w:rsidR="00503A41" w:rsidRPr="00993936" w:rsidRDefault="00503A41" w:rsidP="001D205D">
      <w:pPr>
        <w:jc w:val="both"/>
        <w:outlineLvl w:val="0"/>
        <w:rPr>
          <w:rFonts w:ascii="Arial" w:hAnsi="Arial" w:cs="Arial"/>
          <w:lang w:val="es-ES"/>
        </w:rPr>
      </w:pPr>
      <w:r w:rsidRPr="00993936">
        <w:rPr>
          <w:rFonts w:ascii="Arial" w:hAnsi="Arial" w:cs="Arial"/>
          <w:lang w:val="es-ES"/>
        </w:rPr>
        <w:t>Artículo 27</w:t>
      </w:r>
    </w:p>
    <w:p w:rsidR="00503A41" w:rsidRPr="00993936" w:rsidRDefault="00503A41" w:rsidP="001D205D">
      <w:pPr>
        <w:jc w:val="both"/>
        <w:outlineLvl w:val="0"/>
        <w:rPr>
          <w:rFonts w:ascii="Arial" w:hAnsi="Arial" w:cs="Arial"/>
          <w:b/>
          <w:lang w:val="es-ES"/>
        </w:rPr>
      </w:pPr>
      <w:r w:rsidRPr="00993936">
        <w:rPr>
          <w:rFonts w:ascii="Arial" w:hAnsi="Arial" w:cs="Arial"/>
          <w:b/>
          <w:lang w:val="es-ES"/>
        </w:rPr>
        <w:t>Almacenamiento de los productos</w:t>
      </w:r>
    </w:p>
    <w:p w:rsidR="00503A41" w:rsidRPr="00993936" w:rsidRDefault="00503A41" w:rsidP="001D205D">
      <w:pPr>
        <w:jc w:val="both"/>
        <w:rPr>
          <w:rFonts w:ascii="Arial" w:hAnsi="Arial" w:cs="Arial"/>
          <w:i/>
          <w:lang w:val="es-ES"/>
        </w:rPr>
      </w:pPr>
      <w:r w:rsidRPr="00993936">
        <w:rPr>
          <w:rFonts w:ascii="Arial" w:hAnsi="Arial" w:cs="Arial"/>
          <w:lang w:val="es-ES"/>
        </w:rPr>
        <w:t xml:space="preserve">27.1 </w:t>
      </w:r>
      <w:r w:rsidRPr="00993936">
        <w:rPr>
          <w:rFonts w:ascii="Arial" w:hAnsi="Arial" w:cs="Arial"/>
          <w:i/>
          <w:lang w:val="es-ES"/>
        </w:rPr>
        <w:t>Obligaciones</w:t>
      </w:r>
    </w:p>
    <w:p w:rsidR="00503A41" w:rsidRPr="00993936" w:rsidRDefault="00503A41" w:rsidP="001D205D">
      <w:pPr>
        <w:jc w:val="both"/>
        <w:rPr>
          <w:rFonts w:ascii="Arial" w:hAnsi="Arial" w:cs="Arial"/>
          <w:lang w:val="es-ES"/>
        </w:rPr>
      </w:pPr>
      <w:r w:rsidRPr="00993936">
        <w:rPr>
          <w:rFonts w:ascii="Arial" w:hAnsi="Arial" w:cs="Arial"/>
          <w:lang w:val="es-ES"/>
        </w:rPr>
        <w:lastRenderedPageBreak/>
        <w:t>27.1.1 Almacenar los productos con procedimientos que garanticen la mejor calidad posible.</w:t>
      </w:r>
    </w:p>
    <w:p w:rsidR="00503A41" w:rsidRPr="00993936" w:rsidRDefault="00503A41" w:rsidP="001D205D">
      <w:pPr>
        <w:jc w:val="both"/>
        <w:rPr>
          <w:rFonts w:ascii="Arial" w:hAnsi="Arial" w:cs="Arial"/>
          <w:lang w:val="es-ES"/>
        </w:rPr>
      </w:pPr>
      <w:r w:rsidRPr="00993936">
        <w:rPr>
          <w:rFonts w:ascii="Arial" w:hAnsi="Arial" w:cs="Arial"/>
          <w:lang w:val="es-ES"/>
        </w:rPr>
        <w:t>27.1.2 Realizar la limpieza, la desinfección y la lucha contra los parásitos de los lugares</w:t>
      </w:r>
      <w:r w:rsidRPr="00993936">
        <w:rPr>
          <w:rFonts w:ascii="Arial" w:hAnsi="Arial" w:cs="Arial"/>
          <w:vanish/>
          <w:lang w:val="es-ES"/>
        </w:rPr>
        <w:t>&lt;A[lugares|sitios]&gt;</w:t>
      </w:r>
      <w:r w:rsidRPr="00993936">
        <w:rPr>
          <w:rFonts w:ascii="Arial" w:hAnsi="Arial" w:cs="Arial"/>
          <w:lang w:val="es-ES"/>
        </w:rPr>
        <w:t xml:space="preserve"> del almacenamiento de manera que no se produzca ningún tipo de contaminación de los productos.</w:t>
      </w:r>
    </w:p>
    <w:p w:rsidR="00503A41" w:rsidRPr="00993936" w:rsidRDefault="00503A41" w:rsidP="001D205D">
      <w:pPr>
        <w:jc w:val="both"/>
        <w:rPr>
          <w:rFonts w:ascii="Arial" w:hAnsi="Arial" w:cs="Arial"/>
          <w:lang w:val="es-ES"/>
        </w:rPr>
      </w:pPr>
      <w:r w:rsidRPr="00993936">
        <w:rPr>
          <w:rFonts w:ascii="Arial" w:hAnsi="Arial" w:cs="Arial"/>
          <w:lang w:val="es-ES"/>
        </w:rPr>
        <w:t>27.1.3 Establecer en los almacenes una separación clara y definida de los productos procedentes de cultivos de producción integrada de otros productos convencionales, indicando en un croquis su situación dentro de cada almacén. Las cajas y los palets tendrán que estar identificados debidamente y colocados de forma que se pueda ver claramente la identificación de manera que permita un recuento fácil.</w:t>
      </w:r>
    </w:p>
    <w:p w:rsidR="00503A41" w:rsidRPr="00993936" w:rsidRDefault="00503A41" w:rsidP="0009331F">
      <w:pPr>
        <w:jc w:val="both"/>
        <w:outlineLvl w:val="0"/>
        <w:rPr>
          <w:rFonts w:ascii="Arial" w:hAnsi="Arial" w:cs="Arial"/>
          <w:i/>
          <w:lang w:val="es-ES"/>
        </w:rPr>
      </w:pPr>
      <w:r w:rsidRPr="00993936">
        <w:rPr>
          <w:rFonts w:ascii="Arial" w:hAnsi="Arial" w:cs="Arial"/>
          <w:lang w:val="es-ES"/>
        </w:rPr>
        <w:t xml:space="preserve">27.2 </w:t>
      </w:r>
      <w:r w:rsidRPr="00993936">
        <w:rPr>
          <w:rFonts w:ascii="Arial" w:hAnsi="Arial" w:cs="Arial"/>
          <w:i/>
          <w:lang w:val="es-ES"/>
        </w:rPr>
        <w:t>Prohibiciones</w:t>
      </w:r>
    </w:p>
    <w:p w:rsidR="00503A41" w:rsidRPr="00993936" w:rsidRDefault="00503A41" w:rsidP="0009331F">
      <w:pPr>
        <w:jc w:val="both"/>
        <w:outlineLvl w:val="0"/>
        <w:rPr>
          <w:rFonts w:ascii="Arial" w:hAnsi="Arial" w:cs="Arial"/>
          <w:lang w:val="es-ES"/>
        </w:rPr>
      </w:pPr>
      <w:r w:rsidRPr="00993936">
        <w:rPr>
          <w:rFonts w:ascii="Arial" w:hAnsi="Arial" w:cs="Arial"/>
          <w:lang w:val="es-ES"/>
        </w:rPr>
        <w:t xml:space="preserve">27.2.1 La utilización de productos químicos de síntesis para la lucha de plagas y parásitos del almacén, salvo los casos que estén justificados técnicamente donde se utilizarán sustancias activas autorizadas en producción integrada. </w:t>
      </w:r>
    </w:p>
    <w:p w:rsidR="00503A41" w:rsidRPr="00993936" w:rsidRDefault="00503A41" w:rsidP="0009331F">
      <w:pPr>
        <w:jc w:val="both"/>
        <w:outlineLvl w:val="0"/>
        <w:rPr>
          <w:rFonts w:ascii="Arial" w:hAnsi="Arial" w:cs="Arial"/>
          <w:lang w:val="es-ES"/>
        </w:rPr>
      </w:pPr>
      <w:r w:rsidRPr="00993936">
        <w:rPr>
          <w:rFonts w:ascii="Arial" w:hAnsi="Arial" w:cs="Arial"/>
          <w:lang w:val="es-ES"/>
        </w:rPr>
        <w:t>27.2.2 Almacenar productos químicos o desperdicios en la zona de almacenamiento de los productos envasados.</w:t>
      </w:r>
    </w:p>
    <w:p w:rsidR="00503A41" w:rsidRPr="00993936" w:rsidRDefault="00503A41" w:rsidP="0009331F">
      <w:pPr>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Envasado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28.1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28.1.1 Las operaciones de envasado se tendrán que efectuar por</w:t>
      </w:r>
      <w:r w:rsidRPr="00993936">
        <w:rPr>
          <w:rFonts w:ascii="Arial" w:hAnsi="Arial" w:cs="Arial"/>
          <w:vanish/>
          <w:lang w:val="es-ES"/>
        </w:rPr>
        <w:t>&lt;A[por|para]&gt;</w:t>
      </w:r>
      <w:r w:rsidRPr="00993936">
        <w:rPr>
          <w:rFonts w:ascii="Arial" w:hAnsi="Arial" w:cs="Arial"/>
          <w:lang w:val="es-ES"/>
        </w:rPr>
        <w:t xml:space="preserve"> series completas, separadas físicamente o en el tiempo, de operaciones de productos convencionales.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28.1.2 Los operadores que realizan envasado de productos certificados de producción integrada y convencionales deben avisar el órgano o la entidad de control. La comunicación se tiene que hacer a principios de campaña, con antelación suficiente y antes del inicio de las operaciones de los productos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28.1.3 Los manipuladores de alimentos tendrán que tener una formación específica al respecto o justificar que están en proceso en obtenerla de acuerdo con lo que establece la legalidad vigente, por</w:t>
      </w:r>
      <w:r w:rsidRPr="00993936">
        <w:rPr>
          <w:rFonts w:ascii="Arial" w:hAnsi="Arial" w:cs="Arial"/>
          <w:vanish/>
          <w:lang w:val="es-ES"/>
        </w:rPr>
        <w:t>&lt;A[por|para]&gt;</w:t>
      </w:r>
      <w:r w:rsidRPr="00993936">
        <w:rPr>
          <w:rFonts w:ascii="Arial" w:hAnsi="Arial" w:cs="Arial"/>
          <w:lang w:val="es-ES"/>
        </w:rPr>
        <w:t xml:space="preserve"> la cual se establecen las normas relativas a los manipuladores de alimentos.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28.1.4  La zona de almacenamiento de envases y materiales de envasado estará claramente diferenciada de la zona de manipulación.</w:t>
      </w:r>
    </w:p>
    <w:p w:rsidR="00503A41" w:rsidRPr="00993936" w:rsidRDefault="00503A41" w:rsidP="0009331F">
      <w:pPr>
        <w:pStyle w:val="Ttulo1"/>
        <w:rPr>
          <w:rFonts w:ascii="Arial" w:hAnsi="Arial" w:cs="Arial"/>
          <w:b/>
          <w:color w:val="auto"/>
          <w:szCs w:val="22"/>
        </w:rPr>
      </w:pPr>
    </w:p>
    <w:p w:rsidR="00503A41" w:rsidRPr="00993936" w:rsidRDefault="00503A41" w:rsidP="001D205D">
      <w:pPr>
        <w:pStyle w:val="Sinespaciado"/>
        <w:rPr>
          <w:rFonts w:ascii="Arial" w:hAnsi="Arial" w:cs="Arial"/>
        </w:rPr>
      </w:pPr>
      <w:r w:rsidRPr="00993936">
        <w:rPr>
          <w:rFonts w:ascii="Arial" w:hAnsi="Arial" w:cs="Arial"/>
        </w:rPr>
        <w:t>Artículo 29</w:t>
      </w:r>
    </w:p>
    <w:p w:rsidR="00503A41" w:rsidRPr="00993936" w:rsidRDefault="00503A41" w:rsidP="001D205D">
      <w:pPr>
        <w:pStyle w:val="Sinespaciado"/>
        <w:rPr>
          <w:rFonts w:ascii="Arial" w:hAnsi="Arial" w:cs="Arial"/>
          <w:b/>
        </w:rPr>
      </w:pPr>
      <w:r w:rsidRPr="00993936">
        <w:rPr>
          <w:rFonts w:ascii="Arial" w:hAnsi="Arial" w:cs="Arial"/>
          <w:b/>
        </w:rPr>
        <w:t>Expedición</w:t>
      </w:r>
    </w:p>
    <w:p w:rsidR="00503A41" w:rsidRPr="00993936" w:rsidRDefault="00503A41" w:rsidP="001D205D">
      <w:pPr>
        <w:pStyle w:val="Sinespaciado"/>
        <w:rPr>
          <w:rFonts w:ascii="Arial" w:hAnsi="Arial" w:cs="Arial"/>
          <w:i/>
          <w:lang w:val="es-ES"/>
        </w:rPr>
      </w:pPr>
      <w:r w:rsidRPr="00993936">
        <w:rPr>
          <w:rFonts w:ascii="Arial" w:hAnsi="Arial" w:cs="Arial"/>
          <w:i/>
          <w:lang w:val="es-ES"/>
        </w:rPr>
        <w:t>29.1 Obligaciones</w:t>
      </w:r>
    </w:p>
    <w:p w:rsidR="00503A41" w:rsidRPr="00993936" w:rsidRDefault="00503A41" w:rsidP="001D205D">
      <w:pPr>
        <w:pStyle w:val="Sinespaciado"/>
        <w:rPr>
          <w:rFonts w:ascii="Arial" w:hAnsi="Arial" w:cs="Arial"/>
          <w:lang w:val="es-ES"/>
        </w:rPr>
      </w:pPr>
      <w:r w:rsidRPr="00993936">
        <w:rPr>
          <w:rFonts w:ascii="Arial" w:hAnsi="Arial" w:cs="Arial"/>
          <w:lang w:val="es-ES"/>
        </w:rPr>
        <w:t>29.1.1</w:t>
      </w:r>
      <w:r w:rsidRPr="00993936">
        <w:rPr>
          <w:rFonts w:ascii="Arial" w:hAnsi="Arial" w:cs="Arial"/>
          <w:b/>
          <w:lang w:val="es-ES"/>
        </w:rPr>
        <w:t xml:space="preserve"> </w:t>
      </w:r>
      <w:r w:rsidRPr="00993936">
        <w:rPr>
          <w:rFonts w:ascii="Arial" w:hAnsi="Arial" w:cs="Arial"/>
          <w:lang w:val="es-ES"/>
        </w:rPr>
        <w:t>Antes de cargar, todos los elementos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plagas</w:t>
      </w:r>
      <w:r w:rsidRPr="00993936">
        <w:rPr>
          <w:rFonts w:ascii="Arial" w:hAnsi="Arial" w:cs="Arial"/>
          <w:vanish/>
          <w:lang w:val="es-ES"/>
        </w:rPr>
        <w:t>&lt;A[pestes|pudores]&gt;</w:t>
      </w:r>
      <w:r w:rsidRPr="00993936">
        <w:rPr>
          <w:rFonts w:ascii="Arial" w:hAnsi="Arial" w:cs="Arial"/>
          <w:lang w:val="es-ES"/>
        </w:rPr>
        <w:t xml:space="preserve"> y objetos extraños.</w:t>
      </w:r>
    </w:p>
    <w:p w:rsidR="00503A41" w:rsidRPr="00993936" w:rsidRDefault="00503A41" w:rsidP="0009331F">
      <w:pPr>
        <w:pStyle w:val="Textoindependiente"/>
        <w:outlineLvl w:val="0"/>
        <w:rPr>
          <w:rFonts w:cs="Arial"/>
          <w:szCs w:val="22"/>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30</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Cuaderno de conservación/postcosecha</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30.1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30.1.1 El Cuaderno de conservación es un registro de las operaciones y las intervenciones que se realizan en los procesos de conservación, envasado y almacenamiento, y sirve para garantizarlos. El modelo de Cuaderno de conservación </w:t>
      </w:r>
      <w:r w:rsidRPr="00993936">
        <w:rPr>
          <w:rFonts w:ascii="Arial" w:hAnsi="Arial" w:cs="Arial"/>
          <w:lang w:val="es-ES"/>
        </w:rPr>
        <w:lastRenderedPageBreak/>
        <w:t xml:space="preserve">es único con respecto al contenido de los datos a registrar, y será aprobado por el Departamento de Agricultura, Ganadería, Pesca y Alimentación.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30.1.2 El técnico responsable de conservación de productos de producción integrada se responsabilizará periódicamente, mediante su firma, de la conformidad de las anotaciones realizadas en el Cuaderno de conservación con respecto al sistema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30.1.3 El Cuaderno de conservación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31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Formación del personal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31.1.1 La empresa tendrá que fomentar la formación y proporcionar la que sea necesaria al personal implicado en la aplicación de esta norma y el resto de partes afectadas por su actividad. Por otra parte, todos los agentes que participen en producción integrada deben tener una formación específica al respecto.</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 xml:space="preserve">31.1.1.1 </w:t>
      </w:r>
      <w:r w:rsidRPr="00993936">
        <w:rPr>
          <w:rFonts w:ascii="Arial" w:hAnsi="Arial" w:cs="Arial"/>
          <w:u w:val="single"/>
          <w:lang w:val="es-ES"/>
        </w:rPr>
        <w:t xml:space="preserve">Personal de la central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 empresa tiene que asegurar la formación del personal de la central en materia de buenas prácticas de higiene y manipulación, conservando un registro de los cursos impartidos.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31.1.1.2 </w:t>
      </w:r>
      <w:r w:rsidRPr="00993936">
        <w:rPr>
          <w:rFonts w:ascii="Arial" w:hAnsi="Arial" w:cs="Arial"/>
          <w:u w:val="single"/>
          <w:lang w:val="es-ES"/>
        </w:rPr>
        <w:t>Personal técnico competente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personal técnico competente que participe en producción integrada tiene que tener una formación universitaria de acuerdo con lo que establece el artículo 11.1 del Decreto 241/2002 y acreditar una formación específica en producción integrada de acuerdo con lo que establece el artículo 24.1 del mencionado Decreto. Esta formación, en Cataluña, se regula por</w:t>
      </w:r>
      <w:r w:rsidRPr="00993936">
        <w:rPr>
          <w:rFonts w:ascii="Arial" w:hAnsi="Arial" w:cs="Arial"/>
          <w:vanish/>
          <w:lang w:val="es-ES"/>
        </w:rPr>
        <w:t>&lt;A[por|para]&gt;</w:t>
      </w:r>
      <w:r w:rsidRPr="00993936">
        <w:rPr>
          <w:rFonts w:ascii="Arial" w:hAnsi="Arial" w:cs="Arial"/>
          <w:lang w:val="es-ES"/>
        </w:rPr>
        <w:t xml:space="preserve">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la cual se establecen y se regulan los cursos de formación en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31.1.1.3 </w:t>
      </w:r>
      <w:r w:rsidRPr="00993936">
        <w:rPr>
          <w:rFonts w:ascii="Arial" w:hAnsi="Arial" w:cs="Arial"/>
          <w:u w:val="single"/>
          <w:lang w:val="es-ES"/>
        </w:rPr>
        <w:t>Operadores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Todos los operadores de producción integrada (productores y/o elaboradores) deben tener una formación específica en producción integrada, por</w:t>
      </w:r>
      <w:r w:rsidRPr="00993936">
        <w:rPr>
          <w:rFonts w:ascii="Arial" w:hAnsi="Arial" w:cs="Arial"/>
          <w:vanish/>
          <w:lang w:val="es-ES"/>
        </w:rPr>
        <w:t>&lt;A[por|para]&gt;</w:t>
      </w:r>
      <w:r w:rsidRPr="00993936">
        <w:rPr>
          <w:rFonts w:ascii="Arial" w:hAnsi="Arial" w:cs="Arial"/>
          <w:lang w:val="es-ES"/>
        </w:rPr>
        <w:t xml:space="preserve"> lo cual deben acreditar la realización de un curso de producción integrada impartido por la Administración Pública o por alguna entidad reconocida, de acuerdo con lo que establecen el Decreto 241/2002 y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los cuales se establecen y se regulan los cursos de formación en producción integrada.</w:t>
      </w:r>
    </w:p>
    <w:p w:rsidR="00503A41" w:rsidRPr="00993936" w:rsidRDefault="00503A41" w:rsidP="001D205D">
      <w:pPr>
        <w:pStyle w:val="Sinespaciado"/>
        <w:jc w:val="both"/>
        <w:rPr>
          <w:rFonts w:ascii="Arial" w:hAnsi="Arial" w:cs="Arial"/>
          <w:b/>
        </w:rPr>
      </w:pPr>
      <w:r w:rsidRPr="00993936">
        <w:rPr>
          <w:rFonts w:ascii="Arial" w:hAnsi="Arial" w:cs="Arial"/>
          <w:b/>
        </w:rPr>
        <w:t xml:space="preserve">31.1.1.4 </w:t>
      </w:r>
      <w:r w:rsidRPr="00993936">
        <w:rPr>
          <w:rFonts w:ascii="Arial" w:hAnsi="Arial" w:cs="Arial"/>
          <w:b/>
          <w:u w:val="single"/>
        </w:rPr>
        <w:t>Manipulador de productos fitosanitarios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El manipulador de productos fitosanitarios tiene que estar en posesión del carné de manipulador de nivel básico que lo capacita para desarrollar su actividad salvo las excepciones que prevé la legislación vigente.</w:t>
      </w:r>
    </w:p>
    <w:p w:rsidR="00503A41" w:rsidRPr="00993936" w:rsidRDefault="00503A41" w:rsidP="0009331F">
      <w:pPr>
        <w:spacing w:before="120"/>
        <w:jc w:val="both"/>
        <w:rPr>
          <w:rFonts w:ascii="Arial" w:hAnsi="Arial" w:cs="Arial"/>
          <w:b/>
          <w:lang w:val="es-ES"/>
        </w:rPr>
      </w:pPr>
    </w:p>
    <w:p w:rsidR="00503A41" w:rsidRPr="00993936" w:rsidRDefault="00503A41" w:rsidP="0009331F">
      <w:pPr>
        <w:spacing w:before="120"/>
        <w:jc w:val="both"/>
        <w:rPr>
          <w:rFonts w:ascii="Arial" w:hAnsi="Arial" w:cs="Arial"/>
          <w:b/>
          <w:lang w:val="es-ES"/>
        </w:rPr>
      </w:pPr>
      <w:r w:rsidRPr="00993936">
        <w:rPr>
          <w:rFonts w:ascii="Arial" w:hAnsi="Arial" w:cs="Arial"/>
          <w:b/>
          <w:lang w:val="es-ES"/>
        </w:rPr>
        <w:t>IV. IDENTIFICACIÓN, TRAZABILIDAD Y COMERCIALIZACIÓN</w:t>
      </w:r>
    </w:p>
    <w:p w:rsidR="00503A41" w:rsidRPr="00993936" w:rsidRDefault="00503A41" w:rsidP="0009331F">
      <w:pPr>
        <w:pStyle w:val="Ttulo6"/>
        <w:jc w:val="both"/>
        <w:rPr>
          <w:rFonts w:ascii="Arial" w:hAnsi="Arial" w:cs="Arial"/>
          <w:color w:val="auto"/>
          <w:lang w:val="es-ES"/>
        </w:rPr>
      </w:pPr>
      <w:r w:rsidRPr="00993936">
        <w:rPr>
          <w:rFonts w:ascii="Arial" w:hAnsi="Arial" w:cs="Arial"/>
          <w:color w:val="auto"/>
          <w:lang w:val="es-ES"/>
        </w:rPr>
        <w:t xml:space="preserve"> </w:t>
      </w:r>
    </w:p>
    <w:p w:rsidR="00503A41" w:rsidRPr="00993936" w:rsidRDefault="00503A41" w:rsidP="0009331F">
      <w:pPr>
        <w:pStyle w:val="Ttulo6"/>
        <w:jc w:val="both"/>
        <w:rPr>
          <w:rFonts w:ascii="Arial" w:hAnsi="Arial" w:cs="Arial"/>
          <w:b/>
          <w:color w:val="auto"/>
          <w:lang w:val="es-ES"/>
        </w:rPr>
      </w:pPr>
      <w:r w:rsidRPr="00993936">
        <w:rPr>
          <w:rFonts w:ascii="Arial" w:hAnsi="Arial" w:cs="Arial"/>
          <w:color w:val="auto"/>
          <w:lang w:val="es-ES"/>
        </w:rPr>
        <w:t>Artículo 32</w:t>
      </w:r>
    </w:p>
    <w:p w:rsidR="00503A41" w:rsidRPr="00993936" w:rsidRDefault="00C8459C" w:rsidP="0009331F">
      <w:pPr>
        <w:pStyle w:val="Ttulo6"/>
        <w:jc w:val="both"/>
        <w:rPr>
          <w:rFonts w:ascii="Arial" w:hAnsi="Arial" w:cs="Arial"/>
          <w:color w:val="auto"/>
          <w:lang w:val="es-ES"/>
        </w:rPr>
      </w:pPr>
      <w:r>
        <w:rPr>
          <w:rFonts w:ascii="Arial" w:hAnsi="Arial" w:cs="Arial"/>
          <w:color w:val="auto"/>
          <w:lang w:val="es-ES" w:eastAsia="ca-ES"/>
        </w:rPr>
        <w:pict>
          <v:line id="_x0000_s1041" style="position:absolute;left:0;text-align:left;z-index:251862016" from="63pt,-229.3pt" to="63pt,-229.3pt"/>
        </w:pict>
      </w:r>
      <w:r>
        <w:rPr>
          <w:rFonts w:ascii="Arial" w:hAnsi="Arial" w:cs="Arial"/>
          <w:color w:val="auto"/>
          <w:lang w:val="es-ES" w:eastAsia="ca-ES"/>
        </w:rPr>
        <w:pict>
          <v:line id="_x0000_s1040" style="position:absolute;left:0;text-align:left;z-index:251860992" from="450pt,-292.55pt" to="450pt,-292.55pt"/>
        </w:pict>
      </w:r>
      <w:r>
        <w:rPr>
          <w:rFonts w:ascii="Arial" w:hAnsi="Arial" w:cs="Arial"/>
          <w:color w:val="auto"/>
          <w:lang w:val="es-ES" w:eastAsia="ca-ES"/>
        </w:rPr>
        <w:pict>
          <v:line id="_x0000_s1039" style="position:absolute;left:0;text-align:left;z-index:251859968" from="180pt,-292.55pt" to="180pt,-292.55pt"/>
        </w:pict>
      </w:r>
      <w:r w:rsidR="00503A41" w:rsidRPr="00993936">
        <w:rPr>
          <w:rFonts w:ascii="Arial" w:hAnsi="Arial" w:cs="Arial"/>
          <w:color w:val="auto"/>
          <w:lang w:val="es-ES"/>
        </w:rPr>
        <w:t>Identificación y trazabilidad</w:t>
      </w:r>
    </w:p>
    <w:p w:rsidR="00503A41" w:rsidRPr="00993936" w:rsidRDefault="00503A41" w:rsidP="0009331F">
      <w:pPr>
        <w:jc w:val="both"/>
        <w:rPr>
          <w:rFonts w:ascii="Arial" w:hAnsi="Arial" w:cs="Arial"/>
          <w:lang w:val="es-ES"/>
        </w:rPr>
      </w:pPr>
      <w:r w:rsidRPr="00993936">
        <w:rPr>
          <w:rFonts w:ascii="Arial" w:hAnsi="Arial" w:cs="Arial"/>
          <w:lang w:val="es-ES"/>
        </w:rPr>
        <w:t xml:space="preserve">32.1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 xml:space="preserve">32.1.1 Complimentar una declaración de responsabilidad del agricultor que permita la identificación de los productos que proceden de parcelas acogidas a  la producción </w:t>
      </w:r>
      <w:r w:rsidRPr="00993936">
        <w:rPr>
          <w:rFonts w:ascii="Arial" w:hAnsi="Arial" w:cs="Arial"/>
          <w:lang w:val="es-ES"/>
        </w:rPr>
        <w:lastRenderedPageBreak/>
        <w:t>integrada. En un plano o croquis de la parcela y/o UHC se justificará el conocimiento de la ubicación de los diferentes lotes.</w:t>
      </w:r>
    </w:p>
    <w:p w:rsidR="00503A41" w:rsidRPr="00993936" w:rsidRDefault="00503A41" w:rsidP="0009331F">
      <w:pPr>
        <w:jc w:val="both"/>
        <w:rPr>
          <w:rFonts w:ascii="Arial" w:hAnsi="Arial" w:cs="Arial"/>
          <w:lang w:val="es-ES"/>
        </w:rPr>
      </w:pPr>
      <w:r w:rsidRPr="00993936">
        <w:rPr>
          <w:rFonts w:ascii="Arial" w:hAnsi="Arial" w:cs="Arial"/>
          <w:lang w:val="es-ES"/>
        </w:rPr>
        <w:t>32.1.2 En cada centro de recepción y/o manipulación tiene que haber un albarán de control de entrada, donde figure el producto, la cantidad, la parcela de origen, la unidad homogénea de cultivo y la fecha de entrada, firmado por la persona que hace la entrega.</w:t>
      </w:r>
    </w:p>
    <w:p w:rsidR="00503A41" w:rsidRPr="00993936" w:rsidRDefault="00503A41" w:rsidP="0009331F">
      <w:pPr>
        <w:jc w:val="both"/>
        <w:rPr>
          <w:rFonts w:ascii="Arial" w:hAnsi="Arial" w:cs="Arial"/>
          <w:lang w:val="es-ES"/>
        </w:rPr>
      </w:pPr>
      <w:r w:rsidRPr="00993936">
        <w:rPr>
          <w:rFonts w:ascii="Arial" w:hAnsi="Arial" w:cs="Arial"/>
          <w:lang w:val="es-ES"/>
        </w:rPr>
        <w:t>32.1.3 Los operadores que no tengan la totalidad de la producción de cultivo bajo normas de producción integrada, tendrán que cumplir los requisitos siguientes:</w:t>
      </w:r>
    </w:p>
    <w:p w:rsidR="00503A41" w:rsidRPr="00993936" w:rsidRDefault="00503A41" w:rsidP="009D1A2D">
      <w:pPr>
        <w:numPr>
          <w:ilvl w:val="0"/>
          <w:numId w:val="153"/>
        </w:numPr>
        <w:spacing w:after="0" w:line="240" w:lineRule="auto"/>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los productos de producción integrada para garantizar la separación desde la parcela o UHC hasta la entrega al cliente del producto elaborado de los de otros origenes. </w:t>
      </w:r>
    </w:p>
    <w:p w:rsidR="00503A41" w:rsidRPr="00993936" w:rsidRDefault="00503A41" w:rsidP="009D1A2D">
      <w:pPr>
        <w:numPr>
          <w:ilvl w:val="0"/>
          <w:numId w:val="153"/>
        </w:numPr>
        <w:spacing w:after="0" w:line="240" w:lineRule="auto"/>
        <w:jc w:val="both"/>
        <w:rPr>
          <w:rFonts w:ascii="Arial" w:hAnsi="Arial" w:cs="Arial"/>
          <w:lang w:val="es-ES"/>
        </w:rPr>
      </w:pPr>
      <w:r w:rsidRPr="00993936">
        <w:rPr>
          <w:rFonts w:ascii="Arial" w:hAnsi="Arial" w:cs="Arial"/>
          <w:lang w:val="es-ES"/>
        </w:rPr>
        <w:t>En caso de utilizar la misma línea de elaboración para los dos tipos de producto, tendrá que quedar claramente definido el intervalo de tiempo durante el cual se elabora cada tipo de producto, y tiene que ser conocido por todo el personal implicado en el proceso.</w:t>
      </w:r>
    </w:p>
    <w:p w:rsidR="00503A41" w:rsidRPr="00993936" w:rsidRDefault="00503A41" w:rsidP="009D1A2D">
      <w:pPr>
        <w:numPr>
          <w:ilvl w:val="0"/>
          <w:numId w:val="153"/>
        </w:numPr>
        <w:spacing w:after="0" w:line="240" w:lineRule="auto"/>
        <w:jc w:val="both"/>
        <w:rPr>
          <w:rFonts w:ascii="Arial" w:hAnsi="Arial" w:cs="Arial"/>
          <w:lang w:val="es-ES"/>
        </w:rPr>
      </w:pPr>
      <w:r w:rsidRPr="00993936">
        <w:rPr>
          <w:rFonts w:ascii="Arial" w:hAnsi="Arial" w:cs="Arial"/>
          <w:lang w:val="es-ES"/>
        </w:rPr>
        <w:t>Antes de proceder a la elaboración del producto de producción integrada, las líneas de elaboración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productos de otros orígenes</w:t>
      </w:r>
    </w:p>
    <w:p w:rsidR="00503A41" w:rsidRPr="00993936" w:rsidRDefault="00503A41" w:rsidP="0009331F">
      <w:pPr>
        <w:jc w:val="both"/>
        <w:rPr>
          <w:rFonts w:ascii="Arial" w:hAnsi="Arial" w:cs="Arial"/>
          <w:lang w:val="es-ES"/>
        </w:rPr>
      </w:pPr>
      <w:r w:rsidRPr="00993936">
        <w:rPr>
          <w:rFonts w:ascii="Arial" w:hAnsi="Arial" w:cs="Arial"/>
          <w:lang w:val="es-ES"/>
        </w:rPr>
        <w:t>32.1.4 Los productos de producción integrada serán identificados y considerados, en cualquier momento del proceso técnico, administrativo y de comercialización como un producto diferente del resto de los productos manipulados por la persona operadora.</w:t>
      </w:r>
    </w:p>
    <w:p w:rsidR="00503A41" w:rsidRPr="00993936" w:rsidRDefault="00503A41" w:rsidP="0009331F">
      <w:pPr>
        <w:jc w:val="both"/>
        <w:rPr>
          <w:rFonts w:ascii="Arial" w:hAnsi="Arial" w:cs="Arial"/>
          <w:lang w:val="es-ES"/>
        </w:rPr>
      </w:pPr>
      <w:r w:rsidRPr="00993936">
        <w:rPr>
          <w:rFonts w:ascii="Arial" w:hAnsi="Arial" w:cs="Arial"/>
          <w:lang w:val="es-ES"/>
        </w:rPr>
        <w:t>32.1.5 Las cajas de campo y otros envases utilizados para la vendimia o el transporte de productos de producción integrada deben estar claramente diferenciados de los utilizados para otros productos.</w:t>
      </w:r>
    </w:p>
    <w:p w:rsidR="00503A41" w:rsidRPr="00993936" w:rsidRDefault="00503A41" w:rsidP="0009331F">
      <w:pPr>
        <w:jc w:val="both"/>
        <w:rPr>
          <w:rFonts w:ascii="Arial" w:hAnsi="Arial" w:cs="Arial"/>
          <w:lang w:val="es-ES"/>
        </w:rPr>
      </w:pPr>
      <w:r w:rsidRPr="00993936">
        <w:rPr>
          <w:rFonts w:ascii="Arial" w:hAnsi="Arial" w:cs="Arial"/>
          <w:lang w:val="es-ES"/>
        </w:rPr>
        <w:t xml:space="preserve">32.2 </w:t>
      </w:r>
      <w:r w:rsidRPr="00993936">
        <w:rPr>
          <w:rFonts w:ascii="Arial" w:hAnsi="Arial" w:cs="Arial"/>
          <w:i/>
          <w:lang w:val="es-ES"/>
        </w:rPr>
        <w:t>Prohibiciones</w:t>
      </w:r>
    </w:p>
    <w:p w:rsidR="00503A41" w:rsidRPr="00993936" w:rsidRDefault="00503A41" w:rsidP="0009331F">
      <w:pPr>
        <w:jc w:val="both"/>
        <w:rPr>
          <w:rFonts w:ascii="Arial" w:hAnsi="Arial" w:cs="Arial"/>
          <w:lang w:val="es-ES"/>
        </w:rPr>
      </w:pPr>
      <w:r w:rsidRPr="00993936">
        <w:rPr>
          <w:rFonts w:ascii="Arial" w:hAnsi="Arial" w:cs="Arial"/>
          <w:lang w:val="es-ES"/>
        </w:rPr>
        <w:t>32.2.1</w:t>
      </w:r>
      <w:r w:rsidRPr="00993936">
        <w:rPr>
          <w:rFonts w:ascii="Arial" w:hAnsi="Arial" w:cs="Arial"/>
          <w:b/>
          <w:lang w:val="es-ES"/>
        </w:rPr>
        <w:t xml:space="preserve"> </w:t>
      </w:r>
      <w:r w:rsidRPr="00993936">
        <w:rPr>
          <w:rFonts w:ascii="Arial" w:hAnsi="Arial" w:cs="Arial"/>
          <w:lang w:val="es-ES"/>
        </w:rPr>
        <w:t>Comercializar, como productos amparados por esta norma, los procedentes de unidades de cultivo que no cumplan las indicaciones de cultivo que establece la normativa de producción integrada en toda su producción.</w:t>
      </w:r>
    </w:p>
    <w:p w:rsidR="00503A41" w:rsidRPr="00993936" w:rsidRDefault="00503A41" w:rsidP="0009331F">
      <w:pPr>
        <w:jc w:val="both"/>
        <w:rPr>
          <w:rFonts w:ascii="Arial" w:hAnsi="Arial" w:cs="Arial"/>
          <w:lang w:val="es-ES"/>
        </w:rPr>
      </w:pPr>
      <w:r w:rsidRPr="00993936">
        <w:rPr>
          <w:rFonts w:ascii="Arial" w:hAnsi="Arial" w:cs="Arial"/>
          <w:lang w:val="es-ES"/>
        </w:rPr>
        <w:t>32.2.2 La presencia de cajas, etiquetas o marcas comerciales, de productos de producción integrada en parcelas y/o UHC que no estén acogidas a Producción Integrada.</w:t>
      </w:r>
    </w:p>
    <w:p w:rsidR="00503A41" w:rsidRPr="00993936" w:rsidRDefault="00503A41" w:rsidP="0009331F">
      <w:pPr>
        <w:pStyle w:val="Ttulo6"/>
        <w:spacing w:before="120"/>
        <w:jc w:val="both"/>
        <w:rPr>
          <w:rFonts w:ascii="Arial" w:hAnsi="Arial" w:cs="Arial"/>
          <w:color w:val="auto"/>
          <w:lang w:val="es-ES"/>
        </w:rPr>
      </w:pPr>
    </w:p>
    <w:p w:rsidR="00503A41" w:rsidRPr="00993936" w:rsidRDefault="00503A41" w:rsidP="0009331F">
      <w:pPr>
        <w:pStyle w:val="Ttulo6"/>
        <w:spacing w:before="120"/>
        <w:jc w:val="both"/>
        <w:rPr>
          <w:rFonts w:ascii="Arial" w:hAnsi="Arial" w:cs="Arial"/>
          <w:color w:val="auto"/>
          <w:lang w:val="es-ES"/>
        </w:rPr>
      </w:pPr>
      <w:r w:rsidRPr="00993936">
        <w:rPr>
          <w:rFonts w:ascii="Arial" w:hAnsi="Arial" w:cs="Arial"/>
          <w:color w:val="auto"/>
          <w:lang w:val="es-ES"/>
        </w:rPr>
        <w:t>Artículo 33</w:t>
      </w:r>
    </w:p>
    <w:p w:rsidR="00503A41" w:rsidRPr="00993936" w:rsidRDefault="00503A41" w:rsidP="0009331F">
      <w:pPr>
        <w:pStyle w:val="Ttulo6"/>
        <w:jc w:val="both"/>
        <w:rPr>
          <w:rFonts w:ascii="Arial" w:hAnsi="Arial" w:cs="Arial"/>
          <w:color w:val="auto"/>
          <w:lang w:val="es-ES"/>
        </w:rPr>
      </w:pPr>
      <w:r w:rsidRPr="00993936">
        <w:rPr>
          <w:rFonts w:ascii="Arial" w:hAnsi="Arial" w:cs="Arial"/>
          <w:color w:val="auto"/>
          <w:lang w:val="es-ES"/>
        </w:rPr>
        <w:t>Control de calidad</w:t>
      </w:r>
    </w:p>
    <w:p w:rsidR="00503A41" w:rsidRPr="00993936" w:rsidRDefault="00503A41" w:rsidP="0009331F">
      <w:pPr>
        <w:pStyle w:val="Encabezado"/>
        <w:tabs>
          <w:tab w:val="clear" w:pos="4252"/>
          <w:tab w:val="clear" w:pos="8504"/>
        </w:tabs>
        <w:jc w:val="both"/>
        <w:rPr>
          <w:rFonts w:ascii="Arial" w:hAnsi="Arial" w:cs="Arial"/>
          <w:lang w:val="es-ES"/>
        </w:rPr>
      </w:pPr>
      <w:r w:rsidRPr="00993936">
        <w:rPr>
          <w:rFonts w:ascii="Arial" w:hAnsi="Arial" w:cs="Arial"/>
          <w:lang w:val="es-ES"/>
        </w:rPr>
        <w:t xml:space="preserve">33.1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 xml:space="preserve">33.1.1 La persona operadora tiene que tener definido e implantado un muestreo sistemático de la producción que sirva para comprobar que se cumplen las especificaciones de la legislación vigente </w:t>
      </w:r>
    </w:p>
    <w:p w:rsidR="00503A41" w:rsidRPr="00993936" w:rsidRDefault="00503A41" w:rsidP="0009331F">
      <w:pPr>
        <w:jc w:val="both"/>
        <w:rPr>
          <w:rFonts w:ascii="Arial" w:hAnsi="Arial" w:cs="Arial"/>
          <w:lang w:val="es-ES"/>
        </w:rPr>
      </w:pPr>
      <w:r w:rsidRPr="00993936">
        <w:rPr>
          <w:rFonts w:ascii="Arial" w:hAnsi="Arial" w:cs="Arial"/>
          <w:lang w:val="es-ES"/>
        </w:rPr>
        <w:t>33.1.2 La persona operadora tiene que conservar los registros de los controles.</w:t>
      </w:r>
    </w:p>
    <w:p w:rsidR="00503A41" w:rsidRPr="00993936" w:rsidRDefault="00503A41" w:rsidP="0009331F">
      <w:pPr>
        <w:pStyle w:val="Textoindependiente"/>
        <w:rPr>
          <w:rFonts w:cs="Arial"/>
          <w:szCs w:val="22"/>
          <w:lang w:val="es-ES"/>
        </w:rPr>
      </w:pPr>
      <w:r w:rsidRPr="00993936">
        <w:rPr>
          <w:rFonts w:cs="Arial"/>
          <w:szCs w:val="22"/>
          <w:lang w:val="es-ES"/>
        </w:rPr>
        <w:t>33.1.3 La persona operadora verificará el funcionamiento correcto del instrumental de medida.</w:t>
      </w:r>
    </w:p>
    <w:p w:rsidR="00503A41" w:rsidRPr="00993936" w:rsidRDefault="00503A41" w:rsidP="0009331F">
      <w:pPr>
        <w:jc w:val="both"/>
        <w:rPr>
          <w:rFonts w:ascii="Arial" w:hAnsi="Arial" w:cs="Arial"/>
          <w:lang w:val="es-ES"/>
        </w:rPr>
      </w:pPr>
      <w:r w:rsidRPr="00993936">
        <w:rPr>
          <w:rFonts w:ascii="Arial" w:hAnsi="Arial" w:cs="Arial"/>
          <w:lang w:val="es-ES"/>
        </w:rPr>
        <w:t>33.1.4 Controlar periódicamente la calidad y, específicamente, antes de la comercialización, teniendo en cuenta aspectos de muestreo, tipo de determinación analítica que garantice la seguridad del consumidor.</w:t>
      </w:r>
    </w:p>
    <w:p w:rsidR="00503A41" w:rsidRPr="00993936" w:rsidRDefault="00503A41" w:rsidP="0009331F">
      <w:pPr>
        <w:jc w:val="both"/>
        <w:rPr>
          <w:rFonts w:ascii="Arial" w:hAnsi="Arial" w:cs="Arial"/>
          <w:lang w:val="es-ES"/>
        </w:rPr>
      </w:pPr>
    </w:p>
    <w:p w:rsidR="00503A41" w:rsidRPr="00993936" w:rsidRDefault="00503A41" w:rsidP="004E35E2">
      <w:pPr>
        <w:jc w:val="both"/>
        <w:rPr>
          <w:rFonts w:ascii="Arial" w:hAnsi="Arial" w:cs="Arial"/>
          <w:b/>
          <w:lang w:val="es-ES"/>
        </w:rPr>
      </w:pPr>
      <w:r w:rsidRPr="00993936">
        <w:rPr>
          <w:rFonts w:ascii="Arial" w:hAnsi="Arial" w:cs="Arial"/>
          <w:b/>
          <w:lang w:val="es-ES"/>
        </w:rPr>
        <w:t>V. RESIDUOS</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Artículo 34</w:t>
      </w:r>
    </w:p>
    <w:p w:rsidR="00503A41" w:rsidRPr="00993936" w:rsidRDefault="00503A41" w:rsidP="0009331F">
      <w:pPr>
        <w:jc w:val="both"/>
        <w:rPr>
          <w:rFonts w:ascii="Arial" w:hAnsi="Arial" w:cs="Arial"/>
          <w:b/>
          <w:lang w:val="es-ES"/>
        </w:rPr>
      </w:pPr>
      <w:r w:rsidRPr="00993936">
        <w:rPr>
          <w:rFonts w:ascii="Arial" w:hAnsi="Arial" w:cs="Arial"/>
          <w:b/>
          <w:lang w:val="es-ES"/>
        </w:rPr>
        <w:t>Gestión de Residuos</w:t>
      </w:r>
    </w:p>
    <w:p w:rsidR="00503A41" w:rsidRPr="00993936" w:rsidRDefault="00503A41" w:rsidP="0009331F">
      <w:pPr>
        <w:jc w:val="both"/>
        <w:rPr>
          <w:rFonts w:ascii="Arial" w:hAnsi="Arial" w:cs="Arial"/>
          <w:i/>
          <w:lang w:val="es-ES"/>
        </w:rPr>
      </w:pPr>
      <w:r w:rsidRPr="00993936">
        <w:rPr>
          <w:rFonts w:ascii="Arial" w:hAnsi="Arial" w:cs="Arial"/>
          <w:lang w:val="es-ES"/>
        </w:rPr>
        <w:t xml:space="preserve">34.1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34.1.1 Reciclar adecuadamente los sustratos inertes, siempre que sea agronómicamente aconsejable.</w:t>
      </w:r>
    </w:p>
    <w:p w:rsidR="00503A41" w:rsidRPr="00993936" w:rsidRDefault="00503A41" w:rsidP="0009331F">
      <w:pPr>
        <w:jc w:val="both"/>
        <w:rPr>
          <w:rFonts w:ascii="Arial" w:hAnsi="Arial" w:cs="Arial"/>
          <w:lang w:val="es-ES"/>
        </w:rPr>
      </w:pPr>
      <w:r w:rsidRPr="00993936">
        <w:rPr>
          <w:rFonts w:ascii="Arial" w:hAnsi="Arial" w:cs="Arial"/>
          <w:lang w:val="es-ES"/>
        </w:rPr>
        <w:t>34.1.2 Retirar para su reciclaje o, si procede</w:t>
      </w:r>
      <w:r w:rsidRPr="00993936">
        <w:rPr>
          <w:rFonts w:ascii="Arial" w:hAnsi="Arial" w:cs="Arial"/>
          <w:vanish/>
          <w:lang w:val="es-ES"/>
        </w:rPr>
        <w:t>&lt;A[pega|ocurre]&gt;</w:t>
      </w:r>
      <w:r w:rsidRPr="00993936">
        <w:rPr>
          <w:rFonts w:ascii="Arial" w:hAnsi="Arial" w:cs="Arial"/>
          <w:lang w:val="es-ES"/>
        </w:rPr>
        <w:t>, para hacer un vertido controlado, los restos de plásticos, malla o cualquier otro material utilizado en las estructuras del cultivo, siempre que haya un sistema de gestión de estos residuos.</w:t>
      </w:r>
    </w:p>
    <w:p w:rsidR="00503A41" w:rsidRPr="00993936" w:rsidRDefault="00503A41" w:rsidP="0009331F">
      <w:pPr>
        <w:jc w:val="both"/>
        <w:rPr>
          <w:rFonts w:ascii="Arial" w:hAnsi="Arial" w:cs="Arial"/>
          <w:lang w:val="es-ES"/>
        </w:rPr>
      </w:pPr>
      <w:r w:rsidRPr="00993936">
        <w:rPr>
          <w:rFonts w:ascii="Arial" w:hAnsi="Arial" w:cs="Arial"/>
          <w:lang w:val="es-ES"/>
        </w:rPr>
        <w:t>34.1.3 Retirar y almacenar los envases de los productos fitosanitarios y fertilizantes, una vez utilizados, hasta entregarlos a un gestor autorizado de acuerdo con el Decreto 1416/2001, de 14 de diciembre, sobre envases de productos fitosanitarios.</w:t>
      </w:r>
    </w:p>
    <w:p w:rsidR="00503A41" w:rsidRPr="00993936" w:rsidRDefault="00503A41" w:rsidP="0009331F">
      <w:pPr>
        <w:jc w:val="both"/>
        <w:rPr>
          <w:rFonts w:ascii="Arial" w:hAnsi="Arial" w:cs="Arial"/>
          <w:lang w:val="es-ES"/>
        </w:rPr>
      </w:pPr>
      <w:r w:rsidRPr="00993936">
        <w:rPr>
          <w:rFonts w:ascii="Arial" w:hAnsi="Arial" w:cs="Arial"/>
          <w:lang w:val="es-ES"/>
        </w:rPr>
        <w:t>34.1.4  Gestionar los productos fitosanitarios de rechazo mediante un gestor autorizado de residuos de productos químicos o a través de una compañía proveedora o cualquier otro método seguro para el medio.</w:t>
      </w:r>
    </w:p>
    <w:p w:rsidR="00503A41" w:rsidRPr="00993936" w:rsidRDefault="00503A41" w:rsidP="0009331F">
      <w:pPr>
        <w:jc w:val="both"/>
        <w:rPr>
          <w:rFonts w:ascii="Arial" w:hAnsi="Arial" w:cs="Arial"/>
          <w:lang w:val="es-ES"/>
        </w:rPr>
      </w:pPr>
      <w:r w:rsidRPr="00993936">
        <w:rPr>
          <w:rFonts w:ascii="Arial" w:hAnsi="Arial" w:cs="Arial"/>
          <w:lang w:val="es-ES"/>
        </w:rPr>
        <w:t>34.1.5 Establecer sistemas de recogida de aceites usados o de todo tipo de sustancias tóxicas y peligrosas que haya en la explotación dándolos los destino previsto en la legislación vigente.</w:t>
      </w:r>
    </w:p>
    <w:p w:rsidR="00503A41" w:rsidRPr="00993936" w:rsidRDefault="00503A41" w:rsidP="0009331F">
      <w:pPr>
        <w:jc w:val="both"/>
        <w:rPr>
          <w:rFonts w:ascii="Arial" w:hAnsi="Arial" w:cs="Arial"/>
          <w:b/>
          <w:lang w:val="es-ES"/>
        </w:rPr>
      </w:pPr>
      <w:r w:rsidRPr="00993936">
        <w:rPr>
          <w:rFonts w:ascii="Arial" w:hAnsi="Arial" w:cs="Arial"/>
          <w:lang w:val="es-ES"/>
        </w:rPr>
        <w:t xml:space="preserve">34.2 </w:t>
      </w:r>
      <w:r w:rsidRPr="00993936">
        <w:rPr>
          <w:rFonts w:ascii="Arial" w:hAnsi="Arial" w:cs="Arial"/>
          <w:i/>
          <w:lang w:val="es-ES"/>
        </w:rPr>
        <w:t>Prohibiciones</w:t>
      </w:r>
    </w:p>
    <w:p w:rsidR="00503A41" w:rsidRPr="00993936" w:rsidRDefault="00503A41" w:rsidP="0009331F">
      <w:pPr>
        <w:jc w:val="both"/>
        <w:rPr>
          <w:rFonts w:ascii="Arial" w:hAnsi="Arial" w:cs="Arial"/>
          <w:lang w:val="es-ES"/>
        </w:rPr>
      </w:pPr>
      <w:r w:rsidRPr="00993936">
        <w:rPr>
          <w:rFonts w:ascii="Arial" w:hAnsi="Arial" w:cs="Arial"/>
          <w:lang w:val="es-ES"/>
        </w:rPr>
        <w:t xml:space="preserve">34.2.1 Abandonar restos de plástico, envases y otros residuos en el interior o en los márgenes de la parcela y/o UHC. </w:t>
      </w:r>
    </w:p>
    <w:p w:rsidR="00503A41" w:rsidRPr="00993936" w:rsidRDefault="00503A41" w:rsidP="0009331F">
      <w:pPr>
        <w:jc w:val="both"/>
        <w:rPr>
          <w:rFonts w:ascii="Arial" w:hAnsi="Arial" w:cs="Arial"/>
          <w:lang w:val="es-ES"/>
        </w:rPr>
      </w:pPr>
      <w:r w:rsidRPr="00993936">
        <w:rPr>
          <w:rFonts w:ascii="Arial" w:hAnsi="Arial" w:cs="Arial"/>
          <w:lang w:val="es-ES"/>
        </w:rPr>
        <w:t>34.2.2 Utilizar plásticos o mallas de las estructuras de cultivo, una vez retirados, para otros usos que supongan un riesgo para el cultivo, las personas o la fauna.</w:t>
      </w:r>
    </w:p>
    <w:p w:rsidR="00503A41" w:rsidRPr="00993936" w:rsidRDefault="00503A41" w:rsidP="0009331F">
      <w:pPr>
        <w:jc w:val="both"/>
        <w:rPr>
          <w:rFonts w:ascii="Arial" w:hAnsi="Arial" w:cs="Arial"/>
          <w:lang w:val="es-ES"/>
        </w:rPr>
      </w:pPr>
      <w:r w:rsidRPr="00993936">
        <w:rPr>
          <w:rFonts w:ascii="Arial" w:hAnsi="Arial" w:cs="Arial"/>
          <w:lang w:val="es-ES"/>
        </w:rPr>
        <w:t>34.2.3  Destruir, mediante el fuego u otros procedimientos, triturar o enterrar en la parcela y/o UHC o limítrofes, los envasas vacíos</w:t>
      </w:r>
      <w:r w:rsidRPr="00993936">
        <w:rPr>
          <w:rFonts w:ascii="Arial" w:hAnsi="Arial" w:cs="Arial"/>
          <w:vanish/>
          <w:lang w:val="es-ES"/>
        </w:rPr>
        <w:t>&lt;A[vacíos|huecos]&gt;</w:t>
      </w:r>
      <w:r w:rsidRPr="00993936">
        <w:rPr>
          <w:rFonts w:ascii="Arial" w:hAnsi="Arial" w:cs="Arial"/>
          <w:lang w:val="es-ES"/>
        </w:rPr>
        <w:t xml:space="preserve"> de los productos fitosanitarios y fertilizantes, los plásticos o las mallas de las estructuras de cultivo, a excepción de que se haga en lugares</w:t>
      </w:r>
      <w:r w:rsidRPr="00993936">
        <w:rPr>
          <w:rFonts w:ascii="Arial" w:hAnsi="Arial" w:cs="Arial"/>
          <w:vanish/>
          <w:lang w:val="es-ES"/>
        </w:rPr>
        <w:t>&lt;A[lugares|sitios]&gt;</w:t>
      </w:r>
      <w:r w:rsidRPr="00993936">
        <w:rPr>
          <w:rFonts w:ascii="Arial" w:hAnsi="Arial" w:cs="Arial"/>
          <w:lang w:val="es-ES"/>
        </w:rPr>
        <w:t xml:space="preserve"> autorizados por la autoridad competente.</w:t>
      </w:r>
    </w:p>
    <w:p w:rsidR="00503A41" w:rsidRPr="00993936" w:rsidRDefault="00503A41" w:rsidP="0009331F">
      <w:pPr>
        <w:jc w:val="both"/>
        <w:rPr>
          <w:rFonts w:ascii="Arial" w:hAnsi="Arial" w:cs="Arial"/>
          <w:lang w:val="es-ES"/>
        </w:rPr>
      </w:pPr>
      <w:r w:rsidRPr="00993936">
        <w:rPr>
          <w:rFonts w:ascii="Arial" w:hAnsi="Arial" w:cs="Arial"/>
          <w:lang w:val="es-ES"/>
        </w:rPr>
        <w:t>34.2.4  Depositar en cursos de agua, canales o embalses de agua, o dentro del perímetro de protección de captaciones de agua de consumo humano, los restos de caldo de los equipos de aplicación de productos fitosanitarios y lavarlos en esta zona.</w:t>
      </w:r>
    </w:p>
    <w:p w:rsidR="00503A41" w:rsidRPr="00993936" w:rsidRDefault="00503A41" w:rsidP="0009331F">
      <w:pPr>
        <w:jc w:val="both"/>
        <w:rPr>
          <w:rFonts w:ascii="Arial" w:hAnsi="Arial" w:cs="Arial"/>
          <w:lang w:val="es-ES"/>
        </w:rPr>
      </w:pPr>
      <w:r w:rsidRPr="00993936">
        <w:rPr>
          <w:rFonts w:ascii="Arial" w:hAnsi="Arial" w:cs="Arial"/>
          <w:lang w:val="es-ES"/>
        </w:rPr>
        <w:t xml:space="preserve">34.2.5  Quemar restos vegetales de manera incontrolada, sin tener en consideración la normativa vigente que sea de aplicación. </w:t>
      </w:r>
    </w:p>
    <w:p w:rsidR="00503A41" w:rsidRPr="00993936" w:rsidRDefault="00503A41" w:rsidP="0009331F">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35</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Control de residuos de productos fitosanitarios en vegetales</w:t>
      </w:r>
    </w:p>
    <w:p w:rsidR="00503A41" w:rsidRPr="00993936" w:rsidRDefault="00503A41" w:rsidP="0009331F">
      <w:pPr>
        <w:pStyle w:val="NormalWeb"/>
        <w:spacing w:after="0"/>
        <w:jc w:val="both"/>
        <w:rPr>
          <w:rFonts w:ascii="Arial" w:hAnsi="Arial" w:cs="Arial"/>
          <w:i/>
          <w:sz w:val="22"/>
          <w:szCs w:val="22"/>
          <w:lang w:val="es-ES"/>
        </w:rPr>
      </w:pPr>
      <w:r w:rsidRPr="00993936">
        <w:rPr>
          <w:rFonts w:ascii="Arial" w:hAnsi="Arial" w:cs="Arial"/>
          <w:i/>
          <w:sz w:val="22"/>
          <w:szCs w:val="22"/>
          <w:lang w:val="es-ES"/>
        </w:rPr>
        <w:t>35.1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35.1.1 La persona operadora tiene que disponer de un programa de autocontrol individual o colectivo para verificar la ausencia de residuos de productos fitosanitarios, por medio de la toma de muestras correspondiente, garantizando que han sido </w:t>
      </w:r>
      <w:r w:rsidRPr="00993936">
        <w:rPr>
          <w:rFonts w:ascii="Arial" w:hAnsi="Arial" w:cs="Arial"/>
          <w:sz w:val="22"/>
          <w:szCs w:val="22"/>
          <w:lang w:val="es-ES"/>
        </w:rPr>
        <w:lastRenderedPageBreak/>
        <w:t>utilizadas exclusivamente las sustancias activas autorizadas y comprobar que se cumple la normativa de aplicación y, dado el caso, la del estado de destinación</w:t>
      </w:r>
      <w:r w:rsidRPr="00993936">
        <w:rPr>
          <w:rFonts w:ascii="Arial" w:hAnsi="Arial" w:cs="Arial"/>
          <w:vanish/>
          <w:sz w:val="22"/>
          <w:szCs w:val="22"/>
          <w:lang w:val="es-ES"/>
        </w:rPr>
        <w:t>&lt;A[destinación|destino]&gt;</w:t>
      </w:r>
      <w:r w:rsidRPr="00993936">
        <w:rPr>
          <w:rFonts w:ascii="Arial" w:hAnsi="Arial" w:cs="Arial"/>
          <w:sz w:val="22"/>
          <w:szCs w:val="22"/>
          <w:lang w:val="es-ES"/>
        </w:rPr>
        <w:t>, en relación con los límites máximos de residuos de productos fitosanitarios. La planificación de la recogida de las muestras tiene que considerar especialmente la época de vendimia y/o de manipulación.</w:t>
      </w:r>
    </w:p>
    <w:p w:rsidR="00503A41" w:rsidRPr="00993936" w:rsidRDefault="00503A41" w:rsidP="0009331F">
      <w:pPr>
        <w:pStyle w:val="NormalWeb"/>
        <w:spacing w:after="0"/>
        <w:jc w:val="both"/>
        <w:rPr>
          <w:rFonts w:ascii="Arial" w:hAnsi="Arial" w:cs="Arial"/>
          <w:sz w:val="22"/>
          <w:szCs w:val="22"/>
          <w:lang w:val="es-ES"/>
        </w:rPr>
      </w:pPr>
    </w:p>
    <w:p w:rsidR="00503A41" w:rsidRPr="00993936" w:rsidRDefault="00503A41" w:rsidP="004E35E2">
      <w:pPr>
        <w:pStyle w:val="NormalWeb"/>
        <w:spacing w:after="0"/>
        <w:jc w:val="both"/>
        <w:rPr>
          <w:rFonts w:ascii="Arial" w:hAnsi="Arial" w:cs="Arial"/>
          <w:b/>
          <w:sz w:val="22"/>
          <w:szCs w:val="22"/>
          <w:lang w:val="es-ES"/>
        </w:rPr>
      </w:pPr>
      <w:r w:rsidRPr="00993936">
        <w:rPr>
          <w:rFonts w:ascii="Arial" w:hAnsi="Arial" w:cs="Arial"/>
          <w:b/>
          <w:sz w:val="22"/>
          <w:szCs w:val="22"/>
          <w:lang w:val="es-ES"/>
        </w:rPr>
        <w:t xml:space="preserve">VI. PROTECCIÓN MEDIOAMBIENTAL </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Artículo 36</w:t>
      </w:r>
    </w:p>
    <w:p w:rsidR="00503A41" w:rsidRPr="00993936" w:rsidRDefault="00503A41" w:rsidP="0009331F">
      <w:pPr>
        <w:jc w:val="both"/>
        <w:rPr>
          <w:rFonts w:ascii="Arial" w:hAnsi="Arial" w:cs="Arial"/>
          <w:b/>
          <w:lang w:val="es-ES"/>
        </w:rPr>
      </w:pPr>
      <w:r w:rsidRPr="00993936">
        <w:rPr>
          <w:rFonts w:ascii="Arial" w:hAnsi="Arial" w:cs="Arial"/>
          <w:b/>
          <w:lang w:val="es-ES"/>
        </w:rPr>
        <w:t>Protección medio ambiental</w:t>
      </w:r>
    </w:p>
    <w:p w:rsidR="00503A41" w:rsidRPr="00993936" w:rsidRDefault="00503A41" w:rsidP="0009331F">
      <w:pPr>
        <w:jc w:val="both"/>
        <w:rPr>
          <w:rFonts w:ascii="Arial" w:hAnsi="Arial" w:cs="Arial"/>
          <w:i/>
          <w:lang w:val="es-ES"/>
        </w:rPr>
      </w:pPr>
      <w:r w:rsidRPr="00993936">
        <w:rPr>
          <w:rFonts w:ascii="Arial" w:hAnsi="Arial" w:cs="Arial"/>
          <w:lang w:val="es-ES"/>
        </w:rPr>
        <w:t xml:space="preserve">36 </w:t>
      </w:r>
      <w:r w:rsidRPr="00993936">
        <w:rPr>
          <w:rFonts w:ascii="Arial" w:hAnsi="Arial" w:cs="Arial"/>
          <w:i/>
          <w:lang w:val="es-ES"/>
        </w:rPr>
        <w:t>Obligaciones</w:t>
      </w:r>
    </w:p>
    <w:p w:rsidR="00503A41" w:rsidRPr="00993936" w:rsidRDefault="00503A41" w:rsidP="0009331F">
      <w:pPr>
        <w:pStyle w:val="Textoindependiente"/>
        <w:rPr>
          <w:rFonts w:cs="Arial"/>
          <w:szCs w:val="22"/>
          <w:lang w:val="es-ES"/>
        </w:rPr>
      </w:pPr>
      <w:r w:rsidRPr="00993936">
        <w:rPr>
          <w:rFonts w:cs="Arial"/>
          <w:szCs w:val="22"/>
          <w:lang w:val="es-ES"/>
        </w:rPr>
        <w:t>36.1 La empresa tiene que cumplir con la política de conservación del entorno natural según la legislación medio ambiental vigente.</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36.2  Disponer de medidas de prevención de vertido accidental de aceites, hidrocarburos u otros productos químicos peligrosos para el medio ambiente.</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36.3  Implantar, si no están, medidas de ahorro en el consumo de agua y de energía en las instalaciones y en los procesos.</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 xml:space="preserve">VII. CONTROL Y CERTIFICACIÓN </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Artículo 37</w:t>
      </w:r>
    </w:p>
    <w:p w:rsidR="00503A41" w:rsidRPr="00993936" w:rsidRDefault="00503A41" w:rsidP="0009331F">
      <w:pPr>
        <w:jc w:val="both"/>
        <w:rPr>
          <w:rFonts w:ascii="Arial" w:hAnsi="Arial" w:cs="Arial"/>
          <w:b/>
          <w:lang w:val="es-ES"/>
        </w:rPr>
      </w:pPr>
      <w:r w:rsidRPr="00993936">
        <w:rPr>
          <w:rFonts w:ascii="Arial" w:hAnsi="Arial" w:cs="Arial"/>
          <w:b/>
          <w:lang w:val="es-ES"/>
        </w:rPr>
        <w:t>Tratamiento de No conformidades</w:t>
      </w:r>
    </w:p>
    <w:p w:rsidR="00503A41" w:rsidRPr="00993936" w:rsidRDefault="00503A41" w:rsidP="0009331F">
      <w:pPr>
        <w:jc w:val="both"/>
        <w:rPr>
          <w:rFonts w:ascii="Arial" w:hAnsi="Arial" w:cs="Arial"/>
          <w:b/>
          <w:lang w:val="es-ES"/>
        </w:rPr>
      </w:pPr>
      <w:r w:rsidRPr="00993936">
        <w:rPr>
          <w:rFonts w:ascii="Arial" w:hAnsi="Arial" w:cs="Arial"/>
          <w:i/>
          <w:lang w:val="es-ES"/>
        </w:rPr>
        <w:t>37.1 Obligaciones</w:t>
      </w:r>
    </w:p>
    <w:p w:rsidR="00503A41" w:rsidRPr="00993936" w:rsidRDefault="00503A41" w:rsidP="0009331F">
      <w:pPr>
        <w:jc w:val="both"/>
        <w:rPr>
          <w:rFonts w:ascii="Arial" w:hAnsi="Arial" w:cs="Arial"/>
          <w:lang w:val="es-ES"/>
        </w:rPr>
      </w:pPr>
      <w:r w:rsidRPr="00993936">
        <w:rPr>
          <w:rFonts w:ascii="Arial" w:hAnsi="Arial" w:cs="Arial"/>
          <w:lang w:val="es-ES"/>
        </w:rPr>
        <w:t>37.1.1 Cuando durante la realización de los controles internos o externos se detecte el incumplimiento total o parcial de alguna de las prácticas establecidas en esta norma como “obligatorias” o “prohibidas”, se tendrá que dejar registro como “no conformidad” de las desviaciones detectadas.</w:t>
      </w:r>
    </w:p>
    <w:p w:rsidR="00503A41" w:rsidRPr="00993936" w:rsidRDefault="00503A41" w:rsidP="0009331F">
      <w:pPr>
        <w:jc w:val="both"/>
        <w:rPr>
          <w:rFonts w:ascii="Arial" w:hAnsi="Arial" w:cs="Arial"/>
          <w:lang w:val="es-ES"/>
        </w:rPr>
      </w:pPr>
      <w:r w:rsidRPr="00993936">
        <w:rPr>
          <w:rFonts w:ascii="Arial" w:hAnsi="Arial" w:cs="Arial"/>
          <w:lang w:val="es-ES"/>
        </w:rPr>
        <w:t>37.1.2 Establecer y documentar las acciones correctivas que procedan</w:t>
      </w:r>
      <w:r w:rsidRPr="00993936">
        <w:rPr>
          <w:rFonts w:ascii="Arial" w:hAnsi="Arial" w:cs="Arial"/>
          <w:vanish/>
          <w:lang w:val="es-ES"/>
        </w:rPr>
        <w:t>&lt;A[peguen|ocurran]&gt;</w:t>
      </w:r>
      <w:r w:rsidRPr="00993936">
        <w:rPr>
          <w:rFonts w:ascii="Arial" w:hAnsi="Arial" w:cs="Arial"/>
          <w:lang w:val="es-ES"/>
        </w:rPr>
        <w:t xml:space="preserve"> para dar el tratamiento adecuado a estas no conformidades, de manera que se eliminen los efectos y las causas que las motivan y se impida una repetición futura.</w:t>
      </w:r>
    </w:p>
    <w:p w:rsidR="00503A41" w:rsidRPr="00993936" w:rsidRDefault="00503A41" w:rsidP="0009331F">
      <w:pPr>
        <w:jc w:val="both"/>
        <w:rPr>
          <w:rFonts w:ascii="Arial" w:hAnsi="Arial" w:cs="Arial"/>
          <w:lang w:val="es-ES"/>
        </w:rPr>
      </w:pPr>
      <w:r w:rsidRPr="00993936">
        <w:rPr>
          <w:rFonts w:ascii="Arial" w:hAnsi="Arial" w:cs="Arial"/>
          <w:lang w:val="es-ES"/>
        </w:rPr>
        <w:t>37.1.3 El operador tiene que realizar el seguimiento de la implantación de las acciones correctivas y comprobar que sean efectivas antes de proceder al cierre de las no conformidades detectadas.</w:t>
      </w:r>
    </w:p>
    <w:p w:rsidR="00503A41" w:rsidRPr="00993936" w:rsidRDefault="00503A41" w:rsidP="0009331F">
      <w:pPr>
        <w:pStyle w:val="Textoindependiente"/>
        <w:rPr>
          <w:rFonts w:cs="Arial"/>
          <w:szCs w:val="22"/>
          <w:lang w:val="es-ES"/>
        </w:rPr>
      </w:pPr>
      <w:r w:rsidRPr="00993936">
        <w:rPr>
          <w:rFonts w:cs="Arial"/>
          <w:szCs w:val="22"/>
          <w:lang w:val="es-ES"/>
        </w:rPr>
        <w:t>37.1.4 Siempre que se detecten no conformidades sobre las materias primas, productos en proceso y los productos finales obtenidos de los productos vegetales de producción integrada, se tendrán que adoptar las medidas adecuadas de identificación, trazabilidad y segregación, de estos, de manera que se manifieste claramente su estado “no conforme” y se prevenga la utilización o comercialización de manera no intencionada como productos de producción integrada.</w:t>
      </w:r>
    </w:p>
    <w:p w:rsidR="00503A41" w:rsidRPr="00993936" w:rsidRDefault="00503A41" w:rsidP="0009331F">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38</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503A41" w:rsidRPr="00993936" w:rsidRDefault="00503A41" w:rsidP="0009331F">
      <w:pPr>
        <w:jc w:val="both"/>
        <w:rPr>
          <w:rFonts w:ascii="Arial" w:hAnsi="Arial" w:cs="Arial"/>
          <w:i/>
          <w:lang w:val="es-ES"/>
        </w:rPr>
      </w:pPr>
      <w:r w:rsidRPr="00993936">
        <w:rPr>
          <w:rFonts w:ascii="Arial" w:hAnsi="Arial" w:cs="Arial"/>
          <w:i/>
          <w:lang w:val="es-ES"/>
        </w:rPr>
        <w:t>38.1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38.1.1 El control y la certificación del sistema de la producción integrada se regirá por</w:t>
      </w:r>
      <w:r w:rsidRPr="00993936">
        <w:rPr>
          <w:rFonts w:ascii="Arial" w:hAnsi="Arial" w:cs="Arial"/>
          <w:vanish/>
          <w:sz w:val="22"/>
          <w:szCs w:val="22"/>
          <w:lang w:val="es-ES"/>
        </w:rPr>
        <w:t>&lt;A[por|para]&gt;</w:t>
      </w:r>
      <w:r w:rsidRPr="00993936">
        <w:rPr>
          <w:rFonts w:ascii="Arial" w:hAnsi="Arial" w:cs="Arial"/>
          <w:sz w:val="22"/>
          <w:szCs w:val="22"/>
          <w:lang w:val="es-ES"/>
        </w:rPr>
        <w:t xml:space="preserve"> lo que determina la Ley 14/2003, de 13 de junio, de calidad agroalimentaria, el Decreto 285/2006, de 4 de julio, por</w:t>
      </w:r>
      <w:r w:rsidRPr="00993936">
        <w:rPr>
          <w:rFonts w:ascii="Arial" w:hAnsi="Arial" w:cs="Arial"/>
          <w:vanish/>
          <w:sz w:val="22"/>
          <w:szCs w:val="22"/>
          <w:lang w:val="es-ES"/>
        </w:rPr>
        <w:t>&lt;A[por|para]&gt;</w:t>
      </w:r>
      <w:r w:rsidRPr="00993936">
        <w:rPr>
          <w:rFonts w:ascii="Arial" w:hAnsi="Arial" w:cs="Arial"/>
          <w:sz w:val="22"/>
          <w:szCs w:val="22"/>
          <w:lang w:val="es-ES"/>
        </w:rPr>
        <w:t xml:space="preserve"> el cual se desarrolla la Ley 14/2003, y el Decreto 24/2002, de 8 de octubre, por</w:t>
      </w:r>
      <w:r w:rsidRPr="00993936">
        <w:rPr>
          <w:rFonts w:ascii="Arial" w:hAnsi="Arial" w:cs="Arial"/>
          <w:vanish/>
          <w:sz w:val="22"/>
          <w:szCs w:val="22"/>
          <w:lang w:val="es-ES"/>
        </w:rPr>
        <w:t>&lt;A[por|para]&gt;</w:t>
      </w:r>
      <w:r w:rsidRPr="00993936">
        <w:rPr>
          <w:rFonts w:ascii="Arial" w:hAnsi="Arial" w:cs="Arial"/>
          <w:sz w:val="22"/>
          <w:szCs w:val="22"/>
          <w:lang w:val="es-ES"/>
        </w:rPr>
        <w:t xml:space="preserve"> el cual se regula la producción integrada en Cataluña.</w:t>
      </w:r>
    </w:p>
    <w:p w:rsidR="00503A41" w:rsidRPr="00993936" w:rsidRDefault="00503A41" w:rsidP="0009331F">
      <w:pPr>
        <w:pStyle w:val="NormalWeb"/>
        <w:spacing w:after="0"/>
        <w:jc w:val="both"/>
        <w:rPr>
          <w:rFonts w:ascii="Arial" w:hAnsi="Arial" w:cs="Arial"/>
          <w:sz w:val="22"/>
          <w:szCs w:val="22"/>
          <w:lang w:val="es-ES"/>
        </w:rPr>
      </w:pPr>
    </w:p>
    <w:p w:rsidR="00503A41" w:rsidRPr="00993936" w:rsidRDefault="00503A41" w:rsidP="0009331F">
      <w:pPr>
        <w:jc w:val="both"/>
        <w:rPr>
          <w:rFonts w:ascii="Arial" w:hAnsi="Arial" w:cs="Arial"/>
          <w:lang w:val="es-ES"/>
        </w:rPr>
      </w:pPr>
      <w:r w:rsidRPr="00993936">
        <w:rPr>
          <w:rFonts w:ascii="Arial" w:hAnsi="Arial" w:cs="Arial"/>
          <w:lang w:val="es-ES"/>
        </w:rPr>
        <w:t>Artículo 39</w:t>
      </w:r>
    </w:p>
    <w:p w:rsidR="00503A41" w:rsidRPr="00993936" w:rsidRDefault="00503A41" w:rsidP="0009331F">
      <w:pPr>
        <w:jc w:val="both"/>
        <w:rPr>
          <w:rFonts w:ascii="Arial" w:hAnsi="Arial" w:cs="Arial"/>
          <w:b/>
          <w:lang w:val="es-ES"/>
        </w:rPr>
      </w:pPr>
      <w:r w:rsidRPr="00993936">
        <w:rPr>
          <w:rFonts w:ascii="Arial" w:hAnsi="Arial" w:cs="Arial"/>
          <w:b/>
          <w:lang w:val="es-ES"/>
        </w:rPr>
        <w:t>Distintivo de garantía de producción integrada</w:t>
      </w:r>
    </w:p>
    <w:p w:rsidR="00503A41" w:rsidRPr="00993936" w:rsidRDefault="00503A41" w:rsidP="0009331F">
      <w:pPr>
        <w:jc w:val="both"/>
        <w:rPr>
          <w:rFonts w:ascii="Arial" w:hAnsi="Arial" w:cs="Arial"/>
          <w:i/>
          <w:lang w:val="es-ES"/>
        </w:rPr>
      </w:pPr>
      <w:r w:rsidRPr="00993936">
        <w:rPr>
          <w:rFonts w:ascii="Arial" w:hAnsi="Arial" w:cs="Arial"/>
          <w:lang w:val="es-ES"/>
        </w:rPr>
        <w:t xml:space="preserve">39.1 </w:t>
      </w:r>
      <w:r w:rsidRPr="00993936">
        <w:rPr>
          <w:rFonts w:ascii="Arial" w:hAnsi="Arial" w:cs="Arial"/>
          <w:i/>
          <w:lang w:val="es-ES"/>
        </w:rPr>
        <w:t>Obligaciones</w:t>
      </w:r>
    </w:p>
    <w:p w:rsidR="00503A41" w:rsidRPr="00993936" w:rsidRDefault="00503A41" w:rsidP="0009331F">
      <w:pPr>
        <w:jc w:val="both"/>
        <w:rPr>
          <w:rFonts w:ascii="Arial" w:hAnsi="Arial" w:cs="Arial"/>
          <w:lang w:val="es-ES"/>
        </w:rPr>
      </w:pPr>
      <w:r w:rsidRPr="00993936">
        <w:rPr>
          <w:rFonts w:ascii="Arial" w:hAnsi="Arial" w:cs="Arial"/>
          <w:lang w:val="es-ES"/>
        </w:rPr>
        <w:t>39.1.1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503A41" w:rsidRPr="00993936" w:rsidRDefault="00503A41" w:rsidP="0009331F">
      <w:pPr>
        <w:jc w:val="both"/>
        <w:rPr>
          <w:rFonts w:ascii="Arial" w:hAnsi="Arial" w:cs="Arial"/>
          <w:lang w:val="es-ES"/>
        </w:rPr>
      </w:pPr>
      <w:r w:rsidRPr="00993936">
        <w:rPr>
          <w:rFonts w:ascii="Arial" w:hAnsi="Arial" w:cs="Arial"/>
          <w:lang w:val="es-ES"/>
        </w:rPr>
        <w:t>39.1.2 La utilización del distintivo de garantía de producción integrada, en las etiquetas de los envases, frutos y otros lugares</w:t>
      </w:r>
      <w:r w:rsidRPr="00993936">
        <w:rPr>
          <w:rFonts w:ascii="Arial" w:hAnsi="Arial" w:cs="Arial"/>
          <w:vanish/>
          <w:lang w:val="es-ES"/>
        </w:rPr>
        <w:t>&lt;A[lugares|sitios]&gt;</w:t>
      </w:r>
      <w:r w:rsidRPr="00993936">
        <w:rPr>
          <w:rFonts w:ascii="Arial" w:hAnsi="Arial" w:cs="Arial"/>
          <w:lang w:val="es-ES"/>
        </w:rPr>
        <w:t>, se ajustará al sistema establecido por el libro de estilo del Consejo Catalán de la Producción Integrada.</w:t>
      </w:r>
    </w:p>
    <w:p w:rsidR="00503A41" w:rsidRPr="00993936" w:rsidRDefault="00503A41" w:rsidP="0009331F">
      <w:pPr>
        <w:jc w:val="both"/>
        <w:rPr>
          <w:rFonts w:ascii="Arial" w:hAnsi="Arial" w:cs="Arial"/>
          <w:lang w:val="es-ES"/>
        </w:rPr>
      </w:pPr>
      <w:r w:rsidRPr="00993936">
        <w:rPr>
          <w:rFonts w:ascii="Arial" w:hAnsi="Arial" w:cs="Arial"/>
          <w:lang w:val="es-ES"/>
        </w:rPr>
        <w:t>39.1.3 La concesión del distintivo de garantía de producción integrada será concedido por el Consejo.</w:t>
      </w:r>
    </w:p>
    <w:p w:rsidR="00503A41" w:rsidRPr="00993936" w:rsidRDefault="00503A41" w:rsidP="0009331F">
      <w:pPr>
        <w:jc w:val="both"/>
        <w:rPr>
          <w:rFonts w:ascii="Arial" w:hAnsi="Arial" w:cs="Arial"/>
          <w:i/>
          <w:lang w:val="es-ES"/>
        </w:rPr>
      </w:pPr>
      <w:r w:rsidRPr="00993936">
        <w:rPr>
          <w:rFonts w:ascii="Arial" w:hAnsi="Arial" w:cs="Arial"/>
          <w:lang w:val="es-ES"/>
        </w:rPr>
        <w:t xml:space="preserve">39.2 </w:t>
      </w:r>
      <w:r w:rsidRPr="00993936">
        <w:rPr>
          <w:rFonts w:ascii="Arial" w:hAnsi="Arial" w:cs="Arial"/>
          <w:i/>
          <w:lang w:val="es-ES"/>
        </w:rPr>
        <w:t>Prohibiciones</w:t>
      </w:r>
    </w:p>
    <w:p w:rsidR="00503A41" w:rsidRPr="00993936" w:rsidRDefault="00503A41" w:rsidP="0009331F">
      <w:pPr>
        <w:pStyle w:val="Encabezado"/>
        <w:tabs>
          <w:tab w:val="clear" w:pos="4252"/>
          <w:tab w:val="clear" w:pos="8504"/>
        </w:tabs>
        <w:rPr>
          <w:rFonts w:ascii="Arial" w:hAnsi="Arial" w:cs="Arial"/>
          <w:lang w:val="es-ES"/>
        </w:rPr>
      </w:pPr>
      <w:r w:rsidRPr="00993936">
        <w:rPr>
          <w:rFonts w:ascii="Arial" w:hAnsi="Arial" w:cs="Arial"/>
          <w:lang w:val="es-ES"/>
        </w:rPr>
        <w:t>39.2.1 Utilización del distintivo de garantía, sin disponer de la preceptiva certificación.</w:t>
      </w:r>
    </w:p>
    <w:p w:rsidR="00503A41" w:rsidRPr="00993936" w:rsidRDefault="00503A41" w:rsidP="0009331F">
      <w:pPr>
        <w:pStyle w:val="Encabezado"/>
        <w:tabs>
          <w:tab w:val="clear" w:pos="4252"/>
          <w:tab w:val="clear" w:pos="8504"/>
        </w:tabs>
        <w:rPr>
          <w:rFonts w:ascii="Arial" w:hAnsi="Arial" w:cs="Arial"/>
          <w:lang w:val="es-ES"/>
        </w:rPr>
      </w:pPr>
    </w:p>
    <w:p w:rsidR="00503A41" w:rsidRPr="00993936" w:rsidRDefault="00503A41" w:rsidP="0009331F">
      <w:pPr>
        <w:pStyle w:val="Ttulo5"/>
        <w:rPr>
          <w:rFonts w:ascii="Arial" w:hAnsi="Arial" w:cs="Arial"/>
          <w:b/>
          <w:color w:val="auto"/>
          <w:lang w:val="es-ES"/>
        </w:rPr>
      </w:pPr>
    </w:p>
    <w:p w:rsidR="00503A41" w:rsidRPr="00993936" w:rsidRDefault="00503A41" w:rsidP="0009331F">
      <w:pPr>
        <w:pStyle w:val="Ttulo5"/>
        <w:rPr>
          <w:rFonts w:ascii="Arial" w:hAnsi="Arial" w:cs="Arial"/>
          <w:color w:val="auto"/>
          <w:lang w:val="es-ES"/>
        </w:rPr>
      </w:pPr>
      <w:r w:rsidRPr="00993936">
        <w:rPr>
          <w:rFonts w:ascii="Arial" w:hAnsi="Arial" w:cs="Arial"/>
          <w:color w:val="auto"/>
          <w:lang w:val="es-ES"/>
        </w:rPr>
        <w:t>-.-.-.-.-.-.-.-.-.-.-.-.-.-.-.-.-.-.-.-.-.</w:t>
      </w:r>
      <w:r w:rsidRPr="00993936">
        <w:rPr>
          <w:rFonts w:ascii="Arial" w:hAnsi="Arial" w:cs="Arial"/>
          <w:color w:val="auto"/>
          <w:lang w:val="es-ES"/>
        </w:rPr>
        <w:br w:type="page"/>
      </w:r>
      <w:r w:rsidRPr="00993936">
        <w:rPr>
          <w:rFonts w:ascii="Arial" w:hAnsi="Arial" w:cs="Arial"/>
          <w:color w:val="auto"/>
          <w:lang w:val="es-ES"/>
        </w:rPr>
        <w:lastRenderedPageBreak/>
        <w:t>ANEXOS</w:t>
      </w:r>
    </w:p>
    <w:p w:rsidR="00503A41" w:rsidRPr="00993936" w:rsidRDefault="00503A41" w:rsidP="0009331F">
      <w:pPr>
        <w:jc w:val="both"/>
        <w:rPr>
          <w:rFonts w:ascii="Arial" w:hAnsi="Arial" w:cs="Arial"/>
          <w:b/>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 xml:space="preserve">ANEXO 1 </w:t>
      </w:r>
    </w:p>
    <w:p w:rsidR="00503A41" w:rsidRPr="00993936" w:rsidRDefault="00503A41" w:rsidP="0009331F">
      <w:pPr>
        <w:jc w:val="both"/>
        <w:rPr>
          <w:rFonts w:ascii="Arial" w:hAnsi="Arial" w:cs="Arial"/>
          <w:b/>
          <w:lang w:val="es-ES"/>
        </w:rPr>
      </w:pPr>
    </w:p>
    <w:p w:rsidR="00503A41" w:rsidRPr="00993936" w:rsidRDefault="00503A41" w:rsidP="0009331F">
      <w:pPr>
        <w:pStyle w:val="Textoindependiente3"/>
        <w:rPr>
          <w:rFonts w:cs="Arial"/>
          <w:b w:val="0"/>
          <w:szCs w:val="22"/>
          <w:lang w:val="es-ES"/>
        </w:rPr>
      </w:pPr>
      <w:r w:rsidRPr="00993936">
        <w:rPr>
          <w:rFonts w:cs="Arial"/>
          <w:b w:val="0"/>
          <w:szCs w:val="22"/>
          <w:lang w:val="es-ES"/>
        </w:rPr>
        <w:t xml:space="preserve">1.1 Materias activas </w:t>
      </w:r>
      <w:r w:rsidRPr="00993936">
        <w:rPr>
          <w:rFonts w:cs="Arial"/>
          <w:b w:val="0"/>
          <w:szCs w:val="22"/>
          <w:u w:val="single"/>
          <w:lang w:val="es-ES"/>
        </w:rPr>
        <w:t>de herbicidas</w:t>
      </w:r>
      <w:r w:rsidRPr="00993936">
        <w:rPr>
          <w:rFonts w:cs="Arial"/>
          <w:b w:val="0"/>
          <w:szCs w:val="22"/>
          <w:lang w:val="es-ES"/>
        </w:rPr>
        <w:t xml:space="preserve"> para la Producción Integrada de uva para vinificación.</w:t>
      </w: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r w:rsidRPr="00993936">
        <w:rPr>
          <w:rFonts w:cs="Arial"/>
          <w:b w:val="0"/>
          <w:szCs w:val="22"/>
          <w:lang w:val="es-ES"/>
        </w:rPr>
        <w:t>1.1.1 Materias activas de herbicidas</w:t>
      </w:r>
    </w:p>
    <w:p w:rsidR="00503A41" w:rsidRPr="00993936" w:rsidRDefault="00503A41" w:rsidP="0009331F">
      <w:pPr>
        <w:pStyle w:val="Textoindependiente3"/>
        <w:rPr>
          <w:rFonts w:cs="Arial"/>
          <w:b w:val="0"/>
          <w:szCs w:val="22"/>
          <w:lang w:val="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09331F">
        <w:trPr>
          <w:cantSplit/>
          <w:jc w:val="center"/>
        </w:trPr>
        <w:tc>
          <w:tcPr>
            <w:tcW w:w="2418" w:type="pct"/>
            <w:shd w:val="pct12" w:color="auto" w:fill="FFFFFF"/>
            <w:vAlign w:val="center"/>
          </w:tcPr>
          <w:p w:rsidR="00503A41" w:rsidRPr="00993936" w:rsidRDefault="00503A41" w:rsidP="0009331F">
            <w:pPr>
              <w:jc w:val="center"/>
              <w:rPr>
                <w:rFonts w:ascii="Arial" w:hAnsi="Arial" w:cs="Arial"/>
                <w:b/>
                <w:lang w:val="es-ES"/>
              </w:rPr>
            </w:pPr>
            <w:r w:rsidRPr="00993936">
              <w:rPr>
                <w:rFonts w:ascii="Arial" w:hAnsi="Arial" w:cs="Arial"/>
                <w:b/>
                <w:lang w:val="es-ES"/>
              </w:rPr>
              <w:t>TIPO DE HERBICIDAS (*)</w:t>
            </w:r>
          </w:p>
        </w:tc>
        <w:tc>
          <w:tcPr>
            <w:tcW w:w="2582" w:type="pct"/>
            <w:shd w:val="pct20" w:color="auto" w:fill="FFFFFF"/>
          </w:tcPr>
          <w:p w:rsidR="00503A41" w:rsidRPr="00993936" w:rsidRDefault="00503A41" w:rsidP="0009331F">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09331F">
        <w:trPr>
          <w:cantSplit/>
          <w:trHeight w:val="6020"/>
          <w:jc w:val="center"/>
        </w:trPr>
        <w:tc>
          <w:tcPr>
            <w:tcW w:w="2418"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eastAsia="ca-ES"/>
              </w:rPr>
              <w:t>Ácido pelargónico</w:t>
            </w:r>
            <w:r w:rsidRPr="00993936">
              <w:rPr>
                <w:rFonts w:ascii="Arial" w:hAnsi="Arial" w:cs="Arial"/>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eastAsia="ca-ES"/>
              </w:rPr>
              <w:t>Ácido pelargónico + Glifosato</w:t>
            </w:r>
            <w:r w:rsidRPr="00993936">
              <w:rPr>
                <w:rFonts w:ascii="Arial" w:hAnsi="Arial" w:cs="Arial"/>
                <w:lang w:val="es-ES"/>
              </w:rPr>
              <w:t xml:space="preserve">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Carfentrazona-etil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Cicloxidim </w:t>
            </w:r>
          </w:p>
          <w:p w:rsidR="00503A41" w:rsidRPr="00993936" w:rsidRDefault="00503A41" w:rsidP="001D205D">
            <w:pPr>
              <w:pStyle w:val="Sinespaciado"/>
              <w:rPr>
                <w:rFonts w:ascii="Arial" w:hAnsi="Arial" w:cs="Arial"/>
                <w:lang w:val="es-ES"/>
              </w:rPr>
            </w:pPr>
            <w:r w:rsidRPr="00993936">
              <w:rPr>
                <w:rFonts w:ascii="Arial" w:hAnsi="Arial" w:cs="Arial"/>
                <w:lang w:val="es-ES"/>
              </w:rPr>
              <w:t>Diflufenicán</w:t>
            </w:r>
          </w:p>
          <w:p w:rsidR="00503A41" w:rsidRPr="00993936" w:rsidRDefault="00503A41" w:rsidP="001D205D">
            <w:pPr>
              <w:pStyle w:val="Sinespaciado"/>
              <w:rPr>
                <w:rFonts w:ascii="Arial" w:hAnsi="Arial" w:cs="Arial"/>
                <w:lang w:val="es-ES"/>
              </w:rPr>
            </w:pPr>
            <w:r w:rsidRPr="00993936">
              <w:rPr>
                <w:rFonts w:ascii="Arial" w:hAnsi="Arial" w:cs="Arial"/>
                <w:lang w:val="es-ES" w:eastAsia="ca-ES"/>
              </w:rPr>
              <w:t>Diquat</w:t>
            </w:r>
          </w:p>
          <w:p w:rsidR="00503A41" w:rsidRPr="00993936" w:rsidRDefault="00503A41" w:rsidP="001D205D">
            <w:pPr>
              <w:pStyle w:val="Sinespaciado"/>
              <w:rPr>
                <w:rFonts w:ascii="Arial" w:hAnsi="Arial" w:cs="Arial"/>
                <w:i/>
                <w:lang w:val="es-ES"/>
              </w:rPr>
            </w:pPr>
            <w:r w:rsidRPr="00993936">
              <w:rPr>
                <w:rFonts w:ascii="Arial" w:hAnsi="Arial" w:cs="Arial"/>
                <w:lang w:val="es-ES"/>
              </w:rPr>
              <w:t>Diflufenicán + Oxifluorfén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Flazasulfurón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Fluazifop-p-butil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Flumioxacina </w:t>
            </w:r>
          </w:p>
          <w:p w:rsidR="00503A41" w:rsidRPr="00993936" w:rsidRDefault="00503A41" w:rsidP="001D205D">
            <w:pPr>
              <w:pStyle w:val="Sinespaciado"/>
              <w:rPr>
                <w:rFonts w:ascii="Arial" w:hAnsi="Arial" w:cs="Arial"/>
                <w:lang w:val="es-ES"/>
              </w:rPr>
            </w:pPr>
            <w:r w:rsidRPr="00993936">
              <w:rPr>
                <w:rFonts w:ascii="Arial" w:hAnsi="Arial" w:cs="Arial"/>
                <w:lang w:val="es-ES"/>
              </w:rPr>
              <w:t>Glifosato + Diflufenicán (1)</w:t>
            </w:r>
          </w:p>
          <w:p w:rsidR="00503A41" w:rsidRPr="00993936" w:rsidRDefault="00503A41" w:rsidP="001D205D">
            <w:pPr>
              <w:pStyle w:val="Sinespaciado"/>
              <w:rPr>
                <w:rFonts w:ascii="Arial" w:hAnsi="Arial" w:cs="Arial"/>
                <w:lang w:val="es-ES"/>
              </w:rPr>
            </w:pPr>
            <w:r w:rsidRPr="00993936">
              <w:rPr>
                <w:rFonts w:ascii="Arial" w:hAnsi="Arial" w:cs="Arial"/>
                <w:lang w:val="es-ES"/>
              </w:rPr>
              <w:t>Glifosato + Oxifluorfén (1)</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Glifosato </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 xml:space="preserve">Glifosato + Piraflufèn-etil </w:t>
            </w:r>
            <w:r w:rsidRPr="00993936">
              <w:rPr>
                <w:rFonts w:ascii="Arial" w:hAnsi="Arial" w:cs="Arial"/>
                <w:lang w:val="es-ES"/>
              </w:rPr>
              <w:t>(1)</w:t>
            </w:r>
          </w:p>
          <w:p w:rsidR="00503A41" w:rsidRPr="00993936" w:rsidRDefault="00503A41" w:rsidP="001D205D">
            <w:pPr>
              <w:pStyle w:val="Sinespaciado"/>
              <w:rPr>
                <w:rFonts w:ascii="Arial" w:hAnsi="Arial" w:cs="Arial"/>
                <w:lang w:val="es-ES"/>
              </w:rPr>
            </w:pPr>
            <w:r w:rsidRPr="00993936">
              <w:rPr>
                <w:rFonts w:ascii="Arial" w:hAnsi="Arial" w:cs="Arial"/>
                <w:lang w:val="es-ES"/>
              </w:rPr>
              <w:t>Glufosinato</w:t>
            </w:r>
          </w:p>
          <w:p w:rsidR="00503A41" w:rsidRPr="00993936" w:rsidRDefault="00503A41" w:rsidP="001D205D">
            <w:pPr>
              <w:pStyle w:val="Sinespaciado"/>
              <w:rPr>
                <w:rFonts w:ascii="Arial" w:hAnsi="Arial" w:cs="Arial"/>
                <w:lang w:val="es-ES"/>
              </w:rPr>
            </w:pPr>
            <w:r w:rsidRPr="00993936">
              <w:rPr>
                <w:rFonts w:ascii="Arial" w:hAnsi="Arial" w:cs="Arial"/>
                <w:lang w:val="es-ES"/>
              </w:rPr>
              <w:t>Isoxabén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Napropamida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Oxifluorfén </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 xml:space="preserve">Pendimetalina </w:t>
            </w:r>
          </w:p>
          <w:p w:rsidR="00503A41" w:rsidRPr="00993936" w:rsidRDefault="00503A41" w:rsidP="001D205D">
            <w:pPr>
              <w:pStyle w:val="Sinespaciado"/>
              <w:rPr>
                <w:rFonts w:ascii="Arial" w:hAnsi="Arial" w:cs="Arial"/>
                <w:lang w:val="es-ES"/>
              </w:rPr>
            </w:pPr>
            <w:r w:rsidRPr="00993936">
              <w:rPr>
                <w:rFonts w:ascii="Arial" w:hAnsi="Arial" w:cs="Arial"/>
                <w:lang w:val="es-ES"/>
              </w:rPr>
              <w:t>Piraflufen-etil</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Propaquizafop </w:t>
            </w:r>
          </w:p>
          <w:p w:rsidR="00503A41" w:rsidRPr="00993936" w:rsidRDefault="00503A41" w:rsidP="001D205D">
            <w:pPr>
              <w:pStyle w:val="Sinespaciado"/>
              <w:rPr>
                <w:rFonts w:ascii="Arial" w:hAnsi="Arial" w:cs="Arial"/>
                <w:lang w:val="es-ES"/>
              </w:rPr>
            </w:pPr>
            <w:r w:rsidRPr="00993936">
              <w:rPr>
                <w:rFonts w:ascii="Arial" w:hAnsi="Arial" w:cs="Arial"/>
                <w:lang w:val="es-ES"/>
              </w:rPr>
              <w:t>Propizamida</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Quizalofop-p-etil </w:t>
            </w:r>
          </w:p>
        </w:tc>
        <w:tc>
          <w:tcPr>
            <w:tcW w:w="2582" w:type="pct"/>
          </w:tcPr>
          <w:p w:rsidR="00503A41" w:rsidRPr="00993936" w:rsidRDefault="00503A41" w:rsidP="0009331F">
            <w:pPr>
              <w:rPr>
                <w:rFonts w:ascii="Arial" w:hAnsi="Arial" w:cs="Arial"/>
                <w:snapToGrid w:val="0"/>
                <w:lang w:val="es-ES"/>
              </w:rPr>
            </w:pPr>
          </w:p>
          <w:p w:rsidR="00503A41" w:rsidRPr="00993936" w:rsidRDefault="00503A41" w:rsidP="009D1A2D">
            <w:pPr>
              <w:pStyle w:val="Prrafodelista"/>
              <w:widowControl w:val="0"/>
              <w:numPr>
                <w:ilvl w:val="0"/>
                <w:numId w:val="22"/>
              </w:numPr>
              <w:spacing w:after="0" w:line="240" w:lineRule="auto"/>
              <w:jc w:val="both"/>
              <w:rPr>
                <w:rFonts w:ascii="Arial" w:hAnsi="Arial" w:cs="Arial"/>
                <w:snapToGrid w:val="0"/>
                <w:lang w:val="es-ES"/>
              </w:rPr>
            </w:pPr>
            <w:r w:rsidRPr="00993936">
              <w:rPr>
                <w:rFonts w:ascii="Arial" w:hAnsi="Arial" w:cs="Arial"/>
                <w:snapToGrid w:val="0"/>
                <w:lang w:val="es-ES"/>
              </w:rPr>
              <w:t>Controlar las malas hierbas, siempre que sea posible, con medios físicos, mecánicos, biológicos o aquellos que ofrezcan el menor riesgo de emisiones de CO</w:t>
            </w:r>
            <w:r w:rsidRPr="00993936">
              <w:rPr>
                <w:rFonts w:ascii="Arial" w:hAnsi="Arial" w:cs="Arial"/>
                <w:snapToGrid w:val="0"/>
                <w:vertAlign w:val="subscript"/>
                <w:lang w:val="es-ES"/>
              </w:rPr>
              <w:t>2</w:t>
            </w:r>
            <w:r w:rsidRPr="00993936">
              <w:rPr>
                <w:rFonts w:ascii="Arial" w:hAnsi="Arial" w:cs="Arial"/>
                <w:snapToGrid w:val="0"/>
                <w:lang w:val="es-ES"/>
              </w:rPr>
              <w:t>. Cuando los medios señalados anteriormente no permitan un control adecuado de las malas hierbas, se podrá justificar la aplicación de alguno de los herbicidas que figuran en esta Tabla</w:t>
            </w:r>
            <w:r w:rsidRPr="00993936">
              <w:rPr>
                <w:rFonts w:ascii="Arial" w:hAnsi="Arial" w:cs="Arial"/>
                <w:snapToGrid w:val="0"/>
                <w:vanish/>
                <w:lang w:val="es-ES"/>
              </w:rPr>
              <w:t>&lt;A[mesa|tabla]&gt;</w:t>
            </w:r>
            <w:r w:rsidRPr="00993936">
              <w:rPr>
                <w:rFonts w:ascii="Arial" w:hAnsi="Arial" w:cs="Arial"/>
                <w:snapToGrid w:val="0"/>
                <w:lang w:val="es-ES"/>
              </w:rPr>
              <w:t>.</w:t>
            </w:r>
          </w:p>
          <w:p w:rsidR="00503A41" w:rsidRPr="00993936" w:rsidRDefault="00503A41" w:rsidP="0009331F">
            <w:pPr>
              <w:pStyle w:val="Prrafodelista"/>
              <w:widowControl w:val="0"/>
              <w:jc w:val="both"/>
              <w:rPr>
                <w:rFonts w:ascii="Arial" w:hAnsi="Arial" w:cs="Arial"/>
                <w:snapToGrid w:val="0"/>
                <w:lang w:val="es-ES"/>
              </w:rPr>
            </w:pPr>
          </w:p>
          <w:p w:rsidR="00503A41" w:rsidRPr="00993936" w:rsidRDefault="00503A41" w:rsidP="009D1A2D">
            <w:pPr>
              <w:pStyle w:val="Prrafodelista"/>
              <w:widowControl w:val="0"/>
              <w:numPr>
                <w:ilvl w:val="0"/>
                <w:numId w:val="23"/>
              </w:numPr>
              <w:spacing w:after="0" w:line="240" w:lineRule="auto"/>
              <w:jc w:val="both"/>
              <w:rPr>
                <w:rFonts w:ascii="Arial" w:hAnsi="Arial" w:cs="Arial"/>
                <w:snapToGrid w:val="0"/>
                <w:lang w:val="es-ES"/>
              </w:rPr>
            </w:pPr>
            <w:r w:rsidRPr="00993936">
              <w:rPr>
                <w:rFonts w:ascii="Arial" w:hAnsi="Arial" w:cs="Arial"/>
                <w:snapToGrid w:val="0"/>
                <w:lang w:val="es-ES"/>
              </w:rPr>
              <w:t>Las materias activas a utilizar serán seleccionadas de acuerdo con los criterios de menor peligrosidad para los humanos, la fauna silvestre y el medio ambiente, y que proporcionen un control efectivo de la mala hierba.</w:t>
            </w:r>
          </w:p>
          <w:p w:rsidR="00503A41" w:rsidRPr="00993936" w:rsidRDefault="00503A41" w:rsidP="0009331F">
            <w:pPr>
              <w:widowControl w:val="0"/>
              <w:rPr>
                <w:rFonts w:ascii="Arial" w:hAnsi="Arial" w:cs="Arial"/>
                <w:snapToGrid w:val="0"/>
                <w:lang w:val="es-ES"/>
              </w:rPr>
            </w:pPr>
          </w:p>
          <w:p w:rsidR="00503A41" w:rsidRPr="00993936" w:rsidRDefault="00503A41" w:rsidP="0009331F">
            <w:pPr>
              <w:widowControl w:val="0"/>
              <w:rPr>
                <w:rFonts w:ascii="Arial" w:hAnsi="Arial" w:cs="Arial"/>
                <w:snapToGrid w:val="0"/>
                <w:lang w:val="es-ES"/>
              </w:rPr>
            </w:pPr>
          </w:p>
          <w:p w:rsidR="00503A41" w:rsidRPr="00993936" w:rsidRDefault="00503A41" w:rsidP="0009331F">
            <w:pPr>
              <w:widowControl w:val="0"/>
              <w:rPr>
                <w:rFonts w:ascii="Arial" w:hAnsi="Arial" w:cs="Arial"/>
                <w:snapToGrid w:val="0"/>
                <w:lang w:val="es-ES"/>
              </w:rPr>
            </w:pPr>
          </w:p>
          <w:p w:rsidR="00503A41" w:rsidRPr="00993936" w:rsidRDefault="00503A41" w:rsidP="009D1A2D">
            <w:pPr>
              <w:pStyle w:val="Prrafodelista"/>
              <w:widowControl w:val="0"/>
              <w:numPr>
                <w:ilvl w:val="0"/>
                <w:numId w:val="105"/>
              </w:numPr>
              <w:spacing w:after="0" w:line="240" w:lineRule="auto"/>
              <w:rPr>
                <w:rFonts w:ascii="Arial" w:hAnsi="Arial" w:cs="Arial"/>
                <w:snapToGrid w:val="0"/>
                <w:lang w:val="es-ES"/>
              </w:rPr>
            </w:pPr>
            <w:r w:rsidRPr="00993936">
              <w:rPr>
                <w:rFonts w:ascii="Arial" w:hAnsi="Arial" w:cs="Arial"/>
                <w:snapToGrid w:val="0"/>
                <w:lang w:val="es-ES"/>
              </w:rPr>
              <w:t>Sólo formulaciones comerciales registradas</w:t>
            </w:r>
          </w:p>
          <w:p w:rsidR="00503A41" w:rsidRPr="00993936" w:rsidRDefault="00503A41" w:rsidP="0009331F">
            <w:pPr>
              <w:widowControl w:val="0"/>
              <w:rPr>
                <w:rFonts w:ascii="Arial" w:hAnsi="Arial" w:cs="Arial"/>
                <w:snapToGrid w:val="0"/>
                <w:lang w:val="es-ES"/>
              </w:rPr>
            </w:pPr>
          </w:p>
          <w:p w:rsidR="00503A41" w:rsidRPr="00993936" w:rsidRDefault="00503A41" w:rsidP="0009331F">
            <w:pPr>
              <w:widowControl w:val="0"/>
              <w:outlineLvl w:val="0"/>
              <w:rPr>
                <w:rFonts w:ascii="Arial" w:hAnsi="Arial" w:cs="Arial"/>
                <w:b/>
                <w:snapToGrid w:val="0"/>
                <w:lang w:val="es-ES"/>
              </w:rPr>
            </w:pPr>
          </w:p>
        </w:tc>
      </w:tr>
    </w:tbl>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r w:rsidRPr="00993936">
        <w:rPr>
          <w:rFonts w:cs="Arial"/>
          <w:b w:val="0"/>
          <w:szCs w:val="22"/>
          <w:lang w:val="es-ES"/>
        </w:rPr>
        <w:t>1.1.2 Materias activas de herbicidas para la producción integrada de uva por vinificación con indicación del código de resistencia HRAC</w:t>
      </w:r>
    </w:p>
    <w:p w:rsidR="00503A41" w:rsidRPr="00993936" w:rsidRDefault="00503A41" w:rsidP="0009331F">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9331F">
        <w:trPr>
          <w:trHeight w:val="393"/>
        </w:trPr>
        <w:tc>
          <w:tcPr>
            <w:tcW w:w="5000" w:type="pct"/>
            <w:gridSpan w:val="2"/>
            <w:shd w:val="solid" w:color="C0C0C0" w:fill="auto"/>
            <w:vAlign w:val="center"/>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HERBICIDAS</w:t>
            </w:r>
          </w:p>
        </w:tc>
      </w:tr>
      <w:tr w:rsidR="00503A41" w:rsidRPr="00993936" w:rsidTr="0009331F">
        <w:trPr>
          <w:trHeight w:val="270"/>
        </w:trPr>
        <w:tc>
          <w:tcPr>
            <w:tcW w:w="2500" w:type="pct"/>
            <w:vMerge w:val="restart"/>
            <w:shd w:val="solid" w:color="C0C0C0" w:fill="auto"/>
            <w:vAlign w:val="center"/>
          </w:tcPr>
          <w:p w:rsidR="00503A41" w:rsidRPr="00993936" w:rsidRDefault="00503A41" w:rsidP="0009331F">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503A41" w:rsidRPr="00993936" w:rsidTr="0009331F">
        <w:trPr>
          <w:trHeight w:val="270"/>
        </w:trPr>
        <w:tc>
          <w:tcPr>
            <w:tcW w:w="2500" w:type="pct"/>
            <w:vMerge/>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p>
        </w:tc>
        <w:tc>
          <w:tcPr>
            <w:tcW w:w="2500" w:type="pct"/>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HRAC (*)</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Ácido pelargónico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Z</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Ácido pelargónico + Glifosato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Z+G</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Carfentrazona-etil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E</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Cicloxidim</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A</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Diflufenicán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F1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Diflufenicán + Glifosato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F1+G</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Diflufenicán + Oxifluorfén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F1+E</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Diquat</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D</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Flazasulfuró</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B</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Fluazifop-p-butil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A</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Flumioxacina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E</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Glifosato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G</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Glifosato + Oxifluorfén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G+E</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Glifosato + Piraflufen-etil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G+E</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Glufosinato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H</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Isoxabèn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L</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Napropamida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K3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Oxifluorfén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E</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Pendimetalina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K1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Piraflufen-etil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E</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Propaquizafop</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A</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Propizamida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K1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Quizalofop-p-etil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A</w:t>
            </w:r>
          </w:p>
        </w:tc>
      </w:tr>
      <w:tr w:rsidR="00503A41" w:rsidRPr="00993936" w:rsidTr="0009331F">
        <w:trPr>
          <w:trHeight w:val="270"/>
        </w:trPr>
        <w:tc>
          <w:tcPr>
            <w:tcW w:w="5000" w:type="pct"/>
            <w:gridSpan w:val="2"/>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(HRAC) diferentes</w:t>
            </w:r>
          </w:p>
        </w:tc>
      </w:tr>
      <w:tr w:rsidR="00503A41" w:rsidRPr="00993936" w:rsidTr="0009331F">
        <w:trPr>
          <w:trHeight w:val="270"/>
        </w:trPr>
        <w:tc>
          <w:tcPr>
            <w:tcW w:w="5000" w:type="pct"/>
            <w:gridSpan w:val="2"/>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lastRenderedPageBreak/>
              <w:t>(*) Fuente: Comité de Acción de Resistencia en Herbicidas</w:t>
            </w:r>
          </w:p>
        </w:tc>
      </w:tr>
    </w:tbl>
    <w:p w:rsidR="00503A41" w:rsidRPr="00993936" w:rsidRDefault="00503A41" w:rsidP="0009331F">
      <w:pPr>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 xml:space="preserve">ANEXO 2  </w:t>
      </w:r>
    </w:p>
    <w:p w:rsidR="00503A41" w:rsidRPr="00993936" w:rsidRDefault="00503A41" w:rsidP="0009331F">
      <w:pPr>
        <w:rPr>
          <w:rFonts w:ascii="Arial" w:hAnsi="Arial" w:cs="Arial"/>
          <w:b/>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 xml:space="preserve">2.1. Materias activas </w:t>
      </w:r>
      <w:r w:rsidRPr="00993936">
        <w:rPr>
          <w:rFonts w:ascii="Arial" w:hAnsi="Arial" w:cs="Arial"/>
          <w:b/>
          <w:u w:val="single"/>
          <w:lang w:val="es-ES"/>
        </w:rPr>
        <w:t>de acaricidas</w:t>
      </w:r>
      <w:r w:rsidRPr="00993936">
        <w:rPr>
          <w:rFonts w:ascii="Arial" w:hAnsi="Arial" w:cs="Arial"/>
          <w:b/>
          <w:lang w:val="es-ES"/>
        </w:rPr>
        <w:t xml:space="preserve"> para la producción integrada de uva para vinificación.</w:t>
      </w:r>
    </w:p>
    <w:p w:rsidR="00503A41" w:rsidRPr="00993936" w:rsidRDefault="00503A41" w:rsidP="0009331F">
      <w:pPr>
        <w:jc w:val="both"/>
        <w:rPr>
          <w:rFonts w:ascii="Arial" w:hAnsi="Arial" w:cs="Arial"/>
          <w:b/>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2.1.1 Materias activas acaricidas</w:t>
      </w:r>
    </w:p>
    <w:p w:rsidR="00503A41" w:rsidRPr="00993936" w:rsidRDefault="00503A41" w:rsidP="0009331F">
      <w:pPr>
        <w:jc w:val="both"/>
        <w:rPr>
          <w:rFonts w:ascii="Arial" w:hAnsi="Arial" w:cs="Arial"/>
          <w:b/>
          <w:snapToGrid w:val="0"/>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9"/>
        <w:gridCol w:w="3157"/>
        <w:gridCol w:w="2538"/>
      </w:tblGrid>
      <w:tr w:rsidR="00503A41" w:rsidRPr="00993936" w:rsidTr="0009331F">
        <w:trPr>
          <w:jc w:val="center"/>
        </w:trPr>
        <w:tc>
          <w:tcPr>
            <w:tcW w:w="1706" w:type="pct"/>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PLAGA</w:t>
            </w:r>
          </w:p>
        </w:tc>
        <w:tc>
          <w:tcPr>
            <w:tcW w:w="1826" w:type="pct"/>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PRODUCTO</w:t>
            </w:r>
          </w:p>
        </w:tc>
        <w:tc>
          <w:tcPr>
            <w:tcW w:w="1468" w:type="pct"/>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RESTRICCIONES</w:t>
            </w:r>
          </w:p>
        </w:tc>
      </w:tr>
      <w:tr w:rsidR="00503A41" w:rsidRPr="00993936" w:rsidTr="0009331F">
        <w:trPr>
          <w:cantSplit/>
          <w:jc w:val="center"/>
        </w:trPr>
        <w:tc>
          <w:tcPr>
            <w:tcW w:w="1706" w:type="pct"/>
            <w:vAlign w:val="center"/>
          </w:tcPr>
          <w:p w:rsidR="00503A41" w:rsidRPr="00993936" w:rsidRDefault="00503A41" w:rsidP="0009331F">
            <w:pPr>
              <w:rPr>
                <w:rFonts w:ascii="Arial" w:hAnsi="Arial" w:cs="Arial"/>
                <w:lang w:val="es-ES"/>
              </w:rPr>
            </w:pPr>
            <w:r w:rsidRPr="00993936">
              <w:rPr>
                <w:rFonts w:ascii="Arial" w:hAnsi="Arial" w:cs="Arial"/>
                <w:b/>
                <w:lang w:val="es-ES"/>
              </w:rPr>
              <w:t xml:space="preserve">Acariosis </w:t>
            </w:r>
            <w:r w:rsidRPr="00993936">
              <w:rPr>
                <w:rFonts w:ascii="Arial" w:hAnsi="Arial" w:cs="Arial"/>
                <w:lang w:val="es-ES"/>
              </w:rPr>
              <w:t xml:space="preserve"> </w:t>
            </w:r>
          </w:p>
          <w:p w:rsidR="00503A41" w:rsidRPr="00993936" w:rsidRDefault="00503A41" w:rsidP="0009331F">
            <w:pPr>
              <w:rPr>
                <w:rFonts w:ascii="Arial" w:hAnsi="Arial" w:cs="Arial"/>
                <w:lang w:val="es-ES"/>
              </w:rPr>
            </w:pPr>
            <w:r w:rsidRPr="00993936">
              <w:rPr>
                <w:rFonts w:ascii="Arial" w:hAnsi="Arial" w:cs="Arial"/>
                <w:lang w:val="es-ES"/>
              </w:rPr>
              <w:t>(</w:t>
            </w:r>
            <w:r w:rsidRPr="00993936">
              <w:rPr>
                <w:rFonts w:ascii="Arial" w:hAnsi="Arial" w:cs="Arial"/>
                <w:i/>
                <w:lang w:val="es-ES"/>
              </w:rPr>
              <w:t>Calepitirmerus vitis</w:t>
            </w:r>
            <w:r w:rsidRPr="00993936">
              <w:rPr>
                <w:rFonts w:ascii="Arial" w:hAnsi="Arial" w:cs="Arial"/>
                <w:lang w:val="es-ES"/>
              </w:rPr>
              <w:t>)</w:t>
            </w:r>
          </w:p>
        </w:tc>
        <w:tc>
          <w:tcPr>
            <w:tcW w:w="1826" w:type="pct"/>
            <w:vAlign w:val="center"/>
          </w:tcPr>
          <w:p w:rsidR="00503A41" w:rsidRPr="00993936" w:rsidRDefault="00503A41" w:rsidP="0009331F">
            <w:pPr>
              <w:rPr>
                <w:rFonts w:ascii="Arial" w:hAnsi="Arial" w:cs="Arial"/>
                <w:lang w:val="es-ES"/>
              </w:rPr>
            </w:pPr>
            <w:r w:rsidRPr="00993936">
              <w:rPr>
                <w:rFonts w:ascii="Arial" w:hAnsi="Arial" w:cs="Arial"/>
                <w:lang w:val="es-ES"/>
              </w:rPr>
              <w:t>Abamectina</w:t>
            </w:r>
          </w:p>
          <w:p w:rsidR="00503A41" w:rsidRPr="00993936" w:rsidRDefault="00503A41" w:rsidP="0009331F">
            <w:pPr>
              <w:rPr>
                <w:rFonts w:ascii="Arial" w:hAnsi="Arial" w:cs="Arial"/>
                <w:lang w:val="es-ES"/>
              </w:rPr>
            </w:pPr>
            <w:r w:rsidRPr="00993936">
              <w:rPr>
                <w:rFonts w:ascii="Arial" w:hAnsi="Arial" w:cs="Arial"/>
                <w:lang w:val="es-ES"/>
              </w:rPr>
              <w:t>Azadiractín</w:t>
            </w:r>
          </w:p>
          <w:p w:rsidR="00503A41" w:rsidRPr="00993936" w:rsidRDefault="00503A41" w:rsidP="0009331F">
            <w:pPr>
              <w:rPr>
                <w:rFonts w:ascii="Arial" w:hAnsi="Arial" w:cs="Arial"/>
                <w:lang w:val="es-ES"/>
              </w:rPr>
            </w:pPr>
            <w:r w:rsidRPr="00993936">
              <w:rPr>
                <w:rFonts w:ascii="Arial" w:hAnsi="Arial" w:cs="Arial"/>
                <w:lang w:val="es-ES"/>
              </w:rPr>
              <w:t>Azufre (en espolvoreo)</w:t>
            </w:r>
          </w:p>
        </w:tc>
        <w:tc>
          <w:tcPr>
            <w:tcW w:w="1468" w:type="pct"/>
            <w:vMerge w:val="restart"/>
            <w:vAlign w:val="center"/>
          </w:tcPr>
          <w:p w:rsidR="00503A41" w:rsidRPr="00993936" w:rsidRDefault="00503A41" w:rsidP="009D1A2D">
            <w:pPr>
              <w:numPr>
                <w:ilvl w:val="0"/>
                <w:numId w:val="100"/>
              </w:numPr>
              <w:spacing w:after="0" w:line="240" w:lineRule="auto"/>
              <w:rPr>
                <w:rFonts w:ascii="Arial" w:hAnsi="Arial" w:cs="Arial"/>
                <w:lang w:val="es-ES"/>
              </w:rPr>
            </w:pPr>
            <w:r w:rsidRPr="00993936">
              <w:rPr>
                <w:rFonts w:ascii="Arial" w:hAnsi="Arial" w:cs="Arial"/>
                <w:lang w:val="es-ES"/>
              </w:rPr>
              <w:t>En estado fenológico C</w:t>
            </w:r>
          </w:p>
          <w:p w:rsidR="00503A41" w:rsidRPr="00993936" w:rsidRDefault="00503A41" w:rsidP="009D1A2D">
            <w:pPr>
              <w:numPr>
                <w:ilvl w:val="0"/>
                <w:numId w:val="100"/>
              </w:numPr>
              <w:spacing w:after="0" w:line="240" w:lineRule="auto"/>
              <w:rPr>
                <w:rFonts w:ascii="Arial" w:hAnsi="Arial" w:cs="Arial"/>
                <w:lang w:val="es-ES"/>
              </w:rPr>
            </w:pPr>
            <w:r w:rsidRPr="00993936">
              <w:rPr>
                <w:rFonts w:ascii="Arial" w:hAnsi="Arial" w:cs="Arial"/>
                <w:lang w:val="es-ES"/>
              </w:rPr>
              <w:t>Sólo 2 tratamientos al año.</w:t>
            </w:r>
          </w:p>
          <w:p w:rsidR="00503A41" w:rsidRPr="00993936" w:rsidRDefault="00503A41" w:rsidP="009D1A2D">
            <w:pPr>
              <w:numPr>
                <w:ilvl w:val="0"/>
                <w:numId w:val="100"/>
              </w:numPr>
              <w:spacing w:after="0" w:line="240" w:lineRule="auto"/>
              <w:rPr>
                <w:rFonts w:ascii="Arial" w:hAnsi="Arial" w:cs="Arial"/>
                <w:lang w:val="es-ES"/>
              </w:rPr>
            </w:pPr>
            <w:r w:rsidRPr="00993936">
              <w:rPr>
                <w:rFonts w:ascii="Arial" w:hAnsi="Arial" w:cs="Arial"/>
                <w:lang w:val="es-ES"/>
              </w:rPr>
              <w:t>Sólo Araña roja</w:t>
            </w:r>
          </w:p>
        </w:tc>
      </w:tr>
      <w:tr w:rsidR="00503A41" w:rsidRPr="00993936" w:rsidTr="0009331F">
        <w:trPr>
          <w:cantSplit/>
          <w:jc w:val="center"/>
        </w:trPr>
        <w:tc>
          <w:tcPr>
            <w:tcW w:w="1706" w:type="pct"/>
            <w:vAlign w:val="center"/>
          </w:tcPr>
          <w:p w:rsidR="00503A41" w:rsidRPr="00993936" w:rsidRDefault="00503A41" w:rsidP="0009331F">
            <w:pPr>
              <w:rPr>
                <w:rFonts w:ascii="Arial" w:hAnsi="Arial" w:cs="Arial"/>
                <w:lang w:val="es-ES"/>
              </w:rPr>
            </w:pPr>
            <w:r w:rsidRPr="00993936">
              <w:rPr>
                <w:rFonts w:ascii="Arial" w:hAnsi="Arial" w:cs="Arial"/>
                <w:b/>
                <w:lang w:val="es-ES"/>
              </w:rPr>
              <w:t>Araña amarilla</w:t>
            </w:r>
            <w:r w:rsidRPr="00993936">
              <w:rPr>
                <w:rFonts w:ascii="Arial" w:hAnsi="Arial" w:cs="Arial"/>
                <w:lang w:val="es-ES"/>
              </w:rPr>
              <w:t xml:space="preserve"> </w:t>
            </w:r>
          </w:p>
          <w:p w:rsidR="00503A41" w:rsidRPr="00993936" w:rsidRDefault="00503A41" w:rsidP="0009331F">
            <w:pPr>
              <w:rPr>
                <w:rFonts w:ascii="Arial" w:hAnsi="Arial" w:cs="Arial"/>
                <w:lang w:val="es-ES"/>
              </w:rPr>
            </w:pPr>
            <w:r w:rsidRPr="00993936">
              <w:rPr>
                <w:rFonts w:ascii="Arial" w:hAnsi="Arial" w:cs="Arial"/>
                <w:lang w:val="es-ES"/>
              </w:rPr>
              <w:t>(</w:t>
            </w:r>
            <w:r w:rsidRPr="00993936">
              <w:rPr>
                <w:rFonts w:ascii="Arial" w:hAnsi="Arial" w:cs="Arial"/>
                <w:i/>
                <w:lang w:val="es-ES"/>
              </w:rPr>
              <w:t>Tetranychus urticae, Eotetranychus carpini</w:t>
            </w:r>
            <w:r w:rsidRPr="00993936">
              <w:rPr>
                <w:rFonts w:ascii="Arial" w:hAnsi="Arial" w:cs="Arial"/>
                <w:lang w:val="es-ES"/>
              </w:rPr>
              <w:t xml:space="preserve">) </w:t>
            </w:r>
          </w:p>
          <w:p w:rsidR="00503A41" w:rsidRPr="00993936" w:rsidRDefault="00503A41" w:rsidP="0009331F">
            <w:pPr>
              <w:rPr>
                <w:rFonts w:ascii="Arial" w:hAnsi="Arial" w:cs="Arial"/>
                <w:lang w:val="es-ES"/>
              </w:rPr>
            </w:pPr>
            <w:r w:rsidRPr="00993936">
              <w:rPr>
                <w:rFonts w:ascii="Arial" w:hAnsi="Arial" w:cs="Arial"/>
                <w:b/>
                <w:lang w:val="es-ES"/>
              </w:rPr>
              <w:t>Araña roja</w:t>
            </w:r>
            <w:r w:rsidRPr="00993936">
              <w:rPr>
                <w:rFonts w:ascii="Arial" w:hAnsi="Arial" w:cs="Arial"/>
                <w:lang w:val="es-ES"/>
              </w:rPr>
              <w:t xml:space="preserve"> </w:t>
            </w:r>
          </w:p>
          <w:p w:rsidR="00503A41" w:rsidRPr="00993936" w:rsidRDefault="00503A41" w:rsidP="0009331F">
            <w:pPr>
              <w:rPr>
                <w:rFonts w:ascii="Arial" w:hAnsi="Arial" w:cs="Arial"/>
                <w:lang w:val="es-ES"/>
              </w:rPr>
            </w:pPr>
            <w:r w:rsidRPr="00993936">
              <w:rPr>
                <w:rFonts w:ascii="Arial" w:hAnsi="Arial" w:cs="Arial"/>
                <w:lang w:val="es-ES"/>
              </w:rPr>
              <w:t>(</w:t>
            </w:r>
            <w:r w:rsidRPr="00993936">
              <w:rPr>
                <w:rFonts w:ascii="Arial" w:hAnsi="Arial" w:cs="Arial"/>
                <w:i/>
                <w:lang w:val="es-ES"/>
              </w:rPr>
              <w:t>Panonycus urticae</w:t>
            </w:r>
            <w:r w:rsidRPr="00993936">
              <w:rPr>
                <w:rFonts w:ascii="Arial" w:hAnsi="Arial" w:cs="Arial"/>
                <w:lang w:val="es-ES"/>
              </w:rPr>
              <w:t>)</w:t>
            </w:r>
          </w:p>
        </w:tc>
        <w:tc>
          <w:tcPr>
            <w:tcW w:w="1826" w:type="pct"/>
            <w:vAlign w:val="center"/>
          </w:tcPr>
          <w:p w:rsidR="00503A41" w:rsidRPr="00993936" w:rsidRDefault="00503A41" w:rsidP="0009331F">
            <w:pPr>
              <w:rPr>
                <w:rFonts w:ascii="Arial" w:hAnsi="Arial" w:cs="Arial"/>
                <w:lang w:val="es-ES"/>
              </w:rPr>
            </w:pPr>
            <w:r w:rsidRPr="00993936">
              <w:rPr>
                <w:rFonts w:ascii="Arial" w:hAnsi="Arial" w:cs="Arial"/>
                <w:lang w:val="es-ES"/>
              </w:rPr>
              <w:t>Abamectina</w:t>
            </w:r>
          </w:p>
          <w:p w:rsidR="00503A41" w:rsidRPr="00993936" w:rsidRDefault="00503A41" w:rsidP="0009331F">
            <w:pPr>
              <w:rPr>
                <w:rFonts w:ascii="Arial" w:hAnsi="Arial" w:cs="Arial"/>
                <w:lang w:val="es-ES"/>
              </w:rPr>
            </w:pPr>
            <w:r w:rsidRPr="00993936">
              <w:rPr>
                <w:rFonts w:ascii="Arial" w:hAnsi="Arial" w:cs="Arial"/>
                <w:lang w:val="es-ES"/>
              </w:rPr>
              <w:t>Azadiractín</w:t>
            </w:r>
          </w:p>
          <w:p w:rsidR="00503A41" w:rsidRPr="00993936" w:rsidRDefault="00503A41" w:rsidP="0009331F">
            <w:pPr>
              <w:rPr>
                <w:rFonts w:ascii="Arial" w:hAnsi="Arial" w:cs="Arial"/>
                <w:lang w:val="es-ES"/>
              </w:rPr>
            </w:pPr>
            <w:r w:rsidRPr="00993936">
              <w:rPr>
                <w:rFonts w:ascii="Arial" w:hAnsi="Arial" w:cs="Arial"/>
                <w:lang w:val="es-ES"/>
              </w:rPr>
              <w:t>Clorfentecina (ovicida) (1)</w:t>
            </w:r>
          </w:p>
          <w:p w:rsidR="00503A41" w:rsidRPr="00993936" w:rsidRDefault="00503A41" w:rsidP="0009331F">
            <w:pPr>
              <w:rPr>
                <w:rFonts w:ascii="Arial" w:hAnsi="Arial" w:cs="Arial"/>
                <w:lang w:val="es-ES"/>
              </w:rPr>
            </w:pPr>
            <w:r w:rsidRPr="00993936">
              <w:rPr>
                <w:rFonts w:ascii="Arial" w:hAnsi="Arial" w:cs="Arial"/>
                <w:lang w:val="es-ES"/>
              </w:rPr>
              <w:t>Etoxazol</w:t>
            </w:r>
          </w:p>
          <w:p w:rsidR="00503A41" w:rsidRPr="00993936" w:rsidRDefault="00503A41" w:rsidP="0009331F">
            <w:pPr>
              <w:rPr>
                <w:rFonts w:ascii="Arial" w:hAnsi="Arial" w:cs="Arial"/>
                <w:lang w:val="es-ES"/>
              </w:rPr>
            </w:pPr>
            <w:r w:rsidRPr="00993936">
              <w:rPr>
                <w:rFonts w:ascii="Arial" w:hAnsi="Arial" w:cs="Arial"/>
                <w:lang w:val="es-ES"/>
              </w:rPr>
              <w:t>Fenpiroximato (3)</w:t>
            </w:r>
          </w:p>
          <w:p w:rsidR="00503A41" w:rsidRPr="00993936" w:rsidRDefault="00503A41" w:rsidP="0009331F">
            <w:pPr>
              <w:rPr>
                <w:rFonts w:ascii="Arial" w:hAnsi="Arial" w:cs="Arial"/>
                <w:i/>
                <w:snapToGrid w:val="0"/>
                <w:lang w:val="es-ES"/>
              </w:rPr>
            </w:pPr>
            <w:r w:rsidRPr="00993936">
              <w:rPr>
                <w:rFonts w:ascii="Arial" w:hAnsi="Arial" w:cs="Arial"/>
                <w:lang w:val="es-ES"/>
              </w:rPr>
              <w:t xml:space="preserve">Hexitiazox </w:t>
            </w:r>
          </w:p>
          <w:p w:rsidR="00503A41" w:rsidRPr="00993936" w:rsidRDefault="00503A41" w:rsidP="0009331F">
            <w:pPr>
              <w:rPr>
                <w:rFonts w:ascii="Arial" w:hAnsi="Arial" w:cs="Arial"/>
                <w:lang w:val="es-ES"/>
              </w:rPr>
            </w:pPr>
            <w:r w:rsidRPr="00993936">
              <w:rPr>
                <w:rFonts w:ascii="Arial" w:hAnsi="Arial" w:cs="Arial"/>
                <w:lang w:val="es-ES"/>
              </w:rPr>
              <w:t>Azufre (en espolvoreo)</w:t>
            </w:r>
          </w:p>
          <w:p w:rsidR="00503A41" w:rsidRPr="00993936" w:rsidRDefault="00503A41" w:rsidP="0009331F">
            <w:pPr>
              <w:rPr>
                <w:rFonts w:ascii="Arial" w:hAnsi="Arial" w:cs="Arial"/>
                <w:lang w:val="es-ES"/>
              </w:rPr>
            </w:pPr>
          </w:p>
        </w:tc>
        <w:tc>
          <w:tcPr>
            <w:tcW w:w="1468" w:type="pct"/>
            <w:vMerge/>
            <w:vAlign w:val="center"/>
          </w:tcPr>
          <w:p w:rsidR="00503A41" w:rsidRPr="00993936" w:rsidRDefault="00503A41" w:rsidP="0009331F">
            <w:pPr>
              <w:rPr>
                <w:rFonts w:ascii="Arial" w:hAnsi="Arial" w:cs="Arial"/>
                <w:lang w:val="es-ES"/>
              </w:rPr>
            </w:pPr>
          </w:p>
        </w:tc>
      </w:tr>
      <w:tr w:rsidR="00503A41" w:rsidRPr="00993936" w:rsidTr="0009331F">
        <w:trPr>
          <w:cantSplit/>
          <w:jc w:val="center"/>
        </w:trPr>
        <w:tc>
          <w:tcPr>
            <w:tcW w:w="1706" w:type="pct"/>
            <w:vAlign w:val="center"/>
          </w:tcPr>
          <w:p w:rsidR="00503A41" w:rsidRPr="00993936" w:rsidRDefault="00503A41" w:rsidP="0009331F">
            <w:pPr>
              <w:rPr>
                <w:rFonts w:ascii="Arial" w:hAnsi="Arial" w:cs="Arial"/>
                <w:b/>
                <w:lang w:val="es-ES"/>
              </w:rPr>
            </w:pPr>
            <w:r w:rsidRPr="00993936">
              <w:rPr>
                <w:rFonts w:ascii="Arial" w:hAnsi="Arial" w:cs="Arial"/>
                <w:b/>
                <w:lang w:val="es-ES"/>
              </w:rPr>
              <w:t>Erinosi</w:t>
            </w:r>
          </w:p>
          <w:p w:rsidR="00503A41" w:rsidRPr="00993936" w:rsidRDefault="00503A41" w:rsidP="0009331F">
            <w:pPr>
              <w:rPr>
                <w:rFonts w:ascii="Arial" w:hAnsi="Arial" w:cs="Arial"/>
                <w:lang w:val="es-ES"/>
              </w:rPr>
            </w:pPr>
            <w:r w:rsidRPr="00993936">
              <w:rPr>
                <w:rFonts w:ascii="Arial" w:hAnsi="Arial" w:cs="Arial"/>
                <w:lang w:val="es-ES"/>
              </w:rPr>
              <w:t>(</w:t>
            </w:r>
            <w:r w:rsidRPr="00993936">
              <w:rPr>
                <w:rFonts w:ascii="Arial" w:hAnsi="Arial" w:cs="Arial"/>
                <w:i/>
                <w:lang w:val="es-ES"/>
              </w:rPr>
              <w:t>Eriophyes vitis</w:t>
            </w:r>
            <w:r w:rsidRPr="00993936">
              <w:rPr>
                <w:rFonts w:ascii="Arial" w:hAnsi="Arial" w:cs="Arial"/>
                <w:lang w:val="es-ES"/>
              </w:rPr>
              <w:t>)</w:t>
            </w:r>
          </w:p>
        </w:tc>
        <w:tc>
          <w:tcPr>
            <w:tcW w:w="1826" w:type="pct"/>
            <w:vAlign w:val="center"/>
          </w:tcPr>
          <w:p w:rsidR="00503A41" w:rsidRPr="00993936" w:rsidRDefault="00503A41" w:rsidP="0009331F">
            <w:pPr>
              <w:rPr>
                <w:rFonts w:ascii="Arial" w:hAnsi="Arial" w:cs="Arial"/>
                <w:lang w:val="es-ES"/>
              </w:rPr>
            </w:pPr>
            <w:r w:rsidRPr="00993936">
              <w:rPr>
                <w:rFonts w:ascii="Arial" w:hAnsi="Arial" w:cs="Arial"/>
                <w:lang w:val="es-ES"/>
              </w:rPr>
              <w:t>Abamectina</w:t>
            </w:r>
          </w:p>
          <w:p w:rsidR="00503A41" w:rsidRPr="00993936" w:rsidRDefault="00503A41" w:rsidP="0009331F">
            <w:pPr>
              <w:rPr>
                <w:rFonts w:ascii="Arial" w:hAnsi="Arial" w:cs="Arial"/>
                <w:lang w:val="es-ES"/>
              </w:rPr>
            </w:pPr>
            <w:r w:rsidRPr="00993936">
              <w:rPr>
                <w:rFonts w:ascii="Arial" w:hAnsi="Arial" w:cs="Arial"/>
                <w:lang w:val="es-ES"/>
              </w:rPr>
              <w:t>Azadiractín</w:t>
            </w:r>
          </w:p>
          <w:p w:rsidR="00503A41" w:rsidRPr="00993936" w:rsidRDefault="00503A41" w:rsidP="0009331F">
            <w:pPr>
              <w:rPr>
                <w:rFonts w:ascii="Arial" w:hAnsi="Arial" w:cs="Arial"/>
                <w:lang w:val="es-ES"/>
              </w:rPr>
            </w:pPr>
            <w:r w:rsidRPr="00993936">
              <w:rPr>
                <w:rFonts w:ascii="Arial" w:hAnsi="Arial" w:cs="Arial"/>
                <w:lang w:val="es-ES"/>
              </w:rPr>
              <w:t>Azufre (en espolvoreo)</w:t>
            </w:r>
          </w:p>
          <w:p w:rsidR="00503A41" w:rsidRPr="00993936" w:rsidRDefault="00503A41" w:rsidP="0009331F">
            <w:pPr>
              <w:rPr>
                <w:rFonts w:ascii="Arial" w:hAnsi="Arial" w:cs="Arial"/>
                <w:lang w:val="es-ES"/>
              </w:rPr>
            </w:pPr>
          </w:p>
        </w:tc>
        <w:tc>
          <w:tcPr>
            <w:tcW w:w="1468" w:type="pct"/>
            <w:vMerge/>
            <w:vAlign w:val="center"/>
          </w:tcPr>
          <w:p w:rsidR="00503A41" w:rsidRPr="00993936" w:rsidRDefault="00503A41" w:rsidP="0009331F">
            <w:pPr>
              <w:rPr>
                <w:rFonts w:ascii="Arial" w:hAnsi="Arial" w:cs="Arial"/>
                <w:lang w:val="es-ES"/>
              </w:rPr>
            </w:pPr>
          </w:p>
        </w:tc>
      </w:tr>
    </w:tbl>
    <w:p w:rsidR="00503A41" w:rsidRPr="00993936" w:rsidRDefault="00503A41" w:rsidP="0009331F">
      <w:pPr>
        <w:pStyle w:val="Textoindependiente3"/>
        <w:outlineLvl w:val="0"/>
        <w:rPr>
          <w:rFonts w:cs="Arial"/>
          <w:b w:val="0"/>
          <w:szCs w:val="22"/>
          <w:lang w:val="es-ES"/>
        </w:rPr>
      </w:pPr>
    </w:p>
    <w:p w:rsidR="00503A41" w:rsidRPr="00993936" w:rsidRDefault="00503A41" w:rsidP="0009331F">
      <w:pPr>
        <w:jc w:val="both"/>
        <w:rPr>
          <w:rFonts w:ascii="Arial" w:hAnsi="Arial" w:cs="Arial"/>
          <w:b/>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2.1.2 Materias activas de acaricidas para la producción integrada de uva para vinificación con indicación del código de resistencia IRAC</w:t>
      </w:r>
    </w:p>
    <w:p w:rsidR="00503A41" w:rsidRPr="00993936" w:rsidRDefault="00503A41" w:rsidP="0009331F">
      <w:pPr>
        <w:pStyle w:val="Textoindependiente2"/>
        <w:rPr>
          <w:rFonts w:cs="Arial"/>
          <w:szCs w:val="22"/>
          <w:lang w:val="es-ES"/>
        </w:rPr>
      </w:pPr>
    </w:p>
    <w:p w:rsidR="00503A41" w:rsidRPr="00993936" w:rsidRDefault="00503A41" w:rsidP="0009331F">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9331F">
        <w:trPr>
          <w:trHeight w:val="393"/>
        </w:trPr>
        <w:tc>
          <w:tcPr>
            <w:tcW w:w="5000" w:type="pct"/>
            <w:gridSpan w:val="2"/>
            <w:shd w:val="solid" w:color="C0C0C0" w:fill="auto"/>
            <w:vAlign w:val="center"/>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ACARICIDAS</w:t>
            </w:r>
          </w:p>
        </w:tc>
      </w:tr>
      <w:tr w:rsidR="00503A41" w:rsidRPr="00993936" w:rsidTr="0009331F">
        <w:trPr>
          <w:trHeight w:val="270"/>
        </w:trPr>
        <w:tc>
          <w:tcPr>
            <w:tcW w:w="2500" w:type="pct"/>
            <w:vMerge w:val="restart"/>
            <w:shd w:val="solid" w:color="C0C0C0" w:fill="auto"/>
            <w:vAlign w:val="center"/>
          </w:tcPr>
          <w:p w:rsidR="00503A41" w:rsidRPr="00993936" w:rsidRDefault="00503A41" w:rsidP="0009331F">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503A41" w:rsidRPr="00993936" w:rsidTr="0009331F">
        <w:trPr>
          <w:trHeight w:val="270"/>
        </w:trPr>
        <w:tc>
          <w:tcPr>
            <w:tcW w:w="2500" w:type="pct"/>
            <w:vMerge/>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p>
        </w:tc>
        <w:tc>
          <w:tcPr>
            <w:tcW w:w="2500" w:type="pct"/>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IRAC (*)</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6</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Azadiractín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UNO</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lastRenderedPageBreak/>
              <w:t>Clofentezina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Espiromesifén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Etoxazol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10B</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Fenpiroximat</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21B</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10A</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Azufre</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M2</w:t>
            </w:r>
          </w:p>
        </w:tc>
      </w:tr>
      <w:tr w:rsidR="00503A41" w:rsidRPr="00993936" w:rsidTr="0009331F">
        <w:trPr>
          <w:trHeight w:val="270"/>
        </w:trPr>
        <w:tc>
          <w:tcPr>
            <w:tcW w:w="5000" w:type="pct"/>
            <w:gridSpan w:val="2"/>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503A41" w:rsidRPr="00993936" w:rsidTr="0009331F">
        <w:trPr>
          <w:trHeight w:val="270"/>
        </w:trPr>
        <w:tc>
          <w:tcPr>
            <w:tcW w:w="5000" w:type="pct"/>
            <w:gridSpan w:val="2"/>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en Insecticidas</w:t>
            </w:r>
          </w:p>
        </w:tc>
      </w:tr>
    </w:tbl>
    <w:p w:rsidR="00503A41" w:rsidRPr="00993936" w:rsidRDefault="00503A41" w:rsidP="0009331F">
      <w:pPr>
        <w:pStyle w:val="Textoindependiente2"/>
        <w:rPr>
          <w:rFonts w:cs="Arial"/>
          <w:szCs w:val="22"/>
          <w:lang w:val="es-ES"/>
        </w:rPr>
      </w:pPr>
    </w:p>
    <w:p w:rsidR="00503A41" w:rsidRPr="00993936" w:rsidRDefault="00503A41" w:rsidP="0009331F">
      <w:pPr>
        <w:pStyle w:val="Textoindependiente3"/>
        <w:outlineLvl w:val="0"/>
        <w:rPr>
          <w:rFonts w:cs="Arial"/>
          <w:szCs w:val="22"/>
          <w:lang w:val="es-ES"/>
        </w:rPr>
      </w:pPr>
      <w:r w:rsidRPr="00993936">
        <w:rPr>
          <w:rFonts w:cs="Arial"/>
          <w:szCs w:val="22"/>
          <w:lang w:val="es-ES"/>
        </w:rPr>
        <w:t xml:space="preserve">2.2. Materias activas </w:t>
      </w:r>
      <w:r w:rsidRPr="00993936">
        <w:rPr>
          <w:rFonts w:cs="Arial"/>
          <w:szCs w:val="22"/>
          <w:u w:val="single"/>
          <w:lang w:val="es-ES"/>
        </w:rPr>
        <w:t>de insecticidas</w:t>
      </w:r>
      <w:r w:rsidRPr="00993936">
        <w:rPr>
          <w:rFonts w:cs="Arial"/>
          <w:szCs w:val="22"/>
          <w:lang w:val="es-ES"/>
        </w:rPr>
        <w:t xml:space="preserve"> para la producción integrada de uva para vinificación.</w:t>
      </w:r>
    </w:p>
    <w:p w:rsidR="00503A41" w:rsidRPr="00993936" w:rsidRDefault="00503A41" w:rsidP="0009331F">
      <w:pPr>
        <w:pStyle w:val="Textoindependiente3"/>
        <w:outlineLvl w:val="0"/>
        <w:rPr>
          <w:rFonts w:cs="Arial"/>
          <w:szCs w:val="22"/>
          <w:lang w:val="es-ES"/>
        </w:rPr>
      </w:pPr>
    </w:p>
    <w:p w:rsidR="00503A41" w:rsidRPr="00993936" w:rsidRDefault="00503A41" w:rsidP="0009331F">
      <w:pPr>
        <w:pStyle w:val="Textoindependiente3"/>
        <w:outlineLvl w:val="0"/>
        <w:rPr>
          <w:rFonts w:cs="Arial"/>
          <w:szCs w:val="22"/>
          <w:lang w:val="es-ES"/>
        </w:rPr>
      </w:pPr>
      <w:r w:rsidRPr="00993936">
        <w:rPr>
          <w:rFonts w:cs="Arial"/>
          <w:szCs w:val="22"/>
          <w:lang w:val="es-ES"/>
        </w:rPr>
        <w:t>2.2.1 Materias activas insecticidas</w:t>
      </w:r>
    </w:p>
    <w:p w:rsidR="00503A41" w:rsidRPr="00993936" w:rsidRDefault="00503A41" w:rsidP="0009331F">
      <w:pPr>
        <w:pStyle w:val="Textoindependiente3"/>
        <w:outlineLvl w:val="0"/>
        <w:rPr>
          <w:rFonts w:cs="Arial"/>
          <w:b w:val="0"/>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9"/>
        <w:gridCol w:w="3157"/>
        <w:gridCol w:w="2538"/>
      </w:tblGrid>
      <w:tr w:rsidR="00503A41" w:rsidRPr="00993936" w:rsidTr="0009331F">
        <w:trPr>
          <w:jc w:val="center"/>
        </w:trPr>
        <w:tc>
          <w:tcPr>
            <w:tcW w:w="1706" w:type="pct"/>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PLAGA</w:t>
            </w:r>
          </w:p>
        </w:tc>
        <w:tc>
          <w:tcPr>
            <w:tcW w:w="1826" w:type="pct"/>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PRODUCTO</w:t>
            </w:r>
          </w:p>
        </w:tc>
        <w:tc>
          <w:tcPr>
            <w:tcW w:w="1468" w:type="pct"/>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RESTRICCIONES</w:t>
            </w:r>
          </w:p>
        </w:tc>
      </w:tr>
      <w:tr w:rsidR="00503A41" w:rsidRPr="00993936" w:rsidTr="0009331F">
        <w:trPr>
          <w:cantSplit/>
          <w:jc w:val="center"/>
        </w:trPr>
        <w:tc>
          <w:tcPr>
            <w:tcW w:w="1706" w:type="pct"/>
            <w:vAlign w:val="center"/>
          </w:tcPr>
          <w:p w:rsidR="00503A41" w:rsidRPr="00993936" w:rsidRDefault="00503A41" w:rsidP="001D205D">
            <w:pPr>
              <w:pStyle w:val="Ttulo9"/>
              <w:rPr>
                <w:rFonts w:ascii="Arial" w:hAnsi="Arial" w:cs="Arial"/>
                <w:b/>
                <w:color w:val="auto"/>
                <w:szCs w:val="22"/>
                <w:lang w:val="es-ES"/>
              </w:rPr>
            </w:pPr>
            <w:r w:rsidRPr="00993936">
              <w:rPr>
                <w:rFonts w:ascii="Arial" w:hAnsi="Arial" w:cs="Arial"/>
                <w:color w:val="auto"/>
                <w:szCs w:val="22"/>
                <w:lang w:val="es-ES"/>
              </w:rPr>
              <w:t>Caparreta</w:t>
            </w:r>
          </w:p>
        </w:tc>
        <w:tc>
          <w:tcPr>
            <w:tcW w:w="1826" w:type="pct"/>
            <w:vAlign w:val="center"/>
          </w:tcPr>
          <w:p w:rsidR="00503A41" w:rsidRPr="00993936" w:rsidRDefault="00503A41" w:rsidP="0009331F">
            <w:pPr>
              <w:rPr>
                <w:rFonts w:ascii="Arial" w:hAnsi="Arial" w:cs="Arial"/>
                <w:lang w:val="es-ES"/>
              </w:rPr>
            </w:pPr>
            <w:r w:rsidRPr="00993936">
              <w:rPr>
                <w:rFonts w:ascii="Arial" w:hAnsi="Arial" w:cs="Arial"/>
                <w:lang w:val="es-ES"/>
              </w:rPr>
              <w:t>Acetamiprid</w:t>
            </w:r>
          </w:p>
          <w:p w:rsidR="00503A41" w:rsidRPr="00993936" w:rsidRDefault="00503A41" w:rsidP="0009331F">
            <w:pPr>
              <w:rPr>
                <w:rFonts w:ascii="Arial" w:hAnsi="Arial" w:cs="Arial"/>
                <w:lang w:val="es-ES"/>
              </w:rPr>
            </w:pPr>
            <w:r w:rsidRPr="00993936">
              <w:rPr>
                <w:rFonts w:ascii="Arial" w:hAnsi="Arial" w:cs="Arial"/>
                <w:lang w:val="es-ES"/>
              </w:rPr>
              <w:t>Spirotetramat</w:t>
            </w:r>
          </w:p>
          <w:p w:rsidR="00503A41" w:rsidRPr="00993936" w:rsidRDefault="00503A41" w:rsidP="0009331F">
            <w:pPr>
              <w:rPr>
                <w:rFonts w:ascii="Arial" w:hAnsi="Arial" w:cs="Arial"/>
                <w:lang w:val="es-ES"/>
              </w:rPr>
            </w:pPr>
            <w:r w:rsidRPr="00993936">
              <w:rPr>
                <w:rFonts w:ascii="Arial" w:hAnsi="Arial" w:cs="Arial"/>
                <w:lang w:val="es-ES"/>
              </w:rPr>
              <w:t>Piriproxifén (5)</w:t>
            </w:r>
          </w:p>
        </w:tc>
        <w:tc>
          <w:tcPr>
            <w:tcW w:w="1468" w:type="pct"/>
            <w:vMerge w:val="restart"/>
            <w:shd w:val="clear" w:color="auto" w:fill="auto"/>
            <w:vAlign w:val="center"/>
          </w:tcPr>
          <w:p w:rsidR="00503A41" w:rsidRPr="00993936" w:rsidRDefault="00503A41" w:rsidP="0009331F">
            <w:pPr>
              <w:rPr>
                <w:rFonts w:ascii="Arial" w:hAnsi="Arial" w:cs="Arial"/>
                <w:lang w:val="es-ES"/>
              </w:rPr>
            </w:pPr>
          </w:p>
          <w:p w:rsidR="00503A41" w:rsidRPr="00993936" w:rsidRDefault="00503A41" w:rsidP="0009331F">
            <w:pPr>
              <w:rPr>
                <w:rFonts w:ascii="Arial" w:hAnsi="Arial" w:cs="Arial"/>
                <w:lang w:val="es-ES"/>
              </w:rPr>
            </w:pPr>
          </w:p>
          <w:p w:rsidR="00503A41" w:rsidRPr="00993936" w:rsidRDefault="00503A41" w:rsidP="009D1A2D">
            <w:pPr>
              <w:numPr>
                <w:ilvl w:val="0"/>
                <w:numId w:val="98"/>
              </w:numPr>
              <w:spacing w:after="0" w:line="240" w:lineRule="auto"/>
              <w:rPr>
                <w:rFonts w:ascii="Arial" w:hAnsi="Arial" w:cs="Arial"/>
                <w:lang w:val="es-ES"/>
              </w:rPr>
            </w:pPr>
            <w:r w:rsidRPr="00993936">
              <w:rPr>
                <w:rFonts w:ascii="Arial" w:hAnsi="Arial" w:cs="Arial"/>
                <w:lang w:val="es-ES"/>
              </w:rPr>
              <w:t>Sólo formulaciones comerciales registradas</w:t>
            </w:r>
          </w:p>
          <w:p w:rsidR="00503A41" w:rsidRPr="00993936" w:rsidRDefault="00503A41" w:rsidP="009D1A2D">
            <w:pPr>
              <w:numPr>
                <w:ilvl w:val="0"/>
                <w:numId w:val="98"/>
              </w:numPr>
              <w:spacing w:after="0" w:line="240" w:lineRule="auto"/>
              <w:rPr>
                <w:rFonts w:ascii="Arial" w:hAnsi="Arial" w:cs="Arial"/>
                <w:lang w:val="es-ES"/>
              </w:rPr>
            </w:pPr>
            <w:r w:rsidRPr="00993936">
              <w:rPr>
                <w:rFonts w:ascii="Arial" w:hAnsi="Arial" w:cs="Arial"/>
                <w:lang w:val="es-ES"/>
              </w:rPr>
              <w:t>Sólo hasta el enverado</w:t>
            </w:r>
          </w:p>
          <w:p w:rsidR="00503A41" w:rsidRPr="00993936" w:rsidRDefault="00503A41" w:rsidP="009D1A2D">
            <w:pPr>
              <w:numPr>
                <w:ilvl w:val="0"/>
                <w:numId w:val="98"/>
              </w:numPr>
              <w:spacing w:after="0" w:line="240" w:lineRule="auto"/>
              <w:rPr>
                <w:rFonts w:ascii="Arial" w:hAnsi="Arial" w:cs="Arial"/>
                <w:lang w:val="es-ES"/>
              </w:rPr>
            </w:pPr>
            <w:r w:rsidRPr="00993936">
              <w:rPr>
                <w:rFonts w:ascii="Arial" w:hAnsi="Arial" w:cs="Arial"/>
                <w:lang w:val="es-ES"/>
              </w:rPr>
              <w:t>Sólo 2 tratamientos al año.</w:t>
            </w:r>
          </w:p>
          <w:p w:rsidR="00503A41" w:rsidRPr="00993936" w:rsidRDefault="00503A41" w:rsidP="009D1A2D">
            <w:pPr>
              <w:numPr>
                <w:ilvl w:val="0"/>
                <w:numId w:val="98"/>
              </w:numPr>
              <w:spacing w:after="0" w:line="240" w:lineRule="auto"/>
              <w:rPr>
                <w:rFonts w:ascii="Arial" w:hAnsi="Arial" w:cs="Arial"/>
                <w:lang w:val="es-ES"/>
              </w:rPr>
            </w:pPr>
            <w:r w:rsidRPr="00993936">
              <w:rPr>
                <w:rFonts w:ascii="Arial" w:hAnsi="Arial" w:cs="Arial"/>
                <w:lang w:val="es-ES"/>
              </w:rPr>
              <w:t>Sólo formulaciones que no sean de clasificación toxicológica (T)</w:t>
            </w:r>
          </w:p>
          <w:p w:rsidR="00503A41" w:rsidRPr="00993936" w:rsidRDefault="00503A41" w:rsidP="009D1A2D">
            <w:pPr>
              <w:numPr>
                <w:ilvl w:val="0"/>
                <w:numId w:val="98"/>
              </w:numPr>
              <w:spacing w:after="0" w:line="240" w:lineRule="auto"/>
              <w:rPr>
                <w:rFonts w:ascii="Arial" w:hAnsi="Arial" w:cs="Arial"/>
                <w:lang w:val="es-ES"/>
              </w:rPr>
            </w:pPr>
            <w:r w:rsidRPr="00993936">
              <w:rPr>
                <w:rFonts w:ascii="Arial" w:hAnsi="Arial" w:cs="Arial"/>
                <w:lang w:val="es-ES"/>
              </w:rPr>
              <w:t>Restringir las aplicaciones hasta el cerrado de la uva, estado fenológico L.</w:t>
            </w:r>
          </w:p>
          <w:p w:rsidR="00503A41" w:rsidRPr="00993936" w:rsidRDefault="00503A41" w:rsidP="009D1A2D">
            <w:pPr>
              <w:numPr>
                <w:ilvl w:val="0"/>
                <w:numId w:val="98"/>
              </w:numPr>
              <w:spacing w:after="0" w:line="240" w:lineRule="auto"/>
              <w:rPr>
                <w:rFonts w:ascii="Arial" w:hAnsi="Arial" w:cs="Arial"/>
                <w:lang w:val="es-ES"/>
              </w:rPr>
            </w:pPr>
            <w:r w:rsidRPr="00993936">
              <w:rPr>
                <w:rFonts w:ascii="Arial" w:hAnsi="Arial" w:cs="Arial"/>
                <w:lang w:val="es-ES"/>
              </w:rPr>
              <w:t>Utilizar de manera excepcional por</w:t>
            </w:r>
            <w:r w:rsidRPr="00993936">
              <w:rPr>
                <w:rFonts w:ascii="Arial" w:hAnsi="Arial" w:cs="Arial"/>
                <w:vanish/>
                <w:lang w:val="es-ES"/>
              </w:rPr>
              <w:t>&lt;A[por|para]&gt;</w:t>
            </w:r>
            <w:r w:rsidRPr="00993936">
              <w:rPr>
                <w:rFonts w:ascii="Arial" w:hAnsi="Arial" w:cs="Arial"/>
                <w:lang w:val="es-ES"/>
              </w:rPr>
              <w:t xml:space="preserve"> el riesgo de incremento de poblaciones de ácaros</w:t>
            </w:r>
          </w:p>
        </w:tc>
      </w:tr>
      <w:tr w:rsidR="00503A41" w:rsidRPr="00993936" w:rsidTr="0009331F">
        <w:trPr>
          <w:cantSplit/>
          <w:trHeight w:val="1255"/>
          <w:jc w:val="center"/>
        </w:trPr>
        <w:tc>
          <w:tcPr>
            <w:tcW w:w="1706" w:type="pct"/>
            <w:vAlign w:val="center"/>
          </w:tcPr>
          <w:p w:rsidR="00503A41" w:rsidRPr="00993936" w:rsidRDefault="00503A41" w:rsidP="0009331F">
            <w:pPr>
              <w:rPr>
                <w:rFonts w:ascii="Arial" w:hAnsi="Arial" w:cs="Arial"/>
                <w:b/>
                <w:lang w:val="es-ES"/>
              </w:rPr>
            </w:pPr>
          </w:p>
          <w:p w:rsidR="00503A41" w:rsidRPr="00993936" w:rsidRDefault="00503A41" w:rsidP="0009331F">
            <w:pPr>
              <w:rPr>
                <w:rFonts w:ascii="Arial" w:hAnsi="Arial" w:cs="Arial"/>
                <w:b/>
                <w:lang w:val="es-ES"/>
              </w:rPr>
            </w:pPr>
            <w:r w:rsidRPr="00993936">
              <w:rPr>
                <w:rFonts w:ascii="Arial" w:hAnsi="Arial" w:cs="Arial"/>
                <w:b/>
                <w:lang w:val="es-ES"/>
              </w:rPr>
              <w:t>Cicadela de la Flavescencia Dorada</w:t>
            </w:r>
          </w:p>
          <w:p w:rsidR="00503A41" w:rsidRPr="00993936" w:rsidRDefault="00503A41" w:rsidP="0009331F">
            <w:pPr>
              <w:rPr>
                <w:rFonts w:ascii="Arial" w:hAnsi="Arial" w:cs="Arial"/>
                <w:b/>
                <w:lang w:val="es-ES"/>
              </w:rPr>
            </w:pPr>
            <w:r w:rsidRPr="00993936">
              <w:rPr>
                <w:rFonts w:ascii="Arial" w:hAnsi="Arial" w:cs="Arial"/>
                <w:lang w:val="es-ES"/>
              </w:rPr>
              <w:t>(</w:t>
            </w:r>
            <w:r w:rsidRPr="00993936">
              <w:rPr>
                <w:rFonts w:ascii="Arial" w:hAnsi="Arial" w:cs="Arial"/>
                <w:i/>
                <w:lang w:val="es-ES"/>
              </w:rPr>
              <w:t>Scaphoideus titanus</w:t>
            </w:r>
            <w:r w:rsidRPr="00993936">
              <w:rPr>
                <w:rFonts w:ascii="Arial" w:hAnsi="Arial" w:cs="Arial"/>
                <w:lang w:val="es-ES"/>
              </w:rPr>
              <w:t>)</w:t>
            </w:r>
          </w:p>
        </w:tc>
        <w:tc>
          <w:tcPr>
            <w:tcW w:w="1826" w:type="pct"/>
            <w:vAlign w:val="center"/>
          </w:tcPr>
          <w:p w:rsidR="00503A41" w:rsidRPr="00993936" w:rsidRDefault="00503A41" w:rsidP="0009331F">
            <w:pPr>
              <w:rPr>
                <w:rFonts w:ascii="Arial" w:hAnsi="Arial" w:cs="Arial"/>
                <w:lang w:val="es-ES"/>
              </w:rPr>
            </w:pPr>
            <w:r w:rsidRPr="00993936">
              <w:rPr>
                <w:rFonts w:ascii="Arial" w:hAnsi="Arial" w:cs="Arial"/>
                <w:lang w:val="es-ES"/>
              </w:rPr>
              <w:t>Acetamiprid</w:t>
            </w:r>
          </w:p>
          <w:p w:rsidR="00503A41" w:rsidRPr="00993936" w:rsidRDefault="00503A41" w:rsidP="0009331F">
            <w:pPr>
              <w:rPr>
                <w:rFonts w:ascii="Arial" w:hAnsi="Arial" w:cs="Arial"/>
                <w:lang w:val="es-ES"/>
              </w:rPr>
            </w:pPr>
            <w:r w:rsidRPr="00993936">
              <w:rPr>
                <w:rFonts w:ascii="Arial" w:hAnsi="Arial" w:cs="Arial"/>
                <w:lang w:val="es-ES"/>
              </w:rPr>
              <w:t>Betaciflutrín</w:t>
            </w:r>
          </w:p>
          <w:p w:rsidR="00503A41" w:rsidRPr="00993936" w:rsidRDefault="00503A41" w:rsidP="0009331F">
            <w:pPr>
              <w:rPr>
                <w:rFonts w:ascii="Arial" w:hAnsi="Arial" w:cs="Arial"/>
                <w:lang w:val="es-ES"/>
              </w:rPr>
            </w:pPr>
            <w:r w:rsidRPr="00993936">
              <w:rPr>
                <w:rFonts w:ascii="Arial" w:hAnsi="Arial" w:cs="Arial"/>
                <w:lang w:val="es-ES"/>
              </w:rPr>
              <w:t>Cipermetrín</w:t>
            </w:r>
          </w:p>
          <w:p w:rsidR="00503A41" w:rsidRPr="00993936" w:rsidRDefault="00503A41" w:rsidP="0009331F">
            <w:pPr>
              <w:rPr>
                <w:rFonts w:ascii="Arial" w:hAnsi="Arial" w:cs="Arial"/>
                <w:lang w:val="es-ES"/>
              </w:rPr>
            </w:pPr>
            <w:r w:rsidRPr="00993936">
              <w:rPr>
                <w:rFonts w:ascii="Arial" w:hAnsi="Arial" w:cs="Arial"/>
                <w:lang w:val="es-ES"/>
              </w:rPr>
              <w:t>Cipermetrín + Clorpirifos</w:t>
            </w:r>
          </w:p>
          <w:p w:rsidR="00503A41" w:rsidRPr="00993936" w:rsidRDefault="00503A41" w:rsidP="0009331F">
            <w:pPr>
              <w:rPr>
                <w:rFonts w:ascii="Arial" w:hAnsi="Arial" w:cs="Arial"/>
                <w:lang w:val="es-ES"/>
              </w:rPr>
            </w:pPr>
            <w:r w:rsidRPr="00993936">
              <w:rPr>
                <w:rFonts w:ascii="Arial" w:hAnsi="Arial" w:cs="Arial"/>
                <w:lang w:val="es-ES"/>
              </w:rPr>
              <w:t>Deltametrín (6)</w:t>
            </w:r>
          </w:p>
          <w:p w:rsidR="00503A41" w:rsidRPr="00993936" w:rsidRDefault="00503A41" w:rsidP="0009331F">
            <w:pPr>
              <w:rPr>
                <w:rFonts w:ascii="Arial" w:hAnsi="Arial" w:cs="Arial"/>
                <w:lang w:val="es-ES"/>
              </w:rPr>
            </w:pPr>
            <w:r w:rsidRPr="00993936">
              <w:rPr>
                <w:rFonts w:ascii="Arial" w:hAnsi="Arial" w:cs="Arial"/>
                <w:lang w:val="es-ES"/>
              </w:rPr>
              <w:t>Imidacloprid</w:t>
            </w:r>
          </w:p>
          <w:p w:rsidR="00503A41" w:rsidRPr="00993936" w:rsidRDefault="00503A41" w:rsidP="0009331F">
            <w:pPr>
              <w:rPr>
                <w:rFonts w:ascii="Arial" w:hAnsi="Arial" w:cs="Arial"/>
                <w:lang w:val="es-ES"/>
              </w:rPr>
            </w:pPr>
            <w:r w:rsidRPr="00993936">
              <w:rPr>
                <w:rFonts w:ascii="Arial" w:hAnsi="Arial" w:cs="Arial"/>
                <w:lang w:val="es-ES"/>
              </w:rPr>
              <w:t>Lambda-cihalotrín (4)</w:t>
            </w:r>
          </w:p>
          <w:p w:rsidR="00503A41" w:rsidRPr="00993936" w:rsidRDefault="00503A41" w:rsidP="0009331F">
            <w:pPr>
              <w:rPr>
                <w:rFonts w:ascii="Arial" w:hAnsi="Arial" w:cs="Arial"/>
                <w:lang w:val="es-ES"/>
              </w:rPr>
            </w:pPr>
            <w:r w:rsidRPr="00993936">
              <w:rPr>
                <w:rFonts w:ascii="Arial" w:hAnsi="Arial" w:cs="Arial"/>
                <w:lang w:val="es-ES"/>
              </w:rPr>
              <w:t>Tiametoxam</w:t>
            </w:r>
          </w:p>
          <w:p w:rsidR="00503A41" w:rsidRPr="00993936" w:rsidRDefault="00503A41" w:rsidP="0009331F">
            <w:pPr>
              <w:rPr>
                <w:rFonts w:ascii="Arial" w:hAnsi="Arial" w:cs="Arial"/>
                <w:lang w:val="es-ES"/>
              </w:rPr>
            </w:pPr>
          </w:p>
        </w:tc>
        <w:tc>
          <w:tcPr>
            <w:tcW w:w="1468" w:type="pct"/>
            <w:vMerge/>
            <w:shd w:val="clear" w:color="auto" w:fill="auto"/>
          </w:tcPr>
          <w:p w:rsidR="00503A41" w:rsidRPr="00993936" w:rsidRDefault="00503A41" w:rsidP="0009331F">
            <w:pPr>
              <w:rPr>
                <w:rFonts w:ascii="Arial" w:hAnsi="Arial" w:cs="Arial"/>
                <w:lang w:val="es-ES"/>
              </w:rPr>
            </w:pPr>
          </w:p>
        </w:tc>
      </w:tr>
    </w:tbl>
    <w:p w:rsidR="00503A41" w:rsidRPr="00993936" w:rsidRDefault="00503A41" w:rsidP="0009331F">
      <w:pPr>
        <w:rPr>
          <w:rFonts w:ascii="Arial" w:hAnsi="Arial" w:cs="Arial"/>
          <w:lang w:val="es-ES"/>
        </w:rPr>
      </w:pPr>
    </w:p>
    <w:p w:rsidR="00503A41" w:rsidRPr="00993936" w:rsidRDefault="00503A41" w:rsidP="0009331F">
      <w:pPr>
        <w:pStyle w:val="Textoindependiente3"/>
        <w:outlineLvl w:val="0"/>
        <w:rPr>
          <w:rFonts w:cs="Arial"/>
          <w:szCs w:val="22"/>
          <w:lang w:val="es-ES"/>
        </w:rPr>
      </w:pPr>
      <w:r w:rsidRPr="00993936">
        <w:rPr>
          <w:rFonts w:cs="Arial"/>
          <w:szCs w:val="22"/>
          <w:lang w:val="es-ES"/>
        </w:rPr>
        <w:br w:type="page"/>
      </w:r>
      <w:r w:rsidRPr="00993936">
        <w:rPr>
          <w:rFonts w:cs="Arial"/>
          <w:szCs w:val="22"/>
          <w:lang w:val="es-ES"/>
        </w:rPr>
        <w:lastRenderedPageBreak/>
        <w:t xml:space="preserve">2.2.1 (Continuación) Materias activas </w:t>
      </w:r>
      <w:r w:rsidRPr="00993936">
        <w:rPr>
          <w:rFonts w:cs="Arial"/>
          <w:szCs w:val="22"/>
          <w:u w:val="single"/>
          <w:lang w:val="es-ES"/>
        </w:rPr>
        <w:t>de insecticidas</w:t>
      </w:r>
      <w:r w:rsidRPr="00993936">
        <w:rPr>
          <w:rFonts w:cs="Arial"/>
          <w:szCs w:val="22"/>
          <w:lang w:val="es-ES"/>
        </w:rPr>
        <w:t xml:space="preserve"> para la producción integrada de uva para vinificación.</w:t>
      </w:r>
    </w:p>
    <w:p w:rsidR="00503A41" w:rsidRPr="00993936" w:rsidRDefault="00503A41" w:rsidP="0009331F">
      <w:pPr>
        <w:rPr>
          <w:rFonts w:ascii="Arial" w:hAnsi="Arial" w:cs="Arial"/>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9"/>
        <w:gridCol w:w="3157"/>
        <w:gridCol w:w="2538"/>
      </w:tblGrid>
      <w:tr w:rsidR="00503A41" w:rsidRPr="00993936" w:rsidTr="0009331F">
        <w:trPr>
          <w:cantSplit/>
          <w:jc w:val="center"/>
        </w:trPr>
        <w:tc>
          <w:tcPr>
            <w:tcW w:w="1706" w:type="pct"/>
            <w:vAlign w:val="center"/>
          </w:tcPr>
          <w:p w:rsidR="00503A41" w:rsidRPr="00993936" w:rsidRDefault="00503A41" w:rsidP="0009331F">
            <w:pPr>
              <w:rPr>
                <w:rFonts w:ascii="Arial" w:hAnsi="Arial" w:cs="Arial"/>
                <w:lang w:val="es-ES"/>
              </w:rPr>
            </w:pPr>
            <w:r w:rsidRPr="00993936">
              <w:rPr>
                <w:rFonts w:ascii="Arial" w:hAnsi="Arial" w:cs="Arial"/>
                <w:b/>
                <w:lang w:val="es-ES"/>
              </w:rPr>
              <w:t>Polilla</w:t>
            </w:r>
            <w:r w:rsidRPr="00993936">
              <w:rPr>
                <w:rFonts w:ascii="Arial" w:hAnsi="Arial" w:cs="Arial"/>
                <w:b/>
                <w:vanish/>
                <w:lang w:val="es-ES"/>
              </w:rPr>
              <w:t>&lt;A[Carcoma|Gorgojo]&gt;</w:t>
            </w:r>
            <w:r w:rsidRPr="00993936">
              <w:rPr>
                <w:rFonts w:ascii="Arial" w:hAnsi="Arial" w:cs="Arial"/>
                <w:b/>
                <w:lang w:val="es-ES"/>
              </w:rPr>
              <w:t xml:space="preserve"> de la uva</w:t>
            </w:r>
            <w:r w:rsidRPr="00993936">
              <w:rPr>
                <w:rFonts w:ascii="Arial" w:hAnsi="Arial" w:cs="Arial"/>
                <w:vertAlign w:val="superscript"/>
                <w:lang w:val="es-ES"/>
              </w:rPr>
              <w:t xml:space="preserve"> </w:t>
            </w:r>
          </w:p>
          <w:p w:rsidR="00503A41" w:rsidRPr="00993936" w:rsidRDefault="00503A41" w:rsidP="0009331F">
            <w:pPr>
              <w:rPr>
                <w:rFonts w:ascii="Arial" w:hAnsi="Arial" w:cs="Arial"/>
                <w:i/>
                <w:lang w:val="es-ES"/>
              </w:rPr>
            </w:pPr>
            <w:r w:rsidRPr="00993936">
              <w:rPr>
                <w:rFonts w:ascii="Arial" w:hAnsi="Arial" w:cs="Arial"/>
                <w:i/>
                <w:lang w:val="es-ES"/>
              </w:rPr>
              <w:t>(Lobesia botrana)</w:t>
            </w:r>
          </w:p>
        </w:tc>
        <w:tc>
          <w:tcPr>
            <w:tcW w:w="1826" w:type="pct"/>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Alfa cipermetrín</w:t>
            </w:r>
          </w:p>
          <w:p w:rsidR="00503A41" w:rsidRPr="00993936" w:rsidRDefault="00503A41" w:rsidP="001D205D">
            <w:pPr>
              <w:pStyle w:val="Sinespaciado"/>
              <w:rPr>
                <w:rFonts w:ascii="Arial" w:hAnsi="Arial" w:cs="Arial"/>
                <w:bCs/>
                <w:lang w:val="es-ES"/>
              </w:rPr>
            </w:pPr>
            <w:r w:rsidRPr="00993936">
              <w:rPr>
                <w:rFonts w:ascii="Arial" w:hAnsi="Arial" w:cs="Arial"/>
                <w:bCs/>
                <w:lang w:val="es-ES"/>
              </w:rPr>
              <w:t>Azadirectrina</w:t>
            </w:r>
          </w:p>
          <w:p w:rsidR="00503A41" w:rsidRPr="00993936" w:rsidRDefault="00503A41" w:rsidP="001D205D">
            <w:pPr>
              <w:pStyle w:val="Sinespaciado"/>
              <w:rPr>
                <w:rFonts w:ascii="Arial" w:hAnsi="Arial" w:cs="Arial"/>
                <w:i/>
                <w:lang w:val="es-ES"/>
              </w:rPr>
            </w:pPr>
            <w:r w:rsidRPr="00993936">
              <w:rPr>
                <w:rFonts w:ascii="Arial" w:hAnsi="Arial" w:cs="Arial"/>
                <w:i/>
                <w:lang w:val="es-ES"/>
              </w:rPr>
              <w:t>Bacillus thuringiensis Aizawai</w:t>
            </w:r>
            <w:r w:rsidRPr="00993936">
              <w:rPr>
                <w:rFonts w:ascii="Arial" w:hAnsi="Arial" w:cs="Arial"/>
                <w:i/>
                <w:lang w:val="es-ES"/>
              </w:rPr>
              <w:br/>
              <w:t>Bacillus thuringiensis Kurstaki</w:t>
            </w:r>
          </w:p>
          <w:p w:rsidR="00503A41" w:rsidRPr="00993936" w:rsidRDefault="00503A41" w:rsidP="001D205D">
            <w:pPr>
              <w:pStyle w:val="Sinespaciado"/>
              <w:rPr>
                <w:rFonts w:ascii="Arial" w:hAnsi="Arial" w:cs="Arial"/>
                <w:lang w:val="es-ES"/>
              </w:rPr>
            </w:pPr>
            <w:r w:rsidRPr="00993936">
              <w:rPr>
                <w:rFonts w:ascii="Arial" w:hAnsi="Arial" w:cs="Arial"/>
                <w:lang w:val="es-ES"/>
              </w:rPr>
              <w:t>Beta-ciflutrín</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w:t>
            </w:r>
            <w:r w:rsidRPr="00993936" w:rsidDel="00007CE2">
              <w:rPr>
                <w:rFonts w:ascii="Arial" w:hAnsi="Arial" w:cs="Arial"/>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 + Clorpirifos</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 + metil-Clorpirifos</w:t>
            </w:r>
          </w:p>
          <w:p w:rsidR="00503A41" w:rsidRPr="00993936" w:rsidRDefault="00503A41" w:rsidP="001D205D">
            <w:pPr>
              <w:pStyle w:val="Sinespaciado"/>
              <w:rPr>
                <w:rFonts w:ascii="Arial" w:hAnsi="Arial" w:cs="Arial"/>
                <w:lang w:val="es-ES"/>
              </w:rPr>
            </w:pPr>
            <w:r w:rsidRPr="00993936">
              <w:rPr>
                <w:rFonts w:ascii="Arial" w:hAnsi="Arial" w:cs="Arial"/>
                <w:lang w:val="es-ES"/>
              </w:rPr>
              <w:t>Clorantraniliprol</w:t>
            </w:r>
          </w:p>
          <w:p w:rsidR="00503A41" w:rsidRPr="00993936" w:rsidRDefault="00503A41" w:rsidP="001D205D">
            <w:pPr>
              <w:pStyle w:val="Sinespaciado"/>
              <w:rPr>
                <w:rFonts w:ascii="Arial" w:hAnsi="Arial" w:cs="Arial"/>
                <w:lang w:val="es-ES"/>
              </w:rPr>
            </w:pPr>
            <w:r w:rsidRPr="00993936">
              <w:rPr>
                <w:rFonts w:ascii="Arial" w:hAnsi="Arial" w:cs="Arial"/>
                <w:lang w:val="es-ES"/>
              </w:rPr>
              <w:t>Clorpirifos (4)</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 (6)</w:t>
            </w:r>
          </w:p>
          <w:p w:rsidR="00503A41" w:rsidRPr="00993936" w:rsidRDefault="00503A41" w:rsidP="001D205D">
            <w:pPr>
              <w:pStyle w:val="Sinespaciado"/>
              <w:rPr>
                <w:rFonts w:ascii="Arial" w:hAnsi="Arial" w:cs="Arial"/>
                <w:lang w:val="es-ES"/>
              </w:rPr>
            </w:pPr>
            <w:r w:rsidRPr="00993936">
              <w:rPr>
                <w:rFonts w:ascii="Arial" w:hAnsi="Arial" w:cs="Arial"/>
                <w:lang w:val="es-ES"/>
              </w:rPr>
              <w:t>Emamectina</w:t>
            </w:r>
          </w:p>
          <w:p w:rsidR="00503A41" w:rsidRPr="00993936" w:rsidRDefault="00503A41" w:rsidP="001D205D">
            <w:pPr>
              <w:pStyle w:val="Sinespaciado"/>
              <w:rPr>
                <w:rFonts w:ascii="Arial" w:hAnsi="Arial" w:cs="Arial"/>
                <w:lang w:val="es-ES"/>
              </w:rPr>
            </w:pPr>
            <w:r w:rsidRPr="00993936">
              <w:rPr>
                <w:rFonts w:ascii="Arial" w:hAnsi="Arial" w:cs="Arial"/>
                <w:lang w:val="es-ES"/>
              </w:rPr>
              <w:t>Esfenvalerat(6)</w:t>
            </w:r>
          </w:p>
          <w:p w:rsidR="00503A41" w:rsidRPr="00993936" w:rsidRDefault="00503A41" w:rsidP="001D205D">
            <w:pPr>
              <w:pStyle w:val="Sinespaciado"/>
              <w:rPr>
                <w:rFonts w:ascii="Arial" w:hAnsi="Arial" w:cs="Arial"/>
                <w:lang w:val="es-ES"/>
              </w:rPr>
            </w:pPr>
            <w:r w:rsidRPr="00993936">
              <w:rPr>
                <w:rFonts w:ascii="Arial" w:hAnsi="Arial" w:cs="Arial"/>
                <w:lang w:val="es-ES"/>
              </w:rPr>
              <w:t>Espinosad</w:t>
            </w:r>
          </w:p>
          <w:p w:rsidR="00503A41" w:rsidRPr="00993936" w:rsidRDefault="00503A41" w:rsidP="001D205D">
            <w:pPr>
              <w:pStyle w:val="Sinespaciado"/>
              <w:rPr>
                <w:rFonts w:ascii="Arial" w:hAnsi="Arial" w:cs="Arial"/>
                <w:i/>
                <w:snapToGrid w:val="0"/>
                <w:lang w:val="es-ES"/>
              </w:rPr>
            </w:pPr>
            <w:r w:rsidRPr="00993936">
              <w:rPr>
                <w:rFonts w:ascii="Arial" w:hAnsi="Arial" w:cs="Arial"/>
                <w:lang w:val="es-ES"/>
              </w:rPr>
              <w:t xml:space="preserve">Fenoxicarb </w:t>
            </w:r>
          </w:p>
          <w:p w:rsidR="00503A41" w:rsidRPr="00993936" w:rsidRDefault="00503A41" w:rsidP="001D205D">
            <w:pPr>
              <w:pStyle w:val="Sinespaciado"/>
              <w:rPr>
                <w:rFonts w:ascii="Arial" w:hAnsi="Arial" w:cs="Arial"/>
                <w:lang w:val="es-ES"/>
              </w:rPr>
            </w:pPr>
            <w:r w:rsidRPr="00993936">
              <w:rPr>
                <w:rFonts w:ascii="Arial" w:hAnsi="Arial" w:cs="Arial"/>
                <w:lang w:val="es-ES"/>
              </w:rPr>
              <w:t>Feromonas de confusión sexual</w:t>
            </w:r>
          </w:p>
          <w:p w:rsidR="00503A41" w:rsidRPr="00993936" w:rsidRDefault="00503A41" w:rsidP="001D205D">
            <w:pPr>
              <w:pStyle w:val="Sinespaciado"/>
              <w:rPr>
                <w:rFonts w:ascii="Arial" w:hAnsi="Arial" w:cs="Arial"/>
                <w:lang w:val="es-ES"/>
              </w:rPr>
            </w:pPr>
            <w:r w:rsidRPr="00993936">
              <w:rPr>
                <w:rFonts w:ascii="Arial" w:hAnsi="Arial" w:cs="Arial"/>
                <w:lang w:val="es-ES"/>
              </w:rPr>
              <w:t>Indoxacarb</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 (4)</w:t>
            </w:r>
          </w:p>
          <w:p w:rsidR="00503A41" w:rsidRPr="00993936" w:rsidRDefault="00503A41" w:rsidP="001D205D">
            <w:pPr>
              <w:pStyle w:val="Sinespaciado"/>
              <w:rPr>
                <w:rFonts w:ascii="Arial" w:hAnsi="Arial" w:cs="Arial"/>
                <w:lang w:val="es-ES"/>
              </w:rPr>
            </w:pPr>
            <w:r w:rsidRPr="00993936">
              <w:rPr>
                <w:rFonts w:ascii="Arial" w:hAnsi="Arial" w:cs="Arial"/>
                <w:lang w:val="es-ES"/>
              </w:rPr>
              <w:t>Metil-Clorpirifos (4)</w:t>
            </w:r>
          </w:p>
          <w:p w:rsidR="00503A41" w:rsidRPr="00993936" w:rsidRDefault="00503A41" w:rsidP="001D205D">
            <w:pPr>
              <w:pStyle w:val="Sinespaciado"/>
              <w:rPr>
                <w:rFonts w:ascii="Arial" w:hAnsi="Arial" w:cs="Arial"/>
                <w:lang w:val="es-ES"/>
              </w:rPr>
            </w:pPr>
            <w:r w:rsidRPr="00993936">
              <w:rPr>
                <w:rFonts w:ascii="Arial" w:hAnsi="Arial" w:cs="Arial"/>
                <w:lang w:val="es-ES"/>
              </w:rPr>
              <w:t>Metoxifenocida</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Azufre + </w:t>
            </w:r>
            <w:r w:rsidRPr="00993936">
              <w:rPr>
                <w:rFonts w:ascii="Arial" w:hAnsi="Arial" w:cs="Arial"/>
                <w:i/>
                <w:lang w:val="es-ES"/>
              </w:rPr>
              <w:t>Bacillus thuringensis kurstaki</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Tebufenocida </w:t>
            </w:r>
          </w:p>
        </w:tc>
        <w:tc>
          <w:tcPr>
            <w:tcW w:w="1468" w:type="pct"/>
            <w:shd w:val="clear" w:color="auto" w:fill="auto"/>
          </w:tcPr>
          <w:p w:rsidR="00503A41" w:rsidRPr="00993936" w:rsidRDefault="00503A41" w:rsidP="0009331F">
            <w:pPr>
              <w:rPr>
                <w:rFonts w:ascii="Arial" w:hAnsi="Arial" w:cs="Arial"/>
                <w:lang w:val="es-ES"/>
              </w:rPr>
            </w:pPr>
          </w:p>
        </w:tc>
      </w:tr>
      <w:tr w:rsidR="00503A41" w:rsidRPr="00993936" w:rsidTr="0009331F">
        <w:trPr>
          <w:cantSplit/>
          <w:jc w:val="center"/>
        </w:trPr>
        <w:tc>
          <w:tcPr>
            <w:tcW w:w="1706" w:type="pct"/>
            <w:vAlign w:val="center"/>
          </w:tcPr>
          <w:p w:rsidR="00503A41" w:rsidRPr="00993936" w:rsidRDefault="00503A41" w:rsidP="0009331F">
            <w:pPr>
              <w:rPr>
                <w:rFonts w:ascii="Arial" w:hAnsi="Arial" w:cs="Arial"/>
                <w:b/>
                <w:lang w:val="es-ES"/>
              </w:rPr>
            </w:pPr>
            <w:r w:rsidRPr="00993936">
              <w:rPr>
                <w:rFonts w:ascii="Arial" w:hAnsi="Arial" w:cs="Arial"/>
                <w:b/>
                <w:lang w:val="es-ES"/>
              </w:rPr>
              <w:t>Cochinilla algodonosa</w:t>
            </w:r>
          </w:p>
        </w:tc>
        <w:tc>
          <w:tcPr>
            <w:tcW w:w="1826" w:type="pct"/>
            <w:vAlign w:val="center"/>
          </w:tcPr>
          <w:p w:rsidR="00503A41" w:rsidRPr="00993936" w:rsidRDefault="00503A41" w:rsidP="0009331F">
            <w:pPr>
              <w:pStyle w:val="Ttulo3"/>
              <w:rPr>
                <w:rFonts w:ascii="Arial" w:hAnsi="Arial" w:cs="Arial"/>
                <w:b/>
                <w:color w:val="auto"/>
                <w:szCs w:val="22"/>
                <w:lang w:val="es-ES"/>
              </w:rPr>
            </w:pPr>
            <w:r w:rsidRPr="00993936">
              <w:rPr>
                <w:rFonts w:ascii="Arial" w:hAnsi="Arial" w:cs="Arial"/>
                <w:color w:val="auto"/>
                <w:szCs w:val="22"/>
                <w:lang w:val="es-ES"/>
              </w:rPr>
              <w:t>Clorpirifos (4)</w:t>
            </w:r>
          </w:p>
          <w:p w:rsidR="00503A41" w:rsidRPr="00993936" w:rsidRDefault="00503A41" w:rsidP="0009331F">
            <w:pPr>
              <w:rPr>
                <w:rFonts w:ascii="Arial" w:hAnsi="Arial" w:cs="Arial"/>
                <w:lang w:val="es-ES"/>
              </w:rPr>
            </w:pPr>
            <w:r w:rsidRPr="00993936">
              <w:rPr>
                <w:rFonts w:ascii="Arial" w:hAnsi="Arial" w:cs="Arial"/>
                <w:lang w:val="es-ES"/>
              </w:rPr>
              <w:t>Imidacloprid</w:t>
            </w:r>
          </w:p>
          <w:p w:rsidR="00503A41" w:rsidRPr="00993936" w:rsidRDefault="00503A41" w:rsidP="0009331F">
            <w:pPr>
              <w:rPr>
                <w:rFonts w:ascii="Arial" w:hAnsi="Arial" w:cs="Arial"/>
                <w:lang w:val="es-ES"/>
              </w:rPr>
            </w:pPr>
            <w:r w:rsidRPr="00993936">
              <w:rPr>
                <w:rFonts w:ascii="Arial" w:hAnsi="Arial" w:cs="Arial"/>
                <w:lang w:val="es-ES"/>
              </w:rPr>
              <w:t>Metil-Clorpirifos (4)</w:t>
            </w:r>
          </w:p>
        </w:tc>
        <w:tc>
          <w:tcPr>
            <w:tcW w:w="1468" w:type="pct"/>
            <w:vMerge w:val="restart"/>
            <w:shd w:val="clear" w:color="auto" w:fill="auto"/>
            <w:vAlign w:val="center"/>
          </w:tcPr>
          <w:p w:rsidR="00503A41" w:rsidRPr="00993936" w:rsidRDefault="00503A41" w:rsidP="009D1A2D">
            <w:pPr>
              <w:numPr>
                <w:ilvl w:val="0"/>
                <w:numId w:val="102"/>
              </w:numPr>
              <w:spacing w:after="0" w:line="240" w:lineRule="auto"/>
              <w:rPr>
                <w:rFonts w:ascii="Arial" w:hAnsi="Arial" w:cs="Arial"/>
                <w:lang w:val="es-ES"/>
              </w:rPr>
            </w:pPr>
            <w:r w:rsidRPr="00993936">
              <w:rPr>
                <w:rFonts w:ascii="Arial" w:hAnsi="Arial" w:cs="Arial"/>
                <w:lang w:val="es-ES"/>
              </w:rPr>
              <w:t>Sólo formulaciones comerciales registradas</w:t>
            </w:r>
          </w:p>
          <w:p w:rsidR="00503A41" w:rsidRPr="00993936" w:rsidRDefault="00503A41" w:rsidP="009D1A2D">
            <w:pPr>
              <w:numPr>
                <w:ilvl w:val="0"/>
                <w:numId w:val="102"/>
              </w:numPr>
              <w:spacing w:after="0" w:line="240" w:lineRule="auto"/>
              <w:rPr>
                <w:rFonts w:ascii="Arial" w:hAnsi="Arial" w:cs="Arial"/>
                <w:lang w:val="es-ES"/>
              </w:rPr>
            </w:pPr>
            <w:r w:rsidRPr="00993936">
              <w:rPr>
                <w:rFonts w:ascii="Arial" w:hAnsi="Arial" w:cs="Arial"/>
                <w:lang w:val="es-ES"/>
              </w:rPr>
              <w:t>Sólo hasta el enverado</w:t>
            </w:r>
          </w:p>
          <w:p w:rsidR="00503A41" w:rsidRPr="00993936" w:rsidRDefault="00503A41" w:rsidP="009D1A2D">
            <w:pPr>
              <w:numPr>
                <w:ilvl w:val="0"/>
                <w:numId w:val="102"/>
              </w:numPr>
              <w:spacing w:after="0" w:line="240" w:lineRule="auto"/>
              <w:rPr>
                <w:rFonts w:ascii="Arial" w:hAnsi="Arial" w:cs="Arial"/>
                <w:lang w:val="es-ES"/>
              </w:rPr>
            </w:pPr>
            <w:r w:rsidRPr="00993936">
              <w:rPr>
                <w:rFonts w:ascii="Arial" w:hAnsi="Arial" w:cs="Arial"/>
                <w:lang w:val="es-ES"/>
              </w:rPr>
              <w:t>Sólo 2 tratamientos al año.</w:t>
            </w:r>
          </w:p>
          <w:p w:rsidR="00503A41" w:rsidRPr="00993936" w:rsidRDefault="00503A41" w:rsidP="009D1A2D">
            <w:pPr>
              <w:numPr>
                <w:ilvl w:val="0"/>
                <w:numId w:val="102"/>
              </w:numPr>
              <w:spacing w:after="0" w:line="240" w:lineRule="auto"/>
              <w:rPr>
                <w:rFonts w:ascii="Arial" w:hAnsi="Arial" w:cs="Arial"/>
                <w:lang w:val="es-ES"/>
              </w:rPr>
            </w:pPr>
            <w:r w:rsidRPr="00993936">
              <w:rPr>
                <w:rFonts w:ascii="Arial" w:hAnsi="Arial" w:cs="Arial"/>
                <w:lang w:val="es-ES"/>
              </w:rPr>
              <w:t>Sólo formulaciones que no sean de clasificación toxicológica (T)</w:t>
            </w:r>
          </w:p>
          <w:p w:rsidR="00503A41" w:rsidRPr="00993936" w:rsidRDefault="00503A41" w:rsidP="009D1A2D">
            <w:pPr>
              <w:numPr>
                <w:ilvl w:val="0"/>
                <w:numId w:val="102"/>
              </w:numPr>
              <w:spacing w:after="0" w:line="240" w:lineRule="auto"/>
              <w:rPr>
                <w:rFonts w:ascii="Arial" w:hAnsi="Arial" w:cs="Arial"/>
                <w:lang w:val="es-ES"/>
              </w:rPr>
            </w:pPr>
            <w:r w:rsidRPr="00993936">
              <w:rPr>
                <w:rFonts w:ascii="Arial" w:hAnsi="Arial" w:cs="Arial"/>
                <w:lang w:val="es-ES"/>
              </w:rPr>
              <w:t>Restringir las aplicaciones hasta el cerrado de la uva, estado fenológico L.</w:t>
            </w:r>
          </w:p>
          <w:p w:rsidR="00503A41" w:rsidRPr="00993936" w:rsidRDefault="00503A41" w:rsidP="009D1A2D">
            <w:pPr>
              <w:numPr>
                <w:ilvl w:val="0"/>
                <w:numId w:val="102"/>
              </w:numPr>
              <w:spacing w:after="0" w:line="240" w:lineRule="auto"/>
              <w:rPr>
                <w:rFonts w:ascii="Arial" w:hAnsi="Arial" w:cs="Arial"/>
                <w:lang w:val="es-ES"/>
              </w:rPr>
            </w:pPr>
            <w:r w:rsidRPr="00993936">
              <w:rPr>
                <w:rFonts w:ascii="Arial" w:hAnsi="Arial" w:cs="Arial"/>
                <w:lang w:val="es-ES"/>
              </w:rPr>
              <w:t>Utilizar de manera excepcional por</w:t>
            </w:r>
            <w:r w:rsidRPr="00993936">
              <w:rPr>
                <w:rFonts w:ascii="Arial" w:hAnsi="Arial" w:cs="Arial"/>
                <w:vanish/>
                <w:lang w:val="es-ES"/>
              </w:rPr>
              <w:t>&lt;A[por|para]&gt;</w:t>
            </w:r>
            <w:r w:rsidRPr="00993936">
              <w:rPr>
                <w:rFonts w:ascii="Arial" w:hAnsi="Arial" w:cs="Arial"/>
                <w:lang w:val="es-ES"/>
              </w:rPr>
              <w:t xml:space="preserve"> el riesgo de incremento de poblaciones de ácaros</w:t>
            </w:r>
          </w:p>
        </w:tc>
      </w:tr>
      <w:tr w:rsidR="00503A41" w:rsidRPr="00993936" w:rsidTr="0009331F">
        <w:trPr>
          <w:cantSplit/>
          <w:jc w:val="center"/>
        </w:trPr>
        <w:tc>
          <w:tcPr>
            <w:tcW w:w="1706" w:type="pct"/>
            <w:vAlign w:val="center"/>
          </w:tcPr>
          <w:p w:rsidR="00503A41" w:rsidRPr="00993936" w:rsidRDefault="00503A41" w:rsidP="0009331F">
            <w:pPr>
              <w:rPr>
                <w:rFonts w:ascii="Arial" w:hAnsi="Arial" w:cs="Arial"/>
                <w:lang w:val="es-ES"/>
              </w:rPr>
            </w:pPr>
            <w:r w:rsidRPr="00993936">
              <w:rPr>
                <w:rFonts w:ascii="Arial" w:hAnsi="Arial" w:cs="Arial"/>
                <w:b/>
                <w:lang w:val="es-ES"/>
              </w:rPr>
              <w:t>Mosquito verde</w:t>
            </w:r>
            <w:r w:rsidRPr="00993936">
              <w:rPr>
                <w:rFonts w:ascii="Arial" w:hAnsi="Arial" w:cs="Arial"/>
                <w:lang w:val="es-ES"/>
              </w:rPr>
              <w:t xml:space="preserve"> </w:t>
            </w:r>
          </w:p>
          <w:p w:rsidR="00503A41" w:rsidRPr="00993936" w:rsidRDefault="00503A41" w:rsidP="0009331F">
            <w:pPr>
              <w:rPr>
                <w:rFonts w:ascii="Arial" w:hAnsi="Arial" w:cs="Arial"/>
                <w:lang w:val="es-ES"/>
              </w:rPr>
            </w:pPr>
            <w:r w:rsidRPr="00993936">
              <w:rPr>
                <w:rFonts w:ascii="Arial" w:hAnsi="Arial" w:cs="Arial"/>
                <w:lang w:val="es-ES"/>
              </w:rPr>
              <w:t>(</w:t>
            </w:r>
            <w:r w:rsidRPr="00993936">
              <w:rPr>
                <w:rFonts w:ascii="Arial" w:hAnsi="Arial" w:cs="Arial"/>
                <w:i/>
                <w:lang w:val="es-ES"/>
              </w:rPr>
              <w:t>Empoasca vitis</w:t>
            </w:r>
            <w:r w:rsidRPr="00993936">
              <w:rPr>
                <w:rFonts w:ascii="Arial" w:hAnsi="Arial" w:cs="Arial"/>
                <w:lang w:val="es-ES"/>
              </w:rPr>
              <w:t>)</w:t>
            </w:r>
          </w:p>
        </w:tc>
        <w:tc>
          <w:tcPr>
            <w:tcW w:w="1826" w:type="pct"/>
            <w:vAlign w:val="center"/>
          </w:tcPr>
          <w:p w:rsidR="00503A41" w:rsidRPr="00993936" w:rsidRDefault="00503A41" w:rsidP="0009331F">
            <w:pPr>
              <w:rPr>
                <w:rFonts w:ascii="Arial" w:hAnsi="Arial" w:cs="Arial"/>
                <w:lang w:val="es-ES"/>
              </w:rPr>
            </w:pPr>
            <w:r w:rsidRPr="00993936">
              <w:rPr>
                <w:rFonts w:ascii="Arial" w:hAnsi="Arial" w:cs="Arial"/>
                <w:lang w:val="es-ES"/>
              </w:rPr>
              <w:t>Alfa cipermetrín</w:t>
            </w:r>
          </w:p>
          <w:p w:rsidR="00503A41" w:rsidRPr="00993936" w:rsidRDefault="00503A41" w:rsidP="0009331F">
            <w:pPr>
              <w:rPr>
                <w:rFonts w:ascii="Arial" w:hAnsi="Arial" w:cs="Arial"/>
                <w:lang w:val="es-ES"/>
              </w:rPr>
            </w:pPr>
            <w:r w:rsidRPr="00993936">
              <w:rPr>
                <w:rFonts w:ascii="Arial" w:hAnsi="Arial" w:cs="Arial"/>
                <w:lang w:val="es-ES"/>
              </w:rPr>
              <w:t>Azadiractín</w:t>
            </w:r>
          </w:p>
          <w:p w:rsidR="00503A41" w:rsidRPr="00993936" w:rsidRDefault="00503A41" w:rsidP="0009331F">
            <w:pPr>
              <w:rPr>
                <w:rFonts w:ascii="Arial" w:hAnsi="Arial" w:cs="Arial"/>
                <w:lang w:val="es-ES"/>
              </w:rPr>
            </w:pPr>
            <w:r w:rsidRPr="00993936">
              <w:rPr>
                <w:rFonts w:ascii="Arial" w:hAnsi="Arial" w:cs="Arial"/>
                <w:lang w:val="es-ES"/>
              </w:rPr>
              <w:t>Cipermetrín</w:t>
            </w:r>
          </w:p>
          <w:p w:rsidR="00503A41" w:rsidRPr="00993936" w:rsidRDefault="00503A41" w:rsidP="0009331F">
            <w:pPr>
              <w:rPr>
                <w:rFonts w:ascii="Arial" w:hAnsi="Arial" w:cs="Arial"/>
                <w:lang w:val="es-ES"/>
              </w:rPr>
            </w:pPr>
            <w:r w:rsidRPr="00993936">
              <w:rPr>
                <w:rFonts w:ascii="Arial" w:hAnsi="Arial" w:cs="Arial"/>
                <w:lang w:val="es-ES"/>
              </w:rPr>
              <w:t>Cipermetrín + Clorpirifos</w:t>
            </w:r>
          </w:p>
          <w:p w:rsidR="00503A41" w:rsidRPr="00993936" w:rsidRDefault="00503A41" w:rsidP="0009331F">
            <w:pPr>
              <w:rPr>
                <w:rFonts w:ascii="Arial" w:hAnsi="Arial" w:cs="Arial"/>
                <w:lang w:val="es-ES"/>
              </w:rPr>
            </w:pPr>
            <w:r w:rsidRPr="00993936">
              <w:rPr>
                <w:rFonts w:ascii="Arial" w:hAnsi="Arial" w:cs="Arial"/>
                <w:lang w:val="es-ES"/>
              </w:rPr>
              <w:t>Clorpirifos (4)</w:t>
            </w:r>
          </w:p>
          <w:p w:rsidR="00503A41" w:rsidRPr="00993936" w:rsidRDefault="00503A41" w:rsidP="0009331F">
            <w:pPr>
              <w:rPr>
                <w:rFonts w:ascii="Arial" w:hAnsi="Arial" w:cs="Arial"/>
                <w:lang w:val="es-ES"/>
              </w:rPr>
            </w:pPr>
            <w:r w:rsidRPr="00993936">
              <w:rPr>
                <w:rFonts w:ascii="Arial" w:hAnsi="Arial" w:cs="Arial"/>
                <w:lang w:val="es-ES"/>
              </w:rPr>
              <w:t>Deltametrín</w:t>
            </w:r>
          </w:p>
          <w:p w:rsidR="00503A41" w:rsidRPr="00993936" w:rsidRDefault="00503A41" w:rsidP="0009331F">
            <w:pPr>
              <w:rPr>
                <w:rFonts w:ascii="Arial" w:hAnsi="Arial" w:cs="Arial"/>
                <w:lang w:val="es-ES"/>
              </w:rPr>
            </w:pPr>
            <w:r w:rsidRPr="00993936">
              <w:rPr>
                <w:rFonts w:ascii="Arial" w:hAnsi="Arial" w:cs="Arial"/>
                <w:lang w:val="es-ES"/>
              </w:rPr>
              <w:t>Fenpiroximat</w:t>
            </w:r>
          </w:p>
          <w:p w:rsidR="00503A41" w:rsidRPr="00993936" w:rsidRDefault="00503A41" w:rsidP="0009331F">
            <w:pPr>
              <w:rPr>
                <w:rFonts w:ascii="Arial" w:hAnsi="Arial" w:cs="Arial"/>
                <w:i/>
                <w:snapToGrid w:val="0"/>
                <w:lang w:val="es-ES"/>
              </w:rPr>
            </w:pPr>
            <w:r w:rsidRPr="00993936">
              <w:rPr>
                <w:rFonts w:ascii="Arial" w:hAnsi="Arial" w:cs="Arial"/>
                <w:lang w:val="es-ES"/>
              </w:rPr>
              <w:t>Imidacloprid</w:t>
            </w:r>
          </w:p>
          <w:p w:rsidR="00503A41" w:rsidRPr="00993936" w:rsidRDefault="00503A41" w:rsidP="0009331F">
            <w:pPr>
              <w:rPr>
                <w:rFonts w:ascii="Arial" w:hAnsi="Arial" w:cs="Arial"/>
                <w:lang w:val="es-ES"/>
              </w:rPr>
            </w:pPr>
            <w:r w:rsidRPr="00993936">
              <w:rPr>
                <w:rFonts w:ascii="Arial" w:hAnsi="Arial" w:cs="Arial"/>
                <w:lang w:val="es-ES"/>
              </w:rPr>
              <w:t>Indoxacarb</w:t>
            </w:r>
          </w:p>
          <w:p w:rsidR="00503A41" w:rsidRPr="00993936" w:rsidRDefault="00503A41" w:rsidP="0009331F">
            <w:pPr>
              <w:rPr>
                <w:rFonts w:ascii="Arial" w:hAnsi="Arial" w:cs="Arial"/>
                <w:lang w:val="es-ES"/>
              </w:rPr>
            </w:pPr>
            <w:r w:rsidRPr="00993936">
              <w:rPr>
                <w:rFonts w:ascii="Arial" w:hAnsi="Arial" w:cs="Arial"/>
                <w:lang w:val="es-ES"/>
              </w:rPr>
              <w:t>Tiametoxam</w:t>
            </w:r>
          </w:p>
        </w:tc>
        <w:tc>
          <w:tcPr>
            <w:tcW w:w="1468" w:type="pct"/>
            <w:vMerge/>
            <w:shd w:val="clear" w:color="auto" w:fill="auto"/>
          </w:tcPr>
          <w:p w:rsidR="00503A41" w:rsidRPr="00993936" w:rsidRDefault="00503A41" w:rsidP="0009331F">
            <w:pPr>
              <w:rPr>
                <w:rFonts w:ascii="Arial" w:hAnsi="Arial" w:cs="Arial"/>
                <w:lang w:val="es-ES"/>
              </w:rPr>
            </w:pPr>
          </w:p>
        </w:tc>
      </w:tr>
      <w:tr w:rsidR="00503A41" w:rsidRPr="00993936" w:rsidTr="0009331F">
        <w:trPr>
          <w:cantSplit/>
          <w:jc w:val="center"/>
        </w:trPr>
        <w:tc>
          <w:tcPr>
            <w:tcW w:w="1706" w:type="pct"/>
            <w:tcBorders>
              <w:top w:val="single" w:sz="4" w:space="0" w:color="auto"/>
              <w:left w:val="single" w:sz="4" w:space="0" w:color="auto"/>
              <w:bottom w:val="single" w:sz="4" w:space="0" w:color="auto"/>
              <w:right w:val="single" w:sz="4" w:space="0" w:color="auto"/>
            </w:tcBorders>
            <w:vAlign w:val="center"/>
          </w:tcPr>
          <w:p w:rsidR="00503A41" w:rsidRPr="00993936" w:rsidRDefault="00503A41" w:rsidP="001D205D">
            <w:pPr>
              <w:pStyle w:val="Ttulo9"/>
              <w:rPr>
                <w:rFonts w:ascii="Arial" w:hAnsi="Arial" w:cs="Arial"/>
                <w:b/>
                <w:i w:val="0"/>
                <w:color w:val="auto"/>
                <w:szCs w:val="22"/>
                <w:lang w:val="es-ES"/>
              </w:rPr>
            </w:pPr>
            <w:r w:rsidRPr="00993936">
              <w:rPr>
                <w:rFonts w:ascii="Arial" w:hAnsi="Arial" w:cs="Arial"/>
                <w:color w:val="auto"/>
                <w:szCs w:val="22"/>
                <w:lang w:val="es-ES"/>
              </w:rPr>
              <w:lastRenderedPageBreak/>
              <w:t xml:space="preserve">Gusanos grises </w:t>
            </w:r>
          </w:p>
        </w:tc>
        <w:tc>
          <w:tcPr>
            <w:tcW w:w="1826" w:type="pct"/>
            <w:tcBorders>
              <w:top w:val="single" w:sz="4" w:space="0" w:color="auto"/>
              <w:left w:val="single" w:sz="4" w:space="0" w:color="auto"/>
              <w:bottom w:val="single" w:sz="4" w:space="0" w:color="auto"/>
            </w:tcBorders>
            <w:vAlign w:val="center"/>
          </w:tcPr>
          <w:p w:rsidR="00503A41" w:rsidRPr="00993936" w:rsidRDefault="00503A41" w:rsidP="0009331F">
            <w:pPr>
              <w:rPr>
                <w:rFonts w:ascii="Arial" w:hAnsi="Arial" w:cs="Arial"/>
                <w:lang w:val="es-ES"/>
              </w:rPr>
            </w:pPr>
          </w:p>
          <w:p w:rsidR="00503A41" w:rsidRPr="00993936" w:rsidRDefault="00503A41" w:rsidP="0009331F">
            <w:pPr>
              <w:rPr>
                <w:rFonts w:ascii="Arial" w:hAnsi="Arial" w:cs="Arial"/>
                <w:lang w:val="es-ES"/>
              </w:rPr>
            </w:pPr>
            <w:r w:rsidRPr="00993936">
              <w:rPr>
                <w:rFonts w:ascii="Arial" w:hAnsi="Arial" w:cs="Arial"/>
                <w:lang w:val="es-ES"/>
              </w:rPr>
              <w:t>Clorpirifos</w:t>
            </w:r>
          </w:p>
          <w:p w:rsidR="00503A41" w:rsidRPr="00993936" w:rsidRDefault="00503A41" w:rsidP="0009331F">
            <w:pPr>
              <w:rPr>
                <w:rFonts w:ascii="Arial" w:hAnsi="Arial" w:cs="Arial"/>
                <w:lang w:val="es-ES"/>
              </w:rPr>
            </w:pPr>
            <w:r w:rsidRPr="00993936">
              <w:rPr>
                <w:rFonts w:ascii="Arial" w:hAnsi="Arial" w:cs="Arial"/>
                <w:lang w:val="es-ES"/>
              </w:rPr>
              <w:t>Deltametrín (6)</w:t>
            </w:r>
          </w:p>
        </w:tc>
        <w:tc>
          <w:tcPr>
            <w:tcW w:w="1468" w:type="pct"/>
            <w:vMerge/>
            <w:shd w:val="clear" w:color="auto" w:fill="auto"/>
          </w:tcPr>
          <w:p w:rsidR="00503A41" w:rsidRPr="00993936" w:rsidRDefault="00503A41" w:rsidP="0009331F">
            <w:pPr>
              <w:rPr>
                <w:rFonts w:ascii="Arial" w:hAnsi="Arial" w:cs="Arial"/>
                <w:lang w:val="es-ES"/>
              </w:rPr>
            </w:pPr>
          </w:p>
        </w:tc>
      </w:tr>
      <w:tr w:rsidR="00503A41" w:rsidRPr="00993936" w:rsidTr="0009331F">
        <w:trPr>
          <w:cantSplit/>
          <w:trHeight w:val="1660"/>
          <w:jc w:val="center"/>
        </w:trPr>
        <w:tc>
          <w:tcPr>
            <w:tcW w:w="1706" w:type="pct"/>
            <w:vAlign w:val="center"/>
          </w:tcPr>
          <w:p w:rsidR="00503A41" w:rsidRPr="00993936" w:rsidRDefault="00503A41" w:rsidP="0009331F">
            <w:pPr>
              <w:rPr>
                <w:rFonts w:ascii="Arial" w:hAnsi="Arial" w:cs="Arial"/>
                <w:lang w:val="es-ES"/>
              </w:rPr>
            </w:pPr>
            <w:r w:rsidRPr="00993936">
              <w:rPr>
                <w:rFonts w:ascii="Arial" w:hAnsi="Arial" w:cs="Arial"/>
                <w:b/>
                <w:lang w:val="es-ES"/>
              </w:rPr>
              <w:t>Altica o blaveta</w:t>
            </w:r>
          </w:p>
        </w:tc>
        <w:tc>
          <w:tcPr>
            <w:tcW w:w="1826" w:type="pct"/>
            <w:vAlign w:val="center"/>
          </w:tcPr>
          <w:p w:rsidR="00503A41" w:rsidRPr="00993936" w:rsidRDefault="00503A41" w:rsidP="0009331F">
            <w:pPr>
              <w:pStyle w:val="Textosinformato"/>
              <w:jc w:val="both"/>
              <w:rPr>
                <w:rFonts w:ascii="Arial" w:hAnsi="Arial" w:cs="Arial"/>
                <w:sz w:val="22"/>
                <w:szCs w:val="22"/>
                <w:lang w:val="es-ES" w:eastAsia="es-ES"/>
              </w:rPr>
            </w:pPr>
            <w:r w:rsidRPr="00993936">
              <w:rPr>
                <w:rFonts w:ascii="Arial" w:hAnsi="Arial" w:cs="Arial"/>
                <w:sz w:val="22"/>
                <w:szCs w:val="22"/>
                <w:lang w:val="es-ES" w:eastAsia="es-ES"/>
              </w:rPr>
              <w:t>Alfa cipermetrín</w:t>
            </w:r>
          </w:p>
          <w:p w:rsidR="00503A41" w:rsidRPr="00993936" w:rsidRDefault="00503A41" w:rsidP="0009331F">
            <w:pPr>
              <w:pStyle w:val="Textosinformato"/>
              <w:jc w:val="both"/>
              <w:rPr>
                <w:rFonts w:ascii="Arial" w:hAnsi="Arial" w:cs="Arial"/>
                <w:sz w:val="22"/>
                <w:szCs w:val="22"/>
                <w:lang w:val="es-ES" w:eastAsia="es-ES"/>
              </w:rPr>
            </w:pPr>
            <w:r w:rsidRPr="00993936">
              <w:rPr>
                <w:rFonts w:ascii="Arial" w:hAnsi="Arial" w:cs="Arial"/>
                <w:sz w:val="22"/>
                <w:szCs w:val="22"/>
                <w:lang w:val="es-ES" w:eastAsia="es-ES"/>
              </w:rPr>
              <w:t>Clorpirifos</w:t>
            </w:r>
          </w:p>
          <w:p w:rsidR="00503A41" w:rsidRPr="00993936" w:rsidRDefault="00503A41" w:rsidP="0009331F">
            <w:pPr>
              <w:jc w:val="both"/>
              <w:rPr>
                <w:rFonts w:ascii="Arial" w:hAnsi="Arial" w:cs="Arial"/>
                <w:lang w:val="es-ES"/>
              </w:rPr>
            </w:pPr>
            <w:r w:rsidRPr="00993936">
              <w:rPr>
                <w:rFonts w:ascii="Arial" w:hAnsi="Arial" w:cs="Arial"/>
                <w:lang w:val="es-ES"/>
              </w:rPr>
              <w:t>Espinosad</w:t>
            </w:r>
          </w:p>
          <w:p w:rsidR="00503A41" w:rsidRPr="00993936" w:rsidRDefault="00503A41" w:rsidP="0009331F">
            <w:pPr>
              <w:rPr>
                <w:rFonts w:ascii="Arial" w:hAnsi="Arial" w:cs="Arial"/>
                <w:lang w:val="es-ES"/>
              </w:rPr>
            </w:pPr>
          </w:p>
        </w:tc>
        <w:tc>
          <w:tcPr>
            <w:tcW w:w="1468" w:type="pct"/>
            <w:vMerge/>
            <w:shd w:val="clear" w:color="auto" w:fill="auto"/>
          </w:tcPr>
          <w:p w:rsidR="00503A41" w:rsidRPr="00993936" w:rsidRDefault="00503A41" w:rsidP="0009331F">
            <w:pPr>
              <w:rPr>
                <w:rFonts w:ascii="Arial" w:hAnsi="Arial" w:cs="Arial"/>
                <w:lang w:val="es-ES"/>
              </w:rPr>
            </w:pPr>
          </w:p>
        </w:tc>
      </w:tr>
    </w:tbl>
    <w:p w:rsidR="00503A41" w:rsidRPr="00993936" w:rsidRDefault="00503A41" w:rsidP="0009331F">
      <w:pPr>
        <w:pStyle w:val="Textoindependiente3"/>
        <w:rPr>
          <w:rFonts w:cs="Arial"/>
          <w:b w:val="0"/>
          <w:szCs w:val="22"/>
          <w:lang w:val="es-ES"/>
        </w:rPr>
      </w:pPr>
    </w:p>
    <w:p w:rsidR="00503A41" w:rsidRPr="00993936" w:rsidRDefault="00503A41" w:rsidP="0009331F">
      <w:pPr>
        <w:jc w:val="both"/>
        <w:outlineLvl w:val="0"/>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2.2.2 Materias activas de insecticidas para la producción integrada de uva para vinificación con indicación del código de resistencia IRAC</w:t>
      </w:r>
    </w:p>
    <w:p w:rsidR="00503A41" w:rsidRPr="00993936" w:rsidRDefault="00503A41" w:rsidP="0009331F">
      <w:pPr>
        <w:pStyle w:val="Textoindependiente2"/>
        <w:rPr>
          <w:rFonts w:cs="Arial"/>
          <w:szCs w:val="22"/>
          <w:lang w:val="es-ES"/>
        </w:rPr>
      </w:pPr>
    </w:p>
    <w:p w:rsidR="00503A41" w:rsidRPr="00993936" w:rsidRDefault="00503A41" w:rsidP="0009331F">
      <w:pPr>
        <w:pStyle w:val="Textoindependiente2"/>
        <w:rPr>
          <w:rFonts w:cs="Arial"/>
          <w:szCs w:val="22"/>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9331F">
        <w:trPr>
          <w:trHeight w:val="393"/>
        </w:trPr>
        <w:tc>
          <w:tcPr>
            <w:tcW w:w="5000" w:type="pct"/>
            <w:gridSpan w:val="2"/>
            <w:shd w:val="solid" w:color="C0C0C0" w:fill="auto"/>
            <w:vAlign w:val="center"/>
          </w:tcPr>
          <w:p w:rsidR="00503A41" w:rsidRPr="00993936" w:rsidRDefault="00503A41" w:rsidP="004E35E2">
            <w:pPr>
              <w:pStyle w:val="Sinespaciado"/>
              <w:jc w:val="center"/>
              <w:rPr>
                <w:rFonts w:ascii="Arial" w:hAnsi="Arial" w:cs="Arial"/>
                <w:b/>
                <w:lang w:val="es-ES" w:eastAsia="ca-ES"/>
              </w:rPr>
            </w:pPr>
            <w:r w:rsidRPr="00993936">
              <w:rPr>
                <w:rFonts w:ascii="Arial" w:hAnsi="Arial" w:cs="Arial"/>
                <w:b/>
                <w:lang w:val="es-ES" w:eastAsia="ca-ES"/>
              </w:rPr>
              <w:t>TIPO DE INSECTICIDAS</w:t>
            </w:r>
          </w:p>
        </w:tc>
      </w:tr>
      <w:tr w:rsidR="00503A41" w:rsidRPr="00993936" w:rsidTr="0009331F">
        <w:trPr>
          <w:trHeight w:val="270"/>
        </w:trPr>
        <w:tc>
          <w:tcPr>
            <w:tcW w:w="2500" w:type="pct"/>
            <w:vMerge w:val="restart"/>
            <w:shd w:val="solid" w:color="C0C0C0" w:fill="auto"/>
            <w:vAlign w:val="center"/>
          </w:tcPr>
          <w:p w:rsidR="00503A41" w:rsidRPr="00993936" w:rsidRDefault="00503A41" w:rsidP="004E35E2">
            <w:pPr>
              <w:pStyle w:val="Sinespaciado"/>
              <w:jc w:val="center"/>
              <w:rPr>
                <w:rFonts w:ascii="Arial" w:hAnsi="Arial" w:cs="Arial"/>
                <w:b/>
                <w:lang w:val="es-ES" w:eastAsia="ca-ES"/>
              </w:rPr>
            </w:pPr>
            <w:r w:rsidRPr="00993936">
              <w:rPr>
                <w:rFonts w:ascii="Arial" w:hAnsi="Arial" w:cs="Arial"/>
                <w:b/>
                <w:lang w:val="es-ES" w:eastAsia="ca-ES"/>
              </w:rPr>
              <w:t>Materia activa</w:t>
            </w:r>
          </w:p>
        </w:tc>
        <w:tc>
          <w:tcPr>
            <w:tcW w:w="2500" w:type="pct"/>
            <w:shd w:val="solid" w:color="C0C0C0" w:fill="auto"/>
          </w:tcPr>
          <w:p w:rsidR="00503A41" w:rsidRPr="00993936" w:rsidRDefault="00503A41" w:rsidP="004E35E2">
            <w:pPr>
              <w:pStyle w:val="Sinespaciado"/>
              <w:jc w:val="center"/>
              <w:rPr>
                <w:rFonts w:ascii="Arial" w:hAnsi="Arial" w:cs="Arial"/>
                <w:b/>
                <w:lang w:val="es-ES" w:eastAsia="ca-ES"/>
              </w:rPr>
            </w:pPr>
            <w:r w:rsidRPr="00993936">
              <w:rPr>
                <w:rFonts w:ascii="Arial" w:hAnsi="Arial" w:cs="Arial"/>
                <w:b/>
                <w:lang w:val="es-ES" w:eastAsia="ca-ES"/>
              </w:rPr>
              <w:t>Indicación del código de resistencia</w:t>
            </w:r>
          </w:p>
        </w:tc>
      </w:tr>
      <w:tr w:rsidR="00503A41" w:rsidRPr="00993936" w:rsidTr="0009331F">
        <w:trPr>
          <w:trHeight w:val="270"/>
        </w:trPr>
        <w:tc>
          <w:tcPr>
            <w:tcW w:w="2500" w:type="pct"/>
            <w:vMerge/>
            <w:shd w:val="solid" w:color="C0C0C0" w:fill="auto"/>
          </w:tcPr>
          <w:p w:rsidR="00503A41" w:rsidRPr="00993936" w:rsidRDefault="00503A41" w:rsidP="004E35E2">
            <w:pPr>
              <w:pStyle w:val="Sinespaciado"/>
              <w:jc w:val="center"/>
              <w:rPr>
                <w:rFonts w:ascii="Arial" w:hAnsi="Arial" w:cs="Arial"/>
                <w:b/>
                <w:lang w:val="es-ES" w:eastAsia="ca-ES"/>
              </w:rPr>
            </w:pPr>
          </w:p>
        </w:tc>
        <w:tc>
          <w:tcPr>
            <w:tcW w:w="2500" w:type="pct"/>
            <w:shd w:val="solid" w:color="C0C0C0" w:fill="auto"/>
          </w:tcPr>
          <w:p w:rsidR="00503A41" w:rsidRPr="00993936" w:rsidRDefault="00503A41" w:rsidP="004E35E2">
            <w:pPr>
              <w:pStyle w:val="Sinespaciado"/>
              <w:jc w:val="center"/>
              <w:rPr>
                <w:rFonts w:ascii="Arial" w:hAnsi="Arial" w:cs="Arial"/>
                <w:b/>
                <w:lang w:val="es-ES" w:eastAsia="ca-ES"/>
              </w:rPr>
            </w:pPr>
            <w:r w:rsidRPr="00993936">
              <w:rPr>
                <w:rFonts w:ascii="Arial" w:hAnsi="Arial" w:cs="Arial"/>
                <w:b/>
                <w:lang w:val="es-ES" w:eastAsia="ca-ES"/>
              </w:rPr>
              <w:t>IRAC (*)</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Abamectina</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6</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Acetamiprid</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4A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Alfa cipermetrín</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Azadiractín</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UNO</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Bacillus thuringiensis aizawai</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11A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Bacillus thuringiensis kurstaki</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11A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Betaciflutrín</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Cipermetrín</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Cipermetrín + Clorpirifos</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3A+1B</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Cipermetrín + Metil-cloripirifós</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3A+1B</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Clofentezina</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10A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Clorantraniliprol</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28</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Clorpirifos</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1B</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Deltametrín</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Emamectina</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6</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Esfenvalerat</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Espinosad</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5</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Espiromesifén</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23</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Etoxazol</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10B</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Fenpiroximat</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21B</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Hexitiazox</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10A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Imidacloprid</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4A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Indoxacarb</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22A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Lambda-cihalotrín</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3A</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Metil-Clorpirifos</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1B</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Metoxifenozida</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18</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Miclobutanil</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Piriproxifén</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7C</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Spirotetramat</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23</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Tebufenocida</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18</w:t>
            </w:r>
          </w:p>
        </w:tc>
      </w:tr>
      <w:tr w:rsidR="00503A41" w:rsidRPr="00993936" w:rsidTr="0009331F">
        <w:trPr>
          <w:trHeight w:val="260"/>
        </w:trPr>
        <w:tc>
          <w:tcPr>
            <w:tcW w:w="2500" w:type="pct"/>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Tiametoxam</w:t>
            </w:r>
          </w:p>
        </w:tc>
        <w:tc>
          <w:tcPr>
            <w:tcW w:w="2500" w:type="pct"/>
            <w:shd w:val="solid" w:color="FFFFFF" w:fill="auto"/>
          </w:tcPr>
          <w:p w:rsidR="00503A41" w:rsidRPr="00993936" w:rsidRDefault="00503A41" w:rsidP="004E35E2">
            <w:pPr>
              <w:pStyle w:val="Sinespaciado"/>
              <w:jc w:val="center"/>
              <w:rPr>
                <w:rFonts w:ascii="Arial" w:hAnsi="Arial" w:cs="Arial"/>
                <w:lang w:val="es-ES" w:eastAsia="ca-ES"/>
              </w:rPr>
            </w:pPr>
            <w:r w:rsidRPr="00993936">
              <w:rPr>
                <w:rFonts w:ascii="Arial" w:hAnsi="Arial" w:cs="Arial"/>
                <w:lang w:val="es-ES" w:eastAsia="ca-ES"/>
              </w:rPr>
              <w:t>4A</w:t>
            </w:r>
          </w:p>
        </w:tc>
      </w:tr>
      <w:tr w:rsidR="00503A41" w:rsidRPr="00993936" w:rsidTr="0009331F">
        <w:trPr>
          <w:trHeight w:val="270"/>
        </w:trPr>
        <w:tc>
          <w:tcPr>
            <w:tcW w:w="5000" w:type="pct"/>
            <w:gridSpan w:val="2"/>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(IRAC) diferentes</w:t>
            </w:r>
          </w:p>
        </w:tc>
      </w:tr>
      <w:tr w:rsidR="00503A41" w:rsidRPr="00993936" w:rsidTr="0009331F">
        <w:trPr>
          <w:trHeight w:val="270"/>
        </w:trPr>
        <w:tc>
          <w:tcPr>
            <w:tcW w:w="5000" w:type="pct"/>
            <w:gridSpan w:val="2"/>
            <w:shd w:val="solid" w:color="FFFFFF" w:fill="auto"/>
          </w:tcPr>
          <w:p w:rsidR="00503A41" w:rsidRPr="00993936" w:rsidRDefault="00503A41" w:rsidP="004E35E2">
            <w:pPr>
              <w:pStyle w:val="Sinespaciado"/>
              <w:rPr>
                <w:rFonts w:ascii="Arial" w:hAnsi="Arial" w:cs="Arial"/>
                <w:lang w:val="es-ES" w:eastAsia="ca-ES"/>
              </w:rPr>
            </w:pPr>
            <w:r w:rsidRPr="00993936">
              <w:rPr>
                <w:rFonts w:ascii="Arial" w:hAnsi="Arial" w:cs="Arial"/>
                <w:lang w:val="es-ES" w:eastAsia="ca-ES"/>
              </w:rPr>
              <w:t>(*) Fuente: Comité de Acción de Resistencia en Insecticidas</w:t>
            </w:r>
          </w:p>
        </w:tc>
      </w:tr>
    </w:tbl>
    <w:p w:rsidR="00503A41" w:rsidRPr="00993936" w:rsidRDefault="00503A41" w:rsidP="0009331F">
      <w:pPr>
        <w:pStyle w:val="Textoindependiente2"/>
        <w:rPr>
          <w:rFonts w:cs="Arial"/>
          <w:szCs w:val="22"/>
          <w:lang w:val="es-ES"/>
        </w:rPr>
      </w:pPr>
    </w:p>
    <w:p w:rsidR="00503A41" w:rsidRPr="00993936" w:rsidRDefault="00503A41" w:rsidP="0009331F">
      <w:pPr>
        <w:tabs>
          <w:tab w:val="left" w:pos="2955"/>
        </w:tabs>
        <w:rPr>
          <w:rFonts w:ascii="Arial" w:hAnsi="Arial" w:cs="Arial"/>
          <w:lang w:val="es-ES"/>
        </w:rPr>
      </w:pPr>
      <w:r w:rsidRPr="00993936">
        <w:rPr>
          <w:rFonts w:ascii="Arial" w:hAnsi="Arial" w:cs="Arial"/>
          <w:lang w:val="es-ES"/>
        </w:rPr>
        <w:tab/>
      </w:r>
    </w:p>
    <w:p w:rsidR="00503A41" w:rsidRPr="00993936" w:rsidRDefault="00503A41" w:rsidP="0009331F">
      <w:pPr>
        <w:tabs>
          <w:tab w:val="left" w:pos="2955"/>
        </w:tabs>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 xml:space="preserve">2.3 Materias activas de </w:t>
      </w:r>
      <w:r w:rsidRPr="00993936">
        <w:rPr>
          <w:rFonts w:ascii="Arial" w:hAnsi="Arial" w:cs="Arial"/>
          <w:b/>
          <w:u w:val="single"/>
          <w:lang w:val="es-ES"/>
        </w:rPr>
        <w:t>fungicidas</w:t>
      </w:r>
      <w:r w:rsidRPr="00993936">
        <w:rPr>
          <w:rFonts w:ascii="Arial" w:hAnsi="Arial" w:cs="Arial"/>
          <w:b/>
          <w:lang w:val="es-ES"/>
        </w:rPr>
        <w:t xml:space="preserve"> para la producción integrada de uva para vinificación.</w:t>
      </w:r>
    </w:p>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b w:val="0"/>
          <w:szCs w:val="22"/>
          <w:lang w:val="es-ES"/>
        </w:rPr>
      </w:pPr>
      <w:r w:rsidRPr="00993936">
        <w:rPr>
          <w:rFonts w:cs="Arial"/>
          <w:b w:val="0"/>
          <w:szCs w:val="22"/>
          <w:lang w:val="es-ES"/>
        </w:rPr>
        <w:t>2.3.1 Materias activas fungicidas</w:t>
      </w:r>
    </w:p>
    <w:p w:rsidR="00503A41" w:rsidRPr="00993936" w:rsidRDefault="00503A41" w:rsidP="0009331F">
      <w:pPr>
        <w:pStyle w:val="Textoindependiente3"/>
        <w:rPr>
          <w:rFonts w:cs="Arial"/>
          <w:b w:val="0"/>
          <w:szCs w:val="22"/>
          <w:lang w:val="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77"/>
        <w:gridCol w:w="3293"/>
        <w:gridCol w:w="2674"/>
      </w:tblGrid>
      <w:tr w:rsidR="00503A41" w:rsidRPr="00993936" w:rsidTr="0009331F">
        <w:trPr>
          <w:cantSplit/>
          <w:tblHeader/>
          <w:jc w:val="center"/>
        </w:trPr>
        <w:tc>
          <w:tcPr>
            <w:tcW w:w="1548" w:type="pct"/>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ENFERMEDAD</w:t>
            </w:r>
          </w:p>
        </w:tc>
        <w:tc>
          <w:tcPr>
            <w:tcW w:w="1905" w:type="pct"/>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PRODUCTO</w:t>
            </w:r>
          </w:p>
        </w:tc>
        <w:tc>
          <w:tcPr>
            <w:tcW w:w="1547" w:type="pct"/>
            <w:shd w:val="pct12" w:color="auto" w:fill="FFFFFF"/>
          </w:tcPr>
          <w:p w:rsidR="00503A41" w:rsidRPr="00993936" w:rsidRDefault="00503A41" w:rsidP="0009331F">
            <w:pPr>
              <w:pStyle w:val="Ttulo5"/>
              <w:rPr>
                <w:rFonts w:ascii="Arial" w:hAnsi="Arial" w:cs="Arial"/>
                <w:color w:val="auto"/>
                <w:lang w:val="es-ES"/>
              </w:rPr>
            </w:pPr>
            <w:r w:rsidRPr="00993936">
              <w:rPr>
                <w:rFonts w:ascii="Arial" w:hAnsi="Arial" w:cs="Arial"/>
                <w:color w:val="auto"/>
                <w:lang w:val="es-ES"/>
              </w:rPr>
              <w:t>RESTRICCIONES</w:t>
            </w:r>
          </w:p>
        </w:tc>
      </w:tr>
      <w:tr w:rsidR="00503A41" w:rsidRPr="00993936" w:rsidTr="0009331F">
        <w:trPr>
          <w:cantSplit/>
          <w:jc w:val="center"/>
        </w:trPr>
        <w:tc>
          <w:tcPr>
            <w:tcW w:w="1548" w:type="pct"/>
            <w:vAlign w:val="center"/>
          </w:tcPr>
          <w:p w:rsidR="00503A41" w:rsidRPr="00993936" w:rsidRDefault="00503A41" w:rsidP="001D205D">
            <w:pPr>
              <w:pStyle w:val="Ttulo9"/>
              <w:rPr>
                <w:rFonts w:ascii="Arial" w:hAnsi="Arial" w:cs="Arial"/>
                <w:b/>
                <w:i w:val="0"/>
                <w:color w:val="auto"/>
                <w:szCs w:val="22"/>
                <w:lang w:val="es-ES"/>
              </w:rPr>
            </w:pPr>
            <w:r w:rsidRPr="00993936">
              <w:rPr>
                <w:rFonts w:ascii="Arial" w:hAnsi="Arial" w:cs="Arial"/>
                <w:color w:val="auto"/>
                <w:szCs w:val="22"/>
                <w:lang w:val="es-ES"/>
              </w:rPr>
              <w:t xml:space="preserve">Oidio </w:t>
            </w:r>
          </w:p>
          <w:p w:rsidR="00503A41" w:rsidRPr="00993936" w:rsidRDefault="00503A41" w:rsidP="0009331F">
            <w:pPr>
              <w:rPr>
                <w:rFonts w:ascii="Arial" w:hAnsi="Arial" w:cs="Arial"/>
                <w:lang w:val="es-ES"/>
              </w:rPr>
            </w:pPr>
            <w:r w:rsidRPr="00993936">
              <w:rPr>
                <w:rFonts w:ascii="Arial" w:hAnsi="Arial" w:cs="Arial"/>
                <w:lang w:val="es-ES"/>
              </w:rPr>
              <w:t>(</w:t>
            </w:r>
            <w:r w:rsidRPr="00993936">
              <w:rPr>
                <w:rFonts w:ascii="Arial" w:hAnsi="Arial" w:cs="Arial"/>
                <w:i/>
                <w:lang w:val="es-ES"/>
              </w:rPr>
              <w:t>Uncinula necator</w:t>
            </w:r>
            <w:r w:rsidRPr="00993936">
              <w:rPr>
                <w:rFonts w:ascii="Arial" w:hAnsi="Arial" w:cs="Arial"/>
                <w:lang w:val="es-ES"/>
              </w:rPr>
              <w:t>)</w:t>
            </w:r>
          </w:p>
        </w:tc>
        <w:tc>
          <w:tcPr>
            <w:tcW w:w="1905" w:type="pct"/>
            <w:vAlign w:val="center"/>
          </w:tcPr>
          <w:p w:rsidR="00503A41" w:rsidRPr="00993936" w:rsidRDefault="00503A41" w:rsidP="001D205D">
            <w:pPr>
              <w:pStyle w:val="Sinespaciado"/>
              <w:rPr>
                <w:rFonts w:ascii="Arial" w:hAnsi="Arial" w:cs="Arial"/>
                <w:i/>
              </w:rPr>
            </w:pPr>
            <w:r w:rsidRPr="00993936">
              <w:rPr>
                <w:rFonts w:ascii="Arial" w:hAnsi="Arial" w:cs="Arial"/>
                <w:i/>
              </w:rPr>
              <w:t>Ampelomyces quisqualis</w:t>
            </w:r>
          </w:p>
          <w:p w:rsidR="00503A41" w:rsidRPr="00993936" w:rsidRDefault="00503A41" w:rsidP="001D205D">
            <w:pPr>
              <w:pStyle w:val="Sinespaciado"/>
              <w:rPr>
                <w:rFonts w:ascii="Arial" w:hAnsi="Arial" w:cs="Arial"/>
              </w:rPr>
            </w:pPr>
            <w:r w:rsidRPr="00993936">
              <w:rPr>
                <w:rFonts w:ascii="Arial" w:hAnsi="Arial" w:cs="Arial"/>
              </w:rPr>
              <w:t>Azoxistrobín</w:t>
            </w:r>
          </w:p>
          <w:p w:rsidR="00503A41" w:rsidRPr="00993936" w:rsidRDefault="00503A41" w:rsidP="001D205D">
            <w:pPr>
              <w:pStyle w:val="Sinespaciado"/>
              <w:rPr>
                <w:rFonts w:ascii="Arial" w:hAnsi="Arial" w:cs="Arial"/>
              </w:rPr>
            </w:pPr>
            <w:r w:rsidRPr="00993936">
              <w:rPr>
                <w:rFonts w:ascii="Arial" w:hAnsi="Arial" w:cs="Arial"/>
              </w:rPr>
              <w:t>Boscalid</w:t>
            </w:r>
          </w:p>
          <w:p w:rsidR="00503A41" w:rsidRPr="00993936" w:rsidRDefault="00503A41" w:rsidP="001D205D">
            <w:pPr>
              <w:pStyle w:val="Sinespaciado"/>
              <w:rPr>
                <w:rFonts w:ascii="Arial" w:hAnsi="Arial" w:cs="Arial"/>
              </w:rPr>
            </w:pPr>
            <w:r w:rsidRPr="00993936">
              <w:rPr>
                <w:rFonts w:ascii="Arial" w:hAnsi="Arial" w:cs="Arial"/>
              </w:rPr>
              <w:t>Boscalid + Kresoxim-metil</w:t>
            </w:r>
          </w:p>
          <w:p w:rsidR="00503A41" w:rsidRPr="00993936" w:rsidRDefault="00503A41" w:rsidP="001D205D">
            <w:pPr>
              <w:pStyle w:val="Sinespaciado"/>
              <w:rPr>
                <w:rFonts w:ascii="Arial" w:hAnsi="Arial" w:cs="Arial"/>
                <w:lang w:val="es-ES"/>
              </w:rPr>
            </w:pPr>
            <w:r w:rsidRPr="00993936">
              <w:rPr>
                <w:rFonts w:ascii="Arial" w:hAnsi="Arial" w:cs="Arial"/>
                <w:lang w:val="es-ES"/>
              </w:rPr>
              <w:t>Bupirimat</w:t>
            </w:r>
          </w:p>
          <w:p w:rsidR="00503A41" w:rsidRPr="00993936" w:rsidRDefault="00503A41" w:rsidP="001D205D">
            <w:pPr>
              <w:pStyle w:val="Sinespaciado"/>
              <w:rPr>
                <w:rFonts w:ascii="Arial" w:hAnsi="Arial" w:cs="Arial"/>
                <w:lang w:val="es-ES"/>
              </w:rPr>
            </w:pPr>
            <w:r w:rsidRPr="00993936">
              <w:rPr>
                <w:rFonts w:ascii="Arial" w:hAnsi="Arial" w:cs="Arial"/>
                <w:lang w:val="es-ES"/>
              </w:rPr>
              <w:t>Carbonado de hidrógeno de potasio</w:t>
            </w:r>
          </w:p>
          <w:p w:rsidR="00503A41" w:rsidRPr="00993936" w:rsidRDefault="00503A41" w:rsidP="001D205D">
            <w:pPr>
              <w:pStyle w:val="Sinespaciado"/>
              <w:rPr>
                <w:rFonts w:ascii="Arial" w:hAnsi="Arial" w:cs="Arial"/>
                <w:lang w:val="es-ES"/>
              </w:rPr>
            </w:pPr>
            <w:r w:rsidRPr="00993936">
              <w:rPr>
                <w:rFonts w:ascii="Arial" w:hAnsi="Arial" w:cs="Arial"/>
                <w:lang w:val="es-ES"/>
              </w:rPr>
              <w:t>Ciflufenamid</w:t>
            </w:r>
          </w:p>
          <w:p w:rsidR="00503A41" w:rsidRPr="00993936" w:rsidRDefault="00503A41" w:rsidP="001D205D">
            <w:pPr>
              <w:pStyle w:val="Sinespaciado"/>
              <w:rPr>
                <w:rFonts w:ascii="Arial" w:hAnsi="Arial" w:cs="Arial"/>
              </w:rPr>
            </w:pPr>
            <w:r w:rsidRPr="00993936">
              <w:rPr>
                <w:rFonts w:ascii="Arial" w:hAnsi="Arial" w:cs="Arial"/>
              </w:rPr>
              <w:t>Ciflufenamid + Difenoconazol</w:t>
            </w:r>
          </w:p>
          <w:p w:rsidR="00503A41" w:rsidRPr="00993936" w:rsidRDefault="00503A41" w:rsidP="001D205D">
            <w:pPr>
              <w:pStyle w:val="Sinespaciado"/>
              <w:rPr>
                <w:rFonts w:ascii="Arial" w:hAnsi="Arial" w:cs="Arial"/>
              </w:rPr>
            </w:pPr>
            <w:r w:rsidRPr="00993936">
              <w:rPr>
                <w:rFonts w:ascii="Arial" w:hAnsi="Arial" w:cs="Arial"/>
              </w:rPr>
              <w:t>Ciproconazol</w:t>
            </w:r>
          </w:p>
          <w:p w:rsidR="00503A41" w:rsidRPr="00993936" w:rsidRDefault="00503A41" w:rsidP="001D205D">
            <w:pPr>
              <w:pStyle w:val="Sinespaciado"/>
              <w:rPr>
                <w:rFonts w:ascii="Arial" w:hAnsi="Arial" w:cs="Arial"/>
              </w:rPr>
            </w:pPr>
            <w:r w:rsidRPr="00993936">
              <w:rPr>
                <w:rFonts w:ascii="Arial" w:hAnsi="Arial" w:cs="Arial"/>
              </w:rPr>
              <w:t>Difenoconazol</w:t>
            </w:r>
          </w:p>
          <w:p w:rsidR="00503A41" w:rsidRPr="00993936" w:rsidRDefault="00503A41" w:rsidP="001D205D">
            <w:pPr>
              <w:pStyle w:val="Sinespaciado"/>
              <w:rPr>
                <w:rFonts w:ascii="Arial" w:hAnsi="Arial" w:cs="Arial"/>
                <w:lang w:val="es-ES"/>
              </w:rPr>
            </w:pPr>
            <w:r w:rsidRPr="00993936">
              <w:rPr>
                <w:rFonts w:ascii="Arial" w:hAnsi="Arial" w:cs="Arial"/>
                <w:lang w:val="es-ES"/>
              </w:rPr>
              <w:t>Dimetomorf + Piraclostrobín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Fenbuconazol </w:t>
            </w:r>
          </w:p>
          <w:p w:rsidR="00503A41" w:rsidRPr="00993936" w:rsidRDefault="00503A41" w:rsidP="001D205D">
            <w:pPr>
              <w:pStyle w:val="Sinespaciado"/>
              <w:rPr>
                <w:rFonts w:ascii="Arial" w:hAnsi="Arial" w:cs="Arial"/>
                <w:lang w:val="es-ES"/>
              </w:rPr>
            </w:pPr>
            <w:r w:rsidRPr="00993936">
              <w:rPr>
                <w:rFonts w:ascii="Arial" w:hAnsi="Arial" w:cs="Arial"/>
                <w:lang w:val="es-ES"/>
              </w:rPr>
              <w:t>Fluopiram</w:t>
            </w:r>
          </w:p>
          <w:p w:rsidR="00503A41" w:rsidRPr="00993936" w:rsidRDefault="00503A41" w:rsidP="001D205D">
            <w:pPr>
              <w:pStyle w:val="Sinespaciado"/>
              <w:rPr>
                <w:rFonts w:ascii="Arial" w:hAnsi="Arial" w:cs="Arial"/>
                <w:lang w:val="es-ES"/>
              </w:rPr>
            </w:pPr>
            <w:r w:rsidRPr="00993936">
              <w:rPr>
                <w:rFonts w:ascii="Arial" w:hAnsi="Arial" w:cs="Arial"/>
                <w:lang w:val="es-ES"/>
              </w:rPr>
              <w:t>Fluopiram + Tebuconazol</w:t>
            </w:r>
          </w:p>
          <w:p w:rsidR="00503A41" w:rsidRPr="00993936" w:rsidRDefault="00503A41" w:rsidP="001D205D">
            <w:pPr>
              <w:pStyle w:val="Sinespaciado"/>
              <w:rPr>
                <w:rFonts w:ascii="Arial" w:hAnsi="Arial" w:cs="Arial"/>
                <w:lang w:val="es-ES"/>
              </w:rPr>
            </w:pPr>
            <w:r w:rsidRPr="00993936">
              <w:rPr>
                <w:rFonts w:ascii="Arial" w:hAnsi="Arial" w:cs="Arial"/>
                <w:lang w:val="es-ES"/>
              </w:rPr>
              <w:t>Hexaconazol</w:t>
            </w:r>
          </w:p>
          <w:p w:rsidR="00503A41" w:rsidRPr="00993936" w:rsidRDefault="00503A41" w:rsidP="001D205D">
            <w:pPr>
              <w:pStyle w:val="Sinespaciado"/>
              <w:rPr>
                <w:rFonts w:ascii="Arial" w:hAnsi="Arial" w:cs="Arial"/>
                <w:lang w:val="es-ES"/>
              </w:rPr>
            </w:pPr>
            <w:r w:rsidRPr="00993936">
              <w:rPr>
                <w:rFonts w:ascii="Arial" w:hAnsi="Arial" w:cs="Arial"/>
                <w:lang w:val="es-ES"/>
              </w:rPr>
              <w:t>Kresoxim-metil</w:t>
            </w:r>
          </w:p>
          <w:p w:rsidR="00503A41" w:rsidRPr="00993936" w:rsidRDefault="00503A41" w:rsidP="001D205D">
            <w:pPr>
              <w:pStyle w:val="Sinespaciado"/>
              <w:rPr>
                <w:rFonts w:ascii="Arial" w:hAnsi="Arial" w:cs="Arial"/>
                <w:lang w:val="es-ES"/>
              </w:rPr>
            </w:pPr>
            <w:r w:rsidRPr="00993936">
              <w:rPr>
                <w:rFonts w:ascii="Arial" w:hAnsi="Arial" w:cs="Arial"/>
                <w:lang w:val="es-ES"/>
              </w:rPr>
              <w:t>Laminarín</w:t>
            </w:r>
          </w:p>
          <w:p w:rsidR="00503A41" w:rsidRPr="00993936" w:rsidRDefault="00503A41" w:rsidP="001D205D">
            <w:pPr>
              <w:pStyle w:val="Sinespaciado"/>
              <w:rPr>
                <w:rFonts w:ascii="Arial" w:hAnsi="Arial" w:cs="Arial"/>
                <w:lang w:val="es-ES"/>
              </w:rPr>
            </w:pPr>
            <w:r w:rsidRPr="00993936">
              <w:rPr>
                <w:rFonts w:ascii="Arial" w:hAnsi="Arial" w:cs="Arial"/>
                <w:lang w:val="es-ES"/>
              </w:rPr>
              <w:t>Meptildinocap</w:t>
            </w:r>
          </w:p>
          <w:p w:rsidR="00503A41" w:rsidRPr="00993936" w:rsidRDefault="00503A41" w:rsidP="001D205D">
            <w:pPr>
              <w:pStyle w:val="Sinespaciado"/>
              <w:rPr>
                <w:rFonts w:ascii="Arial" w:hAnsi="Arial" w:cs="Arial"/>
                <w:lang w:val="es-ES"/>
              </w:rPr>
            </w:pPr>
            <w:r w:rsidRPr="00993936">
              <w:rPr>
                <w:rFonts w:ascii="Arial" w:hAnsi="Arial" w:cs="Arial"/>
                <w:lang w:val="es-ES"/>
              </w:rPr>
              <w:t>Metrafenona</w:t>
            </w:r>
          </w:p>
          <w:p w:rsidR="00503A41" w:rsidRPr="00993936" w:rsidRDefault="00503A41" w:rsidP="001D205D">
            <w:pPr>
              <w:pStyle w:val="Sinespaciado"/>
              <w:rPr>
                <w:rFonts w:ascii="Arial" w:hAnsi="Arial" w:cs="Arial"/>
              </w:rPr>
            </w:pPr>
            <w:r w:rsidRPr="00993936">
              <w:rPr>
                <w:rFonts w:ascii="Arial" w:hAnsi="Arial" w:cs="Arial"/>
              </w:rPr>
              <w:t xml:space="preserve">Miclobutanil </w:t>
            </w:r>
          </w:p>
          <w:p w:rsidR="00503A41" w:rsidRPr="00993936" w:rsidRDefault="00503A41" w:rsidP="001D205D">
            <w:pPr>
              <w:pStyle w:val="Sinespaciado"/>
              <w:rPr>
                <w:rFonts w:ascii="Arial" w:hAnsi="Arial" w:cs="Arial"/>
              </w:rPr>
            </w:pPr>
            <w:r w:rsidRPr="00993936">
              <w:rPr>
                <w:rFonts w:ascii="Arial" w:hAnsi="Arial" w:cs="Arial"/>
              </w:rPr>
              <w:t>Aceite de Naranja</w:t>
            </w:r>
          </w:p>
          <w:p w:rsidR="00503A41" w:rsidRPr="00993936" w:rsidRDefault="00503A41" w:rsidP="001D205D">
            <w:pPr>
              <w:pStyle w:val="Sinespaciado"/>
              <w:rPr>
                <w:rFonts w:ascii="Arial" w:hAnsi="Arial" w:cs="Arial"/>
              </w:rPr>
            </w:pPr>
            <w:r w:rsidRPr="00993936">
              <w:rPr>
                <w:rFonts w:ascii="Arial" w:hAnsi="Arial" w:cs="Arial"/>
              </w:rPr>
              <w:t>Penconazol</w:t>
            </w:r>
          </w:p>
          <w:p w:rsidR="00503A41" w:rsidRPr="00993936" w:rsidRDefault="00503A41" w:rsidP="001D205D">
            <w:pPr>
              <w:pStyle w:val="Sinespaciado"/>
              <w:rPr>
                <w:rFonts w:ascii="Arial" w:hAnsi="Arial" w:cs="Arial"/>
              </w:rPr>
            </w:pPr>
            <w:r w:rsidRPr="00993936">
              <w:rPr>
                <w:rFonts w:ascii="Arial" w:hAnsi="Arial" w:cs="Arial"/>
              </w:rPr>
              <w:t>Piraclostrobín</w:t>
            </w:r>
          </w:p>
          <w:p w:rsidR="00503A41" w:rsidRPr="00993936" w:rsidRDefault="00503A41" w:rsidP="001D205D">
            <w:pPr>
              <w:pStyle w:val="Sinespaciado"/>
              <w:rPr>
                <w:rFonts w:ascii="Arial" w:hAnsi="Arial" w:cs="Arial"/>
              </w:rPr>
            </w:pPr>
            <w:r w:rsidRPr="00993936">
              <w:rPr>
                <w:rFonts w:ascii="Arial" w:hAnsi="Arial" w:cs="Arial"/>
              </w:rPr>
              <w:t>Pronquinazid</w:t>
            </w:r>
          </w:p>
          <w:p w:rsidR="00503A41" w:rsidRPr="00993936" w:rsidRDefault="00503A41" w:rsidP="001D205D">
            <w:pPr>
              <w:pStyle w:val="Sinespaciado"/>
              <w:rPr>
                <w:rFonts w:ascii="Arial" w:hAnsi="Arial" w:cs="Arial"/>
              </w:rPr>
            </w:pPr>
            <w:r w:rsidRPr="00993936">
              <w:rPr>
                <w:rFonts w:ascii="Arial" w:hAnsi="Arial" w:cs="Arial"/>
              </w:rPr>
              <w:t>Propiconazolè</w:t>
            </w:r>
          </w:p>
          <w:p w:rsidR="00503A41" w:rsidRPr="00993936" w:rsidRDefault="00503A41" w:rsidP="001D205D">
            <w:pPr>
              <w:pStyle w:val="Sinespaciado"/>
              <w:rPr>
                <w:rFonts w:ascii="Arial" w:hAnsi="Arial" w:cs="Arial"/>
              </w:rPr>
            </w:pPr>
            <w:r w:rsidRPr="00993936">
              <w:rPr>
                <w:rFonts w:ascii="Arial" w:hAnsi="Arial" w:cs="Arial"/>
              </w:rPr>
              <w:t xml:space="preserve">Quinoxifèn </w:t>
            </w:r>
          </w:p>
          <w:p w:rsidR="00503A41" w:rsidRPr="00993936" w:rsidRDefault="00503A41" w:rsidP="001D205D">
            <w:pPr>
              <w:pStyle w:val="Sinespaciado"/>
              <w:rPr>
                <w:rFonts w:ascii="Arial" w:hAnsi="Arial" w:cs="Arial"/>
              </w:rPr>
            </w:pPr>
            <w:r w:rsidRPr="00993936">
              <w:rPr>
                <w:rFonts w:ascii="Arial" w:hAnsi="Arial" w:cs="Arial"/>
              </w:rPr>
              <w:t xml:space="preserve">Azufre </w:t>
            </w:r>
          </w:p>
          <w:p w:rsidR="00503A41" w:rsidRPr="00993936" w:rsidRDefault="00503A41" w:rsidP="001D205D">
            <w:pPr>
              <w:pStyle w:val="Sinespaciado"/>
              <w:rPr>
                <w:rFonts w:ascii="Arial" w:hAnsi="Arial" w:cs="Arial"/>
              </w:rPr>
            </w:pPr>
            <w:r w:rsidRPr="00993936">
              <w:rPr>
                <w:rFonts w:ascii="Arial" w:hAnsi="Arial" w:cs="Arial"/>
              </w:rPr>
              <w:t>Azufre + Fenarimol</w:t>
            </w:r>
          </w:p>
          <w:p w:rsidR="00503A41" w:rsidRPr="00993936" w:rsidRDefault="00503A41" w:rsidP="001D205D">
            <w:pPr>
              <w:pStyle w:val="Sinespaciado"/>
              <w:rPr>
                <w:rFonts w:ascii="Arial" w:hAnsi="Arial" w:cs="Arial"/>
              </w:rPr>
            </w:pPr>
            <w:r w:rsidRPr="00993936">
              <w:rPr>
                <w:rFonts w:ascii="Arial" w:hAnsi="Arial" w:cs="Arial"/>
              </w:rPr>
              <w:t>Azufre + Ciproconazol</w:t>
            </w:r>
          </w:p>
          <w:p w:rsidR="00503A41" w:rsidRPr="00993936" w:rsidRDefault="00503A41" w:rsidP="001D205D">
            <w:pPr>
              <w:pStyle w:val="Sinespaciado"/>
              <w:rPr>
                <w:rFonts w:ascii="Arial" w:hAnsi="Arial" w:cs="Arial"/>
              </w:rPr>
            </w:pPr>
            <w:r w:rsidRPr="00993936">
              <w:rPr>
                <w:rFonts w:ascii="Arial" w:hAnsi="Arial" w:cs="Arial"/>
              </w:rPr>
              <w:t>Azufre + Miclobutanil</w:t>
            </w:r>
          </w:p>
          <w:p w:rsidR="00503A41" w:rsidRPr="00993936" w:rsidRDefault="00503A41" w:rsidP="001D205D">
            <w:pPr>
              <w:pStyle w:val="Sinespaciado"/>
              <w:rPr>
                <w:rFonts w:ascii="Arial" w:hAnsi="Arial" w:cs="Arial"/>
              </w:rPr>
            </w:pPr>
            <w:r w:rsidRPr="00993936">
              <w:rPr>
                <w:rFonts w:ascii="Arial" w:hAnsi="Arial" w:cs="Arial"/>
              </w:rPr>
              <w:t>Tebuconazol</w:t>
            </w:r>
          </w:p>
          <w:p w:rsidR="00503A41" w:rsidRPr="00993936" w:rsidRDefault="00503A41" w:rsidP="001D205D">
            <w:pPr>
              <w:pStyle w:val="Sinespaciado"/>
              <w:rPr>
                <w:rFonts w:ascii="Arial" w:hAnsi="Arial" w:cs="Arial"/>
              </w:rPr>
            </w:pPr>
            <w:r w:rsidRPr="00993936">
              <w:rPr>
                <w:rFonts w:ascii="Arial" w:hAnsi="Arial" w:cs="Arial"/>
              </w:rPr>
              <w:t>Tebuconazol + Spiroxamina</w:t>
            </w:r>
          </w:p>
          <w:p w:rsidR="00503A41" w:rsidRPr="00993936" w:rsidRDefault="00503A41" w:rsidP="001D205D">
            <w:pPr>
              <w:pStyle w:val="Sinespaciado"/>
              <w:rPr>
                <w:rFonts w:ascii="Arial" w:hAnsi="Arial" w:cs="Arial"/>
              </w:rPr>
            </w:pPr>
            <w:r w:rsidRPr="00993936">
              <w:rPr>
                <w:rFonts w:ascii="Arial" w:hAnsi="Arial" w:cs="Arial"/>
              </w:rPr>
              <w:t>Tebuconazol + Trifloxistrobina</w:t>
            </w:r>
          </w:p>
          <w:p w:rsidR="00503A41" w:rsidRPr="00993936" w:rsidRDefault="00503A41" w:rsidP="001D205D">
            <w:pPr>
              <w:pStyle w:val="Sinespaciado"/>
              <w:rPr>
                <w:rFonts w:ascii="Arial" w:hAnsi="Arial" w:cs="Arial"/>
              </w:rPr>
            </w:pPr>
            <w:r w:rsidRPr="00993936">
              <w:rPr>
                <w:rFonts w:ascii="Arial" w:hAnsi="Arial" w:cs="Arial"/>
              </w:rPr>
              <w:t>Tetraconazol</w:t>
            </w:r>
          </w:p>
          <w:p w:rsidR="00503A41" w:rsidRPr="00993936" w:rsidRDefault="00503A41" w:rsidP="001D205D">
            <w:pPr>
              <w:pStyle w:val="Sinespaciado"/>
              <w:rPr>
                <w:rFonts w:ascii="Arial" w:hAnsi="Arial" w:cs="Arial"/>
                <w:lang w:val="es-ES"/>
              </w:rPr>
            </w:pPr>
            <w:r w:rsidRPr="00993936">
              <w:rPr>
                <w:rFonts w:ascii="Arial" w:hAnsi="Arial" w:cs="Arial"/>
                <w:lang w:val="es-ES"/>
              </w:rPr>
              <w:t>Triadimenol</w:t>
            </w:r>
          </w:p>
          <w:p w:rsidR="00503A41" w:rsidRPr="00993936" w:rsidRDefault="00503A41" w:rsidP="001D205D">
            <w:pPr>
              <w:pStyle w:val="Sinespaciado"/>
              <w:rPr>
                <w:rFonts w:ascii="Arial" w:hAnsi="Arial" w:cs="Arial"/>
                <w:u w:val="single"/>
                <w:lang w:val="es-ES"/>
              </w:rPr>
            </w:pPr>
            <w:r w:rsidRPr="00993936">
              <w:rPr>
                <w:rFonts w:ascii="Arial" w:hAnsi="Arial" w:cs="Arial"/>
                <w:lang w:val="es-ES"/>
              </w:rPr>
              <w:t>Trifloxistrobina</w:t>
            </w:r>
          </w:p>
        </w:tc>
        <w:tc>
          <w:tcPr>
            <w:tcW w:w="1547" w:type="pct"/>
            <w:vAlign w:val="center"/>
          </w:tcPr>
          <w:p w:rsidR="00503A41" w:rsidRPr="00993936" w:rsidRDefault="00503A41" w:rsidP="0009331F">
            <w:pPr>
              <w:pStyle w:val="Encabezado"/>
              <w:tabs>
                <w:tab w:val="clear" w:pos="4252"/>
                <w:tab w:val="clear" w:pos="8504"/>
              </w:tabs>
              <w:rPr>
                <w:rFonts w:ascii="Arial" w:hAnsi="Arial" w:cs="Arial"/>
                <w:lang w:val="es-ES"/>
              </w:rPr>
            </w:pPr>
          </w:p>
          <w:p w:rsidR="00503A41" w:rsidRPr="00993936" w:rsidRDefault="00503A41" w:rsidP="009D1A2D">
            <w:pPr>
              <w:numPr>
                <w:ilvl w:val="0"/>
                <w:numId w:val="99"/>
              </w:numPr>
              <w:spacing w:after="0" w:line="240" w:lineRule="auto"/>
              <w:rPr>
                <w:rFonts w:ascii="Arial" w:hAnsi="Arial" w:cs="Arial"/>
                <w:lang w:val="es-ES"/>
              </w:rPr>
            </w:pPr>
            <w:r w:rsidRPr="00993936">
              <w:rPr>
                <w:rFonts w:ascii="Arial" w:hAnsi="Arial" w:cs="Arial"/>
                <w:lang w:val="es-ES"/>
              </w:rPr>
              <w:t>Sólo formulaciones comerciales registradas</w:t>
            </w:r>
          </w:p>
          <w:p w:rsidR="00503A41" w:rsidRPr="00993936" w:rsidRDefault="00503A41" w:rsidP="009D1A2D">
            <w:pPr>
              <w:numPr>
                <w:ilvl w:val="0"/>
                <w:numId w:val="99"/>
              </w:numPr>
              <w:spacing w:after="0" w:line="240" w:lineRule="auto"/>
              <w:rPr>
                <w:rFonts w:ascii="Arial" w:hAnsi="Arial" w:cs="Arial"/>
                <w:lang w:val="es-ES"/>
              </w:rPr>
            </w:pPr>
            <w:r w:rsidRPr="00993936">
              <w:rPr>
                <w:rFonts w:ascii="Arial" w:hAnsi="Arial" w:cs="Arial"/>
                <w:lang w:val="es-ES"/>
              </w:rPr>
              <w:t>Sólo hasta el enverado</w:t>
            </w:r>
          </w:p>
          <w:p w:rsidR="00503A41" w:rsidRPr="00993936" w:rsidRDefault="00503A41" w:rsidP="009D1A2D">
            <w:pPr>
              <w:numPr>
                <w:ilvl w:val="0"/>
                <w:numId w:val="99"/>
              </w:numPr>
              <w:spacing w:after="0" w:line="240" w:lineRule="auto"/>
              <w:rPr>
                <w:rFonts w:ascii="Arial" w:hAnsi="Arial" w:cs="Arial"/>
                <w:lang w:val="es-ES"/>
              </w:rPr>
            </w:pPr>
            <w:r w:rsidRPr="00993936">
              <w:rPr>
                <w:rFonts w:ascii="Arial" w:hAnsi="Arial" w:cs="Arial"/>
                <w:lang w:val="es-ES"/>
              </w:rPr>
              <w:t>Sólo 2 tratamientos al año.</w:t>
            </w:r>
          </w:p>
          <w:p w:rsidR="00503A41" w:rsidRPr="00993936" w:rsidRDefault="00503A41" w:rsidP="0009331F">
            <w:pPr>
              <w:ind w:left="390"/>
              <w:rPr>
                <w:rFonts w:ascii="Arial" w:hAnsi="Arial" w:cs="Arial"/>
                <w:lang w:val="es-ES"/>
              </w:rPr>
            </w:pPr>
          </w:p>
        </w:tc>
      </w:tr>
    </w:tbl>
    <w:p w:rsidR="00503A41" w:rsidRPr="00993936" w:rsidRDefault="00503A41" w:rsidP="0009331F">
      <w:pPr>
        <w:pStyle w:val="Textoindependiente3"/>
        <w:rPr>
          <w:rFonts w:cs="Arial"/>
          <w:b w:val="0"/>
          <w:szCs w:val="22"/>
          <w:lang w:val="es-ES"/>
        </w:rPr>
      </w:pPr>
    </w:p>
    <w:p w:rsidR="00503A41" w:rsidRPr="00993936" w:rsidRDefault="00503A41" w:rsidP="0009331F">
      <w:pPr>
        <w:pStyle w:val="Textoindependiente3"/>
        <w:rPr>
          <w:rFonts w:cs="Arial"/>
          <w:szCs w:val="22"/>
          <w:lang w:val="es-ES"/>
        </w:rPr>
      </w:pPr>
      <w:r w:rsidRPr="00993936">
        <w:rPr>
          <w:rFonts w:cs="Arial"/>
          <w:b w:val="0"/>
          <w:szCs w:val="22"/>
          <w:lang w:val="es-ES"/>
        </w:rPr>
        <w:br w:type="page"/>
      </w:r>
      <w:r w:rsidRPr="00993936">
        <w:rPr>
          <w:rFonts w:cs="Arial"/>
          <w:szCs w:val="22"/>
          <w:lang w:val="es-ES"/>
        </w:rPr>
        <w:lastRenderedPageBreak/>
        <w:t xml:space="preserve">2.3.1 (Continuación) Materias activas de </w:t>
      </w:r>
      <w:r w:rsidRPr="00993936">
        <w:rPr>
          <w:rFonts w:cs="Arial"/>
          <w:szCs w:val="22"/>
          <w:u w:val="single"/>
          <w:lang w:val="es-ES"/>
        </w:rPr>
        <w:t>fungicidas</w:t>
      </w:r>
      <w:r w:rsidRPr="00993936">
        <w:rPr>
          <w:rFonts w:cs="Arial"/>
          <w:szCs w:val="22"/>
          <w:lang w:val="es-ES"/>
        </w:rPr>
        <w:t xml:space="preserve"> para la producción integrada de uva para vinificación.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77"/>
        <w:gridCol w:w="3630"/>
        <w:gridCol w:w="2337"/>
      </w:tblGrid>
      <w:tr w:rsidR="00503A41" w:rsidRPr="00993936" w:rsidTr="001D205D">
        <w:trPr>
          <w:cantSplit/>
          <w:tblHeader/>
          <w:jc w:val="center"/>
        </w:trPr>
        <w:tc>
          <w:tcPr>
            <w:tcW w:w="1548" w:type="pct"/>
            <w:tcBorders>
              <w:bottom w:val="single" w:sz="4" w:space="0" w:color="auto"/>
            </w:tcBorders>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ENFERMEDAD</w:t>
            </w:r>
          </w:p>
        </w:tc>
        <w:tc>
          <w:tcPr>
            <w:tcW w:w="2100" w:type="pct"/>
            <w:tcBorders>
              <w:bottom w:val="single" w:sz="4" w:space="0" w:color="auto"/>
            </w:tcBorders>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PRODUCTO</w:t>
            </w:r>
          </w:p>
        </w:tc>
        <w:tc>
          <w:tcPr>
            <w:tcW w:w="1352" w:type="pct"/>
            <w:tcBorders>
              <w:bottom w:val="single" w:sz="4" w:space="0" w:color="auto"/>
            </w:tcBorders>
            <w:shd w:val="pct12" w:color="auto" w:fill="FFFFFF"/>
          </w:tcPr>
          <w:p w:rsidR="00503A41" w:rsidRPr="00993936" w:rsidRDefault="00503A41" w:rsidP="0009331F">
            <w:pPr>
              <w:pStyle w:val="Ttulo5"/>
              <w:rPr>
                <w:rFonts w:ascii="Arial" w:hAnsi="Arial" w:cs="Arial"/>
                <w:color w:val="auto"/>
                <w:lang w:val="es-ES"/>
              </w:rPr>
            </w:pPr>
            <w:r w:rsidRPr="00993936">
              <w:rPr>
                <w:rFonts w:ascii="Arial" w:hAnsi="Arial" w:cs="Arial"/>
                <w:color w:val="auto"/>
                <w:lang w:val="es-ES"/>
              </w:rPr>
              <w:t>RESTRICCIONES</w:t>
            </w:r>
          </w:p>
        </w:tc>
      </w:tr>
      <w:tr w:rsidR="00503A41" w:rsidRPr="00993936" w:rsidTr="001D205D">
        <w:trPr>
          <w:cantSplit/>
          <w:trHeight w:val="11350"/>
          <w:jc w:val="center"/>
        </w:trPr>
        <w:tc>
          <w:tcPr>
            <w:tcW w:w="1548" w:type="pct"/>
            <w:tcBorders>
              <w:bottom w:val="single" w:sz="4" w:space="0" w:color="auto"/>
            </w:tcBorders>
            <w:vAlign w:val="center"/>
          </w:tcPr>
          <w:p w:rsidR="00503A41" w:rsidRPr="00993936" w:rsidRDefault="00503A41" w:rsidP="001D205D">
            <w:pPr>
              <w:pStyle w:val="Sinespaciado"/>
              <w:rPr>
                <w:rFonts w:ascii="Arial" w:hAnsi="Arial" w:cs="Arial"/>
                <w:lang w:val="es-ES"/>
              </w:rPr>
            </w:pPr>
            <w:r w:rsidRPr="00993936">
              <w:rPr>
                <w:rFonts w:ascii="Arial" w:hAnsi="Arial" w:cs="Arial"/>
                <w:lang w:val="es-ES"/>
              </w:rPr>
              <w:t xml:space="preserve">Mildiu </w:t>
            </w:r>
          </w:p>
          <w:p w:rsidR="00503A41" w:rsidRPr="00993936" w:rsidRDefault="00503A41" w:rsidP="001D205D">
            <w:pPr>
              <w:pStyle w:val="Sinespaciado"/>
              <w:rPr>
                <w:rFonts w:ascii="Arial" w:hAnsi="Arial" w:cs="Arial"/>
                <w:lang w:val="es-ES"/>
              </w:rPr>
            </w:pPr>
            <w:r w:rsidRPr="00993936">
              <w:rPr>
                <w:rFonts w:ascii="Arial" w:hAnsi="Arial" w:cs="Arial"/>
                <w:lang w:val="es-ES"/>
              </w:rPr>
              <w:t>(Plasmopara viticola)</w:t>
            </w:r>
          </w:p>
        </w:tc>
        <w:tc>
          <w:tcPr>
            <w:tcW w:w="2100" w:type="pct"/>
            <w:tcBorders>
              <w:bottom w:val="single" w:sz="4" w:space="0" w:color="auto"/>
            </w:tcBorders>
            <w:vAlign w:val="center"/>
          </w:tcPr>
          <w:p w:rsidR="00503A41" w:rsidRPr="00993936" w:rsidRDefault="00503A41" w:rsidP="001D205D">
            <w:pPr>
              <w:pStyle w:val="Sinespaciado"/>
              <w:rPr>
                <w:rFonts w:ascii="Arial" w:hAnsi="Arial" w:cs="Arial"/>
                <w:sz w:val="20"/>
              </w:rPr>
            </w:pPr>
            <w:r w:rsidRPr="00993936">
              <w:rPr>
                <w:rFonts w:ascii="Arial" w:hAnsi="Arial" w:cs="Arial"/>
                <w:sz w:val="20"/>
              </w:rPr>
              <w:t>Amectradín + Metiram (1)</w:t>
            </w:r>
          </w:p>
          <w:p w:rsidR="00503A41" w:rsidRPr="00993936" w:rsidRDefault="00503A41" w:rsidP="001D205D">
            <w:pPr>
              <w:pStyle w:val="Sinespaciado"/>
              <w:rPr>
                <w:rFonts w:ascii="Arial" w:hAnsi="Arial" w:cs="Arial"/>
                <w:sz w:val="20"/>
              </w:rPr>
            </w:pPr>
            <w:r w:rsidRPr="00993936">
              <w:rPr>
                <w:rFonts w:ascii="Arial" w:hAnsi="Arial" w:cs="Arial"/>
                <w:sz w:val="20"/>
              </w:rPr>
              <w:t>Amisulbrom</w:t>
            </w:r>
          </w:p>
          <w:p w:rsidR="00503A41" w:rsidRPr="00993936" w:rsidRDefault="00503A41" w:rsidP="001D205D">
            <w:pPr>
              <w:pStyle w:val="Sinespaciado"/>
              <w:rPr>
                <w:rFonts w:ascii="Arial" w:hAnsi="Arial" w:cs="Arial"/>
                <w:sz w:val="20"/>
              </w:rPr>
            </w:pPr>
            <w:r w:rsidRPr="00993936">
              <w:rPr>
                <w:rFonts w:ascii="Arial" w:hAnsi="Arial" w:cs="Arial"/>
                <w:sz w:val="20"/>
              </w:rPr>
              <w:t xml:space="preserve">Azoxistrobín </w:t>
            </w:r>
          </w:p>
          <w:p w:rsidR="00503A41" w:rsidRPr="00993936" w:rsidRDefault="00503A41" w:rsidP="001D205D">
            <w:pPr>
              <w:pStyle w:val="Sinespaciado"/>
              <w:rPr>
                <w:rFonts w:ascii="Arial" w:hAnsi="Arial" w:cs="Arial"/>
                <w:sz w:val="20"/>
              </w:rPr>
            </w:pPr>
            <w:r w:rsidRPr="00993936">
              <w:rPr>
                <w:rFonts w:ascii="Arial" w:hAnsi="Arial" w:cs="Arial"/>
                <w:sz w:val="20"/>
              </w:rPr>
              <w:t>Benalaxil + Oxicloruro de cobre (1)</w:t>
            </w:r>
          </w:p>
          <w:p w:rsidR="00503A41" w:rsidRPr="00993936" w:rsidRDefault="00503A41" w:rsidP="001D205D">
            <w:pPr>
              <w:pStyle w:val="Sinespaciado"/>
              <w:rPr>
                <w:rFonts w:ascii="Arial" w:hAnsi="Arial" w:cs="Arial"/>
                <w:sz w:val="20"/>
              </w:rPr>
            </w:pPr>
            <w:r w:rsidRPr="00993936">
              <w:rPr>
                <w:rFonts w:ascii="Arial" w:hAnsi="Arial" w:cs="Arial"/>
                <w:sz w:val="20"/>
              </w:rPr>
              <w:t>Benalaxil-M + Mancozeb (1)</w:t>
            </w:r>
          </w:p>
          <w:p w:rsidR="00503A41" w:rsidRPr="00993936" w:rsidRDefault="00503A41" w:rsidP="001D205D">
            <w:pPr>
              <w:pStyle w:val="Sinespaciado"/>
              <w:rPr>
                <w:rFonts w:ascii="Arial" w:hAnsi="Arial" w:cs="Arial"/>
                <w:sz w:val="20"/>
              </w:rPr>
            </w:pPr>
            <w:r w:rsidRPr="00993936">
              <w:rPr>
                <w:rFonts w:ascii="Arial" w:hAnsi="Arial" w:cs="Arial"/>
                <w:sz w:val="20"/>
              </w:rPr>
              <w:t>Benalaxil-M + Folpet (1)</w:t>
            </w:r>
          </w:p>
          <w:p w:rsidR="00503A41" w:rsidRPr="00993936" w:rsidRDefault="00503A41" w:rsidP="001D205D">
            <w:pPr>
              <w:pStyle w:val="Sinespaciado"/>
              <w:rPr>
                <w:rFonts w:ascii="Arial" w:hAnsi="Arial" w:cs="Arial"/>
                <w:sz w:val="20"/>
              </w:rPr>
            </w:pPr>
            <w:r w:rsidRPr="00993936">
              <w:rPr>
                <w:rFonts w:ascii="Arial" w:hAnsi="Arial" w:cs="Arial"/>
                <w:sz w:val="20"/>
              </w:rPr>
              <w:t>Bentiavalicarb isopropil + Folpet (1)</w:t>
            </w:r>
          </w:p>
          <w:p w:rsidR="00503A41" w:rsidRPr="00993936" w:rsidRDefault="00503A41" w:rsidP="001D205D">
            <w:pPr>
              <w:pStyle w:val="Sinespaciado"/>
              <w:rPr>
                <w:rFonts w:ascii="Arial" w:hAnsi="Arial" w:cs="Arial"/>
                <w:sz w:val="20"/>
              </w:rPr>
            </w:pPr>
            <w:r w:rsidRPr="00993936">
              <w:rPr>
                <w:rFonts w:ascii="Arial" w:hAnsi="Arial" w:cs="Arial"/>
                <w:sz w:val="20"/>
              </w:rPr>
              <w:t>Bentiavalicarb isopropil + Mancozeb (1)</w:t>
            </w:r>
          </w:p>
          <w:p w:rsidR="00503A41" w:rsidRPr="00993936" w:rsidRDefault="00503A41" w:rsidP="001D205D">
            <w:pPr>
              <w:pStyle w:val="Sinespaciado"/>
              <w:rPr>
                <w:rFonts w:ascii="Arial" w:hAnsi="Arial" w:cs="Arial"/>
                <w:sz w:val="20"/>
              </w:rPr>
            </w:pPr>
            <w:r w:rsidRPr="00993936">
              <w:rPr>
                <w:rFonts w:ascii="Arial" w:hAnsi="Arial" w:cs="Arial"/>
                <w:sz w:val="20"/>
              </w:rPr>
              <w:t>Ciazofamida</w:t>
            </w:r>
          </w:p>
          <w:p w:rsidR="00503A41" w:rsidRPr="00993936" w:rsidRDefault="00503A41" w:rsidP="001D205D">
            <w:pPr>
              <w:pStyle w:val="Sinespaciado"/>
              <w:rPr>
                <w:rFonts w:ascii="Arial" w:hAnsi="Arial" w:cs="Arial"/>
                <w:sz w:val="20"/>
              </w:rPr>
            </w:pPr>
            <w:r w:rsidRPr="00993936">
              <w:rPr>
                <w:rFonts w:ascii="Arial" w:hAnsi="Arial" w:cs="Arial"/>
                <w:sz w:val="20"/>
              </w:rPr>
              <w:t>Cimoxanilo (1)</w:t>
            </w:r>
          </w:p>
          <w:p w:rsidR="00503A41" w:rsidRPr="00993936" w:rsidRDefault="00503A41" w:rsidP="001D205D">
            <w:pPr>
              <w:pStyle w:val="Sinespaciado"/>
              <w:rPr>
                <w:rFonts w:ascii="Arial" w:hAnsi="Arial" w:cs="Arial"/>
                <w:sz w:val="20"/>
              </w:rPr>
            </w:pPr>
            <w:r w:rsidRPr="00993936">
              <w:rPr>
                <w:rFonts w:ascii="Arial" w:hAnsi="Arial" w:cs="Arial"/>
                <w:sz w:val="20"/>
              </w:rPr>
              <w:t>Cimoxanilo + Fosetil-al + Mancozeb (1)</w:t>
            </w:r>
          </w:p>
          <w:p w:rsidR="00503A41" w:rsidRPr="00993936" w:rsidRDefault="00503A41" w:rsidP="001D205D">
            <w:pPr>
              <w:pStyle w:val="Sinespaciado"/>
              <w:rPr>
                <w:rFonts w:ascii="Arial" w:hAnsi="Arial" w:cs="Arial"/>
                <w:sz w:val="20"/>
              </w:rPr>
            </w:pPr>
            <w:r w:rsidRPr="00993936">
              <w:rPr>
                <w:rFonts w:ascii="Arial" w:hAnsi="Arial" w:cs="Arial"/>
                <w:sz w:val="20"/>
              </w:rPr>
              <w:t>Cimoxanilo + Mancozeb (1)</w:t>
            </w:r>
          </w:p>
          <w:p w:rsidR="00503A41" w:rsidRPr="00993936" w:rsidRDefault="00503A41" w:rsidP="001D205D">
            <w:pPr>
              <w:pStyle w:val="Sinespaciado"/>
              <w:rPr>
                <w:rFonts w:ascii="Arial" w:hAnsi="Arial" w:cs="Arial"/>
                <w:sz w:val="20"/>
              </w:rPr>
            </w:pPr>
            <w:r w:rsidRPr="00993936">
              <w:rPr>
                <w:rFonts w:ascii="Arial" w:hAnsi="Arial" w:cs="Arial"/>
                <w:sz w:val="20"/>
              </w:rPr>
              <w:t>Cimoxanilo + Metiram (1)</w:t>
            </w:r>
          </w:p>
          <w:p w:rsidR="00503A41" w:rsidRPr="00993936" w:rsidRDefault="00503A41" w:rsidP="001D205D">
            <w:pPr>
              <w:pStyle w:val="Sinespaciado"/>
              <w:rPr>
                <w:rFonts w:ascii="Arial" w:hAnsi="Arial" w:cs="Arial"/>
                <w:sz w:val="20"/>
              </w:rPr>
            </w:pPr>
            <w:r w:rsidRPr="00993936">
              <w:rPr>
                <w:rFonts w:ascii="Arial" w:hAnsi="Arial" w:cs="Arial"/>
                <w:sz w:val="20"/>
              </w:rPr>
              <w:t>Cimoxanilo + Mancozeb + Oxicloruro de cobre (1)</w:t>
            </w:r>
          </w:p>
          <w:p w:rsidR="00503A41" w:rsidRPr="00993936" w:rsidRDefault="00503A41" w:rsidP="001D205D">
            <w:pPr>
              <w:pStyle w:val="Sinespaciado"/>
              <w:rPr>
                <w:rFonts w:ascii="Arial" w:hAnsi="Arial" w:cs="Arial"/>
                <w:sz w:val="20"/>
              </w:rPr>
            </w:pPr>
            <w:r w:rsidRPr="00993936">
              <w:rPr>
                <w:rFonts w:ascii="Arial" w:hAnsi="Arial" w:cs="Arial"/>
                <w:sz w:val="20"/>
              </w:rPr>
              <w:t>Cimoxanilo + Oxicloruro de cobre + Sulfato cuprocálcico (1)</w:t>
            </w:r>
          </w:p>
          <w:p w:rsidR="00503A41" w:rsidRPr="00993936" w:rsidRDefault="00503A41" w:rsidP="001D205D">
            <w:pPr>
              <w:pStyle w:val="Sinespaciado"/>
              <w:rPr>
                <w:rFonts w:ascii="Arial" w:hAnsi="Arial" w:cs="Arial"/>
                <w:sz w:val="20"/>
              </w:rPr>
            </w:pPr>
            <w:r w:rsidRPr="00993936">
              <w:rPr>
                <w:rFonts w:ascii="Arial" w:hAnsi="Arial" w:cs="Arial"/>
                <w:sz w:val="20"/>
              </w:rPr>
              <w:t>Cimoxanilo + Sulfato tribásico de cobre (1)</w:t>
            </w:r>
          </w:p>
          <w:p w:rsidR="00503A41" w:rsidRPr="00993936" w:rsidRDefault="00503A41" w:rsidP="001D205D">
            <w:pPr>
              <w:pStyle w:val="Sinespaciado"/>
              <w:rPr>
                <w:rFonts w:ascii="Arial" w:hAnsi="Arial" w:cs="Arial"/>
                <w:sz w:val="20"/>
              </w:rPr>
            </w:pPr>
            <w:r w:rsidRPr="00993936">
              <w:rPr>
                <w:rFonts w:ascii="Arial" w:hAnsi="Arial" w:cs="Arial"/>
                <w:sz w:val="20"/>
              </w:rPr>
              <w:t>Cimoxanilo + Sulfato cuprocálcico (1)</w:t>
            </w:r>
          </w:p>
          <w:p w:rsidR="00503A41" w:rsidRPr="00993936" w:rsidRDefault="00503A41" w:rsidP="001D205D">
            <w:pPr>
              <w:pStyle w:val="Sinespaciado"/>
              <w:rPr>
                <w:rFonts w:ascii="Arial" w:hAnsi="Arial" w:cs="Arial"/>
                <w:sz w:val="20"/>
              </w:rPr>
            </w:pPr>
            <w:r w:rsidRPr="00993936">
              <w:rPr>
                <w:rFonts w:ascii="Arial" w:hAnsi="Arial" w:cs="Arial"/>
                <w:sz w:val="20"/>
              </w:rPr>
              <w:t>Cimoxanilo + Zoxamida(1)</w:t>
            </w:r>
          </w:p>
          <w:p w:rsidR="00503A41" w:rsidRPr="00993936" w:rsidRDefault="00503A41" w:rsidP="001D205D">
            <w:pPr>
              <w:pStyle w:val="Sinespaciado"/>
              <w:rPr>
                <w:rFonts w:ascii="Arial" w:hAnsi="Arial" w:cs="Arial"/>
                <w:sz w:val="20"/>
              </w:rPr>
            </w:pPr>
            <w:r w:rsidRPr="00993936">
              <w:rPr>
                <w:rFonts w:ascii="Arial" w:hAnsi="Arial" w:cs="Arial"/>
                <w:sz w:val="20"/>
              </w:rPr>
              <w:t xml:space="preserve">Dimetomorf </w:t>
            </w:r>
          </w:p>
          <w:p w:rsidR="00503A41" w:rsidRPr="00993936" w:rsidRDefault="00503A41" w:rsidP="001D205D">
            <w:pPr>
              <w:pStyle w:val="Sinespaciado"/>
              <w:rPr>
                <w:rFonts w:ascii="Arial" w:hAnsi="Arial" w:cs="Arial"/>
                <w:sz w:val="20"/>
              </w:rPr>
            </w:pPr>
            <w:r w:rsidRPr="00993936">
              <w:rPr>
                <w:rFonts w:ascii="Arial" w:hAnsi="Arial" w:cs="Arial"/>
                <w:sz w:val="20"/>
              </w:rPr>
              <w:t>Dimetomorf + Ditianona (1)</w:t>
            </w:r>
          </w:p>
          <w:p w:rsidR="00503A41" w:rsidRPr="00993936" w:rsidRDefault="00503A41" w:rsidP="001D205D">
            <w:pPr>
              <w:pStyle w:val="Sinespaciado"/>
              <w:rPr>
                <w:rFonts w:ascii="Arial" w:hAnsi="Arial" w:cs="Arial"/>
                <w:sz w:val="20"/>
              </w:rPr>
            </w:pPr>
            <w:r w:rsidRPr="00993936">
              <w:rPr>
                <w:rFonts w:ascii="Arial" w:hAnsi="Arial" w:cs="Arial"/>
                <w:sz w:val="20"/>
              </w:rPr>
              <w:t>Dimetomorf + Oxicloruro de cobre (1)</w:t>
            </w:r>
          </w:p>
          <w:p w:rsidR="00503A41" w:rsidRPr="00993936" w:rsidRDefault="00503A41" w:rsidP="001D205D">
            <w:pPr>
              <w:pStyle w:val="Sinespaciado"/>
              <w:rPr>
                <w:rFonts w:ascii="Arial" w:hAnsi="Arial" w:cs="Arial"/>
                <w:sz w:val="20"/>
              </w:rPr>
            </w:pPr>
            <w:r w:rsidRPr="00993936">
              <w:rPr>
                <w:rFonts w:ascii="Arial" w:hAnsi="Arial" w:cs="Arial"/>
                <w:sz w:val="20"/>
              </w:rPr>
              <w:t>Dimetomorf + Mancozeb (1)</w:t>
            </w:r>
          </w:p>
          <w:p w:rsidR="00503A41" w:rsidRPr="00993936" w:rsidRDefault="00503A41" w:rsidP="001D205D">
            <w:pPr>
              <w:pStyle w:val="Sinespaciado"/>
              <w:rPr>
                <w:rFonts w:ascii="Arial" w:hAnsi="Arial" w:cs="Arial"/>
                <w:sz w:val="20"/>
              </w:rPr>
            </w:pPr>
            <w:r w:rsidRPr="00993936">
              <w:rPr>
                <w:rFonts w:ascii="Arial" w:hAnsi="Arial" w:cs="Arial"/>
                <w:sz w:val="20"/>
              </w:rPr>
              <w:t>Dimetomorf + Piraclostrobín (1)</w:t>
            </w:r>
          </w:p>
          <w:p w:rsidR="00503A41" w:rsidRPr="00993936" w:rsidRDefault="00503A41" w:rsidP="001D205D">
            <w:pPr>
              <w:pStyle w:val="Sinespaciado"/>
              <w:rPr>
                <w:rFonts w:ascii="Arial" w:hAnsi="Arial" w:cs="Arial"/>
                <w:sz w:val="20"/>
              </w:rPr>
            </w:pPr>
            <w:r w:rsidRPr="00993936">
              <w:rPr>
                <w:rFonts w:ascii="Arial" w:hAnsi="Arial" w:cs="Arial"/>
                <w:sz w:val="20"/>
              </w:rPr>
              <w:t>Famoxadona + Cimoxanilo (1)</w:t>
            </w:r>
          </w:p>
          <w:p w:rsidR="00503A41" w:rsidRPr="00993936" w:rsidRDefault="00503A41" w:rsidP="001D205D">
            <w:pPr>
              <w:pStyle w:val="Sinespaciado"/>
              <w:rPr>
                <w:rFonts w:ascii="Arial" w:hAnsi="Arial" w:cs="Arial"/>
                <w:sz w:val="20"/>
              </w:rPr>
            </w:pPr>
            <w:r w:rsidRPr="00993936">
              <w:rPr>
                <w:rFonts w:ascii="Arial" w:hAnsi="Arial" w:cs="Arial"/>
                <w:sz w:val="20"/>
              </w:rPr>
              <w:t>Famoxadona + Mancozeb (1)</w:t>
            </w:r>
          </w:p>
          <w:p w:rsidR="00503A41" w:rsidRPr="00993936" w:rsidRDefault="00503A41" w:rsidP="001D205D">
            <w:pPr>
              <w:pStyle w:val="Sinespaciado"/>
              <w:rPr>
                <w:rFonts w:ascii="Arial" w:hAnsi="Arial" w:cs="Arial"/>
                <w:sz w:val="20"/>
              </w:rPr>
            </w:pPr>
            <w:r w:rsidRPr="00993936">
              <w:rPr>
                <w:rFonts w:ascii="Arial" w:hAnsi="Arial" w:cs="Arial"/>
                <w:sz w:val="20"/>
              </w:rPr>
              <w:t>Fluopicolida + Fosetil-al</w:t>
            </w:r>
          </w:p>
          <w:p w:rsidR="00503A41" w:rsidRPr="00993936" w:rsidRDefault="00503A41" w:rsidP="001D205D">
            <w:pPr>
              <w:pStyle w:val="Sinespaciado"/>
              <w:rPr>
                <w:rFonts w:ascii="Arial" w:hAnsi="Arial" w:cs="Arial"/>
                <w:sz w:val="20"/>
              </w:rPr>
            </w:pPr>
            <w:r w:rsidRPr="00993936">
              <w:rPr>
                <w:rFonts w:ascii="Arial" w:hAnsi="Arial" w:cs="Arial"/>
                <w:sz w:val="20"/>
              </w:rPr>
              <w:t>Fluopicolida + Propineb</w:t>
            </w:r>
          </w:p>
          <w:p w:rsidR="00503A41" w:rsidRPr="00993936" w:rsidRDefault="00503A41" w:rsidP="001D205D">
            <w:pPr>
              <w:pStyle w:val="Sinespaciado"/>
              <w:rPr>
                <w:rFonts w:ascii="Arial" w:hAnsi="Arial" w:cs="Arial"/>
                <w:sz w:val="20"/>
              </w:rPr>
            </w:pPr>
            <w:r w:rsidRPr="00993936">
              <w:rPr>
                <w:rFonts w:ascii="Arial" w:hAnsi="Arial" w:cs="Arial"/>
                <w:sz w:val="20"/>
              </w:rPr>
              <w:t>Folpet</w:t>
            </w:r>
            <w:r w:rsidRPr="00993936">
              <w:rPr>
                <w:rFonts w:ascii="Arial" w:hAnsi="Arial" w:cs="Arial"/>
                <w:sz w:val="20"/>
              </w:rPr>
              <w:tab/>
            </w:r>
          </w:p>
          <w:p w:rsidR="00503A41" w:rsidRPr="00993936" w:rsidRDefault="00503A41" w:rsidP="001D205D">
            <w:pPr>
              <w:pStyle w:val="Sinespaciado"/>
              <w:rPr>
                <w:rFonts w:ascii="Arial" w:hAnsi="Arial" w:cs="Arial"/>
                <w:sz w:val="20"/>
              </w:rPr>
            </w:pPr>
            <w:r w:rsidRPr="00993936">
              <w:rPr>
                <w:rFonts w:ascii="Arial" w:hAnsi="Arial" w:cs="Arial"/>
                <w:sz w:val="20"/>
              </w:rPr>
              <w:t>Folpet + Benalaxil + Cimoxanilo (1)</w:t>
            </w:r>
          </w:p>
          <w:p w:rsidR="00503A41" w:rsidRPr="00993936" w:rsidRDefault="00503A41" w:rsidP="001D205D">
            <w:pPr>
              <w:pStyle w:val="Sinespaciado"/>
              <w:rPr>
                <w:rFonts w:ascii="Arial" w:hAnsi="Arial" w:cs="Arial"/>
                <w:sz w:val="20"/>
              </w:rPr>
            </w:pPr>
            <w:r w:rsidRPr="00993936">
              <w:rPr>
                <w:rFonts w:ascii="Arial" w:hAnsi="Arial" w:cs="Arial"/>
                <w:sz w:val="20"/>
              </w:rPr>
              <w:t>Folpet + Mandipropamid</w:t>
            </w:r>
          </w:p>
          <w:p w:rsidR="00503A41" w:rsidRPr="00993936" w:rsidRDefault="00503A41" w:rsidP="001D205D">
            <w:pPr>
              <w:pStyle w:val="Sinespaciado"/>
              <w:rPr>
                <w:rFonts w:ascii="Arial" w:hAnsi="Arial" w:cs="Arial"/>
                <w:sz w:val="20"/>
              </w:rPr>
            </w:pPr>
            <w:r w:rsidRPr="00993936">
              <w:rPr>
                <w:rFonts w:ascii="Arial" w:hAnsi="Arial" w:cs="Arial"/>
                <w:sz w:val="20"/>
              </w:rPr>
              <w:t>Folpet + Metalaxil-M (1)</w:t>
            </w:r>
          </w:p>
          <w:p w:rsidR="00503A41" w:rsidRPr="00993936" w:rsidRDefault="00503A41" w:rsidP="001D205D">
            <w:pPr>
              <w:pStyle w:val="Sinespaciado"/>
              <w:rPr>
                <w:rFonts w:ascii="Arial" w:hAnsi="Arial" w:cs="Arial"/>
                <w:sz w:val="20"/>
              </w:rPr>
            </w:pPr>
            <w:r w:rsidRPr="00993936">
              <w:rPr>
                <w:rFonts w:ascii="Arial" w:hAnsi="Arial" w:cs="Arial"/>
                <w:sz w:val="20"/>
              </w:rPr>
              <w:t>Folpet + Valifenalat(1)</w:t>
            </w:r>
          </w:p>
          <w:p w:rsidR="00503A41" w:rsidRPr="00993936" w:rsidRDefault="00503A41" w:rsidP="001D205D">
            <w:pPr>
              <w:pStyle w:val="Sinespaciado"/>
              <w:rPr>
                <w:rFonts w:ascii="Arial" w:hAnsi="Arial" w:cs="Arial"/>
                <w:sz w:val="20"/>
              </w:rPr>
            </w:pPr>
            <w:r w:rsidRPr="00993936">
              <w:rPr>
                <w:rFonts w:ascii="Arial" w:hAnsi="Arial" w:cs="Arial"/>
                <w:sz w:val="20"/>
              </w:rPr>
              <w:t xml:space="preserve">Fosetil-Al </w:t>
            </w:r>
          </w:p>
          <w:p w:rsidR="00503A41" w:rsidRPr="00993936" w:rsidRDefault="00503A41" w:rsidP="001D205D">
            <w:pPr>
              <w:pStyle w:val="Sinespaciado"/>
              <w:rPr>
                <w:rFonts w:ascii="Arial" w:hAnsi="Arial" w:cs="Arial"/>
                <w:sz w:val="20"/>
              </w:rPr>
            </w:pPr>
            <w:r w:rsidRPr="00993936">
              <w:rPr>
                <w:rFonts w:ascii="Arial" w:hAnsi="Arial" w:cs="Arial"/>
                <w:sz w:val="20"/>
              </w:rPr>
              <w:t>Fosetil-al+Mancozeb(1)</w:t>
            </w:r>
          </w:p>
          <w:p w:rsidR="00503A41" w:rsidRPr="00993936" w:rsidRDefault="00503A41" w:rsidP="001D205D">
            <w:pPr>
              <w:pStyle w:val="Sinespaciado"/>
              <w:rPr>
                <w:rFonts w:ascii="Arial" w:hAnsi="Arial" w:cs="Arial"/>
                <w:sz w:val="20"/>
              </w:rPr>
            </w:pPr>
            <w:r w:rsidRPr="00993936">
              <w:rPr>
                <w:rFonts w:ascii="Arial" w:hAnsi="Arial" w:cs="Arial"/>
                <w:sz w:val="20"/>
              </w:rPr>
              <w:t>Fosfonat potásico</w:t>
            </w:r>
          </w:p>
          <w:p w:rsidR="00503A41" w:rsidRPr="00993936" w:rsidRDefault="00503A41" w:rsidP="001D205D">
            <w:pPr>
              <w:pStyle w:val="Sinespaciado"/>
              <w:rPr>
                <w:rFonts w:ascii="Arial" w:hAnsi="Arial" w:cs="Arial"/>
                <w:sz w:val="20"/>
              </w:rPr>
            </w:pPr>
            <w:r w:rsidRPr="00993936">
              <w:rPr>
                <w:rFonts w:ascii="Arial" w:hAnsi="Arial" w:cs="Arial"/>
                <w:sz w:val="20"/>
              </w:rPr>
              <w:t>Hidróxido cúprico</w:t>
            </w:r>
          </w:p>
          <w:p w:rsidR="00503A41" w:rsidRPr="00993936" w:rsidRDefault="00503A41" w:rsidP="001D205D">
            <w:pPr>
              <w:pStyle w:val="Sinespaciado"/>
              <w:rPr>
                <w:rFonts w:ascii="Arial" w:hAnsi="Arial" w:cs="Arial"/>
                <w:sz w:val="20"/>
              </w:rPr>
            </w:pPr>
            <w:r w:rsidRPr="00993936">
              <w:rPr>
                <w:rFonts w:ascii="Arial" w:hAnsi="Arial" w:cs="Arial"/>
                <w:sz w:val="20"/>
              </w:rPr>
              <w:t>Hidróxido cúprico + Oxicloruro de cobre(1)</w:t>
            </w:r>
          </w:p>
          <w:p w:rsidR="00503A41" w:rsidRPr="00993936" w:rsidRDefault="00503A41" w:rsidP="001D205D">
            <w:pPr>
              <w:pStyle w:val="Sinespaciado"/>
              <w:rPr>
                <w:rFonts w:ascii="Arial" w:hAnsi="Arial" w:cs="Arial"/>
                <w:sz w:val="20"/>
              </w:rPr>
            </w:pPr>
            <w:r w:rsidRPr="00993936">
              <w:rPr>
                <w:rFonts w:ascii="Arial" w:hAnsi="Arial" w:cs="Arial"/>
                <w:sz w:val="20"/>
              </w:rPr>
              <w:t>Iprovalicarb + Folpet (1)</w:t>
            </w:r>
          </w:p>
          <w:p w:rsidR="00503A41" w:rsidRPr="00993936" w:rsidRDefault="00503A41" w:rsidP="001D205D">
            <w:pPr>
              <w:pStyle w:val="Sinespaciado"/>
              <w:rPr>
                <w:rFonts w:ascii="Arial" w:hAnsi="Arial" w:cs="Arial"/>
                <w:sz w:val="20"/>
              </w:rPr>
            </w:pPr>
            <w:r w:rsidRPr="00993936">
              <w:rPr>
                <w:rFonts w:ascii="Arial" w:hAnsi="Arial" w:cs="Arial"/>
                <w:sz w:val="20"/>
              </w:rPr>
              <w:t>Mancozeb (2)</w:t>
            </w:r>
          </w:p>
          <w:p w:rsidR="00503A41" w:rsidRPr="00993936" w:rsidRDefault="00503A41" w:rsidP="001D205D">
            <w:pPr>
              <w:pStyle w:val="Sinespaciado"/>
              <w:rPr>
                <w:rFonts w:ascii="Arial" w:hAnsi="Arial" w:cs="Arial"/>
                <w:sz w:val="20"/>
              </w:rPr>
            </w:pPr>
            <w:r w:rsidRPr="00993936">
              <w:rPr>
                <w:rFonts w:ascii="Arial" w:hAnsi="Arial" w:cs="Arial"/>
                <w:sz w:val="20"/>
              </w:rPr>
              <w:t>Mancozeb + Benalaxil + Cimoxanilo (1)</w:t>
            </w:r>
          </w:p>
          <w:p w:rsidR="00503A41" w:rsidRPr="00993936" w:rsidRDefault="00503A41" w:rsidP="001D205D">
            <w:pPr>
              <w:pStyle w:val="Sinespaciado"/>
              <w:rPr>
                <w:rFonts w:ascii="Arial" w:hAnsi="Arial" w:cs="Arial"/>
                <w:sz w:val="20"/>
              </w:rPr>
            </w:pPr>
            <w:r w:rsidRPr="00993936">
              <w:rPr>
                <w:rFonts w:ascii="Arial" w:hAnsi="Arial" w:cs="Arial"/>
                <w:sz w:val="20"/>
              </w:rPr>
              <w:t>Mancozeb + Benalaxil (1)</w:t>
            </w:r>
          </w:p>
          <w:p w:rsidR="00503A41" w:rsidRPr="00993936" w:rsidRDefault="00503A41" w:rsidP="001D205D">
            <w:pPr>
              <w:pStyle w:val="Sinespaciado"/>
              <w:rPr>
                <w:rFonts w:ascii="Arial" w:hAnsi="Arial" w:cs="Arial"/>
                <w:sz w:val="20"/>
              </w:rPr>
            </w:pPr>
            <w:r w:rsidRPr="00993936">
              <w:rPr>
                <w:rFonts w:ascii="Arial" w:hAnsi="Arial" w:cs="Arial"/>
                <w:sz w:val="20"/>
              </w:rPr>
              <w:t>Mancozeb + Metalaxil (1)</w:t>
            </w:r>
          </w:p>
          <w:p w:rsidR="00503A41" w:rsidRPr="00993936" w:rsidRDefault="00503A41" w:rsidP="001D205D">
            <w:pPr>
              <w:pStyle w:val="Sinespaciado"/>
              <w:rPr>
                <w:rFonts w:ascii="Arial" w:hAnsi="Arial" w:cs="Arial"/>
                <w:sz w:val="20"/>
              </w:rPr>
            </w:pPr>
            <w:r w:rsidRPr="00993936">
              <w:rPr>
                <w:rFonts w:ascii="Arial" w:hAnsi="Arial" w:cs="Arial"/>
                <w:sz w:val="20"/>
              </w:rPr>
              <w:t>Mancozeb + Metalaxil-M (1)</w:t>
            </w:r>
          </w:p>
          <w:p w:rsidR="00503A41" w:rsidRPr="00993936" w:rsidRDefault="00503A41" w:rsidP="001D205D">
            <w:pPr>
              <w:pStyle w:val="Sinespaciado"/>
              <w:rPr>
                <w:rFonts w:ascii="Arial" w:hAnsi="Arial" w:cs="Arial"/>
                <w:sz w:val="20"/>
              </w:rPr>
            </w:pPr>
          </w:p>
        </w:tc>
        <w:tc>
          <w:tcPr>
            <w:tcW w:w="1352" w:type="pct"/>
            <w:tcBorders>
              <w:bottom w:val="single" w:sz="4" w:space="0" w:color="auto"/>
            </w:tcBorders>
            <w:vAlign w:val="center"/>
          </w:tcPr>
          <w:p w:rsidR="00503A41" w:rsidRPr="00993936" w:rsidRDefault="00503A41" w:rsidP="009D1A2D">
            <w:pPr>
              <w:pStyle w:val="Sinespaciado"/>
              <w:numPr>
                <w:ilvl w:val="0"/>
                <w:numId w:val="154"/>
              </w:numPr>
              <w:rPr>
                <w:rFonts w:ascii="Arial" w:hAnsi="Arial" w:cs="Arial"/>
                <w:lang w:val="es-ES"/>
              </w:rPr>
            </w:pPr>
            <w:r w:rsidRPr="00993936">
              <w:rPr>
                <w:rFonts w:ascii="Arial" w:hAnsi="Arial" w:cs="Arial"/>
                <w:lang w:val="es-ES"/>
              </w:rPr>
              <w:t>Sólo mezclas</w:t>
            </w:r>
          </w:p>
          <w:p w:rsidR="00503A41" w:rsidRPr="00993936" w:rsidRDefault="00503A41" w:rsidP="009D1A2D">
            <w:pPr>
              <w:pStyle w:val="Sinespaciado"/>
              <w:numPr>
                <w:ilvl w:val="0"/>
                <w:numId w:val="154"/>
              </w:numPr>
              <w:rPr>
                <w:rFonts w:ascii="Arial" w:hAnsi="Arial" w:cs="Arial"/>
                <w:lang w:val="es-ES"/>
              </w:rPr>
            </w:pPr>
            <w:r w:rsidRPr="00993936">
              <w:rPr>
                <w:rFonts w:ascii="Arial" w:hAnsi="Arial" w:cs="Arial"/>
                <w:lang w:val="es-ES"/>
              </w:rPr>
              <w:t>Sólo hasta el enverado</w:t>
            </w:r>
          </w:p>
          <w:p w:rsidR="00503A41" w:rsidRPr="00993936" w:rsidRDefault="00503A41" w:rsidP="001D205D">
            <w:pPr>
              <w:pStyle w:val="Sinespaciado"/>
              <w:rPr>
                <w:rFonts w:ascii="Arial" w:hAnsi="Arial" w:cs="Arial"/>
                <w:lang w:val="es-ES"/>
              </w:rPr>
            </w:pPr>
          </w:p>
        </w:tc>
      </w:tr>
    </w:tbl>
    <w:p w:rsidR="00503A41" w:rsidRPr="00993936" w:rsidRDefault="00503A41" w:rsidP="001D205D">
      <w:pPr>
        <w:pStyle w:val="Sinespaciado"/>
        <w:rPr>
          <w:rFonts w:ascii="Arial" w:hAnsi="Arial" w:cs="Arial"/>
          <w:lang w:val="es-ES"/>
        </w:rPr>
      </w:pPr>
    </w:p>
    <w:p w:rsidR="00503A41" w:rsidRPr="00993936" w:rsidRDefault="00503A41" w:rsidP="001D205D">
      <w:pPr>
        <w:pStyle w:val="Sinespaciado"/>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 xml:space="preserve">2.3.1 (Continuación) Materias activas de </w:t>
      </w:r>
      <w:r w:rsidRPr="00993936">
        <w:rPr>
          <w:rFonts w:ascii="Arial" w:hAnsi="Arial" w:cs="Arial"/>
          <w:b/>
          <w:u w:val="single"/>
          <w:lang w:val="es-ES"/>
        </w:rPr>
        <w:t>fungicidas</w:t>
      </w:r>
      <w:r w:rsidRPr="00993936">
        <w:rPr>
          <w:rFonts w:ascii="Arial" w:hAnsi="Arial" w:cs="Arial"/>
          <w:b/>
          <w:lang w:val="es-ES"/>
        </w:rPr>
        <w:t xml:space="preserve"> para la producción integrada de uva para vinificación.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7"/>
        <w:gridCol w:w="2907"/>
        <w:gridCol w:w="2906"/>
      </w:tblGrid>
      <w:tr w:rsidR="00503A41" w:rsidRPr="00993936" w:rsidTr="0009331F">
        <w:tc>
          <w:tcPr>
            <w:tcW w:w="1667" w:type="pct"/>
            <w:shd w:val="clear" w:color="auto" w:fill="auto"/>
          </w:tcPr>
          <w:p w:rsidR="00503A41" w:rsidRPr="00993936" w:rsidRDefault="00503A41" w:rsidP="001D205D">
            <w:pPr>
              <w:pStyle w:val="Ttulo9"/>
              <w:rPr>
                <w:rFonts w:ascii="Arial" w:hAnsi="Arial" w:cs="Arial"/>
                <w:b/>
                <w:i w:val="0"/>
                <w:color w:val="auto"/>
                <w:szCs w:val="22"/>
                <w:lang w:val="es-ES"/>
              </w:rPr>
            </w:pPr>
            <w:r w:rsidRPr="00993936">
              <w:rPr>
                <w:rFonts w:ascii="Arial" w:hAnsi="Arial" w:cs="Arial"/>
                <w:color w:val="auto"/>
                <w:szCs w:val="22"/>
                <w:lang w:val="es-ES"/>
              </w:rPr>
              <w:t xml:space="preserve">Mildiu </w:t>
            </w:r>
          </w:p>
          <w:p w:rsidR="00503A41" w:rsidRPr="00993936" w:rsidRDefault="00503A41" w:rsidP="001D205D">
            <w:pPr>
              <w:pStyle w:val="Textoindependiente3"/>
              <w:jc w:val="left"/>
              <w:rPr>
                <w:rFonts w:cs="Arial"/>
                <w:b w:val="0"/>
                <w:i/>
                <w:szCs w:val="22"/>
                <w:lang w:val="es-ES"/>
              </w:rPr>
            </w:pPr>
            <w:r w:rsidRPr="00993936">
              <w:rPr>
                <w:rFonts w:cs="Arial"/>
                <w:b w:val="0"/>
                <w:i/>
                <w:szCs w:val="22"/>
                <w:lang w:val="es-ES"/>
              </w:rPr>
              <w:t>(Plasmopara viticola)</w:t>
            </w:r>
          </w:p>
        </w:tc>
        <w:tc>
          <w:tcPr>
            <w:tcW w:w="1667" w:type="pct"/>
            <w:shd w:val="clear" w:color="auto" w:fill="auto"/>
          </w:tcPr>
          <w:p w:rsidR="00503A41" w:rsidRPr="00993936" w:rsidRDefault="00503A41" w:rsidP="001D205D">
            <w:pPr>
              <w:pStyle w:val="Sinespaciado"/>
              <w:rPr>
                <w:rFonts w:ascii="Arial" w:hAnsi="Arial" w:cs="Arial"/>
                <w:sz w:val="18"/>
              </w:rPr>
            </w:pPr>
            <w:r w:rsidRPr="00993936">
              <w:rPr>
                <w:rFonts w:ascii="Arial" w:hAnsi="Arial" w:cs="Arial"/>
                <w:sz w:val="18"/>
              </w:rPr>
              <w:t>Mancozeb + Metil-tiofanato (1)</w:t>
            </w:r>
          </w:p>
          <w:p w:rsidR="00503A41" w:rsidRPr="00993936" w:rsidRDefault="00503A41" w:rsidP="001D205D">
            <w:pPr>
              <w:pStyle w:val="Sinespaciado"/>
              <w:rPr>
                <w:rFonts w:ascii="Arial" w:hAnsi="Arial" w:cs="Arial"/>
                <w:sz w:val="18"/>
              </w:rPr>
            </w:pPr>
            <w:r w:rsidRPr="00993936">
              <w:rPr>
                <w:rFonts w:ascii="Arial" w:hAnsi="Arial" w:cs="Arial"/>
                <w:sz w:val="18"/>
              </w:rPr>
              <w:t>Mancozeb + Oxicloruro de cobre</w:t>
            </w:r>
          </w:p>
          <w:p w:rsidR="00503A41" w:rsidRPr="00993936" w:rsidRDefault="00503A41" w:rsidP="001D205D">
            <w:pPr>
              <w:pStyle w:val="Sinespaciado"/>
              <w:rPr>
                <w:rFonts w:ascii="Arial" w:hAnsi="Arial" w:cs="Arial"/>
                <w:sz w:val="18"/>
              </w:rPr>
            </w:pPr>
            <w:r w:rsidRPr="00993936">
              <w:rPr>
                <w:rFonts w:ascii="Arial" w:hAnsi="Arial" w:cs="Arial"/>
                <w:sz w:val="18"/>
              </w:rPr>
              <w:t>Mancozeb + Oxicloruro de cobre + sulfato cuprocálcico(1)</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Mandipropamid</w:t>
            </w:r>
          </w:p>
          <w:p w:rsidR="00503A41" w:rsidRPr="00993936" w:rsidRDefault="00503A41" w:rsidP="001D205D">
            <w:pPr>
              <w:pStyle w:val="Sinespaciado"/>
              <w:rPr>
                <w:rFonts w:ascii="Arial" w:hAnsi="Arial" w:cs="Arial"/>
                <w:sz w:val="18"/>
              </w:rPr>
            </w:pPr>
            <w:r w:rsidRPr="00993936">
              <w:rPr>
                <w:rFonts w:ascii="Arial" w:hAnsi="Arial" w:cs="Arial"/>
                <w:sz w:val="18"/>
              </w:rPr>
              <w:t>Maneb</w:t>
            </w:r>
          </w:p>
          <w:p w:rsidR="00503A41" w:rsidRPr="00993936" w:rsidRDefault="00503A41" w:rsidP="001D205D">
            <w:pPr>
              <w:pStyle w:val="Sinespaciado"/>
              <w:rPr>
                <w:rFonts w:ascii="Arial" w:hAnsi="Arial" w:cs="Arial"/>
                <w:sz w:val="18"/>
              </w:rPr>
            </w:pPr>
            <w:r w:rsidRPr="00993936">
              <w:rPr>
                <w:rFonts w:ascii="Arial" w:hAnsi="Arial" w:cs="Arial"/>
                <w:sz w:val="18"/>
              </w:rPr>
              <w:t>Metalaxil</w:t>
            </w:r>
          </w:p>
          <w:p w:rsidR="00503A41" w:rsidRPr="00993936" w:rsidRDefault="00503A41" w:rsidP="001D205D">
            <w:pPr>
              <w:pStyle w:val="Sinespaciado"/>
              <w:rPr>
                <w:rFonts w:ascii="Arial" w:hAnsi="Arial" w:cs="Arial"/>
                <w:sz w:val="18"/>
              </w:rPr>
            </w:pPr>
            <w:r w:rsidRPr="00993936">
              <w:rPr>
                <w:rFonts w:ascii="Arial" w:hAnsi="Arial" w:cs="Arial"/>
                <w:sz w:val="18"/>
              </w:rPr>
              <w:t>Metalaxil + Oxicloruro de cobre (1)</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Metiram (2)</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Aceite de Naranja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Óxido cuproso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Oxicloruro de cobre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Oxicloruro de cobre + Propineb(1)</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Oxicloruro de cobre + sulfato cuprocálcico (1)</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Piraclostrobín</w:t>
            </w:r>
          </w:p>
          <w:p w:rsidR="00503A41" w:rsidRPr="00993936" w:rsidRDefault="00503A41" w:rsidP="001D205D">
            <w:pPr>
              <w:pStyle w:val="Sinespaciado"/>
              <w:rPr>
                <w:rFonts w:ascii="Arial" w:hAnsi="Arial" w:cs="Arial"/>
                <w:sz w:val="18"/>
              </w:rPr>
            </w:pPr>
            <w:r w:rsidRPr="00993936">
              <w:rPr>
                <w:rFonts w:ascii="Arial" w:hAnsi="Arial" w:cs="Arial"/>
                <w:sz w:val="18"/>
              </w:rPr>
              <w:t>Sultat cuprocálcico</w:t>
            </w:r>
          </w:p>
          <w:p w:rsidR="00503A41" w:rsidRPr="00993936" w:rsidRDefault="00503A41" w:rsidP="001D205D">
            <w:pPr>
              <w:pStyle w:val="Sinespaciado"/>
              <w:rPr>
                <w:rFonts w:ascii="Arial" w:hAnsi="Arial" w:cs="Arial"/>
                <w:sz w:val="18"/>
              </w:rPr>
            </w:pPr>
            <w:r w:rsidRPr="00993936">
              <w:rPr>
                <w:rFonts w:ascii="Arial" w:hAnsi="Arial" w:cs="Arial"/>
                <w:sz w:val="18"/>
              </w:rPr>
              <w:t>Sulfato tribásico de cobre</w:t>
            </w:r>
          </w:p>
          <w:p w:rsidR="00503A41" w:rsidRPr="00993936" w:rsidRDefault="00503A41" w:rsidP="001D205D">
            <w:pPr>
              <w:pStyle w:val="Sinespaciado"/>
              <w:rPr>
                <w:rFonts w:ascii="Arial" w:hAnsi="Arial" w:cs="Arial"/>
                <w:sz w:val="18"/>
              </w:rPr>
            </w:pPr>
            <w:r w:rsidRPr="00993936">
              <w:rPr>
                <w:rFonts w:ascii="Arial" w:hAnsi="Arial" w:cs="Arial"/>
                <w:sz w:val="18"/>
              </w:rPr>
              <w:t>Zoxamida + Dimetomorf(1)</w:t>
            </w:r>
          </w:p>
          <w:p w:rsidR="00503A41" w:rsidRPr="00993936" w:rsidRDefault="00503A41" w:rsidP="001D205D">
            <w:pPr>
              <w:pStyle w:val="Sinespaciado"/>
              <w:rPr>
                <w:rFonts w:ascii="Arial" w:hAnsi="Arial" w:cs="Arial"/>
                <w:sz w:val="18"/>
              </w:rPr>
            </w:pPr>
            <w:r w:rsidRPr="00993936">
              <w:rPr>
                <w:rFonts w:ascii="Arial" w:hAnsi="Arial" w:cs="Arial"/>
                <w:sz w:val="18"/>
              </w:rPr>
              <w:t>Zoxamida + Mancozeb(1)</w:t>
            </w:r>
          </w:p>
        </w:tc>
        <w:tc>
          <w:tcPr>
            <w:tcW w:w="1666" w:type="pct"/>
            <w:vMerge w:val="restart"/>
            <w:shd w:val="clear" w:color="auto" w:fill="auto"/>
            <w:vAlign w:val="center"/>
          </w:tcPr>
          <w:p w:rsidR="00503A41" w:rsidRPr="00993936" w:rsidRDefault="00503A41" w:rsidP="009D1A2D">
            <w:pPr>
              <w:numPr>
                <w:ilvl w:val="0"/>
                <w:numId w:val="104"/>
              </w:numPr>
              <w:spacing w:after="0" w:line="240" w:lineRule="auto"/>
              <w:rPr>
                <w:rFonts w:ascii="Arial" w:hAnsi="Arial" w:cs="Arial"/>
                <w:sz w:val="18"/>
                <w:lang w:val="es-ES"/>
              </w:rPr>
            </w:pPr>
            <w:r w:rsidRPr="00993936">
              <w:rPr>
                <w:rFonts w:ascii="Arial" w:hAnsi="Arial" w:cs="Arial"/>
                <w:sz w:val="18"/>
                <w:lang w:val="es-ES"/>
              </w:rPr>
              <w:t>Sólo mezclas</w:t>
            </w:r>
          </w:p>
          <w:p w:rsidR="00503A41" w:rsidRPr="00993936" w:rsidRDefault="00503A41" w:rsidP="009D1A2D">
            <w:pPr>
              <w:numPr>
                <w:ilvl w:val="0"/>
                <w:numId w:val="104"/>
              </w:numPr>
              <w:spacing w:after="0" w:line="240" w:lineRule="auto"/>
              <w:rPr>
                <w:rFonts w:ascii="Arial" w:hAnsi="Arial" w:cs="Arial"/>
                <w:sz w:val="18"/>
                <w:lang w:val="es-ES"/>
              </w:rPr>
            </w:pPr>
            <w:r w:rsidRPr="00993936">
              <w:rPr>
                <w:rFonts w:ascii="Arial" w:hAnsi="Arial" w:cs="Arial"/>
                <w:sz w:val="18"/>
                <w:lang w:val="es-ES"/>
              </w:rPr>
              <w:t>Sólo hasta el enverado</w:t>
            </w:r>
          </w:p>
          <w:p w:rsidR="00503A41" w:rsidRPr="00993936" w:rsidRDefault="00503A41" w:rsidP="0009331F">
            <w:pPr>
              <w:pStyle w:val="Textoindependiente3"/>
              <w:jc w:val="left"/>
              <w:rPr>
                <w:rFonts w:cs="Arial"/>
                <w:b w:val="0"/>
                <w:sz w:val="18"/>
                <w:szCs w:val="22"/>
                <w:lang w:val="es-ES"/>
              </w:rPr>
            </w:pPr>
          </w:p>
        </w:tc>
      </w:tr>
      <w:tr w:rsidR="00503A41" w:rsidRPr="00993936" w:rsidTr="0009331F">
        <w:tc>
          <w:tcPr>
            <w:tcW w:w="1667" w:type="pct"/>
            <w:shd w:val="clear" w:color="auto" w:fill="auto"/>
            <w:vAlign w:val="center"/>
          </w:tcPr>
          <w:p w:rsidR="00503A41" w:rsidRPr="00993936" w:rsidRDefault="00503A41" w:rsidP="001D205D">
            <w:pPr>
              <w:pStyle w:val="Ttulo9"/>
              <w:rPr>
                <w:rFonts w:ascii="Arial" w:hAnsi="Arial" w:cs="Arial"/>
                <w:b/>
                <w:i w:val="0"/>
                <w:color w:val="auto"/>
                <w:szCs w:val="22"/>
                <w:lang w:val="es-ES"/>
              </w:rPr>
            </w:pPr>
            <w:r w:rsidRPr="00993936">
              <w:rPr>
                <w:rFonts w:ascii="Arial" w:hAnsi="Arial" w:cs="Arial"/>
                <w:color w:val="auto"/>
                <w:szCs w:val="22"/>
                <w:lang w:val="es-ES"/>
              </w:rPr>
              <w:t xml:space="preserve">Podredumbre gris </w:t>
            </w:r>
          </w:p>
          <w:p w:rsidR="00503A41" w:rsidRPr="00993936" w:rsidRDefault="00503A41" w:rsidP="001D205D">
            <w:pPr>
              <w:pStyle w:val="Ttulo9"/>
              <w:rPr>
                <w:rFonts w:ascii="Arial" w:hAnsi="Arial" w:cs="Arial"/>
                <w:b/>
                <w:i w:val="0"/>
                <w:color w:val="auto"/>
                <w:szCs w:val="22"/>
                <w:lang w:val="es-ES"/>
              </w:rPr>
            </w:pPr>
            <w:r w:rsidRPr="00993936">
              <w:rPr>
                <w:rFonts w:ascii="Arial" w:hAnsi="Arial" w:cs="Arial"/>
                <w:color w:val="auto"/>
                <w:szCs w:val="22"/>
                <w:lang w:val="es-ES"/>
              </w:rPr>
              <w:t>(Botrytis cinerea)</w:t>
            </w:r>
          </w:p>
        </w:tc>
        <w:tc>
          <w:tcPr>
            <w:tcW w:w="1667" w:type="pct"/>
            <w:shd w:val="clear" w:color="auto" w:fill="auto"/>
            <w:vAlign w:val="center"/>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Bacillus subtilis</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Boscalid</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Carbonado de hidrógeno de potasio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Ciprodinil + Fludioxonil (1)</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Dietofencarb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Eugenol + Geraniol + Timol(1)</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Fenhexamid</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Fenpirazamina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Fluopiram</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Folpet (2)</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Folpet + Oxicloruro de cobre(1)</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Iprodiona</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 xml:space="preserve">Mepanipirim </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Metil-tiofanato</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Pirimetanil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Tebuconazol</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Tebuconazol + Trifloxistrobina(1)</w:t>
            </w:r>
          </w:p>
          <w:p w:rsidR="00503A41" w:rsidRPr="00993936" w:rsidRDefault="00503A41" w:rsidP="001D205D">
            <w:pPr>
              <w:pStyle w:val="Sinespaciado"/>
              <w:rPr>
                <w:rFonts w:ascii="Arial" w:hAnsi="Arial" w:cs="Arial"/>
                <w:sz w:val="18"/>
              </w:rPr>
            </w:pPr>
            <w:r w:rsidRPr="00993936">
              <w:rPr>
                <w:rFonts w:ascii="Arial" w:hAnsi="Arial" w:cs="Arial"/>
                <w:sz w:val="18"/>
              </w:rPr>
              <w:t>Tiram</w:t>
            </w:r>
          </w:p>
        </w:tc>
        <w:tc>
          <w:tcPr>
            <w:tcW w:w="1666" w:type="pct"/>
            <w:vMerge/>
            <w:shd w:val="clear" w:color="auto" w:fill="auto"/>
          </w:tcPr>
          <w:p w:rsidR="00503A41" w:rsidRPr="00993936" w:rsidRDefault="00503A41" w:rsidP="0009331F">
            <w:pPr>
              <w:ind w:left="390"/>
              <w:rPr>
                <w:rFonts w:ascii="Arial" w:hAnsi="Arial" w:cs="Arial"/>
                <w:lang w:val="es-ES"/>
              </w:rPr>
            </w:pPr>
          </w:p>
        </w:tc>
      </w:tr>
      <w:tr w:rsidR="00503A41" w:rsidRPr="00993936" w:rsidTr="0009331F">
        <w:tc>
          <w:tcPr>
            <w:tcW w:w="1667" w:type="pct"/>
            <w:shd w:val="clear" w:color="auto" w:fill="auto"/>
          </w:tcPr>
          <w:p w:rsidR="00503A41" w:rsidRPr="00993936" w:rsidRDefault="00503A41" w:rsidP="001D205D">
            <w:pPr>
              <w:pStyle w:val="Ttulo9"/>
              <w:rPr>
                <w:rFonts w:ascii="Arial" w:hAnsi="Arial" w:cs="Arial"/>
                <w:b/>
                <w:i w:val="0"/>
                <w:color w:val="auto"/>
                <w:szCs w:val="22"/>
                <w:lang w:val="es-ES"/>
              </w:rPr>
            </w:pPr>
            <w:r w:rsidRPr="00993936">
              <w:rPr>
                <w:rFonts w:ascii="Arial" w:hAnsi="Arial" w:cs="Arial"/>
                <w:color w:val="auto"/>
                <w:szCs w:val="22"/>
                <w:lang w:val="es-ES"/>
              </w:rPr>
              <w:t xml:space="preserve">Excoriosi </w:t>
            </w:r>
          </w:p>
          <w:p w:rsidR="00503A41" w:rsidRPr="00993936" w:rsidRDefault="00503A41" w:rsidP="001D205D">
            <w:pPr>
              <w:pStyle w:val="Ttulo9"/>
              <w:rPr>
                <w:rFonts w:ascii="Arial" w:hAnsi="Arial" w:cs="Arial"/>
                <w:b/>
                <w:i w:val="0"/>
                <w:color w:val="auto"/>
                <w:szCs w:val="22"/>
                <w:lang w:val="es-ES"/>
              </w:rPr>
            </w:pPr>
            <w:r w:rsidRPr="00993936">
              <w:rPr>
                <w:rFonts w:ascii="Arial" w:hAnsi="Arial" w:cs="Arial"/>
                <w:color w:val="auto"/>
                <w:szCs w:val="22"/>
                <w:lang w:val="es-ES"/>
              </w:rPr>
              <w:t>(Phomopsis viticola)</w:t>
            </w:r>
          </w:p>
        </w:tc>
        <w:tc>
          <w:tcPr>
            <w:tcW w:w="1667" w:type="pct"/>
            <w:shd w:val="clear" w:color="auto" w:fill="auto"/>
          </w:tcPr>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Fluopicolida + Propineb(1)</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Folpet</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Mancozeb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Maneb</w:t>
            </w:r>
          </w:p>
          <w:p w:rsidR="00503A41" w:rsidRPr="00993936" w:rsidRDefault="00503A41" w:rsidP="001D205D">
            <w:pPr>
              <w:pStyle w:val="Sinespaciado"/>
              <w:rPr>
                <w:rFonts w:ascii="Arial" w:hAnsi="Arial" w:cs="Arial"/>
                <w:sz w:val="18"/>
                <w:lang w:val="es-ES"/>
              </w:rPr>
            </w:pPr>
            <w:r w:rsidRPr="00993936">
              <w:rPr>
                <w:rFonts w:ascii="Arial" w:hAnsi="Arial" w:cs="Arial"/>
                <w:sz w:val="18"/>
                <w:lang w:val="es-ES"/>
              </w:rPr>
              <w:t>Metiram</w:t>
            </w:r>
          </w:p>
        </w:tc>
        <w:tc>
          <w:tcPr>
            <w:tcW w:w="1666" w:type="pct"/>
            <w:vMerge/>
            <w:shd w:val="clear" w:color="auto" w:fill="auto"/>
          </w:tcPr>
          <w:p w:rsidR="00503A41" w:rsidRPr="00993936" w:rsidRDefault="00503A41" w:rsidP="0009331F">
            <w:pPr>
              <w:ind w:left="390"/>
              <w:rPr>
                <w:rFonts w:ascii="Arial" w:hAnsi="Arial" w:cs="Arial"/>
                <w:lang w:val="es-ES"/>
              </w:rPr>
            </w:pPr>
          </w:p>
        </w:tc>
      </w:tr>
    </w:tbl>
    <w:p w:rsidR="00503A41" w:rsidRPr="00993936" w:rsidRDefault="00503A41" w:rsidP="0009331F">
      <w:pPr>
        <w:pStyle w:val="Textoindependiente3"/>
        <w:rPr>
          <w:rFonts w:cs="Arial"/>
          <w:b w:val="0"/>
          <w:szCs w:val="22"/>
          <w:lang w:val="es-ES"/>
        </w:rPr>
      </w:pPr>
    </w:p>
    <w:p w:rsidR="00503A41" w:rsidRPr="00993936" w:rsidRDefault="00503A41" w:rsidP="0009331F">
      <w:pPr>
        <w:spacing w:before="120"/>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2.3.2 Materias activas de fungicidas para la producción integrada de uva por vinificación con indicación del código de resistencia FRAC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1D205D">
        <w:trPr>
          <w:trHeight w:val="393"/>
          <w:tblHeader/>
        </w:trPr>
        <w:tc>
          <w:tcPr>
            <w:tcW w:w="5000" w:type="pct"/>
            <w:gridSpan w:val="2"/>
            <w:shd w:val="solid" w:color="C0C0C0" w:fill="auto"/>
            <w:vAlign w:val="center"/>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TIPO DE FUNGICIDAS</w:t>
            </w:r>
          </w:p>
        </w:tc>
      </w:tr>
      <w:tr w:rsidR="00503A41" w:rsidRPr="00993936" w:rsidTr="001D205D">
        <w:trPr>
          <w:trHeight w:val="270"/>
          <w:tblHeader/>
        </w:trPr>
        <w:tc>
          <w:tcPr>
            <w:tcW w:w="2500" w:type="pct"/>
            <w:vMerge w:val="restart"/>
            <w:shd w:val="solid" w:color="C0C0C0" w:fill="auto"/>
            <w:vAlign w:val="center"/>
          </w:tcPr>
          <w:p w:rsidR="00503A41" w:rsidRPr="00993936" w:rsidRDefault="00503A41" w:rsidP="0009331F">
            <w:pPr>
              <w:autoSpaceDE w:val="0"/>
              <w:autoSpaceDN w:val="0"/>
              <w:adjustRightInd w:val="0"/>
              <w:rPr>
                <w:rFonts w:ascii="Arial" w:hAnsi="Arial" w:cs="Arial"/>
                <w:b/>
                <w:bCs/>
                <w:lang w:val="es-ES" w:eastAsia="ca-ES"/>
              </w:rPr>
            </w:pPr>
            <w:r w:rsidRPr="00993936">
              <w:rPr>
                <w:rFonts w:ascii="Arial" w:hAnsi="Arial" w:cs="Arial"/>
                <w:b/>
                <w:bCs/>
                <w:lang w:val="es-ES" w:eastAsia="ca-ES"/>
              </w:rPr>
              <w:t xml:space="preserve">Materia activa </w:t>
            </w:r>
          </w:p>
        </w:tc>
        <w:tc>
          <w:tcPr>
            <w:tcW w:w="2500" w:type="pct"/>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Indicación del código de resistencia</w:t>
            </w:r>
          </w:p>
        </w:tc>
      </w:tr>
      <w:tr w:rsidR="00503A41" w:rsidRPr="00993936" w:rsidTr="001D205D">
        <w:trPr>
          <w:trHeight w:val="270"/>
          <w:tblHeader/>
        </w:trPr>
        <w:tc>
          <w:tcPr>
            <w:tcW w:w="2500" w:type="pct"/>
            <w:vMerge/>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p>
        </w:tc>
        <w:tc>
          <w:tcPr>
            <w:tcW w:w="2500" w:type="pct"/>
            <w:shd w:val="solid" w:color="C0C0C0" w:fill="auto"/>
          </w:tcPr>
          <w:p w:rsidR="00503A41" w:rsidRPr="00993936" w:rsidRDefault="00503A41" w:rsidP="0009331F">
            <w:pPr>
              <w:autoSpaceDE w:val="0"/>
              <w:autoSpaceDN w:val="0"/>
              <w:adjustRightInd w:val="0"/>
              <w:jc w:val="center"/>
              <w:rPr>
                <w:rFonts w:ascii="Arial" w:hAnsi="Arial" w:cs="Arial"/>
                <w:b/>
                <w:bCs/>
                <w:lang w:val="es-ES" w:eastAsia="ca-ES"/>
              </w:rPr>
            </w:pPr>
            <w:r w:rsidRPr="00993936">
              <w:rPr>
                <w:rFonts w:ascii="Arial" w:hAnsi="Arial" w:cs="Arial"/>
                <w:b/>
                <w:bCs/>
                <w:lang w:val="es-ES" w:eastAsia="ca-ES"/>
              </w:rPr>
              <w:t>FRAC (*)</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Ametroctatín + Metiram</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45+M3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Amisulbrom</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Azoxistrobín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C3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Benalaxil + Cimoxanilo + Folpet</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4+27+M4</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Benalaxil + Cimoxanilo +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4+27+M3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Benalaxil +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Benalaxil + Oxicloruro de cobre</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4+M1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Benalaxil-M + Folpet</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4+M4</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Benalaxil-M +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Bentiavalicarb isopropil +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40+M3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Boscalid</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7</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Bupirimat</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8</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Carbonato de hidrógeno de potasio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Ciazofamida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Ciflufenamida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C4</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Ciflufenamida + Difenoconazol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C4+3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 + Fosetil-al+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27+33+M3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 +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 + Mancozeb + Oxicloruro de cobre</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27+M3+M1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 + Metiram</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 + Oxicloruro de cobre + Sulfato cuprocálcico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27+M1+M1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 + Sulfato cuprocálcico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27+M1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 + Sulfato tribásico de cobre</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27+M1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Cimoxanilo + Zoxamida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27+22</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lastRenderedPageBreak/>
              <w:t>Ciproconazol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Ciprodinil + Fludioxonil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9+12</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Dietofencarb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B2</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Difenoconazol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Dimetomorf</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40</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Dimetomorf + Ditianona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40+M9</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Dimetomorf +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40+M3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Dimetomorf + Piraclostrobín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40+11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Dimetomorf + Oxicloruro de cobre</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40+M1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Eugenol + Geraniol + Timol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Famoxadona +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C3+M3</w:t>
            </w:r>
          </w:p>
        </w:tc>
      </w:tr>
      <w:tr w:rsidR="00503A41" w:rsidRPr="00993936" w:rsidTr="0009331F">
        <w:trPr>
          <w:trHeight w:val="270"/>
        </w:trPr>
        <w:tc>
          <w:tcPr>
            <w:tcW w:w="5000" w:type="pct"/>
            <w:gridSpan w:val="2"/>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503A41" w:rsidRPr="00993936" w:rsidTr="0009331F">
        <w:trPr>
          <w:trHeight w:val="270"/>
        </w:trPr>
        <w:tc>
          <w:tcPr>
            <w:tcW w:w="5000" w:type="pct"/>
            <w:gridSpan w:val="2"/>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en Fungicidas</w:t>
            </w:r>
          </w:p>
        </w:tc>
      </w:tr>
    </w:tbl>
    <w:p w:rsidR="00503A41" w:rsidRPr="00993936" w:rsidRDefault="00503A41" w:rsidP="0009331F">
      <w:pPr>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2.3.2 (Continuación) Materias activas de fungicidas para la producción integrada de uva por vinificación con indicación del código de resistencia FRAC</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Fenbuconazol</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G1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Fenhexamida</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17</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Fluopicolida + Fosetil-al</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B5+33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Fluopicolida + Propineb</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43+M3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Fluopiram</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C2</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Fluopiram + Tebuconazol</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C2+3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Folpet</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M4</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Folpet + Mandipropamid</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M4+40</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Folpet + Metalaxil-M</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M4+4</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Folpet + Oxicloruro de cobre</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M4+M1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Folpet + Valifenalato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M4+40</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Fosetil-Al</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33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Fosetil-al+ Mancozeb</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33+M3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Fosfonat potásico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Hexaconazol</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Hidróxido cúprico + Oxicloruro de cobre</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M1+M1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Hidróxido cúprico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Iprodiona</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E3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Kresoxim-metil</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11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Laminarín</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P</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Mancozeb</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M3+B1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Mancozeb + Metalaxil</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M3+4</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Mancozeb + Metalaxil-M</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M3+4</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Mancozeb + Metil-tiofanato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Mancozeb + Oxicloruro de cobre</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Mancozeb + Oxicloruro de cobre + Sulfato cuprocálcico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M3+M1+M1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Mancozeb + Sulfato cuprocálcico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Mandipropamida</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40</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Maneb</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Mepanipirim</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9</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Meptildinocap</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29</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Metalaxil</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4</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Metil-tiofanato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Metiram</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Metrafenona</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U8</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Aceite de naranja</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NC</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Oxicloruro de cobre</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Oxicloruro de cobre + Propineb</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M1+M3</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Oxicloruro de cobre + Sulfato cuprocálcico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M1+M1</w:t>
            </w:r>
          </w:p>
        </w:tc>
      </w:tr>
      <w:tr w:rsidR="00503A41" w:rsidRPr="00993936" w:rsidTr="0009331F">
        <w:trPr>
          <w:trHeight w:val="270"/>
        </w:trPr>
        <w:tc>
          <w:tcPr>
            <w:tcW w:w="2500" w:type="pct"/>
            <w:shd w:val="solid" w:color="FFFFFF" w:fill="auto"/>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Óxido cuproso</w:t>
            </w:r>
          </w:p>
        </w:tc>
        <w:tc>
          <w:tcPr>
            <w:tcW w:w="2500" w:type="pct"/>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M1</w:t>
            </w:r>
          </w:p>
        </w:tc>
      </w:tr>
      <w:tr w:rsidR="00503A41" w:rsidRPr="00993936" w:rsidTr="0009331F">
        <w:trPr>
          <w:trHeight w:val="270"/>
        </w:trPr>
        <w:tc>
          <w:tcPr>
            <w:tcW w:w="5000" w:type="pct"/>
            <w:gridSpan w:val="2"/>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503A41" w:rsidRPr="00993936" w:rsidTr="0009331F">
        <w:trPr>
          <w:trHeight w:val="270"/>
        </w:trPr>
        <w:tc>
          <w:tcPr>
            <w:tcW w:w="5000" w:type="pct"/>
            <w:gridSpan w:val="2"/>
            <w:shd w:val="solid" w:color="FFFFFF" w:fill="auto"/>
          </w:tcPr>
          <w:p w:rsidR="00503A41" w:rsidRPr="00993936" w:rsidRDefault="00503A41" w:rsidP="00C04A96">
            <w:pPr>
              <w:pStyle w:val="Sinespaciado"/>
              <w:jc w:val="center"/>
              <w:rPr>
                <w:rFonts w:ascii="Arial" w:hAnsi="Arial" w:cs="Arial"/>
                <w:lang w:val="es-ES" w:eastAsia="ca-ES"/>
              </w:rPr>
            </w:pPr>
            <w:r w:rsidRPr="00993936">
              <w:rPr>
                <w:rFonts w:ascii="Arial" w:hAnsi="Arial" w:cs="Arial"/>
                <w:lang w:val="es-ES" w:eastAsia="ca-ES"/>
              </w:rPr>
              <w:t>(*) Fuente: Comité de Acción de Resistencia en Fungicidas</w:t>
            </w:r>
          </w:p>
        </w:tc>
      </w:tr>
    </w:tbl>
    <w:p w:rsidR="00503A41" w:rsidRPr="00993936" w:rsidRDefault="00503A41" w:rsidP="0009331F">
      <w:pPr>
        <w:jc w:val="both"/>
        <w:rPr>
          <w:rFonts w:ascii="Arial" w:hAnsi="Arial" w:cs="Arial"/>
          <w:lang w:val="es-ES"/>
        </w:rPr>
      </w:pPr>
      <w:r w:rsidRPr="00993936">
        <w:rPr>
          <w:rFonts w:ascii="Arial" w:hAnsi="Arial" w:cs="Arial"/>
          <w:lang w:val="es-ES"/>
        </w:rPr>
        <w:br w:type="page"/>
      </w:r>
      <w:r w:rsidRPr="00993936">
        <w:rPr>
          <w:rFonts w:ascii="Arial" w:hAnsi="Arial" w:cs="Arial"/>
          <w:b/>
          <w:lang w:val="es-ES"/>
        </w:rPr>
        <w:lastRenderedPageBreak/>
        <w:t>2.3.2 (Continuación) Materias activas de fungicidas para la producción integrada de uva por vinificación con indicación del código de resistencia FRAC</w:t>
      </w:r>
    </w:p>
    <w:p w:rsidR="00503A41" w:rsidRPr="00993936" w:rsidRDefault="00503A41" w:rsidP="0009331F">
      <w:pPr>
        <w:rPr>
          <w:rFonts w:ascii="Arial" w:hAnsi="Arial"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Penconazol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Piraclostrobín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11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Pirimetanil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9</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Propiconazol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Proquinazid</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13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Quinoxifèn</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13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Azufre</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M2</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Azufre + Bacillus thuringiensis kurstaki</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M2+11A</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Azufre + Ciproconazol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M2+3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Azufre + Miclobutanil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M2+3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Sulfato cuprocálcico</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M1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Sulfato tribásico de cobre</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M1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Tebuconazol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Tebuconazol + Spiroxamina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3+5</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Tebuconazol + Trifloxistrobina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3+11</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Tetraconazol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Tiram</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M3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Triadimenol</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Trifloxistrobina</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C3</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Zoxamida + Dimetomorf</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22+40</w:t>
            </w:r>
          </w:p>
        </w:tc>
      </w:tr>
      <w:tr w:rsidR="00503A41" w:rsidRPr="00993936" w:rsidTr="0009331F">
        <w:trPr>
          <w:trHeight w:val="270"/>
        </w:trPr>
        <w:tc>
          <w:tcPr>
            <w:tcW w:w="2500" w:type="pct"/>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Zoxamida + Mancozeb</w:t>
            </w:r>
          </w:p>
        </w:tc>
        <w:tc>
          <w:tcPr>
            <w:tcW w:w="2500" w:type="pct"/>
            <w:shd w:val="solid" w:color="FFFFFF" w:fill="auto"/>
          </w:tcPr>
          <w:p w:rsidR="00503A41" w:rsidRPr="00993936" w:rsidRDefault="00503A41" w:rsidP="0009331F">
            <w:pPr>
              <w:autoSpaceDE w:val="0"/>
              <w:autoSpaceDN w:val="0"/>
              <w:adjustRightInd w:val="0"/>
              <w:jc w:val="center"/>
              <w:rPr>
                <w:rFonts w:ascii="Arial" w:hAnsi="Arial" w:cs="Arial"/>
                <w:lang w:val="es-ES" w:eastAsia="ca-ES"/>
              </w:rPr>
            </w:pPr>
            <w:r w:rsidRPr="00993936">
              <w:rPr>
                <w:rFonts w:ascii="Arial" w:hAnsi="Arial" w:cs="Arial"/>
                <w:lang w:val="es-ES" w:eastAsia="ca-ES"/>
              </w:rPr>
              <w:t>22+M3</w:t>
            </w:r>
          </w:p>
        </w:tc>
      </w:tr>
      <w:tr w:rsidR="00503A41" w:rsidRPr="00993936" w:rsidTr="0009331F">
        <w:trPr>
          <w:trHeight w:val="270"/>
        </w:trPr>
        <w:tc>
          <w:tcPr>
            <w:tcW w:w="5000" w:type="pct"/>
            <w:gridSpan w:val="2"/>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Para evitar la aparición de resistencias alternar el uso de materias activas que presenten códigos de resistencia (FRAC) diferentes</w:t>
            </w:r>
          </w:p>
        </w:tc>
      </w:tr>
      <w:tr w:rsidR="00503A41" w:rsidRPr="00993936" w:rsidTr="0009331F">
        <w:trPr>
          <w:trHeight w:val="270"/>
        </w:trPr>
        <w:tc>
          <w:tcPr>
            <w:tcW w:w="5000" w:type="pct"/>
            <w:gridSpan w:val="2"/>
            <w:shd w:val="solid" w:color="FFFFFF" w:fill="auto"/>
          </w:tcPr>
          <w:p w:rsidR="00503A41" w:rsidRPr="00993936" w:rsidRDefault="00503A41" w:rsidP="0009331F">
            <w:pPr>
              <w:autoSpaceDE w:val="0"/>
              <w:autoSpaceDN w:val="0"/>
              <w:adjustRightInd w:val="0"/>
              <w:rPr>
                <w:rFonts w:ascii="Arial" w:hAnsi="Arial" w:cs="Arial"/>
                <w:lang w:val="es-ES" w:eastAsia="ca-ES"/>
              </w:rPr>
            </w:pPr>
            <w:r w:rsidRPr="00993936">
              <w:rPr>
                <w:rFonts w:ascii="Arial" w:hAnsi="Arial" w:cs="Arial"/>
                <w:lang w:val="es-ES" w:eastAsia="ca-ES"/>
              </w:rPr>
              <w:t>(*) Fuente: Comité de Acción de Resistencia en Fungicidas</w:t>
            </w:r>
          </w:p>
        </w:tc>
      </w:tr>
    </w:tbl>
    <w:p w:rsidR="00503A41" w:rsidRPr="00993936" w:rsidRDefault="00503A41" w:rsidP="0009331F">
      <w:pPr>
        <w:rPr>
          <w:rFonts w:ascii="Arial" w:hAnsi="Arial" w:cs="Arial"/>
          <w:lang w:val="es-ES"/>
        </w:rPr>
      </w:pPr>
    </w:p>
    <w:p w:rsidR="00503A41" w:rsidRPr="00993936" w:rsidRDefault="00503A41" w:rsidP="0009331F">
      <w:pPr>
        <w:rPr>
          <w:rFonts w:ascii="Arial" w:hAnsi="Arial" w:cs="Arial"/>
          <w:lang w:val="es-ES"/>
        </w:rPr>
      </w:pPr>
    </w:p>
    <w:p w:rsidR="00503A41" w:rsidRPr="00993936" w:rsidRDefault="00503A41" w:rsidP="0009331F">
      <w:pPr>
        <w:pStyle w:val="Textoindependiente"/>
        <w:rPr>
          <w:rFonts w:cs="Arial"/>
          <w:b/>
          <w:szCs w:val="22"/>
          <w:lang w:val="es-ES"/>
        </w:rPr>
      </w:pPr>
      <w:r w:rsidRPr="00993936">
        <w:rPr>
          <w:rFonts w:cs="Arial"/>
          <w:b/>
          <w:szCs w:val="22"/>
          <w:lang w:val="es-ES"/>
        </w:rPr>
        <w:br w:type="page"/>
      </w:r>
    </w:p>
    <w:p w:rsidR="00503A41" w:rsidRPr="00993936" w:rsidRDefault="00503A41" w:rsidP="0009331F">
      <w:pPr>
        <w:pStyle w:val="Textoindependiente"/>
        <w:rPr>
          <w:rFonts w:cs="Arial"/>
          <w:b/>
          <w:szCs w:val="22"/>
          <w:lang w:val="es-ES"/>
        </w:rPr>
      </w:pPr>
      <w:r w:rsidRPr="00993936">
        <w:rPr>
          <w:rFonts w:cs="Arial"/>
          <w:b/>
          <w:szCs w:val="22"/>
          <w:lang w:val="es-ES"/>
        </w:rPr>
        <w:lastRenderedPageBreak/>
        <w:t>ANEXO 3</w:t>
      </w:r>
    </w:p>
    <w:p w:rsidR="00503A41" w:rsidRPr="00993936" w:rsidRDefault="00503A41" w:rsidP="0009331F">
      <w:pPr>
        <w:rPr>
          <w:rFonts w:ascii="Arial" w:hAnsi="Arial" w:cs="Arial"/>
          <w:lang w:val="es-ES"/>
        </w:rPr>
      </w:pPr>
    </w:p>
    <w:p w:rsidR="00503A41" w:rsidRPr="00993936" w:rsidRDefault="00503A41" w:rsidP="0009331F">
      <w:pPr>
        <w:pStyle w:val="Textoindependiente3"/>
        <w:outlineLvl w:val="0"/>
        <w:rPr>
          <w:rFonts w:cs="Arial"/>
          <w:b w:val="0"/>
          <w:szCs w:val="22"/>
          <w:lang w:val="es-ES"/>
        </w:rPr>
      </w:pPr>
      <w:r w:rsidRPr="00993936">
        <w:rPr>
          <w:rFonts w:cs="Arial"/>
          <w:b w:val="0"/>
          <w:szCs w:val="22"/>
          <w:lang w:val="es-ES"/>
        </w:rPr>
        <w:t>Condiciones de trabajo recomendables para realizar los tratamiento fitosanitarios</w:t>
      </w: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r w:rsidRPr="00993936">
        <w:rPr>
          <w:rFonts w:ascii="Arial" w:hAnsi="Arial" w:cs="Arial"/>
          <w:snapToGrid w:val="0"/>
          <w:lang w:val="es-ES"/>
        </w:rPr>
        <w:t>En los cuadros 3.1 y 3.2 se incluyen las recomendaciones generales de regulación de los equipos y en el 3.3, las condiciones ambientales recomendables para realizar los tratamientos.</w:t>
      </w: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cs="Arial"/>
          <w:b/>
          <w:snapToGrid w:val="0"/>
          <w:lang w:val="es-ES"/>
        </w:rPr>
      </w:pP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cs="Arial"/>
          <w:snapToGrid w:val="0"/>
          <w:lang w:val="es-ES"/>
        </w:rPr>
      </w:pPr>
      <w:r w:rsidRPr="00993936">
        <w:rPr>
          <w:rFonts w:ascii="Arial" w:hAnsi="Arial" w:cs="Arial"/>
          <w:b/>
          <w:snapToGrid w:val="0"/>
          <w:lang w:val="es-ES"/>
        </w:rPr>
        <w:t>3.1 Recomendaciones generales de los equipos hidroneumáticos en ventilador axial.</w:t>
      </w: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tbl>
      <w:tblPr>
        <w:tblW w:w="5000" w:type="pct"/>
        <w:jc w:val="center"/>
        <w:tblBorders>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419"/>
        <w:gridCol w:w="4169"/>
      </w:tblGrid>
      <w:tr w:rsidR="00503A41" w:rsidRPr="00993936" w:rsidTr="0009331F">
        <w:trPr>
          <w:jc w:val="center"/>
        </w:trPr>
        <w:tc>
          <w:tcPr>
            <w:tcW w:w="2573" w:type="pct"/>
            <w:tcBorders>
              <w:bottom w:val="nil"/>
            </w:tcBorders>
          </w:tcPr>
          <w:p w:rsidR="00503A41" w:rsidRPr="00993936" w:rsidRDefault="00503A41" w:rsidP="0009331F">
            <w:pPr>
              <w:widowControl w:val="0"/>
              <w:rPr>
                <w:rFonts w:ascii="Arial" w:hAnsi="Arial" w:cs="Arial"/>
                <w:snapToGrid w:val="0"/>
                <w:lang w:val="es-ES"/>
              </w:rPr>
            </w:pPr>
          </w:p>
        </w:tc>
        <w:tc>
          <w:tcPr>
            <w:tcW w:w="2427" w:type="pct"/>
            <w:tcBorders>
              <w:top w:val="single" w:sz="4" w:space="0" w:color="auto"/>
            </w:tcBorders>
            <w:shd w:val="pct30" w:color="auto" w:fill="FFFFFF"/>
          </w:tcPr>
          <w:p w:rsidR="00503A41" w:rsidRPr="00993936" w:rsidRDefault="00503A41" w:rsidP="0009331F">
            <w:pPr>
              <w:pStyle w:val="Ttulo6"/>
              <w:rPr>
                <w:rFonts w:ascii="Arial" w:hAnsi="Arial" w:cs="Arial"/>
                <w:color w:val="auto"/>
                <w:lang w:val="es-ES"/>
              </w:rPr>
            </w:pPr>
            <w:r w:rsidRPr="00993936">
              <w:rPr>
                <w:rFonts w:ascii="Arial" w:hAnsi="Arial" w:cs="Arial"/>
                <w:color w:val="auto"/>
                <w:lang w:val="es-ES"/>
              </w:rPr>
              <w:t>Tratamientos de primavera-verano</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Estadio vegetativo</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Brotación – Plena vegetación</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Presión (bar)</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5 – 15 bar</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Velocidad de trabajo (km/h)</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4 – 6 km/h</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Volumen medio (l/ha)</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200 – 800 l/ha</w:t>
            </w:r>
          </w:p>
        </w:tc>
      </w:tr>
    </w:tbl>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cs="Arial"/>
          <w:b/>
          <w:snapToGrid w:val="0"/>
          <w:lang w:val="es-ES"/>
        </w:rPr>
      </w:pPr>
      <w:r w:rsidRPr="00993936">
        <w:rPr>
          <w:rFonts w:ascii="Arial" w:hAnsi="Arial" w:cs="Arial"/>
          <w:b/>
          <w:snapToGrid w:val="0"/>
          <w:lang w:val="es-ES"/>
        </w:rPr>
        <w:t>3.2 Recomendaciones generales para los equipos hidráulicos de herbicidas.</w:t>
      </w:r>
    </w:p>
    <w:tbl>
      <w:tblPr>
        <w:tblW w:w="5000" w:type="pct"/>
        <w:jc w:val="center"/>
        <w:tblBorders>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419"/>
        <w:gridCol w:w="4169"/>
      </w:tblGrid>
      <w:tr w:rsidR="00503A41" w:rsidRPr="00993936" w:rsidTr="0009331F">
        <w:trPr>
          <w:jc w:val="center"/>
        </w:trPr>
        <w:tc>
          <w:tcPr>
            <w:tcW w:w="2573" w:type="pct"/>
            <w:tcBorders>
              <w:bottom w:val="nil"/>
            </w:tcBorders>
          </w:tcPr>
          <w:p w:rsidR="00503A41" w:rsidRPr="00993936" w:rsidRDefault="00503A41" w:rsidP="0009331F">
            <w:pPr>
              <w:widowControl w:val="0"/>
              <w:rPr>
                <w:rFonts w:ascii="Arial" w:hAnsi="Arial" w:cs="Arial"/>
                <w:snapToGrid w:val="0"/>
                <w:lang w:val="es-ES"/>
              </w:rPr>
            </w:pPr>
          </w:p>
        </w:tc>
        <w:tc>
          <w:tcPr>
            <w:tcW w:w="2427" w:type="pct"/>
            <w:tcBorders>
              <w:top w:val="single" w:sz="4" w:space="0" w:color="auto"/>
            </w:tcBorders>
            <w:shd w:val="pct30" w:color="auto" w:fill="FFFFFF"/>
          </w:tcPr>
          <w:p w:rsidR="00503A41" w:rsidRPr="00993936" w:rsidRDefault="00503A41" w:rsidP="0009331F">
            <w:pPr>
              <w:pStyle w:val="Ttulo6"/>
              <w:rPr>
                <w:rFonts w:ascii="Arial" w:hAnsi="Arial" w:cs="Arial"/>
                <w:color w:val="auto"/>
                <w:lang w:val="es-ES"/>
              </w:rPr>
            </w:pPr>
            <w:r w:rsidRPr="00993936">
              <w:rPr>
                <w:rFonts w:ascii="Arial" w:hAnsi="Arial" w:cs="Arial"/>
                <w:color w:val="auto"/>
                <w:lang w:val="es-ES"/>
              </w:rPr>
              <w:t>Condiciones de trabajo</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Estadio vegetativo</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Pre y postemergencia</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Boquillas</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Abanico o de espejo</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Presión (bar)</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1,5 a 5</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Velocidad de trabajo (km/h)</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3 –4</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Volumen medio (l/ha)</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300</w:t>
            </w:r>
          </w:p>
        </w:tc>
      </w:tr>
      <w:tr w:rsidR="00503A41" w:rsidRPr="00993936" w:rsidTr="0009331F">
        <w:trPr>
          <w:jc w:val="center"/>
        </w:trPr>
        <w:tc>
          <w:tcPr>
            <w:tcW w:w="2573" w:type="pct"/>
            <w:tcBorders>
              <w:top w:val="single" w:sz="4" w:space="0" w:color="auto"/>
              <w:left w:val="single" w:sz="4" w:space="0" w:color="auto"/>
            </w:tcBorders>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Altura de trabajo</w:t>
            </w:r>
          </w:p>
        </w:tc>
        <w:tc>
          <w:tcPr>
            <w:tcW w:w="242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&lt; 20 cm</w:t>
            </w:r>
          </w:p>
        </w:tc>
      </w:tr>
    </w:tbl>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Arial" w:hAnsi="Arial" w:cs="Arial"/>
          <w:b/>
          <w:snapToGrid w:val="0"/>
          <w:lang w:val="es-ES"/>
        </w:rPr>
      </w:pPr>
      <w:r w:rsidRPr="00993936">
        <w:rPr>
          <w:rFonts w:ascii="Arial" w:hAnsi="Arial" w:cs="Arial"/>
          <w:b/>
          <w:snapToGrid w:val="0"/>
          <w:lang w:val="es-ES"/>
        </w:rPr>
        <w:t>3.3 Condiciones ambientales para la realización de los tratamientos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4351"/>
        <w:gridCol w:w="4237"/>
      </w:tblGrid>
      <w:tr w:rsidR="00503A41" w:rsidRPr="00993936" w:rsidTr="0009331F">
        <w:trPr>
          <w:jc w:val="center"/>
        </w:trPr>
        <w:tc>
          <w:tcPr>
            <w:tcW w:w="2533" w:type="pct"/>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Temperatura</w:t>
            </w:r>
          </w:p>
        </w:tc>
        <w:tc>
          <w:tcPr>
            <w:tcW w:w="246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&lt; 25ºC</w:t>
            </w:r>
          </w:p>
        </w:tc>
      </w:tr>
      <w:tr w:rsidR="00503A41" w:rsidRPr="00993936" w:rsidTr="0009331F">
        <w:trPr>
          <w:jc w:val="center"/>
        </w:trPr>
        <w:tc>
          <w:tcPr>
            <w:tcW w:w="2533" w:type="pct"/>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Viento</w:t>
            </w:r>
          </w:p>
        </w:tc>
        <w:tc>
          <w:tcPr>
            <w:tcW w:w="246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&lt; 10,8 km/h a 2 m de altura</w:t>
            </w:r>
          </w:p>
        </w:tc>
      </w:tr>
      <w:tr w:rsidR="00503A41" w:rsidRPr="00993936" w:rsidTr="0009331F">
        <w:trPr>
          <w:jc w:val="center"/>
        </w:trPr>
        <w:tc>
          <w:tcPr>
            <w:tcW w:w="2533" w:type="pct"/>
          </w:tcPr>
          <w:p w:rsidR="00503A41" w:rsidRPr="00993936" w:rsidRDefault="00503A41" w:rsidP="0009331F">
            <w:pPr>
              <w:widowControl w:val="0"/>
              <w:rPr>
                <w:rFonts w:ascii="Arial" w:hAnsi="Arial" w:cs="Arial"/>
                <w:snapToGrid w:val="0"/>
                <w:lang w:val="es-ES"/>
              </w:rPr>
            </w:pPr>
            <w:r w:rsidRPr="00993936">
              <w:rPr>
                <w:rFonts w:ascii="Arial" w:hAnsi="Arial" w:cs="Arial"/>
                <w:snapToGrid w:val="0"/>
                <w:lang w:val="es-ES"/>
              </w:rPr>
              <w:t>Humedad relativa</w:t>
            </w:r>
          </w:p>
        </w:tc>
        <w:tc>
          <w:tcPr>
            <w:tcW w:w="2467" w:type="pct"/>
          </w:tcPr>
          <w:p w:rsidR="00503A41" w:rsidRPr="00993936" w:rsidRDefault="00503A41" w:rsidP="0009331F">
            <w:pPr>
              <w:widowControl w:val="0"/>
              <w:jc w:val="center"/>
              <w:rPr>
                <w:rFonts w:ascii="Arial" w:hAnsi="Arial" w:cs="Arial"/>
                <w:snapToGrid w:val="0"/>
                <w:lang w:val="es-ES"/>
              </w:rPr>
            </w:pPr>
            <w:r w:rsidRPr="00993936">
              <w:rPr>
                <w:rFonts w:ascii="Arial" w:hAnsi="Arial" w:cs="Arial"/>
                <w:snapToGrid w:val="0"/>
                <w:lang w:val="es-ES"/>
              </w:rPr>
              <w:t>&gt; 50%</w:t>
            </w:r>
          </w:p>
        </w:tc>
      </w:tr>
    </w:tbl>
    <w:p w:rsidR="00503A41" w:rsidRPr="00993936" w:rsidRDefault="00503A41" w:rsidP="0009331F">
      <w:pPr>
        <w:pStyle w:val="Ttulo1"/>
        <w:rPr>
          <w:rFonts w:ascii="Arial" w:hAnsi="Arial" w:cs="Arial"/>
          <w:b/>
          <w:color w:val="auto"/>
          <w:szCs w:val="22"/>
        </w:rPr>
      </w:pPr>
    </w:p>
    <w:p w:rsidR="00503A41" w:rsidRPr="00993936" w:rsidRDefault="00503A41" w:rsidP="0009331F">
      <w:pPr>
        <w:rPr>
          <w:rFonts w:ascii="Arial" w:hAnsi="Arial" w:cs="Arial"/>
          <w:lang w:val="es-ES"/>
        </w:rPr>
      </w:pPr>
      <w:r w:rsidRPr="00993936">
        <w:rPr>
          <w:rFonts w:ascii="Arial" w:hAnsi="Arial" w:cs="Arial"/>
          <w:lang w:val="es-ES"/>
        </w:rPr>
        <w:t>El volumen de caldo recomendado se adaptará a las recomendaciones específicas de cada producto y formulación.</w:t>
      </w:r>
    </w:p>
    <w:p w:rsidR="00503A41" w:rsidRPr="00993936" w:rsidRDefault="00503A41" w:rsidP="0009331F">
      <w:pPr>
        <w:rPr>
          <w:rFonts w:ascii="Arial" w:hAnsi="Arial" w:cs="Arial"/>
          <w:lang w:val="es-ES"/>
        </w:rPr>
      </w:pPr>
    </w:p>
    <w:p w:rsidR="00503A41" w:rsidRPr="00993936" w:rsidRDefault="00503A41" w:rsidP="0009331F">
      <w:pPr>
        <w:pStyle w:val="Ttulo1"/>
        <w:rPr>
          <w:rFonts w:ascii="Arial" w:hAnsi="Arial" w:cs="Arial"/>
          <w:color w:val="auto"/>
          <w:szCs w:val="22"/>
        </w:rPr>
      </w:pPr>
      <w:r w:rsidRPr="00993936">
        <w:rPr>
          <w:rFonts w:ascii="Arial" w:hAnsi="Arial" w:cs="Arial"/>
          <w:color w:val="auto"/>
          <w:szCs w:val="22"/>
        </w:rPr>
        <w:br w:type="page"/>
      </w:r>
      <w:r w:rsidRPr="00993936">
        <w:rPr>
          <w:rFonts w:ascii="Arial" w:hAnsi="Arial" w:cs="Arial"/>
          <w:color w:val="auto"/>
          <w:szCs w:val="22"/>
        </w:rPr>
        <w:lastRenderedPageBreak/>
        <w:t>ANEXO 4</w:t>
      </w:r>
    </w:p>
    <w:p w:rsidR="00503A41" w:rsidRPr="00993936" w:rsidRDefault="00503A41" w:rsidP="0009331F">
      <w:pPr>
        <w:rPr>
          <w:rFonts w:ascii="Arial" w:hAnsi="Arial" w:cs="Arial"/>
          <w:lang w:val="es-ES"/>
        </w:rPr>
      </w:pPr>
    </w:p>
    <w:p w:rsidR="00503A41" w:rsidRPr="00993936" w:rsidRDefault="00503A41" w:rsidP="0009331F">
      <w:pPr>
        <w:jc w:val="both"/>
        <w:rPr>
          <w:rFonts w:ascii="Arial" w:hAnsi="Arial" w:cs="Arial"/>
          <w:snapToGrid w:val="0"/>
          <w:lang w:val="es-ES"/>
        </w:rPr>
      </w:pPr>
      <w:r w:rsidRPr="00993936">
        <w:rPr>
          <w:rFonts w:ascii="Arial" w:hAnsi="Arial" w:cs="Arial"/>
          <w:lang w:val="es-ES"/>
        </w:rPr>
        <w:t xml:space="preserve">Los materiales con valor fertilizante aportados en el suelo no deben contener metales pesados en valores superiores a los </w:t>
      </w:r>
      <w:r w:rsidRPr="00993936">
        <w:rPr>
          <w:rFonts w:ascii="Arial" w:hAnsi="Arial" w:cs="Arial"/>
          <w:snapToGrid w:val="0"/>
          <w:lang w:val="es-ES"/>
        </w:rPr>
        <w:t>siguientes:</w:t>
      </w:r>
    </w:p>
    <w:p w:rsidR="00503A41" w:rsidRPr="00993936" w:rsidRDefault="00503A41" w:rsidP="0009331F">
      <w:pPr>
        <w:jc w:val="both"/>
        <w:rPr>
          <w:rFonts w:ascii="Arial" w:hAnsi="Arial" w:cs="Arial"/>
          <w:snapToGrid w:val="0"/>
          <w:lang w:val="es-ES"/>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503A41" w:rsidRPr="00993936" w:rsidTr="001D205D">
        <w:trPr>
          <w:trHeight w:val="400"/>
          <w:jc w:val="center"/>
        </w:trPr>
        <w:tc>
          <w:tcPr>
            <w:tcW w:w="4548" w:type="dxa"/>
            <w:shd w:val="clear" w:color="auto" w:fill="D9D9D9" w:themeFill="background1" w:themeFillShade="D9"/>
            <w:vAlign w:val="center"/>
          </w:tcPr>
          <w:p w:rsidR="00503A41" w:rsidRPr="00993936" w:rsidRDefault="00503A41" w:rsidP="001D205D">
            <w:pPr>
              <w:widowControl w:val="0"/>
              <w:jc w:val="center"/>
              <w:rPr>
                <w:rFonts w:ascii="Arial" w:hAnsi="Arial" w:cs="Arial"/>
                <w:snapToGrid w:val="0"/>
                <w:lang w:val="es-ES"/>
              </w:rPr>
            </w:pPr>
            <w:r w:rsidRPr="00993936">
              <w:rPr>
                <w:rFonts w:ascii="Arial" w:hAnsi="Arial" w:cs="Arial"/>
                <w:b/>
                <w:snapToGrid w:val="0"/>
                <w:lang w:val="es-ES"/>
              </w:rPr>
              <w:t>Metal Pesado</w:t>
            </w:r>
          </w:p>
        </w:tc>
        <w:tc>
          <w:tcPr>
            <w:tcW w:w="4464" w:type="dxa"/>
            <w:shd w:val="clear" w:color="auto" w:fill="D9D9D9" w:themeFill="background1" w:themeFillShade="D9"/>
            <w:vAlign w:val="center"/>
          </w:tcPr>
          <w:p w:rsidR="00503A41" w:rsidRPr="00993936" w:rsidRDefault="00503A41" w:rsidP="001D205D">
            <w:pPr>
              <w:widowControl w:val="0"/>
              <w:jc w:val="center"/>
              <w:rPr>
                <w:rFonts w:ascii="Arial" w:hAnsi="Arial" w:cs="Arial"/>
                <w:snapToGrid w:val="0"/>
                <w:lang w:val="es-ES"/>
              </w:rPr>
            </w:pPr>
            <w:r w:rsidRPr="00993936">
              <w:rPr>
                <w:rFonts w:ascii="Arial" w:hAnsi="Arial" w:cs="Arial"/>
                <w:b/>
                <w:snapToGrid w:val="0"/>
                <w:lang w:val="es-ES"/>
              </w:rPr>
              <w:t xml:space="preserve">Valores </w:t>
            </w:r>
          </w:p>
        </w:tc>
      </w:tr>
      <w:tr w:rsidR="00503A41" w:rsidRPr="00993936" w:rsidTr="001D205D">
        <w:trPr>
          <w:trHeight w:val="400"/>
          <w:jc w:val="center"/>
        </w:trPr>
        <w:tc>
          <w:tcPr>
            <w:tcW w:w="4548" w:type="dxa"/>
            <w:vAlign w:val="center"/>
          </w:tcPr>
          <w:p w:rsidR="00503A41" w:rsidRPr="00993936" w:rsidRDefault="00503A41" w:rsidP="001D205D">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 xml:space="preserve">   Cadmio</w:t>
            </w:r>
          </w:p>
        </w:tc>
        <w:tc>
          <w:tcPr>
            <w:tcW w:w="4464"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3 mg/kg de materia seca</w:t>
            </w:r>
          </w:p>
        </w:tc>
      </w:tr>
      <w:tr w:rsidR="00503A41" w:rsidRPr="00993936" w:rsidTr="001D205D">
        <w:trPr>
          <w:trHeight w:val="400"/>
          <w:jc w:val="center"/>
        </w:trPr>
        <w:tc>
          <w:tcPr>
            <w:tcW w:w="4548"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Cobre</w:t>
            </w:r>
          </w:p>
        </w:tc>
        <w:tc>
          <w:tcPr>
            <w:tcW w:w="4464"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400 mg/kg de materia seca</w:t>
            </w:r>
          </w:p>
        </w:tc>
      </w:tr>
      <w:tr w:rsidR="00503A41" w:rsidRPr="00993936" w:rsidTr="001D205D">
        <w:trPr>
          <w:trHeight w:val="400"/>
          <w:jc w:val="center"/>
        </w:trPr>
        <w:tc>
          <w:tcPr>
            <w:tcW w:w="4548"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Níquel </w:t>
            </w:r>
          </w:p>
        </w:tc>
        <w:tc>
          <w:tcPr>
            <w:tcW w:w="4464"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100 mg/kg de materia seca</w:t>
            </w:r>
          </w:p>
        </w:tc>
      </w:tr>
      <w:tr w:rsidR="00503A41" w:rsidRPr="00993936" w:rsidTr="001D205D">
        <w:trPr>
          <w:trHeight w:val="400"/>
          <w:jc w:val="center"/>
        </w:trPr>
        <w:tc>
          <w:tcPr>
            <w:tcW w:w="4548"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Plomo</w:t>
            </w:r>
          </w:p>
        </w:tc>
        <w:tc>
          <w:tcPr>
            <w:tcW w:w="4464"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200 mg/kg de materia seca</w:t>
            </w:r>
          </w:p>
        </w:tc>
      </w:tr>
      <w:tr w:rsidR="00503A41" w:rsidRPr="00993936" w:rsidTr="001D205D">
        <w:trPr>
          <w:trHeight w:val="400"/>
          <w:jc w:val="center"/>
        </w:trPr>
        <w:tc>
          <w:tcPr>
            <w:tcW w:w="4548"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Cinc  </w:t>
            </w:r>
          </w:p>
        </w:tc>
        <w:tc>
          <w:tcPr>
            <w:tcW w:w="4464"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1.000 mg/kg de materia seca</w:t>
            </w:r>
          </w:p>
        </w:tc>
      </w:tr>
      <w:tr w:rsidR="00503A41" w:rsidRPr="00993936" w:rsidTr="001D205D">
        <w:trPr>
          <w:trHeight w:val="400"/>
          <w:jc w:val="center"/>
        </w:trPr>
        <w:tc>
          <w:tcPr>
            <w:tcW w:w="4548"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Mercurio</w:t>
            </w:r>
          </w:p>
        </w:tc>
        <w:tc>
          <w:tcPr>
            <w:tcW w:w="4464"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2,5 mg/kg de materia seca</w:t>
            </w:r>
          </w:p>
        </w:tc>
      </w:tr>
      <w:tr w:rsidR="00503A41" w:rsidRPr="00993936" w:rsidTr="001D205D">
        <w:trPr>
          <w:trHeight w:val="400"/>
          <w:jc w:val="center"/>
        </w:trPr>
        <w:tc>
          <w:tcPr>
            <w:tcW w:w="4548"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Cromo    </w:t>
            </w:r>
          </w:p>
        </w:tc>
        <w:tc>
          <w:tcPr>
            <w:tcW w:w="4464" w:type="dxa"/>
            <w:vAlign w:val="center"/>
          </w:tcPr>
          <w:p w:rsidR="00503A41" w:rsidRPr="00993936" w:rsidRDefault="00503A41" w:rsidP="001D205D">
            <w:pPr>
              <w:widowControl w:val="0"/>
              <w:rPr>
                <w:rFonts w:ascii="Arial" w:hAnsi="Arial" w:cs="Arial"/>
                <w:snapToGrid w:val="0"/>
                <w:lang w:val="es-ES"/>
              </w:rPr>
            </w:pPr>
            <w:r w:rsidRPr="00993936">
              <w:rPr>
                <w:rFonts w:ascii="Arial" w:hAnsi="Arial" w:cs="Arial"/>
                <w:snapToGrid w:val="0"/>
                <w:lang w:val="es-ES"/>
              </w:rPr>
              <w:t xml:space="preserve">  300 mg/kg de materia seca</w:t>
            </w:r>
          </w:p>
        </w:tc>
      </w:tr>
    </w:tbl>
    <w:p w:rsidR="00503A41" w:rsidRPr="00993936" w:rsidRDefault="00503A41" w:rsidP="0009331F">
      <w:pPr>
        <w:pStyle w:val="Encabezado"/>
        <w:tabs>
          <w:tab w:val="clear" w:pos="4252"/>
          <w:tab w:val="clear" w:pos="8504"/>
        </w:tabs>
        <w:rPr>
          <w:rFonts w:ascii="Arial" w:hAnsi="Arial" w:cs="Arial"/>
          <w:lang w:val="es-ES"/>
        </w:rPr>
      </w:pPr>
      <w:r w:rsidRPr="00993936">
        <w:rPr>
          <w:rFonts w:ascii="Arial" w:hAnsi="Arial" w:cs="Arial"/>
          <w:lang w:val="es-ES"/>
        </w:rPr>
        <w:t>mg/kg: miligramo por kilo</w:t>
      </w:r>
    </w:p>
    <w:p w:rsidR="00503A41" w:rsidRPr="00993936" w:rsidRDefault="00503A41" w:rsidP="0009331F">
      <w:pPr>
        <w:pStyle w:val="Ttulo3"/>
        <w:rPr>
          <w:rFonts w:ascii="Arial" w:hAnsi="Arial" w:cs="Arial"/>
          <w:color w:val="auto"/>
          <w:szCs w:val="22"/>
          <w:lang w:val="es-ES"/>
        </w:rPr>
      </w:pPr>
    </w:p>
    <w:p w:rsidR="00503A41" w:rsidRPr="00993936" w:rsidRDefault="00503A41" w:rsidP="0009331F">
      <w:pPr>
        <w:pStyle w:val="Ttulo1"/>
        <w:rPr>
          <w:rFonts w:ascii="Arial" w:hAnsi="Arial" w:cs="Arial"/>
          <w:color w:val="auto"/>
          <w:szCs w:val="22"/>
        </w:rPr>
      </w:pPr>
      <w:r w:rsidRPr="00993936">
        <w:rPr>
          <w:rFonts w:ascii="Arial" w:hAnsi="Arial" w:cs="Arial"/>
          <w:color w:val="auto"/>
          <w:szCs w:val="22"/>
        </w:rPr>
        <w:t>ANEXO 5</w:t>
      </w:r>
    </w:p>
    <w:p w:rsidR="00503A41" w:rsidRPr="00993936" w:rsidRDefault="00503A41" w:rsidP="0009331F">
      <w:pPr>
        <w:rPr>
          <w:rFonts w:ascii="Arial" w:hAnsi="Arial" w:cs="Arial"/>
          <w:lang w:val="es-ES"/>
        </w:rPr>
      </w:pPr>
    </w:p>
    <w:p w:rsidR="00503A41" w:rsidRPr="00993936" w:rsidRDefault="00503A41" w:rsidP="0009331F">
      <w:pPr>
        <w:pStyle w:val="Textoindependiente"/>
        <w:rPr>
          <w:rFonts w:cs="Arial"/>
          <w:b/>
          <w:szCs w:val="22"/>
          <w:lang w:val="es-ES"/>
        </w:rPr>
      </w:pPr>
      <w:r w:rsidRPr="00993936">
        <w:rPr>
          <w:rFonts w:cs="Arial"/>
          <w:b/>
          <w:szCs w:val="22"/>
          <w:lang w:val="es-ES"/>
        </w:rPr>
        <w:t>Criterios para la toma de decisiones de los tratamientos contra plagas y enfermedades de la Uva para vinificación.</w:t>
      </w: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Arial" w:hAnsi="Arial" w:cs="Arial"/>
          <w:b/>
          <w:snapToGrid w:val="0"/>
          <w:lang w:val="es-ES"/>
        </w:rPr>
      </w:pPr>
      <w:r w:rsidRPr="00993936">
        <w:rPr>
          <w:rFonts w:ascii="Arial" w:hAnsi="Arial" w:cs="Arial"/>
          <w:b/>
          <w:snapToGrid w:val="0"/>
          <w:lang w:val="es-ES"/>
        </w:rPr>
        <w:t>5.1.- PLAGAS</w:t>
      </w:r>
    </w:p>
    <w:p w:rsidR="00503A41" w:rsidRPr="00993936" w:rsidRDefault="00503A41" w:rsidP="0009331F">
      <w:pPr>
        <w:pStyle w:val="Textoindependiente"/>
        <w:spacing w:before="120"/>
        <w:outlineLvl w:val="0"/>
        <w:rPr>
          <w:rFonts w:cs="Arial"/>
          <w:i/>
          <w:szCs w:val="22"/>
          <w:lang w:val="es-ES"/>
        </w:rPr>
      </w:pPr>
      <w:r w:rsidRPr="00993936">
        <w:rPr>
          <w:rFonts w:cs="Arial"/>
          <w:b/>
          <w:szCs w:val="22"/>
          <w:lang w:val="es-ES"/>
        </w:rPr>
        <w:t xml:space="preserve">Polilla de la vid </w:t>
      </w:r>
      <w:r w:rsidRPr="00993936">
        <w:rPr>
          <w:rFonts w:cs="Arial"/>
          <w:i/>
          <w:szCs w:val="22"/>
          <w:lang w:val="es-ES"/>
        </w:rPr>
        <w:t>(Lobesia botrana):</w:t>
      </w:r>
    </w:p>
    <w:p w:rsidR="00503A41" w:rsidRPr="00993936" w:rsidRDefault="00503A41" w:rsidP="0009331F">
      <w:pPr>
        <w:pStyle w:val="Textoindependiente"/>
        <w:spacing w:before="120"/>
        <w:rPr>
          <w:rFonts w:cs="Arial"/>
          <w:szCs w:val="22"/>
          <w:lang w:val="es-ES"/>
        </w:rPr>
      </w:pPr>
      <w:r w:rsidRPr="00993936">
        <w:rPr>
          <w:rFonts w:cs="Arial"/>
          <w:szCs w:val="22"/>
          <w:lang w:val="es-ES"/>
        </w:rPr>
        <w:t xml:space="preserve">Metodología de seguimiento:  </w:t>
      </w:r>
    </w:p>
    <w:p w:rsidR="00503A41" w:rsidRPr="00993936" w:rsidRDefault="00503A41" w:rsidP="0009331F">
      <w:pPr>
        <w:pStyle w:val="Textoindependiente"/>
        <w:spacing w:before="120"/>
        <w:rPr>
          <w:rFonts w:cs="Arial"/>
          <w:szCs w:val="22"/>
          <w:lang w:val="es-ES"/>
        </w:rPr>
      </w:pPr>
      <w:r w:rsidRPr="00993936">
        <w:rPr>
          <w:rFonts w:cs="Arial"/>
          <w:szCs w:val="22"/>
          <w:lang w:val="es-ES"/>
        </w:rPr>
        <w:t>Mediante trampas sexuales para conocer el vuelo de las diferentes generaciones, y el control de la puesta</w:t>
      </w:r>
      <w:r w:rsidRPr="00993936">
        <w:rPr>
          <w:rFonts w:cs="Arial"/>
          <w:vanish/>
          <w:szCs w:val="22"/>
          <w:lang w:val="es-ES"/>
        </w:rPr>
        <w:t>&lt;A[posta|apostadero]&gt;</w:t>
      </w:r>
      <w:r w:rsidRPr="00993936">
        <w:rPr>
          <w:rFonts w:cs="Arial"/>
          <w:szCs w:val="22"/>
          <w:lang w:val="es-ES"/>
        </w:rPr>
        <w:t xml:space="preserve"> de huevos para determinar el momento de tratamiento. Observación mínima de 50 uvas por parcela.</w:t>
      </w:r>
    </w:p>
    <w:p w:rsidR="00503A41" w:rsidRPr="00993936" w:rsidRDefault="00503A41" w:rsidP="0009331F">
      <w:pPr>
        <w:spacing w:before="120"/>
        <w:jc w:val="both"/>
        <w:rPr>
          <w:rFonts w:ascii="Arial" w:hAnsi="Arial" w:cs="Arial"/>
          <w:lang w:val="es-ES"/>
        </w:rPr>
      </w:pPr>
      <w:r w:rsidRPr="00993936">
        <w:rPr>
          <w:rFonts w:ascii="Arial" w:hAnsi="Arial" w:cs="Arial"/>
          <w:lang w:val="es-ES"/>
        </w:rPr>
        <w:t xml:space="preserve">Criterio de intervención: </w:t>
      </w:r>
    </w:p>
    <w:p w:rsidR="00503A41" w:rsidRPr="00993936" w:rsidRDefault="00503A41" w:rsidP="009D1A2D">
      <w:pPr>
        <w:numPr>
          <w:ilvl w:val="0"/>
          <w:numId w:val="103"/>
        </w:numPr>
        <w:spacing w:before="120" w:after="0" w:line="240" w:lineRule="auto"/>
        <w:jc w:val="both"/>
        <w:rPr>
          <w:rFonts w:ascii="Arial" w:hAnsi="Arial" w:cs="Arial"/>
          <w:lang w:val="es-ES"/>
        </w:rPr>
      </w:pPr>
      <w:r w:rsidRPr="00993936">
        <w:rPr>
          <w:rFonts w:ascii="Arial" w:hAnsi="Arial" w:cs="Arial"/>
          <w:lang w:val="es-ES"/>
        </w:rPr>
        <w:t>Primera generación: No se recomienda tratar; solamente en casos excepcionales.</w:t>
      </w:r>
    </w:p>
    <w:p w:rsidR="00503A41" w:rsidRPr="00993936" w:rsidRDefault="00503A41" w:rsidP="009D1A2D">
      <w:pPr>
        <w:numPr>
          <w:ilvl w:val="0"/>
          <w:numId w:val="103"/>
        </w:numPr>
        <w:spacing w:before="120" w:after="0" w:line="240" w:lineRule="auto"/>
        <w:jc w:val="both"/>
        <w:rPr>
          <w:rFonts w:ascii="Arial" w:hAnsi="Arial" w:cs="Arial"/>
          <w:lang w:val="es-ES"/>
        </w:rPr>
      </w:pPr>
      <w:r w:rsidRPr="00993936">
        <w:rPr>
          <w:rFonts w:ascii="Arial" w:hAnsi="Arial" w:cs="Arial"/>
          <w:lang w:val="es-ES"/>
        </w:rPr>
        <w:t>Segundas y terceras generaciones: Tratar a partir de 10% de uvas con posta</w:t>
      </w:r>
      <w:r w:rsidRPr="00993936">
        <w:rPr>
          <w:rFonts w:ascii="Arial" w:hAnsi="Arial" w:cs="Arial"/>
          <w:vanish/>
          <w:lang w:val="es-ES"/>
        </w:rPr>
        <w:t>&lt;A[posta|apostadero]&gt;</w:t>
      </w:r>
      <w:r w:rsidRPr="00993936">
        <w:rPr>
          <w:rFonts w:ascii="Arial" w:hAnsi="Arial" w:cs="Arial"/>
          <w:lang w:val="es-ES"/>
        </w:rPr>
        <w:t>. El momento de tratamiento tiene que ser al inicio de vuelo, inicio de eclosión o máxima eclosión, según el producto a utilizar.</w:t>
      </w:r>
    </w:p>
    <w:p w:rsidR="00503A41" w:rsidRPr="00993936" w:rsidRDefault="00503A41" w:rsidP="0009331F">
      <w:pPr>
        <w:pStyle w:val="Textoindependiente"/>
        <w:spacing w:before="120"/>
        <w:outlineLvl w:val="0"/>
        <w:rPr>
          <w:rFonts w:cs="Arial"/>
          <w:b/>
          <w:szCs w:val="22"/>
          <w:lang w:val="es-ES"/>
        </w:rPr>
      </w:pPr>
      <w:r w:rsidRPr="00993936">
        <w:rPr>
          <w:rFonts w:cs="Arial"/>
          <w:b/>
          <w:szCs w:val="22"/>
          <w:lang w:val="es-ES"/>
        </w:rPr>
        <w:t xml:space="preserve">Cicadela de la Flavescencia dorada </w:t>
      </w:r>
      <w:r w:rsidRPr="00993936">
        <w:rPr>
          <w:rFonts w:cs="Arial"/>
          <w:i/>
          <w:szCs w:val="22"/>
          <w:lang w:val="es-ES"/>
        </w:rPr>
        <w:t>(Scaphoideus titanus):</w:t>
      </w:r>
    </w:p>
    <w:p w:rsidR="00503A41" w:rsidRPr="00993936" w:rsidRDefault="00503A41" w:rsidP="0009331F">
      <w:pPr>
        <w:spacing w:before="120"/>
        <w:jc w:val="both"/>
        <w:outlineLvl w:val="0"/>
        <w:rPr>
          <w:rFonts w:ascii="Arial" w:hAnsi="Arial" w:cs="Arial"/>
          <w:lang w:val="es-ES"/>
        </w:rPr>
      </w:pPr>
      <w:r w:rsidRPr="00993936">
        <w:rPr>
          <w:rFonts w:ascii="Arial" w:hAnsi="Arial" w:cs="Arial"/>
          <w:lang w:val="es-ES"/>
        </w:rPr>
        <w:t>Metodología de seguimiento</w:t>
      </w:r>
    </w:p>
    <w:p w:rsidR="00503A41" w:rsidRPr="00993936" w:rsidRDefault="00503A41" w:rsidP="0009331F">
      <w:pPr>
        <w:pStyle w:val="Textoindependiente2"/>
        <w:spacing w:before="120"/>
        <w:rPr>
          <w:rFonts w:cs="Arial"/>
          <w:szCs w:val="22"/>
          <w:lang w:val="es-ES"/>
        </w:rPr>
      </w:pPr>
      <w:r w:rsidRPr="00993936">
        <w:rPr>
          <w:rFonts w:cs="Arial"/>
          <w:szCs w:val="22"/>
          <w:lang w:val="es-ES"/>
        </w:rPr>
        <w:t>A partir de primeros de mayo, observación del reverso de las hojas basales para detectar el inicio de la presencia de larvas.</w:t>
      </w:r>
    </w:p>
    <w:p w:rsidR="00503A41" w:rsidRPr="00993936" w:rsidRDefault="00503A41" w:rsidP="0009331F">
      <w:pPr>
        <w:pStyle w:val="Textoindependiente2"/>
        <w:spacing w:before="120"/>
        <w:rPr>
          <w:rFonts w:cs="Arial"/>
          <w:szCs w:val="22"/>
          <w:lang w:val="es-ES"/>
        </w:rPr>
      </w:pPr>
      <w:r w:rsidRPr="00993936">
        <w:rPr>
          <w:rFonts w:cs="Arial"/>
          <w:szCs w:val="22"/>
          <w:lang w:val="es-ES"/>
        </w:rPr>
        <w:lastRenderedPageBreak/>
        <w:t xml:space="preserve">En cada control se tendrá que observar un mínimo de 50 hojas.  </w:t>
      </w:r>
    </w:p>
    <w:p w:rsidR="00503A41" w:rsidRPr="00993936" w:rsidRDefault="00503A41" w:rsidP="0009331F">
      <w:pPr>
        <w:spacing w:before="120"/>
        <w:jc w:val="both"/>
        <w:rPr>
          <w:rFonts w:ascii="Arial" w:hAnsi="Arial" w:cs="Arial"/>
          <w:lang w:val="es-ES"/>
        </w:rPr>
      </w:pPr>
      <w:r w:rsidRPr="00993936">
        <w:rPr>
          <w:rFonts w:ascii="Arial" w:hAnsi="Arial" w:cs="Arial"/>
          <w:lang w:val="es-ES"/>
        </w:rPr>
        <w:t xml:space="preserve">Criterio de intervención: </w:t>
      </w:r>
    </w:p>
    <w:p w:rsidR="00503A41" w:rsidRPr="00993936" w:rsidRDefault="00503A41" w:rsidP="0009331F">
      <w:pPr>
        <w:spacing w:before="120"/>
        <w:jc w:val="both"/>
        <w:rPr>
          <w:rFonts w:ascii="Arial" w:hAnsi="Arial" w:cs="Arial"/>
          <w:lang w:val="es-ES"/>
        </w:rPr>
      </w:pPr>
      <w:r w:rsidRPr="00993936">
        <w:rPr>
          <w:rFonts w:ascii="Arial" w:hAnsi="Arial" w:cs="Arial"/>
          <w:lang w:val="es-ES"/>
        </w:rPr>
        <w:t>Hay que realizar tres tratamientos:</w:t>
      </w:r>
    </w:p>
    <w:p w:rsidR="00503A41" w:rsidRPr="00993936" w:rsidRDefault="00503A41" w:rsidP="009D1A2D">
      <w:pPr>
        <w:numPr>
          <w:ilvl w:val="0"/>
          <w:numId w:val="95"/>
        </w:numPr>
        <w:spacing w:before="120" w:after="0" w:line="240" w:lineRule="auto"/>
        <w:ind w:left="0" w:firstLine="709"/>
        <w:jc w:val="both"/>
        <w:rPr>
          <w:rFonts w:ascii="Arial" w:hAnsi="Arial" w:cs="Arial"/>
          <w:lang w:val="es-ES"/>
        </w:rPr>
      </w:pPr>
      <w:r w:rsidRPr="00993936">
        <w:rPr>
          <w:rFonts w:ascii="Arial" w:hAnsi="Arial" w:cs="Arial"/>
          <w:lang w:val="es-ES"/>
        </w:rPr>
        <w:t>30 días después de localizar las primeras larvas.</w:t>
      </w:r>
    </w:p>
    <w:p w:rsidR="00503A41" w:rsidRPr="00993936" w:rsidRDefault="00503A41" w:rsidP="009D1A2D">
      <w:pPr>
        <w:numPr>
          <w:ilvl w:val="0"/>
          <w:numId w:val="95"/>
        </w:numPr>
        <w:spacing w:before="120" w:after="0" w:line="240" w:lineRule="auto"/>
        <w:ind w:left="0" w:firstLine="709"/>
        <w:jc w:val="both"/>
        <w:rPr>
          <w:rFonts w:ascii="Arial" w:hAnsi="Arial" w:cs="Arial"/>
          <w:lang w:val="es-ES"/>
        </w:rPr>
      </w:pPr>
      <w:r w:rsidRPr="00993936">
        <w:rPr>
          <w:rFonts w:ascii="Arial" w:hAnsi="Arial" w:cs="Arial"/>
          <w:lang w:val="es-ES"/>
        </w:rPr>
        <w:t>15 días después del primer tratamiento.</w:t>
      </w:r>
    </w:p>
    <w:p w:rsidR="00503A41" w:rsidRPr="00993936" w:rsidRDefault="00503A41" w:rsidP="009D1A2D">
      <w:pPr>
        <w:numPr>
          <w:ilvl w:val="0"/>
          <w:numId w:val="95"/>
        </w:numPr>
        <w:spacing w:before="120" w:after="0" w:line="240" w:lineRule="auto"/>
        <w:ind w:left="0" w:firstLine="709"/>
        <w:jc w:val="both"/>
        <w:rPr>
          <w:rFonts w:ascii="Arial" w:hAnsi="Arial" w:cs="Arial"/>
          <w:lang w:val="es-ES"/>
        </w:rPr>
      </w:pPr>
      <w:r w:rsidRPr="00993936">
        <w:rPr>
          <w:rFonts w:ascii="Arial" w:hAnsi="Arial" w:cs="Arial"/>
          <w:lang w:val="es-ES"/>
        </w:rPr>
        <w:t>30 días después del segundo tratamiento.</w:t>
      </w:r>
    </w:p>
    <w:p w:rsidR="00503A41" w:rsidRPr="00993936" w:rsidRDefault="00503A41" w:rsidP="0009331F">
      <w:pPr>
        <w:spacing w:before="120"/>
        <w:jc w:val="both"/>
        <w:rPr>
          <w:rFonts w:ascii="Arial" w:hAnsi="Arial" w:cs="Arial"/>
          <w:lang w:val="es-ES"/>
        </w:rPr>
      </w:pPr>
      <w:r w:rsidRPr="00993936">
        <w:rPr>
          <w:rFonts w:ascii="Arial" w:hAnsi="Arial" w:cs="Arial"/>
          <w:lang w:val="es-ES"/>
        </w:rPr>
        <w:t xml:space="preserve">El primero y el segundo tratamientos van dirigidos a controlar las fases larvarias; el tercero va dirigido a controlar la fase adulta. </w:t>
      </w:r>
    </w:p>
    <w:p w:rsidR="00503A41" w:rsidRPr="00993936" w:rsidRDefault="00503A41" w:rsidP="0009331F">
      <w:pPr>
        <w:spacing w:before="120"/>
        <w:jc w:val="both"/>
        <w:rPr>
          <w:rFonts w:ascii="Arial" w:hAnsi="Arial" w:cs="Arial"/>
          <w:lang w:val="es-ES"/>
        </w:rPr>
      </w:pPr>
      <w:r w:rsidRPr="00993936">
        <w:rPr>
          <w:rFonts w:ascii="Arial" w:hAnsi="Arial" w:cs="Arial"/>
          <w:lang w:val="es-ES"/>
        </w:rPr>
        <w:t>Sólo hay que intervenir en la comarca del Alt Empordà, única zona afectada por Flavescencia dorada. También hay que intervenir en todos el viveros de viña.</w:t>
      </w:r>
    </w:p>
    <w:p w:rsidR="00503A41" w:rsidRPr="00993936" w:rsidRDefault="00503A41" w:rsidP="0009331F">
      <w:pPr>
        <w:pStyle w:val="Ttulo2"/>
        <w:spacing w:before="120"/>
        <w:rPr>
          <w:rFonts w:ascii="Arial" w:hAnsi="Arial" w:cs="Arial"/>
          <w:b/>
          <w:i/>
          <w:color w:val="auto"/>
          <w:sz w:val="22"/>
          <w:szCs w:val="22"/>
          <w:lang w:val="es-ES"/>
        </w:rPr>
      </w:pPr>
      <w:r w:rsidRPr="00993936">
        <w:rPr>
          <w:rFonts w:ascii="Arial" w:hAnsi="Arial" w:cs="Arial"/>
          <w:b/>
          <w:i/>
          <w:color w:val="auto"/>
          <w:sz w:val="22"/>
          <w:szCs w:val="22"/>
          <w:lang w:val="es-ES"/>
        </w:rPr>
        <w:t>Gusanos grises:</w:t>
      </w:r>
    </w:p>
    <w:p w:rsidR="00503A41" w:rsidRPr="00993936" w:rsidRDefault="00503A41" w:rsidP="0009331F">
      <w:pPr>
        <w:pStyle w:val="Ttulo2"/>
        <w:spacing w:before="120"/>
        <w:rPr>
          <w:rFonts w:ascii="Arial" w:hAnsi="Arial" w:cs="Arial"/>
          <w:i/>
          <w:color w:val="auto"/>
          <w:sz w:val="22"/>
          <w:szCs w:val="22"/>
          <w:lang w:val="es-ES"/>
        </w:rPr>
      </w:pPr>
      <w:r w:rsidRPr="00993936">
        <w:rPr>
          <w:rFonts w:ascii="Arial" w:hAnsi="Arial" w:cs="Arial"/>
          <w:i/>
          <w:color w:val="auto"/>
          <w:sz w:val="22"/>
          <w:szCs w:val="22"/>
          <w:lang w:val="es-ES"/>
        </w:rPr>
        <w:t>Metodología de seguimiento:</w:t>
      </w:r>
    </w:p>
    <w:p w:rsidR="00503A41" w:rsidRPr="00993936" w:rsidRDefault="00503A41" w:rsidP="0009331F">
      <w:pPr>
        <w:spacing w:before="120"/>
        <w:jc w:val="both"/>
        <w:rPr>
          <w:rFonts w:ascii="Arial" w:hAnsi="Arial" w:cs="Arial"/>
          <w:lang w:val="es-ES"/>
        </w:rPr>
      </w:pPr>
      <w:r w:rsidRPr="00993936">
        <w:rPr>
          <w:rFonts w:ascii="Arial" w:hAnsi="Arial" w:cs="Arial"/>
          <w:lang w:val="es-ES"/>
        </w:rPr>
        <w:t>Observación de daños durante el periodo de brotación (B-C).</w:t>
      </w:r>
    </w:p>
    <w:p w:rsidR="00503A41" w:rsidRPr="00993936" w:rsidRDefault="00503A41" w:rsidP="0009331F">
      <w:pPr>
        <w:spacing w:before="120"/>
        <w:jc w:val="both"/>
        <w:rPr>
          <w:rFonts w:ascii="Arial" w:hAnsi="Arial" w:cs="Arial"/>
          <w:lang w:val="es-ES"/>
        </w:rPr>
      </w:pPr>
      <w:r w:rsidRPr="00993936">
        <w:rPr>
          <w:rFonts w:ascii="Arial" w:hAnsi="Arial" w:cs="Arial"/>
          <w:lang w:val="es-ES"/>
        </w:rPr>
        <w:t xml:space="preserve">Criterio de intervención: </w:t>
      </w:r>
    </w:p>
    <w:p w:rsidR="00503A41" w:rsidRPr="00993936" w:rsidRDefault="00503A41" w:rsidP="0009331F">
      <w:pPr>
        <w:pStyle w:val="Textoindependiente2"/>
        <w:spacing w:before="120"/>
        <w:rPr>
          <w:rFonts w:cs="Arial"/>
          <w:szCs w:val="22"/>
          <w:lang w:val="es-ES"/>
        </w:rPr>
      </w:pPr>
      <w:r w:rsidRPr="00993936">
        <w:rPr>
          <w:rFonts w:cs="Arial"/>
          <w:szCs w:val="22"/>
          <w:lang w:val="es-ES"/>
        </w:rPr>
        <w:t>Tratar al observar presencia de daños, sólo en los rodales afectados, así como en una franja de seguridad en torno a estos. Si los daños persisten, habrá que repetir el tratamiento a los 10- 15 días.</w:t>
      </w:r>
    </w:p>
    <w:p w:rsidR="00503A41" w:rsidRPr="00993936" w:rsidRDefault="00503A41" w:rsidP="0009331F">
      <w:pPr>
        <w:pStyle w:val="Textoindependiente"/>
        <w:spacing w:before="120"/>
        <w:outlineLvl w:val="0"/>
        <w:rPr>
          <w:rFonts w:cs="Arial"/>
          <w:szCs w:val="22"/>
          <w:lang w:val="es-ES"/>
        </w:rPr>
      </w:pPr>
      <w:r w:rsidRPr="00993936">
        <w:rPr>
          <w:rFonts w:cs="Arial"/>
          <w:b/>
          <w:szCs w:val="22"/>
          <w:lang w:val="es-ES"/>
        </w:rPr>
        <w:t xml:space="preserve">Altica </w:t>
      </w:r>
      <w:r w:rsidRPr="00993936">
        <w:rPr>
          <w:rFonts w:cs="Arial"/>
          <w:szCs w:val="22"/>
          <w:lang w:val="es-ES"/>
        </w:rPr>
        <w:t>(</w:t>
      </w:r>
      <w:r w:rsidRPr="00993936">
        <w:rPr>
          <w:rFonts w:cs="Arial"/>
          <w:i/>
          <w:szCs w:val="22"/>
          <w:lang w:val="es-ES"/>
        </w:rPr>
        <w:t>Haltica ampelofaga</w:t>
      </w:r>
      <w:r w:rsidRPr="00993936">
        <w:rPr>
          <w:rFonts w:cs="Arial"/>
          <w:szCs w:val="22"/>
          <w:lang w:val="es-ES"/>
        </w:rPr>
        <w:t>):</w:t>
      </w:r>
    </w:p>
    <w:p w:rsidR="00503A41" w:rsidRPr="00993936" w:rsidRDefault="00503A41" w:rsidP="0009331F">
      <w:pPr>
        <w:pStyle w:val="Textoindependiente"/>
        <w:spacing w:before="120"/>
        <w:outlineLvl w:val="0"/>
        <w:rPr>
          <w:rFonts w:cs="Arial"/>
          <w:szCs w:val="22"/>
          <w:lang w:val="es-ES"/>
        </w:rPr>
      </w:pPr>
      <w:r w:rsidRPr="00993936">
        <w:rPr>
          <w:rFonts w:cs="Arial"/>
          <w:szCs w:val="22"/>
          <w:lang w:val="es-ES"/>
        </w:rPr>
        <w:t>Es un pequeño coleóptero conocido en Cataluña como “blaveta”, que ha sido una plaga típica del cultivo la cual había disminuido en importancia en los últimos años. Actualmente estamos sufriendo un aumento considerable. Afecta desde el brotación a las hojas, las larvas comen en el reverso de la hoja dando la típica imagen de “punta de cojín</w:t>
      </w:r>
      <w:r w:rsidRPr="00993936">
        <w:rPr>
          <w:rFonts w:cs="Arial"/>
          <w:vanish/>
          <w:szCs w:val="22"/>
          <w:lang w:val="es-ES"/>
        </w:rPr>
        <w:t>&lt;A[cojín|almohada]&gt;</w:t>
      </w:r>
      <w:r w:rsidRPr="00993936">
        <w:rPr>
          <w:rFonts w:cs="Arial"/>
          <w:szCs w:val="22"/>
          <w:lang w:val="es-ES"/>
        </w:rPr>
        <w:t>”, los adultos también afectan a las hojas produciendo agujeros por</w:t>
      </w:r>
      <w:r w:rsidRPr="00993936">
        <w:rPr>
          <w:rFonts w:cs="Arial"/>
          <w:vanish/>
          <w:szCs w:val="22"/>
          <w:lang w:val="es-ES"/>
        </w:rPr>
        <w:t>&lt;A[por|para]&gt;</w:t>
      </w:r>
      <w:r w:rsidRPr="00993936">
        <w:rPr>
          <w:rFonts w:cs="Arial"/>
          <w:szCs w:val="22"/>
          <w:lang w:val="es-ES"/>
        </w:rPr>
        <w:t xml:space="preserve"> la acción alimentaria. Con poblaciones altas llegan a afectar a los uva reciente formados.</w:t>
      </w:r>
    </w:p>
    <w:p w:rsidR="00503A41" w:rsidRPr="00993936" w:rsidRDefault="00503A41" w:rsidP="0009331F">
      <w:pPr>
        <w:pStyle w:val="Ttulo1"/>
        <w:spacing w:before="120"/>
        <w:rPr>
          <w:rFonts w:ascii="Arial" w:hAnsi="Arial" w:cs="Arial"/>
          <w:color w:val="auto"/>
          <w:szCs w:val="22"/>
        </w:rPr>
      </w:pPr>
      <w:r w:rsidRPr="00993936">
        <w:rPr>
          <w:rFonts w:ascii="Arial" w:hAnsi="Arial" w:cs="Arial"/>
          <w:color w:val="auto"/>
          <w:szCs w:val="22"/>
        </w:rPr>
        <w:t>Metodología de seguimiento:</w:t>
      </w:r>
    </w:p>
    <w:p w:rsidR="00503A41" w:rsidRPr="00993936" w:rsidRDefault="00503A41" w:rsidP="0009331F">
      <w:pPr>
        <w:spacing w:before="120"/>
        <w:jc w:val="both"/>
        <w:rPr>
          <w:rFonts w:ascii="Arial" w:hAnsi="Arial" w:cs="Arial"/>
          <w:lang w:val="es-ES"/>
        </w:rPr>
      </w:pPr>
      <w:r w:rsidRPr="00993936">
        <w:rPr>
          <w:rFonts w:ascii="Arial" w:hAnsi="Arial" w:cs="Arial"/>
          <w:lang w:val="es-ES"/>
        </w:rPr>
        <w:t>Observación de los síntomas en las hojas y de daños en las uvas hasta la floración.</w:t>
      </w:r>
    </w:p>
    <w:p w:rsidR="00503A41" w:rsidRPr="00993936" w:rsidRDefault="00503A41" w:rsidP="0009331F">
      <w:pPr>
        <w:spacing w:before="120"/>
        <w:jc w:val="both"/>
        <w:rPr>
          <w:rFonts w:ascii="Arial" w:hAnsi="Arial" w:cs="Arial"/>
          <w:lang w:val="es-ES"/>
        </w:rPr>
      </w:pPr>
      <w:r w:rsidRPr="00993936">
        <w:rPr>
          <w:rFonts w:ascii="Arial" w:hAnsi="Arial" w:cs="Arial"/>
          <w:lang w:val="es-ES"/>
        </w:rPr>
        <w:t xml:space="preserve">Criterio de intervención: </w:t>
      </w:r>
    </w:p>
    <w:p w:rsidR="00503A41" w:rsidRPr="00993936" w:rsidRDefault="00503A41" w:rsidP="0009331F">
      <w:pPr>
        <w:spacing w:before="120"/>
        <w:jc w:val="both"/>
        <w:rPr>
          <w:rFonts w:ascii="Arial" w:hAnsi="Arial" w:cs="Arial"/>
          <w:lang w:val="es-ES"/>
        </w:rPr>
      </w:pPr>
      <w:r w:rsidRPr="00993936">
        <w:rPr>
          <w:rFonts w:ascii="Arial" w:hAnsi="Arial" w:cs="Arial"/>
          <w:lang w:val="es-ES"/>
        </w:rPr>
        <w:t>Normalmente no requiere tratamientos, sólo habrá que intervenir si se observan daños directos en las uvas.</w:t>
      </w:r>
    </w:p>
    <w:p w:rsidR="00503A41" w:rsidRPr="00993936" w:rsidRDefault="00503A41" w:rsidP="0009331F">
      <w:pPr>
        <w:pStyle w:val="Textoindependiente"/>
        <w:spacing w:before="120"/>
        <w:outlineLvl w:val="0"/>
        <w:rPr>
          <w:rFonts w:cs="Arial"/>
          <w:b/>
          <w:szCs w:val="22"/>
          <w:lang w:val="es-ES"/>
        </w:rPr>
      </w:pPr>
      <w:r w:rsidRPr="00993936">
        <w:rPr>
          <w:rFonts w:cs="Arial"/>
          <w:b/>
          <w:szCs w:val="22"/>
          <w:lang w:val="es-ES"/>
        </w:rPr>
        <w:t xml:space="preserve">Erinosi </w:t>
      </w:r>
      <w:r w:rsidRPr="00993936">
        <w:rPr>
          <w:rFonts w:cs="Arial"/>
          <w:i/>
          <w:szCs w:val="22"/>
          <w:lang w:val="es-ES"/>
        </w:rPr>
        <w:t>(Eriophyes vitis</w:t>
      </w:r>
      <w:r w:rsidRPr="00993936">
        <w:rPr>
          <w:rFonts w:cs="Arial"/>
          <w:szCs w:val="22"/>
          <w:lang w:val="es-ES"/>
        </w:rPr>
        <w:t>):</w:t>
      </w:r>
    </w:p>
    <w:p w:rsidR="00503A41" w:rsidRPr="00993936" w:rsidRDefault="00503A41" w:rsidP="0009331F">
      <w:pPr>
        <w:pStyle w:val="Ttulo1"/>
        <w:spacing w:before="120"/>
        <w:rPr>
          <w:rFonts w:ascii="Arial" w:hAnsi="Arial" w:cs="Arial"/>
          <w:color w:val="auto"/>
          <w:szCs w:val="22"/>
        </w:rPr>
      </w:pPr>
      <w:r w:rsidRPr="00993936">
        <w:rPr>
          <w:rFonts w:ascii="Arial" w:hAnsi="Arial" w:cs="Arial"/>
          <w:color w:val="auto"/>
          <w:szCs w:val="22"/>
        </w:rPr>
        <w:t>Metodología de seguimiento:</w:t>
      </w:r>
    </w:p>
    <w:p w:rsidR="00503A41" w:rsidRPr="00993936" w:rsidRDefault="00503A41" w:rsidP="0009331F">
      <w:pPr>
        <w:spacing w:before="120"/>
        <w:jc w:val="both"/>
        <w:rPr>
          <w:rFonts w:ascii="Arial" w:hAnsi="Arial" w:cs="Arial"/>
          <w:lang w:val="es-ES"/>
        </w:rPr>
      </w:pPr>
      <w:r w:rsidRPr="00993936">
        <w:rPr>
          <w:rFonts w:ascii="Arial" w:hAnsi="Arial" w:cs="Arial"/>
          <w:lang w:val="es-ES"/>
        </w:rPr>
        <w:t>Observación de síntomas en hojas a partir del estado fenológico F (uvas visibles).</w:t>
      </w:r>
    </w:p>
    <w:p w:rsidR="00503A41" w:rsidRPr="00993936" w:rsidRDefault="00503A41" w:rsidP="0009331F">
      <w:pPr>
        <w:spacing w:before="120"/>
        <w:jc w:val="both"/>
        <w:rPr>
          <w:rFonts w:ascii="Arial" w:hAnsi="Arial" w:cs="Arial"/>
          <w:lang w:val="es-ES"/>
        </w:rPr>
      </w:pPr>
      <w:r w:rsidRPr="00993936">
        <w:rPr>
          <w:rFonts w:ascii="Arial" w:hAnsi="Arial" w:cs="Arial"/>
          <w:lang w:val="es-ES"/>
        </w:rPr>
        <w:t xml:space="preserve">Criterio de intervención: </w:t>
      </w:r>
    </w:p>
    <w:p w:rsidR="00503A41" w:rsidRPr="00993936" w:rsidRDefault="00503A41" w:rsidP="0009331F">
      <w:pPr>
        <w:pStyle w:val="Textoindependiente2"/>
        <w:spacing w:before="120"/>
        <w:rPr>
          <w:rFonts w:cs="Arial"/>
          <w:szCs w:val="22"/>
          <w:lang w:val="es-ES"/>
        </w:rPr>
      </w:pPr>
      <w:r w:rsidRPr="00993936">
        <w:rPr>
          <w:rFonts w:cs="Arial"/>
          <w:szCs w:val="22"/>
          <w:lang w:val="es-ES"/>
        </w:rPr>
        <w:t>Cuándo se detecte más de un 15% de hojas con síntomas o cuándo se detecte una paralización del crecimiento de los brotes afectados.</w:t>
      </w:r>
    </w:p>
    <w:p w:rsidR="00503A41" w:rsidRPr="00993936" w:rsidRDefault="00503A41" w:rsidP="0009331F">
      <w:pPr>
        <w:pStyle w:val="Textoindependiente"/>
        <w:spacing w:before="120"/>
        <w:outlineLvl w:val="0"/>
        <w:rPr>
          <w:rFonts w:cs="Arial"/>
          <w:b/>
          <w:szCs w:val="22"/>
          <w:lang w:val="es-ES"/>
        </w:rPr>
      </w:pPr>
      <w:r w:rsidRPr="00993936">
        <w:rPr>
          <w:rFonts w:cs="Arial"/>
          <w:b/>
          <w:szCs w:val="22"/>
          <w:lang w:val="es-ES"/>
        </w:rPr>
        <w:t xml:space="preserve">Acariosis </w:t>
      </w:r>
      <w:r w:rsidRPr="00993936">
        <w:rPr>
          <w:rFonts w:cs="Arial"/>
          <w:szCs w:val="22"/>
          <w:lang w:val="es-ES"/>
        </w:rPr>
        <w:t>(</w:t>
      </w:r>
      <w:r w:rsidRPr="00993936">
        <w:rPr>
          <w:rFonts w:cs="Arial"/>
          <w:i/>
          <w:szCs w:val="22"/>
          <w:lang w:val="es-ES"/>
        </w:rPr>
        <w:t>Calepitrimerus vitis</w:t>
      </w:r>
      <w:r w:rsidRPr="00993936">
        <w:rPr>
          <w:rFonts w:cs="Arial"/>
          <w:szCs w:val="22"/>
          <w:lang w:val="es-ES"/>
        </w:rPr>
        <w:t>):</w:t>
      </w:r>
    </w:p>
    <w:p w:rsidR="00503A41" w:rsidRPr="00993936" w:rsidRDefault="00503A41" w:rsidP="0009331F">
      <w:pPr>
        <w:pStyle w:val="Ttulo1"/>
        <w:spacing w:before="120"/>
        <w:rPr>
          <w:rFonts w:ascii="Arial" w:hAnsi="Arial" w:cs="Arial"/>
          <w:color w:val="auto"/>
          <w:szCs w:val="22"/>
        </w:rPr>
      </w:pPr>
      <w:r w:rsidRPr="00993936">
        <w:rPr>
          <w:rFonts w:ascii="Arial" w:hAnsi="Arial" w:cs="Arial"/>
          <w:color w:val="auto"/>
          <w:szCs w:val="22"/>
        </w:rPr>
        <w:lastRenderedPageBreak/>
        <w:t>Metodología de seguimiento:</w:t>
      </w:r>
    </w:p>
    <w:p w:rsidR="00503A41" w:rsidRPr="00993936" w:rsidRDefault="00503A41" w:rsidP="0009331F">
      <w:pPr>
        <w:spacing w:before="120"/>
        <w:jc w:val="both"/>
        <w:rPr>
          <w:rFonts w:ascii="Arial" w:hAnsi="Arial" w:cs="Arial"/>
          <w:lang w:val="es-ES"/>
        </w:rPr>
      </w:pPr>
      <w:r w:rsidRPr="00993936">
        <w:rPr>
          <w:rFonts w:ascii="Arial" w:hAnsi="Arial" w:cs="Arial"/>
          <w:lang w:val="es-ES"/>
        </w:rPr>
        <w:t>Observación de síntomas en la aparición de las primeras hojas.</w:t>
      </w:r>
    </w:p>
    <w:p w:rsidR="00503A41" w:rsidRPr="00993936" w:rsidRDefault="00503A41" w:rsidP="0009331F">
      <w:pPr>
        <w:spacing w:before="120"/>
        <w:jc w:val="both"/>
        <w:rPr>
          <w:rFonts w:ascii="Arial" w:hAnsi="Arial" w:cs="Arial"/>
          <w:lang w:val="es-ES"/>
        </w:rPr>
      </w:pPr>
      <w:r w:rsidRPr="00993936">
        <w:rPr>
          <w:rFonts w:ascii="Arial" w:hAnsi="Arial" w:cs="Arial"/>
          <w:lang w:val="es-ES"/>
        </w:rPr>
        <w:t xml:space="preserve">Criterio de intervención: </w:t>
      </w:r>
    </w:p>
    <w:p w:rsidR="00503A41" w:rsidRPr="00993936" w:rsidRDefault="00503A41" w:rsidP="0009331F">
      <w:pPr>
        <w:pStyle w:val="Textoindependiente2"/>
        <w:spacing w:before="120"/>
        <w:rPr>
          <w:rFonts w:cs="Arial"/>
          <w:szCs w:val="22"/>
          <w:lang w:val="es-ES"/>
        </w:rPr>
      </w:pPr>
      <w:r w:rsidRPr="00993936">
        <w:rPr>
          <w:rFonts w:cs="Arial"/>
          <w:szCs w:val="22"/>
          <w:lang w:val="es-ES"/>
        </w:rPr>
        <w:t>Cuándo se detecte más de un 15% de brotes con síntomas o cuándo se detecte una paralización del crecimiento de los brotes afectados.</w:t>
      </w:r>
    </w:p>
    <w:p w:rsidR="00503A41" w:rsidRPr="00993936" w:rsidRDefault="00503A41" w:rsidP="0009331F">
      <w:pPr>
        <w:pStyle w:val="Textoindependiente"/>
        <w:spacing w:before="120"/>
        <w:outlineLvl w:val="0"/>
        <w:rPr>
          <w:rFonts w:cs="Arial"/>
          <w:b/>
          <w:szCs w:val="22"/>
          <w:lang w:val="es-ES"/>
        </w:rPr>
      </w:pPr>
      <w:r w:rsidRPr="00993936">
        <w:rPr>
          <w:rFonts w:cs="Arial"/>
          <w:b/>
          <w:szCs w:val="22"/>
          <w:lang w:val="es-ES"/>
        </w:rPr>
        <w:t xml:space="preserve">Araña roja </w:t>
      </w:r>
      <w:r w:rsidRPr="00993936">
        <w:rPr>
          <w:rFonts w:cs="Arial"/>
          <w:szCs w:val="22"/>
          <w:lang w:val="es-ES"/>
        </w:rPr>
        <w:t>(</w:t>
      </w:r>
      <w:r w:rsidRPr="00993936">
        <w:rPr>
          <w:rFonts w:cs="Arial"/>
          <w:i/>
          <w:szCs w:val="22"/>
          <w:lang w:val="es-ES"/>
        </w:rPr>
        <w:t>Panonychus ulmi</w:t>
      </w:r>
      <w:r w:rsidRPr="00993936">
        <w:rPr>
          <w:rFonts w:cs="Arial"/>
          <w:szCs w:val="22"/>
          <w:lang w:val="es-ES"/>
        </w:rPr>
        <w:t>):</w:t>
      </w:r>
    </w:p>
    <w:p w:rsidR="00503A41" w:rsidRPr="00993936" w:rsidRDefault="00503A41" w:rsidP="0009331F">
      <w:pPr>
        <w:pStyle w:val="Ttulo1"/>
        <w:spacing w:before="120"/>
        <w:rPr>
          <w:rFonts w:ascii="Arial" w:hAnsi="Arial" w:cs="Arial"/>
          <w:color w:val="auto"/>
          <w:szCs w:val="22"/>
        </w:rPr>
      </w:pPr>
      <w:r w:rsidRPr="00993936">
        <w:rPr>
          <w:rFonts w:ascii="Arial" w:hAnsi="Arial" w:cs="Arial"/>
          <w:color w:val="auto"/>
          <w:szCs w:val="22"/>
        </w:rPr>
        <w:t>Metodología de seguimiento:</w:t>
      </w:r>
    </w:p>
    <w:p w:rsidR="00503A41" w:rsidRPr="00993936" w:rsidRDefault="00503A41" w:rsidP="0009331F">
      <w:pPr>
        <w:pStyle w:val="Textoindependiente2"/>
        <w:spacing w:before="120"/>
        <w:rPr>
          <w:rFonts w:cs="Arial"/>
          <w:szCs w:val="22"/>
          <w:lang w:val="es-ES"/>
        </w:rPr>
      </w:pPr>
      <w:r w:rsidRPr="00993936">
        <w:rPr>
          <w:rFonts w:cs="Arial"/>
          <w:szCs w:val="22"/>
          <w:lang w:val="es-ES"/>
        </w:rPr>
        <w:t>En invierno, observar el porcentaje de brotes ocupados por puesta</w:t>
      </w:r>
      <w:r w:rsidRPr="00993936">
        <w:rPr>
          <w:rFonts w:cs="Arial"/>
          <w:vanish/>
          <w:szCs w:val="22"/>
          <w:lang w:val="es-ES"/>
        </w:rPr>
        <w:t>&lt;A[posta|apostadero]&gt;</w:t>
      </w:r>
      <w:r w:rsidRPr="00993936">
        <w:rPr>
          <w:rFonts w:cs="Arial"/>
          <w:szCs w:val="22"/>
          <w:lang w:val="es-ES"/>
        </w:rPr>
        <w:t>. En vegetación, observar porcentaje de hojas ocupadas por formas móviles.</w:t>
      </w:r>
    </w:p>
    <w:p w:rsidR="00503A41" w:rsidRPr="00993936" w:rsidRDefault="00503A41" w:rsidP="0009331F">
      <w:pPr>
        <w:pStyle w:val="Textoindependiente2"/>
        <w:spacing w:before="120"/>
        <w:rPr>
          <w:rFonts w:cs="Arial"/>
          <w:szCs w:val="22"/>
          <w:lang w:val="es-ES"/>
        </w:rPr>
      </w:pPr>
      <w:r w:rsidRPr="00993936">
        <w:rPr>
          <w:rFonts w:cs="Arial"/>
          <w:szCs w:val="22"/>
          <w:lang w:val="es-ES"/>
        </w:rPr>
        <w:t xml:space="preserve">Criterio de intervención: </w:t>
      </w:r>
    </w:p>
    <w:p w:rsidR="00503A41" w:rsidRPr="00993936" w:rsidRDefault="00503A41" w:rsidP="0009331F">
      <w:pPr>
        <w:pStyle w:val="Textoindependiente2"/>
        <w:spacing w:before="120"/>
        <w:rPr>
          <w:rFonts w:cs="Arial"/>
          <w:szCs w:val="22"/>
          <w:lang w:val="es-ES"/>
        </w:rPr>
      </w:pPr>
      <w:r w:rsidRPr="00993936">
        <w:rPr>
          <w:rFonts w:cs="Arial"/>
          <w:szCs w:val="22"/>
          <w:lang w:val="es-ES"/>
        </w:rPr>
        <w:t>En invierno, cuando</w:t>
      </w:r>
      <w:r w:rsidRPr="00993936">
        <w:rPr>
          <w:rFonts w:cs="Arial"/>
          <w:vanish/>
          <w:szCs w:val="22"/>
          <w:lang w:val="es-ES"/>
        </w:rPr>
        <w:t>&lt;A[cuando|cuándo]&gt;</w:t>
      </w:r>
      <w:r w:rsidRPr="00993936">
        <w:rPr>
          <w:rFonts w:cs="Arial"/>
          <w:szCs w:val="22"/>
          <w:lang w:val="es-ES"/>
        </w:rPr>
        <w:t xml:space="preserve"> se supere el 20% de yemas ocupadas, y en vegetación intervenir según el muestreo secuencial (Gráficas que aparecen al libro </w:t>
      </w:r>
      <w:r w:rsidRPr="00993936">
        <w:rPr>
          <w:rFonts w:cs="Arial"/>
          <w:i/>
          <w:szCs w:val="22"/>
          <w:lang w:val="es-ES"/>
        </w:rPr>
        <w:t>Los Parásitos de la vid</w:t>
      </w:r>
      <w:r w:rsidRPr="00993936">
        <w:rPr>
          <w:rFonts w:cs="Arial"/>
          <w:szCs w:val="22"/>
          <w:lang w:val="es-ES"/>
        </w:rPr>
        <w:t>, 4ª edición, página 132).</w:t>
      </w:r>
    </w:p>
    <w:p w:rsidR="00503A41" w:rsidRPr="00993936" w:rsidRDefault="00503A41" w:rsidP="0009331F">
      <w:pPr>
        <w:pStyle w:val="Textoindependiente"/>
        <w:spacing w:before="120"/>
        <w:outlineLvl w:val="0"/>
        <w:rPr>
          <w:rFonts w:cs="Arial"/>
          <w:b/>
          <w:szCs w:val="22"/>
          <w:lang w:val="es-ES"/>
        </w:rPr>
      </w:pPr>
      <w:r w:rsidRPr="00993936">
        <w:rPr>
          <w:rFonts w:cs="Arial"/>
          <w:b/>
          <w:szCs w:val="22"/>
          <w:lang w:val="es-ES"/>
        </w:rPr>
        <w:t xml:space="preserve">Araña amarilla </w:t>
      </w:r>
      <w:r w:rsidRPr="00993936">
        <w:rPr>
          <w:rFonts w:cs="Arial"/>
          <w:i/>
          <w:szCs w:val="22"/>
          <w:lang w:val="es-ES"/>
        </w:rPr>
        <w:t>(Eotetranychus carpini):</w:t>
      </w:r>
    </w:p>
    <w:p w:rsidR="00503A41" w:rsidRPr="00993936" w:rsidRDefault="00503A41" w:rsidP="0009331F">
      <w:pPr>
        <w:pStyle w:val="Ttulo1"/>
        <w:spacing w:before="120"/>
        <w:rPr>
          <w:rFonts w:ascii="Arial" w:hAnsi="Arial" w:cs="Arial"/>
          <w:b/>
          <w:color w:val="auto"/>
          <w:sz w:val="22"/>
          <w:szCs w:val="22"/>
        </w:rPr>
      </w:pPr>
      <w:r w:rsidRPr="00993936">
        <w:rPr>
          <w:rFonts w:ascii="Arial" w:hAnsi="Arial" w:cs="Arial"/>
          <w:b/>
          <w:color w:val="auto"/>
          <w:sz w:val="22"/>
          <w:szCs w:val="22"/>
        </w:rPr>
        <w:t>Metodología de seguimiento:</w:t>
      </w:r>
    </w:p>
    <w:p w:rsidR="00503A41" w:rsidRPr="00993936" w:rsidRDefault="00503A41" w:rsidP="0009331F">
      <w:pPr>
        <w:pStyle w:val="Textoindependiente2"/>
        <w:spacing w:before="120"/>
        <w:rPr>
          <w:rFonts w:cs="Arial"/>
          <w:sz w:val="22"/>
          <w:szCs w:val="22"/>
          <w:lang w:val="es-ES"/>
        </w:rPr>
      </w:pPr>
      <w:r w:rsidRPr="00993936">
        <w:rPr>
          <w:rFonts w:cs="Arial"/>
          <w:sz w:val="22"/>
          <w:szCs w:val="22"/>
          <w:lang w:val="es-ES"/>
        </w:rPr>
        <w:t>En vegetación, observar porcentaje de hojas ocupadas por formas móviles.</w:t>
      </w:r>
    </w:p>
    <w:p w:rsidR="00503A41" w:rsidRPr="00993936" w:rsidRDefault="00503A41" w:rsidP="0009331F">
      <w:pPr>
        <w:spacing w:before="120"/>
        <w:jc w:val="both"/>
        <w:rPr>
          <w:rFonts w:ascii="Arial" w:hAnsi="Arial" w:cs="Arial"/>
          <w:u w:val="single"/>
          <w:lang w:val="es-ES"/>
        </w:rPr>
      </w:pPr>
      <w:r w:rsidRPr="00993936">
        <w:rPr>
          <w:rFonts w:ascii="Arial" w:hAnsi="Arial" w:cs="Arial"/>
          <w:lang w:val="es-ES"/>
        </w:rPr>
        <w:t xml:space="preserve">Criterio de intervención: </w:t>
      </w:r>
    </w:p>
    <w:p w:rsidR="00503A41" w:rsidRPr="00993936" w:rsidRDefault="00503A41" w:rsidP="0009331F">
      <w:pPr>
        <w:pStyle w:val="Textoindependiente2"/>
        <w:spacing w:before="120"/>
        <w:rPr>
          <w:rFonts w:cs="Arial"/>
          <w:sz w:val="22"/>
          <w:szCs w:val="22"/>
          <w:lang w:val="es-ES"/>
        </w:rPr>
      </w:pPr>
      <w:r w:rsidRPr="00993936">
        <w:rPr>
          <w:rFonts w:cs="Arial"/>
          <w:sz w:val="22"/>
          <w:szCs w:val="22"/>
          <w:lang w:val="es-ES"/>
        </w:rPr>
        <w:t xml:space="preserve">En vegetación, intervenir según el muestreo secuencial (Gráficas que aparecen al libro </w:t>
      </w:r>
      <w:r w:rsidRPr="00993936">
        <w:rPr>
          <w:rFonts w:cs="Arial"/>
          <w:i/>
          <w:sz w:val="22"/>
          <w:szCs w:val="22"/>
          <w:lang w:val="es-ES"/>
        </w:rPr>
        <w:t>Los Parásitos de la vid</w:t>
      </w:r>
      <w:r w:rsidRPr="00993936">
        <w:rPr>
          <w:rFonts w:cs="Arial"/>
          <w:sz w:val="22"/>
          <w:szCs w:val="22"/>
          <w:lang w:val="es-ES"/>
        </w:rPr>
        <w:t>, 4ª edición, página 132).</w:t>
      </w:r>
    </w:p>
    <w:p w:rsidR="00503A41" w:rsidRPr="00993936" w:rsidRDefault="00503A41" w:rsidP="0009331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ascii="Arial" w:hAnsi="Arial" w:cs="Arial"/>
          <w:b/>
          <w:snapToGrid w:val="0"/>
          <w:lang w:val="es-ES"/>
        </w:rPr>
      </w:pPr>
      <w:r w:rsidRPr="00993936">
        <w:rPr>
          <w:rFonts w:ascii="Arial" w:hAnsi="Arial" w:cs="Arial"/>
          <w:b/>
          <w:snapToGrid w:val="0"/>
          <w:lang w:val="es-ES"/>
        </w:rPr>
        <w:t>5.2.- ENFERMEDADES</w:t>
      </w:r>
    </w:p>
    <w:p w:rsidR="00503A41" w:rsidRPr="00993936" w:rsidRDefault="00503A41" w:rsidP="0009331F">
      <w:pPr>
        <w:pStyle w:val="Textoindependiente"/>
        <w:spacing w:before="120"/>
        <w:outlineLvl w:val="0"/>
        <w:rPr>
          <w:rFonts w:cs="Arial"/>
          <w:szCs w:val="22"/>
          <w:lang w:val="es-ES"/>
        </w:rPr>
      </w:pPr>
      <w:r w:rsidRPr="00993936">
        <w:rPr>
          <w:rFonts w:cs="Arial"/>
          <w:b/>
          <w:szCs w:val="22"/>
          <w:lang w:val="es-ES"/>
        </w:rPr>
        <w:t xml:space="preserve">Mildiu </w:t>
      </w:r>
      <w:r w:rsidRPr="00993936">
        <w:rPr>
          <w:rFonts w:cs="Arial"/>
          <w:szCs w:val="22"/>
          <w:lang w:val="es-ES"/>
        </w:rPr>
        <w:t>(</w:t>
      </w:r>
      <w:r w:rsidRPr="00993936">
        <w:rPr>
          <w:rFonts w:cs="Arial"/>
          <w:i/>
          <w:szCs w:val="22"/>
          <w:lang w:val="es-ES"/>
        </w:rPr>
        <w:t>Plasmopara viticola</w:t>
      </w:r>
      <w:r w:rsidRPr="00993936">
        <w:rPr>
          <w:rFonts w:cs="Arial"/>
          <w:szCs w:val="22"/>
          <w:lang w:val="es-ES"/>
        </w:rPr>
        <w:t>):</w:t>
      </w:r>
    </w:p>
    <w:p w:rsidR="00503A41" w:rsidRPr="00993936" w:rsidRDefault="00503A41" w:rsidP="0009331F">
      <w:pPr>
        <w:pStyle w:val="Ttulo1"/>
        <w:spacing w:before="120"/>
        <w:rPr>
          <w:rFonts w:ascii="Arial" w:hAnsi="Arial" w:cs="Arial"/>
          <w:b/>
          <w:color w:val="auto"/>
          <w:sz w:val="22"/>
          <w:szCs w:val="22"/>
        </w:rPr>
      </w:pPr>
      <w:r w:rsidRPr="00993936">
        <w:rPr>
          <w:rFonts w:ascii="Arial" w:hAnsi="Arial" w:cs="Arial"/>
          <w:b/>
          <w:color w:val="auto"/>
          <w:sz w:val="22"/>
          <w:szCs w:val="22"/>
        </w:rPr>
        <w:t>Metodología de seguimiento:</w:t>
      </w:r>
    </w:p>
    <w:p w:rsidR="00503A41" w:rsidRPr="00993936" w:rsidRDefault="00503A41" w:rsidP="0009331F">
      <w:pPr>
        <w:pStyle w:val="Textoindependiente"/>
        <w:spacing w:before="120"/>
        <w:rPr>
          <w:rFonts w:cs="Arial"/>
          <w:szCs w:val="22"/>
          <w:lang w:val="es-ES"/>
        </w:rPr>
      </w:pPr>
      <w:r w:rsidRPr="00993936">
        <w:rPr>
          <w:rFonts w:cs="Arial"/>
          <w:szCs w:val="22"/>
          <w:lang w:val="es-ES"/>
        </w:rPr>
        <w:t>Control de la aparición de las primeras manchas. Seguimiento de la fenología así como de los datos meteorológicas de temperatura, humedad relativa y lluvia. El seguimiento de la evolución de esta enfermedad se hace según el modelo de Goidanich.</w:t>
      </w:r>
    </w:p>
    <w:p w:rsidR="00503A41" w:rsidRPr="00993936" w:rsidRDefault="00503A41" w:rsidP="0009331F">
      <w:pPr>
        <w:pStyle w:val="Textoindependiente"/>
        <w:spacing w:before="120"/>
        <w:rPr>
          <w:rFonts w:cs="Arial"/>
          <w:szCs w:val="22"/>
          <w:lang w:val="es-ES"/>
        </w:rPr>
      </w:pPr>
      <w:r w:rsidRPr="00993936">
        <w:rPr>
          <w:rFonts w:cs="Arial"/>
          <w:szCs w:val="22"/>
          <w:lang w:val="es-ES"/>
        </w:rPr>
        <w:t>Criterio de intervención:</w:t>
      </w:r>
    </w:p>
    <w:p w:rsidR="00503A41" w:rsidRPr="00993936" w:rsidRDefault="00503A41" w:rsidP="0009331F">
      <w:pPr>
        <w:spacing w:before="120"/>
        <w:jc w:val="both"/>
        <w:rPr>
          <w:rFonts w:ascii="Arial" w:hAnsi="Arial" w:cs="Arial"/>
          <w:lang w:val="es-ES"/>
        </w:rPr>
      </w:pPr>
      <w:r w:rsidRPr="00993936">
        <w:rPr>
          <w:rFonts w:ascii="Arial" w:hAnsi="Arial" w:cs="Arial"/>
          <w:lang w:val="es-ES"/>
        </w:rPr>
        <w:t>Actuar según las indicaciones sobre la evolución de la enfermedad que nos dé el modelo. En general, hay que esperar la aparición de las primeras manchas antes de recomendar el primer tratamiento. Las Redes de Avisos Antimildiu del Servicio de Sanidad Vegetal realizan estos seguimientos de manera precisa. En las zonas vitícolas cubiertas por estas redes, se recomienda seguir las indicaciones.</w:t>
      </w:r>
    </w:p>
    <w:p w:rsidR="00503A41" w:rsidRPr="00993936" w:rsidRDefault="00503A41" w:rsidP="0009331F">
      <w:pPr>
        <w:pStyle w:val="Textoindependiente"/>
        <w:spacing w:before="120"/>
        <w:outlineLvl w:val="0"/>
        <w:rPr>
          <w:rFonts w:cs="Arial"/>
          <w:b/>
          <w:szCs w:val="22"/>
          <w:lang w:val="es-ES"/>
        </w:rPr>
      </w:pPr>
      <w:r w:rsidRPr="00993936">
        <w:rPr>
          <w:rFonts w:cs="Arial"/>
          <w:b/>
          <w:szCs w:val="22"/>
          <w:lang w:val="es-ES"/>
        </w:rPr>
        <w:t xml:space="preserve">Oidio </w:t>
      </w:r>
      <w:r w:rsidRPr="00993936">
        <w:rPr>
          <w:rFonts w:cs="Arial"/>
          <w:i/>
          <w:szCs w:val="22"/>
          <w:lang w:val="es-ES"/>
        </w:rPr>
        <w:t>(Uncinula necator):</w:t>
      </w:r>
    </w:p>
    <w:p w:rsidR="00503A41" w:rsidRPr="00993936" w:rsidRDefault="00503A41" w:rsidP="0009331F">
      <w:pPr>
        <w:pStyle w:val="Ttulo1"/>
        <w:spacing w:before="120"/>
        <w:rPr>
          <w:rFonts w:ascii="Arial" w:hAnsi="Arial" w:cs="Arial"/>
          <w:b/>
          <w:color w:val="auto"/>
          <w:sz w:val="22"/>
          <w:szCs w:val="22"/>
        </w:rPr>
      </w:pPr>
      <w:r w:rsidRPr="00993936">
        <w:rPr>
          <w:rFonts w:ascii="Arial" w:hAnsi="Arial" w:cs="Arial"/>
          <w:b/>
          <w:color w:val="auto"/>
          <w:sz w:val="22"/>
          <w:szCs w:val="22"/>
        </w:rPr>
        <w:t>Metodología de seguimiento:</w:t>
      </w:r>
    </w:p>
    <w:p w:rsidR="00503A41" w:rsidRPr="00993936" w:rsidRDefault="00503A41" w:rsidP="0009331F">
      <w:pPr>
        <w:pStyle w:val="Textoindependiente"/>
        <w:spacing w:before="120"/>
        <w:rPr>
          <w:rFonts w:cs="Arial"/>
          <w:szCs w:val="22"/>
          <w:lang w:val="es-ES"/>
        </w:rPr>
      </w:pPr>
      <w:r w:rsidRPr="00993936">
        <w:rPr>
          <w:rFonts w:cs="Arial"/>
          <w:szCs w:val="22"/>
          <w:lang w:val="es-ES"/>
        </w:rPr>
        <w:t>Esta enfermedad es endémica a todas las zonas vitícolas. La estrategia de lucha se basa al proteger determinados momentos de la fenología de la viña.</w:t>
      </w:r>
    </w:p>
    <w:p w:rsidR="00503A41" w:rsidRPr="00993936" w:rsidRDefault="00503A41" w:rsidP="0009331F">
      <w:pPr>
        <w:spacing w:before="120"/>
        <w:jc w:val="both"/>
        <w:rPr>
          <w:rFonts w:ascii="Arial" w:hAnsi="Arial" w:cs="Arial"/>
          <w:lang w:val="es-ES"/>
        </w:rPr>
      </w:pPr>
      <w:r w:rsidRPr="00993936">
        <w:rPr>
          <w:rFonts w:ascii="Arial" w:hAnsi="Arial" w:cs="Arial"/>
          <w:lang w:val="es-ES"/>
        </w:rPr>
        <w:t>Criterio de intervención:</w:t>
      </w:r>
    </w:p>
    <w:p w:rsidR="00503A41" w:rsidRPr="00993936" w:rsidRDefault="00503A41" w:rsidP="0009331F">
      <w:pPr>
        <w:pStyle w:val="Textoindependiente2"/>
        <w:spacing w:before="120"/>
        <w:rPr>
          <w:rFonts w:cs="Arial"/>
          <w:szCs w:val="22"/>
          <w:lang w:val="es-ES"/>
        </w:rPr>
      </w:pPr>
      <w:r w:rsidRPr="00993936">
        <w:rPr>
          <w:rFonts w:cs="Arial"/>
          <w:szCs w:val="22"/>
          <w:lang w:val="es-ES"/>
        </w:rPr>
        <w:t>Intervenir en los momentos siguientes:</w:t>
      </w:r>
    </w:p>
    <w:p w:rsidR="00503A41" w:rsidRPr="00993936" w:rsidRDefault="00503A41" w:rsidP="009D1A2D">
      <w:pPr>
        <w:numPr>
          <w:ilvl w:val="0"/>
          <w:numId w:val="96"/>
        </w:numPr>
        <w:spacing w:before="120" w:after="0" w:line="240" w:lineRule="auto"/>
        <w:ind w:left="0" w:firstLine="0"/>
        <w:jc w:val="both"/>
        <w:rPr>
          <w:rFonts w:ascii="Arial" w:hAnsi="Arial" w:cs="Arial"/>
          <w:lang w:val="es-ES"/>
        </w:rPr>
      </w:pPr>
      <w:r w:rsidRPr="00993936">
        <w:rPr>
          <w:rFonts w:ascii="Arial" w:hAnsi="Arial" w:cs="Arial"/>
          <w:lang w:val="es-ES"/>
        </w:rPr>
        <w:lastRenderedPageBreak/>
        <w:t>10 cm. De longitud de la brotación.</w:t>
      </w:r>
    </w:p>
    <w:p w:rsidR="00503A41" w:rsidRPr="00993936" w:rsidRDefault="00503A41" w:rsidP="009D1A2D">
      <w:pPr>
        <w:numPr>
          <w:ilvl w:val="0"/>
          <w:numId w:val="96"/>
        </w:numPr>
        <w:spacing w:before="120" w:after="0" w:line="240" w:lineRule="auto"/>
        <w:ind w:left="0" w:firstLine="0"/>
        <w:jc w:val="both"/>
        <w:rPr>
          <w:rFonts w:ascii="Arial" w:hAnsi="Arial" w:cs="Arial"/>
          <w:lang w:val="es-ES"/>
        </w:rPr>
      </w:pPr>
      <w:r w:rsidRPr="00993936">
        <w:rPr>
          <w:rFonts w:ascii="Arial" w:hAnsi="Arial" w:cs="Arial"/>
          <w:lang w:val="es-ES"/>
        </w:rPr>
        <w:t>Floración.</w:t>
      </w:r>
    </w:p>
    <w:p w:rsidR="00503A41" w:rsidRPr="00993936" w:rsidRDefault="00503A41" w:rsidP="009D1A2D">
      <w:pPr>
        <w:numPr>
          <w:ilvl w:val="0"/>
          <w:numId w:val="96"/>
        </w:numPr>
        <w:spacing w:before="120" w:after="0" w:line="240" w:lineRule="auto"/>
        <w:ind w:left="0" w:firstLine="0"/>
        <w:jc w:val="both"/>
        <w:rPr>
          <w:rFonts w:ascii="Arial" w:hAnsi="Arial" w:cs="Arial"/>
          <w:lang w:val="es-ES"/>
        </w:rPr>
      </w:pPr>
      <w:r w:rsidRPr="00993936">
        <w:rPr>
          <w:rFonts w:ascii="Arial" w:hAnsi="Arial" w:cs="Arial"/>
          <w:lang w:val="es-ES"/>
        </w:rPr>
        <w:t>Grano de tamaño guisante.</w:t>
      </w:r>
    </w:p>
    <w:p w:rsidR="00503A41" w:rsidRPr="00993936" w:rsidRDefault="00503A41" w:rsidP="009D1A2D">
      <w:pPr>
        <w:numPr>
          <w:ilvl w:val="0"/>
          <w:numId w:val="96"/>
        </w:numPr>
        <w:spacing w:before="120" w:after="0" w:line="240" w:lineRule="auto"/>
        <w:ind w:left="0" w:firstLine="0"/>
        <w:jc w:val="both"/>
        <w:rPr>
          <w:rFonts w:ascii="Arial" w:hAnsi="Arial" w:cs="Arial"/>
          <w:lang w:val="es-ES"/>
        </w:rPr>
      </w:pPr>
      <w:r w:rsidRPr="00993936">
        <w:rPr>
          <w:rFonts w:ascii="Arial" w:hAnsi="Arial" w:cs="Arial"/>
          <w:lang w:val="es-ES"/>
        </w:rPr>
        <w:t>Inicio del enverado.</w:t>
      </w:r>
    </w:p>
    <w:p w:rsidR="00503A41" w:rsidRPr="00993936" w:rsidRDefault="00503A41" w:rsidP="0009331F">
      <w:pPr>
        <w:spacing w:before="120"/>
        <w:jc w:val="both"/>
        <w:rPr>
          <w:rFonts w:ascii="Arial" w:hAnsi="Arial" w:cs="Arial"/>
          <w:lang w:val="es-ES"/>
        </w:rPr>
      </w:pPr>
      <w:r w:rsidRPr="00993936">
        <w:rPr>
          <w:rFonts w:ascii="Arial" w:hAnsi="Arial" w:cs="Arial"/>
          <w:lang w:val="es-ES"/>
        </w:rPr>
        <w:t>En función de la sensibilidad de la variedad y de la zona y de la incidencia de la enfermedad durante el año anterior, el número de tratamientos se puede ver aumentado o disminuido según el criterio del técnico responsable.</w:t>
      </w:r>
    </w:p>
    <w:p w:rsidR="00503A41" w:rsidRPr="00993936" w:rsidRDefault="00503A41" w:rsidP="0009331F">
      <w:pPr>
        <w:pStyle w:val="Textoindependiente"/>
        <w:spacing w:before="120"/>
        <w:outlineLvl w:val="0"/>
        <w:rPr>
          <w:rFonts w:cs="Arial"/>
          <w:b/>
          <w:szCs w:val="22"/>
          <w:lang w:val="es-ES"/>
        </w:rPr>
      </w:pPr>
      <w:r w:rsidRPr="00993936">
        <w:rPr>
          <w:rFonts w:cs="Arial"/>
          <w:b/>
          <w:szCs w:val="22"/>
          <w:lang w:val="es-ES"/>
        </w:rPr>
        <w:t xml:space="preserve">Podredumbre gris </w:t>
      </w:r>
      <w:r w:rsidRPr="00993936">
        <w:rPr>
          <w:rFonts w:cs="Arial"/>
          <w:szCs w:val="22"/>
          <w:lang w:val="es-ES"/>
        </w:rPr>
        <w:t>(</w:t>
      </w:r>
      <w:r w:rsidRPr="00993936">
        <w:rPr>
          <w:rFonts w:cs="Arial"/>
          <w:i/>
          <w:szCs w:val="22"/>
          <w:lang w:val="es-ES"/>
        </w:rPr>
        <w:t>Botrytis cinerea</w:t>
      </w:r>
      <w:r w:rsidRPr="00993936">
        <w:rPr>
          <w:rFonts w:cs="Arial"/>
          <w:szCs w:val="22"/>
          <w:lang w:val="es-ES"/>
        </w:rPr>
        <w:t>):</w:t>
      </w:r>
    </w:p>
    <w:p w:rsidR="00503A41" w:rsidRPr="00993936" w:rsidRDefault="00503A41" w:rsidP="0009331F">
      <w:pPr>
        <w:pStyle w:val="Ttulo1"/>
        <w:spacing w:before="120"/>
        <w:rPr>
          <w:rFonts w:ascii="Arial" w:hAnsi="Arial" w:cs="Arial"/>
          <w:color w:val="auto"/>
          <w:sz w:val="22"/>
          <w:szCs w:val="22"/>
        </w:rPr>
      </w:pPr>
      <w:r w:rsidRPr="00993936">
        <w:rPr>
          <w:rFonts w:ascii="Arial" w:hAnsi="Arial" w:cs="Arial"/>
          <w:color w:val="auto"/>
          <w:sz w:val="22"/>
          <w:szCs w:val="22"/>
        </w:rPr>
        <w:t>Metodología de seguimiento:</w:t>
      </w:r>
    </w:p>
    <w:p w:rsidR="00503A41" w:rsidRPr="00993936" w:rsidRDefault="00503A41" w:rsidP="0009331F">
      <w:pPr>
        <w:spacing w:before="120"/>
        <w:jc w:val="both"/>
        <w:rPr>
          <w:rFonts w:ascii="Arial" w:hAnsi="Arial" w:cs="Arial"/>
          <w:lang w:val="es-ES"/>
        </w:rPr>
      </w:pPr>
      <w:r w:rsidRPr="00993936">
        <w:rPr>
          <w:rFonts w:ascii="Arial" w:hAnsi="Arial" w:cs="Arial"/>
          <w:lang w:val="es-ES"/>
        </w:rPr>
        <w:t>Este hongo aparece de manera ocasional, sin que haya posibilidad de prever con exactitud la aparición a partir de datos meteorológicos. Tiene una relación directa con la sanidad general de la uva, ya que necesita heridas para producirse las infecciones. Las medidas indirectas son fundamentales para prevenir los ataques de podredumbre.</w:t>
      </w:r>
    </w:p>
    <w:p w:rsidR="00503A41" w:rsidRPr="00993936" w:rsidRDefault="00503A41" w:rsidP="0009331F">
      <w:pPr>
        <w:spacing w:before="120"/>
        <w:jc w:val="both"/>
        <w:rPr>
          <w:rFonts w:ascii="Arial" w:hAnsi="Arial" w:cs="Arial"/>
          <w:lang w:val="es-ES"/>
        </w:rPr>
      </w:pPr>
      <w:r w:rsidRPr="00993936">
        <w:rPr>
          <w:rFonts w:ascii="Arial" w:hAnsi="Arial" w:cs="Arial"/>
          <w:lang w:val="es-ES"/>
        </w:rPr>
        <w:t>Criterio de intervención:</w:t>
      </w:r>
    </w:p>
    <w:p w:rsidR="00503A41" w:rsidRPr="00993936" w:rsidRDefault="00503A41" w:rsidP="0009331F">
      <w:pPr>
        <w:pStyle w:val="Textoindependiente"/>
        <w:spacing w:before="120"/>
        <w:rPr>
          <w:rFonts w:cs="Arial"/>
          <w:szCs w:val="22"/>
          <w:lang w:val="es-ES"/>
        </w:rPr>
      </w:pPr>
      <w:r w:rsidRPr="00993936">
        <w:rPr>
          <w:rFonts w:cs="Arial"/>
          <w:szCs w:val="22"/>
          <w:lang w:val="es-ES"/>
        </w:rPr>
        <w:t>La estrategia estándar establece 4 momentos de la fenología susceptibles de intervención con fungicidas apropiados:</w:t>
      </w:r>
    </w:p>
    <w:p w:rsidR="00503A41" w:rsidRPr="00993936" w:rsidRDefault="00503A41" w:rsidP="009D1A2D">
      <w:pPr>
        <w:pStyle w:val="Textoindependiente"/>
        <w:numPr>
          <w:ilvl w:val="0"/>
          <w:numId w:val="97"/>
        </w:numPr>
        <w:tabs>
          <w:tab w:val="clear" w:pos="927"/>
          <w:tab w:val="num" w:pos="1635"/>
        </w:tabs>
        <w:spacing w:before="120"/>
        <w:ind w:left="708" w:firstLine="0"/>
        <w:rPr>
          <w:rFonts w:cs="Arial"/>
          <w:szCs w:val="22"/>
          <w:lang w:val="es-ES"/>
        </w:rPr>
      </w:pPr>
      <w:r w:rsidRPr="00993936">
        <w:rPr>
          <w:rFonts w:cs="Arial"/>
          <w:szCs w:val="22"/>
          <w:lang w:val="es-ES"/>
        </w:rPr>
        <w:t>Floración</w:t>
      </w:r>
    </w:p>
    <w:p w:rsidR="00503A41" w:rsidRPr="00993936" w:rsidRDefault="00503A41" w:rsidP="009D1A2D">
      <w:pPr>
        <w:pStyle w:val="Textoindependiente"/>
        <w:numPr>
          <w:ilvl w:val="0"/>
          <w:numId w:val="97"/>
        </w:numPr>
        <w:tabs>
          <w:tab w:val="clear" w:pos="927"/>
          <w:tab w:val="num" w:pos="1635"/>
        </w:tabs>
        <w:spacing w:before="120"/>
        <w:ind w:left="708" w:firstLine="0"/>
        <w:rPr>
          <w:rFonts w:cs="Arial"/>
          <w:szCs w:val="22"/>
          <w:lang w:val="es-ES"/>
        </w:rPr>
      </w:pPr>
      <w:r w:rsidRPr="00993936">
        <w:rPr>
          <w:rFonts w:cs="Arial"/>
          <w:szCs w:val="22"/>
          <w:lang w:val="es-ES"/>
        </w:rPr>
        <w:t>Antes del cierre de la uva</w:t>
      </w:r>
    </w:p>
    <w:p w:rsidR="00503A41" w:rsidRPr="00993936" w:rsidRDefault="00503A41" w:rsidP="009D1A2D">
      <w:pPr>
        <w:pStyle w:val="Textoindependiente"/>
        <w:numPr>
          <w:ilvl w:val="0"/>
          <w:numId w:val="97"/>
        </w:numPr>
        <w:tabs>
          <w:tab w:val="clear" w:pos="927"/>
          <w:tab w:val="num" w:pos="1635"/>
        </w:tabs>
        <w:spacing w:before="120"/>
        <w:ind w:left="708" w:firstLine="0"/>
        <w:rPr>
          <w:rFonts w:cs="Arial"/>
          <w:szCs w:val="22"/>
          <w:lang w:val="es-ES"/>
        </w:rPr>
      </w:pPr>
      <w:r w:rsidRPr="00993936">
        <w:rPr>
          <w:rFonts w:cs="Arial"/>
          <w:szCs w:val="22"/>
          <w:lang w:val="es-ES"/>
        </w:rPr>
        <w:t>Inicio de enverado</w:t>
      </w:r>
    </w:p>
    <w:p w:rsidR="00503A41" w:rsidRPr="00993936" w:rsidRDefault="00503A41" w:rsidP="009D1A2D">
      <w:pPr>
        <w:pStyle w:val="Textoindependiente"/>
        <w:numPr>
          <w:ilvl w:val="0"/>
          <w:numId w:val="97"/>
        </w:numPr>
        <w:tabs>
          <w:tab w:val="clear" w:pos="927"/>
          <w:tab w:val="num" w:pos="1635"/>
        </w:tabs>
        <w:spacing w:before="120"/>
        <w:ind w:left="708" w:firstLine="0"/>
        <w:rPr>
          <w:rFonts w:cs="Arial"/>
          <w:szCs w:val="22"/>
          <w:lang w:val="es-ES"/>
        </w:rPr>
      </w:pPr>
      <w:r w:rsidRPr="00993936">
        <w:rPr>
          <w:rFonts w:cs="Arial"/>
          <w:szCs w:val="22"/>
          <w:lang w:val="es-ES"/>
        </w:rPr>
        <w:t>21 días antes de la vendimia</w:t>
      </w:r>
    </w:p>
    <w:p w:rsidR="00503A41" w:rsidRPr="00993936" w:rsidRDefault="00503A41" w:rsidP="0009331F">
      <w:pPr>
        <w:pStyle w:val="Textoindependiente"/>
        <w:spacing w:before="120"/>
        <w:rPr>
          <w:rFonts w:cs="Arial"/>
          <w:szCs w:val="22"/>
          <w:lang w:val="es-ES"/>
        </w:rPr>
      </w:pPr>
      <w:r w:rsidRPr="00993936">
        <w:rPr>
          <w:rFonts w:cs="Arial"/>
          <w:szCs w:val="22"/>
          <w:lang w:val="es-ES"/>
        </w:rPr>
        <w:t>El número de tratamientos específicos a realizar lo decidirá el técnico responsable, en función de la sensibilidad de la variedad y/o de la parcela, de la zona y de las condiciones meteorológicas del año.  En ningún caso se superará el número de tratamientos definidos en la estrategia estándar.</w:t>
      </w:r>
    </w:p>
    <w:p w:rsidR="00503A41" w:rsidRPr="00993936" w:rsidRDefault="00503A41" w:rsidP="0009331F">
      <w:pPr>
        <w:pStyle w:val="Textoindependiente"/>
        <w:spacing w:before="120"/>
        <w:outlineLvl w:val="0"/>
        <w:rPr>
          <w:rFonts w:cs="Arial"/>
          <w:b/>
          <w:szCs w:val="22"/>
          <w:lang w:val="es-ES"/>
        </w:rPr>
      </w:pPr>
      <w:r w:rsidRPr="00993936">
        <w:rPr>
          <w:rFonts w:cs="Arial"/>
          <w:b/>
          <w:szCs w:val="22"/>
          <w:lang w:val="es-ES"/>
        </w:rPr>
        <w:t xml:space="preserve">Hongos de madera </w:t>
      </w:r>
      <w:r w:rsidRPr="00993936">
        <w:rPr>
          <w:rFonts w:cs="Arial"/>
          <w:i/>
          <w:szCs w:val="22"/>
          <w:lang w:val="es-ES"/>
        </w:rPr>
        <w:t>(Relampagueado o yesca y eutipiosi):</w:t>
      </w:r>
    </w:p>
    <w:p w:rsidR="00503A41" w:rsidRPr="00993936" w:rsidRDefault="00503A41" w:rsidP="0009331F">
      <w:pPr>
        <w:pStyle w:val="Ttulo1"/>
        <w:spacing w:before="120"/>
        <w:rPr>
          <w:rFonts w:ascii="Arial" w:hAnsi="Arial" w:cs="Arial"/>
          <w:color w:val="auto"/>
          <w:sz w:val="22"/>
          <w:szCs w:val="22"/>
        </w:rPr>
      </w:pPr>
      <w:r w:rsidRPr="00993936">
        <w:rPr>
          <w:rFonts w:ascii="Arial" w:hAnsi="Arial" w:cs="Arial"/>
          <w:color w:val="auto"/>
          <w:sz w:val="22"/>
          <w:szCs w:val="22"/>
        </w:rPr>
        <w:t>Metodología de seguimiento:</w:t>
      </w:r>
    </w:p>
    <w:p w:rsidR="00503A41" w:rsidRPr="00993936" w:rsidRDefault="00503A41" w:rsidP="0009331F">
      <w:pPr>
        <w:pStyle w:val="Textoindependiente"/>
        <w:spacing w:before="120"/>
        <w:rPr>
          <w:rFonts w:cs="Arial"/>
          <w:szCs w:val="22"/>
          <w:lang w:val="es-ES"/>
        </w:rPr>
      </w:pPr>
      <w:r w:rsidRPr="00993936">
        <w:rPr>
          <w:rFonts w:cs="Arial"/>
          <w:szCs w:val="22"/>
          <w:lang w:val="es-ES"/>
        </w:rPr>
        <w:t>Observación de síntomas y marcaje de las viñas afectadas.</w:t>
      </w:r>
    </w:p>
    <w:p w:rsidR="00503A41" w:rsidRPr="00993936" w:rsidRDefault="00503A41" w:rsidP="0009331F">
      <w:pPr>
        <w:spacing w:before="120"/>
        <w:jc w:val="both"/>
        <w:rPr>
          <w:rFonts w:ascii="Arial" w:hAnsi="Arial" w:cs="Arial"/>
          <w:lang w:val="es-ES"/>
        </w:rPr>
      </w:pPr>
      <w:r w:rsidRPr="00993936">
        <w:rPr>
          <w:rFonts w:ascii="Arial" w:hAnsi="Arial" w:cs="Arial"/>
          <w:lang w:val="es-ES"/>
        </w:rPr>
        <w:t>Criterio de intervención:</w:t>
      </w:r>
    </w:p>
    <w:p w:rsidR="00503A41" w:rsidRPr="00993936" w:rsidRDefault="00503A41" w:rsidP="0009331F">
      <w:pPr>
        <w:pStyle w:val="Textoindependiente"/>
        <w:spacing w:before="120"/>
        <w:rPr>
          <w:rFonts w:cs="Arial"/>
          <w:szCs w:val="22"/>
          <w:lang w:val="es-ES"/>
        </w:rPr>
      </w:pPr>
      <w:r w:rsidRPr="00993936">
        <w:rPr>
          <w:rFonts w:cs="Arial"/>
          <w:szCs w:val="22"/>
          <w:lang w:val="es-ES"/>
        </w:rPr>
        <w:t>No hay lucha curativa posible, sólo las medidas preventivas pueden atenuar la incidencia de estos hongos. Hacer una poda racional evitando las grandes amputaciones. Proteger las heridas grandes de poda con productos apropiados, arrancar y destruir las cepas</w:t>
      </w:r>
      <w:r w:rsidRPr="00993936">
        <w:rPr>
          <w:rFonts w:cs="Arial"/>
          <w:vanish/>
          <w:szCs w:val="22"/>
          <w:lang w:val="es-ES"/>
        </w:rPr>
        <w:t>&lt;A[cepas|vides]&gt;</w:t>
      </w:r>
      <w:r w:rsidRPr="00993936">
        <w:rPr>
          <w:rFonts w:cs="Arial"/>
          <w:szCs w:val="22"/>
          <w:lang w:val="es-ES"/>
        </w:rPr>
        <w:t xml:space="preserve"> muertas, podar las cepas</w:t>
      </w:r>
      <w:r w:rsidRPr="00993936">
        <w:rPr>
          <w:rFonts w:cs="Arial"/>
          <w:vanish/>
          <w:szCs w:val="22"/>
          <w:lang w:val="es-ES"/>
        </w:rPr>
        <w:t>&lt;A[cepas|vides]&gt;</w:t>
      </w:r>
      <w:r w:rsidRPr="00993936">
        <w:rPr>
          <w:rFonts w:cs="Arial"/>
          <w:szCs w:val="22"/>
          <w:lang w:val="es-ES"/>
        </w:rPr>
        <w:t xml:space="preserve"> afectadas al final, no dejar restos de poda sin destruir en la parcela.</w:t>
      </w:r>
    </w:p>
    <w:p w:rsidR="00503A41" w:rsidRPr="00993936" w:rsidRDefault="00503A41" w:rsidP="0009331F">
      <w:pPr>
        <w:ind w:left="708"/>
        <w:jc w:val="both"/>
        <w:rPr>
          <w:rFonts w:ascii="Arial" w:hAnsi="Arial" w:cs="Arial"/>
          <w:lang w:val="es-ES"/>
        </w:rPr>
      </w:pPr>
    </w:p>
    <w:p w:rsidR="00503A41" w:rsidRPr="00993936" w:rsidRDefault="00503A41" w:rsidP="0009331F">
      <w:pPr>
        <w:ind w:left="708"/>
        <w:jc w:val="both"/>
        <w:rPr>
          <w:rFonts w:ascii="Arial" w:hAnsi="Arial" w:cs="Arial"/>
          <w:lang w:val="es-ES"/>
        </w:rPr>
      </w:pPr>
    </w:p>
    <w:p w:rsidR="00503A41" w:rsidRPr="00993936" w:rsidRDefault="00503A41" w:rsidP="0009331F">
      <w:pPr>
        <w:pStyle w:val="Ttulo2"/>
        <w:rPr>
          <w:rFonts w:ascii="Arial" w:hAnsi="Arial" w:cs="Arial"/>
          <w:b/>
          <w:color w:val="auto"/>
          <w:sz w:val="22"/>
          <w:szCs w:val="22"/>
          <w:lang w:val="es-ES"/>
        </w:rPr>
      </w:pPr>
      <w:r w:rsidRPr="00993936">
        <w:rPr>
          <w:rFonts w:ascii="Arial" w:hAnsi="Arial" w:cs="Arial"/>
          <w:color w:val="auto"/>
          <w:szCs w:val="22"/>
          <w:lang w:val="es-ES"/>
        </w:rPr>
        <w:br w:type="page"/>
      </w:r>
      <w:r w:rsidRPr="00993936">
        <w:rPr>
          <w:rFonts w:ascii="Arial" w:hAnsi="Arial" w:cs="Arial"/>
          <w:b/>
          <w:color w:val="auto"/>
          <w:sz w:val="22"/>
          <w:szCs w:val="22"/>
          <w:lang w:val="es-ES"/>
        </w:rPr>
        <w:lastRenderedPageBreak/>
        <w:t>ANEXO 6</w:t>
      </w:r>
    </w:p>
    <w:p w:rsidR="00503A41" w:rsidRPr="00993936" w:rsidRDefault="00503A41" w:rsidP="0009331F">
      <w:pPr>
        <w:rPr>
          <w:rFonts w:ascii="Arial" w:hAnsi="Arial" w:cs="Arial"/>
          <w:b/>
          <w:sz w:val="16"/>
          <w:lang w:val="es-ES"/>
        </w:rPr>
      </w:pPr>
    </w:p>
    <w:p w:rsidR="00503A41" w:rsidRPr="00993936" w:rsidRDefault="00503A41" w:rsidP="0009331F">
      <w:pPr>
        <w:pStyle w:val="Ttulo2"/>
        <w:rPr>
          <w:rFonts w:ascii="Arial" w:hAnsi="Arial" w:cs="Arial"/>
          <w:b/>
          <w:color w:val="auto"/>
          <w:sz w:val="22"/>
          <w:szCs w:val="22"/>
          <w:lang w:val="es-ES"/>
        </w:rPr>
      </w:pPr>
      <w:r w:rsidRPr="00993936">
        <w:rPr>
          <w:rFonts w:ascii="Arial" w:hAnsi="Arial" w:cs="Arial"/>
          <w:b/>
          <w:color w:val="auto"/>
          <w:sz w:val="22"/>
          <w:szCs w:val="22"/>
          <w:lang w:val="es-ES"/>
        </w:rPr>
        <w:t>6.1 Niveles orientativos del contenido de elementos en análisis foliares (*)</w:t>
      </w:r>
    </w:p>
    <w:p w:rsidR="00503A41" w:rsidRPr="00993936" w:rsidRDefault="00503A41" w:rsidP="0009331F">
      <w:pPr>
        <w:jc w:val="both"/>
        <w:rPr>
          <w:rFonts w:ascii="Arial" w:hAnsi="Arial" w:cs="Arial"/>
          <w:u w:val="single"/>
          <w:lang w:val="es-ES"/>
        </w:rPr>
      </w:pPr>
      <w:r w:rsidRPr="00993936">
        <w:rPr>
          <w:rFonts w:ascii="Arial" w:hAnsi="Arial" w:cs="Arial"/>
          <w:i/>
          <w:u w:val="single"/>
          <w:lang w:val="es-ES"/>
        </w:rPr>
        <w:t>Criterio para la toma</w:t>
      </w:r>
      <w:r w:rsidRPr="00993936">
        <w:rPr>
          <w:rFonts w:ascii="Arial" w:hAnsi="Arial" w:cs="Arial"/>
          <w:i/>
          <w:vanish/>
          <w:u w:val="single"/>
          <w:lang w:val="es-ES"/>
        </w:rPr>
        <w:t>&lt;A[toma|presa]&gt;</w:t>
      </w:r>
      <w:r w:rsidRPr="00993936">
        <w:rPr>
          <w:rFonts w:ascii="Arial" w:hAnsi="Arial" w:cs="Arial"/>
          <w:i/>
          <w:u w:val="single"/>
          <w:lang w:val="es-ES"/>
        </w:rPr>
        <w:t xml:space="preserve"> de muestras de hojas:</w:t>
      </w:r>
      <w:r w:rsidRPr="00993936">
        <w:rPr>
          <w:rFonts w:ascii="Arial" w:hAnsi="Arial" w:cs="Arial"/>
          <w:u w:val="single"/>
          <w:lang w:val="es-ES"/>
        </w:rPr>
        <w:t xml:space="preserve"> </w:t>
      </w:r>
    </w:p>
    <w:p w:rsidR="00503A41" w:rsidRPr="00993936" w:rsidRDefault="00503A41" w:rsidP="0009331F">
      <w:pPr>
        <w:jc w:val="both"/>
        <w:rPr>
          <w:rFonts w:ascii="Arial" w:hAnsi="Arial" w:cs="Arial"/>
          <w:lang w:val="es-ES"/>
        </w:rPr>
      </w:pPr>
      <w:r w:rsidRPr="00993936">
        <w:rPr>
          <w:rFonts w:ascii="Arial" w:hAnsi="Arial" w:cs="Arial"/>
          <w:lang w:val="es-ES"/>
        </w:rPr>
        <w:t>Para evaluar el estado de nutrición del cultivo se necesario obtener hojas en buen estado. El criterio general de selección de las muestras se basa en la obtención de hojas del año plenamente desarrolladas.</w:t>
      </w:r>
    </w:p>
    <w:p w:rsidR="00503A41" w:rsidRPr="00993936" w:rsidRDefault="00503A41" w:rsidP="0009331F">
      <w:pPr>
        <w:jc w:val="both"/>
        <w:rPr>
          <w:rFonts w:ascii="Arial" w:hAnsi="Arial" w:cs="Arial"/>
          <w:i/>
          <w:u w:val="single"/>
          <w:lang w:val="es-ES"/>
        </w:rPr>
      </w:pPr>
      <w:r w:rsidRPr="00993936">
        <w:rPr>
          <w:rFonts w:ascii="Arial" w:hAnsi="Arial" w:cs="Arial"/>
          <w:i/>
          <w:u w:val="single"/>
          <w:lang w:val="es-ES"/>
        </w:rPr>
        <w:t>Número de hojas:</w:t>
      </w:r>
    </w:p>
    <w:p w:rsidR="00503A41" w:rsidRPr="00993936" w:rsidRDefault="00503A41" w:rsidP="0009331F">
      <w:pPr>
        <w:jc w:val="both"/>
        <w:rPr>
          <w:rFonts w:ascii="Arial" w:hAnsi="Arial" w:cs="Arial"/>
          <w:lang w:val="es-ES"/>
        </w:rPr>
      </w:pPr>
      <w:r w:rsidRPr="00993936">
        <w:rPr>
          <w:rFonts w:ascii="Arial" w:hAnsi="Arial" w:cs="Arial"/>
          <w:lang w:val="es-ES"/>
        </w:rPr>
        <w:t xml:space="preserve">Se recomienda coger 25 hojas opuestas a la primera uva basal. </w:t>
      </w:r>
    </w:p>
    <w:p w:rsidR="00503A41" w:rsidRPr="00993936" w:rsidRDefault="00503A41" w:rsidP="0009331F">
      <w:pPr>
        <w:jc w:val="both"/>
        <w:rPr>
          <w:rFonts w:ascii="Arial" w:hAnsi="Arial" w:cs="Arial"/>
          <w:i/>
          <w:u w:val="single"/>
          <w:lang w:val="es-ES"/>
        </w:rPr>
      </w:pPr>
      <w:r w:rsidRPr="00993936">
        <w:rPr>
          <w:rFonts w:ascii="Arial" w:hAnsi="Arial" w:cs="Arial"/>
          <w:i/>
          <w:u w:val="single"/>
          <w:lang w:val="es-ES"/>
        </w:rPr>
        <w:t xml:space="preserve">Periodo: </w:t>
      </w:r>
    </w:p>
    <w:p w:rsidR="00503A41" w:rsidRPr="00993936" w:rsidRDefault="00503A41" w:rsidP="0009331F">
      <w:pPr>
        <w:jc w:val="both"/>
        <w:rPr>
          <w:rFonts w:ascii="Arial" w:hAnsi="Arial" w:cs="Arial"/>
          <w:lang w:val="es-ES"/>
        </w:rPr>
      </w:pPr>
      <w:r w:rsidRPr="00993936">
        <w:rPr>
          <w:rFonts w:ascii="Arial" w:hAnsi="Arial" w:cs="Arial"/>
          <w:lang w:val="es-ES"/>
        </w:rPr>
        <w:t xml:space="preserve">Hay varías opciones </w:t>
      </w:r>
    </w:p>
    <w:p w:rsidR="00503A41" w:rsidRPr="00993936" w:rsidRDefault="00503A41" w:rsidP="009D1A2D">
      <w:pPr>
        <w:numPr>
          <w:ilvl w:val="0"/>
          <w:numId w:val="101"/>
        </w:numPr>
        <w:spacing w:after="0" w:line="240" w:lineRule="auto"/>
        <w:jc w:val="both"/>
        <w:rPr>
          <w:rFonts w:ascii="Arial" w:hAnsi="Arial" w:cs="Arial"/>
          <w:lang w:val="es-ES"/>
        </w:rPr>
      </w:pPr>
      <w:r w:rsidRPr="00993936">
        <w:rPr>
          <w:rFonts w:ascii="Arial" w:hAnsi="Arial" w:cs="Arial"/>
          <w:lang w:val="es-ES"/>
        </w:rPr>
        <w:t>Un mes a partir de los 20 días de la floración (principios de verano)</w:t>
      </w:r>
    </w:p>
    <w:p w:rsidR="00503A41" w:rsidRPr="00993936" w:rsidRDefault="00503A41" w:rsidP="009D1A2D">
      <w:pPr>
        <w:numPr>
          <w:ilvl w:val="0"/>
          <w:numId w:val="101"/>
        </w:numPr>
        <w:spacing w:after="0" w:line="240" w:lineRule="auto"/>
        <w:jc w:val="both"/>
        <w:rPr>
          <w:rFonts w:ascii="Arial" w:hAnsi="Arial" w:cs="Arial"/>
          <w:lang w:val="es-ES"/>
        </w:rPr>
      </w:pPr>
      <w:r w:rsidRPr="00993936">
        <w:rPr>
          <w:rFonts w:ascii="Arial" w:hAnsi="Arial" w:cs="Arial"/>
          <w:lang w:val="es-ES"/>
        </w:rPr>
        <w:t>Después del enverado (mitad a final de verano)</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Uva de vinificación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84"/>
        <w:gridCol w:w="2196"/>
        <w:gridCol w:w="1098"/>
        <w:gridCol w:w="1234"/>
        <w:gridCol w:w="1234"/>
        <w:gridCol w:w="1098"/>
      </w:tblGrid>
      <w:tr w:rsidR="00503A41" w:rsidRPr="00993936" w:rsidTr="0009331F">
        <w:tc>
          <w:tcPr>
            <w:tcW w:w="2302" w:type="pct"/>
            <w:gridSpan w:val="2"/>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Elemento</w:t>
            </w:r>
          </w:p>
        </w:tc>
        <w:tc>
          <w:tcPr>
            <w:tcW w:w="635" w:type="pct"/>
            <w:tcBorders>
              <w:bottom w:val="single" w:sz="4" w:space="0" w:color="auto"/>
            </w:tcBorders>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Bajo</w:t>
            </w:r>
          </w:p>
        </w:tc>
        <w:tc>
          <w:tcPr>
            <w:tcW w:w="714" w:type="pct"/>
            <w:tcBorders>
              <w:bottom w:val="single" w:sz="4" w:space="0" w:color="auto"/>
            </w:tcBorders>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Normal</w:t>
            </w:r>
          </w:p>
        </w:tc>
        <w:tc>
          <w:tcPr>
            <w:tcW w:w="714" w:type="pct"/>
            <w:tcBorders>
              <w:bottom w:val="single" w:sz="4" w:space="0" w:color="auto"/>
            </w:tcBorders>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Alto</w:t>
            </w:r>
          </w:p>
        </w:tc>
        <w:tc>
          <w:tcPr>
            <w:tcW w:w="635" w:type="pct"/>
            <w:tcBorders>
              <w:bottom w:val="single" w:sz="4" w:space="0" w:color="auto"/>
            </w:tcBorders>
            <w:shd w:val="pct12" w:color="auto" w:fill="FFFFFF"/>
          </w:tcPr>
          <w:p w:rsidR="00503A41" w:rsidRPr="00993936" w:rsidRDefault="00503A41" w:rsidP="0009331F">
            <w:pPr>
              <w:jc w:val="center"/>
              <w:rPr>
                <w:rFonts w:ascii="Arial" w:hAnsi="Arial" w:cs="Arial"/>
                <w:b/>
                <w:lang w:val="es-ES"/>
              </w:rPr>
            </w:pPr>
            <w:r w:rsidRPr="00993936">
              <w:rPr>
                <w:rFonts w:ascii="Arial" w:hAnsi="Arial" w:cs="Arial"/>
                <w:b/>
                <w:lang w:val="es-ES"/>
              </w:rPr>
              <w:t>Muy alto</w:t>
            </w:r>
          </w:p>
        </w:tc>
      </w:tr>
      <w:tr w:rsidR="00503A41" w:rsidRPr="00993936" w:rsidTr="0009331F">
        <w:trPr>
          <w:cantSplit/>
        </w:trPr>
        <w:tc>
          <w:tcPr>
            <w:tcW w:w="1032" w:type="pct"/>
          </w:tcPr>
          <w:p w:rsidR="00503A41" w:rsidRPr="00993936" w:rsidRDefault="00503A41" w:rsidP="0009331F">
            <w:pPr>
              <w:jc w:val="both"/>
              <w:rPr>
                <w:rFonts w:ascii="Arial" w:hAnsi="Arial" w:cs="Arial"/>
                <w:sz w:val="20"/>
                <w:lang w:val="es-ES"/>
              </w:rPr>
            </w:pPr>
            <w:r w:rsidRPr="00993936">
              <w:rPr>
                <w:rFonts w:ascii="Arial" w:hAnsi="Arial" w:cs="Arial"/>
                <w:sz w:val="20"/>
                <w:lang w:val="es-ES"/>
              </w:rPr>
              <w:t>Nitrógeno</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Fósforo</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Potasio</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Calcio</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Magnesio</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Azufre</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Hierro</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Manganeso</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Cinc</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Cobre</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Boro</w:t>
            </w:r>
          </w:p>
          <w:p w:rsidR="00503A41" w:rsidRPr="00993936" w:rsidRDefault="00503A41" w:rsidP="0009331F">
            <w:pPr>
              <w:jc w:val="both"/>
              <w:rPr>
                <w:rFonts w:ascii="Arial" w:hAnsi="Arial" w:cs="Arial"/>
                <w:sz w:val="20"/>
                <w:lang w:val="es-ES"/>
              </w:rPr>
            </w:pPr>
            <w:r w:rsidRPr="00993936">
              <w:rPr>
                <w:rFonts w:ascii="Arial" w:hAnsi="Arial" w:cs="Arial"/>
                <w:sz w:val="20"/>
                <w:lang w:val="es-ES"/>
              </w:rPr>
              <w:t>Sodio</w:t>
            </w:r>
          </w:p>
          <w:p w:rsidR="00503A41" w:rsidRPr="00993936" w:rsidRDefault="00503A41" w:rsidP="0009331F">
            <w:pPr>
              <w:jc w:val="both"/>
              <w:rPr>
                <w:rFonts w:ascii="Arial" w:hAnsi="Arial" w:cs="Arial"/>
                <w:sz w:val="20"/>
                <w:lang w:val="es-ES"/>
              </w:rPr>
            </w:pPr>
          </w:p>
        </w:tc>
        <w:tc>
          <w:tcPr>
            <w:tcW w:w="1270" w:type="pct"/>
          </w:tcPr>
          <w:p w:rsidR="00503A41" w:rsidRPr="00993936" w:rsidRDefault="00503A41" w:rsidP="001D205D">
            <w:pPr>
              <w:rPr>
                <w:rFonts w:ascii="Arial" w:hAnsi="Arial" w:cs="Arial"/>
                <w:lang w:val="es-ES"/>
              </w:rPr>
            </w:pPr>
            <w:r w:rsidRPr="00993936">
              <w:rPr>
                <w:rFonts w:ascii="Arial" w:hAnsi="Arial" w:cs="Arial"/>
                <w:lang w:val="es-ES"/>
              </w:rPr>
              <w:t>N (%)</w:t>
            </w:r>
          </w:p>
          <w:p w:rsidR="00503A41" w:rsidRPr="00993936" w:rsidRDefault="00503A41" w:rsidP="001D205D">
            <w:pPr>
              <w:rPr>
                <w:rFonts w:ascii="Arial" w:hAnsi="Arial" w:cs="Arial"/>
                <w:lang w:val="es-ES"/>
              </w:rPr>
            </w:pPr>
            <w:r w:rsidRPr="00993936">
              <w:rPr>
                <w:rFonts w:ascii="Arial" w:hAnsi="Arial" w:cs="Arial"/>
                <w:lang w:val="es-ES"/>
              </w:rPr>
              <w:t>P (%)</w:t>
            </w:r>
          </w:p>
          <w:p w:rsidR="00503A41" w:rsidRPr="00993936" w:rsidRDefault="00503A41" w:rsidP="001D205D">
            <w:pPr>
              <w:rPr>
                <w:rFonts w:ascii="Arial" w:hAnsi="Arial" w:cs="Arial"/>
                <w:lang w:val="es-ES"/>
              </w:rPr>
            </w:pPr>
            <w:r w:rsidRPr="00993936">
              <w:rPr>
                <w:rFonts w:ascii="Arial" w:hAnsi="Arial" w:cs="Arial"/>
                <w:lang w:val="es-ES"/>
              </w:rPr>
              <w:t>K (%)</w:t>
            </w:r>
          </w:p>
          <w:p w:rsidR="00503A41" w:rsidRPr="00993936" w:rsidRDefault="00503A41" w:rsidP="001D205D">
            <w:pPr>
              <w:rPr>
                <w:rFonts w:ascii="Arial" w:hAnsi="Arial" w:cs="Arial"/>
                <w:lang w:val="es-ES"/>
              </w:rPr>
            </w:pPr>
            <w:r w:rsidRPr="00993936">
              <w:rPr>
                <w:rFonts w:ascii="Arial" w:hAnsi="Arial" w:cs="Arial"/>
                <w:lang w:val="es-ES"/>
              </w:rPr>
              <w:t>Ca (%)</w:t>
            </w:r>
          </w:p>
          <w:p w:rsidR="00503A41" w:rsidRPr="00993936" w:rsidRDefault="00503A41" w:rsidP="001D205D">
            <w:pPr>
              <w:rPr>
                <w:rFonts w:ascii="Arial" w:hAnsi="Arial" w:cs="Arial"/>
                <w:lang w:val="es-ES"/>
              </w:rPr>
            </w:pPr>
            <w:r w:rsidRPr="00993936">
              <w:rPr>
                <w:rFonts w:ascii="Arial" w:hAnsi="Arial" w:cs="Arial"/>
                <w:lang w:val="es-ES"/>
              </w:rPr>
              <w:t>Mg (%)</w:t>
            </w:r>
          </w:p>
          <w:p w:rsidR="00503A41" w:rsidRPr="00993936" w:rsidRDefault="00503A41" w:rsidP="001D205D">
            <w:pPr>
              <w:rPr>
                <w:rFonts w:ascii="Arial" w:hAnsi="Arial" w:cs="Arial"/>
                <w:lang w:val="es-ES"/>
              </w:rPr>
            </w:pPr>
            <w:r w:rsidRPr="00993936">
              <w:rPr>
                <w:rFonts w:ascii="Arial" w:hAnsi="Arial" w:cs="Arial"/>
                <w:lang w:val="es-ES"/>
              </w:rPr>
              <w:t>S (%)</w:t>
            </w:r>
          </w:p>
          <w:p w:rsidR="00503A41" w:rsidRPr="00993936" w:rsidRDefault="00503A41" w:rsidP="001D205D">
            <w:pPr>
              <w:rPr>
                <w:rFonts w:ascii="Arial" w:hAnsi="Arial" w:cs="Arial"/>
                <w:lang w:val="es-ES"/>
              </w:rPr>
            </w:pPr>
            <w:r w:rsidRPr="00993936">
              <w:rPr>
                <w:rFonts w:ascii="Arial" w:hAnsi="Arial" w:cs="Arial"/>
                <w:lang w:val="es-ES"/>
              </w:rPr>
              <w:t>Fe (ppm)</w:t>
            </w:r>
          </w:p>
          <w:p w:rsidR="00503A41" w:rsidRPr="00993936" w:rsidRDefault="00503A41" w:rsidP="001D205D">
            <w:pPr>
              <w:rPr>
                <w:rFonts w:ascii="Arial" w:hAnsi="Arial" w:cs="Arial"/>
                <w:lang w:val="es-ES"/>
              </w:rPr>
            </w:pPr>
            <w:r w:rsidRPr="00993936">
              <w:rPr>
                <w:rFonts w:ascii="Arial" w:hAnsi="Arial" w:cs="Arial"/>
                <w:lang w:val="es-ES"/>
              </w:rPr>
              <w:t>Mn (ppm)</w:t>
            </w:r>
          </w:p>
          <w:p w:rsidR="00503A41" w:rsidRPr="00993936" w:rsidRDefault="00503A41" w:rsidP="001D205D">
            <w:pPr>
              <w:rPr>
                <w:rFonts w:ascii="Arial" w:hAnsi="Arial" w:cs="Arial"/>
                <w:lang w:val="es-ES"/>
              </w:rPr>
            </w:pPr>
            <w:r w:rsidRPr="00993936">
              <w:rPr>
                <w:rFonts w:ascii="Arial" w:hAnsi="Arial" w:cs="Arial"/>
                <w:lang w:val="es-ES"/>
              </w:rPr>
              <w:t>Zn (ppm)</w:t>
            </w:r>
          </w:p>
          <w:p w:rsidR="00503A41" w:rsidRPr="00993936" w:rsidRDefault="00503A41" w:rsidP="001D205D">
            <w:pPr>
              <w:rPr>
                <w:rFonts w:ascii="Arial" w:hAnsi="Arial" w:cs="Arial"/>
                <w:lang w:val="es-ES"/>
              </w:rPr>
            </w:pPr>
            <w:r w:rsidRPr="00993936">
              <w:rPr>
                <w:rFonts w:ascii="Arial" w:hAnsi="Arial" w:cs="Arial"/>
                <w:lang w:val="es-ES"/>
              </w:rPr>
              <w:t>Cu (ppm)</w:t>
            </w:r>
          </w:p>
          <w:p w:rsidR="00503A41" w:rsidRPr="00993936" w:rsidRDefault="00503A41" w:rsidP="001D205D">
            <w:pPr>
              <w:rPr>
                <w:rFonts w:ascii="Arial" w:hAnsi="Arial" w:cs="Arial"/>
                <w:lang w:val="es-ES"/>
              </w:rPr>
            </w:pPr>
            <w:r w:rsidRPr="00993936">
              <w:rPr>
                <w:rFonts w:ascii="Arial" w:hAnsi="Arial" w:cs="Arial"/>
                <w:lang w:val="es-ES"/>
              </w:rPr>
              <w:t>B (ppm)</w:t>
            </w:r>
          </w:p>
          <w:p w:rsidR="00503A41" w:rsidRPr="00993936" w:rsidRDefault="00503A41" w:rsidP="001D205D">
            <w:pPr>
              <w:rPr>
                <w:rFonts w:ascii="Arial" w:hAnsi="Arial" w:cs="Arial"/>
                <w:lang w:val="es-ES"/>
              </w:rPr>
            </w:pPr>
            <w:r w:rsidRPr="00993936">
              <w:rPr>
                <w:rFonts w:ascii="Arial" w:hAnsi="Arial" w:cs="Arial"/>
                <w:lang w:val="es-ES"/>
              </w:rPr>
              <w:t>Na (ppm)</w:t>
            </w:r>
          </w:p>
        </w:tc>
        <w:tc>
          <w:tcPr>
            <w:tcW w:w="635" w:type="pct"/>
            <w:shd w:val="clear" w:color="auto" w:fill="FFFFFF"/>
          </w:tcPr>
          <w:p w:rsidR="00503A41" w:rsidRPr="00993936" w:rsidRDefault="00503A41" w:rsidP="0009331F">
            <w:pPr>
              <w:jc w:val="center"/>
              <w:rPr>
                <w:rFonts w:ascii="Arial" w:hAnsi="Arial" w:cs="Arial"/>
                <w:sz w:val="20"/>
                <w:lang w:val="es-ES"/>
              </w:rPr>
            </w:pPr>
            <w:r w:rsidRPr="00993936">
              <w:rPr>
                <w:rFonts w:ascii="Arial" w:hAnsi="Arial" w:cs="Arial"/>
                <w:sz w:val="20"/>
                <w:lang w:val="es-ES"/>
              </w:rPr>
              <w:t>&lt; 1.80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0,11</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0,80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1,30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0,18</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0,10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40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20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15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 15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w:t>
            </w:r>
          </w:p>
        </w:tc>
        <w:tc>
          <w:tcPr>
            <w:tcW w:w="714" w:type="pct"/>
            <w:shd w:val="clear" w:color="auto" w:fill="FFFFFF"/>
          </w:tcPr>
          <w:p w:rsidR="00503A41" w:rsidRPr="00993936" w:rsidRDefault="00503A41" w:rsidP="0009331F">
            <w:pPr>
              <w:jc w:val="center"/>
              <w:rPr>
                <w:rFonts w:ascii="Arial" w:hAnsi="Arial" w:cs="Arial"/>
                <w:sz w:val="20"/>
                <w:lang w:val="es-ES"/>
              </w:rPr>
            </w:pPr>
            <w:r w:rsidRPr="00993936">
              <w:rPr>
                <w:rFonts w:ascii="Arial" w:hAnsi="Arial" w:cs="Arial"/>
                <w:sz w:val="20"/>
                <w:lang w:val="es-ES"/>
              </w:rPr>
              <w:t>1,80 - 2,35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 xml:space="preserve"> 0,11 - 0,22</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 xml:space="preserve"> 0,80 - 1,50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1,30  - 3,00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0,18 – 0,50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0,10 – 0,25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40 – 175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20 – 100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 xml:space="preserve">12 – 40 </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 xml:space="preserve">5 – 20 </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 xml:space="preserve">15 – 75 </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&lt;500</w:t>
            </w:r>
          </w:p>
        </w:tc>
        <w:tc>
          <w:tcPr>
            <w:tcW w:w="714" w:type="pct"/>
            <w:shd w:val="clear" w:color="auto" w:fill="FFFFFF"/>
          </w:tcPr>
          <w:p w:rsidR="00503A41" w:rsidRPr="00993936" w:rsidRDefault="00503A41" w:rsidP="0009331F">
            <w:pPr>
              <w:jc w:val="center"/>
              <w:rPr>
                <w:rFonts w:ascii="Arial" w:hAnsi="Arial" w:cs="Arial"/>
                <w:sz w:val="20"/>
                <w:lang w:val="es-ES"/>
              </w:rPr>
            </w:pPr>
            <w:r w:rsidRPr="00993936">
              <w:rPr>
                <w:rFonts w:ascii="Arial" w:hAnsi="Arial" w:cs="Arial"/>
                <w:sz w:val="20"/>
                <w:lang w:val="es-ES"/>
              </w:rPr>
              <w:t>2,35 - 3,0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0,22</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1,50 – 2,10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3,00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0,50 – 0,70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0,25 – 0,40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175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100 – 200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40 – 100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 xml:space="preserve">20 – 100 </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75 – 125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&gt;500</w:t>
            </w:r>
          </w:p>
        </w:tc>
        <w:tc>
          <w:tcPr>
            <w:tcW w:w="635" w:type="pct"/>
            <w:shd w:val="clear" w:color="auto" w:fill="FFFFFF"/>
          </w:tcPr>
          <w:p w:rsidR="00503A41" w:rsidRPr="00993936" w:rsidRDefault="00503A41" w:rsidP="0009331F">
            <w:pPr>
              <w:jc w:val="center"/>
              <w:rPr>
                <w:rFonts w:ascii="Arial" w:hAnsi="Arial" w:cs="Arial"/>
                <w:sz w:val="20"/>
                <w:lang w:val="es-ES"/>
              </w:rPr>
            </w:pPr>
            <w:r w:rsidRPr="00993936">
              <w:rPr>
                <w:rFonts w:ascii="Arial" w:hAnsi="Arial" w:cs="Arial"/>
                <w:sz w:val="20"/>
                <w:lang w:val="es-ES"/>
              </w:rPr>
              <w:t>&gt;3,0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2,10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0,70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0,40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200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100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100</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&gt; 125</w:t>
            </w:r>
          </w:p>
          <w:p w:rsidR="00503A41" w:rsidRPr="00993936" w:rsidRDefault="00503A41" w:rsidP="0009331F">
            <w:pPr>
              <w:jc w:val="center"/>
              <w:rPr>
                <w:rFonts w:ascii="Arial" w:hAnsi="Arial" w:cs="Arial"/>
                <w:sz w:val="20"/>
                <w:lang w:val="es-ES"/>
              </w:rPr>
            </w:pPr>
            <w:r w:rsidRPr="00993936">
              <w:rPr>
                <w:rFonts w:ascii="Arial" w:hAnsi="Arial" w:cs="Arial"/>
                <w:sz w:val="20"/>
                <w:lang w:val="es-ES"/>
              </w:rPr>
              <w:t>-</w:t>
            </w:r>
          </w:p>
        </w:tc>
      </w:tr>
    </w:tbl>
    <w:p w:rsidR="00503A41" w:rsidRPr="00993936" w:rsidRDefault="00503A41" w:rsidP="0009331F">
      <w:pPr>
        <w:jc w:val="both"/>
        <w:rPr>
          <w:rFonts w:ascii="Arial" w:hAnsi="Arial" w:cs="Arial"/>
          <w:lang w:val="es-ES"/>
        </w:rPr>
      </w:pPr>
      <w:r w:rsidRPr="00993936">
        <w:rPr>
          <w:rFonts w:ascii="Arial" w:hAnsi="Arial" w:cs="Arial"/>
          <w:lang w:val="es-ES"/>
        </w:rPr>
        <w:t>(*) Fuente:  Laboratorio de Análisis y Fertilidad de Suelos (Applus Agroambiental S.A.)</w:t>
      </w:r>
    </w:p>
    <w:p w:rsidR="00503A41" w:rsidRPr="00993936" w:rsidRDefault="00503A41" w:rsidP="0009331F">
      <w:pPr>
        <w:jc w:val="both"/>
        <w:rPr>
          <w:rFonts w:ascii="Arial" w:hAnsi="Arial" w:cs="Arial"/>
          <w:lang w:val="es-ES"/>
        </w:rPr>
      </w:pPr>
      <w:r w:rsidRPr="00993936">
        <w:rPr>
          <w:rFonts w:ascii="Arial" w:hAnsi="Arial" w:cs="Arial"/>
          <w:lang w:val="es-ES"/>
        </w:rPr>
        <w:br w:type="page"/>
      </w:r>
    </w:p>
    <w:p w:rsidR="00503A41" w:rsidRPr="00993936" w:rsidRDefault="00503A41" w:rsidP="0009331F">
      <w:pPr>
        <w:pStyle w:val="Ttulo3"/>
        <w:rPr>
          <w:rFonts w:ascii="Arial" w:hAnsi="Arial" w:cs="Arial"/>
          <w:b/>
          <w:color w:val="auto"/>
          <w:szCs w:val="22"/>
          <w:lang w:val="es-ES"/>
        </w:rPr>
      </w:pPr>
      <w:r w:rsidRPr="00993936">
        <w:rPr>
          <w:rFonts w:ascii="Arial" w:hAnsi="Arial" w:cs="Arial"/>
          <w:color w:val="auto"/>
          <w:szCs w:val="22"/>
          <w:lang w:val="es-ES"/>
        </w:rPr>
        <w:lastRenderedPageBreak/>
        <w:t>ANEXO 7</w:t>
      </w:r>
    </w:p>
    <w:p w:rsidR="00503A41" w:rsidRPr="00993936" w:rsidRDefault="00503A41" w:rsidP="0009331F">
      <w:pPr>
        <w:rPr>
          <w:rFonts w:ascii="Arial" w:hAnsi="Arial" w:cs="Arial"/>
          <w:lang w:val="es-ES"/>
        </w:rPr>
      </w:pPr>
    </w:p>
    <w:p w:rsidR="00503A41" w:rsidRPr="00993936" w:rsidRDefault="00503A41" w:rsidP="0009331F">
      <w:pPr>
        <w:pStyle w:val="Ttulo3"/>
        <w:rPr>
          <w:rFonts w:ascii="Arial" w:hAnsi="Arial" w:cs="Arial"/>
          <w:b/>
          <w:color w:val="auto"/>
          <w:szCs w:val="22"/>
          <w:lang w:val="es-ES"/>
        </w:rPr>
      </w:pPr>
      <w:r w:rsidRPr="00993936">
        <w:rPr>
          <w:rFonts w:ascii="Arial" w:hAnsi="Arial" w:cs="Arial"/>
          <w:color w:val="auto"/>
          <w:szCs w:val="22"/>
          <w:lang w:val="es-ES"/>
        </w:rPr>
        <w:t>7.1 Tabla</w:t>
      </w:r>
      <w:r w:rsidRPr="00993936">
        <w:rPr>
          <w:rFonts w:ascii="Arial" w:hAnsi="Arial" w:cs="Arial"/>
          <w:vanish/>
          <w:color w:val="auto"/>
          <w:szCs w:val="22"/>
          <w:lang w:val="es-ES"/>
        </w:rPr>
        <w:t>&lt;A[Mesa|Tabla]&gt;</w:t>
      </w:r>
      <w:r w:rsidRPr="00993936">
        <w:rPr>
          <w:rFonts w:ascii="Arial" w:hAnsi="Arial" w:cs="Arial"/>
          <w:color w:val="auto"/>
          <w:szCs w:val="22"/>
          <w:lang w:val="es-ES"/>
        </w:rPr>
        <w:t xml:space="preserve"> orientativa del contenido de nutrientes de algunos abonos</w:t>
      </w:r>
      <w:r w:rsidRPr="00993936">
        <w:rPr>
          <w:rFonts w:ascii="Arial" w:hAnsi="Arial" w:cs="Arial"/>
          <w:vanish/>
          <w:color w:val="auto"/>
          <w:szCs w:val="22"/>
          <w:lang w:val="es-ES"/>
        </w:rPr>
        <w:t>&lt;A[abonos|adobos]&gt;</w:t>
      </w:r>
      <w:r w:rsidRPr="00993936">
        <w:rPr>
          <w:rFonts w:ascii="Arial" w:hAnsi="Arial" w:cs="Arial"/>
          <w:color w:val="auto"/>
          <w:szCs w:val="22"/>
          <w:lang w:val="es-ES"/>
        </w:rPr>
        <w:t xml:space="preserve"> orgánicos </w:t>
      </w:r>
    </w:p>
    <w:p w:rsidR="00503A41" w:rsidRPr="00993936" w:rsidRDefault="00503A41" w:rsidP="0009331F">
      <w:pPr>
        <w:pStyle w:val="Ttulo3"/>
        <w:rPr>
          <w:rFonts w:ascii="Arial" w:hAnsi="Arial" w:cs="Arial"/>
          <w:color w:val="auto"/>
          <w:szCs w:val="22"/>
          <w:lang w:val="es-ES"/>
        </w:rPr>
      </w:pPr>
    </w:p>
    <w:tbl>
      <w:tblPr>
        <w:tblW w:w="5000" w:type="pct"/>
        <w:tblCellMar>
          <w:left w:w="70" w:type="dxa"/>
          <w:right w:w="70" w:type="dxa"/>
        </w:tblCellMar>
        <w:tblLook w:val="0000" w:firstRow="0" w:lastRow="0" w:firstColumn="0" w:lastColumn="0" w:noHBand="0" w:noVBand="0"/>
      </w:tblPr>
      <w:tblGrid>
        <w:gridCol w:w="987"/>
        <w:gridCol w:w="1035"/>
        <w:gridCol w:w="3559"/>
        <w:gridCol w:w="1021"/>
        <w:gridCol w:w="1021"/>
        <w:gridCol w:w="1021"/>
      </w:tblGrid>
      <w:tr w:rsidR="00503A41" w:rsidRPr="00993936" w:rsidTr="0009331F">
        <w:trPr>
          <w:trHeight w:val="555"/>
        </w:trPr>
        <w:tc>
          <w:tcPr>
            <w:tcW w:w="647"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C04A96">
            <w:pPr>
              <w:pStyle w:val="Sinespaciado"/>
              <w:jc w:val="both"/>
              <w:rPr>
                <w:rFonts w:ascii="Arial" w:hAnsi="Arial" w:cs="Arial"/>
                <w:b/>
                <w:lang w:val="es-ES" w:eastAsia="ca-ES"/>
              </w:rPr>
            </w:pPr>
            <w:r w:rsidRPr="00993936">
              <w:rPr>
                <w:rFonts w:ascii="Arial" w:hAnsi="Arial" w:cs="Arial"/>
                <w:b/>
                <w:lang w:val="es-ES" w:eastAsia="ca-ES"/>
              </w:rPr>
              <w:t>Ganado</w:t>
            </w:r>
          </w:p>
        </w:tc>
        <w:tc>
          <w:tcPr>
            <w:tcW w:w="839"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C04A96">
            <w:pPr>
              <w:pStyle w:val="Sinespaciado"/>
              <w:jc w:val="both"/>
              <w:rPr>
                <w:rFonts w:ascii="Arial" w:hAnsi="Arial" w:cs="Arial"/>
                <w:b/>
                <w:lang w:val="es-ES" w:eastAsia="ca-ES"/>
              </w:rPr>
            </w:pPr>
            <w:r w:rsidRPr="00993936">
              <w:rPr>
                <w:rFonts w:ascii="Arial" w:hAnsi="Arial" w:cs="Arial"/>
                <w:b/>
                <w:lang w:val="es-ES" w:eastAsia="ca-ES"/>
              </w:rPr>
              <w:t>Tipo</w:t>
            </w:r>
          </w:p>
        </w:tc>
        <w:tc>
          <w:tcPr>
            <w:tcW w:w="1930" w:type="pct"/>
            <w:tcBorders>
              <w:top w:val="single" w:sz="8" w:space="0" w:color="auto"/>
              <w:left w:val="nil"/>
              <w:bottom w:val="single" w:sz="8" w:space="0" w:color="auto"/>
              <w:right w:val="nil"/>
            </w:tcBorders>
            <w:shd w:val="clear" w:color="auto" w:fill="D9D9D9"/>
            <w:vAlign w:val="center"/>
          </w:tcPr>
          <w:p w:rsidR="00503A41" w:rsidRPr="00993936" w:rsidRDefault="00503A41" w:rsidP="00C04A96">
            <w:pPr>
              <w:pStyle w:val="Sinespaciado"/>
              <w:jc w:val="both"/>
              <w:rPr>
                <w:rFonts w:ascii="Arial" w:hAnsi="Arial" w:cs="Arial"/>
                <w:b/>
                <w:lang w:val="es-ES" w:eastAsia="ca-ES"/>
              </w:rPr>
            </w:pPr>
            <w:r w:rsidRPr="00993936">
              <w:rPr>
                <w:rFonts w:ascii="Arial" w:hAnsi="Arial" w:cs="Arial"/>
                <w:b/>
                <w:lang w:val="es-ES" w:eastAsia="ca-ES"/>
              </w:rPr>
              <w:t>Fase / Sistema Productivo</w:t>
            </w:r>
          </w:p>
        </w:tc>
        <w:tc>
          <w:tcPr>
            <w:tcW w:w="468"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C04A96">
            <w:pPr>
              <w:pStyle w:val="Sinespaciado"/>
              <w:jc w:val="both"/>
              <w:rPr>
                <w:rFonts w:ascii="Arial" w:hAnsi="Arial" w:cs="Arial"/>
                <w:b/>
                <w:lang w:val="es-ES" w:eastAsia="ca-ES"/>
              </w:rPr>
            </w:pPr>
            <w:r w:rsidRPr="00993936">
              <w:rPr>
                <w:rFonts w:ascii="Arial" w:hAnsi="Arial" w:cs="Arial"/>
                <w:b/>
                <w:lang w:val="es-ES" w:eastAsia="ca-ES"/>
              </w:rPr>
              <w:t>Kg N/m</w:t>
            </w:r>
            <w:r w:rsidRPr="00993936">
              <w:rPr>
                <w:rFonts w:ascii="Arial" w:hAnsi="Arial" w:cs="Arial"/>
                <w:b/>
                <w:vertAlign w:val="superscript"/>
                <w:lang w:val="es-ES" w:eastAsia="ca-ES"/>
              </w:rPr>
              <w:t>3</w:t>
            </w:r>
            <w:r w:rsidRPr="00993936">
              <w:rPr>
                <w:rFonts w:ascii="Arial" w:hAnsi="Arial" w:cs="Arial"/>
                <w:b/>
                <w:lang w:val="es-ES" w:eastAsia="ca-ES"/>
              </w:rPr>
              <w:t xml:space="preserve"> o tonelada</w:t>
            </w:r>
          </w:p>
        </w:tc>
        <w:tc>
          <w:tcPr>
            <w:tcW w:w="576"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C04A96">
            <w:pPr>
              <w:pStyle w:val="Sinespaciado"/>
              <w:jc w:val="both"/>
              <w:rPr>
                <w:rFonts w:ascii="Arial" w:hAnsi="Arial" w:cs="Arial"/>
                <w:b/>
                <w:lang w:val="es-ES" w:eastAsia="ca-ES"/>
              </w:rPr>
            </w:pPr>
            <w:r w:rsidRPr="00993936">
              <w:rPr>
                <w:rFonts w:ascii="Arial" w:hAnsi="Arial" w:cs="Arial"/>
                <w:b/>
                <w:lang w:val="es-ES" w:eastAsia="ca-ES"/>
              </w:rPr>
              <w:t>Kg P</w:t>
            </w:r>
            <w:r w:rsidRPr="00993936">
              <w:rPr>
                <w:rFonts w:ascii="Arial" w:hAnsi="Arial" w:cs="Arial"/>
                <w:b/>
                <w:vertAlign w:val="subscript"/>
                <w:lang w:val="es-ES" w:eastAsia="ca-ES"/>
              </w:rPr>
              <w:t>2</w:t>
            </w:r>
            <w:r w:rsidRPr="00993936">
              <w:rPr>
                <w:rFonts w:ascii="Arial" w:hAnsi="Arial" w:cs="Arial"/>
                <w:b/>
                <w:lang w:val="es-ES" w:eastAsia="ca-ES"/>
              </w:rPr>
              <w:t>O</w:t>
            </w:r>
            <w:r w:rsidRPr="00993936">
              <w:rPr>
                <w:rFonts w:ascii="Arial" w:hAnsi="Arial" w:cs="Arial"/>
                <w:b/>
                <w:vertAlign w:val="subscript"/>
                <w:lang w:val="es-ES" w:eastAsia="ca-ES"/>
              </w:rPr>
              <w:t>5</w:t>
            </w:r>
            <w:r w:rsidRPr="00993936">
              <w:rPr>
                <w:rFonts w:ascii="Arial" w:hAnsi="Arial" w:cs="Arial"/>
                <w:b/>
                <w:lang w:val="es-ES" w:eastAsia="ca-ES"/>
              </w:rPr>
              <w:t>/m</w:t>
            </w:r>
            <w:r w:rsidRPr="00993936">
              <w:rPr>
                <w:rFonts w:ascii="Arial" w:hAnsi="Arial" w:cs="Arial"/>
                <w:b/>
                <w:vertAlign w:val="superscript"/>
                <w:lang w:val="es-ES" w:eastAsia="ca-ES"/>
              </w:rPr>
              <w:t xml:space="preserve">3 </w:t>
            </w:r>
            <w:r w:rsidRPr="00993936">
              <w:rPr>
                <w:rFonts w:ascii="Arial" w:hAnsi="Arial" w:cs="Arial"/>
                <w:b/>
                <w:lang w:val="es-ES" w:eastAsia="ca-ES"/>
              </w:rPr>
              <w:t>o tonelada</w:t>
            </w:r>
          </w:p>
        </w:tc>
        <w:tc>
          <w:tcPr>
            <w:tcW w:w="540"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C04A96">
            <w:pPr>
              <w:pStyle w:val="Sinespaciado"/>
              <w:jc w:val="both"/>
              <w:rPr>
                <w:rFonts w:ascii="Arial" w:hAnsi="Arial" w:cs="Arial"/>
                <w:b/>
                <w:lang w:val="es-ES" w:eastAsia="ca-ES"/>
              </w:rPr>
            </w:pPr>
            <w:r w:rsidRPr="00993936">
              <w:rPr>
                <w:rFonts w:ascii="Arial" w:hAnsi="Arial" w:cs="Arial"/>
                <w:b/>
                <w:lang w:val="es-ES" w:eastAsia="ca-ES"/>
              </w:rPr>
              <w:t>Kg K</w:t>
            </w:r>
            <w:r w:rsidRPr="00993936">
              <w:rPr>
                <w:rFonts w:ascii="Arial" w:hAnsi="Arial" w:cs="Arial"/>
                <w:b/>
                <w:vertAlign w:val="subscript"/>
                <w:lang w:val="es-ES" w:eastAsia="ca-ES"/>
              </w:rPr>
              <w:t>2</w:t>
            </w:r>
            <w:r w:rsidRPr="00993936">
              <w:rPr>
                <w:rFonts w:ascii="Arial" w:hAnsi="Arial" w:cs="Arial"/>
                <w:b/>
                <w:lang w:val="es-ES" w:eastAsia="ca-ES"/>
              </w:rPr>
              <w:t>O/m</w:t>
            </w:r>
            <w:r w:rsidRPr="00993936">
              <w:rPr>
                <w:rFonts w:ascii="Arial" w:hAnsi="Arial" w:cs="Arial"/>
                <w:b/>
                <w:vertAlign w:val="superscript"/>
                <w:lang w:val="es-ES" w:eastAsia="ca-ES"/>
              </w:rPr>
              <w:t xml:space="preserve">3 </w:t>
            </w:r>
            <w:r w:rsidRPr="00993936">
              <w:rPr>
                <w:rFonts w:ascii="Arial" w:hAnsi="Arial" w:cs="Arial"/>
                <w:b/>
                <w:lang w:val="es-ES" w:eastAsia="ca-ES"/>
              </w:rPr>
              <w:t>o tonelada</w:t>
            </w:r>
          </w:p>
        </w:tc>
      </w:tr>
      <w:tr w:rsidR="00503A41" w:rsidRPr="00993936" w:rsidTr="0009331F">
        <w:trPr>
          <w:trHeight w:val="300"/>
        </w:trPr>
        <w:tc>
          <w:tcPr>
            <w:tcW w:w="647" w:type="pct"/>
            <w:vMerge w:val="restart"/>
            <w:tcBorders>
              <w:top w:val="nil"/>
              <w:left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Porcino</w:t>
            </w:r>
          </w:p>
        </w:tc>
        <w:tc>
          <w:tcPr>
            <w:tcW w:w="839" w:type="pct"/>
            <w:vMerge w:val="restart"/>
            <w:tcBorders>
              <w:top w:val="nil"/>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Purín</w:t>
            </w: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Engorde</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5,7</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3,6</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4,2</w:t>
            </w:r>
          </w:p>
        </w:tc>
      </w:tr>
      <w:tr w:rsidR="00503A41" w:rsidRPr="00993936" w:rsidTr="0009331F">
        <w:trPr>
          <w:trHeight w:val="300"/>
        </w:trPr>
        <w:tc>
          <w:tcPr>
            <w:tcW w:w="647" w:type="pct"/>
            <w:vMerge/>
            <w:tcBorders>
              <w:left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Reproductora</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2,9</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2,1</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1,8</w:t>
            </w:r>
          </w:p>
        </w:tc>
      </w:tr>
      <w:tr w:rsidR="00503A41" w:rsidRPr="00993936" w:rsidTr="0009331F">
        <w:trPr>
          <w:trHeight w:val="300"/>
        </w:trPr>
        <w:tc>
          <w:tcPr>
            <w:tcW w:w="647" w:type="pct"/>
            <w:vMerge/>
            <w:tcBorders>
              <w:left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Cochinillos (6-20kg)</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3,4</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2,6</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1,7</w:t>
            </w:r>
          </w:p>
        </w:tc>
      </w:tr>
      <w:tr w:rsidR="00503A41" w:rsidRPr="00993936" w:rsidTr="0009331F">
        <w:trPr>
          <w:trHeight w:val="300"/>
        </w:trPr>
        <w:tc>
          <w:tcPr>
            <w:tcW w:w="647" w:type="pct"/>
            <w:vMerge/>
            <w:tcBorders>
              <w:left w:val="single" w:sz="8" w:space="0" w:color="auto"/>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single" w:sz="8" w:space="0" w:color="auto"/>
              <w:bottom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Ciclo cerrado</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3,4</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2,4</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2,5</w:t>
            </w:r>
          </w:p>
        </w:tc>
      </w:tr>
      <w:tr w:rsidR="00503A41" w:rsidRPr="00993936" w:rsidTr="0009331F">
        <w:trPr>
          <w:trHeight w:val="300"/>
        </w:trPr>
        <w:tc>
          <w:tcPr>
            <w:tcW w:w="647"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Ganado vacuno</w:t>
            </w:r>
          </w:p>
        </w:tc>
        <w:tc>
          <w:tcPr>
            <w:tcW w:w="839" w:type="pct"/>
            <w:vMerge w:val="restart"/>
            <w:tcBorders>
              <w:top w:val="single" w:sz="8" w:space="0" w:color="auto"/>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Purín</w:t>
            </w:r>
          </w:p>
        </w:tc>
        <w:tc>
          <w:tcPr>
            <w:tcW w:w="1930" w:type="pct"/>
            <w:tcBorders>
              <w:top w:val="single" w:sz="8" w:space="0" w:color="auto"/>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Vaca de leche</w:t>
            </w:r>
          </w:p>
        </w:tc>
        <w:tc>
          <w:tcPr>
            <w:tcW w:w="468" w:type="pct"/>
            <w:tcBorders>
              <w:top w:val="single" w:sz="8" w:space="0" w:color="auto"/>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3,3</w:t>
            </w:r>
          </w:p>
        </w:tc>
        <w:tc>
          <w:tcPr>
            <w:tcW w:w="576" w:type="pct"/>
            <w:tcBorders>
              <w:top w:val="single" w:sz="8" w:space="0" w:color="auto"/>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1,5</w:t>
            </w:r>
          </w:p>
        </w:tc>
        <w:tc>
          <w:tcPr>
            <w:tcW w:w="540" w:type="pct"/>
            <w:tcBorders>
              <w:top w:val="single" w:sz="8" w:space="0" w:color="auto"/>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3,4</w:t>
            </w:r>
          </w:p>
        </w:tc>
      </w:tr>
      <w:tr w:rsidR="00503A41" w:rsidRPr="00993936" w:rsidTr="0009331F">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bottom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Engorde terneros</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5,2</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1,7</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3,6</w:t>
            </w:r>
          </w:p>
        </w:tc>
      </w:tr>
      <w:tr w:rsidR="00503A41" w:rsidRPr="00993936" w:rsidTr="0009331F">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val="restart"/>
            <w:tcBorders>
              <w:top w:val="single" w:sz="8" w:space="0" w:color="auto"/>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Estiércol</w:t>
            </w:r>
          </w:p>
          <w:p w:rsidR="00503A41" w:rsidRPr="00993936" w:rsidRDefault="00503A41" w:rsidP="00C04A96">
            <w:pPr>
              <w:pStyle w:val="Sinespaciado"/>
              <w:rPr>
                <w:rFonts w:ascii="Arial" w:hAnsi="Arial" w:cs="Arial"/>
                <w:lang w:val="es-ES" w:eastAsia="ca-ES"/>
              </w:rPr>
            </w:pPr>
          </w:p>
        </w:tc>
        <w:tc>
          <w:tcPr>
            <w:tcW w:w="1930" w:type="pct"/>
            <w:tcBorders>
              <w:top w:val="single" w:sz="8" w:space="0" w:color="auto"/>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Vaca de leche</w:t>
            </w:r>
          </w:p>
        </w:tc>
        <w:tc>
          <w:tcPr>
            <w:tcW w:w="468" w:type="pct"/>
            <w:tcBorders>
              <w:top w:val="single" w:sz="8" w:space="0" w:color="auto"/>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5,5</w:t>
            </w:r>
          </w:p>
        </w:tc>
        <w:tc>
          <w:tcPr>
            <w:tcW w:w="576" w:type="pct"/>
            <w:tcBorders>
              <w:top w:val="single" w:sz="8" w:space="0" w:color="auto"/>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2,0</w:t>
            </w:r>
          </w:p>
        </w:tc>
        <w:tc>
          <w:tcPr>
            <w:tcW w:w="540" w:type="pct"/>
            <w:tcBorders>
              <w:top w:val="single" w:sz="8" w:space="0" w:color="auto"/>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7,9</w:t>
            </w:r>
          </w:p>
        </w:tc>
      </w:tr>
      <w:tr w:rsidR="00503A41" w:rsidRPr="00993936" w:rsidTr="0009331F">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Vaca de carne</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3,0</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2,0</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5,0</w:t>
            </w:r>
          </w:p>
        </w:tc>
      </w:tr>
      <w:tr w:rsidR="00503A41" w:rsidRPr="00993936" w:rsidTr="0009331F">
        <w:trPr>
          <w:trHeight w:val="300"/>
        </w:trPr>
        <w:tc>
          <w:tcPr>
            <w:tcW w:w="647" w:type="pct"/>
            <w:vMerge/>
            <w:tcBorders>
              <w:left w:val="single" w:sz="8" w:space="0" w:color="auto"/>
              <w:bottom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bottom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Ternero de engorde</w:t>
            </w:r>
          </w:p>
        </w:tc>
        <w:tc>
          <w:tcPr>
            <w:tcW w:w="468" w:type="pct"/>
            <w:tcBorders>
              <w:top w:val="nil"/>
              <w:left w:val="nil"/>
              <w:bottom w:val="single" w:sz="8" w:space="0" w:color="auto"/>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6,0</w:t>
            </w:r>
          </w:p>
        </w:tc>
        <w:tc>
          <w:tcPr>
            <w:tcW w:w="576" w:type="pct"/>
            <w:tcBorders>
              <w:top w:val="nil"/>
              <w:left w:val="nil"/>
              <w:bottom w:val="single" w:sz="8" w:space="0" w:color="auto"/>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5,0</w:t>
            </w:r>
          </w:p>
        </w:tc>
        <w:tc>
          <w:tcPr>
            <w:tcW w:w="540" w:type="pct"/>
            <w:tcBorders>
              <w:top w:val="nil"/>
              <w:left w:val="nil"/>
              <w:bottom w:val="single" w:sz="8" w:space="0" w:color="auto"/>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6,0</w:t>
            </w:r>
          </w:p>
        </w:tc>
      </w:tr>
      <w:tr w:rsidR="00503A41" w:rsidRPr="00993936" w:rsidTr="0009331F">
        <w:trPr>
          <w:trHeight w:val="300"/>
        </w:trPr>
        <w:tc>
          <w:tcPr>
            <w:tcW w:w="647"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Aves de corral</w:t>
            </w:r>
          </w:p>
        </w:tc>
        <w:tc>
          <w:tcPr>
            <w:tcW w:w="839" w:type="pct"/>
            <w:vMerge w:val="restart"/>
            <w:tcBorders>
              <w:top w:val="nil"/>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Gallinaza</w:t>
            </w: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Pavo</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24,9</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25,8</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20,0</w:t>
            </w:r>
          </w:p>
        </w:tc>
      </w:tr>
      <w:tr w:rsidR="00503A41" w:rsidRPr="00993936" w:rsidTr="0009331F">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Pollo de engorde</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22,8</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21,1</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17,7</w:t>
            </w:r>
          </w:p>
        </w:tc>
      </w:tr>
      <w:tr w:rsidR="00503A41" w:rsidRPr="00993936" w:rsidTr="0009331F">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Gallina ponedora</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12,5</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10,4</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8,0</w:t>
            </w:r>
          </w:p>
        </w:tc>
      </w:tr>
      <w:tr w:rsidR="00503A41" w:rsidRPr="00993936" w:rsidTr="0009331F">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Gallina reproductora</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17,4</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33,9</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23,6</w:t>
            </w:r>
          </w:p>
        </w:tc>
      </w:tr>
      <w:tr w:rsidR="00503A41" w:rsidRPr="00993936" w:rsidTr="0009331F">
        <w:trPr>
          <w:trHeight w:val="300"/>
        </w:trPr>
        <w:tc>
          <w:tcPr>
            <w:tcW w:w="647" w:type="pct"/>
            <w:vMerge/>
            <w:tcBorders>
              <w:left w:val="single" w:sz="8" w:space="0" w:color="auto"/>
              <w:bottom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bottom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Gallina reposición</w:t>
            </w:r>
          </w:p>
        </w:tc>
        <w:tc>
          <w:tcPr>
            <w:tcW w:w="468" w:type="pct"/>
            <w:tcBorders>
              <w:top w:val="nil"/>
              <w:left w:val="nil"/>
              <w:bottom w:val="single" w:sz="8" w:space="0" w:color="auto"/>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19,5</w:t>
            </w:r>
          </w:p>
        </w:tc>
        <w:tc>
          <w:tcPr>
            <w:tcW w:w="576" w:type="pct"/>
            <w:tcBorders>
              <w:top w:val="nil"/>
              <w:left w:val="nil"/>
              <w:bottom w:val="single" w:sz="8" w:space="0" w:color="auto"/>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45,8</w:t>
            </w:r>
          </w:p>
        </w:tc>
        <w:tc>
          <w:tcPr>
            <w:tcW w:w="540" w:type="pct"/>
            <w:tcBorders>
              <w:top w:val="nil"/>
              <w:left w:val="nil"/>
              <w:bottom w:val="single" w:sz="8" w:space="0" w:color="auto"/>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25,5</w:t>
            </w:r>
          </w:p>
        </w:tc>
      </w:tr>
      <w:tr w:rsidR="00503A41" w:rsidRPr="00993936" w:rsidTr="0009331F">
        <w:trPr>
          <w:trHeight w:val="300"/>
        </w:trPr>
        <w:tc>
          <w:tcPr>
            <w:tcW w:w="647"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Ovino-ganado cabrío</w:t>
            </w:r>
          </w:p>
        </w:tc>
        <w:tc>
          <w:tcPr>
            <w:tcW w:w="839" w:type="pct"/>
            <w:vMerge w:val="restart"/>
            <w:tcBorders>
              <w:top w:val="nil"/>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Estiércol</w:t>
            </w: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Oveja de carne</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9,4</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5,0</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10,0</w:t>
            </w:r>
          </w:p>
        </w:tc>
      </w:tr>
      <w:tr w:rsidR="00503A41" w:rsidRPr="00993936" w:rsidTr="0009331F">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Oveja de leche</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8,1</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3,2</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8,6</w:t>
            </w:r>
          </w:p>
        </w:tc>
      </w:tr>
      <w:tr w:rsidR="00503A41" w:rsidRPr="00993936" w:rsidTr="0009331F">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vMerge/>
            <w:tcBorders>
              <w:left w:val="nil"/>
              <w:bottom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1930" w:type="pct"/>
            <w:tcBorders>
              <w:top w:val="nil"/>
              <w:left w:val="nil"/>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Cabra</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9,4</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5,0</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9,0</w:t>
            </w:r>
          </w:p>
        </w:tc>
      </w:tr>
      <w:tr w:rsidR="00503A41" w:rsidRPr="00993936" w:rsidTr="0009331F">
        <w:trPr>
          <w:trHeight w:val="300"/>
        </w:trPr>
        <w:tc>
          <w:tcPr>
            <w:tcW w:w="647" w:type="pct"/>
            <w:vMerge/>
            <w:tcBorders>
              <w:left w:val="single" w:sz="8" w:space="0" w:color="auto"/>
              <w:bottom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p>
        </w:tc>
        <w:tc>
          <w:tcPr>
            <w:tcW w:w="839" w:type="pct"/>
            <w:tcBorders>
              <w:top w:val="nil"/>
              <w:left w:val="nil"/>
              <w:bottom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purín</w:t>
            </w:r>
          </w:p>
        </w:tc>
        <w:tc>
          <w:tcPr>
            <w:tcW w:w="1930" w:type="pct"/>
            <w:tcBorders>
              <w:top w:val="single" w:sz="8" w:space="0" w:color="auto"/>
              <w:left w:val="nil"/>
              <w:bottom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Oveja de leche</w:t>
            </w:r>
          </w:p>
        </w:tc>
        <w:tc>
          <w:tcPr>
            <w:tcW w:w="468" w:type="pct"/>
            <w:tcBorders>
              <w:top w:val="single" w:sz="8" w:space="0" w:color="auto"/>
              <w:left w:val="nil"/>
              <w:bottom w:val="single" w:sz="8" w:space="0" w:color="auto"/>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7,3</w:t>
            </w:r>
          </w:p>
        </w:tc>
        <w:tc>
          <w:tcPr>
            <w:tcW w:w="576" w:type="pct"/>
            <w:tcBorders>
              <w:top w:val="single" w:sz="8" w:space="0" w:color="auto"/>
              <w:left w:val="nil"/>
              <w:bottom w:val="single" w:sz="8" w:space="0" w:color="auto"/>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3,4</w:t>
            </w:r>
          </w:p>
        </w:tc>
        <w:tc>
          <w:tcPr>
            <w:tcW w:w="540" w:type="pct"/>
            <w:tcBorders>
              <w:top w:val="single" w:sz="8" w:space="0" w:color="auto"/>
              <w:left w:val="nil"/>
              <w:bottom w:val="single" w:sz="8" w:space="0" w:color="auto"/>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7,1</w:t>
            </w:r>
          </w:p>
        </w:tc>
      </w:tr>
      <w:tr w:rsidR="00503A41" w:rsidRPr="00993936" w:rsidTr="0009331F">
        <w:trPr>
          <w:trHeight w:val="300"/>
        </w:trPr>
        <w:tc>
          <w:tcPr>
            <w:tcW w:w="647" w:type="pct"/>
            <w:tcBorders>
              <w:top w:val="nil"/>
              <w:left w:val="single" w:sz="8" w:space="0" w:color="auto"/>
              <w:bottom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Equino</w:t>
            </w:r>
          </w:p>
        </w:tc>
        <w:tc>
          <w:tcPr>
            <w:tcW w:w="839"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Estiércol</w:t>
            </w:r>
          </w:p>
        </w:tc>
        <w:tc>
          <w:tcPr>
            <w:tcW w:w="1930" w:type="pct"/>
            <w:tcBorders>
              <w:top w:val="nil"/>
              <w:left w:val="single" w:sz="8" w:space="0" w:color="auto"/>
              <w:bottom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Caballo</w:t>
            </w:r>
          </w:p>
        </w:tc>
        <w:tc>
          <w:tcPr>
            <w:tcW w:w="468" w:type="pct"/>
            <w:tcBorders>
              <w:top w:val="nil"/>
              <w:left w:val="nil"/>
              <w:bottom w:val="single" w:sz="8" w:space="0" w:color="auto"/>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5,7</w:t>
            </w:r>
          </w:p>
        </w:tc>
        <w:tc>
          <w:tcPr>
            <w:tcW w:w="576" w:type="pct"/>
            <w:tcBorders>
              <w:top w:val="nil"/>
              <w:left w:val="nil"/>
              <w:bottom w:val="single" w:sz="8" w:space="0" w:color="auto"/>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2,1</w:t>
            </w:r>
          </w:p>
        </w:tc>
        <w:tc>
          <w:tcPr>
            <w:tcW w:w="540" w:type="pct"/>
            <w:tcBorders>
              <w:top w:val="nil"/>
              <w:left w:val="nil"/>
              <w:bottom w:val="single" w:sz="8" w:space="0" w:color="auto"/>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8,2</w:t>
            </w:r>
          </w:p>
        </w:tc>
      </w:tr>
      <w:tr w:rsidR="00503A41" w:rsidRPr="00993936" w:rsidTr="0009331F">
        <w:trPr>
          <w:trHeight w:val="300"/>
        </w:trPr>
        <w:tc>
          <w:tcPr>
            <w:tcW w:w="647" w:type="pct"/>
            <w:tcBorders>
              <w:top w:val="single" w:sz="8" w:space="0" w:color="auto"/>
              <w:left w:val="single" w:sz="8" w:space="0" w:color="auto"/>
              <w:bottom w:val="nil"/>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Cunícola</w:t>
            </w:r>
          </w:p>
        </w:tc>
        <w:tc>
          <w:tcPr>
            <w:tcW w:w="839" w:type="pct"/>
            <w:tcBorders>
              <w:top w:val="single" w:sz="8" w:space="0" w:color="auto"/>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Estiércol</w:t>
            </w:r>
          </w:p>
        </w:tc>
        <w:tc>
          <w:tcPr>
            <w:tcW w:w="1930" w:type="pct"/>
            <w:tcBorders>
              <w:top w:val="nil"/>
              <w:left w:val="single" w:sz="8" w:space="0" w:color="auto"/>
              <w:bottom w:val="nil"/>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Conejo</w:t>
            </w:r>
          </w:p>
        </w:tc>
        <w:tc>
          <w:tcPr>
            <w:tcW w:w="468"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8,4</w:t>
            </w:r>
          </w:p>
        </w:tc>
        <w:tc>
          <w:tcPr>
            <w:tcW w:w="576" w:type="pct"/>
            <w:tcBorders>
              <w:top w:val="nil"/>
              <w:left w:val="nil"/>
              <w:bottom w:val="nil"/>
              <w:right w:val="nil"/>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10,3</w:t>
            </w:r>
          </w:p>
        </w:tc>
        <w:tc>
          <w:tcPr>
            <w:tcW w:w="540" w:type="pct"/>
            <w:tcBorders>
              <w:top w:val="nil"/>
              <w:left w:val="nil"/>
              <w:bottom w:val="nil"/>
              <w:right w:val="single" w:sz="8" w:space="0" w:color="auto"/>
            </w:tcBorders>
            <w:shd w:val="clear" w:color="auto" w:fill="FFFFFF"/>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9,5</w:t>
            </w:r>
          </w:p>
        </w:tc>
      </w:tr>
      <w:tr w:rsidR="00503A41" w:rsidRPr="00993936" w:rsidTr="0009331F">
        <w:trPr>
          <w:trHeight w:val="300"/>
        </w:trPr>
        <w:tc>
          <w:tcPr>
            <w:tcW w:w="1486" w:type="pct"/>
            <w:gridSpan w:val="2"/>
            <w:vMerge w:val="restart"/>
            <w:tcBorders>
              <w:top w:val="single" w:sz="8" w:space="0" w:color="auto"/>
              <w:left w:val="single" w:sz="8" w:space="0" w:color="auto"/>
              <w:right w:val="nil"/>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Otros*</w:t>
            </w:r>
          </w:p>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 xml:space="preserve"> </w:t>
            </w:r>
          </w:p>
        </w:tc>
        <w:tc>
          <w:tcPr>
            <w:tcW w:w="1930" w:type="pct"/>
            <w:tcBorders>
              <w:top w:val="single" w:sz="8" w:space="0" w:color="auto"/>
              <w:left w:val="single" w:sz="8" w:space="0" w:color="auto"/>
              <w:bottom w:val="nil"/>
              <w:right w:val="nil"/>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Compuesto de estiércol</w:t>
            </w:r>
          </w:p>
        </w:tc>
        <w:tc>
          <w:tcPr>
            <w:tcW w:w="468" w:type="pct"/>
            <w:tcBorders>
              <w:top w:val="single" w:sz="8" w:space="0" w:color="auto"/>
              <w:left w:val="nil"/>
              <w:bottom w:val="nil"/>
              <w:right w:val="nil"/>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12,0</w:t>
            </w:r>
          </w:p>
        </w:tc>
        <w:tc>
          <w:tcPr>
            <w:tcW w:w="576" w:type="pct"/>
            <w:tcBorders>
              <w:top w:val="single" w:sz="8" w:space="0" w:color="auto"/>
              <w:left w:val="nil"/>
              <w:bottom w:val="nil"/>
              <w:right w:val="nil"/>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15,6</w:t>
            </w:r>
          </w:p>
        </w:tc>
        <w:tc>
          <w:tcPr>
            <w:tcW w:w="540" w:type="pct"/>
            <w:tcBorders>
              <w:top w:val="single" w:sz="8" w:space="0" w:color="auto"/>
              <w:left w:val="nil"/>
              <w:bottom w:val="nil"/>
              <w:right w:val="single" w:sz="8" w:space="0" w:color="auto"/>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12,5</w:t>
            </w:r>
          </w:p>
        </w:tc>
      </w:tr>
      <w:tr w:rsidR="00503A41" w:rsidRPr="00993936" w:rsidTr="0009331F">
        <w:trPr>
          <w:trHeight w:val="300"/>
        </w:trPr>
        <w:tc>
          <w:tcPr>
            <w:tcW w:w="1486" w:type="pct"/>
            <w:gridSpan w:val="2"/>
            <w:vMerge/>
            <w:tcBorders>
              <w:left w:val="single" w:sz="8" w:space="0" w:color="auto"/>
              <w:right w:val="nil"/>
            </w:tcBorders>
            <w:shd w:val="clear" w:color="auto" w:fill="FFFFFF"/>
            <w:noWrap/>
            <w:vAlign w:val="bottom"/>
          </w:tcPr>
          <w:p w:rsidR="00503A41" w:rsidRPr="00993936" w:rsidRDefault="00503A41" w:rsidP="00C04A96">
            <w:pPr>
              <w:pStyle w:val="Sinespaciado"/>
              <w:rPr>
                <w:rFonts w:ascii="Arial" w:hAnsi="Arial" w:cs="Arial"/>
                <w:lang w:val="es-ES" w:eastAsia="ca-ES"/>
              </w:rPr>
            </w:pPr>
          </w:p>
        </w:tc>
        <w:tc>
          <w:tcPr>
            <w:tcW w:w="1930" w:type="pct"/>
            <w:tcBorders>
              <w:top w:val="nil"/>
              <w:left w:val="single" w:sz="8" w:space="0" w:color="auto"/>
              <w:bottom w:val="nil"/>
              <w:right w:val="nil"/>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Compuesto de lodos de depuradora</w:t>
            </w:r>
          </w:p>
        </w:tc>
        <w:tc>
          <w:tcPr>
            <w:tcW w:w="468" w:type="pct"/>
            <w:tcBorders>
              <w:top w:val="nil"/>
              <w:left w:val="nil"/>
              <w:bottom w:val="nil"/>
              <w:right w:val="nil"/>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18,8</w:t>
            </w:r>
          </w:p>
        </w:tc>
        <w:tc>
          <w:tcPr>
            <w:tcW w:w="576" w:type="pct"/>
            <w:tcBorders>
              <w:top w:val="nil"/>
              <w:left w:val="nil"/>
              <w:bottom w:val="nil"/>
              <w:right w:val="nil"/>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23,3</w:t>
            </w:r>
          </w:p>
        </w:tc>
        <w:tc>
          <w:tcPr>
            <w:tcW w:w="540" w:type="pct"/>
            <w:tcBorders>
              <w:top w:val="nil"/>
              <w:left w:val="nil"/>
              <w:bottom w:val="nil"/>
              <w:right w:val="single" w:sz="8" w:space="0" w:color="auto"/>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6,2</w:t>
            </w:r>
          </w:p>
        </w:tc>
      </w:tr>
      <w:tr w:rsidR="00503A41" w:rsidRPr="00993936" w:rsidTr="0009331F">
        <w:trPr>
          <w:trHeight w:val="300"/>
        </w:trPr>
        <w:tc>
          <w:tcPr>
            <w:tcW w:w="1486" w:type="pct"/>
            <w:gridSpan w:val="2"/>
            <w:vMerge/>
            <w:tcBorders>
              <w:left w:val="single" w:sz="8" w:space="0" w:color="auto"/>
              <w:bottom w:val="single" w:sz="8" w:space="0" w:color="auto"/>
              <w:right w:val="nil"/>
            </w:tcBorders>
            <w:shd w:val="clear" w:color="auto" w:fill="FFFFFF"/>
            <w:noWrap/>
            <w:vAlign w:val="bottom"/>
          </w:tcPr>
          <w:p w:rsidR="00503A41" w:rsidRPr="00993936" w:rsidRDefault="00503A41" w:rsidP="00C04A96">
            <w:pPr>
              <w:pStyle w:val="Sinespaciado"/>
              <w:rPr>
                <w:rFonts w:ascii="Arial" w:hAnsi="Arial" w:cs="Arial"/>
                <w:lang w:val="es-ES" w:eastAsia="ca-ES"/>
              </w:rPr>
            </w:pPr>
          </w:p>
        </w:tc>
        <w:tc>
          <w:tcPr>
            <w:tcW w:w="1930" w:type="pct"/>
            <w:tcBorders>
              <w:top w:val="nil"/>
              <w:left w:val="single" w:sz="8" w:space="0" w:color="auto"/>
              <w:bottom w:val="single" w:sz="8" w:space="0" w:color="auto"/>
              <w:right w:val="nil"/>
            </w:tcBorders>
            <w:shd w:val="clear" w:color="auto" w:fill="FFFFFF"/>
            <w:noWrap/>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Lodos de depuradora**</w:t>
            </w:r>
          </w:p>
        </w:tc>
        <w:tc>
          <w:tcPr>
            <w:tcW w:w="468" w:type="pct"/>
            <w:tcBorders>
              <w:top w:val="nil"/>
              <w:left w:val="nil"/>
              <w:bottom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10,5</w:t>
            </w:r>
          </w:p>
        </w:tc>
        <w:tc>
          <w:tcPr>
            <w:tcW w:w="576" w:type="pct"/>
            <w:tcBorders>
              <w:top w:val="nil"/>
              <w:left w:val="nil"/>
              <w:bottom w:val="single" w:sz="8" w:space="0" w:color="auto"/>
              <w:right w:val="nil"/>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13,0</w:t>
            </w:r>
          </w:p>
        </w:tc>
        <w:tc>
          <w:tcPr>
            <w:tcW w:w="540" w:type="pct"/>
            <w:tcBorders>
              <w:top w:val="nil"/>
              <w:left w:val="nil"/>
              <w:bottom w:val="single" w:sz="8" w:space="0" w:color="auto"/>
              <w:right w:val="single" w:sz="8" w:space="0" w:color="auto"/>
            </w:tcBorders>
            <w:shd w:val="clear" w:color="auto" w:fill="FFFFFF"/>
            <w:vAlign w:val="center"/>
          </w:tcPr>
          <w:p w:rsidR="00503A41" w:rsidRPr="00993936" w:rsidRDefault="00503A41" w:rsidP="00C04A96">
            <w:pPr>
              <w:pStyle w:val="Sinespaciado"/>
              <w:rPr>
                <w:rFonts w:ascii="Arial" w:hAnsi="Arial" w:cs="Arial"/>
                <w:lang w:val="es-ES" w:eastAsia="ca-ES"/>
              </w:rPr>
            </w:pPr>
            <w:r w:rsidRPr="00993936">
              <w:rPr>
                <w:rFonts w:ascii="Arial" w:hAnsi="Arial" w:cs="Arial"/>
                <w:lang w:val="es-ES" w:eastAsia="ca-ES"/>
              </w:rPr>
              <w:t>1,2</w:t>
            </w:r>
          </w:p>
        </w:tc>
      </w:tr>
    </w:tbl>
    <w:p w:rsidR="00503A41" w:rsidRPr="00993936" w:rsidRDefault="00503A41" w:rsidP="0009331F">
      <w:pPr>
        <w:rPr>
          <w:rFonts w:ascii="Arial" w:hAnsi="Arial" w:cs="Arial"/>
          <w:lang w:val="es-ES"/>
        </w:rPr>
      </w:pPr>
      <w:r w:rsidRPr="00993936">
        <w:rPr>
          <w:rFonts w:ascii="Arial" w:hAnsi="Arial" w:cs="Arial"/>
          <w:lang w:val="es-ES"/>
        </w:rPr>
        <w:t>* Estos materiales están sujetos a una variabilidad asociada a las materias primas utilizadas en cada planta</w:t>
      </w:r>
    </w:p>
    <w:p w:rsidR="00503A41" w:rsidRPr="00993936" w:rsidRDefault="00503A41" w:rsidP="0009331F">
      <w:pPr>
        <w:rPr>
          <w:rFonts w:ascii="Arial" w:hAnsi="Arial" w:cs="Arial"/>
          <w:lang w:val="es-ES"/>
        </w:rPr>
      </w:pPr>
      <w:r w:rsidRPr="00993936">
        <w:rPr>
          <w:rFonts w:ascii="Arial" w:hAnsi="Arial" w:cs="Arial"/>
          <w:lang w:val="es-ES"/>
        </w:rPr>
        <w:t>** Sólo se pueden utilizar lodos de depuradora que hayan sido previamente tratados</w:t>
      </w:r>
    </w:p>
    <w:p w:rsidR="00503A41" w:rsidRPr="00993936" w:rsidRDefault="00503A41" w:rsidP="0009331F">
      <w:pPr>
        <w:rPr>
          <w:rFonts w:ascii="Arial" w:hAnsi="Arial" w:cs="Arial"/>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ANEXO 8</w:t>
      </w:r>
    </w:p>
    <w:p w:rsidR="00503A41" w:rsidRPr="00993936" w:rsidRDefault="00503A41" w:rsidP="0009331F">
      <w:pPr>
        <w:jc w:val="both"/>
        <w:rPr>
          <w:rFonts w:ascii="Arial" w:hAnsi="Arial" w:cs="Arial"/>
          <w:b/>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8.1 Mètode Merrien-Keller para el cálculo del coeficiente de uniformidad de un sistema de riego</w:t>
      </w:r>
    </w:p>
    <w:p w:rsidR="00503A41" w:rsidRPr="00993936" w:rsidRDefault="00503A41" w:rsidP="0009331F">
      <w:pPr>
        <w:jc w:val="both"/>
        <w:rPr>
          <w:rFonts w:ascii="Arial" w:hAnsi="Arial" w:cs="Arial"/>
          <w:b/>
          <w:lang w:val="es-ES"/>
        </w:rPr>
      </w:pP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993936" w:rsidTr="0009331F">
        <w:tc>
          <w:tcPr>
            <w:tcW w:w="496" w:type="dxa"/>
          </w:tcPr>
          <w:p w:rsidR="00503A41" w:rsidRPr="00993936" w:rsidRDefault="00503A41" w:rsidP="0009331F">
            <w:pPr>
              <w:jc w:val="both"/>
              <w:rPr>
                <w:rFonts w:ascii="Arial" w:hAnsi="Arial" w:cs="Arial"/>
                <w:lang w:val="es-ES"/>
              </w:rPr>
            </w:pPr>
          </w:p>
        </w:tc>
        <w:tc>
          <w:tcPr>
            <w:tcW w:w="283" w:type="dxa"/>
          </w:tcPr>
          <w:p w:rsidR="00503A41" w:rsidRPr="00993936" w:rsidRDefault="00503A41" w:rsidP="0009331F">
            <w:pPr>
              <w:jc w:val="both"/>
              <w:rPr>
                <w:rFonts w:ascii="Arial" w:hAnsi="Arial" w:cs="Arial"/>
                <w:lang w:val="es-ES"/>
              </w:rPr>
            </w:pPr>
          </w:p>
        </w:tc>
        <w:tc>
          <w:tcPr>
            <w:tcW w:w="709" w:type="dxa"/>
          </w:tcPr>
          <w:p w:rsidR="00503A41" w:rsidRPr="00993936" w:rsidRDefault="00503A41" w:rsidP="0009331F">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w:t>
            </w:r>
          </w:p>
        </w:tc>
        <w:tc>
          <w:tcPr>
            <w:tcW w:w="283" w:type="dxa"/>
          </w:tcPr>
          <w:p w:rsidR="00503A41" w:rsidRPr="00993936" w:rsidRDefault="00503A41" w:rsidP="0009331F">
            <w:pPr>
              <w:jc w:val="both"/>
              <w:rPr>
                <w:rFonts w:ascii="Arial" w:hAnsi="Arial" w:cs="Arial"/>
                <w:lang w:val="es-ES"/>
              </w:rPr>
            </w:pPr>
          </w:p>
        </w:tc>
        <w:tc>
          <w:tcPr>
            <w:tcW w:w="4804" w:type="dxa"/>
          </w:tcPr>
          <w:p w:rsidR="00503A41" w:rsidRPr="00993936" w:rsidRDefault="00503A41" w:rsidP="0009331F">
            <w:pPr>
              <w:jc w:val="both"/>
              <w:rPr>
                <w:rFonts w:ascii="Arial" w:hAnsi="Arial" w:cs="Arial"/>
                <w:lang w:val="es-ES"/>
              </w:rPr>
            </w:pPr>
          </w:p>
        </w:tc>
        <w:tc>
          <w:tcPr>
            <w:tcW w:w="1315" w:type="dxa"/>
          </w:tcPr>
          <w:p w:rsidR="00503A41" w:rsidRPr="00993936" w:rsidRDefault="00503A41" w:rsidP="0009331F">
            <w:pPr>
              <w:jc w:val="both"/>
              <w:rPr>
                <w:rFonts w:ascii="Arial" w:hAnsi="Arial" w:cs="Arial"/>
                <w:lang w:val="es-ES"/>
              </w:rPr>
            </w:pPr>
          </w:p>
        </w:tc>
        <w:tc>
          <w:tcPr>
            <w:tcW w:w="1315" w:type="dxa"/>
          </w:tcPr>
          <w:p w:rsidR="00503A41" w:rsidRPr="00993936" w:rsidRDefault="00503A41" w:rsidP="0009331F">
            <w:pPr>
              <w:jc w:val="both"/>
              <w:rPr>
                <w:rFonts w:ascii="Arial" w:hAnsi="Arial" w:cs="Arial"/>
                <w:lang w:val="es-ES"/>
              </w:rPr>
            </w:pPr>
          </w:p>
        </w:tc>
      </w:tr>
      <w:tr w:rsidR="00503A41" w:rsidRPr="00993936" w:rsidTr="0009331F">
        <w:tc>
          <w:tcPr>
            <w:tcW w:w="496" w:type="dxa"/>
          </w:tcPr>
          <w:p w:rsidR="00503A41" w:rsidRPr="00993936" w:rsidRDefault="00C8459C" w:rsidP="0009331F">
            <w:pPr>
              <w:jc w:val="both"/>
              <w:rPr>
                <w:rFonts w:ascii="Arial" w:hAnsi="Arial" w:cs="Arial"/>
                <w:lang w:val="es-ES"/>
              </w:rPr>
            </w:pPr>
            <w:r>
              <w:rPr>
                <w:rFonts w:ascii="Arial" w:hAnsi="Arial" w:cs="Arial"/>
                <w:lang w:val="es-ES"/>
              </w:rPr>
              <w:pict>
                <v:line id="_x0000_s1044" style="position:absolute;left:0;text-align:left;z-index:251865088;mso-position-horizontal-relative:text;mso-position-vertical-relative:text" from="37.1pt,7.95pt" to="65.9pt,7.95pt" o:allowincell="f"/>
              </w:pict>
            </w:r>
            <w:r w:rsidR="00503A41" w:rsidRPr="00993936">
              <w:rPr>
                <w:rFonts w:ascii="Arial" w:hAnsi="Arial" w:cs="Arial"/>
                <w:lang w:val="es-ES"/>
              </w:rPr>
              <w:t>CU</w:t>
            </w:r>
          </w:p>
        </w:tc>
        <w:tc>
          <w:tcPr>
            <w:tcW w:w="283" w:type="dxa"/>
          </w:tcPr>
          <w:p w:rsidR="00503A41" w:rsidRPr="00993936" w:rsidRDefault="00503A41" w:rsidP="0009331F">
            <w:pPr>
              <w:jc w:val="both"/>
              <w:rPr>
                <w:rFonts w:ascii="Arial" w:hAnsi="Arial" w:cs="Arial"/>
                <w:lang w:val="es-ES"/>
              </w:rPr>
            </w:pPr>
            <w:r w:rsidRPr="00993936">
              <w:rPr>
                <w:rFonts w:ascii="Arial" w:hAnsi="Arial" w:cs="Arial"/>
                <w:lang w:val="es-ES"/>
              </w:rPr>
              <w:t>=</w:t>
            </w:r>
          </w:p>
        </w:tc>
        <w:tc>
          <w:tcPr>
            <w:tcW w:w="709" w:type="dxa"/>
          </w:tcPr>
          <w:p w:rsidR="00503A41" w:rsidRPr="00993936" w:rsidRDefault="00503A41" w:rsidP="0009331F">
            <w:pPr>
              <w:jc w:val="center"/>
              <w:rPr>
                <w:rFonts w:ascii="Arial" w:hAnsi="Arial" w:cs="Arial"/>
                <w:lang w:val="es-ES"/>
              </w:rPr>
            </w:pPr>
          </w:p>
        </w:tc>
        <w:tc>
          <w:tcPr>
            <w:tcW w:w="283" w:type="dxa"/>
          </w:tcPr>
          <w:p w:rsidR="00503A41" w:rsidRPr="00993936" w:rsidRDefault="00503A41" w:rsidP="0009331F">
            <w:pPr>
              <w:jc w:val="both"/>
              <w:rPr>
                <w:rFonts w:ascii="Arial" w:hAnsi="Arial" w:cs="Arial"/>
                <w:lang w:val="es-ES"/>
              </w:rPr>
            </w:pPr>
            <w:r w:rsidRPr="00993936">
              <w:rPr>
                <w:rFonts w:ascii="Arial" w:hAnsi="Arial" w:cs="Arial"/>
                <w:lang w:val="es-ES"/>
              </w:rPr>
              <w:t>x</w:t>
            </w:r>
          </w:p>
        </w:tc>
        <w:tc>
          <w:tcPr>
            <w:tcW w:w="4804" w:type="dxa"/>
          </w:tcPr>
          <w:p w:rsidR="00503A41" w:rsidRPr="00993936" w:rsidRDefault="00503A41" w:rsidP="0009331F">
            <w:pPr>
              <w:jc w:val="both"/>
              <w:rPr>
                <w:rFonts w:ascii="Arial" w:hAnsi="Arial" w:cs="Arial"/>
                <w:lang w:val="es-ES"/>
              </w:rPr>
            </w:pPr>
            <w:r w:rsidRPr="00993936">
              <w:rPr>
                <w:rFonts w:ascii="Arial" w:hAnsi="Arial" w:cs="Arial"/>
                <w:lang w:val="es-ES"/>
              </w:rPr>
              <w:t>100</w:t>
            </w:r>
          </w:p>
        </w:tc>
        <w:tc>
          <w:tcPr>
            <w:tcW w:w="1315" w:type="dxa"/>
          </w:tcPr>
          <w:p w:rsidR="00503A41" w:rsidRPr="00993936" w:rsidRDefault="00503A41" w:rsidP="0009331F">
            <w:pPr>
              <w:jc w:val="both"/>
              <w:rPr>
                <w:rFonts w:ascii="Arial" w:hAnsi="Arial" w:cs="Arial"/>
                <w:lang w:val="es-ES"/>
              </w:rPr>
            </w:pPr>
          </w:p>
        </w:tc>
        <w:tc>
          <w:tcPr>
            <w:tcW w:w="1315" w:type="dxa"/>
          </w:tcPr>
          <w:p w:rsidR="00503A41" w:rsidRPr="00993936" w:rsidRDefault="00503A41" w:rsidP="0009331F">
            <w:pPr>
              <w:jc w:val="both"/>
              <w:rPr>
                <w:rFonts w:ascii="Arial" w:hAnsi="Arial" w:cs="Arial"/>
                <w:lang w:val="es-ES"/>
              </w:rPr>
            </w:pPr>
          </w:p>
        </w:tc>
      </w:tr>
      <w:tr w:rsidR="00503A41" w:rsidRPr="00993936" w:rsidTr="0009331F">
        <w:tc>
          <w:tcPr>
            <w:tcW w:w="496" w:type="dxa"/>
          </w:tcPr>
          <w:p w:rsidR="00503A41" w:rsidRPr="00993936" w:rsidRDefault="00503A41" w:rsidP="0009331F">
            <w:pPr>
              <w:jc w:val="both"/>
              <w:rPr>
                <w:rFonts w:ascii="Arial" w:hAnsi="Arial" w:cs="Arial"/>
                <w:lang w:val="es-ES"/>
              </w:rPr>
            </w:pPr>
          </w:p>
        </w:tc>
        <w:tc>
          <w:tcPr>
            <w:tcW w:w="283" w:type="dxa"/>
          </w:tcPr>
          <w:p w:rsidR="00503A41" w:rsidRPr="00993936" w:rsidRDefault="00503A41" w:rsidP="0009331F">
            <w:pPr>
              <w:jc w:val="both"/>
              <w:rPr>
                <w:rFonts w:ascii="Arial" w:hAnsi="Arial" w:cs="Arial"/>
                <w:lang w:val="es-ES"/>
              </w:rPr>
            </w:pPr>
          </w:p>
        </w:tc>
        <w:tc>
          <w:tcPr>
            <w:tcW w:w="709" w:type="dxa"/>
          </w:tcPr>
          <w:p w:rsidR="00503A41" w:rsidRPr="00993936" w:rsidRDefault="00503A41" w:rsidP="0009331F">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3" w:type="dxa"/>
          </w:tcPr>
          <w:p w:rsidR="00503A41" w:rsidRPr="00993936" w:rsidRDefault="00503A41" w:rsidP="0009331F">
            <w:pPr>
              <w:jc w:val="both"/>
              <w:rPr>
                <w:rFonts w:ascii="Arial" w:hAnsi="Arial" w:cs="Arial"/>
                <w:lang w:val="es-ES"/>
              </w:rPr>
            </w:pPr>
          </w:p>
        </w:tc>
        <w:tc>
          <w:tcPr>
            <w:tcW w:w="4804" w:type="dxa"/>
          </w:tcPr>
          <w:p w:rsidR="00503A41" w:rsidRPr="00993936" w:rsidRDefault="00503A41" w:rsidP="0009331F">
            <w:pPr>
              <w:jc w:val="both"/>
              <w:rPr>
                <w:rFonts w:ascii="Arial" w:hAnsi="Arial" w:cs="Arial"/>
                <w:lang w:val="es-ES"/>
              </w:rPr>
            </w:pPr>
          </w:p>
        </w:tc>
        <w:tc>
          <w:tcPr>
            <w:tcW w:w="1315" w:type="dxa"/>
          </w:tcPr>
          <w:p w:rsidR="00503A41" w:rsidRPr="00993936" w:rsidRDefault="00503A41" w:rsidP="0009331F">
            <w:pPr>
              <w:jc w:val="both"/>
              <w:rPr>
                <w:rFonts w:ascii="Arial" w:hAnsi="Arial" w:cs="Arial"/>
                <w:lang w:val="es-ES"/>
              </w:rPr>
            </w:pPr>
          </w:p>
        </w:tc>
        <w:tc>
          <w:tcPr>
            <w:tcW w:w="1315" w:type="dxa"/>
          </w:tcPr>
          <w:p w:rsidR="00503A41" w:rsidRPr="00993936" w:rsidRDefault="00503A41" w:rsidP="0009331F">
            <w:pPr>
              <w:jc w:val="both"/>
              <w:rPr>
                <w:rFonts w:ascii="Arial" w:hAnsi="Arial" w:cs="Arial"/>
                <w:lang w:val="es-ES"/>
              </w:rPr>
            </w:pPr>
          </w:p>
        </w:tc>
      </w:tr>
    </w:tbl>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r w:rsidRPr="00993936">
        <w:rPr>
          <w:rFonts w:ascii="Arial" w:hAnsi="Arial" w:cs="Arial"/>
          <w:lang w:val="es-ES"/>
        </w:rPr>
        <w:t>CU = Coeficiente de uniformidad.</w:t>
      </w:r>
    </w:p>
    <w:p w:rsidR="00503A41" w:rsidRPr="00993936" w:rsidRDefault="00503A41" w:rsidP="0009331F">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 xml:space="preserve">25% </w:t>
      </w:r>
      <w:r w:rsidRPr="00993936">
        <w:rPr>
          <w:rFonts w:ascii="Arial" w:hAnsi="Arial" w:cs="Arial"/>
          <w:lang w:val="es-ES"/>
        </w:rPr>
        <w:t>= Media aritmética del Caudal de descarga del 25% de los emisores con Caudal más reducido.</w:t>
      </w:r>
    </w:p>
    <w:p w:rsidR="00503A41" w:rsidRPr="00993936" w:rsidRDefault="00503A41" w:rsidP="0009331F">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 xml:space="preserve">n </w:t>
      </w:r>
      <w:r w:rsidRPr="00993936">
        <w:rPr>
          <w:rFonts w:ascii="Arial" w:hAnsi="Arial" w:cs="Arial"/>
          <w:lang w:val="es-ES"/>
        </w:rPr>
        <w:t>= Caudal medio de todos los emisores.</w:t>
      </w:r>
    </w:p>
    <w:p w:rsidR="00503A41" w:rsidRPr="00993936" w:rsidRDefault="00503A41" w:rsidP="0009331F">
      <w:pPr>
        <w:jc w:val="both"/>
        <w:rPr>
          <w:rFonts w:ascii="Arial" w:hAnsi="Arial" w:cs="Arial"/>
          <w:lang w:val="es-ES"/>
        </w:rPr>
      </w:pPr>
      <w:r w:rsidRPr="00993936">
        <w:rPr>
          <w:rFonts w:ascii="Arial" w:hAnsi="Arial" w:cs="Arial"/>
          <w:lang w:val="es-ES"/>
        </w:rPr>
        <w:t>n = Número de unidades o puestos de control (Se recomienda que n &gt;= 16). En caso de que la unidad de control tenga más de un emisor, el caudal total a considerar será la suma del Caudal de todos los emisores que constituyen la unidad.</w:t>
      </w:r>
    </w:p>
    <w:p w:rsidR="00503A41" w:rsidRPr="00993936" w:rsidRDefault="00503A41" w:rsidP="0009331F">
      <w:pPr>
        <w:jc w:val="both"/>
        <w:rPr>
          <w:rFonts w:ascii="Arial" w:hAnsi="Arial" w:cs="Arial"/>
          <w:lang w:val="es-ES"/>
        </w:rPr>
      </w:pPr>
    </w:p>
    <w:p w:rsidR="00503A41" w:rsidRPr="00993936" w:rsidRDefault="00503A41" w:rsidP="0009331F">
      <w:pPr>
        <w:jc w:val="center"/>
        <w:rPr>
          <w:rFonts w:ascii="Arial" w:hAnsi="Arial" w:cs="Arial"/>
          <w:snapToGrid w:val="0"/>
          <w:lang w:val="es-ES"/>
        </w:rPr>
      </w:pPr>
      <w:r w:rsidRPr="00993936">
        <w:rPr>
          <w:rFonts w:ascii="Arial" w:hAnsi="Arial" w:cs="Arial"/>
          <w:lang w:val="es-ES"/>
        </w:rPr>
        <w:t>-.-.-.-.-.-.-.-.-.-.-.-.-.-.-.-.-.-.-.-.-.-.-.-.-.-.-.-.-.-</w:t>
      </w:r>
    </w:p>
    <w:p w:rsidR="00503A41" w:rsidRPr="00993936" w:rsidRDefault="00503A41" w:rsidP="0009331F">
      <w:pPr>
        <w:jc w:val="center"/>
        <w:rPr>
          <w:rFonts w:ascii="Arial" w:hAnsi="Arial" w:cs="Arial"/>
          <w:b/>
          <w:lang w:val="es-ES"/>
        </w:rPr>
      </w:pPr>
    </w:p>
    <w:p w:rsidR="00503A41" w:rsidRPr="00993936" w:rsidRDefault="00503A41" w:rsidP="0009331F">
      <w:pPr>
        <w:jc w:val="both"/>
        <w:rPr>
          <w:rFonts w:ascii="Arial" w:hAnsi="Arial" w:cs="Arial"/>
          <w:b/>
          <w:lang w:val="es-ES"/>
        </w:rPr>
      </w:pPr>
    </w:p>
    <w:p w:rsidR="00503A41" w:rsidRPr="00993936" w:rsidRDefault="00503A41" w:rsidP="008260E4">
      <w:pPr>
        <w:jc w:val="both"/>
        <w:rPr>
          <w:rFonts w:ascii="Arial" w:hAnsi="Arial" w:cs="Arial"/>
          <w:lang w:val="es-ES"/>
        </w:rPr>
      </w:pPr>
    </w:p>
    <w:p w:rsidR="00503A41" w:rsidRPr="00993936" w:rsidRDefault="00503A41" w:rsidP="009D1A2D">
      <w:pPr>
        <w:pStyle w:val="Prrafodelista"/>
        <w:numPr>
          <w:ilvl w:val="0"/>
          <w:numId w:val="24"/>
        </w:numPr>
        <w:jc w:val="both"/>
        <w:rPr>
          <w:rFonts w:ascii="Arial" w:hAnsi="Arial" w:cs="Arial"/>
          <w:lang w:val="es-ES"/>
        </w:rPr>
      </w:pPr>
      <w:r w:rsidRPr="00993936">
        <w:rPr>
          <w:rFonts w:ascii="Arial" w:hAnsi="Arial" w:cs="Arial"/>
          <w:lang w:val="es-ES"/>
        </w:rPr>
        <w:br w:type="page"/>
      </w:r>
    </w:p>
    <w:p w:rsidR="00503A41" w:rsidRPr="00993936" w:rsidRDefault="00503A41" w:rsidP="00424C28">
      <w:pPr>
        <w:rPr>
          <w:rFonts w:ascii="Arial" w:hAnsi="Arial" w:cs="Arial"/>
          <w:b/>
          <w:sz w:val="24"/>
          <w:szCs w:val="24"/>
          <w:lang w:val="es-ES"/>
        </w:rPr>
      </w:pPr>
      <w:r w:rsidRPr="00993936">
        <w:rPr>
          <w:rFonts w:ascii="Arial" w:hAnsi="Arial" w:cs="Arial"/>
          <w:b/>
          <w:sz w:val="24"/>
          <w:szCs w:val="24"/>
          <w:lang w:val="es-ES"/>
        </w:rPr>
        <w:lastRenderedPageBreak/>
        <w:t>Anexo X. Norma técnica de producción integrada de olivas</w:t>
      </w:r>
    </w:p>
    <w:p w:rsidR="00503A41" w:rsidRPr="00993936" w:rsidRDefault="00503A41" w:rsidP="00424C28">
      <w:pPr>
        <w:rPr>
          <w:rFonts w:ascii="Arial" w:hAnsi="Arial" w:cs="Arial"/>
          <w:b/>
          <w:sz w:val="24"/>
          <w:szCs w:val="24"/>
          <w:lang w:val="es-ES"/>
        </w:rPr>
      </w:pPr>
    </w:p>
    <w:p w:rsidR="00503A41" w:rsidRPr="00993936" w:rsidRDefault="00503A41" w:rsidP="001C0FFB">
      <w:pPr>
        <w:jc w:val="both"/>
        <w:rPr>
          <w:rFonts w:ascii="Arial" w:hAnsi="Arial" w:cs="Arial"/>
          <w:lang w:val="es-ES"/>
        </w:rPr>
      </w:pPr>
      <w:r w:rsidRPr="00993936">
        <w:rPr>
          <w:rFonts w:ascii="Arial" w:hAnsi="Arial" w:cs="Arial"/>
          <w:b/>
          <w:lang w:val="es-ES"/>
        </w:rPr>
        <w:t>Definiciones</w:t>
      </w:r>
      <w:r w:rsidRPr="00993936">
        <w:rPr>
          <w:rFonts w:ascii="Arial" w:hAnsi="Arial" w:cs="Arial"/>
          <w:lang w:val="es-ES"/>
        </w:rPr>
        <w:tab/>
      </w:r>
    </w:p>
    <w:p w:rsidR="00503A41" w:rsidRPr="00993936" w:rsidRDefault="00503A41" w:rsidP="001C0FFB">
      <w:pPr>
        <w:jc w:val="both"/>
        <w:rPr>
          <w:rFonts w:ascii="Arial" w:hAnsi="Arial" w:cs="Arial"/>
          <w:lang w:val="es-ES"/>
        </w:rPr>
      </w:pPr>
      <w:r w:rsidRPr="00993936">
        <w:rPr>
          <w:rFonts w:ascii="Arial" w:hAnsi="Arial" w:cs="Arial"/>
          <w:lang w:val="es-ES"/>
        </w:rPr>
        <w:t>A los efectos de esta norma se entenderá por</w:t>
      </w:r>
      <w:r w:rsidRPr="00993936">
        <w:rPr>
          <w:rFonts w:ascii="Arial" w:hAnsi="Arial" w:cs="Arial"/>
          <w:vanish/>
          <w:lang w:val="es-ES"/>
        </w:rPr>
        <w:t>&lt;A[por|para]&gt;</w:t>
      </w:r>
      <w:r w:rsidRPr="00993936">
        <w:rPr>
          <w:rFonts w:ascii="Arial" w:hAnsi="Arial" w:cs="Arial"/>
          <w:lang w:val="es-ES"/>
        </w:rPr>
        <w:t>:</w:t>
      </w:r>
    </w:p>
    <w:p w:rsidR="00503A41" w:rsidRPr="00993936" w:rsidRDefault="00503A41" w:rsidP="001C0FFB">
      <w:pPr>
        <w:jc w:val="both"/>
        <w:rPr>
          <w:rFonts w:ascii="Arial" w:hAnsi="Arial" w:cs="Arial"/>
          <w:lang w:val="es-ES"/>
        </w:rPr>
      </w:pPr>
      <w:r w:rsidRPr="00993936">
        <w:rPr>
          <w:rFonts w:ascii="Arial" w:hAnsi="Arial" w:cs="Arial"/>
          <w:i/>
          <w:lang w:val="es-ES"/>
        </w:rPr>
        <w:t>Agrupación de Producción Integrada:</w:t>
      </w:r>
      <w:r w:rsidRPr="00993936">
        <w:rPr>
          <w:rFonts w:ascii="Arial" w:hAnsi="Arial" w:cs="Arial"/>
          <w:lang w:val="es-ES"/>
        </w:rPr>
        <w:t xml:space="preserve"> aquella agrupación de operadores constituida bajo cualquier fórmula jurídica o integrada en otra agrupación previamente constituida y reconocida por la autoridad competente con el objetivo de obtener productos vegetales bajo los requisitos de producción integrada para ser comercializados.</w:t>
      </w:r>
    </w:p>
    <w:p w:rsidR="00503A41" w:rsidRPr="00993936" w:rsidRDefault="00503A41" w:rsidP="001C0FFB">
      <w:pPr>
        <w:jc w:val="both"/>
        <w:rPr>
          <w:rFonts w:ascii="Arial" w:hAnsi="Arial" w:cs="Arial"/>
          <w:lang w:val="es-ES"/>
        </w:rPr>
      </w:pPr>
      <w:r w:rsidRPr="00993936">
        <w:rPr>
          <w:rFonts w:ascii="Arial" w:hAnsi="Arial" w:cs="Arial"/>
          <w:i/>
          <w:lang w:val="es-ES"/>
        </w:rPr>
        <w:t>Análisis de Peligros y Puntos de control críticos (APPCC):</w:t>
      </w:r>
      <w:r w:rsidRPr="00993936">
        <w:rPr>
          <w:rFonts w:ascii="Arial" w:hAnsi="Arial" w:cs="Arial"/>
          <w:lang w:val="es-ES"/>
        </w:rPr>
        <w:t xml:space="preserve"> enfoque sistemático de base científica que permite identificar riesgos específicos y medidas para el control, con la finalidad de asegurar la inocuidad de los alimentos. Es un instrumento para evaluar los riesgos y establecer sistemas de control que se orientan hacia la prevención en lugar de fundamentarse en el análisis del producto final.</w:t>
      </w:r>
    </w:p>
    <w:p w:rsidR="00503A41" w:rsidRPr="00993936" w:rsidRDefault="00503A41" w:rsidP="001C0FFB">
      <w:pPr>
        <w:jc w:val="both"/>
        <w:rPr>
          <w:rFonts w:ascii="Arial" w:hAnsi="Arial" w:cs="Arial"/>
          <w:i/>
          <w:lang w:val="es-ES"/>
        </w:rPr>
      </w:pPr>
      <w:r w:rsidRPr="00993936">
        <w:rPr>
          <w:rFonts w:ascii="Arial" w:hAnsi="Arial" w:cs="Arial"/>
          <w:i/>
          <w:lang w:val="es-ES"/>
        </w:rPr>
        <w:t xml:space="preserve">Biodiversidad: </w:t>
      </w:r>
      <w:r w:rsidRPr="00993936">
        <w:rPr>
          <w:rFonts w:ascii="Arial" w:hAnsi="Arial" w:cs="Arial"/>
          <w:lang w:val="es-ES"/>
        </w:rPr>
        <w:t>conjunto de especies</w:t>
      </w:r>
      <w:r w:rsidRPr="00993936">
        <w:rPr>
          <w:rFonts w:ascii="Arial" w:hAnsi="Arial" w:cs="Arial"/>
          <w:vanish/>
          <w:lang w:val="es-ES"/>
        </w:rPr>
        <w:t>&lt;A[especies|especias]&gt;</w:t>
      </w:r>
      <w:r w:rsidRPr="00993936">
        <w:rPr>
          <w:rFonts w:ascii="Arial" w:hAnsi="Arial" w:cs="Arial"/>
          <w:lang w:val="es-ES"/>
        </w:rPr>
        <w:t xml:space="preserve"> diferentes que vive en un ecosistema determinado.</w:t>
      </w:r>
    </w:p>
    <w:p w:rsidR="00503A41" w:rsidRPr="00993936" w:rsidRDefault="00503A41" w:rsidP="001C0FFB">
      <w:pPr>
        <w:jc w:val="both"/>
        <w:rPr>
          <w:rFonts w:ascii="Arial" w:hAnsi="Arial" w:cs="Arial"/>
          <w:lang w:val="es-ES"/>
        </w:rPr>
      </w:pPr>
      <w:r w:rsidRPr="00993936">
        <w:rPr>
          <w:rFonts w:ascii="Arial" w:hAnsi="Arial" w:cs="Arial"/>
          <w:i/>
          <w:lang w:val="es-ES"/>
        </w:rPr>
        <w:t>Buenas prácticas fitosanitarias:</w:t>
      </w:r>
      <w:r w:rsidRPr="00993936">
        <w:rPr>
          <w:rFonts w:ascii="Arial" w:hAnsi="Arial" w:cs="Arial"/>
          <w:lang w:val="es-ES"/>
        </w:rPr>
        <w:t xml:space="preserve"> utilizar productos fitosanitarios y otros medios de defensa fitosanitaria bajo las condiciones de uso autorizadas.</w:t>
      </w:r>
    </w:p>
    <w:p w:rsidR="00503A41" w:rsidRPr="00993936" w:rsidRDefault="00503A41" w:rsidP="001C0FFB">
      <w:pPr>
        <w:jc w:val="both"/>
        <w:rPr>
          <w:rFonts w:ascii="Arial" w:hAnsi="Arial" w:cs="Arial"/>
          <w:lang w:val="es-ES"/>
        </w:rPr>
      </w:pPr>
      <w:r w:rsidRPr="00993936">
        <w:rPr>
          <w:rFonts w:ascii="Arial" w:hAnsi="Arial" w:cs="Arial"/>
          <w:i/>
          <w:lang w:val="es-ES"/>
        </w:rPr>
        <w:t>Brote:</w:t>
      </w:r>
      <w:r w:rsidRPr="00993936">
        <w:rPr>
          <w:rFonts w:ascii="Arial" w:hAnsi="Arial" w:cs="Arial"/>
          <w:lang w:val="es-ES"/>
        </w:rPr>
        <w:t xml:space="preserve"> Crecimiento vegetativo del año</w:t>
      </w:r>
    </w:p>
    <w:p w:rsidR="00503A41" w:rsidRPr="00993936" w:rsidRDefault="00503A41" w:rsidP="001C0FFB">
      <w:pPr>
        <w:jc w:val="both"/>
        <w:rPr>
          <w:rFonts w:ascii="Arial" w:hAnsi="Arial" w:cs="Arial"/>
          <w:lang w:val="es-ES"/>
        </w:rPr>
      </w:pPr>
      <w:r w:rsidRPr="00993936">
        <w:rPr>
          <w:rFonts w:ascii="Arial" w:hAnsi="Arial" w:cs="Arial"/>
          <w:i/>
          <w:lang w:val="es-ES"/>
        </w:rPr>
        <w:t>Central:</w:t>
      </w:r>
      <w:r w:rsidRPr="00993936">
        <w:rPr>
          <w:rFonts w:ascii="Arial" w:hAnsi="Arial" w:cs="Arial"/>
          <w:lang w:val="es-ES"/>
        </w:rPr>
        <w:t xml:space="preserve"> instalación o conjunto de instalaciones donde se reciben, se manipulan, almacenan, envasan y expiden los frutos.</w:t>
      </w:r>
    </w:p>
    <w:p w:rsidR="00503A41" w:rsidRPr="00993936" w:rsidRDefault="00503A41" w:rsidP="001C0FFB">
      <w:pPr>
        <w:jc w:val="both"/>
        <w:rPr>
          <w:rFonts w:ascii="Arial" w:hAnsi="Arial" w:cs="Arial"/>
          <w:lang w:val="es-ES"/>
        </w:rPr>
      </w:pPr>
      <w:r w:rsidRPr="00993936">
        <w:rPr>
          <w:rFonts w:ascii="Arial" w:hAnsi="Arial" w:cs="Arial"/>
          <w:i/>
          <w:lang w:val="es-ES"/>
        </w:rPr>
        <w:t>Coeficiente de uniformidad:</w:t>
      </w:r>
      <w:r w:rsidRPr="00993936">
        <w:rPr>
          <w:rFonts w:ascii="Arial" w:hAnsi="Arial" w:cs="Arial"/>
          <w:lang w:val="es-ES"/>
        </w:rPr>
        <w:t xml:space="preserve"> valor obtenido de aplicar una fórmula que indica la uniformidad en la distribución del agua aplicada por el sistema de riego. </w:t>
      </w:r>
    </w:p>
    <w:p w:rsidR="00503A41" w:rsidRPr="00993936" w:rsidRDefault="00503A41" w:rsidP="001C0FFB">
      <w:pPr>
        <w:jc w:val="both"/>
        <w:rPr>
          <w:rFonts w:ascii="Arial" w:hAnsi="Arial" w:cs="Arial"/>
          <w:lang w:val="es-ES"/>
        </w:rPr>
      </w:pPr>
      <w:r w:rsidRPr="00993936">
        <w:rPr>
          <w:rFonts w:ascii="Arial" w:hAnsi="Arial" w:cs="Arial"/>
          <w:i/>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productos vegetales.</w:t>
      </w:r>
    </w:p>
    <w:p w:rsidR="00503A41" w:rsidRPr="00993936" w:rsidRDefault="00503A41" w:rsidP="001C0FFB">
      <w:pPr>
        <w:jc w:val="both"/>
        <w:rPr>
          <w:rFonts w:ascii="Arial" w:hAnsi="Arial" w:cs="Arial"/>
          <w:lang w:val="es-ES"/>
        </w:rPr>
      </w:pPr>
      <w:r w:rsidRPr="00993936">
        <w:rPr>
          <w:rFonts w:ascii="Arial" w:hAnsi="Arial" w:cs="Arial"/>
          <w:i/>
          <w:lang w:val="es-ES"/>
        </w:rPr>
        <w:t>Control o lucha integrada:</w:t>
      </w:r>
      <w:r w:rsidRPr="00993936">
        <w:rPr>
          <w:rFonts w:ascii="Arial" w:hAnsi="Arial" w:cs="Arial"/>
          <w:b/>
          <w:lang w:val="es-ES"/>
        </w:rPr>
        <w:t xml:space="preserve"> </w:t>
      </w:r>
      <w:r w:rsidRPr="00993936">
        <w:rPr>
          <w:rFonts w:ascii="Arial" w:hAnsi="Arial" w:cs="Arial"/>
          <w:lang w:val="es-ES"/>
        </w:rPr>
        <w:t>la aplicación racional de una combinación de medidas biológicas, físicas, biotecnológicas, químicas, de cultivo o de selección de vegetales, de manera que la utilización de productos fitosanitarios se limite al mínimo necesario para controlar las plagas.</w:t>
      </w:r>
    </w:p>
    <w:p w:rsidR="00503A41" w:rsidRPr="00993936" w:rsidRDefault="00503A41" w:rsidP="001C0FFB">
      <w:pPr>
        <w:jc w:val="both"/>
        <w:rPr>
          <w:rFonts w:ascii="Arial" w:hAnsi="Arial" w:cs="Arial"/>
          <w:lang w:val="es-ES"/>
        </w:rPr>
      </w:pPr>
      <w:r w:rsidRPr="00993936">
        <w:rPr>
          <w:rFonts w:ascii="Arial" w:hAnsi="Arial" w:cs="Arial"/>
          <w:i/>
          <w:lang w:val="es-ES"/>
        </w:rPr>
        <w:t>Criterio de intervención:</w:t>
      </w:r>
      <w:r w:rsidRPr="00993936">
        <w:rPr>
          <w:rFonts w:ascii="Arial" w:hAnsi="Arial" w:cs="Arial"/>
          <w:lang w:val="es-ES"/>
        </w:rPr>
        <w:t xml:space="preserve"> conjunto de condiciones que permiten justificar la realización de un tratamiento contra una plaga o agente patógeno.</w:t>
      </w:r>
    </w:p>
    <w:p w:rsidR="00503A41" w:rsidRPr="00993936" w:rsidRDefault="00503A41" w:rsidP="001C0FFB">
      <w:pPr>
        <w:jc w:val="both"/>
        <w:rPr>
          <w:rFonts w:ascii="Arial" w:hAnsi="Arial" w:cs="Arial"/>
          <w:i/>
          <w:lang w:val="es-ES"/>
        </w:rPr>
      </w:pPr>
      <w:r w:rsidRPr="00993936">
        <w:rPr>
          <w:rFonts w:ascii="Arial" w:hAnsi="Arial" w:cs="Arial"/>
          <w:i/>
          <w:lang w:val="es-ES"/>
        </w:rPr>
        <w:t>Cultivo:</w:t>
      </w:r>
      <w:r w:rsidRPr="00993936">
        <w:rPr>
          <w:rFonts w:ascii="Arial" w:hAnsi="Arial" w:cs="Arial"/>
          <w:lang w:val="es-ES"/>
        </w:rPr>
        <w:t xml:space="preserve"> para cada especie, la totalidad de la producción que gestiona un agricultor</w:t>
      </w:r>
      <w:r w:rsidRPr="00993936">
        <w:rPr>
          <w:rFonts w:ascii="Arial" w:hAnsi="Arial" w:cs="Arial"/>
          <w:i/>
          <w:lang w:val="es-ES"/>
        </w:rPr>
        <w:t>.</w:t>
      </w:r>
    </w:p>
    <w:p w:rsidR="00503A41" w:rsidRPr="00993936" w:rsidRDefault="00503A41" w:rsidP="001C0FFB">
      <w:pPr>
        <w:jc w:val="both"/>
        <w:rPr>
          <w:rFonts w:ascii="Arial" w:hAnsi="Arial" w:cs="Arial"/>
          <w:lang w:val="es-ES"/>
        </w:rPr>
      </w:pPr>
      <w:r w:rsidRPr="00993936">
        <w:rPr>
          <w:rFonts w:ascii="Arial" w:hAnsi="Arial" w:cs="Arial"/>
          <w:i/>
          <w:lang w:val="es-ES"/>
        </w:rPr>
        <w:t>Dimensión de muestra por unidad de control:</w:t>
      </w:r>
      <w:r w:rsidRPr="00993936">
        <w:rPr>
          <w:rFonts w:ascii="Arial" w:hAnsi="Arial" w:cs="Arial"/>
          <w:lang w:val="es-ES"/>
        </w:rPr>
        <w:t xml:space="preserve"> 10 a 20 árboles (olivas).</w:t>
      </w:r>
    </w:p>
    <w:p w:rsidR="00503A41" w:rsidRPr="00993936" w:rsidRDefault="00503A41" w:rsidP="001C0FFB">
      <w:pPr>
        <w:jc w:val="both"/>
        <w:rPr>
          <w:rFonts w:ascii="Arial" w:hAnsi="Arial" w:cs="Arial"/>
          <w:lang w:val="es-ES"/>
        </w:rPr>
      </w:pPr>
      <w:r w:rsidRPr="00993936">
        <w:rPr>
          <w:rFonts w:ascii="Arial" w:hAnsi="Arial" w:cs="Arial"/>
          <w:i/>
          <w:lang w:val="es-ES"/>
        </w:rPr>
        <w:t>Ecosistema:</w:t>
      </w:r>
      <w:r w:rsidRPr="00993936">
        <w:rPr>
          <w:rFonts w:ascii="Arial" w:hAnsi="Arial" w:cs="Arial"/>
          <w:lang w:val="es-ES"/>
        </w:rPr>
        <w:t xml:space="preserve"> sistema formado por el conjunto de seres vivos presentes en un lugar</w:t>
      </w:r>
      <w:r w:rsidRPr="00993936">
        <w:rPr>
          <w:rFonts w:ascii="Arial" w:hAnsi="Arial" w:cs="Arial"/>
          <w:vanish/>
          <w:lang w:val="es-ES"/>
        </w:rPr>
        <w:t>&lt;A[lugar|sitio]&gt;</w:t>
      </w:r>
      <w:r w:rsidRPr="00993936">
        <w:rPr>
          <w:rFonts w:ascii="Arial" w:hAnsi="Arial" w:cs="Arial"/>
          <w:lang w:val="es-ES"/>
        </w:rPr>
        <w:t xml:space="preserve"> determinado y el medio ambiente que le es propio.</w:t>
      </w:r>
    </w:p>
    <w:p w:rsidR="00503A41" w:rsidRPr="00993936" w:rsidRDefault="00503A41" w:rsidP="001C0FFB">
      <w:pPr>
        <w:jc w:val="both"/>
        <w:rPr>
          <w:rFonts w:ascii="Arial" w:hAnsi="Arial" w:cs="Arial"/>
          <w:lang w:val="es-ES"/>
        </w:rPr>
      </w:pPr>
      <w:r w:rsidRPr="00993936">
        <w:rPr>
          <w:rFonts w:ascii="Arial" w:hAnsi="Arial" w:cs="Arial"/>
          <w:i/>
          <w:lang w:val="es-ES"/>
        </w:rPr>
        <w:t>Enemigo natural:</w:t>
      </w:r>
      <w:r w:rsidRPr="00993936">
        <w:rPr>
          <w:rFonts w:ascii="Arial" w:hAnsi="Arial" w:cs="Arial"/>
          <w:lang w:val="es-ES"/>
        </w:rPr>
        <w:t xml:space="preserve"> insecto o ácaro que actúa como agente de control biológico interaccionando con las plagas del cultivo depredándolas o parasitándolas.</w:t>
      </w:r>
    </w:p>
    <w:p w:rsidR="00503A41" w:rsidRPr="00993936" w:rsidRDefault="00503A41" w:rsidP="001C0FFB">
      <w:pPr>
        <w:jc w:val="both"/>
        <w:rPr>
          <w:rFonts w:ascii="Arial" w:hAnsi="Arial" w:cs="Arial"/>
          <w:lang w:val="es-ES"/>
        </w:rPr>
      </w:pPr>
      <w:r w:rsidRPr="00993936">
        <w:rPr>
          <w:rFonts w:ascii="Arial" w:hAnsi="Arial" w:cs="Arial"/>
          <w:i/>
          <w:lang w:val="es-ES"/>
        </w:rPr>
        <w:t>Entidades de Certificación:</w:t>
      </w:r>
      <w:r w:rsidRPr="00993936">
        <w:rPr>
          <w:rFonts w:ascii="Arial" w:hAnsi="Arial" w:cs="Arial"/>
          <w:lang w:val="es-ES"/>
        </w:rPr>
        <w:t xml:space="preserve"> son aquellas entidades acreditadas por la Entidad Nacional de Acreditación (ENAC) para realizar las funciones de control y certificación, donde tendrá que estar sometida la producción para que los productos obtenidos puedan ser </w:t>
      </w:r>
      <w:r w:rsidRPr="00993936">
        <w:rPr>
          <w:rFonts w:ascii="Arial" w:hAnsi="Arial" w:cs="Arial"/>
          <w:lang w:val="es-ES"/>
        </w:rPr>
        <w:lastRenderedPageBreak/>
        <w:t>diferenciados con un distintivo de garantía de producción integrada, de acuerdo con el Decreto 241/2002 (DOGC nº. 3744, de 21.10.2002) o, si procede, las acreditadas por cualquier otro organismo acreditativo firmante del Acuerdo Multilateral de Reconocimiento del European Cooperation for Acreditation (EA).</w:t>
      </w:r>
    </w:p>
    <w:p w:rsidR="00503A41" w:rsidRPr="00993936" w:rsidRDefault="00503A41" w:rsidP="001C0FFB">
      <w:pPr>
        <w:jc w:val="both"/>
        <w:rPr>
          <w:rFonts w:ascii="Arial" w:hAnsi="Arial" w:cs="Arial"/>
          <w:lang w:val="es-ES"/>
        </w:rPr>
      </w:pPr>
      <w:r w:rsidRPr="00993936">
        <w:rPr>
          <w:rFonts w:ascii="Arial" w:hAnsi="Arial" w:cs="Arial"/>
          <w:i/>
          <w:lang w:val="es-ES"/>
        </w:rPr>
        <w:t>Especie mejorante:</w:t>
      </w:r>
      <w:r w:rsidRPr="00993936">
        <w:rPr>
          <w:rFonts w:ascii="Arial" w:hAnsi="Arial" w:cs="Arial"/>
          <w:lang w:val="es-ES"/>
        </w:rPr>
        <w:t xml:space="preserve"> especie vegetal, normalmente gramíneas o leguminosas que por</w:t>
      </w:r>
      <w:r w:rsidRPr="00993936">
        <w:rPr>
          <w:rFonts w:ascii="Arial" w:hAnsi="Arial" w:cs="Arial"/>
          <w:vanish/>
          <w:lang w:val="es-ES"/>
        </w:rPr>
        <w:t>&lt;A[por|para]&gt;</w:t>
      </w:r>
      <w:r w:rsidRPr="00993936">
        <w:rPr>
          <w:rFonts w:ascii="Arial" w:hAnsi="Arial" w:cs="Arial"/>
          <w:lang w:val="es-ES"/>
        </w:rPr>
        <w:t xml:space="preserve"> sus características biológicas mejoran las propiedades fisicoquímicas del suelo durante su cultivo.</w:t>
      </w:r>
    </w:p>
    <w:p w:rsidR="00503A41" w:rsidRPr="00993936" w:rsidRDefault="00503A41" w:rsidP="001C0FFB">
      <w:pPr>
        <w:jc w:val="both"/>
        <w:rPr>
          <w:rFonts w:ascii="Arial" w:hAnsi="Arial" w:cs="Arial"/>
          <w:lang w:val="es-ES"/>
        </w:rPr>
      </w:pPr>
      <w:r w:rsidRPr="00993936">
        <w:rPr>
          <w:rFonts w:ascii="Arial" w:hAnsi="Arial" w:cs="Arial"/>
          <w:i/>
          <w:lang w:val="es-ES"/>
        </w:rPr>
        <w:t>Etiquetado:</w:t>
      </w:r>
      <w:r w:rsidRPr="00993936">
        <w:rPr>
          <w:rFonts w:ascii="Arial" w:hAnsi="Arial" w:cs="Arial"/>
          <w:lang w:val="es-ES"/>
        </w:rPr>
        <w:t xml:space="preserve"> todas las menciones, las indicaciones, las identificaciones de fábrica o de comercio, las imágenes o los signos que figuran en los envases, documentos, letreros, etiquetas, argollas</w:t>
      </w:r>
      <w:r w:rsidRPr="00993936">
        <w:rPr>
          <w:rFonts w:ascii="Arial" w:hAnsi="Arial" w:cs="Arial"/>
          <w:vanish/>
          <w:lang w:val="es-ES"/>
        </w:rPr>
        <w:t>&lt;A[argollas|servilleteros]&gt;</w:t>
      </w:r>
      <w:r w:rsidRPr="00993936">
        <w:rPr>
          <w:rFonts w:ascii="Arial" w:hAnsi="Arial" w:cs="Arial"/>
          <w:lang w:val="es-ES"/>
        </w:rPr>
        <w:t xml:space="preserve"> o collares que acompañan o se refieran a productos que prevé el Decreto 241/2002.</w:t>
      </w:r>
    </w:p>
    <w:p w:rsidR="00503A41" w:rsidRPr="00993936" w:rsidRDefault="00503A41" w:rsidP="001C0FFB">
      <w:pPr>
        <w:jc w:val="both"/>
        <w:rPr>
          <w:rFonts w:ascii="Arial" w:hAnsi="Arial" w:cs="Arial"/>
          <w:lang w:val="es-ES"/>
        </w:rPr>
      </w:pPr>
      <w:r w:rsidRPr="00993936">
        <w:rPr>
          <w:rFonts w:ascii="Arial" w:hAnsi="Arial" w:cs="Arial"/>
          <w:i/>
          <w:lang w:val="es-ES"/>
        </w:rPr>
        <w:t>Explotación:</w:t>
      </w:r>
      <w:r w:rsidRPr="00993936">
        <w:rPr>
          <w:rFonts w:ascii="Arial" w:hAnsi="Arial" w:cs="Arial"/>
          <w:b/>
          <w:lang w:val="es-ES"/>
        </w:rPr>
        <w:t xml:space="preserve"> </w:t>
      </w:r>
      <w:r w:rsidRPr="00993936">
        <w:rPr>
          <w:rFonts w:ascii="Arial" w:hAnsi="Arial" w:cs="Arial"/>
          <w:lang w:val="es-ES"/>
        </w:rPr>
        <w:t>conjunto de bienes productivos que dan origen a una actividad económica.</w:t>
      </w:r>
    </w:p>
    <w:p w:rsidR="00503A41" w:rsidRPr="00993936" w:rsidRDefault="00503A41" w:rsidP="001C0FFB">
      <w:pPr>
        <w:jc w:val="both"/>
        <w:rPr>
          <w:rFonts w:ascii="Arial" w:hAnsi="Arial" w:cs="Arial"/>
          <w:lang w:val="es-ES"/>
        </w:rPr>
      </w:pPr>
      <w:r w:rsidRPr="00993936">
        <w:rPr>
          <w:rFonts w:ascii="Arial" w:hAnsi="Arial" w:cs="Arial"/>
          <w:i/>
          <w:lang w:val="es-ES"/>
        </w:rPr>
        <w:t>Fauna auxiliar:</w:t>
      </w:r>
      <w:r w:rsidRPr="00993936">
        <w:rPr>
          <w:rFonts w:ascii="Arial" w:hAnsi="Arial" w:cs="Arial"/>
          <w:lang w:val="es-ES"/>
        </w:rPr>
        <w:t xml:space="preserve"> ved enemigo natural.</w:t>
      </w:r>
    </w:p>
    <w:p w:rsidR="00503A41" w:rsidRPr="00993936" w:rsidRDefault="00503A41" w:rsidP="001C0FFB">
      <w:pPr>
        <w:jc w:val="both"/>
        <w:rPr>
          <w:rFonts w:ascii="Arial" w:hAnsi="Arial" w:cs="Arial"/>
          <w:lang w:val="es-ES"/>
        </w:rPr>
      </w:pPr>
      <w:r w:rsidRPr="00993936">
        <w:rPr>
          <w:rFonts w:ascii="Arial" w:hAnsi="Arial" w:cs="Arial"/>
          <w:i/>
          <w:lang w:val="es-ES"/>
        </w:rPr>
        <w:t xml:space="preserve">Fertirrigación: </w:t>
      </w:r>
      <w:r w:rsidRPr="00993936">
        <w:rPr>
          <w:rFonts w:ascii="Arial" w:hAnsi="Arial" w:cs="Arial"/>
          <w:lang w:val="es-ES"/>
        </w:rPr>
        <w:t>técnica de aplicación de abonos</w:t>
      </w:r>
      <w:r w:rsidRPr="00993936">
        <w:rPr>
          <w:rFonts w:ascii="Arial" w:hAnsi="Arial" w:cs="Arial"/>
          <w:vanish/>
          <w:lang w:val="es-ES"/>
        </w:rPr>
        <w:t>&lt;A[abonos|adobos]&gt;</w:t>
      </w:r>
      <w:r w:rsidRPr="00993936">
        <w:rPr>
          <w:rFonts w:ascii="Arial" w:hAnsi="Arial" w:cs="Arial"/>
          <w:lang w:val="es-ES"/>
        </w:rPr>
        <w:t xml:space="preserve"> químicos en disolución acuosa mediante el agua de riego.</w:t>
      </w:r>
    </w:p>
    <w:p w:rsidR="00503A41" w:rsidRPr="00993936" w:rsidRDefault="00503A41" w:rsidP="001C0FFB">
      <w:pPr>
        <w:jc w:val="both"/>
        <w:rPr>
          <w:rFonts w:ascii="Arial" w:hAnsi="Arial" w:cs="Arial"/>
          <w:lang w:val="es-ES"/>
        </w:rPr>
      </w:pPr>
      <w:r w:rsidRPr="00993936">
        <w:rPr>
          <w:rFonts w:ascii="Arial" w:hAnsi="Arial" w:cs="Arial"/>
          <w:i/>
          <w:lang w:val="es-ES"/>
        </w:rPr>
        <w:t>Herbigación:</w:t>
      </w:r>
      <w:r w:rsidRPr="00993936">
        <w:rPr>
          <w:rFonts w:ascii="Arial" w:hAnsi="Arial" w:cs="Arial"/>
          <w:lang w:val="es-ES"/>
        </w:rPr>
        <w:t xml:space="preserve"> Aplicación de herbicidas a través de las instalaciones de riego localizado.</w:t>
      </w:r>
    </w:p>
    <w:p w:rsidR="00503A41" w:rsidRPr="00993936" w:rsidRDefault="00503A41" w:rsidP="001C0FFB">
      <w:pPr>
        <w:jc w:val="both"/>
        <w:rPr>
          <w:rFonts w:ascii="Arial" w:hAnsi="Arial" w:cs="Arial"/>
          <w:lang w:val="es-ES"/>
        </w:rPr>
      </w:pPr>
      <w:r w:rsidRPr="00993936">
        <w:rPr>
          <w:rFonts w:ascii="Arial" w:hAnsi="Arial" w:cs="Arial"/>
          <w:i/>
          <w:lang w:val="es-ES"/>
        </w:rPr>
        <w:t>Método de Merrien-Keller:</w:t>
      </w:r>
      <w:r w:rsidRPr="00993936">
        <w:rPr>
          <w:rFonts w:ascii="Arial" w:hAnsi="Arial" w:cs="Arial"/>
          <w:lang w:val="es-ES"/>
        </w:rPr>
        <w:t xml:space="preserve"> método de cálculo del coeficiente de uniformidad de un sistema de riego, expresado por la fórmula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992"/>
        <w:gridCol w:w="992"/>
      </w:tblGrid>
      <w:tr w:rsidR="00503A41" w:rsidRPr="00993936" w:rsidTr="001C0FFB">
        <w:trPr>
          <w:cantSplit/>
        </w:trPr>
        <w:tc>
          <w:tcPr>
            <w:tcW w:w="921" w:type="dxa"/>
            <w:vMerge w:val="restart"/>
            <w:tcBorders>
              <w:top w:val="nil"/>
              <w:left w:val="nil"/>
              <w:bottom w:val="nil"/>
              <w:right w:val="nil"/>
            </w:tcBorders>
            <w:vAlign w:val="center"/>
          </w:tcPr>
          <w:p w:rsidR="00503A41" w:rsidRPr="00993936" w:rsidRDefault="00503A41" w:rsidP="001C0FFB">
            <w:pPr>
              <w:jc w:val="both"/>
              <w:rPr>
                <w:rFonts w:ascii="Arial" w:hAnsi="Arial" w:cs="Arial"/>
                <w:lang w:val="es-ES"/>
              </w:rPr>
            </w:pPr>
            <w:r w:rsidRPr="00993936">
              <w:rPr>
                <w:rFonts w:ascii="Arial" w:hAnsi="Arial" w:cs="Arial"/>
                <w:lang w:val="es-ES"/>
              </w:rPr>
              <w:t xml:space="preserve">CU = </w:t>
            </w:r>
          </w:p>
        </w:tc>
        <w:tc>
          <w:tcPr>
            <w:tcW w:w="992" w:type="dxa"/>
            <w:tcBorders>
              <w:top w:val="nil"/>
              <w:left w:val="nil"/>
              <w:bottom w:val="single" w:sz="4" w:space="0" w:color="auto"/>
              <w:right w:val="nil"/>
            </w:tcBorders>
          </w:tcPr>
          <w:p w:rsidR="00503A41" w:rsidRPr="00993936" w:rsidRDefault="00503A41" w:rsidP="001C0FFB">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25%</w:t>
            </w:r>
          </w:p>
        </w:tc>
        <w:tc>
          <w:tcPr>
            <w:tcW w:w="992" w:type="dxa"/>
            <w:vMerge w:val="restart"/>
            <w:tcBorders>
              <w:top w:val="nil"/>
              <w:left w:val="nil"/>
              <w:bottom w:val="nil"/>
              <w:right w:val="nil"/>
            </w:tcBorders>
            <w:vAlign w:val="center"/>
          </w:tcPr>
          <w:p w:rsidR="00503A41" w:rsidRPr="00993936" w:rsidRDefault="00503A41" w:rsidP="001C0FFB">
            <w:pPr>
              <w:jc w:val="both"/>
              <w:rPr>
                <w:rFonts w:ascii="Arial" w:hAnsi="Arial" w:cs="Arial"/>
                <w:lang w:val="es-ES"/>
              </w:rPr>
            </w:pPr>
            <w:r w:rsidRPr="00993936">
              <w:rPr>
                <w:rFonts w:ascii="Arial" w:hAnsi="Arial" w:cs="Arial"/>
                <w:lang w:val="es-ES"/>
              </w:rPr>
              <w:t xml:space="preserve"> X 100</w:t>
            </w:r>
          </w:p>
        </w:tc>
      </w:tr>
      <w:tr w:rsidR="00503A41" w:rsidRPr="00993936" w:rsidTr="001C0FFB">
        <w:trPr>
          <w:cantSplit/>
        </w:trPr>
        <w:tc>
          <w:tcPr>
            <w:tcW w:w="921" w:type="dxa"/>
            <w:vMerge/>
            <w:tcBorders>
              <w:top w:val="nil"/>
              <w:left w:val="nil"/>
              <w:bottom w:val="nil"/>
              <w:right w:val="nil"/>
            </w:tcBorders>
          </w:tcPr>
          <w:p w:rsidR="00503A41" w:rsidRPr="00993936" w:rsidRDefault="00503A41" w:rsidP="001C0FFB">
            <w:pPr>
              <w:jc w:val="both"/>
              <w:rPr>
                <w:rFonts w:ascii="Arial" w:hAnsi="Arial" w:cs="Arial"/>
                <w:lang w:val="es-ES"/>
              </w:rPr>
            </w:pPr>
          </w:p>
        </w:tc>
        <w:tc>
          <w:tcPr>
            <w:tcW w:w="992" w:type="dxa"/>
            <w:tcBorders>
              <w:top w:val="single" w:sz="4" w:space="0" w:color="auto"/>
              <w:left w:val="nil"/>
              <w:bottom w:val="nil"/>
              <w:right w:val="nil"/>
            </w:tcBorders>
          </w:tcPr>
          <w:p w:rsidR="00503A41" w:rsidRPr="00993936" w:rsidRDefault="00503A41" w:rsidP="001C0FFB">
            <w:pPr>
              <w:jc w:val="both"/>
              <w:rPr>
                <w:rFonts w:ascii="Arial" w:hAnsi="Arial" w:cs="Arial"/>
                <w:lang w:val="es-ES"/>
              </w:rPr>
            </w:pPr>
            <w:r w:rsidRPr="00993936">
              <w:rPr>
                <w:rFonts w:ascii="Arial" w:hAnsi="Arial" w:cs="Arial"/>
                <w:lang w:val="es-ES"/>
              </w:rPr>
              <w:t xml:space="preserve">Q </w:t>
            </w:r>
            <w:r w:rsidRPr="00993936">
              <w:rPr>
                <w:rFonts w:ascii="Arial" w:hAnsi="Arial" w:cs="Arial"/>
                <w:vertAlign w:val="subscript"/>
                <w:lang w:val="es-ES"/>
              </w:rPr>
              <w:t>n</w:t>
            </w:r>
          </w:p>
        </w:tc>
        <w:tc>
          <w:tcPr>
            <w:tcW w:w="992" w:type="dxa"/>
            <w:vMerge/>
            <w:tcBorders>
              <w:top w:val="nil"/>
              <w:left w:val="nil"/>
              <w:bottom w:val="nil"/>
              <w:right w:val="nil"/>
            </w:tcBorders>
          </w:tcPr>
          <w:p w:rsidR="00503A41" w:rsidRPr="00993936" w:rsidRDefault="00503A41" w:rsidP="001C0FFB">
            <w:pPr>
              <w:jc w:val="both"/>
              <w:rPr>
                <w:rFonts w:ascii="Arial" w:hAnsi="Arial" w:cs="Arial"/>
                <w:lang w:val="es-ES"/>
              </w:rPr>
            </w:pPr>
          </w:p>
        </w:tc>
      </w:tr>
    </w:tbl>
    <w:p w:rsidR="00503A41" w:rsidRPr="00993936" w:rsidRDefault="00503A41" w:rsidP="001C0FFB">
      <w:pPr>
        <w:jc w:val="both"/>
        <w:rPr>
          <w:rFonts w:ascii="Arial" w:hAnsi="Arial" w:cs="Arial"/>
          <w:lang w:val="es-ES"/>
        </w:rPr>
      </w:pPr>
      <w:r w:rsidRPr="00993936">
        <w:rPr>
          <w:rFonts w:ascii="Arial" w:hAnsi="Arial" w:cs="Arial"/>
          <w:lang w:val="es-ES"/>
        </w:rPr>
        <w:t>Donde Q</w:t>
      </w:r>
      <w:r w:rsidRPr="00993936">
        <w:rPr>
          <w:rFonts w:ascii="Arial" w:hAnsi="Arial" w:cs="Arial"/>
          <w:vertAlign w:val="subscript"/>
          <w:lang w:val="es-ES"/>
        </w:rPr>
        <w:t>25%</w:t>
      </w:r>
      <w:r w:rsidRPr="00993936">
        <w:rPr>
          <w:rFonts w:ascii="Arial" w:hAnsi="Arial" w:cs="Arial"/>
          <w:lang w:val="es-ES"/>
        </w:rPr>
        <w:t xml:space="preserve"> es la media del caudal de la descarga del 25% de los emisores del caudal más reducido; Q</w:t>
      </w:r>
      <w:r w:rsidRPr="00993936">
        <w:rPr>
          <w:rFonts w:ascii="Arial" w:hAnsi="Arial" w:cs="Arial"/>
          <w:vertAlign w:val="subscript"/>
          <w:lang w:val="es-ES"/>
        </w:rPr>
        <w:t>n</w:t>
      </w:r>
      <w:r w:rsidRPr="00993936">
        <w:rPr>
          <w:rFonts w:ascii="Arial" w:hAnsi="Arial" w:cs="Arial"/>
          <w:lang w:val="es-ES"/>
        </w:rPr>
        <w:t xml:space="preserve"> es el caudal medio de todos los emisores, y n el número de unidades o puestos de control (se recomienda que n </w:t>
      </w:r>
      <w:r w:rsidR="00241200" w:rsidRPr="00993936">
        <w:rPr>
          <w:rFonts w:ascii="Arial" w:hAnsi="Arial" w:cs="Arial"/>
          <w:lang w:val="es-ES"/>
        </w:rPr>
        <w:t>≥</w:t>
      </w:r>
      <w:r w:rsidRPr="00993936">
        <w:rPr>
          <w:rFonts w:ascii="Arial" w:hAnsi="Arial" w:cs="Arial"/>
          <w:lang w:val="es-ES"/>
        </w:rPr>
        <w:t xml:space="preserve"> 16). En caso de que la unidad de control tenga más de un emisor, el caudal total a considerar será la suma del caudal de todos los emisores que constituyen la unidad.</w:t>
      </w:r>
    </w:p>
    <w:p w:rsidR="00503A41" w:rsidRPr="00993936" w:rsidRDefault="00503A41" w:rsidP="001C0FFB">
      <w:pPr>
        <w:jc w:val="both"/>
        <w:rPr>
          <w:rFonts w:ascii="Arial" w:hAnsi="Arial" w:cs="Arial"/>
          <w:lang w:val="es-ES"/>
        </w:rPr>
      </w:pPr>
      <w:r w:rsidRPr="00993936">
        <w:rPr>
          <w:rFonts w:ascii="Arial" w:hAnsi="Arial" w:cs="Arial"/>
          <w:i/>
          <w:lang w:val="es-ES"/>
        </w:rPr>
        <w:t>Operador o persona operadora:</w:t>
      </w:r>
      <w:r w:rsidRPr="00993936">
        <w:rPr>
          <w:rFonts w:ascii="Arial" w:hAnsi="Arial" w:cs="Arial"/>
          <w:lang w:val="es-ES"/>
        </w:rPr>
        <w:t xml:space="preserve"> toda persona física o jurídica que obtiene, manipula, elabora, envasa, etiqueta, almacena o comercializa productos vegetales en las condiciones que establece esta disposición y que como tal figura inscrito en el Registro del Consejo Catalán de la Producción Integrada.</w:t>
      </w:r>
    </w:p>
    <w:p w:rsidR="00503A41" w:rsidRPr="00993936" w:rsidRDefault="00503A41" w:rsidP="001C0FFB">
      <w:pPr>
        <w:jc w:val="both"/>
        <w:rPr>
          <w:rFonts w:ascii="Arial" w:hAnsi="Arial" w:cs="Arial"/>
          <w:lang w:val="es-ES"/>
        </w:rPr>
      </w:pPr>
      <w:r w:rsidRPr="00993936">
        <w:rPr>
          <w:rFonts w:ascii="Arial" w:hAnsi="Arial" w:cs="Arial"/>
          <w:i/>
          <w:lang w:val="es-ES"/>
        </w:rPr>
        <w:t>Operador individual:</w:t>
      </w:r>
      <w:r w:rsidRPr="00993936">
        <w:rPr>
          <w:rFonts w:ascii="Arial" w:hAnsi="Arial" w:cs="Arial"/>
          <w:lang w:val="es-ES"/>
        </w:rPr>
        <w:t xml:space="preserve"> aquel operador que no está agrupado bajo ninguna forma de Agrupación de Producción Integrada. </w:t>
      </w:r>
    </w:p>
    <w:p w:rsidR="00503A41" w:rsidRPr="00993936" w:rsidRDefault="00503A41" w:rsidP="001C0FFB">
      <w:pPr>
        <w:jc w:val="both"/>
        <w:rPr>
          <w:rFonts w:ascii="Arial" w:hAnsi="Arial" w:cs="Arial"/>
          <w:lang w:val="es-ES"/>
        </w:rPr>
      </w:pPr>
      <w:r w:rsidRPr="00993936">
        <w:rPr>
          <w:rFonts w:ascii="Arial" w:hAnsi="Arial" w:cs="Arial"/>
          <w:i/>
          <w:lang w:val="es-ES"/>
        </w:rPr>
        <w:t>Organismo de control biológico:</w:t>
      </w:r>
      <w:r w:rsidRPr="00993936">
        <w:rPr>
          <w:rFonts w:ascii="Arial" w:hAnsi="Arial" w:cs="Arial"/>
          <w:lang w:val="es-ES"/>
        </w:rPr>
        <w:t xml:space="preserve"> enemigo natural antagonista o competidor u otra entidad biótica capaz de reproducirse, utilizado para el control de plagas con excepción de los microorganismos y virus contenidos en la definición de sustancia activa.</w:t>
      </w:r>
    </w:p>
    <w:p w:rsidR="00503A41" w:rsidRPr="00993936" w:rsidRDefault="00503A41" w:rsidP="001C0FFB">
      <w:pPr>
        <w:jc w:val="both"/>
        <w:rPr>
          <w:rFonts w:ascii="Arial" w:hAnsi="Arial" w:cs="Arial"/>
          <w:lang w:val="es-ES"/>
        </w:rPr>
      </w:pPr>
      <w:r w:rsidRPr="00993936">
        <w:rPr>
          <w:rFonts w:ascii="Arial" w:hAnsi="Arial" w:cs="Arial"/>
          <w:i/>
          <w:lang w:val="es-ES"/>
        </w:rPr>
        <w:t>Parcela:</w:t>
      </w:r>
      <w:r w:rsidRPr="00993936">
        <w:rPr>
          <w:rFonts w:ascii="Arial" w:hAnsi="Arial" w:cs="Arial"/>
          <w:lang w:val="es-ES"/>
        </w:rPr>
        <w:t xml:space="preserve"> superficie continua de terreno geográficamente definida e inscrita en el Registro catastral a nombre de unos o más titulares, donde el operador realiza las prácticas de producción integrada.</w:t>
      </w:r>
    </w:p>
    <w:p w:rsidR="00503A41" w:rsidRPr="00993936" w:rsidRDefault="00503A41" w:rsidP="001C0FFB">
      <w:pPr>
        <w:jc w:val="both"/>
        <w:rPr>
          <w:rFonts w:ascii="Arial" w:hAnsi="Arial" w:cs="Arial"/>
          <w:lang w:val="es-ES"/>
        </w:rPr>
      </w:pPr>
      <w:r w:rsidRPr="00993936">
        <w:rPr>
          <w:rFonts w:ascii="Arial" w:hAnsi="Arial" w:cs="Arial"/>
          <w:i/>
          <w:lang w:val="es-ES"/>
        </w:rPr>
        <w:t>Pérdidas técnicas de nutrientes:</w:t>
      </w:r>
      <w:r w:rsidRPr="00993936">
        <w:rPr>
          <w:rFonts w:ascii="Arial" w:hAnsi="Arial" w:cs="Arial"/>
          <w:lang w:val="es-ES"/>
        </w:rPr>
        <w:t xml:space="preserve"> son las que se deben a la falta de incorporación de elementos nutritivos a la planta como consecuencia de errores de homogeneidad en la aportación, extracción de vegetación adventicia, lixiviación, pérdida de asimilabilidad  </w:t>
      </w:r>
      <w:r w:rsidRPr="00993936">
        <w:rPr>
          <w:rFonts w:ascii="Arial" w:hAnsi="Arial" w:cs="Arial"/>
          <w:lang w:val="es-ES"/>
        </w:rPr>
        <w:lastRenderedPageBreak/>
        <w:t>por</w:t>
      </w:r>
      <w:r w:rsidRPr="00993936">
        <w:rPr>
          <w:rFonts w:ascii="Arial" w:hAnsi="Arial" w:cs="Arial"/>
          <w:vanish/>
          <w:lang w:val="es-ES"/>
        </w:rPr>
        <w:t>&lt;A[por|para]&gt;</w:t>
      </w:r>
      <w:r w:rsidRPr="00993936">
        <w:rPr>
          <w:rFonts w:ascii="Arial" w:hAnsi="Arial" w:cs="Arial"/>
          <w:lang w:val="es-ES"/>
        </w:rPr>
        <w:t xml:space="preserve"> antagonismos, transformación en compuestos orgánicos, precipitación o insolubilización de elementos minerales o cualquier otro factor biótico.</w:t>
      </w:r>
    </w:p>
    <w:p w:rsidR="00503A41" w:rsidRPr="00993936" w:rsidRDefault="00503A41" w:rsidP="001C0FFB">
      <w:pPr>
        <w:jc w:val="both"/>
        <w:rPr>
          <w:rFonts w:ascii="Arial" w:hAnsi="Arial" w:cs="Arial"/>
          <w:lang w:val="es-ES"/>
        </w:rPr>
      </w:pPr>
      <w:r w:rsidRPr="00993936">
        <w:rPr>
          <w:rFonts w:ascii="Arial" w:hAnsi="Arial" w:cs="Arial"/>
          <w:i/>
          <w:lang w:val="es-ES"/>
        </w:rPr>
        <w:t>Personal técnico competente:</w:t>
      </w:r>
      <w:r w:rsidRPr="00993936">
        <w:rPr>
          <w:rFonts w:ascii="Arial" w:hAnsi="Arial" w:cs="Arial"/>
          <w:lang w:val="es-ES"/>
        </w:rPr>
        <w:t xml:space="preserve"> persona/s física/s que presta/n servicio/s técnico/s de asistencia en producción integrada y que cuenta con titulación universitaria de grado medio o superior, de acuerdo con lo que especifica el artículo 11.1 del Decreto 241/2002.</w:t>
      </w:r>
    </w:p>
    <w:p w:rsidR="00503A41" w:rsidRPr="00993936" w:rsidRDefault="00503A41" w:rsidP="001C0FFB">
      <w:pPr>
        <w:jc w:val="both"/>
        <w:rPr>
          <w:rFonts w:ascii="Arial" w:hAnsi="Arial" w:cs="Arial"/>
          <w:lang w:val="es-ES"/>
        </w:rPr>
      </w:pPr>
      <w:r w:rsidRPr="00993936">
        <w:rPr>
          <w:rFonts w:ascii="Arial" w:hAnsi="Arial" w:cs="Arial"/>
          <w:i/>
          <w:lang w:val="es-ES"/>
        </w:rPr>
        <w:t>Producción integrada:</w:t>
      </w:r>
      <w:r w:rsidRPr="00993936">
        <w:rPr>
          <w:rFonts w:ascii="Arial" w:hAnsi="Arial" w:cs="Arial"/>
          <w:lang w:val="es-ES"/>
        </w:rPr>
        <w:t xml:space="preserve"> el sistema agrario de producción y obtención de alimentos de calidad, frescos o transformados, y otros productos, que prioriza la utilización de los recursos y mecanismos de regulación naturales, con el objetivo de optimizar los métodos de producción, evitar las aportaciones perjudiciales al medio ambiente y asegurar a largo plazo una agricultura y una ganadería sostenibles.</w:t>
      </w:r>
      <w:r w:rsidRPr="00993936" w:rsidDel="007F4AB2">
        <w:rPr>
          <w:rFonts w:ascii="Arial" w:hAnsi="Arial" w:cs="Arial"/>
          <w:lang w:val="es-ES"/>
        </w:rPr>
        <w:t xml:space="preserve"> </w:t>
      </w:r>
    </w:p>
    <w:p w:rsidR="00503A41" w:rsidRPr="00993936" w:rsidRDefault="00503A41" w:rsidP="001C0FFB">
      <w:pPr>
        <w:jc w:val="both"/>
        <w:rPr>
          <w:rFonts w:ascii="Arial" w:hAnsi="Arial" w:cs="Arial"/>
          <w:lang w:val="es-ES"/>
        </w:rPr>
      </w:pPr>
      <w:r w:rsidRPr="00993936">
        <w:rPr>
          <w:rFonts w:ascii="Arial" w:hAnsi="Arial" w:cs="Arial"/>
          <w:i/>
          <w:lang w:val="es-ES"/>
        </w:rPr>
        <w:t xml:space="preserve">Producto para consumir en fresco: </w:t>
      </w:r>
      <w:r w:rsidRPr="00993936">
        <w:rPr>
          <w:rFonts w:ascii="Arial" w:hAnsi="Arial" w:cs="Arial"/>
          <w:lang w:val="es-ES"/>
        </w:rPr>
        <w:t xml:space="preserve">aquel que se comercializa en fresco, lo cual supone que después de ser recolectado no ha sufrido procesado, a excepción de las operaciones de limpieza y/o envasado. </w:t>
      </w:r>
    </w:p>
    <w:p w:rsidR="00503A41" w:rsidRPr="00993936" w:rsidRDefault="00503A41" w:rsidP="001C0FFB">
      <w:pPr>
        <w:jc w:val="both"/>
        <w:rPr>
          <w:rFonts w:ascii="Arial" w:hAnsi="Arial" w:cs="Arial"/>
          <w:lang w:val="es-ES"/>
        </w:rPr>
      </w:pPr>
      <w:r w:rsidRPr="00993936">
        <w:rPr>
          <w:rFonts w:ascii="Arial" w:hAnsi="Arial" w:cs="Arial"/>
          <w:i/>
          <w:lang w:val="es-ES"/>
        </w:rPr>
        <w:t>Cuaderno de conservación/postcosecha:</w:t>
      </w:r>
      <w:r w:rsidRPr="00993936">
        <w:rPr>
          <w:rFonts w:ascii="Arial" w:hAnsi="Arial" w:cs="Arial"/>
          <w:lang w:val="es-ES"/>
        </w:rPr>
        <w:t xml:space="preserve"> documento donde se registran los datos relativos a las instalaciones de los productos vegetales, mediante el cual es posible hacer un seguimiento detallado de todas las operaciones de recepción, manipulado, almacenamiento, envasado y expedición de frutas y hortalizas.</w:t>
      </w:r>
    </w:p>
    <w:p w:rsidR="00503A41" w:rsidRPr="00993936" w:rsidRDefault="00503A41" w:rsidP="001C0FFB">
      <w:pPr>
        <w:jc w:val="both"/>
        <w:rPr>
          <w:rFonts w:ascii="Arial" w:hAnsi="Arial" w:cs="Arial"/>
          <w:i/>
          <w:lang w:val="es-ES"/>
        </w:rPr>
      </w:pPr>
      <w:r w:rsidRPr="00993936">
        <w:rPr>
          <w:rFonts w:ascii="Arial" w:hAnsi="Arial" w:cs="Arial"/>
          <w:i/>
          <w:lang w:val="es-ES"/>
        </w:rPr>
        <w:t>Cuaderno de explotación:</w:t>
      </w:r>
      <w:r w:rsidRPr="00993936">
        <w:rPr>
          <w:rFonts w:ascii="Arial" w:hAnsi="Arial" w:cs="Arial"/>
          <w:lang w:val="es-ES"/>
        </w:rPr>
        <w:t xml:space="preserve"> documento donde se registran los datos relativos a una parcela o agrupación de parcelas de cultivo (ved definición de la Unidad Homogénea de Cultivo), mediante el cual es posible hacer un seguimiento detallado de todas las operaciones culturales realizadas durante el ciclo de cultivo.</w:t>
      </w:r>
    </w:p>
    <w:p w:rsidR="00503A41" w:rsidRPr="00993936" w:rsidRDefault="00503A41" w:rsidP="001C0FFB">
      <w:pPr>
        <w:jc w:val="both"/>
        <w:rPr>
          <w:rFonts w:ascii="Arial" w:hAnsi="Arial" w:cs="Arial"/>
          <w:lang w:val="es-ES"/>
        </w:rPr>
      </w:pPr>
      <w:r w:rsidRPr="00993936">
        <w:rPr>
          <w:rFonts w:ascii="Arial" w:hAnsi="Arial" w:cs="Arial"/>
          <w:i/>
          <w:lang w:val="es-ES"/>
        </w:rPr>
        <w:t>Ramo:</w:t>
      </w:r>
      <w:r w:rsidRPr="00993936">
        <w:rPr>
          <w:rFonts w:ascii="Arial" w:hAnsi="Arial" w:cs="Arial"/>
          <w:lang w:val="es-ES"/>
        </w:rPr>
        <w:t xml:space="preserve"> Crecimiento vegetativo que mantiene hoja (incluye el brote).</w:t>
      </w:r>
    </w:p>
    <w:p w:rsidR="00503A41" w:rsidRPr="00993936" w:rsidRDefault="00503A41" w:rsidP="001C0FFB">
      <w:pPr>
        <w:jc w:val="both"/>
        <w:rPr>
          <w:rFonts w:ascii="Arial" w:hAnsi="Arial" w:cs="Arial"/>
          <w:lang w:val="es-ES"/>
        </w:rPr>
      </w:pPr>
      <w:r w:rsidRPr="00993936">
        <w:rPr>
          <w:rFonts w:ascii="Arial" w:hAnsi="Arial" w:cs="Arial"/>
          <w:i/>
          <w:lang w:val="es-ES"/>
        </w:rPr>
        <w:t>Sustancia activa:</w:t>
      </w:r>
      <w:r w:rsidRPr="00993936">
        <w:rPr>
          <w:rFonts w:ascii="Arial" w:hAnsi="Arial" w:cs="Arial"/>
          <w:lang w:val="es-ES"/>
        </w:rPr>
        <w:t xml:space="preserve"> las sustancias o microorganismos, incluidos los virus, que ejercen una acción general o específica contra las plagas, incluidas las enfermedades, o en vegetales, partes de vegetales o productos vegetales.</w:t>
      </w:r>
    </w:p>
    <w:p w:rsidR="00503A41" w:rsidRPr="00993936" w:rsidRDefault="00503A41" w:rsidP="001C0FFB">
      <w:pPr>
        <w:jc w:val="both"/>
        <w:rPr>
          <w:rFonts w:ascii="Arial" w:hAnsi="Arial" w:cs="Arial"/>
          <w:lang w:val="es-ES"/>
        </w:rPr>
      </w:pPr>
      <w:r w:rsidRPr="00993936">
        <w:rPr>
          <w:rFonts w:ascii="Arial" w:hAnsi="Arial" w:cs="Arial"/>
          <w:i/>
          <w:lang w:val="es-ES"/>
        </w:rPr>
        <w:t>Unidad de control (UC):</w:t>
      </w:r>
      <w:r w:rsidRPr="00993936">
        <w:rPr>
          <w:rFonts w:ascii="Arial" w:hAnsi="Arial" w:cs="Arial"/>
          <w:lang w:val="es-ES"/>
        </w:rPr>
        <w:t xml:space="preserve"> parcela sin límite de superficie, homogénea en función de las variedades, de la edad del cultivo y de la situación.</w:t>
      </w:r>
    </w:p>
    <w:p w:rsidR="00503A41" w:rsidRPr="00993936" w:rsidRDefault="00503A41" w:rsidP="001C0FFB">
      <w:pPr>
        <w:jc w:val="both"/>
        <w:rPr>
          <w:rFonts w:ascii="Arial" w:hAnsi="Arial" w:cs="Arial"/>
          <w:lang w:val="es-ES"/>
        </w:rPr>
      </w:pPr>
      <w:r w:rsidRPr="00993936">
        <w:rPr>
          <w:rFonts w:ascii="Arial" w:hAnsi="Arial" w:cs="Arial"/>
          <w:i/>
          <w:lang w:val="es-ES"/>
        </w:rPr>
        <w:t>Unidad de muestra primaria (UM1a):</w:t>
      </w:r>
      <w:r w:rsidRPr="00993936">
        <w:rPr>
          <w:rFonts w:ascii="Arial" w:hAnsi="Arial" w:cs="Arial"/>
          <w:lang w:val="es-ES"/>
        </w:rPr>
        <w:t xml:space="preserve"> árbol.</w:t>
      </w:r>
    </w:p>
    <w:p w:rsidR="00503A41" w:rsidRPr="00993936" w:rsidRDefault="00503A41" w:rsidP="001C0FFB">
      <w:pPr>
        <w:jc w:val="both"/>
        <w:rPr>
          <w:rFonts w:ascii="Arial" w:hAnsi="Arial" w:cs="Arial"/>
          <w:lang w:val="es-ES"/>
        </w:rPr>
      </w:pPr>
      <w:r w:rsidRPr="00993936">
        <w:rPr>
          <w:rFonts w:ascii="Arial" w:hAnsi="Arial" w:cs="Arial"/>
          <w:i/>
          <w:lang w:val="es-ES"/>
        </w:rPr>
        <w:t xml:space="preserve">Unidad de muestra secundaria (UM2a): </w:t>
      </w:r>
      <w:r w:rsidRPr="00993936">
        <w:rPr>
          <w:rFonts w:ascii="Arial" w:hAnsi="Arial" w:cs="Arial"/>
          <w:lang w:val="es-ES"/>
        </w:rPr>
        <w:t>árbol, parte del árbol, brote, rama, hoja, flor, fruto e inflorescencia.</w:t>
      </w:r>
    </w:p>
    <w:p w:rsidR="00503A41" w:rsidRPr="00993936" w:rsidRDefault="00503A41" w:rsidP="001C0FFB">
      <w:pPr>
        <w:jc w:val="both"/>
        <w:rPr>
          <w:rFonts w:ascii="Arial" w:hAnsi="Arial" w:cs="Arial"/>
          <w:lang w:val="es-ES"/>
        </w:rPr>
      </w:pPr>
      <w:r w:rsidRPr="00993936">
        <w:rPr>
          <w:rFonts w:ascii="Arial" w:hAnsi="Arial" w:cs="Arial"/>
          <w:i/>
          <w:lang w:val="es-ES"/>
        </w:rPr>
        <w:t>Unidad Homogénea de Cultivo (UHC):</w:t>
      </w:r>
      <w:r w:rsidRPr="00993936">
        <w:rPr>
          <w:rFonts w:ascii="Arial" w:hAnsi="Arial" w:cs="Arial"/>
          <w:lang w:val="es-ES"/>
        </w:rPr>
        <w:t xml:space="preserve"> para cada cultivo, superficie de terreno que presenta unas características similares con respecto al tipo de suelo, al sistema de riego y al tipo de cultivo, en la cual se aplican operaciones culturales y técnicas de cultivo similares, así como los mismos tratamientos fitosanitarios. En caso de agrupaciones de productores, podrá haber UHC que incluyan cultivos o partes de cultivos de varios agricultores. Para cultivos protegidos, la unidad homogénea de cultivo se encontrará dentro de un mismo recinto delimitado bajo un mismo tipo de protección.</w:t>
      </w:r>
    </w:p>
    <w:p w:rsidR="00503A41" w:rsidRPr="00993936" w:rsidRDefault="00503A41" w:rsidP="001C0FFB">
      <w:pPr>
        <w:jc w:val="both"/>
        <w:rPr>
          <w:rFonts w:ascii="Arial" w:hAnsi="Arial" w:cs="Arial"/>
          <w:lang w:val="es-ES"/>
        </w:rPr>
      </w:pPr>
      <w:r w:rsidRPr="00993936">
        <w:rPr>
          <w:rFonts w:ascii="Arial" w:hAnsi="Arial" w:cs="Arial"/>
          <w:i/>
          <w:lang w:val="es-ES"/>
        </w:rPr>
        <w:t>Venta directa:</w:t>
      </w:r>
      <w:r w:rsidRPr="00993936">
        <w:rPr>
          <w:rFonts w:ascii="Arial" w:hAnsi="Arial" w:cs="Arial"/>
          <w:lang w:val="es-ES"/>
        </w:rPr>
        <w:t xml:space="preserve"> venta realizada por los propios operadores de su producto fresco, envasado y etiquetado en la propia explotación, tanto al consumidor, como al asentador, comerciante o mayorista.</w:t>
      </w:r>
    </w:p>
    <w:p w:rsidR="00503A41" w:rsidRPr="00993936" w:rsidRDefault="00503A41" w:rsidP="001C0FFB">
      <w:pPr>
        <w:tabs>
          <w:tab w:val="left" w:pos="1815"/>
        </w:tabs>
        <w:jc w:val="both"/>
        <w:outlineLvl w:val="0"/>
        <w:rPr>
          <w:rFonts w:ascii="Arial" w:hAnsi="Arial" w:cs="Arial"/>
          <w:snapToGrid w:val="0"/>
          <w:lang w:val="es-ES"/>
        </w:rPr>
      </w:pPr>
    </w:p>
    <w:p w:rsidR="00503A41" w:rsidRPr="00993936" w:rsidRDefault="00503A41" w:rsidP="001D205D">
      <w:pPr>
        <w:rPr>
          <w:rFonts w:ascii="Arial" w:hAnsi="Arial" w:cs="Arial"/>
          <w:b/>
          <w:snapToGrid w:val="0"/>
          <w:lang w:val="es-ES"/>
        </w:rPr>
      </w:pPr>
      <w:r w:rsidRPr="00993936">
        <w:rPr>
          <w:rFonts w:ascii="Arial" w:hAnsi="Arial" w:cs="Arial"/>
          <w:b/>
          <w:snapToGrid w:val="0"/>
          <w:lang w:val="es-ES"/>
        </w:rPr>
        <w:br w:type="page"/>
      </w:r>
      <w:r w:rsidRPr="00993936">
        <w:rPr>
          <w:rFonts w:ascii="Arial" w:hAnsi="Arial" w:cs="Arial"/>
          <w:b/>
          <w:snapToGrid w:val="0"/>
          <w:lang w:val="es-ES"/>
        </w:rPr>
        <w:lastRenderedPageBreak/>
        <w:t>I.  BIODIVERSIDAD Y PRÁCTICAS DE CULTIVO</w:t>
      </w:r>
    </w:p>
    <w:p w:rsidR="00503A41" w:rsidRPr="00993936" w:rsidRDefault="00503A41" w:rsidP="001C0FFB">
      <w:pPr>
        <w:jc w:val="both"/>
        <w:rPr>
          <w:rFonts w:ascii="Arial" w:hAnsi="Arial" w:cs="Arial"/>
          <w:snapToGrid w:val="0"/>
          <w:lang w:val="es-ES" w:eastAsia="es-ES"/>
        </w:rPr>
      </w:pPr>
    </w:p>
    <w:p w:rsidR="00503A41" w:rsidRPr="00993936" w:rsidRDefault="00503A41" w:rsidP="001C0FFB">
      <w:pPr>
        <w:jc w:val="both"/>
        <w:rPr>
          <w:rFonts w:ascii="Arial" w:hAnsi="Arial" w:cs="Arial"/>
          <w:snapToGrid w:val="0"/>
          <w:lang w:val="es-ES" w:eastAsia="es-ES"/>
        </w:rPr>
      </w:pPr>
      <w:r w:rsidRPr="00993936">
        <w:rPr>
          <w:rFonts w:ascii="Arial" w:hAnsi="Arial" w:cs="Arial"/>
          <w:snapToGrid w:val="0"/>
          <w:lang w:val="es-ES" w:eastAsia="es-ES"/>
        </w:rPr>
        <w:t>Artículo 1</w:t>
      </w:r>
    </w:p>
    <w:p w:rsidR="00503A41" w:rsidRPr="00993936" w:rsidRDefault="00503A41" w:rsidP="001C0FFB">
      <w:pPr>
        <w:jc w:val="both"/>
        <w:rPr>
          <w:rFonts w:ascii="Arial" w:hAnsi="Arial" w:cs="Arial"/>
          <w:snapToGrid w:val="0"/>
          <w:lang w:val="es-ES" w:eastAsia="es-ES"/>
        </w:rPr>
      </w:pPr>
      <w:r w:rsidRPr="00993936">
        <w:rPr>
          <w:rFonts w:ascii="Arial" w:hAnsi="Arial" w:cs="Arial"/>
          <w:b/>
          <w:snapToGrid w:val="0"/>
          <w:lang w:val="es-ES" w:eastAsia="es-ES"/>
        </w:rPr>
        <w:t>Biodiversidad</w:t>
      </w:r>
    </w:p>
    <w:p w:rsidR="00503A41" w:rsidRPr="00993936" w:rsidRDefault="00503A41" w:rsidP="001C0FFB">
      <w:pPr>
        <w:jc w:val="both"/>
        <w:rPr>
          <w:rFonts w:ascii="Arial" w:hAnsi="Arial" w:cs="Arial"/>
          <w:snapToGrid w:val="0"/>
          <w:lang w:val="es-ES"/>
        </w:rPr>
      </w:pPr>
      <w:r w:rsidRPr="00993936">
        <w:rPr>
          <w:rFonts w:ascii="Arial" w:hAnsi="Arial" w:cs="Arial"/>
          <w:snapToGrid w:val="0"/>
          <w:lang w:val="es-ES"/>
        </w:rPr>
        <w:t>1.1.</w:t>
      </w:r>
      <w:r w:rsidRPr="00993936">
        <w:rPr>
          <w:rFonts w:ascii="Arial" w:hAnsi="Arial" w:cs="Arial"/>
          <w:i/>
          <w:snapToGrid w:val="0"/>
          <w:lang w:val="es-ES"/>
        </w:rPr>
        <w:t>Obligaciones</w:t>
      </w:r>
    </w:p>
    <w:p w:rsidR="00503A41" w:rsidRPr="00993936" w:rsidRDefault="00503A41" w:rsidP="001C0FFB">
      <w:pPr>
        <w:pStyle w:val="Textoindependiente"/>
        <w:rPr>
          <w:rFonts w:cs="Arial"/>
          <w:szCs w:val="22"/>
          <w:lang w:val="es-ES"/>
        </w:rPr>
      </w:pPr>
      <w:r w:rsidRPr="00993936">
        <w:rPr>
          <w:rFonts w:cs="Arial"/>
          <w:szCs w:val="22"/>
          <w:lang w:val="es-ES"/>
        </w:rPr>
        <w:t>1.1.1  Fomentar de manera activa la diversidad biológica de los niveles genéticos, específicos y del ecosistema, ya que constituye un recurso natural importante de la explotación agraria.</w:t>
      </w:r>
    </w:p>
    <w:p w:rsidR="00503A41" w:rsidRPr="00993936" w:rsidRDefault="00503A41" w:rsidP="001C0FFB">
      <w:pPr>
        <w:pStyle w:val="Textodenotaalfinal"/>
        <w:jc w:val="both"/>
        <w:rPr>
          <w:rFonts w:ascii="Arial" w:hAnsi="Arial" w:cs="Arial"/>
          <w:sz w:val="22"/>
          <w:szCs w:val="22"/>
          <w:lang w:val="es-ES"/>
        </w:rPr>
      </w:pPr>
      <w:r w:rsidRPr="00993936">
        <w:rPr>
          <w:rFonts w:ascii="Arial" w:hAnsi="Arial" w:cs="Arial"/>
          <w:sz w:val="22"/>
          <w:szCs w:val="22"/>
          <w:lang w:val="es-ES"/>
        </w:rPr>
        <w:t>1.1.2 Fomentar y conservar un entorno de la explotación agraria natural y equilibrado, con un ecosistema de plantas y animales diversificado, identificando para cada cultivo y tipo de explotación agraria los elementos importantes de las infraestructuras ecológicas que contribuyan al mantenimiento y a la mejora de la biodiversidad biológica. Cada operador productor tendrá que impulsar la realización de al menos dos opciones ecológicas que contribuyan a la mejora de la biodiversidad de sus plantaciones, seleccionándolas, prioritariamente, de la lista que se describe a continuación. Si no fuera posible la realización de las opciones propuestas, el operador podrá establecer una lista de alternativas, de la cual como mínimo tendrá que practicar dos:</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Establecer un área de compensación ecológica, en la que no se apliquen plaguicidas ni fertilizantes, para aumentar la biodiversidad faunística y botánica, de al menos un 5% de la superficie total de la explotación (excluidos los bosques). Se podrán considerar dentro de estas áreas, por ejemplo: cortavientos, márgenes de caminos, de canales, de ríos o rieras, etc.</w:t>
      </w:r>
    </w:p>
    <w:p w:rsidR="00503A41" w:rsidRPr="00993936" w:rsidRDefault="00503A41" w:rsidP="001C0FFB">
      <w:pPr>
        <w:pStyle w:val="Textodenotaalfinal"/>
        <w:ind w:left="709"/>
        <w:jc w:val="both"/>
        <w:rPr>
          <w:rFonts w:ascii="Arial" w:hAnsi="Arial" w:cs="Arial"/>
          <w:sz w:val="22"/>
          <w:szCs w:val="22"/>
          <w:lang w:val="es-ES"/>
        </w:rPr>
      </w:pPr>
      <w:r w:rsidRPr="00993936">
        <w:rPr>
          <w:rFonts w:ascii="Arial" w:hAnsi="Arial" w:cs="Arial"/>
          <w:sz w:val="22"/>
          <w:szCs w:val="22"/>
          <w:lang w:val="es-ES"/>
        </w:rPr>
        <w:t>Se admitirá que las áreas de compensación ecológica se establezcan a nivel de organizaciones de productores o municipal, siempre que vayan asociadas directamente a las zonas de producción.</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Establecer o mantener una cubierta vegetal del suelo.</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No aplicar herbicidas en las plantaciones durante el periodo de otoño-invierno.</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Establecer refugios artificiales para los pájaros insectívoros.</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 xml:space="preserve">Establecer refugios artificiales para los enemigos naturales </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Establecer refugios artificiales para las aves de rapiña.</w:t>
      </w:r>
    </w:p>
    <w:p w:rsidR="00503A41" w:rsidRPr="00993936" w:rsidRDefault="00503A41" w:rsidP="009D1A2D">
      <w:pPr>
        <w:numPr>
          <w:ilvl w:val="0"/>
          <w:numId w:val="107"/>
        </w:numPr>
        <w:spacing w:after="0" w:line="240" w:lineRule="auto"/>
        <w:jc w:val="both"/>
        <w:rPr>
          <w:rFonts w:ascii="Arial" w:hAnsi="Arial" w:cs="Arial"/>
          <w:lang w:val="es-ES"/>
        </w:rPr>
      </w:pPr>
      <w:r w:rsidRPr="00993936">
        <w:rPr>
          <w:rFonts w:ascii="Arial" w:hAnsi="Arial" w:cs="Arial"/>
          <w:lang w:val="es-ES"/>
        </w:rPr>
        <w:t>Mantenimiento de especies</w:t>
      </w:r>
      <w:r w:rsidRPr="00993936">
        <w:rPr>
          <w:rFonts w:ascii="Arial" w:hAnsi="Arial" w:cs="Arial"/>
          <w:vanish/>
          <w:lang w:val="es-ES"/>
        </w:rPr>
        <w:t>&lt;A[especies|especias]&gt;</w:t>
      </w:r>
      <w:r w:rsidRPr="00993936">
        <w:rPr>
          <w:rFonts w:ascii="Arial" w:hAnsi="Arial" w:cs="Arial"/>
          <w:lang w:val="es-ES"/>
        </w:rPr>
        <w:t xml:space="preserve"> vegetales tradicionales mediterráneas (algarrobos, higueras, etc.) sin que sea necesaria la aplicación de tratamientos fitosanitarios ni de ninguna actuación o comportamiento que incumpla las normas técnicas.</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Proporcionar alimentos a los adultos de los enemigos naturales mediante plantas con flores.</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No aplicar productos fitosanitarios, ni herbicidas sobre la vegetación espontánea de los márgenes de las parcelas y realizar el control con medios culturales.</w:t>
      </w:r>
    </w:p>
    <w:p w:rsidR="00503A41" w:rsidRPr="00993936" w:rsidRDefault="00503A41" w:rsidP="009D1A2D">
      <w:pPr>
        <w:pStyle w:val="Textodenotaalfinal"/>
        <w:numPr>
          <w:ilvl w:val="0"/>
          <w:numId w:val="107"/>
        </w:numPr>
        <w:jc w:val="both"/>
        <w:rPr>
          <w:rFonts w:ascii="Arial" w:hAnsi="Arial" w:cs="Arial"/>
          <w:sz w:val="22"/>
          <w:szCs w:val="22"/>
          <w:lang w:val="es-ES"/>
        </w:rPr>
      </w:pPr>
      <w:r w:rsidRPr="00993936">
        <w:rPr>
          <w:rFonts w:ascii="Arial" w:hAnsi="Arial" w:cs="Arial"/>
          <w:sz w:val="22"/>
          <w:szCs w:val="22"/>
          <w:lang w:val="es-ES"/>
        </w:rPr>
        <w:t>Establecer cortavientos en los márgenes de las parcelas, especialmente en zonas ventosas.</w:t>
      </w:r>
    </w:p>
    <w:p w:rsidR="00503A41" w:rsidRPr="00993936" w:rsidRDefault="00503A41" w:rsidP="001C0FFB">
      <w:pPr>
        <w:pStyle w:val="Textodenotaalfinal"/>
        <w:jc w:val="both"/>
        <w:rPr>
          <w:rFonts w:ascii="Arial" w:hAnsi="Arial" w:cs="Arial"/>
          <w:sz w:val="22"/>
          <w:szCs w:val="22"/>
          <w:lang w:val="es-ES"/>
        </w:rPr>
      </w:pPr>
    </w:p>
    <w:p w:rsidR="00503A41" w:rsidRPr="00993936" w:rsidRDefault="00503A41" w:rsidP="001C0FFB">
      <w:pPr>
        <w:pStyle w:val="Textodenotaalfinal"/>
        <w:jc w:val="both"/>
        <w:rPr>
          <w:rFonts w:ascii="Arial" w:hAnsi="Arial" w:cs="Arial"/>
          <w:sz w:val="22"/>
          <w:szCs w:val="22"/>
          <w:lang w:val="es-ES"/>
        </w:rPr>
      </w:pPr>
    </w:p>
    <w:p w:rsidR="00503A41" w:rsidRPr="00993936" w:rsidRDefault="00503A41" w:rsidP="001C0FFB">
      <w:pPr>
        <w:rPr>
          <w:rFonts w:ascii="Arial" w:hAnsi="Arial" w:cs="Arial"/>
          <w:lang w:val="es-ES"/>
        </w:rPr>
      </w:pPr>
      <w:r w:rsidRPr="00993936">
        <w:rPr>
          <w:rFonts w:ascii="Arial" w:hAnsi="Arial" w:cs="Arial"/>
          <w:lang w:val="es-ES"/>
        </w:rPr>
        <w:t xml:space="preserve">1.2 </w:t>
      </w:r>
      <w:r w:rsidRPr="00993936">
        <w:rPr>
          <w:rFonts w:ascii="Arial" w:hAnsi="Arial" w:cs="Arial"/>
          <w:i/>
          <w:lang w:val="es-ES"/>
        </w:rPr>
        <w:t>Recomendaciones</w:t>
      </w:r>
    </w:p>
    <w:p w:rsidR="00503A41" w:rsidRPr="00993936" w:rsidRDefault="00503A41" w:rsidP="001C0FFB">
      <w:pPr>
        <w:jc w:val="both"/>
        <w:rPr>
          <w:rFonts w:ascii="Arial" w:hAnsi="Arial" w:cs="Arial"/>
          <w:lang w:val="es-ES"/>
        </w:rPr>
      </w:pPr>
      <w:r w:rsidRPr="00993936">
        <w:rPr>
          <w:rFonts w:ascii="Arial" w:hAnsi="Arial" w:cs="Arial"/>
          <w:lang w:val="es-ES"/>
        </w:rPr>
        <w:t>1.2.1 En caso de que se implanten cortavientos, siempre que sea posible se realizarán con especies</w:t>
      </w:r>
      <w:r w:rsidRPr="00993936">
        <w:rPr>
          <w:rFonts w:ascii="Arial" w:hAnsi="Arial" w:cs="Arial"/>
          <w:vanish/>
          <w:lang w:val="es-ES"/>
        </w:rPr>
        <w:t>&lt;A[especies|especias]&gt;</w:t>
      </w:r>
      <w:r w:rsidRPr="00993936">
        <w:rPr>
          <w:rFonts w:ascii="Arial" w:hAnsi="Arial" w:cs="Arial"/>
          <w:lang w:val="es-ES"/>
        </w:rPr>
        <w:t xml:space="preserve"> autóctonas, procurando mantener una diversidad de estructura y composición.</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lastRenderedPageBreak/>
        <w:t>Artículo 2</w:t>
      </w:r>
    </w:p>
    <w:p w:rsidR="00503A41" w:rsidRPr="00993936" w:rsidRDefault="00503A41" w:rsidP="001C0FFB">
      <w:pPr>
        <w:jc w:val="both"/>
        <w:rPr>
          <w:rFonts w:ascii="Arial" w:hAnsi="Arial" w:cs="Arial"/>
          <w:b/>
          <w:lang w:val="es-ES"/>
        </w:rPr>
      </w:pPr>
      <w:r w:rsidRPr="00993936">
        <w:rPr>
          <w:rFonts w:ascii="Arial" w:hAnsi="Arial" w:cs="Arial"/>
          <w:b/>
          <w:lang w:val="es-ES"/>
        </w:rPr>
        <w:t>Aspectos agronómicos generales</w:t>
      </w:r>
    </w:p>
    <w:p w:rsidR="00503A41" w:rsidRPr="00993936" w:rsidRDefault="00503A41" w:rsidP="001C0FFB">
      <w:pPr>
        <w:jc w:val="both"/>
        <w:rPr>
          <w:rFonts w:ascii="Arial" w:hAnsi="Arial" w:cs="Arial"/>
          <w:lang w:val="es-ES"/>
        </w:rPr>
      </w:pPr>
      <w:r w:rsidRPr="00993936">
        <w:rPr>
          <w:rFonts w:ascii="Arial" w:hAnsi="Arial" w:cs="Arial"/>
          <w:i/>
          <w:lang w:val="es-ES"/>
        </w:rPr>
        <w:t>2.1 Obligaciones</w:t>
      </w:r>
    </w:p>
    <w:p w:rsidR="00503A41" w:rsidRPr="00993936" w:rsidRDefault="00503A41" w:rsidP="001C0FFB">
      <w:pPr>
        <w:jc w:val="both"/>
        <w:rPr>
          <w:rFonts w:ascii="Arial" w:hAnsi="Arial" w:cs="Arial"/>
          <w:lang w:val="es-ES"/>
        </w:rPr>
      </w:pPr>
      <w:r w:rsidRPr="00993936">
        <w:rPr>
          <w:rFonts w:ascii="Arial" w:hAnsi="Arial" w:cs="Arial"/>
          <w:lang w:val="es-ES"/>
        </w:rPr>
        <w:t>2.1.1 El momento y la intensidad de las operaciones culturales tiene que minimizar los posibles impactos ambientales.</w:t>
      </w:r>
    </w:p>
    <w:p w:rsidR="00503A41" w:rsidRPr="00993936" w:rsidRDefault="00503A41" w:rsidP="001C0FFB">
      <w:pPr>
        <w:jc w:val="both"/>
        <w:rPr>
          <w:rFonts w:ascii="Arial" w:hAnsi="Arial" w:cs="Arial"/>
          <w:lang w:val="es-ES"/>
        </w:rPr>
      </w:pPr>
      <w:r w:rsidRPr="00993936">
        <w:rPr>
          <w:rFonts w:ascii="Arial" w:hAnsi="Arial" w:cs="Arial"/>
          <w:lang w:val="es-ES"/>
        </w:rPr>
        <w:t>2.1.2 En cultivos leñosos, el sistema de cultivo incluye el sistema de formación y tiene que respetar el estado fisiológico óptimo de las plantas.</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3</w:t>
      </w:r>
    </w:p>
    <w:p w:rsidR="00503A41" w:rsidRPr="00993936" w:rsidRDefault="00503A41" w:rsidP="001C0FFB">
      <w:pPr>
        <w:pStyle w:val="Ttulo1"/>
        <w:rPr>
          <w:rFonts w:ascii="Arial" w:hAnsi="Arial" w:cs="Arial"/>
          <w:color w:val="auto"/>
          <w:szCs w:val="22"/>
        </w:rPr>
      </w:pPr>
      <w:r w:rsidRPr="00993936">
        <w:rPr>
          <w:rFonts w:ascii="Arial" w:hAnsi="Arial" w:cs="Arial"/>
          <w:color w:val="auto"/>
          <w:szCs w:val="22"/>
        </w:rPr>
        <w:t>Suelo, preparación del terreno y cultivo</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 xml:space="preserve">3.1 </w:t>
      </w:r>
      <w:r w:rsidRPr="00993936">
        <w:rPr>
          <w:rFonts w:ascii="Arial" w:hAnsi="Arial" w:cs="Arial"/>
          <w:i/>
          <w:lang w:val="es-ES"/>
        </w:rPr>
        <w:t>Obligaciones</w:t>
      </w:r>
    </w:p>
    <w:p w:rsidR="00503A41" w:rsidRPr="00993936" w:rsidRDefault="00503A41" w:rsidP="001C0FFB">
      <w:pPr>
        <w:jc w:val="both"/>
        <w:rPr>
          <w:rFonts w:ascii="Arial" w:hAnsi="Arial" w:cs="Arial"/>
          <w:i/>
          <w:lang w:val="es-ES"/>
        </w:rPr>
      </w:pPr>
      <w:r w:rsidRPr="00993936">
        <w:rPr>
          <w:rFonts w:ascii="Arial" w:hAnsi="Arial" w:cs="Arial"/>
          <w:lang w:val="es-ES"/>
        </w:rPr>
        <w:t>3.1.1 En las nuevas plantaciones, se realizará una caracterización del suelo mediante el examen directo y su análisis. Con esta finalidad, se realizarán zanjas del suelo para obtener información sobre la profundidad, textura, capacidad de retención de agua y posibles problemas de salinidad, encharcamiento y drenaje. Las zanjas se realizarán por zonas homogéneas, que no hará falta que sean necesariamente coincidentes con las unidades de control. No habrá que realizar esta práctica si la información se puede obtener a través de los mapas de suelos existentes.</w:t>
      </w:r>
    </w:p>
    <w:p w:rsidR="00503A41" w:rsidRPr="00993936" w:rsidRDefault="00503A41" w:rsidP="001C0FFB">
      <w:pPr>
        <w:jc w:val="both"/>
        <w:rPr>
          <w:rFonts w:ascii="Arial" w:hAnsi="Arial" w:cs="Arial"/>
          <w:lang w:val="es-ES"/>
        </w:rPr>
      </w:pPr>
      <w:r w:rsidRPr="00993936">
        <w:rPr>
          <w:rFonts w:ascii="Arial" w:hAnsi="Arial" w:cs="Arial"/>
          <w:lang w:val="es-ES"/>
        </w:rPr>
        <w:t>En plantaciones establecidas se realizarán análisis del suelo, excepto en el caso que se disponga de datos recientes.</w:t>
      </w:r>
    </w:p>
    <w:p w:rsidR="00503A41" w:rsidRPr="00993936" w:rsidRDefault="00503A41" w:rsidP="001C0FFB">
      <w:pPr>
        <w:pStyle w:val="Textoindependiente"/>
        <w:rPr>
          <w:rFonts w:cs="Arial"/>
          <w:szCs w:val="22"/>
          <w:lang w:val="es-ES"/>
        </w:rPr>
      </w:pPr>
      <w:r w:rsidRPr="00993936">
        <w:rPr>
          <w:rFonts w:cs="Arial"/>
          <w:szCs w:val="22"/>
          <w:lang w:val="es-ES"/>
        </w:rPr>
        <w:t>3.1.2 En las nuevas plantaciones, eliminar las cepas y restos de cultivos leñosos anteriores.</w:t>
      </w:r>
    </w:p>
    <w:p w:rsidR="00503A41" w:rsidRPr="00993936" w:rsidRDefault="00503A41" w:rsidP="001C0FFB">
      <w:pPr>
        <w:pStyle w:val="Textoindependiente"/>
        <w:rPr>
          <w:rFonts w:cs="Arial"/>
          <w:szCs w:val="22"/>
          <w:lang w:val="es-ES"/>
        </w:rPr>
      </w:pPr>
      <w:r w:rsidRPr="00993936">
        <w:rPr>
          <w:rFonts w:cs="Arial"/>
          <w:szCs w:val="22"/>
          <w:lang w:val="es-ES"/>
        </w:rPr>
        <w:t>3.1.3 En nuevas plantaciones la disposición de las filas de árboles será la que minimice la erosión, y si hace falta se adoptarán medidas de conservación de suelos.</w:t>
      </w:r>
    </w:p>
    <w:p w:rsidR="00503A41" w:rsidRPr="00993936" w:rsidRDefault="00503A41" w:rsidP="009D1A2D">
      <w:pPr>
        <w:pStyle w:val="Textoindependiente"/>
        <w:numPr>
          <w:ilvl w:val="2"/>
          <w:numId w:val="133"/>
        </w:numPr>
        <w:rPr>
          <w:rFonts w:cs="Arial"/>
          <w:szCs w:val="22"/>
          <w:lang w:val="es-ES"/>
        </w:rPr>
      </w:pPr>
      <w:r w:rsidRPr="00993936">
        <w:rPr>
          <w:rFonts w:cs="Arial"/>
          <w:szCs w:val="22"/>
          <w:lang w:val="es-ES"/>
        </w:rPr>
        <w:t>Mantener y mejorar la fertilidad del suelo mediante:</w:t>
      </w:r>
    </w:p>
    <w:p w:rsidR="00503A41" w:rsidRPr="00993936" w:rsidRDefault="00503A41" w:rsidP="009D1A2D">
      <w:pPr>
        <w:pStyle w:val="Textoindependiente"/>
        <w:numPr>
          <w:ilvl w:val="0"/>
          <w:numId w:val="108"/>
        </w:numPr>
        <w:rPr>
          <w:rFonts w:cs="Arial"/>
          <w:szCs w:val="22"/>
          <w:lang w:val="es-ES"/>
        </w:rPr>
      </w:pPr>
      <w:r w:rsidRPr="00993936">
        <w:rPr>
          <w:rFonts w:cs="Arial"/>
          <w:szCs w:val="22"/>
          <w:lang w:val="es-ES"/>
        </w:rPr>
        <w:t xml:space="preserve">El conocimiento de los niveles de materia orgánica del suelo y la velocidad de mineralización, la cual estimarán de acuerdo con el tipo de suelo y con las condiciones climáticas de la zona. </w:t>
      </w:r>
    </w:p>
    <w:p w:rsidR="00503A41" w:rsidRPr="00993936" w:rsidRDefault="00503A41" w:rsidP="009D1A2D">
      <w:pPr>
        <w:pStyle w:val="Textoindependiente"/>
        <w:numPr>
          <w:ilvl w:val="0"/>
          <w:numId w:val="108"/>
        </w:numPr>
        <w:rPr>
          <w:rFonts w:cs="Arial"/>
          <w:szCs w:val="22"/>
          <w:lang w:val="es-ES"/>
        </w:rPr>
      </w:pPr>
      <w:r w:rsidRPr="00993936">
        <w:rPr>
          <w:rFonts w:cs="Arial"/>
          <w:szCs w:val="22"/>
          <w:lang w:val="es-ES"/>
        </w:rPr>
        <w:t>El mantenimiento de un nivel de materia orgánica del horizonte superficial del suelo de como mínimo un 1%. Por debajo de este nivel se tendrá que aportar materia orgánica y hacer un manejo, de acuerdo con las indicaciones del técnico responsable de producción integrada.</w:t>
      </w:r>
    </w:p>
    <w:p w:rsidR="00503A41" w:rsidRPr="00993936" w:rsidRDefault="00503A41" w:rsidP="009D1A2D">
      <w:pPr>
        <w:numPr>
          <w:ilvl w:val="0"/>
          <w:numId w:val="108"/>
        </w:numPr>
        <w:spacing w:after="0" w:line="240" w:lineRule="auto"/>
        <w:jc w:val="both"/>
        <w:rPr>
          <w:rFonts w:ascii="Arial" w:hAnsi="Arial" w:cs="Arial"/>
          <w:lang w:val="es-ES"/>
        </w:rPr>
      </w:pPr>
      <w:r w:rsidRPr="00993936">
        <w:rPr>
          <w:rFonts w:ascii="Arial" w:hAnsi="Arial" w:cs="Arial"/>
          <w:lang w:val="es-ES"/>
        </w:rPr>
        <w:t>La optimización de las propiedades biofísicas del suelo para evitar la compactación minimizando el paso de la maquinaria en condiciones de excesiva humedad del suelo.</w:t>
      </w:r>
    </w:p>
    <w:p w:rsidR="00503A41" w:rsidRPr="00993936" w:rsidRDefault="00503A41" w:rsidP="009D1A2D">
      <w:pPr>
        <w:numPr>
          <w:ilvl w:val="0"/>
          <w:numId w:val="108"/>
        </w:numPr>
        <w:spacing w:after="0" w:line="240" w:lineRule="auto"/>
        <w:jc w:val="both"/>
        <w:rPr>
          <w:rFonts w:ascii="Arial" w:hAnsi="Arial" w:cs="Arial"/>
          <w:lang w:val="es-ES"/>
        </w:rPr>
      </w:pPr>
      <w:r w:rsidRPr="00993936">
        <w:rPr>
          <w:rFonts w:ascii="Arial" w:hAnsi="Arial" w:cs="Arial"/>
          <w:lang w:val="es-ES"/>
        </w:rPr>
        <w:t>El mantenimiento de la protección del suelo durante el máximo tiempo posible mediante el mantenimiento de una cubierta vegetal preferentemente a base de vegetación espontánea.</w:t>
      </w:r>
    </w:p>
    <w:p w:rsidR="00503A41" w:rsidRPr="00993936" w:rsidRDefault="00503A41" w:rsidP="009D1A2D">
      <w:pPr>
        <w:numPr>
          <w:ilvl w:val="0"/>
          <w:numId w:val="108"/>
        </w:numPr>
        <w:spacing w:after="0" w:line="240" w:lineRule="auto"/>
        <w:jc w:val="both"/>
        <w:rPr>
          <w:rFonts w:ascii="Arial" w:hAnsi="Arial" w:cs="Arial"/>
          <w:lang w:val="es-ES"/>
        </w:rPr>
      </w:pPr>
      <w:r w:rsidRPr="00993936">
        <w:rPr>
          <w:rFonts w:ascii="Arial" w:hAnsi="Arial" w:cs="Arial"/>
          <w:lang w:val="es-ES"/>
        </w:rPr>
        <w:t>La mínima perturbación física o química del suelo.</w:t>
      </w:r>
    </w:p>
    <w:p w:rsidR="00503A41" w:rsidRPr="00993936" w:rsidRDefault="00503A41" w:rsidP="001C0FFB">
      <w:pPr>
        <w:spacing w:before="120"/>
        <w:jc w:val="both"/>
        <w:rPr>
          <w:rFonts w:ascii="Arial" w:hAnsi="Arial" w:cs="Arial"/>
          <w:lang w:val="es-ES"/>
        </w:rPr>
      </w:pPr>
      <w:r w:rsidRPr="00993936">
        <w:rPr>
          <w:rFonts w:ascii="Arial" w:hAnsi="Arial" w:cs="Arial"/>
          <w:lang w:val="es-ES"/>
        </w:rPr>
        <w:t xml:space="preserve">3.1.5 Los trabajos de campo se realizarán respetando al máximo la estructura del suelo, evitando la escorrentía </w:t>
      </w:r>
      <w:r w:rsidRPr="00993936">
        <w:rPr>
          <w:rFonts w:ascii="Arial" w:hAnsi="Arial" w:cs="Arial"/>
          <w:vanish/>
          <w:lang w:val="es-ES"/>
        </w:rPr>
        <w:t>&lt;A[vaciado|corriente]&gt;</w:t>
      </w:r>
      <w:r w:rsidRPr="00993936">
        <w:rPr>
          <w:rFonts w:ascii="Arial" w:hAnsi="Arial" w:cs="Arial"/>
          <w:lang w:val="es-ES"/>
        </w:rPr>
        <w:t xml:space="preserve">superficial y el encharcamiento. También se tendrá en cuenta la pendiente del suelo para su adecuada conservación, adaptando las dimensiones y características de las obras de conservación (terrazas, </w:t>
      </w:r>
      <w:r w:rsidRPr="00993936">
        <w:rPr>
          <w:rFonts w:ascii="Arial" w:hAnsi="Arial" w:cs="Arial"/>
          <w:lang w:val="es-ES"/>
        </w:rPr>
        <w:lastRenderedPageBreak/>
        <w:t>bancales, cerros, etc.) con la finalidad de evitar fenómenos de erosión. Las técnicas de cultivo utilizadas serán las adecuadas para reducir el consumo energético.</w:t>
      </w:r>
    </w:p>
    <w:p w:rsidR="00503A41" w:rsidRPr="00993936" w:rsidRDefault="00503A41" w:rsidP="001C0FFB">
      <w:pPr>
        <w:spacing w:before="120"/>
        <w:jc w:val="both"/>
        <w:rPr>
          <w:rFonts w:ascii="Arial" w:hAnsi="Arial" w:cs="Arial"/>
          <w:lang w:val="es-ES"/>
        </w:rPr>
      </w:pPr>
      <w:r w:rsidRPr="00993936">
        <w:rPr>
          <w:rFonts w:ascii="Arial" w:hAnsi="Arial" w:cs="Arial"/>
          <w:lang w:val="es-ES"/>
        </w:rPr>
        <w:br/>
      </w:r>
      <w:r w:rsidRPr="00993936">
        <w:rPr>
          <w:rFonts w:ascii="Arial" w:hAnsi="Arial" w:cs="Arial"/>
          <w:lang w:val="es-ES"/>
        </w:rPr>
        <w:br/>
        <w:t xml:space="preserve">3.2 </w:t>
      </w:r>
      <w:r w:rsidRPr="00993936">
        <w:rPr>
          <w:rFonts w:ascii="Arial" w:hAnsi="Arial" w:cs="Arial"/>
          <w:i/>
          <w:lang w:val="es-ES"/>
        </w:rPr>
        <w:t>Prohibiciones</w:t>
      </w:r>
    </w:p>
    <w:p w:rsidR="00503A41" w:rsidRPr="00993936" w:rsidRDefault="00503A41" w:rsidP="001C0FFB">
      <w:pPr>
        <w:pStyle w:val="Textoindependiente"/>
        <w:rPr>
          <w:rFonts w:cs="Arial"/>
          <w:szCs w:val="22"/>
          <w:lang w:val="es-ES"/>
        </w:rPr>
      </w:pPr>
      <w:r w:rsidRPr="00993936">
        <w:rPr>
          <w:rFonts w:cs="Arial"/>
          <w:szCs w:val="22"/>
          <w:lang w:val="es-ES"/>
        </w:rPr>
        <w:t xml:space="preserve">3.2.1 Realizar la desinfección química del suelo. </w:t>
      </w:r>
    </w:p>
    <w:p w:rsidR="00503A41" w:rsidRPr="00993936" w:rsidRDefault="00503A41" w:rsidP="001C0FFB">
      <w:pPr>
        <w:pStyle w:val="Textoindependiente"/>
        <w:rPr>
          <w:rFonts w:cs="Arial"/>
          <w:szCs w:val="22"/>
          <w:lang w:val="es-ES"/>
        </w:rPr>
      </w:pPr>
      <w:r w:rsidRPr="00993936">
        <w:rPr>
          <w:rFonts w:cs="Arial"/>
          <w:szCs w:val="22"/>
          <w:lang w:val="es-ES"/>
        </w:rPr>
        <w:t>3.2.2 Realizar el laboreo del suelo en el sentido del máximo pendiente en parcelas con pendientes superiores al 10%, así como también efectuar trabajos preparatorios que alteren los horizontes del suelo.</w:t>
      </w:r>
    </w:p>
    <w:p w:rsidR="00503A41" w:rsidRPr="00993936" w:rsidRDefault="00503A41" w:rsidP="001C0FFB">
      <w:pPr>
        <w:jc w:val="both"/>
        <w:rPr>
          <w:rFonts w:ascii="Arial" w:hAnsi="Arial" w:cs="Arial"/>
          <w:lang w:val="es-ES"/>
        </w:rPr>
      </w:pPr>
      <w:r w:rsidRPr="00993936">
        <w:rPr>
          <w:rFonts w:ascii="Arial" w:hAnsi="Arial" w:cs="Arial"/>
          <w:lang w:val="es-ES"/>
        </w:rPr>
        <w:t>3.2.3 La utilización sistemática</w:t>
      </w:r>
      <w:r w:rsidRPr="00993936">
        <w:rPr>
          <w:rFonts w:ascii="Arial" w:hAnsi="Arial" w:cs="Arial"/>
          <w:i/>
          <w:lang w:val="es-ES"/>
        </w:rPr>
        <w:t xml:space="preserve"> </w:t>
      </w:r>
      <w:r w:rsidRPr="00993936">
        <w:rPr>
          <w:rFonts w:ascii="Arial" w:hAnsi="Arial" w:cs="Arial"/>
          <w:lang w:val="es-ES"/>
        </w:rPr>
        <w:t>y permanente</w:t>
      </w:r>
      <w:r w:rsidRPr="00993936">
        <w:rPr>
          <w:rFonts w:ascii="Arial" w:hAnsi="Arial" w:cs="Arial"/>
          <w:i/>
          <w:lang w:val="es-ES"/>
        </w:rPr>
        <w:t xml:space="preserve"> </w:t>
      </w:r>
      <w:r w:rsidRPr="00993936">
        <w:rPr>
          <w:rFonts w:ascii="Arial" w:hAnsi="Arial" w:cs="Arial"/>
          <w:lang w:val="es-ES"/>
        </w:rPr>
        <w:t>de herramientas agrícolas (cavadoras, discos, etc.) que destruyan la estructura del suelo y favorezcan la formación de un estrato o zona de compactación.</w:t>
      </w:r>
    </w:p>
    <w:p w:rsidR="00503A41" w:rsidRPr="00993936" w:rsidRDefault="00503A41" w:rsidP="001C0FFB">
      <w:pPr>
        <w:pStyle w:val="Textoindependiente"/>
        <w:outlineLvl w:val="0"/>
        <w:rPr>
          <w:rFonts w:cs="Arial"/>
          <w:szCs w:val="22"/>
          <w:lang w:val="es-ES"/>
        </w:rPr>
      </w:pPr>
      <w:r w:rsidRPr="00993936">
        <w:rPr>
          <w:rFonts w:cs="Arial"/>
          <w:szCs w:val="22"/>
          <w:lang w:val="es-ES"/>
        </w:rPr>
        <w:t xml:space="preserve">3.3 </w:t>
      </w:r>
      <w:r w:rsidRPr="00993936">
        <w:rPr>
          <w:rFonts w:cs="Arial"/>
          <w:i/>
          <w:szCs w:val="22"/>
          <w:lang w:val="es-ES"/>
        </w:rPr>
        <w:t>Recomendaciones</w:t>
      </w:r>
    </w:p>
    <w:p w:rsidR="00503A41" w:rsidRPr="00993936" w:rsidRDefault="00503A41" w:rsidP="001C0FFB">
      <w:pPr>
        <w:jc w:val="both"/>
        <w:rPr>
          <w:rFonts w:ascii="Arial" w:hAnsi="Arial" w:cs="Arial"/>
          <w:lang w:val="es-ES"/>
        </w:rPr>
      </w:pPr>
      <w:r w:rsidRPr="00993936">
        <w:rPr>
          <w:rFonts w:ascii="Arial" w:hAnsi="Arial" w:cs="Arial"/>
          <w:lang w:val="es-ES"/>
        </w:rPr>
        <w:t>3.3.1 Se preferirán los tipos de suelos que tengan una profundidad adecuada para el desarrollo de las raíces, a que estén bien drenados y de textura media. La conductividad eléctrica (CE) del extracto de saturación tiene que ser preferiblemente menor de 1,5 dS/m en 25ºC.</w:t>
      </w:r>
    </w:p>
    <w:p w:rsidR="00503A41" w:rsidRPr="00993936" w:rsidRDefault="00503A41" w:rsidP="001C0FFB">
      <w:pPr>
        <w:pStyle w:val="Textoindependiente"/>
        <w:rPr>
          <w:rFonts w:cs="Arial"/>
          <w:szCs w:val="22"/>
          <w:lang w:val="es-ES"/>
        </w:rPr>
      </w:pPr>
      <w:r w:rsidRPr="00993936">
        <w:rPr>
          <w:rFonts w:cs="Arial"/>
          <w:szCs w:val="22"/>
          <w:lang w:val="es-ES"/>
        </w:rPr>
        <w:t>3.3.2 En caso de que sea necesario realizar la desinfección del suelo, hacerla con técnicas de solarización.</w:t>
      </w:r>
    </w:p>
    <w:p w:rsidR="00503A41" w:rsidRPr="00993936" w:rsidRDefault="00503A41" w:rsidP="001C0FFB">
      <w:pPr>
        <w:jc w:val="both"/>
        <w:rPr>
          <w:rFonts w:ascii="Arial" w:hAnsi="Arial" w:cs="Arial"/>
          <w:lang w:val="es-ES"/>
        </w:rPr>
      </w:pPr>
      <w:r w:rsidRPr="00993936">
        <w:rPr>
          <w:rFonts w:ascii="Arial" w:hAnsi="Arial" w:cs="Arial"/>
          <w:lang w:val="es-ES"/>
        </w:rPr>
        <w:t>3.3.3 La información sobre el tipo de suelo podrá ser extraída del mapa detallado de suelos de Cataluña, en caso que haya.</w:t>
      </w:r>
    </w:p>
    <w:p w:rsidR="00503A41" w:rsidRPr="00993936" w:rsidRDefault="00503A41" w:rsidP="001C0FFB">
      <w:pPr>
        <w:jc w:val="both"/>
        <w:rPr>
          <w:rFonts w:ascii="Arial" w:hAnsi="Arial" w:cs="Arial"/>
          <w:lang w:val="es-ES"/>
        </w:rPr>
      </w:pPr>
      <w:r w:rsidRPr="00993936">
        <w:rPr>
          <w:rFonts w:ascii="Arial" w:hAnsi="Arial" w:cs="Arial"/>
          <w:lang w:val="es-ES"/>
        </w:rPr>
        <w:t>3.3.4 No realizar el cultivo en zonas con factores limitantes: encharcamientos, salinidad, capa freática alta, poca profundidad.</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4</w:t>
      </w:r>
    </w:p>
    <w:p w:rsidR="00503A41" w:rsidRPr="00993936" w:rsidRDefault="00503A41" w:rsidP="001C0FFB">
      <w:pPr>
        <w:pStyle w:val="Ttulo1"/>
        <w:rPr>
          <w:rFonts w:ascii="Arial" w:hAnsi="Arial" w:cs="Arial"/>
          <w:b/>
          <w:color w:val="auto"/>
          <w:sz w:val="22"/>
          <w:szCs w:val="22"/>
        </w:rPr>
      </w:pPr>
      <w:r w:rsidRPr="00993936">
        <w:rPr>
          <w:rFonts w:ascii="Arial" w:hAnsi="Arial" w:cs="Arial"/>
          <w:b/>
          <w:color w:val="auto"/>
          <w:sz w:val="22"/>
          <w:szCs w:val="22"/>
        </w:rPr>
        <w:t>Material vegetal</w:t>
      </w:r>
    </w:p>
    <w:p w:rsidR="00503A41" w:rsidRPr="00993936" w:rsidRDefault="00503A41" w:rsidP="001C0FFB">
      <w:pPr>
        <w:jc w:val="both"/>
        <w:rPr>
          <w:rFonts w:ascii="Arial" w:hAnsi="Arial" w:cs="Arial"/>
          <w:lang w:val="es-ES"/>
        </w:rPr>
      </w:pPr>
      <w:r w:rsidRPr="00993936">
        <w:rPr>
          <w:rFonts w:ascii="Arial" w:hAnsi="Arial" w:cs="Arial"/>
          <w:lang w:val="es-ES"/>
        </w:rPr>
        <w:t>Para realizar la Producción Integrada de olivas, se admiten todas las variedades y patrones que hay en las actuales plantaciones.</w:t>
      </w:r>
    </w:p>
    <w:p w:rsidR="00503A41" w:rsidRPr="00993936" w:rsidRDefault="00503A41" w:rsidP="001C0FFB">
      <w:pPr>
        <w:jc w:val="both"/>
        <w:rPr>
          <w:rFonts w:ascii="Arial" w:hAnsi="Arial" w:cs="Arial"/>
          <w:lang w:val="es-ES"/>
        </w:rPr>
      </w:pPr>
      <w:r w:rsidRPr="00993936">
        <w:rPr>
          <w:rFonts w:ascii="Arial" w:hAnsi="Arial" w:cs="Arial"/>
          <w:lang w:val="es-ES"/>
        </w:rPr>
        <w:t>En las nuevas plantaciones se escogerán las variedades y los patrones más adecuados para la zona de cultivo.</w:t>
      </w: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4.1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4.1.1 En las nuevas plantaciones, el material vegetal habrá de:</w:t>
      </w:r>
    </w:p>
    <w:p w:rsidR="00503A41" w:rsidRPr="00993936" w:rsidRDefault="00503A41" w:rsidP="009D1A2D">
      <w:pPr>
        <w:numPr>
          <w:ilvl w:val="0"/>
          <w:numId w:val="114"/>
        </w:numPr>
        <w:spacing w:after="0" w:line="240" w:lineRule="auto"/>
        <w:jc w:val="both"/>
        <w:rPr>
          <w:rFonts w:ascii="Arial" w:hAnsi="Arial" w:cs="Arial"/>
          <w:lang w:val="es-ES"/>
        </w:rPr>
      </w:pPr>
      <w:r w:rsidRPr="00993936">
        <w:rPr>
          <w:rFonts w:ascii="Arial" w:hAnsi="Arial" w:cs="Arial"/>
          <w:lang w:val="es-ES"/>
        </w:rPr>
        <w:t>Proceder de proveedores oficialmente autorizados y certificado cuando haya, por el Servicio de Ordenación Agrícola o de otros organismos oficiales reconocidos.</w:t>
      </w:r>
    </w:p>
    <w:p w:rsidR="00503A41" w:rsidRPr="00993936" w:rsidRDefault="00503A41" w:rsidP="009D1A2D">
      <w:pPr>
        <w:numPr>
          <w:ilvl w:val="0"/>
          <w:numId w:val="114"/>
        </w:numPr>
        <w:spacing w:after="0" w:line="240" w:lineRule="auto"/>
        <w:jc w:val="both"/>
        <w:rPr>
          <w:rFonts w:ascii="Arial" w:hAnsi="Arial" w:cs="Arial"/>
          <w:lang w:val="es-ES"/>
        </w:rPr>
      </w:pPr>
      <w:r w:rsidRPr="00993936">
        <w:rPr>
          <w:rFonts w:ascii="Arial" w:hAnsi="Arial" w:cs="Arial"/>
          <w:lang w:val="es-ES"/>
        </w:rPr>
        <w:t>Cumplir los requisitos de autenticidad varietal y de sanidad que establece la normativa vigente de control y certificación de planteles de frutales.</w:t>
      </w:r>
    </w:p>
    <w:p w:rsidR="00503A41" w:rsidRPr="00993936" w:rsidRDefault="00503A41" w:rsidP="001C0FFB">
      <w:pPr>
        <w:jc w:val="both"/>
        <w:rPr>
          <w:rFonts w:ascii="Arial" w:hAnsi="Arial" w:cs="Arial"/>
          <w:lang w:val="es-ES"/>
        </w:rPr>
      </w:pPr>
      <w:r w:rsidRPr="00993936">
        <w:rPr>
          <w:rFonts w:ascii="Arial" w:hAnsi="Arial" w:cs="Arial"/>
          <w:lang w:val="es-ES"/>
        </w:rPr>
        <w:t>4.1.2 En las plantaciones de olivos, los patrones se adaptarán a las condiciones edáficas y no serán sensibles a las fisiopatias habituales de la zona o a otras fisiopatias que tengan una repercusión comercial importante.</w:t>
      </w:r>
    </w:p>
    <w:p w:rsidR="00503A41" w:rsidRPr="00993936" w:rsidRDefault="00503A41" w:rsidP="001C0FFB">
      <w:pPr>
        <w:jc w:val="both"/>
        <w:rPr>
          <w:rFonts w:ascii="Arial" w:hAnsi="Arial" w:cs="Arial"/>
          <w:i/>
          <w:lang w:val="es-ES"/>
        </w:rPr>
      </w:pPr>
      <w:r w:rsidRPr="00993936">
        <w:rPr>
          <w:rFonts w:ascii="Arial" w:hAnsi="Arial" w:cs="Arial"/>
          <w:lang w:val="es-ES"/>
        </w:rPr>
        <w:t>4.1.3 Todas las variedades deben estar inscritas dentro del Catálogo común de variedades de especies</w:t>
      </w:r>
      <w:r w:rsidRPr="00993936">
        <w:rPr>
          <w:rFonts w:ascii="Arial" w:hAnsi="Arial" w:cs="Arial"/>
          <w:vanish/>
          <w:lang w:val="es-ES"/>
        </w:rPr>
        <w:t>&lt;A[especies|especias]&gt;</w:t>
      </w:r>
      <w:r w:rsidRPr="00993936">
        <w:rPr>
          <w:rFonts w:ascii="Arial" w:hAnsi="Arial" w:cs="Arial"/>
          <w:lang w:val="es-ES"/>
        </w:rPr>
        <w:t xml:space="preserve"> de plantas hortícolas de la Unión Europea y/o en la lista española de variedades comerciales de plantas.</w:t>
      </w:r>
      <w:r w:rsidRPr="00993936">
        <w:rPr>
          <w:rFonts w:ascii="Arial" w:hAnsi="Arial" w:cs="Arial"/>
          <w:i/>
          <w:lang w:val="es-ES"/>
        </w:rPr>
        <w:t xml:space="preserve"> </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4.1.4 Eliminar antes de la plantación todo el material vegetal que presente síntomas de enfermedad o un crecimiento anormal.</w:t>
      </w:r>
    </w:p>
    <w:p w:rsidR="00503A41" w:rsidRPr="00993936" w:rsidRDefault="00503A41" w:rsidP="001C0FFB">
      <w:pPr>
        <w:pStyle w:val="Textoindependiente"/>
        <w:rPr>
          <w:rFonts w:cs="Arial"/>
          <w:szCs w:val="22"/>
          <w:lang w:val="es-ES"/>
        </w:rPr>
      </w:pPr>
      <w:r w:rsidRPr="00993936">
        <w:rPr>
          <w:rFonts w:cs="Arial"/>
          <w:szCs w:val="22"/>
          <w:lang w:val="es-ES"/>
        </w:rPr>
        <w:t>4.1.5 El material de plantación, variedades, densidad de plantación, ciclo de cultivo, se adaptarán a las condiciones locales, con el objetivo de conseguir un producto de calidad con las mínimas intervenciones posibles.</w:t>
      </w:r>
    </w:p>
    <w:p w:rsidR="00503A41" w:rsidRPr="00993936" w:rsidRDefault="00503A41" w:rsidP="001C0FFB">
      <w:pPr>
        <w:jc w:val="both"/>
        <w:rPr>
          <w:rFonts w:ascii="Arial" w:hAnsi="Arial" w:cs="Arial"/>
          <w:lang w:val="es-ES"/>
        </w:rPr>
      </w:pPr>
      <w:r w:rsidRPr="00993936">
        <w:rPr>
          <w:rFonts w:ascii="Arial" w:hAnsi="Arial" w:cs="Arial"/>
          <w:lang w:val="es-ES"/>
        </w:rPr>
        <w:t>4.1.6 Utilizar, si hay, variedades resistentes o tolerantes a alguna de las enfermedades importantes de la especie y adaptadas a las condiciones locales, salvo una justificación técnica expresa.</w:t>
      </w:r>
    </w:p>
    <w:p w:rsidR="00503A41" w:rsidRPr="00993936" w:rsidRDefault="00503A41" w:rsidP="001C0FFB">
      <w:pPr>
        <w:jc w:val="both"/>
        <w:outlineLvl w:val="0"/>
        <w:rPr>
          <w:rFonts w:ascii="Arial" w:hAnsi="Arial" w:cs="Arial"/>
          <w:lang w:val="es-ES"/>
        </w:rPr>
      </w:pPr>
      <w:r w:rsidRPr="00993936">
        <w:rPr>
          <w:rFonts w:ascii="Arial" w:hAnsi="Arial" w:cs="Arial"/>
          <w:lang w:val="es-ES"/>
        </w:rPr>
        <w:t>4.1.7 En parcelas establecidas de olivos, para incorporarse al programa de producción integrada, se tendrá que controlar previamente la incidencia de problemas fitopatológicos, virosis o problemas fúngicos, los cuales se harán constar en el Cuaderno de explotación.</w:t>
      </w: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4.2 </w:t>
      </w:r>
      <w:r w:rsidRPr="00993936">
        <w:rPr>
          <w:rFonts w:ascii="Arial" w:hAnsi="Arial" w:cs="Arial"/>
          <w:i/>
          <w:lang w:val="es-ES"/>
        </w:rPr>
        <w:t>Prohibiciones</w:t>
      </w:r>
    </w:p>
    <w:p w:rsidR="00503A41" w:rsidRPr="00993936" w:rsidRDefault="00503A41" w:rsidP="001C0FFB">
      <w:pPr>
        <w:jc w:val="both"/>
        <w:rPr>
          <w:rFonts w:ascii="Arial" w:hAnsi="Arial" w:cs="Arial"/>
          <w:lang w:val="es-ES"/>
        </w:rPr>
      </w:pPr>
      <w:r w:rsidRPr="00993936">
        <w:rPr>
          <w:rFonts w:ascii="Arial" w:hAnsi="Arial" w:cs="Arial"/>
          <w:lang w:val="es-ES"/>
        </w:rPr>
        <w:t>4.2.1 El uso de patrones, combinaciones injerto-patrón o variedades especialmente sensibles a determinadas enfermedades de especial incidencia o relevancia establecidas por la dirección general competente en materia de agricultura.</w:t>
      </w:r>
    </w:p>
    <w:p w:rsidR="00503A41" w:rsidRPr="00993936" w:rsidRDefault="00503A41" w:rsidP="001C0FFB">
      <w:pPr>
        <w:jc w:val="both"/>
        <w:rPr>
          <w:rFonts w:ascii="Arial" w:hAnsi="Arial" w:cs="Arial"/>
          <w:lang w:val="es-ES"/>
        </w:rPr>
      </w:pPr>
      <w:r w:rsidRPr="00993936">
        <w:rPr>
          <w:rFonts w:ascii="Arial" w:hAnsi="Arial" w:cs="Arial"/>
          <w:lang w:val="es-ES"/>
        </w:rPr>
        <w:t xml:space="preserve">4.3 </w:t>
      </w:r>
      <w:r w:rsidRPr="00993936">
        <w:rPr>
          <w:rFonts w:ascii="Arial" w:hAnsi="Arial" w:cs="Arial"/>
          <w:i/>
          <w:lang w:val="es-ES"/>
        </w:rPr>
        <w:t>Recomendaciones</w:t>
      </w:r>
    </w:p>
    <w:p w:rsidR="00503A41" w:rsidRPr="00993936" w:rsidRDefault="00503A41" w:rsidP="001C0FFB">
      <w:pPr>
        <w:jc w:val="both"/>
        <w:rPr>
          <w:rFonts w:ascii="Arial" w:hAnsi="Arial" w:cs="Arial"/>
          <w:lang w:val="es-ES"/>
        </w:rPr>
      </w:pPr>
      <w:r w:rsidRPr="00993936">
        <w:rPr>
          <w:rFonts w:ascii="Arial" w:hAnsi="Arial" w:cs="Arial"/>
          <w:lang w:val="es-ES"/>
        </w:rPr>
        <w:t xml:space="preserve">4.3.1 Se escogerán preferentemente las variedades más adecuadas a la zona y al periodo de cultivo, con el objetivo de conseguir un fruto de calidad con las mínimas intervenciones posibles. </w:t>
      </w:r>
    </w:p>
    <w:p w:rsidR="00503A41" w:rsidRPr="00993936" w:rsidRDefault="00503A41" w:rsidP="001C0FFB">
      <w:pPr>
        <w:jc w:val="both"/>
        <w:rPr>
          <w:rFonts w:ascii="Arial" w:hAnsi="Arial" w:cs="Arial"/>
          <w:lang w:val="es-ES"/>
        </w:rPr>
      </w:pPr>
      <w:r w:rsidRPr="00993936">
        <w:rPr>
          <w:rFonts w:ascii="Arial" w:hAnsi="Arial" w:cs="Arial"/>
          <w:lang w:val="es-ES"/>
        </w:rPr>
        <w:t>4.3.2 Conocer el grado de susceptibilidad de la/s variedad/es elegidas a plagas y enfermedades.</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5</w:t>
      </w:r>
    </w:p>
    <w:p w:rsidR="00503A41" w:rsidRPr="00993936" w:rsidRDefault="00503A41" w:rsidP="001C0FFB">
      <w:pPr>
        <w:pStyle w:val="Ttulo1"/>
        <w:rPr>
          <w:rFonts w:ascii="Arial" w:hAnsi="Arial" w:cs="Arial"/>
          <w:b/>
          <w:color w:val="auto"/>
          <w:sz w:val="22"/>
          <w:szCs w:val="22"/>
        </w:rPr>
      </w:pPr>
      <w:r w:rsidRPr="00993936">
        <w:rPr>
          <w:rFonts w:ascii="Arial" w:hAnsi="Arial" w:cs="Arial"/>
          <w:b/>
          <w:color w:val="auto"/>
          <w:sz w:val="22"/>
          <w:szCs w:val="22"/>
        </w:rPr>
        <w:t>Características de la plantación</w:t>
      </w:r>
    </w:p>
    <w:p w:rsidR="00503A41" w:rsidRPr="00993936" w:rsidRDefault="00503A41" w:rsidP="001C0FFB">
      <w:pPr>
        <w:jc w:val="both"/>
        <w:rPr>
          <w:rFonts w:ascii="Arial" w:hAnsi="Arial" w:cs="Arial"/>
          <w:lang w:val="es-ES"/>
        </w:rPr>
      </w:pPr>
      <w:r w:rsidRPr="00993936">
        <w:rPr>
          <w:rFonts w:ascii="Arial" w:hAnsi="Arial" w:cs="Arial"/>
          <w:lang w:val="es-ES"/>
        </w:rPr>
        <w:t xml:space="preserve">5.1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5.1.1. La distancia entre olivos tiene que permitir el adecuado desarrollo de la combinación variedad-patrón escogida, y asegurar que cada árbol dispone del suficiente espacio a lo largo de su vida, sin que haya que realizar podas fuertes.</w:t>
      </w:r>
    </w:p>
    <w:p w:rsidR="00503A41" w:rsidRPr="00993936" w:rsidRDefault="00503A41" w:rsidP="001C0FFB">
      <w:pPr>
        <w:jc w:val="both"/>
        <w:rPr>
          <w:rFonts w:ascii="Arial" w:hAnsi="Arial" w:cs="Arial"/>
          <w:lang w:val="es-ES"/>
        </w:rPr>
      </w:pPr>
      <w:r w:rsidRPr="00993936">
        <w:rPr>
          <w:rFonts w:ascii="Arial" w:hAnsi="Arial" w:cs="Arial"/>
          <w:lang w:val="es-ES"/>
        </w:rPr>
        <w:t xml:space="preserve">5.2 </w:t>
      </w:r>
      <w:r w:rsidRPr="00993936">
        <w:rPr>
          <w:rFonts w:ascii="Arial" w:hAnsi="Arial" w:cs="Arial"/>
          <w:i/>
          <w:lang w:val="es-ES"/>
        </w:rPr>
        <w:t>Recomendaciones</w:t>
      </w:r>
    </w:p>
    <w:p w:rsidR="00503A41" w:rsidRPr="00993936" w:rsidRDefault="00503A41" w:rsidP="001C0FFB">
      <w:pPr>
        <w:jc w:val="both"/>
        <w:rPr>
          <w:rFonts w:ascii="Arial" w:hAnsi="Arial" w:cs="Arial"/>
          <w:lang w:val="es-ES"/>
        </w:rPr>
      </w:pPr>
      <w:r w:rsidRPr="00993936">
        <w:rPr>
          <w:rFonts w:ascii="Arial" w:hAnsi="Arial" w:cs="Arial"/>
          <w:lang w:val="es-ES"/>
        </w:rPr>
        <w:t>5.2.1 No superar una densidad de plantación de 600 pies por hectárea.</w:t>
      </w:r>
    </w:p>
    <w:p w:rsidR="00503A41" w:rsidRPr="00993936" w:rsidRDefault="00503A41" w:rsidP="001C0FFB">
      <w:pPr>
        <w:pStyle w:val="Textoindependiente"/>
        <w:rPr>
          <w:rFonts w:cs="Arial"/>
          <w:szCs w:val="22"/>
          <w:lang w:val="es-ES"/>
        </w:rPr>
      </w:pPr>
      <w:r w:rsidRPr="00993936">
        <w:rPr>
          <w:rFonts w:cs="Arial"/>
          <w:szCs w:val="22"/>
          <w:lang w:val="es-ES"/>
        </w:rPr>
        <w:t>5.2.2 Orientar las filas de la plantación, si es posible, de norte a sur con el fin de conseguir frutos de maduración y coloración uniformes.</w:t>
      </w:r>
    </w:p>
    <w:p w:rsidR="00503A41" w:rsidRPr="00993936" w:rsidRDefault="00503A41" w:rsidP="001C0FFB">
      <w:pPr>
        <w:jc w:val="both"/>
        <w:rPr>
          <w:rFonts w:ascii="Arial" w:hAnsi="Arial" w:cs="Arial"/>
          <w:lang w:val="es-ES"/>
        </w:rPr>
      </w:pPr>
    </w:p>
    <w:p w:rsidR="00503A41" w:rsidRPr="00993936" w:rsidRDefault="00503A41" w:rsidP="001C0FFB">
      <w:pPr>
        <w:jc w:val="both"/>
        <w:outlineLvl w:val="0"/>
        <w:rPr>
          <w:rFonts w:ascii="Arial" w:hAnsi="Arial" w:cs="Arial"/>
          <w:lang w:val="es-ES"/>
        </w:rPr>
      </w:pPr>
      <w:r w:rsidRPr="00993936">
        <w:rPr>
          <w:rFonts w:ascii="Arial" w:hAnsi="Arial" w:cs="Arial"/>
          <w:lang w:val="es-ES"/>
        </w:rPr>
        <w:t>Artículo 6</w:t>
      </w:r>
    </w:p>
    <w:p w:rsidR="00503A41" w:rsidRPr="00993936" w:rsidRDefault="00503A41" w:rsidP="001C0FFB">
      <w:pPr>
        <w:pStyle w:val="Ttulo2"/>
        <w:jc w:val="both"/>
        <w:rPr>
          <w:rFonts w:ascii="Arial" w:hAnsi="Arial" w:cs="Arial"/>
          <w:b/>
          <w:color w:val="auto"/>
          <w:sz w:val="22"/>
          <w:szCs w:val="22"/>
          <w:lang w:val="es-ES"/>
        </w:rPr>
      </w:pPr>
      <w:r w:rsidRPr="00993936">
        <w:rPr>
          <w:rFonts w:ascii="Arial" w:hAnsi="Arial" w:cs="Arial"/>
          <w:b/>
          <w:color w:val="auto"/>
          <w:sz w:val="22"/>
          <w:szCs w:val="22"/>
          <w:lang w:val="es-ES"/>
        </w:rPr>
        <w:t>Manejo de la plantación y manejo del fruto</w:t>
      </w:r>
    </w:p>
    <w:p w:rsidR="00503A41" w:rsidRPr="00993936" w:rsidRDefault="00503A41" w:rsidP="001C0FFB">
      <w:pPr>
        <w:jc w:val="both"/>
        <w:outlineLvl w:val="0"/>
        <w:rPr>
          <w:rFonts w:ascii="Arial" w:hAnsi="Arial" w:cs="Arial"/>
          <w:b/>
          <w:lang w:val="es-ES"/>
        </w:rPr>
      </w:pPr>
      <w:r w:rsidRPr="00993936">
        <w:rPr>
          <w:rFonts w:ascii="Arial" w:hAnsi="Arial" w:cs="Arial"/>
          <w:b/>
          <w:lang w:val="es-ES"/>
        </w:rPr>
        <w:t>6.1 Fitoreguladores</w:t>
      </w:r>
    </w:p>
    <w:p w:rsidR="00503A41" w:rsidRPr="00993936" w:rsidRDefault="00503A41" w:rsidP="001C0FFB">
      <w:pPr>
        <w:jc w:val="both"/>
        <w:rPr>
          <w:rFonts w:ascii="Arial" w:hAnsi="Arial" w:cs="Arial"/>
          <w:lang w:val="es-ES"/>
        </w:rPr>
      </w:pPr>
      <w:r w:rsidRPr="00993936">
        <w:rPr>
          <w:rFonts w:ascii="Arial" w:hAnsi="Arial" w:cs="Arial"/>
          <w:i/>
          <w:lang w:val="es-ES"/>
        </w:rPr>
        <w:t>6.1 Prohibiciones</w:t>
      </w:r>
    </w:p>
    <w:p w:rsidR="00503A41" w:rsidRPr="00993936" w:rsidRDefault="00503A41" w:rsidP="001C0FFB">
      <w:pPr>
        <w:jc w:val="both"/>
        <w:rPr>
          <w:rFonts w:ascii="Arial" w:hAnsi="Arial" w:cs="Arial"/>
          <w:lang w:val="es-ES"/>
        </w:rPr>
      </w:pPr>
      <w:r w:rsidRPr="00993936">
        <w:rPr>
          <w:rFonts w:ascii="Arial" w:hAnsi="Arial" w:cs="Arial"/>
          <w:lang w:val="es-ES"/>
        </w:rPr>
        <w:t>6.1.1  Utilizar fitoreguladores de síntesis para regular el crecimiento del olivo.</w:t>
      </w:r>
    </w:p>
    <w:p w:rsidR="00503A41" w:rsidRPr="00993936" w:rsidRDefault="00503A41" w:rsidP="001C0FFB">
      <w:pPr>
        <w:jc w:val="both"/>
        <w:rPr>
          <w:rFonts w:ascii="Arial" w:hAnsi="Arial" w:cs="Arial"/>
          <w:lang w:val="es-ES"/>
        </w:rPr>
      </w:pPr>
      <w:r w:rsidRPr="00993936">
        <w:rPr>
          <w:rFonts w:ascii="Arial" w:hAnsi="Arial" w:cs="Arial"/>
          <w:lang w:val="es-ES"/>
        </w:rPr>
        <w:t>6.1.2  Utilizar productos químicos para el control de los retoños de la cepa del olivo.</w:t>
      </w:r>
    </w:p>
    <w:p w:rsidR="00503A41" w:rsidRPr="00993936" w:rsidRDefault="00503A41" w:rsidP="001C0FFB">
      <w:pPr>
        <w:jc w:val="both"/>
        <w:rPr>
          <w:rFonts w:ascii="Arial" w:hAnsi="Arial" w:cs="Arial"/>
          <w:lang w:val="es-ES"/>
        </w:rPr>
      </w:pPr>
    </w:p>
    <w:p w:rsidR="00503A41" w:rsidRPr="00993936" w:rsidRDefault="00503A41" w:rsidP="001C0FFB">
      <w:pPr>
        <w:jc w:val="both"/>
        <w:outlineLvl w:val="0"/>
        <w:rPr>
          <w:rFonts w:ascii="Arial" w:hAnsi="Arial" w:cs="Arial"/>
          <w:b/>
          <w:lang w:val="es-ES"/>
        </w:rPr>
      </w:pPr>
      <w:r w:rsidRPr="00993936">
        <w:rPr>
          <w:rFonts w:ascii="Arial" w:hAnsi="Arial" w:cs="Arial"/>
          <w:b/>
          <w:lang w:val="es-ES"/>
        </w:rPr>
        <w:t>6.2 Poda</w:t>
      </w:r>
    </w:p>
    <w:p w:rsidR="00503A41" w:rsidRPr="00993936" w:rsidRDefault="00503A41" w:rsidP="001C0FFB">
      <w:pPr>
        <w:jc w:val="both"/>
        <w:rPr>
          <w:rFonts w:ascii="Arial" w:hAnsi="Arial" w:cs="Arial"/>
          <w:lang w:val="es-ES"/>
        </w:rPr>
      </w:pPr>
      <w:r w:rsidRPr="00993936">
        <w:rPr>
          <w:rFonts w:ascii="Arial" w:hAnsi="Arial" w:cs="Arial"/>
          <w:lang w:val="es-ES"/>
        </w:rPr>
        <w:t xml:space="preserve">6.2.1.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6.2.1.1 La poda se llevará a cabo con un planteamiento técnico, teniendo en cuenta los principios fundamentales que rigen esta práctica, para maximizar la eficacia y la rentabilidad.</w:t>
      </w:r>
    </w:p>
    <w:p w:rsidR="00503A41" w:rsidRPr="00993936" w:rsidRDefault="00503A41" w:rsidP="001C0FFB">
      <w:pPr>
        <w:jc w:val="both"/>
        <w:rPr>
          <w:rFonts w:ascii="Arial" w:hAnsi="Arial" w:cs="Arial"/>
          <w:lang w:val="es-ES"/>
        </w:rPr>
      </w:pPr>
      <w:r w:rsidRPr="00993936">
        <w:rPr>
          <w:rFonts w:ascii="Arial" w:hAnsi="Arial" w:cs="Arial"/>
          <w:lang w:val="es-ES"/>
        </w:rPr>
        <w:t>6.2.1.2 El sistema de poda tiene que respetar el estado fisiológico óptimo del árbol, permitir uno bueno aireado y una buena penetración de la luz y de los tratamientos, y mantener una adecuada relación hojas/madera. El exceso de vigor se corregirá preferentemente mediante prácticas culturales, además de la poda.</w:t>
      </w:r>
    </w:p>
    <w:p w:rsidR="00503A41" w:rsidRPr="00993936" w:rsidRDefault="00503A41" w:rsidP="001C0FFB">
      <w:pPr>
        <w:jc w:val="both"/>
        <w:rPr>
          <w:rFonts w:ascii="Arial" w:hAnsi="Arial" w:cs="Arial"/>
          <w:lang w:val="es-ES"/>
        </w:rPr>
      </w:pPr>
      <w:r w:rsidRPr="00993936">
        <w:rPr>
          <w:rFonts w:ascii="Arial" w:hAnsi="Arial" w:cs="Arial"/>
          <w:lang w:val="es-ES"/>
        </w:rPr>
        <w:t>6.2.1.3 La poda en periodo vegetativo activo se realizará con instrumentos cortantes, como tijeras, cuchillos y otros,</w:t>
      </w:r>
      <w:r w:rsidRPr="00993936">
        <w:rPr>
          <w:rFonts w:ascii="Arial" w:hAnsi="Arial" w:cs="Arial"/>
          <w:i/>
          <w:lang w:val="es-ES"/>
        </w:rPr>
        <w:t xml:space="preserve"> </w:t>
      </w:r>
      <w:r w:rsidRPr="00993936">
        <w:rPr>
          <w:rFonts w:ascii="Arial" w:hAnsi="Arial" w:cs="Arial"/>
          <w:lang w:val="es-ES"/>
        </w:rPr>
        <w:t>salvo los pinzamientos, que se podrán hacer manualmente.</w:t>
      </w:r>
    </w:p>
    <w:p w:rsidR="00503A41" w:rsidRPr="00993936" w:rsidRDefault="00503A41" w:rsidP="001C0FFB">
      <w:pPr>
        <w:jc w:val="both"/>
        <w:rPr>
          <w:rFonts w:ascii="Arial" w:hAnsi="Arial" w:cs="Arial"/>
          <w:lang w:val="es-ES"/>
        </w:rPr>
      </w:pPr>
      <w:r w:rsidRPr="00993936">
        <w:rPr>
          <w:rFonts w:ascii="Arial" w:hAnsi="Arial" w:cs="Arial"/>
          <w:lang w:val="es-ES"/>
        </w:rPr>
        <w:t>6.2.1.4 Desinfectar o sustituir los guantes y los instrumentos de poda cuando se cambie de parcela o de variedad, en caso de haber riesgo de propagación de problemas fitosanitarios.</w:t>
      </w:r>
    </w:p>
    <w:p w:rsidR="00503A41" w:rsidRPr="00993936" w:rsidRDefault="00503A41" w:rsidP="001C0FFB">
      <w:pPr>
        <w:jc w:val="both"/>
        <w:rPr>
          <w:rFonts w:ascii="Arial" w:hAnsi="Arial" w:cs="Arial"/>
          <w:lang w:val="es-ES"/>
        </w:rPr>
      </w:pPr>
      <w:r w:rsidRPr="00993936">
        <w:rPr>
          <w:rFonts w:ascii="Arial" w:hAnsi="Arial" w:cs="Arial"/>
          <w:lang w:val="es-ES"/>
        </w:rPr>
        <w:t>6.2.1.5 El equilibrio de los árboles se tendrá que controlar de manera prioritaria con medidas culturales, como la fertilización y un adecuado suministro de agua.</w:t>
      </w:r>
    </w:p>
    <w:p w:rsidR="00503A41" w:rsidRPr="00993936" w:rsidRDefault="00503A41" w:rsidP="001C0FFB">
      <w:pPr>
        <w:jc w:val="both"/>
        <w:rPr>
          <w:rFonts w:ascii="Arial" w:hAnsi="Arial" w:cs="Arial"/>
          <w:lang w:val="es-ES"/>
        </w:rPr>
      </w:pPr>
      <w:r w:rsidRPr="00993936">
        <w:rPr>
          <w:rFonts w:ascii="Arial" w:hAnsi="Arial" w:cs="Arial"/>
          <w:lang w:val="es-ES"/>
        </w:rPr>
        <w:t xml:space="preserve">6.2.2 </w:t>
      </w:r>
      <w:r w:rsidRPr="00993936">
        <w:rPr>
          <w:rFonts w:ascii="Arial" w:hAnsi="Arial" w:cs="Arial"/>
          <w:i/>
          <w:lang w:val="es-ES"/>
        </w:rPr>
        <w:t>Prohibiciones</w:t>
      </w:r>
    </w:p>
    <w:p w:rsidR="00503A41" w:rsidRPr="00993936" w:rsidRDefault="00503A41" w:rsidP="001C0FFB">
      <w:pPr>
        <w:jc w:val="both"/>
        <w:rPr>
          <w:rFonts w:ascii="Arial" w:hAnsi="Arial" w:cs="Arial"/>
          <w:lang w:val="es-ES"/>
        </w:rPr>
      </w:pPr>
      <w:r w:rsidRPr="00993936">
        <w:rPr>
          <w:rFonts w:ascii="Arial" w:hAnsi="Arial" w:cs="Arial"/>
          <w:lang w:val="es-ES"/>
        </w:rPr>
        <w:t>6.2.2.1 La crema incontrolada de restos vegetales, a menos que sea autorizada por la normativa de la autoridad competente. Se permite específicamente la quema controlada de los restos de poda del olivo, vistos sus efectos beneficiosos para el mantenimiento de la sanidad vegetal del árbol.</w:t>
      </w:r>
    </w:p>
    <w:p w:rsidR="00503A41" w:rsidRPr="00993936" w:rsidRDefault="00503A41" w:rsidP="001C0FFB">
      <w:pPr>
        <w:jc w:val="both"/>
        <w:rPr>
          <w:rFonts w:ascii="Arial" w:hAnsi="Arial" w:cs="Arial"/>
          <w:lang w:val="es-ES"/>
        </w:rPr>
      </w:pPr>
      <w:r w:rsidRPr="00993936">
        <w:rPr>
          <w:rFonts w:ascii="Arial" w:hAnsi="Arial" w:cs="Arial"/>
          <w:lang w:val="es-ES"/>
        </w:rPr>
        <w:t xml:space="preserve">6.2.2.2 Abandonar los restos de poda en la parcela o en sus márgenes. </w:t>
      </w:r>
    </w:p>
    <w:p w:rsidR="00503A41" w:rsidRPr="00993936" w:rsidRDefault="00503A41" w:rsidP="001C0FFB">
      <w:pPr>
        <w:jc w:val="both"/>
        <w:rPr>
          <w:rFonts w:ascii="Arial" w:hAnsi="Arial" w:cs="Arial"/>
          <w:lang w:val="es-ES"/>
        </w:rPr>
      </w:pPr>
      <w:r w:rsidRPr="00993936">
        <w:rPr>
          <w:rFonts w:ascii="Arial" w:hAnsi="Arial" w:cs="Arial"/>
          <w:lang w:val="es-ES"/>
        </w:rPr>
        <w:t xml:space="preserve">6.2.3  </w:t>
      </w:r>
      <w:r w:rsidRPr="00993936">
        <w:rPr>
          <w:rFonts w:ascii="Arial" w:hAnsi="Arial" w:cs="Arial"/>
          <w:i/>
          <w:lang w:val="es-ES"/>
        </w:rPr>
        <w:t>Recomendaciones</w:t>
      </w:r>
    </w:p>
    <w:p w:rsidR="00503A41" w:rsidRPr="00993936" w:rsidRDefault="00503A41" w:rsidP="001C0FFB">
      <w:pPr>
        <w:jc w:val="both"/>
        <w:rPr>
          <w:rFonts w:ascii="Arial" w:hAnsi="Arial" w:cs="Arial"/>
          <w:lang w:val="es-ES"/>
        </w:rPr>
      </w:pPr>
      <w:r w:rsidRPr="00993936">
        <w:rPr>
          <w:rFonts w:ascii="Arial" w:hAnsi="Arial" w:cs="Arial"/>
          <w:lang w:val="es-ES"/>
        </w:rPr>
        <w:t>6.2.3.1 Trocear y triturar los restos de poda, en caso de que no se pueda quemar.</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7</w:t>
      </w:r>
    </w:p>
    <w:p w:rsidR="00503A41" w:rsidRPr="00993936" w:rsidRDefault="00503A41" w:rsidP="001C0FFB">
      <w:pPr>
        <w:pStyle w:val="Ttulo1"/>
        <w:rPr>
          <w:rFonts w:ascii="Arial" w:hAnsi="Arial" w:cs="Arial"/>
          <w:b/>
          <w:color w:val="auto"/>
          <w:sz w:val="22"/>
          <w:szCs w:val="22"/>
        </w:rPr>
      </w:pPr>
      <w:r w:rsidRPr="00993936">
        <w:rPr>
          <w:rFonts w:ascii="Arial" w:hAnsi="Arial" w:cs="Arial"/>
          <w:b/>
          <w:color w:val="auto"/>
          <w:sz w:val="22"/>
          <w:szCs w:val="22"/>
        </w:rPr>
        <w:t>Fertilización</w:t>
      </w:r>
    </w:p>
    <w:p w:rsidR="00503A41" w:rsidRPr="00993936" w:rsidRDefault="00503A41" w:rsidP="001C0FFB">
      <w:pPr>
        <w:jc w:val="both"/>
        <w:rPr>
          <w:rFonts w:ascii="Arial" w:hAnsi="Arial" w:cs="Arial"/>
          <w:lang w:val="es-ES"/>
        </w:rPr>
      </w:pPr>
      <w:r w:rsidRPr="00993936">
        <w:rPr>
          <w:rFonts w:ascii="Arial" w:hAnsi="Arial" w:cs="Arial"/>
          <w:lang w:val="es-ES"/>
        </w:rPr>
        <w:t xml:space="preserve">7.1 </w:t>
      </w:r>
      <w:r w:rsidRPr="00993936">
        <w:rPr>
          <w:rFonts w:ascii="Arial" w:hAnsi="Arial" w:cs="Arial"/>
          <w:i/>
          <w:lang w:val="es-ES"/>
        </w:rPr>
        <w:t>Obligaciones</w:t>
      </w:r>
    </w:p>
    <w:p w:rsidR="00503A41" w:rsidRPr="00993936" w:rsidRDefault="00503A41" w:rsidP="001C0FFB">
      <w:pPr>
        <w:jc w:val="both"/>
        <w:rPr>
          <w:rFonts w:ascii="Arial" w:hAnsi="Arial" w:cs="Arial"/>
          <w:i/>
          <w:lang w:val="es-ES"/>
        </w:rPr>
      </w:pPr>
      <w:r w:rsidRPr="00993936">
        <w:rPr>
          <w:rFonts w:ascii="Arial" w:hAnsi="Arial" w:cs="Arial"/>
          <w:lang w:val="es-ES"/>
        </w:rPr>
        <w:t>7.1.1 En las nuevas plantaciones, previamente a la plantación, se realizarán análisis del suelo y del agua de riego. Los resultados de estos análisis determinarán la fertilización de fondo previa a la plantación. Los análisis se volverán a realizar cada 5 años</w:t>
      </w:r>
      <w:r w:rsidRPr="00993936">
        <w:rPr>
          <w:rFonts w:ascii="Arial" w:hAnsi="Arial" w:cs="Arial"/>
          <w:i/>
          <w:lang w:val="es-ES"/>
        </w:rPr>
        <w:t>.</w:t>
      </w:r>
    </w:p>
    <w:p w:rsidR="00503A41" w:rsidRPr="00993936" w:rsidRDefault="00503A41" w:rsidP="001C0FFB">
      <w:pPr>
        <w:pStyle w:val="Textoindependiente"/>
        <w:rPr>
          <w:rFonts w:cs="Arial"/>
          <w:szCs w:val="22"/>
          <w:lang w:val="es-ES"/>
        </w:rPr>
      </w:pPr>
      <w:r w:rsidRPr="00993936">
        <w:rPr>
          <w:rFonts w:cs="Arial"/>
          <w:szCs w:val="22"/>
          <w:lang w:val="es-ES"/>
        </w:rPr>
        <w:t>7.1.2  En plantaciones establecidas, cada explotación tendrá que realizar y disponer, de forma justificada, de análisis de suelos y del agua de riego para planificar la fertilización. Los análisis se realizarán cada 5 años.</w:t>
      </w:r>
    </w:p>
    <w:p w:rsidR="00503A41" w:rsidRPr="00993936" w:rsidRDefault="00503A41" w:rsidP="001C0FFB">
      <w:pPr>
        <w:pStyle w:val="Textoindependiente"/>
        <w:ind w:left="705"/>
        <w:rPr>
          <w:rFonts w:cs="Arial"/>
          <w:szCs w:val="22"/>
          <w:lang w:val="es-ES"/>
        </w:rPr>
      </w:pPr>
      <w:r w:rsidRPr="00993936">
        <w:rPr>
          <w:rFonts w:cs="Arial"/>
          <w:szCs w:val="22"/>
          <w:lang w:val="es-ES"/>
        </w:rPr>
        <w:t>7.1.2.1 En caso de que el abastecimiento del agua de riego se haga a través de una comunidad de regantes o bien por una entidad similar, el cumplimiento</w:t>
      </w:r>
      <w:r w:rsidRPr="00993936">
        <w:rPr>
          <w:rFonts w:cs="Arial"/>
          <w:vanish/>
          <w:szCs w:val="22"/>
          <w:lang w:val="es-ES"/>
        </w:rPr>
        <w:t>&lt;A[cumplimiento|cumplido]&gt;</w:t>
      </w:r>
      <w:r w:rsidRPr="00993936">
        <w:rPr>
          <w:rFonts w:cs="Arial"/>
          <w:szCs w:val="22"/>
          <w:lang w:val="es-ES"/>
        </w:rPr>
        <w:t xml:space="preserve"> del requisito indicado se podrá justificar con la disposición de una analítica de agua, realizada por alguna de </w:t>
      </w:r>
      <w:r w:rsidRPr="00993936">
        <w:rPr>
          <w:rFonts w:cs="Arial"/>
          <w:szCs w:val="22"/>
          <w:lang w:val="es-ES"/>
        </w:rPr>
        <w:lastRenderedPageBreak/>
        <w:t>las entidades indicadas, siempre que incluya los parámetros que se indican en el artículo 9.1.</w:t>
      </w:r>
    </w:p>
    <w:p w:rsidR="00503A41" w:rsidRPr="00993936" w:rsidRDefault="00503A41" w:rsidP="001C0FFB">
      <w:pPr>
        <w:pStyle w:val="Textoindependiente"/>
        <w:ind w:left="705"/>
        <w:rPr>
          <w:rFonts w:cs="Arial"/>
          <w:szCs w:val="22"/>
          <w:lang w:val="es-ES"/>
        </w:rPr>
      </w:pPr>
      <w:r w:rsidRPr="00993936">
        <w:rPr>
          <w:rFonts w:cs="Arial"/>
          <w:szCs w:val="22"/>
          <w:lang w:val="es-ES"/>
        </w:rPr>
        <w:t>7.1.2.2 En caso de que el abastecimiento del agua de riego sea de pozo, los análisis se harán como mínimo cada dos años. Cuando los resultados de dos analíticas consecutivas del agua, realizadas en el plazo señalado, sean similares los análisis se podrán efectuar cada 5 años.</w:t>
      </w:r>
    </w:p>
    <w:p w:rsidR="00503A41" w:rsidRPr="00993936" w:rsidRDefault="00503A41" w:rsidP="001C0FFB">
      <w:pPr>
        <w:pStyle w:val="Textoindependiente"/>
        <w:rPr>
          <w:rFonts w:cs="Arial"/>
          <w:szCs w:val="22"/>
          <w:lang w:val="es-ES"/>
        </w:rPr>
      </w:pPr>
      <w:r w:rsidRPr="00993936">
        <w:rPr>
          <w:rFonts w:cs="Arial"/>
          <w:szCs w:val="22"/>
          <w:lang w:val="es-ES"/>
        </w:rPr>
        <w:t>El número de análisis a efectuar será como mínimo un análisis del suelo por unidad homogénea de cultivo. Cuando se integre una UHC en el sistema de producción integrada habrá que realizar un análisis físico y químico siempre que no disponga uno realizado en un periodo de tiempo inferior a cinco años.</w:t>
      </w:r>
    </w:p>
    <w:p w:rsidR="00503A41" w:rsidRPr="00993936" w:rsidRDefault="00503A41" w:rsidP="001C0FFB">
      <w:pPr>
        <w:pStyle w:val="Textoindependiente"/>
        <w:rPr>
          <w:rFonts w:cs="Arial"/>
          <w:szCs w:val="22"/>
          <w:lang w:val="es-ES"/>
        </w:rPr>
      </w:pPr>
      <w:r w:rsidRPr="00993936">
        <w:rPr>
          <w:rFonts w:cs="Arial"/>
          <w:szCs w:val="22"/>
          <w:lang w:val="es-ES"/>
        </w:rPr>
        <w:t>7.1.3 Todas las analíticas de suelo incluirán, al menos, la determinación de fósforo, potasio y magnesio asimilables, la materia orgánica, la prueba previa de salinidad y, si procede</w:t>
      </w:r>
      <w:r w:rsidRPr="00993936">
        <w:rPr>
          <w:rFonts w:cs="Arial"/>
          <w:vanish/>
          <w:szCs w:val="22"/>
          <w:lang w:val="es-ES"/>
        </w:rPr>
        <w:t>&lt;A[pega|ocurre]&gt;</w:t>
      </w:r>
      <w:r w:rsidRPr="00993936">
        <w:rPr>
          <w:rFonts w:cs="Arial"/>
          <w:szCs w:val="22"/>
          <w:lang w:val="es-ES"/>
        </w:rPr>
        <w:t xml:space="preserve">, el análisis de sales solubles. En la primera analítica se incluirá, además, la determinación de textura y pH, y en caso de establecer una nueva plantación la determinación de carbonatos y cal activa. </w:t>
      </w:r>
    </w:p>
    <w:p w:rsidR="00503A41" w:rsidRPr="00993936" w:rsidRDefault="00503A41" w:rsidP="001C0FFB">
      <w:pPr>
        <w:jc w:val="both"/>
        <w:rPr>
          <w:rFonts w:ascii="Arial" w:hAnsi="Arial" w:cs="Arial"/>
          <w:lang w:val="es-ES"/>
        </w:rPr>
      </w:pPr>
      <w:r w:rsidRPr="00993936">
        <w:rPr>
          <w:rFonts w:ascii="Arial" w:hAnsi="Arial" w:cs="Arial"/>
          <w:lang w:val="es-ES"/>
        </w:rPr>
        <w:t>7.1.4 A partir del tercer año de la plantación se hará un seguimiento del estado nutritivo de la plantación mediante análisis foliares realizados cada año durante la parada</w:t>
      </w:r>
      <w:r w:rsidRPr="00993936">
        <w:rPr>
          <w:rFonts w:ascii="Arial" w:hAnsi="Arial" w:cs="Arial"/>
          <w:vanish/>
          <w:lang w:val="es-ES"/>
        </w:rPr>
        <w:t>&lt;A[parada|puesto]&gt;</w:t>
      </w:r>
      <w:r w:rsidRPr="00993936">
        <w:rPr>
          <w:rFonts w:ascii="Arial" w:hAnsi="Arial" w:cs="Arial"/>
          <w:lang w:val="es-ES"/>
        </w:rPr>
        <w:t xml:space="preserve"> estival o invernal. El análisis de las hojas servirá para conocer la respuesta de la planta al programa de fertilización, corregir las desviaciones que puedan producirse y validar los programas de abonado</w:t>
      </w:r>
      <w:r w:rsidRPr="00993936">
        <w:rPr>
          <w:rFonts w:ascii="Arial" w:hAnsi="Arial" w:cs="Arial"/>
          <w:vanish/>
          <w:lang w:val="es-ES"/>
        </w:rPr>
        <w:t>&lt;A[abono|adobo]&gt;</w:t>
      </w:r>
      <w:r w:rsidRPr="00993936">
        <w:rPr>
          <w:rFonts w:ascii="Arial" w:hAnsi="Arial" w:cs="Arial"/>
          <w:lang w:val="es-ES"/>
        </w:rPr>
        <w:t>. Cada explotación tendrá que disponer de análisis foliares. El número de análisis foliares a realizar anualmente será, como mínimo, de un análisis por</w:t>
      </w:r>
      <w:r w:rsidRPr="00993936">
        <w:rPr>
          <w:rFonts w:ascii="Arial" w:hAnsi="Arial" w:cs="Arial"/>
          <w:vanish/>
          <w:lang w:val="es-ES"/>
        </w:rPr>
        <w:t>&lt;A[para|por]&gt;</w:t>
      </w:r>
      <w:r w:rsidRPr="00993936">
        <w:rPr>
          <w:rFonts w:ascii="Arial" w:hAnsi="Arial" w:cs="Arial"/>
          <w:lang w:val="es-ES"/>
        </w:rPr>
        <w:t xml:space="preserve"> UHC. En cada UHC se analizarán al menos los nutrientes mayoritarios (N, P, K, Ca y Mg). Si hay síntomas de deficiencia o se utilizan fertilizantes con oligoelementos, se tendrán que incluir los microelementos en los análisis, al menos Fe, Mn, Cu y Zn o bien aquellos de los cuales se requiera la aportación.</w:t>
      </w:r>
    </w:p>
    <w:p w:rsidR="00503A41" w:rsidRPr="00993936" w:rsidRDefault="00503A41" w:rsidP="001C0FFB">
      <w:pPr>
        <w:jc w:val="both"/>
        <w:rPr>
          <w:rFonts w:ascii="Arial" w:hAnsi="Arial" w:cs="Arial"/>
          <w:lang w:val="es-ES"/>
        </w:rPr>
      </w:pPr>
      <w:r w:rsidRPr="00993936">
        <w:rPr>
          <w:rFonts w:ascii="Arial" w:hAnsi="Arial" w:cs="Arial"/>
          <w:lang w:val="es-ES"/>
        </w:rPr>
        <w:t>7.1.5 Las aplicaciones de abonos</w:t>
      </w:r>
      <w:r w:rsidRPr="00993936">
        <w:rPr>
          <w:rFonts w:ascii="Arial" w:hAnsi="Arial" w:cs="Arial"/>
          <w:vanish/>
          <w:lang w:val="es-ES"/>
        </w:rPr>
        <w:t>&lt;A[abonos|adobos]&gt;</w:t>
      </w:r>
      <w:r w:rsidRPr="00993936">
        <w:rPr>
          <w:rFonts w:ascii="Arial" w:hAnsi="Arial" w:cs="Arial"/>
          <w:lang w:val="es-ES"/>
        </w:rPr>
        <w:t xml:space="preserve"> foliares y oligoelementos requerirán siempre de la disposición de un análisis foliar. La fertilización foliar sólo se utilizará cuando el técnico responsable de producción integrada la considere necesaria y siempre en función de las necesidades y exigencias del cultivo.</w:t>
      </w:r>
    </w:p>
    <w:p w:rsidR="00503A41" w:rsidRPr="00993936" w:rsidRDefault="00503A41" w:rsidP="001C0FFB">
      <w:pPr>
        <w:jc w:val="both"/>
        <w:rPr>
          <w:rFonts w:ascii="Arial" w:hAnsi="Arial" w:cs="Arial"/>
          <w:lang w:val="es-ES"/>
        </w:rPr>
      </w:pPr>
      <w:r w:rsidRPr="00993936">
        <w:rPr>
          <w:rFonts w:ascii="Arial" w:hAnsi="Arial" w:cs="Arial"/>
          <w:lang w:val="es-ES"/>
        </w:rPr>
        <w:t>7.1.6 El suministro de nutrientes se efectuará fundamentalmente a través del sistema radicular.</w:t>
      </w:r>
    </w:p>
    <w:p w:rsidR="00503A41" w:rsidRPr="00993936" w:rsidRDefault="00503A41" w:rsidP="001C0FFB">
      <w:pPr>
        <w:jc w:val="both"/>
        <w:rPr>
          <w:rFonts w:ascii="Arial" w:hAnsi="Arial" w:cs="Arial"/>
          <w:lang w:val="es-ES"/>
        </w:rPr>
      </w:pPr>
      <w:r w:rsidRPr="00993936">
        <w:rPr>
          <w:rFonts w:ascii="Arial" w:hAnsi="Arial" w:cs="Arial"/>
          <w:lang w:val="es-ES"/>
        </w:rPr>
        <w:t>7.1.7 Utilizar los análisis físico y químico del suelo como base para estimar</w:t>
      </w:r>
      <w:r w:rsidRPr="00993936">
        <w:rPr>
          <w:rFonts w:ascii="Arial" w:hAnsi="Arial" w:cs="Arial"/>
          <w:vanish/>
          <w:lang w:val="es-ES"/>
        </w:rPr>
        <w:t>&lt;A[amar|estimar]&gt;</w:t>
      </w:r>
      <w:r w:rsidRPr="00993936">
        <w:rPr>
          <w:rFonts w:ascii="Arial" w:hAnsi="Arial" w:cs="Arial"/>
          <w:lang w:val="es-ES"/>
        </w:rPr>
        <w:t xml:space="preserve"> las necesidades de macronutrientes, a excepción del nitrógeno. </w:t>
      </w:r>
    </w:p>
    <w:p w:rsidR="00503A41" w:rsidRPr="00993936" w:rsidRDefault="00503A41" w:rsidP="001C0FFB">
      <w:pPr>
        <w:jc w:val="both"/>
        <w:rPr>
          <w:rFonts w:ascii="Arial" w:hAnsi="Arial" w:cs="Arial"/>
          <w:lang w:val="es-ES"/>
        </w:rPr>
      </w:pPr>
      <w:r w:rsidRPr="00993936">
        <w:rPr>
          <w:rFonts w:ascii="Arial" w:hAnsi="Arial" w:cs="Arial"/>
          <w:lang w:val="es-ES"/>
        </w:rPr>
        <w:t>7.1.8 Realizar y aplicar un programa de fertilización de macronutrientes para cada cultivo y unidad homogénea de cultivo que considere los resultados de las análisis y tenga en cuenta, además de las extracciones del cultivo y las pérdidas técnicas, el estado nutricional y de crecimiento, el tipo y nivel de fertilidad del suelo y las aportaciones efectuadas por otras vías (agua y materia orgánica). El programa determinará las épocas y la forma de aplicación más adecuadas para minimizar las pérdidas por</w:t>
      </w:r>
      <w:r w:rsidRPr="00993936">
        <w:rPr>
          <w:rFonts w:ascii="Arial" w:hAnsi="Arial" w:cs="Arial"/>
          <w:vanish/>
          <w:lang w:val="es-ES"/>
        </w:rPr>
        <w:t>&lt;A[por|para]&gt;</w:t>
      </w:r>
      <w:r w:rsidRPr="00993936">
        <w:rPr>
          <w:rFonts w:ascii="Arial" w:hAnsi="Arial" w:cs="Arial"/>
          <w:lang w:val="es-ES"/>
        </w:rPr>
        <w:t xml:space="preserve"> lixiviación, volatilización, desnitrificación, erosión, etc., potenciando la aportación, de fertilizantes naturales y reduciendo los químicos de síntesis.</w:t>
      </w:r>
    </w:p>
    <w:p w:rsidR="00503A41" w:rsidRPr="00993936" w:rsidRDefault="00503A41" w:rsidP="001C0FFB">
      <w:pPr>
        <w:jc w:val="both"/>
        <w:outlineLvl w:val="0"/>
        <w:rPr>
          <w:rFonts w:ascii="Arial" w:hAnsi="Arial" w:cs="Arial"/>
          <w:lang w:val="es-ES"/>
        </w:rPr>
      </w:pPr>
      <w:r w:rsidRPr="00993936">
        <w:rPr>
          <w:rFonts w:ascii="Arial" w:hAnsi="Arial" w:cs="Arial"/>
          <w:lang w:val="es-ES"/>
        </w:rPr>
        <w:t>7.1.9 Considerando las aportaciones de las diferentes entradas (deyecciones ganaderas, aguas de riego, abonos</w:t>
      </w:r>
      <w:r w:rsidRPr="00993936">
        <w:rPr>
          <w:rFonts w:ascii="Arial" w:hAnsi="Arial" w:cs="Arial"/>
          <w:vanish/>
          <w:lang w:val="es-ES"/>
        </w:rPr>
        <w:t>&lt;A[abonos|adobos]&gt;</w:t>
      </w:r>
      <w:r w:rsidRPr="00993936">
        <w:rPr>
          <w:rFonts w:ascii="Arial" w:hAnsi="Arial" w:cs="Arial"/>
          <w:lang w:val="es-ES"/>
        </w:rPr>
        <w:t xml:space="preserve"> minerales, y otros), se establece el máximo de aportaciones siguientes:</w:t>
      </w:r>
    </w:p>
    <w:p w:rsidR="00503A41" w:rsidRPr="00993936" w:rsidRDefault="00503A41" w:rsidP="001C0FFB">
      <w:pPr>
        <w:jc w:val="both"/>
        <w:outlineLvl w:val="0"/>
        <w:rPr>
          <w:rFonts w:ascii="Arial" w:hAnsi="Arial" w:cs="Arial"/>
          <w:lang w:val="es-ES"/>
        </w:rPr>
      </w:pPr>
    </w:p>
    <w:p w:rsidR="00503A41" w:rsidRPr="00993936" w:rsidRDefault="00503A41" w:rsidP="001C0FFB">
      <w:pPr>
        <w:jc w:val="both"/>
        <w:outlineLvl w:val="0"/>
        <w:rPr>
          <w:rFonts w:ascii="Arial"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2382"/>
        <w:gridCol w:w="4376"/>
      </w:tblGrid>
      <w:tr w:rsidR="00503A41" w:rsidRPr="00993936" w:rsidTr="001C0FFB">
        <w:tc>
          <w:tcPr>
            <w:tcW w:w="1125" w:type="pct"/>
            <w:shd w:val="clear" w:color="auto" w:fill="auto"/>
            <w:vAlign w:val="center"/>
          </w:tcPr>
          <w:p w:rsidR="00503A41" w:rsidRPr="00993936" w:rsidRDefault="00503A41" w:rsidP="001C0FFB">
            <w:pPr>
              <w:jc w:val="center"/>
              <w:rPr>
                <w:rFonts w:ascii="Arial" w:hAnsi="Arial" w:cs="Arial"/>
                <w:b/>
                <w:lang w:val="es-ES"/>
              </w:rPr>
            </w:pPr>
            <w:r w:rsidRPr="00993936">
              <w:rPr>
                <w:rFonts w:ascii="Arial" w:hAnsi="Arial" w:cs="Arial"/>
                <w:b/>
                <w:lang w:val="es-ES"/>
              </w:rPr>
              <w:t>Elemento</w:t>
            </w:r>
          </w:p>
        </w:tc>
        <w:tc>
          <w:tcPr>
            <w:tcW w:w="1366" w:type="pct"/>
            <w:shd w:val="clear" w:color="auto" w:fill="auto"/>
            <w:vAlign w:val="center"/>
          </w:tcPr>
          <w:p w:rsidR="00503A41" w:rsidRPr="00993936" w:rsidRDefault="00503A41" w:rsidP="001C0FFB">
            <w:pPr>
              <w:jc w:val="center"/>
              <w:rPr>
                <w:rFonts w:ascii="Arial" w:hAnsi="Arial" w:cs="Arial"/>
                <w:b/>
                <w:lang w:val="es-ES"/>
              </w:rPr>
            </w:pPr>
            <w:r w:rsidRPr="00993936">
              <w:rPr>
                <w:rFonts w:ascii="Arial" w:hAnsi="Arial" w:cs="Arial"/>
                <w:b/>
                <w:lang w:val="es-ES"/>
              </w:rPr>
              <w:t>Máximo aportaciones</w:t>
            </w:r>
          </w:p>
          <w:p w:rsidR="00503A41" w:rsidRPr="00993936" w:rsidRDefault="00503A41" w:rsidP="001C0FFB">
            <w:pPr>
              <w:jc w:val="center"/>
              <w:rPr>
                <w:rFonts w:ascii="Arial" w:hAnsi="Arial" w:cs="Arial"/>
                <w:b/>
                <w:lang w:val="es-ES"/>
              </w:rPr>
            </w:pPr>
            <w:r w:rsidRPr="00993936">
              <w:rPr>
                <w:rFonts w:ascii="Arial" w:hAnsi="Arial" w:cs="Arial"/>
                <w:b/>
                <w:lang w:val="es-ES"/>
              </w:rPr>
              <w:t>UF/ha y año</w:t>
            </w:r>
          </w:p>
        </w:tc>
        <w:tc>
          <w:tcPr>
            <w:tcW w:w="2509" w:type="pct"/>
            <w:shd w:val="clear" w:color="auto" w:fill="auto"/>
            <w:vAlign w:val="center"/>
          </w:tcPr>
          <w:p w:rsidR="00503A41" w:rsidRPr="00993936" w:rsidRDefault="00503A41" w:rsidP="001C0FFB">
            <w:pPr>
              <w:jc w:val="center"/>
              <w:rPr>
                <w:rFonts w:ascii="Arial" w:hAnsi="Arial" w:cs="Arial"/>
                <w:b/>
                <w:lang w:val="es-ES"/>
              </w:rPr>
            </w:pPr>
            <w:r w:rsidRPr="00993936">
              <w:rPr>
                <w:rFonts w:ascii="Arial" w:hAnsi="Arial" w:cs="Arial"/>
                <w:b/>
                <w:lang w:val="es-ES"/>
              </w:rPr>
              <w:t>Cultivos y condiciones a considerar</w:t>
            </w:r>
          </w:p>
        </w:tc>
      </w:tr>
      <w:tr w:rsidR="00503A41" w:rsidRPr="00993936" w:rsidTr="001C0FFB">
        <w:tc>
          <w:tcPr>
            <w:tcW w:w="1125" w:type="pct"/>
            <w:shd w:val="clear" w:color="auto" w:fill="auto"/>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 xml:space="preserve">  Nitrógeno (N)</w:t>
            </w:r>
          </w:p>
        </w:tc>
        <w:tc>
          <w:tcPr>
            <w:tcW w:w="1366" w:type="pct"/>
            <w:shd w:val="clear" w:color="auto" w:fill="auto"/>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75</w:t>
            </w:r>
          </w:p>
        </w:tc>
        <w:tc>
          <w:tcPr>
            <w:tcW w:w="2509" w:type="pct"/>
            <w:shd w:val="clear" w:color="auto" w:fill="auto"/>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Olivos de secano</w:t>
            </w:r>
          </w:p>
        </w:tc>
      </w:tr>
      <w:tr w:rsidR="00503A41" w:rsidRPr="00993936" w:rsidTr="001C0FFB">
        <w:tc>
          <w:tcPr>
            <w:tcW w:w="1125" w:type="pct"/>
            <w:shd w:val="clear" w:color="auto" w:fill="auto"/>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 xml:space="preserve">  Nitrógeno (N)</w:t>
            </w:r>
          </w:p>
        </w:tc>
        <w:tc>
          <w:tcPr>
            <w:tcW w:w="1366" w:type="pct"/>
            <w:shd w:val="clear" w:color="auto" w:fill="auto"/>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110</w:t>
            </w:r>
          </w:p>
        </w:tc>
        <w:tc>
          <w:tcPr>
            <w:tcW w:w="2509" w:type="pct"/>
            <w:shd w:val="clear" w:color="auto" w:fill="auto"/>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Olivos de regadío</w:t>
            </w:r>
          </w:p>
        </w:tc>
      </w:tr>
      <w:tr w:rsidR="00503A41" w:rsidRPr="00993936" w:rsidTr="001C0FFB">
        <w:tc>
          <w:tcPr>
            <w:tcW w:w="1125" w:type="pct"/>
            <w:shd w:val="clear" w:color="auto" w:fill="auto"/>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 xml:space="preserve">  Fósforo (P</w:t>
            </w:r>
            <w:r w:rsidRPr="00993936">
              <w:rPr>
                <w:rFonts w:ascii="Arial" w:hAnsi="Arial" w:cs="Arial"/>
                <w:sz w:val="20"/>
                <w:vertAlign w:val="subscript"/>
                <w:lang w:val="es-ES"/>
              </w:rPr>
              <w:t>2</w:t>
            </w:r>
            <w:r w:rsidRPr="00993936">
              <w:rPr>
                <w:rFonts w:ascii="Arial" w:hAnsi="Arial" w:cs="Arial"/>
                <w:sz w:val="20"/>
                <w:lang w:val="es-ES"/>
              </w:rPr>
              <w:t>O</w:t>
            </w:r>
            <w:r w:rsidRPr="00993936">
              <w:rPr>
                <w:rFonts w:ascii="Arial" w:hAnsi="Arial" w:cs="Arial"/>
                <w:sz w:val="20"/>
                <w:vertAlign w:val="subscript"/>
                <w:lang w:val="es-ES"/>
              </w:rPr>
              <w:t>5</w:t>
            </w:r>
            <w:r w:rsidRPr="00993936">
              <w:rPr>
                <w:rFonts w:ascii="Arial" w:hAnsi="Arial" w:cs="Arial"/>
                <w:sz w:val="20"/>
                <w:lang w:val="es-ES"/>
              </w:rPr>
              <w:t>)</w:t>
            </w:r>
          </w:p>
        </w:tc>
        <w:tc>
          <w:tcPr>
            <w:tcW w:w="1366" w:type="pct"/>
            <w:shd w:val="clear" w:color="auto" w:fill="auto"/>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250</w:t>
            </w:r>
          </w:p>
        </w:tc>
        <w:tc>
          <w:tcPr>
            <w:tcW w:w="2509" w:type="pct"/>
            <w:shd w:val="clear" w:color="auto" w:fill="auto"/>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 xml:space="preserve">Si el nivel de fósforo en el suelo es superior a 25 ppm </w:t>
            </w:r>
          </w:p>
        </w:tc>
      </w:tr>
      <w:tr w:rsidR="00503A41" w:rsidRPr="00993936" w:rsidTr="001C0FFB">
        <w:tc>
          <w:tcPr>
            <w:tcW w:w="1125" w:type="pct"/>
            <w:shd w:val="clear" w:color="auto" w:fill="auto"/>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 xml:space="preserve">  Potasio (K</w:t>
            </w:r>
            <w:r w:rsidRPr="00993936">
              <w:rPr>
                <w:rFonts w:ascii="Arial" w:hAnsi="Arial" w:cs="Arial"/>
                <w:sz w:val="20"/>
                <w:vertAlign w:val="subscript"/>
                <w:lang w:val="es-ES"/>
              </w:rPr>
              <w:t>2</w:t>
            </w:r>
            <w:r w:rsidRPr="00993936">
              <w:rPr>
                <w:rFonts w:ascii="Arial" w:hAnsi="Arial" w:cs="Arial"/>
                <w:sz w:val="20"/>
                <w:lang w:val="es-ES"/>
              </w:rPr>
              <w:t>O)</w:t>
            </w:r>
          </w:p>
        </w:tc>
        <w:tc>
          <w:tcPr>
            <w:tcW w:w="1366" w:type="pct"/>
            <w:shd w:val="clear" w:color="auto" w:fill="auto"/>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300</w:t>
            </w:r>
          </w:p>
        </w:tc>
        <w:tc>
          <w:tcPr>
            <w:tcW w:w="2509" w:type="pct"/>
            <w:shd w:val="clear" w:color="auto" w:fill="auto"/>
            <w:vAlign w:val="center"/>
          </w:tcPr>
          <w:p w:rsidR="00503A41" w:rsidRPr="00993936" w:rsidRDefault="00503A41" w:rsidP="001C0FFB">
            <w:pPr>
              <w:outlineLvl w:val="0"/>
              <w:rPr>
                <w:rFonts w:ascii="Arial" w:hAnsi="Arial" w:cs="Arial"/>
                <w:sz w:val="20"/>
                <w:lang w:val="es-ES"/>
              </w:rPr>
            </w:pPr>
            <w:r w:rsidRPr="00993936">
              <w:rPr>
                <w:rFonts w:ascii="Arial" w:hAnsi="Arial" w:cs="Arial"/>
                <w:sz w:val="20"/>
                <w:lang w:val="es-ES"/>
              </w:rPr>
              <w:t>Si el nivel de potasio en el suelo es superior a 125 ppm</w:t>
            </w:r>
          </w:p>
        </w:tc>
      </w:tr>
      <w:tr w:rsidR="00503A41" w:rsidRPr="00993936" w:rsidTr="001C0FFB">
        <w:tc>
          <w:tcPr>
            <w:tcW w:w="5000" w:type="pct"/>
            <w:gridSpan w:val="3"/>
            <w:shd w:val="clear" w:color="auto" w:fill="auto"/>
          </w:tcPr>
          <w:p w:rsidR="00503A41" w:rsidRPr="00993936" w:rsidRDefault="00503A41" w:rsidP="001C0FFB">
            <w:pPr>
              <w:jc w:val="both"/>
              <w:outlineLvl w:val="0"/>
              <w:rPr>
                <w:rFonts w:ascii="Arial" w:hAnsi="Arial" w:cs="Arial"/>
                <w:i/>
                <w:sz w:val="20"/>
                <w:lang w:val="es-ES"/>
              </w:rPr>
            </w:pPr>
            <w:r w:rsidRPr="00993936">
              <w:rPr>
                <w:rFonts w:ascii="Arial" w:hAnsi="Arial" w:cs="Arial"/>
                <w:sz w:val="20"/>
                <w:lang w:val="es-ES"/>
              </w:rPr>
              <w:t>ppm: partes por millón</w:t>
            </w:r>
          </w:p>
        </w:tc>
      </w:tr>
    </w:tbl>
    <w:p w:rsidR="00503A41" w:rsidRPr="00993936" w:rsidRDefault="00503A41" w:rsidP="001C0FFB">
      <w:pPr>
        <w:jc w:val="both"/>
        <w:outlineLvl w:val="0"/>
        <w:rPr>
          <w:rFonts w:ascii="Arial" w:hAnsi="Arial" w:cs="Arial"/>
          <w:sz w:val="20"/>
          <w:lang w:val="es-ES"/>
        </w:rPr>
      </w:pPr>
    </w:p>
    <w:p w:rsidR="00503A41" w:rsidRPr="00993936" w:rsidRDefault="00503A41" w:rsidP="001C0FFB">
      <w:pPr>
        <w:jc w:val="both"/>
        <w:outlineLvl w:val="0"/>
        <w:rPr>
          <w:rFonts w:ascii="Arial" w:hAnsi="Arial" w:cs="Arial"/>
          <w:i/>
          <w:lang w:val="es-ES"/>
        </w:rPr>
      </w:pPr>
      <w:r w:rsidRPr="00993936">
        <w:rPr>
          <w:rFonts w:ascii="Arial" w:hAnsi="Arial" w:cs="Arial"/>
          <w:lang w:val="es-ES"/>
        </w:rPr>
        <w:t xml:space="preserve">Para el nitrógeno las cantidades anteriores se podrán aumentar hasta llegar a un máximo de 150 kg de N/ha y año en caso de que toda la fertilización o una gran parte de ella se haga con fertilizantes orgánicos. </w:t>
      </w:r>
    </w:p>
    <w:p w:rsidR="00503A41" w:rsidRPr="00993936" w:rsidRDefault="00503A41" w:rsidP="001C0FFB">
      <w:pPr>
        <w:jc w:val="both"/>
        <w:rPr>
          <w:rFonts w:ascii="Arial" w:hAnsi="Arial" w:cs="Arial"/>
          <w:lang w:val="es-ES"/>
        </w:rPr>
      </w:pPr>
      <w:r w:rsidRPr="00993936">
        <w:rPr>
          <w:rFonts w:ascii="Arial" w:hAnsi="Arial" w:cs="Arial"/>
          <w:lang w:val="es-ES"/>
        </w:rPr>
        <w:t>La aplicación de microelementos se reducirá al mínimo posible y sólo se aplicarán cuando</w:t>
      </w:r>
      <w:r w:rsidRPr="00993936">
        <w:rPr>
          <w:rFonts w:ascii="Arial" w:hAnsi="Arial" w:cs="Arial"/>
          <w:vanish/>
          <w:lang w:val="es-ES"/>
        </w:rPr>
        <w:t>&lt;A[cuando|cuándo]&gt;</w:t>
      </w:r>
      <w:r w:rsidRPr="00993936">
        <w:rPr>
          <w:rFonts w:ascii="Arial" w:hAnsi="Arial" w:cs="Arial"/>
          <w:lang w:val="es-ES"/>
        </w:rPr>
        <w:t xml:space="preserve"> un análisis previo, o su sintomatología evidente determine la insuficiencia para los requerimientos reales del cultivo.</w:t>
      </w:r>
    </w:p>
    <w:p w:rsidR="00503A41" w:rsidRPr="00993936" w:rsidRDefault="00503A41" w:rsidP="001C0FFB">
      <w:pPr>
        <w:jc w:val="both"/>
        <w:rPr>
          <w:rFonts w:ascii="Arial" w:hAnsi="Arial" w:cs="Arial"/>
          <w:lang w:val="es-ES"/>
        </w:rPr>
      </w:pPr>
      <w:r w:rsidRPr="00993936">
        <w:rPr>
          <w:rFonts w:ascii="Arial" w:hAnsi="Arial" w:cs="Arial"/>
          <w:lang w:val="es-ES"/>
        </w:rPr>
        <w:t>La aplicación de fertilizantes se tendrá que revisar a posteriori por el técnico responsable de producción integrada, y su conformidad figurará en el Cuaderno de explotación.</w:t>
      </w:r>
    </w:p>
    <w:p w:rsidR="00503A41" w:rsidRPr="00993936" w:rsidRDefault="00503A41" w:rsidP="001C0FFB">
      <w:pPr>
        <w:jc w:val="both"/>
        <w:rPr>
          <w:rFonts w:ascii="Arial" w:hAnsi="Arial" w:cs="Arial"/>
          <w:lang w:val="es-ES"/>
        </w:rPr>
      </w:pPr>
      <w:r w:rsidRPr="00993936">
        <w:rPr>
          <w:rFonts w:ascii="Arial" w:hAnsi="Arial" w:cs="Arial"/>
          <w:lang w:val="es-ES"/>
        </w:rPr>
        <w:t>7.1.10 Fraccionar la fertilización nitrogenada en regadío, especialmente en zonas vulnerables, y escoger el tipo de abono</w:t>
      </w:r>
      <w:r w:rsidRPr="00993936">
        <w:rPr>
          <w:rFonts w:ascii="Arial" w:hAnsi="Arial" w:cs="Arial"/>
          <w:vanish/>
          <w:lang w:val="es-ES"/>
        </w:rPr>
        <w:t>&lt;A[abono|adobo]&gt;</w:t>
      </w:r>
      <w:r w:rsidRPr="00993936">
        <w:rPr>
          <w:rFonts w:ascii="Arial" w:hAnsi="Arial" w:cs="Arial"/>
          <w:lang w:val="es-ES"/>
        </w:rPr>
        <w:t xml:space="preserve"> más adecuado en función del manejo del agua de riego, de la pluviometría, del tipo de suelo, de la época del año y de la problemática específica de la plantación.</w:t>
      </w:r>
    </w:p>
    <w:p w:rsidR="00503A41" w:rsidRPr="00993936" w:rsidRDefault="00503A41" w:rsidP="001C0FFB">
      <w:pPr>
        <w:jc w:val="both"/>
        <w:rPr>
          <w:rFonts w:ascii="Arial" w:hAnsi="Arial" w:cs="Arial"/>
          <w:lang w:val="es-ES"/>
        </w:rPr>
      </w:pPr>
      <w:r w:rsidRPr="00993936">
        <w:rPr>
          <w:rFonts w:ascii="Arial" w:hAnsi="Arial" w:cs="Arial"/>
          <w:lang w:val="es-ES"/>
        </w:rPr>
        <w:t>7.1.11 Cuando se aporte materia orgánica en el suelo, se tendrán que conocer los contenidos medios aportados en N, P</w:t>
      </w:r>
      <w:r w:rsidRPr="00993936">
        <w:rPr>
          <w:rFonts w:ascii="Arial" w:hAnsi="Arial" w:cs="Arial"/>
          <w:vertAlign w:val="subscript"/>
          <w:lang w:val="es-ES"/>
        </w:rPr>
        <w:t>2</w:t>
      </w:r>
      <w:r w:rsidRPr="00993936">
        <w:rPr>
          <w:rFonts w:ascii="Arial" w:hAnsi="Arial" w:cs="Arial"/>
          <w:lang w:val="es-ES"/>
        </w:rPr>
        <w:t>O</w:t>
      </w:r>
      <w:r w:rsidRPr="00993936">
        <w:rPr>
          <w:rFonts w:ascii="Arial" w:hAnsi="Arial" w:cs="Arial"/>
          <w:vertAlign w:val="subscript"/>
          <w:lang w:val="es-ES"/>
        </w:rPr>
        <w:t>5,</w:t>
      </w:r>
      <w:r w:rsidRPr="00993936">
        <w:rPr>
          <w:rFonts w:ascii="Arial" w:hAnsi="Arial" w:cs="Arial"/>
          <w:lang w:val="es-ES"/>
        </w:rPr>
        <w:t xml:space="preserve"> K</w:t>
      </w:r>
      <w:r w:rsidRPr="00993936">
        <w:rPr>
          <w:rFonts w:ascii="Arial" w:hAnsi="Arial" w:cs="Arial"/>
          <w:vertAlign w:val="subscript"/>
          <w:lang w:val="es-ES"/>
        </w:rPr>
        <w:t>2</w:t>
      </w:r>
      <w:r w:rsidRPr="00993936">
        <w:rPr>
          <w:rFonts w:ascii="Arial" w:hAnsi="Arial" w:cs="Arial"/>
          <w:lang w:val="es-ES"/>
        </w:rPr>
        <w:t>O. Para el cálculo de los elementos fertilizantes aportados se utiltizaran preferentemente los resultados del análisis de  materia orgánica, o, si no hay, se podrán utilizar como valores orientativos los que figuran en el anexo 8.</w:t>
      </w:r>
    </w:p>
    <w:p w:rsidR="00503A41" w:rsidRPr="00993936" w:rsidRDefault="00503A41" w:rsidP="001C0FFB">
      <w:pPr>
        <w:jc w:val="both"/>
        <w:rPr>
          <w:rFonts w:ascii="Arial" w:hAnsi="Arial" w:cs="Arial"/>
          <w:lang w:val="es-ES"/>
        </w:rPr>
      </w:pPr>
      <w:r w:rsidRPr="00993936">
        <w:rPr>
          <w:rFonts w:ascii="Arial" w:hAnsi="Arial" w:cs="Arial"/>
          <w:lang w:val="es-ES"/>
        </w:rPr>
        <w:t>7.1.12 Cuando se aporten materias con valor fertilizando de origen urbano o industrial, hace falta disponer o bien realizar</w:t>
      </w:r>
      <w:r w:rsidRPr="00993936">
        <w:rPr>
          <w:rFonts w:ascii="Arial" w:hAnsi="Arial" w:cs="Arial"/>
          <w:i/>
          <w:lang w:val="es-ES"/>
        </w:rPr>
        <w:t xml:space="preserve"> </w:t>
      </w:r>
      <w:r w:rsidRPr="00993936">
        <w:rPr>
          <w:rFonts w:ascii="Arial" w:hAnsi="Arial" w:cs="Arial"/>
          <w:lang w:val="es-ES"/>
        </w:rPr>
        <w:t>un análisis de metales pesados con el fin de conocer que no excedan los límites legales establecidos y teniendo en cuenta el programa de actuaciones para la gestión de los lodos de depuración de aguas residuales urbanas de Cataluña. En cualquier caso, esta aportación tiene que contener la mínima cantidad de metales pesados (cadmio, cromo, cobre, plomo, cinc, níquel y mercurio), patógenos u otros productos tóxicos.</w:t>
      </w:r>
    </w:p>
    <w:p w:rsidR="00503A41" w:rsidRPr="00993936" w:rsidRDefault="00503A41" w:rsidP="001C0FFB">
      <w:pPr>
        <w:pStyle w:val="Textoindependiente"/>
        <w:rPr>
          <w:rFonts w:cs="Arial"/>
          <w:szCs w:val="22"/>
          <w:lang w:val="es-ES"/>
        </w:rPr>
      </w:pPr>
      <w:r w:rsidRPr="00993936">
        <w:rPr>
          <w:rFonts w:cs="Arial"/>
          <w:szCs w:val="22"/>
          <w:lang w:val="es-ES"/>
        </w:rPr>
        <w:t>7.1.13 Almacenar los abonos</w:t>
      </w:r>
      <w:r w:rsidRPr="00993936">
        <w:rPr>
          <w:rFonts w:cs="Arial"/>
          <w:vanish/>
          <w:szCs w:val="22"/>
          <w:lang w:val="es-ES"/>
        </w:rPr>
        <w:t>&lt;A[abonos|adobos]&gt;</w:t>
      </w:r>
      <w:r w:rsidRPr="00993936">
        <w:rPr>
          <w:rFonts w:cs="Arial"/>
          <w:szCs w:val="22"/>
          <w:lang w:val="es-ES"/>
        </w:rPr>
        <w:t xml:space="preserve"> orgánicos de manera adecuada, de forma que se reduzca el riesgo de contaminación del medio ambiente.</w:t>
      </w:r>
    </w:p>
    <w:p w:rsidR="00503A41" w:rsidRPr="00993936" w:rsidRDefault="00503A41" w:rsidP="001C0FFB">
      <w:pPr>
        <w:jc w:val="both"/>
        <w:rPr>
          <w:rFonts w:ascii="Arial" w:hAnsi="Arial" w:cs="Arial"/>
          <w:lang w:val="es-ES"/>
        </w:rPr>
      </w:pPr>
      <w:r w:rsidRPr="00993936">
        <w:rPr>
          <w:rFonts w:ascii="Arial" w:hAnsi="Arial" w:cs="Arial"/>
          <w:lang w:val="es-ES"/>
        </w:rPr>
        <w:t xml:space="preserve">7.1.14 Realizar las enmiendas necesarias siempre que el pH del suelo se aparte sustancialmente de un nivel de pH comprendido entre 6,5 y 8,9, o cuando las características físicas o químicas del suelo así lo aconsejen. En cualquier caso, las </w:t>
      </w:r>
      <w:r w:rsidRPr="00993936">
        <w:rPr>
          <w:rFonts w:ascii="Arial" w:hAnsi="Arial" w:cs="Arial"/>
          <w:lang w:val="es-ES"/>
        </w:rPr>
        <w:lastRenderedPageBreak/>
        <w:t>enmiendas tendrán que ser técnicamente justificadas de acuerdo con un análisis del suelo y con las necesidades reales de la variedad y especie cultivada.</w:t>
      </w:r>
    </w:p>
    <w:p w:rsidR="00503A41" w:rsidRPr="00993936" w:rsidRDefault="00503A41" w:rsidP="001C0FFB">
      <w:pPr>
        <w:jc w:val="both"/>
        <w:rPr>
          <w:rFonts w:ascii="Arial" w:hAnsi="Arial" w:cs="Arial"/>
          <w:lang w:val="es-ES"/>
        </w:rPr>
      </w:pPr>
      <w:r w:rsidRPr="00993936">
        <w:rPr>
          <w:rFonts w:ascii="Arial" w:hAnsi="Arial" w:cs="Arial"/>
          <w:lang w:val="es-ES"/>
        </w:rPr>
        <w:t>7.1.15 Optimizar el reparto de los fertilizantes en función de los medios disponibles.</w:t>
      </w:r>
    </w:p>
    <w:p w:rsidR="00503A41" w:rsidRPr="00993936" w:rsidRDefault="00503A41" w:rsidP="001C0FFB">
      <w:pPr>
        <w:jc w:val="both"/>
        <w:rPr>
          <w:rFonts w:ascii="Arial" w:hAnsi="Arial" w:cs="Arial"/>
          <w:lang w:val="es-ES"/>
        </w:rPr>
      </w:pPr>
      <w:r w:rsidRPr="00993936">
        <w:rPr>
          <w:rFonts w:ascii="Arial" w:hAnsi="Arial" w:cs="Arial"/>
          <w:lang w:val="es-ES"/>
        </w:rPr>
        <w:t>7.1.16 Conseguir, mediante un manejo adecuado, un nivel de pH comprendido entre 6,5 y 8,9.</w:t>
      </w: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7.2 </w:t>
      </w:r>
      <w:r w:rsidRPr="00993936">
        <w:rPr>
          <w:rFonts w:ascii="Arial" w:hAnsi="Arial" w:cs="Arial"/>
          <w:i/>
          <w:lang w:val="es-ES"/>
        </w:rPr>
        <w:t>Prohibiciones</w:t>
      </w:r>
    </w:p>
    <w:p w:rsidR="00503A41" w:rsidRPr="00993936" w:rsidRDefault="00503A41" w:rsidP="001C0FFB">
      <w:pPr>
        <w:jc w:val="both"/>
        <w:outlineLvl w:val="0"/>
        <w:rPr>
          <w:rFonts w:ascii="Arial" w:hAnsi="Arial" w:cs="Arial"/>
          <w:lang w:val="es-ES"/>
        </w:rPr>
      </w:pPr>
      <w:r w:rsidRPr="00993936">
        <w:rPr>
          <w:rFonts w:ascii="Arial" w:hAnsi="Arial" w:cs="Arial"/>
          <w:lang w:val="es-ES"/>
        </w:rPr>
        <w:t>7.2.1 Superar la cantidad máxima tolerable por</w:t>
      </w:r>
      <w:r w:rsidRPr="00993936">
        <w:rPr>
          <w:rFonts w:ascii="Arial" w:hAnsi="Arial" w:cs="Arial"/>
          <w:vanish/>
          <w:lang w:val="es-ES"/>
        </w:rPr>
        <w:t>&lt;A[por|para]&gt;</w:t>
      </w:r>
      <w:r w:rsidRPr="00993936">
        <w:rPr>
          <w:rFonts w:ascii="Arial" w:hAnsi="Arial" w:cs="Arial"/>
          <w:lang w:val="es-ES"/>
        </w:rPr>
        <w:t xml:space="preserve"> hectárea y año de nitrógeno total, fósforo y potasio, y exceder los límites nacionales e internacionales aplicables a cada territorio relativos a la contaminación por</w:t>
      </w:r>
      <w:r w:rsidRPr="00993936">
        <w:rPr>
          <w:rFonts w:ascii="Arial" w:hAnsi="Arial" w:cs="Arial"/>
          <w:vanish/>
          <w:lang w:val="es-ES"/>
        </w:rPr>
        <w:t>&lt;A[por|para]&gt;</w:t>
      </w:r>
      <w:r w:rsidRPr="00993936">
        <w:rPr>
          <w:rFonts w:ascii="Arial" w:hAnsi="Arial" w:cs="Arial"/>
          <w:lang w:val="es-ES"/>
        </w:rPr>
        <w:t xml:space="preserve"> nitratos o fosfatos del agua subterránea, así como los límites que se fijan de metales pesados en el anexo 5 de esta norma, de patógenos y de otros productos tóxicos.</w:t>
      </w:r>
    </w:p>
    <w:p w:rsidR="00503A41" w:rsidRPr="00993936" w:rsidRDefault="00503A41" w:rsidP="001C0FFB">
      <w:pPr>
        <w:pStyle w:val="Textoindependiente"/>
        <w:rPr>
          <w:rFonts w:cs="Arial"/>
          <w:szCs w:val="22"/>
          <w:lang w:val="es-ES"/>
        </w:rPr>
      </w:pPr>
      <w:r w:rsidRPr="00993936">
        <w:rPr>
          <w:rFonts w:cs="Arial"/>
          <w:szCs w:val="22"/>
          <w:lang w:val="es-ES"/>
        </w:rPr>
        <w:t>7.2.2 Almacenar los fertilizantes y los fitosanitarios sin estar separados físicamente y etiquetados correctamente.</w:t>
      </w:r>
    </w:p>
    <w:p w:rsidR="00503A41" w:rsidRPr="00993936" w:rsidRDefault="00503A41" w:rsidP="001C0FFB">
      <w:pPr>
        <w:pStyle w:val="Textoindependiente"/>
        <w:rPr>
          <w:rFonts w:cs="Arial"/>
          <w:szCs w:val="22"/>
          <w:lang w:val="es-ES"/>
        </w:rPr>
      </w:pPr>
      <w:r w:rsidRPr="00993936">
        <w:rPr>
          <w:rFonts w:cs="Arial"/>
          <w:szCs w:val="22"/>
          <w:lang w:val="es-ES"/>
        </w:rPr>
        <w:t>7.2.3 Hacer una programación de la fertilización sin tener en cuenta los resultados de los análisis de suelo, y/o hojas y agua.</w:t>
      </w:r>
    </w:p>
    <w:p w:rsidR="00503A41" w:rsidRPr="00993936" w:rsidRDefault="00503A41" w:rsidP="001C0FFB">
      <w:pPr>
        <w:jc w:val="both"/>
        <w:outlineLvl w:val="0"/>
        <w:rPr>
          <w:rFonts w:ascii="Arial" w:hAnsi="Arial" w:cs="Arial"/>
          <w:lang w:val="es-ES"/>
        </w:rPr>
      </w:pPr>
      <w:r w:rsidRPr="00993936">
        <w:rPr>
          <w:rFonts w:ascii="Arial" w:hAnsi="Arial" w:cs="Arial"/>
          <w:lang w:val="es-ES"/>
        </w:rPr>
        <w:t>7.2.4 Aplicar estiércol y purines sobre los terrenos encharcados o con nieve y a menos de 50 m de una captación de agua destinada al consumo humano.</w:t>
      </w:r>
    </w:p>
    <w:p w:rsidR="00503A41" w:rsidRPr="00993936" w:rsidRDefault="00503A41" w:rsidP="001C0FFB">
      <w:pPr>
        <w:jc w:val="both"/>
        <w:outlineLvl w:val="0"/>
        <w:rPr>
          <w:rFonts w:ascii="Arial" w:hAnsi="Arial" w:cs="Arial"/>
          <w:lang w:val="es-ES"/>
        </w:rPr>
      </w:pPr>
      <w:r w:rsidRPr="00993936">
        <w:rPr>
          <w:rFonts w:ascii="Arial" w:hAnsi="Arial" w:cs="Arial"/>
          <w:lang w:val="es-ES"/>
        </w:rPr>
        <w:t>7.2.5 Utilizar, sin haber realizado tratamiento previo reconocido por la dirección general competente en materia de agricultura, tanto lodo que proceda de depuradora como</w:t>
      </w:r>
      <w:r w:rsidRPr="00993936">
        <w:rPr>
          <w:rFonts w:ascii="Arial" w:hAnsi="Arial" w:cs="Arial"/>
          <w:vanish/>
          <w:lang w:val="es-ES"/>
        </w:rPr>
        <w:t>&lt;A[como|cómo]&gt;</w:t>
      </w:r>
      <w:r w:rsidRPr="00993936">
        <w:rPr>
          <w:rFonts w:ascii="Arial" w:hAnsi="Arial" w:cs="Arial"/>
          <w:lang w:val="es-ES"/>
        </w:rPr>
        <w:t xml:space="preserve"> residuos sólidos urbanos.</w:t>
      </w:r>
    </w:p>
    <w:p w:rsidR="00503A41" w:rsidRPr="00993936" w:rsidRDefault="00503A41" w:rsidP="001C0FFB">
      <w:pPr>
        <w:jc w:val="both"/>
        <w:outlineLvl w:val="0"/>
        <w:rPr>
          <w:rFonts w:ascii="Arial" w:hAnsi="Arial" w:cs="Arial"/>
          <w:lang w:val="es-ES"/>
        </w:rPr>
      </w:pPr>
      <w:r w:rsidRPr="00993936">
        <w:rPr>
          <w:rFonts w:ascii="Arial" w:hAnsi="Arial" w:cs="Arial"/>
          <w:lang w:val="es-ES"/>
        </w:rPr>
        <w:t>7.2.6 Utilizar purines y estiércol directamente sobre olivos ya establecidas y en que estos productos entren en contacto directo con los órganos comestibles.</w:t>
      </w:r>
    </w:p>
    <w:p w:rsidR="00503A41" w:rsidRPr="00993936" w:rsidRDefault="00503A41" w:rsidP="001C0FFB">
      <w:pPr>
        <w:jc w:val="both"/>
        <w:outlineLvl w:val="0"/>
        <w:rPr>
          <w:rFonts w:ascii="Arial" w:hAnsi="Arial" w:cs="Arial"/>
          <w:lang w:val="es-ES"/>
        </w:rPr>
      </w:pPr>
      <w:r w:rsidRPr="00993936">
        <w:rPr>
          <w:rFonts w:ascii="Arial" w:hAnsi="Arial" w:cs="Arial"/>
          <w:lang w:val="es-ES"/>
        </w:rPr>
        <w:t>7.2.7  Aplicar abono</w:t>
      </w:r>
      <w:r w:rsidRPr="00993936">
        <w:rPr>
          <w:rFonts w:ascii="Arial" w:hAnsi="Arial" w:cs="Arial"/>
          <w:vanish/>
          <w:lang w:val="es-ES"/>
        </w:rPr>
        <w:t>&lt;A[abono|adobo]&gt;</w:t>
      </w:r>
      <w:r w:rsidRPr="00993936">
        <w:rPr>
          <w:rFonts w:ascii="Arial" w:hAnsi="Arial" w:cs="Arial"/>
          <w:lang w:val="es-ES"/>
        </w:rPr>
        <w:t xml:space="preserve"> nitrogenado en el periodo diciembre-enero.</w:t>
      </w:r>
    </w:p>
    <w:p w:rsidR="00503A41" w:rsidRPr="00993936" w:rsidRDefault="00503A41" w:rsidP="001C0FFB">
      <w:pPr>
        <w:pStyle w:val="Textoindependiente"/>
        <w:outlineLvl w:val="0"/>
        <w:rPr>
          <w:rFonts w:cs="Arial"/>
          <w:i/>
          <w:szCs w:val="22"/>
          <w:lang w:val="es-ES"/>
        </w:rPr>
      </w:pPr>
      <w:r w:rsidRPr="00993936">
        <w:rPr>
          <w:rFonts w:cs="Arial"/>
          <w:szCs w:val="22"/>
          <w:lang w:val="es-ES"/>
        </w:rPr>
        <w:t xml:space="preserve">7.3 </w:t>
      </w:r>
      <w:r w:rsidRPr="00993936">
        <w:rPr>
          <w:rFonts w:cs="Arial"/>
          <w:i/>
          <w:szCs w:val="22"/>
          <w:lang w:val="es-ES"/>
        </w:rPr>
        <w:t>Recomendaciones</w:t>
      </w:r>
    </w:p>
    <w:p w:rsidR="00503A41" w:rsidRPr="00993936" w:rsidRDefault="00503A41" w:rsidP="001C0FFB">
      <w:pPr>
        <w:jc w:val="both"/>
        <w:rPr>
          <w:rFonts w:ascii="Arial" w:hAnsi="Arial" w:cs="Arial"/>
          <w:u w:val="single"/>
          <w:lang w:val="es-ES"/>
        </w:rPr>
      </w:pPr>
      <w:r w:rsidRPr="00993936">
        <w:rPr>
          <w:rFonts w:ascii="Arial" w:hAnsi="Arial" w:cs="Arial"/>
          <w:lang w:val="es-ES"/>
        </w:rPr>
        <w:t>7.3.1 Realizar la fertirrigación de manera que se minimice el lavado de nutrientes, evitando la salinización del suelo.</w:t>
      </w:r>
    </w:p>
    <w:p w:rsidR="00503A41" w:rsidRPr="00993936" w:rsidRDefault="00503A41" w:rsidP="001C0FFB">
      <w:pPr>
        <w:pStyle w:val="Textoindependiente3"/>
        <w:rPr>
          <w:rFonts w:cs="Arial"/>
          <w:b w:val="0"/>
          <w:szCs w:val="22"/>
          <w:lang w:val="es-ES"/>
        </w:rPr>
      </w:pPr>
      <w:r w:rsidRPr="00993936">
        <w:rPr>
          <w:rFonts w:cs="Arial"/>
          <w:b w:val="0"/>
          <w:szCs w:val="22"/>
          <w:lang w:val="es-ES"/>
        </w:rPr>
        <w:t>7.3.2 En caso de carencias o de desequilibrios, se realizará un seguimiento analítico del cultivo (hojas o frutos) para comprobar que el programa de fertilización adoptado es el adecuado, y se harán las correcciones necesarias en este programa. Para la interpretación de estos análisis, se tendrán en cuenta los valores que figuran en el anexo 7 de esta norma.</w:t>
      </w:r>
    </w:p>
    <w:p w:rsidR="00503A41" w:rsidRPr="00993936" w:rsidRDefault="00503A41" w:rsidP="001C0FFB">
      <w:pPr>
        <w:jc w:val="both"/>
        <w:rPr>
          <w:rFonts w:ascii="Arial" w:hAnsi="Arial" w:cs="Arial"/>
          <w:lang w:val="es-ES"/>
        </w:rPr>
      </w:pPr>
      <w:r w:rsidRPr="00993936">
        <w:rPr>
          <w:rFonts w:ascii="Arial" w:hAnsi="Arial" w:cs="Arial"/>
          <w:lang w:val="es-ES"/>
        </w:rPr>
        <w:t xml:space="preserve">7.3.3 Las aportaciones al suelo de quelatos u otras formulaciones de micronutrientes se limitarán a las situaciones en que los análisis o la experiencia contrastada demuestren que son imprescindibles para una adecuada producción. </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8</w:t>
      </w:r>
    </w:p>
    <w:p w:rsidR="00503A41" w:rsidRPr="00993936" w:rsidRDefault="00503A41" w:rsidP="001C0FFB">
      <w:pPr>
        <w:jc w:val="both"/>
        <w:rPr>
          <w:rFonts w:ascii="Arial" w:hAnsi="Arial" w:cs="Arial"/>
          <w:lang w:val="es-ES"/>
        </w:rPr>
      </w:pPr>
      <w:r w:rsidRPr="00993936">
        <w:rPr>
          <w:rFonts w:ascii="Arial" w:hAnsi="Arial" w:cs="Arial"/>
          <w:b/>
          <w:lang w:val="es-ES"/>
        </w:rPr>
        <w:t>Control de malas hierbas</w:t>
      </w:r>
      <w:r w:rsidRPr="00993936">
        <w:rPr>
          <w:rFonts w:ascii="Arial" w:hAnsi="Arial" w:cs="Arial"/>
          <w:lang w:val="es-ES"/>
        </w:rPr>
        <w:t xml:space="preserve"> </w:t>
      </w:r>
    </w:p>
    <w:p w:rsidR="00503A41" w:rsidRPr="00993936" w:rsidRDefault="00503A41" w:rsidP="001C0FFB">
      <w:pPr>
        <w:jc w:val="both"/>
        <w:rPr>
          <w:rFonts w:ascii="Arial" w:hAnsi="Arial" w:cs="Arial"/>
          <w:lang w:val="es-ES"/>
        </w:rPr>
      </w:pPr>
      <w:r w:rsidRPr="00993936">
        <w:rPr>
          <w:rFonts w:ascii="Arial" w:hAnsi="Arial" w:cs="Arial"/>
          <w:lang w:val="es-ES"/>
        </w:rPr>
        <w:t xml:space="preserve">8.1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8.1.1 Mantener una cubierta vegetal del suelo, preferentemente a base de flora espontánea o bien siembra, con el fin de mejorar la fertilidad del suelo, reducir las pérdidas de nutrientes y disminuir el riesgo de erosión. El manejo de esta cubierta se hará preferentemente mediante la siega.</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8.1.2 El control de las malas hierbas se realizará de manera prioritaria mediante técnicas culturales, la siega, el laboreo o bien otros métodos no químicos.</w:t>
      </w:r>
    </w:p>
    <w:p w:rsidR="00503A41" w:rsidRPr="00993936" w:rsidRDefault="00503A41" w:rsidP="001C0FFB">
      <w:pPr>
        <w:jc w:val="both"/>
        <w:rPr>
          <w:rFonts w:ascii="Arial" w:hAnsi="Arial" w:cs="Arial"/>
          <w:lang w:val="es-ES"/>
        </w:rPr>
      </w:pPr>
      <w:r w:rsidRPr="00993936">
        <w:rPr>
          <w:rFonts w:ascii="Arial" w:hAnsi="Arial" w:cs="Arial"/>
          <w:lang w:val="es-ES"/>
        </w:rPr>
        <w:t>8.1.3 En el cultivo del olivo, cuando el mantenimiento de la cubierta vegetal dificulte las tareas de recogida, o bien produzca una competencia importante para el agua disponible, especialmente en los periodos de sequía en cultivos de secano, se podrá justificar el control más restrictivo o bien su eliminación temporal, mediante los métodos señalados en el punto anterior.</w:t>
      </w:r>
    </w:p>
    <w:p w:rsidR="00503A41" w:rsidRPr="00993936" w:rsidRDefault="00503A41" w:rsidP="001C0FFB">
      <w:pPr>
        <w:jc w:val="both"/>
        <w:rPr>
          <w:rFonts w:ascii="Arial" w:hAnsi="Arial" w:cs="Arial"/>
          <w:lang w:val="es-ES"/>
        </w:rPr>
      </w:pPr>
      <w:r w:rsidRPr="00993936">
        <w:rPr>
          <w:rFonts w:ascii="Arial" w:hAnsi="Arial" w:cs="Arial"/>
          <w:lang w:val="es-ES"/>
        </w:rPr>
        <w:t>Estos periodos sin cubierta vegetal se podrán justificar:</w:t>
      </w:r>
    </w:p>
    <w:p w:rsidR="00503A41" w:rsidRPr="00993936" w:rsidRDefault="00503A41" w:rsidP="009D1A2D">
      <w:pPr>
        <w:numPr>
          <w:ilvl w:val="0"/>
          <w:numId w:val="109"/>
        </w:numPr>
        <w:spacing w:after="0" w:line="240" w:lineRule="auto"/>
        <w:jc w:val="both"/>
        <w:rPr>
          <w:rFonts w:ascii="Arial" w:hAnsi="Arial" w:cs="Arial"/>
          <w:lang w:val="es-ES"/>
        </w:rPr>
      </w:pPr>
      <w:r w:rsidRPr="00993936">
        <w:rPr>
          <w:rFonts w:ascii="Arial" w:hAnsi="Arial" w:cs="Arial"/>
          <w:lang w:val="es-ES"/>
        </w:rPr>
        <w:t>En las comarcas del Baix Ebre y el Montsià: de octubre a enero.</w:t>
      </w:r>
    </w:p>
    <w:p w:rsidR="00503A41" w:rsidRPr="00993936" w:rsidRDefault="00503A41" w:rsidP="009D1A2D">
      <w:pPr>
        <w:numPr>
          <w:ilvl w:val="0"/>
          <w:numId w:val="109"/>
        </w:numPr>
        <w:spacing w:after="0" w:line="240" w:lineRule="auto"/>
        <w:jc w:val="both"/>
        <w:rPr>
          <w:rFonts w:ascii="Arial" w:hAnsi="Arial" w:cs="Arial"/>
          <w:lang w:val="es-ES"/>
        </w:rPr>
      </w:pPr>
      <w:r w:rsidRPr="00993936">
        <w:rPr>
          <w:rFonts w:ascii="Arial" w:hAnsi="Arial" w:cs="Arial"/>
          <w:lang w:val="es-ES"/>
        </w:rPr>
        <w:t>En el resto de comarcas: de febrero a septiembre.</w:t>
      </w:r>
    </w:p>
    <w:p w:rsidR="00503A41" w:rsidRPr="00993936" w:rsidRDefault="00503A41" w:rsidP="001C0FFB">
      <w:pPr>
        <w:jc w:val="both"/>
        <w:rPr>
          <w:rFonts w:ascii="Arial" w:hAnsi="Arial" w:cs="Arial"/>
          <w:lang w:val="es-ES"/>
        </w:rPr>
      </w:pPr>
      <w:r w:rsidRPr="00993936">
        <w:rPr>
          <w:rFonts w:ascii="Arial" w:hAnsi="Arial" w:cs="Arial"/>
          <w:lang w:val="es-ES"/>
        </w:rPr>
        <w:t>8.1.4 Cuando los medios señalados anteriormente no permitan un control adecuado de las malas hierbas, se podrá justificar la aplicación de alguno de los herbicidas que figuran en el anexo 1 de esta Norma.</w:t>
      </w:r>
    </w:p>
    <w:p w:rsidR="00503A41" w:rsidRPr="00993936" w:rsidRDefault="00503A41" w:rsidP="001C0FFB">
      <w:pPr>
        <w:jc w:val="both"/>
        <w:rPr>
          <w:rFonts w:ascii="Arial" w:hAnsi="Arial" w:cs="Arial"/>
          <w:lang w:val="es-ES"/>
        </w:rPr>
      </w:pPr>
      <w:r w:rsidRPr="00993936">
        <w:rPr>
          <w:rFonts w:ascii="Arial" w:hAnsi="Arial" w:cs="Arial"/>
          <w:lang w:val="es-ES"/>
        </w:rPr>
        <w:t>8.1.5 En caso de utilización de herbicidas, su aplicación se limitará a la línea de plantación y que afecte como máximo un determinado porcentaje de la superficie total de las entrehileras. En plantaciones de menos de 5 años, este porcentaje no podrá superar el 30%. En plantaciones de más edad, este porcentaje será como máximo del 50%.</w:t>
      </w:r>
    </w:p>
    <w:p w:rsidR="00503A41" w:rsidRPr="00993936" w:rsidRDefault="00503A41" w:rsidP="001C0FFB">
      <w:pPr>
        <w:jc w:val="both"/>
        <w:rPr>
          <w:rFonts w:ascii="Arial" w:hAnsi="Arial" w:cs="Arial"/>
          <w:lang w:val="es-ES"/>
        </w:rPr>
      </w:pPr>
      <w:r w:rsidRPr="00993936">
        <w:rPr>
          <w:rFonts w:ascii="Arial" w:hAnsi="Arial" w:cs="Arial"/>
          <w:lang w:val="es-ES"/>
        </w:rPr>
        <w:t>Excepcionalmente, en las zonas muy ventosas del Baix Ebre y Montsià, donde se produce la caída de olivas al suelo, este porcentaje podrá llegar o superar la zona de goteo del árbol.</w:t>
      </w:r>
    </w:p>
    <w:p w:rsidR="00503A41" w:rsidRPr="00993936" w:rsidRDefault="00503A41" w:rsidP="001C0FFB">
      <w:pPr>
        <w:jc w:val="both"/>
        <w:rPr>
          <w:rFonts w:ascii="Arial" w:hAnsi="Arial" w:cs="Arial"/>
          <w:lang w:val="es-ES"/>
        </w:rPr>
      </w:pPr>
      <w:r w:rsidRPr="00993936">
        <w:rPr>
          <w:rFonts w:ascii="Arial" w:hAnsi="Arial" w:cs="Arial"/>
          <w:lang w:val="es-ES"/>
        </w:rPr>
        <w:t>De manera excepcional, se permite mantener limpia</w:t>
      </w:r>
      <w:r w:rsidRPr="00993936">
        <w:rPr>
          <w:rFonts w:ascii="Arial" w:hAnsi="Arial" w:cs="Arial"/>
          <w:vanish/>
          <w:lang w:val="es-ES"/>
        </w:rPr>
        <w:t>&lt;A[limpia|neta]&gt;</w:t>
      </w:r>
      <w:r w:rsidRPr="00993936">
        <w:rPr>
          <w:rFonts w:ascii="Arial" w:hAnsi="Arial" w:cs="Arial"/>
          <w:lang w:val="es-ES"/>
        </w:rPr>
        <w:t xml:space="preserve"> de hierbas la superficie de los cordones comprendida entre las filas de árboles, mediante la aplicación de herbicidas, que tienen por objeto evitar la erosión y mejorar el aprovechamiento del agua.</w:t>
      </w:r>
    </w:p>
    <w:p w:rsidR="00503A41" w:rsidRPr="00993936" w:rsidRDefault="00503A41" w:rsidP="001C0FFB">
      <w:pPr>
        <w:jc w:val="both"/>
        <w:rPr>
          <w:rFonts w:ascii="Arial" w:hAnsi="Arial" w:cs="Arial"/>
          <w:lang w:val="es-ES"/>
        </w:rPr>
      </w:pPr>
      <w:r w:rsidRPr="00993936">
        <w:rPr>
          <w:rFonts w:ascii="Arial" w:hAnsi="Arial" w:cs="Arial"/>
          <w:lang w:val="es-ES"/>
        </w:rPr>
        <w:t>8.1.6. Controlar las malas hierbas, siempre que sea posible, con medios mecánicos, biológicos o aquellos que ofrezcan el menor riesgo de emisiones de CO</w:t>
      </w:r>
      <w:r w:rsidRPr="00993936">
        <w:rPr>
          <w:rFonts w:ascii="Arial" w:hAnsi="Arial" w:cs="Arial"/>
          <w:vertAlign w:val="subscript"/>
          <w:lang w:val="es-ES"/>
        </w:rPr>
        <w:t>2</w:t>
      </w:r>
      <w:r w:rsidRPr="00993936">
        <w:rPr>
          <w:rFonts w:ascii="Arial" w:hAnsi="Arial" w:cs="Arial"/>
          <w:lang w:val="es-ES"/>
        </w:rPr>
        <w:t>. Cuando los medios señalados anteriormente no permitan un control adecuado de las malas hierbas, se podrá justificar la aplicación de alguno de los herbicidas que figuran en el anexo 1 de esta norma.</w:t>
      </w:r>
    </w:p>
    <w:p w:rsidR="00503A41" w:rsidRPr="00993936" w:rsidRDefault="00503A41" w:rsidP="001C0FFB">
      <w:pPr>
        <w:jc w:val="both"/>
        <w:rPr>
          <w:rFonts w:ascii="Arial" w:hAnsi="Arial" w:cs="Arial"/>
          <w:lang w:val="es-ES"/>
        </w:rPr>
      </w:pPr>
      <w:r w:rsidRPr="00993936">
        <w:rPr>
          <w:rFonts w:ascii="Arial" w:hAnsi="Arial" w:cs="Arial"/>
          <w:lang w:val="es-ES"/>
        </w:rPr>
        <w:t>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malas hierbas que, por no ser habituales, o no se haya definido el umbral y/o criterio mínimo de intervención, se podrá actuar en contra con cualquier otro herbicida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Esta excepción también será de aplicación para</w:t>
      </w:r>
      <w:r w:rsidRPr="00993936">
        <w:rPr>
          <w:rFonts w:ascii="Arial" w:hAnsi="Arial" w:cs="Arial"/>
          <w:vanish/>
          <w:lang w:val="es-ES"/>
        </w:rPr>
        <w:t>&lt;A[por|para]&gt;</w:t>
      </w:r>
      <w:r w:rsidRPr="00993936">
        <w:rPr>
          <w:rFonts w:ascii="Arial" w:hAnsi="Arial" w:cs="Arial"/>
          <w:lang w:val="es-ES"/>
        </w:rPr>
        <w:t xml:space="preserve"> aquellos herbicidas que aparezcan al Registro, para combatir determinadas malas hierbas y que no estén contempladas por</w:t>
      </w:r>
      <w:r w:rsidRPr="00993936">
        <w:rPr>
          <w:rFonts w:ascii="Arial" w:hAnsi="Arial" w:cs="Arial"/>
          <w:vanish/>
          <w:lang w:val="es-ES"/>
        </w:rPr>
        <w:t>&lt;A[por|para]&gt;</w:t>
      </w:r>
      <w:r w:rsidRPr="00993936">
        <w:rPr>
          <w:rFonts w:ascii="Arial" w:hAnsi="Arial" w:cs="Arial"/>
          <w:lang w:val="es-ES"/>
        </w:rPr>
        <w:t xml:space="preserve"> su novedad en el anexo de herbicidas de esta norma.</w:t>
      </w:r>
    </w:p>
    <w:p w:rsidR="00503A41" w:rsidRPr="00993936" w:rsidRDefault="00503A41" w:rsidP="001C0FFB">
      <w:pPr>
        <w:jc w:val="both"/>
        <w:rPr>
          <w:rFonts w:ascii="Arial" w:hAnsi="Arial" w:cs="Arial"/>
          <w:lang w:val="es-ES"/>
        </w:rPr>
      </w:pPr>
      <w:r w:rsidRPr="00993936">
        <w:rPr>
          <w:rFonts w:ascii="Arial" w:hAnsi="Arial" w:cs="Arial"/>
          <w:lang w:val="es-ES"/>
        </w:rPr>
        <w:t>En caso de que sea necesaria la aplicación de herbicidas, se efectuará mediante las técnicas recomendadas en la etiqueta del producto.</w:t>
      </w:r>
    </w:p>
    <w:p w:rsidR="00503A41" w:rsidRPr="00993936" w:rsidRDefault="00503A41" w:rsidP="001C0FFB">
      <w:pPr>
        <w:pStyle w:val="Textoindependiente"/>
        <w:rPr>
          <w:rFonts w:cs="Arial"/>
          <w:szCs w:val="22"/>
          <w:lang w:val="es-ES"/>
        </w:rPr>
      </w:pPr>
      <w:r w:rsidRPr="00993936">
        <w:rPr>
          <w:rFonts w:cs="Arial"/>
          <w:szCs w:val="22"/>
          <w:lang w:val="es-ES"/>
        </w:rPr>
        <w:t xml:space="preserve">8.1.7 Las materias activas a utilizar serán seleccionadas de acuerdo con los criterios de menor peligrosidad para los humanos, la fauna silvestre y el medio ambiente, y que proporcionen un control efectivo de la mala hierba. En cualquier caso, sólo se podrán utilizar los herbicidas inscritos en el Registro Oficial de Productos y de Material </w:t>
      </w:r>
      <w:r w:rsidRPr="00993936">
        <w:rPr>
          <w:rFonts w:cs="Arial"/>
          <w:szCs w:val="22"/>
          <w:lang w:val="es-ES"/>
        </w:rPr>
        <w:lastRenderedPageBreak/>
        <w:t xml:space="preserve">Fitosanitario del Ministerio </w:t>
      </w:r>
      <w:r w:rsidRPr="00993936">
        <w:rPr>
          <w:rFonts w:cs="Arial"/>
          <w:lang w:val="es-ES"/>
        </w:rPr>
        <w:t>de Agricultura, Pesca, Alimentación y Medio Ambiente, (MAPAMA)</w:t>
      </w:r>
      <w:r w:rsidRPr="00993936">
        <w:rPr>
          <w:rFonts w:cs="Arial"/>
          <w:szCs w:val="22"/>
          <w:lang w:val="es-ES"/>
        </w:rPr>
        <w:t xml:space="preserve"> y aprobados expresamente para los cultivos autorizados que figuran en el anexo 1.</w:t>
      </w:r>
    </w:p>
    <w:p w:rsidR="00503A41" w:rsidRPr="00993936" w:rsidRDefault="00503A41" w:rsidP="001C0FFB">
      <w:pPr>
        <w:pStyle w:val="Textoindependiente"/>
        <w:rPr>
          <w:rFonts w:cs="Arial"/>
          <w:i/>
          <w:szCs w:val="22"/>
          <w:lang w:val="es-ES"/>
        </w:rPr>
      </w:pPr>
      <w:r w:rsidRPr="00993936">
        <w:rPr>
          <w:rFonts w:cs="Arial"/>
          <w:szCs w:val="22"/>
          <w:lang w:val="es-ES"/>
        </w:rPr>
        <w:t>8.1.8 La maquinaria utilizada para aplicar los productos herbicidas se tiene que mantener en un adecuado estado de funcionamiento y someterse, periódicamente, a los controles e inspecciones que establece el artículo 16 de esta norma.</w:t>
      </w:r>
    </w:p>
    <w:p w:rsidR="00503A41" w:rsidRPr="00993936" w:rsidRDefault="00503A41" w:rsidP="001C0FFB">
      <w:pPr>
        <w:pStyle w:val="Textoindependiente"/>
        <w:rPr>
          <w:rFonts w:cs="Arial"/>
          <w:szCs w:val="22"/>
          <w:lang w:val="es-ES"/>
        </w:rPr>
      </w:pPr>
      <w:r w:rsidRPr="00993936">
        <w:rPr>
          <w:rFonts w:cs="Arial"/>
          <w:szCs w:val="22"/>
          <w:lang w:val="es-ES"/>
        </w:rPr>
        <w:t>Los volúmenes máximos de caldo en los tratamientos herbicidas se ajustarán a los parámetros precisos, teniendo en cuenta el estado de desarrollo del cultivo para obtener la máxima eficacia con la menor dosifique.</w:t>
      </w:r>
    </w:p>
    <w:p w:rsidR="00503A41" w:rsidRPr="00993936" w:rsidRDefault="00503A41" w:rsidP="001C0FFB">
      <w:pPr>
        <w:jc w:val="both"/>
        <w:rPr>
          <w:rFonts w:ascii="Arial" w:hAnsi="Arial" w:cs="Arial"/>
          <w:lang w:val="es-ES"/>
        </w:rPr>
      </w:pPr>
      <w:r w:rsidRPr="00993936">
        <w:rPr>
          <w:rFonts w:ascii="Arial" w:hAnsi="Arial" w:cs="Arial"/>
          <w:lang w:val="es-ES"/>
        </w:rPr>
        <w:t>8.1.9 Adoptar las medidas precisas para evitar que la deriva de las aplicaciones llegue a parcelas y/o UHC diferentes a las que se pretenden tratar.</w:t>
      </w:r>
    </w:p>
    <w:p w:rsidR="00503A41" w:rsidRPr="00993936" w:rsidRDefault="00503A41" w:rsidP="001C0FFB">
      <w:pPr>
        <w:jc w:val="both"/>
        <w:rPr>
          <w:rFonts w:ascii="Arial" w:hAnsi="Arial" w:cs="Arial"/>
          <w:lang w:val="es-ES"/>
        </w:rPr>
      </w:pPr>
      <w:r w:rsidRPr="00993936">
        <w:rPr>
          <w:rFonts w:ascii="Arial" w:hAnsi="Arial" w:cs="Arial"/>
          <w:lang w:val="es-ES"/>
        </w:rPr>
        <w:t xml:space="preserve">8.2  </w:t>
      </w:r>
      <w:r w:rsidRPr="00993936">
        <w:rPr>
          <w:rFonts w:ascii="Arial" w:hAnsi="Arial" w:cs="Arial"/>
          <w:i/>
          <w:lang w:val="es-ES"/>
        </w:rPr>
        <w:t>Prohibiciones</w:t>
      </w:r>
    </w:p>
    <w:p w:rsidR="00503A41" w:rsidRPr="00993936" w:rsidRDefault="00503A41" w:rsidP="001C0FFB">
      <w:pPr>
        <w:jc w:val="both"/>
        <w:rPr>
          <w:rFonts w:ascii="Arial" w:hAnsi="Arial" w:cs="Arial"/>
          <w:lang w:val="es-ES"/>
        </w:rPr>
      </w:pPr>
      <w:r w:rsidRPr="00993936">
        <w:rPr>
          <w:rFonts w:ascii="Arial" w:hAnsi="Arial" w:cs="Arial"/>
          <w:lang w:val="es-ES"/>
        </w:rPr>
        <w:t>8.2.1 La aplicación de herbicidas en el 100% de la superficie del suelo (no cultivo).</w:t>
      </w:r>
    </w:p>
    <w:p w:rsidR="00503A41" w:rsidRPr="00993936" w:rsidRDefault="00503A41" w:rsidP="001C0FFB">
      <w:pPr>
        <w:jc w:val="both"/>
        <w:rPr>
          <w:rFonts w:ascii="Arial" w:hAnsi="Arial" w:cs="Arial"/>
          <w:lang w:val="es-ES"/>
        </w:rPr>
      </w:pPr>
      <w:r w:rsidRPr="00993936">
        <w:rPr>
          <w:rFonts w:ascii="Arial" w:hAnsi="Arial" w:cs="Arial"/>
          <w:lang w:val="es-ES"/>
        </w:rPr>
        <w:t>8.2.2 La utilización de herbicidas residuales en los suelos arenosos.</w:t>
      </w:r>
    </w:p>
    <w:p w:rsidR="00503A41" w:rsidRPr="00993936" w:rsidRDefault="00503A41" w:rsidP="001C0FFB">
      <w:pPr>
        <w:pStyle w:val="Textoindependiente"/>
        <w:rPr>
          <w:rFonts w:cs="Arial"/>
          <w:szCs w:val="22"/>
          <w:lang w:val="es-ES"/>
        </w:rPr>
      </w:pPr>
      <w:r w:rsidRPr="00993936">
        <w:rPr>
          <w:rFonts w:cs="Arial"/>
          <w:szCs w:val="22"/>
          <w:lang w:val="es-ES"/>
        </w:rPr>
        <w:t>8.2.3 En las comarcas del Baix Ebre y el Montsià, realizar la aplicación de herbicidas durante el periodo de noviembre hasta finalizar la cosecha.</w:t>
      </w:r>
    </w:p>
    <w:p w:rsidR="00503A41" w:rsidRPr="00993936" w:rsidRDefault="00503A41" w:rsidP="001C0FFB">
      <w:pPr>
        <w:jc w:val="both"/>
        <w:rPr>
          <w:rFonts w:ascii="Arial" w:hAnsi="Arial" w:cs="Arial"/>
          <w:lang w:val="es-ES"/>
        </w:rPr>
      </w:pPr>
      <w:r w:rsidRPr="00993936">
        <w:rPr>
          <w:rFonts w:ascii="Arial" w:hAnsi="Arial" w:cs="Arial"/>
          <w:lang w:val="es-ES"/>
        </w:rPr>
        <w:t xml:space="preserve">8.2.4 Utilizar herbicidas a menos de 5 metros de las aguas superficiales. </w:t>
      </w:r>
    </w:p>
    <w:p w:rsidR="00503A41" w:rsidRPr="00993936" w:rsidRDefault="00503A41" w:rsidP="001C0FFB">
      <w:pPr>
        <w:jc w:val="both"/>
        <w:rPr>
          <w:rFonts w:ascii="Arial" w:hAnsi="Arial" w:cs="Arial"/>
          <w:lang w:val="es-ES"/>
        </w:rPr>
      </w:pPr>
      <w:r w:rsidRPr="00993936">
        <w:rPr>
          <w:rFonts w:ascii="Arial" w:hAnsi="Arial" w:cs="Arial"/>
          <w:lang w:val="es-ES"/>
        </w:rPr>
        <w:t>8.2.5 Utilizar cualquier herbicida que, a pesar de figurar en el anexo 1 de esta norma se haya dado de baja del Registro Oficial de Productos y de Material Fitosanitario del Ministerio de Agricultura, Pesca, Alimentación y Medio Ambiente (MAPAMA) con posterioridad a la publicación de la disposición que lo aprueba.</w:t>
      </w:r>
    </w:p>
    <w:p w:rsidR="00503A41" w:rsidRPr="00993936" w:rsidRDefault="00503A41" w:rsidP="001C0FFB">
      <w:pPr>
        <w:jc w:val="both"/>
        <w:rPr>
          <w:rFonts w:ascii="Arial" w:hAnsi="Arial" w:cs="Arial"/>
          <w:lang w:val="es-ES"/>
        </w:rPr>
      </w:pPr>
      <w:r w:rsidRPr="00993936">
        <w:rPr>
          <w:rFonts w:ascii="Arial" w:hAnsi="Arial" w:cs="Arial"/>
          <w:lang w:val="es-ES"/>
        </w:rPr>
        <w:t xml:space="preserve">8.3  </w:t>
      </w:r>
      <w:r w:rsidRPr="00993936">
        <w:rPr>
          <w:rFonts w:ascii="Arial" w:hAnsi="Arial" w:cs="Arial"/>
          <w:i/>
          <w:lang w:val="es-ES"/>
        </w:rPr>
        <w:t>Recomendaciones</w:t>
      </w:r>
    </w:p>
    <w:p w:rsidR="00503A41" w:rsidRPr="00993936" w:rsidRDefault="00503A41" w:rsidP="001C0FFB">
      <w:pPr>
        <w:pStyle w:val="Textoindependiente"/>
        <w:rPr>
          <w:rFonts w:cs="Arial"/>
          <w:szCs w:val="22"/>
          <w:lang w:val="es-ES"/>
        </w:rPr>
      </w:pPr>
      <w:r w:rsidRPr="00993936">
        <w:rPr>
          <w:rFonts w:cs="Arial"/>
          <w:szCs w:val="22"/>
          <w:lang w:val="es-ES"/>
        </w:rPr>
        <w:t>8.3.1.- La lucha contra las malas hierbas de tipo perenne se tiene que hacer dirigida a los rodales donde se presenten.</w:t>
      </w:r>
    </w:p>
    <w:p w:rsidR="00503A41" w:rsidRPr="00993936" w:rsidRDefault="00503A41" w:rsidP="001C0FFB">
      <w:pPr>
        <w:jc w:val="both"/>
        <w:rPr>
          <w:rFonts w:ascii="Arial" w:hAnsi="Arial" w:cs="Arial"/>
          <w:lang w:val="es-ES"/>
        </w:rPr>
      </w:pPr>
      <w:r w:rsidRPr="00993936">
        <w:rPr>
          <w:rFonts w:ascii="Arial" w:hAnsi="Arial" w:cs="Arial"/>
          <w:lang w:val="es-ES"/>
        </w:rPr>
        <w:t>8.3.2 Controlar las malas hierbas utilizando técnicas de control integrado.</w:t>
      </w:r>
    </w:p>
    <w:p w:rsidR="00503A41" w:rsidRPr="00993936" w:rsidRDefault="00503A41" w:rsidP="001C0FFB">
      <w:pPr>
        <w:jc w:val="both"/>
        <w:outlineLvl w:val="0"/>
        <w:rPr>
          <w:rFonts w:ascii="Arial" w:hAnsi="Arial" w:cs="Arial"/>
          <w:lang w:val="es-ES"/>
        </w:rPr>
      </w:pPr>
    </w:p>
    <w:p w:rsidR="00503A41" w:rsidRPr="00993936" w:rsidRDefault="00503A41" w:rsidP="001C0FFB">
      <w:pPr>
        <w:jc w:val="both"/>
        <w:outlineLvl w:val="0"/>
        <w:rPr>
          <w:rFonts w:ascii="Arial" w:hAnsi="Arial" w:cs="Arial"/>
          <w:lang w:val="es-ES"/>
        </w:rPr>
      </w:pPr>
      <w:r w:rsidRPr="00993936">
        <w:rPr>
          <w:rFonts w:ascii="Arial" w:hAnsi="Arial" w:cs="Arial"/>
          <w:lang w:val="es-ES"/>
        </w:rPr>
        <w:t>Artículo 9</w:t>
      </w:r>
    </w:p>
    <w:p w:rsidR="00503A41" w:rsidRPr="00993936" w:rsidRDefault="00503A41" w:rsidP="001C0FFB">
      <w:pPr>
        <w:pStyle w:val="Ttulo2"/>
        <w:rPr>
          <w:rFonts w:ascii="Arial" w:hAnsi="Arial" w:cs="Arial"/>
          <w:b/>
          <w:color w:val="auto"/>
          <w:sz w:val="22"/>
          <w:szCs w:val="22"/>
          <w:lang w:val="es-ES"/>
        </w:rPr>
      </w:pPr>
      <w:r w:rsidRPr="00993936">
        <w:rPr>
          <w:rFonts w:ascii="Arial" w:hAnsi="Arial" w:cs="Arial"/>
          <w:b/>
          <w:color w:val="auto"/>
          <w:sz w:val="22"/>
          <w:szCs w:val="22"/>
          <w:lang w:val="es-ES"/>
        </w:rPr>
        <w:t>Riego</w:t>
      </w: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9.1 </w:t>
      </w:r>
      <w:r w:rsidRPr="00993936">
        <w:rPr>
          <w:rFonts w:ascii="Arial" w:hAnsi="Arial" w:cs="Arial"/>
          <w:i/>
          <w:lang w:val="es-ES"/>
        </w:rPr>
        <w:t>Obligaciones</w:t>
      </w:r>
    </w:p>
    <w:p w:rsidR="00503A41" w:rsidRPr="00993936" w:rsidRDefault="00503A41" w:rsidP="001C0FFB">
      <w:pPr>
        <w:jc w:val="both"/>
        <w:outlineLvl w:val="0"/>
        <w:rPr>
          <w:rFonts w:ascii="Arial" w:hAnsi="Arial" w:cs="Arial"/>
          <w:lang w:val="es-ES"/>
        </w:rPr>
      </w:pPr>
      <w:r w:rsidRPr="00993936">
        <w:rPr>
          <w:rFonts w:ascii="Arial" w:hAnsi="Arial" w:cs="Arial"/>
          <w:lang w:val="es-ES"/>
        </w:rPr>
        <w:t>9.1.1 Disponer de las características analíticas de la calidad del agua de riego con la finalidad de tomar una decisión sobre su utilización. El análisis químico incluirá al menos las determinaciones de nitratos y de conductividad, sin perjuicio de otros elementos que puedan ser de interés. Los análisis se harán en laboratorios autorizados.</w:t>
      </w:r>
    </w:p>
    <w:p w:rsidR="00503A41" w:rsidRPr="00993936" w:rsidRDefault="00503A41" w:rsidP="001C0FFB">
      <w:pPr>
        <w:jc w:val="both"/>
        <w:rPr>
          <w:rFonts w:ascii="Arial" w:hAnsi="Arial" w:cs="Arial"/>
          <w:lang w:val="es-ES"/>
        </w:rPr>
      </w:pPr>
      <w:r w:rsidRPr="00993936">
        <w:rPr>
          <w:rFonts w:ascii="Arial" w:hAnsi="Arial" w:cs="Arial"/>
          <w:lang w:val="es-ES"/>
        </w:rPr>
        <w:t>9.1.2 Analizar el agua de riego cada 5 años en un laboratorio reconocido por la Administración. Si en razón de su origen la composición del agua es muy variable, se tendrán que hacer análisis con más frecuencia del contenido de nitratos y de la conductividad. En caso de utilizar para el riego aguas residuales depuradas, que puedan entrar en contacto directo con los órganos vegetales comestibles, hay que analizar la posible presencia de contaminantes microbianos, químicos o bacteriológicos con el fin de tomar una decisión sobre su utilización.</w:t>
      </w:r>
    </w:p>
    <w:p w:rsidR="00503A41" w:rsidRPr="00993936" w:rsidRDefault="00503A41" w:rsidP="001C0FFB">
      <w:pPr>
        <w:jc w:val="both"/>
        <w:rPr>
          <w:rFonts w:ascii="Arial" w:hAnsi="Arial" w:cs="Arial"/>
          <w:lang w:val="es-ES"/>
        </w:rPr>
      </w:pPr>
      <w:r w:rsidRPr="00993936">
        <w:rPr>
          <w:rFonts w:ascii="Arial" w:hAnsi="Arial" w:cs="Arial"/>
          <w:lang w:val="es-ES"/>
        </w:rPr>
        <w:t>9.1.3 Tomar las medidas necesarias para evitar las pérdidas de agua.</w:t>
      </w:r>
    </w:p>
    <w:p w:rsidR="00503A41" w:rsidRPr="00993936" w:rsidRDefault="00503A41" w:rsidP="001C0FFB">
      <w:pPr>
        <w:pStyle w:val="Textoindependiente"/>
        <w:rPr>
          <w:rFonts w:cs="Arial"/>
          <w:szCs w:val="22"/>
          <w:lang w:val="es-ES"/>
        </w:rPr>
      </w:pPr>
      <w:r w:rsidRPr="00993936">
        <w:rPr>
          <w:rFonts w:cs="Arial"/>
          <w:szCs w:val="22"/>
          <w:lang w:val="es-ES"/>
        </w:rPr>
        <w:lastRenderedPageBreak/>
        <w:t>9.1.4 Establecer los volúmenes anuales necesarios mediante el cálculo de las necesidades del cultivo, basándose en datos locales de la evapotranspiración calculada por medio de los datos de la estación meteorológica más representativa.</w:t>
      </w:r>
    </w:p>
    <w:p w:rsidR="00503A41" w:rsidRPr="00993936" w:rsidRDefault="00503A41" w:rsidP="001C0FFB">
      <w:pPr>
        <w:pStyle w:val="Textoindependiente"/>
        <w:rPr>
          <w:rFonts w:cs="Arial"/>
          <w:szCs w:val="22"/>
          <w:lang w:val="es-ES"/>
        </w:rPr>
      </w:pPr>
      <w:r w:rsidRPr="00993936">
        <w:rPr>
          <w:rFonts w:cs="Arial"/>
          <w:szCs w:val="22"/>
          <w:lang w:val="es-ES"/>
        </w:rPr>
        <w:t>9.1.5 Establecer los volúmenes máximos de cada riego en función del sistema, la profundidad radicular del cultivo, el estado hídrico y las características físicas del suelo. Para</w:t>
      </w:r>
      <w:r w:rsidRPr="00993936">
        <w:rPr>
          <w:rFonts w:cs="Arial"/>
          <w:vanish/>
          <w:szCs w:val="22"/>
          <w:lang w:val="es-ES"/>
        </w:rPr>
        <w:t>&lt;A[Por|Para]&gt;</w:t>
      </w:r>
      <w:r w:rsidRPr="00993936">
        <w:rPr>
          <w:rFonts w:cs="Arial"/>
          <w:szCs w:val="22"/>
          <w:lang w:val="es-ES"/>
        </w:rPr>
        <w:t xml:space="preserve"> valores de conductividad eléctrica del agua superiores a de 2,1 dS/m, se utilizará una fracción de lavado complementaria a las dosis normales del riego.</w:t>
      </w:r>
    </w:p>
    <w:p w:rsidR="00503A41" w:rsidRPr="00993936" w:rsidRDefault="00503A41" w:rsidP="001C0FFB">
      <w:pPr>
        <w:pStyle w:val="Textoindependiente"/>
        <w:rPr>
          <w:rFonts w:cs="Arial"/>
          <w:i/>
          <w:szCs w:val="22"/>
          <w:lang w:val="es-ES"/>
        </w:rPr>
      </w:pPr>
      <w:r w:rsidRPr="00993936">
        <w:rPr>
          <w:rFonts w:cs="Arial"/>
          <w:szCs w:val="22"/>
          <w:lang w:val="es-ES"/>
        </w:rPr>
        <w:t xml:space="preserve">9.1.6  Los riegos se programarán para cada parcela y/o UHC siguiendo métodos técnicamente aceptados. </w:t>
      </w:r>
    </w:p>
    <w:p w:rsidR="00503A41" w:rsidRPr="00993936" w:rsidRDefault="00503A41" w:rsidP="001C0FFB">
      <w:pPr>
        <w:jc w:val="both"/>
        <w:rPr>
          <w:rFonts w:ascii="Arial" w:hAnsi="Arial" w:cs="Arial"/>
          <w:lang w:val="es-ES"/>
        </w:rPr>
      </w:pPr>
      <w:r w:rsidRPr="00993936">
        <w:rPr>
          <w:rFonts w:ascii="Arial" w:hAnsi="Arial" w:cs="Arial"/>
          <w:lang w:val="es-ES"/>
        </w:rPr>
        <w:t>9.1.7 Se diseñará un sistema de riego para cada parcela que garantice de manera permanente la conservación del suelo.</w:t>
      </w:r>
    </w:p>
    <w:p w:rsidR="00503A41" w:rsidRPr="00993936" w:rsidRDefault="00503A41" w:rsidP="001C0FFB">
      <w:pPr>
        <w:pStyle w:val="Textoindependiente"/>
        <w:rPr>
          <w:rFonts w:cs="Arial"/>
          <w:szCs w:val="22"/>
          <w:lang w:val="es-ES"/>
        </w:rPr>
      </w:pPr>
      <w:r w:rsidRPr="00993936">
        <w:rPr>
          <w:rFonts w:cs="Arial"/>
          <w:szCs w:val="22"/>
          <w:lang w:val="es-ES"/>
        </w:rPr>
        <w:t>9.1.8 Se utilizarán técnicas de riego que garanticen la máxima eficiencia en el uso del agua y la optimización de los recursos hídricos, evitando las pérdidas de agua, por lo cual se tendrá en cuenta:</w:t>
      </w:r>
    </w:p>
    <w:p w:rsidR="00503A41" w:rsidRPr="00993936" w:rsidRDefault="00503A41" w:rsidP="001B1E1F">
      <w:pPr>
        <w:numPr>
          <w:ilvl w:val="0"/>
          <w:numId w:val="13"/>
        </w:numPr>
        <w:spacing w:after="0" w:line="240" w:lineRule="auto"/>
        <w:jc w:val="both"/>
        <w:rPr>
          <w:rFonts w:ascii="Arial" w:hAnsi="Arial" w:cs="Arial"/>
          <w:lang w:val="es-ES"/>
        </w:rPr>
      </w:pPr>
      <w:r w:rsidRPr="00993936">
        <w:rPr>
          <w:rFonts w:ascii="Arial" w:hAnsi="Arial" w:cs="Arial"/>
          <w:lang w:val="es-ES"/>
        </w:rPr>
        <w:t>Las dosis de riego se ajustarán a las necesidades de los cultivos y a la textura y a las características de drenaje del suelo.</w:t>
      </w:r>
    </w:p>
    <w:p w:rsidR="00503A41" w:rsidRPr="00993936" w:rsidRDefault="00503A41" w:rsidP="001B1E1F">
      <w:pPr>
        <w:numPr>
          <w:ilvl w:val="0"/>
          <w:numId w:val="13"/>
        </w:numPr>
        <w:spacing w:after="0" w:line="240" w:lineRule="auto"/>
        <w:jc w:val="both"/>
        <w:rPr>
          <w:rFonts w:ascii="Arial" w:hAnsi="Arial" w:cs="Arial"/>
          <w:lang w:val="es-ES"/>
        </w:rPr>
      </w:pPr>
      <w:r w:rsidRPr="00993936">
        <w:rPr>
          <w:rFonts w:ascii="Arial" w:hAnsi="Arial" w:cs="Arial"/>
          <w:lang w:val="es-ES"/>
        </w:rPr>
        <w:t>En riego por gravedad o inundación, la longitud de los tablares</w:t>
      </w:r>
      <w:r w:rsidRPr="00993936">
        <w:rPr>
          <w:rFonts w:ascii="Arial" w:hAnsi="Arial" w:cs="Arial"/>
          <w:vanish/>
          <w:lang w:val="es-ES"/>
        </w:rPr>
        <w:t>&lt;A[mesas|tablas]&gt;</w:t>
      </w:r>
      <w:r w:rsidRPr="00993936">
        <w:rPr>
          <w:rFonts w:ascii="Arial" w:hAnsi="Arial" w:cs="Arial"/>
          <w:lang w:val="es-ES"/>
        </w:rPr>
        <w:t xml:space="preserve"> y su pendiente máxima se establecerán en función del volumen de riego necesario y de las condiciones hidráulicas y de permeabilidad del terreno.</w:t>
      </w:r>
    </w:p>
    <w:p w:rsidR="00503A41" w:rsidRPr="00993936" w:rsidRDefault="00503A41" w:rsidP="001B1E1F">
      <w:pPr>
        <w:numPr>
          <w:ilvl w:val="0"/>
          <w:numId w:val="13"/>
        </w:numPr>
        <w:spacing w:after="0" w:line="240" w:lineRule="auto"/>
        <w:jc w:val="both"/>
        <w:rPr>
          <w:rFonts w:ascii="Arial" w:hAnsi="Arial" w:cs="Arial"/>
          <w:lang w:val="es-ES"/>
        </w:rPr>
      </w:pPr>
      <w:r w:rsidRPr="00993936">
        <w:rPr>
          <w:rFonts w:ascii="Arial" w:hAnsi="Arial" w:cs="Arial"/>
          <w:lang w:val="es-ES"/>
        </w:rPr>
        <w:t xml:space="preserve">En el riego a presión se justificará que el valor del coeficiente de uniformidad (CU) estará comprendido entre los valores establecidos en función de la separación entre los emisores y la pendiente del terreno. </w:t>
      </w:r>
    </w:p>
    <w:p w:rsidR="00503A41" w:rsidRPr="00993936" w:rsidRDefault="00503A41" w:rsidP="001B1E1F">
      <w:pPr>
        <w:numPr>
          <w:ilvl w:val="0"/>
          <w:numId w:val="13"/>
        </w:numPr>
        <w:spacing w:after="0" w:line="240" w:lineRule="auto"/>
        <w:jc w:val="both"/>
        <w:rPr>
          <w:rFonts w:ascii="Arial" w:hAnsi="Arial" w:cs="Arial"/>
          <w:lang w:val="es-ES"/>
        </w:rPr>
      </w:pPr>
      <w:r w:rsidRPr="00993936">
        <w:rPr>
          <w:rFonts w:ascii="Arial" w:hAnsi="Arial" w:cs="Arial"/>
          <w:lang w:val="es-ES"/>
        </w:rPr>
        <w:t xml:space="preserve">La medida del cálculo del coeficiente de uniformidad se realizará mediante el método de Merrien-Keller (anexo 9). </w:t>
      </w:r>
    </w:p>
    <w:p w:rsidR="00503A41" w:rsidRPr="00993936" w:rsidRDefault="00503A41" w:rsidP="001B1E1F">
      <w:pPr>
        <w:numPr>
          <w:ilvl w:val="0"/>
          <w:numId w:val="13"/>
        </w:numPr>
        <w:spacing w:after="0" w:line="240" w:lineRule="auto"/>
        <w:jc w:val="both"/>
        <w:rPr>
          <w:rFonts w:ascii="Arial" w:hAnsi="Arial" w:cs="Arial"/>
          <w:lang w:val="es-ES"/>
        </w:rPr>
      </w:pPr>
      <w:r w:rsidRPr="00993936">
        <w:rPr>
          <w:rFonts w:ascii="Arial" w:hAnsi="Arial" w:cs="Arial"/>
          <w:lang w:val="es-ES"/>
        </w:rPr>
        <w:t>Mantener en buen estado de conservación los sistemas de distribución del agua.</w:t>
      </w:r>
    </w:p>
    <w:p w:rsidR="00503A41" w:rsidRPr="00993936" w:rsidRDefault="00503A41" w:rsidP="001B1E1F">
      <w:pPr>
        <w:numPr>
          <w:ilvl w:val="0"/>
          <w:numId w:val="13"/>
        </w:numPr>
        <w:spacing w:after="0" w:line="240" w:lineRule="auto"/>
        <w:jc w:val="both"/>
        <w:rPr>
          <w:rFonts w:ascii="Arial" w:hAnsi="Arial" w:cs="Arial"/>
          <w:lang w:val="es-ES"/>
        </w:rPr>
      </w:pPr>
      <w:r w:rsidRPr="00993936">
        <w:rPr>
          <w:rFonts w:ascii="Arial" w:hAnsi="Arial" w:cs="Arial"/>
          <w:lang w:val="es-ES"/>
        </w:rPr>
        <w:t>Registrar el agua de riego aplicada al Cuaderno de explotación. Si no fuera posible, se efectuará una estimación</w:t>
      </w:r>
      <w:r w:rsidRPr="00993936">
        <w:rPr>
          <w:rFonts w:ascii="Arial" w:hAnsi="Arial" w:cs="Arial"/>
          <w:vanish/>
          <w:lang w:val="es-ES"/>
        </w:rPr>
        <w:t>&lt;A[estimación|estima]&gt;</w:t>
      </w:r>
      <w:r w:rsidRPr="00993936">
        <w:rPr>
          <w:rFonts w:ascii="Arial" w:hAnsi="Arial" w:cs="Arial"/>
          <w:lang w:val="es-ES"/>
        </w:rPr>
        <w:t>.</w:t>
      </w:r>
    </w:p>
    <w:p w:rsidR="00503A41" w:rsidRPr="00993936" w:rsidRDefault="00503A41" w:rsidP="001C0FFB">
      <w:pPr>
        <w:jc w:val="both"/>
        <w:rPr>
          <w:rFonts w:ascii="Arial" w:hAnsi="Arial" w:cs="Arial"/>
          <w:lang w:val="es-ES"/>
        </w:rPr>
      </w:pPr>
      <w:r w:rsidRPr="00993936">
        <w:rPr>
          <w:rFonts w:ascii="Arial" w:hAnsi="Arial" w:cs="Arial"/>
          <w:lang w:val="es-ES"/>
        </w:rPr>
        <w:t>9.1.9 El agua para el riego se utilizará con criterios de máxima eficiencia. Se tendrá que utilizar algún método de programación de riegos que permita ajustar las dosis de riego a las necesidades de los cultivos y a la textura y el drenaje del suelo. El agua de riego se distribuirá uniformemente en las parcelas minimizando las pérdidas que se produzcan por percolación y escorrentía</w:t>
      </w:r>
      <w:r w:rsidRPr="00993936">
        <w:rPr>
          <w:rFonts w:ascii="Arial" w:hAnsi="Arial" w:cs="Arial"/>
          <w:vanish/>
          <w:lang w:val="es-ES"/>
        </w:rPr>
        <w:t>&lt;A[vaciado|corriente]&gt;</w:t>
      </w:r>
      <w:r w:rsidRPr="00993936">
        <w:rPr>
          <w:rFonts w:ascii="Arial" w:hAnsi="Arial" w:cs="Arial"/>
          <w:lang w:val="es-ES"/>
        </w:rPr>
        <w:t xml:space="preserve">. </w:t>
      </w:r>
    </w:p>
    <w:p w:rsidR="00503A41" w:rsidRPr="00993936" w:rsidRDefault="00503A41" w:rsidP="001C0FFB">
      <w:pPr>
        <w:jc w:val="both"/>
        <w:rPr>
          <w:rFonts w:ascii="Arial" w:hAnsi="Arial" w:cs="Arial"/>
          <w:lang w:val="es-ES"/>
        </w:rPr>
      </w:pPr>
      <w:r w:rsidRPr="00993936">
        <w:rPr>
          <w:rFonts w:ascii="Arial" w:hAnsi="Arial" w:cs="Arial"/>
          <w:lang w:val="es-ES"/>
        </w:rPr>
        <w:t xml:space="preserve">9.1.10 En los sistemas a presión, hay que alcanzar un coeficiente de uniformidad (CU) superior al 80%. La comprobación de este coeficiente se realizará cada 3 años, en cada sector de riego, de forma que se pueda asegurar el buen funcionamiento de las instalaciones. </w:t>
      </w:r>
    </w:p>
    <w:p w:rsidR="00503A41" w:rsidRPr="00993936" w:rsidRDefault="00503A41" w:rsidP="001C0FFB">
      <w:pPr>
        <w:jc w:val="both"/>
        <w:rPr>
          <w:rFonts w:ascii="Arial" w:hAnsi="Arial" w:cs="Arial"/>
          <w:lang w:val="es-ES"/>
        </w:rPr>
      </w:pPr>
      <w:r w:rsidRPr="00993936">
        <w:rPr>
          <w:rFonts w:ascii="Arial" w:hAnsi="Arial" w:cs="Arial"/>
          <w:lang w:val="es-ES"/>
        </w:rPr>
        <w:t>9.1.11 Al regar, se evitará la aplicación de aguas que conduzcan a una degradación del suelo por salinización y/o sodificación.</w:t>
      </w:r>
    </w:p>
    <w:p w:rsidR="00503A41" w:rsidRPr="00993936" w:rsidRDefault="00503A41" w:rsidP="001C0FFB">
      <w:pPr>
        <w:jc w:val="both"/>
        <w:rPr>
          <w:rFonts w:ascii="Arial" w:hAnsi="Arial" w:cs="Arial"/>
          <w:lang w:val="es-ES"/>
        </w:rPr>
      </w:pPr>
      <w:r w:rsidRPr="00993936">
        <w:rPr>
          <w:rFonts w:ascii="Arial" w:hAnsi="Arial" w:cs="Arial"/>
          <w:lang w:val="es-ES"/>
        </w:rPr>
        <w:t>9.1.12 Para el riego superficial, se tiene que exigir una nivelación precisa en el momento de realizar una nueva plantación, a la vez que una adaptación de la sistematización de la superficie a regar a los módulos de riego que se utilicen y a las condiciones de infiltración. En el riego superficial, habrá que conseguir la máxima uniformidad de distribución.</w:t>
      </w:r>
    </w:p>
    <w:p w:rsidR="00503A41" w:rsidRPr="00993936" w:rsidRDefault="00503A41" w:rsidP="001C0FFB">
      <w:pPr>
        <w:jc w:val="both"/>
        <w:rPr>
          <w:rFonts w:ascii="Arial" w:hAnsi="Arial" w:cs="Arial"/>
          <w:lang w:val="es-ES"/>
        </w:rPr>
      </w:pP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9.2 </w:t>
      </w:r>
      <w:r w:rsidRPr="00993936">
        <w:rPr>
          <w:rFonts w:ascii="Arial" w:hAnsi="Arial" w:cs="Arial"/>
          <w:i/>
          <w:lang w:val="es-ES"/>
        </w:rPr>
        <w:t>Prohibiciones</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9.2.1 Utilizar aguas caracterizadas por parámetros de calidad inadecuados para el cultivo y para el suelo.</w:t>
      </w:r>
    </w:p>
    <w:p w:rsidR="00503A41" w:rsidRPr="00993936" w:rsidRDefault="00503A41" w:rsidP="001C0FFB">
      <w:pPr>
        <w:jc w:val="both"/>
        <w:rPr>
          <w:rFonts w:ascii="Arial" w:hAnsi="Arial" w:cs="Arial"/>
          <w:lang w:val="es-ES"/>
        </w:rPr>
      </w:pPr>
      <w:r w:rsidRPr="00993936">
        <w:rPr>
          <w:rFonts w:ascii="Arial" w:hAnsi="Arial" w:cs="Arial"/>
          <w:lang w:val="es-ES"/>
        </w:rPr>
        <w:t>9.2.2 Utilizar aguas residuales sin depuración previa o aguas que están depuradas, pero superan los parámetros que establece la legislación vigente.</w:t>
      </w:r>
    </w:p>
    <w:p w:rsidR="00503A41" w:rsidRPr="00993936" w:rsidRDefault="00503A41" w:rsidP="001C0FFB">
      <w:pPr>
        <w:jc w:val="both"/>
        <w:rPr>
          <w:rFonts w:ascii="Arial" w:hAnsi="Arial" w:cs="Arial"/>
          <w:lang w:val="es-ES"/>
        </w:rPr>
      </w:pPr>
      <w:r w:rsidRPr="00993936">
        <w:rPr>
          <w:rFonts w:ascii="Arial" w:hAnsi="Arial" w:cs="Arial"/>
          <w:lang w:val="es-ES"/>
        </w:rPr>
        <w:t>9.2.3. El uso de aguas de riego que superen los parámetros siguientes:</w:t>
      </w:r>
    </w:p>
    <w:p w:rsidR="00503A41" w:rsidRPr="00993936" w:rsidRDefault="00503A41" w:rsidP="009D1A2D">
      <w:pPr>
        <w:numPr>
          <w:ilvl w:val="0"/>
          <w:numId w:val="110"/>
        </w:numPr>
        <w:spacing w:after="0" w:line="240" w:lineRule="auto"/>
        <w:jc w:val="both"/>
        <w:rPr>
          <w:rFonts w:ascii="Arial" w:hAnsi="Arial" w:cs="Arial"/>
          <w:lang w:val="es-ES"/>
        </w:rPr>
      </w:pPr>
      <w:r w:rsidRPr="00993936">
        <w:rPr>
          <w:rFonts w:ascii="Arial" w:hAnsi="Arial" w:cs="Arial"/>
          <w:lang w:val="es-ES"/>
        </w:rPr>
        <w:t>Conductividad (CEW)………   3,0 dS/m</w:t>
      </w:r>
    </w:p>
    <w:p w:rsidR="00503A41" w:rsidRPr="00993936" w:rsidRDefault="00503A41" w:rsidP="009D1A2D">
      <w:pPr>
        <w:numPr>
          <w:ilvl w:val="0"/>
          <w:numId w:val="110"/>
        </w:numPr>
        <w:spacing w:after="0" w:line="240" w:lineRule="auto"/>
        <w:jc w:val="both"/>
        <w:rPr>
          <w:rFonts w:ascii="Arial" w:hAnsi="Arial" w:cs="Arial"/>
          <w:lang w:val="es-ES"/>
        </w:rPr>
      </w:pPr>
      <w:r w:rsidRPr="00993936">
        <w:rPr>
          <w:rFonts w:ascii="Arial" w:hAnsi="Arial" w:cs="Arial"/>
          <w:lang w:val="es-ES"/>
        </w:rPr>
        <w:t>RAS...............................   4</w:t>
      </w:r>
    </w:p>
    <w:p w:rsidR="00503A41" w:rsidRPr="00993936" w:rsidRDefault="00503A41" w:rsidP="009D1A2D">
      <w:pPr>
        <w:numPr>
          <w:ilvl w:val="0"/>
          <w:numId w:val="110"/>
        </w:numPr>
        <w:spacing w:after="0" w:line="240" w:lineRule="auto"/>
        <w:jc w:val="both"/>
        <w:rPr>
          <w:rFonts w:ascii="Arial" w:hAnsi="Arial" w:cs="Arial"/>
          <w:lang w:val="es-ES"/>
        </w:rPr>
      </w:pPr>
      <w:r w:rsidRPr="00993936">
        <w:rPr>
          <w:rFonts w:ascii="Arial" w:hAnsi="Arial" w:cs="Arial"/>
          <w:lang w:val="es-ES"/>
        </w:rPr>
        <w:t>Bor................................   2 ppm</w:t>
      </w:r>
    </w:p>
    <w:p w:rsidR="00503A41" w:rsidRPr="00993936" w:rsidRDefault="00503A41" w:rsidP="009D1A2D">
      <w:pPr>
        <w:numPr>
          <w:ilvl w:val="0"/>
          <w:numId w:val="110"/>
        </w:numPr>
        <w:spacing w:after="0" w:line="240" w:lineRule="auto"/>
        <w:jc w:val="both"/>
        <w:rPr>
          <w:rFonts w:ascii="Arial" w:hAnsi="Arial" w:cs="Arial"/>
          <w:lang w:val="es-ES"/>
        </w:rPr>
      </w:pPr>
      <w:r w:rsidRPr="00993936">
        <w:rPr>
          <w:rFonts w:ascii="Arial" w:hAnsi="Arial" w:cs="Arial"/>
          <w:lang w:val="es-ES"/>
        </w:rPr>
        <w:t>Clorurs………………….......10 meq/l</w:t>
      </w:r>
    </w:p>
    <w:p w:rsidR="00503A41" w:rsidRPr="00993936" w:rsidRDefault="00503A41" w:rsidP="009D1A2D">
      <w:pPr>
        <w:numPr>
          <w:ilvl w:val="0"/>
          <w:numId w:val="110"/>
        </w:numPr>
        <w:spacing w:after="0" w:line="240" w:lineRule="auto"/>
        <w:jc w:val="both"/>
        <w:rPr>
          <w:rFonts w:ascii="Arial" w:hAnsi="Arial" w:cs="Arial"/>
          <w:lang w:val="es-ES"/>
        </w:rPr>
      </w:pPr>
      <w:r w:rsidRPr="00993936">
        <w:rPr>
          <w:rFonts w:ascii="Arial" w:hAnsi="Arial" w:cs="Arial"/>
          <w:lang w:val="es-ES"/>
        </w:rPr>
        <w:t>Sodi................................  9 meq/l</w:t>
      </w: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9.3 </w:t>
      </w:r>
      <w:r w:rsidRPr="00993936">
        <w:rPr>
          <w:rFonts w:ascii="Arial" w:hAnsi="Arial" w:cs="Arial"/>
          <w:i/>
          <w:lang w:val="es-ES"/>
        </w:rPr>
        <w:t>Recomendaciones</w:t>
      </w:r>
    </w:p>
    <w:p w:rsidR="00503A41" w:rsidRPr="00993936" w:rsidRDefault="00503A41" w:rsidP="001C0FFB">
      <w:pPr>
        <w:jc w:val="both"/>
        <w:rPr>
          <w:rFonts w:ascii="Arial" w:hAnsi="Arial" w:cs="Arial"/>
          <w:lang w:val="es-ES"/>
        </w:rPr>
      </w:pPr>
      <w:r w:rsidRPr="00993936">
        <w:rPr>
          <w:rFonts w:ascii="Arial" w:hAnsi="Arial" w:cs="Arial"/>
          <w:lang w:val="es-ES"/>
        </w:rPr>
        <w:t>9.3.1 Para utilizar el agua para el riego con criterios de máxima eficiencia, se recomienda en los sistemas de riego a presión la instalación de un caudalímetro o algún otro sistema de medida de consumo de agua, como instalar contadores en los conductos a presión o bien contar las horas de riego superficial, con que permitan llevar</w:t>
      </w:r>
      <w:r w:rsidRPr="00993936">
        <w:rPr>
          <w:rFonts w:ascii="Arial" w:hAnsi="Arial" w:cs="Arial"/>
          <w:vanish/>
          <w:lang w:val="es-ES"/>
        </w:rPr>
        <w:t>&lt;A[llevar|traer]&gt;</w:t>
      </w:r>
      <w:r w:rsidRPr="00993936">
        <w:rPr>
          <w:rFonts w:ascii="Arial" w:hAnsi="Arial" w:cs="Arial"/>
          <w:lang w:val="es-ES"/>
        </w:rPr>
        <w:t xml:space="preserve"> un control esmerado de las dosis de agua y de los momentos de aplicación.</w:t>
      </w:r>
    </w:p>
    <w:p w:rsidR="00503A41" w:rsidRPr="00993936" w:rsidRDefault="00503A41" w:rsidP="001C0FFB">
      <w:pPr>
        <w:jc w:val="both"/>
        <w:rPr>
          <w:rFonts w:ascii="Arial" w:hAnsi="Arial" w:cs="Arial"/>
          <w:lang w:val="es-ES"/>
        </w:rPr>
      </w:pPr>
      <w:r w:rsidRPr="00993936">
        <w:rPr>
          <w:rFonts w:ascii="Arial" w:hAnsi="Arial" w:cs="Arial"/>
          <w:lang w:val="es-ES"/>
        </w:rPr>
        <w:t xml:space="preserve">9.3.2 Para evaluar el estado del agua en el suelo, se recomienda disponer de algún tipo de control de la humedad del suelo (tensiómetros, sondas u otros). </w:t>
      </w:r>
    </w:p>
    <w:p w:rsidR="00503A41" w:rsidRPr="00993936" w:rsidRDefault="00503A41" w:rsidP="001C0FFB">
      <w:pPr>
        <w:jc w:val="both"/>
        <w:rPr>
          <w:rFonts w:ascii="Arial" w:hAnsi="Arial" w:cs="Arial"/>
          <w:lang w:val="es-ES"/>
        </w:rPr>
      </w:pPr>
      <w:r w:rsidRPr="00993936">
        <w:rPr>
          <w:rFonts w:ascii="Arial" w:hAnsi="Arial" w:cs="Arial"/>
          <w:lang w:val="es-ES"/>
        </w:rPr>
        <w:t>9.3.3 Que el material utilizado en las instalaciones nuevas de microirrigación corresponda a los modelos de emisores, tubos emisores y difusores certificados por el Programa de control de características de material de microirrigación del Departamento de Agricultura, Ganadería y Pesca (Orden de 2 de mayo de 1995, DOGC nº. 2050, de 15.5.1995) o para</w:t>
      </w:r>
      <w:r w:rsidRPr="00993936">
        <w:rPr>
          <w:rFonts w:ascii="Arial" w:hAnsi="Arial" w:cs="Arial"/>
          <w:vanish/>
          <w:lang w:val="es-ES"/>
        </w:rPr>
        <w:t>&lt;A[para|por]&gt;</w:t>
      </w:r>
      <w:r w:rsidRPr="00993936">
        <w:rPr>
          <w:rFonts w:ascii="Arial" w:hAnsi="Arial" w:cs="Arial"/>
          <w:lang w:val="es-ES"/>
        </w:rPr>
        <w:t xml:space="preserve"> otros programas oficiales.</w:t>
      </w:r>
    </w:p>
    <w:p w:rsidR="00503A41" w:rsidRPr="00993936" w:rsidRDefault="00503A41" w:rsidP="001C0FFB">
      <w:pPr>
        <w:jc w:val="both"/>
        <w:rPr>
          <w:rFonts w:ascii="Arial" w:hAnsi="Arial" w:cs="Arial"/>
          <w:lang w:val="es-ES"/>
        </w:rPr>
      </w:pPr>
      <w:r w:rsidRPr="00993936">
        <w:rPr>
          <w:rFonts w:ascii="Arial" w:hAnsi="Arial" w:cs="Arial"/>
          <w:lang w:val="es-ES"/>
        </w:rPr>
        <w:t>9.3.4 Establecer un plan</w:t>
      </w:r>
      <w:r w:rsidRPr="00993936">
        <w:rPr>
          <w:rFonts w:ascii="Arial" w:hAnsi="Arial" w:cs="Arial"/>
          <w:vanish/>
          <w:lang w:val="es-ES"/>
        </w:rPr>
        <w:t>&lt;A[plan|plano]&gt;</w:t>
      </w:r>
      <w:r w:rsidRPr="00993936">
        <w:rPr>
          <w:rFonts w:ascii="Arial" w:hAnsi="Arial" w:cs="Arial"/>
          <w:lang w:val="es-ES"/>
        </w:rPr>
        <w:t xml:space="preserve"> de gestión del agua que permita optimizar el uso y reducir las pérdidas.</w:t>
      </w:r>
    </w:p>
    <w:p w:rsidR="00503A41" w:rsidRPr="00993936" w:rsidRDefault="00503A41" w:rsidP="003B7A31">
      <w:pPr>
        <w:jc w:val="both"/>
        <w:rPr>
          <w:rFonts w:ascii="Arial" w:hAnsi="Arial" w:cs="Arial"/>
          <w:lang w:val="es-ES"/>
        </w:rPr>
      </w:pPr>
      <w:r w:rsidRPr="00993936">
        <w:rPr>
          <w:rFonts w:ascii="Arial" w:hAnsi="Arial" w:cs="Arial"/>
          <w:lang w:val="es-ES"/>
        </w:rPr>
        <w:t>9.3.5 Evitar el riego por gravedad en suelos de textura arenosa.</w:t>
      </w:r>
    </w:p>
    <w:p w:rsidR="00503A41" w:rsidRPr="00993936" w:rsidRDefault="00503A41" w:rsidP="001C0FFB">
      <w:pPr>
        <w:jc w:val="both"/>
        <w:rPr>
          <w:rFonts w:ascii="Arial" w:hAnsi="Arial" w:cs="Arial"/>
          <w:i/>
          <w:lang w:val="es-ES"/>
        </w:rPr>
      </w:pPr>
      <w:r w:rsidRPr="00993936">
        <w:rPr>
          <w:rFonts w:ascii="Arial" w:hAnsi="Arial" w:cs="Arial"/>
          <w:lang w:val="es-ES"/>
        </w:rPr>
        <w:t>9.3.6 Utilizar el riego por goteo, cuando sea posible.</w:t>
      </w:r>
    </w:p>
    <w:p w:rsidR="00503A41" w:rsidRPr="00993936" w:rsidRDefault="00503A41" w:rsidP="001C0FFB">
      <w:pPr>
        <w:jc w:val="both"/>
        <w:rPr>
          <w:rFonts w:ascii="Arial" w:hAnsi="Arial" w:cs="Arial"/>
          <w:lang w:val="es-ES"/>
        </w:rPr>
      </w:pPr>
    </w:p>
    <w:p w:rsidR="00503A41" w:rsidRPr="00993936" w:rsidRDefault="00503A41" w:rsidP="001C0FFB">
      <w:pPr>
        <w:jc w:val="both"/>
        <w:outlineLvl w:val="0"/>
        <w:rPr>
          <w:rFonts w:ascii="Arial" w:hAnsi="Arial" w:cs="Arial"/>
          <w:lang w:val="es-ES"/>
        </w:rPr>
      </w:pPr>
      <w:r w:rsidRPr="00993936">
        <w:rPr>
          <w:rFonts w:ascii="Arial" w:hAnsi="Arial" w:cs="Arial"/>
          <w:lang w:val="es-ES"/>
        </w:rPr>
        <w:t>Artículo 10</w:t>
      </w:r>
    </w:p>
    <w:p w:rsidR="00503A41" w:rsidRPr="00993936" w:rsidRDefault="00503A41" w:rsidP="001C0FFB">
      <w:pPr>
        <w:jc w:val="both"/>
        <w:outlineLvl w:val="0"/>
        <w:rPr>
          <w:rFonts w:ascii="Arial" w:hAnsi="Arial" w:cs="Arial"/>
          <w:lang w:val="es-ES"/>
        </w:rPr>
      </w:pPr>
      <w:r w:rsidRPr="00993936">
        <w:rPr>
          <w:rFonts w:ascii="Arial" w:hAnsi="Arial" w:cs="Arial"/>
          <w:b/>
          <w:lang w:val="es-ES"/>
        </w:rPr>
        <w:t>Control integrado de plagas y enfermedades</w:t>
      </w: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10.1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 xml:space="preserve">10.1.1 Para controlar plagas y enfermedades se deben priorizar, siempre que sea posible, los métodos biológicos, biotecnológicos, culturales, físicos y genéticos antes que los métodos químicos. </w:t>
      </w:r>
    </w:p>
    <w:p w:rsidR="00503A41" w:rsidRPr="00993936" w:rsidRDefault="00503A41" w:rsidP="001C0FFB">
      <w:pPr>
        <w:pStyle w:val="Textoindependiente"/>
        <w:rPr>
          <w:rFonts w:cs="Arial"/>
          <w:szCs w:val="22"/>
          <w:lang w:val="es-ES"/>
        </w:rPr>
      </w:pPr>
      <w:r w:rsidRPr="00993936">
        <w:rPr>
          <w:rFonts w:cs="Arial"/>
          <w:szCs w:val="22"/>
          <w:lang w:val="es-ES"/>
        </w:rPr>
        <w:t>10.1.2 La estimación</w:t>
      </w:r>
      <w:r w:rsidRPr="00993936">
        <w:rPr>
          <w:rFonts w:cs="Arial"/>
          <w:vanish/>
          <w:szCs w:val="22"/>
          <w:lang w:val="es-ES"/>
        </w:rPr>
        <w:t>&lt;A[estimación|estima]&gt;</w:t>
      </w:r>
      <w:r w:rsidRPr="00993936">
        <w:rPr>
          <w:rFonts w:cs="Arial"/>
          <w:szCs w:val="22"/>
          <w:lang w:val="es-ES"/>
        </w:rPr>
        <w:t xml:space="preserve"> del riesgo en cada parcela y/o UHC se hará mediante evaluaciones de los niveles de población calculado por mediación de sistemas de muestreo, estado de desarrollo de las plagas, enfermedades, y fauna útil, fenología del cultivo y condiciones climáticas. La aplicación de medidas directas de control de plagas y enfermedades sólo se efectuará cuando los niveles de población o las condiciones ambientales superen los correspondientes umbrales y/o criterios mínimos de intervención que figuran en el anexo 2 de esta norma, y en caso de </w:t>
      </w:r>
      <w:r w:rsidRPr="00993936">
        <w:rPr>
          <w:rFonts w:cs="Arial"/>
          <w:szCs w:val="22"/>
          <w:lang w:val="es-ES"/>
        </w:rPr>
        <w:lastRenderedPageBreak/>
        <w:t>enfermedades cuando</w:t>
      </w:r>
      <w:r w:rsidRPr="00993936">
        <w:rPr>
          <w:rFonts w:cs="Arial"/>
          <w:vanish/>
          <w:szCs w:val="22"/>
          <w:lang w:val="es-ES"/>
        </w:rPr>
        <w:t>&lt;A[cuando|cuándo]&gt;</w:t>
      </w:r>
      <w:r w:rsidRPr="00993936">
        <w:rPr>
          <w:rFonts w:cs="Arial"/>
          <w:szCs w:val="22"/>
          <w:lang w:val="es-ES"/>
        </w:rPr>
        <w:t xml:space="preserve"> la estimación</w:t>
      </w:r>
      <w:r w:rsidRPr="00993936">
        <w:rPr>
          <w:rFonts w:cs="Arial"/>
          <w:vanish/>
          <w:szCs w:val="22"/>
          <w:lang w:val="es-ES"/>
        </w:rPr>
        <w:t>&lt;A[estimación|estima]&gt;</w:t>
      </w:r>
      <w:r w:rsidRPr="00993936">
        <w:rPr>
          <w:rFonts w:cs="Arial"/>
          <w:szCs w:val="22"/>
          <w:lang w:val="es-ES"/>
        </w:rPr>
        <w:t xml:space="preserve"> del riesgo lo indique.</w:t>
      </w:r>
    </w:p>
    <w:p w:rsidR="00503A41" w:rsidRPr="00993936" w:rsidRDefault="00503A41" w:rsidP="001C0FFB">
      <w:pPr>
        <w:pStyle w:val="Textoindependiente"/>
        <w:rPr>
          <w:rFonts w:cs="Arial"/>
          <w:szCs w:val="22"/>
          <w:lang w:val="es-ES"/>
        </w:rPr>
      </w:pPr>
      <w:r w:rsidRPr="00993936">
        <w:rPr>
          <w:rFonts w:cs="Arial"/>
          <w:szCs w:val="22"/>
          <w:lang w:val="es-ES"/>
        </w:rPr>
        <w:t xml:space="preserve">Los niveles de población de cada fitoparásito se estimarán mediante trampas equipadas con atrayente sexual y/o trampas alimenticias colocadas a razón de 1 para cada 4 hectáreas, y controladas por el productor o por el técnico responsable de producción integrada mediante un control visual de daños o de presencia de parásitos a nivel de parcela. Con esta finalidad, se entiende por parcela la plantación homogénea en cuanto a edad, patrón, variedad (principal+polinizadora), sistema de poda y sistema de riego, con una superficie no mayor de 4 hectáreas, de manera que, si la extensión es superior, se tendrá que dividir en unidades de control inferiores a la mencionada superficie. </w:t>
      </w:r>
    </w:p>
    <w:p w:rsidR="00503A41" w:rsidRPr="00993936" w:rsidRDefault="00503A41" w:rsidP="001C0FFB">
      <w:pPr>
        <w:jc w:val="both"/>
        <w:rPr>
          <w:rFonts w:ascii="Arial" w:hAnsi="Arial" w:cs="Arial"/>
          <w:lang w:val="es-ES"/>
        </w:rPr>
      </w:pPr>
      <w:r w:rsidRPr="00993936">
        <w:rPr>
          <w:rFonts w:ascii="Arial" w:hAnsi="Arial" w:cs="Arial"/>
          <w:lang w:val="es-ES"/>
        </w:rPr>
        <w:t>En caso de agrupaciones de productores, el número de trampas a colocar será determinado por el/los técnico/s responsable/s de producción integrada en función del número y la distribución de las plantaciones, de manera que se garantice un sistema de control fiable y representativo de la zona que se quiera controlar. En este caso, cada agrupación de productores tendrá que disponer de un plano de situación de las trampas, con indicación del modelo de trampa, el tipo de parásitos a controlar, así como la relación de fincas, hectáreas y nombres de los productores incluidos, junto con la descripción del plan</w:t>
      </w:r>
      <w:r w:rsidRPr="00993936">
        <w:rPr>
          <w:rFonts w:ascii="Arial" w:hAnsi="Arial" w:cs="Arial"/>
          <w:vanish/>
          <w:lang w:val="es-ES"/>
        </w:rPr>
        <w:t>&lt;A[plan|plano]&gt;</w:t>
      </w:r>
      <w:r w:rsidRPr="00993936">
        <w:rPr>
          <w:rFonts w:ascii="Arial" w:hAnsi="Arial" w:cs="Arial"/>
          <w:lang w:val="es-ES"/>
        </w:rPr>
        <w:t xml:space="preserve"> de control.</w:t>
      </w:r>
    </w:p>
    <w:p w:rsidR="00503A41" w:rsidRPr="00993936" w:rsidRDefault="00503A41" w:rsidP="001C0FFB">
      <w:pPr>
        <w:jc w:val="both"/>
        <w:rPr>
          <w:rFonts w:ascii="Arial" w:hAnsi="Arial" w:cs="Arial"/>
          <w:lang w:val="es-ES"/>
        </w:rPr>
      </w:pPr>
      <w:r w:rsidRPr="00993936">
        <w:rPr>
          <w:rFonts w:ascii="Arial" w:hAnsi="Arial" w:cs="Arial"/>
          <w:lang w:val="es-ES"/>
        </w:rPr>
        <w:t xml:space="preserve">Los criterios que se utilicen para la justificación de los posibles tratamientos fitosanitarios tendrán que estar previstos en el Programa de control integrado de plagas y enfermedades (CIP) que prevé esta norma. </w:t>
      </w:r>
    </w:p>
    <w:p w:rsidR="00503A41" w:rsidRPr="00993936" w:rsidRDefault="00503A41" w:rsidP="001C0FFB">
      <w:pPr>
        <w:jc w:val="both"/>
        <w:rPr>
          <w:rFonts w:ascii="Arial" w:hAnsi="Arial" w:cs="Arial"/>
          <w:lang w:val="es-ES"/>
        </w:rPr>
      </w:pPr>
      <w:r w:rsidRPr="00993936">
        <w:rPr>
          <w:rFonts w:ascii="Arial" w:hAnsi="Arial" w:cs="Arial"/>
          <w:lang w:val="es-ES"/>
        </w:rPr>
        <w:t>10.1.3  En caso de que haga falta una intervención con productos fitosanitarios, las sustancias activas a utilizar serán seleccionadas de acuerdo con los criterios de menor peligrosidad para los humanos, la fauna y el medio ambiente; la efectividad en el control de la plaga o la enfermedad; la selectividad (se tiene que evitar la toxicidad para los polinizadores y los enemigos naturales); los residuos y el riesgo de aparición de poblaciones resistentes. En cualquier caso, sólo se podrán utilizar productos fitosanitarios inscritos en el Registro Oficial de Productos y de Material Fitosanitario del Estado Español y aprobados expresamente para los cultivos y usos autorizados y de acuerdo con las instrucciones y/o restricciones que figuran en el anexo 2 de esta norma.</w:t>
      </w:r>
    </w:p>
    <w:p w:rsidR="00503A41" w:rsidRPr="00993936" w:rsidRDefault="00503A41" w:rsidP="001C0FFB">
      <w:pPr>
        <w:jc w:val="both"/>
        <w:rPr>
          <w:rFonts w:ascii="Arial" w:hAnsi="Arial" w:cs="Arial"/>
          <w:lang w:val="es-ES"/>
        </w:rPr>
      </w:pPr>
      <w:r w:rsidRPr="00993936">
        <w:rPr>
          <w:rFonts w:ascii="Arial" w:hAnsi="Arial" w:cs="Arial"/>
          <w:lang w:val="es-ES"/>
        </w:rPr>
        <w:t>10.1.4 En caso de utilizar para el control de plagas y enfermedades formulados comerciales a base de mezclas de sustancias activas, vista la gran cantidad existente, se consideran admitidas en producción integrada de olivas, aunque no estén expresamente definidas en el anexo 2 de esta norma, todas las mezclas de formulados, que incluyan 2 ó más sustancias activas incluidas en el mencionado anexo, siempre que la mezcla comercial esté autorizada en el Registro Oficial de Productos y Material Fitosanitario para</w:t>
      </w:r>
      <w:r w:rsidRPr="00993936">
        <w:rPr>
          <w:rFonts w:ascii="Arial" w:hAnsi="Arial" w:cs="Arial"/>
          <w:vanish/>
          <w:lang w:val="es-ES"/>
        </w:rPr>
        <w:t>&lt;A[para|por]&gt;</w:t>
      </w:r>
      <w:r w:rsidRPr="00993936">
        <w:rPr>
          <w:rFonts w:ascii="Arial" w:hAnsi="Arial" w:cs="Arial"/>
          <w:lang w:val="es-ES"/>
        </w:rPr>
        <w:t xml:space="preserve"> el cultivo y para</w:t>
      </w:r>
      <w:r w:rsidRPr="00993936">
        <w:rPr>
          <w:rFonts w:ascii="Arial" w:hAnsi="Arial" w:cs="Arial"/>
          <w:vanish/>
          <w:lang w:val="es-ES"/>
        </w:rPr>
        <w:t>&lt;A[por|para]&gt;</w:t>
      </w:r>
      <w:r w:rsidRPr="00993936">
        <w:rPr>
          <w:rFonts w:ascii="Arial" w:hAnsi="Arial" w:cs="Arial"/>
          <w:lang w:val="es-ES"/>
        </w:rPr>
        <w:t xml:space="preserve"> los usos oficialmente autorizados.</w:t>
      </w:r>
    </w:p>
    <w:p w:rsidR="00503A41" w:rsidRPr="00993936" w:rsidRDefault="00503A41" w:rsidP="001C0FFB">
      <w:pPr>
        <w:jc w:val="both"/>
        <w:rPr>
          <w:rFonts w:ascii="Arial" w:hAnsi="Arial" w:cs="Arial"/>
          <w:lang w:val="es-ES"/>
        </w:rPr>
      </w:pPr>
      <w:r w:rsidRPr="00993936">
        <w:rPr>
          <w:rFonts w:ascii="Arial" w:hAnsi="Arial" w:cs="Arial"/>
          <w:lang w:val="es-ES"/>
        </w:rPr>
        <w:t>No se podrán utilizar los formulados a base de mezclas de sustancias activas que tengan alguna sustancia no dirigida contra una determinada plaga y/o enfermedad, salvo las ocasiones en que se justifique el tratamiento simultáneo contra varios organismos nocivos.</w:t>
      </w:r>
    </w:p>
    <w:p w:rsidR="00503A41" w:rsidRPr="00993936" w:rsidRDefault="00503A41" w:rsidP="001C0FFB">
      <w:pPr>
        <w:jc w:val="both"/>
        <w:rPr>
          <w:rFonts w:ascii="Arial" w:hAnsi="Arial" w:cs="Arial"/>
          <w:lang w:val="es-ES"/>
        </w:rPr>
      </w:pPr>
      <w:r w:rsidRPr="00993936">
        <w:rPr>
          <w:rFonts w:ascii="Arial" w:hAnsi="Arial" w:cs="Arial"/>
          <w:lang w:val="es-ES"/>
        </w:rPr>
        <w:t>10.1.5 Para evitar riesgos a los operarios, a los consumidores y al medio ambiente, el uso y la aplicación de productos fitosanitarios se realizará respetando siempre las indicaciones reflejadas en las etiquetas correspondientes de los productos y siguiendo las recomendaciones y/o instrucciones dictadas por el responsable técnico de producción integrada.</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10.1.6 Se tendrán que registrar en el Cuaderno de explotación todas las aplicaciones de productos químicos indicando como mínimo la fecha, el producto, sustancia activa, la cantidad y el volumen utilizado, las cuales tendrán que revisarse a posteriori por el técnico responsable de producción integrada y su conformidad figurará en el mencionado Cuaderno.</w:t>
      </w:r>
    </w:p>
    <w:p w:rsidR="00503A41" w:rsidRPr="00993936" w:rsidRDefault="00503A41" w:rsidP="001D205D">
      <w:pPr>
        <w:pStyle w:val="Textoindependiente2"/>
        <w:jc w:val="both"/>
        <w:rPr>
          <w:rFonts w:cs="Arial"/>
          <w:sz w:val="22"/>
          <w:szCs w:val="22"/>
          <w:lang w:val="es-ES"/>
        </w:rPr>
      </w:pPr>
      <w:r w:rsidRPr="00993936">
        <w:rPr>
          <w:rFonts w:cs="Arial"/>
          <w:sz w:val="22"/>
          <w:szCs w:val="22"/>
          <w:lang w:val="es-ES"/>
        </w:rPr>
        <w:t>10.1.7 Cuando se mezclen fitosanitarios, habrá que seguir los procedimientos adecuados para el manejo y la carga, según se indique en las instrucciones de la etiqueta del producto.</w:t>
      </w:r>
    </w:p>
    <w:p w:rsidR="00503A41" w:rsidRPr="00993936" w:rsidRDefault="00503A41" w:rsidP="001D205D">
      <w:pPr>
        <w:pStyle w:val="Textoindependiente2"/>
        <w:jc w:val="both"/>
        <w:rPr>
          <w:rFonts w:cs="Arial"/>
          <w:sz w:val="22"/>
          <w:szCs w:val="22"/>
          <w:lang w:val="es-ES"/>
        </w:rPr>
      </w:pPr>
    </w:p>
    <w:p w:rsidR="00503A41" w:rsidRPr="00993936" w:rsidRDefault="00503A41" w:rsidP="001D205D">
      <w:pPr>
        <w:pStyle w:val="Textoindependiente"/>
        <w:rPr>
          <w:rFonts w:cs="Arial"/>
          <w:szCs w:val="22"/>
          <w:lang w:val="es-ES"/>
        </w:rPr>
      </w:pPr>
      <w:r w:rsidRPr="00993936">
        <w:rPr>
          <w:rFonts w:cs="Arial"/>
          <w:szCs w:val="22"/>
          <w:lang w:val="es-ES"/>
        </w:rPr>
        <w:t>10.1.8 Con la finalidad de disminuir la contaminación que provenga de los restos de fitosanitarios que quedan en los envases, se realizará un triple lavado. El agua de este lavado se añadirá al tanque de aplicación.</w:t>
      </w:r>
    </w:p>
    <w:p w:rsidR="00503A41" w:rsidRPr="00993936" w:rsidRDefault="00503A41" w:rsidP="001D205D">
      <w:pPr>
        <w:pStyle w:val="Textoindependiente"/>
        <w:rPr>
          <w:rFonts w:cs="Arial"/>
          <w:i/>
          <w:szCs w:val="22"/>
          <w:lang w:val="es-ES"/>
        </w:rPr>
      </w:pPr>
    </w:p>
    <w:p w:rsidR="00503A41" w:rsidRPr="00993936" w:rsidRDefault="00503A41" w:rsidP="001C0FFB">
      <w:pPr>
        <w:pStyle w:val="Textoindependiente"/>
        <w:rPr>
          <w:rFonts w:cs="Arial"/>
          <w:szCs w:val="22"/>
          <w:lang w:val="es-ES"/>
        </w:rPr>
      </w:pPr>
      <w:r w:rsidRPr="00993936">
        <w:rPr>
          <w:rFonts w:cs="Arial"/>
          <w:szCs w:val="22"/>
          <w:lang w:val="es-ES"/>
        </w:rPr>
        <w:t>10.1.9 La presencia de residuos se tiene que minimizar mediante la máxima ampliación posible de los plazos de seguridad.</w:t>
      </w:r>
    </w:p>
    <w:p w:rsidR="00503A41" w:rsidRPr="00993936" w:rsidRDefault="00503A41" w:rsidP="001C0FFB">
      <w:pPr>
        <w:pStyle w:val="Textoindependiente"/>
        <w:rPr>
          <w:rFonts w:cs="Arial"/>
          <w:szCs w:val="22"/>
          <w:lang w:val="es-ES"/>
        </w:rPr>
      </w:pPr>
    </w:p>
    <w:p w:rsidR="00503A41" w:rsidRPr="00993936" w:rsidRDefault="00503A41" w:rsidP="001C0FFB">
      <w:pPr>
        <w:jc w:val="both"/>
        <w:rPr>
          <w:rFonts w:ascii="Arial" w:hAnsi="Arial" w:cs="Arial"/>
          <w:lang w:val="es-ES"/>
        </w:rPr>
      </w:pPr>
      <w:r w:rsidRPr="00993936">
        <w:rPr>
          <w:rFonts w:ascii="Arial" w:hAnsi="Arial" w:cs="Arial"/>
          <w:lang w:val="es-ES"/>
        </w:rPr>
        <w:t>10.1.10 Proteger la fauna auxiliar en general y, en particular, al menos, dos especies</w:t>
      </w:r>
      <w:r w:rsidRPr="00993936">
        <w:rPr>
          <w:rFonts w:ascii="Arial" w:hAnsi="Arial" w:cs="Arial"/>
          <w:vanish/>
          <w:lang w:val="es-ES"/>
        </w:rPr>
        <w:t>&lt;A[especies|especias]&gt;</w:t>
      </w:r>
      <w:r w:rsidRPr="00993936">
        <w:rPr>
          <w:rFonts w:ascii="Arial" w:hAnsi="Arial" w:cs="Arial"/>
          <w:lang w:val="es-ES"/>
        </w:rPr>
        <w:t xml:space="preserve"> de las cuales su protección y aumento de sus poblaciones se considere prioritaria para el cultivo. Las especies</w:t>
      </w:r>
      <w:r w:rsidRPr="00993936">
        <w:rPr>
          <w:rFonts w:ascii="Arial" w:hAnsi="Arial" w:cs="Arial"/>
          <w:vanish/>
          <w:lang w:val="es-ES"/>
        </w:rPr>
        <w:t>&lt;A[especies|especias]&gt;</w:t>
      </w:r>
      <w:r w:rsidRPr="00993936">
        <w:rPr>
          <w:rFonts w:ascii="Arial" w:hAnsi="Arial" w:cs="Arial"/>
          <w:lang w:val="es-ES"/>
        </w:rPr>
        <w:t xml:space="preserve"> de fauna auxiliar que se pueden proteger en olivo son las siguientes: </w:t>
      </w:r>
    </w:p>
    <w:p w:rsidR="00503A41" w:rsidRPr="00993936" w:rsidRDefault="00503A41" w:rsidP="001C0FFB">
      <w:pPr>
        <w:pStyle w:val="Ttulo4"/>
        <w:jc w:val="both"/>
        <w:rPr>
          <w:rFonts w:ascii="Arial" w:hAnsi="Arial" w:cs="Arial"/>
          <w:i w:val="0"/>
          <w:color w:val="auto"/>
          <w:lang w:val="es-ES"/>
        </w:rPr>
      </w:pPr>
      <w:r w:rsidRPr="00993936">
        <w:rPr>
          <w:rFonts w:ascii="Arial" w:hAnsi="Arial" w:cs="Arial"/>
          <w:i w:val="0"/>
          <w:color w:val="auto"/>
          <w:lang w:val="es-ES"/>
        </w:rPr>
        <w:t>Chrysoperla carnea</w:t>
      </w:r>
      <w:r w:rsidRPr="00993936">
        <w:rPr>
          <w:rFonts w:ascii="Arial" w:hAnsi="Arial" w:cs="Arial"/>
          <w:color w:val="auto"/>
          <w:lang w:val="es-ES"/>
        </w:rPr>
        <w:t xml:space="preserve"> Steph., </w:t>
      </w:r>
      <w:r w:rsidRPr="00993936">
        <w:rPr>
          <w:rFonts w:ascii="Arial" w:hAnsi="Arial" w:cs="Arial"/>
          <w:i w:val="0"/>
          <w:color w:val="auto"/>
          <w:lang w:val="es-ES"/>
        </w:rPr>
        <w:t>Anthocoris nemoralis</w:t>
      </w:r>
      <w:r w:rsidRPr="00993936">
        <w:rPr>
          <w:rFonts w:ascii="Arial" w:hAnsi="Arial" w:cs="Arial"/>
          <w:color w:val="auto"/>
          <w:lang w:val="es-ES"/>
        </w:rPr>
        <w:t xml:space="preserve"> F., </w:t>
      </w:r>
      <w:r w:rsidRPr="00993936">
        <w:rPr>
          <w:rFonts w:ascii="Arial" w:hAnsi="Arial" w:cs="Arial"/>
          <w:i w:val="0"/>
          <w:color w:val="auto"/>
          <w:lang w:val="es-ES"/>
        </w:rPr>
        <w:t>Scutellista cyanea</w:t>
      </w:r>
      <w:r w:rsidRPr="00993936">
        <w:rPr>
          <w:rFonts w:ascii="Arial" w:hAnsi="Arial" w:cs="Arial"/>
          <w:color w:val="auto"/>
          <w:lang w:val="es-ES"/>
        </w:rPr>
        <w:t xml:space="preserve"> Motstch,</w:t>
      </w:r>
      <w:r w:rsidRPr="00993936">
        <w:rPr>
          <w:rFonts w:ascii="Arial" w:hAnsi="Arial" w:cs="Arial"/>
          <w:i w:val="0"/>
          <w:color w:val="auto"/>
          <w:lang w:val="es-ES"/>
        </w:rPr>
        <w:t xml:space="preserve"> Metaphycus lounsbouryi </w:t>
      </w:r>
      <w:r w:rsidRPr="00993936">
        <w:rPr>
          <w:rFonts w:ascii="Arial" w:hAnsi="Arial" w:cs="Arial"/>
          <w:color w:val="auto"/>
          <w:lang w:val="es-ES"/>
        </w:rPr>
        <w:t>Howard</w:t>
      </w:r>
      <w:r w:rsidRPr="00993936">
        <w:rPr>
          <w:rFonts w:ascii="Arial" w:hAnsi="Arial" w:cs="Arial"/>
          <w:i w:val="0"/>
          <w:color w:val="auto"/>
          <w:lang w:val="es-ES"/>
        </w:rPr>
        <w:t xml:space="preserve">, Metaphycus helvolus </w:t>
      </w:r>
      <w:r w:rsidRPr="00993936">
        <w:rPr>
          <w:rFonts w:ascii="Arial" w:hAnsi="Arial" w:cs="Arial"/>
          <w:color w:val="auto"/>
          <w:lang w:val="es-ES"/>
        </w:rPr>
        <w:t>Compere</w:t>
      </w:r>
      <w:r w:rsidRPr="00993936">
        <w:rPr>
          <w:rFonts w:ascii="Arial" w:hAnsi="Arial" w:cs="Arial"/>
          <w:i w:val="0"/>
          <w:color w:val="auto"/>
          <w:lang w:val="es-ES"/>
        </w:rPr>
        <w:t xml:space="preserve">, Coccophagus lycimnia </w:t>
      </w:r>
      <w:r w:rsidRPr="00993936">
        <w:rPr>
          <w:rFonts w:ascii="Arial" w:hAnsi="Arial" w:cs="Arial"/>
          <w:color w:val="auto"/>
          <w:lang w:val="es-ES"/>
        </w:rPr>
        <w:t>Walker</w:t>
      </w:r>
      <w:r w:rsidRPr="00993936">
        <w:rPr>
          <w:rFonts w:ascii="Arial" w:hAnsi="Arial" w:cs="Arial"/>
          <w:i w:val="0"/>
          <w:color w:val="auto"/>
          <w:lang w:val="es-ES"/>
        </w:rPr>
        <w:t xml:space="preserve">, Chilocorus bipustulatus </w:t>
      </w:r>
      <w:r w:rsidRPr="00993936">
        <w:rPr>
          <w:rFonts w:ascii="Arial" w:hAnsi="Arial" w:cs="Arial"/>
          <w:color w:val="auto"/>
          <w:lang w:val="es-ES"/>
        </w:rPr>
        <w:t>L</w:t>
      </w:r>
      <w:r w:rsidRPr="00993936">
        <w:rPr>
          <w:rFonts w:ascii="Arial" w:hAnsi="Arial" w:cs="Arial"/>
          <w:i w:val="0"/>
          <w:color w:val="auto"/>
          <w:lang w:val="es-ES"/>
        </w:rPr>
        <w:t xml:space="preserve">., Eulophus longulus </w:t>
      </w:r>
      <w:r w:rsidRPr="00993936">
        <w:rPr>
          <w:rFonts w:ascii="Arial" w:hAnsi="Arial" w:cs="Arial"/>
          <w:color w:val="auto"/>
          <w:lang w:val="es-ES"/>
        </w:rPr>
        <w:t>(Zett</w:t>
      </w:r>
      <w:r w:rsidRPr="00993936">
        <w:rPr>
          <w:rFonts w:ascii="Arial" w:hAnsi="Arial" w:cs="Arial"/>
          <w:i w:val="0"/>
          <w:color w:val="auto"/>
          <w:lang w:val="es-ES"/>
        </w:rPr>
        <w:t xml:space="preserve">), Opius concolor </w:t>
      </w:r>
      <w:r w:rsidRPr="00993936">
        <w:rPr>
          <w:rFonts w:ascii="Arial" w:hAnsi="Arial" w:cs="Arial"/>
          <w:color w:val="auto"/>
          <w:lang w:val="es-ES"/>
        </w:rPr>
        <w:t>(Dalm</w:t>
      </w:r>
      <w:r w:rsidRPr="00993936">
        <w:rPr>
          <w:rFonts w:ascii="Arial" w:hAnsi="Arial" w:cs="Arial"/>
          <w:i w:val="0"/>
          <w:color w:val="auto"/>
          <w:lang w:val="es-ES"/>
        </w:rPr>
        <w:t xml:space="preserve">), Apanteles sp </w:t>
      </w:r>
      <w:r w:rsidRPr="00993936">
        <w:rPr>
          <w:rFonts w:ascii="Arial" w:hAnsi="Arial" w:cs="Arial"/>
          <w:color w:val="auto"/>
          <w:lang w:val="es-ES"/>
        </w:rPr>
        <w:t>y</w:t>
      </w:r>
      <w:r w:rsidRPr="00993936">
        <w:rPr>
          <w:rFonts w:ascii="Arial" w:hAnsi="Arial" w:cs="Arial"/>
          <w:i w:val="0"/>
          <w:color w:val="auto"/>
          <w:lang w:val="es-ES"/>
        </w:rPr>
        <w:t xml:space="preserve"> Trichoderma spp.</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eastAsia="es-ES"/>
        </w:rPr>
      </w:pPr>
      <w:r w:rsidRPr="00993936">
        <w:rPr>
          <w:rFonts w:ascii="Arial" w:hAnsi="Arial" w:cs="Arial"/>
          <w:lang w:val="es-ES" w:eastAsia="es-ES"/>
        </w:rPr>
        <w:t>10.1.12 El aplicador de productos fitosanitarios tendrá que estar cualificado</w:t>
      </w:r>
      <w:r w:rsidRPr="00993936">
        <w:rPr>
          <w:rFonts w:ascii="Arial" w:hAnsi="Arial" w:cs="Arial"/>
          <w:vanish/>
          <w:lang w:val="es-ES" w:eastAsia="es-ES"/>
        </w:rPr>
        <w:t>&lt;A[cualificado|calificado]&gt;</w:t>
      </w:r>
      <w:r w:rsidRPr="00993936">
        <w:rPr>
          <w:rFonts w:ascii="Arial" w:hAnsi="Arial" w:cs="Arial"/>
          <w:lang w:val="es-ES" w:eastAsia="es-ES"/>
        </w:rPr>
        <w:t xml:space="preserve"> específicamente, para</w:t>
      </w:r>
      <w:r w:rsidRPr="00993936">
        <w:rPr>
          <w:rFonts w:ascii="Arial" w:hAnsi="Arial" w:cs="Arial"/>
          <w:vanish/>
          <w:lang w:val="es-ES" w:eastAsia="es-ES"/>
        </w:rPr>
        <w:t>&lt;A[por|para]&gt;</w:t>
      </w:r>
      <w:r w:rsidRPr="00993936">
        <w:rPr>
          <w:rFonts w:ascii="Arial" w:hAnsi="Arial" w:cs="Arial"/>
          <w:lang w:val="es-ES" w:eastAsia="es-ES"/>
        </w:rPr>
        <w:t xml:space="preserve"> lo cual tendrá que justificar que dispone de la acreditación del carné básico de aplicador de productos fitosanitarios o el carné cualificado</w:t>
      </w:r>
      <w:r w:rsidRPr="00993936">
        <w:rPr>
          <w:rFonts w:ascii="Arial" w:hAnsi="Arial" w:cs="Arial"/>
          <w:vanish/>
          <w:lang w:val="es-ES" w:eastAsia="es-ES"/>
        </w:rPr>
        <w:t>&lt;A[calificado|cualificado]&gt;</w:t>
      </w:r>
      <w:r w:rsidRPr="00993936">
        <w:rPr>
          <w:rFonts w:ascii="Arial" w:hAnsi="Arial" w:cs="Arial"/>
          <w:lang w:val="es-ES" w:eastAsia="es-ES"/>
        </w:rPr>
        <w:t xml:space="preserve"> en caso que le sea obligatorio de acuerdo con lo que establece el RD 1311/2012.</w:t>
      </w:r>
    </w:p>
    <w:p w:rsidR="00503A41" w:rsidRPr="00993936" w:rsidRDefault="00503A41" w:rsidP="001C0FFB">
      <w:pPr>
        <w:pStyle w:val="Textoindependiente"/>
        <w:rPr>
          <w:rFonts w:cs="Arial"/>
          <w:i/>
          <w:szCs w:val="22"/>
          <w:lang w:val="es-ES"/>
        </w:rPr>
      </w:pPr>
      <w:r w:rsidRPr="00993936">
        <w:rPr>
          <w:rFonts w:cs="Arial"/>
          <w:szCs w:val="22"/>
          <w:lang w:val="es-ES"/>
        </w:rPr>
        <w:t xml:space="preserve">10.1.12 La maquinaria utilizada para aplicar los productos fitosanitarios se tiene que mantener en un adecuado estado de funcionamiento y someterse, periódicamente, a los controles e inspecciones que establece el artículo 16 de esta norma. </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10.1.13 En caso de tratamientos fitosanitarios y con la finalidad de obtener la máxima eficacia con la menor dosis, se deben ajustar las concentraciones de los productos, los volúmenes máximos de caldo y el caudal de aire, con el objetivo de evitar las sobredosificaciones y procurar que las aplicaciones no lleguen a una parcela y/o UHC diferente de la que se pretende tratar, y tener en cuenta el estado fenológico del cultivo.   </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10.1.14  Reducir el área tratada a foco o rodales con tratamientos químicos siempre que la plaga o enfermedad se encuentre lo bastante localizada y sea posible.</w:t>
      </w:r>
    </w:p>
    <w:p w:rsidR="00503A41" w:rsidRPr="00993936" w:rsidRDefault="00503A41" w:rsidP="001C0FFB">
      <w:pPr>
        <w:rPr>
          <w:rFonts w:ascii="Arial" w:hAnsi="Arial" w:cs="Arial"/>
          <w:lang w:val="es-ES"/>
        </w:rPr>
      </w:pPr>
      <w:r w:rsidRPr="00993936">
        <w:rPr>
          <w:rFonts w:ascii="Arial" w:hAnsi="Arial" w:cs="Arial"/>
          <w:lang w:val="es-ES"/>
        </w:rPr>
        <w:t xml:space="preserve">10.2 </w:t>
      </w:r>
      <w:r w:rsidRPr="00993936">
        <w:rPr>
          <w:rFonts w:ascii="Arial" w:hAnsi="Arial" w:cs="Arial"/>
          <w:i/>
          <w:lang w:val="es-ES"/>
        </w:rPr>
        <w:t>Prohibiciones</w:t>
      </w:r>
    </w:p>
    <w:p w:rsidR="00503A41" w:rsidRPr="00993936" w:rsidRDefault="00503A41" w:rsidP="001C0FFB">
      <w:pPr>
        <w:jc w:val="both"/>
        <w:rPr>
          <w:rFonts w:ascii="Arial" w:hAnsi="Arial" w:cs="Arial"/>
          <w:lang w:val="es-ES"/>
        </w:rPr>
      </w:pPr>
      <w:r w:rsidRPr="00993936">
        <w:rPr>
          <w:rFonts w:ascii="Arial" w:hAnsi="Arial" w:cs="Arial"/>
          <w:lang w:val="es-ES"/>
        </w:rPr>
        <w:t>10.2.1 Realizar liberaciones de enemigos naturales no presentes en la fauna española, o cuya introducción esté prohibida por</w:t>
      </w:r>
      <w:r w:rsidRPr="00993936">
        <w:rPr>
          <w:rFonts w:ascii="Arial" w:hAnsi="Arial" w:cs="Arial"/>
          <w:vanish/>
          <w:lang w:val="es-ES"/>
        </w:rPr>
        <w:t>&lt;A[por|para]&gt;</w:t>
      </w:r>
      <w:r w:rsidRPr="00993936">
        <w:rPr>
          <w:rFonts w:ascii="Arial" w:hAnsi="Arial" w:cs="Arial"/>
          <w:lang w:val="es-ES"/>
        </w:rPr>
        <w:t xml:space="preserve"> la legislación correspondiente, salvo autorización expresa de la dirección general competente en materia de agricultura.</w:t>
      </w:r>
    </w:p>
    <w:p w:rsidR="00503A41" w:rsidRPr="00993936" w:rsidRDefault="00503A41" w:rsidP="001C0FFB">
      <w:pPr>
        <w:pStyle w:val="Textoindependiente"/>
        <w:rPr>
          <w:rFonts w:cs="Arial"/>
          <w:szCs w:val="22"/>
          <w:lang w:val="es-ES"/>
        </w:rPr>
      </w:pPr>
      <w:r w:rsidRPr="00993936">
        <w:rPr>
          <w:rFonts w:cs="Arial"/>
          <w:szCs w:val="22"/>
          <w:lang w:val="es-ES"/>
        </w:rPr>
        <w:t>10.2.2 Utilizar calendarios de tratamientos y realizar aplicaciones indiscriminadas sin la prescripción técnica.</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10.2.3 Abandonar el control fitosanitario antes de finalizar el periodo vegetativo del cultivo, excepto en casos de bastante mayor reconocidos por la dirección general competente en materia de agricultura.</w:t>
      </w:r>
    </w:p>
    <w:p w:rsidR="00503A41" w:rsidRPr="00993936" w:rsidRDefault="00503A41" w:rsidP="001C0FFB">
      <w:pPr>
        <w:pStyle w:val="Textoindependiente"/>
        <w:rPr>
          <w:rFonts w:cs="Arial"/>
          <w:szCs w:val="22"/>
          <w:lang w:val="es-ES"/>
        </w:rPr>
      </w:pPr>
      <w:r w:rsidRPr="00993936">
        <w:rPr>
          <w:rFonts w:cs="Arial"/>
          <w:szCs w:val="22"/>
          <w:lang w:val="es-ES"/>
        </w:rPr>
        <w:t>10.2.4 Utilizar, de manera sistemática y reiterada, productos fitosanitarios no selectivos, de larga persistencia, alta volatilidad, lixiviables o con otras características negativas.</w:t>
      </w:r>
    </w:p>
    <w:p w:rsidR="00503A41" w:rsidRPr="00993936" w:rsidRDefault="00503A41" w:rsidP="001C0FFB">
      <w:pPr>
        <w:jc w:val="both"/>
        <w:rPr>
          <w:rFonts w:ascii="Arial" w:hAnsi="Arial" w:cs="Arial"/>
          <w:lang w:val="es-ES"/>
        </w:rPr>
      </w:pPr>
      <w:r w:rsidRPr="00993936">
        <w:rPr>
          <w:rFonts w:ascii="Arial" w:hAnsi="Arial" w:cs="Arial"/>
          <w:lang w:val="es-ES"/>
        </w:rPr>
        <w:t xml:space="preserve">10.2.5 Utilizar productos fitosanitarios a menos de 5 metros de aguas superficiales. </w:t>
      </w:r>
    </w:p>
    <w:p w:rsidR="00503A41" w:rsidRPr="00993936" w:rsidRDefault="00503A41" w:rsidP="001C0FFB">
      <w:pPr>
        <w:jc w:val="both"/>
        <w:rPr>
          <w:rFonts w:ascii="Arial" w:hAnsi="Arial" w:cs="Arial"/>
          <w:u w:val="single"/>
          <w:lang w:val="es-ES"/>
        </w:rPr>
      </w:pPr>
      <w:r w:rsidRPr="00993936">
        <w:rPr>
          <w:rFonts w:ascii="Arial" w:hAnsi="Arial" w:cs="Arial"/>
          <w:lang w:val="es-ES"/>
        </w:rPr>
        <w:t>10.2.6 Las aplicaciones de productos fitosanitarios en condiciones meteorológicamente desfavorables, especialmente en caso de riesgo de deriva.</w:t>
      </w:r>
    </w:p>
    <w:p w:rsidR="00503A41" w:rsidRPr="00993936" w:rsidRDefault="00503A41" w:rsidP="001C0FFB">
      <w:pPr>
        <w:jc w:val="both"/>
        <w:rPr>
          <w:rFonts w:ascii="Arial" w:hAnsi="Arial" w:cs="Arial"/>
          <w:lang w:val="es-ES" w:eastAsia="es-ES"/>
        </w:rPr>
      </w:pPr>
      <w:r w:rsidRPr="00993936">
        <w:rPr>
          <w:rFonts w:ascii="Arial" w:hAnsi="Arial" w:cs="Arial"/>
          <w:lang w:val="es-ES"/>
        </w:rPr>
        <w:t xml:space="preserve">10.2.7 Utilizar materias activas no incluidas en el anexo 2 de esta norma técnica. </w:t>
      </w:r>
      <w:r w:rsidRPr="00993936">
        <w:rPr>
          <w:rFonts w:ascii="Arial" w:hAnsi="Arial" w:cs="Arial"/>
          <w:lang w:val="es-ES" w:eastAsia="es-ES"/>
        </w:rPr>
        <w:t>Esta prohibición no es de aplicación en las materias activas que tengan una autorización de uso excepcional vigente o a las que aparezcan al Registro Oficial de Productos y Material Fitosanitario, autorizadas para combatir determinadas plagas y/o enfermedades, que no estén contempladas por su novedad en los anexos de fitosanitarios de esta norma.</w:t>
      </w:r>
    </w:p>
    <w:p w:rsidR="00503A41" w:rsidRPr="00993936" w:rsidRDefault="00503A41" w:rsidP="001C0FFB">
      <w:pPr>
        <w:jc w:val="both"/>
        <w:rPr>
          <w:rFonts w:ascii="Arial" w:hAnsi="Arial" w:cs="Arial"/>
          <w:lang w:val="es-ES"/>
        </w:rPr>
      </w:pPr>
      <w:r w:rsidRPr="00993936">
        <w:rPr>
          <w:rFonts w:ascii="Arial" w:hAnsi="Arial" w:cs="Arial"/>
          <w:lang w:val="es-ES"/>
        </w:rPr>
        <w:t>Excepcionalmente, cuando</w:t>
      </w:r>
      <w:r w:rsidRPr="00993936">
        <w:rPr>
          <w:rFonts w:ascii="Arial" w:hAnsi="Arial" w:cs="Arial"/>
          <w:vanish/>
          <w:lang w:val="es-ES"/>
        </w:rPr>
        <w:t>&lt;A[cuando|cuándo]&gt;</w:t>
      </w:r>
      <w:r w:rsidRPr="00993936">
        <w:rPr>
          <w:rFonts w:ascii="Arial" w:hAnsi="Arial" w:cs="Arial"/>
          <w:lang w:val="es-ES"/>
        </w:rPr>
        <w:t xml:space="preserve"> en el cultivo se detecten plagas que, por no ser habituales, no están reflejadas en el anexo 2 de esta norma, o no se haya definido el umbral y/o criterio mínimo de intervención, se podrá actuar en contra con cualquier otro fitosanitario que esté expresamente autorizado en el Registro Oficial de Productos y Material Fitosanitario del Ministerio de Agricultura, Pesca, Alimentación y Medio Ambiente, (MAPAMA) para</w:t>
      </w:r>
      <w:r w:rsidRPr="00993936">
        <w:rPr>
          <w:rFonts w:ascii="Arial" w:hAnsi="Arial" w:cs="Arial"/>
          <w:vanish/>
          <w:lang w:val="es-ES"/>
        </w:rPr>
        <w:t>&lt;A[para|por]&gt;</w:t>
      </w:r>
      <w:r w:rsidRPr="00993936">
        <w:rPr>
          <w:rFonts w:ascii="Arial" w:hAnsi="Arial" w:cs="Arial"/>
          <w:lang w:val="es-ES"/>
        </w:rPr>
        <w:t xml:space="preserve"> este cultivo y para</w:t>
      </w:r>
      <w:r w:rsidRPr="00993936">
        <w:rPr>
          <w:rFonts w:ascii="Arial" w:hAnsi="Arial" w:cs="Arial"/>
          <w:vanish/>
          <w:lang w:val="es-ES"/>
        </w:rPr>
        <w:t>&lt;A[por|para]&gt;</w:t>
      </w:r>
      <w:r w:rsidRPr="00993936">
        <w:rPr>
          <w:rFonts w:ascii="Arial" w:hAnsi="Arial" w:cs="Arial"/>
          <w:lang w:val="es-ES"/>
        </w:rPr>
        <w:t xml:space="preserve"> los usos oficialmente autorizados. </w:t>
      </w:r>
    </w:p>
    <w:p w:rsidR="00503A41" w:rsidRPr="00993936" w:rsidRDefault="00503A41" w:rsidP="001C0FFB">
      <w:pPr>
        <w:jc w:val="both"/>
        <w:rPr>
          <w:rFonts w:ascii="Arial" w:hAnsi="Arial" w:cs="Arial"/>
          <w:lang w:val="es-ES"/>
        </w:rPr>
      </w:pPr>
      <w:r w:rsidRPr="00993936">
        <w:rPr>
          <w:rFonts w:ascii="Arial" w:hAnsi="Arial" w:cs="Arial"/>
          <w:lang w:val="es-ES"/>
        </w:rPr>
        <w:t xml:space="preserve">10.2.8 Aplicar productos fitosanitarios de perfil toxicológico T+ (muy tóxico) o que en su clasificación y etiquetado presenten frases de riesgo con un perfil muy tóxico o mortales para la salud humana. </w:t>
      </w:r>
    </w:p>
    <w:p w:rsidR="00503A41" w:rsidRPr="00993936" w:rsidRDefault="00503A41" w:rsidP="001C0FFB">
      <w:pPr>
        <w:jc w:val="both"/>
        <w:rPr>
          <w:rFonts w:ascii="Arial" w:hAnsi="Arial" w:cs="Arial"/>
          <w:lang w:val="es-ES"/>
        </w:rPr>
      </w:pPr>
      <w:r w:rsidRPr="00993936">
        <w:rPr>
          <w:rFonts w:ascii="Arial" w:hAnsi="Arial" w:cs="Arial"/>
          <w:lang w:val="es-ES"/>
        </w:rPr>
        <w:t>10.2.9 Aplicar productos fitosanitarios a menos de 50 metros de captaciones de agua de consumo humano.</w:t>
      </w:r>
    </w:p>
    <w:p w:rsidR="00503A41" w:rsidRPr="00993936" w:rsidRDefault="00503A41" w:rsidP="001C0FFB">
      <w:pPr>
        <w:jc w:val="both"/>
        <w:rPr>
          <w:rFonts w:ascii="Arial" w:hAnsi="Arial" w:cs="Arial"/>
          <w:lang w:val="es-ES"/>
        </w:rPr>
      </w:pPr>
      <w:r w:rsidRPr="00993936">
        <w:rPr>
          <w:rFonts w:ascii="Arial" w:hAnsi="Arial" w:cs="Arial"/>
          <w:lang w:val="es-ES"/>
        </w:rPr>
        <w:t>10.2.10 Utilizar cualquier producto autorizado por esta norma técnica que sea dado de baja del Registro Oficial de Productos y Material Fitosanitario del Ministerio de Agricultura, Pesca, Alimentación y Medio Ambiente, (MAPAMA) con posterioridad en la publicación de la disposición que lo aprueba.</w:t>
      </w:r>
    </w:p>
    <w:p w:rsidR="00503A41" w:rsidRPr="00993936" w:rsidRDefault="00503A41" w:rsidP="001C0FFB">
      <w:pPr>
        <w:jc w:val="both"/>
        <w:rPr>
          <w:rFonts w:ascii="Arial" w:hAnsi="Arial" w:cs="Arial"/>
          <w:lang w:val="es-ES"/>
        </w:rPr>
      </w:pPr>
      <w:r w:rsidRPr="00993936">
        <w:rPr>
          <w:rFonts w:ascii="Arial" w:hAnsi="Arial" w:cs="Arial"/>
          <w:lang w:val="es-ES"/>
        </w:rPr>
        <w:t xml:space="preserve">10.3.- </w:t>
      </w:r>
      <w:r w:rsidRPr="00993936">
        <w:rPr>
          <w:rFonts w:ascii="Arial" w:hAnsi="Arial" w:cs="Arial"/>
          <w:i/>
          <w:lang w:val="es-ES"/>
        </w:rPr>
        <w:t>Recomendaciones</w:t>
      </w:r>
    </w:p>
    <w:p w:rsidR="00503A41" w:rsidRPr="00993936" w:rsidRDefault="00503A41" w:rsidP="001C0FFB">
      <w:pPr>
        <w:jc w:val="both"/>
        <w:rPr>
          <w:rFonts w:ascii="Arial" w:hAnsi="Arial" w:cs="Arial"/>
          <w:lang w:val="es-ES"/>
        </w:rPr>
      </w:pPr>
      <w:r w:rsidRPr="00993936">
        <w:rPr>
          <w:rFonts w:ascii="Arial" w:hAnsi="Arial" w:cs="Arial"/>
          <w:lang w:val="es-ES"/>
        </w:rPr>
        <w:t>10.3.1 Realizar los tratamientos fitosanitarios con velocidades de viento inferiores a los 10,8 kilómetros por hora.</w:t>
      </w:r>
    </w:p>
    <w:p w:rsidR="00503A41" w:rsidRPr="00993936" w:rsidRDefault="00503A41" w:rsidP="001C0FFB">
      <w:pPr>
        <w:pStyle w:val="Textoindependiente"/>
        <w:rPr>
          <w:rFonts w:cs="Arial"/>
          <w:szCs w:val="22"/>
          <w:lang w:val="es-ES"/>
        </w:rPr>
      </w:pPr>
      <w:r w:rsidRPr="00993936">
        <w:rPr>
          <w:rFonts w:cs="Arial"/>
          <w:szCs w:val="22"/>
          <w:lang w:val="es-ES"/>
        </w:rPr>
        <w:t>10.3.2 En caso de tratamientos fitosanitarios, alternar sustancias activas de los diferentes grupos químicos y mecanismos de acción, no realizando más de dos tratamientos consecutivos con la misma sustancia activa.</w:t>
      </w:r>
    </w:p>
    <w:p w:rsidR="00503A41" w:rsidRPr="00993936" w:rsidRDefault="00503A41" w:rsidP="001C0FFB">
      <w:pPr>
        <w:jc w:val="both"/>
        <w:rPr>
          <w:rFonts w:ascii="Arial" w:hAnsi="Arial" w:cs="Arial"/>
          <w:lang w:val="es-ES"/>
        </w:rPr>
      </w:pPr>
      <w:r w:rsidRPr="00993936">
        <w:rPr>
          <w:rFonts w:ascii="Arial" w:hAnsi="Arial" w:cs="Arial"/>
          <w:lang w:val="es-ES"/>
        </w:rPr>
        <w:t>10.3.3 No utilizar productos fitosanitarios con más de dos años desde la fecha de fabricación a menos que la etiqueta especifique un plazo inferior.</w:t>
      </w:r>
    </w:p>
    <w:p w:rsidR="00503A41" w:rsidRPr="00993936" w:rsidRDefault="00503A41" w:rsidP="001C0FFB">
      <w:pPr>
        <w:jc w:val="both"/>
        <w:rPr>
          <w:rFonts w:ascii="Arial" w:hAnsi="Arial" w:cs="Arial"/>
          <w:lang w:val="es-ES"/>
        </w:rPr>
      </w:pPr>
      <w:r w:rsidRPr="00993936">
        <w:rPr>
          <w:rFonts w:ascii="Arial" w:hAnsi="Arial" w:cs="Arial"/>
          <w:lang w:val="es-ES"/>
        </w:rPr>
        <w:t>10.3.4 Disponer en la explotación de zonas preparadas expresamente para llenar los cubos, lavar equipos y depositar los restos de caldos no utilizados, etc.</w:t>
      </w:r>
    </w:p>
    <w:p w:rsidR="00503A41" w:rsidRPr="00993936" w:rsidRDefault="00503A41" w:rsidP="001C0FFB">
      <w:pPr>
        <w:jc w:val="both"/>
        <w:rPr>
          <w:rFonts w:ascii="Arial" w:hAnsi="Arial" w:cs="Arial"/>
          <w:lang w:val="es-ES"/>
        </w:rPr>
      </w:pPr>
      <w:r w:rsidRPr="00993936">
        <w:rPr>
          <w:rFonts w:ascii="Arial" w:hAnsi="Arial" w:cs="Arial"/>
          <w:lang w:val="es-ES"/>
        </w:rPr>
        <w:t>10.3.5 Utilizar modelos de predicción de plagas y enfermedades, En caso que haya y que se hayan contrastado en la zona de cultivo.</w:t>
      </w:r>
    </w:p>
    <w:p w:rsidR="00503A41" w:rsidRPr="00993936" w:rsidRDefault="00503A41" w:rsidP="001C0FFB">
      <w:pPr>
        <w:jc w:val="both"/>
        <w:outlineLvl w:val="0"/>
        <w:rPr>
          <w:rFonts w:ascii="Arial" w:hAnsi="Arial" w:cs="Arial"/>
          <w:lang w:val="es-ES"/>
        </w:rPr>
      </w:pPr>
    </w:p>
    <w:p w:rsidR="00503A41" w:rsidRPr="00993936" w:rsidRDefault="00503A41" w:rsidP="001C0FFB">
      <w:pPr>
        <w:jc w:val="both"/>
        <w:outlineLvl w:val="0"/>
        <w:rPr>
          <w:rFonts w:ascii="Arial" w:hAnsi="Arial" w:cs="Arial"/>
          <w:lang w:val="es-ES"/>
        </w:rPr>
      </w:pPr>
      <w:r w:rsidRPr="00993936">
        <w:rPr>
          <w:rFonts w:ascii="Arial" w:hAnsi="Arial" w:cs="Arial"/>
          <w:lang w:val="es-ES"/>
        </w:rPr>
        <w:lastRenderedPageBreak/>
        <w:t>Artículo 11</w:t>
      </w:r>
    </w:p>
    <w:p w:rsidR="00503A41" w:rsidRPr="00993936" w:rsidRDefault="00503A41" w:rsidP="001C0FFB">
      <w:pPr>
        <w:jc w:val="both"/>
        <w:outlineLvl w:val="0"/>
        <w:rPr>
          <w:rFonts w:ascii="Arial" w:hAnsi="Arial" w:cs="Arial"/>
          <w:b/>
          <w:lang w:val="es-ES"/>
        </w:rPr>
      </w:pPr>
      <w:r w:rsidRPr="00993936">
        <w:rPr>
          <w:rFonts w:ascii="Arial" w:hAnsi="Arial" w:cs="Arial"/>
          <w:b/>
          <w:lang w:val="es-ES"/>
        </w:rPr>
        <w:t>Recolección</w:t>
      </w:r>
    </w:p>
    <w:p w:rsidR="00503A41" w:rsidRPr="00993936" w:rsidRDefault="00503A41" w:rsidP="001C0FFB">
      <w:pPr>
        <w:spacing w:before="120"/>
        <w:jc w:val="both"/>
        <w:outlineLvl w:val="0"/>
        <w:rPr>
          <w:rFonts w:ascii="Arial" w:hAnsi="Arial" w:cs="Arial"/>
          <w:i/>
          <w:lang w:val="es-ES"/>
        </w:rPr>
      </w:pPr>
      <w:r w:rsidRPr="00993936">
        <w:rPr>
          <w:rFonts w:ascii="Arial" w:hAnsi="Arial" w:cs="Arial"/>
          <w:lang w:val="es-ES"/>
        </w:rPr>
        <w:t xml:space="preserve">11.1 </w:t>
      </w:r>
      <w:r w:rsidRPr="00993936">
        <w:rPr>
          <w:rFonts w:ascii="Arial" w:hAnsi="Arial" w:cs="Arial"/>
          <w:i/>
          <w:lang w:val="es-ES"/>
        </w:rPr>
        <w:t>Obligaciones</w:t>
      </w:r>
    </w:p>
    <w:p w:rsidR="00503A41" w:rsidRPr="00993936" w:rsidRDefault="00503A41" w:rsidP="001C0FFB">
      <w:pPr>
        <w:pStyle w:val="Textoindependiente"/>
        <w:rPr>
          <w:rFonts w:cs="Arial"/>
          <w:szCs w:val="22"/>
          <w:lang w:val="es-ES"/>
        </w:rPr>
      </w:pPr>
      <w:r w:rsidRPr="00993936">
        <w:rPr>
          <w:rFonts w:cs="Arial"/>
          <w:szCs w:val="22"/>
          <w:lang w:val="es-ES"/>
        </w:rPr>
        <w:t>11.1.1 Hay que separar los frutos procedentes del árbol de los del suelo, y también se separarán las olivas procedentes de las zonas o las fincas afectadas por plagas y enfermedades que producen alteraciones en los frutos y pérdida de calidad de los aceites.</w:t>
      </w:r>
    </w:p>
    <w:p w:rsidR="00503A41" w:rsidRPr="00993936" w:rsidRDefault="00503A41" w:rsidP="001C0FFB">
      <w:pPr>
        <w:jc w:val="both"/>
        <w:rPr>
          <w:rFonts w:ascii="Arial" w:hAnsi="Arial" w:cs="Arial"/>
          <w:lang w:val="es-ES"/>
        </w:rPr>
      </w:pPr>
      <w:r w:rsidRPr="00993936">
        <w:rPr>
          <w:rFonts w:ascii="Arial" w:hAnsi="Arial" w:cs="Arial"/>
          <w:lang w:val="es-ES"/>
        </w:rPr>
        <w:t>11.1.2 Realizar la recolección en las fechas y condiciones adecuadas para evitar heridas en los frutos que reduzcan la calidad y propicien infecciones de patógenos causantes de podredumbres.</w:t>
      </w:r>
    </w:p>
    <w:p w:rsidR="00503A41" w:rsidRPr="00993936" w:rsidRDefault="00503A41" w:rsidP="001C0FFB">
      <w:pPr>
        <w:jc w:val="both"/>
        <w:rPr>
          <w:rFonts w:ascii="Arial" w:hAnsi="Arial" w:cs="Arial"/>
          <w:lang w:val="es-ES"/>
        </w:rPr>
      </w:pPr>
      <w:r w:rsidRPr="00993936">
        <w:rPr>
          <w:rFonts w:ascii="Arial" w:hAnsi="Arial" w:cs="Arial"/>
          <w:lang w:val="es-ES"/>
        </w:rPr>
        <w:t>11.1.3 Se eliminarán los frutos que presenten síntomas con presencia de patógenos causantes de podredumbres.</w:t>
      </w:r>
    </w:p>
    <w:p w:rsidR="00503A41" w:rsidRPr="00993936" w:rsidRDefault="00503A41" w:rsidP="001C0FFB">
      <w:pPr>
        <w:pStyle w:val="Textoindependiente"/>
        <w:rPr>
          <w:rFonts w:cs="Arial"/>
          <w:szCs w:val="22"/>
          <w:lang w:val="es-ES"/>
        </w:rPr>
      </w:pPr>
      <w:r w:rsidRPr="00993936">
        <w:rPr>
          <w:rFonts w:cs="Arial"/>
          <w:szCs w:val="22"/>
          <w:lang w:val="es-ES"/>
        </w:rPr>
        <w:t xml:space="preserve">11.1.4 Recolectar los frutos en un estado de madurez que permita obtener las exigencias de la calidad comercial. </w:t>
      </w:r>
    </w:p>
    <w:p w:rsidR="00503A41" w:rsidRPr="00993936" w:rsidRDefault="00503A41" w:rsidP="001C0FFB">
      <w:pPr>
        <w:jc w:val="both"/>
        <w:rPr>
          <w:rFonts w:ascii="Arial" w:hAnsi="Arial" w:cs="Arial"/>
          <w:lang w:val="es-ES"/>
        </w:rPr>
      </w:pPr>
      <w:r w:rsidRPr="00993936">
        <w:rPr>
          <w:rFonts w:ascii="Arial" w:hAnsi="Arial" w:cs="Arial"/>
          <w:lang w:val="es-ES"/>
        </w:rPr>
        <w:t>11.1.5 Las olivas entrarán en el almacén durante las primeras 24 horas desde su cosecha.</w:t>
      </w:r>
    </w:p>
    <w:p w:rsidR="00503A41" w:rsidRPr="00993936" w:rsidRDefault="00503A41" w:rsidP="001C0FFB">
      <w:pPr>
        <w:pStyle w:val="Textoindependiente"/>
        <w:rPr>
          <w:rFonts w:cs="Arial"/>
          <w:szCs w:val="22"/>
          <w:lang w:val="es-ES"/>
        </w:rPr>
      </w:pPr>
      <w:r w:rsidRPr="00993936">
        <w:rPr>
          <w:rFonts w:cs="Arial"/>
          <w:szCs w:val="22"/>
          <w:lang w:val="es-ES"/>
        </w:rPr>
        <w:t>11.1.6 Cuando los frutos recolectados no sean trasladados al almacén de manipulación el mismo día de la recolección, se tendrán que colocar bajo cubierta o en condiciones que eviten la incidencia directa de los agentes atmosféricos y en un lugar</w:t>
      </w:r>
      <w:r w:rsidRPr="00993936">
        <w:rPr>
          <w:rFonts w:cs="Arial"/>
          <w:vanish/>
          <w:szCs w:val="22"/>
          <w:lang w:val="es-ES"/>
        </w:rPr>
        <w:t>&lt;A[lugar|sitio]&gt;</w:t>
      </w:r>
      <w:r w:rsidRPr="00993936">
        <w:rPr>
          <w:rFonts w:cs="Arial"/>
          <w:szCs w:val="22"/>
          <w:lang w:val="es-ES"/>
        </w:rPr>
        <w:t xml:space="preserve"> con la máxima ventilación, hasta el momento de su envío al almacén manipulador. En caso de que su manipulación se realice en el campo y cuando haya algún riesgo de contaminación, el embalaje se tendrá que retirar durante la noche.</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11.1.7 Todos los operadores que quieran obtener la certificación de producción integrada o bien comercializar productos con la identificación de garantía de producción integrada se tendrán que acoger a un programa de autocontrol individual o colectivo, de acuerdo con lo que prevé el artículo 35 de esta norma durante la recolección y/o elaboración para analizar la posible presencia de residuos de productos fitosanitarios, de acuerdo con lo que establezcan los artículos 12 (f) y 13 (g) del Decreto 241/2002, y con el objetivo de garantizar que se han utilizado exclusivamente las materias activas seleccionadas en la estrategia de producción integrada, y que se cumple con lo que establece la legislación española en relación con los límites máximos de residuos </w:t>
      </w:r>
      <w:r w:rsidRPr="00993936">
        <w:rPr>
          <w:rFonts w:ascii="Arial" w:hAnsi="Arial" w:cs="Arial"/>
          <w:i/>
          <w:sz w:val="22"/>
          <w:szCs w:val="22"/>
          <w:lang w:val="es-ES"/>
        </w:rPr>
        <w:t xml:space="preserve">(LMR) </w:t>
      </w:r>
      <w:r w:rsidRPr="00993936">
        <w:rPr>
          <w:rFonts w:ascii="Arial" w:hAnsi="Arial" w:cs="Arial"/>
          <w:sz w:val="22"/>
          <w:szCs w:val="22"/>
          <w:lang w:val="es-ES"/>
        </w:rPr>
        <w:t>de productos fitosanitarios.</w:t>
      </w:r>
    </w:p>
    <w:p w:rsidR="00503A41" w:rsidRPr="00993936" w:rsidRDefault="00503A41" w:rsidP="001C0FFB">
      <w:pPr>
        <w:pStyle w:val="Textoindependiente"/>
        <w:rPr>
          <w:rFonts w:cs="Arial"/>
          <w:szCs w:val="22"/>
          <w:lang w:val="es-ES"/>
        </w:rPr>
      </w:pPr>
      <w:r w:rsidRPr="00993936">
        <w:rPr>
          <w:rFonts w:cs="Arial"/>
          <w:szCs w:val="22"/>
          <w:lang w:val="es-ES"/>
        </w:rPr>
        <w:t>11.1.8 Mantener el equipo de recolección en condiciones adecuadas de utilización.</w:t>
      </w:r>
    </w:p>
    <w:p w:rsidR="00503A41" w:rsidRPr="00993936" w:rsidRDefault="00503A41" w:rsidP="001C0FFB">
      <w:pPr>
        <w:jc w:val="both"/>
        <w:rPr>
          <w:rFonts w:ascii="Arial" w:hAnsi="Arial" w:cs="Arial"/>
          <w:lang w:val="es-ES"/>
        </w:rPr>
      </w:pPr>
      <w:r w:rsidRPr="00993936">
        <w:rPr>
          <w:rFonts w:ascii="Arial" w:hAnsi="Arial" w:cs="Arial"/>
          <w:lang w:val="es-ES"/>
        </w:rPr>
        <w:t>11.1.9 Para producciones dirigidas a otros mercados diferentes al nacional, se verificará si cumplan la legislación establecida en el lugar</w:t>
      </w:r>
      <w:r w:rsidRPr="00993936">
        <w:rPr>
          <w:rFonts w:ascii="Arial" w:hAnsi="Arial" w:cs="Arial"/>
          <w:vanish/>
          <w:lang w:val="es-ES"/>
        </w:rPr>
        <w:t>&lt;A[lugar|sitio]&gt;</w:t>
      </w:r>
      <w:r w:rsidRPr="00993936">
        <w:rPr>
          <w:rFonts w:ascii="Arial" w:hAnsi="Arial" w:cs="Arial"/>
          <w:lang w:val="es-ES"/>
        </w:rPr>
        <w:t xml:space="preserve"> de destino con respecto al contenido de residuos.</w:t>
      </w:r>
    </w:p>
    <w:p w:rsidR="00503A41" w:rsidRPr="00993936" w:rsidRDefault="00503A41" w:rsidP="001C0FFB">
      <w:pPr>
        <w:pStyle w:val="Textoindependiente"/>
        <w:rPr>
          <w:rFonts w:cs="Arial"/>
          <w:szCs w:val="22"/>
          <w:lang w:val="es-ES"/>
        </w:rPr>
      </w:pPr>
      <w:r w:rsidRPr="00993936">
        <w:rPr>
          <w:rFonts w:cs="Arial"/>
          <w:szCs w:val="22"/>
          <w:lang w:val="es-ES"/>
        </w:rPr>
        <w:t>11.1.10 Los operadores tendrán que recibir instrucciones básicas sobre higiene y tendrán que conocer la obligación de comunicar cualquier enfermedad contagiosa que pueda incapacitarlos para realizar este trabajo.</w:t>
      </w:r>
    </w:p>
    <w:p w:rsidR="00503A41" w:rsidRPr="00993936" w:rsidRDefault="00503A41" w:rsidP="001C0FFB">
      <w:pPr>
        <w:pStyle w:val="Textoindependiente"/>
        <w:rPr>
          <w:rFonts w:cs="Arial"/>
          <w:szCs w:val="22"/>
          <w:lang w:val="es-ES"/>
        </w:rPr>
      </w:pPr>
      <w:r w:rsidRPr="00993936">
        <w:rPr>
          <w:rFonts w:cs="Arial"/>
          <w:szCs w:val="22"/>
          <w:lang w:val="es-ES"/>
        </w:rPr>
        <w:t>11.1.11 Almacenar los embalajes de forma que se evite la contaminación por plagas y/o enfermedades.</w:t>
      </w:r>
    </w:p>
    <w:p w:rsidR="00503A41" w:rsidRPr="00993936" w:rsidRDefault="00503A41" w:rsidP="001C0FFB">
      <w:pPr>
        <w:jc w:val="both"/>
        <w:rPr>
          <w:rFonts w:ascii="Arial" w:hAnsi="Arial" w:cs="Arial"/>
          <w:lang w:val="es-ES"/>
        </w:rPr>
      </w:pPr>
      <w:r w:rsidRPr="00993936">
        <w:rPr>
          <w:rFonts w:ascii="Arial" w:hAnsi="Arial" w:cs="Arial"/>
          <w:lang w:val="es-ES"/>
        </w:rPr>
        <w:t>11.1.12 Controlar que los envases reciclables estén limpios</w:t>
      </w:r>
      <w:r w:rsidRPr="00993936">
        <w:rPr>
          <w:rFonts w:ascii="Arial" w:hAnsi="Arial" w:cs="Arial"/>
          <w:vanish/>
          <w:lang w:val="es-ES"/>
        </w:rPr>
        <w:t>&lt;A[limpios|netos]&gt;</w:t>
      </w:r>
      <w:r w:rsidRPr="00993936">
        <w:rPr>
          <w:rFonts w:ascii="Arial" w:hAnsi="Arial" w:cs="Arial"/>
          <w:lang w:val="es-ES"/>
        </w:rPr>
        <w:t xml:space="preserve"> y no tengan materiales extraños que puedan perjudicar al producto y/o la salud del consumidor.</w:t>
      </w:r>
    </w:p>
    <w:p w:rsidR="00503A41" w:rsidRPr="00993936" w:rsidRDefault="00503A41" w:rsidP="001C0FFB">
      <w:pPr>
        <w:jc w:val="both"/>
        <w:rPr>
          <w:rFonts w:ascii="Arial" w:hAnsi="Arial" w:cs="Arial"/>
          <w:i/>
          <w:lang w:val="es-ES"/>
        </w:rPr>
      </w:pPr>
      <w:r w:rsidRPr="00993936">
        <w:rPr>
          <w:rFonts w:ascii="Arial" w:hAnsi="Arial" w:cs="Arial"/>
          <w:lang w:val="es-ES"/>
        </w:rPr>
        <w:t>11.1.13 Los envases de campo tendrán que llevar</w:t>
      </w:r>
      <w:r w:rsidRPr="00993936">
        <w:rPr>
          <w:rFonts w:ascii="Arial" w:hAnsi="Arial" w:cs="Arial"/>
          <w:vanish/>
          <w:lang w:val="es-ES"/>
        </w:rPr>
        <w:t>&lt;A[llevar|traer]&gt;</w:t>
      </w:r>
      <w:r w:rsidRPr="00993936">
        <w:rPr>
          <w:rFonts w:ascii="Arial" w:hAnsi="Arial" w:cs="Arial"/>
          <w:lang w:val="es-ES"/>
        </w:rPr>
        <w:t xml:space="preserve"> una identificación inequívoca de la parcela de procedencia, de la variedad y del tipo de producción.</w:t>
      </w:r>
      <w:r w:rsidRPr="00993936">
        <w:rPr>
          <w:rFonts w:ascii="Arial" w:hAnsi="Arial" w:cs="Arial"/>
          <w:i/>
          <w:u w:val="single"/>
          <w:lang w:val="es-ES"/>
        </w:rPr>
        <w:t xml:space="preserve">  </w:t>
      </w:r>
    </w:p>
    <w:p w:rsidR="00503A41" w:rsidRPr="00993936" w:rsidRDefault="00503A41" w:rsidP="001C0FFB">
      <w:pPr>
        <w:pStyle w:val="Encabezado"/>
        <w:tabs>
          <w:tab w:val="clear" w:pos="4252"/>
          <w:tab w:val="clear" w:pos="8504"/>
        </w:tabs>
        <w:outlineLvl w:val="0"/>
        <w:rPr>
          <w:rFonts w:ascii="Arial" w:hAnsi="Arial" w:cs="Arial"/>
          <w:lang w:val="es-ES"/>
        </w:rPr>
      </w:pPr>
      <w:r w:rsidRPr="00993936">
        <w:rPr>
          <w:rFonts w:ascii="Arial" w:hAnsi="Arial" w:cs="Arial"/>
          <w:lang w:val="es-ES"/>
        </w:rPr>
        <w:t xml:space="preserve">11.2 </w:t>
      </w:r>
      <w:r w:rsidRPr="00993936">
        <w:rPr>
          <w:rFonts w:ascii="Arial" w:hAnsi="Arial" w:cs="Arial"/>
          <w:i/>
          <w:lang w:val="es-ES"/>
        </w:rPr>
        <w:t>Prohibiciones</w:t>
      </w:r>
    </w:p>
    <w:p w:rsidR="00503A41" w:rsidRPr="00993936" w:rsidRDefault="00503A41" w:rsidP="001C0FFB">
      <w:pPr>
        <w:pStyle w:val="Textoindependiente"/>
        <w:rPr>
          <w:rFonts w:cs="Arial"/>
          <w:szCs w:val="22"/>
          <w:lang w:val="es-ES"/>
        </w:rPr>
      </w:pPr>
      <w:r w:rsidRPr="00993936">
        <w:rPr>
          <w:rFonts w:cs="Arial"/>
          <w:szCs w:val="22"/>
          <w:lang w:val="es-ES"/>
        </w:rPr>
        <w:lastRenderedPageBreak/>
        <w:t>11.2.1 Dejar las olivas abandonadas en la parcela si representan un peligro de propagación de plagas o de enfermedades vegetales.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11.2.2  Efectuar la recolección cuando los frutos estén mojados por causa de la lluvia. No será de aplicación esta prohibición, en condiciones de humedad relativa elevada por causa de la niebla, rocío u otros agentes meteorológicos.</w:t>
      </w:r>
    </w:p>
    <w:p w:rsidR="00503A41" w:rsidRPr="00993936" w:rsidRDefault="00503A41" w:rsidP="001C0FFB">
      <w:pPr>
        <w:jc w:val="both"/>
        <w:rPr>
          <w:rFonts w:ascii="Arial" w:hAnsi="Arial" w:cs="Arial"/>
          <w:lang w:val="es-ES"/>
        </w:rPr>
      </w:pPr>
      <w:r w:rsidRPr="00993936">
        <w:rPr>
          <w:rFonts w:ascii="Arial" w:hAnsi="Arial" w:cs="Arial"/>
          <w:lang w:val="es-ES"/>
        </w:rPr>
        <w:t xml:space="preserve">11.3 </w:t>
      </w:r>
      <w:r w:rsidRPr="00993936">
        <w:rPr>
          <w:rFonts w:ascii="Arial" w:hAnsi="Arial" w:cs="Arial"/>
          <w:i/>
          <w:lang w:val="es-ES"/>
        </w:rPr>
        <w:t>Recomendaciones</w:t>
      </w:r>
    </w:p>
    <w:p w:rsidR="00503A41" w:rsidRPr="00993936" w:rsidRDefault="00503A41" w:rsidP="001C0FFB">
      <w:pPr>
        <w:jc w:val="both"/>
        <w:rPr>
          <w:rFonts w:ascii="Arial" w:hAnsi="Arial" w:cs="Arial"/>
          <w:lang w:val="es-ES"/>
        </w:rPr>
      </w:pPr>
      <w:r w:rsidRPr="00993936">
        <w:rPr>
          <w:rFonts w:ascii="Arial" w:hAnsi="Arial" w:cs="Arial"/>
          <w:lang w:val="es-ES"/>
        </w:rPr>
        <w:t>11.3.1 Excepcionalmente, en las zonas de producción de oliva que por razones climáticas se tengan que recoger las olivas del suelo, la recogida se hará lo antes posible.</w:t>
      </w:r>
    </w:p>
    <w:p w:rsidR="00503A41" w:rsidRPr="00993936" w:rsidRDefault="00503A41" w:rsidP="001C0FFB">
      <w:pPr>
        <w:jc w:val="both"/>
        <w:rPr>
          <w:rFonts w:ascii="Arial" w:hAnsi="Arial" w:cs="Arial"/>
          <w:lang w:val="es-ES"/>
        </w:rPr>
      </w:pPr>
      <w:r w:rsidRPr="00993936">
        <w:rPr>
          <w:rFonts w:ascii="Arial" w:hAnsi="Arial" w:cs="Arial"/>
          <w:lang w:val="es-ES"/>
        </w:rPr>
        <w:t>11.3.2 Se recomienda la entrada diaria de las olivas al molino utilizando sistemas de transporte que permitan la aireación del producto.</w:t>
      </w:r>
    </w:p>
    <w:p w:rsidR="00503A41" w:rsidRPr="00993936" w:rsidRDefault="00503A41" w:rsidP="001C0FFB">
      <w:pPr>
        <w:jc w:val="both"/>
        <w:rPr>
          <w:rFonts w:ascii="Arial" w:hAnsi="Arial" w:cs="Arial"/>
          <w:lang w:val="es-ES"/>
        </w:rPr>
      </w:pPr>
      <w:r w:rsidRPr="00993936">
        <w:rPr>
          <w:rFonts w:ascii="Arial" w:hAnsi="Arial" w:cs="Arial"/>
          <w:lang w:val="es-ES"/>
        </w:rPr>
        <w:t>11.3.3 No alargar el periodo de recolección más allá del 15 de febrero de cada año.</w:t>
      </w:r>
    </w:p>
    <w:p w:rsidR="00503A41" w:rsidRPr="00993936" w:rsidRDefault="00503A41" w:rsidP="001C0FFB">
      <w:pPr>
        <w:pStyle w:val="Textoindependiente"/>
        <w:rPr>
          <w:rFonts w:cs="Arial"/>
          <w:szCs w:val="22"/>
          <w:lang w:val="es-ES"/>
        </w:rPr>
      </w:pPr>
      <w:r w:rsidRPr="00993936">
        <w:rPr>
          <w:rFonts w:cs="Arial"/>
          <w:szCs w:val="22"/>
          <w:lang w:val="es-ES"/>
        </w:rPr>
        <w:t>11.3.4 Realizar el traslado de las olivas al centro de manipulacón con las mejores condiciones y con los medios más rápidos, para conseguir que el proceso de transformación del fruto empiece lo antes posible.</w:t>
      </w:r>
    </w:p>
    <w:p w:rsidR="00503A41" w:rsidRPr="00993936" w:rsidRDefault="00503A41" w:rsidP="003B7A31">
      <w:pPr>
        <w:pStyle w:val="Textoindependiente"/>
        <w:rPr>
          <w:rFonts w:cs="Arial"/>
          <w:szCs w:val="22"/>
          <w:lang w:val="es-ES"/>
        </w:rPr>
      </w:pPr>
      <w:r w:rsidRPr="00993936">
        <w:rPr>
          <w:rFonts w:cs="Arial"/>
          <w:szCs w:val="22"/>
          <w:lang w:val="es-ES"/>
        </w:rPr>
        <w:t>11.3.5 Utilizar los valores de los índices que figuran en el anexo 3 de esta norma para determinar el inicio de cosecha.</w:t>
      </w:r>
    </w:p>
    <w:p w:rsidR="00503A41" w:rsidRPr="00993936" w:rsidRDefault="00503A41" w:rsidP="001C0FFB">
      <w:pPr>
        <w:jc w:val="both"/>
        <w:rPr>
          <w:rFonts w:ascii="Arial" w:hAnsi="Arial" w:cs="Arial"/>
          <w:snapToGrid w:val="0"/>
          <w:lang w:val="es-ES" w:eastAsia="es-ES"/>
        </w:rPr>
      </w:pPr>
      <w:r w:rsidRPr="00993936">
        <w:rPr>
          <w:rFonts w:ascii="Arial" w:hAnsi="Arial" w:cs="Arial"/>
          <w:snapToGrid w:val="0"/>
          <w:lang w:val="es-ES" w:eastAsia="es-ES"/>
        </w:rPr>
        <w:t>11.3.6 Utilizar agua potable para el lavado de los productos vegetales, que se realice en campo, que vayan destinados a la comercialización.</w:t>
      </w:r>
    </w:p>
    <w:p w:rsidR="00503A41" w:rsidRPr="00993936" w:rsidRDefault="00503A41" w:rsidP="001C0FFB">
      <w:pPr>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 xml:space="preserve">Artículo 12 </w:t>
      </w:r>
    </w:p>
    <w:p w:rsidR="00503A41" w:rsidRPr="00993936" w:rsidRDefault="00503A41" w:rsidP="001C0FFB">
      <w:pPr>
        <w:pStyle w:val="Ttulo2"/>
        <w:rPr>
          <w:rFonts w:ascii="Arial" w:hAnsi="Arial" w:cs="Arial"/>
          <w:b/>
          <w:color w:val="auto"/>
          <w:sz w:val="22"/>
          <w:szCs w:val="22"/>
          <w:lang w:val="es-ES"/>
        </w:rPr>
      </w:pPr>
      <w:r w:rsidRPr="00993936">
        <w:rPr>
          <w:rFonts w:ascii="Arial" w:hAnsi="Arial" w:cs="Arial"/>
          <w:b/>
          <w:color w:val="auto"/>
          <w:sz w:val="22"/>
          <w:szCs w:val="22"/>
          <w:lang w:val="es-ES"/>
        </w:rPr>
        <w:t>Cuaderno de explotación</w:t>
      </w:r>
    </w:p>
    <w:p w:rsidR="00503A41" w:rsidRPr="00993936" w:rsidRDefault="00503A41" w:rsidP="001C0FFB">
      <w:pPr>
        <w:jc w:val="both"/>
        <w:rPr>
          <w:rFonts w:ascii="Arial" w:hAnsi="Arial" w:cs="Arial"/>
          <w:lang w:val="es-ES"/>
        </w:rPr>
      </w:pPr>
      <w:r w:rsidRPr="00993936">
        <w:rPr>
          <w:rFonts w:ascii="Arial" w:hAnsi="Arial" w:cs="Arial"/>
          <w:i/>
          <w:lang w:val="es-ES"/>
        </w:rPr>
        <w:t>12.1 Obligaciones</w:t>
      </w:r>
    </w:p>
    <w:p w:rsidR="00503A41" w:rsidRPr="00993936" w:rsidRDefault="00503A41" w:rsidP="001C0FFB">
      <w:pPr>
        <w:jc w:val="both"/>
        <w:rPr>
          <w:rFonts w:ascii="Arial" w:hAnsi="Arial" w:cs="Arial"/>
          <w:lang w:val="es-ES"/>
        </w:rPr>
      </w:pPr>
      <w:r w:rsidRPr="00993936">
        <w:rPr>
          <w:rFonts w:ascii="Arial" w:hAnsi="Arial" w:cs="Arial"/>
          <w:lang w:val="es-ES"/>
        </w:rPr>
        <w:t xml:space="preserve">12.1.1 El modelo de Cuaderno de explotación es único con respecto al contenido de los datos a registrar, y será aprobado por el Departamento de Agricultura, Ganadería, Pesca y Alimentación. </w:t>
      </w:r>
    </w:p>
    <w:p w:rsidR="00503A41" w:rsidRPr="00993936" w:rsidRDefault="00503A41" w:rsidP="001C0FFB">
      <w:pPr>
        <w:jc w:val="both"/>
        <w:rPr>
          <w:rFonts w:ascii="Arial" w:hAnsi="Arial" w:cs="Arial"/>
          <w:lang w:val="es-ES"/>
        </w:rPr>
      </w:pPr>
      <w:r w:rsidRPr="00993936">
        <w:rPr>
          <w:rFonts w:ascii="Arial" w:hAnsi="Arial" w:cs="Arial"/>
          <w:lang w:val="es-ES"/>
        </w:rPr>
        <w:t>12.1.2 El productor de producción integrada, mediante su firma, se responsabilizará de la veracidad de las anotaciones realizadas en el Cuaderno de explotación.</w:t>
      </w:r>
    </w:p>
    <w:p w:rsidR="00503A41" w:rsidRPr="00993936" w:rsidRDefault="00503A41" w:rsidP="001C0FFB">
      <w:pPr>
        <w:pStyle w:val="Textoindependiente"/>
        <w:rPr>
          <w:rFonts w:cs="Arial"/>
          <w:szCs w:val="22"/>
          <w:lang w:val="es-ES"/>
        </w:rPr>
      </w:pPr>
      <w:r w:rsidRPr="00993936">
        <w:rPr>
          <w:rFonts w:cs="Arial"/>
          <w:szCs w:val="22"/>
          <w:lang w:val="es-ES"/>
        </w:rPr>
        <w:t>12.1.3 El Cuaderno de explotación es obligatorio y estará siempre disponible para su inspección. Para la buena funcionalidad del sistema, las anotaciones de las operaciones se tendrán que realizar en el plazo máximo de los 7 días siguientes a su ejecución.</w:t>
      </w:r>
    </w:p>
    <w:p w:rsidR="00503A41" w:rsidRPr="00993936" w:rsidRDefault="00503A41" w:rsidP="001C0FFB">
      <w:pPr>
        <w:jc w:val="both"/>
        <w:rPr>
          <w:rFonts w:ascii="Arial" w:hAnsi="Arial" w:cs="Arial"/>
          <w:lang w:val="es-ES"/>
        </w:rPr>
      </w:pPr>
      <w:r w:rsidRPr="00993936">
        <w:rPr>
          <w:rFonts w:ascii="Arial" w:hAnsi="Arial" w:cs="Arial"/>
          <w:lang w:val="es-ES"/>
        </w:rPr>
        <w:t>12.1.4 El Cuaderno de explotación estará controlado y supervisado periódicamente por el técnico responsable de producción integrada y, a fin de que quede constancia, se registrará la fecha y la firma en cada revisión.</w:t>
      </w:r>
    </w:p>
    <w:p w:rsidR="00503A41" w:rsidRPr="00993936" w:rsidRDefault="00503A41" w:rsidP="001C0FFB">
      <w:pPr>
        <w:jc w:val="both"/>
        <w:outlineLvl w:val="0"/>
        <w:rPr>
          <w:rFonts w:ascii="Arial" w:hAnsi="Arial" w:cs="Arial"/>
          <w:lang w:val="es-ES"/>
        </w:rPr>
      </w:pPr>
      <w:r w:rsidRPr="00993936">
        <w:rPr>
          <w:rFonts w:ascii="Arial" w:hAnsi="Arial" w:cs="Arial"/>
          <w:lang w:val="es-ES"/>
        </w:rPr>
        <w:t>Artículo 13</w:t>
      </w:r>
    </w:p>
    <w:p w:rsidR="00503A41" w:rsidRPr="00993936" w:rsidRDefault="00503A41" w:rsidP="001C0FFB">
      <w:pPr>
        <w:jc w:val="both"/>
        <w:outlineLvl w:val="0"/>
        <w:rPr>
          <w:rFonts w:ascii="Arial" w:hAnsi="Arial" w:cs="Arial"/>
          <w:b/>
          <w:lang w:val="es-ES"/>
        </w:rPr>
      </w:pPr>
      <w:r w:rsidRPr="00993936">
        <w:rPr>
          <w:rFonts w:ascii="Arial" w:hAnsi="Arial" w:cs="Arial"/>
          <w:b/>
          <w:lang w:val="es-ES"/>
        </w:rPr>
        <w:t>Normas de calidad</w:t>
      </w:r>
    </w:p>
    <w:p w:rsidR="00503A41" w:rsidRPr="00993936" w:rsidRDefault="00503A41" w:rsidP="001C0FFB">
      <w:pPr>
        <w:jc w:val="both"/>
        <w:rPr>
          <w:rFonts w:ascii="Arial" w:hAnsi="Arial" w:cs="Arial"/>
          <w:lang w:val="es-ES"/>
        </w:rPr>
      </w:pPr>
      <w:r w:rsidRPr="00993936">
        <w:rPr>
          <w:rFonts w:ascii="Arial" w:hAnsi="Arial" w:cs="Arial"/>
          <w:i/>
          <w:lang w:val="es-ES"/>
        </w:rPr>
        <w:t>13.1 Obligaciones</w:t>
      </w:r>
    </w:p>
    <w:p w:rsidR="00503A41" w:rsidRPr="00993936" w:rsidRDefault="00503A41" w:rsidP="001C0FFB">
      <w:pPr>
        <w:pStyle w:val="Textoindependiente"/>
        <w:rPr>
          <w:rFonts w:cs="Arial"/>
          <w:szCs w:val="22"/>
          <w:lang w:val="es-ES"/>
        </w:rPr>
      </w:pPr>
      <w:r w:rsidRPr="00993936">
        <w:rPr>
          <w:rFonts w:cs="Arial"/>
          <w:szCs w:val="22"/>
          <w:lang w:val="es-ES"/>
        </w:rPr>
        <w:t>13.1.1 Sólo se podrán comercializar bajo la denominación Producción Integrada las olivas de la campaña.</w:t>
      </w:r>
    </w:p>
    <w:p w:rsidR="00503A41" w:rsidRPr="00993936" w:rsidRDefault="00503A41" w:rsidP="001C0FFB">
      <w:pPr>
        <w:jc w:val="both"/>
        <w:rPr>
          <w:rFonts w:ascii="Arial" w:hAnsi="Arial" w:cs="Arial"/>
          <w:b/>
          <w:lang w:val="es-ES"/>
        </w:rPr>
      </w:pPr>
      <w:r w:rsidRPr="00993936">
        <w:rPr>
          <w:rFonts w:ascii="Arial" w:hAnsi="Arial" w:cs="Arial"/>
          <w:lang w:val="es-ES"/>
        </w:rPr>
        <w:t xml:space="preserve">13.1.2 Las categorías de olivas amparadas por la denominación Producción Integrada serán todas las categorías establecidas de acuerdo con las características que define la normativa vigente, relativas a normas de calidad y otros aspectos referentes a la comercialización. Cada variedad tendrá unas características mínimas de calidad </w:t>
      </w:r>
      <w:r w:rsidRPr="00993936">
        <w:rPr>
          <w:rFonts w:ascii="Arial" w:hAnsi="Arial" w:cs="Arial"/>
          <w:lang w:val="es-ES"/>
        </w:rPr>
        <w:lastRenderedPageBreak/>
        <w:t xml:space="preserve">interna y externa para que pueda ser comercializada como oliva de producción integrada. </w:t>
      </w:r>
    </w:p>
    <w:p w:rsidR="00503A41" w:rsidRPr="00993936" w:rsidRDefault="00503A41" w:rsidP="00340B1F">
      <w:pPr>
        <w:spacing w:before="120"/>
        <w:jc w:val="both"/>
        <w:rPr>
          <w:rFonts w:ascii="Arial" w:hAnsi="Arial" w:cs="Arial"/>
          <w:b/>
          <w:lang w:val="es-ES"/>
        </w:rPr>
      </w:pPr>
    </w:p>
    <w:p w:rsidR="00503A41" w:rsidRPr="00993936" w:rsidRDefault="00503A41" w:rsidP="00340B1F">
      <w:pPr>
        <w:spacing w:before="120"/>
        <w:rPr>
          <w:rFonts w:ascii="Arial" w:hAnsi="Arial" w:cs="Arial"/>
          <w:b/>
          <w:lang w:val="es-ES"/>
        </w:rPr>
      </w:pPr>
      <w:r w:rsidRPr="00993936">
        <w:rPr>
          <w:rFonts w:ascii="Arial" w:hAnsi="Arial" w:cs="Arial"/>
          <w:b/>
          <w:lang w:val="es-ES"/>
        </w:rPr>
        <w:t xml:space="preserve">II.  INSTALACIONES, EQUIPOS, PERSONAL, TRANSPORTE Y </w:t>
      </w:r>
      <w:r w:rsidRPr="00993936">
        <w:rPr>
          <w:rFonts w:ascii="Arial" w:hAnsi="Arial" w:cs="Arial"/>
          <w:b/>
          <w:sz w:val="20"/>
          <w:lang w:val="es-ES"/>
        </w:rPr>
        <w:t>ALMACENAMIENTO</w:t>
      </w:r>
    </w:p>
    <w:p w:rsidR="00503A41" w:rsidRPr="00993936" w:rsidRDefault="00503A41" w:rsidP="001C0FFB">
      <w:pPr>
        <w:pStyle w:val="NormalWeb"/>
        <w:spacing w:before="120" w:after="0"/>
        <w:jc w:val="both"/>
        <w:rPr>
          <w:rFonts w:ascii="Arial" w:hAnsi="Arial" w:cs="Arial"/>
          <w:sz w:val="22"/>
          <w:szCs w:val="22"/>
          <w:lang w:val="es-ES"/>
        </w:rPr>
      </w:pPr>
    </w:p>
    <w:p w:rsidR="00503A41" w:rsidRPr="00993936" w:rsidRDefault="00503A41" w:rsidP="001C0F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14</w:t>
      </w: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Instalaciones</w:t>
      </w:r>
    </w:p>
    <w:p w:rsidR="00503A41" w:rsidRPr="00993936" w:rsidRDefault="00503A41" w:rsidP="001C0FFB">
      <w:pPr>
        <w:pStyle w:val="NormalWeb"/>
        <w:spacing w:after="0"/>
        <w:jc w:val="both"/>
        <w:rPr>
          <w:rFonts w:ascii="Arial" w:hAnsi="Arial" w:cs="Arial"/>
          <w:i/>
          <w:sz w:val="22"/>
          <w:szCs w:val="22"/>
          <w:lang w:val="es-ES"/>
        </w:rPr>
      </w:pPr>
      <w:r w:rsidRPr="00993936">
        <w:rPr>
          <w:rFonts w:ascii="Arial" w:hAnsi="Arial" w:cs="Arial"/>
          <w:i/>
          <w:sz w:val="22"/>
          <w:szCs w:val="22"/>
          <w:lang w:val="es-ES"/>
        </w:rPr>
        <w:t>14.1 Obligaciones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14.1.1  Las instalaciones, incluidos los baños, los equipos y el entorno productivo deben estar en un estado de orden y de limpieza adecuado.</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14.1.2 Todas las instalaciones deben estar ventiladas, iluminadas y con sistemas de desagües adecuados para las actividades que desarrollen.</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14.1.3  Habrá zonas diferentes para el almacenamiento de productos y para los envases vacíos.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14.1.4  Los productos químicos deben estar almacenados en un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que se pueda cerrar y debidamente señalizado. El acceso al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de almacenamiento de productos químicos, así como su manipulación, sólo les podrá realizar el personal designado por la persona operadora.</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14.1.5  Los productos químicos almacenados deben estar etiquetados correctamente y autorizados para usar en la industria alimenticia.</w:t>
      </w:r>
    </w:p>
    <w:p w:rsidR="00503A41" w:rsidRPr="00993936" w:rsidRDefault="00503A41" w:rsidP="001C0FFB">
      <w:pPr>
        <w:pStyle w:val="Sangradetextonormal"/>
        <w:ind w:left="0"/>
        <w:jc w:val="both"/>
        <w:rPr>
          <w:rFonts w:cs="Arial"/>
          <w:szCs w:val="22"/>
          <w:lang w:val="es-ES"/>
        </w:rPr>
      </w:pPr>
    </w:p>
    <w:p w:rsidR="00503A41" w:rsidRPr="00993936" w:rsidRDefault="00503A41" w:rsidP="001C0FFB">
      <w:pPr>
        <w:pStyle w:val="Sangradetextonormal"/>
        <w:ind w:left="0"/>
        <w:jc w:val="both"/>
        <w:rPr>
          <w:rFonts w:cs="Arial"/>
          <w:szCs w:val="22"/>
          <w:lang w:val="es-ES"/>
        </w:rPr>
      </w:pPr>
      <w:r w:rsidRPr="00993936">
        <w:rPr>
          <w:rFonts w:cs="Arial"/>
          <w:szCs w:val="22"/>
          <w:lang w:val="es-ES"/>
        </w:rPr>
        <w:t>Artículo 15</w:t>
      </w:r>
    </w:p>
    <w:p w:rsidR="00503A41" w:rsidRPr="00993936" w:rsidRDefault="00503A41" w:rsidP="001C0FFB">
      <w:pPr>
        <w:pStyle w:val="Sangradetextonormal"/>
        <w:ind w:left="0"/>
        <w:jc w:val="both"/>
        <w:rPr>
          <w:rFonts w:cs="Arial"/>
          <w:b/>
          <w:szCs w:val="22"/>
          <w:lang w:val="es-ES"/>
        </w:rPr>
      </w:pPr>
      <w:r w:rsidRPr="00993936">
        <w:rPr>
          <w:rFonts w:cs="Arial"/>
          <w:b/>
          <w:szCs w:val="22"/>
          <w:lang w:val="es-ES"/>
        </w:rPr>
        <w:t>Higiene y mantenimiento de las instalaciones y equipos</w:t>
      </w:r>
    </w:p>
    <w:p w:rsidR="00503A41" w:rsidRPr="00993936" w:rsidRDefault="00503A41" w:rsidP="001C0FFB">
      <w:pPr>
        <w:pStyle w:val="Sangradetextonormal"/>
        <w:ind w:left="0"/>
        <w:jc w:val="both"/>
        <w:rPr>
          <w:rFonts w:cs="Arial"/>
          <w:b/>
          <w:szCs w:val="22"/>
          <w:lang w:val="es-ES"/>
        </w:rPr>
      </w:pPr>
      <w:r w:rsidRPr="00993936">
        <w:rPr>
          <w:rFonts w:cs="Arial"/>
          <w:szCs w:val="22"/>
          <w:lang w:val="es-ES"/>
        </w:rPr>
        <w:t xml:space="preserve">15.1 </w:t>
      </w:r>
      <w:r w:rsidRPr="00993936">
        <w:rPr>
          <w:rFonts w:cs="Arial"/>
          <w:i/>
          <w:szCs w:val="22"/>
          <w:lang w:val="es-ES"/>
        </w:rPr>
        <w:t>Obligaciones</w:t>
      </w:r>
      <w:r w:rsidRPr="00993936">
        <w:rPr>
          <w:rFonts w:cs="Arial"/>
          <w:szCs w:val="22"/>
          <w:lang w:val="es-ES"/>
        </w:rPr>
        <w:t xml:space="preserve"> </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15.1.1 Cada persona operadora tiene que disponer de un plan</w:t>
      </w:r>
      <w:r w:rsidRPr="00993936">
        <w:rPr>
          <w:rFonts w:cs="Arial"/>
          <w:vanish/>
          <w:szCs w:val="22"/>
          <w:lang w:val="es-ES"/>
        </w:rPr>
        <w:t>&lt;A[plan|plano]&gt;</w:t>
      </w:r>
      <w:r w:rsidRPr="00993936">
        <w:rPr>
          <w:rFonts w:cs="Arial"/>
          <w:szCs w:val="22"/>
          <w:lang w:val="es-ES"/>
        </w:rPr>
        <w:t xml:space="preserve"> general de limpieza y de desinfección detallado de las instalaciones, los equipos, las líneas de manipulación, el almacenamiento, el envasado y las cámaras de frigoconservación, con la finalidad que en todo momento estén en buen estado de conservación. El plan</w:t>
      </w:r>
      <w:r w:rsidRPr="00993936">
        <w:rPr>
          <w:rFonts w:cs="Arial"/>
          <w:vanish/>
          <w:szCs w:val="22"/>
          <w:lang w:val="es-ES"/>
        </w:rPr>
        <w:t>&lt;A[plan|plano]&gt;</w:t>
      </w:r>
      <w:r w:rsidRPr="00993936">
        <w:rPr>
          <w:rFonts w:cs="Arial"/>
          <w:szCs w:val="22"/>
          <w:lang w:val="es-ES"/>
        </w:rPr>
        <w:t xml:space="preserve"> tendrá que prever:</w:t>
      </w:r>
    </w:p>
    <w:p w:rsidR="00503A41" w:rsidRPr="00993936" w:rsidRDefault="00503A41" w:rsidP="009D1A2D">
      <w:pPr>
        <w:pStyle w:val="Sangradetextonormal"/>
        <w:numPr>
          <w:ilvl w:val="0"/>
          <w:numId w:val="113"/>
        </w:numPr>
        <w:jc w:val="both"/>
        <w:rPr>
          <w:rFonts w:cs="Arial"/>
          <w:szCs w:val="22"/>
          <w:lang w:val="es-ES"/>
        </w:rPr>
      </w:pPr>
      <w:r w:rsidRPr="00993936">
        <w:rPr>
          <w:rFonts w:cs="Arial"/>
          <w:szCs w:val="22"/>
          <w:lang w:val="es-ES"/>
        </w:rPr>
        <w:t>Las instalaciones y la maquinaria de la línea de confección se limpiarán y se desinfectarán al inicio de la campaña y al menos una vez al mes en el periodo de funcionamiento.</w:t>
      </w:r>
    </w:p>
    <w:p w:rsidR="00503A41" w:rsidRPr="00993936" w:rsidRDefault="00503A41" w:rsidP="009D1A2D">
      <w:pPr>
        <w:numPr>
          <w:ilvl w:val="0"/>
          <w:numId w:val="113"/>
        </w:numPr>
        <w:spacing w:after="0" w:line="240" w:lineRule="auto"/>
        <w:jc w:val="both"/>
        <w:rPr>
          <w:rFonts w:ascii="Arial" w:hAnsi="Arial" w:cs="Arial"/>
          <w:lang w:val="es-ES"/>
        </w:rPr>
      </w:pPr>
      <w:r w:rsidRPr="00993936">
        <w:rPr>
          <w:rFonts w:ascii="Arial" w:hAnsi="Arial" w:cs="Arial"/>
          <w:lang w:val="es-ES"/>
        </w:rPr>
        <w:t>Los envases se limpiarán y desinfectarán como mínimo una vez al año.</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15.1.2 Cada persona operadora dispondrá de un plan</w:t>
      </w:r>
      <w:r w:rsidRPr="00993936">
        <w:rPr>
          <w:rFonts w:cs="Arial"/>
          <w:vanish/>
          <w:szCs w:val="22"/>
          <w:lang w:val="es-ES"/>
        </w:rPr>
        <w:t>&lt;A[plan|plano]&gt;</w:t>
      </w:r>
      <w:r w:rsidRPr="00993936">
        <w:rPr>
          <w:rFonts w:cs="Arial"/>
          <w:szCs w:val="22"/>
          <w:lang w:val="es-ES"/>
        </w:rPr>
        <w:t xml:space="preserve"> de limpieza, desinfección y desratización, practicado por un equipo con autorización legal para esta finalidad. El plan</w:t>
      </w:r>
      <w:r w:rsidRPr="00993936">
        <w:rPr>
          <w:rFonts w:cs="Arial"/>
          <w:vanish/>
          <w:szCs w:val="22"/>
          <w:lang w:val="es-ES"/>
        </w:rPr>
        <w:t>&lt;A[plan|plano]&gt;</w:t>
      </w:r>
      <w:r w:rsidRPr="00993936">
        <w:rPr>
          <w:rFonts w:cs="Arial"/>
          <w:szCs w:val="22"/>
          <w:lang w:val="es-ES"/>
        </w:rPr>
        <w:t xml:space="preserve"> contendrá, al menos, la información siguiente: identificación del equipo de trabajo, trabajos y su frecuencia, material y productos que se utilizarán y método de aplicación. Los cebos deben estar señalizados y numerados debidamente, y tiene que existir un plano de señalización. </w:t>
      </w:r>
      <w:r w:rsidRPr="00993936">
        <w:rPr>
          <w:rFonts w:cs="Arial"/>
          <w:szCs w:val="22"/>
          <w:lang w:val="es-ES"/>
        </w:rPr>
        <w:tab/>
      </w:r>
    </w:p>
    <w:p w:rsidR="00503A41" w:rsidRPr="00993936" w:rsidRDefault="00503A41" w:rsidP="001C0FFB">
      <w:pPr>
        <w:pStyle w:val="Sangradetextonormal"/>
        <w:ind w:left="0"/>
        <w:jc w:val="both"/>
        <w:rPr>
          <w:rFonts w:cs="Arial"/>
          <w:szCs w:val="22"/>
          <w:lang w:val="es-ES"/>
        </w:rPr>
      </w:pPr>
      <w:r w:rsidRPr="00993936">
        <w:rPr>
          <w:rFonts w:cs="Arial"/>
          <w:szCs w:val="22"/>
          <w:lang w:val="es-ES"/>
        </w:rPr>
        <w:t>15.1.3 Evitar agujeros y ventanas e instalar elementos que impidan la entrada de insectos, pájaros y otros animales en las instalaciones.</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15.1.4 Las instalaciones, los equipos y las herramientas estarán en buen estado de conservación mediante un adecuado plan</w:t>
      </w:r>
      <w:r w:rsidRPr="00993936">
        <w:rPr>
          <w:rFonts w:cs="Arial"/>
          <w:vanish/>
          <w:szCs w:val="22"/>
          <w:lang w:val="es-ES"/>
        </w:rPr>
        <w:t>&lt;A[plan|plano]&gt;</w:t>
      </w:r>
      <w:r w:rsidRPr="00993936">
        <w:rPr>
          <w:rFonts w:cs="Arial"/>
          <w:szCs w:val="22"/>
          <w:lang w:val="es-ES"/>
        </w:rPr>
        <w:t xml:space="preserve"> de mantenimiento. </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15.1.5 La persona operadora tiene que tomar las medidas necesarias para evitar el contacto de los frutos y de las superficies con sustancias químicas, aguas no potables u objetos extraños.</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15.1.6 Los recipientes de evacuación de residuos serán exclusivamente para esta finalidad y se limpiarán periódicamente, de acuerdo con el plan</w:t>
      </w:r>
      <w:r w:rsidRPr="00993936">
        <w:rPr>
          <w:rFonts w:cs="Arial"/>
          <w:vanish/>
          <w:szCs w:val="22"/>
          <w:lang w:val="es-ES"/>
        </w:rPr>
        <w:t>&lt;A[plan|plano]&gt;</w:t>
      </w:r>
      <w:r w:rsidRPr="00993936">
        <w:rPr>
          <w:rFonts w:cs="Arial"/>
          <w:szCs w:val="22"/>
          <w:lang w:val="es-ES"/>
        </w:rPr>
        <w:t xml:space="preserve"> de limpieza establecido.</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15.1.7 La persona operadora tiene que disponer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mantenimiento de las instalaciones, de los equipos y de las herramientas, a fin de que en todo momento estén en buen estado de conservación.</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15.1.8 Proceder a la desinfección total de la central como mínimo una vez al año.</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 xml:space="preserve">15.2 </w:t>
      </w:r>
      <w:r w:rsidRPr="00993936">
        <w:rPr>
          <w:rFonts w:cs="Arial"/>
          <w:i/>
          <w:szCs w:val="22"/>
          <w:lang w:val="es-ES"/>
        </w:rPr>
        <w:t>Prohibiciones</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15.2.1</w:t>
      </w:r>
      <w:r w:rsidRPr="00993936">
        <w:rPr>
          <w:rFonts w:cs="Arial"/>
          <w:b/>
          <w:szCs w:val="22"/>
          <w:lang w:val="es-ES"/>
        </w:rPr>
        <w:t xml:space="preserve"> </w:t>
      </w:r>
      <w:r w:rsidRPr="00993936">
        <w:rPr>
          <w:rFonts w:cs="Arial"/>
          <w:szCs w:val="22"/>
          <w:lang w:val="es-ES"/>
        </w:rPr>
        <w:t>Utilizar carretillas</w:t>
      </w:r>
      <w:r w:rsidRPr="00993936">
        <w:rPr>
          <w:rFonts w:cs="Arial"/>
          <w:vanish/>
          <w:szCs w:val="22"/>
          <w:lang w:val="es-ES"/>
        </w:rPr>
        <w:t>&lt;A[carretillas|carretones]&gt;</w:t>
      </w:r>
      <w:r w:rsidRPr="00993936">
        <w:rPr>
          <w:rFonts w:cs="Arial"/>
          <w:szCs w:val="22"/>
          <w:lang w:val="es-ES"/>
        </w:rPr>
        <w:t xml:space="preserve"> elevadoras de gasóleo dentro de la central.</w:t>
      </w:r>
    </w:p>
    <w:p w:rsidR="00503A41" w:rsidRPr="00993936" w:rsidRDefault="00503A41" w:rsidP="001C0FFB">
      <w:pPr>
        <w:pStyle w:val="Ttulo2"/>
        <w:rPr>
          <w:rFonts w:ascii="Arial" w:hAnsi="Arial" w:cs="Arial"/>
          <w:b/>
          <w:color w:val="auto"/>
          <w:szCs w:val="22"/>
          <w:lang w:val="es-ES"/>
        </w:rPr>
      </w:pPr>
    </w:p>
    <w:p w:rsidR="00503A41" w:rsidRPr="00993936" w:rsidRDefault="00503A41" w:rsidP="001C0FFB">
      <w:pPr>
        <w:pStyle w:val="Ttulo2"/>
        <w:rPr>
          <w:rFonts w:ascii="Arial" w:hAnsi="Arial" w:cs="Arial"/>
          <w:color w:val="auto"/>
          <w:sz w:val="22"/>
          <w:szCs w:val="22"/>
          <w:lang w:val="es-ES"/>
        </w:rPr>
      </w:pPr>
      <w:r w:rsidRPr="00993936">
        <w:rPr>
          <w:rFonts w:ascii="Arial" w:hAnsi="Arial" w:cs="Arial"/>
          <w:color w:val="auto"/>
          <w:sz w:val="22"/>
          <w:szCs w:val="22"/>
          <w:lang w:val="es-ES"/>
        </w:rPr>
        <w:t>Artículo 16</w:t>
      </w:r>
    </w:p>
    <w:p w:rsidR="00503A41" w:rsidRPr="00993936" w:rsidRDefault="00503A41" w:rsidP="001C0FFB">
      <w:pPr>
        <w:jc w:val="both"/>
        <w:outlineLvl w:val="0"/>
        <w:rPr>
          <w:rFonts w:ascii="Arial" w:hAnsi="Arial" w:cs="Arial"/>
          <w:b/>
          <w:snapToGrid w:val="0"/>
          <w:lang w:val="es-ES"/>
        </w:rPr>
      </w:pPr>
      <w:r w:rsidRPr="00993936">
        <w:rPr>
          <w:rFonts w:ascii="Arial" w:hAnsi="Arial" w:cs="Arial"/>
          <w:b/>
          <w:snapToGrid w:val="0"/>
          <w:lang w:val="es-ES"/>
        </w:rPr>
        <w:t xml:space="preserve">Equipos de tratamientos </w:t>
      </w:r>
    </w:p>
    <w:p w:rsidR="00503A41" w:rsidRPr="00993936" w:rsidRDefault="00503A41" w:rsidP="001C0FFB">
      <w:pPr>
        <w:jc w:val="both"/>
        <w:rPr>
          <w:rFonts w:ascii="Arial" w:hAnsi="Arial" w:cs="Arial"/>
          <w:snapToGrid w:val="0"/>
          <w:lang w:val="es-ES"/>
        </w:rPr>
      </w:pPr>
      <w:r w:rsidRPr="00993936">
        <w:rPr>
          <w:rFonts w:ascii="Arial" w:hAnsi="Arial" w:cs="Arial"/>
          <w:snapToGrid w:val="0"/>
          <w:lang w:val="es-ES"/>
        </w:rPr>
        <w:t xml:space="preserve">16.1 </w:t>
      </w:r>
      <w:r w:rsidRPr="00993936">
        <w:rPr>
          <w:rFonts w:ascii="Arial" w:hAnsi="Arial" w:cs="Arial"/>
          <w:i/>
          <w:snapToGrid w:val="0"/>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16.1.1 La maquinaria utilizada para los tratamientos fitosanitarios, abonos</w:t>
      </w:r>
      <w:r w:rsidRPr="00993936">
        <w:rPr>
          <w:rFonts w:ascii="Arial" w:hAnsi="Arial" w:cs="Arial"/>
          <w:vanish/>
          <w:lang w:val="es-ES"/>
        </w:rPr>
        <w:t>&lt;A[abonos|adobos]&gt;</w:t>
      </w:r>
      <w:r w:rsidRPr="00993936">
        <w:rPr>
          <w:rFonts w:ascii="Arial" w:hAnsi="Arial" w:cs="Arial"/>
          <w:lang w:val="es-ES"/>
        </w:rPr>
        <w:t xml:space="preserve"> foliares y otros similares tiene que estar en buen estado de funcionamiento y someterse a una revisión y calibrado periódico. La persona operadora tiene que realizar una revisión y uno calibrado cada año validado por el/la técnico/a responsable de producción integrada, y además una vez cada cuatro años tiene que ser inspeccionada por un centro oficial o reconocido, de conformidad con las disposiciones vigentes en materia. La inspección se efectuará de conformidad </w:t>
      </w:r>
      <w:r w:rsidRPr="00993936">
        <w:rPr>
          <w:rFonts w:ascii="Arial" w:hAnsi="Arial" w:cs="Arial"/>
          <w:snapToGrid w:val="0"/>
          <w:lang w:val="es-ES"/>
        </w:rPr>
        <w:t>con las normas de inspección de pulverizadores EN 13790/1 y 2, de seguridad UNE-EN-907 y de protección medioambiental UNO-EN 12761/1,2 y 3</w:t>
      </w:r>
      <w:r w:rsidRPr="00993936">
        <w:rPr>
          <w:rFonts w:ascii="Arial" w:hAnsi="Arial" w:cs="Arial"/>
          <w:lang w:val="es-ES"/>
        </w:rPr>
        <w:t>.</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En caso de contratar servicios externos, la persona productora les exigirá estar al corriente de las inspecciones y los calibrados estipulados a la legislación vigente de aplicación.</w:t>
      </w:r>
    </w:p>
    <w:p w:rsidR="00503A41" w:rsidRPr="00993936" w:rsidRDefault="00503A41" w:rsidP="001C0FFB">
      <w:pPr>
        <w:jc w:val="both"/>
        <w:rPr>
          <w:rFonts w:ascii="Arial" w:hAnsi="Arial" w:cs="Arial"/>
          <w:snapToGrid w:val="0"/>
          <w:lang w:val="es-ES"/>
        </w:rPr>
      </w:pPr>
      <w:r w:rsidRPr="00993936">
        <w:rPr>
          <w:rFonts w:ascii="Arial" w:hAnsi="Arial" w:cs="Arial"/>
          <w:snapToGrid w:val="0"/>
          <w:lang w:val="es-ES"/>
        </w:rPr>
        <w:t>16.1.2 Antes de cada tratamiento hará falta regular la máquina en función del estado de la plantación o cultivo y de la plaga o enfermedad a combatir.</w:t>
      </w:r>
    </w:p>
    <w:p w:rsidR="00503A41" w:rsidRPr="00993936" w:rsidRDefault="00503A41" w:rsidP="001C0FFB">
      <w:pPr>
        <w:jc w:val="both"/>
        <w:rPr>
          <w:rFonts w:ascii="Arial" w:hAnsi="Arial" w:cs="Arial"/>
          <w:snapToGrid w:val="0"/>
          <w:lang w:val="es-ES"/>
        </w:rPr>
      </w:pPr>
      <w:r w:rsidRPr="00993936">
        <w:rPr>
          <w:rFonts w:ascii="Arial" w:hAnsi="Arial" w:cs="Arial"/>
          <w:snapToGrid w:val="0"/>
          <w:lang w:val="es-ES"/>
        </w:rPr>
        <w:t>16.1.3 Utilizar maquinaria correctamente adaptada a la aplicación de herbicidas a la línea de la plantación.</w:t>
      </w:r>
    </w:p>
    <w:p w:rsidR="00503A41" w:rsidRPr="00993936" w:rsidRDefault="00503A41" w:rsidP="001C0FFB">
      <w:pPr>
        <w:jc w:val="both"/>
        <w:rPr>
          <w:rFonts w:ascii="Arial" w:hAnsi="Arial" w:cs="Arial"/>
          <w:snapToGrid w:val="0"/>
          <w:lang w:val="es-ES"/>
        </w:rPr>
      </w:pPr>
      <w:r w:rsidRPr="00993936">
        <w:rPr>
          <w:rFonts w:ascii="Arial" w:hAnsi="Arial" w:cs="Arial"/>
          <w:snapToGrid w:val="0"/>
          <w:lang w:val="es-ES"/>
        </w:rPr>
        <w:t>16.1.4 Realizar revisiones periódicas de los elementos de protección y seguridad de los equipos de tratamiento, procurando un buen mantenimiento y uno calibrado esmerado.</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16.1.5  Cuando los equipos no se utilicen se deben mantener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no deben contener productos fitosanitarios.</w:t>
      </w:r>
    </w:p>
    <w:p w:rsidR="00503A41" w:rsidRPr="00993936" w:rsidRDefault="00503A41" w:rsidP="001C0FFB">
      <w:pPr>
        <w:jc w:val="both"/>
        <w:outlineLvl w:val="0"/>
        <w:rPr>
          <w:rFonts w:ascii="Arial" w:hAnsi="Arial" w:cs="Arial"/>
          <w:snapToGrid w:val="0"/>
          <w:lang w:val="es-ES"/>
        </w:rPr>
      </w:pPr>
      <w:r w:rsidRPr="00993936">
        <w:rPr>
          <w:rFonts w:ascii="Arial" w:hAnsi="Arial" w:cs="Arial"/>
          <w:snapToGrid w:val="0"/>
          <w:lang w:val="es-ES"/>
        </w:rPr>
        <w:t xml:space="preserve">16.2 </w:t>
      </w:r>
      <w:r w:rsidRPr="00993936">
        <w:rPr>
          <w:rFonts w:ascii="Arial" w:hAnsi="Arial" w:cs="Arial"/>
          <w:i/>
          <w:snapToGrid w:val="0"/>
          <w:lang w:val="es-ES"/>
        </w:rPr>
        <w:t>Prohibiciones</w:t>
      </w:r>
    </w:p>
    <w:p w:rsidR="00503A41" w:rsidRPr="00993936" w:rsidRDefault="00503A41" w:rsidP="001C0FFB">
      <w:pPr>
        <w:jc w:val="both"/>
        <w:outlineLvl w:val="0"/>
        <w:rPr>
          <w:rFonts w:ascii="Arial" w:hAnsi="Arial" w:cs="Arial"/>
          <w:snapToGrid w:val="0"/>
          <w:lang w:val="es-ES"/>
        </w:rPr>
      </w:pPr>
      <w:r w:rsidRPr="00993936">
        <w:rPr>
          <w:rFonts w:ascii="Arial" w:hAnsi="Arial" w:cs="Arial"/>
          <w:snapToGrid w:val="0"/>
          <w:lang w:val="es-ES"/>
        </w:rPr>
        <w:t>16.2.1 La utilización de equipos de tratamiento que tengan carencias graves en elementos de seguridad, de protección y de funcionamiento.</w:t>
      </w:r>
    </w:p>
    <w:p w:rsidR="00503A41" w:rsidRPr="00993936" w:rsidRDefault="00503A41" w:rsidP="001C0FFB">
      <w:pPr>
        <w:jc w:val="both"/>
        <w:outlineLvl w:val="0"/>
        <w:rPr>
          <w:rFonts w:ascii="Arial" w:hAnsi="Arial" w:cs="Arial"/>
          <w:snapToGrid w:val="0"/>
          <w:lang w:val="es-ES"/>
        </w:rPr>
      </w:pPr>
      <w:r w:rsidRPr="00993936">
        <w:rPr>
          <w:rFonts w:ascii="Arial" w:hAnsi="Arial" w:cs="Arial"/>
          <w:snapToGrid w:val="0"/>
          <w:lang w:val="es-ES"/>
        </w:rPr>
        <w:t xml:space="preserve">16.3 </w:t>
      </w:r>
      <w:r w:rsidRPr="00993936">
        <w:rPr>
          <w:rFonts w:ascii="Arial" w:hAnsi="Arial" w:cs="Arial"/>
          <w:i/>
          <w:snapToGrid w:val="0"/>
          <w:lang w:val="es-ES"/>
        </w:rPr>
        <w:t>Recomendaciones</w:t>
      </w:r>
    </w:p>
    <w:p w:rsidR="00503A41" w:rsidRPr="00993936" w:rsidRDefault="00503A41" w:rsidP="001C0FFB">
      <w:pPr>
        <w:jc w:val="both"/>
        <w:outlineLvl w:val="0"/>
        <w:rPr>
          <w:rFonts w:ascii="Arial" w:hAnsi="Arial" w:cs="Arial"/>
          <w:snapToGrid w:val="0"/>
          <w:lang w:val="es-ES"/>
        </w:rPr>
      </w:pPr>
      <w:r w:rsidRPr="00993936">
        <w:rPr>
          <w:rFonts w:ascii="Arial" w:hAnsi="Arial" w:cs="Arial"/>
          <w:snapToGrid w:val="0"/>
          <w:lang w:val="es-ES"/>
        </w:rPr>
        <w:t>16.3.1 Los pulverizadores nuevos corresponderán a modelos certificados del Programa de Control de Características de Maquinaria de Tratamientos del Departamento de Agricultura, Ganadería, Pesca y Alimentación. , o para</w:t>
      </w:r>
      <w:r w:rsidRPr="00993936">
        <w:rPr>
          <w:rFonts w:ascii="Arial" w:hAnsi="Arial" w:cs="Arial"/>
          <w:snapToGrid w:val="0"/>
          <w:vanish/>
          <w:lang w:val="es-ES"/>
        </w:rPr>
        <w:t>&lt;A[para|por]&gt;</w:t>
      </w:r>
      <w:r w:rsidRPr="00993936">
        <w:rPr>
          <w:rFonts w:ascii="Arial" w:hAnsi="Arial" w:cs="Arial"/>
          <w:snapToGrid w:val="0"/>
          <w:lang w:val="es-ES"/>
        </w:rPr>
        <w:t xml:space="preserve"> otros programas oficiales de control.</w:t>
      </w:r>
    </w:p>
    <w:p w:rsidR="00503A41" w:rsidRPr="00993936" w:rsidRDefault="00503A41" w:rsidP="001C0FFB">
      <w:pPr>
        <w:jc w:val="both"/>
        <w:rPr>
          <w:rFonts w:ascii="Arial" w:hAnsi="Arial" w:cs="Arial"/>
          <w:snapToGrid w:val="0"/>
          <w:lang w:val="es-ES"/>
        </w:rPr>
      </w:pPr>
      <w:r w:rsidRPr="00993936">
        <w:rPr>
          <w:rFonts w:ascii="Arial" w:hAnsi="Arial" w:cs="Arial"/>
          <w:snapToGrid w:val="0"/>
          <w:lang w:val="es-ES"/>
        </w:rPr>
        <w:t>16.3.2 No se debe tratar si la velocidad del viento es superior a 10,8 km/h (3 m/s) .</w:t>
      </w:r>
    </w:p>
    <w:p w:rsidR="00503A41" w:rsidRPr="00993936" w:rsidRDefault="00503A41" w:rsidP="001C0FFB">
      <w:pPr>
        <w:jc w:val="both"/>
        <w:rPr>
          <w:rFonts w:ascii="Arial" w:hAnsi="Arial" w:cs="Arial"/>
          <w:lang w:val="es-ES"/>
        </w:rPr>
      </w:pPr>
      <w:r w:rsidRPr="00993936">
        <w:rPr>
          <w:rFonts w:ascii="Arial" w:hAnsi="Arial" w:cs="Arial"/>
          <w:snapToGrid w:val="0"/>
          <w:lang w:val="es-ES"/>
        </w:rPr>
        <w:t>16.3.3 Los volúmenes de caldo y las condiciones ambientales para realizar los tratamientos fitosanitarios se ajustarán a los valores que figuran en el anexo 4 de esta norma.</w:t>
      </w:r>
    </w:p>
    <w:p w:rsidR="00503A41" w:rsidRPr="00993936" w:rsidRDefault="00503A41" w:rsidP="001C0FFB">
      <w:pPr>
        <w:jc w:val="both"/>
        <w:rPr>
          <w:rFonts w:ascii="Arial" w:hAnsi="Arial" w:cs="Arial"/>
          <w:lang w:val="es-ES"/>
        </w:rPr>
      </w:pP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17 </w:t>
      </w: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Equipos de protección</w:t>
      </w:r>
    </w:p>
    <w:p w:rsidR="00503A41" w:rsidRPr="00993936" w:rsidRDefault="00503A41" w:rsidP="001C0FFB">
      <w:pPr>
        <w:pStyle w:val="NormalWeb"/>
        <w:spacing w:after="0"/>
        <w:jc w:val="both"/>
        <w:rPr>
          <w:rFonts w:ascii="Arial" w:hAnsi="Arial" w:cs="Arial"/>
          <w:b/>
          <w:i/>
          <w:sz w:val="22"/>
          <w:szCs w:val="22"/>
          <w:lang w:val="es-ES"/>
        </w:rPr>
      </w:pPr>
      <w:r w:rsidRPr="00993936">
        <w:rPr>
          <w:rFonts w:ascii="Arial" w:hAnsi="Arial" w:cs="Arial"/>
          <w:i/>
          <w:sz w:val="22"/>
          <w:szCs w:val="22"/>
          <w:lang w:val="es-ES"/>
        </w:rPr>
        <w:lastRenderedPageBreak/>
        <w:t>17.1 Obligaciones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17.1.1  La persona que manipule los productos fitosanitarios tiene que utilizar un equipo adecuado para la protección personal, de acuerdo con la legislación vigente de aplicación y las indicaciones de las etiquetas de cada producto.</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17.1.2  La ropa y el equipo se almacenarán de manera que no entren en contacto con los productos fitosanitarios.</w:t>
      </w:r>
    </w:p>
    <w:p w:rsidR="00503A41" w:rsidRPr="00993936" w:rsidRDefault="00503A41" w:rsidP="001C0FFB">
      <w:pPr>
        <w:jc w:val="both"/>
        <w:rPr>
          <w:rFonts w:ascii="Arial" w:hAnsi="Arial" w:cs="Arial"/>
          <w:lang w:val="es-ES"/>
        </w:rPr>
      </w:pPr>
    </w:p>
    <w:p w:rsidR="00503A41" w:rsidRPr="00993936" w:rsidRDefault="00503A41" w:rsidP="001C0FFB">
      <w:pPr>
        <w:pStyle w:val="Sangradetextonormal"/>
        <w:ind w:left="0"/>
        <w:rPr>
          <w:rFonts w:cs="Arial"/>
          <w:szCs w:val="22"/>
          <w:lang w:val="es-ES"/>
        </w:rPr>
      </w:pPr>
      <w:r w:rsidRPr="00993936">
        <w:rPr>
          <w:rFonts w:cs="Arial"/>
          <w:szCs w:val="22"/>
          <w:lang w:val="es-ES"/>
        </w:rPr>
        <w:t>Artículo 18</w:t>
      </w:r>
    </w:p>
    <w:p w:rsidR="00503A41" w:rsidRPr="00993936" w:rsidRDefault="00503A41" w:rsidP="001C0FFB">
      <w:pPr>
        <w:pStyle w:val="Sangradetextonormal"/>
        <w:ind w:left="0"/>
        <w:rPr>
          <w:rFonts w:cs="Arial"/>
          <w:b/>
          <w:szCs w:val="22"/>
          <w:lang w:val="es-ES"/>
        </w:rPr>
      </w:pPr>
      <w:r w:rsidRPr="00993936">
        <w:rPr>
          <w:rFonts w:cs="Arial"/>
          <w:b/>
          <w:szCs w:val="22"/>
          <w:lang w:val="es-ES"/>
        </w:rPr>
        <w:t xml:space="preserve">Personal </w:t>
      </w:r>
    </w:p>
    <w:p w:rsidR="00503A41" w:rsidRPr="00993936" w:rsidRDefault="00503A41" w:rsidP="001C0FFB">
      <w:pPr>
        <w:pStyle w:val="Sangradetextonormal"/>
        <w:ind w:left="0"/>
        <w:jc w:val="both"/>
        <w:rPr>
          <w:rFonts w:cs="Arial"/>
          <w:i/>
          <w:szCs w:val="22"/>
          <w:lang w:val="es-ES"/>
        </w:rPr>
      </w:pPr>
      <w:r w:rsidRPr="00993936">
        <w:rPr>
          <w:rFonts w:cs="Arial"/>
          <w:i/>
          <w:szCs w:val="22"/>
          <w:lang w:val="es-ES"/>
        </w:rPr>
        <w:t>18.1 Obligaciones</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18.1.1 Dar instrucciones los trabajadores y las trabajadoras que, en caso de sufrir enfermedades de transmisión alimenticia, o estar afectados, entre otras patologías, de heridas infectadas, infecciones cutáneas o diarreas, deben informar a la dirección.</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18.1.2 Documentar los procedimientos de actuación En caso de accidentes o de emergencias de forma que sean comprensibles para las personas afectadas.</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18.1.3  Disponer de botiquines de primeros auxilios accesibles para los trabajadores.</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18.1.4 Fomentar la formación del personal del almacén en materia de buenas prácticas de higiene y seguridad alimentarias, y conservar un registro de las actividades formativas que ha impartido la persona operadora o una entidad externa autorizada.</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18.1.5  Elaborar instrucciones para sus trabajadores en las cuales se consideren los aspectos higiénicos que se deben respetar en cada puesto de trabajo, y de acuerdo con las características de la explotación.</w:t>
      </w:r>
    </w:p>
    <w:p w:rsidR="00503A41" w:rsidRPr="00993936" w:rsidRDefault="00503A41" w:rsidP="001C0FFB">
      <w:pPr>
        <w:pStyle w:val="Sangradetextonormal"/>
        <w:ind w:left="0"/>
        <w:jc w:val="both"/>
        <w:rPr>
          <w:rFonts w:cs="Arial"/>
          <w:szCs w:val="22"/>
          <w:lang w:val="es-ES"/>
        </w:rPr>
      </w:pPr>
      <w:r w:rsidRPr="00993936">
        <w:rPr>
          <w:rFonts w:cs="Arial"/>
          <w:szCs w:val="22"/>
          <w:lang w:val="es-ES"/>
        </w:rPr>
        <w:t>18.1.6 Disponer de un Plan</w:t>
      </w:r>
      <w:r w:rsidRPr="00993936">
        <w:rPr>
          <w:rFonts w:cs="Arial"/>
          <w:vanish/>
          <w:szCs w:val="22"/>
          <w:lang w:val="es-ES"/>
        </w:rPr>
        <w:t>&lt;A[Plan|Plano]&gt;</w:t>
      </w:r>
      <w:r w:rsidRPr="00993936">
        <w:rPr>
          <w:rFonts w:cs="Arial"/>
          <w:szCs w:val="22"/>
          <w:lang w:val="es-ES"/>
        </w:rPr>
        <w:t xml:space="preserve"> de prevención de riesgos laborales y un Plan</w:t>
      </w:r>
      <w:r w:rsidRPr="00993936">
        <w:rPr>
          <w:rFonts w:cs="Arial"/>
          <w:vanish/>
          <w:szCs w:val="22"/>
          <w:lang w:val="es-ES"/>
        </w:rPr>
        <w:t>&lt;A[Plan|Plano]&gt;</w:t>
      </w:r>
      <w:r w:rsidRPr="00993936">
        <w:rPr>
          <w:rFonts w:cs="Arial"/>
          <w:szCs w:val="22"/>
          <w:lang w:val="es-ES"/>
        </w:rPr>
        <w:t xml:space="preserve"> de APPCC (Análisis de Peligros y Puntos Críticos) implantado y aprobado, si procede</w:t>
      </w:r>
      <w:r w:rsidRPr="00993936">
        <w:rPr>
          <w:rFonts w:cs="Arial"/>
          <w:vanish/>
          <w:szCs w:val="22"/>
          <w:lang w:val="es-ES"/>
        </w:rPr>
        <w:t>&lt;A[pega|ocurre]&gt;</w:t>
      </w:r>
      <w:r w:rsidRPr="00993936">
        <w:rPr>
          <w:rFonts w:cs="Arial"/>
          <w:szCs w:val="22"/>
          <w:lang w:val="es-ES"/>
        </w:rPr>
        <w:t>, para</w:t>
      </w:r>
      <w:r w:rsidRPr="00993936">
        <w:rPr>
          <w:rFonts w:cs="Arial"/>
          <w:vanish/>
          <w:szCs w:val="22"/>
          <w:lang w:val="es-ES"/>
        </w:rPr>
        <w:t>&lt;A[para|por]&gt;</w:t>
      </w:r>
      <w:r w:rsidRPr="00993936">
        <w:rPr>
          <w:rFonts w:cs="Arial"/>
          <w:szCs w:val="22"/>
          <w:lang w:val="es-ES"/>
        </w:rPr>
        <w:t xml:space="preserve"> la autoridad competente. </w:t>
      </w:r>
    </w:p>
    <w:p w:rsidR="00503A41" w:rsidRPr="00993936" w:rsidRDefault="00503A41" w:rsidP="001C0FFB">
      <w:pPr>
        <w:pStyle w:val="NormalWeb"/>
        <w:spacing w:after="0"/>
        <w:jc w:val="both"/>
        <w:rPr>
          <w:rFonts w:ascii="Arial" w:hAnsi="Arial" w:cs="Arial"/>
          <w:sz w:val="22"/>
          <w:szCs w:val="22"/>
          <w:lang w:val="es-ES"/>
        </w:rPr>
      </w:pP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Artículo 19 </w:t>
      </w: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Transporte del producto vegetal y contenedores</w:t>
      </w:r>
    </w:p>
    <w:p w:rsidR="00503A41" w:rsidRPr="00993936" w:rsidRDefault="00503A41" w:rsidP="001C0FFB">
      <w:pPr>
        <w:pStyle w:val="NormalWeb"/>
        <w:spacing w:after="0"/>
        <w:jc w:val="both"/>
        <w:rPr>
          <w:rFonts w:ascii="Arial" w:hAnsi="Arial" w:cs="Arial"/>
          <w:i/>
          <w:sz w:val="22"/>
          <w:szCs w:val="22"/>
          <w:lang w:val="es-ES"/>
        </w:rPr>
      </w:pPr>
      <w:r w:rsidRPr="00993936">
        <w:rPr>
          <w:rFonts w:ascii="Arial" w:hAnsi="Arial" w:cs="Arial"/>
          <w:i/>
          <w:sz w:val="22"/>
          <w:szCs w:val="22"/>
          <w:lang w:val="es-ES"/>
        </w:rPr>
        <w:t>19.1 Obligaciones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19.1.1  Los receptáculos y contenedores de los vehículos utilizados para transportar las olivas deben estar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en condiciones adecuadas de mantenimiento para protegerlos de la contaminación. Su forma y composición deben permitir una limpieza y una desinfección adecuadas.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19.1.2  Cuando se utilizan los receptáculos de vehículos o contenedores para transportar una carga diferente de olivas o de productos alimentarios, se tiene que limpiar eficaz entre las cargas para evitar el riesgo de contaminación.</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19.1.3 Conservar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los cajones y recipientes utilizados para transportar y recolectar las olivas, y desinfectarlos cuando haga falta.</w:t>
      </w:r>
    </w:p>
    <w:p w:rsidR="00503A41" w:rsidRPr="00993936" w:rsidRDefault="00503A41" w:rsidP="001C0FFB">
      <w:pPr>
        <w:pStyle w:val="NormalWeb"/>
        <w:spacing w:after="0"/>
        <w:jc w:val="both"/>
        <w:rPr>
          <w:rFonts w:ascii="Arial" w:hAnsi="Arial" w:cs="Arial"/>
          <w:sz w:val="22"/>
          <w:szCs w:val="22"/>
          <w:lang w:val="es-ES"/>
        </w:rPr>
      </w:pPr>
    </w:p>
    <w:p w:rsidR="00503A41" w:rsidRPr="00993936" w:rsidRDefault="00503A41" w:rsidP="001C0FFB">
      <w:pPr>
        <w:pStyle w:val="Ttulo2"/>
        <w:rPr>
          <w:rFonts w:ascii="Arial" w:hAnsi="Arial" w:cs="Arial"/>
          <w:color w:val="auto"/>
          <w:sz w:val="22"/>
          <w:szCs w:val="22"/>
          <w:lang w:val="es-ES"/>
        </w:rPr>
      </w:pPr>
      <w:r w:rsidRPr="00993936">
        <w:rPr>
          <w:rFonts w:ascii="Arial" w:hAnsi="Arial" w:cs="Arial"/>
          <w:color w:val="auto"/>
          <w:sz w:val="22"/>
          <w:szCs w:val="22"/>
          <w:lang w:val="es-ES"/>
        </w:rPr>
        <w:t>Artículo 20</w:t>
      </w:r>
    </w:p>
    <w:p w:rsidR="00503A41" w:rsidRPr="00993936" w:rsidRDefault="00503A41" w:rsidP="001C0FFB">
      <w:pPr>
        <w:pStyle w:val="Ttulo2"/>
        <w:rPr>
          <w:rFonts w:ascii="Arial" w:hAnsi="Arial" w:cs="Arial"/>
          <w:b/>
          <w:color w:val="auto"/>
          <w:sz w:val="22"/>
          <w:szCs w:val="22"/>
          <w:lang w:val="es-ES"/>
        </w:rPr>
      </w:pPr>
      <w:r w:rsidRPr="00993936">
        <w:rPr>
          <w:rFonts w:ascii="Arial" w:hAnsi="Arial" w:cs="Arial"/>
          <w:b/>
          <w:color w:val="auto"/>
          <w:sz w:val="22"/>
          <w:szCs w:val="22"/>
          <w:lang w:val="es-ES"/>
        </w:rPr>
        <w:t>Almacenamiento de productos fitosanitarios y fertilizantes</w:t>
      </w:r>
    </w:p>
    <w:p w:rsidR="00503A41" w:rsidRPr="00993936" w:rsidRDefault="00503A41" w:rsidP="001C0FFB">
      <w:pPr>
        <w:jc w:val="both"/>
        <w:rPr>
          <w:rFonts w:ascii="Arial" w:hAnsi="Arial" w:cs="Arial"/>
          <w:i/>
          <w:lang w:val="es-ES"/>
        </w:rPr>
      </w:pPr>
      <w:r w:rsidRPr="00993936">
        <w:rPr>
          <w:rFonts w:ascii="Arial" w:hAnsi="Arial" w:cs="Arial"/>
          <w:lang w:val="es-ES"/>
        </w:rPr>
        <w:t xml:space="preserve">20.1 </w:t>
      </w:r>
      <w:r w:rsidRPr="00993936">
        <w:rPr>
          <w:rFonts w:ascii="Arial" w:hAnsi="Arial" w:cs="Arial"/>
          <w:i/>
          <w:lang w:val="es-ES"/>
        </w:rPr>
        <w:t>Obligaciones</w:t>
      </w:r>
    </w:p>
    <w:p w:rsidR="00503A41" w:rsidRPr="00993936" w:rsidRDefault="00503A41" w:rsidP="001C0FFB">
      <w:pPr>
        <w:jc w:val="both"/>
        <w:rPr>
          <w:rFonts w:ascii="Arial" w:hAnsi="Arial" w:cs="Arial"/>
          <w:u w:val="single"/>
          <w:lang w:val="es-ES"/>
        </w:rPr>
      </w:pPr>
      <w:r w:rsidRPr="00993936">
        <w:rPr>
          <w:rFonts w:ascii="Arial" w:hAnsi="Arial" w:cs="Arial"/>
          <w:lang w:val="es-ES"/>
        </w:rPr>
        <w:t xml:space="preserve">20.1.1 </w:t>
      </w:r>
      <w:r w:rsidRPr="00993936">
        <w:rPr>
          <w:rFonts w:ascii="Arial" w:hAnsi="Arial" w:cs="Arial"/>
          <w:i/>
          <w:u w:val="single"/>
          <w:lang w:val="es-ES"/>
        </w:rPr>
        <w:t>Condiciones de almacenamiento</w:t>
      </w:r>
    </w:p>
    <w:p w:rsidR="00503A41" w:rsidRPr="00993936" w:rsidRDefault="00503A41" w:rsidP="001C0FFB">
      <w:pPr>
        <w:jc w:val="both"/>
        <w:rPr>
          <w:rFonts w:ascii="Arial" w:hAnsi="Arial" w:cs="Arial"/>
          <w:lang w:val="es-ES"/>
        </w:rPr>
      </w:pPr>
      <w:r w:rsidRPr="00993936">
        <w:rPr>
          <w:rFonts w:ascii="Arial" w:hAnsi="Arial" w:cs="Arial"/>
          <w:lang w:val="es-ES"/>
        </w:rPr>
        <w:t>20.1.1.1 Los productos fitosanitarios y fertilizantes tendrán que almacenarse en un lugar</w:t>
      </w:r>
      <w:r w:rsidRPr="00993936">
        <w:rPr>
          <w:rFonts w:ascii="Arial" w:hAnsi="Arial" w:cs="Arial"/>
          <w:vanish/>
          <w:lang w:val="es-ES"/>
        </w:rPr>
        <w:t>&lt;A[lugar|sitio]&gt;</w:t>
      </w:r>
      <w:r w:rsidRPr="00993936">
        <w:rPr>
          <w:rFonts w:ascii="Arial" w:hAnsi="Arial" w:cs="Arial"/>
          <w:lang w:val="es-ES"/>
        </w:rPr>
        <w:t xml:space="preserve"> cerrado, separados del material vegetal y de los frutos, para evitar cualquier riesgo de contaminación. </w:t>
      </w:r>
    </w:p>
    <w:p w:rsidR="00503A41" w:rsidRPr="00993936" w:rsidRDefault="00503A41" w:rsidP="001C0FFB">
      <w:pPr>
        <w:jc w:val="both"/>
        <w:rPr>
          <w:rFonts w:ascii="Arial" w:hAnsi="Arial" w:cs="Arial"/>
          <w:lang w:val="es-ES"/>
        </w:rPr>
      </w:pPr>
      <w:r w:rsidRPr="00993936">
        <w:rPr>
          <w:rFonts w:ascii="Arial" w:hAnsi="Arial" w:cs="Arial"/>
          <w:lang w:val="es-ES"/>
        </w:rPr>
        <w:t>20.1.1.2   El almacén dispondrá de llave</w:t>
      </w:r>
      <w:r w:rsidRPr="00993936">
        <w:rPr>
          <w:rFonts w:ascii="Arial" w:hAnsi="Arial" w:cs="Arial"/>
          <w:vanish/>
          <w:lang w:val="es-ES"/>
        </w:rPr>
        <w:t>&lt;A[clave|clavo|llave]&gt;</w:t>
      </w:r>
      <w:r w:rsidRPr="00993936">
        <w:rPr>
          <w:rFonts w:ascii="Arial" w:hAnsi="Arial" w:cs="Arial"/>
          <w:lang w:val="es-ES"/>
        </w:rPr>
        <w:t xml:space="preserve"> y ventilación permanente y suficiente.</w:t>
      </w:r>
    </w:p>
    <w:p w:rsidR="00503A41" w:rsidRPr="00993936" w:rsidRDefault="00503A41" w:rsidP="001C0FFB">
      <w:pPr>
        <w:jc w:val="both"/>
        <w:rPr>
          <w:rFonts w:ascii="Arial" w:hAnsi="Arial" w:cs="Arial"/>
          <w:lang w:val="es-ES"/>
        </w:rPr>
      </w:pPr>
      <w:r w:rsidRPr="00993936">
        <w:rPr>
          <w:rFonts w:ascii="Arial" w:hAnsi="Arial" w:cs="Arial"/>
          <w:lang w:val="es-ES"/>
        </w:rPr>
        <w:t>20.1.1.3  El almacenamiento tiene que disponer de medios para retener posibles derrames</w:t>
      </w:r>
      <w:r w:rsidRPr="00993936">
        <w:rPr>
          <w:rFonts w:ascii="Arial" w:hAnsi="Arial" w:cs="Arial"/>
          <w:vanish/>
          <w:lang w:val="es-ES"/>
        </w:rPr>
        <w:t>&lt;A[derrames|vertidos]&gt;</w:t>
      </w:r>
      <w:r w:rsidRPr="00993936">
        <w:rPr>
          <w:rFonts w:ascii="Arial" w:hAnsi="Arial" w:cs="Arial"/>
          <w:lang w:val="es-ES"/>
        </w:rPr>
        <w:t xml:space="preserve"> accidentales.</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20.1.1.4 El lugar</w:t>
      </w:r>
      <w:r w:rsidRPr="00993936">
        <w:rPr>
          <w:rFonts w:ascii="Arial" w:hAnsi="Arial" w:cs="Arial"/>
          <w:vanish/>
          <w:lang w:val="es-ES"/>
        </w:rPr>
        <w:t>&lt;A[lugar|sitio]&gt;</w:t>
      </w:r>
      <w:r w:rsidRPr="00993936">
        <w:rPr>
          <w:rFonts w:ascii="Arial" w:hAnsi="Arial" w:cs="Arial"/>
          <w:lang w:val="es-ES"/>
        </w:rPr>
        <w:t xml:space="preserve"> del almacén tiene que estar debidamente señalado, haciendo una especial insistencia en la prohibición de acceso a personas no autorizadas.</w:t>
      </w:r>
    </w:p>
    <w:p w:rsidR="00503A41" w:rsidRPr="00993936" w:rsidRDefault="00503A41" w:rsidP="001C0FFB">
      <w:pPr>
        <w:jc w:val="both"/>
        <w:rPr>
          <w:rFonts w:ascii="Arial" w:hAnsi="Arial" w:cs="Arial"/>
          <w:lang w:val="es-ES" w:eastAsia="es-ES"/>
        </w:rPr>
      </w:pPr>
      <w:r w:rsidRPr="00993936">
        <w:rPr>
          <w:rFonts w:ascii="Arial" w:hAnsi="Arial" w:cs="Arial"/>
          <w:lang w:val="es-ES" w:eastAsia="es-ES"/>
        </w:rPr>
        <w:t>20.1.1.5 En el almacenamiento de productos fitosanitarios se deben tener en cuenta además el resto de obligaciones que establece el artículo 40 del RD 1311/2012.</w:t>
      </w:r>
    </w:p>
    <w:p w:rsidR="00503A41" w:rsidRPr="00993936" w:rsidRDefault="00503A41" w:rsidP="001C0FFB">
      <w:pPr>
        <w:jc w:val="both"/>
        <w:rPr>
          <w:rFonts w:ascii="Arial" w:hAnsi="Arial" w:cs="Arial"/>
          <w:lang w:val="es-ES"/>
        </w:rPr>
      </w:pPr>
      <w:r w:rsidRPr="00993936">
        <w:rPr>
          <w:rFonts w:ascii="Arial" w:hAnsi="Arial" w:cs="Arial"/>
          <w:lang w:val="es-ES" w:eastAsia="es-ES"/>
        </w:rPr>
        <w:t>2</w:t>
      </w:r>
      <w:r w:rsidRPr="00993936">
        <w:rPr>
          <w:rFonts w:ascii="Arial" w:hAnsi="Arial" w:cs="Arial"/>
          <w:lang w:val="es-ES"/>
        </w:rPr>
        <w:t xml:space="preserve">0.1.2 </w:t>
      </w:r>
      <w:r w:rsidRPr="00993936">
        <w:rPr>
          <w:rFonts w:ascii="Arial" w:hAnsi="Arial" w:cs="Arial"/>
          <w:i/>
          <w:u w:val="single"/>
          <w:lang w:val="es-ES"/>
        </w:rPr>
        <w:t>Almacenamiento de productos</w:t>
      </w:r>
    </w:p>
    <w:p w:rsidR="00503A41" w:rsidRPr="00993936" w:rsidRDefault="00503A41" w:rsidP="001C0FFB">
      <w:pPr>
        <w:jc w:val="both"/>
        <w:rPr>
          <w:rFonts w:ascii="Arial" w:hAnsi="Arial" w:cs="Arial"/>
          <w:lang w:val="es-ES"/>
        </w:rPr>
      </w:pPr>
      <w:r w:rsidRPr="00993936">
        <w:rPr>
          <w:rFonts w:ascii="Arial" w:hAnsi="Arial" w:cs="Arial"/>
          <w:lang w:val="es-ES"/>
        </w:rPr>
        <w:t>20.1.2.1 Los fitosanitarios deben mantenerse dentro de su envase original y las etiquetas deben ser perfectamente legibles.</w:t>
      </w:r>
    </w:p>
    <w:p w:rsidR="00503A41" w:rsidRPr="00993936" w:rsidRDefault="00503A41" w:rsidP="001C0FFB">
      <w:pPr>
        <w:jc w:val="both"/>
        <w:rPr>
          <w:rFonts w:ascii="Arial" w:hAnsi="Arial" w:cs="Arial"/>
          <w:lang w:val="es-ES"/>
        </w:rPr>
      </w:pPr>
      <w:r w:rsidRPr="00993936">
        <w:rPr>
          <w:rFonts w:ascii="Arial" w:hAnsi="Arial" w:cs="Arial"/>
          <w:lang w:val="es-ES"/>
        </w:rPr>
        <w:t>20.1.2.2 Los productos fitosanitarios y fertilizantes deben estar debidamente etiquetados, ordenados y separados físicamente.</w:t>
      </w:r>
    </w:p>
    <w:p w:rsidR="00503A41" w:rsidRPr="00993936" w:rsidRDefault="00503A41" w:rsidP="001C0FFB">
      <w:pPr>
        <w:jc w:val="both"/>
        <w:rPr>
          <w:rFonts w:ascii="Arial" w:hAnsi="Arial" w:cs="Arial"/>
          <w:lang w:val="es-ES"/>
        </w:rPr>
      </w:pPr>
      <w:r w:rsidRPr="00993936">
        <w:rPr>
          <w:rFonts w:ascii="Arial" w:hAnsi="Arial" w:cs="Arial"/>
          <w:lang w:val="es-ES"/>
        </w:rPr>
        <w:t>20.1.2.3 Los fitosanitarios en polvo deben almacenarse en estantes situados por encima de los líquidos.</w:t>
      </w:r>
    </w:p>
    <w:p w:rsidR="00503A41" w:rsidRPr="00993936" w:rsidRDefault="00503A41" w:rsidP="001C0FFB">
      <w:pPr>
        <w:jc w:val="both"/>
        <w:rPr>
          <w:rFonts w:ascii="Arial" w:hAnsi="Arial" w:cs="Arial"/>
          <w:lang w:val="es-ES"/>
        </w:rPr>
      </w:pPr>
      <w:r w:rsidRPr="00993936">
        <w:rPr>
          <w:rFonts w:ascii="Arial" w:hAnsi="Arial" w:cs="Arial"/>
          <w:lang w:val="es-ES"/>
        </w:rPr>
        <w:t>20.1.2.4 La conservación de los justificantes de las compras y gastos de los productos fitosanitarios reflejados en el cuaderno de explotación es obligatoria durante tres años.</w:t>
      </w:r>
    </w:p>
    <w:p w:rsidR="00503A41" w:rsidRPr="00993936" w:rsidRDefault="00503A41" w:rsidP="001C0FFB">
      <w:pPr>
        <w:jc w:val="both"/>
        <w:rPr>
          <w:rFonts w:ascii="Arial" w:hAnsi="Arial" w:cs="Arial"/>
          <w:lang w:val="es-ES"/>
        </w:rPr>
      </w:pPr>
      <w:r w:rsidRPr="00993936">
        <w:rPr>
          <w:rFonts w:ascii="Arial" w:hAnsi="Arial" w:cs="Arial"/>
          <w:lang w:val="es-ES"/>
        </w:rPr>
        <w:t>20.1.2.5 En caso de disponer de almacén de productos fitosanitarios y/o fertilizantes en la central, se aplicarán las obligaciones de la RTS (Reglamentación técnico sanitaria) y del RD 1311/2012.</w:t>
      </w:r>
    </w:p>
    <w:p w:rsidR="00503A41" w:rsidRPr="00993936" w:rsidRDefault="00503A41" w:rsidP="001C0FFB">
      <w:pPr>
        <w:pStyle w:val="Ttulo1"/>
        <w:rPr>
          <w:rFonts w:ascii="Arial" w:hAnsi="Arial" w:cs="Arial"/>
          <w:color w:val="auto"/>
          <w:sz w:val="22"/>
          <w:szCs w:val="22"/>
        </w:rPr>
      </w:pPr>
      <w:r w:rsidRPr="00993936">
        <w:rPr>
          <w:rFonts w:ascii="Arial" w:hAnsi="Arial" w:cs="Arial"/>
          <w:color w:val="auto"/>
          <w:sz w:val="22"/>
          <w:szCs w:val="22"/>
        </w:rPr>
        <w:t>20.2</w:t>
      </w:r>
      <w:r w:rsidRPr="00993936">
        <w:rPr>
          <w:rFonts w:ascii="Arial" w:hAnsi="Arial" w:cs="Arial"/>
          <w:i/>
          <w:color w:val="auto"/>
          <w:sz w:val="22"/>
          <w:szCs w:val="22"/>
        </w:rPr>
        <w:t xml:space="preserve"> Recomendaciones</w:t>
      </w:r>
    </w:p>
    <w:p w:rsidR="00503A41" w:rsidRPr="00993936" w:rsidRDefault="00503A41" w:rsidP="001C0FFB">
      <w:pPr>
        <w:jc w:val="both"/>
        <w:rPr>
          <w:rFonts w:ascii="Arial" w:hAnsi="Arial" w:cs="Arial"/>
          <w:lang w:val="es-ES"/>
        </w:rPr>
      </w:pPr>
      <w:r w:rsidRPr="00993936">
        <w:rPr>
          <w:rFonts w:ascii="Arial" w:hAnsi="Arial" w:cs="Arial"/>
          <w:lang w:val="es-ES"/>
        </w:rPr>
        <w:t>20.2.1 No almacenar los productos fitosanitarios ni fertilizantes en contacto con el suelo.</w:t>
      </w:r>
    </w:p>
    <w:p w:rsidR="00503A41" w:rsidRPr="00993936" w:rsidRDefault="00503A41" w:rsidP="001C0FFB">
      <w:pPr>
        <w:jc w:val="both"/>
        <w:rPr>
          <w:rFonts w:ascii="Arial" w:hAnsi="Arial" w:cs="Arial"/>
          <w:lang w:val="es-ES"/>
        </w:rPr>
      </w:pPr>
      <w:r w:rsidRPr="00993936">
        <w:rPr>
          <w:rFonts w:ascii="Arial" w:hAnsi="Arial" w:cs="Arial"/>
          <w:lang w:val="es-ES"/>
        </w:rPr>
        <w:t>20.2.2 Utilizar estantes de almacenamiento de materiales no absorbentes.</w:t>
      </w:r>
    </w:p>
    <w:p w:rsidR="00503A41" w:rsidRPr="00993936" w:rsidRDefault="00503A41" w:rsidP="001C0FFB">
      <w:pPr>
        <w:jc w:val="both"/>
        <w:rPr>
          <w:rFonts w:ascii="Arial" w:hAnsi="Arial" w:cs="Arial"/>
          <w:lang w:val="es-ES"/>
        </w:rPr>
      </w:pPr>
      <w:r w:rsidRPr="00993936">
        <w:rPr>
          <w:rFonts w:ascii="Arial" w:hAnsi="Arial" w:cs="Arial"/>
          <w:lang w:val="es-ES"/>
        </w:rPr>
        <w:t>20.2.3 No almacenar productos innecesariamente.</w:t>
      </w:r>
    </w:p>
    <w:p w:rsidR="00503A41" w:rsidRPr="00993936" w:rsidRDefault="00503A41" w:rsidP="001C0FFB">
      <w:pPr>
        <w:jc w:val="both"/>
        <w:rPr>
          <w:rFonts w:ascii="Arial" w:hAnsi="Arial" w:cs="Arial"/>
          <w:lang w:val="es-ES"/>
        </w:rPr>
      </w:pPr>
    </w:p>
    <w:p w:rsidR="00503A41" w:rsidRPr="00993936" w:rsidRDefault="00503A41" w:rsidP="001C0F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21</w:t>
      </w: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Señalización de seguridad</w:t>
      </w:r>
    </w:p>
    <w:p w:rsidR="00503A41" w:rsidRPr="00993936" w:rsidRDefault="00503A41" w:rsidP="001C0FFB">
      <w:pPr>
        <w:pStyle w:val="NormalWeb"/>
        <w:spacing w:after="0"/>
        <w:jc w:val="both"/>
        <w:rPr>
          <w:rFonts w:ascii="Arial" w:hAnsi="Arial" w:cs="Arial"/>
          <w:i/>
          <w:sz w:val="22"/>
          <w:szCs w:val="22"/>
          <w:lang w:val="es-ES"/>
        </w:rPr>
      </w:pPr>
      <w:r w:rsidRPr="00993936">
        <w:rPr>
          <w:rFonts w:ascii="Arial" w:hAnsi="Arial" w:cs="Arial"/>
          <w:i/>
          <w:sz w:val="22"/>
          <w:szCs w:val="22"/>
          <w:lang w:val="es-ES"/>
        </w:rPr>
        <w:t>21.1 Obligaciones: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21.1.1  Utilizar las señalizaciones que prevé la legislación vigente.</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21.1.2  En el almacén de productos fitosanitarios deben estar presentes, de manera accesible y legible, las normas generales de actuación en caso de intoxicación y derrame</w:t>
      </w:r>
      <w:r w:rsidRPr="00993936">
        <w:rPr>
          <w:rFonts w:ascii="Arial" w:hAnsi="Arial" w:cs="Arial"/>
          <w:vanish/>
          <w:sz w:val="22"/>
          <w:szCs w:val="22"/>
          <w:lang w:val="es-ES"/>
        </w:rPr>
        <w:t>&lt;A[derrame|vertido]&gt;</w:t>
      </w:r>
      <w:r w:rsidRPr="00993936">
        <w:rPr>
          <w:rFonts w:ascii="Arial" w:hAnsi="Arial" w:cs="Arial"/>
          <w:sz w:val="22"/>
          <w:szCs w:val="22"/>
          <w:lang w:val="es-ES"/>
        </w:rPr>
        <w:t xml:space="preserve"> accidental, y es obligatorio disponer de los números de teléfono del Instituto de Toxicología y de otros organismos que puedan ser competentes en esta materia.</w:t>
      </w:r>
    </w:p>
    <w:p w:rsidR="00503A41" w:rsidRPr="00993936" w:rsidRDefault="00503A41" w:rsidP="001C0FFB">
      <w:pPr>
        <w:jc w:val="both"/>
        <w:rPr>
          <w:rFonts w:ascii="Arial" w:hAnsi="Arial" w:cs="Arial"/>
          <w:lang w:val="es-ES"/>
        </w:rPr>
      </w:pPr>
    </w:p>
    <w:p w:rsidR="00503A41" w:rsidRPr="00993936" w:rsidRDefault="00503A41" w:rsidP="00340B1F">
      <w:pPr>
        <w:jc w:val="both"/>
        <w:rPr>
          <w:rFonts w:ascii="Arial" w:hAnsi="Arial" w:cs="Arial"/>
          <w:b/>
          <w:lang w:val="es-ES"/>
        </w:rPr>
      </w:pPr>
      <w:r w:rsidRPr="00993936">
        <w:rPr>
          <w:rFonts w:ascii="Arial" w:hAnsi="Arial" w:cs="Arial"/>
          <w:b/>
          <w:lang w:val="es-ES"/>
        </w:rPr>
        <w:t xml:space="preserve">CENTRAL E INDUSTRIA DE MANIPULACIÓN Y/O DE ELABORACIÓN Y/O DE CONSERVACIÓN </w:t>
      </w:r>
    </w:p>
    <w:p w:rsidR="00503A41" w:rsidRPr="00993936" w:rsidRDefault="00C8459C" w:rsidP="001C0FFB">
      <w:pPr>
        <w:jc w:val="both"/>
        <w:rPr>
          <w:rFonts w:ascii="Arial" w:hAnsi="Arial" w:cs="Arial"/>
          <w:lang w:val="es-ES"/>
        </w:rPr>
      </w:pPr>
      <w:r>
        <w:rPr>
          <w:rFonts w:ascii="Arial" w:hAnsi="Arial" w:cs="Arial"/>
          <w:lang w:val="es-ES"/>
        </w:rPr>
        <w:pict>
          <v:line id="_x0000_s1050" style="position:absolute;left:0;text-align:left;flip:y;z-index:251871232" from="0,-187.7pt" to="0,-178.7pt"/>
        </w:pic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Artículo 22</w:t>
      </w: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Central e industria de manipulación y/o de elaboración y/o conservación</w:t>
      </w:r>
    </w:p>
    <w:p w:rsidR="00503A41" w:rsidRPr="00993936" w:rsidRDefault="00503A41" w:rsidP="001C0FFB">
      <w:pPr>
        <w:pStyle w:val="NormalWeb"/>
        <w:spacing w:after="0"/>
        <w:jc w:val="both"/>
        <w:rPr>
          <w:rFonts w:ascii="Arial" w:hAnsi="Arial" w:cs="Arial"/>
          <w:i/>
          <w:sz w:val="22"/>
          <w:szCs w:val="22"/>
          <w:lang w:val="es-ES"/>
        </w:rPr>
      </w:pPr>
      <w:r w:rsidRPr="00993936">
        <w:rPr>
          <w:rFonts w:ascii="Arial" w:hAnsi="Arial" w:cs="Arial"/>
          <w:i/>
          <w:sz w:val="22"/>
          <w:szCs w:val="22"/>
          <w:lang w:val="es-ES"/>
        </w:rPr>
        <w:t>22.1 Obligaciones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22.1.1 Estar inscrita en el Registro sanitario de industrias y productos alimentarios de Cataluña.</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22.1.2  Disponer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prevención de riesgos laborales y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análisis de peligros y puntos de control críticos (APPCC) </w:t>
      </w:r>
      <w:r w:rsidRPr="00993936">
        <w:rPr>
          <w:rFonts w:ascii="Arial" w:hAnsi="Arial" w:cs="Arial"/>
          <w:sz w:val="22"/>
          <w:szCs w:val="22"/>
          <w:lang w:val="es-ES"/>
        </w:rPr>
        <w:lastRenderedPageBreak/>
        <w:t>implantados y aprobados por</w:t>
      </w:r>
      <w:r w:rsidRPr="00993936">
        <w:rPr>
          <w:rFonts w:ascii="Arial" w:hAnsi="Arial" w:cs="Arial"/>
          <w:vanish/>
          <w:sz w:val="22"/>
          <w:szCs w:val="22"/>
          <w:lang w:val="es-ES"/>
        </w:rPr>
        <w:t>&lt;A[para|por]&gt;</w:t>
      </w:r>
      <w:r w:rsidRPr="00993936">
        <w:rPr>
          <w:rFonts w:ascii="Arial" w:hAnsi="Arial" w:cs="Arial"/>
          <w:sz w:val="22"/>
          <w:szCs w:val="22"/>
          <w:lang w:val="es-ES"/>
        </w:rPr>
        <w:t xml:space="preserve"> los organismos competentes en razón de la materia.</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22.1.3  En caso de almacenarse productos fitosanitarios y/o fertilizantes en la central o en la industria de transformación, se aplicarán las obligaciones que establecen los artículos 7 y 20 de esta Norma. </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22.1.4  Aplicar métodos o técnicas que permitan mantener intacta la calidad del producto, conservar la integridad y asegurar la respiración, si favorece la conservación de las características organolépticas.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22.1.5 Todas las máquinas, los recipientes, los elementos de transporte, los envases y los lugares</w:t>
      </w:r>
      <w:r w:rsidRPr="00993936">
        <w:rPr>
          <w:rFonts w:ascii="Arial" w:hAnsi="Arial" w:cs="Arial"/>
          <w:vanish/>
          <w:sz w:val="22"/>
          <w:szCs w:val="22"/>
          <w:lang w:val="es-ES"/>
        </w:rPr>
        <w:t>&lt;A[lugares|sitios]&gt;</w:t>
      </w:r>
      <w:r w:rsidRPr="00993936">
        <w:rPr>
          <w:rFonts w:ascii="Arial" w:hAnsi="Arial" w:cs="Arial"/>
          <w:sz w:val="22"/>
          <w:szCs w:val="22"/>
          <w:lang w:val="es-ES"/>
        </w:rPr>
        <w:t xml:space="preserve"> de almacenamiento deben reunir las condiciones siguientes: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22.1.5.1 No transmitir a los productos con los cuales entren en contacto sustancias tóxicas o que puedan contaminar, ni originar reacciones químicas perjudiciales.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22.1.5.2 No alterar las características de composición y los caracteres organolépticos de los productos.</w:t>
      </w:r>
    </w:p>
    <w:p w:rsidR="00503A41" w:rsidRPr="00993936" w:rsidRDefault="00503A41" w:rsidP="001C0FFB">
      <w:pPr>
        <w:pStyle w:val="Textoindependiente"/>
        <w:outlineLvl w:val="0"/>
        <w:rPr>
          <w:rFonts w:cs="Arial"/>
          <w:szCs w:val="22"/>
          <w:lang w:val="es-ES"/>
        </w:rPr>
      </w:pPr>
    </w:p>
    <w:p w:rsidR="00503A41" w:rsidRPr="00993936" w:rsidRDefault="00503A41" w:rsidP="001C0FFB">
      <w:pPr>
        <w:pStyle w:val="Ttulo2"/>
        <w:rPr>
          <w:rFonts w:ascii="Arial" w:hAnsi="Arial" w:cs="Arial"/>
          <w:color w:val="auto"/>
          <w:sz w:val="22"/>
          <w:szCs w:val="22"/>
          <w:lang w:val="es-ES"/>
        </w:rPr>
      </w:pPr>
      <w:r w:rsidRPr="00993936">
        <w:rPr>
          <w:rFonts w:ascii="Arial" w:hAnsi="Arial" w:cs="Arial"/>
          <w:color w:val="auto"/>
          <w:sz w:val="22"/>
          <w:szCs w:val="22"/>
          <w:lang w:val="es-ES"/>
        </w:rPr>
        <w:t xml:space="preserve">Artículo 23 </w:t>
      </w:r>
    </w:p>
    <w:p w:rsidR="00503A41" w:rsidRPr="00993936" w:rsidRDefault="00503A41" w:rsidP="001C0FFB">
      <w:pPr>
        <w:jc w:val="both"/>
        <w:rPr>
          <w:rFonts w:ascii="Arial" w:hAnsi="Arial" w:cs="Arial"/>
          <w:b/>
          <w:lang w:val="es-ES"/>
        </w:rPr>
      </w:pPr>
      <w:r w:rsidRPr="00993936">
        <w:rPr>
          <w:rFonts w:ascii="Arial" w:hAnsi="Arial" w:cs="Arial"/>
          <w:b/>
          <w:lang w:val="es-ES"/>
        </w:rPr>
        <w:t xml:space="preserve">Transporte y recepción en la central </w:t>
      </w:r>
    </w:p>
    <w:p w:rsidR="00503A41" w:rsidRPr="00993936" w:rsidRDefault="00503A41" w:rsidP="001C0FFB">
      <w:pPr>
        <w:jc w:val="both"/>
        <w:rPr>
          <w:rFonts w:ascii="Arial" w:hAnsi="Arial" w:cs="Arial"/>
          <w:lang w:val="es-ES"/>
        </w:rPr>
      </w:pPr>
      <w:r w:rsidRPr="00993936">
        <w:rPr>
          <w:rFonts w:ascii="Arial" w:hAnsi="Arial" w:cs="Arial"/>
          <w:lang w:val="es-ES"/>
        </w:rPr>
        <w:t xml:space="preserve">23.1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23.1.1 Los vehículos que lleguen a las instalaciones deben estar en condiciones de higiene adecuadas y cargados exclusivamente con olivas.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23.1.2  Habrá una separación física, definida y señalizada, de las olivas que proceden de producción integrada.</w:t>
      </w:r>
    </w:p>
    <w:p w:rsidR="00503A41" w:rsidRPr="00993936" w:rsidRDefault="00503A41" w:rsidP="001C0FFB">
      <w:pPr>
        <w:jc w:val="both"/>
        <w:rPr>
          <w:rFonts w:ascii="Arial" w:hAnsi="Arial" w:cs="Arial"/>
          <w:lang w:val="es-ES"/>
        </w:rPr>
      </w:pPr>
      <w:r w:rsidRPr="00993936">
        <w:rPr>
          <w:rFonts w:ascii="Arial" w:hAnsi="Arial" w:cs="Arial"/>
          <w:lang w:val="es-ES"/>
        </w:rPr>
        <w:t>23.1.3 Realizar una inspección visual de las partidas de olivas cuando lleguen a la recepción, establecer un sistema de verificación de la calidad de los frutos que entran. Habrá un registro de incidencias En caso de incumplimiento. Las partidas que no cumplan los requisitos anteriores se dejarán de considerar como de producción integrada.</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23.1.4  Antes de cargar, todos los recintos de transporte deben estar limpios</w:t>
      </w:r>
      <w:r w:rsidRPr="00993936">
        <w:rPr>
          <w:rFonts w:ascii="Arial" w:hAnsi="Arial" w:cs="Arial"/>
          <w:vanish/>
          <w:sz w:val="22"/>
          <w:szCs w:val="22"/>
          <w:lang w:val="es-ES"/>
        </w:rPr>
        <w:t>&lt;A[limpios|netos]&gt;</w:t>
      </w:r>
      <w:r w:rsidRPr="00993936">
        <w:rPr>
          <w:rFonts w:ascii="Arial" w:hAnsi="Arial" w:cs="Arial"/>
          <w:sz w:val="22"/>
          <w:szCs w:val="22"/>
          <w:lang w:val="es-ES"/>
        </w:rPr>
        <w:t>, en buen estado y exentos de plagas</w:t>
      </w:r>
      <w:r w:rsidRPr="00993936">
        <w:rPr>
          <w:rFonts w:ascii="Arial" w:hAnsi="Arial" w:cs="Arial"/>
          <w:vanish/>
          <w:sz w:val="22"/>
          <w:szCs w:val="22"/>
          <w:lang w:val="es-ES"/>
        </w:rPr>
        <w:t>&lt;A[pestes|pudores]&gt;</w:t>
      </w:r>
      <w:r w:rsidRPr="00993936">
        <w:rPr>
          <w:rFonts w:ascii="Arial" w:hAnsi="Arial" w:cs="Arial"/>
          <w:sz w:val="22"/>
          <w:szCs w:val="22"/>
          <w:lang w:val="es-ES"/>
        </w:rPr>
        <w:t xml:space="preserve"> y objetos extraños.</w:t>
      </w:r>
    </w:p>
    <w:p w:rsidR="00503A41" w:rsidRPr="00993936" w:rsidRDefault="00503A41" w:rsidP="001C0FFB">
      <w:pPr>
        <w:jc w:val="both"/>
        <w:rPr>
          <w:rFonts w:ascii="Arial" w:hAnsi="Arial" w:cs="Arial"/>
          <w:lang w:val="es-ES"/>
        </w:rPr>
      </w:pPr>
      <w:r w:rsidRPr="00993936">
        <w:rPr>
          <w:rFonts w:ascii="Arial" w:hAnsi="Arial" w:cs="Arial"/>
          <w:lang w:val="es-ES"/>
        </w:rPr>
        <w:t xml:space="preserve">23.2. </w:t>
      </w:r>
      <w:r w:rsidRPr="00993936">
        <w:rPr>
          <w:rFonts w:ascii="Arial" w:hAnsi="Arial" w:cs="Arial"/>
          <w:i/>
          <w:lang w:val="es-ES"/>
        </w:rPr>
        <w:t>Prohibiciones</w:t>
      </w:r>
    </w:p>
    <w:p w:rsidR="00503A41" w:rsidRPr="00993936" w:rsidRDefault="00503A41" w:rsidP="001C0FFB">
      <w:pPr>
        <w:jc w:val="both"/>
        <w:rPr>
          <w:rFonts w:ascii="Arial" w:hAnsi="Arial" w:cs="Arial"/>
          <w:lang w:val="es-ES"/>
        </w:rPr>
      </w:pPr>
      <w:r w:rsidRPr="00993936">
        <w:rPr>
          <w:rFonts w:ascii="Arial" w:hAnsi="Arial" w:cs="Arial"/>
          <w:lang w:val="es-ES"/>
        </w:rPr>
        <w:t>23.2.1 Almacenar productos químicos y desperdicios en la zona de recepción de los frutos.</w:t>
      </w:r>
    </w:p>
    <w:p w:rsidR="00503A41" w:rsidRPr="00993936" w:rsidRDefault="00503A41" w:rsidP="001C0FFB">
      <w:pPr>
        <w:pStyle w:val="Textoindependiente"/>
        <w:outlineLvl w:val="0"/>
        <w:rPr>
          <w:rFonts w:cs="Arial"/>
          <w:szCs w:val="22"/>
          <w:lang w:val="es-ES"/>
        </w:rPr>
      </w:pPr>
    </w:p>
    <w:p w:rsidR="00503A41" w:rsidRPr="00993936" w:rsidRDefault="00503A41" w:rsidP="001C0FFB">
      <w:pPr>
        <w:pStyle w:val="Ttulo4"/>
        <w:rPr>
          <w:rFonts w:ascii="Arial" w:hAnsi="Arial" w:cs="Arial"/>
          <w:color w:val="auto"/>
          <w:lang w:val="es-ES"/>
        </w:rPr>
      </w:pPr>
      <w:r w:rsidRPr="00993936">
        <w:rPr>
          <w:rFonts w:ascii="Arial" w:hAnsi="Arial" w:cs="Arial"/>
          <w:color w:val="auto"/>
          <w:lang w:val="es-ES"/>
        </w:rPr>
        <w:t>Artículo 24</w:t>
      </w:r>
    </w:p>
    <w:p w:rsidR="00503A41" w:rsidRPr="00993936" w:rsidRDefault="00503A41" w:rsidP="001C0FFB">
      <w:pPr>
        <w:pStyle w:val="Ttulo4"/>
        <w:rPr>
          <w:rFonts w:ascii="Arial" w:hAnsi="Arial" w:cs="Arial"/>
          <w:b/>
          <w:color w:val="auto"/>
          <w:lang w:val="es-ES"/>
        </w:rPr>
      </w:pPr>
      <w:r w:rsidRPr="00993936">
        <w:rPr>
          <w:rFonts w:ascii="Arial" w:hAnsi="Arial" w:cs="Arial"/>
          <w:b/>
          <w:color w:val="auto"/>
          <w:lang w:val="es-ES"/>
        </w:rPr>
        <w:t xml:space="preserve">Tratamientos de postrecolección y lavado </w:t>
      </w:r>
    </w:p>
    <w:p w:rsidR="00503A41" w:rsidRPr="00993936" w:rsidRDefault="00503A41" w:rsidP="001C0FFB">
      <w:pPr>
        <w:pStyle w:val="Ttulo4"/>
        <w:rPr>
          <w:rFonts w:ascii="Arial" w:hAnsi="Arial" w:cs="Arial"/>
          <w:i w:val="0"/>
          <w:color w:val="auto"/>
          <w:lang w:val="es-ES"/>
        </w:rPr>
      </w:pPr>
      <w:r w:rsidRPr="00993936">
        <w:rPr>
          <w:rFonts w:ascii="Arial" w:hAnsi="Arial" w:cs="Arial"/>
          <w:color w:val="auto"/>
          <w:lang w:val="es-ES"/>
        </w:rPr>
        <w:t xml:space="preserve">24.1 </w:t>
      </w:r>
      <w:r w:rsidRPr="00993936">
        <w:rPr>
          <w:rFonts w:ascii="Arial" w:hAnsi="Arial" w:cs="Arial"/>
          <w:i w:val="0"/>
          <w:color w:val="auto"/>
          <w:lang w:val="es-ES"/>
        </w:rPr>
        <w:t>Obligaciones</w:t>
      </w:r>
    </w:p>
    <w:p w:rsidR="00503A41" w:rsidRPr="00993936" w:rsidRDefault="00503A41" w:rsidP="001C0FFB">
      <w:pPr>
        <w:pStyle w:val="Ttulo4"/>
        <w:jc w:val="both"/>
        <w:rPr>
          <w:rFonts w:ascii="Arial" w:hAnsi="Arial" w:cs="Arial"/>
          <w:i w:val="0"/>
          <w:color w:val="auto"/>
          <w:lang w:val="es-ES"/>
        </w:rPr>
      </w:pPr>
      <w:r w:rsidRPr="00993936">
        <w:rPr>
          <w:rFonts w:ascii="Arial" w:hAnsi="Arial" w:cs="Arial"/>
          <w:color w:val="auto"/>
          <w:lang w:val="es-ES"/>
        </w:rPr>
        <w:t xml:space="preserve">24.1.1  Anteponer los métodos físicos o productos naturales a los productos de síntesis. Los métodos químicos sólo se permitirán cuando esté técnicamente </w:t>
      </w:r>
      <w:r w:rsidRPr="00993936">
        <w:rPr>
          <w:rFonts w:ascii="Arial" w:hAnsi="Arial" w:cs="Arial"/>
          <w:i w:val="0"/>
          <w:color w:val="auto"/>
          <w:lang w:val="es-ES"/>
        </w:rPr>
        <w:t>justificado. En este supuesto sólo se pueden utilizar materias activas autorizadas para producción integrada, con los mismos criterios señalados para los productos fitosanitarios.</w:t>
      </w:r>
    </w:p>
    <w:p w:rsidR="00503A41" w:rsidRPr="00993936" w:rsidRDefault="00503A41" w:rsidP="001C0FFB">
      <w:pPr>
        <w:pStyle w:val="Textoindependiente"/>
        <w:rPr>
          <w:rFonts w:cs="Arial"/>
          <w:szCs w:val="22"/>
          <w:u w:val="single"/>
          <w:lang w:val="es-ES"/>
        </w:rPr>
      </w:pPr>
      <w:r w:rsidRPr="00993936">
        <w:rPr>
          <w:rFonts w:cs="Arial"/>
          <w:szCs w:val="22"/>
          <w:lang w:val="es-ES"/>
        </w:rPr>
        <w:t>24.1.2 Todas las aplicaciones en los tratamientos postrecolección se deben registrar en el Cuaderno de conservación y/o postcosecha indicando en las anotaciones, como mínimo, los datos siguientes: fecha de aplicación, especie y/o variedad, la justificación de la aplicación, producto, sustancia activa y cantidad aplicada y el sistema que se ha utilizado para la aplicación.</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24.1.3 La manipulación de los productos se tendrá que hacer por series completas separadas físicamente o en el tiempo de operaciones de productos no obtenidos bajo normas de producción integrada, con la finalidad de evitar superposiciones y contaminaciones y asegurar la trazabilidad.</w:t>
      </w:r>
    </w:p>
    <w:p w:rsidR="00503A41" w:rsidRPr="00993936" w:rsidRDefault="00503A41" w:rsidP="001C0FFB">
      <w:pPr>
        <w:jc w:val="both"/>
        <w:rPr>
          <w:rFonts w:ascii="Arial" w:hAnsi="Arial" w:cs="Arial"/>
          <w:lang w:val="es-ES"/>
        </w:rPr>
      </w:pPr>
      <w:r w:rsidRPr="00993936">
        <w:rPr>
          <w:rFonts w:ascii="Arial" w:hAnsi="Arial" w:cs="Arial"/>
          <w:lang w:val="es-ES"/>
        </w:rPr>
        <w:t>24.1.4 Cuando</w:t>
      </w:r>
      <w:r w:rsidRPr="00993936">
        <w:rPr>
          <w:rFonts w:ascii="Arial" w:hAnsi="Arial" w:cs="Arial"/>
          <w:vanish/>
          <w:lang w:val="es-ES"/>
        </w:rPr>
        <w:t>&lt;A[Cuando|Cuándo]&gt;</w:t>
      </w:r>
      <w:r w:rsidRPr="00993936">
        <w:rPr>
          <w:rFonts w:ascii="Arial" w:hAnsi="Arial" w:cs="Arial"/>
          <w:lang w:val="es-ES"/>
        </w:rPr>
        <w:t xml:space="preserve"> se recircule el agua del lavado de los productos, se tiene que filtrar y tratar de manera que no comprometa la salubridad de los productos.</w:t>
      </w:r>
    </w:p>
    <w:p w:rsidR="00503A41" w:rsidRPr="00993936" w:rsidRDefault="00503A41" w:rsidP="001C0FFB">
      <w:pPr>
        <w:outlineLvl w:val="0"/>
        <w:rPr>
          <w:rFonts w:ascii="Arial" w:hAnsi="Arial" w:cs="Arial"/>
          <w:i/>
          <w:lang w:val="es-ES"/>
        </w:rPr>
      </w:pPr>
      <w:r w:rsidRPr="00993936">
        <w:rPr>
          <w:rFonts w:ascii="Arial" w:hAnsi="Arial" w:cs="Arial"/>
          <w:lang w:val="es-ES"/>
        </w:rPr>
        <w:t xml:space="preserve">24.2  </w:t>
      </w:r>
      <w:r w:rsidRPr="00993936">
        <w:rPr>
          <w:rFonts w:ascii="Arial" w:hAnsi="Arial" w:cs="Arial"/>
          <w:i/>
          <w:lang w:val="es-ES"/>
        </w:rPr>
        <w:t>Prohibiciones</w:t>
      </w:r>
    </w:p>
    <w:p w:rsidR="00503A41" w:rsidRPr="00993936" w:rsidRDefault="00503A41" w:rsidP="001C0FFB">
      <w:pPr>
        <w:jc w:val="both"/>
        <w:outlineLvl w:val="0"/>
        <w:rPr>
          <w:rFonts w:ascii="Arial" w:hAnsi="Arial" w:cs="Arial"/>
          <w:lang w:val="es-ES"/>
        </w:rPr>
      </w:pPr>
      <w:r w:rsidRPr="00993936">
        <w:rPr>
          <w:rFonts w:ascii="Arial" w:hAnsi="Arial" w:cs="Arial"/>
          <w:lang w:val="es-ES"/>
        </w:rPr>
        <w:t>24.2.1 Utilizar para el lavado de los productos vegetales aguas no potables, de acuerdo con la normativa vigente, y para el resto de usos las que superen los parámetros establecidos a la normativa de aplicación.</w:t>
      </w:r>
    </w:p>
    <w:p w:rsidR="00503A41" w:rsidRPr="00993936" w:rsidRDefault="00503A41" w:rsidP="001C0FFB">
      <w:pPr>
        <w:pStyle w:val="Piedepgina"/>
        <w:tabs>
          <w:tab w:val="clear" w:pos="4252"/>
          <w:tab w:val="clear" w:pos="8504"/>
        </w:tabs>
        <w:jc w:val="both"/>
        <w:rPr>
          <w:rFonts w:ascii="Arial" w:hAnsi="Arial" w:cs="Arial"/>
          <w:lang w:val="es-ES"/>
        </w:rPr>
      </w:pPr>
      <w:r w:rsidRPr="00993936">
        <w:rPr>
          <w:rFonts w:ascii="Arial" w:hAnsi="Arial" w:cs="Arial"/>
          <w:lang w:val="es-ES"/>
        </w:rPr>
        <w:t>24.2.2 El uso de aditivos y coadyuvantes tecnológicos diferentes a los que autoriza esta norma técnica.</w:t>
      </w:r>
    </w:p>
    <w:p w:rsidR="00503A41" w:rsidRPr="00993936" w:rsidRDefault="00503A41" w:rsidP="001C0FFB">
      <w:pPr>
        <w:pStyle w:val="NormalWeb"/>
        <w:spacing w:after="0"/>
        <w:jc w:val="both"/>
        <w:rPr>
          <w:rFonts w:ascii="Arial" w:hAnsi="Arial" w:cs="Arial"/>
          <w:sz w:val="22"/>
          <w:szCs w:val="22"/>
          <w:lang w:val="es-ES"/>
        </w:rPr>
      </w:pP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Artículo 25</w:t>
      </w: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Proceso de manipulación y elaboración del producto vegetal</w:t>
      </w:r>
    </w:p>
    <w:p w:rsidR="00503A41" w:rsidRPr="00993936" w:rsidRDefault="00503A41" w:rsidP="001C0FFB">
      <w:pPr>
        <w:pStyle w:val="NormalWeb"/>
        <w:spacing w:after="0"/>
        <w:jc w:val="both"/>
        <w:rPr>
          <w:rFonts w:ascii="Arial" w:hAnsi="Arial" w:cs="Arial"/>
          <w:i/>
          <w:sz w:val="22"/>
          <w:szCs w:val="22"/>
          <w:lang w:val="es-ES"/>
        </w:rPr>
      </w:pPr>
      <w:r w:rsidRPr="00993936">
        <w:rPr>
          <w:rFonts w:ascii="Arial" w:hAnsi="Arial" w:cs="Arial"/>
          <w:i/>
          <w:sz w:val="22"/>
          <w:szCs w:val="22"/>
          <w:lang w:val="es-ES"/>
        </w:rPr>
        <w:t>25.1 Obligaciones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25.1.1 Todos los productos vegetales que se utilicen para la elaboración del producto transformado deben cumplir las condiciones establecidas por esta norma.</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25.1.2  Los tratamientos que se realicen y los coadyuvantes que se utilicen, deben estar autorizados e incluidos en los anexos de esta norma. Se permite específicamente como aditivo para la elaboración de olivas con agua, el uso de cloruro sódico (sal).</w:t>
      </w:r>
    </w:p>
    <w:p w:rsidR="00503A41" w:rsidRPr="00993936" w:rsidRDefault="00503A41" w:rsidP="001C0FFB">
      <w:pPr>
        <w:jc w:val="both"/>
        <w:outlineLvl w:val="0"/>
        <w:rPr>
          <w:rFonts w:ascii="Arial" w:hAnsi="Arial" w:cs="Arial"/>
          <w:lang w:val="es-ES"/>
        </w:rPr>
      </w:pPr>
    </w:p>
    <w:p w:rsidR="00503A41" w:rsidRPr="00993936" w:rsidRDefault="00503A41" w:rsidP="001C0FFB">
      <w:pPr>
        <w:jc w:val="both"/>
        <w:outlineLvl w:val="0"/>
        <w:rPr>
          <w:rFonts w:ascii="Arial" w:hAnsi="Arial" w:cs="Arial"/>
          <w:lang w:val="es-ES"/>
        </w:rPr>
      </w:pPr>
      <w:r w:rsidRPr="00993936">
        <w:rPr>
          <w:rFonts w:ascii="Arial" w:hAnsi="Arial" w:cs="Arial"/>
          <w:lang w:val="es-ES"/>
        </w:rPr>
        <w:t>Artículo 26</w:t>
      </w:r>
    </w:p>
    <w:p w:rsidR="00503A41" w:rsidRPr="00993936" w:rsidRDefault="00503A41" w:rsidP="001C0FFB">
      <w:pPr>
        <w:pStyle w:val="Ttulo2"/>
        <w:rPr>
          <w:rFonts w:ascii="Arial" w:hAnsi="Arial" w:cs="Arial"/>
          <w:b/>
          <w:color w:val="auto"/>
          <w:sz w:val="22"/>
          <w:szCs w:val="22"/>
          <w:lang w:val="es-ES"/>
        </w:rPr>
      </w:pPr>
      <w:r w:rsidRPr="00993936">
        <w:rPr>
          <w:rFonts w:ascii="Arial" w:hAnsi="Arial" w:cs="Arial"/>
          <w:b/>
          <w:color w:val="auto"/>
          <w:sz w:val="22"/>
          <w:szCs w:val="22"/>
          <w:lang w:val="es-ES"/>
        </w:rPr>
        <w:t>Conservación</w:t>
      </w:r>
    </w:p>
    <w:p w:rsidR="00503A41" w:rsidRPr="00993936" w:rsidRDefault="00503A41" w:rsidP="001C0FFB">
      <w:pPr>
        <w:jc w:val="both"/>
        <w:outlineLvl w:val="0"/>
        <w:rPr>
          <w:rFonts w:ascii="Arial" w:hAnsi="Arial" w:cs="Arial"/>
          <w:lang w:val="es-ES"/>
        </w:rPr>
      </w:pPr>
      <w:r w:rsidRPr="00993936">
        <w:rPr>
          <w:rFonts w:ascii="Arial" w:hAnsi="Arial" w:cs="Arial"/>
          <w:i/>
          <w:lang w:val="es-ES"/>
        </w:rPr>
        <w:t>26.1 Obligaciones</w:t>
      </w:r>
    </w:p>
    <w:p w:rsidR="00503A41" w:rsidRPr="00993936" w:rsidRDefault="00503A41" w:rsidP="001C0FFB">
      <w:pPr>
        <w:jc w:val="both"/>
        <w:rPr>
          <w:rFonts w:ascii="Arial" w:hAnsi="Arial" w:cs="Arial"/>
          <w:lang w:val="es-ES"/>
        </w:rPr>
      </w:pPr>
      <w:r w:rsidRPr="00993936">
        <w:rPr>
          <w:rFonts w:ascii="Arial" w:hAnsi="Arial" w:cs="Arial"/>
          <w:lang w:val="es-ES"/>
        </w:rPr>
        <w:t>26.1.1 Utilizar métodos de conservación que mantengan una alta calidad interna y externa de las olivas.</w:t>
      </w:r>
    </w:p>
    <w:p w:rsidR="00503A41" w:rsidRPr="00993936" w:rsidRDefault="00503A41" w:rsidP="001C0FFB">
      <w:pPr>
        <w:jc w:val="both"/>
        <w:rPr>
          <w:rFonts w:ascii="Arial" w:hAnsi="Arial" w:cs="Arial"/>
          <w:lang w:val="es-ES"/>
        </w:rPr>
      </w:pPr>
      <w:r w:rsidRPr="00993936">
        <w:rPr>
          <w:rFonts w:ascii="Arial" w:hAnsi="Arial" w:cs="Arial"/>
          <w:lang w:val="es-ES"/>
        </w:rPr>
        <w:t>26.1.2  Controlar periódicamente la calidad de las olivas y, específicamente, antes de la comercialización, teniendo en cuenta aspectos de muestreo y tipo de determinación analítica y límites de residuos que garanticen la seguridad del consumidor.</w:t>
      </w:r>
    </w:p>
    <w:p w:rsidR="00503A41" w:rsidRPr="00993936" w:rsidRDefault="00503A41" w:rsidP="001C0FFB">
      <w:pPr>
        <w:pStyle w:val="Textoindependiente"/>
        <w:rPr>
          <w:rFonts w:cs="Arial"/>
          <w:szCs w:val="22"/>
          <w:lang w:val="es-ES"/>
        </w:rPr>
      </w:pPr>
      <w:r w:rsidRPr="00993936">
        <w:rPr>
          <w:rFonts w:cs="Arial"/>
          <w:szCs w:val="22"/>
          <w:lang w:val="es-ES"/>
        </w:rPr>
        <w:t>26.1.3 Conservar los registro de cada cámara de conservación donde se almacenen los productos.</w:t>
      </w:r>
    </w:p>
    <w:p w:rsidR="00503A41" w:rsidRPr="00993936" w:rsidRDefault="00503A41" w:rsidP="001C0FFB">
      <w:pPr>
        <w:jc w:val="both"/>
        <w:rPr>
          <w:rFonts w:ascii="Arial" w:hAnsi="Arial" w:cs="Arial"/>
          <w:lang w:val="es-ES"/>
        </w:rPr>
      </w:pPr>
      <w:r w:rsidRPr="00993936">
        <w:rPr>
          <w:rFonts w:ascii="Arial" w:hAnsi="Arial" w:cs="Arial"/>
          <w:lang w:val="es-ES"/>
        </w:rPr>
        <w:t>26.1.4 La duración de la conservación de los frutos estará en función del sistema de conservación utilizado y de la evolución de los frutos.</w:t>
      </w:r>
    </w:p>
    <w:p w:rsidR="00503A41" w:rsidRPr="00993936" w:rsidRDefault="00503A41" w:rsidP="001C0FFB">
      <w:pPr>
        <w:jc w:val="both"/>
        <w:rPr>
          <w:rFonts w:ascii="Arial" w:hAnsi="Arial" w:cs="Arial"/>
          <w:lang w:val="es-ES"/>
        </w:rPr>
      </w:pPr>
      <w:r w:rsidRPr="00993936">
        <w:rPr>
          <w:rFonts w:ascii="Arial" w:hAnsi="Arial" w:cs="Arial"/>
          <w:lang w:val="es-ES"/>
        </w:rPr>
        <w:t>26.1.5 En las cámaras de conservación los palets guardarán una distancia entre ellos y entre las paredes para una ventilación correcta.</w:t>
      </w:r>
    </w:p>
    <w:p w:rsidR="00503A41" w:rsidRPr="00993936" w:rsidRDefault="00503A41" w:rsidP="001C0FFB">
      <w:pPr>
        <w:jc w:val="both"/>
        <w:rPr>
          <w:rFonts w:ascii="Arial" w:hAnsi="Arial" w:cs="Arial"/>
          <w:lang w:val="es-ES"/>
        </w:rPr>
      </w:pPr>
      <w:r w:rsidRPr="00993936">
        <w:rPr>
          <w:rFonts w:ascii="Arial" w:hAnsi="Arial" w:cs="Arial"/>
          <w:lang w:val="es-ES"/>
        </w:rPr>
        <w:t>26.1.6 En caso de realizar tratamientos de conservación, hay que adecuarlos a la situación y a la destinación</w:t>
      </w:r>
      <w:r w:rsidRPr="00993936">
        <w:rPr>
          <w:rFonts w:ascii="Arial" w:hAnsi="Arial" w:cs="Arial"/>
          <w:vanish/>
          <w:lang w:val="es-ES"/>
        </w:rPr>
        <w:t>&lt;A[destinación|destino]&gt;</w:t>
      </w:r>
      <w:r w:rsidRPr="00993936">
        <w:rPr>
          <w:rFonts w:ascii="Arial" w:hAnsi="Arial" w:cs="Arial"/>
          <w:lang w:val="es-ES"/>
        </w:rPr>
        <w:t xml:space="preserve"> del producto, principalmente para productos donde se efectúa una conservación prolongada.</w:t>
      </w:r>
    </w:p>
    <w:p w:rsidR="00503A41" w:rsidRPr="00993936" w:rsidRDefault="00503A41" w:rsidP="001C0FFB">
      <w:pPr>
        <w:jc w:val="both"/>
        <w:rPr>
          <w:rFonts w:ascii="Arial" w:hAnsi="Arial" w:cs="Arial"/>
          <w:lang w:val="es-ES"/>
        </w:rPr>
      </w:pPr>
      <w:r w:rsidRPr="00993936">
        <w:rPr>
          <w:rFonts w:ascii="Arial" w:hAnsi="Arial" w:cs="Arial"/>
          <w:lang w:val="es-ES"/>
        </w:rPr>
        <w:t>26.1.7 Se utilizarán métodos de conservación autorizados, que tengan la menor toxicidad posible y sean preferentemente métodos físicos o con productos naturales, antes que de síntesis.</w:t>
      </w:r>
    </w:p>
    <w:p w:rsidR="00503A41" w:rsidRPr="00993936" w:rsidRDefault="00503A41" w:rsidP="001C0FFB">
      <w:pPr>
        <w:jc w:val="both"/>
        <w:outlineLvl w:val="0"/>
        <w:rPr>
          <w:rFonts w:ascii="Arial" w:hAnsi="Arial" w:cs="Arial"/>
          <w:lang w:val="es-ES"/>
        </w:rPr>
      </w:pPr>
    </w:p>
    <w:p w:rsidR="00503A41" w:rsidRPr="00993936" w:rsidRDefault="00503A41" w:rsidP="001C0FFB">
      <w:pPr>
        <w:jc w:val="both"/>
        <w:outlineLvl w:val="0"/>
        <w:rPr>
          <w:rFonts w:ascii="Arial" w:hAnsi="Arial" w:cs="Arial"/>
          <w:lang w:val="es-ES"/>
        </w:rPr>
      </w:pPr>
      <w:r w:rsidRPr="00993936">
        <w:rPr>
          <w:rFonts w:ascii="Arial" w:hAnsi="Arial" w:cs="Arial"/>
          <w:lang w:val="es-ES"/>
        </w:rPr>
        <w:t>Artículo 27</w:t>
      </w:r>
    </w:p>
    <w:p w:rsidR="00503A41" w:rsidRPr="00993936" w:rsidRDefault="00503A41" w:rsidP="001C0FFB">
      <w:pPr>
        <w:jc w:val="both"/>
        <w:outlineLvl w:val="0"/>
        <w:rPr>
          <w:rFonts w:ascii="Arial" w:hAnsi="Arial" w:cs="Arial"/>
          <w:b/>
          <w:lang w:val="es-ES"/>
        </w:rPr>
      </w:pPr>
      <w:r w:rsidRPr="00993936">
        <w:rPr>
          <w:rFonts w:ascii="Arial" w:hAnsi="Arial" w:cs="Arial"/>
          <w:b/>
          <w:lang w:val="es-ES"/>
        </w:rPr>
        <w:t>Almacenamiento de los frutos</w:t>
      </w:r>
    </w:p>
    <w:p w:rsidR="00503A41" w:rsidRPr="00993936" w:rsidRDefault="00503A41" w:rsidP="001C0FFB">
      <w:pPr>
        <w:rPr>
          <w:rFonts w:ascii="Arial" w:hAnsi="Arial" w:cs="Arial"/>
          <w:i/>
          <w:lang w:val="es-ES"/>
        </w:rPr>
      </w:pPr>
      <w:r w:rsidRPr="00993936">
        <w:rPr>
          <w:rFonts w:ascii="Arial" w:hAnsi="Arial" w:cs="Arial"/>
          <w:lang w:val="es-ES"/>
        </w:rPr>
        <w:t xml:space="preserve">27.1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27.1.1 Almacenar las olivas con procedimientos que garanticen la mejor calidad posible.</w:t>
      </w:r>
    </w:p>
    <w:p w:rsidR="00503A41" w:rsidRPr="00993936" w:rsidRDefault="00503A41" w:rsidP="001C0FFB">
      <w:pPr>
        <w:pStyle w:val="Textoindependiente"/>
        <w:rPr>
          <w:rFonts w:cs="Arial"/>
          <w:szCs w:val="22"/>
          <w:lang w:val="es-ES"/>
        </w:rPr>
      </w:pPr>
      <w:r w:rsidRPr="00993936">
        <w:rPr>
          <w:rFonts w:cs="Arial"/>
          <w:szCs w:val="22"/>
          <w:lang w:val="es-ES"/>
        </w:rPr>
        <w:t>27.1.2 Eliminar todos los frutos que presenten síntomas de presencia de patógenos causantes de podredumbres.</w:t>
      </w:r>
    </w:p>
    <w:p w:rsidR="00503A41" w:rsidRPr="00993936" w:rsidRDefault="00503A41" w:rsidP="001C0FFB">
      <w:pPr>
        <w:jc w:val="both"/>
        <w:rPr>
          <w:rFonts w:ascii="Arial" w:hAnsi="Arial" w:cs="Arial"/>
          <w:lang w:val="es-ES"/>
        </w:rPr>
      </w:pPr>
      <w:r w:rsidRPr="00993936">
        <w:rPr>
          <w:rFonts w:ascii="Arial" w:hAnsi="Arial" w:cs="Arial"/>
          <w:lang w:val="es-ES"/>
        </w:rPr>
        <w:t>27.1.3 Realizar la limpieza, la desinfección y la lucha contra los parásitos de los lugares</w:t>
      </w:r>
      <w:r w:rsidRPr="00993936">
        <w:rPr>
          <w:rFonts w:ascii="Arial" w:hAnsi="Arial" w:cs="Arial"/>
          <w:vanish/>
          <w:lang w:val="es-ES"/>
        </w:rPr>
        <w:t>&lt;A[lugares|sitios]&gt;</w:t>
      </w:r>
      <w:r w:rsidRPr="00993936">
        <w:rPr>
          <w:rFonts w:ascii="Arial" w:hAnsi="Arial" w:cs="Arial"/>
          <w:lang w:val="es-ES"/>
        </w:rPr>
        <w:t xml:space="preserve"> del almacenamiento de manera que no se produzca ningún tipo de contaminación de las olivas.</w:t>
      </w:r>
    </w:p>
    <w:p w:rsidR="00503A41" w:rsidRPr="00993936" w:rsidRDefault="00503A41" w:rsidP="001C0FFB">
      <w:pPr>
        <w:jc w:val="both"/>
        <w:rPr>
          <w:rFonts w:ascii="Arial" w:hAnsi="Arial" w:cs="Arial"/>
          <w:lang w:val="es-ES"/>
        </w:rPr>
      </w:pPr>
      <w:r w:rsidRPr="00993936">
        <w:rPr>
          <w:rFonts w:ascii="Arial" w:hAnsi="Arial" w:cs="Arial"/>
          <w:lang w:val="es-ES"/>
        </w:rPr>
        <w:t>27.1.4 Establecer en los almacenes una separación clara y definida de las olivas procedentes de cultivos de producción integrada de otros productos convencionales, indicando en un croquis su situación dentro de cada almacén. Las cajas y los palets tendrán que estar identificados debidamente y colocados de forma que se pueda ver claramente la identificación de manera que permita un recuento fácil.</w:t>
      </w:r>
    </w:p>
    <w:p w:rsidR="00503A41" w:rsidRPr="00993936" w:rsidRDefault="00503A41" w:rsidP="001C0FFB">
      <w:pPr>
        <w:jc w:val="both"/>
        <w:rPr>
          <w:rFonts w:ascii="Arial" w:hAnsi="Arial" w:cs="Arial"/>
          <w:lang w:val="es-ES"/>
        </w:rPr>
      </w:pPr>
      <w:r w:rsidRPr="00993936">
        <w:rPr>
          <w:rFonts w:ascii="Arial" w:hAnsi="Arial" w:cs="Arial"/>
          <w:lang w:val="es-ES"/>
        </w:rPr>
        <w:t>27.1.5 Mantener limpios</w:t>
      </w:r>
      <w:r w:rsidRPr="00993936">
        <w:rPr>
          <w:rFonts w:ascii="Arial" w:hAnsi="Arial" w:cs="Arial"/>
          <w:vanish/>
          <w:lang w:val="es-ES"/>
        </w:rPr>
        <w:t>&lt;A[limpios|netos]&gt;</w:t>
      </w:r>
      <w:r w:rsidRPr="00993936">
        <w:rPr>
          <w:rFonts w:ascii="Arial" w:hAnsi="Arial" w:cs="Arial"/>
          <w:lang w:val="es-ES"/>
        </w:rPr>
        <w:t xml:space="preserve"> los recipientes y las cajas utilizados en el almacenamiento de las olivas. Como norma general, todos los elementos que puedan afectar a la condición del fruto se limpiarán cuando se inicie la utilización y se desinfectarán cuando sea conveniente, en cualquier caso al menos una vez</w:t>
      </w:r>
      <w:r w:rsidRPr="00993936">
        <w:rPr>
          <w:rFonts w:ascii="Arial" w:hAnsi="Arial" w:cs="Arial"/>
          <w:vanish/>
          <w:lang w:val="es-ES"/>
        </w:rPr>
        <w:t>&lt;A[vez|golpe]&gt;</w:t>
      </w:r>
      <w:r w:rsidRPr="00993936">
        <w:rPr>
          <w:rFonts w:ascii="Arial" w:hAnsi="Arial" w:cs="Arial"/>
          <w:lang w:val="es-ES"/>
        </w:rPr>
        <w:t xml:space="preserve"> el año.</w:t>
      </w:r>
    </w:p>
    <w:p w:rsidR="00503A41" w:rsidRPr="00993936" w:rsidRDefault="00503A41" w:rsidP="001C0FFB">
      <w:pPr>
        <w:jc w:val="both"/>
        <w:outlineLvl w:val="0"/>
        <w:rPr>
          <w:rFonts w:ascii="Arial" w:hAnsi="Arial" w:cs="Arial"/>
          <w:i/>
          <w:lang w:val="es-ES"/>
        </w:rPr>
      </w:pPr>
      <w:r w:rsidRPr="00993936">
        <w:rPr>
          <w:rFonts w:ascii="Arial" w:hAnsi="Arial" w:cs="Arial"/>
          <w:lang w:val="es-ES"/>
        </w:rPr>
        <w:t xml:space="preserve">27.2 </w:t>
      </w:r>
      <w:r w:rsidRPr="00993936">
        <w:rPr>
          <w:rFonts w:ascii="Arial" w:hAnsi="Arial" w:cs="Arial"/>
          <w:i/>
          <w:lang w:val="es-ES"/>
        </w:rPr>
        <w:t>Prohibiciones</w:t>
      </w: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27.2.1 La utilización de productos químicos de síntesis para la lucha de plagas y parásitos del almacén, salvo los casos que estén justificados técnicamente donde se utilizarán sustancias activas autorizadas en producción integrada. </w:t>
      </w:r>
    </w:p>
    <w:p w:rsidR="00503A41" w:rsidRPr="00993936" w:rsidRDefault="00503A41" w:rsidP="001C0FFB">
      <w:pPr>
        <w:jc w:val="both"/>
        <w:outlineLvl w:val="0"/>
        <w:rPr>
          <w:rFonts w:ascii="Arial" w:hAnsi="Arial" w:cs="Arial"/>
          <w:lang w:val="es-ES"/>
        </w:rPr>
      </w:pPr>
      <w:r w:rsidRPr="00993936">
        <w:rPr>
          <w:rFonts w:ascii="Arial" w:hAnsi="Arial" w:cs="Arial"/>
          <w:lang w:val="es-ES"/>
        </w:rPr>
        <w:t>27.2.2 Almacenar productos químicos o desperdicios en la zona de almacenamiento de los productos envasados.</w:t>
      </w:r>
    </w:p>
    <w:p w:rsidR="00503A41" w:rsidRPr="00993936" w:rsidRDefault="00503A41" w:rsidP="001C0FFB">
      <w:pPr>
        <w:pStyle w:val="Ttulo3"/>
        <w:rPr>
          <w:rFonts w:ascii="Arial" w:hAnsi="Arial" w:cs="Arial"/>
          <w:b/>
          <w:color w:val="auto"/>
          <w:szCs w:val="22"/>
          <w:lang w:val="es-ES"/>
        </w:rPr>
      </w:pPr>
      <w:r w:rsidRPr="00993936">
        <w:rPr>
          <w:rFonts w:ascii="Arial" w:hAnsi="Arial" w:cs="Arial"/>
          <w:color w:val="auto"/>
          <w:szCs w:val="22"/>
          <w:lang w:val="es-ES"/>
        </w:rPr>
        <w:t>Artículo 28</w:t>
      </w:r>
    </w:p>
    <w:p w:rsidR="00503A41" w:rsidRPr="00993936" w:rsidRDefault="00503A41" w:rsidP="001C0FFB">
      <w:pPr>
        <w:pStyle w:val="Ttulo3"/>
        <w:rPr>
          <w:rFonts w:ascii="Arial" w:hAnsi="Arial" w:cs="Arial"/>
          <w:color w:val="auto"/>
          <w:szCs w:val="22"/>
          <w:lang w:val="es-ES"/>
        </w:rPr>
      </w:pPr>
      <w:r w:rsidRPr="00993936">
        <w:rPr>
          <w:rFonts w:ascii="Arial" w:hAnsi="Arial" w:cs="Arial"/>
          <w:color w:val="auto"/>
          <w:szCs w:val="22"/>
          <w:lang w:val="es-ES"/>
        </w:rPr>
        <w:t>Envasado</w:t>
      </w:r>
    </w:p>
    <w:p w:rsidR="00503A41" w:rsidRPr="00993936" w:rsidRDefault="00503A41" w:rsidP="001C0FFB">
      <w:pPr>
        <w:pStyle w:val="Encabezado"/>
        <w:tabs>
          <w:tab w:val="clear" w:pos="4252"/>
          <w:tab w:val="clear" w:pos="8504"/>
        </w:tabs>
        <w:rPr>
          <w:rFonts w:ascii="Arial" w:hAnsi="Arial" w:cs="Arial"/>
          <w:lang w:val="es-ES"/>
        </w:rPr>
      </w:pPr>
      <w:r w:rsidRPr="00993936">
        <w:rPr>
          <w:rFonts w:ascii="Arial" w:hAnsi="Arial" w:cs="Arial"/>
          <w:lang w:val="es-ES"/>
        </w:rPr>
        <w:t xml:space="preserve">28.1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28.1.1 Todas las máquinas, los recipientes, elementos de transporte, envases provisionales y lugares</w:t>
      </w:r>
      <w:r w:rsidRPr="00993936">
        <w:rPr>
          <w:rFonts w:ascii="Arial" w:hAnsi="Arial" w:cs="Arial"/>
          <w:vanish/>
          <w:lang w:val="es-ES"/>
        </w:rPr>
        <w:t>&lt;A[lugares|sitios]&gt;</w:t>
      </w:r>
      <w:r w:rsidRPr="00993936">
        <w:rPr>
          <w:rFonts w:ascii="Arial" w:hAnsi="Arial" w:cs="Arial"/>
          <w:lang w:val="es-ES"/>
        </w:rPr>
        <w:t xml:space="preserve"> de almacenamiento deben reunir las condiciones siguientes:</w:t>
      </w:r>
    </w:p>
    <w:p w:rsidR="00503A41" w:rsidRPr="00993936" w:rsidRDefault="00503A41" w:rsidP="009D1A2D">
      <w:pPr>
        <w:numPr>
          <w:ilvl w:val="0"/>
          <w:numId w:val="155"/>
        </w:numPr>
        <w:spacing w:after="0" w:line="240" w:lineRule="auto"/>
        <w:jc w:val="both"/>
        <w:rPr>
          <w:rFonts w:ascii="Arial" w:hAnsi="Arial" w:cs="Arial"/>
          <w:lang w:val="es-ES"/>
        </w:rPr>
      </w:pPr>
      <w:r w:rsidRPr="00993936">
        <w:rPr>
          <w:rFonts w:ascii="Arial" w:hAnsi="Arial" w:cs="Arial"/>
          <w:lang w:val="es-ES"/>
        </w:rPr>
        <w:t>No transmitir a los frutos con los que entren en contacto sustancias tóxicas o que puedan contaminar ni originar reacciones químicas perjudiciales.</w:t>
      </w:r>
    </w:p>
    <w:p w:rsidR="00503A41" w:rsidRPr="00993936" w:rsidRDefault="00503A41" w:rsidP="009D1A2D">
      <w:pPr>
        <w:numPr>
          <w:ilvl w:val="0"/>
          <w:numId w:val="155"/>
        </w:numPr>
        <w:spacing w:after="0" w:line="240" w:lineRule="auto"/>
        <w:jc w:val="both"/>
        <w:rPr>
          <w:rFonts w:ascii="Arial" w:hAnsi="Arial" w:cs="Arial"/>
          <w:lang w:val="es-ES"/>
        </w:rPr>
      </w:pPr>
      <w:r w:rsidRPr="00993936">
        <w:rPr>
          <w:rFonts w:ascii="Arial" w:hAnsi="Arial" w:cs="Arial"/>
          <w:lang w:val="es-ES"/>
        </w:rPr>
        <w:t>No alterar las características organolépticas y de composición de los frutos.</w:t>
      </w:r>
    </w:p>
    <w:p w:rsidR="00503A41" w:rsidRPr="00993936" w:rsidRDefault="00503A41" w:rsidP="009D1A2D">
      <w:pPr>
        <w:numPr>
          <w:ilvl w:val="0"/>
          <w:numId w:val="155"/>
        </w:numPr>
        <w:spacing w:after="0" w:line="240" w:lineRule="auto"/>
        <w:jc w:val="both"/>
        <w:rPr>
          <w:rFonts w:ascii="Arial" w:hAnsi="Arial" w:cs="Arial"/>
          <w:lang w:val="es-ES"/>
        </w:rPr>
      </w:pPr>
      <w:r w:rsidRPr="00993936">
        <w:rPr>
          <w:rFonts w:ascii="Arial" w:hAnsi="Arial" w:cs="Arial"/>
          <w:lang w:val="es-ES"/>
        </w:rPr>
        <w:t>La limpieza se realizará con métodos y productos autorizados, de igual manera que el control de los roedores y de los insectos.</w:t>
      </w:r>
    </w:p>
    <w:p w:rsidR="00503A41" w:rsidRPr="00993936" w:rsidRDefault="00503A41" w:rsidP="001C0FFB">
      <w:pPr>
        <w:jc w:val="both"/>
        <w:rPr>
          <w:rFonts w:ascii="Arial" w:hAnsi="Arial" w:cs="Arial"/>
          <w:lang w:val="es-ES"/>
        </w:rPr>
      </w:pPr>
      <w:r w:rsidRPr="00993936">
        <w:rPr>
          <w:rFonts w:ascii="Arial" w:hAnsi="Arial" w:cs="Arial"/>
          <w:lang w:val="es-ES"/>
        </w:rPr>
        <w:t>28.1.2 Las operaciones de envasado se tendrán que efectuar por</w:t>
      </w:r>
      <w:r w:rsidRPr="00993936">
        <w:rPr>
          <w:rFonts w:ascii="Arial" w:hAnsi="Arial" w:cs="Arial"/>
          <w:vanish/>
          <w:lang w:val="es-ES"/>
        </w:rPr>
        <w:t>&lt;A[por|para]&gt;</w:t>
      </w:r>
      <w:r w:rsidRPr="00993936">
        <w:rPr>
          <w:rFonts w:ascii="Arial" w:hAnsi="Arial" w:cs="Arial"/>
          <w:lang w:val="es-ES"/>
        </w:rPr>
        <w:t xml:space="preserve"> series completas, separadas físicamente o en el tiempo, de operaciones de productos convencionales.</w:t>
      </w:r>
    </w:p>
    <w:p w:rsidR="00503A41" w:rsidRPr="00993936" w:rsidRDefault="00503A41" w:rsidP="001C0FFB">
      <w:pPr>
        <w:jc w:val="both"/>
        <w:rPr>
          <w:rFonts w:ascii="Arial" w:hAnsi="Arial" w:cs="Arial"/>
          <w:lang w:val="es-ES"/>
        </w:rPr>
      </w:pPr>
      <w:r w:rsidRPr="00993936">
        <w:rPr>
          <w:rFonts w:ascii="Arial" w:hAnsi="Arial" w:cs="Arial"/>
          <w:lang w:val="es-ES"/>
        </w:rPr>
        <w:t xml:space="preserve">28.1.3 Los operadores que realicen envasado de productos certificados de producción integrada y convencionales deben avisar el órgano o la entidad de control. La </w:t>
      </w:r>
      <w:r w:rsidRPr="00993936">
        <w:rPr>
          <w:rFonts w:ascii="Arial" w:hAnsi="Arial" w:cs="Arial"/>
          <w:lang w:val="es-ES"/>
        </w:rPr>
        <w:lastRenderedPageBreak/>
        <w:t>comunicación se tiene que hacer a principios de campaña, con antelación suficiente y antes del inicio de las operaciones de los productos de producción integrada.</w:t>
      </w:r>
    </w:p>
    <w:p w:rsidR="00503A41" w:rsidRPr="00993936" w:rsidRDefault="00503A41" w:rsidP="001C0FFB">
      <w:pPr>
        <w:jc w:val="both"/>
        <w:rPr>
          <w:rFonts w:ascii="Arial" w:hAnsi="Arial" w:cs="Arial"/>
          <w:lang w:val="es-ES"/>
        </w:rPr>
      </w:pPr>
      <w:r w:rsidRPr="00993936">
        <w:rPr>
          <w:rFonts w:ascii="Arial" w:hAnsi="Arial" w:cs="Arial"/>
          <w:lang w:val="es-ES"/>
        </w:rPr>
        <w:t>28.1.4 Los manipuladores de alimentos tendrán que tener una formación específica o justificar que están en proceso de obtenerla, de acuerdo con lo que establece la normativa vigente, por la cual se establecen las normas relativas a los manipuladores de alimentos.</w:t>
      </w:r>
    </w:p>
    <w:p w:rsidR="00503A41" w:rsidRPr="00993936" w:rsidRDefault="00503A41" w:rsidP="001C0FFB">
      <w:pPr>
        <w:jc w:val="both"/>
        <w:rPr>
          <w:rFonts w:ascii="Arial" w:hAnsi="Arial" w:cs="Arial"/>
          <w:lang w:val="es-ES"/>
        </w:rPr>
      </w:pPr>
      <w:r w:rsidRPr="00993936">
        <w:rPr>
          <w:rFonts w:ascii="Arial" w:hAnsi="Arial" w:cs="Arial"/>
          <w:lang w:val="es-ES"/>
        </w:rPr>
        <w:t>28.1.5  La zona de almacenamiento de envases y materiales de envasado estará claramente diferenciada de la zona de manipulación.</w:t>
      </w:r>
    </w:p>
    <w:p w:rsidR="00503A41" w:rsidRPr="00993936" w:rsidRDefault="00503A41" w:rsidP="001C0FFB">
      <w:pPr>
        <w:jc w:val="both"/>
        <w:outlineLvl w:val="0"/>
        <w:rPr>
          <w:rFonts w:ascii="Arial" w:hAnsi="Arial" w:cs="Arial"/>
          <w:lang w:val="es-ES"/>
        </w:rPr>
      </w:pPr>
      <w:r w:rsidRPr="00993936">
        <w:rPr>
          <w:rFonts w:ascii="Arial" w:hAnsi="Arial" w:cs="Arial"/>
          <w:lang w:val="es-ES"/>
        </w:rPr>
        <w:t xml:space="preserve">28.2 </w:t>
      </w:r>
      <w:r w:rsidRPr="00993936">
        <w:rPr>
          <w:rFonts w:ascii="Arial" w:hAnsi="Arial" w:cs="Arial"/>
          <w:i/>
          <w:lang w:val="es-ES"/>
        </w:rPr>
        <w:t>Prohibiciones</w:t>
      </w:r>
    </w:p>
    <w:p w:rsidR="00503A41" w:rsidRPr="00993936" w:rsidRDefault="00503A41" w:rsidP="001C0FFB">
      <w:pPr>
        <w:pStyle w:val="Textoindependiente"/>
        <w:rPr>
          <w:rFonts w:cs="Arial"/>
          <w:szCs w:val="22"/>
          <w:lang w:val="es-ES"/>
        </w:rPr>
      </w:pPr>
      <w:r w:rsidRPr="00993936">
        <w:rPr>
          <w:rFonts w:cs="Arial"/>
          <w:szCs w:val="22"/>
          <w:lang w:val="es-ES"/>
        </w:rPr>
        <w:t>28.2.1 La utilización de aguas no potables para el lavado de los frutos.</w:t>
      </w:r>
    </w:p>
    <w:p w:rsidR="00503A41" w:rsidRPr="00993936" w:rsidRDefault="00503A41" w:rsidP="001C0FFB">
      <w:pPr>
        <w:jc w:val="both"/>
        <w:rPr>
          <w:rFonts w:ascii="Arial" w:hAnsi="Arial" w:cs="Arial"/>
          <w:lang w:val="es-ES"/>
        </w:rPr>
      </w:pPr>
    </w:p>
    <w:p w:rsidR="00503A41" w:rsidRPr="00993936" w:rsidRDefault="00503A41" w:rsidP="001C0FFB">
      <w:pPr>
        <w:pStyle w:val="Ttulo1"/>
        <w:rPr>
          <w:rFonts w:ascii="Arial" w:hAnsi="Arial" w:cs="Arial"/>
          <w:color w:val="auto"/>
          <w:sz w:val="22"/>
          <w:szCs w:val="22"/>
        </w:rPr>
      </w:pPr>
      <w:r w:rsidRPr="00993936">
        <w:rPr>
          <w:rFonts w:ascii="Arial" w:hAnsi="Arial" w:cs="Arial"/>
          <w:color w:val="auto"/>
          <w:sz w:val="22"/>
          <w:szCs w:val="22"/>
        </w:rPr>
        <w:t>Artículo 29</w:t>
      </w:r>
    </w:p>
    <w:p w:rsidR="00503A41" w:rsidRPr="00993936" w:rsidRDefault="00503A41" w:rsidP="001C0FFB">
      <w:pPr>
        <w:pStyle w:val="Ttulo1"/>
        <w:rPr>
          <w:rFonts w:ascii="Arial" w:hAnsi="Arial" w:cs="Arial"/>
          <w:b/>
          <w:color w:val="auto"/>
          <w:sz w:val="22"/>
          <w:szCs w:val="22"/>
        </w:rPr>
      </w:pPr>
      <w:r w:rsidRPr="00993936">
        <w:rPr>
          <w:rFonts w:ascii="Arial" w:hAnsi="Arial" w:cs="Arial"/>
          <w:b/>
          <w:color w:val="auto"/>
          <w:sz w:val="22"/>
          <w:szCs w:val="22"/>
        </w:rPr>
        <w:t>Expedición</w:t>
      </w:r>
    </w:p>
    <w:p w:rsidR="00503A41" w:rsidRPr="00993936" w:rsidRDefault="00503A41" w:rsidP="001C0FFB">
      <w:pPr>
        <w:jc w:val="both"/>
        <w:rPr>
          <w:rFonts w:ascii="Arial" w:hAnsi="Arial" w:cs="Arial"/>
          <w:i/>
          <w:lang w:val="es-ES"/>
        </w:rPr>
      </w:pPr>
      <w:r w:rsidRPr="00993936">
        <w:rPr>
          <w:rFonts w:ascii="Arial" w:hAnsi="Arial" w:cs="Arial"/>
          <w:i/>
          <w:lang w:val="es-ES"/>
        </w:rPr>
        <w:t>29.1 Obligaciones</w:t>
      </w:r>
    </w:p>
    <w:p w:rsidR="00503A41" w:rsidRPr="00993936" w:rsidRDefault="00503A41" w:rsidP="001C0FFB">
      <w:pPr>
        <w:jc w:val="both"/>
        <w:rPr>
          <w:rFonts w:ascii="Arial" w:hAnsi="Arial" w:cs="Arial"/>
          <w:lang w:val="es-ES"/>
        </w:rPr>
      </w:pPr>
      <w:r w:rsidRPr="00993936">
        <w:rPr>
          <w:rFonts w:ascii="Arial" w:hAnsi="Arial" w:cs="Arial"/>
          <w:lang w:val="es-ES"/>
        </w:rPr>
        <w:t>29.1.1</w:t>
      </w:r>
      <w:r w:rsidRPr="00993936">
        <w:rPr>
          <w:rFonts w:ascii="Arial" w:hAnsi="Arial" w:cs="Arial"/>
          <w:b/>
          <w:lang w:val="es-ES"/>
        </w:rPr>
        <w:t xml:space="preserve"> </w:t>
      </w:r>
      <w:r w:rsidRPr="00993936">
        <w:rPr>
          <w:rFonts w:ascii="Arial" w:hAnsi="Arial" w:cs="Arial"/>
          <w:lang w:val="es-ES"/>
        </w:rPr>
        <w:t>Antes de cargar, todos los elementos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plagas</w:t>
      </w:r>
      <w:r w:rsidRPr="00993936">
        <w:rPr>
          <w:rFonts w:ascii="Arial" w:hAnsi="Arial" w:cs="Arial"/>
          <w:vanish/>
          <w:lang w:val="es-ES"/>
        </w:rPr>
        <w:t>&lt;A[pestes|pudores]&gt;</w:t>
      </w:r>
      <w:r w:rsidRPr="00993936">
        <w:rPr>
          <w:rFonts w:ascii="Arial" w:hAnsi="Arial" w:cs="Arial"/>
          <w:lang w:val="es-ES"/>
        </w:rPr>
        <w:t xml:space="preserve"> y objetos extraños.</w:t>
      </w:r>
    </w:p>
    <w:p w:rsidR="00503A41" w:rsidRPr="00993936" w:rsidRDefault="00503A41" w:rsidP="001C0FFB">
      <w:pPr>
        <w:jc w:val="both"/>
        <w:rPr>
          <w:rFonts w:ascii="Arial" w:hAnsi="Arial" w:cs="Arial"/>
          <w:lang w:val="es-ES"/>
        </w:rPr>
      </w:pPr>
      <w:r w:rsidRPr="00993936">
        <w:rPr>
          <w:rFonts w:ascii="Arial" w:hAnsi="Arial" w:cs="Arial"/>
          <w:lang w:val="es-ES"/>
        </w:rPr>
        <w:t>29.1.2  Los frutos deben ser transportados por la persona operadora a la temperatura estipulada y eso se tiene que reflejar en el contrato de transporte.</w:t>
      </w:r>
    </w:p>
    <w:p w:rsidR="00503A41" w:rsidRPr="00993936" w:rsidRDefault="00503A41" w:rsidP="001C0FFB">
      <w:pPr>
        <w:pStyle w:val="Textoindependiente"/>
        <w:outlineLvl w:val="0"/>
        <w:rPr>
          <w:rFonts w:cs="Arial"/>
          <w:szCs w:val="22"/>
          <w:lang w:val="es-ES"/>
        </w:rPr>
      </w:pPr>
    </w:p>
    <w:p w:rsidR="00503A41" w:rsidRPr="00993936" w:rsidRDefault="00503A41" w:rsidP="001C0FFB">
      <w:pPr>
        <w:pStyle w:val="Textoindependiente"/>
        <w:outlineLvl w:val="0"/>
        <w:rPr>
          <w:rFonts w:cs="Arial"/>
          <w:szCs w:val="22"/>
          <w:lang w:val="es-ES"/>
        </w:rPr>
      </w:pPr>
      <w:r w:rsidRPr="00993936">
        <w:rPr>
          <w:rFonts w:cs="Arial"/>
          <w:szCs w:val="22"/>
          <w:lang w:val="es-ES"/>
        </w:rPr>
        <w:t>Artículo 30</w:t>
      </w:r>
    </w:p>
    <w:p w:rsidR="00503A41" w:rsidRPr="00993936" w:rsidRDefault="00503A41" w:rsidP="001C0FFB">
      <w:pPr>
        <w:pStyle w:val="Textoindependiente"/>
        <w:outlineLvl w:val="0"/>
        <w:rPr>
          <w:rFonts w:cs="Arial"/>
          <w:b/>
          <w:szCs w:val="22"/>
          <w:lang w:val="es-ES"/>
        </w:rPr>
      </w:pPr>
      <w:r w:rsidRPr="00993936">
        <w:rPr>
          <w:rFonts w:cs="Arial"/>
          <w:b/>
          <w:szCs w:val="22"/>
          <w:lang w:val="es-ES"/>
        </w:rPr>
        <w:t>Cuaderno de conservación/postcosecha</w:t>
      </w:r>
    </w:p>
    <w:p w:rsidR="00503A41" w:rsidRPr="00993936" w:rsidRDefault="00503A41" w:rsidP="001C0FFB">
      <w:pPr>
        <w:jc w:val="both"/>
        <w:rPr>
          <w:rFonts w:ascii="Arial" w:hAnsi="Arial" w:cs="Arial"/>
          <w:i/>
          <w:lang w:val="es-ES"/>
        </w:rPr>
      </w:pPr>
      <w:r w:rsidRPr="00993936">
        <w:rPr>
          <w:rFonts w:ascii="Arial" w:hAnsi="Arial" w:cs="Arial"/>
          <w:i/>
          <w:lang w:val="es-ES"/>
        </w:rPr>
        <w:t>30.1 Obligaciones</w:t>
      </w:r>
    </w:p>
    <w:p w:rsidR="00503A41" w:rsidRPr="00993936" w:rsidRDefault="00503A41" w:rsidP="001C0FFB">
      <w:pPr>
        <w:jc w:val="both"/>
        <w:rPr>
          <w:rFonts w:ascii="Arial" w:hAnsi="Arial" w:cs="Arial"/>
          <w:lang w:val="es-ES"/>
        </w:rPr>
      </w:pPr>
      <w:r w:rsidRPr="00993936">
        <w:rPr>
          <w:rFonts w:ascii="Arial" w:hAnsi="Arial" w:cs="Arial"/>
          <w:lang w:val="es-ES"/>
        </w:rPr>
        <w:t xml:space="preserve">30.1.1 El modelo de Cuaderno de conservación es único con respecto al contenido de los datos a registrar, y será aprobado por el Departamento de Agricultura, Ganadería, Pesca y Alimentación. </w:t>
      </w:r>
    </w:p>
    <w:p w:rsidR="00503A41" w:rsidRPr="00993936" w:rsidRDefault="00503A41" w:rsidP="001C0FFB">
      <w:pPr>
        <w:jc w:val="both"/>
        <w:rPr>
          <w:rFonts w:ascii="Arial" w:hAnsi="Arial" w:cs="Arial"/>
          <w:lang w:val="es-ES"/>
        </w:rPr>
      </w:pPr>
      <w:r w:rsidRPr="00993936">
        <w:rPr>
          <w:rFonts w:ascii="Arial" w:hAnsi="Arial" w:cs="Arial"/>
          <w:lang w:val="es-ES"/>
        </w:rPr>
        <w:t>30.1.2 El técnico responsable de conservación de productos de producción integrada se responsabilizará periódicamente, mediante su firma, de la conformidad de las anotaciones realizadas en el Cuaderno de conservación con respecto al de producción integrada.</w:t>
      </w:r>
    </w:p>
    <w:p w:rsidR="00503A41" w:rsidRPr="00993936" w:rsidRDefault="00503A41" w:rsidP="001C0FFB">
      <w:pPr>
        <w:jc w:val="both"/>
        <w:rPr>
          <w:rFonts w:ascii="Arial" w:hAnsi="Arial" w:cs="Arial"/>
          <w:lang w:val="es-ES"/>
        </w:rPr>
      </w:pPr>
      <w:r w:rsidRPr="00993936">
        <w:rPr>
          <w:rFonts w:ascii="Arial" w:hAnsi="Arial" w:cs="Arial"/>
          <w:lang w:val="es-ES"/>
        </w:rPr>
        <w:t>30.1.3 El Cuaderno de conservación es obligatorio y estará siempre disponible para su inspección. Para la buena funcionalidad del sistema, las anotaciones de las operaciones se tendrán que realizar en un plazo máximo de 7 días con posterioridad a su ejecución.</w:t>
      </w:r>
    </w:p>
    <w:p w:rsidR="00503A41" w:rsidRPr="00993936" w:rsidRDefault="00503A41" w:rsidP="001C0FFB">
      <w:pPr>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31</w:t>
      </w:r>
    </w:p>
    <w:p w:rsidR="00503A41" w:rsidRPr="00993936" w:rsidRDefault="00503A41" w:rsidP="001C0FFB">
      <w:pPr>
        <w:jc w:val="both"/>
        <w:rPr>
          <w:rFonts w:ascii="Arial" w:hAnsi="Arial" w:cs="Arial"/>
          <w:b/>
          <w:lang w:val="es-ES"/>
        </w:rPr>
      </w:pPr>
      <w:r w:rsidRPr="00993936">
        <w:rPr>
          <w:rFonts w:ascii="Arial" w:hAnsi="Arial" w:cs="Arial"/>
          <w:b/>
          <w:lang w:val="es-ES"/>
        </w:rPr>
        <w:t xml:space="preserve">Formación del personal </w:t>
      </w:r>
    </w:p>
    <w:p w:rsidR="00503A41" w:rsidRPr="00993936" w:rsidRDefault="00503A41" w:rsidP="001C0FFB">
      <w:pPr>
        <w:jc w:val="both"/>
        <w:rPr>
          <w:rFonts w:ascii="Arial" w:hAnsi="Arial" w:cs="Arial"/>
          <w:lang w:val="es-ES"/>
        </w:rPr>
      </w:pPr>
      <w:r w:rsidRPr="00993936">
        <w:rPr>
          <w:rFonts w:ascii="Arial" w:hAnsi="Arial" w:cs="Arial"/>
          <w:i/>
          <w:lang w:val="es-ES"/>
        </w:rPr>
        <w:t>31.1 Obligaciones</w:t>
      </w:r>
    </w:p>
    <w:p w:rsidR="00503A41" w:rsidRPr="00993936" w:rsidRDefault="00503A41" w:rsidP="001C0FFB">
      <w:pPr>
        <w:jc w:val="both"/>
        <w:rPr>
          <w:rFonts w:ascii="Arial" w:hAnsi="Arial" w:cs="Arial"/>
          <w:lang w:val="es-ES"/>
        </w:rPr>
      </w:pPr>
      <w:r w:rsidRPr="00993936">
        <w:rPr>
          <w:rFonts w:ascii="Arial" w:hAnsi="Arial" w:cs="Arial"/>
          <w:lang w:val="es-ES"/>
        </w:rPr>
        <w:t xml:space="preserve">31.1.1 La empresa tendrá que fomentar la formación y proporcionar la que sea necesaria al personal implicado en la aplicación de esta norma y el resto de partes </w:t>
      </w:r>
      <w:r w:rsidRPr="00993936">
        <w:rPr>
          <w:rFonts w:ascii="Arial" w:hAnsi="Arial" w:cs="Arial"/>
          <w:lang w:val="es-ES"/>
        </w:rPr>
        <w:lastRenderedPageBreak/>
        <w:t>afectadas por su actividad. Por otra parte, todos los agentes que participen en producción integrada deben tener una formación específica.</w:t>
      </w:r>
    </w:p>
    <w:p w:rsidR="00503A41" w:rsidRPr="00993936" w:rsidRDefault="00503A41" w:rsidP="001C0FFB">
      <w:pPr>
        <w:pStyle w:val="Sangradetextonormal"/>
        <w:ind w:left="0"/>
        <w:jc w:val="both"/>
        <w:rPr>
          <w:rFonts w:cs="Arial"/>
          <w:b/>
          <w:szCs w:val="22"/>
          <w:lang w:val="es-ES"/>
        </w:rPr>
      </w:pPr>
      <w:r w:rsidRPr="00993936">
        <w:rPr>
          <w:rFonts w:cs="Arial"/>
          <w:szCs w:val="22"/>
          <w:lang w:val="es-ES"/>
        </w:rPr>
        <w:t xml:space="preserve">31.1.1.1 </w:t>
      </w:r>
      <w:r w:rsidRPr="00993936">
        <w:rPr>
          <w:rFonts w:cs="Arial"/>
          <w:szCs w:val="22"/>
          <w:u w:val="single"/>
          <w:lang w:val="es-ES"/>
        </w:rPr>
        <w:t>Personal de la central</w:t>
      </w:r>
    </w:p>
    <w:p w:rsidR="00503A41" w:rsidRPr="00993936" w:rsidRDefault="00503A41" w:rsidP="001C0FFB">
      <w:pPr>
        <w:pStyle w:val="Sangradetextonormal"/>
        <w:ind w:left="0"/>
        <w:jc w:val="both"/>
        <w:rPr>
          <w:rFonts w:cs="Arial"/>
          <w:b/>
          <w:szCs w:val="22"/>
          <w:lang w:val="es-ES"/>
        </w:rPr>
      </w:pPr>
      <w:r w:rsidRPr="00993936">
        <w:rPr>
          <w:rFonts w:cs="Arial"/>
          <w:szCs w:val="22"/>
          <w:lang w:val="es-ES"/>
        </w:rPr>
        <w:t>La empresa tiene que asegurar la formación del personal de la central en materia de buenas prácticas de higiene y manipulación, conservando un registro de los cursos impartidos.</w:t>
      </w:r>
    </w:p>
    <w:p w:rsidR="00503A41" w:rsidRPr="00993936" w:rsidRDefault="00503A41" w:rsidP="001C0FFB">
      <w:pPr>
        <w:jc w:val="both"/>
        <w:rPr>
          <w:rFonts w:ascii="Arial" w:hAnsi="Arial" w:cs="Arial"/>
          <w:lang w:val="es-ES"/>
        </w:rPr>
      </w:pPr>
      <w:r w:rsidRPr="00993936">
        <w:rPr>
          <w:rFonts w:ascii="Arial" w:hAnsi="Arial" w:cs="Arial"/>
          <w:lang w:val="es-ES"/>
        </w:rPr>
        <w:t xml:space="preserve">31.1.1.2 </w:t>
      </w:r>
      <w:r w:rsidRPr="00993936">
        <w:rPr>
          <w:rFonts w:ascii="Arial" w:hAnsi="Arial" w:cs="Arial"/>
          <w:u w:val="single"/>
          <w:lang w:val="es-ES"/>
        </w:rPr>
        <w:t>Personal técnico competente</w:t>
      </w:r>
    </w:p>
    <w:p w:rsidR="00503A41" w:rsidRPr="00993936" w:rsidRDefault="00503A41" w:rsidP="001C0FFB">
      <w:pPr>
        <w:jc w:val="both"/>
        <w:rPr>
          <w:rFonts w:ascii="Arial" w:hAnsi="Arial" w:cs="Arial"/>
          <w:lang w:val="es-ES"/>
        </w:rPr>
      </w:pPr>
      <w:r w:rsidRPr="00993936">
        <w:rPr>
          <w:rFonts w:ascii="Arial" w:hAnsi="Arial" w:cs="Arial"/>
          <w:lang w:val="es-ES"/>
        </w:rPr>
        <w:t>El personal técnico competente que participe en producción integrada tiene que tener una formación universitaria, de acuerdo con lo que establece el artículo 11.1 del Decreto 241/2002, y acreditar una formación específica en producción integrada, de acuerdo con lo que establece el artículo 24.1 del mencionado Decreto. Esta formación, en Cataluña, se regula por</w:t>
      </w:r>
      <w:r w:rsidRPr="00993936">
        <w:rPr>
          <w:rFonts w:ascii="Arial" w:hAnsi="Arial" w:cs="Arial"/>
          <w:vanish/>
          <w:lang w:val="es-ES"/>
        </w:rPr>
        <w:t>&lt;A[por|para]&gt;</w:t>
      </w:r>
      <w:r w:rsidRPr="00993936">
        <w:rPr>
          <w:rFonts w:ascii="Arial" w:hAnsi="Arial" w:cs="Arial"/>
          <w:lang w:val="es-ES"/>
        </w:rPr>
        <w:t xml:space="preserve">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la cual se establecen y se regulan los cursos de formación en producción integrada.</w:t>
      </w:r>
    </w:p>
    <w:p w:rsidR="00503A41" w:rsidRPr="00993936" w:rsidRDefault="00503A41" w:rsidP="001C0FFB">
      <w:pPr>
        <w:jc w:val="both"/>
        <w:rPr>
          <w:rFonts w:ascii="Arial" w:hAnsi="Arial" w:cs="Arial"/>
          <w:i/>
          <w:lang w:val="es-ES"/>
        </w:rPr>
      </w:pPr>
      <w:r w:rsidRPr="00993936">
        <w:rPr>
          <w:rFonts w:ascii="Arial" w:hAnsi="Arial" w:cs="Arial"/>
          <w:lang w:val="es-ES"/>
        </w:rPr>
        <w:t xml:space="preserve">31.1.1.3 </w:t>
      </w:r>
      <w:r w:rsidRPr="00993936">
        <w:rPr>
          <w:rFonts w:ascii="Arial" w:hAnsi="Arial" w:cs="Arial"/>
          <w:u w:val="single"/>
          <w:lang w:val="es-ES"/>
        </w:rPr>
        <w:t xml:space="preserve">Operadores </w:t>
      </w:r>
      <w:r w:rsidRPr="00993936">
        <w:rPr>
          <w:rFonts w:ascii="Arial" w:hAnsi="Arial" w:cs="Arial"/>
          <w:i/>
          <w:u w:val="single"/>
          <w:lang w:val="es-ES"/>
        </w:rPr>
        <w:t>o personas operadoras</w:t>
      </w:r>
    </w:p>
    <w:p w:rsidR="00503A41" w:rsidRPr="00993936" w:rsidRDefault="00503A41" w:rsidP="001C0FFB">
      <w:pPr>
        <w:jc w:val="both"/>
        <w:rPr>
          <w:rFonts w:ascii="Arial" w:hAnsi="Arial" w:cs="Arial"/>
          <w:lang w:val="es-ES"/>
        </w:rPr>
      </w:pPr>
      <w:r w:rsidRPr="00993936">
        <w:rPr>
          <w:rFonts w:ascii="Arial" w:hAnsi="Arial" w:cs="Arial"/>
          <w:lang w:val="es-ES"/>
        </w:rPr>
        <w:t>Todos los operadores de producción integrada (productores y/o elaboradores) deben tener una formación específica en producción integrada, para</w:t>
      </w:r>
      <w:r w:rsidRPr="00993936">
        <w:rPr>
          <w:rFonts w:ascii="Arial" w:hAnsi="Arial" w:cs="Arial"/>
          <w:vanish/>
          <w:lang w:val="es-ES"/>
        </w:rPr>
        <w:t>&lt;A[por|para]&gt;</w:t>
      </w:r>
      <w:r w:rsidRPr="00993936">
        <w:rPr>
          <w:rFonts w:ascii="Arial" w:hAnsi="Arial" w:cs="Arial"/>
          <w:lang w:val="es-ES"/>
        </w:rPr>
        <w:t xml:space="preserve"> lo cual deben acreditar la realización de un curso de producción integrada impartido por la Administración Pública o por alguna entidad reconocida, de acuerdo con lo que establecen el Decreto 241/2002 y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los cuales se establecen y se regulan los cursos de formación en producción integrada.</w:t>
      </w:r>
    </w:p>
    <w:p w:rsidR="00503A41" w:rsidRPr="00993936" w:rsidRDefault="00503A41" w:rsidP="001C0FFB">
      <w:pPr>
        <w:pStyle w:val="Ttulo1"/>
        <w:rPr>
          <w:rFonts w:ascii="Arial" w:hAnsi="Arial" w:cs="Arial"/>
          <w:color w:val="auto"/>
          <w:sz w:val="22"/>
          <w:szCs w:val="22"/>
        </w:rPr>
      </w:pPr>
      <w:r w:rsidRPr="00993936">
        <w:rPr>
          <w:rFonts w:ascii="Arial" w:hAnsi="Arial" w:cs="Arial"/>
          <w:color w:val="auto"/>
          <w:sz w:val="22"/>
          <w:szCs w:val="22"/>
        </w:rPr>
        <w:t xml:space="preserve">31.1.1.4 </w:t>
      </w:r>
      <w:r w:rsidRPr="00993936">
        <w:rPr>
          <w:rFonts w:ascii="Arial" w:hAnsi="Arial" w:cs="Arial"/>
          <w:color w:val="auto"/>
          <w:sz w:val="22"/>
          <w:szCs w:val="22"/>
          <w:u w:val="single"/>
        </w:rPr>
        <w:t>Manipulador de productos fitosanitarios</w:t>
      </w:r>
    </w:p>
    <w:p w:rsidR="00503A41" w:rsidRPr="00993936" w:rsidRDefault="00503A41" w:rsidP="001C0FFB">
      <w:pPr>
        <w:jc w:val="both"/>
        <w:rPr>
          <w:rFonts w:ascii="Arial" w:hAnsi="Arial" w:cs="Arial"/>
          <w:lang w:val="es-ES"/>
        </w:rPr>
      </w:pPr>
      <w:r w:rsidRPr="00993936">
        <w:rPr>
          <w:rFonts w:ascii="Arial" w:hAnsi="Arial" w:cs="Arial"/>
          <w:lang w:val="es-ES"/>
        </w:rPr>
        <w:t>El manipulador de productos fitosanitarios tiene que estar en posesión del carné de manipulador de nivel básico que lo capacita para desarrollar su actividad, salvo las excepciones que prevé la legislación vigente.</w:t>
      </w:r>
    </w:p>
    <w:p w:rsidR="00503A41" w:rsidRPr="00993936" w:rsidRDefault="00503A41" w:rsidP="001C0FFB">
      <w:pPr>
        <w:pStyle w:val="Ttulo2"/>
        <w:rPr>
          <w:rFonts w:ascii="Arial" w:hAnsi="Arial" w:cs="Arial"/>
          <w:b/>
          <w:color w:val="auto"/>
          <w:szCs w:val="22"/>
          <w:lang w:val="es-ES"/>
        </w:rPr>
      </w:pPr>
    </w:p>
    <w:p w:rsidR="00503A41" w:rsidRPr="00993936" w:rsidRDefault="00503A41" w:rsidP="001C0FFB">
      <w:pPr>
        <w:spacing w:before="120"/>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IV. IDENTIFICACIÓN, TRAZABILIDAD Y COMERCIALIZACIÓN</w:t>
      </w:r>
    </w:p>
    <w:p w:rsidR="00503A41" w:rsidRPr="00993936" w:rsidRDefault="00503A41" w:rsidP="001C0FFB">
      <w:pPr>
        <w:pStyle w:val="Ttulo6"/>
        <w:jc w:val="both"/>
        <w:rPr>
          <w:rFonts w:ascii="Arial" w:hAnsi="Arial" w:cs="Arial"/>
          <w:color w:val="auto"/>
          <w:lang w:val="es-ES"/>
        </w:rPr>
      </w:pPr>
      <w:r w:rsidRPr="00993936">
        <w:rPr>
          <w:rFonts w:ascii="Arial" w:hAnsi="Arial" w:cs="Arial"/>
          <w:color w:val="auto"/>
          <w:lang w:val="es-ES"/>
        </w:rPr>
        <w:t xml:space="preserve"> </w:t>
      </w:r>
    </w:p>
    <w:p w:rsidR="00503A41" w:rsidRPr="00993936" w:rsidRDefault="00503A41" w:rsidP="001C0FFB">
      <w:pPr>
        <w:pStyle w:val="Ttulo6"/>
        <w:jc w:val="both"/>
        <w:rPr>
          <w:rFonts w:ascii="Arial" w:hAnsi="Arial" w:cs="Arial"/>
          <w:b/>
          <w:color w:val="auto"/>
          <w:lang w:val="es-ES"/>
        </w:rPr>
      </w:pPr>
      <w:r w:rsidRPr="00993936">
        <w:rPr>
          <w:rFonts w:ascii="Arial" w:hAnsi="Arial" w:cs="Arial"/>
          <w:color w:val="auto"/>
          <w:lang w:val="es-ES"/>
        </w:rPr>
        <w:t>Artículo 32</w:t>
      </w:r>
    </w:p>
    <w:p w:rsidR="00503A41" w:rsidRPr="00993936" w:rsidRDefault="00C8459C" w:rsidP="001C0FFB">
      <w:pPr>
        <w:pStyle w:val="Ttulo6"/>
        <w:jc w:val="both"/>
        <w:rPr>
          <w:rFonts w:ascii="Arial" w:hAnsi="Arial" w:cs="Arial"/>
          <w:b/>
          <w:color w:val="auto"/>
          <w:lang w:val="es-ES"/>
        </w:rPr>
      </w:pPr>
      <w:r>
        <w:rPr>
          <w:rFonts w:ascii="Arial" w:hAnsi="Arial" w:cs="Arial"/>
          <w:b/>
          <w:color w:val="auto"/>
          <w:lang w:val="es-ES" w:eastAsia="es-ES"/>
        </w:rPr>
        <w:pict>
          <v:line id="_x0000_s1053" style="position:absolute;left:0;text-align:left;z-index:251874304" from="63pt,-229.3pt" to="63pt,-229.3pt"/>
        </w:pict>
      </w:r>
      <w:r>
        <w:rPr>
          <w:rFonts w:ascii="Arial" w:hAnsi="Arial" w:cs="Arial"/>
          <w:b/>
          <w:color w:val="auto"/>
          <w:lang w:val="es-ES" w:eastAsia="es-ES"/>
        </w:rPr>
        <w:pict>
          <v:line id="_x0000_s1052" style="position:absolute;left:0;text-align:left;z-index:251873280" from="450pt,-292.55pt" to="450pt,-292.55pt"/>
        </w:pict>
      </w:r>
      <w:r>
        <w:rPr>
          <w:rFonts w:ascii="Arial" w:hAnsi="Arial" w:cs="Arial"/>
          <w:b/>
          <w:color w:val="auto"/>
          <w:lang w:val="es-ES" w:eastAsia="es-ES"/>
        </w:rPr>
        <w:pict>
          <v:line id="_x0000_s1051" style="position:absolute;left:0;text-align:left;z-index:251872256" from="180pt,-292.55pt" to="180pt,-292.55pt"/>
        </w:pict>
      </w:r>
      <w:r w:rsidR="00503A41" w:rsidRPr="00993936">
        <w:rPr>
          <w:rFonts w:ascii="Arial" w:hAnsi="Arial" w:cs="Arial"/>
          <w:b/>
          <w:color w:val="auto"/>
          <w:lang w:val="es-ES"/>
        </w:rPr>
        <w:t>Identificación y trazabilidad</w:t>
      </w:r>
    </w:p>
    <w:p w:rsidR="00503A41" w:rsidRPr="00993936" w:rsidRDefault="00503A41" w:rsidP="001C0FFB">
      <w:pPr>
        <w:jc w:val="both"/>
        <w:rPr>
          <w:rFonts w:ascii="Arial" w:hAnsi="Arial" w:cs="Arial"/>
          <w:lang w:val="es-ES"/>
        </w:rPr>
      </w:pPr>
      <w:r w:rsidRPr="00993936">
        <w:rPr>
          <w:rFonts w:ascii="Arial" w:hAnsi="Arial" w:cs="Arial"/>
          <w:lang w:val="es-ES"/>
        </w:rPr>
        <w:t xml:space="preserve">32.1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32.1.1 Cumplimentar una declaración de responsabilidad del agricultor que permita la identificación de las olivas que proceden de parcelas acogidas a  la producción integrada. En un plano o croquis de la parcela y/o UHC se justificará el conocimiento de la ubicación de los diferentes lotes del material vegetal utilizado.</w:t>
      </w:r>
    </w:p>
    <w:p w:rsidR="00503A41" w:rsidRPr="00993936" w:rsidRDefault="00503A41" w:rsidP="001C0FFB">
      <w:pPr>
        <w:jc w:val="both"/>
        <w:rPr>
          <w:rFonts w:ascii="Arial" w:hAnsi="Arial" w:cs="Arial"/>
          <w:lang w:val="es-ES"/>
        </w:rPr>
      </w:pPr>
      <w:r w:rsidRPr="00993936">
        <w:rPr>
          <w:rFonts w:ascii="Arial" w:hAnsi="Arial" w:cs="Arial"/>
          <w:lang w:val="es-ES"/>
        </w:rPr>
        <w:t>32.1.2 En cada centro de recepción y/o manipulación tiene que haber un albarán de control de entrada, donde figure el producto, la cantidad, la parcela de origen, la unidad homogénea de cultivo y la fecha de entrada, firmado por la persona que hace la entrega.</w:t>
      </w:r>
    </w:p>
    <w:p w:rsidR="00503A41" w:rsidRPr="00993936" w:rsidRDefault="00503A41" w:rsidP="001C0FFB">
      <w:pPr>
        <w:jc w:val="both"/>
        <w:rPr>
          <w:rFonts w:ascii="Arial" w:hAnsi="Arial" w:cs="Arial"/>
          <w:lang w:val="es-ES"/>
        </w:rPr>
      </w:pPr>
      <w:r w:rsidRPr="00993936">
        <w:rPr>
          <w:rFonts w:ascii="Arial" w:hAnsi="Arial" w:cs="Arial"/>
          <w:lang w:val="es-ES"/>
        </w:rPr>
        <w:t>32.1.3 Los operadores que no tengan la totalidad de la producción de olivas bajo normas de producción integrada, tendrán que cumplir los requisitos siguientes:</w:t>
      </w:r>
    </w:p>
    <w:p w:rsidR="00503A41" w:rsidRPr="00993936" w:rsidRDefault="00503A41" w:rsidP="009D1A2D">
      <w:pPr>
        <w:numPr>
          <w:ilvl w:val="0"/>
          <w:numId w:val="156"/>
        </w:numPr>
        <w:spacing w:after="0" w:line="240" w:lineRule="auto"/>
        <w:jc w:val="both"/>
        <w:rPr>
          <w:rFonts w:ascii="Arial" w:hAnsi="Arial" w:cs="Arial"/>
          <w:lang w:val="es-ES"/>
        </w:rPr>
      </w:pPr>
      <w:r w:rsidRPr="00993936">
        <w:rPr>
          <w:rFonts w:ascii="Arial" w:hAnsi="Arial" w:cs="Arial"/>
          <w:lang w:val="es-ES"/>
        </w:rPr>
        <w:t xml:space="preserve">Tiene que haber un sistema documentado e implantado de identificación y trazabilidad de las olivas de producción integrada para garantizar la separación desde la parcela o UHC hasta la entrega al cliente del producto elaborado de los otros orígenes. </w:t>
      </w:r>
    </w:p>
    <w:p w:rsidR="00503A41" w:rsidRPr="00993936" w:rsidRDefault="00503A41" w:rsidP="009D1A2D">
      <w:pPr>
        <w:numPr>
          <w:ilvl w:val="0"/>
          <w:numId w:val="156"/>
        </w:numPr>
        <w:spacing w:after="0" w:line="240" w:lineRule="auto"/>
        <w:jc w:val="both"/>
        <w:rPr>
          <w:rFonts w:ascii="Arial" w:hAnsi="Arial" w:cs="Arial"/>
          <w:lang w:val="es-ES"/>
        </w:rPr>
      </w:pPr>
      <w:r w:rsidRPr="00993936">
        <w:rPr>
          <w:rFonts w:ascii="Arial" w:hAnsi="Arial" w:cs="Arial"/>
          <w:lang w:val="es-ES"/>
        </w:rPr>
        <w:t>En caso de utilizar la misma línea de manipulación o confección para los dos tipos de frutos, tendrá que quedar claramente definido el intervalo de tiempo durante el cual se manipula cada tipo de producto, y tiene que ser conocido por todo el personal implicado en el proceso.</w:t>
      </w:r>
    </w:p>
    <w:p w:rsidR="00503A41" w:rsidRPr="00993936" w:rsidRDefault="00503A41" w:rsidP="009D1A2D">
      <w:pPr>
        <w:numPr>
          <w:ilvl w:val="0"/>
          <w:numId w:val="156"/>
        </w:numPr>
        <w:spacing w:after="0" w:line="240" w:lineRule="auto"/>
        <w:jc w:val="both"/>
        <w:rPr>
          <w:rFonts w:ascii="Arial" w:hAnsi="Arial" w:cs="Arial"/>
          <w:lang w:val="es-ES"/>
        </w:rPr>
      </w:pPr>
      <w:r w:rsidRPr="00993936">
        <w:rPr>
          <w:rFonts w:ascii="Arial" w:hAnsi="Arial" w:cs="Arial"/>
          <w:lang w:val="es-ES"/>
        </w:rPr>
        <w:t>Antes de proceder a la manipulación de las olivas de producción integrada, 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productos de otros orígenes.</w:t>
      </w:r>
    </w:p>
    <w:p w:rsidR="00503A41" w:rsidRPr="00993936" w:rsidRDefault="00503A41" w:rsidP="001C0FFB">
      <w:pPr>
        <w:jc w:val="both"/>
        <w:rPr>
          <w:rFonts w:ascii="Arial" w:hAnsi="Arial" w:cs="Arial"/>
          <w:lang w:val="es-ES"/>
        </w:rPr>
      </w:pPr>
      <w:r w:rsidRPr="00993936">
        <w:rPr>
          <w:rFonts w:ascii="Arial" w:hAnsi="Arial" w:cs="Arial"/>
          <w:lang w:val="es-ES"/>
        </w:rPr>
        <w:t>32.1.4 Las olivas de producción integrada serán identificadas y consideradas, en cualquier momento del proceso técnico, administrativo y de comercialización como una oliva diferente del resto de olivas manipuladas por la persona operadora.</w:t>
      </w:r>
    </w:p>
    <w:p w:rsidR="00503A41" w:rsidRPr="00993936" w:rsidRDefault="00503A41" w:rsidP="001C0FFB">
      <w:pPr>
        <w:jc w:val="both"/>
        <w:rPr>
          <w:rFonts w:ascii="Arial" w:hAnsi="Arial" w:cs="Arial"/>
          <w:lang w:val="es-ES"/>
        </w:rPr>
      </w:pPr>
      <w:r w:rsidRPr="00993936">
        <w:rPr>
          <w:rFonts w:ascii="Arial" w:hAnsi="Arial" w:cs="Arial"/>
          <w:lang w:val="es-ES"/>
        </w:rPr>
        <w:t>32.1.5 Las cajas de campo y otros envases utilizados para la recolección o el transporte de olivas de producción integrada deben estar claramente diferenciados de los utilizados para otros productos.</w:t>
      </w:r>
    </w:p>
    <w:p w:rsidR="00503A41" w:rsidRPr="00993936" w:rsidRDefault="00503A41" w:rsidP="001C0FFB">
      <w:pPr>
        <w:jc w:val="both"/>
        <w:rPr>
          <w:rFonts w:ascii="Arial" w:hAnsi="Arial" w:cs="Arial"/>
          <w:lang w:val="es-ES"/>
        </w:rPr>
      </w:pPr>
      <w:r w:rsidRPr="00993936">
        <w:rPr>
          <w:rFonts w:ascii="Arial" w:hAnsi="Arial" w:cs="Arial"/>
          <w:lang w:val="es-ES"/>
        </w:rPr>
        <w:t xml:space="preserve">32.2 </w:t>
      </w:r>
      <w:r w:rsidRPr="00993936">
        <w:rPr>
          <w:rFonts w:ascii="Arial" w:hAnsi="Arial" w:cs="Arial"/>
          <w:i/>
          <w:lang w:val="es-ES"/>
        </w:rPr>
        <w:t>Prohibiciones</w:t>
      </w:r>
    </w:p>
    <w:p w:rsidR="00503A41" w:rsidRPr="00993936" w:rsidRDefault="00503A41" w:rsidP="001C0FFB">
      <w:pPr>
        <w:jc w:val="both"/>
        <w:rPr>
          <w:rFonts w:ascii="Arial" w:hAnsi="Arial" w:cs="Arial"/>
          <w:lang w:val="es-ES"/>
        </w:rPr>
      </w:pPr>
      <w:r w:rsidRPr="00993936">
        <w:rPr>
          <w:rFonts w:ascii="Arial" w:hAnsi="Arial" w:cs="Arial"/>
          <w:lang w:val="es-ES"/>
        </w:rPr>
        <w:t>32.2.1</w:t>
      </w:r>
      <w:r w:rsidRPr="00993936">
        <w:rPr>
          <w:rFonts w:ascii="Arial" w:hAnsi="Arial" w:cs="Arial"/>
          <w:b/>
          <w:lang w:val="es-ES"/>
        </w:rPr>
        <w:t xml:space="preserve"> </w:t>
      </w:r>
      <w:r w:rsidRPr="00993936">
        <w:rPr>
          <w:rFonts w:ascii="Arial" w:hAnsi="Arial" w:cs="Arial"/>
          <w:lang w:val="es-ES"/>
        </w:rPr>
        <w:t>Comercializar, como olivas amparadas por esta norma, las procedentes de unidades de cultivo que no cumplan las indicaciones de cultivo que establece la normativa de producción integrada en toda su producción.</w:t>
      </w:r>
    </w:p>
    <w:p w:rsidR="00503A41" w:rsidRPr="00993936" w:rsidRDefault="00503A41" w:rsidP="001C0FFB">
      <w:pPr>
        <w:jc w:val="both"/>
        <w:rPr>
          <w:rFonts w:ascii="Arial" w:hAnsi="Arial" w:cs="Arial"/>
          <w:lang w:val="es-ES"/>
        </w:rPr>
      </w:pPr>
      <w:r w:rsidRPr="00993936">
        <w:rPr>
          <w:rFonts w:ascii="Arial" w:hAnsi="Arial" w:cs="Arial"/>
          <w:lang w:val="es-ES"/>
        </w:rPr>
        <w:t>32.2.2 La presencia de cajas, etiquetas o marcas comerciales, de productos de producción integrada en parcelas y/o UHC que no estén acogidas a  Producción Integrada.</w:t>
      </w:r>
    </w:p>
    <w:p w:rsidR="00503A41" w:rsidRPr="00993936" w:rsidRDefault="00503A41" w:rsidP="001C0FFB">
      <w:pPr>
        <w:pStyle w:val="Ttulo6"/>
        <w:spacing w:before="120"/>
        <w:jc w:val="both"/>
        <w:rPr>
          <w:rFonts w:ascii="Arial" w:hAnsi="Arial" w:cs="Arial"/>
          <w:color w:val="auto"/>
          <w:lang w:val="es-ES"/>
        </w:rPr>
      </w:pPr>
    </w:p>
    <w:p w:rsidR="00503A41" w:rsidRPr="00993936" w:rsidRDefault="00503A41" w:rsidP="001C0FFB">
      <w:pPr>
        <w:pStyle w:val="Ttulo6"/>
        <w:spacing w:before="120"/>
        <w:jc w:val="both"/>
        <w:rPr>
          <w:rFonts w:ascii="Arial" w:hAnsi="Arial" w:cs="Arial"/>
          <w:b/>
          <w:color w:val="auto"/>
          <w:lang w:val="es-ES"/>
        </w:rPr>
      </w:pPr>
      <w:r w:rsidRPr="00993936">
        <w:rPr>
          <w:rFonts w:ascii="Arial" w:hAnsi="Arial" w:cs="Arial"/>
          <w:color w:val="auto"/>
          <w:lang w:val="es-ES"/>
        </w:rPr>
        <w:t>Artículo 33</w:t>
      </w:r>
    </w:p>
    <w:p w:rsidR="00503A41" w:rsidRPr="00993936" w:rsidRDefault="00503A41" w:rsidP="001C0FFB">
      <w:pPr>
        <w:pStyle w:val="Ttulo6"/>
        <w:jc w:val="both"/>
        <w:rPr>
          <w:rFonts w:ascii="Arial" w:hAnsi="Arial" w:cs="Arial"/>
          <w:b/>
          <w:color w:val="auto"/>
          <w:lang w:val="es-ES"/>
        </w:rPr>
      </w:pPr>
      <w:r w:rsidRPr="00993936">
        <w:rPr>
          <w:rFonts w:ascii="Arial" w:hAnsi="Arial" w:cs="Arial"/>
          <w:b/>
          <w:color w:val="auto"/>
          <w:lang w:val="es-ES"/>
        </w:rPr>
        <w:t>Control de calidad</w:t>
      </w:r>
    </w:p>
    <w:p w:rsidR="00503A41" w:rsidRPr="00993936" w:rsidRDefault="00503A41" w:rsidP="001C0FFB">
      <w:pPr>
        <w:pStyle w:val="Encabezado"/>
        <w:tabs>
          <w:tab w:val="clear" w:pos="4252"/>
          <w:tab w:val="clear" w:pos="8504"/>
        </w:tabs>
        <w:jc w:val="both"/>
        <w:rPr>
          <w:rFonts w:ascii="Arial" w:hAnsi="Arial" w:cs="Arial"/>
          <w:lang w:val="es-ES"/>
        </w:rPr>
      </w:pPr>
      <w:r w:rsidRPr="00993936">
        <w:rPr>
          <w:rFonts w:ascii="Arial" w:hAnsi="Arial" w:cs="Arial"/>
          <w:i/>
          <w:lang w:val="es-ES"/>
        </w:rPr>
        <w:t>33.1 Obligaciones</w:t>
      </w:r>
    </w:p>
    <w:p w:rsidR="00503A41" w:rsidRPr="00993936" w:rsidRDefault="00503A41" w:rsidP="001C0FFB">
      <w:pPr>
        <w:jc w:val="both"/>
        <w:rPr>
          <w:rFonts w:ascii="Arial" w:hAnsi="Arial" w:cs="Arial"/>
          <w:lang w:val="es-ES"/>
        </w:rPr>
      </w:pPr>
      <w:r w:rsidRPr="00993936">
        <w:rPr>
          <w:rFonts w:ascii="Arial" w:hAnsi="Arial" w:cs="Arial"/>
          <w:lang w:val="es-ES"/>
        </w:rPr>
        <w:t xml:space="preserve">33.1.1 La persona operadora tiene que tener definido e implantado un muestreo sistemático de la producción que sirva para comprobar que se cumplen las </w:t>
      </w:r>
      <w:r w:rsidRPr="00993936">
        <w:rPr>
          <w:rFonts w:ascii="Arial" w:hAnsi="Arial" w:cs="Arial"/>
          <w:lang w:val="es-ES"/>
        </w:rPr>
        <w:lastRenderedPageBreak/>
        <w:t xml:space="preserve">especificaciones de la legislación vigente referentes a la normalización comercial. Los parámetros a comprobar son los especificados para cada producto en la legislación vigente de calidad de los frutos. </w:t>
      </w:r>
    </w:p>
    <w:p w:rsidR="00503A41" w:rsidRPr="00993936" w:rsidRDefault="00503A41" w:rsidP="001C0FFB">
      <w:pPr>
        <w:jc w:val="both"/>
        <w:rPr>
          <w:rFonts w:ascii="Arial" w:hAnsi="Arial" w:cs="Arial"/>
          <w:lang w:val="es-ES"/>
        </w:rPr>
      </w:pPr>
      <w:r w:rsidRPr="00993936">
        <w:rPr>
          <w:rFonts w:ascii="Arial" w:hAnsi="Arial" w:cs="Arial"/>
          <w:lang w:val="es-ES"/>
        </w:rPr>
        <w:t>33.1.2 La persona operadora tiene que conservar los registros de los controles.</w:t>
      </w:r>
    </w:p>
    <w:p w:rsidR="00503A41" w:rsidRPr="00993936" w:rsidRDefault="00503A41" w:rsidP="001C0FFB">
      <w:pPr>
        <w:pStyle w:val="Textoindependiente"/>
        <w:rPr>
          <w:rFonts w:cs="Arial"/>
          <w:szCs w:val="22"/>
          <w:lang w:val="es-ES"/>
        </w:rPr>
      </w:pPr>
      <w:r w:rsidRPr="00993936">
        <w:rPr>
          <w:rFonts w:cs="Arial"/>
          <w:szCs w:val="22"/>
          <w:lang w:val="es-ES"/>
        </w:rPr>
        <w:t>33.1.3 La persona operadora verificará el funcionamiento correcto del instrumental de medida.</w:t>
      </w:r>
    </w:p>
    <w:p w:rsidR="00503A41" w:rsidRPr="00993936" w:rsidRDefault="00503A41" w:rsidP="001C0FFB">
      <w:pPr>
        <w:jc w:val="both"/>
        <w:rPr>
          <w:rFonts w:ascii="Arial" w:hAnsi="Arial" w:cs="Arial"/>
          <w:lang w:val="es-ES"/>
        </w:rPr>
      </w:pPr>
      <w:r w:rsidRPr="00993936">
        <w:rPr>
          <w:rFonts w:ascii="Arial" w:hAnsi="Arial" w:cs="Arial"/>
          <w:lang w:val="es-ES"/>
        </w:rPr>
        <w:t>33.1.4 Controlar periódicamente la calidad de las olivas y, específicamente, antes de la comercialización, teniendo en cuenta aspectos de muestreo y tipo de determinación analítica que garantice la seguridad del consumidor.</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b/>
          <w:lang w:val="es-ES"/>
        </w:rPr>
      </w:pPr>
      <w:r w:rsidRPr="00993936">
        <w:rPr>
          <w:rFonts w:ascii="Arial" w:hAnsi="Arial" w:cs="Arial"/>
          <w:b/>
          <w:lang w:val="es-ES"/>
        </w:rPr>
        <w:t>V. RESIDUOS</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34</w:t>
      </w:r>
    </w:p>
    <w:p w:rsidR="00503A41" w:rsidRPr="00993936" w:rsidRDefault="00503A41" w:rsidP="001C0FFB">
      <w:pPr>
        <w:jc w:val="both"/>
        <w:rPr>
          <w:rFonts w:ascii="Arial" w:hAnsi="Arial" w:cs="Arial"/>
          <w:b/>
          <w:lang w:val="es-ES"/>
        </w:rPr>
      </w:pPr>
      <w:r w:rsidRPr="00993936">
        <w:rPr>
          <w:rFonts w:ascii="Arial" w:hAnsi="Arial" w:cs="Arial"/>
          <w:b/>
          <w:lang w:val="es-ES"/>
        </w:rPr>
        <w:t>Gestión de Residuos</w:t>
      </w:r>
    </w:p>
    <w:p w:rsidR="00503A41" w:rsidRPr="00993936" w:rsidRDefault="00503A41" w:rsidP="001C0FFB">
      <w:pPr>
        <w:jc w:val="both"/>
        <w:rPr>
          <w:rFonts w:ascii="Arial" w:hAnsi="Arial" w:cs="Arial"/>
          <w:i/>
          <w:lang w:val="es-ES"/>
        </w:rPr>
      </w:pPr>
      <w:r w:rsidRPr="00993936">
        <w:rPr>
          <w:rFonts w:ascii="Arial" w:hAnsi="Arial" w:cs="Arial"/>
          <w:lang w:val="es-ES"/>
        </w:rPr>
        <w:t xml:space="preserve">34.1 </w:t>
      </w:r>
      <w:r w:rsidRPr="00993936">
        <w:rPr>
          <w:rFonts w:ascii="Arial" w:hAnsi="Arial" w:cs="Arial"/>
          <w:i/>
          <w:lang w:val="es-ES"/>
        </w:rPr>
        <w:t>Obligaciones</w:t>
      </w:r>
    </w:p>
    <w:p w:rsidR="00503A41" w:rsidRPr="00993936" w:rsidRDefault="00503A41" w:rsidP="001C0FFB">
      <w:pPr>
        <w:jc w:val="both"/>
        <w:rPr>
          <w:rFonts w:ascii="Arial" w:hAnsi="Arial" w:cs="Arial"/>
          <w:lang w:val="es-ES"/>
        </w:rPr>
      </w:pPr>
      <w:r w:rsidRPr="00993936">
        <w:rPr>
          <w:rFonts w:ascii="Arial" w:hAnsi="Arial" w:cs="Arial"/>
          <w:lang w:val="es-ES"/>
        </w:rPr>
        <w:t>34.1.1 Reciclar adecuadamente los sustratos inertes, siempre que sea agronómicamente aconsejable.</w:t>
      </w:r>
    </w:p>
    <w:p w:rsidR="00503A41" w:rsidRPr="00993936" w:rsidRDefault="00503A41" w:rsidP="001C0FFB">
      <w:pPr>
        <w:jc w:val="both"/>
        <w:rPr>
          <w:rFonts w:ascii="Arial" w:hAnsi="Arial" w:cs="Arial"/>
          <w:lang w:val="es-ES"/>
        </w:rPr>
      </w:pPr>
      <w:r w:rsidRPr="00993936">
        <w:rPr>
          <w:rFonts w:ascii="Arial" w:hAnsi="Arial" w:cs="Arial"/>
          <w:lang w:val="es-ES"/>
        </w:rPr>
        <w:t>34.1.2 Retirar para su reciclaje o, si procede</w:t>
      </w:r>
      <w:r w:rsidRPr="00993936">
        <w:rPr>
          <w:rFonts w:ascii="Arial" w:hAnsi="Arial" w:cs="Arial"/>
          <w:vanish/>
          <w:lang w:val="es-ES"/>
        </w:rPr>
        <w:t>&lt;A[pega|ocurre]&gt;</w:t>
      </w:r>
      <w:r w:rsidRPr="00993936">
        <w:rPr>
          <w:rFonts w:ascii="Arial" w:hAnsi="Arial" w:cs="Arial"/>
          <w:lang w:val="es-ES"/>
        </w:rPr>
        <w:t>, para hacer un vertido controlado, los plásticos de almohadillados, malla o cualquier otro material utilizado en las estructuras del cultivo, siempre que haya un sistema de gestión de estos residuos.</w:t>
      </w:r>
    </w:p>
    <w:p w:rsidR="00503A41" w:rsidRPr="00993936" w:rsidRDefault="00503A41" w:rsidP="001C0FFB">
      <w:pPr>
        <w:jc w:val="both"/>
        <w:rPr>
          <w:rFonts w:ascii="Arial" w:hAnsi="Arial" w:cs="Arial"/>
          <w:lang w:val="es-ES"/>
        </w:rPr>
      </w:pPr>
      <w:r w:rsidRPr="00993936">
        <w:rPr>
          <w:rFonts w:ascii="Arial" w:hAnsi="Arial" w:cs="Arial"/>
          <w:lang w:val="es-ES"/>
        </w:rPr>
        <w:t>34.1.3 Retirar y almacenar los envases de los productos fitosanitarios y fertilizantes una vez utilizados hasta entregarlos a un gestor autorizado, de acuerdo con el Decreto 1416/2001, de 14 de diciembre, sobre envases de productos fitosanitarios.</w:t>
      </w:r>
    </w:p>
    <w:p w:rsidR="00503A41" w:rsidRPr="00993936" w:rsidRDefault="00503A41" w:rsidP="001C0FFB">
      <w:pPr>
        <w:jc w:val="both"/>
        <w:rPr>
          <w:rFonts w:ascii="Arial" w:hAnsi="Arial" w:cs="Arial"/>
          <w:lang w:val="es-ES"/>
        </w:rPr>
      </w:pPr>
      <w:r w:rsidRPr="00993936">
        <w:rPr>
          <w:rFonts w:ascii="Arial" w:hAnsi="Arial" w:cs="Arial"/>
          <w:lang w:val="es-ES"/>
        </w:rPr>
        <w:t>34.1.4 Gestionar los productos fitosanitarios de rechazo mediante un gestor autorizado de residuos de productos químicos o a través de una compañía proveedora o cualquier otro método seguro para el medio.</w:t>
      </w:r>
    </w:p>
    <w:p w:rsidR="00503A41" w:rsidRPr="00993936" w:rsidRDefault="00503A41" w:rsidP="001C0FFB">
      <w:pPr>
        <w:jc w:val="both"/>
        <w:rPr>
          <w:rFonts w:ascii="Arial" w:hAnsi="Arial" w:cs="Arial"/>
          <w:lang w:val="es-ES"/>
        </w:rPr>
      </w:pPr>
      <w:r w:rsidRPr="00993936">
        <w:rPr>
          <w:rFonts w:ascii="Arial" w:hAnsi="Arial" w:cs="Arial"/>
          <w:lang w:val="es-ES"/>
        </w:rPr>
        <w:t>34.1.5 Establecer sistemas de recogida de aceites usados o de todo tipo de sustancias tóxicas y peligrosas que haya en la explotación dándolos los destino previsto en la legislación vigente.</w:t>
      </w:r>
    </w:p>
    <w:p w:rsidR="00503A41" w:rsidRPr="00993936" w:rsidRDefault="00503A41" w:rsidP="001C0FFB">
      <w:pPr>
        <w:jc w:val="both"/>
        <w:rPr>
          <w:rFonts w:ascii="Arial" w:hAnsi="Arial" w:cs="Arial"/>
          <w:b/>
          <w:lang w:val="es-ES"/>
        </w:rPr>
      </w:pPr>
      <w:r w:rsidRPr="00993936">
        <w:rPr>
          <w:rFonts w:ascii="Arial" w:hAnsi="Arial" w:cs="Arial"/>
          <w:lang w:val="es-ES"/>
        </w:rPr>
        <w:t xml:space="preserve">34.2 </w:t>
      </w:r>
      <w:r w:rsidRPr="00993936">
        <w:rPr>
          <w:rFonts w:ascii="Arial" w:hAnsi="Arial" w:cs="Arial"/>
          <w:i/>
          <w:lang w:val="es-ES"/>
        </w:rPr>
        <w:t>Prohibiciones</w:t>
      </w:r>
    </w:p>
    <w:p w:rsidR="00503A41" w:rsidRPr="00993936" w:rsidRDefault="00503A41" w:rsidP="001C0FFB">
      <w:pPr>
        <w:jc w:val="both"/>
        <w:rPr>
          <w:rFonts w:ascii="Arial" w:hAnsi="Arial" w:cs="Arial"/>
          <w:lang w:val="es-ES"/>
        </w:rPr>
      </w:pPr>
      <w:r w:rsidRPr="00993936">
        <w:rPr>
          <w:rFonts w:ascii="Arial" w:hAnsi="Arial" w:cs="Arial"/>
          <w:lang w:val="es-ES"/>
        </w:rPr>
        <w:t xml:space="preserve">34.2.1 Abandonar restos de plástico, envases y otros residuos en el interior o en los márgenes de la parcela y/o UHC. </w:t>
      </w:r>
    </w:p>
    <w:p w:rsidR="00503A41" w:rsidRPr="00993936" w:rsidRDefault="00503A41" w:rsidP="001C0FFB">
      <w:pPr>
        <w:jc w:val="both"/>
        <w:rPr>
          <w:rFonts w:ascii="Arial" w:hAnsi="Arial" w:cs="Arial"/>
          <w:lang w:val="es-ES"/>
        </w:rPr>
      </w:pPr>
      <w:r w:rsidRPr="00993936">
        <w:rPr>
          <w:rFonts w:ascii="Arial" w:hAnsi="Arial" w:cs="Arial"/>
          <w:lang w:val="es-ES"/>
        </w:rPr>
        <w:t>34.2.2 Utilizar plásticos o mallas de las estructuras de cultivo, una vez retirados, para otros usos que supongan un riesgo para el cultivo, las personas o la fauna.</w:t>
      </w:r>
    </w:p>
    <w:p w:rsidR="00503A41" w:rsidRPr="00993936" w:rsidRDefault="00503A41" w:rsidP="001C0FFB">
      <w:pPr>
        <w:jc w:val="both"/>
        <w:rPr>
          <w:rFonts w:ascii="Arial" w:hAnsi="Arial" w:cs="Arial"/>
          <w:lang w:val="es-ES"/>
        </w:rPr>
      </w:pPr>
      <w:r w:rsidRPr="00993936">
        <w:rPr>
          <w:rFonts w:ascii="Arial" w:hAnsi="Arial" w:cs="Arial"/>
          <w:lang w:val="es-ES"/>
        </w:rPr>
        <w:t>34.2.3  Destruir, mediante el fuego u otros procedimientos, triturar o enterrar en la parcela y/o UHC o limítrofes, los envases vacíos de los productos fitosanitarios y fertilizantes, los plásticos o las mallas de las estructuras de cultivo, a excepción de que se haga en lugares</w:t>
      </w:r>
      <w:r w:rsidRPr="00993936">
        <w:rPr>
          <w:rFonts w:ascii="Arial" w:hAnsi="Arial" w:cs="Arial"/>
          <w:vanish/>
          <w:lang w:val="es-ES"/>
        </w:rPr>
        <w:t>&lt;A[lugares|sitios]&gt;</w:t>
      </w:r>
      <w:r w:rsidRPr="00993936">
        <w:rPr>
          <w:rFonts w:ascii="Arial" w:hAnsi="Arial" w:cs="Arial"/>
          <w:lang w:val="es-ES"/>
        </w:rPr>
        <w:t xml:space="preserve"> autorizados por la autoridad competente.</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34.2.4  Depositar en cursos de agua, canales o embalses de agua, o dentro del perímetro de protección de captaciones de agua de consumo humano, los restos de caldo de los equipos de aplicación de productos fitosanitarios y lavarlos en esta zona.</w:t>
      </w:r>
    </w:p>
    <w:p w:rsidR="00503A41" w:rsidRPr="00993936" w:rsidRDefault="00503A41" w:rsidP="001C0FFB">
      <w:pPr>
        <w:jc w:val="both"/>
        <w:rPr>
          <w:rFonts w:ascii="Arial" w:hAnsi="Arial" w:cs="Arial"/>
          <w:lang w:val="es-ES"/>
        </w:rPr>
      </w:pPr>
      <w:r w:rsidRPr="00993936">
        <w:rPr>
          <w:rFonts w:ascii="Arial" w:hAnsi="Arial" w:cs="Arial"/>
          <w:lang w:val="es-ES"/>
        </w:rPr>
        <w:t>34.2.5</w:t>
      </w:r>
      <w:r w:rsidRPr="00993936">
        <w:rPr>
          <w:rFonts w:ascii="Arial" w:hAnsi="Arial" w:cs="Arial"/>
          <w:i/>
          <w:lang w:val="es-ES"/>
        </w:rPr>
        <w:t xml:space="preserve"> Quemar </w:t>
      </w:r>
      <w:r w:rsidRPr="00993936">
        <w:rPr>
          <w:rFonts w:ascii="Arial" w:hAnsi="Arial" w:cs="Arial"/>
          <w:lang w:val="es-ES"/>
        </w:rPr>
        <w:t xml:space="preserve">restos vegetales de manera incontrolada, sin tener en consideración la normativa vigente que sea de aplicación. </w:t>
      </w:r>
    </w:p>
    <w:p w:rsidR="00503A41" w:rsidRPr="00993936" w:rsidRDefault="00503A41" w:rsidP="001C0F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35</w:t>
      </w: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de residuos de productos fitosanitarios en vegetales</w:t>
      </w:r>
    </w:p>
    <w:p w:rsidR="00503A41" w:rsidRPr="00993936" w:rsidRDefault="00503A41" w:rsidP="001C0FFB">
      <w:pPr>
        <w:pStyle w:val="NormalWeb"/>
        <w:spacing w:after="0"/>
        <w:jc w:val="both"/>
        <w:rPr>
          <w:rFonts w:ascii="Arial" w:hAnsi="Arial" w:cs="Arial"/>
          <w:i/>
          <w:sz w:val="22"/>
          <w:szCs w:val="22"/>
          <w:lang w:val="es-ES"/>
        </w:rPr>
      </w:pPr>
      <w:r w:rsidRPr="00993936">
        <w:rPr>
          <w:rFonts w:ascii="Arial" w:hAnsi="Arial" w:cs="Arial"/>
          <w:i/>
          <w:sz w:val="22"/>
          <w:szCs w:val="22"/>
          <w:lang w:val="es-ES"/>
        </w:rPr>
        <w:t>35.1 Obligaciones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35.1.1 La persona operadora tiene que disponer de un programa de autocontrol individual o colectivo para verificar la ausencia de residuos de productos fitosanitarios, por medio de la toma de muestras correspondiente, garantizando que han sido utilizadas exclusivamente las sustancias activas autorizadas y comprobar que se cumple la normativa de aplicación y, si procede, la del estado de destinación</w:t>
      </w:r>
      <w:r w:rsidRPr="00993936">
        <w:rPr>
          <w:rFonts w:ascii="Arial" w:hAnsi="Arial" w:cs="Arial"/>
          <w:vanish/>
          <w:sz w:val="22"/>
          <w:szCs w:val="22"/>
          <w:lang w:val="es-ES"/>
        </w:rPr>
        <w:t>&lt;A[destinación|destino]&gt;</w:t>
      </w:r>
      <w:r w:rsidRPr="00993936">
        <w:rPr>
          <w:rFonts w:ascii="Arial" w:hAnsi="Arial" w:cs="Arial"/>
          <w:sz w:val="22"/>
          <w:szCs w:val="22"/>
          <w:lang w:val="es-ES"/>
        </w:rPr>
        <w:t>, en relación con los límites máximos de residuos de productos fitosanitarios. La planificación de la recogida de las muestras tiene que tener en consideración especialmente la época de recolección y/o de manipulación.</w:t>
      </w:r>
    </w:p>
    <w:p w:rsidR="00503A41" w:rsidRPr="00993936" w:rsidRDefault="00503A41" w:rsidP="001C0FFB">
      <w:pPr>
        <w:pStyle w:val="NormalWeb"/>
        <w:spacing w:after="0"/>
        <w:jc w:val="both"/>
        <w:rPr>
          <w:rFonts w:ascii="Arial" w:hAnsi="Arial" w:cs="Arial"/>
          <w:sz w:val="22"/>
          <w:szCs w:val="22"/>
          <w:lang w:val="es-ES"/>
        </w:rPr>
      </w:pP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 xml:space="preserve">VI. PROTECCIÓN MEDIOAMBIENTAL </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36</w:t>
      </w:r>
    </w:p>
    <w:p w:rsidR="00503A41" w:rsidRPr="00993936" w:rsidRDefault="00503A41" w:rsidP="001C0FFB">
      <w:pPr>
        <w:jc w:val="both"/>
        <w:rPr>
          <w:rFonts w:ascii="Arial" w:hAnsi="Arial" w:cs="Arial"/>
          <w:b/>
          <w:lang w:val="es-ES"/>
        </w:rPr>
      </w:pPr>
      <w:r w:rsidRPr="00993936">
        <w:rPr>
          <w:rFonts w:ascii="Arial" w:hAnsi="Arial" w:cs="Arial"/>
          <w:b/>
          <w:lang w:val="es-ES"/>
        </w:rPr>
        <w:t>Protección medioambiental</w:t>
      </w:r>
    </w:p>
    <w:p w:rsidR="00503A41" w:rsidRPr="00993936" w:rsidRDefault="00503A41" w:rsidP="001C0FFB">
      <w:pPr>
        <w:jc w:val="both"/>
        <w:rPr>
          <w:rFonts w:ascii="Arial" w:hAnsi="Arial" w:cs="Arial"/>
          <w:lang w:val="es-ES"/>
        </w:rPr>
      </w:pPr>
      <w:r w:rsidRPr="00993936">
        <w:rPr>
          <w:rFonts w:ascii="Arial" w:hAnsi="Arial" w:cs="Arial"/>
          <w:i/>
          <w:lang w:val="es-ES"/>
        </w:rPr>
        <w:t>36.1 Obligaciones</w:t>
      </w:r>
    </w:p>
    <w:p w:rsidR="00503A41" w:rsidRPr="00993936" w:rsidRDefault="00503A41" w:rsidP="001C0FFB">
      <w:pPr>
        <w:pStyle w:val="Textoindependiente"/>
        <w:rPr>
          <w:rFonts w:cs="Arial"/>
          <w:szCs w:val="22"/>
          <w:lang w:val="es-ES"/>
        </w:rPr>
      </w:pPr>
      <w:r w:rsidRPr="00993936">
        <w:rPr>
          <w:rFonts w:cs="Arial"/>
          <w:szCs w:val="22"/>
          <w:lang w:val="es-ES"/>
        </w:rPr>
        <w:t>36.1.1 La empresa tiene que cumplir con la política de conservación del entorno natural según la legislación medioambiental vigente.</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36.1.2  Disponer de medidas de prevención de derrames accidental de aceites, hidrocarburos u otros productos químicos peligrosos para el medio ambiente.</w:t>
      </w:r>
    </w:p>
    <w:p w:rsidR="00503A41" w:rsidRPr="00993936" w:rsidRDefault="00503A41" w:rsidP="001C0FFB">
      <w:pPr>
        <w:jc w:val="both"/>
        <w:rPr>
          <w:rFonts w:ascii="Arial" w:hAnsi="Arial" w:cs="Arial"/>
          <w:lang w:val="es-ES"/>
        </w:rPr>
      </w:pPr>
      <w:r w:rsidRPr="00993936">
        <w:rPr>
          <w:rFonts w:ascii="Arial" w:hAnsi="Arial" w:cs="Arial"/>
          <w:lang w:val="es-ES"/>
        </w:rPr>
        <w:t>36.1.3  Implantar, si no están, medidas de ahorro en el consumo de agua y de energía en las instalaciones y en los procesos.</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b/>
          <w:lang w:val="es-ES"/>
        </w:rPr>
      </w:pPr>
      <w:r w:rsidRPr="00993936">
        <w:rPr>
          <w:rFonts w:ascii="Arial" w:hAnsi="Arial" w:cs="Arial"/>
          <w:b/>
          <w:lang w:val="es-ES"/>
        </w:rPr>
        <w:t xml:space="preserve">VII. CONTROL Y CERTIFICACIÓN </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37</w:t>
      </w:r>
    </w:p>
    <w:p w:rsidR="00503A41" w:rsidRPr="00993936" w:rsidRDefault="00503A41" w:rsidP="001C0FFB">
      <w:pPr>
        <w:jc w:val="both"/>
        <w:rPr>
          <w:rFonts w:ascii="Arial" w:hAnsi="Arial" w:cs="Arial"/>
          <w:b/>
          <w:lang w:val="es-ES"/>
        </w:rPr>
      </w:pPr>
      <w:r w:rsidRPr="00993936">
        <w:rPr>
          <w:rFonts w:ascii="Arial" w:hAnsi="Arial" w:cs="Arial"/>
          <w:b/>
          <w:lang w:val="es-ES"/>
        </w:rPr>
        <w:t>Tratamiento de No conformidades</w:t>
      </w:r>
    </w:p>
    <w:p w:rsidR="00503A41" w:rsidRPr="00993936" w:rsidRDefault="00503A41" w:rsidP="001C0FFB">
      <w:pPr>
        <w:jc w:val="both"/>
        <w:rPr>
          <w:rFonts w:ascii="Arial" w:hAnsi="Arial" w:cs="Arial"/>
          <w:b/>
          <w:lang w:val="es-ES"/>
        </w:rPr>
      </w:pPr>
      <w:r w:rsidRPr="00993936">
        <w:rPr>
          <w:rFonts w:ascii="Arial" w:hAnsi="Arial" w:cs="Arial"/>
          <w:i/>
          <w:lang w:val="es-ES"/>
        </w:rPr>
        <w:t>37.1 Obligaciones</w:t>
      </w:r>
    </w:p>
    <w:p w:rsidR="00503A41" w:rsidRPr="00993936" w:rsidRDefault="00503A41" w:rsidP="001C0FFB">
      <w:pPr>
        <w:jc w:val="both"/>
        <w:rPr>
          <w:rFonts w:ascii="Arial" w:hAnsi="Arial" w:cs="Arial"/>
          <w:lang w:val="es-ES"/>
        </w:rPr>
      </w:pPr>
      <w:r w:rsidRPr="00993936">
        <w:rPr>
          <w:rFonts w:ascii="Arial" w:hAnsi="Arial" w:cs="Arial"/>
          <w:lang w:val="es-ES"/>
        </w:rPr>
        <w:t>37.1.1 Cuando durante la realización de los controles internos o externos se detecte el incumplimiento total o parcial de alguna de las prácticas establecidas en esta norma como “obligatorias” o “prohibidas”, se tendrá que dejar registro, como “no conformidad”, de las desviaciones detectadas.</w:t>
      </w:r>
    </w:p>
    <w:p w:rsidR="00503A41" w:rsidRPr="00993936" w:rsidRDefault="00503A41" w:rsidP="001C0FFB">
      <w:pPr>
        <w:jc w:val="both"/>
        <w:rPr>
          <w:rFonts w:ascii="Arial" w:hAnsi="Arial" w:cs="Arial"/>
          <w:lang w:val="es-ES"/>
        </w:rPr>
      </w:pPr>
      <w:r w:rsidRPr="00993936">
        <w:rPr>
          <w:rFonts w:ascii="Arial" w:hAnsi="Arial" w:cs="Arial"/>
          <w:lang w:val="es-ES"/>
        </w:rPr>
        <w:t>37.1.2 Establecer y documentar las acciones correctivas que procedan para dar el tratamiento adecuado a estas no conformidades, de manera que se eliminen los efectos y las causas que las motivaron y se impida una repetición futura.</w:t>
      </w:r>
    </w:p>
    <w:p w:rsidR="00503A41" w:rsidRPr="00993936" w:rsidRDefault="00503A41" w:rsidP="001C0FFB">
      <w:pPr>
        <w:jc w:val="both"/>
        <w:rPr>
          <w:rFonts w:ascii="Arial" w:hAnsi="Arial" w:cs="Arial"/>
          <w:lang w:val="es-ES"/>
        </w:rPr>
      </w:pPr>
      <w:r w:rsidRPr="00993936">
        <w:rPr>
          <w:rFonts w:ascii="Arial" w:hAnsi="Arial" w:cs="Arial"/>
          <w:lang w:val="es-ES"/>
        </w:rPr>
        <w:lastRenderedPageBreak/>
        <w:t>37.1.3 El operador tiene que realizar el seguimiento de la implantación de las acciones correctivas y comprobar que sean efectivas antes de proceder al cierre de las no conformidades detectadas.</w:t>
      </w:r>
    </w:p>
    <w:p w:rsidR="00503A41" w:rsidRPr="00993936" w:rsidRDefault="00503A41" w:rsidP="001C0FFB">
      <w:pPr>
        <w:pStyle w:val="Textoindependiente"/>
        <w:rPr>
          <w:rFonts w:cs="Arial"/>
          <w:szCs w:val="22"/>
          <w:lang w:val="es-ES"/>
        </w:rPr>
      </w:pPr>
      <w:r w:rsidRPr="00993936">
        <w:rPr>
          <w:rFonts w:cs="Arial"/>
          <w:szCs w:val="22"/>
          <w:lang w:val="es-ES"/>
        </w:rPr>
        <w:t>37.1.4 Siempre que se detecten no conformidades sobre las materias primas, productos en proceso y los productos finales obtenidos de los productos vegetales de producción integrada, se tendrán que adoptar las medidas adecuadas de identificación, trazabilidad y segregación de estos, de manera que se manifieste claramente su estado “no conforme” y se prevenga la utilización o comercialización de manera no intencionada como productos de producción integrada.</w:t>
      </w:r>
    </w:p>
    <w:p w:rsidR="00503A41" w:rsidRPr="00993936" w:rsidRDefault="00503A41" w:rsidP="001C0FFB">
      <w:pPr>
        <w:pStyle w:val="NormalWeb"/>
        <w:spacing w:before="120" w:after="0"/>
        <w:jc w:val="both"/>
        <w:rPr>
          <w:rFonts w:ascii="Arial" w:hAnsi="Arial" w:cs="Arial"/>
          <w:sz w:val="22"/>
          <w:szCs w:val="22"/>
          <w:lang w:val="es-ES"/>
        </w:rPr>
      </w:pPr>
    </w:p>
    <w:p w:rsidR="00503A41" w:rsidRPr="00993936" w:rsidRDefault="00503A41" w:rsidP="001C0FFB">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38</w:t>
      </w:r>
    </w:p>
    <w:p w:rsidR="00503A41" w:rsidRPr="00993936" w:rsidRDefault="00503A41" w:rsidP="001C0FFB">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503A41" w:rsidRPr="00993936" w:rsidRDefault="00503A41" w:rsidP="001C0FFB">
      <w:pPr>
        <w:pStyle w:val="NormalWeb"/>
        <w:spacing w:after="0"/>
        <w:jc w:val="both"/>
        <w:rPr>
          <w:rFonts w:ascii="Arial" w:hAnsi="Arial" w:cs="Arial"/>
          <w:i/>
          <w:sz w:val="22"/>
          <w:szCs w:val="22"/>
          <w:lang w:val="es-ES"/>
        </w:rPr>
      </w:pPr>
      <w:r w:rsidRPr="00993936">
        <w:rPr>
          <w:rFonts w:ascii="Arial" w:hAnsi="Arial" w:cs="Arial"/>
          <w:i/>
          <w:sz w:val="22"/>
          <w:szCs w:val="22"/>
          <w:lang w:val="es-ES"/>
        </w:rPr>
        <w:t>38.1 Obligaciones</w:t>
      </w:r>
    </w:p>
    <w:p w:rsidR="00503A41" w:rsidRPr="00993936" w:rsidRDefault="00503A41" w:rsidP="001C0FFB">
      <w:pPr>
        <w:pStyle w:val="NormalWeb"/>
        <w:spacing w:after="0"/>
        <w:jc w:val="both"/>
        <w:rPr>
          <w:rFonts w:ascii="Arial" w:hAnsi="Arial" w:cs="Arial"/>
          <w:sz w:val="22"/>
          <w:szCs w:val="22"/>
          <w:lang w:val="es-ES"/>
        </w:rPr>
      </w:pPr>
      <w:r w:rsidRPr="00993936">
        <w:rPr>
          <w:rFonts w:ascii="Arial" w:hAnsi="Arial" w:cs="Arial"/>
          <w:sz w:val="22"/>
          <w:szCs w:val="22"/>
          <w:lang w:val="es-ES"/>
        </w:rPr>
        <w:t>38.1.1 El control y la certificación del sistema de la producción integrada se regirá por</w:t>
      </w:r>
      <w:r w:rsidRPr="00993936">
        <w:rPr>
          <w:rFonts w:ascii="Arial" w:hAnsi="Arial" w:cs="Arial"/>
          <w:vanish/>
          <w:sz w:val="22"/>
          <w:szCs w:val="22"/>
          <w:lang w:val="es-ES"/>
        </w:rPr>
        <w:t>&lt;A[por|para]&gt;</w:t>
      </w:r>
      <w:r w:rsidRPr="00993936">
        <w:rPr>
          <w:rFonts w:ascii="Arial" w:hAnsi="Arial" w:cs="Arial"/>
          <w:sz w:val="22"/>
          <w:szCs w:val="22"/>
          <w:lang w:val="es-ES"/>
        </w:rPr>
        <w:t xml:space="preserve"> lo que determina la Ley 14/2003, de 13 de junio, de calidad agroalimentaria, el Decreto 285/2006, de 4 de julio, por el cual se desarrolla la Ley 14/2003, el Decreto 24/2002, de 8 de octubre, por</w:t>
      </w:r>
      <w:r w:rsidRPr="00993936">
        <w:rPr>
          <w:rFonts w:ascii="Arial" w:hAnsi="Arial" w:cs="Arial"/>
          <w:vanish/>
          <w:sz w:val="22"/>
          <w:szCs w:val="22"/>
          <w:lang w:val="es-ES"/>
        </w:rPr>
        <w:t>&lt;A[por|para]&gt;</w:t>
      </w:r>
      <w:r w:rsidRPr="00993936">
        <w:rPr>
          <w:rFonts w:ascii="Arial" w:hAnsi="Arial" w:cs="Arial"/>
          <w:sz w:val="22"/>
          <w:szCs w:val="22"/>
          <w:lang w:val="es-ES"/>
        </w:rPr>
        <w:t xml:space="preserve"> el cual se regula la producción integrada en Cataluña y la Orden ARP/208/2003, de 7 de mayo, por</w:t>
      </w:r>
      <w:r w:rsidRPr="00993936">
        <w:rPr>
          <w:rFonts w:ascii="Arial" w:hAnsi="Arial" w:cs="Arial"/>
          <w:vanish/>
          <w:sz w:val="22"/>
          <w:szCs w:val="22"/>
          <w:lang w:val="es-ES"/>
        </w:rPr>
        <w:t>&lt;A[por|para]&gt;</w:t>
      </w:r>
      <w:r w:rsidRPr="00993936">
        <w:rPr>
          <w:rFonts w:ascii="Arial" w:hAnsi="Arial" w:cs="Arial"/>
          <w:sz w:val="22"/>
          <w:szCs w:val="22"/>
          <w:lang w:val="es-ES"/>
        </w:rPr>
        <w:t xml:space="preserve"> la cual se aprueba el Reglamento de régimen interior del Consejo Catalán de la Producción Integrada.</w:t>
      </w:r>
    </w:p>
    <w:p w:rsidR="00503A41" w:rsidRPr="00993936" w:rsidRDefault="00503A41" w:rsidP="001C0FFB">
      <w:pPr>
        <w:pStyle w:val="Encabezado"/>
        <w:tabs>
          <w:tab w:val="clear" w:pos="4252"/>
          <w:tab w:val="clear" w:pos="8504"/>
        </w:tabs>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Artículo 39</w:t>
      </w:r>
    </w:p>
    <w:p w:rsidR="00503A41" w:rsidRPr="00993936" w:rsidRDefault="00503A41" w:rsidP="001C0FFB">
      <w:pPr>
        <w:jc w:val="both"/>
        <w:rPr>
          <w:rFonts w:ascii="Arial" w:hAnsi="Arial" w:cs="Arial"/>
          <w:b/>
          <w:lang w:val="es-ES"/>
        </w:rPr>
      </w:pPr>
      <w:r w:rsidRPr="00993936">
        <w:rPr>
          <w:rFonts w:ascii="Arial" w:hAnsi="Arial" w:cs="Arial"/>
          <w:b/>
          <w:lang w:val="es-ES"/>
        </w:rPr>
        <w:t>Distintivo de garantía de producción integrada</w:t>
      </w:r>
    </w:p>
    <w:p w:rsidR="00503A41" w:rsidRPr="00993936" w:rsidRDefault="00503A41" w:rsidP="001C0FFB">
      <w:pPr>
        <w:jc w:val="both"/>
        <w:rPr>
          <w:rFonts w:ascii="Arial" w:hAnsi="Arial" w:cs="Arial"/>
          <w:lang w:val="es-ES"/>
        </w:rPr>
      </w:pPr>
      <w:r w:rsidRPr="00993936">
        <w:rPr>
          <w:rFonts w:ascii="Arial" w:hAnsi="Arial" w:cs="Arial"/>
          <w:lang w:val="es-ES"/>
        </w:rPr>
        <w:t>39.1</w:t>
      </w:r>
      <w:r w:rsidRPr="00993936">
        <w:rPr>
          <w:rFonts w:ascii="Arial" w:hAnsi="Arial" w:cs="Arial"/>
          <w:i/>
          <w:lang w:val="es-ES"/>
        </w:rPr>
        <w:t xml:space="preserve"> Obligaciones</w:t>
      </w:r>
    </w:p>
    <w:p w:rsidR="00503A41" w:rsidRPr="00993936" w:rsidRDefault="00503A41" w:rsidP="001C0FFB">
      <w:pPr>
        <w:jc w:val="both"/>
        <w:rPr>
          <w:rFonts w:ascii="Arial" w:hAnsi="Arial" w:cs="Arial"/>
          <w:lang w:val="es-ES"/>
        </w:rPr>
      </w:pPr>
      <w:r w:rsidRPr="00993936">
        <w:rPr>
          <w:rFonts w:ascii="Arial" w:hAnsi="Arial" w:cs="Arial"/>
          <w:lang w:val="es-ES"/>
        </w:rPr>
        <w:t>39.1.1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503A41" w:rsidRPr="00993936" w:rsidRDefault="00503A41" w:rsidP="001C0FFB">
      <w:pPr>
        <w:jc w:val="both"/>
        <w:rPr>
          <w:rFonts w:ascii="Arial" w:hAnsi="Arial" w:cs="Arial"/>
          <w:lang w:val="es-ES"/>
        </w:rPr>
      </w:pPr>
      <w:r w:rsidRPr="00993936">
        <w:rPr>
          <w:rFonts w:ascii="Arial" w:hAnsi="Arial" w:cs="Arial"/>
          <w:lang w:val="es-ES"/>
        </w:rPr>
        <w:t>39.1.2 La utilización del distintivo de garantía de producción integrada, en las etiquetas de los envases, frutos y otros lugares</w:t>
      </w:r>
      <w:r w:rsidRPr="00993936">
        <w:rPr>
          <w:rFonts w:ascii="Arial" w:hAnsi="Arial" w:cs="Arial"/>
          <w:vanish/>
          <w:lang w:val="es-ES"/>
        </w:rPr>
        <w:t>&lt;A[lugares|sitios]&gt;</w:t>
      </w:r>
      <w:r w:rsidRPr="00993936">
        <w:rPr>
          <w:rFonts w:ascii="Arial" w:hAnsi="Arial" w:cs="Arial"/>
          <w:lang w:val="es-ES"/>
        </w:rPr>
        <w:t>, se ajustará al sistema establecido por el libro de estilo del Consejo Catalán de la Producción Integrada.</w:t>
      </w:r>
    </w:p>
    <w:p w:rsidR="00503A41" w:rsidRPr="00993936" w:rsidRDefault="00503A41" w:rsidP="001C0FFB">
      <w:pPr>
        <w:jc w:val="both"/>
        <w:rPr>
          <w:rFonts w:ascii="Arial" w:hAnsi="Arial" w:cs="Arial"/>
          <w:lang w:val="es-ES"/>
        </w:rPr>
      </w:pPr>
      <w:r w:rsidRPr="00993936">
        <w:rPr>
          <w:rFonts w:ascii="Arial" w:hAnsi="Arial" w:cs="Arial"/>
          <w:lang w:val="es-ES"/>
        </w:rPr>
        <w:t>39.1.3 La concesión del distintivo de garantía de producción integrada será concedido por</w:t>
      </w:r>
      <w:r w:rsidRPr="00993936">
        <w:rPr>
          <w:rFonts w:ascii="Arial" w:hAnsi="Arial" w:cs="Arial"/>
          <w:vanish/>
          <w:lang w:val="es-ES"/>
        </w:rPr>
        <w:t>&lt;A[para|por]&gt;</w:t>
      </w:r>
      <w:r w:rsidRPr="00993936">
        <w:rPr>
          <w:rFonts w:ascii="Arial" w:hAnsi="Arial" w:cs="Arial"/>
          <w:lang w:val="es-ES"/>
        </w:rPr>
        <w:t xml:space="preserve"> el Consejo.</w:t>
      </w:r>
    </w:p>
    <w:p w:rsidR="00503A41" w:rsidRPr="00993936" w:rsidRDefault="00503A41" w:rsidP="001C0FFB">
      <w:pPr>
        <w:jc w:val="both"/>
        <w:rPr>
          <w:rFonts w:ascii="Arial" w:hAnsi="Arial" w:cs="Arial"/>
          <w:lang w:val="es-ES"/>
        </w:rPr>
      </w:pPr>
      <w:r w:rsidRPr="00993936">
        <w:rPr>
          <w:rFonts w:ascii="Arial" w:hAnsi="Arial" w:cs="Arial"/>
          <w:lang w:val="es-ES"/>
        </w:rPr>
        <w:t xml:space="preserve">39.2 </w:t>
      </w:r>
      <w:r w:rsidRPr="00993936">
        <w:rPr>
          <w:rFonts w:ascii="Arial" w:hAnsi="Arial" w:cs="Arial"/>
          <w:i/>
          <w:lang w:val="es-ES"/>
        </w:rPr>
        <w:t>Prohibiciones</w:t>
      </w:r>
    </w:p>
    <w:p w:rsidR="00503A41" w:rsidRPr="00993936" w:rsidRDefault="00503A41" w:rsidP="001C0FFB">
      <w:pPr>
        <w:pStyle w:val="Encabezado"/>
        <w:tabs>
          <w:tab w:val="clear" w:pos="4252"/>
          <w:tab w:val="clear" w:pos="8504"/>
        </w:tabs>
        <w:rPr>
          <w:rFonts w:ascii="Arial" w:hAnsi="Arial" w:cs="Arial"/>
          <w:lang w:val="es-ES"/>
        </w:rPr>
      </w:pPr>
      <w:r w:rsidRPr="00993936">
        <w:rPr>
          <w:rFonts w:ascii="Arial" w:hAnsi="Arial" w:cs="Arial"/>
          <w:lang w:val="es-ES"/>
        </w:rPr>
        <w:t>39.2.1 Utilización del distintivo de garantía sin disponer de la preceptiva certificación.</w:t>
      </w:r>
    </w:p>
    <w:p w:rsidR="00503A41" w:rsidRPr="00993936" w:rsidRDefault="00503A41" w:rsidP="001C0FFB">
      <w:pPr>
        <w:pStyle w:val="Encabezado"/>
        <w:tabs>
          <w:tab w:val="clear" w:pos="4252"/>
          <w:tab w:val="clear" w:pos="8504"/>
        </w:tabs>
        <w:rPr>
          <w:rFonts w:ascii="Arial" w:hAnsi="Arial" w:cs="Arial"/>
          <w:lang w:val="es-ES"/>
        </w:rPr>
      </w:pPr>
    </w:p>
    <w:p w:rsidR="00503A41" w:rsidRPr="00993936" w:rsidRDefault="00503A41" w:rsidP="001C0FFB">
      <w:pPr>
        <w:jc w:val="both"/>
        <w:rPr>
          <w:rFonts w:ascii="Arial" w:hAnsi="Arial" w:cs="Arial"/>
          <w:lang w:val="es-ES"/>
        </w:rPr>
      </w:pPr>
    </w:p>
    <w:p w:rsidR="00503A41" w:rsidRPr="00993936" w:rsidRDefault="00503A41" w:rsidP="001C0FFB">
      <w:pPr>
        <w:rPr>
          <w:rFonts w:ascii="Arial" w:hAnsi="Arial" w:cs="Arial"/>
          <w:b/>
          <w:lang w:val="es-ES"/>
        </w:rPr>
      </w:pPr>
    </w:p>
    <w:p w:rsidR="00503A41" w:rsidRPr="00993936" w:rsidRDefault="00503A41" w:rsidP="001C0FFB">
      <w:pPr>
        <w:rPr>
          <w:rFonts w:ascii="Arial" w:hAnsi="Arial" w:cs="Arial"/>
          <w:lang w:val="es-ES"/>
        </w:rPr>
      </w:pPr>
      <w:r w:rsidRPr="00993936">
        <w:rPr>
          <w:rFonts w:ascii="Arial" w:hAnsi="Arial" w:cs="Arial"/>
          <w:b/>
          <w:lang w:val="es-ES"/>
        </w:rPr>
        <w:br w:type="page"/>
      </w:r>
      <w:r w:rsidRPr="00993936">
        <w:rPr>
          <w:rFonts w:ascii="Arial" w:hAnsi="Arial" w:cs="Arial"/>
          <w:b/>
          <w:lang w:val="es-ES"/>
        </w:rPr>
        <w:lastRenderedPageBreak/>
        <w:t>ANEXO 1</w:t>
      </w:r>
    </w:p>
    <w:p w:rsidR="00503A41" w:rsidRPr="00993936" w:rsidRDefault="00503A41" w:rsidP="001C0FFB">
      <w:pPr>
        <w:tabs>
          <w:tab w:val="left" w:pos="5580"/>
        </w:tabs>
        <w:rPr>
          <w:rFonts w:ascii="Arial" w:hAnsi="Arial" w:cs="Arial"/>
          <w:lang w:val="es-ES"/>
        </w:rPr>
      </w:pPr>
      <w:r w:rsidRPr="00993936">
        <w:rPr>
          <w:rFonts w:ascii="Arial" w:hAnsi="Arial" w:cs="Arial"/>
          <w:lang w:val="es-ES"/>
        </w:rPr>
        <w:tab/>
      </w:r>
    </w:p>
    <w:p w:rsidR="00503A41" w:rsidRPr="00993936" w:rsidRDefault="00503A41" w:rsidP="001C0FFB">
      <w:pPr>
        <w:pStyle w:val="Ttulo1"/>
        <w:tabs>
          <w:tab w:val="left" w:pos="7605"/>
        </w:tabs>
        <w:rPr>
          <w:rFonts w:ascii="Arial" w:hAnsi="Arial" w:cs="Arial"/>
          <w:color w:val="auto"/>
          <w:sz w:val="22"/>
        </w:rPr>
      </w:pPr>
      <w:r w:rsidRPr="00993936">
        <w:rPr>
          <w:rFonts w:ascii="Arial" w:hAnsi="Arial" w:cs="Arial"/>
          <w:color w:val="auto"/>
          <w:sz w:val="22"/>
          <w:szCs w:val="22"/>
        </w:rPr>
        <w:t xml:space="preserve">1.1 Materias activas de herbicidas para la producción integrada </w:t>
      </w:r>
      <w:r w:rsidRPr="00993936">
        <w:rPr>
          <w:rFonts w:ascii="Arial" w:hAnsi="Arial" w:cs="Arial"/>
          <w:color w:val="auto"/>
          <w:sz w:val="22"/>
        </w:rPr>
        <w:t>de olivas.</w:t>
      </w:r>
      <w:r w:rsidRPr="00993936">
        <w:rPr>
          <w:rFonts w:ascii="Arial" w:hAnsi="Arial" w:cs="Arial"/>
          <w:color w:val="auto"/>
          <w:sz w:val="22"/>
        </w:rPr>
        <w:tab/>
      </w:r>
    </w:p>
    <w:p w:rsidR="00503A41" w:rsidRPr="00993936" w:rsidRDefault="00503A41" w:rsidP="001C0FFB">
      <w:pPr>
        <w:rPr>
          <w:rFonts w:ascii="Arial" w:hAnsi="Arial" w:cs="Arial"/>
          <w:lang w:val="es-ES"/>
        </w:rPr>
      </w:pP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8"/>
        <w:gridCol w:w="4429"/>
      </w:tblGrid>
      <w:tr w:rsidR="00503A41" w:rsidRPr="00993936" w:rsidTr="001C0FFB">
        <w:trPr>
          <w:cantSplit/>
          <w:jc w:val="center"/>
        </w:trPr>
        <w:tc>
          <w:tcPr>
            <w:tcW w:w="2418" w:type="pct"/>
            <w:shd w:val="pct12" w:color="auto" w:fill="FFFFFF"/>
            <w:vAlign w:val="center"/>
          </w:tcPr>
          <w:p w:rsidR="00503A41" w:rsidRPr="00993936" w:rsidRDefault="00503A41" w:rsidP="001C0FFB">
            <w:pPr>
              <w:jc w:val="center"/>
              <w:rPr>
                <w:rFonts w:ascii="Arial" w:hAnsi="Arial" w:cs="Arial"/>
                <w:b/>
                <w:lang w:val="es-ES"/>
              </w:rPr>
            </w:pPr>
            <w:r w:rsidRPr="00993936">
              <w:rPr>
                <w:rFonts w:ascii="Arial" w:hAnsi="Arial" w:cs="Arial"/>
                <w:b/>
                <w:lang w:val="es-ES"/>
              </w:rPr>
              <w:t>TIPO DE HERBICIDAS (*)</w:t>
            </w:r>
          </w:p>
        </w:tc>
        <w:tc>
          <w:tcPr>
            <w:tcW w:w="2582" w:type="pct"/>
            <w:shd w:val="pct20" w:color="auto" w:fill="FFFFFF"/>
          </w:tcPr>
          <w:p w:rsidR="00503A41" w:rsidRPr="00993936" w:rsidRDefault="00503A41" w:rsidP="001C0FFB">
            <w:pPr>
              <w:jc w:val="center"/>
              <w:rPr>
                <w:rFonts w:ascii="Arial" w:hAnsi="Arial" w:cs="Arial"/>
                <w:b/>
                <w:snapToGrid w:val="0"/>
                <w:lang w:val="es-ES"/>
              </w:rPr>
            </w:pPr>
            <w:r w:rsidRPr="00993936">
              <w:rPr>
                <w:rFonts w:ascii="Arial" w:hAnsi="Arial" w:cs="Arial"/>
                <w:b/>
                <w:snapToGrid w:val="0"/>
                <w:lang w:val="es-ES"/>
              </w:rPr>
              <w:t>RESTRICCIONES</w:t>
            </w:r>
          </w:p>
        </w:tc>
      </w:tr>
      <w:tr w:rsidR="00503A41" w:rsidRPr="00993936" w:rsidTr="001C0FFB">
        <w:trPr>
          <w:cantSplit/>
          <w:trHeight w:val="6020"/>
          <w:jc w:val="center"/>
        </w:trPr>
        <w:tc>
          <w:tcPr>
            <w:tcW w:w="2418" w:type="pct"/>
            <w:vAlign w:val="center"/>
          </w:tcPr>
          <w:p w:rsidR="00503A41" w:rsidRPr="00993936" w:rsidRDefault="00503A41" w:rsidP="001C0FFB">
            <w:pPr>
              <w:pStyle w:val="Textoindependiente"/>
              <w:rPr>
                <w:rFonts w:cs="Arial"/>
                <w:lang w:val="es-ES"/>
              </w:rPr>
            </w:pPr>
            <w:r w:rsidRPr="00993936">
              <w:rPr>
                <w:rFonts w:cs="Arial"/>
                <w:lang w:val="es-ES"/>
              </w:rPr>
              <w:t>Carfentrazona-etil</w:t>
            </w:r>
          </w:p>
          <w:p w:rsidR="00503A41" w:rsidRPr="00993936" w:rsidRDefault="00503A41" w:rsidP="001C0FFB">
            <w:pPr>
              <w:pStyle w:val="Textoindependiente"/>
              <w:jc w:val="left"/>
              <w:rPr>
                <w:rFonts w:cs="Arial"/>
                <w:lang w:val="es-ES"/>
              </w:rPr>
            </w:pPr>
            <w:r w:rsidRPr="00993936">
              <w:rPr>
                <w:rFonts w:cs="Arial"/>
                <w:lang w:val="es-ES"/>
              </w:rPr>
              <w:t xml:space="preserve">Diflufenicán </w:t>
            </w:r>
          </w:p>
          <w:p w:rsidR="00503A41" w:rsidRPr="00993936" w:rsidRDefault="00503A41" w:rsidP="001C0FFB">
            <w:pPr>
              <w:pStyle w:val="Textoindependiente"/>
              <w:rPr>
                <w:rFonts w:cs="Arial"/>
                <w:lang w:val="es-ES"/>
              </w:rPr>
            </w:pPr>
            <w:r w:rsidRPr="00993936">
              <w:rPr>
                <w:rFonts w:cs="Arial"/>
                <w:lang w:val="es-ES"/>
              </w:rPr>
              <w:t>Diflufenicán</w:t>
            </w:r>
          </w:p>
          <w:p w:rsidR="00503A41" w:rsidRPr="00993936" w:rsidRDefault="00503A41" w:rsidP="001C0FFB">
            <w:pPr>
              <w:pStyle w:val="Textoindependiente"/>
              <w:rPr>
                <w:rFonts w:cs="Arial"/>
                <w:lang w:val="es-ES"/>
              </w:rPr>
            </w:pPr>
            <w:r w:rsidRPr="00993936">
              <w:rPr>
                <w:rFonts w:cs="Arial"/>
                <w:lang w:val="es-ES"/>
              </w:rPr>
              <w:t>Diflufenicán + Glifosato (1)</w:t>
            </w:r>
          </w:p>
          <w:p w:rsidR="00503A41" w:rsidRPr="00993936" w:rsidRDefault="00503A41" w:rsidP="001C0FFB">
            <w:pPr>
              <w:pStyle w:val="Textoindependiente"/>
              <w:jc w:val="left"/>
              <w:rPr>
                <w:rFonts w:cs="Arial"/>
                <w:lang w:val="es-ES"/>
              </w:rPr>
            </w:pPr>
            <w:r w:rsidRPr="00993936">
              <w:rPr>
                <w:rFonts w:cs="Arial"/>
                <w:szCs w:val="22"/>
                <w:lang w:val="es-ES"/>
              </w:rPr>
              <w:t>Diflufenicán + Isoproturón</w:t>
            </w:r>
            <w:r w:rsidRPr="00993936" w:rsidDel="0034353D">
              <w:rPr>
                <w:rFonts w:cs="Arial"/>
                <w:lang w:val="es-ES"/>
              </w:rPr>
              <w:t xml:space="preserve"> </w:t>
            </w:r>
            <w:r w:rsidRPr="00993936">
              <w:rPr>
                <w:rFonts w:cs="Arial"/>
                <w:szCs w:val="22"/>
                <w:lang w:val="es-ES"/>
              </w:rPr>
              <w:t>(1)</w:t>
            </w:r>
          </w:p>
          <w:p w:rsidR="00503A41" w:rsidRPr="00993936" w:rsidRDefault="00503A41" w:rsidP="001C0FFB">
            <w:pPr>
              <w:pStyle w:val="Textoindependiente"/>
              <w:jc w:val="left"/>
              <w:rPr>
                <w:rFonts w:cs="Arial"/>
                <w:lang w:val="es-ES"/>
              </w:rPr>
            </w:pPr>
            <w:r w:rsidRPr="00993936">
              <w:rPr>
                <w:rFonts w:cs="Arial"/>
                <w:lang w:val="es-ES"/>
              </w:rPr>
              <w:t>Diflufenicán + Oxifluorfén</w:t>
            </w:r>
            <w:r w:rsidRPr="00993936">
              <w:rPr>
                <w:rFonts w:cs="Arial"/>
                <w:szCs w:val="22"/>
                <w:lang w:val="es-ES"/>
              </w:rPr>
              <w:t xml:space="preserve"> (1)</w:t>
            </w:r>
          </w:p>
          <w:p w:rsidR="00503A41" w:rsidRPr="00993936" w:rsidRDefault="00503A41" w:rsidP="001C0FFB">
            <w:pPr>
              <w:pStyle w:val="Textoindependiente"/>
              <w:rPr>
                <w:rFonts w:cs="Arial"/>
                <w:lang w:val="es-ES"/>
              </w:rPr>
            </w:pPr>
            <w:r w:rsidRPr="00993936">
              <w:rPr>
                <w:rFonts w:cs="Arial"/>
                <w:lang w:val="es-ES"/>
              </w:rPr>
              <w:t xml:space="preserve">Flazasulfurón </w:t>
            </w:r>
          </w:p>
          <w:p w:rsidR="00503A41" w:rsidRPr="00993936" w:rsidRDefault="00503A41" w:rsidP="001C0FFB">
            <w:pPr>
              <w:pStyle w:val="Textoindependiente"/>
              <w:rPr>
                <w:rFonts w:cs="Arial"/>
                <w:lang w:val="es-ES"/>
              </w:rPr>
            </w:pPr>
            <w:r w:rsidRPr="00993936">
              <w:rPr>
                <w:rFonts w:cs="Arial"/>
                <w:lang w:val="es-ES"/>
              </w:rPr>
              <w:t xml:space="preserve">Flumioxacina </w:t>
            </w:r>
          </w:p>
          <w:p w:rsidR="00503A41" w:rsidRPr="00993936" w:rsidRDefault="00503A41" w:rsidP="001C0FFB">
            <w:pPr>
              <w:pStyle w:val="Textoindependiente"/>
              <w:rPr>
                <w:rFonts w:cs="Arial"/>
                <w:lang w:val="es-ES"/>
              </w:rPr>
            </w:pPr>
            <w:r w:rsidRPr="00993936">
              <w:rPr>
                <w:rFonts w:cs="Arial"/>
                <w:lang w:val="es-ES"/>
              </w:rPr>
              <w:t xml:space="preserve">Fluroxipir </w:t>
            </w:r>
          </w:p>
          <w:p w:rsidR="00503A41" w:rsidRPr="00993936" w:rsidRDefault="00503A41" w:rsidP="001C0FFB">
            <w:pPr>
              <w:jc w:val="both"/>
              <w:rPr>
                <w:rFonts w:ascii="Arial" w:hAnsi="Arial" w:cs="Arial"/>
                <w:lang w:val="es-ES"/>
              </w:rPr>
            </w:pPr>
            <w:r w:rsidRPr="00993936">
              <w:rPr>
                <w:rFonts w:ascii="Arial" w:hAnsi="Arial" w:cs="Arial"/>
                <w:lang w:val="es-ES"/>
              </w:rPr>
              <w:t xml:space="preserve">Glifosato </w:t>
            </w:r>
          </w:p>
          <w:p w:rsidR="00503A41" w:rsidRPr="00993936" w:rsidRDefault="00503A41" w:rsidP="001C0FFB">
            <w:pPr>
              <w:jc w:val="both"/>
              <w:rPr>
                <w:rFonts w:ascii="Arial" w:hAnsi="Arial" w:cs="Arial"/>
                <w:lang w:val="es-ES"/>
              </w:rPr>
            </w:pPr>
            <w:r w:rsidRPr="00993936">
              <w:rPr>
                <w:rFonts w:ascii="Arial" w:hAnsi="Arial" w:cs="Arial"/>
                <w:lang w:val="es-ES"/>
              </w:rPr>
              <w:t>Glifosato + MCPA (1)</w:t>
            </w:r>
          </w:p>
          <w:p w:rsidR="00503A41" w:rsidRPr="00993936" w:rsidRDefault="00503A41" w:rsidP="001C0FFB">
            <w:pPr>
              <w:jc w:val="both"/>
              <w:rPr>
                <w:rFonts w:ascii="Arial" w:hAnsi="Arial" w:cs="Arial"/>
                <w:lang w:val="es-ES"/>
              </w:rPr>
            </w:pPr>
            <w:r w:rsidRPr="00993936">
              <w:rPr>
                <w:rFonts w:ascii="Arial" w:hAnsi="Arial" w:cs="Arial"/>
                <w:lang w:val="es-ES"/>
              </w:rPr>
              <w:t>Glifosato + Oxifluorfén (1)</w:t>
            </w:r>
          </w:p>
          <w:p w:rsidR="00503A41" w:rsidRPr="00993936" w:rsidRDefault="00503A41" w:rsidP="001C0FFB">
            <w:pPr>
              <w:pStyle w:val="Textoindependiente"/>
              <w:rPr>
                <w:rFonts w:cs="Arial"/>
                <w:lang w:val="es-ES"/>
              </w:rPr>
            </w:pPr>
            <w:r w:rsidRPr="00993936">
              <w:rPr>
                <w:rFonts w:cs="Arial"/>
                <w:lang w:val="es-ES"/>
              </w:rPr>
              <w:t>Glifosato + Piraflufèn-etil</w:t>
            </w:r>
            <w:r w:rsidRPr="00993936">
              <w:rPr>
                <w:rFonts w:cs="Arial"/>
                <w:szCs w:val="22"/>
                <w:lang w:val="es-ES"/>
              </w:rPr>
              <w:t>(1)</w:t>
            </w:r>
          </w:p>
          <w:p w:rsidR="00503A41" w:rsidRPr="00993936" w:rsidRDefault="00503A41" w:rsidP="001C0FFB">
            <w:pPr>
              <w:pStyle w:val="Textoindependiente"/>
              <w:rPr>
                <w:rFonts w:cs="Arial"/>
                <w:lang w:val="es-ES"/>
              </w:rPr>
            </w:pPr>
            <w:r w:rsidRPr="00993936">
              <w:rPr>
                <w:rFonts w:cs="Arial"/>
                <w:lang w:val="es-ES"/>
              </w:rPr>
              <w:t xml:space="preserve">Glufosinato  </w:t>
            </w:r>
          </w:p>
          <w:p w:rsidR="00503A41" w:rsidRPr="00993936" w:rsidRDefault="00503A41" w:rsidP="001C0FFB">
            <w:pPr>
              <w:pStyle w:val="Textoindependiente"/>
              <w:rPr>
                <w:rFonts w:cs="Arial"/>
                <w:lang w:val="es-ES"/>
              </w:rPr>
            </w:pPr>
            <w:r w:rsidRPr="00993936">
              <w:rPr>
                <w:rFonts w:cs="Arial"/>
                <w:lang w:val="es-ES"/>
              </w:rPr>
              <w:t xml:space="preserve">MCPA </w:t>
            </w:r>
          </w:p>
          <w:p w:rsidR="00503A41" w:rsidRPr="00993936" w:rsidRDefault="00503A41" w:rsidP="001C0FFB">
            <w:pPr>
              <w:pStyle w:val="Textoindependiente"/>
              <w:jc w:val="left"/>
              <w:rPr>
                <w:rFonts w:cs="Arial"/>
                <w:i/>
                <w:lang w:val="es-ES"/>
              </w:rPr>
            </w:pPr>
            <w:r w:rsidRPr="00993936">
              <w:rPr>
                <w:rFonts w:cs="Arial"/>
                <w:lang w:val="es-ES"/>
              </w:rPr>
              <w:t>Oxifluorfén</w:t>
            </w:r>
            <w:r w:rsidRPr="00993936">
              <w:rPr>
                <w:rFonts w:cs="Arial"/>
                <w:i/>
                <w:lang w:val="es-ES"/>
              </w:rPr>
              <w:t xml:space="preserve"> (2)</w:t>
            </w:r>
          </w:p>
          <w:p w:rsidR="00503A41" w:rsidRPr="00993936" w:rsidRDefault="00503A41" w:rsidP="001C0FFB">
            <w:pPr>
              <w:pStyle w:val="Textoindependiente"/>
              <w:jc w:val="left"/>
              <w:rPr>
                <w:rFonts w:cs="Arial"/>
                <w:sz w:val="18"/>
                <w:szCs w:val="18"/>
                <w:lang w:val="es-ES"/>
              </w:rPr>
            </w:pPr>
            <w:r w:rsidRPr="00993936">
              <w:rPr>
                <w:rFonts w:cs="Arial"/>
                <w:lang w:val="es-ES"/>
              </w:rPr>
              <w:t>Piraflufen-etil</w:t>
            </w:r>
          </w:p>
          <w:p w:rsidR="00503A41" w:rsidRPr="00993936" w:rsidRDefault="00503A41" w:rsidP="001C0FFB">
            <w:pPr>
              <w:pStyle w:val="Textoindependiente"/>
              <w:rPr>
                <w:rFonts w:cs="Arial"/>
                <w:lang w:val="es-ES"/>
              </w:rPr>
            </w:pPr>
            <w:r w:rsidRPr="00993936">
              <w:rPr>
                <w:rFonts w:cs="Arial"/>
                <w:lang w:val="es-ES"/>
              </w:rPr>
              <w:t>Propaquizafop</w:t>
            </w:r>
          </w:p>
          <w:p w:rsidR="00503A41" w:rsidRPr="00993936" w:rsidRDefault="00503A41" w:rsidP="001C0FFB">
            <w:pPr>
              <w:pStyle w:val="Textoindependiente"/>
              <w:rPr>
                <w:rFonts w:cs="Arial"/>
                <w:lang w:val="es-ES"/>
              </w:rPr>
            </w:pPr>
            <w:r w:rsidRPr="00993936">
              <w:rPr>
                <w:rFonts w:cs="Arial"/>
                <w:lang w:val="es-ES"/>
              </w:rPr>
              <w:t xml:space="preserve">Quizalofop-p-etil  </w:t>
            </w:r>
          </w:p>
          <w:p w:rsidR="00503A41" w:rsidRPr="00993936" w:rsidRDefault="00503A41" w:rsidP="001C0FFB">
            <w:pPr>
              <w:rPr>
                <w:rFonts w:ascii="Arial" w:hAnsi="Arial" w:cs="Arial"/>
                <w:b/>
                <w:snapToGrid w:val="0"/>
                <w:lang w:val="es-ES"/>
              </w:rPr>
            </w:pPr>
          </w:p>
        </w:tc>
        <w:tc>
          <w:tcPr>
            <w:tcW w:w="2582" w:type="pct"/>
          </w:tcPr>
          <w:p w:rsidR="00503A41" w:rsidRPr="00993936" w:rsidRDefault="00503A41" w:rsidP="001C0FFB">
            <w:pPr>
              <w:rPr>
                <w:rFonts w:ascii="Arial" w:hAnsi="Arial" w:cs="Arial"/>
                <w:snapToGrid w:val="0"/>
                <w:sz w:val="20"/>
                <w:lang w:val="es-ES"/>
              </w:rPr>
            </w:pPr>
          </w:p>
          <w:p w:rsidR="00503A41" w:rsidRPr="00993936" w:rsidRDefault="00503A41" w:rsidP="009D1A2D">
            <w:pPr>
              <w:pStyle w:val="Prrafodelista"/>
              <w:widowControl w:val="0"/>
              <w:numPr>
                <w:ilvl w:val="0"/>
                <w:numId w:val="22"/>
              </w:numPr>
              <w:spacing w:after="0" w:line="240" w:lineRule="auto"/>
              <w:jc w:val="both"/>
              <w:rPr>
                <w:rFonts w:ascii="Arial" w:hAnsi="Arial" w:cs="Arial"/>
                <w:snapToGrid w:val="0"/>
                <w:lang w:val="es-ES"/>
              </w:rPr>
            </w:pPr>
            <w:r w:rsidRPr="00993936">
              <w:rPr>
                <w:rFonts w:ascii="Arial" w:hAnsi="Arial" w:cs="Arial"/>
                <w:snapToGrid w:val="0"/>
                <w:lang w:val="es-ES"/>
              </w:rPr>
              <w:t>Controlar las malas hierbas, siempre que sea posible, con medios físicos, mecánicos, biológicos o aquellos que ofrezcan el menor riesgo de emisiones de CO</w:t>
            </w:r>
            <w:r w:rsidRPr="00993936">
              <w:rPr>
                <w:rFonts w:ascii="Arial" w:hAnsi="Arial" w:cs="Arial"/>
                <w:snapToGrid w:val="0"/>
                <w:vertAlign w:val="subscript"/>
                <w:lang w:val="es-ES"/>
              </w:rPr>
              <w:t>2</w:t>
            </w:r>
            <w:r w:rsidRPr="00993936">
              <w:rPr>
                <w:rFonts w:ascii="Arial" w:hAnsi="Arial" w:cs="Arial"/>
                <w:snapToGrid w:val="0"/>
                <w:lang w:val="es-ES"/>
              </w:rPr>
              <w:t>. Cuando los medios señalados anteriormente no permitan un control adecuado de las malas hierbas, se podrá justificar la aplicación de alguno de los herbicidas que figuran en esta Tabla</w:t>
            </w:r>
            <w:r w:rsidRPr="00993936">
              <w:rPr>
                <w:rFonts w:ascii="Arial" w:hAnsi="Arial" w:cs="Arial"/>
                <w:snapToGrid w:val="0"/>
                <w:vanish/>
                <w:lang w:val="es-ES"/>
              </w:rPr>
              <w:t>&lt;A[mesa|tabla]&gt;</w:t>
            </w:r>
            <w:r w:rsidRPr="00993936">
              <w:rPr>
                <w:rFonts w:ascii="Arial" w:hAnsi="Arial" w:cs="Arial"/>
                <w:snapToGrid w:val="0"/>
                <w:lang w:val="es-ES"/>
              </w:rPr>
              <w:t>.</w:t>
            </w:r>
          </w:p>
          <w:p w:rsidR="00503A41" w:rsidRPr="00993936" w:rsidRDefault="00503A41" w:rsidP="001C0FFB">
            <w:pPr>
              <w:pStyle w:val="Prrafodelista"/>
              <w:widowControl w:val="0"/>
              <w:jc w:val="both"/>
              <w:rPr>
                <w:rFonts w:ascii="Arial" w:hAnsi="Arial" w:cs="Arial"/>
                <w:snapToGrid w:val="0"/>
                <w:lang w:val="es-ES"/>
              </w:rPr>
            </w:pPr>
          </w:p>
          <w:p w:rsidR="00503A41" w:rsidRPr="00993936" w:rsidRDefault="00503A41" w:rsidP="009D1A2D">
            <w:pPr>
              <w:pStyle w:val="Prrafodelista"/>
              <w:widowControl w:val="0"/>
              <w:numPr>
                <w:ilvl w:val="0"/>
                <w:numId w:val="23"/>
              </w:numPr>
              <w:spacing w:after="0" w:line="240" w:lineRule="auto"/>
              <w:jc w:val="both"/>
              <w:rPr>
                <w:rFonts w:ascii="Arial" w:hAnsi="Arial" w:cs="Arial"/>
                <w:snapToGrid w:val="0"/>
                <w:lang w:val="es-ES"/>
              </w:rPr>
            </w:pPr>
            <w:r w:rsidRPr="00993936">
              <w:rPr>
                <w:rFonts w:ascii="Arial" w:hAnsi="Arial" w:cs="Arial"/>
                <w:snapToGrid w:val="0"/>
                <w:lang w:val="es-ES"/>
              </w:rPr>
              <w:t>Las materias activas a utilizar serán seleccionadas de acuerdo con los criterios de menor peligrosidad para los humanos, la fauna silvestre y el medio ambiente, y que proporcionen un control efectivo de la mala hierba.</w:t>
            </w:r>
          </w:p>
          <w:p w:rsidR="00503A41" w:rsidRPr="00993936" w:rsidRDefault="00503A41" w:rsidP="001C0FFB">
            <w:pPr>
              <w:widowControl w:val="0"/>
              <w:rPr>
                <w:rFonts w:ascii="Arial" w:hAnsi="Arial" w:cs="Arial"/>
                <w:snapToGrid w:val="0"/>
                <w:lang w:val="es-ES"/>
              </w:rPr>
            </w:pPr>
          </w:p>
          <w:p w:rsidR="00503A41" w:rsidRPr="00993936" w:rsidRDefault="00503A41" w:rsidP="001C0FFB">
            <w:pPr>
              <w:widowControl w:val="0"/>
              <w:rPr>
                <w:rFonts w:ascii="Arial" w:hAnsi="Arial" w:cs="Arial"/>
                <w:snapToGrid w:val="0"/>
                <w:lang w:val="es-ES"/>
              </w:rPr>
            </w:pPr>
          </w:p>
          <w:p w:rsidR="00503A41" w:rsidRPr="00993936" w:rsidRDefault="00503A41" w:rsidP="001C0FFB">
            <w:pPr>
              <w:widowControl w:val="0"/>
              <w:ind w:left="284"/>
              <w:rPr>
                <w:rFonts w:ascii="Arial" w:hAnsi="Arial" w:cs="Arial"/>
                <w:snapToGrid w:val="0"/>
                <w:lang w:val="es-ES"/>
              </w:rPr>
            </w:pPr>
          </w:p>
          <w:p w:rsidR="00503A41" w:rsidRPr="00993936" w:rsidRDefault="00503A41" w:rsidP="009D1A2D">
            <w:pPr>
              <w:widowControl w:val="0"/>
              <w:numPr>
                <w:ilvl w:val="0"/>
                <w:numId w:val="106"/>
              </w:numPr>
              <w:spacing w:after="0" w:line="240" w:lineRule="auto"/>
              <w:rPr>
                <w:rFonts w:ascii="Arial" w:hAnsi="Arial" w:cs="Arial"/>
                <w:snapToGrid w:val="0"/>
                <w:lang w:val="es-ES"/>
              </w:rPr>
            </w:pPr>
            <w:r w:rsidRPr="00993936">
              <w:rPr>
                <w:rFonts w:ascii="Arial" w:hAnsi="Arial" w:cs="Arial"/>
                <w:snapToGrid w:val="0"/>
                <w:lang w:val="es-ES"/>
              </w:rPr>
              <w:t>Sólo formulaciones comerciales registradas.</w:t>
            </w:r>
          </w:p>
          <w:p w:rsidR="00503A41" w:rsidRPr="00993936" w:rsidRDefault="00503A41" w:rsidP="009D1A2D">
            <w:pPr>
              <w:widowControl w:val="0"/>
              <w:numPr>
                <w:ilvl w:val="0"/>
                <w:numId w:val="106"/>
              </w:numPr>
              <w:spacing w:after="0" w:line="240" w:lineRule="auto"/>
              <w:rPr>
                <w:rFonts w:ascii="Arial" w:hAnsi="Arial" w:cs="Arial"/>
                <w:snapToGrid w:val="0"/>
                <w:lang w:val="es-ES"/>
              </w:rPr>
            </w:pPr>
            <w:r w:rsidRPr="00993936">
              <w:rPr>
                <w:rFonts w:ascii="Arial" w:hAnsi="Arial" w:cs="Arial"/>
                <w:snapToGrid w:val="0"/>
                <w:lang w:val="es-ES"/>
              </w:rPr>
              <w:t>Desde otoño a inicio de primavera</w:t>
            </w:r>
          </w:p>
          <w:p w:rsidR="00503A41" w:rsidRPr="00993936" w:rsidRDefault="00503A41" w:rsidP="001C0FFB">
            <w:pPr>
              <w:widowControl w:val="0"/>
              <w:rPr>
                <w:rFonts w:ascii="Arial" w:hAnsi="Arial" w:cs="Arial"/>
                <w:snapToGrid w:val="0"/>
                <w:lang w:val="es-ES"/>
              </w:rPr>
            </w:pPr>
          </w:p>
          <w:p w:rsidR="00503A41" w:rsidRPr="00993936" w:rsidRDefault="00503A41" w:rsidP="001C0FFB">
            <w:pPr>
              <w:widowControl w:val="0"/>
              <w:outlineLvl w:val="0"/>
              <w:rPr>
                <w:rFonts w:ascii="Arial" w:hAnsi="Arial" w:cs="Arial"/>
                <w:b/>
                <w:snapToGrid w:val="0"/>
                <w:sz w:val="20"/>
                <w:lang w:val="es-ES"/>
              </w:rPr>
            </w:pPr>
          </w:p>
        </w:tc>
      </w:tr>
    </w:tbl>
    <w:p w:rsidR="00503A41" w:rsidRPr="00993936" w:rsidRDefault="00503A41" w:rsidP="001C0FFB">
      <w:pPr>
        <w:rPr>
          <w:rFonts w:ascii="Arial" w:hAnsi="Arial" w:cs="Arial"/>
          <w:lang w:val="es-ES"/>
        </w:rPr>
      </w:pPr>
    </w:p>
    <w:p w:rsidR="00503A41" w:rsidRPr="00993936" w:rsidRDefault="00503A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eastAsia="es-ES"/>
        </w:rPr>
      </w:pPr>
    </w:p>
    <w:p w:rsidR="00503A41" w:rsidRPr="00993936" w:rsidRDefault="00503A41">
      <w:pPr>
        <w:rPr>
          <w:rFonts w:ascii="Arial" w:hAnsi="Arial" w:cs="Arial"/>
          <w:lang w:val="es-ES"/>
        </w:rPr>
      </w:pPr>
    </w:p>
    <w:p w:rsidR="00503A41" w:rsidRPr="00993936" w:rsidRDefault="00503A41" w:rsidP="001C0FFB">
      <w:pPr>
        <w:pStyle w:val="Ttulo1"/>
        <w:tabs>
          <w:tab w:val="left" w:pos="7605"/>
        </w:tabs>
        <w:rPr>
          <w:rFonts w:ascii="Arial" w:hAnsi="Arial" w:cs="Arial"/>
          <w:color w:val="auto"/>
          <w:szCs w:val="22"/>
        </w:rPr>
      </w:pPr>
    </w:p>
    <w:p w:rsidR="00503A41" w:rsidRPr="00993936" w:rsidRDefault="00503A41" w:rsidP="00340B1F">
      <w:pPr>
        <w:pStyle w:val="Ttulo1"/>
        <w:tabs>
          <w:tab w:val="left" w:pos="7605"/>
        </w:tabs>
        <w:jc w:val="both"/>
        <w:rPr>
          <w:rFonts w:ascii="Arial" w:hAnsi="Arial" w:cs="Arial"/>
          <w:b/>
          <w:color w:val="auto"/>
          <w:sz w:val="22"/>
          <w:szCs w:val="22"/>
        </w:rPr>
      </w:pPr>
      <w:r w:rsidRPr="00993936">
        <w:rPr>
          <w:rFonts w:ascii="Arial" w:hAnsi="Arial" w:cs="Arial"/>
          <w:color w:val="auto"/>
          <w:szCs w:val="22"/>
        </w:rPr>
        <w:br w:type="page"/>
      </w:r>
      <w:r w:rsidRPr="00993936">
        <w:rPr>
          <w:rFonts w:ascii="Arial" w:hAnsi="Arial" w:cs="Arial"/>
          <w:b/>
          <w:color w:val="auto"/>
          <w:sz w:val="22"/>
          <w:szCs w:val="22"/>
        </w:rPr>
        <w:lastRenderedPageBreak/>
        <w:t>1.2 Materias activas de herbicidas para la producción integrada de olivas con indicación del código de resistencia HRAC.</w:t>
      </w:r>
    </w:p>
    <w:p w:rsidR="00503A41" w:rsidRPr="00993936" w:rsidRDefault="00503A41">
      <w:pPr>
        <w:rPr>
          <w:rFonts w:ascii="Arial" w:hAnsi="Arial" w:cs="Arial"/>
          <w:lang w:val="es-ES"/>
        </w:rPr>
      </w:pPr>
    </w:p>
    <w:p w:rsidR="00503A41" w:rsidRPr="00993936" w:rsidRDefault="00503A41" w:rsidP="001C0FFB">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1C0FFB">
        <w:trPr>
          <w:trHeight w:val="393"/>
        </w:trPr>
        <w:tc>
          <w:tcPr>
            <w:tcW w:w="5000" w:type="pct"/>
            <w:gridSpan w:val="2"/>
            <w:shd w:val="solid" w:color="C0C0C0" w:fill="auto"/>
            <w:vAlign w:val="center"/>
          </w:tcPr>
          <w:p w:rsidR="00503A41" w:rsidRPr="00993936" w:rsidRDefault="00503A41" w:rsidP="001C0FFB">
            <w:pPr>
              <w:autoSpaceDE w:val="0"/>
              <w:autoSpaceDN w:val="0"/>
              <w:adjustRightInd w:val="0"/>
              <w:jc w:val="center"/>
              <w:rPr>
                <w:rFonts w:ascii="Arial" w:hAnsi="Arial" w:cs="Arial"/>
                <w:b/>
                <w:bCs/>
                <w:sz w:val="20"/>
                <w:lang w:val="es-ES"/>
              </w:rPr>
            </w:pPr>
            <w:r w:rsidRPr="00993936">
              <w:rPr>
                <w:rFonts w:ascii="Arial" w:hAnsi="Arial" w:cs="Arial"/>
                <w:b/>
                <w:bCs/>
                <w:sz w:val="20"/>
                <w:lang w:val="es-ES"/>
              </w:rPr>
              <w:t>TIPO DE HERBICIDAS</w:t>
            </w:r>
          </w:p>
        </w:tc>
      </w:tr>
      <w:tr w:rsidR="00503A41" w:rsidRPr="00993936" w:rsidTr="001C0FFB">
        <w:trPr>
          <w:trHeight w:val="270"/>
        </w:trPr>
        <w:tc>
          <w:tcPr>
            <w:tcW w:w="2500" w:type="pct"/>
            <w:vMerge w:val="restart"/>
            <w:shd w:val="solid" w:color="C0C0C0" w:fill="auto"/>
            <w:vAlign w:val="center"/>
          </w:tcPr>
          <w:p w:rsidR="00503A41" w:rsidRPr="00993936" w:rsidRDefault="00503A41" w:rsidP="001C0FFB">
            <w:pPr>
              <w:autoSpaceDE w:val="0"/>
              <w:autoSpaceDN w:val="0"/>
              <w:adjustRightInd w:val="0"/>
              <w:rPr>
                <w:rFonts w:ascii="Arial" w:hAnsi="Arial" w:cs="Arial"/>
                <w:b/>
                <w:bCs/>
                <w:sz w:val="20"/>
                <w:lang w:val="es-ES"/>
              </w:rPr>
            </w:pPr>
            <w:r w:rsidRPr="00993936">
              <w:rPr>
                <w:rFonts w:ascii="Arial" w:hAnsi="Arial" w:cs="Arial"/>
                <w:b/>
                <w:bCs/>
                <w:sz w:val="20"/>
                <w:lang w:val="es-ES"/>
              </w:rPr>
              <w:t xml:space="preserve">Materia activa </w:t>
            </w:r>
          </w:p>
        </w:tc>
        <w:tc>
          <w:tcPr>
            <w:tcW w:w="2500" w:type="pct"/>
            <w:shd w:val="solid" w:color="C0C0C0" w:fill="auto"/>
          </w:tcPr>
          <w:p w:rsidR="00503A41" w:rsidRPr="00993936" w:rsidRDefault="00503A41" w:rsidP="001C0FFB">
            <w:pPr>
              <w:autoSpaceDE w:val="0"/>
              <w:autoSpaceDN w:val="0"/>
              <w:adjustRightInd w:val="0"/>
              <w:jc w:val="center"/>
              <w:rPr>
                <w:rFonts w:ascii="Arial" w:hAnsi="Arial" w:cs="Arial"/>
                <w:b/>
                <w:bCs/>
                <w:sz w:val="20"/>
                <w:lang w:val="es-ES"/>
              </w:rPr>
            </w:pPr>
            <w:r w:rsidRPr="00993936">
              <w:rPr>
                <w:rFonts w:ascii="Arial" w:hAnsi="Arial" w:cs="Arial"/>
                <w:b/>
                <w:bCs/>
                <w:sz w:val="20"/>
                <w:lang w:val="es-ES"/>
              </w:rPr>
              <w:t>Indicación del código de resistencia</w:t>
            </w:r>
          </w:p>
        </w:tc>
      </w:tr>
      <w:tr w:rsidR="00503A41" w:rsidRPr="00993936" w:rsidTr="001C0FFB">
        <w:trPr>
          <w:trHeight w:val="270"/>
        </w:trPr>
        <w:tc>
          <w:tcPr>
            <w:tcW w:w="2500" w:type="pct"/>
            <w:vMerge/>
            <w:shd w:val="solid" w:color="C0C0C0" w:fill="auto"/>
          </w:tcPr>
          <w:p w:rsidR="00503A41" w:rsidRPr="00993936" w:rsidRDefault="00503A41" w:rsidP="001C0FFB">
            <w:pPr>
              <w:autoSpaceDE w:val="0"/>
              <w:autoSpaceDN w:val="0"/>
              <w:adjustRightInd w:val="0"/>
              <w:jc w:val="center"/>
              <w:rPr>
                <w:rFonts w:ascii="Arial" w:hAnsi="Arial" w:cs="Arial"/>
                <w:b/>
                <w:bCs/>
                <w:sz w:val="20"/>
                <w:lang w:val="es-ES"/>
              </w:rPr>
            </w:pPr>
          </w:p>
        </w:tc>
        <w:tc>
          <w:tcPr>
            <w:tcW w:w="2500" w:type="pct"/>
            <w:shd w:val="solid" w:color="C0C0C0" w:fill="auto"/>
          </w:tcPr>
          <w:p w:rsidR="00503A41" w:rsidRPr="00993936" w:rsidRDefault="00503A41" w:rsidP="001C0FFB">
            <w:pPr>
              <w:autoSpaceDE w:val="0"/>
              <w:autoSpaceDN w:val="0"/>
              <w:adjustRightInd w:val="0"/>
              <w:jc w:val="center"/>
              <w:rPr>
                <w:rFonts w:ascii="Arial" w:hAnsi="Arial" w:cs="Arial"/>
                <w:b/>
                <w:bCs/>
                <w:sz w:val="20"/>
                <w:lang w:val="es-ES"/>
              </w:rPr>
            </w:pPr>
            <w:r w:rsidRPr="00993936">
              <w:rPr>
                <w:rFonts w:ascii="Arial" w:hAnsi="Arial" w:cs="Arial"/>
                <w:b/>
                <w:bCs/>
                <w:sz w:val="20"/>
                <w:lang w:val="es-ES"/>
              </w:rPr>
              <w:t>HRAC (*)</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Carfentrazona-etil</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E</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Diflufenicán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F1</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Diflufenicán + Glifosato</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F1+G</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Diflufenicán + Isoproturón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F1+C2</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Diflufenicán + Oxifluorfén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F1+E</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Flazasulfurón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B</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Flumioxacina</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E</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 xml:space="preserve">Fluroxipir </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O</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Glifosato</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G</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Glifosato + MCPA</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G+O</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Glifosato + Oxifluorfén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G+E</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Glifosato + Piraflufen-etil</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G+E</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Glufosinato</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H</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MCPA</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O</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Oxifluorfén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E</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Propaquizafop</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Piraflufen-etil</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E</w:t>
            </w:r>
          </w:p>
        </w:tc>
      </w:tr>
      <w:tr w:rsidR="00503A41" w:rsidRPr="00993936" w:rsidTr="001C0FFB">
        <w:trPr>
          <w:trHeight w:val="270"/>
        </w:trPr>
        <w:tc>
          <w:tcPr>
            <w:tcW w:w="2500" w:type="pct"/>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Quizalofop-p-etil</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sz w:val="20"/>
                <w:lang w:val="es-ES"/>
              </w:rPr>
            </w:pPr>
            <w:r w:rsidRPr="00993936">
              <w:rPr>
                <w:rFonts w:ascii="Arial" w:hAnsi="Arial" w:cs="Arial"/>
                <w:sz w:val="20"/>
                <w:lang w:val="es-ES"/>
              </w:rPr>
              <w:t>A</w:t>
            </w:r>
          </w:p>
        </w:tc>
      </w:tr>
      <w:tr w:rsidR="00503A41" w:rsidRPr="00993936" w:rsidTr="001C0FFB">
        <w:trPr>
          <w:trHeight w:val="270"/>
        </w:trPr>
        <w:tc>
          <w:tcPr>
            <w:tcW w:w="5000" w:type="pct"/>
            <w:gridSpan w:val="2"/>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Para evitar la aparición de resistencias alternar el uso de materias activas que presenten códigos de resistencia (HRAC) diferentes</w:t>
            </w:r>
          </w:p>
        </w:tc>
      </w:tr>
      <w:tr w:rsidR="00503A41" w:rsidRPr="00993936" w:rsidTr="001C0FFB">
        <w:trPr>
          <w:trHeight w:val="270"/>
        </w:trPr>
        <w:tc>
          <w:tcPr>
            <w:tcW w:w="5000" w:type="pct"/>
            <w:gridSpan w:val="2"/>
            <w:shd w:val="solid" w:color="FFFFFF" w:fill="auto"/>
          </w:tcPr>
          <w:p w:rsidR="00503A41" w:rsidRPr="00993936" w:rsidRDefault="00503A41" w:rsidP="001C0FFB">
            <w:pPr>
              <w:autoSpaceDE w:val="0"/>
              <w:autoSpaceDN w:val="0"/>
              <w:adjustRightInd w:val="0"/>
              <w:rPr>
                <w:rFonts w:ascii="Arial" w:hAnsi="Arial" w:cs="Arial"/>
                <w:sz w:val="20"/>
                <w:lang w:val="es-ES"/>
              </w:rPr>
            </w:pPr>
            <w:r w:rsidRPr="00993936">
              <w:rPr>
                <w:rFonts w:ascii="Arial" w:hAnsi="Arial" w:cs="Arial"/>
                <w:sz w:val="20"/>
                <w:lang w:val="es-ES"/>
              </w:rPr>
              <w:t>(*) Fuente: Comité de Acción de Resistencia en Herbicidas</w:t>
            </w:r>
          </w:p>
        </w:tc>
      </w:tr>
    </w:tbl>
    <w:p w:rsidR="00503A41" w:rsidRPr="00993936" w:rsidRDefault="00503A41" w:rsidP="001C0FFB">
      <w:pPr>
        <w:pStyle w:val="Textoindependiente2"/>
        <w:rPr>
          <w:rFonts w:cs="Arial"/>
          <w:lang w:val="es-ES"/>
        </w:rPr>
      </w:pPr>
    </w:p>
    <w:p w:rsidR="00503A41" w:rsidRPr="00993936" w:rsidRDefault="00503A41" w:rsidP="001C0FFB">
      <w:pPr>
        <w:tabs>
          <w:tab w:val="left" w:pos="3750"/>
        </w:tabs>
        <w:rPr>
          <w:rFonts w:ascii="Arial" w:hAnsi="Arial" w:cs="Arial"/>
          <w:lang w:val="es-ES"/>
        </w:rPr>
      </w:pPr>
    </w:p>
    <w:p w:rsidR="00503A41" w:rsidRPr="00993936" w:rsidRDefault="00503A41">
      <w:pPr>
        <w:rPr>
          <w:rFonts w:ascii="Arial" w:hAnsi="Arial" w:cs="Arial"/>
          <w:lang w:val="es-ES"/>
        </w:rPr>
      </w:pPr>
    </w:p>
    <w:p w:rsidR="00503A41" w:rsidRPr="00993936" w:rsidRDefault="00503A41">
      <w:pPr>
        <w:rPr>
          <w:rFonts w:ascii="Arial" w:hAnsi="Arial" w:cs="Arial"/>
          <w:lang w:val="es-ES"/>
        </w:rPr>
        <w:sectPr w:rsidR="00503A41" w:rsidRPr="00993936" w:rsidSect="001C0FFB">
          <w:footerReference w:type="default" r:id="rId33"/>
          <w:pgSz w:w="11906" w:h="16838"/>
          <w:pgMar w:top="1417" w:right="1701" w:bottom="1417" w:left="1701" w:header="708" w:footer="708" w:gutter="0"/>
          <w:cols w:space="708"/>
          <w:docGrid w:linePitch="360"/>
        </w:sectPr>
      </w:pPr>
    </w:p>
    <w:p w:rsidR="00503A41" w:rsidRPr="00993936" w:rsidRDefault="00503A41">
      <w:pPr>
        <w:pStyle w:val="Ttulo8"/>
        <w:rPr>
          <w:rFonts w:ascii="Arial" w:hAnsi="Arial" w:cs="Arial"/>
          <w:color w:val="auto"/>
          <w:sz w:val="22"/>
          <w:lang w:val="es-ES"/>
        </w:rPr>
      </w:pPr>
      <w:r w:rsidRPr="00993936">
        <w:rPr>
          <w:rFonts w:ascii="Arial" w:hAnsi="Arial" w:cs="Arial"/>
          <w:color w:val="auto"/>
          <w:sz w:val="22"/>
          <w:lang w:val="es-ES"/>
        </w:rPr>
        <w:lastRenderedPageBreak/>
        <w:t>ANEXO 2</w:t>
      </w:r>
    </w:p>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p>
    <w:p w:rsidR="00503A41" w:rsidRPr="00993936" w:rsidRDefault="00503A41" w:rsidP="001C0FFB">
      <w:pPr>
        <w:pStyle w:val="Ttulo8"/>
        <w:jc w:val="both"/>
        <w:rPr>
          <w:rFonts w:ascii="Arial" w:hAnsi="Arial" w:cs="Arial"/>
          <w:color w:val="auto"/>
          <w:sz w:val="22"/>
          <w:lang w:val="es-ES"/>
        </w:rPr>
      </w:pPr>
      <w:r w:rsidRPr="00993936">
        <w:rPr>
          <w:rFonts w:ascii="Arial" w:hAnsi="Arial" w:cs="Arial"/>
          <w:color w:val="auto"/>
          <w:sz w:val="22"/>
          <w:lang w:val="es-ES"/>
        </w:rPr>
        <w:t>2.1.  Listado de plagas, unidades de muestreo, criterios de intervención y métodos de control en producción integrada de Olivas</w:t>
      </w:r>
    </w:p>
    <w:p w:rsidR="00503A41" w:rsidRPr="00993936" w:rsidRDefault="00503A41" w:rsidP="001C0FFB">
      <w:pPr>
        <w:rPr>
          <w:rFonts w:ascii="Arial" w:hAnsi="Arial" w:cs="Arial"/>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198"/>
        <w:gridCol w:w="1414"/>
        <w:gridCol w:w="1414"/>
        <w:gridCol w:w="1414"/>
        <w:gridCol w:w="1414"/>
        <w:gridCol w:w="1414"/>
        <w:gridCol w:w="1414"/>
        <w:gridCol w:w="1414"/>
        <w:gridCol w:w="1414"/>
      </w:tblGrid>
      <w:tr w:rsidR="00503A41" w:rsidRPr="00993936" w:rsidTr="001C0FFB">
        <w:trPr>
          <w:cantSplit/>
          <w:tblHeader/>
        </w:trPr>
        <w:tc>
          <w:tcPr>
            <w:tcW w:w="1630" w:type="dxa"/>
            <w:vMerge w:val="restart"/>
            <w:shd w:val="pct12" w:color="auto" w:fill="FFFFFF"/>
            <w:vAlign w:val="center"/>
          </w:tcPr>
          <w:p w:rsidR="00503A41" w:rsidRPr="00993936" w:rsidRDefault="00503A41" w:rsidP="00340B1F">
            <w:pPr>
              <w:pStyle w:val="Sinespaciado"/>
              <w:rPr>
                <w:rFonts w:ascii="Arial" w:hAnsi="Arial" w:cs="Arial"/>
                <w:b/>
                <w:sz w:val="18"/>
                <w:lang w:val="es-ES"/>
              </w:rPr>
            </w:pPr>
            <w:r w:rsidRPr="00993936">
              <w:rPr>
                <w:rFonts w:ascii="Arial" w:hAnsi="Arial" w:cs="Arial"/>
                <w:b/>
                <w:sz w:val="18"/>
                <w:lang w:val="es-ES"/>
              </w:rPr>
              <w:t>Plagas</w:t>
            </w:r>
          </w:p>
        </w:tc>
        <w:tc>
          <w:tcPr>
            <w:tcW w:w="4026" w:type="dxa"/>
            <w:gridSpan w:val="3"/>
            <w:shd w:val="pct12" w:color="auto" w:fill="FFFFFF"/>
            <w:vAlign w:val="center"/>
          </w:tcPr>
          <w:p w:rsidR="00503A41" w:rsidRPr="00993936" w:rsidRDefault="00503A41" w:rsidP="00340B1F">
            <w:pPr>
              <w:pStyle w:val="Sinespaciado"/>
              <w:rPr>
                <w:rFonts w:ascii="Arial" w:hAnsi="Arial" w:cs="Arial"/>
                <w:b/>
                <w:snapToGrid w:val="0"/>
                <w:sz w:val="18"/>
                <w:lang w:val="es-ES"/>
              </w:rPr>
            </w:pPr>
            <w:r w:rsidRPr="00993936">
              <w:rPr>
                <w:rFonts w:ascii="Arial" w:hAnsi="Arial" w:cs="Arial"/>
                <w:b/>
                <w:snapToGrid w:val="0"/>
                <w:sz w:val="18"/>
                <w:lang w:val="es-ES"/>
              </w:rPr>
              <w:t>Estimación</w:t>
            </w:r>
            <w:r w:rsidRPr="00993936">
              <w:rPr>
                <w:rFonts w:ascii="Arial" w:hAnsi="Arial" w:cs="Arial"/>
                <w:b/>
                <w:snapToGrid w:val="0"/>
                <w:vanish/>
                <w:sz w:val="18"/>
                <w:lang w:val="es-ES"/>
              </w:rPr>
              <w:t>&lt;A[Estimación|Estima]&gt;</w:t>
            </w:r>
            <w:r w:rsidRPr="00993936">
              <w:rPr>
                <w:rFonts w:ascii="Arial" w:hAnsi="Arial" w:cs="Arial"/>
                <w:b/>
                <w:snapToGrid w:val="0"/>
                <w:sz w:val="18"/>
                <w:lang w:val="es-ES"/>
              </w:rPr>
              <w:t xml:space="preserve"> visual</w:t>
            </w:r>
          </w:p>
        </w:tc>
        <w:tc>
          <w:tcPr>
            <w:tcW w:w="1414" w:type="dxa"/>
            <w:vMerge w:val="restart"/>
            <w:shd w:val="pct12" w:color="auto" w:fill="FFFFFF"/>
            <w:vAlign w:val="center"/>
          </w:tcPr>
          <w:p w:rsidR="00503A41" w:rsidRPr="00993936" w:rsidRDefault="00503A41" w:rsidP="00340B1F">
            <w:pPr>
              <w:pStyle w:val="Sinespaciado"/>
              <w:rPr>
                <w:rFonts w:ascii="Arial" w:hAnsi="Arial" w:cs="Arial"/>
                <w:b/>
                <w:snapToGrid w:val="0"/>
                <w:sz w:val="18"/>
                <w:lang w:val="es-ES"/>
              </w:rPr>
            </w:pPr>
            <w:r w:rsidRPr="00993936">
              <w:rPr>
                <w:rFonts w:ascii="Arial" w:hAnsi="Arial" w:cs="Arial"/>
                <w:b/>
                <w:snapToGrid w:val="0"/>
                <w:sz w:val="18"/>
                <w:lang w:val="es-ES"/>
              </w:rPr>
              <w:t>Otros métodos</w:t>
            </w:r>
          </w:p>
        </w:tc>
        <w:tc>
          <w:tcPr>
            <w:tcW w:w="2828" w:type="dxa"/>
            <w:gridSpan w:val="2"/>
            <w:vMerge w:val="restart"/>
            <w:shd w:val="pct12" w:color="auto" w:fill="FFFFFF"/>
            <w:vAlign w:val="center"/>
          </w:tcPr>
          <w:p w:rsidR="00503A41" w:rsidRPr="00993936" w:rsidRDefault="00503A41" w:rsidP="00340B1F">
            <w:pPr>
              <w:pStyle w:val="Sinespaciado"/>
              <w:rPr>
                <w:rFonts w:ascii="Arial" w:hAnsi="Arial" w:cs="Arial"/>
                <w:b/>
                <w:snapToGrid w:val="0"/>
                <w:sz w:val="18"/>
                <w:lang w:val="es-ES"/>
              </w:rPr>
            </w:pPr>
            <w:r w:rsidRPr="00993936">
              <w:rPr>
                <w:rFonts w:ascii="Arial" w:hAnsi="Arial" w:cs="Arial"/>
                <w:b/>
                <w:snapToGrid w:val="0"/>
                <w:sz w:val="18"/>
                <w:lang w:val="es-ES"/>
              </w:rPr>
              <w:t>Criterios de intervención</w:t>
            </w:r>
          </w:p>
        </w:tc>
        <w:tc>
          <w:tcPr>
            <w:tcW w:w="4242" w:type="dxa"/>
            <w:gridSpan w:val="3"/>
            <w:vMerge w:val="restart"/>
            <w:shd w:val="pct12" w:color="auto" w:fill="FFFFFF"/>
            <w:vAlign w:val="center"/>
          </w:tcPr>
          <w:p w:rsidR="00503A41" w:rsidRPr="00993936" w:rsidRDefault="00503A41" w:rsidP="00340B1F">
            <w:pPr>
              <w:pStyle w:val="Sinespaciado"/>
              <w:rPr>
                <w:rFonts w:ascii="Arial" w:hAnsi="Arial" w:cs="Arial"/>
                <w:b/>
                <w:sz w:val="18"/>
                <w:lang w:val="es-ES"/>
              </w:rPr>
            </w:pPr>
            <w:r w:rsidRPr="00993936">
              <w:rPr>
                <w:rFonts w:ascii="Arial" w:hAnsi="Arial" w:cs="Arial"/>
                <w:b/>
                <w:sz w:val="18"/>
                <w:lang w:val="es-ES"/>
              </w:rPr>
              <w:t>Métodos de control</w:t>
            </w:r>
          </w:p>
        </w:tc>
      </w:tr>
      <w:tr w:rsidR="00503A41" w:rsidRPr="00993936" w:rsidTr="001C0FFB">
        <w:trPr>
          <w:cantSplit/>
          <w:tblHeader/>
        </w:trPr>
        <w:tc>
          <w:tcPr>
            <w:tcW w:w="1630" w:type="dxa"/>
            <w:vMerge/>
            <w:shd w:val="pct12" w:color="auto" w:fill="FFFFFF"/>
            <w:vAlign w:val="center"/>
          </w:tcPr>
          <w:p w:rsidR="00503A41" w:rsidRPr="00993936" w:rsidRDefault="00503A41" w:rsidP="00340B1F">
            <w:pPr>
              <w:pStyle w:val="Sinespaciado"/>
              <w:rPr>
                <w:rFonts w:ascii="Arial" w:hAnsi="Arial" w:cs="Arial"/>
                <w:sz w:val="18"/>
                <w:lang w:val="es-ES"/>
              </w:rPr>
            </w:pPr>
          </w:p>
        </w:tc>
        <w:tc>
          <w:tcPr>
            <w:tcW w:w="4026" w:type="dxa"/>
            <w:gridSpan w:val="3"/>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napToGrid w:val="0"/>
                <w:sz w:val="18"/>
                <w:lang w:val="es-ES"/>
              </w:rPr>
              <w:t>Unidad muestra secundaria</w:t>
            </w:r>
          </w:p>
        </w:tc>
        <w:tc>
          <w:tcPr>
            <w:tcW w:w="1414" w:type="dxa"/>
            <w:vMerge/>
            <w:shd w:val="pct12" w:color="auto" w:fill="FFFFFF"/>
            <w:vAlign w:val="center"/>
          </w:tcPr>
          <w:p w:rsidR="00503A41" w:rsidRPr="00993936" w:rsidRDefault="00503A41" w:rsidP="00340B1F">
            <w:pPr>
              <w:pStyle w:val="Sinespaciado"/>
              <w:rPr>
                <w:rFonts w:ascii="Arial" w:hAnsi="Arial" w:cs="Arial"/>
                <w:sz w:val="18"/>
                <w:lang w:val="es-ES"/>
              </w:rPr>
            </w:pPr>
          </w:p>
        </w:tc>
        <w:tc>
          <w:tcPr>
            <w:tcW w:w="2828" w:type="dxa"/>
            <w:gridSpan w:val="2"/>
            <w:vMerge/>
            <w:shd w:val="pct12" w:color="auto" w:fill="FFFFFF"/>
            <w:vAlign w:val="center"/>
          </w:tcPr>
          <w:p w:rsidR="00503A41" w:rsidRPr="00993936" w:rsidRDefault="00503A41" w:rsidP="00340B1F">
            <w:pPr>
              <w:pStyle w:val="Sinespaciado"/>
              <w:rPr>
                <w:rFonts w:ascii="Arial" w:hAnsi="Arial" w:cs="Arial"/>
                <w:sz w:val="18"/>
                <w:lang w:val="es-ES"/>
              </w:rPr>
            </w:pPr>
          </w:p>
        </w:tc>
        <w:tc>
          <w:tcPr>
            <w:tcW w:w="4242" w:type="dxa"/>
            <w:gridSpan w:val="3"/>
            <w:vMerge/>
            <w:shd w:val="pct12" w:color="auto" w:fill="FFFFFF"/>
            <w:vAlign w:val="center"/>
          </w:tcPr>
          <w:p w:rsidR="00503A41" w:rsidRPr="00993936" w:rsidRDefault="00503A41" w:rsidP="00340B1F">
            <w:pPr>
              <w:pStyle w:val="Sinespaciado"/>
              <w:rPr>
                <w:rFonts w:ascii="Arial" w:hAnsi="Arial" w:cs="Arial"/>
                <w:sz w:val="18"/>
                <w:lang w:val="es-ES"/>
              </w:rPr>
            </w:pPr>
          </w:p>
        </w:tc>
      </w:tr>
      <w:tr w:rsidR="00503A41" w:rsidRPr="00993936" w:rsidTr="001C0FFB">
        <w:trPr>
          <w:cantSplit/>
          <w:tblHeader/>
        </w:trPr>
        <w:tc>
          <w:tcPr>
            <w:tcW w:w="1630" w:type="dxa"/>
            <w:vMerge/>
            <w:shd w:val="pct12" w:color="auto" w:fill="FFFFFF"/>
            <w:vAlign w:val="center"/>
          </w:tcPr>
          <w:p w:rsidR="00503A41" w:rsidRPr="00993936" w:rsidRDefault="00503A41" w:rsidP="00340B1F">
            <w:pPr>
              <w:pStyle w:val="Sinespaciado"/>
              <w:rPr>
                <w:rFonts w:ascii="Arial" w:hAnsi="Arial" w:cs="Arial"/>
                <w:sz w:val="18"/>
                <w:lang w:val="es-ES"/>
              </w:rPr>
            </w:pPr>
          </w:p>
        </w:tc>
        <w:tc>
          <w:tcPr>
            <w:tcW w:w="1198" w:type="dxa"/>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z w:val="18"/>
                <w:lang w:val="es-ES"/>
              </w:rPr>
              <w:t>Elemento</w:t>
            </w:r>
          </w:p>
        </w:tc>
        <w:tc>
          <w:tcPr>
            <w:tcW w:w="1414" w:type="dxa"/>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napToGrid w:val="0"/>
                <w:sz w:val="18"/>
                <w:lang w:val="es-ES"/>
              </w:rPr>
              <w:t>Nro. por</w:t>
            </w:r>
            <w:r w:rsidRPr="00993936">
              <w:rPr>
                <w:rFonts w:ascii="Arial" w:hAnsi="Arial" w:cs="Arial"/>
                <w:b/>
                <w:snapToGrid w:val="0"/>
                <w:vanish/>
                <w:sz w:val="18"/>
                <w:lang w:val="es-ES"/>
              </w:rPr>
              <w:t>&lt;A[para|por]&gt;</w:t>
            </w:r>
            <w:r w:rsidRPr="00993936">
              <w:rPr>
                <w:rFonts w:ascii="Arial" w:hAnsi="Arial" w:cs="Arial"/>
                <w:b/>
                <w:snapToGrid w:val="0"/>
                <w:sz w:val="18"/>
                <w:lang w:val="es-ES"/>
              </w:rPr>
              <w:t xml:space="preserve"> UC</w:t>
            </w:r>
          </w:p>
        </w:tc>
        <w:tc>
          <w:tcPr>
            <w:tcW w:w="1414" w:type="dxa"/>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napToGrid w:val="0"/>
                <w:sz w:val="18"/>
                <w:lang w:val="es-ES"/>
              </w:rPr>
              <w:t>Variable</w:t>
            </w:r>
          </w:p>
        </w:tc>
        <w:tc>
          <w:tcPr>
            <w:tcW w:w="1414" w:type="dxa"/>
            <w:vMerge/>
            <w:shd w:val="pct12" w:color="auto" w:fill="FFFFFF"/>
            <w:vAlign w:val="center"/>
          </w:tcPr>
          <w:p w:rsidR="00503A41" w:rsidRPr="00993936" w:rsidRDefault="00503A41" w:rsidP="00340B1F">
            <w:pPr>
              <w:pStyle w:val="Sinespaciado"/>
              <w:rPr>
                <w:rFonts w:ascii="Arial" w:hAnsi="Arial" w:cs="Arial"/>
                <w:sz w:val="18"/>
                <w:lang w:val="es-ES"/>
              </w:rPr>
            </w:pPr>
          </w:p>
        </w:tc>
        <w:tc>
          <w:tcPr>
            <w:tcW w:w="1414" w:type="dxa"/>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napToGrid w:val="0"/>
                <w:sz w:val="18"/>
                <w:lang w:val="es-ES"/>
              </w:rPr>
              <w:t>Umbral</w:t>
            </w:r>
          </w:p>
        </w:tc>
        <w:tc>
          <w:tcPr>
            <w:tcW w:w="1414" w:type="dxa"/>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napToGrid w:val="0"/>
                <w:sz w:val="18"/>
                <w:lang w:val="es-ES"/>
              </w:rPr>
              <w:t>Época</w:t>
            </w:r>
          </w:p>
        </w:tc>
        <w:tc>
          <w:tcPr>
            <w:tcW w:w="1414" w:type="dxa"/>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napToGrid w:val="0"/>
                <w:sz w:val="18"/>
                <w:lang w:val="es-ES"/>
              </w:rPr>
              <w:t>Fauna auxiliar autóctona y/o sueltas</w:t>
            </w:r>
          </w:p>
        </w:tc>
        <w:tc>
          <w:tcPr>
            <w:tcW w:w="1414" w:type="dxa"/>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napToGrid w:val="0"/>
                <w:sz w:val="18"/>
                <w:lang w:val="es-ES"/>
              </w:rPr>
              <w:t>Insecticidas biológicos y/o químicos</w:t>
            </w:r>
          </w:p>
        </w:tc>
        <w:tc>
          <w:tcPr>
            <w:tcW w:w="1414" w:type="dxa"/>
            <w:shd w:val="pct12" w:color="auto" w:fill="FFFFFF"/>
            <w:vAlign w:val="center"/>
          </w:tcPr>
          <w:p w:rsidR="00503A41" w:rsidRPr="00993936" w:rsidRDefault="00503A41" w:rsidP="00340B1F">
            <w:pPr>
              <w:pStyle w:val="Sinespaciado"/>
              <w:rPr>
                <w:rFonts w:ascii="Arial" w:hAnsi="Arial" w:cs="Arial"/>
                <w:sz w:val="18"/>
                <w:lang w:val="es-ES"/>
              </w:rPr>
            </w:pPr>
            <w:r w:rsidRPr="00993936">
              <w:rPr>
                <w:rFonts w:ascii="Arial" w:hAnsi="Arial" w:cs="Arial"/>
                <w:b/>
                <w:snapToGrid w:val="0"/>
                <w:sz w:val="18"/>
                <w:lang w:val="es-ES"/>
              </w:rPr>
              <w:t>Otros</w:t>
            </w:r>
          </w:p>
        </w:tc>
      </w:tr>
      <w:tr w:rsidR="00503A41" w:rsidRPr="00993936" w:rsidTr="001C0FFB">
        <w:trPr>
          <w:cantSplit/>
        </w:trPr>
        <w:tc>
          <w:tcPr>
            <w:tcW w:w="1630"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b/>
                <w:sz w:val="18"/>
                <w:lang w:val="es-ES"/>
              </w:rPr>
              <w:t>Prays</w:t>
            </w:r>
          </w:p>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G. Fil·lofaga</w:t>
            </w:r>
          </w:p>
          <w:p w:rsidR="00503A41" w:rsidRPr="00993936" w:rsidRDefault="00503A41" w:rsidP="00340B1F">
            <w:pPr>
              <w:pStyle w:val="Sinespaciado"/>
              <w:rPr>
                <w:rFonts w:ascii="Arial" w:hAnsi="Arial" w:cs="Arial"/>
                <w:snapToGrid w:val="0"/>
                <w:sz w:val="18"/>
                <w:lang w:val="es-ES"/>
              </w:rPr>
            </w:pPr>
            <w:r w:rsidRPr="00993936">
              <w:rPr>
                <w:rFonts w:ascii="Arial" w:hAnsi="Arial" w:cs="Arial"/>
                <w:i/>
                <w:sz w:val="18"/>
                <w:lang w:val="es-ES"/>
              </w:rPr>
              <w:t>Prays oleae</w:t>
            </w:r>
          </w:p>
        </w:tc>
        <w:tc>
          <w:tcPr>
            <w:tcW w:w="1198"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Brote (solamente árboles en formación)</w:t>
            </w:r>
          </w:p>
          <w:p w:rsidR="00503A41" w:rsidRPr="00993936" w:rsidRDefault="00503A41" w:rsidP="00340B1F">
            <w:pPr>
              <w:pStyle w:val="Sinespaciado"/>
              <w:rPr>
                <w:rFonts w:ascii="Arial" w:hAnsi="Arial" w:cs="Arial"/>
                <w:snapToGrid w:val="0"/>
                <w:sz w:val="18"/>
                <w:lang w:val="es-ES"/>
              </w:rPr>
            </w:pPr>
          </w:p>
        </w:tc>
        <w:tc>
          <w:tcPr>
            <w:tcW w:w="1414" w:type="dxa"/>
            <w:vAlign w:val="center"/>
          </w:tcPr>
          <w:p w:rsidR="00503A41" w:rsidRPr="00993936" w:rsidRDefault="00503A41" w:rsidP="00340B1F">
            <w:pPr>
              <w:pStyle w:val="Sinespaciado"/>
              <w:rPr>
                <w:rFonts w:ascii="Arial" w:hAnsi="Arial" w:cs="Arial"/>
                <w:snapToGrid w:val="0"/>
                <w:sz w:val="18"/>
                <w:lang w:val="es-ES"/>
              </w:rPr>
            </w:pPr>
          </w:p>
          <w:p w:rsidR="00503A41" w:rsidRPr="00993936" w:rsidRDefault="00503A41" w:rsidP="00340B1F">
            <w:pPr>
              <w:pStyle w:val="Sinespaciado"/>
              <w:rPr>
                <w:rFonts w:ascii="Arial" w:hAnsi="Arial" w:cs="Arial"/>
                <w:snapToGrid w:val="0"/>
                <w:sz w:val="18"/>
                <w:lang w:val="es-ES"/>
              </w:rPr>
            </w:pPr>
          </w:p>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40</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 de galerías activas en hoja</w:t>
            </w:r>
          </w:p>
        </w:tc>
        <w:tc>
          <w:tcPr>
            <w:tcW w:w="1414" w:type="dxa"/>
            <w:vAlign w:val="center"/>
          </w:tcPr>
          <w:p w:rsidR="00503A41" w:rsidRPr="00993936" w:rsidRDefault="00503A41" w:rsidP="00340B1F">
            <w:pPr>
              <w:pStyle w:val="Sinespaciado"/>
              <w:rPr>
                <w:rFonts w:ascii="Arial" w:hAnsi="Arial" w:cs="Arial"/>
                <w:snapToGrid w:val="0"/>
                <w:sz w:val="18"/>
                <w:lang w:val="es-ES"/>
              </w:rPr>
            </w:pP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A criterio del técnico</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Inicio de brotación</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i/>
                <w:snapToGrid w:val="0"/>
                <w:sz w:val="18"/>
                <w:lang w:val="es-ES"/>
              </w:rPr>
              <w:t>Chrysoperla carnea</w:t>
            </w:r>
            <w:r w:rsidRPr="00993936">
              <w:rPr>
                <w:rFonts w:ascii="Arial" w:hAnsi="Arial" w:cs="Arial"/>
                <w:snapToGrid w:val="0"/>
                <w:sz w:val="18"/>
                <w:lang w:val="es-ES"/>
              </w:rPr>
              <w:t xml:space="preserve"> Steph.</w:t>
            </w:r>
          </w:p>
          <w:p w:rsidR="00503A41" w:rsidRPr="00993936" w:rsidRDefault="00503A41" w:rsidP="00340B1F">
            <w:pPr>
              <w:pStyle w:val="Sinespaciado"/>
              <w:rPr>
                <w:rFonts w:ascii="Arial" w:hAnsi="Arial" w:cs="Arial"/>
                <w:snapToGrid w:val="0"/>
                <w:sz w:val="18"/>
                <w:lang w:val="es-ES"/>
              </w:rPr>
            </w:pPr>
            <w:r w:rsidRPr="00993936">
              <w:rPr>
                <w:rFonts w:ascii="Arial" w:hAnsi="Arial" w:cs="Arial"/>
                <w:i/>
                <w:snapToGrid w:val="0"/>
                <w:sz w:val="18"/>
                <w:lang w:val="es-ES"/>
              </w:rPr>
              <w:t xml:space="preserve">Anthocoris nemoralis </w:t>
            </w:r>
            <w:r w:rsidRPr="00993936">
              <w:rPr>
                <w:rFonts w:ascii="Arial" w:hAnsi="Arial" w:cs="Arial"/>
                <w:snapToGrid w:val="0"/>
                <w:sz w:val="18"/>
                <w:lang w:val="es-ES"/>
              </w:rPr>
              <w:t>F.</w:t>
            </w:r>
          </w:p>
        </w:tc>
        <w:tc>
          <w:tcPr>
            <w:tcW w:w="1414" w:type="dxa"/>
            <w:vMerge w:val="restart"/>
            <w:vAlign w:val="center"/>
          </w:tcPr>
          <w:p w:rsidR="00503A41" w:rsidRPr="00993936" w:rsidRDefault="00503A41" w:rsidP="00340B1F">
            <w:pPr>
              <w:pStyle w:val="Sinespaciado"/>
              <w:rPr>
                <w:rFonts w:ascii="Arial" w:hAnsi="Arial" w:cs="Arial"/>
                <w:sz w:val="18"/>
                <w:lang w:val="es-ES"/>
              </w:rPr>
            </w:pPr>
            <w:r w:rsidRPr="00993936">
              <w:rPr>
                <w:rFonts w:ascii="Arial" w:hAnsi="Arial" w:cs="Arial"/>
                <w:sz w:val="18"/>
                <w:lang w:val="es-ES"/>
              </w:rPr>
              <w:t>Ved anexo 2.3</w:t>
            </w:r>
          </w:p>
        </w:tc>
        <w:tc>
          <w:tcPr>
            <w:tcW w:w="1414" w:type="dxa"/>
            <w:vAlign w:val="center"/>
          </w:tcPr>
          <w:p w:rsidR="00503A41" w:rsidRPr="00993936" w:rsidRDefault="00503A41" w:rsidP="00340B1F">
            <w:pPr>
              <w:pStyle w:val="Sinespaciado"/>
              <w:rPr>
                <w:rFonts w:ascii="Arial" w:hAnsi="Arial" w:cs="Arial"/>
                <w:snapToGrid w:val="0"/>
                <w:sz w:val="18"/>
                <w:lang w:val="es-ES"/>
              </w:rPr>
            </w:pPr>
          </w:p>
        </w:tc>
      </w:tr>
      <w:tr w:rsidR="00503A41" w:rsidRPr="00993936" w:rsidTr="001C0FFB">
        <w:trPr>
          <w:cantSplit/>
        </w:trPr>
        <w:tc>
          <w:tcPr>
            <w:tcW w:w="1630" w:type="dxa"/>
            <w:vMerge w:val="restart"/>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b/>
                <w:sz w:val="18"/>
                <w:lang w:val="es-ES"/>
              </w:rPr>
              <w:t>Prays</w:t>
            </w:r>
          </w:p>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G. Antofaga</w:t>
            </w:r>
          </w:p>
          <w:p w:rsidR="00503A41" w:rsidRPr="00993936" w:rsidRDefault="00503A41" w:rsidP="00340B1F">
            <w:pPr>
              <w:pStyle w:val="Sinespaciado"/>
              <w:rPr>
                <w:rFonts w:ascii="Arial" w:hAnsi="Arial" w:cs="Arial"/>
                <w:i/>
                <w:sz w:val="18"/>
                <w:lang w:val="es-ES"/>
              </w:rPr>
            </w:pPr>
            <w:r w:rsidRPr="00993936">
              <w:rPr>
                <w:rFonts w:ascii="Arial" w:hAnsi="Arial" w:cs="Arial"/>
                <w:i/>
                <w:sz w:val="18"/>
                <w:lang w:val="es-ES"/>
              </w:rPr>
              <w:t>Prays oleae</w:t>
            </w:r>
          </w:p>
          <w:p w:rsidR="00503A41" w:rsidRPr="00993936" w:rsidRDefault="00503A41" w:rsidP="00340B1F">
            <w:pPr>
              <w:pStyle w:val="Sinespaciado"/>
              <w:rPr>
                <w:rFonts w:ascii="Arial" w:hAnsi="Arial" w:cs="Arial"/>
                <w:snapToGrid w:val="0"/>
                <w:sz w:val="18"/>
                <w:lang w:val="es-ES"/>
              </w:rPr>
            </w:pPr>
          </w:p>
          <w:p w:rsidR="00503A41" w:rsidRPr="00993936" w:rsidRDefault="00503A41" w:rsidP="00340B1F">
            <w:pPr>
              <w:pStyle w:val="Sinespaciado"/>
              <w:rPr>
                <w:rFonts w:ascii="Arial" w:hAnsi="Arial" w:cs="Arial"/>
                <w:snapToGrid w:val="0"/>
                <w:sz w:val="18"/>
                <w:lang w:val="es-ES"/>
              </w:rPr>
            </w:pPr>
          </w:p>
        </w:tc>
        <w:tc>
          <w:tcPr>
            <w:tcW w:w="1198"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Brote (árboles en formación)</w:t>
            </w:r>
          </w:p>
          <w:p w:rsidR="00503A41" w:rsidRPr="00993936" w:rsidRDefault="00503A41" w:rsidP="00340B1F">
            <w:pPr>
              <w:pStyle w:val="Sinespaciado"/>
              <w:rPr>
                <w:rFonts w:ascii="Arial" w:hAnsi="Arial" w:cs="Arial"/>
                <w:snapToGrid w:val="0"/>
                <w:sz w:val="18"/>
                <w:lang w:val="es-ES"/>
              </w:rPr>
            </w:pPr>
          </w:p>
        </w:tc>
        <w:tc>
          <w:tcPr>
            <w:tcW w:w="1414" w:type="dxa"/>
            <w:vMerge w:val="restart"/>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40</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 de brotes afectados</w:t>
            </w:r>
          </w:p>
        </w:tc>
        <w:tc>
          <w:tcPr>
            <w:tcW w:w="1414" w:type="dxa"/>
            <w:vMerge w:val="restart"/>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3 trampas con feromona</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A criterio del técnico</w:t>
            </w:r>
          </w:p>
        </w:tc>
        <w:tc>
          <w:tcPr>
            <w:tcW w:w="1414" w:type="dxa"/>
            <w:vMerge w:val="restart"/>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Caída de la curva del primer vuelo de adultos</w:t>
            </w:r>
          </w:p>
        </w:tc>
        <w:tc>
          <w:tcPr>
            <w:tcW w:w="1414" w:type="dxa"/>
            <w:vMerge w:val="restart"/>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i/>
                <w:snapToGrid w:val="0"/>
                <w:sz w:val="18"/>
                <w:lang w:val="es-ES"/>
              </w:rPr>
              <w:t>Chrysoperla carnea</w:t>
            </w:r>
            <w:r w:rsidRPr="00993936">
              <w:rPr>
                <w:rFonts w:ascii="Arial" w:hAnsi="Arial" w:cs="Arial"/>
                <w:snapToGrid w:val="0"/>
                <w:sz w:val="18"/>
                <w:lang w:val="es-ES"/>
              </w:rPr>
              <w:t xml:space="preserve"> Steph.</w:t>
            </w:r>
          </w:p>
          <w:p w:rsidR="00503A41" w:rsidRPr="00993936" w:rsidRDefault="00503A41" w:rsidP="00340B1F">
            <w:pPr>
              <w:pStyle w:val="Sinespaciado"/>
              <w:rPr>
                <w:rFonts w:ascii="Arial" w:hAnsi="Arial" w:cs="Arial"/>
                <w:snapToGrid w:val="0"/>
                <w:sz w:val="18"/>
                <w:lang w:val="es-ES"/>
              </w:rPr>
            </w:pPr>
            <w:r w:rsidRPr="00993936">
              <w:rPr>
                <w:rFonts w:ascii="Arial" w:hAnsi="Arial" w:cs="Arial"/>
                <w:i/>
                <w:snapToGrid w:val="0"/>
                <w:sz w:val="18"/>
                <w:lang w:val="es-ES"/>
              </w:rPr>
              <w:t>Anthocoris nemoralis</w:t>
            </w:r>
            <w:r w:rsidRPr="00993936">
              <w:rPr>
                <w:rFonts w:ascii="Arial" w:hAnsi="Arial" w:cs="Arial"/>
                <w:snapToGrid w:val="0"/>
                <w:sz w:val="18"/>
                <w:lang w:val="es-ES"/>
              </w:rPr>
              <w:t xml:space="preserve"> F.</w:t>
            </w:r>
          </w:p>
        </w:tc>
        <w:tc>
          <w:tcPr>
            <w:tcW w:w="1414" w:type="dxa"/>
            <w:vMerge/>
            <w:vAlign w:val="center"/>
          </w:tcPr>
          <w:p w:rsidR="00503A41" w:rsidRPr="00993936" w:rsidRDefault="00503A41" w:rsidP="00340B1F">
            <w:pPr>
              <w:pStyle w:val="Sinespaciado"/>
              <w:rPr>
                <w:rFonts w:ascii="Arial" w:hAnsi="Arial" w:cs="Arial"/>
                <w:snapToGrid w:val="0"/>
                <w:sz w:val="18"/>
                <w:lang w:val="es-ES"/>
              </w:rPr>
            </w:pPr>
          </w:p>
        </w:tc>
        <w:tc>
          <w:tcPr>
            <w:tcW w:w="1414" w:type="dxa"/>
            <w:vAlign w:val="center"/>
          </w:tcPr>
          <w:p w:rsidR="00503A41" w:rsidRPr="00993936" w:rsidRDefault="00503A41" w:rsidP="00340B1F">
            <w:pPr>
              <w:pStyle w:val="Sinespaciado"/>
              <w:rPr>
                <w:rFonts w:ascii="Arial" w:hAnsi="Arial" w:cs="Arial"/>
                <w:snapToGrid w:val="0"/>
                <w:sz w:val="18"/>
                <w:lang w:val="es-ES"/>
              </w:rPr>
            </w:pPr>
          </w:p>
        </w:tc>
      </w:tr>
      <w:tr w:rsidR="00503A41" w:rsidRPr="00993936" w:rsidTr="001C0FFB">
        <w:trPr>
          <w:cantSplit/>
        </w:trPr>
        <w:tc>
          <w:tcPr>
            <w:tcW w:w="1630" w:type="dxa"/>
            <w:vMerge/>
            <w:vAlign w:val="center"/>
          </w:tcPr>
          <w:p w:rsidR="00503A41" w:rsidRPr="00993936" w:rsidRDefault="00503A41" w:rsidP="00340B1F">
            <w:pPr>
              <w:pStyle w:val="Sinespaciado"/>
              <w:rPr>
                <w:rFonts w:ascii="Arial" w:hAnsi="Arial" w:cs="Arial"/>
                <w:snapToGrid w:val="0"/>
                <w:sz w:val="18"/>
                <w:lang w:val="es-ES"/>
              </w:rPr>
            </w:pPr>
          </w:p>
        </w:tc>
        <w:tc>
          <w:tcPr>
            <w:tcW w:w="1198"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Ramo (árboles en producción)</w:t>
            </w:r>
          </w:p>
        </w:tc>
        <w:tc>
          <w:tcPr>
            <w:tcW w:w="1414" w:type="dxa"/>
            <w:vMerge/>
            <w:vAlign w:val="center"/>
          </w:tcPr>
          <w:p w:rsidR="00503A41" w:rsidRPr="00993936" w:rsidRDefault="00503A41" w:rsidP="00340B1F">
            <w:pPr>
              <w:pStyle w:val="Sinespaciado"/>
              <w:rPr>
                <w:rFonts w:ascii="Arial" w:hAnsi="Arial" w:cs="Arial"/>
                <w:snapToGrid w:val="0"/>
                <w:sz w:val="18"/>
                <w:lang w:val="es-ES"/>
              </w:rPr>
            </w:pP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 inflorescencias afectadas con formas vivas</w:t>
            </w:r>
          </w:p>
        </w:tc>
        <w:tc>
          <w:tcPr>
            <w:tcW w:w="1414" w:type="dxa"/>
            <w:vMerge/>
            <w:vAlign w:val="center"/>
          </w:tcPr>
          <w:p w:rsidR="00503A41" w:rsidRPr="00993936" w:rsidRDefault="00503A41" w:rsidP="00340B1F">
            <w:pPr>
              <w:pStyle w:val="Sinespaciado"/>
              <w:rPr>
                <w:rFonts w:ascii="Arial" w:hAnsi="Arial" w:cs="Arial"/>
                <w:snapToGrid w:val="0"/>
                <w:sz w:val="18"/>
                <w:lang w:val="es-ES"/>
              </w:rPr>
            </w:pP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&gt;= 5% inflorescencias afectadas con formas vivas</w:t>
            </w:r>
          </w:p>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&lt; 10% inflorescencias por ramo</w:t>
            </w:r>
          </w:p>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&lt; 20% flores fértiles</w:t>
            </w:r>
          </w:p>
        </w:tc>
        <w:tc>
          <w:tcPr>
            <w:tcW w:w="1414" w:type="dxa"/>
            <w:vMerge/>
            <w:vAlign w:val="center"/>
          </w:tcPr>
          <w:p w:rsidR="00503A41" w:rsidRPr="00993936" w:rsidRDefault="00503A41" w:rsidP="00340B1F">
            <w:pPr>
              <w:pStyle w:val="Sinespaciado"/>
              <w:rPr>
                <w:rFonts w:ascii="Arial" w:hAnsi="Arial" w:cs="Arial"/>
                <w:snapToGrid w:val="0"/>
                <w:sz w:val="18"/>
                <w:lang w:val="es-ES"/>
              </w:rPr>
            </w:pPr>
          </w:p>
        </w:tc>
        <w:tc>
          <w:tcPr>
            <w:tcW w:w="1414" w:type="dxa"/>
            <w:vMerge/>
            <w:vAlign w:val="center"/>
          </w:tcPr>
          <w:p w:rsidR="00503A41" w:rsidRPr="00993936" w:rsidRDefault="00503A41" w:rsidP="00340B1F">
            <w:pPr>
              <w:pStyle w:val="Sinespaciado"/>
              <w:rPr>
                <w:rFonts w:ascii="Arial" w:hAnsi="Arial" w:cs="Arial"/>
                <w:snapToGrid w:val="0"/>
                <w:sz w:val="18"/>
                <w:lang w:val="es-ES"/>
              </w:rPr>
            </w:pPr>
          </w:p>
        </w:tc>
        <w:tc>
          <w:tcPr>
            <w:tcW w:w="1414" w:type="dxa"/>
            <w:vMerge/>
            <w:vAlign w:val="center"/>
          </w:tcPr>
          <w:p w:rsidR="00503A41" w:rsidRPr="00993936" w:rsidRDefault="00503A41" w:rsidP="00340B1F">
            <w:pPr>
              <w:pStyle w:val="Sinespaciado"/>
              <w:rPr>
                <w:rFonts w:ascii="Arial" w:hAnsi="Arial" w:cs="Arial"/>
                <w:snapToGrid w:val="0"/>
                <w:sz w:val="18"/>
                <w:lang w:val="es-ES"/>
              </w:rPr>
            </w:pP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Tratamiento a evitar por</w:t>
            </w:r>
            <w:r w:rsidRPr="00993936">
              <w:rPr>
                <w:rFonts w:ascii="Arial" w:hAnsi="Arial" w:cs="Arial"/>
                <w:snapToGrid w:val="0"/>
                <w:vanish/>
                <w:sz w:val="18"/>
                <w:lang w:val="es-ES"/>
              </w:rPr>
              <w:t>&lt;A[por|para]&gt;</w:t>
            </w:r>
            <w:r w:rsidRPr="00993936">
              <w:rPr>
                <w:rFonts w:ascii="Arial" w:hAnsi="Arial" w:cs="Arial"/>
                <w:snapToGrid w:val="0"/>
                <w:sz w:val="18"/>
                <w:lang w:val="es-ES"/>
              </w:rPr>
              <w:t xml:space="preserve"> el efecto nocivo sobre la fauna auxiliar</w:t>
            </w:r>
          </w:p>
        </w:tc>
      </w:tr>
      <w:tr w:rsidR="00503A41" w:rsidRPr="00993936" w:rsidTr="001C0FFB">
        <w:trPr>
          <w:cantSplit/>
        </w:trPr>
        <w:tc>
          <w:tcPr>
            <w:tcW w:w="1630" w:type="dxa"/>
            <w:vAlign w:val="center"/>
          </w:tcPr>
          <w:p w:rsidR="00503A41" w:rsidRPr="00993936" w:rsidRDefault="00503A41" w:rsidP="00340B1F">
            <w:pPr>
              <w:pStyle w:val="Sinespaciado"/>
              <w:rPr>
                <w:rFonts w:ascii="Arial" w:hAnsi="Arial" w:cs="Arial"/>
                <w:b/>
                <w:i/>
                <w:snapToGrid w:val="0"/>
                <w:sz w:val="18"/>
                <w:lang w:val="es-ES"/>
              </w:rPr>
            </w:pPr>
            <w:r w:rsidRPr="00993936">
              <w:rPr>
                <w:rFonts w:ascii="Arial" w:hAnsi="Arial" w:cs="Arial"/>
                <w:b/>
                <w:sz w:val="18"/>
                <w:lang w:val="es-ES"/>
              </w:rPr>
              <w:t>Prays</w:t>
            </w:r>
          </w:p>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G. Carpofaga</w:t>
            </w:r>
            <w:r w:rsidRPr="00993936">
              <w:rPr>
                <w:rFonts w:ascii="Arial" w:hAnsi="Arial" w:cs="Arial"/>
                <w:i/>
                <w:sz w:val="18"/>
                <w:lang w:val="es-ES"/>
              </w:rPr>
              <w:t xml:space="preserve"> Prays oleae</w:t>
            </w:r>
          </w:p>
          <w:p w:rsidR="00503A41" w:rsidRPr="00993936" w:rsidRDefault="00503A41" w:rsidP="00340B1F">
            <w:pPr>
              <w:pStyle w:val="Sinespaciado"/>
              <w:rPr>
                <w:rFonts w:ascii="Arial" w:hAnsi="Arial" w:cs="Arial"/>
                <w:snapToGrid w:val="0"/>
                <w:sz w:val="18"/>
                <w:lang w:val="es-ES"/>
              </w:rPr>
            </w:pPr>
          </w:p>
        </w:tc>
        <w:tc>
          <w:tcPr>
            <w:tcW w:w="1198"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Ramo</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40</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 frutos afectados con formas vivas</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3 trampas con feromona</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10-20 % frutos afectados con formas vivas</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snapToGrid w:val="0"/>
                <w:sz w:val="18"/>
                <w:lang w:val="es-ES"/>
              </w:rPr>
              <w:t>Caída de la curva del segundo vuelo de adultos, al 80% de eclosión, antes del endurecimiento del hueso</w:t>
            </w:r>
            <w:r w:rsidRPr="00993936">
              <w:rPr>
                <w:rFonts w:ascii="Arial" w:hAnsi="Arial" w:cs="Arial"/>
                <w:snapToGrid w:val="0"/>
                <w:vanish/>
                <w:sz w:val="18"/>
                <w:lang w:val="es-ES"/>
              </w:rPr>
              <w:t>&lt;A[hueso|pepita]&gt;</w:t>
            </w:r>
          </w:p>
        </w:tc>
        <w:tc>
          <w:tcPr>
            <w:tcW w:w="1414" w:type="dxa"/>
            <w:vAlign w:val="center"/>
          </w:tcPr>
          <w:p w:rsidR="00503A41" w:rsidRPr="00993936" w:rsidRDefault="00503A41" w:rsidP="00340B1F">
            <w:pPr>
              <w:pStyle w:val="Sinespaciado"/>
              <w:rPr>
                <w:rFonts w:ascii="Arial" w:hAnsi="Arial" w:cs="Arial"/>
                <w:snapToGrid w:val="0"/>
                <w:sz w:val="18"/>
                <w:lang w:val="es-ES"/>
              </w:rPr>
            </w:pPr>
            <w:r w:rsidRPr="00993936">
              <w:rPr>
                <w:rFonts w:ascii="Arial" w:hAnsi="Arial" w:cs="Arial"/>
                <w:i/>
                <w:snapToGrid w:val="0"/>
                <w:sz w:val="18"/>
                <w:lang w:val="es-ES"/>
              </w:rPr>
              <w:t>Chrysoperla carnea</w:t>
            </w:r>
            <w:r w:rsidRPr="00993936">
              <w:rPr>
                <w:rFonts w:ascii="Arial" w:hAnsi="Arial" w:cs="Arial"/>
                <w:snapToGrid w:val="0"/>
                <w:sz w:val="18"/>
                <w:lang w:val="es-ES"/>
              </w:rPr>
              <w:t xml:space="preserve"> Steph.</w:t>
            </w:r>
          </w:p>
          <w:p w:rsidR="00503A41" w:rsidRPr="00993936" w:rsidRDefault="00503A41" w:rsidP="00340B1F">
            <w:pPr>
              <w:pStyle w:val="Sinespaciado"/>
              <w:rPr>
                <w:rFonts w:ascii="Arial" w:hAnsi="Arial" w:cs="Arial"/>
                <w:snapToGrid w:val="0"/>
                <w:sz w:val="18"/>
                <w:lang w:val="es-ES"/>
              </w:rPr>
            </w:pPr>
            <w:r w:rsidRPr="00993936">
              <w:rPr>
                <w:rFonts w:ascii="Arial" w:hAnsi="Arial" w:cs="Arial"/>
                <w:i/>
                <w:snapToGrid w:val="0"/>
                <w:sz w:val="18"/>
                <w:lang w:val="es-ES"/>
              </w:rPr>
              <w:t>Anthocoris nemoralis</w:t>
            </w:r>
            <w:r w:rsidRPr="00993936">
              <w:rPr>
                <w:rFonts w:ascii="Arial" w:hAnsi="Arial" w:cs="Arial"/>
                <w:snapToGrid w:val="0"/>
                <w:sz w:val="18"/>
                <w:lang w:val="es-ES"/>
              </w:rPr>
              <w:t xml:space="preserve"> F.</w:t>
            </w:r>
          </w:p>
        </w:tc>
        <w:tc>
          <w:tcPr>
            <w:tcW w:w="1414" w:type="dxa"/>
            <w:vMerge/>
            <w:vAlign w:val="center"/>
          </w:tcPr>
          <w:p w:rsidR="00503A41" w:rsidRPr="00993936" w:rsidRDefault="00503A41" w:rsidP="00340B1F">
            <w:pPr>
              <w:pStyle w:val="Sinespaciado"/>
              <w:rPr>
                <w:rFonts w:ascii="Arial" w:hAnsi="Arial" w:cs="Arial"/>
                <w:snapToGrid w:val="0"/>
                <w:sz w:val="18"/>
                <w:lang w:val="es-ES"/>
              </w:rPr>
            </w:pPr>
          </w:p>
        </w:tc>
        <w:tc>
          <w:tcPr>
            <w:tcW w:w="1414" w:type="dxa"/>
          </w:tcPr>
          <w:p w:rsidR="00503A41" w:rsidRPr="00993936" w:rsidRDefault="00503A41" w:rsidP="00340B1F">
            <w:pPr>
              <w:pStyle w:val="Sinespaciado"/>
              <w:rPr>
                <w:rFonts w:ascii="Arial" w:hAnsi="Arial" w:cs="Arial"/>
                <w:snapToGrid w:val="0"/>
                <w:sz w:val="18"/>
                <w:lang w:val="es-ES"/>
              </w:rPr>
            </w:pPr>
          </w:p>
        </w:tc>
      </w:tr>
    </w:tbl>
    <w:p w:rsidR="00503A41" w:rsidRPr="00993936" w:rsidRDefault="00503A41" w:rsidP="001C0FFB">
      <w:pPr>
        <w:rPr>
          <w:rFonts w:ascii="Arial" w:hAnsi="Arial" w:cs="Arial"/>
          <w:lang w:val="es-ES"/>
        </w:rPr>
      </w:pPr>
    </w:p>
    <w:p w:rsidR="00503A41" w:rsidRPr="00993936" w:rsidRDefault="00503A41" w:rsidP="001C0FFB">
      <w:pPr>
        <w:rPr>
          <w:rFonts w:ascii="Arial" w:hAnsi="Arial" w:cs="Arial"/>
          <w:b/>
          <w:lang w:val="es-ES"/>
        </w:rPr>
      </w:pPr>
      <w:r w:rsidRPr="00993936">
        <w:rPr>
          <w:rFonts w:ascii="Arial" w:hAnsi="Arial" w:cs="Arial"/>
          <w:b/>
          <w:lang w:val="es-ES"/>
        </w:rPr>
        <w:t>2.1.  Listado de plagas, unidades de muestreo, criterios de intervención y métodos de control en producción integrada de Olivas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
        <w:gridCol w:w="1414"/>
        <w:gridCol w:w="1414"/>
        <w:gridCol w:w="1414"/>
        <w:gridCol w:w="1414"/>
        <w:gridCol w:w="1414"/>
        <w:gridCol w:w="1414"/>
        <w:gridCol w:w="1414"/>
        <w:gridCol w:w="1414"/>
        <w:gridCol w:w="1414"/>
      </w:tblGrid>
      <w:tr w:rsidR="00503A41" w:rsidRPr="00993936" w:rsidTr="001C0FFB">
        <w:trPr>
          <w:cantSplit/>
          <w:tblHeader/>
        </w:trPr>
        <w:tc>
          <w:tcPr>
            <w:tcW w:w="1414" w:type="dxa"/>
            <w:vMerge w:val="restart"/>
            <w:shd w:val="pct12" w:color="auto" w:fill="FFFFFF"/>
            <w:vAlign w:val="center"/>
          </w:tcPr>
          <w:p w:rsidR="00503A41" w:rsidRPr="00993936" w:rsidRDefault="00503A41" w:rsidP="001C0FFB">
            <w:pPr>
              <w:pStyle w:val="Ttulo6"/>
              <w:rPr>
                <w:rFonts w:ascii="Arial" w:hAnsi="Arial" w:cs="Arial"/>
                <w:color w:val="auto"/>
                <w:sz w:val="12"/>
                <w:lang w:val="es-ES"/>
              </w:rPr>
            </w:pPr>
            <w:r w:rsidRPr="00993936">
              <w:rPr>
                <w:rFonts w:ascii="Arial" w:hAnsi="Arial" w:cs="Arial"/>
                <w:color w:val="auto"/>
                <w:sz w:val="12"/>
                <w:lang w:val="es-ES"/>
              </w:rPr>
              <w:t>Plagas</w:t>
            </w:r>
          </w:p>
        </w:tc>
        <w:tc>
          <w:tcPr>
            <w:tcW w:w="4242" w:type="dxa"/>
            <w:gridSpan w:val="3"/>
            <w:shd w:val="pct12" w:color="auto" w:fill="FFFFFF"/>
            <w:vAlign w:val="center"/>
          </w:tcPr>
          <w:p w:rsidR="00503A41" w:rsidRPr="00993936" w:rsidRDefault="00503A41" w:rsidP="001C0FFB">
            <w:pPr>
              <w:widowControl w:val="0"/>
              <w:jc w:val="center"/>
              <w:rPr>
                <w:rFonts w:ascii="Arial" w:hAnsi="Arial" w:cs="Arial"/>
                <w:b/>
                <w:snapToGrid w:val="0"/>
                <w:sz w:val="12"/>
                <w:lang w:val="es-ES"/>
              </w:rPr>
            </w:pPr>
            <w:r w:rsidRPr="00993936">
              <w:rPr>
                <w:rFonts w:ascii="Arial" w:hAnsi="Arial" w:cs="Arial"/>
                <w:b/>
                <w:snapToGrid w:val="0"/>
                <w:sz w:val="12"/>
                <w:lang w:val="es-ES"/>
              </w:rPr>
              <w:t>Estimación</w:t>
            </w:r>
            <w:r w:rsidRPr="00993936">
              <w:rPr>
                <w:rFonts w:ascii="Arial" w:hAnsi="Arial" w:cs="Arial"/>
                <w:b/>
                <w:snapToGrid w:val="0"/>
                <w:vanish/>
                <w:sz w:val="12"/>
                <w:lang w:val="es-ES"/>
              </w:rPr>
              <w:t>&lt;A[Estimación|Estima]&gt;</w:t>
            </w:r>
            <w:r w:rsidRPr="00993936">
              <w:rPr>
                <w:rFonts w:ascii="Arial" w:hAnsi="Arial" w:cs="Arial"/>
                <w:b/>
                <w:snapToGrid w:val="0"/>
                <w:sz w:val="12"/>
                <w:lang w:val="es-ES"/>
              </w:rPr>
              <w:t xml:space="preserve"> visual</w:t>
            </w:r>
          </w:p>
        </w:tc>
        <w:tc>
          <w:tcPr>
            <w:tcW w:w="1414" w:type="dxa"/>
            <w:vMerge w:val="restart"/>
            <w:shd w:val="pct12" w:color="auto" w:fill="FFFFFF"/>
            <w:vAlign w:val="center"/>
          </w:tcPr>
          <w:p w:rsidR="00503A41" w:rsidRPr="00993936" w:rsidRDefault="00503A41" w:rsidP="001C0FFB">
            <w:pPr>
              <w:widowControl w:val="0"/>
              <w:jc w:val="center"/>
              <w:rPr>
                <w:rFonts w:ascii="Arial" w:hAnsi="Arial" w:cs="Arial"/>
                <w:b/>
                <w:snapToGrid w:val="0"/>
                <w:sz w:val="12"/>
                <w:lang w:val="es-ES"/>
              </w:rPr>
            </w:pPr>
            <w:r w:rsidRPr="00993936">
              <w:rPr>
                <w:rFonts w:ascii="Arial" w:hAnsi="Arial" w:cs="Arial"/>
                <w:b/>
                <w:snapToGrid w:val="0"/>
                <w:sz w:val="12"/>
                <w:lang w:val="es-ES"/>
              </w:rPr>
              <w:t>Otros métodos</w:t>
            </w:r>
          </w:p>
        </w:tc>
        <w:tc>
          <w:tcPr>
            <w:tcW w:w="2828" w:type="dxa"/>
            <w:gridSpan w:val="2"/>
            <w:vMerge w:val="restart"/>
            <w:shd w:val="pct12" w:color="auto" w:fill="FFFFFF"/>
            <w:vAlign w:val="center"/>
          </w:tcPr>
          <w:p w:rsidR="00503A41" w:rsidRPr="00993936" w:rsidRDefault="00503A41" w:rsidP="001C0FFB">
            <w:pPr>
              <w:widowControl w:val="0"/>
              <w:jc w:val="center"/>
              <w:rPr>
                <w:rFonts w:ascii="Arial" w:hAnsi="Arial" w:cs="Arial"/>
                <w:b/>
                <w:snapToGrid w:val="0"/>
                <w:sz w:val="12"/>
                <w:lang w:val="es-ES"/>
              </w:rPr>
            </w:pPr>
            <w:r w:rsidRPr="00993936">
              <w:rPr>
                <w:rFonts w:ascii="Arial" w:hAnsi="Arial" w:cs="Arial"/>
                <w:b/>
                <w:snapToGrid w:val="0"/>
                <w:sz w:val="12"/>
                <w:lang w:val="es-ES"/>
              </w:rPr>
              <w:t>Criterios de intervención</w:t>
            </w:r>
          </w:p>
        </w:tc>
        <w:tc>
          <w:tcPr>
            <w:tcW w:w="4242" w:type="dxa"/>
            <w:gridSpan w:val="3"/>
            <w:vMerge w:val="restart"/>
            <w:shd w:val="pct12" w:color="auto" w:fill="FFFFFF"/>
            <w:vAlign w:val="center"/>
          </w:tcPr>
          <w:p w:rsidR="00503A41" w:rsidRPr="00993936" w:rsidRDefault="00503A41" w:rsidP="001C0FFB">
            <w:pPr>
              <w:pStyle w:val="Ttulo6"/>
              <w:rPr>
                <w:rFonts w:ascii="Arial" w:hAnsi="Arial" w:cs="Arial"/>
                <w:color w:val="auto"/>
                <w:sz w:val="12"/>
                <w:lang w:val="es-ES"/>
              </w:rPr>
            </w:pPr>
            <w:r w:rsidRPr="00993936">
              <w:rPr>
                <w:rFonts w:ascii="Arial" w:hAnsi="Arial" w:cs="Arial"/>
                <w:color w:val="auto"/>
                <w:sz w:val="12"/>
                <w:lang w:val="es-ES"/>
              </w:rPr>
              <w:t>Métodos de control</w:t>
            </w:r>
          </w:p>
        </w:tc>
      </w:tr>
      <w:tr w:rsidR="00503A41" w:rsidRPr="00993936" w:rsidTr="001C0FFB">
        <w:trPr>
          <w:cantSplit/>
          <w:tblHeader/>
        </w:trPr>
        <w:tc>
          <w:tcPr>
            <w:tcW w:w="1414" w:type="dxa"/>
            <w:vMerge/>
            <w:shd w:val="pct12" w:color="auto" w:fill="FFFFFF"/>
            <w:vAlign w:val="center"/>
          </w:tcPr>
          <w:p w:rsidR="00503A41" w:rsidRPr="00993936" w:rsidRDefault="00503A41" w:rsidP="001C0FFB">
            <w:pPr>
              <w:jc w:val="center"/>
              <w:rPr>
                <w:rFonts w:ascii="Arial" w:hAnsi="Arial" w:cs="Arial"/>
                <w:sz w:val="12"/>
                <w:lang w:val="es-ES"/>
              </w:rPr>
            </w:pPr>
          </w:p>
        </w:tc>
        <w:tc>
          <w:tcPr>
            <w:tcW w:w="4242" w:type="dxa"/>
            <w:gridSpan w:val="3"/>
            <w:shd w:val="pct12" w:color="auto" w:fill="FFFFFF"/>
            <w:vAlign w:val="center"/>
          </w:tcPr>
          <w:p w:rsidR="00503A41" w:rsidRPr="00993936" w:rsidRDefault="00503A41" w:rsidP="001C0FFB">
            <w:pPr>
              <w:jc w:val="center"/>
              <w:rPr>
                <w:rFonts w:ascii="Arial" w:hAnsi="Arial" w:cs="Arial"/>
                <w:sz w:val="12"/>
                <w:lang w:val="es-ES"/>
              </w:rPr>
            </w:pPr>
            <w:r w:rsidRPr="00993936">
              <w:rPr>
                <w:rFonts w:ascii="Arial" w:hAnsi="Arial" w:cs="Arial"/>
                <w:b/>
                <w:snapToGrid w:val="0"/>
                <w:sz w:val="12"/>
                <w:lang w:val="es-ES"/>
              </w:rPr>
              <w:t>Unidad muestra secundaria</w:t>
            </w:r>
          </w:p>
        </w:tc>
        <w:tc>
          <w:tcPr>
            <w:tcW w:w="1414" w:type="dxa"/>
            <w:vMerge/>
            <w:shd w:val="pct12" w:color="auto" w:fill="FFFFFF"/>
            <w:vAlign w:val="center"/>
          </w:tcPr>
          <w:p w:rsidR="00503A41" w:rsidRPr="00993936" w:rsidRDefault="00503A41" w:rsidP="001C0FFB">
            <w:pPr>
              <w:jc w:val="center"/>
              <w:rPr>
                <w:rFonts w:ascii="Arial" w:hAnsi="Arial" w:cs="Arial"/>
                <w:sz w:val="12"/>
                <w:lang w:val="es-ES"/>
              </w:rPr>
            </w:pPr>
          </w:p>
        </w:tc>
        <w:tc>
          <w:tcPr>
            <w:tcW w:w="2828" w:type="dxa"/>
            <w:gridSpan w:val="2"/>
            <w:vMerge/>
            <w:shd w:val="pct12" w:color="auto" w:fill="FFFFFF"/>
            <w:vAlign w:val="center"/>
          </w:tcPr>
          <w:p w:rsidR="00503A41" w:rsidRPr="00993936" w:rsidRDefault="00503A41" w:rsidP="001C0FFB">
            <w:pPr>
              <w:jc w:val="center"/>
              <w:rPr>
                <w:rFonts w:ascii="Arial" w:hAnsi="Arial" w:cs="Arial"/>
                <w:sz w:val="12"/>
                <w:lang w:val="es-ES"/>
              </w:rPr>
            </w:pPr>
          </w:p>
        </w:tc>
        <w:tc>
          <w:tcPr>
            <w:tcW w:w="4242" w:type="dxa"/>
            <w:gridSpan w:val="3"/>
            <w:vMerge/>
            <w:shd w:val="pct12" w:color="auto" w:fill="FFFFFF"/>
            <w:vAlign w:val="center"/>
          </w:tcPr>
          <w:p w:rsidR="00503A41" w:rsidRPr="00993936" w:rsidRDefault="00503A41" w:rsidP="001C0FFB">
            <w:pPr>
              <w:jc w:val="center"/>
              <w:rPr>
                <w:rFonts w:ascii="Arial" w:hAnsi="Arial" w:cs="Arial"/>
                <w:sz w:val="12"/>
                <w:lang w:val="es-ES"/>
              </w:rPr>
            </w:pPr>
          </w:p>
        </w:tc>
      </w:tr>
      <w:tr w:rsidR="00503A41" w:rsidRPr="00993936" w:rsidTr="001D205D">
        <w:trPr>
          <w:cantSplit/>
          <w:trHeight w:val="357"/>
          <w:tblHeader/>
        </w:trPr>
        <w:tc>
          <w:tcPr>
            <w:tcW w:w="1414" w:type="dxa"/>
            <w:vMerge/>
            <w:shd w:val="pct12" w:color="auto" w:fill="FFFFFF"/>
            <w:vAlign w:val="center"/>
          </w:tcPr>
          <w:p w:rsidR="00503A41" w:rsidRPr="00993936" w:rsidRDefault="00503A41" w:rsidP="001C0FFB">
            <w:pPr>
              <w:jc w:val="center"/>
              <w:rPr>
                <w:rFonts w:ascii="Arial" w:hAnsi="Arial" w:cs="Arial"/>
                <w:sz w:val="12"/>
                <w:lang w:val="es-ES"/>
              </w:rPr>
            </w:pPr>
          </w:p>
        </w:tc>
        <w:tc>
          <w:tcPr>
            <w:tcW w:w="1414" w:type="dxa"/>
            <w:shd w:val="pct12" w:color="auto" w:fill="FFFFFF"/>
            <w:vAlign w:val="center"/>
          </w:tcPr>
          <w:p w:rsidR="00503A41" w:rsidRPr="00993936" w:rsidRDefault="00503A41" w:rsidP="001C0FFB">
            <w:pPr>
              <w:jc w:val="center"/>
              <w:rPr>
                <w:rFonts w:ascii="Arial" w:hAnsi="Arial" w:cs="Arial"/>
                <w:sz w:val="12"/>
                <w:lang w:val="es-ES"/>
              </w:rPr>
            </w:pPr>
            <w:r w:rsidRPr="00993936">
              <w:rPr>
                <w:rFonts w:ascii="Arial" w:hAnsi="Arial" w:cs="Arial"/>
                <w:b/>
                <w:sz w:val="12"/>
                <w:lang w:val="es-ES"/>
              </w:rPr>
              <w:t>Elemento</w:t>
            </w:r>
          </w:p>
        </w:tc>
        <w:tc>
          <w:tcPr>
            <w:tcW w:w="1414" w:type="dxa"/>
            <w:shd w:val="pct12" w:color="auto" w:fill="FFFFFF"/>
            <w:vAlign w:val="center"/>
          </w:tcPr>
          <w:p w:rsidR="00503A41" w:rsidRPr="00993936" w:rsidRDefault="00503A41" w:rsidP="001D205D">
            <w:pPr>
              <w:jc w:val="center"/>
              <w:rPr>
                <w:rFonts w:ascii="Arial" w:hAnsi="Arial" w:cs="Arial"/>
                <w:sz w:val="12"/>
                <w:lang w:val="es-ES"/>
              </w:rPr>
            </w:pPr>
            <w:r w:rsidRPr="00993936">
              <w:rPr>
                <w:rFonts w:ascii="Arial" w:hAnsi="Arial" w:cs="Arial"/>
                <w:b/>
                <w:snapToGrid w:val="0"/>
                <w:sz w:val="12"/>
                <w:lang w:val="es-ES"/>
              </w:rPr>
              <w:t>Nro. por</w:t>
            </w:r>
            <w:r w:rsidRPr="00993936">
              <w:rPr>
                <w:rFonts w:ascii="Arial" w:hAnsi="Arial" w:cs="Arial"/>
                <w:b/>
                <w:snapToGrid w:val="0"/>
                <w:vanish/>
                <w:sz w:val="12"/>
                <w:lang w:val="es-ES"/>
              </w:rPr>
              <w:t>&lt;A[para|por]&gt;</w:t>
            </w:r>
            <w:r w:rsidRPr="00993936">
              <w:rPr>
                <w:rFonts w:ascii="Arial" w:hAnsi="Arial" w:cs="Arial"/>
                <w:b/>
                <w:snapToGrid w:val="0"/>
                <w:sz w:val="12"/>
                <w:lang w:val="es-ES"/>
              </w:rPr>
              <w:t xml:space="preserve"> UC</w:t>
            </w:r>
          </w:p>
        </w:tc>
        <w:tc>
          <w:tcPr>
            <w:tcW w:w="1414" w:type="dxa"/>
            <w:shd w:val="pct12" w:color="auto" w:fill="FFFFFF"/>
            <w:vAlign w:val="center"/>
          </w:tcPr>
          <w:p w:rsidR="00503A41" w:rsidRPr="00993936" w:rsidRDefault="00503A41" w:rsidP="001C0FFB">
            <w:pPr>
              <w:jc w:val="center"/>
              <w:rPr>
                <w:rFonts w:ascii="Arial" w:hAnsi="Arial" w:cs="Arial"/>
                <w:sz w:val="12"/>
                <w:lang w:val="es-ES"/>
              </w:rPr>
            </w:pPr>
            <w:r w:rsidRPr="00993936">
              <w:rPr>
                <w:rFonts w:ascii="Arial" w:hAnsi="Arial" w:cs="Arial"/>
                <w:b/>
                <w:snapToGrid w:val="0"/>
                <w:sz w:val="12"/>
                <w:lang w:val="es-ES"/>
              </w:rPr>
              <w:t>Variable</w:t>
            </w:r>
          </w:p>
        </w:tc>
        <w:tc>
          <w:tcPr>
            <w:tcW w:w="1414" w:type="dxa"/>
            <w:vMerge/>
            <w:shd w:val="pct12" w:color="auto" w:fill="FFFFFF"/>
            <w:vAlign w:val="center"/>
          </w:tcPr>
          <w:p w:rsidR="00503A41" w:rsidRPr="00993936" w:rsidRDefault="00503A41" w:rsidP="001C0FFB">
            <w:pPr>
              <w:jc w:val="center"/>
              <w:rPr>
                <w:rFonts w:ascii="Arial" w:hAnsi="Arial" w:cs="Arial"/>
                <w:sz w:val="12"/>
                <w:lang w:val="es-ES"/>
              </w:rPr>
            </w:pPr>
          </w:p>
        </w:tc>
        <w:tc>
          <w:tcPr>
            <w:tcW w:w="1414" w:type="dxa"/>
            <w:shd w:val="pct12" w:color="auto" w:fill="FFFFFF"/>
            <w:vAlign w:val="center"/>
          </w:tcPr>
          <w:p w:rsidR="00503A41" w:rsidRPr="00993936" w:rsidRDefault="00503A41" w:rsidP="001C0FFB">
            <w:pPr>
              <w:jc w:val="center"/>
              <w:rPr>
                <w:rFonts w:ascii="Arial" w:hAnsi="Arial" w:cs="Arial"/>
                <w:sz w:val="12"/>
                <w:lang w:val="es-ES"/>
              </w:rPr>
            </w:pPr>
            <w:r w:rsidRPr="00993936">
              <w:rPr>
                <w:rFonts w:ascii="Arial" w:hAnsi="Arial" w:cs="Arial"/>
                <w:b/>
                <w:snapToGrid w:val="0"/>
                <w:sz w:val="12"/>
                <w:lang w:val="es-ES"/>
              </w:rPr>
              <w:t>Umbral</w:t>
            </w:r>
          </w:p>
        </w:tc>
        <w:tc>
          <w:tcPr>
            <w:tcW w:w="1414" w:type="dxa"/>
            <w:shd w:val="pct12" w:color="auto" w:fill="FFFFFF"/>
            <w:vAlign w:val="center"/>
          </w:tcPr>
          <w:p w:rsidR="00503A41" w:rsidRPr="00993936" w:rsidRDefault="00503A41" w:rsidP="001C0FFB">
            <w:pPr>
              <w:jc w:val="center"/>
              <w:rPr>
                <w:rFonts w:ascii="Arial" w:hAnsi="Arial" w:cs="Arial"/>
                <w:sz w:val="12"/>
                <w:lang w:val="es-ES"/>
              </w:rPr>
            </w:pPr>
            <w:r w:rsidRPr="00993936">
              <w:rPr>
                <w:rFonts w:ascii="Arial" w:hAnsi="Arial" w:cs="Arial"/>
                <w:b/>
                <w:snapToGrid w:val="0"/>
                <w:sz w:val="12"/>
                <w:lang w:val="es-ES"/>
              </w:rPr>
              <w:t>Época</w:t>
            </w:r>
          </w:p>
        </w:tc>
        <w:tc>
          <w:tcPr>
            <w:tcW w:w="1414" w:type="dxa"/>
            <w:shd w:val="pct12" w:color="auto" w:fill="FFFFFF"/>
            <w:vAlign w:val="center"/>
          </w:tcPr>
          <w:p w:rsidR="00503A41" w:rsidRPr="00993936" w:rsidRDefault="00503A41" w:rsidP="001D205D">
            <w:pPr>
              <w:jc w:val="center"/>
              <w:rPr>
                <w:rFonts w:ascii="Arial" w:hAnsi="Arial" w:cs="Arial"/>
                <w:sz w:val="12"/>
                <w:lang w:val="es-ES"/>
              </w:rPr>
            </w:pPr>
            <w:r w:rsidRPr="00993936">
              <w:rPr>
                <w:rFonts w:ascii="Arial" w:hAnsi="Arial" w:cs="Arial"/>
                <w:b/>
                <w:snapToGrid w:val="0"/>
                <w:sz w:val="12"/>
                <w:lang w:val="es-ES"/>
              </w:rPr>
              <w:t>Fauna auxiliar autóctona y/o sueltas</w:t>
            </w:r>
          </w:p>
        </w:tc>
        <w:tc>
          <w:tcPr>
            <w:tcW w:w="1414" w:type="dxa"/>
            <w:shd w:val="pct12" w:color="auto" w:fill="FFFFFF"/>
            <w:vAlign w:val="center"/>
          </w:tcPr>
          <w:p w:rsidR="00503A41" w:rsidRPr="00993936" w:rsidRDefault="00503A41" w:rsidP="001C0FFB">
            <w:pPr>
              <w:jc w:val="center"/>
              <w:rPr>
                <w:rFonts w:ascii="Arial" w:hAnsi="Arial" w:cs="Arial"/>
                <w:sz w:val="12"/>
                <w:lang w:val="es-ES"/>
              </w:rPr>
            </w:pPr>
            <w:r w:rsidRPr="00993936">
              <w:rPr>
                <w:rFonts w:ascii="Arial" w:hAnsi="Arial" w:cs="Arial"/>
                <w:b/>
                <w:snapToGrid w:val="0"/>
                <w:sz w:val="12"/>
                <w:lang w:val="es-ES"/>
              </w:rPr>
              <w:t>Insecticidas biológicos y/o químicos</w:t>
            </w:r>
          </w:p>
        </w:tc>
        <w:tc>
          <w:tcPr>
            <w:tcW w:w="1414" w:type="dxa"/>
            <w:shd w:val="pct12" w:color="auto" w:fill="FFFFFF"/>
            <w:vAlign w:val="center"/>
          </w:tcPr>
          <w:p w:rsidR="00503A41" w:rsidRPr="00993936" w:rsidRDefault="00503A41" w:rsidP="001C0FFB">
            <w:pPr>
              <w:jc w:val="center"/>
              <w:rPr>
                <w:rFonts w:ascii="Arial" w:hAnsi="Arial" w:cs="Arial"/>
                <w:sz w:val="12"/>
                <w:lang w:val="es-ES"/>
              </w:rPr>
            </w:pPr>
            <w:r w:rsidRPr="00993936">
              <w:rPr>
                <w:rFonts w:ascii="Arial" w:hAnsi="Arial" w:cs="Arial"/>
                <w:b/>
                <w:snapToGrid w:val="0"/>
                <w:sz w:val="12"/>
                <w:lang w:val="es-ES"/>
              </w:rPr>
              <w:t>Otros</w:t>
            </w:r>
          </w:p>
        </w:tc>
      </w:tr>
      <w:tr w:rsidR="00503A41" w:rsidRPr="00993936" w:rsidTr="001D205D">
        <w:trPr>
          <w:cantSplit/>
          <w:trHeight w:val="3143"/>
        </w:trPr>
        <w:tc>
          <w:tcPr>
            <w:tcW w:w="1414" w:type="dxa"/>
            <w:vAlign w:val="center"/>
          </w:tcPr>
          <w:p w:rsidR="00503A41" w:rsidRPr="00993936" w:rsidRDefault="00503A41" w:rsidP="001C0FFB">
            <w:pPr>
              <w:jc w:val="center"/>
              <w:rPr>
                <w:rFonts w:ascii="Arial" w:hAnsi="Arial" w:cs="Arial"/>
                <w:snapToGrid w:val="0"/>
                <w:sz w:val="14"/>
                <w:lang w:val="es-ES"/>
              </w:rPr>
            </w:pPr>
            <w:r w:rsidRPr="00993936">
              <w:rPr>
                <w:rFonts w:ascii="Arial" w:hAnsi="Arial" w:cs="Arial"/>
                <w:b/>
                <w:sz w:val="14"/>
                <w:lang w:val="es-ES"/>
              </w:rPr>
              <w:t>Caparreta</w:t>
            </w:r>
            <w:r w:rsidRPr="00993936">
              <w:rPr>
                <w:rFonts w:ascii="Arial" w:hAnsi="Arial" w:cs="Arial"/>
                <w:b/>
                <w:i/>
                <w:sz w:val="14"/>
                <w:lang w:val="es-ES"/>
              </w:rPr>
              <w:t xml:space="preserve"> </w:t>
            </w:r>
            <w:r w:rsidRPr="00993936">
              <w:rPr>
                <w:rFonts w:ascii="Arial" w:hAnsi="Arial" w:cs="Arial"/>
                <w:i/>
                <w:sz w:val="14"/>
                <w:lang w:val="es-ES"/>
              </w:rPr>
              <w:t>Saissetia oleae</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Rama</w:t>
            </w:r>
          </w:p>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Hoja</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jc w:val="center"/>
              <w:rPr>
                <w:rFonts w:ascii="Arial" w:hAnsi="Arial" w:cs="Arial"/>
                <w:snapToGrid w:val="0"/>
                <w:sz w:val="14"/>
                <w:lang w:val="es-ES"/>
              </w:rPr>
            </w:pPr>
            <w:r w:rsidRPr="00993936">
              <w:rPr>
                <w:rFonts w:ascii="Arial" w:hAnsi="Arial" w:cs="Arial"/>
                <w:snapToGrid w:val="0"/>
                <w:sz w:val="14"/>
                <w:lang w:val="es-ES"/>
              </w:rPr>
              <w:t>40</w:t>
            </w:r>
          </w:p>
          <w:p w:rsidR="00503A41" w:rsidRPr="00993936" w:rsidRDefault="00503A41" w:rsidP="001C0FFB">
            <w:pPr>
              <w:widowControl w:val="0"/>
              <w:jc w:val="center"/>
              <w:rPr>
                <w:rFonts w:ascii="Arial" w:hAnsi="Arial" w:cs="Arial"/>
                <w:snapToGrid w:val="0"/>
                <w:sz w:val="14"/>
                <w:lang w:val="es-ES"/>
              </w:rPr>
            </w:pPr>
          </w:p>
          <w:p w:rsidR="00503A41" w:rsidRPr="00993936" w:rsidRDefault="00503A41" w:rsidP="001C0FFB">
            <w:pPr>
              <w:widowControl w:val="0"/>
              <w:jc w:val="center"/>
              <w:rPr>
                <w:rFonts w:ascii="Arial" w:hAnsi="Arial" w:cs="Arial"/>
                <w:snapToGrid w:val="0"/>
                <w:sz w:val="14"/>
                <w:lang w:val="es-ES"/>
              </w:rPr>
            </w:pPr>
          </w:p>
          <w:p w:rsidR="00503A41" w:rsidRPr="00993936" w:rsidRDefault="00503A41" w:rsidP="001C0FFB">
            <w:pPr>
              <w:widowControl w:val="0"/>
              <w:jc w:val="center"/>
              <w:rPr>
                <w:rFonts w:ascii="Arial" w:hAnsi="Arial" w:cs="Arial"/>
                <w:snapToGrid w:val="0"/>
                <w:sz w:val="14"/>
                <w:lang w:val="es-ES"/>
              </w:rPr>
            </w:pPr>
            <w:r w:rsidRPr="00993936">
              <w:rPr>
                <w:rFonts w:ascii="Arial" w:hAnsi="Arial" w:cs="Arial"/>
                <w:snapToGrid w:val="0"/>
                <w:sz w:val="14"/>
                <w:lang w:val="es-ES"/>
              </w:rPr>
              <w:t>120</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1º muestreo: número de hembras</w:t>
            </w:r>
            <w:r w:rsidRPr="00993936">
              <w:rPr>
                <w:rFonts w:ascii="Arial" w:hAnsi="Arial" w:cs="Arial"/>
                <w:snapToGrid w:val="0"/>
                <w:vanish/>
                <w:sz w:val="14"/>
                <w:lang w:val="es-ES"/>
              </w:rPr>
              <w:t>&lt;A[hembras|tuercas]&gt;</w:t>
            </w:r>
            <w:r w:rsidRPr="00993936">
              <w:rPr>
                <w:rFonts w:ascii="Arial" w:hAnsi="Arial" w:cs="Arial"/>
                <w:snapToGrid w:val="0"/>
                <w:sz w:val="14"/>
                <w:lang w:val="es-ES"/>
              </w:rPr>
              <w:t xml:space="preserve"> adultas vivas no parasitadas.</w:t>
            </w:r>
          </w:p>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2º muestreo:</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número de fases larvarias L1-L2 por hoja</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 xml:space="preserve">1º muestreo: </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2 hembras</w:t>
            </w:r>
            <w:r w:rsidRPr="00993936">
              <w:rPr>
                <w:rFonts w:ascii="Arial" w:hAnsi="Arial" w:cs="Arial"/>
                <w:snapToGrid w:val="0"/>
                <w:vanish/>
                <w:sz w:val="14"/>
                <w:lang w:val="es-ES"/>
              </w:rPr>
              <w:t>&lt;A[hembras|tuercas]&gt;</w:t>
            </w:r>
            <w:r w:rsidRPr="00993936">
              <w:rPr>
                <w:rFonts w:ascii="Arial" w:hAnsi="Arial" w:cs="Arial"/>
                <w:snapToGrid w:val="0"/>
                <w:sz w:val="14"/>
                <w:lang w:val="es-ES"/>
              </w:rPr>
              <w:t xml:space="preserve"> adultas vivas no parasitardas.</w:t>
            </w:r>
          </w:p>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 xml:space="preserve">2º muestreo:  </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&gt;= 3% de hojas ocupadas.</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D205D">
            <w:pPr>
              <w:widowControl w:val="0"/>
              <w:rPr>
                <w:rFonts w:ascii="Arial" w:hAnsi="Arial" w:cs="Arial"/>
                <w:snapToGrid w:val="0"/>
                <w:sz w:val="14"/>
                <w:lang w:val="es-ES"/>
              </w:rPr>
            </w:pPr>
            <w:r w:rsidRPr="00993936">
              <w:rPr>
                <w:rFonts w:ascii="Arial" w:hAnsi="Arial" w:cs="Arial"/>
                <w:snapToGrid w:val="0"/>
                <w:sz w:val="14"/>
                <w:lang w:val="es-ES"/>
              </w:rPr>
              <w:t>A partir del 100% de huevos eclosionados</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 xml:space="preserve">Scutellysta cyanea </w:t>
            </w:r>
            <w:r w:rsidRPr="00993936">
              <w:rPr>
                <w:rFonts w:ascii="Arial" w:hAnsi="Arial" w:cs="Arial"/>
                <w:snapToGrid w:val="0"/>
                <w:sz w:val="14"/>
                <w:lang w:val="es-ES"/>
              </w:rPr>
              <w:t>(Motch)</w:t>
            </w:r>
          </w:p>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Metaphycus lounsbuyri</w:t>
            </w:r>
            <w:r w:rsidRPr="00993936">
              <w:rPr>
                <w:rFonts w:ascii="Arial" w:hAnsi="Arial" w:cs="Arial"/>
                <w:snapToGrid w:val="0"/>
                <w:sz w:val="14"/>
                <w:lang w:val="es-ES"/>
              </w:rPr>
              <w:t xml:space="preserve"> (How)</w:t>
            </w:r>
          </w:p>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 xml:space="preserve">Metaphycus helvolus </w:t>
            </w:r>
            <w:r w:rsidRPr="00993936">
              <w:rPr>
                <w:rFonts w:ascii="Arial" w:hAnsi="Arial" w:cs="Arial"/>
                <w:snapToGrid w:val="0"/>
                <w:sz w:val="14"/>
                <w:lang w:val="es-ES"/>
              </w:rPr>
              <w:t>(Comp.)</w:t>
            </w:r>
          </w:p>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Coccophagus lycimnia</w:t>
            </w:r>
            <w:r w:rsidRPr="00993936">
              <w:rPr>
                <w:rFonts w:ascii="Arial" w:hAnsi="Arial" w:cs="Arial"/>
                <w:snapToGrid w:val="0"/>
                <w:sz w:val="14"/>
                <w:lang w:val="es-ES"/>
              </w:rPr>
              <w:t xml:space="preserve"> Nalker</w:t>
            </w:r>
          </w:p>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Chilocorus bipustulatus</w:t>
            </w:r>
            <w:r w:rsidRPr="00993936">
              <w:rPr>
                <w:rFonts w:ascii="Arial" w:hAnsi="Arial" w:cs="Arial"/>
                <w:snapToGrid w:val="0"/>
                <w:sz w:val="14"/>
                <w:lang w:val="es-ES"/>
              </w:rPr>
              <w:t xml:space="preserve"> (L.)</w:t>
            </w:r>
          </w:p>
        </w:tc>
        <w:tc>
          <w:tcPr>
            <w:tcW w:w="1414" w:type="dxa"/>
            <w:vMerge w:val="restart"/>
            <w:vAlign w:val="center"/>
          </w:tcPr>
          <w:p w:rsidR="00503A41" w:rsidRPr="00993936" w:rsidRDefault="00503A41" w:rsidP="001C0FFB">
            <w:pPr>
              <w:widowControl w:val="0"/>
              <w:jc w:val="center"/>
              <w:rPr>
                <w:rFonts w:ascii="Arial" w:hAnsi="Arial" w:cs="Arial"/>
                <w:snapToGrid w:val="0"/>
                <w:sz w:val="14"/>
                <w:lang w:val="es-ES"/>
              </w:rPr>
            </w:pPr>
            <w:r w:rsidRPr="00993936">
              <w:rPr>
                <w:rFonts w:ascii="Arial" w:hAnsi="Arial" w:cs="Arial"/>
                <w:sz w:val="14"/>
                <w:lang w:val="es-ES"/>
              </w:rPr>
              <w:t>Ved anexo 2.3</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Podas que favorezcan el aireamiento.</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Reducción de la fertilización nitrogenada.</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Se recomienda en tratamientos localizados cuando se detecten focos aislados de la plaga</w:t>
            </w:r>
          </w:p>
        </w:tc>
      </w:tr>
      <w:tr w:rsidR="00503A41" w:rsidRPr="00993936" w:rsidTr="001D205D">
        <w:trPr>
          <w:cantSplit/>
          <w:trHeight w:val="1906"/>
        </w:trPr>
        <w:tc>
          <w:tcPr>
            <w:tcW w:w="1414" w:type="dxa"/>
            <w:vAlign w:val="center"/>
          </w:tcPr>
          <w:p w:rsidR="00503A41" w:rsidRPr="00993936" w:rsidRDefault="00503A41" w:rsidP="001C0FFB">
            <w:pPr>
              <w:jc w:val="center"/>
              <w:rPr>
                <w:rFonts w:ascii="Arial" w:hAnsi="Arial" w:cs="Arial"/>
                <w:sz w:val="14"/>
                <w:lang w:val="es-ES"/>
              </w:rPr>
            </w:pPr>
            <w:r w:rsidRPr="00993936">
              <w:rPr>
                <w:rFonts w:ascii="Arial" w:hAnsi="Arial" w:cs="Arial"/>
                <w:b/>
                <w:sz w:val="14"/>
                <w:lang w:val="es-ES"/>
              </w:rPr>
              <w:t>Mosca del olivo</w:t>
            </w:r>
            <w:r w:rsidRPr="00993936">
              <w:rPr>
                <w:rFonts w:ascii="Arial" w:hAnsi="Arial" w:cs="Arial"/>
                <w:b/>
                <w:i/>
                <w:sz w:val="14"/>
                <w:lang w:val="es-ES"/>
              </w:rPr>
              <w:t xml:space="preserve"> </w:t>
            </w:r>
            <w:r w:rsidRPr="00993936">
              <w:rPr>
                <w:rFonts w:ascii="Arial" w:hAnsi="Arial" w:cs="Arial"/>
                <w:i/>
                <w:sz w:val="14"/>
                <w:lang w:val="es-ES"/>
              </w:rPr>
              <w:t>Bactrocera oleae</w:t>
            </w:r>
          </w:p>
          <w:p w:rsidR="00503A41" w:rsidRPr="00993936" w:rsidRDefault="00503A41" w:rsidP="001D205D">
            <w:pPr>
              <w:widowControl w:val="0"/>
              <w:jc w:val="center"/>
              <w:rPr>
                <w:rFonts w:ascii="Arial" w:hAnsi="Arial" w:cs="Arial"/>
                <w:snapToGrid w:val="0"/>
                <w:sz w:val="10"/>
                <w:lang w:val="es-ES"/>
              </w:rPr>
            </w:pPr>
            <w:r w:rsidRPr="00993936">
              <w:rPr>
                <w:rFonts w:ascii="Arial" w:hAnsi="Arial" w:cs="Arial"/>
                <w:snapToGrid w:val="0"/>
                <w:sz w:val="10"/>
                <w:lang w:val="es-ES"/>
              </w:rPr>
              <w:t xml:space="preserve">TRATAMIENTO </w:t>
            </w:r>
          </w:p>
          <w:p w:rsidR="00503A41" w:rsidRPr="00993936" w:rsidRDefault="00503A41" w:rsidP="001D205D">
            <w:pPr>
              <w:widowControl w:val="0"/>
              <w:jc w:val="center"/>
              <w:rPr>
                <w:rFonts w:ascii="Arial" w:hAnsi="Arial" w:cs="Arial"/>
                <w:snapToGrid w:val="0"/>
                <w:sz w:val="14"/>
                <w:lang w:val="es-ES"/>
              </w:rPr>
            </w:pPr>
            <w:r w:rsidRPr="00993936">
              <w:rPr>
                <w:rFonts w:ascii="Arial" w:hAnsi="Arial" w:cs="Arial"/>
                <w:snapToGrid w:val="0"/>
                <w:sz w:val="10"/>
                <w:lang w:val="es-ES"/>
              </w:rPr>
              <w:t>LARVICIDA</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Fruto</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300 frutos (una variedad)</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100 frutos por variedad (si, variedad &gt;1)</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 de frutos atacados</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&gt;= 2% formas larvarías vivas</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A partir de fruto receptivo</w:t>
            </w:r>
          </w:p>
        </w:tc>
        <w:tc>
          <w:tcPr>
            <w:tcW w:w="1414" w:type="dxa"/>
            <w:vMerge w:val="restart"/>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Eupelmus urozonus</w:t>
            </w:r>
          </w:p>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 xml:space="preserve">Eulophus longolus </w:t>
            </w:r>
            <w:r w:rsidRPr="00993936">
              <w:rPr>
                <w:rFonts w:ascii="Arial" w:hAnsi="Arial" w:cs="Arial"/>
                <w:snapToGrid w:val="0"/>
                <w:sz w:val="14"/>
                <w:lang w:val="es-ES"/>
              </w:rPr>
              <w:t>(Zett)</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Sueltas de:</w:t>
            </w:r>
          </w:p>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Opius concolor</w:t>
            </w:r>
            <w:r w:rsidRPr="00993936">
              <w:rPr>
                <w:rFonts w:ascii="Arial" w:hAnsi="Arial" w:cs="Arial"/>
                <w:snapToGrid w:val="0"/>
                <w:sz w:val="14"/>
                <w:lang w:val="es-ES"/>
              </w:rPr>
              <w:t xml:space="preserve"> (Dalm)</w:t>
            </w:r>
          </w:p>
        </w:tc>
        <w:tc>
          <w:tcPr>
            <w:tcW w:w="1414" w:type="dxa"/>
            <w:vMerge/>
            <w:vAlign w:val="center"/>
          </w:tcPr>
          <w:p w:rsidR="00503A41" w:rsidRPr="00993936" w:rsidRDefault="00503A41" w:rsidP="001C0FFB">
            <w:pPr>
              <w:widowControl w:val="0"/>
              <w:rPr>
                <w:rFonts w:ascii="Arial" w:hAnsi="Arial" w:cs="Arial"/>
                <w:snapToGrid w:val="0"/>
                <w:sz w:val="14"/>
                <w:lang w:val="es-ES"/>
              </w:rPr>
            </w:pPr>
          </w:p>
        </w:tc>
        <w:tc>
          <w:tcPr>
            <w:tcW w:w="1414" w:type="dxa"/>
            <w:vMerge w:val="restart"/>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Capturas masivas</w:t>
            </w:r>
          </w:p>
          <w:p w:rsidR="00503A41" w:rsidRPr="00993936" w:rsidRDefault="00503A41" w:rsidP="001C0FFB">
            <w:pPr>
              <w:pStyle w:val="Piedepgina"/>
              <w:widowControl w:val="0"/>
              <w:rPr>
                <w:rFonts w:ascii="Arial" w:hAnsi="Arial" w:cs="Arial"/>
                <w:snapToGrid w:val="0"/>
                <w:sz w:val="14"/>
                <w:lang w:val="es-ES"/>
              </w:rPr>
            </w:pPr>
          </w:p>
        </w:tc>
      </w:tr>
      <w:tr w:rsidR="00503A41" w:rsidRPr="00993936" w:rsidTr="001D205D">
        <w:trPr>
          <w:cantSplit/>
          <w:trHeight w:val="1703"/>
        </w:trPr>
        <w:tc>
          <w:tcPr>
            <w:tcW w:w="1414" w:type="dxa"/>
            <w:vAlign w:val="center"/>
          </w:tcPr>
          <w:p w:rsidR="00503A41" w:rsidRPr="00993936" w:rsidRDefault="00503A41" w:rsidP="001D205D">
            <w:pPr>
              <w:jc w:val="center"/>
              <w:rPr>
                <w:rFonts w:ascii="Arial" w:hAnsi="Arial" w:cs="Arial"/>
                <w:i/>
                <w:sz w:val="14"/>
                <w:lang w:val="es-ES"/>
              </w:rPr>
            </w:pPr>
            <w:r w:rsidRPr="00993936">
              <w:rPr>
                <w:rFonts w:ascii="Arial" w:hAnsi="Arial" w:cs="Arial"/>
                <w:b/>
                <w:sz w:val="14"/>
                <w:lang w:val="es-ES"/>
              </w:rPr>
              <w:lastRenderedPageBreak/>
              <w:t>Mosca del olivo</w:t>
            </w:r>
            <w:r w:rsidRPr="00993936">
              <w:rPr>
                <w:rFonts w:ascii="Arial" w:hAnsi="Arial" w:cs="Arial"/>
                <w:b/>
                <w:i/>
                <w:sz w:val="14"/>
                <w:lang w:val="es-ES"/>
              </w:rPr>
              <w:t xml:space="preserve"> </w:t>
            </w:r>
            <w:r w:rsidRPr="00993936">
              <w:rPr>
                <w:rFonts w:ascii="Arial" w:hAnsi="Arial" w:cs="Arial"/>
                <w:i/>
                <w:sz w:val="14"/>
                <w:lang w:val="es-ES"/>
              </w:rPr>
              <w:t>Bactrocera oleae</w:t>
            </w:r>
          </w:p>
          <w:p w:rsidR="00503A41" w:rsidRPr="00993936" w:rsidRDefault="00503A41" w:rsidP="001D205D">
            <w:pPr>
              <w:widowControl w:val="0"/>
              <w:jc w:val="center"/>
              <w:rPr>
                <w:rFonts w:ascii="Arial" w:hAnsi="Arial" w:cs="Arial"/>
                <w:snapToGrid w:val="0"/>
                <w:sz w:val="8"/>
                <w:lang w:val="es-ES"/>
              </w:rPr>
            </w:pPr>
            <w:r w:rsidRPr="00993936">
              <w:rPr>
                <w:rFonts w:ascii="Arial" w:hAnsi="Arial" w:cs="Arial"/>
                <w:snapToGrid w:val="0"/>
                <w:sz w:val="8"/>
                <w:lang w:val="es-ES"/>
              </w:rPr>
              <w:t xml:space="preserve">TRATAMIENTO </w:t>
            </w:r>
          </w:p>
          <w:p w:rsidR="00503A41" w:rsidRPr="00993936" w:rsidRDefault="00503A41" w:rsidP="001D205D">
            <w:pPr>
              <w:jc w:val="center"/>
              <w:rPr>
                <w:rFonts w:ascii="Arial" w:hAnsi="Arial" w:cs="Arial"/>
                <w:snapToGrid w:val="0"/>
                <w:sz w:val="8"/>
                <w:lang w:val="es-ES"/>
              </w:rPr>
            </w:pPr>
            <w:r w:rsidRPr="00993936">
              <w:rPr>
                <w:rFonts w:ascii="Arial" w:hAnsi="Arial" w:cs="Arial"/>
                <w:snapToGrid w:val="0"/>
                <w:sz w:val="8"/>
                <w:lang w:val="es-ES"/>
              </w:rPr>
              <w:t xml:space="preserve">CEBO EN </w:t>
            </w:r>
          </w:p>
          <w:p w:rsidR="00503A41" w:rsidRPr="00993936" w:rsidRDefault="00503A41" w:rsidP="001D205D">
            <w:pPr>
              <w:widowControl w:val="0"/>
              <w:jc w:val="center"/>
              <w:rPr>
                <w:rFonts w:ascii="Arial" w:hAnsi="Arial" w:cs="Arial"/>
                <w:snapToGrid w:val="0"/>
                <w:sz w:val="14"/>
                <w:lang w:val="es-ES"/>
              </w:rPr>
            </w:pPr>
            <w:r w:rsidRPr="00993936">
              <w:rPr>
                <w:rFonts w:ascii="Arial" w:hAnsi="Arial" w:cs="Arial"/>
                <w:snapToGrid w:val="0"/>
                <w:sz w:val="8"/>
                <w:lang w:val="es-ES"/>
              </w:rPr>
              <w:t xml:space="preserve">BANDAS </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414" w:type="dxa"/>
            <w:vAlign w:val="center"/>
          </w:tcPr>
          <w:p w:rsidR="00503A41" w:rsidRPr="00993936" w:rsidRDefault="00503A41" w:rsidP="001C0FFB">
            <w:pPr>
              <w:widowControl w:val="0"/>
              <w:jc w:val="center"/>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Adultos por</w:t>
            </w:r>
            <w:r w:rsidRPr="00993936">
              <w:rPr>
                <w:rFonts w:ascii="Arial" w:hAnsi="Arial" w:cs="Arial"/>
                <w:snapToGrid w:val="0"/>
                <w:vanish/>
                <w:sz w:val="14"/>
                <w:lang w:val="es-ES"/>
              </w:rPr>
              <w:t>&lt;A[por|para]&gt;</w:t>
            </w:r>
            <w:r w:rsidRPr="00993936">
              <w:rPr>
                <w:rFonts w:ascii="Arial" w:hAnsi="Arial" w:cs="Arial"/>
                <w:snapToGrid w:val="0"/>
                <w:sz w:val="14"/>
                <w:lang w:val="es-ES"/>
              </w:rPr>
              <w:t xml:space="preserve"> trampa y día</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3 mosqueros MacPhail con fosfato biamónico 4%</w:t>
            </w:r>
          </w:p>
          <w:p w:rsidR="00503A41" w:rsidRPr="00993936" w:rsidRDefault="00503A41" w:rsidP="001C0FFB">
            <w:pPr>
              <w:widowControl w:val="0"/>
              <w:rPr>
                <w:rFonts w:ascii="Arial" w:hAnsi="Arial" w:cs="Arial"/>
                <w:snapToGrid w:val="0"/>
                <w:sz w:val="14"/>
                <w:lang w:val="es-ES"/>
              </w:rPr>
            </w:pPr>
          </w:p>
          <w:p w:rsidR="00503A41" w:rsidRPr="00993936" w:rsidRDefault="00503A41" w:rsidP="001D205D">
            <w:pPr>
              <w:widowControl w:val="0"/>
              <w:rPr>
                <w:rFonts w:ascii="Arial" w:hAnsi="Arial" w:cs="Arial"/>
                <w:snapToGrid w:val="0"/>
                <w:sz w:val="14"/>
                <w:lang w:val="es-ES"/>
              </w:rPr>
            </w:pPr>
            <w:r w:rsidRPr="00993936">
              <w:rPr>
                <w:rFonts w:ascii="Arial" w:hAnsi="Arial" w:cs="Arial"/>
                <w:snapToGrid w:val="0"/>
                <w:sz w:val="14"/>
                <w:lang w:val="es-ES"/>
              </w:rPr>
              <w:t>3 trampas cromotrópicas con feromona</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1 adulto por</w:t>
            </w:r>
            <w:r w:rsidRPr="00993936">
              <w:rPr>
                <w:rFonts w:ascii="Arial" w:hAnsi="Arial" w:cs="Arial"/>
                <w:snapToGrid w:val="0"/>
                <w:vanish/>
                <w:sz w:val="14"/>
                <w:lang w:val="es-ES"/>
              </w:rPr>
              <w:t>&lt;A[por|para]&gt;</w:t>
            </w:r>
            <w:r w:rsidRPr="00993936">
              <w:rPr>
                <w:rFonts w:ascii="Arial" w:hAnsi="Arial" w:cs="Arial"/>
                <w:snapToGrid w:val="0"/>
                <w:sz w:val="14"/>
                <w:lang w:val="es-ES"/>
              </w:rPr>
              <w:t xml:space="preserve"> trampa y día</w:t>
            </w:r>
          </w:p>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&gt; 5 adultos por</w:t>
            </w:r>
            <w:r w:rsidRPr="00993936">
              <w:rPr>
                <w:rFonts w:ascii="Arial" w:hAnsi="Arial" w:cs="Arial"/>
                <w:snapToGrid w:val="0"/>
                <w:vanish/>
                <w:sz w:val="14"/>
                <w:lang w:val="es-ES"/>
              </w:rPr>
              <w:t>&lt;A[por|para]&gt;</w:t>
            </w:r>
            <w:r w:rsidRPr="00993936">
              <w:rPr>
                <w:rFonts w:ascii="Arial" w:hAnsi="Arial" w:cs="Arial"/>
                <w:snapToGrid w:val="0"/>
                <w:sz w:val="14"/>
                <w:lang w:val="es-ES"/>
              </w:rPr>
              <w:t xml:space="preserve"> trampa y día</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A partir de fruto receptivo</w:t>
            </w:r>
          </w:p>
        </w:tc>
        <w:tc>
          <w:tcPr>
            <w:tcW w:w="1414" w:type="dxa"/>
            <w:vMerge/>
            <w:vAlign w:val="center"/>
          </w:tcPr>
          <w:p w:rsidR="00503A41" w:rsidRPr="00993936" w:rsidRDefault="00503A41" w:rsidP="001C0FFB">
            <w:pPr>
              <w:widowControl w:val="0"/>
              <w:rPr>
                <w:rFonts w:ascii="Arial" w:hAnsi="Arial" w:cs="Arial"/>
                <w:snapToGrid w:val="0"/>
                <w:sz w:val="14"/>
                <w:lang w:val="es-ES"/>
              </w:rPr>
            </w:pPr>
          </w:p>
        </w:tc>
        <w:tc>
          <w:tcPr>
            <w:tcW w:w="1414" w:type="dxa"/>
            <w:vMerge/>
            <w:vAlign w:val="center"/>
          </w:tcPr>
          <w:p w:rsidR="00503A41" w:rsidRPr="00993936" w:rsidRDefault="00503A41" w:rsidP="001C0FFB">
            <w:pPr>
              <w:widowControl w:val="0"/>
              <w:rPr>
                <w:rFonts w:ascii="Arial" w:hAnsi="Arial" w:cs="Arial"/>
                <w:snapToGrid w:val="0"/>
                <w:sz w:val="14"/>
                <w:lang w:val="es-ES"/>
              </w:rPr>
            </w:pPr>
          </w:p>
        </w:tc>
        <w:tc>
          <w:tcPr>
            <w:tcW w:w="1414" w:type="dxa"/>
            <w:vMerge/>
            <w:vAlign w:val="center"/>
          </w:tcPr>
          <w:p w:rsidR="00503A41" w:rsidRPr="00993936" w:rsidRDefault="00503A41" w:rsidP="001C0FFB">
            <w:pPr>
              <w:pStyle w:val="Piedepgina"/>
              <w:widowControl w:val="0"/>
              <w:tabs>
                <w:tab w:val="clear" w:pos="4252"/>
                <w:tab w:val="clear" w:pos="8504"/>
              </w:tabs>
              <w:rPr>
                <w:rFonts w:ascii="Arial" w:hAnsi="Arial" w:cs="Arial"/>
                <w:snapToGrid w:val="0"/>
                <w:sz w:val="14"/>
                <w:lang w:val="es-ES"/>
              </w:rPr>
            </w:pPr>
          </w:p>
        </w:tc>
      </w:tr>
    </w:tbl>
    <w:p w:rsidR="00503A41" w:rsidRPr="00993936" w:rsidRDefault="00503A41" w:rsidP="001D205D">
      <w:pPr>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2.1.  Listado de plagas, unidades de muestreo, criterios de intervención y métodos de control en producción integrada de Olivas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
        <w:gridCol w:w="1414"/>
        <w:gridCol w:w="1070"/>
        <w:gridCol w:w="1758"/>
        <w:gridCol w:w="1414"/>
        <w:gridCol w:w="1414"/>
        <w:gridCol w:w="1414"/>
        <w:gridCol w:w="1414"/>
        <w:gridCol w:w="1232"/>
        <w:gridCol w:w="1596"/>
      </w:tblGrid>
      <w:tr w:rsidR="00503A41" w:rsidRPr="00993936" w:rsidTr="001C0FFB">
        <w:trPr>
          <w:cantSplit/>
        </w:trPr>
        <w:tc>
          <w:tcPr>
            <w:tcW w:w="1414" w:type="dxa"/>
            <w:vMerge w:val="restart"/>
            <w:shd w:val="pct12" w:color="auto" w:fill="FFFFFF"/>
            <w:vAlign w:val="center"/>
          </w:tcPr>
          <w:p w:rsidR="00503A41" w:rsidRPr="00993936" w:rsidRDefault="00503A41" w:rsidP="001C0FFB">
            <w:pPr>
              <w:pStyle w:val="Ttulo6"/>
              <w:rPr>
                <w:rFonts w:ascii="Arial" w:hAnsi="Arial" w:cs="Arial"/>
                <w:color w:val="auto"/>
                <w:sz w:val="14"/>
                <w:lang w:val="es-ES"/>
              </w:rPr>
            </w:pPr>
            <w:r w:rsidRPr="00993936">
              <w:rPr>
                <w:rFonts w:ascii="Arial" w:hAnsi="Arial" w:cs="Arial"/>
                <w:color w:val="auto"/>
                <w:sz w:val="14"/>
                <w:lang w:val="es-ES"/>
              </w:rPr>
              <w:t>Plagas</w:t>
            </w:r>
          </w:p>
        </w:tc>
        <w:tc>
          <w:tcPr>
            <w:tcW w:w="4242" w:type="dxa"/>
            <w:gridSpan w:val="3"/>
            <w:shd w:val="pct12" w:color="auto" w:fill="FFFFFF"/>
            <w:vAlign w:val="center"/>
          </w:tcPr>
          <w:p w:rsidR="00503A41" w:rsidRPr="00993936" w:rsidRDefault="00503A41" w:rsidP="001C0FFB">
            <w:pPr>
              <w:widowControl w:val="0"/>
              <w:jc w:val="center"/>
              <w:rPr>
                <w:rFonts w:ascii="Arial" w:hAnsi="Arial" w:cs="Arial"/>
                <w:b/>
                <w:snapToGrid w:val="0"/>
                <w:sz w:val="14"/>
                <w:lang w:val="es-ES"/>
              </w:rPr>
            </w:pPr>
            <w:r w:rsidRPr="00993936">
              <w:rPr>
                <w:rFonts w:ascii="Arial" w:hAnsi="Arial" w:cs="Arial"/>
                <w:b/>
                <w:snapToGrid w:val="0"/>
                <w:sz w:val="14"/>
                <w:lang w:val="es-ES"/>
              </w:rPr>
              <w:t>Estimación</w:t>
            </w:r>
            <w:r w:rsidRPr="00993936">
              <w:rPr>
                <w:rFonts w:ascii="Arial" w:hAnsi="Arial" w:cs="Arial"/>
                <w:b/>
                <w:snapToGrid w:val="0"/>
                <w:vanish/>
                <w:sz w:val="14"/>
                <w:lang w:val="es-ES"/>
              </w:rPr>
              <w:t>&lt;A[Estimación|Estima]&gt;</w:t>
            </w:r>
            <w:r w:rsidRPr="00993936">
              <w:rPr>
                <w:rFonts w:ascii="Arial" w:hAnsi="Arial" w:cs="Arial"/>
                <w:b/>
                <w:snapToGrid w:val="0"/>
                <w:sz w:val="14"/>
                <w:lang w:val="es-ES"/>
              </w:rPr>
              <w:t xml:space="preserve"> visual</w:t>
            </w:r>
          </w:p>
        </w:tc>
        <w:tc>
          <w:tcPr>
            <w:tcW w:w="1414" w:type="dxa"/>
            <w:vMerge w:val="restart"/>
            <w:shd w:val="pct12" w:color="auto" w:fill="FFFFFF"/>
            <w:vAlign w:val="center"/>
          </w:tcPr>
          <w:p w:rsidR="00503A41" w:rsidRPr="00993936" w:rsidRDefault="00503A41" w:rsidP="001C0FFB">
            <w:pPr>
              <w:widowControl w:val="0"/>
              <w:jc w:val="center"/>
              <w:rPr>
                <w:rFonts w:ascii="Arial" w:hAnsi="Arial" w:cs="Arial"/>
                <w:b/>
                <w:snapToGrid w:val="0"/>
                <w:sz w:val="14"/>
                <w:lang w:val="es-ES"/>
              </w:rPr>
            </w:pPr>
            <w:r w:rsidRPr="00993936">
              <w:rPr>
                <w:rFonts w:ascii="Arial" w:hAnsi="Arial" w:cs="Arial"/>
                <w:b/>
                <w:snapToGrid w:val="0"/>
                <w:sz w:val="14"/>
                <w:lang w:val="es-ES"/>
              </w:rPr>
              <w:t>Otros métodos</w:t>
            </w:r>
          </w:p>
        </w:tc>
        <w:tc>
          <w:tcPr>
            <w:tcW w:w="2828" w:type="dxa"/>
            <w:gridSpan w:val="2"/>
            <w:vMerge w:val="restart"/>
            <w:shd w:val="pct12" w:color="auto" w:fill="FFFFFF"/>
            <w:vAlign w:val="center"/>
          </w:tcPr>
          <w:p w:rsidR="00503A41" w:rsidRPr="00993936" w:rsidRDefault="00503A41" w:rsidP="001C0FFB">
            <w:pPr>
              <w:widowControl w:val="0"/>
              <w:jc w:val="center"/>
              <w:rPr>
                <w:rFonts w:ascii="Arial" w:hAnsi="Arial" w:cs="Arial"/>
                <w:b/>
                <w:snapToGrid w:val="0"/>
                <w:sz w:val="14"/>
                <w:lang w:val="es-ES"/>
              </w:rPr>
            </w:pPr>
            <w:r w:rsidRPr="00993936">
              <w:rPr>
                <w:rFonts w:ascii="Arial" w:hAnsi="Arial" w:cs="Arial"/>
                <w:b/>
                <w:snapToGrid w:val="0"/>
                <w:sz w:val="14"/>
                <w:lang w:val="es-ES"/>
              </w:rPr>
              <w:t>Criterios de intervención</w:t>
            </w:r>
          </w:p>
        </w:tc>
        <w:tc>
          <w:tcPr>
            <w:tcW w:w="4242" w:type="dxa"/>
            <w:gridSpan w:val="3"/>
            <w:vMerge w:val="restart"/>
            <w:shd w:val="pct12" w:color="auto" w:fill="FFFFFF"/>
            <w:vAlign w:val="center"/>
          </w:tcPr>
          <w:p w:rsidR="00503A41" w:rsidRPr="00993936" w:rsidRDefault="00503A41" w:rsidP="001C0FFB">
            <w:pPr>
              <w:pStyle w:val="Ttulo6"/>
              <w:rPr>
                <w:rFonts w:ascii="Arial" w:hAnsi="Arial" w:cs="Arial"/>
                <w:color w:val="auto"/>
                <w:sz w:val="14"/>
                <w:lang w:val="es-ES"/>
              </w:rPr>
            </w:pPr>
            <w:r w:rsidRPr="00993936">
              <w:rPr>
                <w:rFonts w:ascii="Arial" w:hAnsi="Arial" w:cs="Arial"/>
                <w:color w:val="auto"/>
                <w:sz w:val="14"/>
                <w:lang w:val="es-ES"/>
              </w:rPr>
              <w:t>Métodos de control</w:t>
            </w:r>
          </w:p>
        </w:tc>
      </w:tr>
      <w:tr w:rsidR="00503A41" w:rsidRPr="00993936" w:rsidTr="001C0FFB">
        <w:trPr>
          <w:cantSplit/>
        </w:trPr>
        <w:tc>
          <w:tcPr>
            <w:tcW w:w="1414" w:type="dxa"/>
            <w:vMerge/>
            <w:shd w:val="pct12" w:color="auto" w:fill="FFFFFF"/>
            <w:vAlign w:val="center"/>
          </w:tcPr>
          <w:p w:rsidR="00503A41" w:rsidRPr="00993936" w:rsidRDefault="00503A41" w:rsidP="001C0FFB">
            <w:pPr>
              <w:jc w:val="center"/>
              <w:rPr>
                <w:rFonts w:ascii="Arial" w:hAnsi="Arial" w:cs="Arial"/>
                <w:sz w:val="14"/>
                <w:lang w:val="es-ES"/>
              </w:rPr>
            </w:pPr>
          </w:p>
        </w:tc>
        <w:tc>
          <w:tcPr>
            <w:tcW w:w="4242" w:type="dxa"/>
            <w:gridSpan w:val="3"/>
            <w:shd w:val="pct12" w:color="auto" w:fill="FFFFFF"/>
            <w:vAlign w:val="center"/>
          </w:tcPr>
          <w:p w:rsidR="00503A41" w:rsidRPr="00993936" w:rsidRDefault="00503A41" w:rsidP="001C0FFB">
            <w:pPr>
              <w:jc w:val="center"/>
              <w:rPr>
                <w:rFonts w:ascii="Arial" w:hAnsi="Arial" w:cs="Arial"/>
                <w:sz w:val="14"/>
                <w:lang w:val="es-ES"/>
              </w:rPr>
            </w:pPr>
            <w:r w:rsidRPr="00993936">
              <w:rPr>
                <w:rFonts w:ascii="Arial" w:hAnsi="Arial" w:cs="Arial"/>
                <w:b/>
                <w:snapToGrid w:val="0"/>
                <w:sz w:val="14"/>
                <w:lang w:val="es-ES"/>
              </w:rPr>
              <w:t>Unidad muestra secundaria</w:t>
            </w:r>
          </w:p>
        </w:tc>
        <w:tc>
          <w:tcPr>
            <w:tcW w:w="1414" w:type="dxa"/>
            <w:vMerge/>
            <w:shd w:val="pct12" w:color="auto" w:fill="FFFFFF"/>
            <w:vAlign w:val="center"/>
          </w:tcPr>
          <w:p w:rsidR="00503A41" w:rsidRPr="00993936" w:rsidRDefault="00503A41" w:rsidP="001C0FFB">
            <w:pPr>
              <w:jc w:val="center"/>
              <w:rPr>
                <w:rFonts w:ascii="Arial" w:hAnsi="Arial" w:cs="Arial"/>
                <w:sz w:val="14"/>
                <w:lang w:val="es-ES"/>
              </w:rPr>
            </w:pPr>
          </w:p>
        </w:tc>
        <w:tc>
          <w:tcPr>
            <w:tcW w:w="2828" w:type="dxa"/>
            <w:gridSpan w:val="2"/>
            <w:vMerge/>
            <w:shd w:val="pct12" w:color="auto" w:fill="FFFFFF"/>
            <w:vAlign w:val="center"/>
          </w:tcPr>
          <w:p w:rsidR="00503A41" w:rsidRPr="00993936" w:rsidRDefault="00503A41" w:rsidP="001C0FFB">
            <w:pPr>
              <w:jc w:val="center"/>
              <w:rPr>
                <w:rFonts w:ascii="Arial" w:hAnsi="Arial" w:cs="Arial"/>
                <w:sz w:val="14"/>
                <w:lang w:val="es-ES"/>
              </w:rPr>
            </w:pPr>
          </w:p>
        </w:tc>
        <w:tc>
          <w:tcPr>
            <w:tcW w:w="4242" w:type="dxa"/>
            <w:gridSpan w:val="3"/>
            <w:vMerge/>
            <w:shd w:val="pct12" w:color="auto" w:fill="FFFFFF"/>
            <w:vAlign w:val="center"/>
          </w:tcPr>
          <w:p w:rsidR="00503A41" w:rsidRPr="00993936" w:rsidRDefault="00503A41" w:rsidP="001C0FFB">
            <w:pPr>
              <w:jc w:val="center"/>
              <w:rPr>
                <w:rFonts w:ascii="Arial" w:hAnsi="Arial" w:cs="Arial"/>
                <w:sz w:val="14"/>
                <w:lang w:val="es-ES"/>
              </w:rPr>
            </w:pPr>
          </w:p>
        </w:tc>
      </w:tr>
      <w:tr w:rsidR="00503A41" w:rsidRPr="00993936" w:rsidTr="001C0FFB">
        <w:trPr>
          <w:cantSplit/>
        </w:trPr>
        <w:tc>
          <w:tcPr>
            <w:tcW w:w="1414" w:type="dxa"/>
            <w:vMerge/>
            <w:shd w:val="pct12" w:color="auto" w:fill="FFFFFF"/>
            <w:vAlign w:val="center"/>
          </w:tcPr>
          <w:p w:rsidR="00503A41" w:rsidRPr="00993936" w:rsidRDefault="00503A41" w:rsidP="001C0FFB">
            <w:pPr>
              <w:jc w:val="center"/>
              <w:rPr>
                <w:rFonts w:ascii="Arial" w:hAnsi="Arial" w:cs="Arial"/>
                <w:sz w:val="14"/>
                <w:lang w:val="es-ES"/>
              </w:rPr>
            </w:pPr>
          </w:p>
        </w:tc>
        <w:tc>
          <w:tcPr>
            <w:tcW w:w="1414" w:type="dxa"/>
            <w:shd w:val="pct12" w:color="auto" w:fill="FFFFFF"/>
            <w:vAlign w:val="center"/>
          </w:tcPr>
          <w:p w:rsidR="00503A41" w:rsidRPr="00993936" w:rsidRDefault="00503A41" w:rsidP="001C0FFB">
            <w:pPr>
              <w:jc w:val="center"/>
              <w:rPr>
                <w:rFonts w:ascii="Arial" w:hAnsi="Arial" w:cs="Arial"/>
                <w:sz w:val="14"/>
                <w:lang w:val="es-ES"/>
              </w:rPr>
            </w:pPr>
            <w:r w:rsidRPr="00993936">
              <w:rPr>
                <w:rFonts w:ascii="Arial" w:hAnsi="Arial" w:cs="Arial"/>
                <w:b/>
                <w:sz w:val="14"/>
                <w:lang w:val="es-ES"/>
              </w:rPr>
              <w:t>Elemento</w:t>
            </w:r>
          </w:p>
        </w:tc>
        <w:tc>
          <w:tcPr>
            <w:tcW w:w="1070" w:type="dxa"/>
            <w:shd w:val="pct12" w:color="auto" w:fill="FFFFFF"/>
            <w:vAlign w:val="center"/>
          </w:tcPr>
          <w:p w:rsidR="00503A41" w:rsidRPr="00993936" w:rsidRDefault="00503A41" w:rsidP="001D205D">
            <w:pPr>
              <w:jc w:val="center"/>
              <w:rPr>
                <w:rFonts w:ascii="Arial" w:hAnsi="Arial" w:cs="Arial"/>
                <w:sz w:val="14"/>
                <w:lang w:val="es-ES"/>
              </w:rPr>
            </w:pPr>
            <w:r w:rsidRPr="00993936">
              <w:rPr>
                <w:rFonts w:ascii="Arial" w:hAnsi="Arial" w:cs="Arial"/>
                <w:b/>
                <w:snapToGrid w:val="0"/>
                <w:sz w:val="14"/>
                <w:lang w:val="es-ES"/>
              </w:rPr>
              <w:t>Nro. por</w:t>
            </w:r>
            <w:r w:rsidRPr="00993936">
              <w:rPr>
                <w:rFonts w:ascii="Arial" w:hAnsi="Arial" w:cs="Arial"/>
                <w:b/>
                <w:snapToGrid w:val="0"/>
                <w:vanish/>
                <w:sz w:val="14"/>
                <w:lang w:val="es-ES"/>
              </w:rPr>
              <w:t>&lt;A[para|por]&gt;</w:t>
            </w:r>
            <w:r w:rsidRPr="00993936">
              <w:rPr>
                <w:rFonts w:ascii="Arial" w:hAnsi="Arial" w:cs="Arial"/>
                <w:b/>
                <w:snapToGrid w:val="0"/>
                <w:sz w:val="14"/>
                <w:lang w:val="es-ES"/>
              </w:rPr>
              <w:t xml:space="preserve"> UC</w:t>
            </w:r>
          </w:p>
        </w:tc>
        <w:tc>
          <w:tcPr>
            <w:tcW w:w="1758" w:type="dxa"/>
            <w:shd w:val="pct12" w:color="auto" w:fill="FFFFFF"/>
            <w:vAlign w:val="center"/>
          </w:tcPr>
          <w:p w:rsidR="00503A41" w:rsidRPr="00993936" w:rsidRDefault="00503A41" w:rsidP="001C0FFB">
            <w:pPr>
              <w:jc w:val="center"/>
              <w:rPr>
                <w:rFonts w:ascii="Arial" w:hAnsi="Arial" w:cs="Arial"/>
                <w:sz w:val="14"/>
                <w:lang w:val="es-ES"/>
              </w:rPr>
            </w:pPr>
            <w:r w:rsidRPr="00993936">
              <w:rPr>
                <w:rFonts w:ascii="Arial" w:hAnsi="Arial" w:cs="Arial"/>
                <w:b/>
                <w:snapToGrid w:val="0"/>
                <w:sz w:val="14"/>
                <w:lang w:val="es-ES"/>
              </w:rPr>
              <w:t>Variable</w:t>
            </w:r>
          </w:p>
        </w:tc>
        <w:tc>
          <w:tcPr>
            <w:tcW w:w="1414" w:type="dxa"/>
            <w:vMerge/>
            <w:shd w:val="pct12" w:color="auto" w:fill="FFFFFF"/>
            <w:vAlign w:val="center"/>
          </w:tcPr>
          <w:p w:rsidR="00503A41" w:rsidRPr="00993936" w:rsidRDefault="00503A41" w:rsidP="001C0FFB">
            <w:pPr>
              <w:jc w:val="center"/>
              <w:rPr>
                <w:rFonts w:ascii="Arial" w:hAnsi="Arial" w:cs="Arial"/>
                <w:sz w:val="14"/>
                <w:lang w:val="es-ES"/>
              </w:rPr>
            </w:pPr>
          </w:p>
        </w:tc>
        <w:tc>
          <w:tcPr>
            <w:tcW w:w="1414" w:type="dxa"/>
            <w:shd w:val="pct12" w:color="auto" w:fill="FFFFFF"/>
            <w:vAlign w:val="center"/>
          </w:tcPr>
          <w:p w:rsidR="00503A41" w:rsidRPr="00993936" w:rsidRDefault="00503A41" w:rsidP="001C0FFB">
            <w:pPr>
              <w:jc w:val="center"/>
              <w:rPr>
                <w:rFonts w:ascii="Arial" w:hAnsi="Arial" w:cs="Arial"/>
                <w:sz w:val="14"/>
                <w:lang w:val="es-ES"/>
              </w:rPr>
            </w:pPr>
            <w:r w:rsidRPr="00993936">
              <w:rPr>
                <w:rFonts w:ascii="Arial" w:hAnsi="Arial" w:cs="Arial"/>
                <w:b/>
                <w:snapToGrid w:val="0"/>
                <w:sz w:val="14"/>
                <w:lang w:val="es-ES"/>
              </w:rPr>
              <w:t>Umbral</w:t>
            </w:r>
          </w:p>
        </w:tc>
        <w:tc>
          <w:tcPr>
            <w:tcW w:w="1414" w:type="dxa"/>
            <w:shd w:val="pct12" w:color="auto" w:fill="FFFFFF"/>
            <w:vAlign w:val="center"/>
          </w:tcPr>
          <w:p w:rsidR="00503A41" w:rsidRPr="00993936" w:rsidRDefault="00503A41" w:rsidP="001C0FFB">
            <w:pPr>
              <w:jc w:val="center"/>
              <w:rPr>
                <w:rFonts w:ascii="Arial" w:hAnsi="Arial" w:cs="Arial"/>
                <w:sz w:val="14"/>
                <w:lang w:val="es-ES"/>
              </w:rPr>
            </w:pPr>
            <w:r w:rsidRPr="00993936">
              <w:rPr>
                <w:rFonts w:ascii="Arial" w:hAnsi="Arial" w:cs="Arial"/>
                <w:b/>
                <w:snapToGrid w:val="0"/>
                <w:sz w:val="14"/>
                <w:lang w:val="es-ES"/>
              </w:rPr>
              <w:t>Época</w:t>
            </w:r>
          </w:p>
        </w:tc>
        <w:tc>
          <w:tcPr>
            <w:tcW w:w="1414" w:type="dxa"/>
            <w:shd w:val="pct12" w:color="auto" w:fill="FFFFFF"/>
            <w:vAlign w:val="center"/>
          </w:tcPr>
          <w:p w:rsidR="00503A41" w:rsidRPr="00993936" w:rsidRDefault="00503A41" w:rsidP="001D205D">
            <w:pPr>
              <w:jc w:val="center"/>
              <w:rPr>
                <w:rFonts w:ascii="Arial" w:hAnsi="Arial" w:cs="Arial"/>
                <w:sz w:val="14"/>
                <w:lang w:val="es-ES"/>
              </w:rPr>
            </w:pPr>
            <w:r w:rsidRPr="00993936">
              <w:rPr>
                <w:rFonts w:ascii="Arial" w:hAnsi="Arial" w:cs="Arial"/>
                <w:b/>
                <w:snapToGrid w:val="0"/>
                <w:sz w:val="14"/>
                <w:lang w:val="es-ES"/>
              </w:rPr>
              <w:t>Fauna auxiliar autóctona y/o sueltas</w:t>
            </w:r>
          </w:p>
        </w:tc>
        <w:tc>
          <w:tcPr>
            <w:tcW w:w="1232" w:type="dxa"/>
            <w:shd w:val="pct12" w:color="auto" w:fill="FFFFFF"/>
            <w:vAlign w:val="center"/>
          </w:tcPr>
          <w:p w:rsidR="00503A41" w:rsidRPr="00993936" w:rsidRDefault="00503A41" w:rsidP="001C0FFB">
            <w:pPr>
              <w:jc w:val="center"/>
              <w:rPr>
                <w:rFonts w:ascii="Arial" w:hAnsi="Arial" w:cs="Arial"/>
                <w:sz w:val="14"/>
                <w:lang w:val="es-ES"/>
              </w:rPr>
            </w:pPr>
            <w:r w:rsidRPr="00993936">
              <w:rPr>
                <w:rFonts w:ascii="Arial" w:hAnsi="Arial" w:cs="Arial"/>
                <w:b/>
                <w:snapToGrid w:val="0"/>
                <w:sz w:val="14"/>
                <w:lang w:val="es-ES"/>
              </w:rPr>
              <w:t>Insecticidas biológicos y/o químicos</w:t>
            </w:r>
          </w:p>
        </w:tc>
        <w:tc>
          <w:tcPr>
            <w:tcW w:w="1596" w:type="dxa"/>
            <w:shd w:val="pct12" w:color="auto" w:fill="FFFFFF"/>
            <w:vAlign w:val="center"/>
          </w:tcPr>
          <w:p w:rsidR="00503A41" w:rsidRPr="00993936" w:rsidRDefault="00503A41" w:rsidP="001C0FFB">
            <w:pPr>
              <w:jc w:val="center"/>
              <w:rPr>
                <w:rFonts w:ascii="Arial" w:hAnsi="Arial" w:cs="Arial"/>
                <w:sz w:val="14"/>
                <w:lang w:val="es-ES"/>
              </w:rPr>
            </w:pPr>
            <w:r w:rsidRPr="00993936">
              <w:rPr>
                <w:rFonts w:ascii="Arial" w:hAnsi="Arial" w:cs="Arial"/>
                <w:b/>
                <w:snapToGrid w:val="0"/>
                <w:sz w:val="14"/>
                <w:lang w:val="es-ES"/>
              </w:rPr>
              <w:t>Otros</w:t>
            </w:r>
          </w:p>
        </w:tc>
      </w:tr>
      <w:tr w:rsidR="00503A41" w:rsidRPr="00993936" w:rsidTr="001C0FFB">
        <w:trPr>
          <w:cantSplit/>
        </w:trPr>
        <w:tc>
          <w:tcPr>
            <w:tcW w:w="1414" w:type="dxa"/>
            <w:vAlign w:val="center"/>
          </w:tcPr>
          <w:p w:rsidR="00503A41" w:rsidRPr="00993936" w:rsidRDefault="00503A41" w:rsidP="001D205D">
            <w:pPr>
              <w:jc w:val="center"/>
              <w:rPr>
                <w:rFonts w:ascii="Arial" w:hAnsi="Arial" w:cs="Arial"/>
                <w:sz w:val="14"/>
                <w:lang w:val="es-ES"/>
              </w:rPr>
            </w:pPr>
            <w:r w:rsidRPr="00993936">
              <w:rPr>
                <w:rFonts w:ascii="Arial" w:hAnsi="Arial" w:cs="Arial"/>
                <w:b/>
                <w:sz w:val="14"/>
                <w:lang w:val="es-ES"/>
              </w:rPr>
              <w:t>Margaronia, Glifodes</w:t>
            </w:r>
            <w:r w:rsidRPr="00993936">
              <w:rPr>
                <w:rFonts w:ascii="Arial" w:hAnsi="Arial" w:cs="Arial"/>
                <w:b/>
                <w:i/>
                <w:sz w:val="14"/>
                <w:lang w:val="es-ES"/>
              </w:rPr>
              <w:t xml:space="preserve"> </w:t>
            </w:r>
            <w:r w:rsidRPr="00993936">
              <w:rPr>
                <w:rFonts w:ascii="Arial" w:hAnsi="Arial" w:cs="Arial"/>
                <w:i/>
                <w:sz w:val="14"/>
                <w:lang w:val="es-ES"/>
              </w:rPr>
              <w:t>Margaronia unionalis</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Brote (solamente en árboles en formación)</w:t>
            </w:r>
          </w:p>
        </w:tc>
        <w:tc>
          <w:tcPr>
            <w:tcW w:w="1070" w:type="dxa"/>
            <w:vAlign w:val="center"/>
          </w:tcPr>
          <w:p w:rsidR="00503A41" w:rsidRPr="00993936" w:rsidRDefault="00503A41" w:rsidP="001C0FFB">
            <w:pPr>
              <w:widowControl w:val="0"/>
              <w:jc w:val="center"/>
              <w:rPr>
                <w:rFonts w:ascii="Arial" w:hAnsi="Arial" w:cs="Arial"/>
                <w:snapToGrid w:val="0"/>
                <w:sz w:val="14"/>
                <w:lang w:val="es-ES"/>
              </w:rPr>
            </w:pPr>
          </w:p>
          <w:p w:rsidR="00503A41" w:rsidRPr="00993936" w:rsidRDefault="00503A41" w:rsidP="001C0FFB">
            <w:pPr>
              <w:widowControl w:val="0"/>
              <w:jc w:val="center"/>
              <w:rPr>
                <w:rFonts w:ascii="Arial" w:hAnsi="Arial" w:cs="Arial"/>
                <w:snapToGrid w:val="0"/>
                <w:sz w:val="14"/>
                <w:lang w:val="es-ES"/>
              </w:rPr>
            </w:pPr>
          </w:p>
          <w:p w:rsidR="00503A41" w:rsidRPr="00993936" w:rsidRDefault="00503A41" w:rsidP="001C0FFB">
            <w:pPr>
              <w:widowControl w:val="0"/>
              <w:jc w:val="center"/>
              <w:rPr>
                <w:rFonts w:ascii="Arial" w:hAnsi="Arial" w:cs="Arial"/>
                <w:snapToGrid w:val="0"/>
                <w:sz w:val="14"/>
                <w:lang w:val="es-ES"/>
              </w:rPr>
            </w:pPr>
            <w:r w:rsidRPr="00993936">
              <w:rPr>
                <w:rFonts w:ascii="Arial" w:hAnsi="Arial" w:cs="Arial"/>
                <w:snapToGrid w:val="0"/>
                <w:sz w:val="14"/>
                <w:lang w:val="es-ES"/>
              </w:rPr>
              <w:t>40</w:t>
            </w:r>
          </w:p>
        </w:tc>
        <w:tc>
          <w:tcPr>
            <w:tcW w:w="1758"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Número de brotes afectados</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 xml:space="preserve">3 trampas con feromona o </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1 trampa de luz</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Presencia</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Presencia de larvas vivas o</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Final de curva de vuelo de adultos</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i/>
                <w:snapToGrid w:val="0"/>
                <w:sz w:val="14"/>
                <w:lang w:val="es-ES"/>
              </w:rPr>
              <w:t>Apanteles sp.</w:t>
            </w:r>
          </w:p>
        </w:tc>
        <w:tc>
          <w:tcPr>
            <w:tcW w:w="1232" w:type="dxa"/>
            <w:vMerge w:val="restart"/>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z w:val="14"/>
                <w:lang w:val="es-ES"/>
              </w:rPr>
              <w:t>Ved anexo 2.3</w:t>
            </w:r>
          </w:p>
        </w:tc>
        <w:tc>
          <w:tcPr>
            <w:tcW w:w="1596" w:type="dxa"/>
            <w:vAlign w:val="center"/>
          </w:tcPr>
          <w:p w:rsidR="00503A41" w:rsidRPr="00993936" w:rsidRDefault="00503A41" w:rsidP="001C0FFB">
            <w:pPr>
              <w:widowControl w:val="0"/>
              <w:rPr>
                <w:rFonts w:ascii="Arial" w:hAnsi="Arial" w:cs="Arial"/>
                <w:snapToGrid w:val="0"/>
                <w:sz w:val="14"/>
                <w:lang w:val="es-ES"/>
              </w:rPr>
            </w:pPr>
          </w:p>
        </w:tc>
      </w:tr>
      <w:tr w:rsidR="00503A41" w:rsidRPr="00993936" w:rsidTr="001C0FFB">
        <w:trPr>
          <w:cantSplit/>
        </w:trPr>
        <w:tc>
          <w:tcPr>
            <w:tcW w:w="1414" w:type="dxa"/>
            <w:vAlign w:val="center"/>
          </w:tcPr>
          <w:p w:rsidR="00503A41" w:rsidRPr="00993936" w:rsidRDefault="00503A41" w:rsidP="001C0FFB">
            <w:pPr>
              <w:widowControl w:val="0"/>
              <w:jc w:val="center"/>
              <w:rPr>
                <w:rFonts w:ascii="Arial" w:hAnsi="Arial" w:cs="Arial"/>
                <w:snapToGrid w:val="0"/>
                <w:sz w:val="14"/>
                <w:lang w:val="es-ES"/>
              </w:rPr>
            </w:pPr>
          </w:p>
          <w:p w:rsidR="00503A41" w:rsidRPr="00993936" w:rsidRDefault="00503A41" w:rsidP="001C0FFB">
            <w:pPr>
              <w:jc w:val="center"/>
              <w:rPr>
                <w:rFonts w:ascii="Arial" w:hAnsi="Arial" w:cs="Arial"/>
                <w:b/>
                <w:i/>
                <w:sz w:val="14"/>
                <w:lang w:val="es-ES"/>
              </w:rPr>
            </w:pPr>
            <w:r w:rsidRPr="00993936">
              <w:rPr>
                <w:rFonts w:ascii="Arial" w:hAnsi="Arial" w:cs="Arial"/>
                <w:b/>
                <w:sz w:val="14"/>
                <w:lang w:val="es-ES"/>
              </w:rPr>
              <w:t>Piral</w:t>
            </w:r>
            <w:r w:rsidRPr="00993936">
              <w:rPr>
                <w:rFonts w:ascii="Arial" w:hAnsi="Arial" w:cs="Arial"/>
                <w:b/>
                <w:i/>
                <w:sz w:val="14"/>
                <w:lang w:val="es-ES"/>
              </w:rPr>
              <w:t xml:space="preserve"> </w:t>
            </w:r>
          </w:p>
          <w:p w:rsidR="00503A41" w:rsidRPr="00993936" w:rsidRDefault="00503A41" w:rsidP="001D205D">
            <w:pPr>
              <w:jc w:val="center"/>
              <w:rPr>
                <w:rFonts w:ascii="Arial" w:hAnsi="Arial" w:cs="Arial"/>
                <w:sz w:val="14"/>
                <w:lang w:val="es-ES"/>
              </w:rPr>
            </w:pPr>
            <w:r w:rsidRPr="00993936">
              <w:rPr>
                <w:rFonts w:ascii="Arial" w:hAnsi="Arial" w:cs="Arial"/>
                <w:i/>
                <w:sz w:val="14"/>
                <w:lang w:val="es-ES"/>
              </w:rPr>
              <w:t>Euzophera pingüis</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D205D">
            <w:pPr>
              <w:widowControl w:val="0"/>
              <w:rPr>
                <w:rFonts w:ascii="Arial" w:hAnsi="Arial" w:cs="Arial"/>
                <w:snapToGrid w:val="0"/>
                <w:sz w:val="14"/>
                <w:lang w:val="es-ES"/>
              </w:rPr>
            </w:pPr>
            <w:r w:rsidRPr="00993936">
              <w:rPr>
                <w:rFonts w:ascii="Arial" w:hAnsi="Arial" w:cs="Arial"/>
                <w:snapToGrid w:val="0"/>
                <w:sz w:val="14"/>
                <w:lang w:val="es-ES"/>
              </w:rPr>
              <w:t>Tronco y ramas</w:t>
            </w:r>
          </w:p>
        </w:tc>
        <w:tc>
          <w:tcPr>
            <w:tcW w:w="1070" w:type="dxa"/>
            <w:vAlign w:val="center"/>
          </w:tcPr>
          <w:p w:rsidR="00503A41" w:rsidRPr="00993936" w:rsidRDefault="00503A41" w:rsidP="001C0FFB">
            <w:pPr>
              <w:widowControl w:val="0"/>
              <w:jc w:val="center"/>
              <w:rPr>
                <w:rFonts w:ascii="Arial" w:hAnsi="Arial" w:cs="Arial"/>
                <w:snapToGrid w:val="0"/>
                <w:sz w:val="14"/>
                <w:lang w:val="es-ES"/>
              </w:rPr>
            </w:pPr>
          </w:p>
          <w:p w:rsidR="00503A41" w:rsidRPr="00993936" w:rsidRDefault="00503A41" w:rsidP="001C0FFB">
            <w:pPr>
              <w:widowControl w:val="0"/>
              <w:jc w:val="center"/>
              <w:rPr>
                <w:rFonts w:ascii="Arial" w:hAnsi="Arial" w:cs="Arial"/>
                <w:snapToGrid w:val="0"/>
                <w:sz w:val="14"/>
                <w:lang w:val="es-ES"/>
              </w:rPr>
            </w:pPr>
            <w:r w:rsidRPr="00993936">
              <w:rPr>
                <w:rFonts w:ascii="Arial" w:hAnsi="Arial" w:cs="Arial"/>
                <w:snapToGrid w:val="0"/>
                <w:sz w:val="14"/>
                <w:lang w:val="es-ES"/>
              </w:rPr>
              <w:t>40</w:t>
            </w:r>
          </w:p>
        </w:tc>
        <w:tc>
          <w:tcPr>
            <w:tcW w:w="1758"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Número de galerías con oruga viva</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3 trampas con feromona</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A criterio del técnico</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Caída de la curva de vuelo</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232" w:type="dxa"/>
            <w:vMerge/>
            <w:vAlign w:val="center"/>
          </w:tcPr>
          <w:p w:rsidR="00503A41" w:rsidRPr="00993936" w:rsidRDefault="00503A41" w:rsidP="001C0FFB">
            <w:pPr>
              <w:widowControl w:val="0"/>
              <w:rPr>
                <w:rFonts w:ascii="Arial" w:hAnsi="Arial" w:cs="Arial"/>
                <w:snapToGrid w:val="0"/>
                <w:sz w:val="14"/>
                <w:lang w:val="es-ES"/>
              </w:rPr>
            </w:pPr>
          </w:p>
        </w:tc>
        <w:tc>
          <w:tcPr>
            <w:tcW w:w="1596" w:type="dxa"/>
            <w:vAlign w:val="center"/>
          </w:tcPr>
          <w:p w:rsidR="00503A41" w:rsidRPr="00993936" w:rsidRDefault="00503A41" w:rsidP="001C0FFB">
            <w:pPr>
              <w:widowControl w:val="0"/>
              <w:rPr>
                <w:rFonts w:ascii="Arial" w:hAnsi="Arial" w:cs="Arial"/>
                <w:snapToGrid w:val="0"/>
                <w:sz w:val="14"/>
                <w:lang w:val="es-ES"/>
              </w:rPr>
            </w:pPr>
          </w:p>
        </w:tc>
      </w:tr>
      <w:tr w:rsidR="00503A41" w:rsidRPr="00993936" w:rsidTr="001C0FFB">
        <w:trPr>
          <w:cantSplit/>
        </w:trPr>
        <w:tc>
          <w:tcPr>
            <w:tcW w:w="1414" w:type="dxa"/>
            <w:vAlign w:val="center"/>
          </w:tcPr>
          <w:p w:rsidR="00503A41" w:rsidRPr="00993936" w:rsidRDefault="00503A41" w:rsidP="001C0FFB">
            <w:pPr>
              <w:jc w:val="center"/>
              <w:rPr>
                <w:rFonts w:ascii="Arial" w:hAnsi="Arial" w:cs="Arial"/>
                <w:i/>
                <w:sz w:val="14"/>
                <w:lang w:val="es-ES"/>
              </w:rPr>
            </w:pPr>
            <w:r w:rsidRPr="00993936">
              <w:rPr>
                <w:rFonts w:ascii="Arial" w:hAnsi="Arial" w:cs="Arial"/>
                <w:b/>
                <w:sz w:val="14"/>
                <w:lang w:val="es-ES"/>
              </w:rPr>
              <w:t>Pulgón algodonoso</w:t>
            </w:r>
          </w:p>
          <w:p w:rsidR="00503A41" w:rsidRPr="00993936" w:rsidRDefault="00503A41" w:rsidP="001C0FFB">
            <w:pPr>
              <w:jc w:val="center"/>
              <w:rPr>
                <w:rFonts w:ascii="Arial" w:hAnsi="Arial" w:cs="Arial"/>
                <w:snapToGrid w:val="0"/>
                <w:sz w:val="14"/>
                <w:lang w:val="es-ES"/>
              </w:rPr>
            </w:pPr>
            <w:r w:rsidRPr="00993936">
              <w:rPr>
                <w:rFonts w:ascii="Arial" w:hAnsi="Arial" w:cs="Arial"/>
                <w:i/>
                <w:sz w:val="14"/>
                <w:lang w:val="es-ES"/>
              </w:rPr>
              <w:t>Euphyllura olivina</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Inflorescencias</w:t>
            </w:r>
          </w:p>
        </w:tc>
        <w:tc>
          <w:tcPr>
            <w:tcW w:w="1070" w:type="dxa"/>
            <w:vAlign w:val="center"/>
          </w:tcPr>
          <w:p w:rsidR="00503A41" w:rsidRPr="00993936" w:rsidRDefault="00503A41" w:rsidP="001C0FFB">
            <w:pPr>
              <w:widowControl w:val="0"/>
              <w:jc w:val="center"/>
              <w:rPr>
                <w:rFonts w:ascii="Arial" w:hAnsi="Arial" w:cs="Arial"/>
                <w:snapToGrid w:val="0"/>
                <w:sz w:val="14"/>
                <w:lang w:val="es-ES"/>
              </w:rPr>
            </w:pPr>
            <w:r w:rsidRPr="00993936">
              <w:rPr>
                <w:rFonts w:ascii="Arial" w:hAnsi="Arial" w:cs="Arial"/>
                <w:snapToGrid w:val="0"/>
                <w:sz w:val="14"/>
                <w:lang w:val="es-ES"/>
              </w:rPr>
              <w:t>120</w:t>
            </w:r>
          </w:p>
        </w:tc>
        <w:tc>
          <w:tcPr>
            <w:tcW w:w="1758"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 inflorescencias afectadas</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Si &gt; 25% a criterio del técnico</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Antes de floración</w:t>
            </w: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 D-E)</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232" w:type="dxa"/>
            <w:vMerge/>
            <w:vAlign w:val="center"/>
          </w:tcPr>
          <w:p w:rsidR="00503A41" w:rsidRPr="00993936" w:rsidRDefault="00503A41" w:rsidP="001C0FFB">
            <w:pPr>
              <w:widowControl w:val="0"/>
              <w:rPr>
                <w:rFonts w:ascii="Arial" w:hAnsi="Arial" w:cs="Arial"/>
                <w:snapToGrid w:val="0"/>
                <w:sz w:val="14"/>
                <w:lang w:val="es-ES"/>
              </w:rPr>
            </w:pPr>
          </w:p>
        </w:tc>
        <w:tc>
          <w:tcPr>
            <w:tcW w:w="1596" w:type="dxa"/>
            <w:vAlign w:val="center"/>
          </w:tcPr>
          <w:p w:rsidR="00503A41" w:rsidRPr="00993936" w:rsidRDefault="00503A41" w:rsidP="001D205D">
            <w:pPr>
              <w:widowControl w:val="0"/>
              <w:rPr>
                <w:rFonts w:ascii="Arial" w:hAnsi="Arial" w:cs="Arial"/>
                <w:snapToGrid w:val="0"/>
                <w:sz w:val="14"/>
                <w:lang w:val="es-ES"/>
              </w:rPr>
            </w:pPr>
            <w:r w:rsidRPr="00993936">
              <w:rPr>
                <w:rFonts w:ascii="Arial" w:hAnsi="Arial" w:cs="Arial"/>
                <w:snapToGrid w:val="0"/>
                <w:sz w:val="14"/>
                <w:lang w:val="es-ES"/>
              </w:rPr>
              <w:t>Lavados con agua y mojante</w:t>
            </w:r>
          </w:p>
        </w:tc>
      </w:tr>
      <w:tr w:rsidR="00503A41" w:rsidRPr="00993936" w:rsidTr="001C0FFB">
        <w:trPr>
          <w:cantSplit/>
        </w:trPr>
        <w:tc>
          <w:tcPr>
            <w:tcW w:w="1414" w:type="dxa"/>
            <w:vAlign w:val="center"/>
          </w:tcPr>
          <w:p w:rsidR="00503A41" w:rsidRPr="00993936" w:rsidRDefault="00503A41" w:rsidP="001C0FFB">
            <w:pPr>
              <w:jc w:val="center"/>
              <w:rPr>
                <w:rFonts w:ascii="Arial" w:hAnsi="Arial" w:cs="Arial"/>
                <w:b/>
                <w:sz w:val="14"/>
                <w:lang w:val="es-ES"/>
              </w:rPr>
            </w:pPr>
            <w:r w:rsidRPr="00993936">
              <w:rPr>
                <w:rFonts w:ascii="Arial" w:hAnsi="Arial" w:cs="Arial"/>
                <w:b/>
                <w:sz w:val="14"/>
                <w:lang w:val="es-ES"/>
              </w:rPr>
              <w:t>Barrenillo</w:t>
            </w:r>
          </w:p>
          <w:p w:rsidR="00503A41" w:rsidRPr="00993936" w:rsidRDefault="00503A41" w:rsidP="001C0FFB">
            <w:pPr>
              <w:jc w:val="center"/>
              <w:rPr>
                <w:rFonts w:ascii="Arial" w:hAnsi="Arial" w:cs="Arial"/>
                <w:sz w:val="14"/>
                <w:lang w:val="es-ES"/>
              </w:rPr>
            </w:pPr>
            <w:r w:rsidRPr="00993936">
              <w:rPr>
                <w:rFonts w:ascii="Arial" w:hAnsi="Arial" w:cs="Arial"/>
                <w:i/>
                <w:sz w:val="14"/>
                <w:lang w:val="es-ES"/>
              </w:rPr>
              <w:t>Phloeotribus scarabaeoides</w:t>
            </w:r>
          </w:p>
          <w:p w:rsidR="00503A41" w:rsidRPr="00993936" w:rsidRDefault="00503A41" w:rsidP="001C0FFB">
            <w:pPr>
              <w:widowControl w:val="0"/>
              <w:jc w:val="center"/>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D205D">
            <w:pPr>
              <w:widowControl w:val="0"/>
              <w:rPr>
                <w:rFonts w:ascii="Arial" w:hAnsi="Arial" w:cs="Arial"/>
                <w:snapToGrid w:val="0"/>
                <w:sz w:val="14"/>
                <w:lang w:val="es-ES"/>
              </w:rPr>
            </w:pPr>
            <w:r w:rsidRPr="00993936">
              <w:rPr>
                <w:rFonts w:ascii="Arial" w:hAnsi="Arial" w:cs="Arial"/>
                <w:snapToGrid w:val="0"/>
                <w:sz w:val="14"/>
                <w:lang w:val="es-ES"/>
              </w:rPr>
              <w:t>Rama</w:t>
            </w:r>
          </w:p>
        </w:tc>
        <w:tc>
          <w:tcPr>
            <w:tcW w:w="1070" w:type="dxa"/>
            <w:vAlign w:val="center"/>
          </w:tcPr>
          <w:p w:rsidR="00503A41" w:rsidRPr="00993936" w:rsidRDefault="00503A41" w:rsidP="001C0FFB">
            <w:pPr>
              <w:widowControl w:val="0"/>
              <w:jc w:val="center"/>
              <w:rPr>
                <w:rFonts w:ascii="Arial" w:hAnsi="Arial" w:cs="Arial"/>
                <w:snapToGrid w:val="0"/>
                <w:sz w:val="14"/>
                <w:lang w:val="es-ES"/>
              </w:rPr>
            </w:pPr>
          </w:p>
          <w:p w:rsidR="00503A41" w:rsidRPr="00993936" w:rsidRDefault="00503A41" w:rsidP="001C0FFB">
            <w:pPr>
              <w:widowControl w:val="0"/>
              <w:jc w:val="center"/>
              <w:rPr>
                <w:rFonts w:ascii="Arial" w:hAnsi="Arial" w:cs="Arial"/>
                <w:snapToGrid w:val="0"/>
                <w:sz w:val="14"/>
                <w:lang w:val="es-ES"/>
              </w:rPr>
            </w:pPr>
            <w:r w:rsidRPr="00993936">
              <w:rPr>
                <w:rFonts w:ascii="Arial" w:hAnsi="Arial" w:cs="Arial"/>
                <w:snapToGrid w:val="0"/>
                <w:sz w:val="14"/>
                <w:lang w:val="es-ES"/>
              </w:rPr>
              <w:t>40</w:t>
            </w:r>
          </w:p>
        </w:tc>
        <w:tc>
          <w:tcPr>
            <w:tcW w:w="1758"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D205D">
            <w:pPr>
              <w:widowControl w:val="0"/>
              <w:rPr>
                <w:rFonts w:ascii="Arial" w:hAnsi="Arial" w:cs="Arial"/>
                <w:snapToGrid w:val="0"/>
                <w:sz w:val="14"/>
                <w:lang w:val="es-ES"/>
              </w:rPr>
            </w:pPr>
            <w:r w:rsidRPr="00993936">
              <w:rPr>
                <w:rFonts w:ascii="Arial" w:hAnsi="Arial" w:cs="Arial"/>
                <w:snapToGrid w:val="0"/>
                <w:sz w:val="14"/>
                <w:lang w:val="es-ES"/>
              </w:rPr>
              <w:t>(%) de ramas atacadas</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Rames cebo</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&gt;10% de ramos con adultos vivos</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D205D">
            <w:pPr>
              <w:widowControl w:val="0"/>
              <w:rPr>
                <w:rFonts w:ascii="Arial" w:hAnsi="Arial" w:cs="Arial"/>
                <w:snapToGrid w:val="0"/>
                <w:sz w:val="14"/>
                <w:lang w:val="es-ES"/>
              </w:rPr>
            </w:pPr>
            <w:r w:rsidRPr="00993936">
              <w:rPr>
                <w:rFonts w:ascii="Arial" w:hAnsi="Arial" w:cs="Arial"/>
                <w:snapToGrid w:val="0"/>
                <w:sz w:val="14"/>
                <w:lang w:val="es-ES"/>
              </w:rPr>
              <w:t>A la salida de adultos de las ramas cebo</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232" w:type="dxa"/>
            <w:vMerge/>
            <w:vAlign w:val="center"/>
          </w:tcPr>
          <w:p w:rsidR="00503A41" w:rsidRPr="00993936" w:rsidRDefault="00503A41" w:rsidP="001C0FFB">
            <w:pPr>
              <w:widowControl w:val="0"/>
              <w:rPr>
                <w:rFonts w:ascii="Arial" w:hAnsi="Arial" w:cs="Arial"/>
                <w:snapToGrid w:val="0"/>
                <w:sz w:val="14"/>
                <w:lang w:val="es-ES"/>
              </w:rPr>
            </w:pPr>
          </w:p>
        </w:tc>
        <w:tc>
          <w:tcPr>
            <w:tcW w:w="1596" w:type="dxa"/>
          </w:tcPr>
          <w:p w:rsidR="00503A41" w:rsidRPr="00993936" w:rsidRDefault="00503A41" w:rsidP="001D205D">
            <w:pPr>
              <w:pStyle w:val="Piedepgina"/>
              <w:widowControl w:val="0"/>
              <w:tabs>
                <w:tab w:val="clear" w:pos="4252"/>
                <w:tab w:val="clear" w:pos="8504"/>
              </w:tabs>
              <w:rPr>
                <w:rFonts w:ascii="Arial" w:hAnsi="Arial" w:cs="Arial"/>
                <w:snapToGrid w:val="0"/>
                <w:sz w:val="14"/>
                <w:lang w:val="es-ES"/>
              </w:rPr>
            </w:pPr>
            <w:r w:rsidRPr="00993936">
              <w:rPr>
                <w:rFonts w:ascii="Arial" w:hAnsi="Arial" w:cs="Arial"/>
                <w:snapToGrid w:val="0"/>
                <w:sz w:val="14"/>
                <w:lang w:val="es-ES"/>
              </w:rPr>
              <w:t>Recogida de ramas de poda, antes de la salida de adultos y almacenamiento adecuado de la leña (Orden 29-10-23)</w:t>
            </w:r>
          </w:p>
        </w:tc>
      </w:tr>
      <w:tr w:rsidR="00503A41" w:rsidRPr="00993936" w:rsidTr="001C0FFB">
        <w:trPr>
          <w:cantSplit/>
        </w:trPr>
        <w:tc>
          <w:tcPr>
            <w:tcW w:w="1414" w:type="dxa"/>
            <w:vMerge w:val="restart"/>
            <w:vAlign w:val="center"/>
          </w:tcPr>
          <w:p w:rsidR="00503A41" w:rsidRPr="00993936" w:rsidRDefault="00503A41" w:rsidP="001C0FFB">
            <w:pPr>
              <w:widowControl w:val="0"/>
              <w:jc w:val="center"/>
              <w:rPr>
                <w:rFonts w:ascii="Arial" w:hAnsi="Arial" w:cs="Arial"/>
                <w:snapToGrid w:val="0"/>
                <w:sz w:val="14"/>
                <w:lang w:val="es-ES"/>
              </w:rPr>
            </w:pPr>
          </w:p>
          <w:p w:rsidR="00503A41" w:rsidRPr="00993936" w:rsidRDefault="00503A41" w:rsidP="001C0FFB">
            <w:pPr>
              <w:jc w:val="center"/>
              <w:rPr>
                <w:rFonts w:ascii="Arial" w:hAnsi="Arial" w:cs="Arial"/>
                <w:sz w:val="14"/>
                <w:lang w:val="es-ES"/>
              </w:rPr>
            </w:pPr>
            <w:r w:rsidRPr="00993936">
              <w:rPr>
                <w:rFonts w:ascii="Arial" w:hAnsi="Arial" w:cs="Arial"/>
                <w:i/>
                <w:sz w:val="14"/>
                <w:lang w:val="es-ES"/>
              </w:rPr>
              <w:t>Otiorrhynchus cibricollis</w:t>
            </w:r>
          </w:p>
          <w:p w:rsidR="00503A41" w:rsidRPr="00993936" w:rsidRDefault="00503A41" w:rsidP="001C0FFB">
            <w:pPr>
              <w:widowControl w:val="0"/>
              <w:jc w:val="center"/>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Hoja</w:t>
            </w:r>
          </w:p>
          <w:p w:rsidR="00503A41" w:rsidRPr="00993936" w:rsidRDefault="00503A41" w:rsidP="001D205D">
            <w:pPr>
              <w:widowControl w:val="0"/>
              <w:rPr>
                <w:rFonts w:ascii="Arial" w:hAnsi="Arial" w:cs="Arial"/>
                <w:snapToGrid w:val="0"/>
                <w:sz w:val="14"/>
                <w:lang w:val="es-ES"/>
              </w:rPr>
            </w:pPr>
            <w:r w:rsidRPr="00993936">
              <w:rPr>
                <w:rFonts w:ascii="Arial" w:hAnsi="Arial" w:cs="Arial"/>
                <w:snapToGrid w:val="0"/>
                <w:sz w:val="14"/>
                <w:lang w:val="es-ES"/>
              </w:rPr>
              <w:t xml:space="preserve">(Árboles jóvenes en formación) </w:t>
            </w:r>
          </w:p>
        </w:tc>
        <w:tc>
          <w:tcPr>
            <w:tcW w:w="1070" w:type="dxa"/>
            <w:vAlign w:val="center"/>
          </w:tcPr>
          <w:p w:rsidR="00503A41" w:rsidRPr="00993936" w:rsidRDefault="00503A41" w:rsidP="001C0FFB">
            <w:pPr>
              <w:widowControl w:val="0"/>
              <w:rPr>
                <w:rFonts w:ascii="Arial" w:hAnsi="Arial" w:cs="Arial"/>
                <w:snapToGrid w:val="0"/>
                <w:sz w:val="14"/>
                <w:lang w:val="es-ES"/>
              </w:rPr>
            </w:pPr>
          </w:p>
        </w:tc>
        <w:tc>
          <w:tcPr>
            <w:tcW w:w="1758"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 de hoja atacada</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Presencia</w:t>
            </w:r>
          </w:p>
        </w:tc>
        <w:tc>
          <w:tcPr>
            <w:tcW w:w="1414" w:type="dxa"/>
            <w:vAlign w:val="center"/>
          </w:tcPr>
          <w:p w:rsidR="00503A41" w:rsidRPr="00993936" w:rsidRDefault="00503A41" w:rsidP="001C0FFB">
            <w:pPr>
              <w:widowControl w:val="0"/>
              <w:rPr>
                <w:rFonts w:ascii="Arial" w:hAnsi="Arial" w:cs="Arial"/>
                <w:snapToGrid w:val="0"/>
                <w:sz w:val="14"/>
                <w:lang w:val="es-ES"/>
              </w:rPr>
            </w:pPr>
          </w:p>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Constatación daños recientes</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232" w:type="dxa"/>
            <w:vMerge/>
            <w:vAlign w:val="center"/>
          </w:tcPr>
          <w:p w:rsidR="00503A41" w:rsidRPr="00993936" w:rsidRDefault="00503A41" w:rsidP="001C0FFB">
            <w:pPr>
              <w:widowControl w:val="0"/>
              <w:rPr>
                <w:rFonts w:ascii="Arial" w:hAnsi="Arial" w:cs="Arial"/>
                <w:snapToGrid w:val="0"/>
                <w:sz w:val="14"/>
                <w:lang w:val="es-ES"/>
              </w:rPr>
            </w:pPr>
          </w:p>
        </w:tc>
        <w:tc>
          <w:tcPr>
            <w:tcW w:w="1596" w:type="dxa"/>
          </w:tcPr>
          <w:p w:rsidR="00503A41" w:rsidRPr="00993936" w:rsidRDefault="00503A41" w:rsidP="001C0FFB">
            <w:pPr>
              <w:pStyle w:val="Textoindependiente"/>
              <w:rPr>
                <w:rFonts w:cs="Arial"/>
                <w:sz w:val="14"/>
                <w:lang w:val="es-ES"/>
              </w:rPr>
            </w:pPr>
          </w:p>
          <w:p w:rsidR="00503A41" w:rsidRPr="00993936" w:rsidRDefault="00503A41" w:rsidP="001C0FFB">
            <w:pPr>
              <w:widowControl w:val="0"/>
              <w:rPr>
                <w:rFonts w:ascii="Arial" w:hAnsi="Arial" w:cs="Arial"/>
                <w:snapToGrid w:val="0"/>
                <w:sz w:val="14"/>
                <w:lang w:val="es-ES"/>
              </w:rPr>
            </w:pPr>
          </w:p>
        </w:tc>
      </w:tr>
      <w:tr w:rsidR="00503A41" w:rsidRPr="00993936" w:rsidTr="001C0FFB">
        <w:trPr>
          <w:cantSplit/>
        </w:trPr>
        <w:tc>
          <w:tcPr>
            <w:tcW w:w="1414" w:type="dxa"/>
            <w:vMerge/>
            <w:vAlign w:val="center"/>
          </w:tcPr>
          <w:p w:rsidR="00503A41" w:rsidRPr="00993936" w:rsidRDefault="00503A41" w:rsidP="001C0FFB">
            <w:pPr>
              <w:widowControl w:val="0"/>
              <w:jc w:val="center"/>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En árboles adultos</w:t>
            </w:r>
          </w:p>
        </w:tc>
        <w:tc>
          <w:tcPr>
            <w:tcW w:w="1070" w:type="dxa"/>
            <w:vAlign w:val="center"/>
          </w:tcPr>
          <w:p w:rsidR="00503A41" w:rsidRPr="00993936" w:rsidRDefault="00503A41" w:rsidP="001C0FFB">
            <w:pPr>
              <w:widowControl w:val="0"/>
              <w:jc w:val="center"/>
              <w:rPr>
                <w:rFonts w:ascii="Arial" w:hAnsi="Arial" w:cs="Arial"/>
                <w:snapToGrid w:val="0"/>
                <w:sz w:val="14"/>
                <w:lang w:val="es-ES"/>
              </w:rPr>
            </w:pPr>
          </w:p>
        </w:tc>
        <w:tc>
          <w:tcPr>
            <w:tcW w:w="1758" w:type="dxa"/>
            <w:vAlign w:val="center"/>
          </w:tcPr>
          <w:p w:rsidR="00503A41" w:rsidRPr="00993936" w:rsidRDefault="00503A41" w:rsidP="001C0FFB">
            <w:pPr>
              <w:widowControl w:val="0"/>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A criterio del técnico</w:t>
            </w:r>
          </w:p>
        </w:tc>
        <w:tc>
          <w:tcPr>
            <w:tcW w:w="1414" w:type="dxa"/>
            <w:vAlign w:val="center"/>
          </w:tcPr>
          <w:p w:rsidR="00503A41" w:rsidRPr="00993936" w:rsidRDefault="00503A41" w:rsidP="001C0FFB">
            <w:pPr>
              <w:widowControl w:val="0"/>
              <w:rPr>
                <w:rFonts w:ascii="Arial" w:hAnsi="Arial" w:cs="Arial"/>
                <w:snapToGrid w:val="0"/>
                <w:sz w:val="14"/>
                <w:lang w:val="es-ES"/>
              </w:rPr>
            </w:pPr>
            <w:r w:rsidRPr="00993936">
              <w:rPr>
                <w:rFonts w:ascii="Arial" w:hAnsi="Arial" w:cs="Arial"/>
                <w:snapToGrid w:val="0"/>
                <w:sz w:val="14"/>
                <w:lang w:val="es-ES"/>
              </w:rPr>
              <w:t>Constatación daños recientes</w:t>
            </w:r>
          </w:p>
        </w:tc>
        <w:tc>
          <w:tcPr>
            <w:tcW w:w="1414" w:type="dxa"/>
            <w:vAlign w:val="center"/>
          </w:tcPr>
          <w:p w:rsidR="00503A41" w:rsidRPr="00993936" w:rsidRDefault="00503A41" w:rsidP="001C0FFB">
            <w:pPr>
              <w:widowControl w:val="0"/>
              <w:rPr>
                <w:rFonts w:ascii="Arial" w:hAnsi="Arial" w:cs="Arial"/>
                <w:snapToGrid w:val="0"/>
                <w:sz w:val="14"/>
                <w:lang w:val="es-ES"/>
              </w:rPr>
            </w:pPr>
          </w:p>
        </w:tc>
        <w:tc>
          <w:tcPr>
            <w:tcW w:w="1232" w:type="dxa"/>
            <w:vMerge/>
            <w:vAlign w:val="center"/>
          </w:tcPr>
          <w:p w:rsidR="00503A41" w:rsidRPr="00993936" w:rsidRDefault="00503A41" w:rsidP="001C0FFB">
            <w:pPr>
              <w:widowControl w:val="0"/>
              <w:rPr>
                <w:rFonts w:ascii="Arial" w:hAnsi="Arial" w:cs="Arial"/>
                <w:snapToGrid w:val="0"/>
                <w:sz w:val="18"/>
                <w:lang w:val="es-ES"/>
              </w:rPr>
            </w:pPr>
          </w:p>
        </w:tc>
        <w:tc>
          <w:tcPr>
            <w:tcW w:w="1596" w:type="dxa"/>
          </w:tcPr>
          <w:p w:rsidR="00503A41" w:rsidRPr="00993936" w:rsidRDefault="00503A41" w:rsidP="001C0FFB">
            <w:pPr>
              <w:widowControl w:val="0"/>
              <w:rPr>
                <w:rFonts w:ascii="Arial" w:hAnsi="Arial" w:cs="Arial"/>
                <w:snapToGrid w:val="0"/>
                <w:sz w:val="18"/>
                <w:lang w:val="es-ES"/>
              </w:rPr>
            </w:pPr>
          </w:p>
        </w:tc>
      </w:tr>
    </w:tbl>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r w:rsidRPr="00993936">
        <w:rPr>
          <w:rFonts w:ascii="Arial" w:hAnsi="Arial" w:cs="Arial"/>
          <w:b/>
          <w:lang w:val="es-ES"/>
        </w:rPr>
        <w:lastRenderedPageBreak/>
        <w:t>2.1.  Listado de plagas, unidades de muestreo, criterios de intervención y métodos de control en producción integrada de Olivas (continuación)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4"/>
        <w:gridCol w:w="1414"/>
        <w:gridCol w:w="1414"/>
        <w:gridCol w:w="1414"/>
        <w:gridCol w:w="1414"/>
        <w:gridCol w:w="1414"/>
        <w:gridCol w:w="1414"/>
        <w:gridCol w:w="1414"/>
        <w:gridCol w:w="1414"/>
        <w:gridCol w:w="1414"/>
      </w:tblGrid>
      <w:tr w:rsidR="00503A41" w:rsidRPr="00993936" w:rsidTr="001C0FFB">
        <w:trPr>
          <w:cantSplit/>
        </w:trPr>
        <w:tc>
          <w:tcPr>
            <w:tcW w:w="1414" w:type="dxa"/>
            <w:vMerge w:val="restart"/>
            <w:shd w:val="pct12" w:color="auto" w:fill="FFFFFF"/>
            <w:vAlign w:val="center"/>
          </w:tcPr>
          <w:p w:rsidR="00503A41" w:rsidRPr="00993936" w:rsidRDefault="00503A41" w:rsidP="001C0FFB">
            <w:pPr>
              <w:pStyle w:val="Ttulo6"/>
              <w:rPr>
                <w:rFonts w:ascii="Arial" w:hAnsi="Arial" w:cs="Arial"/>
                <w:color w:val="auto"/>
                <w:sz w:val="18"/>
                <w:lang w:val="es-ES"/>
              </w:rPr>
            </w:pPr>
            <w:r w:rsidRPr="00993936">
              <w:rPr>
                <w:rFonts w:ascii="Arial" w:hAnsi="Arial" w:cs="Arial"/>
                <w:color w:val="auto"/>
                <w:sz w:val="18"/>
                <w:lang w:val="es-ES"/>
              </w:rPr>
              <w:t>Plagas</w:t>
            </w:r>
          </w:p>
        </w:tc>
        <w:tc>
          <w:tcPr>
            <w:tcW w:w="4242" w:type="dxa"/>
            <w:gridSpan w:val="3"/>
            <w:shd w:val="pct12" w:color="auto" w:fill="FFFFFF"/>
            <w:vAlign w:val="center"/>
          </w:tcPr>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Estimación</w:t>
            </w:r>
            <w:r w:rsidRPr="00993936">
              <w:rPr>
                <w:rFonts w:ascii="Arial" w:hAnsi="Arial" w:cs="Arial"/>
                <w:b/>
                <w:snapToGrid w:val="0"/>
                <w:vanish/>
                <w:sz w:val="18"/>
                <w:lang w:val="es-ES"/>
              </w:rPr>
              <w:t>&lt;A[Estimación|Estima]&gt;</w:t>
            </w:r>
            <w:r w:rsidRPr="00993936">
              <w:rPr>
                <w:rFonts w:ascii="Arial" w:hAnsi="Arial" w:cs="Arial"/>
                <w:b/>
                <w:snapToGrid w:val="0"/>
                <w:sz w:val="18"/>
                <w:lang w:val="es-ES"/>
              </w:rPr>
              <w:t xml:space="preserve"> visual</w:t>
            </w:r>
          </w:p>
        </w:tc>
        <w:tc>
          <w:tcPr>
            <w:tcW w:w="1414" w:type="dxa"/>
            <w:vMerge w:val="restart"/>
            <w:shd w:val="pct12" w:color="auto" w:fill="FFFFFF"/>
            <w:vAlign w:val="center"/>
          </w:tcPr>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Otros métodos</w:t>
            </w:r>
          </w:p>
        </w:tc>
        <w:tc>
          <w:tcPr>
            <w:tcW w:w="2828" w:type="dxa"/>
            <w:gridSpan w:val="2"/>
            <w:vMerge w:val="restart"/>
            <w:shd w:val="pct12" w:color="auto" w:fill="FFFFFF"/>
            <w:vAlign w:val="center"/>
          </w:tcPr>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Criterios de intervención</w:t>
            </w:r>
          </w:p>
        </w:tc>
        <w:tc>
          <w:tcPr>
            <w:tcW w:w="4242" w:type="dxa"/>
            <w:gridSpan w:val="3"/>
            <w:vMerge w:val="restart"/>
            <w:shd w:val="pct12" w:color="auto" w:fill="FFFFFF"/>
            <w:vAlign w:val="center"/>
          </w:tcPr>
          <w:p w:rsidR="00503A41" w:rsidRPr="00993936" w:rsidRDefault="00503A41" w:rsidP="001C0FFB">
            <w:pPr>
              <w:pStyle w:val="Ttulo6"/>
              <w:rPr>
                <w:rFonts w:ascii="Arial" w:hAnsi="Arial" w:cs="Arial"/>
                <w:color w:val="auto"/>
                <w:sz w:val="18"/>
                <w:lang w:val="es-ES"/>
              </w:rPr>
            </w:pPr>
            <w:r w:rsidRPr="00993936">
              <w:rPr>
                <w:rFonts w:ascii="Arial" w:hAnsi="Arial" w:cs="Arial"/>
                <w:color w:val="auto"/>
                <w:sz w:val="18"/>
                <w:lang w:val="es-ES"/>
              </w:rPr>
              <w:t>Métodos de control</w:t>
            </w:r>
          </w:p>
        </w:tc>
      </w:tr>
      <w:tr w:rsidR="00503A41" w:rsidRPr="00993936" w:rsidTr="001C0FFB">
        <w:trPr>
          <w:cantSplit/>
        </w:trPr>
        <w:tc>
          <w:tcPr>
            <w:tcW w:w="1414" w:type="dxa"/>
            <w:vMerge/>
            <w:shd w:val="pct12" w:color="auto" w:fill="FFFFFF"/>
            <w:vAlign w:val="center"/>
          </w:tcPr>
          <w:p w:rsidR="00503A41" w:rsidRPr="00993936" w:rsidRDefault="00503A41" w:rsidP="001C0FFB">
            <w:pPr>
              <w:rPr>
                <w:rFonts w:ascii="Arial" w:hAnsi="Arial" w:cs="Arial"/>
                <w:sz w:val="18"/>
                <w:lang w:val="es-ES"/>
              </w:rPr>
            </w:pPr>
          </w:p>
        </w:tc>
        <w:tc>
          <w:tcPr>
            <w:tcW w:w="4242" w:type="dxa"/>
            <w:gridSpan w:val="3"/>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Unidad muestra secundaria</w:t>
            </w:r>
          </w:p>
        </w:tc>
        <w:tc>
          <w:tcPr>
            <w:tcW w:w="1414" w:type="dxa"/>
            <w:vMerge/>
            <w:shd w:val="pct12" w:color="auto" w:fill="FFFFFF"/>
            <w:vAlign w:val="center"/>
          </w:tcPr>
          <w:p w:rsidR="00503A41" w:rsidRPr="00993936" w:rsidRDefault="00503A41" w:rsidP="001C0FFB">
            <w:pPr>
              <w:jc w:val="center"/>
              <w:rPr>
                <w:rFonts w:ascii="Arial" w:hAnsi="Arial" w:cs="Arial"/>
                <w:sz w:val="18"/>
                <w:lang w:val="es-ES"/>
              </w:rPr>
            </w:pPr>
          </w:p>
        </w:tc>
        <w:tc>
          <w:tcPr>
            <w:tcW w:w="2828" w:type="dxa"/>
            <w:gridSpan w:val="2"/>
            <w:vMerge/>
            <w:shd w:val="pct12" w:color="auto" w:fill="FFFFFF"/>
            <w:vAlign w:val="center"/>
          </w:tcPr>
          <w:p w:rsidR="00503A41" w:rsidRPr="00993936" w:rsidRDefault="00503A41" w:rsidP="001C0FFB">
            <w:pPr>
              <w:jc w:val="center"/>
              <w:rPr>
                <w:rFonts w:ascii="Arial" w:hAnsi="Arial" w:cs="Arial"/>
                <w:sz w:val="18"/>
                <w:lang w:val="es-ES"/>
              </w:rPr>
            </w:pPr>
          </w:p>
        </w:tc>
        <w:tc>
          <w:tcPr>
            <w:tcW w:w="4242" w:type="dxa"/>
            <w:gridSpan w:val="3"/>
            <w:vMerge/>
            <w:shd w:val="pct12" w:color="auto" w:fill="FFFFFF"/>
            <w:vAlign w:val="center"/>
          </w:tcPr>
          <w:p w:rsidR="00503A41" w:rsidRPr="00993936" w:rsidRDefault="00503A41" w:rsidP="001C0FFB">
            <w:pPr>
              <w:jc w:val="center"/>
              <w:rPr>
                <w:rFonts w:ascii="Arial" w:hAnsi="Arial" w:cs="Arial"/>
                <w:sz w:val="18"/>
                <w:lang w:val="es-ES"/>
              </w:rPr>
            </w:pPr>
          </w:p>
        </w:tc>
      </w:tr>
      <w:tr w:rsidR="00503A41" w:rsidRPr="00993936" w:rsidTr="001C0FFB">
        <w:trPr>
          <w:cantSplit/>
        </w:trPr>
        <w:tc>
          <w:tcPr>
            <w:tcW w:w="1414" w:type="dxa"/>
            <w:vMerge/>
            <w:shd w:val="pct12" w:color="auto" w:fill="FFFFFF"/>
            <w:vAlign w:val="center"/>
          </w:tcPr>
          <w:p w:rsidR="00503A41" w:rsidRPr="00993936" w:rsidRDefault="00503A41" w:rsidP="001C0FFB">
            <w:pPr>
              <w:rPr>
                <w:rFonts w:ascii="Arial" w:hAnsi="Arial" w:cs="Arial"/>
                <w:sz w:val="18"/>
                <w:lang w:val="es-ES"/>
              </w:rPr>
            </w:pPr>
          </w:p>
        </w:tc>
        <w:tc>
          <w:tcPr>
            <w:tcW w:w="1414"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z w:val="18"/>
                <w:lang w:val="es-ES"/>
              </w:rPr>
              <w:t>Elemento</w:t>
            </w:r>
          </w:p>
        </w:tc>
        <w:tc>
          <w:tcPr>
            <w:tcW w:w="1414" w:type="dxa"/>
            <w:shd w:val="pct12" w:color="auto" w:fill="FFFFFF"/>
            <w:vAlign w:val="center"/>
          </w:tcPr>
          <w:p w:rsidR="00503A41" w:rsidRPr="00993936" w:rsidRDefault="00503A41" w:rsidP="001D205D">
            <w:pPr>
              <w:jc w:val="center"/>
              <w:rPr>
                <w:rFonts w:ascii="Arial" w:hAnsi="Arial" w:cs="Arial"/>
                <w:sz w:val="18"/>
                <w:lang w:val="es-ES"/>
              </w:rPr>
            </w:pPr>
            <w:r w:rsidRPr="00993936">
              <w:rPr>
                <w:rFonts w:ascii="Arial" w:hAnsi="Arial" w:cs="Arial"/>
                <w:b/>
                <w:snapToGrid w:val="0"/>
                <w:sz w:val="18"/>
                <w:lang w:val="es-ES"/>
              </w:rPr>
              <w:t>Nro. por UC</w:t>
            </w:r>
          </w:p>
        </w:tc>
        <w:tc>
          <w:tcPr>
            <w:tcW w:w="1414"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Variable</w:t>
            </w:r>
          </w:p>
        </w:tc>
        <w:tc>
          <w:tcPr>
            <w:tcW w:w="1414" w:type="dxa"/>
            <w:vMerge/>
            <w:shd w:val="pct12" w:color="auto" w:fill="FFFFFF"/>
            <w:vAlign w:val="center"/>
          </w:tcPr>
          <w:p w:rsidR="00503A41" w:rsidRPr="00993936" w:rsidRDefault="00503A41" w:rsidP="001C0FFB">
            <w:pPr>
              <w:jc w:val="center"/>
              <w:rPr>
                <w:rFonts w:ascii="Arial" w:hAnsi="Arial" w:cs="Arial"/>
                <w:sz w:val="18"/>
                <w:lang w:val="es-ES"/>
              </w:rPr>
            </w:pPr>
          </w:p>
        </w:tc>
        <w:tc>
          <w:tcPr>
            <w:tcW w:w="1414"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Umbral</w:t>
            </w:r>
          </w:p>
        </w:tc>
        <w:tc>
          <w:tcPr>
            <w:tcW w:w="1414"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Época</w:t>
            </w:r>
          </w:p>
        </w:tc>
        <w:tc>
          <w:tcPr>
            <w:tcW w:w="1414" w:type="dxa"/>
            <w:shd w:val="pct12" w:color="auto" w:fill="FFFFFF"/>
            <w:vAlign w:val="center"/>
          </w:tcPr>
          <w:p w:rsidR="00503A41" w:rsidRPr="00993936" w:rsidRDefault="00503A41" w:rsidP="001D205D">
            <w:pPr>
              <w:jc w:val="center"/>
              <w:rPr>
                <w:rFonts w:ascii="Arial" w:hAnsi="Arial" w:cs="Arial"/>
                <w:sz w:val="18"/>
                <w:lang w:val="es-ES"/>
              </w:rPr>
            </w:pPr>
            <w:r w:rsidRPr="00993936">
              <w:rPr>
                <w:rFonts w:ascii="Arial" w:hAnsi="Arial" w:cs="Arial"/>
                <w:b/>
                <w:snapToGrid w:val="0"/>
                <w:sz w:val="18"/>
                <w:lang w:val="es-ES"/>
              </w:rPr>
              <w:t>Fauna auxiliar autóctona y/o sueltas</w:t>
            </w:r>
          </w:p>
        </w:tc>
        <w:tc>
          <w:tcPr>
            <w:tcW w:w="1414"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Insecticidas biológicos y/o químicos</w:t>
            </w:r>
          </w:p>
        </w:tc>
        <w:tc>
          <w:tcPr>
            <w:tcW w:w="1414"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Otros</w:t>
            </w:r>
          </w:p>
        </w:tc>
      </w:tr>
      <w:tr w:rsidR="00503A41" w:rsidRPr="00993936" w:rsidTr="001C0FFB">
        <w:trPr>
          <w:cantSplit/>
        </w:trPr>
        <w:tc>
          <w:tcPr>
            <w:tcW w:w="1414" w:type="dxa"/>
            <w:vMerge w:val="restart"/>
            <w:vAlign w:val="center"/>
          </w:tcPr>
          <w:p w:rsidR="00503A41" w:rsidRPr="00993936" w:rsidRDefault="00503A41" w:rsidP="001C0FFB">
            <w:pPr>
              <w:jc w:val="center"/>
              <w:rPr>
                <w:rFonts w:ascii="Arial" w:hAnsi="Arial" w:cs="Arial"/>
                <w:b/>
                <w:sz w:val="18"/>
                <w:lang w:val="es-ES"/>
              </w:rPr>
            </w:pPr>
            <w:r w:rsidRPr="00993936">
              <w:rPr>
                <w:rFonts w:ascii="Arial" w:hAnsi="Arial" w:cs="Arial"/>
                <w:b/>
                <w:sz w:val="18"/>
                <w:lang w:val="es-ES"/>
              </w:rPr>
              <w:t>Arañuelo del olivo</w:t>
            </w:r>
          </w:p>
          <w:p w:rsidR="00503A41" w:rsidRPr="00993936" w:rsidRDefault="00503A41" w:rsidP="001C0FFB">
            <w:pPr>
              <w:jc w:val="center"/>
              <w:rPr>
                <w:rFonts w:ascii="Arial" w:hAnsi="Arial" w:cs="Arial"/>
                <w:sz w:val="18"/>
                <w:lang w:val="es-ES"/>
              </w:rPr>
            </w:pPr>
            <w:r w:rsidRPr="00993936">
              <w:rPr>
                <w:rFonts w:ascii="Arial" w:hAnsi="Arial" w:cs="Arial"/>
                <w:b/>
                <w:i/>
                <w:sz w:val="18"/>
                <w:lang w:val="es-ES"/>
              </w:rPr>
              <w:t xml:space="preserve"> </w:t>
            </w:r>
            <w:r w:rsidRPr="00993936">
              <w:rPr>
                <w:rFonts w:ascii="Arial" w:hAnsi="Arial" w:cs="Arial"/>
                <w:i/>
                <w:sz w:val="18"/>
                <w:lang w:val="es-ES"/>
              </w:rPr>
              <w:t>Liothrips oleae</w:t>
            </w:r>
          </w:p>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Hojas</w:t>
            </w: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(Árboles en formación)</w:t>
            </w:r>
          </w:p>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jc w:val="center"/>
              <w:rPr>
                <w:rFonts w:ascii="Arial" w:hAnsi="Arial" w:cs="Arial"/>
                <w:snapToGrid w:val="0"/>
                <w:sz w:val="18"/>
                <w:lang w:val="es-ES"/>
              </w:rPr>
            </w:pPr>
            <w:r w:rsidRPr="00993936">
              <w:rPr>
                <w:rFonts w:ascii="Arial" w:hAnsi="Arial" w:cs="Arial"/>
                <w:snapToGrid w:val="0"/>
                <w:sz w:val="18"/>
                <w:lang w:val="es-ES"/>
              </w:rPr>
              <w:t>120</w:t>
            </w:r>
          </w:p>
        </w:tc>
        <w:tc>
          <w:tcPr>
            <w:tcW w:w="1414"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 de hojas afectadas</w:t>
            </w:r>
          </w:p>
        </w:tc>
        <w:tc>
          <w:tcPr>
            <w:tcW w:w="1414" w:type="dxa"/>
            <w:vAlign w:val="center"/>
          </w:tcPr>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Presencia</w:t>
            </w:r>
          </w:p>
        </w:tc>
        <w:tc>
          <w:tcPr>
            <w:tcW w:w="1414"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Inicio de brotación (AB) + constatación de daños recientes</w:t>
            </w:r>
          </w:p>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tc>
        <w:tc>
          <w:tcPr>
            <w:tcW w:w="1414" w:type="dxa"/>
            <w:vMerge w:val="restart"/>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z w:val="18"/>
                <w:lang w:val="es-ES"/>
              </w:rPr>
              <w:t>Ved anexo 2.3</w:t>
            </w:r>
          </w:p>
        </w:tc>
        <w:tc>
          <w:tcPr>
            <w:tcW w:w="1414" w:type="dxa"/>
          </w:tcPr>
          <w:p w:rsidR="00503A41" w:rsidRPr="00993936" w:rsidRDefault="00503A41" w:rsidP="001C0FFB">
            <w:pPr>
              <w:widowControl w:val="0"/>
              <w:rPr>
                <w:rFonts w:ascii="Arial" w:hAnsi="Arial" w:cs="Arial"/>
                <w:snapToGrid w:val="0"/>
                <w:sz w:val="18"/>
                <w:lang w:val="es-ES"/>
              </w:rPr>
            </w:pPr>
          </w:p>
        </w:tc>
      </w:tr>
      <w:tr w:rsidR="00503A41" w:rsidRPr="00993936" w:rsidTr="001C0FFB">
        <w:trPr>
          <w:cantSplit/>
        </w:trPr>
        <w:tc>
          <w:tcPr>
            <w:tcW w:w="1414" w:type="dxa"/>
            <w:vMerge/>
            <w:vAlign w:val="center"/>
          </w:tcPr>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Fruto</w:t>
            </w: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(En árboles</w:t>
            </w: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 xml:space="preserve"> adultos)</w:t>
            </w:r>
          </w:p>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jc w:val="center"/>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 de frutos atacados</w:t>
            </w:r>
          </w:p>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A criterio del técnico</w:t>
            </w:r>
          </w:p>
        </w:tc>
        <w:tc>
          <w:tcPr>
            <w:tcW w:w="1414" w:type="dxa"/>
            <w:vAlign w:val="center"/>
          </w:tcPr>
          <w:p w:rsidR="00503A41" w:rsidRPr="00993936" w:rsidRDefault="00503A41" w:rsidP="001C0FFB">
            <w:pPr>
              <w:widowControl w:val="0"/>
              <w:rPr>
                <w:rFonts w:ascii="Arial" w:hAnsi="Arial" w:cs="Arial"/>
                <w:snapToGrid w:val="0"/>
                <w:sz w:val="18"/>
                <w:lang w:val="es-ES"/>
              </w:rPr>
            </w:pPr>
          </w:p>
        </w:tc>
        <w:tc>
          <w:tcPr>
            <w:tcW w:w="1414" w:type="dxa"/>
            <w:vAlign w:val="center"/>
          </w:tcPr>
          <w:p w:rsidR="00503A41" w:rsidRPr="00993936" w:rsidRDefault="00503A41" w:rsidP="001C0FFB">
            <w:pPr>
              <w:widowControl w:val="0"/>
              <w:rPr>
                <w:rFonts w:ascii="Arial" w:hAnsi="Arial" w:cs="Arial"/>
                <w:snapToGrid w:val="0"/>
                <w:sz w:val="18"/>
                <w:lang w:val="es-ES"/>
              </w:rPr>
            </w:pPr>
          </w:p>
        </w:tc>
        <w:tc>
          <w:tcPr>
            <w:tcW w:w="1414" w:type="dxa"/>
            <w:vMerge/>
            <w:vAlign w:val="center"/>
          </w:tcPr>
          <w:p w:rsidR="00503A41" w:rsidRPr="00993936" w:rsidRDefault="00503A41" w:rsidP="001C0FFB">
            <w:pPr>
              <w:widowControl w:val="0"/>
              <w:rPr>
                <w:rFonts w:ascii="Arial" w:hAnsi="Arial" w:cs="Arial"/>
                <w:snapToGrid w:val="0"/>
                <w:sz w:val="18"/>
                <w:lang w:val="es-ES"/>
              </w:rPr>
            </w:pPr>
          </w:p>
        </w:tc>
        <w:tc>
          <w:tcPr>
            <w:tcW w:w="1414" w:type="dxa"/>
          </w:tcPr>
          <w:p w:rsidR="00503A41" w:rsidRPr="00993936" w:rsidRDefault="00503A41" w:rsidP="001C0FFB">
            <w:pPr>
              <w:widowControl w:val="0"/>
              <w:rPr>
                <w:rFonts w:ascii="Arial" w:hAnsi="Arial" w:cs="Arial"/>
                <w:snapToGrid w:val="0"/>
                <w:sz w:val="18"/>
                <w:lang w:val="es-ES"/>
              </w:rPr>
            </w:pPr>
          </w:p>
        </w:tc>
      </w:tr>
    </w:tbl>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r w:rsidRPr="00993936">
        <w:rPr>
          <w:rFonts w:ascii="Arial" w:hAnsi="Arial" w:cs="Arial"/>
          <w:b/>
          <w:lang w:val="es-ES"/>
        </w:rPr>
        <w:br w:type="page"/>
      </w:r>
      <w:r w:rsidRPr="00993936">
        <w:rPr>
          <w:rFonts w:ascii="Arial" w:hAnsi="Arial" w:cs="Arial"/>
          <w:b/>
          <w:lang w:val="es-ES"/>
        </w:rPr>
        <w:lastRenderedPageBreak/>
        <w:t>2.2  Listado de enfermedades, unidades de muestreo, criterios de intervención y métodos de control en producción integrada de Olivas</w:t>
      </w:r>
    </w:p>
    <w:p w:rsidR="00503A41" w:rsidRPr="00993936" w:rsidRDefault="00503A41" w:rsidP="001C0FFB">
      <w:pPr>
        <w:rPr>
          <w:rFonts w:ascii="Arial" w:hAnsi="Arial" w:cs="Arial"/>
          <w:lang w:val="es-ES"/>
        </w:rPr>
      </w:pPr>
    </w:p>
    <w:tbl>
      <w:tblPr>
        <w:tblW w:w="14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2"/>
        <w:gridCol w:w="1187"/>
        <w:gridCol w:w="1187"/>
        <w:gridCol w:w="1188"/>
        <w:gridCol w:w="1187"/>
        <w:gridCol w:w="1187"/>
        <w:gridCol w:w="1188"/>
        <w:gridCol w:w="2720"/>
        <w:gridCol w:w="3402"/>
      </w:tblGrid>
      <w:tr w:rsidR="00503A41" w:rsidRPr="00993936" w:rsidTr="001C0FFB">
        <w:trPr>
          <w:cantSplit/>
          <w:jc w:val="center"/>
        </w:trPr>
        <w:tc>
          <w:tcPr>
            <w:tcW w:w="2159" w:type="dxa"/>
            <w:gridSpan w:val="2"/>
            <w:vMerge w:val="restart"/>
            <w:shd w:val="pct12" w:color="auto" w:fill="FFFFFF"/>
            <w:vAlign w:val="center"/>
          </w:tcPr>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Enfermedades</w:t>
            </w:r>
          </w:p>
        </w:tc>
        <w:tc>
          <w:tcPr>
            <w:tcW w:w="3562" w:type="dxa"/>
            <w:gridSpan w:val="3"/>
            <w:shd w:val="pct12" w:color="auto" w:fill="FFFFFF"/>
            <w:vAlign w:val="center"/>
          </w:tcPr>
          <w:p w:rsidR="00503A41" w:rsidRPr="00993936" w:rsidRDefault="00503A41" w:rsidP="001C0FFB">
            <w:pPr>
              <w:pStyle w:val="Ttulo4"/>
              <w:rPr>
                <w:rFonts w:ascii="Arial" w:hAnsi="Arial" w:cs="Arial"/>
                <w:color w:val="auto"/>
                <w:sz w:val="18"/>
                <w:lang w:val="es-ES"/>
              </w:rPr>
            </w:pPr>
            <w:r w:rsidRPr="00993936">
              <w:rPr>
                <w:rFonts w:ascii="Arial" w:hAnsi="Arial" w:cs="Arial"/>
                <w:color w:val="auto"/>
                <w:sz w:val="18"/>
                <w:lang w:val="es-ES"/>
              </w:rPr>
              <w:t>Estimación</w:t>
            </w:r>
            <w:r w:rsidRPr="00993936">
              <w:rPr>
                <w:rFonts w:ascii="Arial" w:hAnsi="Arial" w:cs="Arial"/>
                <w:vanish/>
                <w:color w:val="auto"/>
                <w:sz w:val="18"/>
                <w:lang w:val="es-ES"/>
              </w:rPr>
              <w:t>&lt;A[Estimación|Estima]&gt;</w:t>
            </w:r>
            <w:r w:rsidRPr="00993936">
              <w:rPr>
                <w:rFonts w:ascii="Arial" w:hAnsi="Arial" w:cs="Arial"/>
                <w:color w:val="auto"/>
                <w:sz w:val="18"/>
                <w:lang w:val="es-ES"/>
              </w:rPr>
              <w:t xml:space="preserve"> visual</w:t>
            </w:r>
          </w:p>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Unidad de muestra secundaria</w:t>
            </w:r>
          </w:p>
        </w:tc>
        <w:tc>
          <w:tcPr>
            <w:tcW w:w="2375" w:type="dxa"/>
            <w:gridSpan w:val="2"/>
            <w:shd w:val="pct12" w:color="auto" w:fill="FFFFFF"/>
            <w:vAlign w:val="center"/>
          </w:tcPr>
          <w:p w:rsidR="00503A41" w:rsidRPr="00993936" w:rsidRDefault="00503A41" w:rsidP="001C0FFB">
            <w:pPr>
              <w:pStyle w:val="Ttulo4"/>
              <w:rPr>
                <w:rFonts w:ascii="Arial" w:hAnsi="Arial" w:cs="Arial"/>
                <w:color w:val="auto"/>
                <w:sz w:val="18"/>
                <w:lang w:val="es-ES"/>
              </w:rPr>
            </w:pPr>
            <w:r w:rsidRPr="00993936">
              <w:rPr>
                <w:rFonts w:ascii="Arial" w:hAnsi="Arial" w:cs="Arial"/>
                <w:color w:val="auto"/>
                <w:sz w:val="18"/>
                <w:lang w:val="es-ES"/>
              </w:rPr>
              <w:t>Criterios de intervención</w:t>
            </w:r>
          </w:p>
        </w:tc>
        <w:tc>
          <w:tcPr>
            <w:tcW w:w="6122" w:type="dxa"/>
            <w:gridSpan w:val="2"/>
            <w:shd w:val="pct12" w:color="auto" w:fill="FFFFFF"/>
            <w:vAlign w:val="center"/>
          </w:tcPr>
          <w:p w:rsidR="00503A41" w:rsidRPr="00993936" w:rsidRDefault="00503A41" w:rsidP="001C0FFB">
            <w:pPr>
              <w:pStyle w:val="Ttulo4"/>
              <w:rPr>
                <w:rFonts w:ascii="Arial" w:hAnsi="Arial" w:cs="Arial"/>
                <w:b/>
                <w:color w:val="auto"/>
                <w:sz w:val="18"/>
                <w:lang w:val="es-ES"/>
              </w:rPr>
            </w:pPr>
            <w:r w:rsidRPr="00993936">
              <w:rPr>
                <w:rFonts w:ascii="Arial" w:hAnsi="Arial" w:cs="Arial"/>
                <w:color w:val="auto"/>
                <w:sz w:val="18"/>
                <w:lang w:val="es-ES"/>
              </w:rPr>
              <w:t>Métodos de control</w:t>
            </w:r>
          </w:p>
        </w:tc>
      </w:tr>
      <w:tr w:rsidR="00503A41" w:rsidRPr="00993936" w:rsidTr="001C0FFB">
        <w:trPr>
          <w:cantSplit/>
          <w:jc w:val="center"/>
        </w:trPr>
        <w:tc>
          <w:tcPr>
            <w:tcW w:w="2159" w:type="dxa"/>
            <w:gridSpan w:val="2"/>
            <w:vMerge/>
            <w:tcBorders>
              <w:bottom w:val="nil"/>
            </w:tcBorders>
            <w:shd w:val="pct12" w:color="auto" w:fill="FFFFFF"/>
            <w:vAlign w:val="center"/>
          </w:tcPr>
          <w:p w:rsidR="00503A41" w:rsidRPr="00993936" w:rsidRDefault="00503A41" w:rsidP="001C0FFB">
            <w:pPr>
              <w:jc w:val="center"/>
              <w:rPr>
                <w:rFonts w:ascii="Arial" w:hAnsi="Arial" w:cs="Arial"/>
                <w:sz w:val="18"/>
                <w:lang w:val="es-ES"/>
              </w:rPr>
            </w:pPr>
          </w:p>
        </w:tc>
        <w:tc>
          <w:tcPr>
            <w:tcW w:w="1187"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Elemento</w:t>
            </w:r>
          </w:p>
        </w:tc>
        <w:tc>
          <w:tcPr>
            <w:tcW w:w="1188" w:type="dxa"/>
            <w:shd w:val="pct12" w:color="auto" w:fill="FFFFFF"/>
            <w:vAlign w:val="center"/>
          </w:tcPr>
          <w:p w:rsidR="00503A41" w:rsidRPr="00993936" w:rsidRDefault="00503A41" w:rsidP="001D205D">
            <w:pPr>
              <w:jc w:val="center"/>
              <w:rPr>
                <w:rFonts w:ascii="Arial" w:hAnsi="Arial" w:cs="Arial"/>
                <w:sz w:val="18"/>
                <w:lang w:val="es-ES"/>
              </w:rPr>
            </w:pPr>
            <w:r w:rsidRPr="00993936">
              <w:rPr>
                <w:rFonts w:ascii="Arial" w:hAnsi="Arial" w:cs="Arial"/>
                <w:b/>
                <w:snapToGrid w:val="0"/>
                <w:sz w:val="18"/>
                <w:lang w:val="es-ES"/>
              </w:rPr>
              <w:t>Nro. por</w:t>
            </w:r>
            <w:r w:rsidRPr="00993936">
              <w:rPr>
                <w:rFonts w:ascii="Arial" w:hAnsi="Arial" w:cs="Arial"/>
                <w:b/>
                <w:snapToGrid w:val="0"/>
                <w:vanish/>
                <w:sz w:val="18"/>
                <w:lang w:val="es-ES"/>
              </w:rPr>
              <w:t>&lt;A[para|por]&gt;</w:t>
            </w:r>
            <w:r w:rsidRPr="00993936">
              <w:rPr>
                <w:rFonts w:ascii="Arial" w:hAnsi="Arial" w:cs="Arial"/>
                <w:b/>
                <w:snapToGrid w:val="0"/>
                <w:sz w:val="18"/>
                <w:lang w:val="es-ES"/>
              </w:rPr>
              <w:t xml:space="preserve"> UC</w:t>
            </w:r>
          </w:p>
        </w:tc>
        <w:tc>
          <w:tcPr>
            <w:tcW w:w="1187"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variable</w:t>
            </w:r>
          </w:p>
        </w:tc>
        <w:tc>
          <w:tcPr>
            <w:tcW w:w="1187"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umbral</w:t>
            </w:r>
          </w:p>
        </w:tc>
        <w:tc>
          <w:tcPr>
            <w:tcW w:w="1188"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Época</w:t>
            </w:r>
          </w:p>
        </w:tc>
        <w:tc>
          <w:tcPr>
            <w:tcW w:w="2720"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Biológicos y/o químicos</w:t>
            </w:r>
          </w:p>
        </w:tc>
        <w:tc>
          <w:tcPr>
            <w:tcW w:w="3402"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Otros</w:t>
            </w:r>
          </w:p>
        </w:tc>
      </w:tr>
      <w:tr w:rsidR="00503A41" w:rsidRPr="00993936" w:rsidTr="001C0FFB">
        <w:trPr>
          <w:cantSplit/>
          <w:jc w:val="center"/>
        </w:trPr>
        <w:tc>
          <w:tcPr>
            <w:tcW w:w="2159" w:type="dxa"/>
            <w:gridSpan w:val="2"/>
            <w:tcBorders>
              <w:bottom w:val="single" w:sz="4" w:space="0" w:color="auto"/>
            </w:tcBorders>
            <w:vAlign w:val="center"/>
          </w:tcPr>
          <w:p w:rsidR="00503A41" w:rsidRPr="00993936" w:rsidRDefault="00503A41" w:rsidP="001C0FFB">
            <w:pPr>
              <w:widowControl w:val="0"/>
              <w:jc w:val="center"/>
              <w:rPr>
                <w:rFonts w:ascii="Arial" w:hAnsi="Arial" w:cs="Arial"/>
                <w:i/>
                <w:snapToGrid w:val="0"/>
                <w:sz w:val="18"/>
                <w:lang w:val="es-ES"/>
              </w:rPr>
            </w:pPr>
            <w:r w:rsidRPr="00993936">
              <w:rPr>
                <w:rFonts w:ascii="Arial" w:hAnsi="Arial" w:cs="Arial"/>
                <w:i/>
                <w:snapToGrid w:val="0"/>
                <w:sz w:val="18"/>
                <w:lang w:val="es-ES"/>
              </w:rPr>
              <w:t>Capnodium alaeophilium</w:t>
            </w:r>
          </w:p>
        </w:tc>
        <w:tc>
          <w:tcPr>
            <w:tcW w:w="1187" w:type="dxa"/>
            <w:tcBorders>
              <w:bottom w:val="nil"/>
            </w:tcBorders>
            <w:vAlign w:val="center"/>
          </w:tcPr>
          <w:p w:rsidR="00503A41" w:rsidRPr="00993936" w:rsidRDefault="00503A41" w:rsidP="001C0FFB">
            <w:pPr>
              <w:widowControl w:val="0"/>
              <w:jc w:val="center"/>
              <w:rPr>
                <w:rFonts w:ascii="Arial" w:hAnsi="Arial" w:cs="Arial"/>
                <w:snapToGrid w:val="0"/>
                <w:sz w:val="18"/>
                <w:lang w:val="es-ES"/>
              </w:rPr>
            </w:pPr>
          </w:p>
        </w:tc>
        <w:tc>
          <w:tcPr>
            <w:tcW w:w="1188" w:type="dxa"/>
            <w:vAlign w:val="center"/>
          </w:tcPr>
          <w:p w:rsidR="00503A41" w:rsidRPr="00993936" w:rsidRDefault="00503A41" w:rsidP="001C0FFB">
            <w:pPr>
              <w:widowControl w:val="0"/>
              <w:rPr>
                <w:rFonts w:ascii="Arial" w:hAnsi="Arial" w:cs="Arial"/>
                <w:snapToGrid w:val="0"/>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p>
        </w:tc>
        <w:tc>
          <w:tcPr>
            <w:tcW w:w="1188" w:type="dxa"/>
            <w:vAlign w:val="center"/>
          </w:tcPr>
          <w:p w:rsidR="00503A41" w:rsidRPr="00993936" w:rsidRDefault="00503A41" w:rsidP="001C0FFB">
            <w:pPr>
              <w:widowControl w:val="0"/>
              <w:rPr>
                <w:rFonts w:ascii="Arial" w:hAnsi="Arial" w:cs="Arial"/>
                <w:snapToGrid w:val="0"/>
                <w:sz w:val="18"/>
                <w:lang w:val="es-ES"/>
              </w:rPr>
            </w:pPr>
          </w:p>
        </w:tc>
        <w:tc>
          <w:tcPr>
            <w:tcW w:w="2720" w:type="dxa"/>
            <w:vMerge w:val="restart"/>
            <w:vAlign w:val="center"/>
          </w:tcPr>
          <w:p w:rsidR="00503A41" w:rsidRPr="00993936" w:rsidRDefault="00503A41" w:rsidP="001C0FFB">
            <w:pPr>
              <w:widowControl w:val="0"/>
              <w:jc w:val="center"/>
              <w:rPr>
                <w:rFonts w:ascii="Arial" w:hAnsi="Arial" w:cs="Arial"/>
                <w:snapToGrid w:val="0"/>
                <w:sz w:val="18"/>
                <w:lang w:val="es-ES"/>
              </w:rPr>
            </w:pPr>
            <w:r w:rsidRPr="00993936">
              <w:rPr>
                <w:rFonts w:ascii="Arial" w:hAnsi="Arial" w:cs="Arial"/>
                <w:sz w:val="18"/>
                <w:lang w:val="es-ES"/>
              </w:rPr>
              <w:t>Ved anexo 2.4</w:t>
            </w:r>
          </w:p>
        </w:tc>
        <w:tc>
          <w:tcPr>
            <w:tcW w:w="3402" w:type="dxa"/>
            <w:vAlign w:val="center"/>
          </w:tcPr>
          <w:p w:rsidR="00503A41" w:rsidRPr="00993936" w:rsidRDefault="00503A41" w:rsidP="001C0FFB">
            <w:pPr>
              <w:rPr>
                <w:rFonts w:ascii="Arial" w:hAnsi="Arial" w:cs="Arial"/>
                <w:sz w:val="18"/>
                <w:lang w:val="es-ES"/>
              </w:rPr>
            </w:pPr>
          </w:p>
        </w:tc>
      </w:tr>
      <w:tr w:rsidR="00503A41" w:rsidRPr="00993936" w:rsidTr="001C0FFB">
        <w:trPr>
          <w:cantSplit/>
          <w:jc w:val="center"/>
        </w:trPr>
        <w:tc>
          <w:tcPr>
            <w:tcW w:w="2159" w:type="dxa"/>
            <w:gridSpan w:val="2"/>
            <w:vAlign w:val="center"/>
          </w:tcPr>
          <w:p w:rsidR="00503A41" w:rsidRPr="00993936" w:rsidRDefault="00503A41" w:rsidP="001C0FFB">
            <w:pPr>
              <w:pStyle w:val="Ttulo4"/>
              <w:rPr>
                <w:rFonts w:ascii="Arial" w:hAnsi="Arial" w:cs="Arial"/>
                <w:color w:val="auto"/>
                <w:sz w:val="18"/>
                <w:lang w:val="es-ES"/>
              </w:rPr>
            </w:pPr>
            <w:r w:rsidRPr="00993936">
              <w:rPr>
                <w:rFonts w:ascii="Arial" w:hAnsi="Arial" w:cs="Arial"/>
                <w:color w:val="auto"/>
                <w:sz w:val="18"/>
                <w:lang w:val="es-ES"/>
              </w:rPr>
              <w:t xml:space="preserve">Tuberculosis </w:t>
            </w:r>
          </w:p>
          <w:p w:rsidR="00503A41" w:rsidRPr="00993936" w:rsidRDefault="00503A41" w:rsidP="001C0FFB">
            <w:pPr>
              <w:pStyle w:val="Ttulo4"/>
              <w:rPr>
                <w:rFonts w:ascii="Arial" w:hAnsi="Arial" w:cs="Arial"/>
                <w:b/>
                <w:color w:val="auto"/>
                <w:sz w:val="18"/>
                <w:lang w:val="es-ES"/>
              </w:rPr>
            </w:pPr>
            <w:r w:rsidRPr="00993936">
              <w:rPr>
                <w:rFonts w:ascii="Arial" w:hAnsi="Arial" w:cs="Arial"/>
                <w:b/>
                <w:color w:val="auto"/>
                <w:sz w:val="18"/>
                <w:lang w:val="es-ES"/>
              </w:rPr>
              <w:t>Pseudomonas savastanoi</w:t>
            </w:r>
            <w:r w:rsidRPr="00993936">
              <w:rPr>
                <w:rFonts w:ascii="Arial" w:hAnsi="Arial" w:cs="Arial"/>
                <w:b/>
                <w:i w:val="0"/>
                <w:color w:val="auto"/>
                <w:sz w:val="18"/>
                <w:lang w:val="es-ES"/>
              </w:rPr>
              <w:t xml:space="preserve"> </w:t>
            </w:r>
          </w:p>
          <w:p w:rsidR="00503A41" w:rsidRPr="00993936" w:rsidRDefault="00503A41" w:rsidP="001C0FFB">
            <w:pPr>
              <w:widowControl w:val="0"/>
              <w:jc w:val="center"/>
              <w:rPr>
                <w:rFonts w:ascii="Arial" w:hAnsi="Arial" w:cs="Arial"/>
                <w:snapToGrid w:val="0"/>
                <w:sz w:val="18"/>
                <w:lang w:val="es-ES"/>
              </w:rPr>
            </w:pPr>
          </w:p>
        </w:tc>
        <w:tc>
          <w:tcPr>
            <w:tcW w:w="1187" w:type="dxa"/>
            <w:vAlign w:val="center"/>
          </w:tcPr>
          <w:p w:rsidR="00503A41" w:rsidRPr="00993936" w:rsidRDefault="00503A41" w:rsidP="001C0FFB">
            <w:pPr>
              <w:widowControl w:val="0"/>
              <w:jc w:val="center"/>
              <w:rPr>
                <w:rFonts w:ascii="Arial" w:hAnsi="Arial" w:cs="Arial"/>
                <w:snapToGrid w:val="0"/>
                <w:sz w:val="18"/>
                <w:lang w:val="es-ES"/>
              </w:rPr>
            </w:pPr>
          </w:p>
          <w:p w:rsidR="00503A41" w:rsidRPr="00993936" w:rsidRDefault="00503A41" w:rsidP="001D205D">
            <w:pPr>
              <w:widowControl w:val="0"/>
              <w:jc w:val="center"/>
              <w:rPr>
                <w:rFonts w:ascii="Arial" w:hAnsi="Arial" w:cs="Arial"/>
                <w:snapToGrid w:val="0"/>
                <w:sz w:val="18"/>
                <w:lang w:val="es-ES"/>
              </w:rPr>
            </w:pPr>
            <w:r w:rsidRPr="00993936">
              <w:rPr>
                <w:rFonts w:ascii="Arial" w:hAnsi="Arial" w:cs="Arial"/>
                <w:snapToGrid w:val="0"/>
                <w:sz w:val="18"/>
                <w:lang w:val="es-ES"/>
              </w:rPr>
              <w:t>Rama</w:t>
            </w:r>
          </w:p>
        </w:tc>
        <w:tc>
          <w:tcPr>
            <w:tcW w:w="1188" w:type="dxa"/>
            <w:vAlign w:val="center"/>
          </w:tcPr>
          <w:p w:rsidR="00503A41" w:rsidRPr="00993936" w:rsidRDefault="00503A41" w:rsidP="001C0FFB">
            <w:pPr>
              <w:widowControl w:val="0"/>
              <w:rPr>
                <w:rFonts w:ascii="Arial" w:hAnsi="Arial" w:cs="Arial"/>
                <w:snapToGrid w:val="0"/>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 de tumores</w:t>
            </w:r>
          </w:p>
        </w:tc>
        <w:tc>
          <w:tcPr>
            <w:tcW w:w="1187"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Presencia</w:t>
            </w:r>
          </w:p>
        </w:tc>
        <w:tc>
          <w:tcPr>
            <w:tcW w:w="1188"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Después de agresiones climáticas y/o culturales</w:t>
            </w:r>
          </w:p>
        </w:tc>
        <w:tc>
          <w:tcPr>
            <w:tcW w:w="2720" w:type="dxa"/>
            <w:vMerge/>
            <w:vAlign w:val="center"/>
          </w:tcPr>
          <w:p w:rsidR="00503A41" w:rsidRPr="00993936" w:rsidRDefault="00503A41" w:rsidP="001C0FFB">
            <w:pPr>
              <w:widowControl w:val="0"/>
              <w:rPr>
                <w:rFonts w:ascii="Arial" w:hAnsi="Arial" w:cs="Arial"/>
                <w:snapToGrid w:val="0"/>
                <w:sz w:val="18"/>
                <w:lang w:val="es-ES"/>
              </w:rPr>
            </w:pPr>
          </w:p>
        </w:tc>
        <w:tc>
          <w:tcPr>
            <w:tcW w:w="3402"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Evitar las contaminaciones, desinfección de herramientas de poda y recolección.</w:t>
            </w:r>
          </w:p>
          <w:p w:rsidR="00503A41" w:rsidRPr="00993936" w:rsidRDefault="00503A41" w:rsidP="001D205D">
            <w:pPr>
              <w:widowControl w:val="0"/>
              <w:rPr>
                <w:rFonts w:ascii="Arial" w:hAnsi="Arial" w:cs="Arial"/>
                <w:snapToGrid w:val="0"/>
                <w:sz w:val="18"/>
                <w:lang w:val="es-ES"/>
              </w:rPr>
            </w:pPr>
            <w:r w:rsidRPr="00993936">
              <w:rPr>
                <w:rFonts w:ascii="Arial" w:hAnsi="Arial" w:cs="Arial"/>
                <w:snapToGrid w:val="0"/>
                <w:sz w:val="18"/>
                <w:lang w:val="es-ES"/>
              </w:rPr>
              <w:t>Eliminación de ramas afectadas</w:t>
            </w:r>
          </w:p>
        </w:tc>
      </w:tr>
      <w:tr w:rsidR="00503A41" w:rsidRPr="00993936" w:rsidTr="001C0FFB">
        <w:trPr>
          <w:cantSplit/>
          <w:jc w:val="center"/>
        </w:trPr>
        <w:tc>
          <w:tcPr>
            <w:tcW w:w="972" w:type="dxa"/>
            <w:vMerge w:val="restart"/>
            <w:vAlign w:val="center"/>
          </w:tcPr>
          <w:p w:rsidR="00503A41" w:rsidRPr="00993936" w:rsidRDefault="00503A41" w:rsidP="001C0FFB">
            <w:pPr>
              <w:widowControl w:val="0"/>
              <w:jc w:val="center"/>
              <w:rPr>
                <w:rFonts w:ascii="Arial" w:hAnsi="Arial" w:cs="Arial"/>
                <w:snapToGrid w:val="0"/>
                <w:sz w:val="18"/>
                <w:lang w:val="es-ES"/>
              </w:rPr>
            </w:pPr>
          </w:p>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Que afectan</w:t>
            </w:r>
          </w:p>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al</w:t>
            </w:r>
          </w:p>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cuello</w:t>
            </w:r>
            <w:r w:rsidRPr="00993936">
              <w:rPr>
                <w:rFonts w:ascii="Arial" w:hAnsi="Arial" w:cs="Arial"/>
                <w:b/>
                <w:snapToGrid w:val="0"/>
                <w:vanish/>
                <w:sz w:val="18"/>
                <w:lang w:val="es-ES"/>
              </w:rPr>
              <w:t>&lt;A[cuello|garganta]&gt;</w:t>
            </w:r>
          </w:p>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lastRenderedPageBreak/>
              <w:t>del árbol</w:t>
            </w:r>
          </w:p>
          <w:p w:rsidR="00503A41" w:rsidRPr="00993936" w:rsidRDefault="00503A41" w:rsidP="001D205D">
            <w:pPr>
              <w:widowControl w:val="0"/>
              <w:jc w:val="center"/>
              <w:rPr>
                <w:rFonts w:ascii="Arial" w:hAnsi="Arial" w:cs="Arial"/>
                <w:snapToGrid w:val="0"/>
                <w:sz w:val="18"/>
                <w:lang w:val="es-ES"/>
              </w:rPr>
            </w:pPr>
            <w:r w:rsidRPr="00993936">
              <w:rPr>
                <w:rFonts w:ascii="Arial" w:hAnsi="Arial" w:cs="Arial"/>
                <w:b/>
                <w:snapToGrid w:val="0"/>
                <w:sz w:val="18"/>
                <w:lang w:val="es-ES"/>
              </w:rPr>
              <w:t>y raíces</w:t>
            </w:r>
          </w:p>
        </w:tc>
        <w:tc>
          <w:tcPr>
            <w:tcW w:w="1187" w:type="dxa"/>
            <w:vAlign w:val="center"/>
          </w:tcPr>
          <w:p w:rsidR="00503A41" w:rsidRPr="00993936" w:rsidRDefault="00503A41" w:rsidP="001C0FFB">
            <w:pPr>
              <w:widowControl w:val="0"/>
              <w:jc w:val="center"/>
              <w:rPr>
                <w:rFonts w:ascii="Arial" w:hAnsi="Arial" w:cs="Arial"/>
                <w:snapToGrid w:val="0"/>
                <w:sz w:val="18"/>
                <w:lang w:val="es-ES"/>
              </w:rPr>
            </w:pPr>
          </w:p>
          <w:p w:rsidR="00503A41" w:rsidRPr="00993936" w:rsidRDefault="00503A41" w:rsidP="001C0FFB">
            <w:pPr>
              <w:widowControl w:val="0"/>
              <w:jc w:val="center"/>
              <w:rPr>
                <w:rFonts w:ascii="Arial" w:hAnsi="Arial" w:cs="Arial"/>
                <w:snapToGrid w:val="0"/>
                <w:sz w:val="18"/>
                <w:lang w:val="es-ES"/>
              </w:rPr>
            </w:pPr>
            <w:r w:rsidRPr="00993936">
              <w:rPr>
                <w:rFonts w:ascii="Arial" w:hAnsi="Arial" w:cs="Arial"/>
                <w:i/>
                <w:snapToGrid w:val="0"/>
                <w:sz w:val="18"/>
                <w:lang w:val="es-ES"/>
              </w:rPr>
              <w:t>Armillaria mellea</w:t>
            </w:r>
          </w:p>
          <w:p w:rsidR="00503A41" w:rsidRPr="00993936" w:rsidRDefault="00503A41" w:rsidP="001C0FFB">
            <w:pPr>
              <w:widowControl w:val="0"/>
              <w:jc w:val="center"/>
              <w:rPr>
                <w:rFonts w:ascii="Arial" w:hAnsi="Arial" w:cs="Arial"/>
                <w:snapToGrid w:val="0"/>
                <w:sz w:val="18"/>
                <w:lang w:val="es-ES"/>
              </w:rPr>
            </w:pPr>
            <w:r w:rsidRPr="00993936">
              <w:rPr>
                <w:rFonts w:ascii="Arial" w:hAnsi="Arial" w:cs="Arial"/>
                <w:i/>
                <w:snapToGrid w:val="0"/>
                <w:sz w:val="18"/>
                <w:lang w:val="es-ES"/>
              </w:rPr>
              <w:t>Rossellinia necatrix</w:t>
            </w:r>
          </w:p>
        </w:tc>
        <w:tc>
          <w:tcPr>
            <w:tcW w:w="1187" w:type="dxa"/>
            <w:vAlign w:val="center"/>
          </w:tcPr>
          <w:p w:rsidR="00503A41" w:rsidRPr="00993936" w:rsidRDefault="00503A41" w:rsidP="001C0FFB">
            <w:pPr>
              <w:widowControl w:val="0"/>
              <w:jc w:val="center"/>
              <w:rPr>
                <w:rFonts w:ascii="Arial" w:hAnsi="Arial" w:cs="Arial"/>
                <w:snapToGrid w:val="0"/>
                <w:sz w:val="18"/>
                <w:lang w:val="es-ES"/>
              </w:rPr>
            </w:pPr>
            <w:r w:rsidRPr="00993936">
              <w:rPr>
                <w:rFonts w:ascii="Arial" w:hAnsi="Arial" w:cs="Arial"/>
                <w:snapToGrid w:val="0"/>
                <w:sz w:val="18"/>
                <w:lang w:val="es-ES"/>
              </w:rPr>
              <w:t>Árbol</w:t>
            </w:r>
          </w:p>
        </w:tc>
        <w:tc>
          <w:tcPr>
            <w:tcW w:w="1188" w:type="dxa"/>
            <w:vAlign w:val="center"/>
          </w:tcPr>
          <w:p w:rsidR="00503A41" w:rsidRPr="00993936" w:rsidRDefault="00503A41" w:rsidP="001C0FFB">
            <w:pPr>
              <w:widowControl w:val="0"/>
              <w:rPr>
                <w:rFonts w:ascii="Arial" w:hAnsi="Arial" w:cs="Arial"/>
                <w:snapToGrid w:val="0"/>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Presencia</w:t>
            </w:r>
          </w:p>
        </w:tc>
        <w:tc>
          <w:tcPr>
            <w:tcW w:w="1188" w:type="dxa"/>
            <w:vAlign w:val="center"/>
          </w:tcPr>
          <w:p w:rsidR="00503A41" w:rsidRPr="00993936" w:rsidRDefault="00503A41" w:rsidP="001C0FFB">
            <w:pPr>
              <w:widowControl w:val="0"/>
              <w:rPr>
                <w:rFonts w:ascii="Arial" w:hAnsi="Arial" w:cs="Arial"/>
                <w:snapToGrid w:val="0"/>
                <w:sz w:val="18"/>
                <w:lang w:val="es-ES"/>
              </w:rPr>
            </w:pPr>
          </w:p>
        </w:tc>
        <w:tc>
          <w:tcPr>
            <w:tcW w:w="2720" w:type="dxa"/>
            <w:vMerge/>
            <w:vAlign w:val="center"/>
          </w:tcPr>
          <w:p w:rsidR="00503A41" w:rsidRPr="00993936" w:rsidRDefault="00503A41" w:rsidP="001C0FFB">
            <w:pPr>
              <w:widowControl w:val="0"/>
              <w:rPr>
                <w:rFonts w:ascii="Arial" w:hAnsi="Arial" w:cs="Arial"/>
                <w:snapToGrid w:val="0"/>
                <w:sz w:val="18"/>
                <w:lang w:val="es-ES"/>
              </w:rPr>
            </w:pPr>
          </w:p>
        </w:tc>
        <w:tc>
          <w:tcPr>
            <w:tcW w:w="3402"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Descubrir el cuello</w:t>
            </w:r>
            <w:r w:rsidRPr="00993936">
              <w:rPr>
                <w:rFonts w:ascii="Arial" w:hAnsi="Arial" w:cs="Arial"/>
                <w:snapToGrid w:val="0"/>
                <w:vanish/>
                <w:sz w:val="18"/>
                <w:lang w:val="es-ES"/>
              </w:rPr>
              <w:t>&lt;A[cuello|garganta]&gt;</w:t>
            </w:r>
            <w:r w:rsidRPr="00993936">
              <w:rPr>
                <w:rFonts w:ascii="Arial" w:hAnsi="Arial" w:cs="Arial"/>
                <w:snapToGrid w:val="0"/>
                <w:sz w:val="18"/>
                <w:lang w:val="es-ES"/>
              </w:rPr>
              <w:t>.</w:t>
            </w: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Anulación de riegos de la parte afectada.</w:t>
            </w: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Descortezado zona afectada.</w:t>
            </w:r>
          </w:p>
          <w:p w:rsidR="00503A41" w:rsidRPr="00993936" w:rsidRDefault="00503A41" w:rsidP="001C0FFB">
            <w:pPr>
              <w:pStyle w:val="Mapadeldocumento"/>
              <w:shd w:val="clear" w:color="auto" w:fill="auto"/>
              <w:rPr>
                <w:rFonts w:ascii="Arial" w:hAnsi="Arial" w:cs="Arial"/>
                <w:sz w:val="18"/>
                <w:lang w:val="es-ES"/>
              </w:rPr>
            </w:pPr>
            <w:r w:rsidRPr="00993936">
              <w:rPr>
                <w:rFonts w:ascii="Arial" w:hAnsi="Arial" w:cs="Arial"/>
                <w:sz w:val="18"/>
                <w:lang w:val="es-ES"/>
              </w:rPr>
              <w:t xml:space="preserve">Pintar o regar con compuestos cúpricos </w:t>
            </w:r>
          </w:p>
          <w:p w:rsidR="00503A41" w:rsidRPr="00993936" w:rsidRDefault="00503A41" w:rsidP="001C0FFB">
            <w:pPr>
              <w:widowControl w:val="0"/>
              <w:rPr>
                <w:rFonts w:ascii="Arial" w:hAnsi="Arial" w:cs="Arial"/>
                <w:snapToGrid w:val="0"/>
                <w:sz w:val="18"/>
                <w:u w:val="single"/>
                <w:lang w:val="es-ES"/>
              </w:rPr>
            </w:pPr>
            <w:r w:rsidRPr="00993936">
              <w:rPr>
                <w:rFonts w:ascii="Arial" w:hAnsi="Arial" w:cs="Arial"/>
                <w:snapToGrid w:val="0"/>
                <w:sz w:val="18"/>
                <w:u w:val="single"/>
                <w:lang w:val="es-ES"/>
              </w:rPr>
              <w:t>Replantación:</w:t>
            </w:r>
          </w:p>
          <w:p w:rsidR="00503A41" w:rsidRPr="00993936" w:rsidRDefault="00503A41" w:rsidP="001D205D">
            <w:pPr>
              <w:widowControl w:val="0"/>
              <w:rPr>
                <w:rFonts w:ascii="Arial" w:hAnsi="Arial" w:cs="Arial"/>
                <w:snapToGrid w:val="0"/>
                <w:sz w:val="18"/>
                <w:lang w:val="es-ES"/>
              </w:rPr>
            </w:pPr>
            <w:r w:rsidRPr="00993936">
              <w:rPr>
                <w:rFonts w:ascii="Arial" w:hAnsi="Arial" w:cs="Arial"/>
                <w:snapToGrid w:val="0"/>
                <w:sz w:val="18"/>
                <w:lang w:val="es-ES"/>
              </w:rPr>
              <w:t>desfondado más sulfato de hierro en la cubeta de plantación o Trichoderma sp.</w:t>
            </w:r>
          </w:p>
        </w:tc>
      </w:tr>
      <w:tr w:rsidR="00503A41" w:rsidRPr="00993936" w:rsidTr="001C0FFB">
        <w:trPr>
          <w:cantSplit/>
          <w:jc w:val="center"/>
        </w:trPr>
        <w:tc>
          <w:tcPr>
            <w:tcW w:w="972" w:type="dxa"/>
            <w:vMerge/>
            <w:vAlign w:val="center"/>
          </w:tcPr>
          <w:p w:rsidR="00503A41" w:rsidRPr="00993936" w:rsidRDefault="00503A41" w:rsidP="001C0FFB">
            <w:pPr>
              <w:rPr>
                <w:rFonts w:ascii="Arial" w:hAnsi="Arial" w:cs="Arial"/>
                <w:sz w:val="18"/>
                <w:lang w:val="es-ES"/>
              </w:rPr>
            </w:pPr>
          </w:p>
        </w:tc>
        <w:tc>
          <w:tcPr>
            <w:tcW w:w="1187" w:type="dxa"/>
            <w:vAlign w:val="center"/>
          </w:tcPr>
          <w:p w:rsidR="00503A41" w:rsidRPr="00993936" w:rsidRDefault="00503A41" w:rsidP="001C0FFB">
            <w:pPr>
              <w:widowControl w:val="0"/>
              <w:jc w:val="center"/>
              <w:rPr>
                <w:rFonts w:ascii="Arial" w:hAnsi="Arial" w:cs="Arial"/>
                <w:snapToGrid w:val="0"/>
                <w:sz w:val="18"/>
                <w:lang w:val="es-ES"/>
              </w:rPr>
            </w:pPr>
          </w:p>
          <w:p w:rsidR="00503A41" w:rsidRPr="00993936" w:rsidRDefault="00503A41" w:rsidP="001C0FFB">
            <w:pPr>
              <w:jc w:val="center"/>
              <w:rPr>
                <w:rFonts w:ascii="Arial" w:hAnsi="Arial" w:cs="Arial"/>
                <w:sz w:val="18"/>
                <w:lang w:val="es-ES"/>
              </w:rPr>
            </w:pPr>
            <w:r w:rsidRPr="00993936">
              <w:rPr>
                <w:rFonts w:ascii="Arial" w:hAnsi="Arial" w:cs="Arial"/>
                <w:i/>
                <w:sz w:val="18"/>
                <w:lang w:val="es-ES"/>
              </w:rPr>
              <w:t>Verticillium spp.</w:t>
            </w:r>
          </w:p>
        </w:tc>
        <w:tc>
          <w:tcPr>
            <w:tcW w:w="1187" w:type="dxa"/>
            <w:vAlign w:val="center"/>
          </w:tcPr>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napToGrid w:val="0"/>
                <w:sz w:val="18"/>
                <w:u w:val="single"/>
                <w:lang w:val="es-ES" w:eastAsia="es-ES"/>
              </w:rPr>
            </w:pPr>
            <w:r w:rsidRPr="00993936">
              <w:rPr>
                <w:rFonts w:ascii="Arial" w:hAnsi="Arial" w:cs="Arial"/>
                <w:snapToGrid w:val="0"/>
                <w:sz w:val="18"/>
                <w:lang w:val="es-ES"/>
              </w:rPr>
              <w:t>Árbol</w:t>
            </w:r>
          </w:p>
        </w:tc>
        <w:tc>
          <w:tcPr>
            <w:tcW w:w="1188" w:type="dxa"/>
            <w:vAlign w:val="center"/>
          </w:tcPr>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18"/>
                <w:u w:val="single"/>
                <w:lang w:val="es-ES" w:eastAsia="es-ES"/>
              </w:rPr>
            </w:pPr>
          </w:p>
        </w:tc>
        <w:tc>
          <w:tcPr>
            <w:tcW w:w="1187" w:type="dxa"/>
            <w:vAlign w:val="center"/>
          </w:tcPr>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18"/>
                <w:u w:val="single"/>
                <w:lang w:val="es-ES" w:eastAsia="es-ES"/>
              </w:rPr>
            </w:pPr>
          </w:p>
        </w:tc>
        <w:tc>
          <w:tcPr>
            <w:tcW w:w="1187"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18"/>
                <w:u w:val="single"/>
                <w:lang w:val="es-ES" w:eastAsia="es-ES"/>
              </w:rPr>
            </w:pPr>
            <w:r w:rsidRPr="00993936">
              <w:rPr>
                <w:rFonts w:ascii="Arial" w:hAnsi="Arial" w:cs="Arial"/>
                <w:snapToGrid w:val="0"/>
                <w:sz w:val="18"/>
                <w:lang w:val="es-ES"/>
              </w:rPr>
              <w:t>Presencia</w:t>
            </w:r>
          </w:p>
        </w:tc>
        <w:tc>
          <w:tcPr>
            <w:tcW w:w="1188" w:type="dxa"/>
            <w:vAlign w:val="center"/>
          </w:tcPr>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18"/>
                <w:u w:val="single"/>
                <w:lang w:val="es-ES" w:eastAsia="es-ES"/>
              </w:rPr>
            </w:pPr>
          </w:p>
        </w:tc>
        <w:tc>
          <w:tcPr>
            <w:tcW w:w="2720" w:type="dxa"/>
            <w:vMerge/>
            <w:vAlign w:val="center"/>
          </w:tcPr>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18"/>
                <w:u w:val="single"/>
                <w:lang w:val="es-ES" w:eastAsia="es-ES"/>
              </w:rPr>
            </w:pPr>
          </w:p>
        </w:tc>
        <w:tc>
          <w:tcPr>
            <w:tcW w:w="3402"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Poda de saneamiento y evitar desplazamiento de tierras y el uso de aguas contaminadas y lesiones radiculares.</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18"/>
                <w:u w:val="single"/>
                <w:lang w:val="es-ES" w:eastAsia="es-ES"/>
              </w:rPr>
            </w:pPr>
          </w:p>
        </w:tc>
      </w:tr>
    </w:tbl>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p>
    <w:p w:rsidR="00503A41" w:rsidRPr="00993936" w:rsidRDefault="00503A41" w:rsidP="001C0FFB">
      <w:pPr>
        <w:rPr>
          <w:rFonts w:ascii="Arial" w:hAnsi="Arial" w:cs="Arial"/>
          <w:b/>
          <w:lang w:val="es-ES"/>
        </w:rPr>
      </w:pPr>
      <w:r w:rsidRPr="00993936">
        <w:rPr>
          <w:rFonts w:ascii="Arial" w:hAnsi="Arial" w:cs="Arial"/>
          <w:b/>
          <w:lang w:val="es-ES"/>
        </w:rPr>
        <w:t>2.2  Listado de enfermedades, unidades de muestreo, criterios de intervención y métodos de control en producción integrada de Olivas (continuación)</w:t>
      </w:r>
    </w:p>
    <w:p w:rsidR="00503A41" w:rsidRPr="00993936" w:rsidRDefault="00503A41" w:rsidP="001C0FFB">
      <w:pPr>
        <w:rPr>
          <w:rFonts w:ascii="Arial" w:hAnsi="Arial" w:cs="Arial"/>
          <w:b/>
          <w:lang w:val="es-ES"/>
        </w:rPr>
      </w:pPr>
    </w:p>
    <w:tbl>
      <w:tblPr>
        <w:tblW w:w="14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9"/>
        <w:gridCol w:w="1187"/>
        <w:gridCol w:w="1188"/>
        <w:gridCol w:w="1187"/>
        <w:gridCol w:w="1187"/>
        <w:gridCol w:w="1188"/>
        <w:gridCol w:w="3210"/>
        <w:gridCol w:w="2912"/>
      </w:tblGrid>
      <w:tr w:rsidR="00503A41" w:rsidRPr="00993936" w:rsidTr="001C0FFB">
        <w:trPr>
          <w:cantSplit/>
          <w:jc w:val="center"/>
        </w:trPr>
        <w:tc>
          <w:tcPr>
            <w:tcW w:w="2159" w:type="dxa"/>
            <w:vMerge w:val="restart"/>
            <w:shd w:val="pct12" w:color="auto" w:fill="FFFFFF"/>
            <w:vAlign w:val="center"/>
          </w:tcPr>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Enfermedades</w:t>
            </w:r>
          </w:p>
        </w:tc>
        <w:tc>
          <w:tcPr>
            <w:tcW w:w="3562" w:type="dxa"/>
            <w:gridSpan w:val="3"/>
            <w:shd w:val="pct12" w:color="auto" w:fill="FFFFFF"/>
            <w:vAlign w:val="center"/>
          </w:tcPr>
          <w:p w:rsidR="00503A41" w:rsidRPr="00993936" w:rsidRDefault="00503A41" w:rsidP="001C0FFB">
            <w:pPr>
              <w:pStyle w:val="Ttulo4"/>
              <w:rPr>
                <w:rFonts w:ascii="Arial" w:hAnsi="Arial" w:cs="Arial"/>
                <w:color w:val="auto"/>
                <w:sz w:val="18"/>
                <w:lang w:val="es-ES"/>
              </w:rPr>
            </w:pPr>
            <w:r w:rsidRPr="00993936">
              <w:rPr>
                <w:rFonts w:ascii="Arial" w:hAnsi="Arial" w:cs="Arial"/>
                <w:color w:val="auto"/>
                <w:sz w:val="18"/>
                <w:lang w:val="es-ES"/>
              </w:rPr>
              <w:t>Estimación</w:t>
            </w:r>
            <w:r w:rsidRPr="00993936">
              <w:rPr>
                <w:rFonts w:ascii="Arial" w:hAnsi="Arial" w:cs="Arial"/>
                <w:vanish/>
                <w:color w:val="auto"/>
                <w:sz w:val="18"/>
                <w:lang w:val="es-ES"/>
              </w:rPr>
              <w:t>&lt;A[Estimación|Estima]&gt;</w:t>
            </w:r>
            <w:r w:rsidRPr="00993936">
              <w:rPr>
                <w:rFonts w:ascii="Arial" w:hAnsi="Arial" w:cs="Arial"/>
                <w:color w:val="auto"/>
                <w:sz w:val="18"/>
                <w:lang w:val="es-ES"/>
              </w:rPr>
              <w:t xml:space="preserve"> visual</w:t>
            </w:r>
          </w:p>
          <w:p w:rsidR="00503A41" w:rsidRPr="00993936" w:rsidRDefault="00503A41" w:rsidP="001C0FFB">
            <w:pPr>
              <w:widowControl w:val="0"/>
              <w:jc w:val="center"/>
              <w:rPr>
                <w:rFonts w:ascii="Arial" w:hAnsi="Arial" w:cs="Arial"/>
                <w:b/>
                <w:snapToGrid w:val="0"/>
                <w:sz w:val="18"/>
                <w:lang w:val="es-ES"/>
              </w:rPr>
            </w:pPr>
            <w:r w:rsidRPr="00993936">
              <w:rPr>
                <w:rFonts w:ascii="Arial" w:hAnsi="Arial" w:cs="Arial"/>
                <w:b/>
                <w:snapToGrid w:val="0"/>
                <w:sz w:val="18"/>
                <w:lang w:val="es-ES"/>
              </w:rPr>
              <w:t>Unidad de muestra secundaría</w:t>
            </w:r>
          </w:p>
        </w:tc>
        <w:tc>
          <w:tcPr>
            <w:tcW w:w="2375" w:type="dxa"/>
            <w:gridSpan w:val="2"/>
            <w:shd w:val="pct12" w:color="auto" w:fill="FFFFFF"/>
            <w:vAlign w:val="center"/>
          </w:tcPr>
          <w:p w:rsidR="00503A41" w:rsidRPr="00993936" w:rsidRDefault="00503A41" w:rsidP="001C0FFB">
            <w:pPr>
              <w:pStyle w:val="Ttulo4"/>
              <w:rPr>
                <w:rFonts w:ascii="Arial" w:hAnsi="Arial" w:cs="Arial"/>
                <w:color w:val="auto"/>
                <w:sz w:val="18"/>
                <w:lang w:val="es-ES"/>
              </w:rPr>
            </w:pPr>
            <w:r w:rsidRPr="00993936">
              <w:rPr>
                <w:rFonts w:ascii="Arial" w:hAnsi="Arial" w:cs="Arial"/>
                <w:color w:val="auto"/>
                <w:sz w:val="18"/>
                <w:lang w:val="es-ES"/>
              </w:rPr>
              <w:t>Criterios de intervención</w:t>
            </w:r>
          </w:p>
        </w:tc>
        <w:tc>
          <w:tcPr>
            <w:tcW w:w="6122" w:type="dxa"/>
            <w:gridSpan w:val="2"/>
            <w:shd w:val="pct12" w:color="auto" w:fill="FFFFFF"/>
            <w:vAlign w:val="center"/>
          </w:tcPr>
          <w:p w:rsidR="00503A41" w:rsidRPr="00993936" w:rsidRDefault="00503A41" w:rsidP="001C0FFB">
            <w:pPr>
              <w:pStyle w:val="Ttulo4"/>
              <w:rPr>
                <w:rFonts w:ascii="Arial" w:hAnsi="Arial" w:cs="Arial"/>
                <w:b/>
                <w:color w:val="auto"/>
                <w:sz w:val="18"/>
                <w:lang w:val="es-ES"/>
              </w:rPr>
            </w:pPr>
            <w:r w:rsidRPr="00993936">
              <w:rPr>
                <w:rFonts w:ascii="Arial" w:hAnsi="Arial" w:cs="Arial"/>
                <w:color w:val="auto"/>
                <w:sz w:val="18"/>
                <w:lang w:val="es-ES"/>
              </w:rPr>
              <w:t>Métodos de control</w:t>
            </w:r>
          </w:p>
        </w:tc>
      </w:tr>
      <w:tr w:rsidR="00503A41" w:rsidRPr="00993936" w:rsidTr="001C0FFB">
        <w:trPr>
          <w:cantSplit/>
          <w:jc w:val="center"/>
        </w:trPr>
        <w:tc>
          <w:tcPr>
            <w:tcW w:w="2159" w:type="dxa"/>
            <w:vMerge/>
            <w:shd w:val="pct12" w:color="auto" w:fill="FFFFFF"/>
            <w:vAlign w:val="center"/>
          </w:tcPr>
          <w:p w:rsidR="00503A41" w:rsidRPr="00993936" w:rsidRDefault="00503A41" w:rsidP="001C0FFB">
            <w:pPr>
              <w:jc w:val="center"/>
              <w:rPr>
                <w:rFonts w:ascii="Arial" w:hAnsi="Arial" w:cs="Arial"/>
                <w:sz w:val="18"/>
                <w:lang w:val="es-ES"/>
              </w:rPr>
            </w:pPr>
          </w:p>
        </w:tc>
        <w:tc>
          <w:tcPr>
            <w:tcW w:w="1187"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Elemento</w:t>
            </w:r>
          </w:p>
        </w:tc>
        <w:tc>
          <w:tcPr>
            <w:tcW w:w="1188" w:type="dxa"/>
            <w:shd w:val="pct12" w:color="auto" w:fill="FFFFFF"/>
            <w:vAlign w:val="center"/>
          </w:tcPr>
          <w:p w:rsidR="00503A41" w:rsidRPr="00993936" w:rsidRDefault="00503A41" w:rsidP="001D205D">
            <w:pPr>
              <w:jc w:val="center"/>
              <w:rPr>
                <w:rFonts w:ascii="Arial" w:hAnsi="Arial" w:cs="Arial"/>
                <w:sz w:val="18"/>
                <w:lang w:val="es-ES"/>
              </w:rPr>
            </w:pPr>
            <w:r w:rsidRPr="00993936">
              <w:rPr>
                <w:rFonts w:ascii="Arial" w:hAnsi="Arial" w:cs="Arial"/>
                <w:b/>
                <w:snapToGrid w:val="0"/>
                <w:sz w:val="18"/>
                <w:lang w:val="es-ES"/>
              </w:rPr>
              <w:t>Nro. por</w:t>
            </w:r>
            <w:r w:rsidRPr="00993936">
              <w:rPr>
                <w:rFonts w:ascii="Arial" w:hAnsi="Arial" w:cs="Arial"/>
                <w:b/>
                <w:snapToGrid w:val="0"/>
                <w:vanish/>
                <w:sz w:val="18"/>
                <w:lang w:val="es-ES"/>
              </w:rPr>
              <w:t>&lt;A[para|por]&gt;</w:t>
            </w:r>
            <w:r w:rsidRPr="00993936">
              <w:rPr>
                <w:rFonts w:ascii="Arial" w:hAnsi="Arial" w:cs="Arial"/>
                <w:b/>
                <w:snapToGrid w:val="0"/>
                <w:sz w:val="18"/>
                <w:lang w:val="es-ES"/>
              </w:rPr>
              <w:t xml:space="preserve"> UC</w:t>
            </w:r>
          </w:p>
        </w:tc>
        <w:tc>
          <w:tcPr>
            <w:tcW w:w="1187"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Variable</w:t>
            </w:r>
          </w:p>
        </w:tc>
        <w:tc>
          <w:tcPr>
            <w:tcW w:w="1187"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umbral</w:t>
            </w:r>
          </w:p>
        </w:tc>
        <w:tc>
          <w:tcPr>
            <w:tcW w:w="1188"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Época</w:t>
            </w:r>
          </w:p>
        </w:tc>
        <w:tc>
          <w:tcPr>
            <w:tcW w:w="3210"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Biológicos y/o químicos</w:t>
            </w:r>
          </w:p>
        </w:tc>
        <w:tc>
          <w:tcPr>
            <w:tcW w:w="2912" w:type="dxa"/>
            <w:shd w:val="pct12" w:color="auto" w:fill="FFFFFF"/>
            <w:vAlign w:val="center"/>
          </w:tcPr>
          <w:p w:rsidR="00503A41" w:rsidRPr="00993936" w:rsidRDefault="00503A41" w:rsidP="001C0FFB">
            <w:pPr>
              <w:jc w:val="center"/>
              <w:rPr>
                <w:rFonts w:ascii="Arial" w:hAnsi="Arial" w:cs="Arial"/>
                <w:sz w:val="18"/>
                <w:lang w:val="es-ES"/>
              </w:rPr>
            </w:pPr>
            <w:r w:rsidRPr="00993936">
              <w:rPr>
                <w:rFonts w:ascii="Arial" w:hAnsi="Arial" w:cs="Arial"/>
                <w:b/>
                <w:snapToGrid w:val="0"/>
                <w:sz w:val="18"/>
                <w:lang w:val="es-ES"/>
              </w:rPr>
              <w:t>Otros</w:t>
            </w:r>
          </w:p>
        </w:tc>
      </w:tr>
      <w:tr w:rsidR="00503A41" w:rsidRPr="00993936" w:rsidTr="001C0FFB">
        <w:trPr>
          <w:cantSplit/>
          <w:jc w:val="center"/>
        </w:trPr>
        <w:tc>
          <w:tcPr>
            <w:tcW w:w="2159" w:type="dxa"/>
            <w:vAlign w:val="center"/>
          </w:tcPr>
          <w:p w:rsidR="00503A41" w:rsidRPr="00993936" w:rsidRDefault="00503A41" w:rsidP="001C0FFB">
            <w:pPr>
              <w:widowControl w:val="0"/>
              <w:jc w:val="center"/>
              <w:rPr>
                <w:rFonts w:ascii="Arial" w:hAnsi="Arial" w:cs="Arial"/>
                <w:b/>
                <w:sz w:val="18"/>
                <w:lang w:val="es-ES"/>
              </w:rPr>
            </w:pPr>
            <w:r w:rsidRPr="00993936">
              <w:rPr>
                <w:rFonts w:ascii="Arial" w:hAnsi="Arial" w:cs="Arial"/>
                <w:b/>
                <w:sz w:val="18"/>
                <w:lang w:val="es-ES"/>
              </w:rPr>
              <w:t>Repilo</w:t>
            </w:r>
          </w:p>
          <w:p w:rsidR="00503A41" w:rsidRPr="00993936" w:rsidRDefault="00503A41" w:rsidP="001C0FFB">
            <w:pPr>
              <w:widowControl w:val="0"/>
              <w:jc w:val="center"/>
              <w:rPr>
                <w:rFonts w:ascii="Arial" w:hAnsi="Arial" w:cs="Arial"/>
                <w:i/>
                <w:sz w:val="18"/>
                <w:lang w:val="es-ES"/>
              </w:rPr>
            </w:pPr>
            <w:r w:rsidRPr="00993936">
              <w:rPr>
                <w:rFonts w:ascii="Arial" w:hAnsi="Arial" w:cs="Arial"/>
                <w:i/>
                <w:sz w:val="18"/>
                <w:lang w:val="es-ES"/>
              </w:rPr>
              <w:t>Spilocaea aleagina</w:t>
            </w:r>
          </w:p>
          <w:p w:rsidR="00503A41" w:rsidRPr="00993936" w:rsidRDefault="00503A41" w:rsidP="001C0FFB">
            <w:pPr>
              <w:widowControl w:val="0"/>
              <w:jc w:val="center"/>
              <w:rPr>
                <w:rFonts w:ascii="Arial" w:hAnsi="Arial" w:cs="Arial"/>
                <w:b/>
                <w:sz w:val="18"/>
                <w:lang w:val="es-ES"/>
              </w:rPr>
            </w:pPr>
          </w:p>
          <w:p w:rsidR="00503A41" w:rsidRPr="00993936" w:rsidRDefault="00503A41" w:rsidP="001C0FFB">
            <w:pPr>
              <w:widowControl w:val="0"/>
              <w:jc w:val="center"/>
              <w:rPr>
                <w:rFonts w:ascii="Arial" w:hAnsi="Arial" w:cs="Arial"/>
                <w:b/>
                <w:sz w:val="18"/>
                <w:lang w:val="es-ES"/>
              </w:rPr>
            </w:pPr>
            <w:r w:rsidRPr="00993936">
              <w:rPr>
                <w:rFonts w:ascii="Arial" w:hAnsi="Arial" w:cs="Arial"/>
                <w:b/>
                <w:sz w:val="18"/>
                <w:lang w:val="es-ES"/>
              </w:rPr>
              <w:t>y</w:t>
            </w:r>
          </w:p>
          <w:p w:rsidR="00503A41" w:rsidRPr="00993936" w:rsidRDefault="00503A41" w:rsidP="001C0FFB">
            <w:pPr>
              <w:widowControl w:val="0"/>
              <w:jc w:val="center"/>
              <w:rPr>
                <w:rFonts w:ascii="Arial" w:hAnsi="Arial" w:cs="Arial"/>
                <w:i/>
                <w:sz w:val="18"/>
                <w:lang w:val="es-ES"/>
              </w:rPr>
            </w:pPr>
            <w:r w:rsidRPr="00993936">
              <w:rPr>
                <w:rFonts w:ascii="Arial" w:hAnsi="Arial" w:cs="Arial"/>
                <w:b/>
                <w:sz w:val="18"/>
                <w:lang w:val="es-ES"/>
              </w:rPr>
              <w:t>Repilo plomizo</w:t>
            </w:r>
          </w:p>
          <w:p w:rsidR="00503A41" w:rsidRPr="00993936" w:rsidRDefault="00503A41" w:rsidP="001C0FFB">
            <w:pPr>
              <w:widowControl w:val="0"/>
              <w:jc w:val="center"/>
              <w:rPr>
                <w:rFonts w:ascii="Arial" w:hAnsi="Arial" w:cs="Arial"/>
                <w:snapToGrid w:val="0"/>
                <w:sz w:val="18"/>
                <w:lang w:val="es-ES"/>
              </w:rPr>
            </w:pPr>
            <w:r w:rsidRPr="00993936">
              <w:rPr>
                <w:rFonts w:ascii="Arial" w:hAnsi="Arial" w:cs="Arial"/>
                <w:i/>
                <w:sz w:val="18"/>
                <w:lang w:val="es-ES"/>
              </w:rPr>
              <w:t>Cercospora cladosporioides</w:t>
            </w:r>
          </w:p>
          <w:p w:rsidR="00503A41" w:rsidRPr="00993936" w:rsidRDefault="00503A41" w:rsidP="001C0FFB">
            <w:pPr>
              <w:widowControl w:val="0"/>
              <w:jc w:val="center"/>
              <w:rPr>
                <w:rFonts w:ascii="Arial" w:hAnsi="Arial" w:cs="Arial"/>
                <w:snapToGrid w:val="0"/>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jc w:val="center"/>
              <w:rPr>
                <w:rFonts w:ascii="Arial" w:hAnsi="Arial" w:cs="Arial"/>
                <w:snapToGrid w:val="0"/>
                <w:sz w:val="18"/>
                <w:lang w:val="es-ES"/>
              </w:rPr>
            </w:pPr>
            <w:r w:rsidRPr="00993936">
              <w:rPr>
                <w:rFonts w:ascii="Arial" w:hAnsi="Arial" w:cs="Arial"/>
                <w:snapToGrid w:val="0"/>
                <w:sz w:val="18"/>
                <w:lang w:val="es-ES"/>
              </w:rPr>
              <w:t>Hoja</w:t>
            </w:r>
          </w:p>
        </w:tc>
        <w:tc>
          <w:tcPr>
            <w:tcW w:w="1188"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400 hojas</w:t>
            </w:r>
          </w:p>
        </w:tc>
        <w:tc>
          <w:tcPr>
            <w:tcW w:w="1187" w:type="dxa"/>
            <w:vAlign w:val="center"/>
          </w:tcPr>
          <w:p w:rsidR="00503A41" w:rsidRPr="00993936" w:rsidRDefault="00503A41" w:rsidP="001D205D">
            <w:pPr>
              <w:widowControl w:val="0"/>
              <w:rPr>
                <w:rFonts w:ascii="Arial" w:hAnsi="Arial" w:cs="Arial"/>
                <w:snapToGrid w:val="0"/>
                <w:sz w:val="18"/>
                <w:lang w:val="es-ES"/>
              </w:rPr>
            </w:pPr>
            <w:r w:rsidRPr="00993936">
              <w:rPr>
                <w:rFonts w:ascii="Arial" w:hAnsi="Arial" w:cs="Arial"/>
                <w:snapToGrid w:val="0"/>
                <w:sz w:val="18"/>
                <w:lang w:val="es-ES"/>
              </w:rPr>
              <w:t xml:space="preserve">(%) de hoja con manchas de repilo (reverso) o plomizo </w:t>
            </w:r>
          </w:p>
        </w:tc>
        <w:tc>
          <w:tcPr>
            <w:tcW w:w="1187"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A criterio del técnico</w:t>
            </w:r>
          </w:p>
        </w:tc>
        <w:tc>
          <w:tcPr>
            <w:tcW w:w="1188"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Final de verano, antes de las primeras lluvias de otoño.</w:t>
            </w: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Finales de invierno, antes de las primeras lluvias de primavera</w:t>
            </w:r>
          </w:p>
        </w:tc>
        <w:tc>
          <w:tcPr>
            <w:tcW w:w="3210" w:type="dxa"/>
            <w:vAlign w:val="center"/>
          </w:tcPr>
          <w:p w:rsidR="00503A41" w:rsidRPr="00993936" w:rsidRDefault="00503A41" w:rsidP="001C0FFB">
            <w:pPr>
              <w:widowControl w:val="0"/>
              <w:rPr>
                <w:rFonts w:ascii="Arial" w:hAnsi="Arial" w:cs="Arial"/>
                <w:snapToGrid w:val="0"/>
                <w:sz w:val="18"/>
                <w:lang w:val="es-ES"/>
              </w:rPr>
            </w:pPr>
          </w:p>
        </w:tc>
        <w:tc>
          <w:tcPr>
            <w:tcW w:w="2912"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Poda que favorezca el aireamiento.</w:t>
            </w:r>
          </w:p>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18"/>
                <w:lang w:val="es-ES"/>
              </w:rPr>
            </w:pPr>
            <w:r w:rsidRPr="00993936">
              <w:rPr>
                <w:rFonts w:ascii="Arial" w:hAnsi="Arial" w:cs="Arial"/>
                <w:snapToGrid w:val="0"/>
                <w:sz w:val="18"/>
                <w:lang w:val="es-ES"/>
              </w:rPr>
              <w:t>Reducción de la fertilización nitrogenada.</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sz w:val="18"/>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sz w:val="18"/>
                <w:u w:val="single"/>
                <w:lang w:val="es-ES" w:eastAsia="es-ES"/>
              </w:rPr>
            </w:pPr>
            <w:r w:rsidRPr="00993936">
              <w:rPr>
                <w:rFonts w:ascii="Arial" w:hAnsi="Arial" w:cs="Arial"/>
                <w:snapToGrid w:val="0"/>
                <w:sz w:val="18"/>
                <w:lang w:val="es-ES"/>
              </w:rPr>
              <w:t>Sensibilidad varietal</w:t>
            </w:r>
          </w:p>
        </w:tc>
      </w:tr>
      <w:tr w:rsidR="00503A41" w:rsidRPr="00993936" w:rsidTr="001C0FFB">
        <w:trPr>
          <w:cantSplit/>
          <w:trHeight w:val="2004"/>
          <w:jc w:val="center"/>
        </w:trPr>
        <w:tc>
          <w:tcPr>
            <w:tcW w:w="2159" w:type="dxa"/>
            <w:vMerge w:val="restart"/>
            <w:vAlign w:val="center"/>
          </w:tcPr>
          <w:p w:rsidR="00503A41" w:rsidRPr="00993936" w:rsidRDefault="00503A41" w:rsidP="001C0FFB">
            <w:pPr>
              <w:widowControl w:val="0"/>
              <w:jc w:val="center"/>
              <w:rPr>
                <w:rFonts w:ascii="Arial" w:hAnsi="Arial" w:cs="Arial"/>
                <w:i/>
                <w:sz w:val="18"/>
                <w:lang w:val="es-ES"/>
              </w:rPr>
            </w:pPr>
            <w:r w:rsidRPr="00993936">
              <w:rPr>
                <w:rFonts w:ascii="Arial" w:hAnsi="Arial" w:cs="Arial"/>
                <w:i/>
                <w:sz w:val="18"/>
                <w:lang w:val="es-ES"/>
              </w:rPr>
              <w:lastRenderedPageBreak/>
              <w:t>Colletotrichum acutatum</w:t>
            </w:r>
          </w:p>
        </w:tc>
        <w:tc>
          <w:tcPr>
            <w:tcW w:w="1187" w:type="dxa"/>
            <w:vAlign w:val="center"/>
          </w:tcPr>
          <w:p w:rsidR="00503A41" w:rsidRPr="00993936" w:rsidRDefault="00503A41" w:rsidP="001C0FFB">
            <w:pPr>
              <w:widowControl w:val="0"/>
              <w:jc w:val="center"/>
              <w:rPr>
                <w:rFonts w:ascii="Arial" w:hAnsi="Arial" w:cs="Arial"/>
                <w:snapToGrid w:val="0"/>
                <w:sz w:val="18"/>
                <w:lang w:val="es-ES"/>
              </w:rPr>
            </w:pPr>
            <w:r w:rsidRPr="00993936">
              <w:rPr>
                <w:rFonts w:ascii="Arial" w:hAnsi="Arial" w:cs="Arial"/>
                <w:snapToGrid w:val="0"/>
                <w:sz w:val="18"/>
                <w:lang w:val="es-ES"/>
              </w:rPr>
              <w:t>Fruto</w:t>
            </w: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(en todos los casos)</w:t>
            </w:r>
          </w:p>
        </w:tc>
        <w:tc>
          <w:tcPr>
            <w:tcW w:w="1188"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200 frutos maduros por variedad</w:t>
            </w:r>
          </w:p>
        </w:tc>
        <w:tc>
          <w:tcPr>
            <w:tcW w:w="1187"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 de frutos atacados</w:t>
            </w:r>
          </w:p>
        </w:tc>
        <w:tc>
          <w:tcPr>
            <w:tcW w:w="1187"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&gt;= 5% de frutos afectados después de incubación o presencia de olivas afectadas en el suelo</w:t>
            </w:r>
          </w:p>
        </w:tc>
        <w:tc>
          <w:tcPr>
            <w:tcW w:w="1188"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Cambio de color hasta recolección</w:t>
            </w:r>
          </w:p>
        </w:tc>
        <w:tc>
          <w:tcPr>
            <w:tcW w:w="3210" w:type="dxa"/>
            <w:vAlign w:val="center"/>
          </w:tcPr>
          <w:p w:rsidR="00503A41" w:rsidRPr="00993936" w:rsidRDefault="00503A41" w:rsidP="001C0FFB">
            <w:pPr>
              <w:widowControl w:val="0"/>
              <w:rPr>
                <w:rFonts w:ascii="Arial" w:hAnsi="Arial" w:cs="Arial"/>
                <w:snapToGrid w:val="0"/>
                <w:sz w:val="18"/>
                <w:u w:val="single"/>
                <w:lang w:val="es-ES"/>
              </w:rPr>
            </w:pPr>
          </w:p>
        </w:tc>
        <w:tc>
          <w:tcPr>
            <w:tcW w:w="2912"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Recolección inmediata</w:t>
            </w:r>
          </w:p>
        </w:tc>
      </w:tr>
      <w:tr w:rsidR="00503A41" w:rsidRPr="00993936" w:rsidTr="001D205D">
        <w:trPr>
          <w:cantSplit/>
          <w:trHeight w:val="1274"/>
          <w:jc w:val="center"/>
        </w:trPr>
        <w:tc>
          <w:tcPr>
            <w:tcW w:w="2159" w:type="dxa"/>
            <w:vMerge/>
            <w:vAlign w:val="center"/>
          </w:tcPr>
          <w:p w:rsidR="00503A41" w:rsidRPr="00993936" w:rsidRDefault="00503A41" w:rsidP="001C0FFB">
            <w:pPr>
              <w:widowControl w:val="0"/>
              <w:jc w:val="center"/>
              <w:rPr>
                <w:rFonts w:ascii="Arial" w:hAnsi="Arial" w:cs="Arial"/>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p>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Finca con antecedentes</w:t>
            </w:r>
          </w:p>
        </w:tc>
        <w:tc>
          <w:tcPr>
            <w:tcW w:w="1188" w:type="dxa"/>
            <w:vAlign w:val="center"/>
          </w:tcPr>
          <w:p w:rsidR="00503A41" w:rsidRPr="00993936" w:rsidRDefault="00503A41" w:rsidP="001C0FFB">
            <w:pPr>
              <w:widowControl w:val="0"/>
              <w:rPr>
                <w:rFonts w:ascii="Arial" w:hAnsi="Arial" w:cs="Arial"/>
                <w:snapToGrid w:val="0"/>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p>
        </w:tc>
        <w:tc>
          <w:tcPr>
            <w:tcW w:w="1187"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Campaña anterior con 5% de frutos afectados</w:t>
            </w:r>
          </w:p>
        </w:tc>
        <w:tc>
          <w:tcPr>
            <w:tcW w:w="1188"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Previo al endurecimiento de hueso</w:t>
            </w:r>
            <w:r w:rsidRPr="00993936">
              <w:rPr>
                <w:rFonts w:ascii="Arial" w:hAnsi="Arial" w:cs="Arial"/>
                <w:snapToGrid w:val="0"/>
                <w:vanish/>
                <w:sz w:val="18"/>
                <w:lang w:val="es-ES"/>
              </w:rPr>
              <w:t>&lt;A[hueso|pepita]&gt;</w:t>
            </w:r>
            <w:r w:rsidRPr="00993936">
              <w:rPr>
                <w:rFonts w:ascii="Arial" w:hAnsi="Arial" w:cs="Arial"/>
                <w:snapToGrid w:val="0"/>
                <w:sz w:val="18"/>
                <w:lang w:val="es-ES"/>
              </w:rPr>
              <w:t>/ previo a cambio de color</w:t>
            </w:r>
          </w:p>
        </w:tc>
        <w:tc>
          <w:tcPr>
            <w:tcW w:w="3210" w:type="dxa"/>
            <w:vAlign w:val="center"/>
          </w:tcPr>
          <w:p w:rsidR="00503A41" w:rsidRPr="00993936" w:rsidRDefault="00503A41" w:rsidP="001D205D">
            <w:pPr>
              <w:widowControl w:val="0"/>
              <w:rPr>
                <w:rFonts w:ascii="Arial" w:hAnsi="Arial" w:cs="Arial"/>
                <w:snapToGrid w:val="0"/>
                <w:sz w:val="18"/>
                <w:lang w:val="es-ES"/>
              </w:rPr>
            </w:pPr>
            <w:r w:rsidRPr="00993936">
              <w:rPr>
                <w:rFonts w:ascii="Arial" w:hAnsi="Arial" w:cs="Arial"/>
                <w:snapToGrid w:val="0"/>
                <w:sz w:val="18"/>
                <w:lang w:val="es-ES"/>
              </w:rPr>
              <w:t>Utilizar preferentemente para los tratamientos de Repilo los productos señalados con uno (*) en la lista de funguicidas que se recoge en el apartado 2.4</w:t>
            </w:r>
          </w:p>
        </w:tc>
        <w:tc>
          <w:tcPr>
            <w:tcW w:w="2912" w:type="dxa"/>
            <w:vAlign w:val="center"/>
          </w:tcPr>
          <w:p w:rsidR="00503A41" w:rsidRPr="00993936" w:rsidRDefault="00503A41" w:rsidP="001C0FFB">
            <w:pPr>
              <w:widowControl w:val="0"/>
              <w:rPr>
                <w:rFonts w:ascii="Arial" w:hAnsi="Arial" w:cs="Arial"/>
                <w:snapToGrid w:val="0"/>
                <w:sz w:val="18"/>
                <w:lang w:val="es-ES"/>
              </w:rPr>
            </w:pPr>
          </w:p>
        </w:tc>
      </w:tr>
      <w:tr w:rsidR="00503A41" w:rsidRPr="00993936" w:rsidTr="001C0FFB">
        <w:trPr>
          <w:cantSplit/>
          <w:jc w:val="center"/>
        </w:trPr>
        <w:tc>
          <w:tcPr>
            <w:tcW w:w="2159" w:type="dxa"/>
            <w:vAlign w:val="center"/>
          </w:tcPr>
          <w:p w:rsidR="00503A41" w:rsidRPr="00993936" w:rsidRDefault="00503A41" w:rsidP="001C0FFB">
            <w:pPr>
              <w:widowControl w:val="0"/>
              <w:jc w:val="center"/>
              <w:rPr>
                <w:rFonts w:ascii="Arial" w:hAnsi="Arial" w:cs="Arial"/>
                <w:b/>
                <w:sz w:val="18"/>
                <w:lang w:val="es-ES"/>
              </w:rPr>
            </w:pPr>
            <w:r w:rsidRPr="00993936">
              <w:rPr>
                <w:rFonts w:ascii="Arial" w:hAnsi="Arial" w:cs="Arial"/>
                <w:b/>
                <w:sz w:val="18"/>
                <w:lang w:val="es-ES"/>
              </w:rPr>
              <w:t>Que afectan a la calidad del aceite</w:t>
            </w:r>
          </w:p>
          <w:p w:rsidR="00503A41" w:rsidRPr="00993936" w:rsidRDefault="00503A41" w:rsidP="001C0FFB">
            <w:pPr>
              <w:widowControl w:val="0"/>
              <w:jc w:val="center"/>
              <w:rPr>
                <w:rFonts w:ascii="Arial" w:hAnsi="Arial" w:cs="Arial"/>
                <w:i/>
                <w:sz w:val="18"/>
                <w:lang w:val="es-ES"/>
              </w:rPr>
            </w:pPr>
            <w:r w:rsidRPr="00993936">
              <w:rPr>
                <w:rFonts w:ascii="Arial" w:hAnsi="Arial" w:cs="Arial"/>
                <w:i/>
                <w:sz w:val="18"/>
                <w:lang w:val="es-ES"/>
              </w:rPr>
              <w:t>Clarosporium herbarum, Micriospharopsis, Alternaría, etc.</w:t>
            </w:r>
          </w:p>
        </w:tc>
        <w:tc>
          <w:tcPr>
            <w:tcW w:w="1187"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Fruto</w:t>
            </w:r>
          </w:p>
        </w:tc>
        <w:tc>
          <w:tcPr>
            <w:tcW w:w="1188"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200 frutos por variedad</w:t>
            </w:r>
          </w:p>
        </w:tc>
        <w:tc>
          <w:tcPr>
            <w:tcW w:w="1187"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 de frutos atacados</w:t>
            </w:r>
          </w:p>
        </w:tc>
        <w:tc>
          <w:tcPr>
            <w:tcW w:w="1187"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5% de frutos atacados</w:t>
            </w:r>
          </w:p>
        </w:tc>
        <w:tc>
          <w:tcPr>
            <w:tcW w:w="1188"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De cambio de color a recolección</w:t>
            </w:r>
          </w:p>
        </w:tc>
        <w:tc>
          <w:tcPr>
            <w:tcW w:w="3210" w:type="dxa"/>
            <w:vAlign w:val="center"/>
          </w:tcPr>
          <w:p w:rsidR="00503A41" w:rsidRPr="00993936" w:rsidRDefault="00503A41" w:rsidP="001C0FFB">
            <w:pPr>
              <w:widowControl w:val="0"/>
              <w:rPr>
                <w:rFonts w:ascii="Arial" w:hAnsi="Arial" w:cs="Arial"/>
                <w:snapToGrid w:val="0"/>
                <w:sz w:val="18"/>
                <w:u w:val="single"/>
                <w:lang w:val="es-ES"/>
              </w:rPr>
            </w:pPr>
          </w:p>
        </w:tc>
        <w:tc>
          <w:tcPr>
            <w:tcW w:w="2912" w:type="dxa"/>
            <w:vAlign w:val="center"/>
          </w:tcPr>
          <w:p w:rsidR="00503A41" w:rsidRPr="00993936" w:rsidRDefault="00503A41" w:rsidP="001C0FFB">
            <w:pPr>
              <w:widowControl w:val="0"/>
              <w:rPr>
                <w:rFonts w:ascii="Arial" w:hAnsi="Arial" w:cs="Arial"/>
                <w:snapToGrid w:val="0"/>
                <w:sz w:val="18"/>
                <w:lang w:val="es-ES"/>
              </w:rPr>
            </w:pPr>
            <w:r w:rsidRPr="00993936">
              <w:rPr>
                <w:rFonts w:ascii="Arial" w:hAnsi="Arial" w:cs="Arial"/>
                <w:snapToGrid w:val="0"/>
                <w:sz w:val="18"/>
                <w:lang w:val="es-ES"/>
              </w:rPr>
              <w:t>Recolección inmediata</w:t>
            </w:r>
          </w:p>
        </w:tc>
      </w:tr>
    </w:tbl>
    <w:p w:rsidR="00503A41" w:rsidRPr="00993936" w:rsidRDefault="00503A41" w:rsidP="001C0FFB">
      <w:pPr>
        <w:rPr>
          <w:rFonts w:ascii="Arial" w:hAnsi="Arial" w:cs="Arial"/>
          <w:lang w:val="es-ES"/>
        </w:rPr>
        <w:sectPr w:rsidR="00503A41" w:rsidRPr="00993936" w:rsidSect="001C0FFB">
          <w:type w:val="nextColumn"/>
          <w:pgSz w:w="16840" w:h="11907" w:orient="landscape" w:code="9"/>
          <w:pgMar w:top="1418" w:right="1418" w:bottom="1418" w:left="1418" w:header="708" w:footer="708" w:gutter="0"/>
          <w:cols w:space="708"/>
        </w:sectPr>
      </w:pPr>
    </w:p>
    <w:p w:rsidR="00503A41" w:rsidRPr="00993936" w:rsidRDefault="00503A41" w:rsidP="001C0FFB">
      <w:pPr>
        <w:rPr>
          <w:rFonts w:ascii="Arial" w:hAnsi="Arial" w:cs="Arial"/>
          <w:lang w:val="es-ES"/>
        </w:rPr>
      </w:pPr>
    </w:p>
    <w:p w:rsidR="00503A41" w:rsidRPr="00993936" w:rsidRDefault="00503A41">
      <w:pPr>
        <w:pStyle w:val="Ttulo8"/>
        <w:jc w:val="both"/>
        <w:rPr>
          <w:rFonts w:ascii="Arial" w:hAnsi="Arial" w:cs="Arial"/>
          <w:color w:val="auto"/>
          <w:sz w:val="22"/>
          <w:lang w:val="es-ES"/>
        </w:rPr>
      </w:pPr>
    </w:p>
    <w:p w:rsidR="00503A41" w:rsidRPr="00993936" w:rsidRDefault="00503A41">
      <w:pPr>
        <w:pStyle w:val="Ttulo8"/>
        <w:jc w:val="both"/>
        <w:rPr>
          <w:rFonts w:ascii="Arial" w:hAnsi="Arial" w:cs="Arial"/>
          <w:color w:val="auto"/>
          <w:sz w:val="22"/>
          <w:lang w:val="es-ES"/>
        </w:rPr>
      </w:pPr>
      <w:r w:rsidRPr="00993936">
        <w:rPr>
          <w:rFonts w:ascii="Arial" w:hAnsi="Arial" w:cs="Arial"/>
          <w:color w:val="auto"/>
          <w:sz w:val="22"/>
          <w:lang w:val="es-ES"/>
        </w:rPr>
        <w:t>2.3.  Materias activas de insecticidas y acaricidas para la producción integrada de olivas</w:t>
      </w:r>
    </w:p>
    <w:p w:rsidR="00503A41" w:rsidRPr="00993936" w:rsidRDefault="00503A41" w:rsidP="001C0FFB">
      <w:pPr>
        <w:rPr>
          <w:rFonts w:ascii="Arial" w:hAnsi="Arial" w:cs="Arial"/>
          <w:lang w:val="es-ES"/>
        </w:rPr>
      </w:pPr>
    </w:p>
    <w:p w:rsidR="00503A41" w:rsidRPr="00993936" w:rsidRDefault="00503A41" w:rsidP="001C0FFB">
      <w:pPr>
        <w:pStyle w:val="Ttulo8"/>
        <w:jc w:val="both"/>
        <w:rPr>
          <w:rFonts w:ascii="Arial" w:hAnsi="Arial" w:cs="Arial"/>
          <w:color w:val="auto"/>
          <w:sz w:val="22"/>
          <w:lang w:val="es-ES"/>
        </w:rPr>
      </w:pPr>
      <w:r w:rsidRPr="00993936">
        <w:rPr>
          <w:rFonts w:ascii="Arial" w:hAnsi="Arial" w:cs="Arial"/>
          <w:color w:val="auto"/>
          <w:sz w:val="22"/>
          <w:lang w:val="es-ES"/>
        </w:rPr>
        <w:t>2.3.1. Materias activas insecticidas</w:t>
      </w:r>
    </w:p>
    <w:p w:rsidR="00503A41" w:rsidRPr="00993936" w:rsidRDefault="00503A41">
      <w:pPr>
        <w:rPr>
          <w:rFonts w:ascii="Arial" w:hAnsi="Arial" w:cs="Arial"/>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5"/>
        <w:gridCol w:w="4605"/>
      </w:tblGrid>
      <w:tr w:rsidR="00503A41" w:rsidRPr="00993936" w:rsidTr="001C0FFB">
        <w:trPr>
          <w:trHeight w:val="706"/>
          <w:tblHeader/>
        </w:trPr>
        <w:tc>
          <w:tcPr>
            <w:tcW w:w="4535" w:type="dxa"/>
            <w:tcBorders>
              <w:bottom w:val="single" w:sz="4" w:space="0" w:color="auto"/>
            </w:tcBorders>
            <w:shd w:val="clear" w:color="auto" w:fill="EEECE1"/>
            <w:vAlign w:val="center"/>
          </w:tcPr>
          <w:p w:rsidR="00503A41" w:rsidRPr="00993936" w:rsidRDefault="00503A41" w:rsidP="001C0FFB">
            <w:pPr>
              <w:rPr>
                <w:rFonts w:ascii="Arial" w:hAnsi="Arial" w:cs="Arial"/>
                <w:b/>
                <w:lang w:val="es-ES"/>
              </w:rPr>
            </w:pPr>
            <w:r w:rsidRPr="00993936">
              <w:rPr>
                <w:rFonts w:ascii="Arial" w:hAnsi="Arial" w:cs="Arial"/>
                <w:b/>
                <w:lang w:val="es-ES"/>
              </w:rPr>
              <w:t>Plaga/Enfermedad</w:t>
            </w:r>
          </w:p>
        </w:tc>
        <w:tc>
          <w:tcPr>
            <w:tcW w:w="4605" w:type="dxa"/>
            <w:tcBorders>
              <w:bottom w:val="single" w:sz="4" w:space="0" w:color="auto"/>
            </w:tcBorders>
            <w:shd w:val="clear" w:color="auto" w:fill="EEECE1"/>
            <w:vAlign w:val="center"/>
          </w:tcPr>
          <w:p w:rsidR="00503A41" w:rsidRPr="00993936" w:rsidRDefault="00503A41" w:rsidP="001C0FFB">
            <w:pPr>
              <w:rPr>
                <w:rFonts w:ascii="Arial" w:hAnsi="Arial" w:cs="Arial"/>
                <w:b/>
                <w:snapToGrid w:val="0"/>
                <w:lang w:val="es-ES"/>
              </w:rPr>
            </w:pPr>
            <w:r w:rsidRPr="00993936">
              <w:rPr>
                <w:rFonts w:ascii="Arial" w:hAnsi="Arial" w:cs="Arial"/>
                <w:b/>
                <w:snapToGrid w:val="0"/>
                <w:lang w:val="es-ES"/>
              </w:rPr>
              <w:t>Materia activa</w:t>
            </w:r>
          </w:p>
        </w:tc>
      </w:tr>
      <w:tr w:rsidR="00503A41" w:rsidRPr="00993936" w:rsidTr="001C0FFB">
        <w:trPr>
          <w:trHeight w:val="847"/>
        </w:trPr>
        <w:tc>
          <w:tcPr>
            <w:tcW w:w="4535" w:type="dxa"/>
            <w:tcBorders>
              <w:bottom w:val="single" w:sz="4" w:space="0" w:color="auto"/>
            </w:tcBorders>
            <w:shd w:val="clear" w:color="auto" w:fill="FFFFFF"/>
          </w:tcPr>
          <w:p w:rsidR="00503A41" w:rsidRPr="00993936" w:rsidRDefault="00503A41" w:rsidP="001C0FFB">
            <w:pPr>
              <w:rPr>
                <w:rFonts w:ascii="Arial" w:hAnsi="Arial" w:cs="Arial"/>
                <w:b/>
                <w:lang w:val="es-ES"/>
              </w:rPr>
            </w:pPr>
            <w:r w:rsidRPr="00993936">
              <w:rPr>
                <w:rFonts w:ascii="Arial" w:hAnsi="Arial" w:cs="Arial"/>
                <w:b/>
                <w:lang w:val="es-ES"/>
              </w:rPr>
              <w:t xml:space="preserve">Prays </w:t>
            </w:r>
          </w:p>
          <w:p w:rsidR="00503A41" w:rsidRPr="00993936" w:rsidRDefault="00503A41" w:rsidP="001C0FFB">
            <w:pPr>
              <w:rPr>
                <w:rFonts w:ascii="Arial" w:hAnsi="Arial" w:cs="Arial"/>
                <w:i/>
                <w:lang w:val="es-ES"/>
              </w:rPr>
            </w:pPr>
            <w:r w:rsidRPr="00993936">
              <w:rPr>
                <w:rFonts w:ascii="Arial" w:hAnsi="Arial" w:cs="Arial"/>
                <w:i/>
                <w:lang w:val="es-ES"/>
              </w:rPr>
              <w:t xml:space="preserve">(Prays oleae) </w:t>
            </w:r>
          </w:p>
          <w:p w:rsidR="00503A41" w:rsidRPr="00993936" w:rsidRDefault="00503A41" w:rsidP="001C0FFB">
            <w:pPr>
              <w:rPr>
                <w:rFonts w:ascii="Arial" w:hAnsi="Arial" w:cs="Arial"/>
                <w:i/>
                <w:lang w:val="es-ES"/>
              </w:rPr>
            </w:pPr>
            <w:r w:rsidRPr="00993936">
              <w:rPr>
                <w:rFonts w:ascii="Arial" w:hAnsi="Arial" w:cs="Arial"/>
                <w:i/>
                <w:lang w:val="es-ES"/>
              </w:rPr>
              <w:t>Generación Filófaga</w:t>
            </w:r>
          </w:p>
          <w:p w:rsidR="00503A41" w:rsidRPr="00993936" w:rsidRDefault="00503A41" w:rsidP="001C0FFB">
            <w:pPr>
              <w:rPr>
                <w:rFonts w:ascii="Arial" w:hAnsi="Arial" w:cs="Arial"/>
                <w:b/>
                <w:lang w:val="es-ES"/>
              </w:rPr>
            </w:pP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Betaciflutrín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Caolín</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Dimetoat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Fosmet (4)</w:t>
            </w:r>
          </w:p>
          <w:p w:rsidR="00503A41" w:rsidRPr="00993936" w:rsidRDefault="00503A41" w:rsidP="001D205D">
            <w:pPr>
              <w:pStyle w:val="Sinespaciado"/>
              <w:rPr>
                <w:rFonts w:ascii="Arial" w:hAnsi="Arial" w:cs="Arial"/>
                <w:lang w:val="es-ES"/>
              </w:rPr>
            </w:pPr>
            <w:r w:rsidRPr="00993936">
              <w:rPr>
                <w:rFonts w:ascii="Arial" w:hAnsi="Arial" w:cs="Arial"/>
                <w:snapToGrid w:val="0"/>
                <w:lang w:val="es-ES"/>
              </w:rPr>
              <w:t>Lambda-cihalotrín (4)</w:t>
            </w:r>
          </w:p>
          <w:p w:rsidR="00503A41" w:rsidRPr="00993936" w:rsidRDefault="00503A41" w:rsidP="001D205D">
            <w:pPr>
              <w:pStyle w:val="Sinespaciado"/>
              <w:rPr>
                <w:rFonts w:ascii="Arial" w:hAnsi="Arial" w:cs="Arial"/>
                <w:b/>
                <w:snapToGrid w:val="0"/>
                <w:lang w:val="es-ES"/>
              </w:rPr>
            </w:pPr>
            <w:r w:rsidRPr="00993936">
              <w:rPr>
                <w:rFonts w:ascii="Arial" w:hAnsi="Arial" w:cs="Arial"/>
                <w:snapToGrid w:val="0"/>
                <w:lang w:val="es-ES"/>
              </w:rPr>
              <w:t>Zeta-cipermetrín</w:t>
            </w:r>
          </w:p>
        </w:tc>
      </w:tr>
      <w:tr w:rsidR="00503A41" w:rsidRPr="00993936" w:rsidTr="001C0FFB">
        <w:trPr>
          <w:trHeight w:val="847"/>
        </w:trPr>
        <w:tc>
          <w:tcPr>
            <w:tcW w:w="4535" w:type="dxa"/>
            <w:tcBorders>
              <w:bottom w:val="single" w:sz="4" w:space="0" w:color="auto"/>
            </w:tcBorders>
            <w:shd w:val="clear" w:color="auto" w:fill="FFFFFF"/>
          </w:tcPr>
          <w:p w:rsidR="00503A41" w:rsidRPr="00993936" w:rsidRDefault="00503A41" w:rsidP="001C0FFB">
            <w:pPr>
              <w:rPr>
                <w:rFonts w:ascii="Arial" w:hAnsi="Arial" w:cs="Arial"/>
                <w:i/>
                <w:lang w:val="es-ES"/>
              </w:rPr>
            </w:pPr>
            <w:r w:rsidRPr="00993936">
              <w:rPr>
                <w:rFonts w:ascii="Arial" w:hAnsi="Arial" w:cs="Arial"/>
                <w:b/>
                <w:lang w:val="es-ES"/>
              </w:rPr>
              <w:t>Punzón, Prays</w:t>
            </w:r>
            <w:r w:rsidRPr="00993936">
              <w:rPr>
                <w:rFonts w:ascii="Arial" w:hAnsi="Arial" w:cs="Arial"/>
                <w:i/>
                <w:lang w:val="es-ES"/>
              </w:rPr>
              <w:t xml:space="preserve"> </w:t>
            </w:r>
          </w:p>
          <w:p w:rsidR="00503A41" w:rsidRPr="00993936" w:rsidRDefault="00503A41" w:rsidP="001C0FFB">
            <w:pPr>
              <w:rPr>
                <w:rFonts w:ascii="Arial" w:hAnsi="Arial" w:cs="Arial"/>
                <w:i/>
                <w:lang w:val="es-ES"/>
              </w:rPr>
            </w:pPr>
            <w:r w:rsidRPr="00993936">
              <w:rPr>
                <w:rFonts w:ascii="Arial" w:hAnsi="Arial" w:cs="Arial"/>
                <w:i/>
                <w:lang w:val="es-ES"/>
              </w:rPr>
              <w:t>(Prays oleae)</w:t>
            </w:r>
          </w:p>
          <w:p w:rsidR="00503A41" w:rsidRPr="00993936" w:rsidRDefault="00503A41" w:rsidP="001C0FFB">
            <w:pPr>
              <w:rPr>
                <w:rFonts w:ascii="Arial" w:hAnsi="Arial" w:cs="Arial"/>
                <w:lang w:val="es-ES"/>
              </w:rPr>
            </w:pPr>
            <w:r w:rsidRPr="00993936">
              <w:rPr>
                <w:rFonts w:ascii="Arial" w:hAnsi="Arial" w:cs="Arial"/>
                <w:i/>
                <w:lang w:val="es-ES"/>
              </w:rPr>
              <w:t>Generación antófaga</w:t>
            </w:r>
          </w:p>
          <w:p w:rsidR="00503A41" w:rsidRPr="00993936" w:rsidRDefault="00503A41" w:rsidP="001C0FFB">
            <w:pPr>
              <w:rPr>
                <w:rFonts w:ascii="Arial" w:hAnsi="Arial" w:cs="Arial"/>
                <w:b/>
                <w:lang w:val="es-ES"/>
              </w:rPr>
            </w:pP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snapToGrid w:val="0"/>
                <w:lang w:val="es-ES"/>
              </w:rPr>
            </w:pPr>
            <w:r w:rsidRPr="00993936">
              <w:rPr>
                <w:rFonts w:ascii="Arial" w:hAnsi="Arial" w:cs="Arial"/>
                <w:i/>
                <w:lang w:val="es-ES"/>
              </w:rPr>
              <w:t xml:space="preserve">Bacillus thuringiensis </w:t>
            </w:r>
            <w:r w:rsidRPr="00993936">
              <w:rPr>
                <w:rFonts w:ascii="Arial" w:hAnsi="Arial" w:cs="Arial"/>
                <w:lang w:val="es-ES"/>
              </w:rPr>
              <w:t>kurstaki</w:t>
            </w:r>
            <w:r w:rsidRPr="00993936">
              <w:rPr>
                <w:rFonts w:ascii="Arial" w:hAnsi="Arial" w:cs="Arial"/>
                <w:snapToGrid w:val="0"/>
                <w:lang w:val="es-ES"/>
              </w:rPr>
              <w:t xml:space="preserve"> </w:t>
            </w:r>
          </w:p>
          <w:p w:rsidR="00503A41" w:rsidRPr="00993936" w:rsidRDefault="00503A41" w:rsidP="001D205D">
            <w:pPr>
              <w:pStyle w:val="Sinespaciado"/>
              <w:rPr>
                <w:rFonts w:ascii="Arial" w:hAnsi="Arial" w:cs="Arial"/>
                <w:lang w:val="es-ES"/>
              </w:rPr>
            </w:pPr>
            <w:r w:rsidRPr="00993936">
              <w:rPr>
                <w:rFonts w:ascii="Arial" w:hAnsi="Arial" w:cs="Arial"/>
                <w:i/>
                <w:lang w:val="es-ES"/>
              </w:rPr>
              <w:t xml:space="preserve">Bacillus thuringiensis </w:t>
            </w:r>
            <w:r w:rsidRPr="00993936">
              <w:rPr>
                <w:rFonts w:ascii="Arial" w:hAnsi="Arial" w:cs="Arial"/>
                <w:lang w:val="es-ES"/>
              </w:rPr>
              <w:t>azawai</w:t>
            </w:r>
          </w:p>
          <w:p w:rsidR="00503A41" w:rsidRPr="00993936" w:rsidRDefault="00503A41" w:rsidP="001D205D">
            <w:pPr>
              <w:pStyle w:val="Sinespaciado"/>
              <w:rPr>
                <w:rFonts w:ascii="Arial" w:hAnsi="Arial" w:cs="Arial"/>
                <w:lang w:val="es-ES"/>
              </w:rPr>
            </w:pPr>
            <w:r w:rsidRPr="00993936">
              <w:rPr>
                <w:rFonts w:ascii="Arial" w:hAnsi="Arial" w:cs="Arial"/>
                <w:lang w:val="es-ES"/>
              </w:rPr>
              <w:t>Betaciflutrín</w:t>
            </w:r>
          </w:p>
          <w:p w:rsidR="00503A41" w:rsidRPr="00993936" w:rsidRDefault="00503A41" w:rsidP="001D205D">
            <w:pPr>
              <w:pStyle w:val="Sinespaciado"/>
              <w:rPr>
                <w:rFonts w:ascii="Arial" w:hAnsi="Arial" w:cs="Arial"/>
                <w:lang w:val="es-ES"/>
              </w:rPr>
            </w:pPr>
            <w:r w:rsidRPr="00993936">
              <w:rPr>
                <w:rFonts w:ascii="Arial" w:hAnsi="Arial" w:cs="Arial"/>
                <w:lang w:val="es-ES"/>
              </w:rPr>
              <w:t>Caolín</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Clorpirifos (1)(4)</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Dimetoat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Etofenprox</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Fosmet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Lambda-cihalotrín (4)</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Metil-Clorpirifos</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Zeta-cipermetrín</w:t>
            </w:r>
          </w:p>
        </w:tc>
      </w:tr>
      <w:tr w:rsidR="00503A41" w:rsidRPr="00993936" w:rsidTr="001C0FFB">
        <w:trPr>
          <w:trHeight w:val="847"/>
        </w:trPr>
        <w:tc>
          <w:tcPr>
            <w:tcW w:w="4535" w:type="dxa"/>
            <w:tcBorders>
              <w:bottom w:val="single" w:sz="4" w:space="0" w:color="auto"/>
            </w:tcBorders>
            <w:shd w:val="clear" w:color="auto" w:fill="FFFFFF"/>
          </w:tcPr>
          <w:p w:rsidR="00503A41" w:rsidRPr="00993936" w:rsidRDefault="00503A41" w:rsidP="001C0FFB">
            <w:pPr>
              <w:rPr>
                <w:rFonts w:ascii="Arial" w:hAnsi="Arial" w:cs="Arial"/>
                <w:b/>
                <w:lang w:val="es-ES"/>
              </w:rPr>
            </w:pPr>
            <w:r w:rsidRPr="00993936">
              <w:rPr>
                <w:rFonts w:ascii="Arial" w:hAnsi="Arial" w:cs="Arial"/>
                <w:b/>
                <w:lang w:val="es-ES"/>
              </w:rPr>
              <w:t xml:space="preserve">Punzón, Prays </w:t>
            </w:r>
          </w:p>
          <w:p w:rsidR="00503A41" w:rsidRPr="00993936" w:rsidRDefault="00503A41" w:rsidP="001C0FFB">
            <w:pPr>
              <w:rPr>
                <w:rFonts w:ascii="Arial" w:hAnsi="Arial" w:cs="Arial"/>
                <w:i/>
                <w:lang w:val="es-ES"/>
              </w:rPr>
            </w:pPr>
            <w:r w:rsidRPr="00993936">
              <w:rPr>
                <w:rFonts w:ascii="Arial" w:hAnsi="Arial" w:cs="Arial"/>
                <w:lang w:val="es-ES"/>
              </w:rPr>
              <w:t>(</w:t>
            </w:r>
            <w:r w:rsidRPr="00993936">
              <w:rPr>
                <w:rFonts w:ascii="Arial" w:hAnsi="Arial" w:cs="Arial"/>
                <w:i/>
                <w:lang w:val="es-ES"/>
              </w:rPr>
              <w:t>Prays oleae)</w:t>
            </w:r>
          </w:p>
          <w:p w:rsidR="00503A41" w:rsidRPr="00993936" w:rsidRDefault="00503A41" w:rsidP="001C0FFB">
            <w:pPr>
              <w:rPr>
                <w:rFonts w:ascii="Arial" w:hAnsi="Arial" w:cs="Arial"/>
                <w:i/>
                <w:lang w:val="es-ES"/>
              </w:rPr>
            </w:pPr>
            <w:r w:rsidRPr="00993936">
              <w:rPr>
                <w:rFonts w:ascii="Arial" w:hAnsi="Arial" w:cs="Arial"/>
                <w:i/>
                <w:lang w:val="es-ES"/>
              </w:rPr>
              <w:t>Generación Carpófaga</w:t>
            </w:r>
          </w:p>
          <w:p w:rsidR="00503A41" w:rsidRPr="00993936" w:rsidRDefault="00503A41" w:rsidP="001C0FFB">
            <w:pPr>
              <w:widowControl w:val="0"/>
              <w:rPr>
                <w:rFonts w:ascii="Arial" w:hAnsi="Arial" w:cs="Arial"/>
                <w:b/>
                <w:lang w:val="es-ES"/>
              </w:rPr>
            </w:pP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Acetamiprid</w:t>
            </w:r>
          </w:p>
          <w:p w:rsidR="00503A41" w:rsidRPr="00993936" w:rsidRDefault="00503A41" w:rsidP="001D205D">
            <w:pPr>
              <w:pStyle w:val="Sinespaciado"/>
              <w:rPr>
                <w:rFonts w:ascii="Arial" w:hAnsi="Arial" w:cs="Arial"/>
                <w:lang w:val="es-ES"/>
              </w:rPr>
            </w:pPr>
            <w:r w:rsidRPr="00993936">
              <w:rPr>
                <w:rFonts w:ascii="Arial" w:hAnsi="Arial" w:cs="Arial"/>
                <w:lang w:val="es-ES"/>
              </w:rPr>
              <w:t>Caolín</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Dimetoat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Fosmet</w:t>
            </w: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Lambda-cihalotrín</w:t>
            </w:r>
          </w:p>
        </w:tc>
      </w:tr>
      <w:tr w:rsidR="00503A41" w:rsidRPr="00993936" w:rsidTr="001C0FFB">
        <w:trPr>
          <w:trHeight w:val="847"/>
        </w:trPr>
        <w:tc>
          <w:tcPr>
            <w:tcW w:w="4535" w:type="dxa"/>
            <w:tcBorders>
              <w:bottom w:val="single" w:sz="4" w:space="0" w:color="auto"/>
            </w:tcBorders>
            <w:shd w:val="clear" w:color="auto" w:fill="FFFFFF"/>
          </w:tcPr>
          <w:p w:rsidR="00503A41" w:rsidRPr="00993936" w:rsidRDefault="00503A41" w:rsidP="001C0FFB">
            <w:pPr>
              <w:pStyle w:val="Ttulo2"/>
              <w:rPr>
                <w:rFonts w:ascii="Arial" w:eastAsiaTheme="minorHAnsi" w:hAnsi="Arial" w:cs="Arial"/>
                <w:b/>
                <w:color w:val="auto"/>
                <w:sz w:val="22"/>
                <w:szCs w:val="22"/>
                <w:lang w:val="es-ES"/>
              </w:rPr>
            </w:pPr>
            <w:r w:rsidRPr="00993936">
              <w:rPr>
                <w:rFonts w:ascii="Arial" w:eastAsiaTheme="minorHAnsi" w:hAnsi="Arial" w:cs="Arial"/>
                <w:b/>
                <w:color w:val="auto"/>
                <w:sz w:val="22"/>
                <w:szCs w:val="22"/>
                <w:lang w:val="es-ES"/>
              </w:rPr>
              <w:t xml:space="preserve">Caparreta </w:t>
            </w:r>
          </w:p>
          <w:p w:rsidR="00503A41" w:rsidRPr="00993936" w:rsidRDefault="00503A41" w:rsidP="001C0FFB">
            <w:pPr>
              <w:pStyle w:val="Ttulo2"/>
              <w:rPr>
                <w:rFonts w:ascii="Arial" w:eastAsiaTheme="minorHAnsi" w:hAnsi="Arial" w:cs="Arial"/>
                <w:i/>
                <w:color w:val="auto"/>
                <w:sz w:val="22"/>
                <w:szCs w:val="22"/>
                <w:lang w:val="es-ES"/>
              </w:rPr>
            </w:pPr>
            <w:r w:rsidRPr="00993936">
              <w:rPr>
                <w:rFonts w:ascii="Arial" w:eastAsiaTheme="minorHAnsi" w:hAnsi="Arial" w:cs="Arial"/>
                <w:i/>
                <w:color w:val="auto"/>
                <w:sz w:val="22"/>
                <w:szCs w:val="22"/>
                <w:lang w:val="es-ES"/>
              </w:rPr>
              <w:t>(Saissetia oleae)</w:t>
            </w:r>
          </w:p>
          <w:p w:rsidR="00503A41" w:rsidRPr="00993936" w:rsidRDefault="00503A41" w:rsidP="001C0FFB">
            <w:pPr>
              <w:rPr>
                <w:rFonts w:ascii="Arial" w:hAnsi="Arial" w:cs="Arial"/>
                <w:b/>
                <w:lang w:val="es-ES"/>
              </w:rPr>
            </w:pP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Fenoxicarb</w:t>
            </w:r>
          </w:p>
          <w:p w:rsidR="00503A41" w:rsidRPr="00993936" w:rsidRDefault="00503A41" w:rsidP="001D205D">
            <w:pPr>
              <w:pStyle w:val="Sinespaciado"/>
              <w:rPr>
                <w:rFonts w:ascii="Arial" w:hAnsi="Arial" w:cs="Arial"/>
                <w:lang w:val="es-ES"/>
              </w:rPr>
            </w:pPr>
            <w:r w:rsidRPr="00993936">
              <w:rPr>
                <w:rFonts w:ascii="Arial" w:hAnsi="Arial" w:cs="Arial"/>
                <w:lang w:val="es-ES"/>
              </w:rPr>
              <w:t>Fosmet</w:t>
            </w:r>
          </w:p>
          <w:p w:rsidR="00503A41" w:rsidRPr="00993936" w:rsidRDefault="00503A41" w:rsidP="001D205D">
            <w:pPr>
              <w:pStyle w:val="Sinespaciado"/>
              <w:rPr>
                <w:rFonts w:ascii="Arial" w:hAnsi="Arial" w:cs="Arial"/>
                <w:lang w:val="es-ES"/>
              </w:rPr>
            </w:pPr>
            <w:r w:rsidRPr="00993936">
              <w:rPr>
                <w:rFonts w:ascii="Arial" w:hAnsi="Arial" w:cs="Arial"/>
                <w:lang w:val="es-ES"/>
              </w:rPr>
              <w:t>Imidacloprid (3)</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Piriproxifén(5)</w:t>
            </w:r>
          </w:p>
        </w:tc>
      </w:tr>
      <w:tr w:rsidR="00503A41" w:rsidRPr="00993936" w:rsidTr="001C0FFB">
        <w:trPr>
          <w:trHeight w:val="847"/>
        </w:trPr>
        <w:tc>
          <w:tcPr>
            <w:tcW w:w="4535" w:type="dxa"/>
            <w:tcBorders>
              <w:bottom w:val="single" w:sz="4" w:space="0" w:color="auto"/>
            </w:tcBorders>
            <w:shd w:val="clear" w:color="auto" w:fill="FFFFFF"/>
          </w:tcPr>
          <w:p w:rsidR="00503A41" w:rsidRPr="00993936" w:rsidRDefault="00503A41" w:rsidP="001C0FFB">
            <w:pPr>
              <w:rPr>
                <w:rFonts w:ascii="Arial" w:hAnsi="Arial" w:cs="Arial"/>
                <w:lang w:val="es-ES"/>
              </w:rPr>
            </w:pPr>
            <w:r w:rsidRPr="00993936">
              <w:rPr>
                <w:rFonts w:ascii="Arial" w:hAnsi="Arial" w:cs="Arial"/>
                <w:b/>
                <w:lang w:val="es-ES"/>
              </w:rPr>
              <w:t>Mosca del olivo</w:t>
            </w:r>
            <w:r w:rsidRPr="00993936">
              <w:rPr>
                <w:rFonts w:ascii="Arial" w:hAnsi="Arial" w:cs="Arial"/>
                <w:lang w:val="es-ES"/>
              </w:rPr>
              <w:t xml:space="preserve"> </w:t>
            </w:r>
          </w:p>
          <w:p w:rsidR="00503A41" w:rsidRPr="00993936" w:rsidRDefault="00503A41" w:rsidP="001C0FFB">
            <w:pPr>
              <w:rPr>
                <w:rFonts w:ascii="Arial" w:hAnsi="Arial" w:cs="Arial"/>
                <w:i/>
                <w:lang w:val="es-ES"/>
              </w:rPr>
            </w:pPr>
            <w:r w:rsidRPr="00993936">
              <w:rPr>
                <w:rFonts w:ascii="Arial" w:hAnsi="Arial" w:cs="Arial"/>
                <w:i/>
                <w:lang w:val="es-ES"/>
              </w:rPr>
              <w:t>(Bactrocera oleae)</w:t>
            </w:r>
          </w:p>
          <w:p w:rsidR="00503A41" w:rsidRPr="00993936" w:rsidRDefault="00503A41" w:rsidP="001C0FFB">
            <w:pPr>
              <w:rPr>
                <w:rFonts w:ascii="Arial" w:hAnsi="Arial" w:cs="Arial"/>
                <w:i/>
                <w:lang w:val="es-ES"/>
              </w:rPr>
            </w:pPr>
          </w:p>
          <w:p w:rsidR="00503A41" w:rsidRPr="00993936" w:rsidRDefault="00503A41" w:rsidP="001C0FFB">
            <w:pPr>
              <w:rPr>
                <w:rFonts w:ascii="Arial" w:hAnsi="Arial" w:cs="Arial"/>
                <w:i/>
                <w:lang w:val="es-ES"/>
              </w:rPr>
            </w:pPr>
          </w:p>
          <w:p w:rsidR="00503A41" w:rsidRPr="00993936" w:rsidRDefault="00503A41" w:rsidP="001D205D">
            <w:pPr>
              <w:rPr>
                <w:rFonts w:ascii="Arial" w:hAnsi="Arial" w:cs="Arial"/>
                <w:b/>
                <w:lang w:val="es-ES"/>
              </w:rPr>
            </w:pP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Acetamiprid</w:t>
            </w:r>
          </w:p>
          <w:p w:rsidR="00503A41" w:rsidRPr="00993936" w:rsidRDefault="00503A41" w:rsidP="001D205D">
            <w:pPr>
              <w:pStyle w:val="Sinespaciado"/>
              <w:rPr>
                <w:rFonts w:ascii="Arial" w:hAnsi="Arial" w:cs="Arial"/>
                <w:lang w:val="es-ES"/>
              </w:rPr>
            </w:pPr>
            <w:r w:rsidRPr="00993936">
              <w:rPr>
                <w:rFonts w:ascii="Arial" w:hAnsi="Arial" w:cs="Arial"/>
                <w:lang w:val="es-ES"/>
              </w:rPr>
              <w:t>Alfa cipermetrín</w:t>
            </w:r>
          </w:p>
          <w:p w:rsidR="00503A41" w:rsidRPr="00993936" w:rsidRDefault="00503A41" w:rsidP="001D205D">
            <w:pPr>
              <w:pStyle w:val="Sinespaciado"/>
              <w:rPr>
                <w:rFonts w:ascii="Arial" w:hAnsi="Arial" w:cs="Arial"/>
                <w:i/>
                <w:lang w:val="es-ES"/>
              </w:rPr>
            </w:pPr>
            <w:r w:rsidRPr="00993936">
              <w:rPr>
                <w:rFonts w:ascii="Arial" w:hAnsi="Arial" w:cs="Arial"/>
                <w:i/>
                <w:lang w:val="es-ES"/>
              </w:rPr>
              <w:t>Beauveria bassiana</w:t>
            </w:r>
          </w:p>
          <w:p w:rsidR="00503A41" w:rsidRPr="00993936" w:rsidRDefault="00503A41" w:rsidP="001D205D">
            <w:pPr>
              <w:pStyle w:val="Sinespaciado"/>
              <w:rPr>
                <w:rFonts w:ascii="Arial" w:hAnsi="Arial" w:cs="Arial"/>
                <w:lang w:val="es-ES"/>
              </w:rPr>
            </w:pPr>
            <w:r w:rsidRPr="00993936">
              <w:rPr>
                <w:rFonts w:ascii="Arial" w:hAnsi="Arial" w:cs="Arial"/>
                <w:lang w:val="es-ES"/>
              </w:rPr>
              <w:t>Caolín</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Dimetoat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Fosmet </w:t>
            </w:r>
            <w:r w:rsidRPr="00993936">
              <w:rPr>
                <w:rFonts w:ascii="Arial" w:hAnsi="Arial" w:cs="Arial"/>
                <w:snapToGrid w:val="0"/>
                <w:lang w:val="es-ES"/>
              </w:rPr>
              <w:t>(4)</w:t>
            </w:r>
          </w:p>
          <w:p w:rsidR="00503A41" w:rsidRPr="00993936" w:rsidRDefault="00503A41" w:rsidP="001D205D">
            <w:pPr>
              <w:pStyle w:val="Sinespaciado"/>
              <w:rPr>
                <w:rFonts w:ascii="Arial" w:hAnsi="Arial" w:cs="Arial"/>
                <w:lang w:val="es-ES"/>
              </w:rPr>
            </w:pPr>
            <w:r w:rsidRPr="00993936">
              <w:rPr>
                <w:rFonts w:ascii="Arial" w:hAnsi="Arial" w:cs="Arial"/>
                <w:lang w:val="es-ES"/>
              </w:rPr>
              <w:t>Aceite parafínico</w:t>
            </w:r>
          </w:p>
          <w:p w:rsidR="00503A41" w:rsidRPr="00993936" w:rsidRDefault="00503A41" w:rsidP="001D205D">
            <w:pPr>
              <w:pStyle w:val="Sinespaciado"/>
              <w:rPr>
                <w:rFonts w:ascii="Arial" w:hAnsi="Arial" w:cs="Arial"/>
                <w:lang w:val="es-ES"/>
              </w:rPr>
            </w:pPr>
            <w:r w:rsidRPr="00993936">
              <w:rPr>
                <w:rFonts w:ascii="Arial" w:hAnsi="Arial" w:cs="Arial"/>
                <w:lang w:val="es-ES"/>
              </w:rPr>
              <w:lastRenderedPageBreak/>
              <w:t>Proteínas hidrolizadas</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 (4)</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 + Tiametoxam</w:t>
            </w:r>
          </w:p>
          <w:p w:rsidR="00503A41" w:rsidRPr="00993936" w:rsidRDefault="00503A41" w:rsidP="001D205D">
            <w:pPr>
              <w:pStyle w:val="Sinespaciado"/>
              <w:rPr>
                <w:rFonts w:ascii="Arial" w:hAnsi="Arial" w:cs="Arial"/>
                <w:lang w:val="es-ES"/>
              </w:rPr>
            </w:pPr>
            <w:r w:rsidRPr="00993936">
              <w:rPr>
                <w:rFonts w:ascii="Arial" w:hAnsi="Arial" w:cs="Arial"/>
                <w:lang w:val="es-ES"/>
              </w:rPr>
              <w:t>Método de captura masiva</w:t>
            </w:r>
          </w:p>
          <w:p w:rsidR="00503A41" w:rsidRPr="00993936" w:rsidRDefault="00503A41" w:rsidP="001D205D">
            <w:pPr>
              <w:pStyle w:val="Sinespaciado"/>
              <w:rPr>
                <w:rFonts w:ascii="Arial" w:hAnsi="Arial" w:cs="Arial"/>
                <w:lang w:val="es-ES"/>
              </w:rPr>
            </w:pPr>
            <w:r w:rsidRPr="00993936">
              <w:rPr>
                <w:rFonts w:ascii="Arial" w:hAnsi="Arial" w:cs="Arial"/>
                <w:lang w:val="es-ES"/>
              </w:rPr>
              <w:t>Espinosad</w:t>
            </w:r>
          </w:p>
          <w:p w:rsidR="00503A41" w:rsidRPr="00993936" w:rsidRDefault="00503A41" w:rsidP="001D205D">
            <w:pPr>
              <w:pStyle w:val="Sinespaciado"/>
              <w:rPr>
                <w:rFonts w:ascii="Arial" w:hAnsi="Arial" w:cs="Arial"/>
                <w:lang w:val="es-ES"/>
              </w:rPr>
            </w:pPr>
            <w:r w:rsidRPr="00993936">
              <w:rPr>
                <w:rFonts w:ascii="Arial" w:hAnsi="Arial" w:cs="Arial"/>
                <w:lang w:val="es-ES"/>
              </w:rPr>
              <w:t>Imidacloprid (3)</w:t>
            </w:r>
          </w:p>
          <w:p w:rsidR="00503A41" w:rsidRPr="00993936" w:rsidRDefault="00503A41" w:rsidP="001D205D">
            <w:pPr>
              <w:pStyle w:val="Sinespaciado"/>
              <w:rPr>
                <w:rFonts w:ascii="Arial" w:hAnsi="Arial" w:cs="Arial"/>
                <w:lang w:val="es-ES"/>
              </w:rPr>
            </w:pPr>
            <w:r w:rsidRPr="00993936">
              <w:rPr>
                <w:rFonts w:ascii="Arial" w:hAnsi="Arial" w:cs="Arial"/>
                <w:lang w:val="es-ES"/>
              </w:rPr>
              <w:t>Método de atracción y muerte</w:t>
            </w:r>
          </w:p>
          <w:p w:rsidR="00503A41" w:rsidRPr="00993936" w:rsidRDefault="00503A41" w:rsidP="001D205D">
            <w:pPr>
              <w:pStyle w:val="Sinespaciado"/>
              <w:rPr>
                <w:rFonts w:ascii="Arial" w:hAnsi="Arial" w:cs="Arial"/>
                <w:lang w:val="es-ES"/>
              </w:rPr>
            </w:pPr>
            <w:r w:rsidRPr="00993936">
              <w:rPr>
                <w:rFonts w:ascii="Arial" w:hAnsi="Arial" w:cs="Arial"/>
                <w:lang w:val="es-ES"/>
              </w:rPr>
              <w:t>Tiacloprid</w:t>
            </w:r>
          </w:p>
        </w:tc>
      </w:tr>
      <w:tr w:rsidR="00503A41" w:rsidRPr="00993936" w:rsidTr="001C0FFB">
        <w:trPr>
          <w:trHeight w:val="1531"/>
        </w:trPr>
        <w:tc>
          <w:tcPr>
            <w:tcW w:w="4535" w:type="dxa"/>
            <w:tcBorders>
              <w:bottom w:val="single" w:sz="4" w:space="0" w:color="auto"/>
            </w:tcBorders>
            <w:shd w:val="clear" w:color="auto" w:fill="FFFFFF"/>
          </w:tcPr>
          <w:p w:rsidR="00503A41" w:rsidRPr="00993936" w:rsidRDefault="00503A41" w:rsidP="001C0FFB">
            <w:pPr>
              <w:rPr>
                <w:rFonts w:ascii="Arial" w:hAnsi="Arial" w:cs="Arial"/>
                <w:lang w:val="es-ES"/>
              </w:rPr>
            </w:pPr>
            <w:r w:rsidRPr="00993936">
              <w:rPr>
                <w:rFonts w:ascii="Arial" w:hAnsi="Arial" w:cs="Arial"/>
                <w:b/>
                <w:lang w:val="es-ES"/>
              </w:rPr>
              <w:lastRenderedPageBreak/>
              <w:t>Margarónia, Glifodes</w:t>
            </w:r>
            <w:r w:rsidRPr="00993936">
              <w:rPr>
                <w:rFonts w:ascii="Arial" w:hAnsi="Arial" w:cs="Arial"/>
                <w:lang w:val="es-ES"/>
              </w:rPr>
              <w:t xml:space="preserve"> </w:t>
            </w:r>
          </w:p>
          <w:p w:rsidR="00503A41" w:rsidRPr="00993936" w:rsidRDefault="00503A41" w:rsidP="001C0FFB">
            <w:pPr>
              <w:rPr>
                <w:rFonts w:ascii="Arial" w:hAnsi="Arial" w:cs="Arial"/>
                <w:i/>
                <w:lang w:val="es-ES"/>
              </w:rPr>
            </w:pPr>
            <w:r w:rsidRPr="00993936">
              <w:rPr>
                <w:rFonts w:ascii="Arial" w:hAnsi="Arial" w:cs="Arial"/>
                <w:i/>
                <w:lang w:val="es-ES"/>
              </w:rPr>
              <w:t>(Margaronia unionalis)</w:t>
            </w:r>
          </w:p>
          <w:p w:rsidR="00503A41" w:rsidRPr="00993936" w:rsidRDefault="00503A41" w:rsidP="001C0FFB">
            <w:pPr>
              <w:rPr>
                <w:rFonts w:ascii="Arial" w:hAnsi="Arial" w:cs="Arial"/>
                <w:b/>
                <w:lang w:val="es-ES"/>
              </w:rPr>
            </w:pP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Betaciflutrín</w:t>
            </w:r>
          </w:p>
          <w:p w:rsidR="00503A41" w:rsidRPr="00993936" w:rsidRDefault="00503A41" w:rsidP="001D205D">
            <w:pPr>
              <w:pStyle w:val="Sinespaciado"/>
              <w:rPr>
                <w:rFonts w:ascii="Arial" w:hAnsi="Arial" w:cs="Arial"/>
                <w:lang w:val="es-ES"/>
              </w:rPr>
            </w:pPr>
            <w:r w:rsidRPr="00993936">
              <w:rPr>
                <w:rFonts w:ascii="Arial" w:hAnsi="Arial" w:cs="Arial"/>
                <w:lang w:val="es-ES"/>
              </w:rPr>
              <w:t>Cipermetrín</w:t>
            </w:r>
          </w:p>
          <w:p w:rsidR="00503A41" w:rsidRPr="00993936" w:rsidRDefault="00503A41" w:rsidP="001D205D">
            <w:pPr>
              <w:pStyle w:val="Sinespaciado"/>
              <w:rPr>
                <w:rFonts w:ascii="Arial" w:hAnsi="Arial" w:cs="Arial"/>
                <w:lang w:val="es-ES"/>
              </w:rPr>
            </w:pPr>
            <w:r w:rsidRPr="00993936">
              <w:rPr>
                <w:rFonts w:ascii="Arial" w:hAnsi="Arial" w:cs="Arial"/>
                <w:lang w:val="es-ES"/>
              </w:rPr>
              <w:t>Deltametrín</w:t>
            </w:r>
          </w:p>
          <w:p w:rsidR="00503A41" w:rsidRPr="00993936" w:rsidRDefault="00503A41" w:rsidP="001D205D">
            <w:pPr>
              <w:pStyle w:val="Sinespaciado"/>
              <w:rPr>
                <w:rFonts w:ascii="Arial" w:hAnsi="Arial" w:cs="Arial"/>
                <w:lang w:val="es-ES"/>
              </w:rPr>
            </w:pPr>
            <w:r w:rsidRPr="00993936">
              <w:rPr>
                <w:rFonts w:ascii="Arial" w:hAnsi="Arial" w:cs="Arial"/>
                <w:lang w:val="es-ES"/>
              </w:rPr>
              <w:t>Dimetoat</w:t>
            </w:r>
          </w:p>
          <w:p w:rsidR="00503A41" w:rsidRPr="00993936" w:rsidRDefault="00503A41" w:rsidP="001D205D">
            <w:pPr>
              <w:pStyle w:val="Sinespaciado"/>
              <w:rPr>
                <w:rFonts w:ascii="Arial" w:hAnsi="Arial" w:cs="Arial"/>
                <w:snapToGrid w:val="0"/>
                <w:lang w:val="es-ES"/>
              </w:rPr>
            </w:pPr>
            <w:r w:rsidRPr="00993936">
              <w:rPr>
                <w:rFonts w:ascii="Arial" w:hAnsi="Arial" w:cs="Arial"/>
                <w:lang w:val="es-ES"/>
              </w:rPr>
              <w:t xml:space="preserve">Fosmet </w:t>
            </w:r>
            <w:r w:rsidRPr="00993936">
              <w:rPr>
                <w:rFonts w:ascii="Arial" w:hAnsi="Arial" w:cs="Arial"/>
                <w:snapToGrid w:val="0"/>
                <w:lang w:val="es-ES"/>
              </w:rPr>
              <w:t>(4)</w:t>
            </w:r>
          </w:p>
          <w:p w:rsidR="00503A41" w:rsidRPr="00993936" w:rsidRDefault="00503A41" w:rsidP="001D205D">
            <w:pPr>
              <w:pStyle w:val="Sinespaciado"/>
              <w:rPr>
                <w:rFonts w:ascii="Arial" w:hAnsi="Arial" w:cs="Arial"/>
                <w:lang w:val="es-ES"/>
              </w:rPr>
            </w:pPr>
            <w:r w:rsidRPr="00993936">
              <w:rPr>
                <w:rFonts w:ascii="Arial" w:hAnsi="Arial" w:cs="Arial"/>
                <w:lang w:val="es-ES"/>
              </w:rPr>
              <w:t>Lambda-cihalotrín (4)</w:t>
            </w:r>
          </w:p>
        </w:tc>
      </w:tr>
      <w:tr w:rsidR="00503A41" w:rsidRPr="00993936" w:rsidTr="001C0FFB">
        <w:trPr>
          <w:trHeight w:val="593"/>
        </w:trPr>
        <w:tc>
          <w:tcPr>
            <w:tcW w:w="4535" w:type="dxa"/>
            <w:tcBorders>
              <w:bottom w:val="single" w:sz="4" w:space="0" w:color="auto"/>
            </w:tcBorders>
            <w:shd w:val="clear" w:color="auto" w:fill="FFFFFF"/>
          </w:tcPr>
          <w:p w:rsidR="00503A41" w:rsidRPr="00993936" w:rsidRDefault="00503A41" w:rsidP="001C0FFB">
            <w:pPr>
              <w:rPr>
                <w:rFonts w:ascii="Arial" w:hAnsi="Arial" w:cs="Arial"/>
                <w:i/>
                <w:lang w:val="es-ES"/>
              </w:rPr>
            </w:pPr>
            <w:r w:rsidRPr="00993936">
              <w:rPr>
                <w:rFonts w:ascii="Arial" w:hAnsi="Arial" w:cs="Arial"/>
                <w:b/>
                <w:lang w:val="es-ES"/>
              </w:rPr>
              <w:t>Piral</w:t>
            </w:r>
            <w:r w:rsidRPr="00993936">
              <w:rPr>
                <w:rFonts w:ascii="Arial" w:hAnsi="Arial" w:cs="Arial"/>
                <w:lang w:val="es-ES"/>
              </w:rPr>
              <w:t xml:space="preserve"> </w:t>
            </w:r>
            <w:r w:rsidRPr="00993936">
              <w:rPr>
                <w:rFonts w:ascii="Arial" w:hAnsi="Arial" w:cs="Arial"/>
                <w:i/>
                <w:lang w:val="es-ES"/>
              </w:rPr>
              <w:t>(Euzophera pingüis)</w:t>
            </w:r>
          </w:p>
          <w:p w:rsidR="00503A41" w:rsidRPr="00993936" w:rsidRDefault="00503A41" w:rsidP="001C0FFB">
            <w:pPr>
              <w:rPr>
                <w:rFonts w:ascii="Arial" w:hAnsi="Arial" w:cs="Arial"/>
                <w:b/>
                <w:lang w:val="es-ES"/>
              </w:rPr>
            </w:pP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Clorpirifos (4)</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Fosmet </w:t>
            </w:r>
            <w:r w:rsidRPr="00993936">
              <w:rPr>
                <w:rFonts w:ascii="Arial" w:hAnsi="Arial" w:cs="Arial"/>
                <w:snapToGrid w:val="0"/>
                <w:lang w:val="es-ES"/>
              </w:rPr>
              <w:t>(4)</w:t>
            </w:r>
          </w:p>
          <w:p w:rsidR="00503A41" w:rsidRPr="00993936" w:rsidRDefault="00503A41" w:rsidP="001D205D">
            <w:pPr>
              <w:pStyle w:val="Sinespaciado"/>
              <w:rPr>
                <w:rFonts w:ascii="Arial" w:hAnsi="Arial" w:cs="Arial"/>
                <w:snapToGrid w:val="0"/>
                <w:lang w:val="es-ES"/>
              </w:rPr>
            </w:pPr>
          </w:p>
        </w:tc>
      </w:tr>
      <w:tr w:rsidR="00503A41" w:rsidRPr="00993936" w:rsidTr="001C0FFB">
        <w:trPr>
          <w:trHeight w:val="590"/>
        </w:trPr>
        <w:tc>
          <w:tcPr>
            <w:tcW w:w="4535" w:type="dxa"/>
            <w:tcBorders>
              <w:bottom w:val="single" w:sz="4" w:space="0" w:color="auto"/>
            </w:tcBorders>
            <w:shd w:val="clear" w:color="auto" w:fill="FFFFFF"/>
          </w:tcPr>
          <w:p w:rsidR="00503A41" w:rsidRPr="00993936" w:rsidRDefault="00503A41" w:rsidP="001C0FFB">
            <w:pPr>
              <w:rPr>
                <w:rFonts w:ascii="Arial" w:hAnsi="Arial" w:cs="Arial"/>
                <w:i/>
                <w:lang w:val="es-ES"/>
              </w:rPr>
            </w:pPr>
            <w:r w:rsidRPr="00993936">
              <w:rPr>
                <w:rFonts w:ascii="Arial" w:hAnsi="Arial" w:cs="Arial"/>
                <w:b/>
                <w:lang w:val="es-ES"/>
              </w:rPr>
              <w:t>Carcoma</w:t>
            </w:r>
            <w:r w:rsidRPr="00993936">
              <w:rPr>
                <w:rFonts w:ascii="Arial" w:hAnsi="Arial" w:cs="Arial"/>
                <w:b/>
                <w:vanish/>
                <w:lang w:val="es-ES"/>
              </w:rPr>
              <w:t>&lt;A[Carcoma|Gorgojo]&gt;</w:t>
            </w:r>
            <w:r w:rsidRPr="00993936">
              <w:rPr>
                <w:rFonts w:ascii="Arial" w:hAnsi="Arial" w:cs="Arial"/>
                <w:b/>
                <w:lang w:val="es-ES"/>
              </w:rPr>
              <w:t xml:space="preserve"> </w:t>
            </w:r>
            <w:r w:rsidRPr="00993936">
              <w:rPr>
                <w:rFonts w:ascii="Arial" w:hAnsi="Arial" w:cs="Arial"/>
                <w:i/>
                <w:lang w:val="es-ES"/>
              </w:rPr>
              <w:t xml:space="preserve">(Phloeotribus scarabaeoides) </w:t>
            </w: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Dimetoato</w:t>
            </w:r>
          </w:p>
        </w:tc>
      </w:tr>
      <w:tr w:rsidR="00503A41" w:rsidRPr="00993936" w:rsidTr="001C0FFB">
        <w:trPr>
          <w:trHeight w:val="589"/>
        </w:trPr>
        <w:tc>
          <w:tcPr>
            <w:tcW w:w="4535" w:type="dxa"/>
            <w:tcBorders>
              <w:bottom w:val="single" w:sz="4" w:space="0" w:color="auto"/>
            </w:tcBorders>
            <w:shd w:val="clear" w:color="auto" w:fill="FFFFFF"/>
          </w:tcPr>
          <w:p w:rsidR="00503A41" w:rsidRPr="00993936" w:rsidRDefault="00503A41" w:rsidP="001C0FFB">
            <w:pPr>
              <w:rPr>
                <w:rFonts w:ascii="Arial" w:hAnsi="Arial" w:cs="Arial"/>
                <w:lang w:val="es-ES"/>
              </w:rPr>
            </w:pPr>
            <w:r w:rsidRPr="00993936">
              <w:rPr>
                <w:rFonts w:ascii="Arial" w:hAnsi="Arial" w:cs="Arial"/>
                <w:b/>
                <w:lang w:val="es-ES"/>
              </w:rPr>
              <w:t>Arañuelo</w:t>
            </w:r>
            <w:r w:rsidRPr="00993936">
              <w:rPr>
                <w:rFonts w:ascii="Arial" w:hAnsi="Arial" w:cs="Arial"/>
                <w:b/>
                <w:i/>
                <w:lang w:val="es-ES"/>
              </w:rPr>
              <w:t xml:space="preserve"> </w:t>
            </w:r>
            <w:r w:rsidRPr="00993936">
              <w:rPr>
                <w:rFonts w:ascii="Arial" w:hAnsi="Arial" w:cs="Arial"/>
                <w:i/>
                <w:lang w:val="es-ES"/>
              </w:rPr>
              <w:t>(Liothrips oleae)</w:t>
            </w:r>
          </w:p>
          <w:p w:rsidR="00503A41" w:rsidRPr="00993936" w:rsidRDefault="00503A41" w:rsidP="001C0FFB">
            <w:pPr>
              <w:rPr>
                <w:rFonts w:ascii="Arial" w:hAnsi="Arial" w:cs="Arial"/>
                <w:i/>
                <w:lang w:val="es-ES"/>
              </w:rPr>
            </w:pPr>
            <w:r w:rsidRPr="00993936">
              <w:rPr>
                <w:rFonts w:ascii="Arial" w:hAnsi="Arial" w:cs="Arial"/>
                <w:i/>
                <w:lang w:val="es-ES"/>
              </w:rPr>
              <w:t>Hojas (árboles en formación)</w:t>
            </w:r>
          </w:p>
        </w:tc>
        <w:tc>
          <w:tcPr>
            <w:tcW w:w="4605" w:type="dxa"/>
            <w:tcBorders>
              <w:bottom w:val="single" w:sz="4" w:space="0" w:color="auto"/>
            </w:tcBorders>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Dimetoato</w:t>
            </w:r>
          </w:p>
        </w:tc>
      </w:tr>
    </w:tbl>
    <w:p w:rsidR="00503A41" w:rsidRPr="00993936" w:rsidRDefault="00503A41">
      <w:pPr>
        <w:rPr>
          <w:rFonts w:ascii="Arial" w:hAnsi="Arial" w:cs="Arial"/>
          <w:lang w:val="es-ES"/>
        </w:rPr>
      </w:pPr>
    </w:p>
    <w:p w:rsidR="00503A41" w:rsidRPr="00993936" w:rsidRDefault="00503A41" w:rsidP="001C0FFB">
      <w:pPr>
        <w:rPr>
          <w:rFonts w:ascii="Arial" w:hAnsi="Arial" w:cs="Arial"/>
          <w:b/>
          <w:lang w:val="es-ES"/>
        </w:rPr>
      </w:pPr>
      <w:r w:rsidRPr="00993936">
        <w:rPr>
          <w:rFonts w:ascii="Arial" w:hAnsi="Arial" w:cs="Arial"/>
          <w:b/>
          <w:lang w:val="es-ES"/>
        </w:rPr>
        <w:t>Restricciones en las materias activas:</w:t>
      </w:r>
    </w:p>
    <w:p w:rsidR="00503A41" w:rsidRPr="00993936" w:rsidRDefault="00503A41" w:rsidP="009D1A2D">
      <w:pPr>
        <w:numPr>
          <w:ilvl w:val="0"/>
          <w:numId w:val="111"/>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111"/>
        </w:numPr>
        <w:spacing w:after="0" w:line="240" w:lineRule="auto"/>
        <w:rPr>
          <w:rFonts w:ascii="Arial" w:hAnsi="Arial" w:cs="Arial"/>
          <w:lang w:val="es-ES"/>
        </w:rPr>
      </w:pPr>
      <w:r w:rsidRPr="00993936">
        <w:rPr>
          <w:rFonts w:ascii="Arial" w:hAnsi="Arial" w:cs="Arial"/>
          <w:lang w:val="es-ES"/>
        </w:rPr>
        <w:t>Màxim:2 tractaments/any</w:t>
      </w:r>
    </w:p>
    <w:p w:rsidR="00503A41" w:rsidRPr="00993936" w:rsidRDefault="00503A41" w:rsidP="009D1A2D">
      <w:pPr>
        <w:numPr>
          <w:ilvl w:val="0"/>
          <w:numId w:val="111"/>
        </w:numPr>
        <w:spacing w:after="0" w:line="240" w:lineRule="auto"/>
        <w:rPr>
          <w:rFonts w:ascii="Arial" w:hAnsi="Arial" w:cs="Arial"/>
          <w:lang w:val="es-ES"/>
        </w:rPr>
      </w:pPr>
      <w:r w:rsidRPr="00993936">
        <w:rPr>
          <w:rFonts w:ascii="Arial" w:hAnsi="Arial" w:cs="Arial"/>
          <w:lang w:val="es-ES"/>
        </w:rPr>
        <w:t>Máximo: 3 tratamientos/año</w:t>
      </w:r>
    </w:p>
    <w:p w:rsidR="00503A41" w:rsidRPr="00993936" w:rsidRDefault="00503A41" w:rsidP="009D1A2D">
      <w:pPr>
        <w:numPr>
          <w:ilvl w:val="0"/>
          <w:numId w:val="111"/>
        </w:numPr>
        <w:spacing w:after="0" w:line="240" w:lineRule="auto"/>
        <w:rPr>
          <w:rFonts w:ascii="Arial" w:hAnsi="Arial" w:cs="Arial"/>
          <w:sz w:val="18"/>
          <w:lang w:val="es-ES"/>
        </w:rPr>
      </w:pPr>
      <w:r w:rsidRPr="00993936">
        <w:rPr>
          <w:rFonts w:ascii="Arial" w:hAnsi="Arial" w:cs="Arial"/>
          <w:lang w:val="es-ES"/>
        </w:rPr>
        <w:t>Sólo formulaciones que no sean de clasificación toxicológica (T)</w:t>
      </w:r>
      <w:r w:rsidRPr="00993936">
        <w:rPr>
          <w:rFonts w:ascii="Arial" w:hAnsi="Arial" w:cs="Arial"/>
          <w:sz w:val="18"/>
          <w:lang w:val="es-ES"/>
        </w:rPr>
        <w:t xml:space="preserve"> </w:t>
      </w:r>
    </w:p>
    <w:p w:rsidR="00503A41" w:rsidRPr="00993936" w:rsidRDefault="00503A41" w:rsidP="009D1A2D">
      <w:pPr>
        <w:numPr>
          <w:ilvl w:val="0"/>
          <w:numId w:val="111"/>
        </w:numPr>
        <w:spacing w:after="0" w:line="240" w:lineRule="auto"/>
        <w:rPr>
          <w:rFonts w:ascii="Arial" w:hAnsi="Arial" w:cs="Arial"/>
          <w:lang w:val="es-ES"/>
        </w:rPr>
      </w:pPr>
      <w:r w:rsidRPr="00993936">
        <w:rPr>
          <w:rFonts w:ascii="Arial" w:hAnsi="Arial" w:cs="Arial"/>
          <w:lang w:val="es-ES"/>
        </w:rPr>
        <w:t>Sólo en postcosecha y prefloración</w:t>
      </w:r>
    </w:p>
    <w:p w:rsidR="00503A41" w:rsidRPr="00993936" w:rsidRDefault="00503A41" w:rsidP="001C0FFB">
      <w:pPr>
        <w:rPr>
          <w:rFonts w:ascii="Arial" w:hAnsi="Arial" w:cs="Arial"/>
          <w:b/>
          <w:lang w:val="es-ES"/>
        </w:rPr>
      </w:pPr>
    </w:p>
    <w:p w:rsidR="00503A41" w:rsidRPr="00993936" w:rsidRDefault="00503A41" w:rsidP="001C0FFB">
      <w:pPr>
        <w:rPr>
          <w:rFonts w:ascii="Arial" w:hAnsi="Arial" w:cs="Arial"/>
          <w:b/>
          <w:lang w:val="es-ES"/>
        </w:rPr>
      </w:pPr>
      <w:r w:rsidRPr="00993936">
        <w:rPr>
          <w:rFonts w:ascii="Arial" w:hAnsi="Arial" w:cs="Arial"/>
          <w:b/>
          <w:lang w:val="es-ES"/>
        </w:rPr>
        <w:t>2.3.2. Materias activas acaricidas</w:t>
      </w:r>
    </w:p>
    <w:p w:rsidR="00503A41" w:rsidRPr="00993936" w:rsidRDefault="00503A41">
      <w:pPr>
        <w:rPr>
          <w:rFonts w:ascii="Arial" w:hAnsi="Arial" w:cs="Arial"/>
          <w:lang w:val="es-ES"/>
        </w:rPr>
      </w:pPr>
    </w:p>
    <w:p w:rsidR="00503A41" w:rsidRPr="00993936" w:rsidRDefault="00503A41">
      <w:pPr>
        <w:rPr>
          <w:rFonts w:ascii="Arial" w:hAnsi="Arial" w:cs="Arial"/>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5"/>
        <w:gridCol w:w="4605"/>
      </w:tblGrid>
      <w:tr w:rsidR="00503A41" w:rsidRPr="00993936" w:rsidTr="001C0FFB">
        <w:trPr>
          <w:trHeight w:val="706"/>
          <w:tblHeader/>
        </w:trPr>
        <w:tc>
          <w:tcPr>
            <w:tcW w:w="4535" w:type="dxa"/>
            <w:tcBorders>
              <w:bottom w:val="single" w:sz="4" w:space="0" w:color="auto"/>
            </w:tcBorders>
            <w:shd w:val="clear" w:color="auto" w:fill="EEECE1"/>
            <w:vAlign w:val="center"/>
          </w:tcPr>
          <w:p w:rsidR="00503A41" w:rsidRPr="00993936" w:rsidRDefault="00503A41" w:rsidP="001C0FFB">
            <w:pPr>
              <w:rPr>
                <w:rFonts w:ascii="Arial" w:hAnsi="Arial" w:cs="Arial"/>
                <w:b/>
                <w:lang w:val="es-ES"/>
              </w:rPr>
            </w:pPr>
            <w:r w:rsidRPr="00993936">
              <w:rPr>
                <w:rFonts w:ascii="Arial" w:hAnsi="Arial" w:cs="Arial"/>
                <w:b/>
                <w:lang w:val="es-ES"/>
              </w:rPr>
              <w:t>Plaga/Enfermedad</w:t>
            </w:r>
          </w:p>
        </w:tc>
        <w:tc>
          <w:tcPr>
            <w:tcW w:w="4605" w:type="dxa"/>
            <w:tcBorders>
              <w:bottom w:val="single" w:sz="4" w:space="0" w:color="auto"/>
            </w:tcBorders>
            <w:shd w:val="clear" w:color="auto" w:fill="EEECE1"/>
            <w:vAlign w:val="center"/>
          </w:tcPr>
          <w:p w:rsidR="00503A41" w:rsidRPr="00993936" w:rsidRDefault="00503A41" w:rsidP="001C0FFB">
            <w:pPr>
              <w:rPr>
                <w:rFonts w:ascii="Arial" w:hAnsi="Arial" w:cs="Arial"/>
                <w:b/>
                <w:snapToGrid w:val="0"/>
                <w:lang w:val="es-ES"/>
              </w:rPr>
            </w:pPr>
            <w:r w:rsidRPr="00993936">
              <w:rPr>
                <w:rFonts w:ascii="Arial" w:hAnsi="Arial" w:cs="Arial"/>
                <w:b/>
                <w:snapToGrid w:val="0"/>
                <w:lang w:val="es-ES"/>
              </w:rPr>
              <w:t>Materia activa</w:t>
            </w:r>
          </w:p>
        </w:tc>
      </w:tr>
      <w:tr w:rsidR="00503A41" w:rsidRPr="00993936" w:rsidTr="001C0FFB">
        <w:trPr>
          <w:trHeight w:val="847"/>
        </w:trPr>
        <w:tc>
          <w:tcPr>
            <w:tcW w:w="4535" w:type="dxa"/>
            <w:tcBorders>
              <w:bottom w:val="single" w:sz="4" w:space="0" w:color="auto"/>
            </w:tcBorders>
            <w:shd w:val="clear" w:color="auto" w:fill="FFFFFF"/>
          </w:tcPr>
          <w:p w:rsidR="00503A41" w:rsidRPr="00993936" w:rsidRDefault="00503A41" w:rsidP="001C0FFB">
            <w:pPr>
              <w:rPr>
                <w:rFonts w:ascii="Arial" w:hAnsi="Arial" w:cs="Arial"/>
                <w:b/>
                <w:lang w:val="es-ES"/>
              </w:rPr>
            </w:pPr>
            <w:r w:rsidRPr="00993936">
              <w:rPr>
                <w:rFonts w:ascii="Arial" w:hAnsi="Arial" w:cs="Arial"/>
                <w:b/>
                <w:lang w:val="es-ES"/>
              </w:rPr>
              <w:t>Acariosis</w:t>
            </w:r>
          </w:p>
          <w:p w:rsidR="00503A41" w:rsidRPr="00993936" w:rsidRDefault="00503A41" w:rsidP="001C0FFB">
            <w:pPr>
              <w:rPr>
                <w:rFonts w:ascii="Arial" w:hAnsi="Arial" w:cs="Arial"/>
                <w:b/>
                <w:lang w:val="es-ES"/>
              </w:rPr>
            </w:pPr>
          </w:p>
        </w:tc>
        <w:tc>
          <w:tcPr>
            <w:tcW w:w="4605" w:type="dxa"/>
            <w:tcBorders>
              <w:bottom w:val="single" w:sz="4" w:space="0" w:color="auto"/>
            </w:tcBorders>
            <w:shd w:val="clear" w:color="auto" w:fill="FFFFFF"/>
          </w:tcPr>
          <w:p w:rsidR="00503A41" w:rsidRPr="00993936" w:rsidRDefault="00503A41" w:rsidP="001C0FFB">
            <w:pPr>
              <w:rPr>
                <w:rFonts w:ascii="Arial" w:hAnsi="Arial" w:cs="Arial"/>
                <w:snapToGrid w:val="0"/>
                <w:lang w:val="es-ES"/>
              </w:rPr>
            </w:pPr>
            <w:r w:rsidRPr="00993936">
              <w:rPr>
                <w:rFonts w:ascii="Arial" w:hAnsi="Arial" w:cs="Arial"/>
                <w:lang w:val="es-ES"/>
              </w:rPr>
              <w:t>Azufre</w:t>
            </w:r>
          </w:p>
        </w:tc>
      </w:tr>
    </w:tbl>
    <w:p w:rsidR="00503A41" w:rsidRPr="00993936" w:rsidRDefault="00503A41">
      <w:pPr>
        <w:rPr>
          <w:rFonts w:ascii="Arial" w:hAnsi="Arial" w:cs="Arial"/>
          <w:lang w:val="es-ES"/>
        </w:rPr>
      </w:pPr>
    </w:p>
    <w:p w:rsidR="00503A41" w:rsidRPr="00993936" w:rsidRDefault="00503A41">
      <w:pPr>
        <w:rPr>
          <w:rFonts w:ascii="Arial" w:hAnsi="Arial" w:cs="Arial"/>
          <w:b/>
          <w:lang w:val="es-ES"/>
        </w:rPr>
      </w:pPr>
      <w:r w:rsidRPr="00993936">
        <w:rPr>
          <w:rFonts w:ascii="Arial" w:hAnsi="Arial" w:cs="Arial"/>
          <w:b/>
          <w:lang w:val="es-ES"/>
        </w:rPr>
        <w:t>Restricciones en las materias activas:</w:t>
      </w:r>
    </w:p>
    <w:p w:rsidR="00503A41" w:rsidRPr="00993936" w:rsidRDefault="00503A41" w:rsidP="009D1A2D">
      <w:pPr>
        <w:numPr>
          <w:ilvl w:val="0"/>
          <w:numId w:val="115"/>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115"/>
        </w:numPr>
        <w:spacing w:after="0" w:line="240" w:lineRule="auto"/>
        <w:rPr>
          <w:rFonts w:ascii="Arial" w:hAnsi="Arial" w:cs="Arial"/>
          <w:lang w:val="es-ES"/>
        </w:rPr>
      </w:pPr>
      <w:r w:rsidRPr="00993936">
        <w:rPr>
          <w:rFonts w:ascii="Arial" w:hAnsi="Arial" w:cs="Arial"/>
          <w:lang w:val="es-ES"/>
        </w:rPr>
        <w:t>Màxim:2 tractaments/any</w:t>
      </w:r>
    </w:p>
    <w:p w:rsidR="00503A41" w:rsidRPr="00993936" w:rsidRDefault="00503A41" w:rsidP="009D1A2D">
      <w:pPr>
        <w:numPr>
          <w:ilvl w:val="0"/>
          <w:numId w:val="115"/>
        </w:numPr>
        <w:spacing w:after="0" w:line="240" w:lineRule="auto"/>
        <w:rPr>
          <w:rFonts w:ascii="Arial" w:hAnsi="Arial" w:cs="Arial"/>
          <w:lang w:val="es-ES"/>
        </w:rPr>
      </w:pPr>
      <w:r w:rsidRPr="00993936">
        <w:rPr>
          <w:rFonts w:ascii="Arial" w:hAnsi="Arial" w:cs="Arial"/>
          <w:lang w:val="es-ES"/>
        </w:rPr>
        <w:t>Máximo: 3 tratamientos/año</w:t>
      </w:r>
    </w:p>
    <w:p w:rsidR="00503A41" w:rsidRPr="00993936" w:rsidRDefault="00503A41" w:rsidP="009D1A2D">
      <w:pPr>
        <w:numPr>
          <w:ilvl w:val="0"/>
          <w:numId w:val="115"/>
        </w:numPr>
        <w:spacing w:after="0" w:line="240" w:lineRule="auto"/>
        <w:rPr>
          <w:rFonts w:ascii="Arial" w:hAnsi="Arial" w:cs="Arial"/>
          <w:sz w:val="18"/>
          <w:lang w:val="es-ES"/>
        </w:rPr>
      </w:pPr>
      <w:r w:rsidRPr="00993936">
        <w:rPr>
          <w:rFonts w:ascii="Arial" w:hAnsi="Arial" w:cs="Arial"/>
          <w:lang w:val="es-ES"/>
        </w:rPr>
        <w:lastRenderedPageBreak/>
        <w:t>Sólo formulaciones que no sean de clasificación toxicológica (T)</w:t>
      </w:r>
      <w:r w:rsidRPr="00993936">
        <w:rPr>
          <w:rFonts w:ascii="Arial" w:hAnsi="Arial" w:cs="Arial"/>
          <w:sz w:val="18"/>
          <w:lang w:val="es-ES"/>
        </w:rPr>
        <w:t xml:space="preserve"> </w:t>
      </w:r>
    </w:p>
    <w:p w:rsidR="00503A41" w:rsidRPr="00993936" w:rsidRDefault="00503A41" w:rsidP="009D1A2D">
      <w:pPr>
        <w:numPr>
          <w:ilvl w:val="0"/>
          <w:numId w:val="115"/>
        </w:numPr>
        <w:spacing w:after="0" w:line="240" w:lineRule="auto"/>
        <w:rPr>
          <w:rFonts w:ascii="Arial" w:hAnsi="Arial" w:cs="Arial"/>
          <w:lang w:val="es-ES"/>
        </w:rPr>
      </w:pPr>
      <w:r w:rsidRPr="00993936">
        <w:rPr>
          <w:rFonts w:ascii="Arial" w:hAnsi="Arial" w:cs="Arial"/>
          <w:lang w:val="es-ES"/>
        </w:rPr>
        <w:t>Sólo en postcosecha y prefloración</w:t>
      </w:r>
    </w:p>
    <w:p w:rsidR="00503A41" w:rsidRPr="00993936" w:rsidRDefault="00503A41" w:rsidP="001C0FFB">
      <w:pPr>
        <w:jc w:val="both"/>
        <w:rPr>
          <w:rFonts w:ascii="Arial" w:hAnsi="Arial" w:cs="Arial"/>
          <w:b/>
          <w:lang w:val="es-ES"/>
        </w:rPr>
      </w:pPr>
      <w:r w:rsidRPr="00993936">
        <w:rPr>
          <w:rFonts w:ascii="Arial" w:hAnsi="Arial" w:cs="Arial"/>
          <w:lang w:val="es-ES"/>
        </w:rPr>
        <w:br w:type="page"/>
      </w:r>
      <w:r w:rsidRPr="00993936">
        <w:rPr>
          <w:rFonts w:ascii="Arial" w:hAnsi="Arial" w:cs="Arial"/>
          <w:b/>
          <w:lang w:val="es-ES"/>
        </w:rPr>
        <w:lastRenderedPageBreak/>
        <w:t>2.3.3 Materias activas de insecticidas para la producción integrada de olivas con indicación del código de resistencia IRAC</w:t>
      </w:r>
    </w:p>
    <w:p w:rsidR="00503A41" w:rsidRPr="00993936" w:rsidRDefault="00503A41" w:rsidP="001C0FFB">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292"/>
        <w:gridCol w:w="4292"/>
      </w:tblGrid>
      <w:tr w:rsidR="00503A41" w:rsidRPr="00993936" w:rsidTr="001C0FFB">
        <w:trPr>
          <w:trHeight w:val="393"/>
        </w:trPr>
        <w:tc>
          <w:tcPr>
            <w:tcW w:w="5000" w:type="pct"/>
            <w:gridSpan w:val="2"/>
            <w:shd w:val="solid" w:color="C0C0C0" w:fill="auto"/>
            <w:vAlign w:val="center"/>
          </w:tcPr>
          <w:p w:rsidR="00503A41" w:rsidRPr="00993936" w:rsidRDefault="00503A41" w:rsidP="001C0FFB">
            <w:pPr>
              <w:autoSpaceDE w:val="0"/>
              <w:autoSpaceDN w:val="0"/>
              <w:adjustRightInd w:val="0"/>
              <w:jc w:val="center"/>
              <w:rPr>
                <w:rFonts w:ascii="Arial" w:hAnsi="Arial" w:cs="Arial"/>
                <w:b/>
                <w:bCs/>
                <w:sz w:val="18"/>
                <w:lang w:val="es-ES"/>
              </w:rPr>
            </w:pPr>
            <w:r w:rsidRPr="00993936">
              <w:rPr>
                <w:rFonts w:ascii="Arial" w:hAnsi="Arial" w:cs="Arial"/>
                <w:b/>
                <w:bCs/>
                <w:sz w:val="18"/>
                <w:lang w:val="es-ES"/>
              </w:rPr>
              <w:t>TIPO DE INSECTICIDAS</w:t>
            </w:r>
          </w:p>
        </w:tc>
      </w:tr>
      <w:tr w:rsidR="00503A41" w:rsidRPr="00993936" w:rsidTr="001C0FFB">
        <w:trPr>
          <w:trHeight w:val="270"/>
        </w:trPr>
        <w:tc>
          <w:tcPr>
            <w:tcW w:w="2500" w:type="pct"/>
            <w:vMerge w:val="restart"/>
            <w:shd w:val="solid" w:color="C0C0C0" w:fill="auto"/>
            <w:vAlign w:val="center"/>
          </w:tcPr>
          <w:p w:rsidR="00503A41" w:rsidRPr="00993936" w:rsidRDefault="00503A41" w:rsidP="001C0FFB">
            <w:pPr>
              <w:autoSpaceDE w:val="0"/>
              <w:autoSpaceDN w:val="0"/>
              <w:adjustRightInd w:val="0"/>
              <w:rPr>
                <w:rFonts w:ascii="Arial" w:hAnsi="Arial" w:cs="Arial"/>
                <w:b/>
                <w:bCs/>
                <w:sz w:val="18"/>
                <w:lang w:val="es-ES"/>
              </w:rPr>
            </w:pPr>
            <w:r w:rsidRPr="00993936">
              <w:rPr>
                <w:rFonts w:ascii="Arial" w:hAnsi="Arial" w:cs="Arial"/>
                <w:b/>
                <w:bCs/>
                <w:sz w:val="18"/>
                <w:lang w:val="es-ES"/>
              </w:rPr>
              <w:t xml:space="preserve">Materia activa </w:t>
            </w:r>
          </w:p>
        </w:tc>
        <w:tc>
          <w:tcPr>
            <w:tcW w:w="2500" w:type="pct"/>
            <w:shd w:val="solid" w:color="C0C0C0" w:fill="auto"/>
          </w:tcPr>
          <w:p w:rsidR="00503A41" w:rsidRPr="00993936" w:rsidRDefault="00503A41" w:rsidP="001C0FFB">
            <w:pPr>
              <w:autoSpaceDE w:val="0"/>
              <w:autoSpaceDN w:val="0"/>
              <w:adjustRightInd w:val="0"/>
              <w:jc w:val="center"/>
              <w:rPr>
                <w:rFonts w:ascii="Arial" w:hAnsi="Arial" w:cs="Arial"/>
                <w:b/>
                <w:bCs/>
                <w:sz w:val="18"/>
                <w:lang w:val="es-ES"/>
              </w:rPr>
            </w:pPr>
            <w:r w:rsidRPr="00993936">
              <w:rPr>
                <w:rFonts w:ascii="Arial" w:hAnsi="Arial" w:cs="Arial"/>
                <w:b/>
                <w:bCs/>
                <w:sz w:val="18"/>
                <w:lang w:val="es-ES"/>
              </w:rPr>
              <w:t>Indicación del código de resistencia</w:t>
            </w:r>
          </w:p>
        </w:tc>
      </w:tr>
      <w:tr w:rsidR="00503A41" w:rsidRPr="00993936" w:rsidTr="001C0FFB">
        <w:trPr>
          <w:trHeight w:val="270"/>
        </w:trPr>
        <w:tc>
          <w:tcPr>
            <w:tcW w:w="2500" w:type="pct"/>
            <w:vMerge/>
            <w:shd w:val="solid" w:color="C0C0C0" w:fill="auto"/>
          </w:tcPr>
          <w:p w:rsidR="00503A41" w:rsidRPr="00993936" w:rsidRDefault="00503A41" w:rsidP="001C0FFB">
            <w:pPr>
              <w:autoSpaceDE w:val="0"/>
              <w:autoSpaceDN w:val="0"/>
              <w:adjustRightInd w:val="0"/>
              <w:jc w:val="center"/>
              <w:rPr>
                <w:rFonts w:ascii="Arial" w:hAnsi="Arial" w:cs="Arial"/>
                <w:b/>
                <w:bCs/>
                <w:sz w:val="18"/>
                <w:lang w:val="es-ES"/>
              </w:rPr>
            </w:pPr>
          </w:p>
        </w:tc>
        <w:tc>
          <w:tcPr>
            <w:tcW w:w="2500" w:type="pct"/>
            <w:shd w:val="solid" w:color="C0C0C0" w:fill="auto"/>
          </w:tcPr>
          <w:p w:rsidR="00503A41" w:rsidRPr="00993936" w:rsidRDefault="00503A41" w:rsidP="001C0FFB">
            <w:pPr>
              <w:autoSpaceDE w:val="0"/>
              <w:autoSpaceDN w:val="0"/>
              <w:adjustRightInd w:val="0"/>
              <w:jc w:val="center"/>
              <w:rPr>
                <w:rFonts w:ascii="Arial" w:hAnsi="Arial" w:cs="Arial"/>
                <w:b/>
                <w:bCs/>
                <w:sz w:val="18"/>
                <w:lang w:val="es-ES"/>
              </w:rPr>
            </w:pPr>
            <w:r w:rsidRPr="00993936">
              <w:rPr>
                <w:rFonts w:ascii="Arial" w:hAnsi="Arial" w:cs="Arial"/>
                <w:b/>
                <w:bCs/>
                <w:sz w:val="18"/>
                <w:lang w:val="es-ES"/>
              </w:rPr>
              <w:t>IRAC (*)</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Alfa cipermetrín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Bacillus thuringiensis aizawai</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11A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Bacillus thuringiensis kurstaki</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11A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Beauveria bassiana</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Betaciflutrín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Cipermetrín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Clorpirifos</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1B</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Deltametrín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Dimetoato</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1B</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Espinosad</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5</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Etofenprox</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Fenoxicarb</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7B</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Fosmet</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1B</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Imidacloprid</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4A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Lambda-cihalotrín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Lambda-cihalotrín + Tiametoxam</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3A+4A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Metil-Clorpirifos</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1B</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Aceite parafínico</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NC</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Piriproxifén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7C</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Tiacloprid</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4A</w:t>
            </w:r>
          </w:p>
        </w:tc>
      </w:tr>
      <w:tr w:rsidR="00503A41" w:rsidRPr="00993936" w:rsidTr="001C0FFB">
        <w:trPr>
          <w:trHeight w:val="260"/>
        </w:trPr>
        <w:tc>
          <w:tcPr>
            <w:tcW w:w="2500"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Zeta-cipermetrín</w:t>
            </w:r>
          </w:p>
        </w:tc>
        <w:tc>
          <w:tcPr>
            <w:tcW w:w="2500"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3A</w:t>
            </w:r>
          </w:p>
        </w:tc>
      </w:tr>
      <w:tr w:rsidR="00503A41" w:rsidRPr="00993936" w:rsidTr="001C0FFB">
        <w:trPr>
          <w:trHeight w:val="270"/>
        </w:trPr>
        <w:tc>
          <w:tcPr>
            <w:tcW w:w="5000" w:type="pct"/>
            <w:gridSpan w:val="2"/>
            <w:shd w:val="solid" w:color="FFFFFF" w:fill="auto"/>
          </w:tcPr>
          <w:p w:rsidR="00503A41" w:rsidRPr="00993936" w:rsidRDefault="00503A41" w:rsidP="001C0FFB">
            <w:pPr>
              <w:autoSpaceDE w:val="0"/>
              <w:autoSpaceDN w:val="0"/>
              <w:adjustRightInd w:val="0"/>
              <w:rPr>
                <w:rFonts w:ascii="Arial" w:hAnsi="Arial" w:cs="Arial"/>
                <w:sz w:val="18"/>
                <w:lang w:val="es-ES"/>
              </w:rPr>
            </w:pPr>
            <w:r w:rsidRPr="00993936">
              <w:rPr>
                <w:rFonts w:ascii="Arial" w:hAnsi="Arial" w:cs="Arial"/>
                <w:sz w:val="18"/>
                <w:lang w:val="es-ES"/>
              </w:rPr>
              <w:t>Para evitar la aparición de resistencias alternar el uso de materias activas que presenten códigos de resistencia (IRAC) diferentes</w:t>
            </w:r>
          </w:p>
        </w:tc>
      </w:tr>
      <w:tr w:rsidR="00503A41" w:rsidRPr="00993936" w:rsidTr="001C0FFB">
        <w:trPr>
          <w:trHeight w:val="270"/>
        </w:trPr>
        <w:tc>
          <w:tcPr>
            <w:tcW w:w="5000" w:type="pct"/>
            <w:gridSpan w:val="2"/>
            <w:shd w:val="solid" w:color="FFFFFF" w:fill="auto"/>
          </w:tcPr>
          <w:p w:rsidR="00503A41" w:rsidRPr="00993936" w:rsidRDefault="00503A41" w:rsidP="001C0FFB">
            <w:pPr>
              <w:autoSpaceDE w:val="0"/>
              <w:autoSpaceDN w:val="0"/>
              <w:adjustRightInd w:val="0"/>
              <w:rPr>
                <w:rFonts w:ascii="Arial" w:hAnsi="Arial" w:cs="Arial"/>
                <w:sz w:val="18"/>
                <w:lang w:val="es-ES"/>
              </w:rPr>
            </w:pPr>
            <w:r w:rsidRPr="00993936">
              <w:rPr>
                <w:rFonts w:ascii="Arial" w:hAnsi="Arial" w:cs="Arial"/>
                <w:sz w:val="18"/>
                <w:lang w:val="es-ES"/>
              </w:rPr>
              <w:t>(*) Fuente: Comité de Acción de Resistencia en Insecticidas</w:t>
            </w:r>
          </w:p>
        </w:tc>
      </w:tr>
    </w:tbl>
    <w:p w:rsidR="00503A41" w:rsidRPr="00993936" w:rsidRDefault="00503A41" w:rsidP="001C0FFB">
      <w:pPr>
        <w:pStyle w:val="Textoindependiente2"/>
        <w:rPr>
          <w:rFonts w:cs="Arial"/>
          <w:lang w:val="es-ES"/>
        </w:rPr>
      </w:pPr>
    </w:p>
    <w:p w:rsidR="00503A41" w:rsidRPr="00993936" w:rsidRDefault="00503A41" w:rsidP="001C0FFB">
      <w:pPr>
        <w:rPr>
          <w:rFonts w:ascii="Arial" w:hAnsi="Arial" w:cs="Arial"/>
          <w:lang w:val="es-ES"/>
        </w:rPr>
      </w:pPr>
    </w:p>
    <w:p w:rsidR="00503A41" w:rsidRPr="00993936" w:rsidRDefault="00503A41" w:rsidP="001C0FFB">
      <w:pPr>
        <w:rPr>
          <w:rFonts w:ascii="Arial" w:hAnsi="Arial" w:cs="Arial"/>
          <w:lang w:val="es-ES"/>
        </w:rPr>
      </w:pPr>
    </w:p>
    <w:p w:rsidR="00503A41" w:rsidRPr="00993936" w:rsidRDefault="00503A41">
      <w:pPr>
        <w:rPr>
          <w:rFonts w:ascii="Arial" w:hAnsi="Arial" w:cs="Arial"/>
          <w:b/>
          <w:lang w:val="es-ES"/>
        </w:rPr>
      </w:pPr>
    </w:p>
    <w:p w:rsidR="00503A41" w:rsidRPr="00993936" w:rsidRDefault="00503A41">
      <w:pPr>
        <w:jc w:val="both"/>
        <w:rPr>
          <w:rFonts w:ascii="Arial" w:hAnsi="Arial" w:cs="Arial"/>
          <w:b/>
          <w:lang w:val="es-ES"/>
        </w:rPr>
      </w:pPr>
      <w:r w:rsidRPr="00993936">
        <w:rPr>
          <w:rFonts w:ascii="Arial" w:hAnsi="Arial" w:cs="Arial"/>
          <w:b/>
          <w:lang w:val="es-ES"/>
        </w:rPr>
        <w:br w:type="page"/>
      </w:r>
      <w:r w:rsidRPr="00993936">
        <w:rPr>
          <w:rFonts w:ascii="Arial" w:hAnsi="Arial" w:cs="Arial"/>
          <w:b/>
          <w:lang w:val="es-ES"/>
        </w:rPr>
        <w:lastRenderedPageBreak/>
        <w:t>2.4 Materias activas de fungicidas para la producción integrada de olivas</w:t>
      </w:r>
    </w:p>
    <w:p w:rsidR="00503A41" w:rsidRPr="00993936" w:rsidRDefault="00503A41">
      <w:pPr>
        <w:jc w:val="both"/>
        <w:rPr>
          <w:rFonts w:ascii="Arial" w:hAnsi="Arial" w:cs="Arial"/>
          <w:b/>
          <w:lang w:val="es-ES"/>
        </w:rPr>
      </w:pPr>
    </w:p>
    <w:p w:rsidR="00503A41" w:rsidRPr="00993936" w:rsidRDefault="00503A41" w:rsidP="001C0FFB">
      <w:pPr>
        <w:rPr>
          <w:rFonts w:ascii="Arial" w:hAnsi="Arial" w:cs="Arial"/>
          <w:b/>
          <w:lang w:val="es-ES"/>
        </w:rPr>
      </w:pPr>
      <w:r w:rsidRPr="00993936">
        <w:rPr>
          <w:rFonts w:ascii="Arial" w:hAnsi="Arial" w:cs="Arial"/>
          <w:b/>
          <w:lang w:val="es-ES"/>
        </w:rPr>
        <w:t>2.4.1. Materias activas fungicidas</w:t>
      </w:r>
    </w:p>
    <w:p w:rsidR="00503A41" w:rsidRPr="00993936" w:rsidRDefault="00503A41">
      <w:pPr>
        <w:rPr>
          <w:rFonts w:ascii="Arial" w:hAnsi="Arial" w:cs="Arial"/>
          <w:b/>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5"/>
        <w:gridCol w:w="4605"/>
      </w:tblGrid>
      <w:tr w:rsidR="00503A41" w:rsidRPr="00993936" w:rsidTr="001C0FFB">
        <w:trPr>
          <w:trHeight w:val="706"/>
          <w:tblHeader/>
        </w:trPr>
        <w:tc>
          <w:tcPr>
            <w:tcW w:w="4535" w:type="dxa"/>
            <w:tcBorders>
              <w:bottom w:val="single" w:sz="4" w:space="0" w:color="auto"/>
            </w:tcBorders>
            <w:shd w:val="clear" w:color="auto" w:fill="EEECE1"/>
            <w:vAlign w:val="center"/>
          </w:tcPr>
          <w:p w:rsidR="00503A41" w:rsidRPr="00993936" w:rsidRDefault="00503A41" w:rsidP="001C0FFB">
            <w:pPr>
              <w:rPr>
                <w:rFonts w:ascii="Arial" w:hAnsi="Arial" w:cs="Arial"/>
                <w:b/>
                <w:lang w:val="es-ES"/>
              </w:rPr>
            </w:pPr>
            <w:r w:rsidRPr="00993936">
              <w:rPr>
                <w:rFonts w:ascii="Arial" w:hAnsi="Arial" w:cs="Arial"/>
                <w:b/>
                <w:lang w:val="es-ES"/>
              </w:rPr>
              <w:t>Plaga/Enfermedad</w:t>
            </w:r>
          </w:p>
        </w:tc>
        <w:tc>
          <w:tcPr>
            <w:tcW w:w="4605" w:type="dxa"/>
            <w:tcBorders>
              <w:bottom w:val="single" w:sz="4" w:space="0" w:color="auto"/>
            </w:tcBorders>
            <w:shd w:val="clear" w:color="auto" w:fill="EEECE1"/>
            <w:vAlign w:val="center"/>
          </w:tcPr>
          <w:p w:rsidR="00503A41" w:rsidRPr="00993936" w:rsidRDefault="00503A41" w:rsidP="001C0FFB">
            <w:pPr>
              <w:rPr>
                <w:rFonts w:ascii="Arial" w:hAnsi="Arial" w:cs="Arial"/>
                <w:b/>
                <w:snapToGrid w:val="0"/>
                <w:lang w:val="es-ES"/>
              </w:rPr>
            </w:pPr>
            <w:r w:rsidRPr="00993936">
              <w:rPr>
                <w:rFonts w:ascii="Arial" w:hAnsi="Arial" w:cs="Arial"/>
                <w:b/>
                <w:snapToGrid w:val="0"/>
                <w:lang w:val="es-ES"/>
              </w:rPr>
              <w:t>Materia activa</w:t>
            </w:r>
          </w:p>
        </w:tc>
      </w:tr>
      <w:tr w:rsidR="00503A41" w:rsidRPr="00993936" w:rsidTr="001C0FFB">
        <w:trPr>
          <w:trHeight w:val="361"/>
        </w:trPr>
        <w:tc>
          <w:tcPr>
            <w:tcW w:w="4535" w:type="dxa"/>
            <w:shd w:val="clear" w:color="auto" w:fill="FFFFFF"/>
          </w:tcPr>
          <w:p w:rsidR="00503A41" w:rsidRPr="00993936" w:rsidRDefault="00503A41" w:rsidP="001C0FFB">
            <w:pPr>
              <w:rPr>
                <w:rFonts w:ascii="Arial" w:hAnsi="Arial" w:cs="Arial"/>
                <w:b/>
                <w:lang w:val="es-ES"/>
              </w:rPr>
            </w:pPr>
            <w:r w:rsidRPr="00993936">
              <w:rPr>
                <w:rFonts w:ascii="Arial" w:hAnsi="Arial" w:cs="Arial"/>
                <w:b/>
                <w:lang w:val="es-ES"/>
              </w:rPr>
              <w:t>Negrilla</w:t>
            </w:r>
          </w:p>
          <w:p w:rsidR="00503A41" w:rsidRPr="00993936" w:rsidRDefault="00503A41" w:rsidP="001C0FFB">
            <w:pPr>
              <w:rPr>
                <w:rFonts w:ascii="Arial" w:hAnsi="Arial" w:cs="Arial"/>
                <w:b/>
                <w:i/>
                <w:lang w:val="es-ES"/>
              </w:rPr>
            </w:pPr>
            <w:r w:rsidRPr="00993936">
              <w:rPr>
                <w:rFonts w:ascii="Arial" w:hAnsi="Arial" w:cs="Arial"/>
                <w:b/>
                <w:i/>
                <w:lang w:val="es-ES"/>
              </w:rPr>
              <w:t>(</w:t>
            </w:r>
            <w:r w:rsidRPr="00993936">
              <w:rPr>
                <w:rFonts w:ascii="Arial" w:hAnsi="Arial" w:cs="Arial"/>
                <w:i/>
                <w:lang w:val="es-ES"/>
              </w:rPr>
              <w:t>Capnodium alaeophilium)</w:t>
            </w:r>
          </w:p>
        </w:tc>
        <w:tc>
          <w:tcPr>
            <w:tcW w:w="4605" w:type="dxa"/>
            <w:shd w:val="clear" w:color="auto" w:fill="FFFFFF"/>
          </w:tcPr>
          <w:p w:rsidR="00503A41" w:rsidRPr="00993936" w:rsidRDefault="00503A41" w:rsidP="001C0FFB">
            <w:pPr>
              <w:rPr>
                <w:rFonts w:ascii="Arial" w:hAnsi="Arial" w:cs="Arial"/>
                <w:lang w:val="es-ES"/>
              </w:rPr>
            </w:pPr>
            <w:r w:rsidRPr="00993936">
              <w:rPr>
                <w:rFonts w:ascii="Arial" w:hAnsi="Arial" w:cs="Arial"/>
                <w:lang w:val="es-ES"/>
              </w:rPr>
              <w:t>Azufre</w:t>
            </w:r>
          </w:p>
        </w:tc>
      </w:tr>
      <w:tr w:rsidR="00503A41" w:rsidRPr="00993936" w:rsidTr="001C0FFB">
        <w:trPr>
          <w:trHeight w:val="642"/>
        </w:trPr>
        <w:tc>
          <w:tcPr>
            <w:tcW w:w="4535" w:type="dxa"/>
            <w:shd w:val="clear" w:color="auto" w:fill="FFFFFF"/>
          </w:tcPr>
          <w:p w:rsidR="00503A41" w:rsidRPr="00993936" w:rsidRDefault="00503A41" w:rsidP="001C0FFB">
            <w:pPr>
              <w:rPr>
                <w:rFonts w:ascii="Arial" w:hAnsi="Arial" w:cs="Arial"/>
                <w:b/>
                <w:i/>
                <w:lang w:val="es-ES"/>
              </w:rPr>
            </w:pPr>
            <w:r w:rsidRPr="00993936">
              <w:rPr>
                <w:rFonts w:ascii="Arial" w:hAnsi="Arial" w:cs="Arial"/>
                <w:b/>
                <w:i/>
                <w:lang w:val="es-ES"/>
              </w:rPr>
              <w:t>(Colletotrichum acutatum)</w:t>
            </w:r>
          </w:p>
          <w:p w:rsidR="00503A41" w:rsidRPr="00993936" w:rsidRDefault="00503A41" w:rsidP="001C0FFB">
            <w:pPr>
              <w:rPr>
                <w:rFonts w:ascii="Arial" w:hAnsi="Arial" w:cs="Arial"/>
                <w:b/>
                <w:lang w:val="es-ES"/>
              </w:rPr>
            </w:pPr>
          </w:p>
        </w:tc>
        <w:tc>
          <w:tcPr>
            <w:tcW w:w="4605" w:type="dxa"/>
            <w:shd w:val="clear" w:color="auto" w:fill="FFFFFF"/>
          </w:tcPr>
          <w:p w:rsidR="00503A41" w:rsidRPr="00993936" w:rsidRDefault="00503A41" w:rsidP="001C0FFB">
            <w:pPr>
              <w:rPr>
                <w:rFonts w:ascii="Arial" w:hAnsi="Arial" w:cs="Arial"/>
                <w:lang w:val="es-ES"/>
              </w:rPr>
            </w:pPr>
            <w:r w:rsidRPr="00993936">
              <w:rPr>
                <w:rFonts w:ascii="Arial" w:hAnsi="Arial" w:cs="Arial"/>
                <w:lang w:val="es-ES"/>
              </w:rPr>
              <w:t>Oxicloruro de cobre + Propineb</w:t>
            </w:r>
          </w:p>
          <w:p w:rsidR="00503A41" w:rsidRPr="00993936" w:rsidRDefault="00503A41" w:rsidP="001C0FFB">
            <w:pPr>
              <w:rPr>
                <w:rFonts w:ascii="Arial" w:hAnsi="Arial" w:cs="Arial"/>
                <w:lang w:val="es-ES"/>
              </w:rPr>
            </w:pPr>
            <w:r w:rsidRPr="00993936">
              <w:rPr>
                <w:rFonts w:ascii="Arial" w:hAnsi="Arial" w:cs="Arial"/>
                <w:lang w:val="es-ES"/>
              </w:rPr>
              <w:t>Trifloxistrobina</w:t>
            </w:r>
          </w:p>
        </w:tc>
      </w:tr>
      <w:tr w:rsidR="00503A41" w:rsidRPr="00993936" w:rsidTr="001C0FFB">
        <w:trPr>
          <w:trHeight w:val="1760"/>
        </w:trPr>
        <w:tc>
          <w:tcPr>
            <w:tcW w:w="4535" w:type="dxa"/>
            <w:shd w:val="clear" w:color="auto" w:fill="FFFFFF"/>
          </w:tcPr>
          <w:p w:rsidR="00503A41" w:rsidRPr="00993936" w:rsidRDefault="00503A41" w:rsidP="001C0FFB">
            <w:pPr>
              <w:rPr>
                <w:rFonts w:ascii="Arial" w:hAnsi="Arial" w:cs="Arial"/>
                <w:b/>
                <w:lang w:val="es-ES"/>
              </w:rPr>
            </w:pPr>
            <w:r w:rsidRPr="00993936">
              <w:rPr>
                <w:rFonts w:ascii="Arial" w:hAnsi="Arial" w:cs="Arial"/>
                <w:b/>
                <w:lang w:val="es-ES"/>
              </w:rPr>
              <w:t xml:space="preserve">Tuberculosis </w:t>
            </w:r>
          </w:p>
          <w:p w:rsidR="00503A41" w:rsidRPr="00993936" w:rsidRDefault="00503A41" w:rsidP="001C0FFB">
            <w:pPr>
              <w:rPr>
                <w:rFonts w:ascii="Arial" w:hAnsi="Arial" w:cs="Arial"/>
                <w:i/>
                <w:lang w:val="es-ES"/>
              </w:rPr>
            </w:pPr>
            <w:r w:rsidRPr="00993936">
              <w:rPr>
                <w:rFonts w:ascii="Arial" w:hAnsi="Arial" w:cs="Arial"/>
                <w:i/>
                <w:lang w:val="es-ES"/>
              </w:rPr>
              <w:t>(Pseudomonas savastanoi)</w:t>
            </w:r>
          </w:p>
          <w:p w:rsidR="00503A41" w:rsidRPr="00993936" w:rsidRDefault="00503A41" w:rsidP="001C0FFB">
            <w:pPr>
              <w:rPr>
                <w:rFonts w:ascii="Arial" w:hAnsi="Arial" w:cs="Arial"/>
                <w:b/>
                <w:lang w:val="es-ES"/>
              </w:rPr>
            </w:pPr>
          </w:p>
        </w:tc>
        <w:tc>
          <w:tcPr>
            <w:tcW w:w="4605" w:type="dxa"/>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Tratamientos con cobre</w:t>
            </w:r>
          </w:p>
          <w:p w:rsidR="00503A41" w:rsidRPr="00993936" w:rsidRDefault="00503A41" w:rsidP="001D205D">
            <w:pPr>
              <w:pStyle w:val="Sinespaciado"/>
              <w:rPr>
                <w:rFonts w:ascii="Arial" w:hAnsi="Arial" w:cs="Arial"/>
                <w:lang w:val="es-ES"/>
              </w:rPr>
            </w:pPr>
            <w:r w:rsidRPr="00993936">
              <w:rPr>
                <w:rFonts w:ascii="Arial" w:hAnsi="Arial" w:cs="Arial"/>
                <w:lang w:val="es-ES"/>
              </w:rPr>
              <w:t>En caso de granizo:</w:t>
            </w:r>
          </w:p>
          <w:p w:rsidR="00503A41" w:rsidRPr="00993936" w:rsidRDefault="00503A41" w:rsidP="001D205D">
            <w:pPr>
              <w:pStyle w:val="Sinespaciado"/>
              <w:rPr>
                <w:rFonts w:ascii="Arial" w:hAnsi="Arial" w:cs="Arial"/>
                <w:lang w:val="es-ES"/>
              </w:rPr>
            </w:pPr>
            <w:r w:rsidRPr="00993936">
              <w:rPr>
                <w:rFonts w:ascii="Arial" w:hAnsi="Arial" w:cs="Arial"/>
                <w:lang w:val="es-ES"/>
              </w:rPr>
              <w:t>Hidróxido cúprico (4)</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Oxicloruro de cobre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Óxido cuproso </w:t>
            </w:r>
          </w:p>
          <w:p w:rsidR="00503A41" w:rsidRPr="00993936" w:rsidRDefault="00503A41" w:rsidP="001D205D">
            <w:pPr>
              <w:pStyle w:val="Sinespaciado"/>
              <w:rPr>
                <w:rFonts w:ascii="Arial" w:hAnsi="Arial" w:cs="Arial"/>
                <w:lang w:val="es-ES"/>
              </w:rPr>
            </w:pPr>
            <w:r w:rsidRPr="00993936">
              <w:rPr>
                <w:rFonts w:ascii="Arial" w:hAnsi="Arial" w:cs="Arial"/>
                <w:lang w:val="es-ES"/>
              </w:rPr>
              <w:t>Sulfato cuprocálcico</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Sulfato tribásico de cobre </w:t>
            </w:r>
          </w:p>
        </w:tc>
      </w:tr>
      <w:tr w:rsidR="00503A41" w:rsidRPr="00993936" w:rsidTr="001C0FFB">
        <w:trPr>
          <w:trHeight w:val="584"/>
        </w:trPr>
        <w:tc>
          <w:tcPr>
            <w:tcW w:w="4535" w:type="dxa"/>
            <w:shd w:val="clear" w:color="auto" w:fill="FFFFFF"/>
          </w:tcPr>
          <w:p w:rsidR="00503A41" w:rsidRPr="00993936" w:rsidRDefault="00503A41" w:rsidP="001C0FFB">
            <w:pPr>
              <w:pStyle w:val="Ttulo2"/>
              <w:rPr>
                <w:rFonts w:ascii="Arial" w:hAnsi="Arial" w:cs="Arial"/>
                <w:color w:val="auto"/>
                <w:sz w:val="22"/>
                <w:szCs w:val="22"/>
                <w:lang w:val="es-ES"/>
              </w:rPr>
            </w:pPr>
            <w:r w:rsidRPr="00993936">
              <w:rPr>
                <w:rFonts w:ascii="Arial" w:hAnsi="Arial" w:cs="Arial"/>
                <w:color w:val="auto"/>
                <w:sz w:val="22"/>
                <w:szCs w:val="22"/>
                <w:lang w:val="es-ES"/>
              </w:rPr>
              <w:t>Enfermedades de cuello</w:t>
            </w:r>
            <w:r w:rsidRPr="00993936">
              <w:rPr>
                <w:rFonts w:ascii="Arial" w:hAnsi="Arial" w:cs="Arial"/>
                <w:vanish/>
                <w:color w:val="auto"/>
                <w:sz w:val="22"/>
                <w:szCs w:val="22"/>
                <w:lang w:val="es-ES"/>
              </w:rPr>
              <w:t>&lt;A[cuello|garganta]&gt;</w:t>
            </w:r>
            <w:r w:rsidRPr="00993936">
              <w:rPr>
                <w:rFonts w:ascii="Arial" w:hAnsi="Arial" w:cs="Arial"/>
                <w:color w:val="auto"/>
                <w:sz w:val="22"/>
                <w:szCs w:val="22"/>
                <w:lang w:val="es-ES"/>
              </w:rPr>
              <w:t xml:space="preserve"> del árbol y raíces</w:t>
            </w:r>
          </w:p>
          <w:p w:rsidR="00503A41" w:rsidRPr="00993936" w:rsidRDefault="00503A41" w:rsidP="001C0FFB">
            <w:pPr>
              <w:rPr>
                <w:rFonts w:ascii="Arial" w:hAnsi="Arial" w:cs="Arial"/>
                <w:i/>
                <w:lang w:val="es-ES"/>
              </w:rPr>
            </w:pPr>
            <w:r w:rsidRPr="00993936">
              <w:rPr>
                <w:rFonts w:ascii="Arial" w:hAnsi="Arial" w:cs="Arial"/>
                <w:i/>
                <w:lang w:val="es-ES"/>
              </w:rPr>
              <w:t>(Armillaria mellea, Rossellinia necatrix)</w:t>
            </w:r>
          </w:p>
          <w:p w:rsidR="00503A41" w:rsidRPr="00993936" w:rsidRDefault="00503A41" w:rsidP="001C0FFB">
            <w:pPr>
              <w:rPr>
                <w:rFonts w:ascii="Arial" w:hAnsi="Arial" w:cs="Arial"/>
                <w:b/>
                <w:lang w:val="es-ES"/>
              </w:rPr>
            </w:pPr>
          </w:p>
        </w:tc>
        <w:tc>
          <w:tcPr>
            <w:tcW w:w="4605" w:type="dxa"/>
            <w:shd w:val="clear" w:color="auto" w:fill="FFFFFF"/>
          </w:tcPr>
          <w:p w:rsidR="00503A41" w:rsidRPr="00993936" w:rsidRDefault="00503A41" w:rsidP="001C0FFB">
            <w:pPr>
              <w:rPr>
                <w:rFonts w:ascii="Arial" w:hAnsi="Arial" w:cs="Arial"/>
                <w:b/>
                <w:snapToGrid w:val="0"/>
                <w:lang w:val="es-ES"/>
              </w:rPr>
            </w:pPr>
          </w:p>
        </w:tc>
      </w:tr>
      <w:tr w:rsidR="00503A41" w:rsidRPr="00993936" w:rsidTr="001C0FFB">
        <w:trPr>
          <w:trHeight w:val="383"/>
        </w:trPr>
        <w:tc>
          <w:tcPr>
            <w:tcW w:w="4535" w:type="dxa"/>
            <w:shd w:val="clear" w:color="auto" w:fill="FFFFFF"/>
          </w:tcPr>
          <w:p w:rsidR="00503A41" w:rsidRPr="00993936" w:rsidRDefault="00503A41" w:rsidP="001C0FFB">
            <w:pPr>
              <w:rPr>
                <w:rFonts w:ascii="Arial" w:hAnsi="Arial" w:cs="Arial"/>
                <w:b/>
                <w:lang w:val="es-ES"/>
              </w:rPr>
            </w:pPr>
            <w:r w:rsidRPr="00993936">
              <w:rPr>
                <w:rFonts w:ascii="Arial" w:hAnsi="Arial" w:cs="Arial"/>
                <w:b/>
                <w:lang w:val="es-ES"/>
              </w:rPr>
              <w:t>(</w:t>
            </w:r>
            <w:r w:rsidRPr="00993936">
              <w:rPr>
                <w:rFonts w:ascii="Arial" w:hAnsi="Arial" w:cs="Arial"/>
                <w:b/>
                <w:i/>
                <w:lang w:val="es-ES"/>
              </w:rPr>
              <w:t>Verticilium spp.)</w:t>
            </w:r>
          </w:p>
          <w:p w:rsidR="00503A41" w:rsidRPr="00993936" w:rsidRDefault="00503A41" w:rsidP="001C0FFB">
            <w:pPr>
              <w:rPr>
                <w:rFonts w:ascii="Arial" w:hAnsi="Arial" w:cs="Arial"/>
                <w:b/>
                <w:lang w:val="es-ES"/>
              </w:rPr>
            </w:pPr>
          </w:p>
        </w:tc>
        <w:tc>
          <w:tcPr>
            <w:tcW w:w="4605" w:type="dxa"/>
            <w:shd w:val="clear" w:color="auto" w:fill="FFFFFF"/>
          </w:tcPr>
          <w:p w:rsidR="00503A41" w:rsidRPr="00993936" w:rsidRDefault="00503A41" w:rsidP="001C0FFB">
            <w:pPr>
              <w:rPr>
                <w:rFonts w:ascii="Arial" w:hAnsi="Arial" w:cs="Arial"/>
                <w:b/>
                <w:snapToGrid w:val="0"/>
                <w:lang w:val="es-ES"/>
              </w:rPr>
            </w:pPr>
            <w:r w:rsidRPr="00993936">
              <w:rPr>
                <w:rFonts w:ascii="Arial" w:hAnsi="Arial" w:cs="Arial"/>
                <w:i/>
                <w:lang w:val="es-ES"/>
              </w:rPr>
              <w:t>Trichoderma</w:t>
            </w:r>
          </w:p>
        </w:tc>
      </w:tr>
      <w:tr w:rsidR="00503A41" w:rsidRPr="00993936" w:rsidTr="001C0FFB">
        <w:trPr>
          <w:trHeight w:val="847"/>
        </w:trPr>
        <w:tc>
          <w:tcPr>
            <w:tcW w:w="4535" w:type="dxa"/>
            <w:shd w:val="clear" w:color="auto" w:fill="FFFFFF"/>
          </w:tcPr>
          <w:p w:rsidR="00503A41" w:rsidRPr="00993936" w:rsidRDefault="00503A41" w:rsidP="001C0FFB">
            <w:pPr>
              <w:rPr>
                <w:rFonts w:ascii="Arial" w:hAnsi="Arial" w:cs="Arial"/>
                <w:b/>
                <w:lang w:val="es-ES"/>
              </w:rPr>
            </w:pPr>
            <w:r w:rsidRPr="00993936">
              <w:rPr>
                <w:rFonts w:ascii="Arial" w:hAnsi="Arial" w:cs="Arial"/>
                <w:b/>
                <w:lang w:val="es-ES"/>
              </w:rPr>
              <w:t>Repilo</w:t>
            </w:r>
          </w:p>
          <w:p w:rsidR="00503A41" w:rsidRPr="00993936" w:rsidRDefault="00503A41" w:rsidP="001C0FFB">
            <w:pPr>
              <w:rPr>
                <w:rFonts w:ascii="Arial" w:hAnsi="Arial" w:cs="Arial"/>
                <w:i/>
                <w:lang w:val="es-ES"/>
              </w:rPr>
            </w:pPr>
            <w:r w:rsidRPr="00993936">
              <w:rPr>
                <w:rFonts w:ascii="Arial" w:hAnsi="Arial" w:cs="Arial"/>
                <w:lang w:val="es-ES"/>
              </w:rPr>
              <w:t>(</w:t>
            </w:r>
            <w:r w:rsidRPr="00993936">
              <w:rPr>
                <w:rFonts w:ascii="Arial" w:hAnsi="Arial" w:cs="Arial"/>
                <w:i/>
                <w:lang w:val="es-ES"/>
              </w:rPr>
              <w:t>Spilocaea oleagina)</w:t>
            </w:r>
          </w:p>
          <w:p w:rsidR="00503A41" w:rsidRPr="00993936" w:rsidRDefault="00503A41" w:rsidP="001C0FFB">
            <w:pPr>
              <w:rPr>
                <w:rFonts w:ascii="Arial" w:hAnsi="Arial" w:cs="Arial"/>
                <w:i/>
                <w:lang w:val="es-ES"/>
              </w:rPr>
            </w:pPr>
            <w:r w:rsidRPr="00993936">
              <w:rPr>
                <w:rFonts w:ascii="Arial" w:hAnsi="Arial" w:cs="Arial"/>
                <w:i/>
                <w:lang w:val="es-ES"/>
              </w:rPr>
              <w:t>(Cercospora cladosporioides)</w:t>
            </w:r>
          </w:p>
          <w:p w:rsidR="00503A41" w:rsidRPr="00993936" w:rsidRDefault="00503A41" w:rsidP="001C0FFB">
            <w:pPr>
              <w:pStyle w:val="Encabezado"/>
              <w:tabs>
                <w:tab w:val="clear" w:pos="4252"/>
                <w:tab w:val="clear" w:pos="8504"/>
              </w:tabs>
              <w:rPr>
                <w:rFonts w:ascii="Arial" w:hAnsi="Arial" w:cs="Arial"/>
                <w:lang w:val="es-ES"/>
              </w:rPr>
            </w:pPr>
          </w:p>
          <w:p w:rsidR="00503A41" w:rsidRPr="00993936" w:rsidRDefault="00503A41" w:rsidP="001C0FFB">
            <w:pPr>
              <w:rPr>
                <w:rFonts w:ascii="Arial" w:hAnsi="Arial" w:cs="Arial"/>
                <w:b/>
                <w:lang w:val="es-ES"/>
              </w:rPr>
            </w:pPr>
          </w:p>
        </w:tc>
        <w:tc>
          <w:tcPr>
            <w:tcW w:w="4605" w:type="dxa"/>
            <w:shd w:val="clear" w:color="auto" w:fill="FFFFFF"/>
          </w:tcPr>
          <w:p w:rsidR="00503A41" w:rsidRPr="00993936" w:rsidRDefault="00503A41" w:rsidP="001D205D">
            <w:pPr>
              <w:pStyle w:val="Sinespaciado"/>
              <w:rPr>
                <w:rFonts w:ascii="Arial" w:hAnsi="Arial" w:cs="Arial"/>
                <w:lang w:val="es-ES"/>
              </w:rPr>
            </w:pPr>
            <w:r w:rsidRPr="00993936">
              <w:rPr>
                <w:rFonts w:ascii="Arial" w:hAnsi="Arial" w:cs="Arial"/>
                <w:lang w:val="es-ES"/>
              </w:rPr>
              <w:t>Bentiavalicarb isopropil+ Mancozeb</w:t>
            </w:r>
          </w:p>
          <w:p w:rsidR="00503A41" w:rsidRPr="00993936" w:rsidRDefault="00503A41" w:rsidP="001D205D">
            <w:pPr>
              <w:pStyle w:val="Sinespaciado"/>
              <w:rPr>
                <w:rFonts w:ascii="Arial" w:hAnsi="Arial" w:cs="Arial"/>
                <w:lang w:val="es-ES"/>
              </w:rPr>
            </w:pPr>
            <w:r w:rsidRPr="00993936">
              <w:rPr>
                <w:rFonts w:ascii="Arial" w:hAnsi="Arial" w:cs="Arial"/>
                <w:lang w:val="es-ES"/>
              </w:rPr>
              <w:t>Difenoconazol</w:t>
            </w:r>
          </w:p>
          <w:p w:rsidR="00503A41" w:rsidRPr="00993936" w:rsidRDefault="00503A41" w:rsidP="001D205D">
            <w:pPr>
              <w:pStyle w:val="Sinespaciado"/>
              <w:rPr>
                <w:rFonts w:ascii="Arial" w:hAnsi="Arial" w:cs="Arial"/>
                <w:sz w:val="20"/>
                <w:lang w:val="es-ES"/>
              </w:rPr>
            </w:pPr>
            <w:r w:rsidRPr="00993936">
              <w:rPr>
                <w:rFonts w:ascii="Arial" w:hAnsi="Arial" w:cs="Arial"/>
                <w:lang w:val="es-ES"/>
              </w:rPr>
              <w:t>Dodina</w:t>
            </w:r>
            <w:r w:rsidRPr="00993936">
              <w:rPr>
                <w:rFonts w:ascii="Arial" w:hAnsi="Arial" w:cs="Arial"/>
                <w:sz w:val="20"/>
                <w:lang w:val="es-ES"/>
              </w:rPr>
              <w:t xml:space="preserve"> </w:t>
            </w:r>
            <w:r w:rsidRPr="00993936">
              <w:rPr>
                <w:rFonts w:ascii="Arial" w:hAnsi="Arial" w:cs="Arial"/>
                <w:snapToGrid w:val="0"/>
                <w:lang w:val="es-ES"/>
              </w:rPr>
              <w:t>(4)</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Hidróxido cúprico (4) </w:t>
            </w:r>
          </w:p>
          <w:p w:rsidR="00503A41" w:rsidRPr="00993936" w:rsidRDefault="00503A41" w:rsidP="001D205D">
            <w:pPr>
              <w:pStyle w:val="Sinespaciado"/>
              <w:rPr>
                <w:rFonts w:ascii="Arial" w:hAnsi="Arial" w:cs="Arial"/>
                <w:lang w:val="es-ES"/>
              </w:rPr>
            </w:pPr>
            <w:r w:rsidRPr="00993936">
              <w:rPr>
                <w:rFonts w:ascii="Arial" w:hAnsi="Arial" w:cs="Arial"/>
                <w:lang w:val="es-ES"/>
              </w:rPr>
              <w:t>Kresoxim-metil</w:t>
            </w:r>
          </w:p>
          <w:p w:rsidR="00503A41" w:rsidRPr="00993936" w:rsidRDefault="00503A41" w:rsidP="001D205D">
            <w:pPr>
              <w:pStyle w:val="Sinespaciado"/>
              <w:rPr>
                <w:rFonts w:ascii="Arial" w:hAnsi="Arial" w:cs="Arial"/>
                <w:lang w:val="es-ES"/>
              </w:rPr>
            </w:pPr>
            <w:r w:rsidRPr="00993936">
              <w:rPr>
                <w:rFonts w:ascii="Arial" w:hAnsi="Arial" w:cs="Arial"/>
                <w:lang w:val="es-ES"/>
              </w:rPr>
              <w:t>Mancozeb</w:t>
            </w:r>
          </w:p>
          <w:p w:rsidR="00503A41" w:rsidRPr="00993936" w:rsidRDefault="00503A41" w:rsidP="001D205D">
            <w:pPr>
              <w:pStyle w:val="Sinespaciado"/>
              <w:rPr>
                <w:rFonts w:ascii="Arial" w:hAnsi="Arial" w:cs="Arial"/>
                <w:lang w:val="es-ES"/>
              </w:rPr>
            </w:pPr>
            <w:r w:rsidRPr="00993936">
              <w:rPr>
                <w:rFonts w:ascii="Arial" w:hAnsi="Arial" w:cs="Arial"/>
                <w:lang w:val="es-ES"/>
              </w:rPr>
              <w:t>Mancozeb + Oxicloruro de cobre</w:t>
            </w:r>
          </w:p>
          <w:p w:rsidR="00503A41" w:rsidRPr="00993936" w:rsidRDefault="00503A41" w:rsidP="001D205D">
            <w:pPr>
              <w:pStyle w:val="Sinespaciado"/>
              <w:rPr>
                <w:rFonts w:ascii="Arial" w:hAnsi="Arial" w:cs="Arial"/>
                <w:lang w:val="es-ES"/>
              </w:rPr>
            </w:pPr>
            <w:r w:rsidRPr="00993936">
              <w:rPr>
                <w:rFonts w:ascii="Arial" w:hAnsi="Arial" w:cs="Arial"/>
                <w:lang w:val="es-ES"/>
              </w:rPr>
              <w:t>Mancozeb + Oxicloruro de cobre + Sulfato cuprocálcico</w:t>
            </w:r>
          </w:p>
          <w:p w:rsidR="00503A41" w:rsidRPr="00993936" w:rsidRDefault="00503A41" w:rsidP="001D205D">
            <w:pPr>
              <w:pStyle w:val="Sinespaciado"/>
              <w:rPr>
                <w:rFonts w:ascii="Arial" w:hAnsi="Arial" w:cs="Arial"/>
                <w:lang w:val="es-ES"/>
              </w:rPr>
            </w:pPr>
            <w:r w:rsidRPr="00993936">
              <w:rPr>
                <w:rFonts w:ascii="Arial" w:hAnsi="Arial" w:cs="Arial"/>
                <w:lang w:val="es-ES"/>
              </w:rPr>
              <w:t>Mancozeb + Sulfato cuprocálcico</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Oxicloruro de cobre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Oxicloruro de cobre + Propineb </w:t>
            </w:r>
          </w:p>
          <w:p w:rsidR="00503A41" w:rsidRPr="00993936" w:rsidRDefault="00503A41" w:rsidP="001D205D">
            <w:pPr>
              <w:pStyle w:val="Sinespaciado"/>
              <w:rPr>
                <w:rFonts w:ascii="Arial" w:hAnsi="Arial" w:cs="Arial"/>
                <w:lang w:val="es-ES"/>
              </w:rPr>
            </w:pPr>
            <w:r w:rsidRPr="00993936">
              <w:rPr>
                <w:rFonts w:ascii="Arial" w:hAnsi="Arial" w:cs="Arial"/>
                <w:lang w:val="es-ES"/>
              </w:rPr>
              <w:t>Oxicloruro de Cobre + Sulfato cuprocálcico</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Óxido cuproso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Sulfato cuprocálcico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Sulfato tribásico de cobre </w:t>
            </w:r>
          </w:p>
          <w:p w:rsidR="00503A41" w:rsidRPr="00993936" w:rsidRDefault="00503A41" w:rsidP="001D205D">
            <w:pPr>
              <w:pStyle w:val="Sinespaciado"/>
              <w:rPr>
                <w:rFonts w:ascii="Arial" w:hAnsi="Arial" w:cs="Arial"/>
                <w:lang w:val="es-ES"/>
              </w:rPr>
            </w:pPr>
            <w:r w:rsidRPr="00993936">
              <w:rPr>
                <w:rFonts w:ascii="Arial" w:hAnsi="Arial" w:cs="Arial"/>
                <w:lang w:val="es-ES"/>
              </w:rPr>
              <w:t>Tebuconazol</w:t>
            </w:r>
          </w:p>
          <w:p w:rsidR="00503A41" w:rsidRPr="00993936" w:rsidRDefault="00503A41" w:rsidP="001D205D">
            <w:pPr>
              <w:pStyle w:val="Sinespaciado"/>
              <w:rPr>
                <w:rFonts w:ascii="Arial" w:hAnsi="Arial" w:cs="Arial"/>
                <w:lang w:val="es-ES"/>
              </w:rPr>
            </w:pPr>
            <w:r w:rsidRPr="00993936">
              <w:rPr>
                <w:rFonts w:ascii="Arial" w:hAnsi="Arial" w:cs="Arial"/>
                <w:lang w:val="es-ES"/>
              </w:rPr>
              <w:t>Tebuconazol + Trifloxistrobina</w:t>
            </w:r>
          </w:p>
          <w:p w:rsidR="00503A41" w:rsidRPr="00993936" w:rsidRDefault="00503A41" w:rsidP="001D205D">
            <w:pPr>
              <w:pStyle w:val="Sinespaciado"/>
              <w:rPr>
                <w:rFonts w:ascii="Arial" w:hAnsi="Arial" w:cs="Arial"/>
                <w:b/>
                <w:snapToGrid w:val="0"/>
                <w:lang w:val="es-ES"/>
              </w:rPr>
            </w:pPr>
            <w:r w:rsidRPr="00993936">
              <w:rPr>
                <w:rFonts w:ascii="Arial" w:hAnsi="Arial" w:cs="Arial"/>
                <w:lang w:val="es-ES"/>
              </w:rPr>
              <w:t>Trifloxistrobina</w:t>
            </w:r>
          </w:p>
        </w:tc>
      </w:tr>
    </w:tbl>
    <w:p w:rsidR="00503A41" w:rsidRPr="00993936" w:rsidRDefault="00503A41">
      <w:pPr>
        <w:rPr>
          <w:rFonts w:ascii="Arial" w:hAnsi="Arial" w:cs="Arial"/>
          <w:b/>
          <w:lang w:val="es-ES"/>
        </w:rPr>
      </w:pPr>
    </w:p>
    <w:p w:rsidR="00503A41" w:rsidRPr="00993936" w:rsidRDefault="00503A41">
      <w:pPr>
        <w:rPr>
          <w:rFonts w:ascii="Arial" w:hAnsi="Arial" w:cs="Arial"/>
          <w:b/>
          <w:lang w:val="es-ES"/>
        </w:rPr>
      </w:pPr>
    </w:p>
    <w:p w:rsidR="00340B1F" w:rsidRPr="00993936" w:rsidRDefault="00340B1F">
      <w:pPr>
        <w:rPr>
          <w:rFonts w:ascii="Arial" w:hAnsi="Arial" w:cs="Arial"/>
          <w:b/>
          <w:lang w:val="es-ES"/>
        </w:rPr>
      </w:pPr>
      <w:r w:rsidRPr="00993936">
        <w:rPr>
          <w:rFonts w:ascii="Arial" w:hAnsi="Arial" w:cs="Arial"/>
          <w:b/>
          <w:lang w:val="es-ES"/>
        </w:rPr>
        <w:lastRenderedPageBreak/>
        <w:br w:type="page"/>
      </w:r>
    </w:p>
    <w:p w:rsidR="00503A41" w:rsidRPr="00993936" w:rsidRDefault="00503A41">
      <w:pPr>
        <w:rPr>
          <w:rFonts w:ascii="Arial" w:hAnsi="Arial" w:cs="Arial"/>
          <w:b/>
          <w:lang w:val="es-ES"/>
        </w:rPr>
      </w:pPr>
      <w:r w:rsidRPr="00993936">
        <w:rPr>
          <w:rFonts w:ascii="Arial" w:hAnsi="Arial" w:cs="Arial"/>
          <w:b/>
          <w:lang w:val="es-ES"/>
        </w:rPr>
        <w:lastRenderedPageBreak/>
        <w:t>Restricciones en las materias activas:</w:t>
      </w:r>
    </w:p>
    <w:p w:rsidR="00503A41" w:rsidRPr="00993936" w:rsidRDefault="00503A41" w:rsidP="009D1A2D">
      <w:pPr>
        <w:numPr>
          <w:ilvl w:val="0"/>
          <w:numId w:val="112"/>
        </w:numPr>
        <w:spacing w:after="0" w:line="240" w:lineRule="auto"/>
        <w:rPr>
          <w:rFonts w:ascii="Arial" w:hAnsi="Arial" w:cs="Arial"/>
          <w:lang w:val="es-ES"/>
        </w:rPr>
      </w:pPr>
      <w:r w:rsidRPr="00993936">
        <w:rPr>
          <w:rFonts w:ascii="Arial" w:hAnsi="Arial" w:cs="Arial"/>
          <w:lang w:val="es-ES"/>
        </w:rPr>
        <w:t>Máximo: 1 tratamiento/año</w:t>
      </w:r>
    </w:p>
    <w:p w:rsidR="00503A41" w:rsidRPr="00993936" w:rsidRDefault="00503A41" w:rsidP="009D1A2D">
      <w:pPr>
        <w:numPr>
          <w:ilvl w:val="0"/>
          <w:numId w:val="112"/>
        </w:numPr>
        <w:spacing w:after="0" w:line="240" w:lineRule="auto"/>
        <w:rPr>
          <w:rFonts w:ascii="Arial" w:hAnsi="Arial" w:cs="Arial"/>
          <w:lang w:val="es-ES"/>
        </w:rPr>
      </w:pPr>
      <w:r w:rsidRPr="00993936">
        <w:rPr>
          <w:rFonts w:ascii="Arial" w:hAnsi="Arial" w:cs="Arial"/>
          <w:lang w:val="es-ES"/>
        </w:rPr>
        <w:t>Máximo: 2 tratamientos/año</w:t>
      </w:r>
    </w:p>
    <w:p w:rsidR="00503A41" w:rsidRPr="00993936" w:rsidRDefault="00503A41" w:rsidP="009D1A2D">
      <w:pPr>
        <w:numPr>
          <w:ilvl w:val="0"/>
          <w:numId w:val="112"/>
        </w:numPr>
        <w:spacing w:after="0" w:line="240" w:lineRule="auto"/>
        <w:rPr>
          <w:rFonts w:ascii="Arial" w:hAnsi="Arial" w:cs="Arial"/>
          <w:lang w:val="es-ES"/>
        </w:rPr>
      </w:pPr>
      <w:r w:rsidRPr="00993936">
        <w:rPr>
          <w:rFonts w:ascii="Arial" w:hAnsi="Arial" w:cs="Arial"/>
          <w:lang w:val="es-ES"/>
        </w:rPr>
        <w:t>Máximo: 3 tratamientos/año</w:t>
      </w:r>
    </w:p>
    <w:p w:rsidR="00503A41" w:rsidRPr="00993936" w:rsidRDefault="00503A41" w:rsidP="009D1A2D">
      <w:pPr>
        <w:numPr>
          <w:ilvl w:val="0"/>
          <w:numId w:val="112"/>
        </w:numPr>
        <w:spacing w:after="0" w:line="240" w:lineRule="auto"/>
        <w:rPr>
          <w:rFonts w:ascii="Arial" w:hAnsi="Arial" w:cs="Arial"/>
          <w:lang w:val="es-ES"/>
        </w:rPr>
      </w:pPr>
      <w:r w:rsidRPr="00993936">
        <w:rPr>
          <w:rFonts w:ascii="Arial" w:hAnsi="Arial" w:cs="Arial"/>
          <w:lang w:val="es-ES"/>
        </w:rPr>
        <w:t xml:space="preserve">Sólo formulaciones que no sean de clasificación toxicológica (T)  </w:t>
      </w:r>
    </w:p>
    <w:p w:rsidR="00503A41" w:rsidRPr="00993936" w:rsidRDefault="00503A41" w:rsidP="001C0FFB">
      <w:pPr>
        <w:rPr>
          <w:rFonts w:ascii="Arial" w:hAnsi="Arial" w:cs="Arial"/>
          <w:lang w:val="es-ES"/>
        </w:rPr>
      </w:pPr>
    </w:p>
    <w:p w:rsidR="00503A41" w:rsidRPr="00993936" w:rsidRDefault="00503A41" w:rsidP="001C0FFB">
      <w:pPr>
        <w:spacing w:before="120"/>
        <w:jc w:val="both"/>
        <w:rPr>
          <w:rFonts w:ascii="Arial" w:hAnsi="Arial" w:cs="Arial"/>
          <w:b/>
          <w:lang w:val="es-ES"/>
        </w:rPr>
      </w:pPr>
      <w:r w:rsidRPr="00993936">
        <w:rPr>
          <w:rFonts w:ascii="Arial" w:hAnsi="Arial" w:cs="Arial"/>
          <w:u w:val="single"/>
          <w:lang w:val="es-ES"/>
        </w:rPr>
        <w:br w:type="page"/>
      </w:r>
      <w:r w:rsidRPr="00993936">
        <w:rPr>
          <w:rFonts w:ascii="Arial" w:hAnsi="Arial" w:cs="Arial"/>
          <w:b/>
          <w:lang w:val="es-ES"/>
        </w:rPr>
        <w:lastRenderedPageBreak/>
        <w:t>2.4.2 Materias activas de fungicidas para la producción integrada de olivas con indicación del código de resistencia FRAC</w:t>
      </w:r>
    </w:p>
    <w:p w:rsidR="00503A41" w:rsidRPr="00993936" w:rsidRDefault="00503A41" w:rsidP="001C0FFB">
      <w:pPr>
        <w:pStyle w:val="Textoindependiente2"/>
        <w:rPr>
          <w:rFonts w:cs="Arial"/>
          <w:lang w:val="es-ES"/>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40" w:type="dxa"/>
          <w:right w:w="40" w:type="dxa"/>
        </w:tblCellMar>
        <w:tblLook w:val="0000" w:firstRow="0" w:lastRow="0" w:firstColumn="0" w:lastColumn="0" w:noHBand="0" w:noVBand="0"/>
      </w:tblPr>
      <w:tblGrid>
        <w:gridCol w:w="4958"/>
        <w:gridCol w:w="3626"/>
      </w:tblGrid>
      <w:tr w:rsidR="00503A41" w:rsidRPr="00993936" w:rsidTr="001C0FFB">
        <w:trPr>
          <w:trHeight w:val="393"/>
        </w:trPr>
        <w:tc>
          <w:tcPr>
            <w:tcW w:w="5000" w:type="pct"/>
            <w:gridSpan w:val="2"/>
            <w:shd w:val="solid" w:color="C0C0C0" w:fill="auto"/>
            <w:vAlign w:val="center"/>
          </w:tcPr>
          <w:p w:rsidR="00503A41" w:rsidRPr="00993936" w:rsidRDefault="00503A41" w:rsidP="001C0FFB">
            <w:pPr>
              <w:autoSpaceDE w:val="0"/>
              <w:autoSpaceDN w:val="0"/>
              <w:adjustRightInd w:val="0"/>
              <w:jc w:val="center"/>
              <w:rPr>
                <w:rFonts w:ascii="Arial" w:hAnsi="Arial" w:cs="Arial"/>
                <w:b/>
                <w:bCs/>
                <w:sz w:val="20"/>
                <w:lang w:val="es-ES"/>
              </w:rPr>
            </w:pPr>
            <w:r w:rsidRPr="00993936">
              <w:rPr>
                <w:rFonts w:ascii="Arial" w:hAnsi="Arial" w:cs="Arial"/>
                <w:b/>
                <w:bCs/>
                <w:sz w:val="20"/>
                <w:lang w:val="es-ES"/>
              </w:rPr>
              <w:t>TIPO DE FUNGICIDAS</w:t>
            </w:r>
          </w:p>
        </w:tc>
      </w:tr>
      <w:tr w:rsidR="00503A41" w:rsidRPr="00993936" w:rsidTr="001C0FFB">
        <w:trPr>
          <w:trHeight w:val="270"/>
        </w:trPr>
        <w:tc>
          <w:tcPr>
            <w:tcW w:w="2888" w:type="pct"/>
            <w:vMerge w:val="restart"/>
            <w:shd w:val="solid" w:color="C0C0C0" w:fill="auto"/>
            <w:vAlign w:val="center"/>
          </w:tcPr>
          <w:p w:rsidR="00503A41" w:rsidRPr="00993936" w:rsidRDefault="00503A41" w:rsidP="001C0FFB">
            <w:pPr>
              <w:autoSpaceDE w:val="0"/>
              <w:autoSpaceDN w:val="0"/>
              <w:adjustRightInd w:val="0"/>
              <w:rPr>
                <w:rFonts w:ascii="Arial" w:hAnsi="Arial" w:cs="Arial"/>
                <w:b/>
                <w:bCs/>
                <w:sz w:val="20"/>
                <w:lang w:val="es-ES"/>
              </w:rPr>
            </w:pPr>
            <w:r w:rsidRPr="00993936">
              <w:rPr>
                <w:rFonts w:ascii="Arial" w:hAnsi="Arial" w:cs="Arial"/>
                <w:b/>
                <w:bCs/>
                <w:sz w:val="20"/>
                <w:lang w:val="es-ES"/>
              </w:rPr>
              <w:t xml:space="preserve">Materia activa </w:t>
            </w:r>
          </w:p>
        </w:tc>
        <w:tc>
          <w:tcPr>
            <w:tcW w:w="2112" w:type="pct"/>
            <w:shd w:val="solid" w:color="C0C0C0" w:fill="auto"/>
          </w:tcPr>
          <w:p w:rsidR="00503A41" w:rsidRPr="00993936" w:rsidRDefault="00503A41" w:rsidP="001C0FFB">
            <w:pPr>
              <w:autoSpaceDE w:val="0"/>
              <w:autoSpaceDN w:val="0"/>
              <w:adjustRightInd w:val="0"/>
              <w:jc w:val="center"/>
              <w:rPr>
                <w:rFonts w:ascii="Arial" w:hAnsi="Arial" w:cs="Arial"/>
                <w:b/>
                <w:bCs/>
                <w:sz w:val="20"/>
                <w:lang w:val="es-ES"/>
              </w:rPr>
            </w:pPr>
            <w:r w:rsidRPr="00993936">
              <w:rPr>
                <w:rFonts w:ascii="Arial" w:hAnsi="Arial" w:cs="Arial"/>
                <w:b/>
                <w:bCs/>
                <w:sz w:val="20"/>
                <w:lang w:val="es-ES"/>
              </w:rPr>
              <w:t>Indicación del código de resistencia</w:t>
            </w:r>
          </w:p>
        </w:tc>
      </w:tr>
      <w:tr w:rsidR="00503A41" w:rsidRPr="00993936" w:rsidTr="001C0FFB">
        <w:trPr>
          <w:trHeight w:val="270"/>
        </w:trPr>
        <w:tc>
          <w:tcPr>
            <w:tcW w:w="2888" w:type="pct"/>
            <w:vMerge/>
            <w:shd w:val="solid" w:color="C0C0C0" w:fill="auto"/>
          </w:tcPr>
          <w:p w:rsidR="00503A41" w:rsidRPr="00993936" w:rsidRDefault="00503A41" w:rsidP="001C0FFB">
            <w:pPr>
              <w:autoSpaceDE w:val="0"/>
              <w:autoSpaceDN w:val="0"/>
              <w:adjustRightInd w:val="0"/>
              <w:jc w:val="center"/>
              <w:rPr>
                <w:rFonts w:ascii="Arial" w:hAnsi="Arial" w:cs="Arial"/>
                <w:b/>
                <w:bCs/>
                <w:sz w:val="20"/>
                <w:lang w:val="es-ES"/>
              </w:rPr>
            </w:pPr>
          </w:p>
        </w:tc>
        <w:tc>
          <w:tcPr>
            <w:tcW w:w="2112" w:type="pct"/>
            <w:shd w:val="solid" w:color="C0C0C0" w:fill="auto"/>
          </w:tcPr>
          <w:p w:rsidR="00503A41" w:rsidRPr="00993936" w:rsidRDefault="00503A41" w:rsidP="001C0FFB">
            <w:pPr>
              <w:autoSpaceDE w:val="0"/>
              <w:autoSpaceDN w:val="0"/>
              <w:adjustRightInd w:val="0"/>
              <w:jc w:val="center"/>
              <w:rPr>
                <w:rFonts w:ascii="Arial" w:hAnsi="Arial" w:cs="Arial"/>
                <w:b/>
                <w:bCs/>
                <w:sz w:val="20"/>
                <w:lang w:val="es-ES"/>
              </w:rPr>
            </w:pPr>
            <w:r w:rsidRPr="00993936">
              <w:rPr>
                <w:rFonts w:ascii="Arial" w:hAnsi="Arial" w:cs="Arial"/>
                <w:b/>
                <w:bCs/>
                <w:sz w:val="20"/>
                <w:lang w:val="es-ES"/>
              </w:rPr>
              <w:t>FRAC (*)</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Bentiavalicarb isopropil + Mancozeb</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40+M3</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Difenoconazol</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Dodina</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U12</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Hidróxido cúprico</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Kresoxim-metil</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11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Mancozeb</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M3+B1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Mancozeb + Oxicloruro de cobre</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M3+M1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Mancozeb + Oxicloruro de cobre + Sulfato cuprocálcico</w:t>
            </w:r>
          </w:p>
        </w:tc>
        <w:tc>
          <w:tcPr>
            <w:tcW w:w="2112" w:type="pct"/>
            <w:shd w:val="solid" w:color="FFFFFF" w:fill="auto"/>
            <w:vAlign w:val="center"/>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M3+M1+M1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Mancozeb + Sulfato cuprocálcico</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M3+M1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Aceite parafínico</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NC</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Oxicloruro de cobre</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Oxicloruro de cobre + Propineb</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M1+M3</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Oxicloruro de cobre + Sulfato cuprocálcico</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M1+M1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Óxido cuproso</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Azufre</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M2</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Sulfato cuprocálcico</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Sulfato tribásico de cobre</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M1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Tebuconazol</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Tebuconazol + Trifloxistrobina</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3+11</w:t>
            </w:r>
          </w:p>
        </w:tc>
      </w:tr>
      <w:tr w:rsidR="00503A41" w:rsidRPr="00993936" w:rsidTr="001C0FFB">
        <w:trPr>
          <w:trHeight w:val="270"/>
        </w:trPr>
        <w:tc>
          <w:tcPr>
            <w:tcW w:w="2888" w:type="pct"/>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Trifloxistrobina</w:t>
            </w:r>
          </w:p>
        </w:tc>
        <w:tc>
          <w:tcPr>
            <w:tcW w:w="2112" w:type="pct"/>
            <w:shd w:val="solid" w:color="FFFFFF" w:fill="auto"/>
          </w:tcPr>
          <w:p w:rsidR="00503A41" w:rsidRPr="00993936" w:rsidRDefault="00503A41" w:rsidP="001C0FFB">
            <w:pPr>
              <w:autoSpaceDE w:val="0"/>
              <w:autoSpaceDN w:val="0"/>
              <w:adjustRightInd w:val="0"/>
              <w:jc w:val="center"/>
              <w:rPr>
                <w:rFonts w:ascii="Arial" w:hAnsi="Arial" w:cs="Arial"/>
                <w:lang w:val="es-ES"/>
              </w:rPr>
            </w:pPr>
            <w:r w:rsidRPr="00993936">
              <w:rPr>
                <w:rFonts w:ascii="Arial" w:hAnsi="Arial" w:cs="Arial"/>
                <w:lang w:val="es-ES"/>
              </w:rPr>
              <w:t>C3</w:t>
            </w:r>
          </w:p>
        </w:tc>
      </w:tr>
      <w:tr w:rsidR="00503A41" w:rsidRPr="00993936" w:rsidTr="001C0FFB">
        <w:trPr>
          <w:trHeight w:val="270"/>
        </w:trPr>
        <w:tc>
          <w:tcPr>
            <w:tcW w:w="5000" w:type="pct"/>
            <w:gridSpan w:val="2"/>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Para evitar la aparición de resistencias alternar el uso de materias activas que presenten códigos de resistencia (FRAC) diferentes</w:t>
            </w:r>
          </w:p>
        </w:tc>
      </w:tr>
      <w:tr w:rsidR="00503A41" w:rsidRPr="00993936" w:rsidTr="001C0FFB">
        <w:trPr>
          <w:trHeight w:val="270"/>
        </w:trPr>
        <w:tc>
          <w:tcPr>
            <w:tcW w:w="5000" w:type="pct"/>
            <w:gridSpan w:val="2"/>
            <w:shd w:val="solid" w:color="FFFFFF" w:fill="auto"/>
          </w:tcPr>
          <w:p w:rsidR="00503A41" w:rsidRPr="00993936" w:rsidRDefault="00503A41" w:rsidP="001C0FFB">
            <w:pPr>
              <w:autoSpaceDE w:val="0"/>
              <w:autoSpaceDN w:val="0"/>
              <w:adjustRightInd w:val="0"/>
              <w:rPr>
                <w:rFonts w:ascii="Arial" w:hAnsi="Arial" w:cs="Arial"/>
                <w:lang w:val="es-ES"/>
              </w:rPr>
            </w:pPr>
            <w:r w:rsidRPr="00993936">
              <w:rPr>
                <w:rFonts w:ascii="Arial" w:hAnsi="Arial" w:cs="Arial"/>
                <w:lang w:val="es-ES"/>
              </w:rPr>
              <w:t>(*) Fuente: Comité de Acción de Resistencia en Fungicidas</w:t>
            </w:r>
          </w:p>
        </w:tc>
      </w:tr>
    </w:tbl>
    <w:p w:rsidR="00503A41" w:rsidRPr="00993936" w:rsidRDefault="00503A41" w:rsidP="001C0FFB">
      <w:pPr>
        <w:rPr>
          <w:rFonts w:ascii="Arial" w:hAnsi="Arial" w:cs="Arial"/>
          <w:lang w:val="es-ES"/>
        </w:rPr>
      </w:pPr>
    </w:p>
    <w:p w:rsidR="00503A41" w:rsidRPr="00993936" w:rsidRDefault="00503A41">
      <w:pPr>
        <w:rPr>
          <w:rFonts w:ascii="Arial" w:hAnsi="Arial" w:cs="Arial"/>
          <w:u w:val="single"/>
          <w:lang w:val="es-ES"/>
        </w:rPr>
      </w:pPr>
    </w:p>
    <w:p w:rsidR="00503A41" w:rsidRPr="00993936" w:rsidRDefault="00503A41" w:rsidP="001C0FFB">
      <w:pPr>
        <w:pStyle w:val="Ttulo1"/>
        <w:rPr>
          <w:rFonts w:ascii="Arial" w:hAnsi="Arial" w:cs="Arial"/>
          <w:color w:val="auto"/>
          <w:sz w:val="22"/>
          <w:szCs w:val="22"/>
        </w:rPr>
      </w:pPr>
      <w:r w:rsidRPr="00993936">
        <w:rPr>
          <w:rFonts w:ascii="Arial" w:hAnsi="Arial" w:cs="Arial"/>
          <w:color w:val="auto"/>
        </w:rPr>
        <w:br w:type="page"/>
      </w:r>
      <w:r w:rsidRPr="00993936">
        <w:rPr>
          <w:rFonts w:ascii="Arial" w:hAnsi="Arial" w:cs="Arial"/>
          <w:color w:val="auto"/>
          <w:sz w:val="22"/>
          <w:szCs w:val="22"/>
        </w:rPr>
        <w:lastRenderedPageBreak/>
        <w:t>ANEXO 3</w:t>
      </w:r>
    </w:p>
    <w:p w:rsidR="00503A41" w:rsidRPr="00993936" w:rsidRDefault="00503A41" w:rsidP="001C0FFB">
      <w:pPr>
        <w:rPr>
          <w:rFonts w:ascii="Arial" w:hAnsi="Arial" w:cs="Arial"/>
          <w:lang w:val="es-ES"/>
        </w:rPr>
      </w:pPr>
    </w:p>
    <w:p w:rsidR="00503A41" w:rsidRPr="00993936" w:rsidRDefault="00503A41" w:rsidP="001C0FFB">
      <w:pPr>
        <w:jc w:val="both"/>
        <w:rPr>
          <w:rFonts w:ascii="Arial" w:hAnsi="Arial" w:cs="Arial"/>
          <w:b/>
          <w:lang w:val="es-ES"/>
        </w:rPr>
      </w:pPr>
      <w:r w:rsidRPr="00993936">
        <w:rPr>
          <w:rFonts w:ascii="Arial" w:hAnsi="Arial" w:cs="Arial"/>
          <w:b/>
          <w:lang w:val="es-ES"/>
        </w:rPr>
        <w:t>Índice de maduración (IM) para determinar el inicio de la recolección de las variedades de olivas para molino en  fincas de producción integrada.</w:t>
      </w:r>
    </w:p>
    <w:p w:rsidR="00503A41" w:rsidRPr="00993936" w:rsidRDefault="00503A41" w:rsidP="001C0FFB">
      <w:pPr>
        <w:jc w:val="both"/>
        <w:rPr>
          <w:rFonts w:ascii="Arial" w:hAnsi="Arial" w:cs="Arial"/>
          <w:lang w:val="es-ES"/>
        </w:rPr>
      </w:pPr>
    </w:p>
    <w:p w:rsidR="00503A41" w:rsidRPr="00993936" w:rsidRDefault="00503A41" w:rsidP="001C0FFB">
      <w:pPr>
        <w:pStyle w:val="Textoindependiente"/>
        <w:rPr>
          <w:rFonts w:cs="Arial"/>
          <w:lang w:val="es-ES"/>
        </w:rPr>
      </w:pPr>
      <w:r w:rsidRPr="00993936">
        <w:rPr>
          <w:rFonts w:cs="Arial"/>
          <w:lang w:val="es-ES"/>
        </w:rPr>
        <w:t>Sevillenca, Farga, Empeltre: IM = 4.</w:t>
      </w:r>
    </w:p>
    <w:p w:rsidR="00503A41" w:rsidRPr="00993936" w:rsidRDefault="00503A41" w:rsidP="001C0FFB">
      <w:pPr>
        <w:jc w:val="both"/>
        <w:rPr>
          <w:rFonts w:ascii="Arial" w:hAnsi="Arial" w:cs="Arial"/>
          <w:lang w:val="es-ES"/>
        </w:rPr>
      </w:pPr>
      <w:r w:rsidRPr="00993936">
        <w:rPr>
          <w:rFonts w:ascii="Arial" w:hAnsi="Arial" w:cs="Arial"/>
          <w:lang w:val="es-ES"/>
        </w:rPr>
        <w:t>Morruda: IM = 2-3.</w:t>
      </w:r>
    </w:p>
    <w:p w:rsidR="00503A41" w:rsidRPr="00993936" w:rsidRDefault="00503A41" w:rsidP="001C0FFB">
      <w:pPr>
        <w:jc w:val="both"/>
        <w:rPr>
          <w:rFonts w:ascii="Arial" w:hAnsi="Arial" w:cs="Arial"/>
          <w:lang w:val="es-ES"/>
        </w:rPr>
      </w:pPr>
      <w:r w:rsidRPr="00993936">
        <w:rPr>
          <w:rFonts w:ascii="Arial" w:hAnsi="Arial" w:cs="Arial"/>
          <w:lang w:val="es-ES"/>
        </w:rPr>
        <w:t>Arbequina: IM = 2-3.</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lang w:val="es-ES"/>
        </w:rPr>
      </w:pPr>
      <w:r w:rsidRPr="00993936">
        <w:rPr>
          <w:rFonts w:ascii="Arial" w:hAnsi="Arial" w:cs="Arial"/>
          <w:lang w:val="es-ES"/>
        </w:rPr>
        <w:t>Determinación del índice de madurez (IM):</w:t>
      </w:r>
    </w:p>
    <w:p w:rsidR="00503A41" w:rsidRPr="00993936" w:rsidRDefault="00503A41" w:rsidP="001C0FFB">
      <w:pPr>
        <w:jc w:val="both"/>
        <w:rPr>
          <w:rFonts w:ascii="Arial" w:hAnsi="Arial" w:cs="Arial"/>
          <w:lang w:val="es-ES"/>
        </w:rPr>
      </w:pPr>
      <w:r w:rsidRPr="00993936">
        <w:rPr>
          <w:rFonts w:ascii="Arial" w:hAnsi="Arial" w:cs="Arial"/>
          <w:lang w:val="es-ES"/>
        </w:rPr>
        <w:t>Clase 0: piel de color verde intenso.</w:t>
      </w:r>
    </w:p>
    <w:p w:rsidR="00503A41" w:rsidRPr="00993936" w:rsidRDefault="00503A41" w:rsidP="001C0FFB">
      <w:pPr>
        <w:jc w:val="both"/>
        <w:rPr>
          <w:rFonts w:ascii="Arial" w:hAnsi="Arial" w:cs="Arial"/>
          <w:lang w:val="es-ES"/>
        </w:rPr>
      </w:pPr>
      <w:r w:rsidRPr="00993936">
        <w:rPr>
          <w:rFonts w:ascii="Arial" w:hAnsi="Arial" w:cs="Arial"/>
          <w:lang w:val="es-ES"/>
        </w:rPr>
        <w:t>Clase 1: piel de color verde amarillento.</w:t>
      </w:r>
    </w:p>
    <w:p w:rsidR="00503A41" w:rsidRPr="00993936" w:rsidRDefault="00503A41" w:rsidP="001C0FFB">
      <w:pPr>
        <w:jc w:val="both"/>
        <w:rPr>
          <w:rFonts w:ascii="Arial" w:hAnsi="Arial" w:cs="Arial"/>
          <w:lang w:val="es-ES"/>
        </w:rPr>
      </w:pPr>
      <w:r w:rsidRPr="00993936">
        <w:rPr>
          <w:rFonts w:ascii="Arial" w:hAnsi="Arial" w:cs="Arial"/>
          <w:lang w:val="es-ES"/>
        </w:rPr>
        <w:t>Clase 2: piel de color verde con manchas rojas, menos de la mitad del fruto, inicio enverado.</w:t>
      </w:r>
    </w:p>
    <w:p w:rsidR="00503A41" w:rsidRPr="00993936" w:rsidRDefault="00503A41" w:rsidP="001C0FFB">
      <w:pPr>
        <w:jc w:val="both"/>
        <w:rPr>
          <w:rFonts w:ascii="Arial" w:hAnsi="Arial" w:cs="Arial"/>
          <w:lang w:val="es-ES"/>
        </w:rPr>
      </w:pPr>
      <w:r w:rsidRPr="00993936">
        <w:rPr>
          <w:rFonts w:ascii="Arial" w:hAnsi="Arial" w:cs="Arial"/>
          <w:lang w:val="es-ES"/>
        </w:rPr>
        <w:t>Clase 3: piel de color roja o morada en más de la mitad del fruto, final del enverado.</w:t>
      </w:r>
    </w:p>
    <w:p w:rsidR="00503A41" w:rsidRPr="00993936" w:rsidRDefault="00503A41" w:rsidP="001C0FFB">
      <w:pPr>
        <w:jc w:val="both"/>
        <w:rPr>
          <w:rFonts w:ascii="Arial" w:hAnsi="Arial" w:cs="Arial"/>
          <w:lang w:val="es-ES"/>
        </w:rPr>
      </w:pPr>
      <w:r w:rsidRPr="00993936">
        <w:rPr>
          <w:rFonts w:ascii="Arial" w:hAnsi="Arial" w:cs="Arial"/>
          <w:lang w:val="es-ES"/>
        </w:rPr>
        <w:t>Clase 4: piel de color negro y pulpa blanca.</w:t>
      </w:r>
    </w:p>
    <w:p w:rsidR="00503A41" w:rsidRPr="00993936" w:rsidRDefault="00503A41" w:rsidP="001C0FFB">
      <w:pPr>
        <w:jc w:val="both"/>
        <w:rPr>
          <w:rFonts w:ascii="Arial" w:hAnsi="Arial" w:cs="Arial"/>
          <w:lang w:val="es-ES"/>
        </w:rPr>
      </w:pPr>
      <w:r w:rsidRPr="00993936">
        <w:rPr>
          <w:rFonts w:ascii="Arial" w:hAnsi="Arial" w:cs="Arial"/>
          <w:lang w:val="es-ES"/>
        </w:rPr>
        <w:t>Clase 5: piel de color negro y pulpa morada sin llegar a la mitad de la pulpa.</w:t>
      </w:r>
    </w:p>
    <w:p w:rsidR="00503A41" w:rsidRPr="00993936" w:rsidRDefault="00503A41" w:rsidP="001C0FFB">
      <w:pPr>
        <w:jc w:val="both"/>
        <w:rPr>
          <w:rFonts w:ascii="Arial" w:hAnsi="Arial" w:cs="Arial"/>
          <w:lang w:val="es-ES"/>
        </w:rPr>
      </w:pPr>
      <w:r w:rsidRPr="00993936">
        <w:rPr>
          <w:rFonts w:ascii="Arial" w:hAnsi="Arial" w:cs="Arial"/>
          <w:lang w:val="es-ES"/>
        </w:rPr>
        <w:t>Clase 6: piel de color negro y pulpa morada sin llegar al hueso</w:t>
      </w:r>
      <w:r w:rsidRPr="00993936">
        <w:rPr>
          <w:rFonts w:ascii="Arial" w:hAnsi="Arial" w:cs="Arial"/>
          <w:vanish/>
          <w:lang w:val="es-ES"/>
        </w:rPr>
        <w:t>&lt;A[hueso|pepita]&gt;</w:t>
      </w:r>
      <w:r w:rsidRPr="00993936">
        <w:rPr>
          <w:rFonts w:ascii="Arial" w:hAnsi="Arial" w:cs="Arial"/>
          <w:lang w:val="es-ES"/>
        </w:rPr>
        <w:t>.</w:t>
      </w:r>
    </w:p>
    <w:p w:rsidR="00503A41" w:rsidRPr="00993936" w:rsidRDefault="00503A41" w:rsidP="001C0FFB">
      <w:pPr>
        <w:jc w:val="both"/>
        <w:rPr>
          <w:rFonts w:ascii="Arial" w:hAnsi="Arial" w:cs="Arial"/>
          <w:lang w:val="es-ES"/>
        </w:rPr>
      </w:pPr>
      <w:r w:rsidRPr="00993936">
        <w:rPr>
          <w:rFonts w:ascii="Arial" w:hAnsi="Arial" w:cs="Arial"/>
          <w:lang w:val="es-ES"/>
        </w:rPr>
        <w:t>Clase 7: piel de color negro y pulpa morada totalmente hasta el hueso</w:t>
      </w:r>
      <w:r w:rsidRPr="00993936">
        <w:rPr>
          <w:rFonts w:ascii="Arial" w:hAnsi="Arial" w:cs="Arial"/>
          <w:vanish/>
          <w:lang w:val="es-ES"/>
        </w:rPr>
        <w:t>&lt;A[hueso|pepita]&gt;</w:t>
      </w:r>
      <w:r w:rsidRPr="00993936">
        <w:rPr>
          <w:rFonts w:ascii="Arial" w:hAnsi="Arial" w:cs="Arial"/>
          <w:lang w:val="es-ES"/>
        </w:rPr>
        <w:t>.</w:t>
      </w:r>
    </w:p>
    <w:p w:rsidR="00503A41" w:rsidRPr="00993936" w:rsidRDefault="00503A41" w:rsidP="001C0FFB">
      <w:pPr>
        <w:jc w:val="both"/>
        <w:rPr>
          <w:rFonts w:ascii="Arial" w:hAnsi="Arial" w:cs="Arial"/>
          <w:lang w:val="es-ES"/>
        </w:rPr>
      </w:pPr>
      <w:r w:rsidRPr="00993936">
        <w:rPr>
          <w:rFonts w:ascii="Arial" w:hAnsi="Arial" w:cs="Arial"/>
          <w:lang w:val="es-ES"/>
        </w:rPr>
        <w:t>Proceso: Se toma una muestra representativa de</w:t>
      </w:r>
      <w:r w:rsidRPr="00993936">
        <w:rPr>
          <w:rFonts w:ascii="Arial" w:hAnsi="Arial" w:cs="Arial"/>
          <w:vanish/>
          <w:lang w:val="es-ES"/>
        </w:rPr>
        <w:t>&lt;A[por|para]&gt;</w:t>
      </w:r>
      <w:r w:rsidRPr="00993936">
        <w:rPr>
          <w:rFonts w:ascii="Arial" w:hAnsi="Arial" w:cs="Arial"/>
          <w:lang w:val="es-ES"/>
        </w:rPr>
        <w:t xml:space="preserve"> cada variedad dentro de una parcela.</w:t>
      </w:r>
    </w:p>
    <w:p w:rsidR="00503A41" w:rsidRPr="00993936" w:rsidRDefault="00503A41" w:rsidP="001C0FFB">
      <w:pPr>
        <w:jc w:val="both"/>
        <w:rPr>
          <w:rFonts w:ascii="Arial" w:hAnsi="Arial" w:cs="Arial"/>
          <w:lang w:val="es-ES"/>
        </w:rPr>
      </w:pPr>
      <w:r w:rsidRPr="00993936">
        <w:rPr>
          <w:rFonts w:ascii="Arial" w:hAnsi="Arial" w:cs="Arial"/>
          <w:lang w:val="es-ES"/>
        </w:rPr>
        <w:t>De esta muestra, se han de extraer 100 frutos.</w:t>
      </w:r>
    </w:p>
    <w:p w:rsidR="00503A41" w:rsidRPr="00993936" w:rsidRDefault="00503A41" w:rsidP="001C0FFB">
      <w:pPr>
        <w:jc w:val="both"/>
        <w:rPr>
          <w:rFonts w:ascii="Arial" w:hAnsi="Arial" w:cs="Arial"/>
          <w:lang w:val="es-ES"/>
        </w:rPr>
      </w:pPr>
      <w:r w:rsidRPr="00993936">
        <w:rPr>
          <w:rFonts w:ascii="Arial" w:hAnsi="Arial" w:cs="Arial"/>
          <w:lang w:val="es-ES"/>
        </w:rPr>
        <w:t>Siendo: A, B, C, D, E, F, G, H el número de frutos de las clases 0, 1, 2, 3, 4, 5, 6, 7, respectivamente.</w:t>
      </w:r>
    </w:p>
    <w:p w:rsidR="00503A41" w:rsidRPr="00993936" w:rsidRDefault="00503A41" w:rsidP="001C0FFB">
      <w:pPr>
        <w:jc w:val="both"/>
        <w:rPr>
          <w:rFonts w:ascii="Arial" w:hAnsi="Arial" w:cs="Arial"/>
          <w:lang w:val="es-ES"/>
        </w:rPr>
      </w:pPr>
      <w:r w:rsidRPr="00993936">
        <w:rPr>
          <w:rFonts w:ascii="Arial" w:hAnsi="Arial" w:cs="Arial"/>
          <w:lang w:val="es-ES"/>
        </w:rPr>
        <w:t>El índice de madureza (IM) se obtiene de la fórmula siguiente:</w:t>
      </w:r>
    </w:p>
    <w:p w:rsidR="00503A41" w:rsidRPr="00993936" w:rsidRDefault="00503A41" w:rsidP="001C0FFB">
      <w:pPr>
        <w:jc w:val="both"/>
        <w:rPr>
          <w:rFonts w:ascii="Arial" w:hAnsi="Arial" w:cs="Arial"/>
          <w:lang w:val="es-ES"/>
        </w:rPr>
      </w:pPr>
      <w:r w:rsidRPr="00993936">
        <w:rPr>
          <w:rFonts w:ascii="Arial" w:hAnsi="Arial" w:cs="Arial"/>
          <w:lang w:val="es-ES"/>
        </w:rPr>
        <w:t>IM = (A*0 + B*1 + C*2 + D*3 + E*4 + F*5 + G*6 + H*7) / 100</w:t>
      </w:r>
    </w:p>
    <w:p w:rsidR="00503A41" w:rsidRPr="00993936" w:rsidRDefault="00503A41" w:rsidP="001C0FFB">
      <w:pPr>
        <w:pStyle w:val="Textoindependiente"/>
        <w:rPr>
          <w:rFonts w:cs="Arial"/>
          <w:lang w:val="es-ES"/>
        </w:rPr>
      </w:pPr>
      <w:r w:rsidRPr="00993936">
        <w:rPr>
          <w:rFonts w:cs="Arial"/>
          <w:lang w:val="es-ES"/>
        </w:rPr>
        <w:t>En la fórmula, los números 0, 1, 2, 3, 4, 5, 6 y 7 son factores constantes.</w:t>
      </w:r>
    </w:p>
    <w:p w:rsidR="00503A41" w:rsidRPr="00993936" w:rsidRDefault="00503A41" w:rsidP="001C0FFB">
      <w:pPr>
        <w:rPr>
          <w:rFonts w:ascii="Arial" w:hAnsi="Arial" w:cs="Arial"/>
          <w:lang w:val="es-ES"/>
        </w:rPr>
      </w:pPr>
    </w:p>
    <w:p w:rsidR="00503A41" w:rsidRPr="00993936" w:rsidRDefault="00503A41" w:rsidP="001C0FFB">
      <w:pPr>
        <w:pStyle w:val="Ttulo1"/>
        <w:rPr>
          <w:rFonts w:ascii="Arial" w:hAnsi="Arial" w:cs="Arial"/>
          <w:color w:val="auto"/>
          <w:sz w:val="22"/>
          <w:szCs w:val="22"/>
        </w:rPr>
      </w:pPr>
      <w:r w:rsidRPr="00993936">
        <w:rPr>
          <w:rFonts w:ascii="Arial" w:hAnsi="Arial" w:cs="Arial"/>
          <w:color w:val="auto"/>
          <w:sz w:val="22"/>
          <w:szCs w:val="22"/>
        </w:rPr>
        <w:t>ANEXO 4</w:t>
      </w:r>
    </w:p>
    <w:p w:rsidR="00503A41" w:rsidRPr="00993936" w:rsidRDefault="00503A41" w:rsidP="001C0FFB">
      <w:pPr>
        <w:rPr>
          <w:rFonts w:ascii="Arial" w:hAnsi="Arial" w:cs="Arial"/>
          <w:lang w:val="es-ES"/>
        </w:rPr>
      </w:pPr>
    </w:p>
    <w:p w:rsidR="00503A41" w:rsidRPr="00993936" w:rsidRDefault="00503A41" w:rsidP="001C0FFB">
      <w:pPr>
        <w:pStyle w:val="Textoindependiente"/>
        <w:rPr>
          <w:rFonts w:cs="Arial"/>
          <w:b/>
          <w:szCs w:val="22"/>
          <w:lang w:val="es-ES"/>
        </w:rPr>
      </w:pPr>
      <w:r w:rsidRPr="00993936">
        <w:rPr>
          <w:rFonts w:cs="Arial"/>
          <w:b/>
          <w:szCs w:val="22"/>
          <w:lang w:val="es-ES"/>
        </w:rPr>
        <w:t>Volúmenes recomendados de caldo, caudal de aire y condicionas de trabajo para realizar los tratamientos fitosanitarios.</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snapToGrid w:val="0"/>
          <w:lang w:val="es-ES"/>
        </w:rPr>
        <w:t xml:space="preserve">En los cuadros 1, 2 y 3 se incluyen las </w:t>
      </w:r>
      <w:r w:rsidRPr="00993936">
        <w:rPr>
          <w:rFonts w:ascii="Arial" w:hAnsi="Arial" w:cs="Arial"/>
          <w:i/>
          <w:snapToGrid w:val="0"/>
          <w:lang w:val="es-ES"/>
        </w:rPr>
        <w:t>Recomendaciones</w:t>
      </w:r>
      <w:r w:rsidRPr="00993936">
        <w:rPr>
          <w:rFonts w:ascii="Arial" w:hAnsi="Arial" w:cs="Arial"/>
          <w:snapToGrid w:val="0"/>
          <w:lang w:val="es-ES"/>
        </w:rPr>
        <w:t xml:space="preserve"> generales de regulación de los equipos y las condiciones ambientales óptimas para realizar los tratamientos.</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napToGrid w:val="0"/>
          <w:lang w:val="es-ES"/>
        </w:rPr>
      </w:pPr>
      <w:r w:rsidRPr="00993936">
        <w:rPr>
          <w:rFonts w:ascii="Arial" w:hAnsi="Arial" w:cs="Arial"/>
          <w:b/>
          <w:snapToGrid w:val="0"/>
          <w:lang w:val="es-ES"/>
        </w:rPr>
        <w:lastRenderedPageBreak/>
        <w:t xml:space="preserve">4.1. </w:t>
      </w:r>
      <w:r w:rsidRPr="00993936">
        <w:rPr>
          <w:rFonts w:ascii="Arial" w:hAnsi="Arial" w:cs="Arial"/>
          <w:b/>
          <w:i/>
          <w:snapToGrid w:val="0"/>
          <w:lang w:val="es-ES"/>
        </w:rPr>
        <w:t>Recomendaciones</w:t>
      </w:r>
      <w:r w:rsidRPr="00993936">
        <w:rPr>
          <w:rFonts w:ascii="Arial" w:hAnsi="Arial" w:cs="Arial"/>
          <w:b/>
          <w:snapToGrid w:val="0"/>
          <w:lang w:val="es-ES"/>
        </w:rPr>
        <w:t xml:space="preserve"> generales de regulación de los equipos hidroneumáticos en ventilador axial</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907"/>
        <w:gridCol w:w="3118"/>
        <w:gridCol w:w="3085"/>
      </w:tblGrid>
      <w:tr w:rsidR="00503A41" w:rsidRPr="00993936" w:rsidTr="001C0FFB">
        <w:trPr>
          <w:jc w:val="center"/>
        </w:trPr>
        <w:tc>
          <w:tcPr>
            <w:tcW w:w="2907" w:type="dxa"/>
            <w:shd w:val="pct12" w:color="auto" w:fill="FFFFFF"/>
            <w:vAlign w:val="center"/>
          </w:tcPr>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tc>
        <w:tc>
          <w:tcPr>
            <w:tcW w:w="3118" w:type="dxa"/>
            <w:shd w:val="pct12" w:color="auto" w:fill="FFFFFF"/>
            <w:vAlign w:val="center"/>
          </w:tcPr>
          <w:p w:rsidR="00503A41" w:rsidRPr="00993936" w:rsidRDefault="00503A41" w:rsidP="001D205D">
            <w:pPr>
              <w:widowControl w:val="0"/>
              <w:jc w:val="center"/>
              <w:rPr>
                <w:rFonts w:ascii="Arial" w:hAnsi="Arial" w:cs="Arial"/>
                <w:snapToGrid w:val="0"/>
                <w:lang w:val="es-ES"/>
              </w:rPr>
            </w:pPr>
            <w:r w:rsidRPr="00993936">
              <w:rPr>
                <w:rFonts w:ascii="Arial" w:hAnsi="Arial" w:cs="Arial"/>
                <w:b/>
                <w:snapToGrid w:val="0"/>
                <w:lang w:val="es-ES"/>
              </w:rPr>
              <w:t xml:space="preserve">Árbol vigoroso altura&gt; 4 m </w:t>
            </w:r>
          </w:p>
        </w:tc>
        <w:tc>
          <w:tcPr>
            <w:tcW w:w="3085" w:type="dxa"/>
            <w:shd w:val="pct12" w:color="auto" w:fill="FFFFFF"/>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b/>
                <w:snapToGrid w:val="0"/>
                <w:lang w:val="es-ES"/>
              </w:rPr>
              <w:t xml:space="preserve">Árbol vigoroso altura&lt; 4 m </w:t>
            </w:r>
          </w:p>
        </w:tc>
      </w:tr>
      <w:tr w:rsidR="00503A41" w:rsidRPr="00993936" w:rsidTr="001C0FFB">
        <w:trPr>
          <w:jc w:val="center"/>
        </w:trPr>
        <w:tc>
          <w:tcPr>
            <w:tcW w:w="2907"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Boquillas</w:t>
            </w:r>
          </w:p>
        </w:tc>
        <w:tc>
          <w:tcPr>
            <w:tcW w:w="6203" w:type="dxa"/>
            <w:gridSpan w:val="2"/>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Cónicos de rayo</w:t>
            </w:r>
            <w:r w:rsidRPr="00993936">
              <w:rPr>
                <w:rFonts w:ascii="Arial" w:hAnsi="Arial" w:cs="Arial"/>
                <w:snapToGrid w:val="0"/>
                <w:vanish/>
                <w:lang w:val="es-ES"/>
              </w:rPr>
              <w:t>&lt;A[rayo|chorro]&gt;</w:t>
            </w:r>
            <w:r w:rsidRPr="00993936">
              <w:rPr>
                <w:rFonts w:ascii="Arial" w:hAnsi="Arial" w:cs="Arial"/>
                <w:snapToGrid w:val="0"/>
                <w:lang w:val="es-ES"/>
              </w:rPr>
              <w:t xml:space="preserve"> vacío</w:t>
            </w:r>
          </w:p>
        </w:tc>
      </w:tr>
      <w:tr w:rsidR="00503A41" w:rsidRPr="00993936" w:rsidTr="001C0FFB">
        <w:trPr>
          <w:jc w:val="center"/>
        </w:trPr>
        <w:tc>
          <w:tcPr>
            <w:tcW w:w="2907"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Presión</w:t>
            </w:r>
          </w:p>
        </w:tc>
        <w:tc>
          <w:tcPr>
            <w:tcW w:w="6203" w:type="dxa"/>
            <w:gridSpan w:val="2"/>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5 – 15 bar</w:t>
            </w:r>
          </w:p>
        </w:tc>
      </w:tr>
      <w:tr w:rsidR="00503A41" w:rsidRPr="00993936" w:rsidTr="001C0FFB">
        <w:trPr>
          <w:jc w:val="center"/>
        </w:trPr>
        <w:tc>
          <w:tcPr>
            <w:tcW w:w="2907"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Velocidad de trabajo</w:t>
            </w:r>
          </w:p>
        </w:tc>
        <w:tc>
          <w:tcPr>
            <w:tcW w:w="3118" w:type="dxa"/>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3 km/h</w:t>
            </w:r>
          </w:p>
        </w:tc>
        <w:tc>
          <w:tcPr>
            <w:tcW w:w="3085" w:type="dxa"/>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4 km/h</w:t>
            </w:r>
          </w:p>
        </w:tc>
      </w:tr>
      <w:tr w:rsidR="00503A41" w:rsidRPr="00993936" w:rsidTr="001C0FFB">
        <w:trPr>
          <w:jc w:val="center"/>
        </w:trPr>
        <w:tc>
          <w:tcPr>
            <w:tcW w:w="2907"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Volumen unitario</w:t>
            </w:r>
          </w:p>
        </w:tc>
        <w:tc>
          <w:tcPr>
            <w:tcW w:w="3118" w:type="dxa"/>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1.000-1.500 l/ha</w:t>
            </w:r>
          </w:p>
        </w:tc>
        <w:tc>
          <w:tcPr>
            <w:tcW w:w="3085" w:type="dxa"/>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600-1.000 l/ha</w:t>
            </w:r>
          </w:p>
        </w:tc>
      </w:tr>
    </w:tbl>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r w:rsidRPr="00993936">
        <w:rPr>
          <w:rFonts w:ascii="Arial" w:hAnsi="Arial" w:cs="Arial"/>
          <w:b/>
          <w:snapToGrid w:val="0"/>
          <w:lang w:val="es-ES"/>
        </w:rPr>
        <w:t xml:space="preserve">4.2  </w:t>
      </w:r>
      <w:r w:rsidRPr="00993936">
        <w:rPr>
          <w:rFonts w:ascii="Arial" w:hAnsi="Arial" w:cs="Arial"/>
          <w:b/>
          <w:i/>
          <w:snapToGrid w:val="0"/>
          <w:lang w:val="es-ES"/>
        </w:rPr>
        <w:t>Recomendaciones</w:t>
      </w:r>
      <w:r w:rsidRPr="00993936">
        <w:rPr>
          <w:rFonts w:ascii="Arial" w:hAnsi="Arial" w:cs="Arial"/>
          <w:b/>
          <w:snapToGrid w:val="0"/>
          <w:lang w:val="es-ES"/>
        </w:rPr>
        <w:t xml:space="preserve"> generales para los equipos hidráulicos de herbicidas</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770"/>
        <w:gridCol w:w="4348"/>
      </w:tblGrid>
      <w:tr w:rsidR="00503A41" w:rsidRPr="00993936" w:rsidTr="001C0FFB">
        <w:trPr>
          <w:jc w:val="center"/>
        </w:trPr>
        <w:tc>
          <w:tcPr>
            <w:tcW w:w="4770" w:type="dxa"/>
            <w:tcBorders>
              <w:bottom w:val="nil"/>
            </w:tcBorders>
            <w:shd w:val="pct12" w:color="auto" w:fill="FFFFFF"/>
          </w:tcPr>
          <w:p w:rsidR="00503A41" w:rsidRPr="00993936" w:rsidRDefault="00503A41" w:rsidP="001C0FFB">
            <w:pPr>
              <w:widowControl w:val="0"/>
              <w:rPr>
                <w:rFonts w:ascii="Arial" w:hAnsi="Arial" w:cs="Arial"/>
                <w:snapToGrid w:val="0"/>
                <w:lang w:val="es-ES"/>
              </w:rPr>
            </w:pPr>
          </w:p>
        </w:tc>
        <w:tc>
          <w:tcPr>
            <w:tcW w:w="4348" w:type="dxa"/>
            <w:shd w:val="pct12" w:color="auto" w:fill="FFFFFF"/>
          </w:tcPr>
          <w:p w:rsidR="00503A41" w:rsidRPr="00993936" w:rsidRDefault="00503A41" w:rsidP="001C0FFB">
            <w:pPr>
              <w:pStyle w:val="Ttulo6"/>
              <w:rPr>
                <w:rFonts w:ascii="Arial" w:hAnsi="Arial" w:cs="Arial"/>
                <w:color w:val="auto"/>
                <w:lang w:val="es-ES"/>
              </w:rPr>
            </w:pPr>
            <w:r w:rsidRPr="00993936">
              <w:rPr>
                <w:rFonts w:ascii="Arial" w:hAnsi="Arial" w:cs="Arial"/>
                <w:color w:val="auto"/>
                <w:lang w:val="es-ES"/>
              </w:rPr>
              <w:t>Condiciones de trabajo</w:t>
            </w:r>
          </w:p>
        </w:tc>
      </w:tr>
      <w:tr w:rsidR="00503A41" w:rsidRPr="00993936" w:rsidTr="001C0FFB">
        <w:trPr>
          <w:jc w:val="center"/>
        </w:trPr>
        <w:tc>
          <w:tcPr>
            <w:tcW w:w="4770" w:type="dxa"/>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Estadio vegetativo</w:t>
            </w:r>
          </w:p>
        </w:tc>
        <w:tc>
          <w:tcPr>
            <w:tcW w:w="4348" w:type="dxa"/>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Pre y postemergencia</w:t>
            </w:r>
          </w:p>
        </w:tc>
      </w:tr>
      <w:tr w:rsidR="00503A41" w:rsidRPr="00993936" w:rsidTr="001C0FFB">
        <w:trPr>
          <w:jc w:val="center"/>
        </w:trPr>
        <w:tc>
          <w:tcPr>
            <w:tcW w:w="4770" w:type="dxa"/>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Boquillas</w:t>
            </w:r>
          </w:p>
        </w:tc>
        <w:tc>
          <w:tcPr>
            <w:tcW w:w="4348" w:type="dxa"/>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Abanico o de espejo</w:t>
            </w:r>
          </w:p>
        </w:tc>
      </w:tr>
      <w:tr w:rsidR="00503A41" w:rsidRPr="00993936" w:rsidTr="001C0FFB">
        <w:trPr>
          <w:jc w:val="center"/>
        </w:trPr>
        <w:tc>
          <w:tcPr>
            <w:tcW w:w="4770" w:type="dxa"/>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Presión (bar)</w:t>
            </w:r>
          </w:p>
        </w:tc>
        <w:tc>
          <w:tcPr>
            <w:tcW w:w="4348" w:type="dxa"/>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1,5 a 5</w:t>
            </w:r>
          </w:p>
        </w:tc>
      </w:tr>
      <w:tr w:rsidR="00503A41" w:rsidRPr="00993936" w:rsidTr="001C0FFB">
        <w:trPr>
          <w:jc w:val="center"/>
        </w:trPr>
        <w:tc>
          <w:tcPr>
            <w:tcW w:w="4770" w:type="dxa"/>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Velocidad de trabajo (km/h)</w:t>
            </w:r>
          </w:p>
        </w:tc>
        <w:tc>
          <w:tcPr>
            <w:tcW w:w="4348" w:type="dxa"/>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3 -4</w:t>
            </w:r>
          </w:p>
        </w:tc>
      </w:tr>
      <w:tr w:rsidR="00503A41" w:rsidRPr="00993936" w:rsidTr="001C0FFB">
        <w:trPr>
          <w:jc w:val="center"/>
        </w:trPr>
        <w:tc>
          <w:tcPr>
            <w:tcW w:w="4770" w:type="dxa"/>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Volumen medio (l/ha)</w:t>
            </w:r>
          </w:p>
        </w:tc>
        <w:tc>
          <w:tcPr>
            <w:tcW w:w="4348" w:type="dxa"/>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300</w:t>
            </w:r>
          </w:p>
        </w:tc>
      </w:tr>
      <w:tr w:rsidR="00503A41" w:rsidRPr="00993936" w:rsidTr="001C0FFB">
        <w:trPr>
          <w:jc w:val="center"/>
        </w:trPr>
        <w:tc>
          <w:tcPr>
            <w:tcW w:w="4770" w:type="dxa"/>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Altura de trabajo</w:t>
            </w:r>
          </w:p>
        </w:tc>
        <w:tc>
          <w:tcPr>
            <w:tcW w:w="4348" w:type="dxa"/>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&lt; 20 cm</w:t>
            </w:r>
          </w:p>
        </w:tc>
      </w:tr>
    </w:tbl>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napToGrid w:val="0"/>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b/>
          <w:snapToGrid w:val="0"/>
          <w:lang w:val="es-ES"/>
        </w:rPr>
        <w:t>4.3 .- Condiciones ambientales para la realización de los tratamientos.</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000" w:firstRow="0" w:lastRow="0" w:firstColumn="0" w:lastColumn="0" w:noHBand="0" w:noVBand="0"/>
      </w:tblPr>
      <w:tblGrid>
        <w:gridCol w:w="4677"/>
        <w:gridCol w:w="4514"/>
      </w:tblGrid>
      <w:tr w:rsidR="00503A41" w:rsidRPr="00993936" w:rsidTr="001C0FFB">
        <w:trPr>
          <w:jc w:val="center"/>
        </w:trPr>
        <w:tc>
          <w:tcPr>
            <w:tcW w:w="4677"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Temperatura</w:t>
            </w:r>
          </w:p>
        </w:tc>
        <w:tc>
          <w:tcPr>
            <w:tcW w:w="4514" w:type="dxa"/>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&lt; 25º C</w:t>
            </w:r>
          </w:p>
        </w:tc>
      </w:tr>
      <w:tr w:rsidR="00503A41" w:rsidRPr="00993936" w:rsidTr="001C0FFB">
        <w:trPr>
          <w:jc w:val="center"/>
        </w:trPr>
        <w:tc>
          <w:tcPr>
            <w:tcW w:w="4677"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Viento</w:t>
            </w:r>
          </w:p>
        </w:tc>
        <w:tc>
          <w:tcPr>
            <w:tcW w:w="4514" w:type="dxa"/>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&lt; 10,8 km/h a 2 m de altura</w:t>
            </w:r>
          </w:p>
        </w:tc>
      </w:tr>
      <w:tr w:rsidR="00503A41" w:rsidRPr="00993936" w:rsidTr="001C0FFB">
        <w:trPr>
          <w:jc w:val="center"/>
        </w:trPr>
        <w:tc>
          <w:tcPr>
            <w:tcW w:w="4677"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Humedad relativa</w:t>
            </w:r>
          </w:p>
        </w:tc>
        <w:tc>
          <w:tcPr>
            <w:tcW w:w="4514" w:type="dxa"/>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snapToGrid w:val="0"/>
                <w:lang w:val="es-ES"/>
              </w:rPr>
              <w:t>&gt; 50%</w:t>
            </w:r>
          </w:p>
        </w:tc>
      </w:tr>
    </w:tbl>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pPr>
        <w:rPr>
          <w:rFonts w:ascii="Arial" w:hAnsi="Arial" w:cs="Arial"/>
          <w:snapToGrid w:val="0"/>
          <w:lang w:val="es-ES"/>
        </w:rPr>
      </w:pPr>
      <w:r w:rsidRPr="00993936">
        <w:rPr>
          <w:rFonts w:ascii="Arial" w:hAnsi="Arial" w:cs="Arial"/>
          <w:snapToGrid w:val="0"/>
          <w:lang w:val="es-ES"/>
        </w:rPr>
        <w:br w:type="page"/>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1C0FFB">
      <w:pPr>
        <w:pStyle w:val="Ttulo3"/>
        <w:rPr>
          <w:rFonts w:ascii="Arial" w:hAnsi="Arial" w:cs="Arial"/>
          <w:color w:val="auto"/>
          <w:lang w:val="es-ES"/>
        </w:rPr>
      </w:pPr>
      <w:r w:rsidRPr="00993936">
        <w:rPr>
          <w:rFonts w:ascii="Arial" w:hAnsi="Arial" w:cs="Arial"/>
          <w:color w:val="auto"/>
          <w:lang w:val="es-ES"/>
        </w:rPr>
        <w:t>ANEXO 5</w:t>
      </w:r>
    </w:p>
    <w:p w:rsidR="00503A41" w:rsidRPr="00993936" w:rsidRDefault="00503A41" w:rsidP="001C0FFB">
      <w:pPr>
        <w:rPr>
          <w:rFonts w:ascii="Arial" w:hAnsi="Arial" w:cs="Arial"/>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snapToGrid w:val="0"/>
          <w:lang w:val="es-ES"/>
        </w:rPr>
        <w:t>Los materiales con valor fertilizante aportados en el suelo no contendrán metales pesados en valores siguientes:</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r w:rsidRPr="00993936">
        <w:rPr>
          <w:rFonts w:ascii="Arial" w:hAnsi="Arial" w:cs="Arial"/>
          <w:snapToGrid w:val="0"/>
          <w:lang w:val="es-ES"/>
        </w:rPr>
        <w:t xml:space="preserve"> </w:t>
      </w:r>
    </w:p>
    <w:p w:rsidR="00503A41" w:rsidRPr="00993936" w:rsidRDefault="00503A41" w:rsidP="001C0FFB">
      <w:pPr>
        <w:jc w:val="both"/>
        <w:rPr>
          <w:rFonts w:ascii="Arial" w:hAnsi="Arial" w:cs="Arial"/>
          <w:snapToGrid w:val="0"/>
          <w:lang w:val="es-ES"/>
        </w:rPr>
      </w:pP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48"/>
        <w:gridCol w:w="4464"/>
      </w:tblGrid>
      <w:tr w:rsidR="00503A41" w:rsidRPr="00993936" w:rsidTr="001C0FFB">
        <w:trPr>
          <w:trHeight w:val="400"/>
          <w:jc w:val="center"/>
        </w:trPr>
        <w:tc>
          <w:tcPr>
            <w:tcW w:w="4548" w:type="dxa"/>
            <w:shd w:val="clear" w:color="auto" w:fill="D9D9D9" w:themeFill="background1" w:themeFillShade="D9"/>
            <w:vAlign w:val="center"/>
          </w:tcPr>
          <w:p w:rsidR="00503A41" w:rsidRPr="00993936" w:rsidRDefault="00503A41" w:rsidP="001C0FFB">
            <w:pPr>
              <w:pStyle w:val="Encabezado"/>
              <w:widowControl w:val="0"/>
              <w:tabs>
                <w:tab w:val="clear" w:pos="4252"/>
                <w:tab w:val="clear" w:pos="8504"/>
              </w:tabs>
              <w:jc w:val="center"/>
              <w:rPr>
                <w:rFonts w:ascii="Arial" w:hAnsi="Arial" w:cs="Arial"/>
                <w:snapToGrid w:val="0"/>
                <w:lang w:val="es-ES"/>
              </w:rPr>
            </w:pPr>
            <w:r w:rsidRPr="00993936">
              <w:rPr>
                <w:rFonts w:ascii="Arial" w:hAnsi="Arial" w:cs="Arial"/>
                <w:b/>
                <w:snapToGrid w:val="0"/>
                <w:lang w:val="es-ES"/>
              </w:rPr>
              <w:t>Metal Pesado</w:t>
            </w:r>
          </w:p>
        </w:tc>
        <w:tc>
          <w:tcPr>
            <w:tcW w:w="4464" w:type="dxa"/>
            <w:shd w:val="clear" w:color="auto" w:fill="D9D9D9" w:themeFill="background1" w:themeFillShade="D9"/>
            <w:vAlign w:val="center"/>
          </w:tcPr>
          <w:p w:rsidR="00503A41" w:rsidRPr="00993936" w:rsidRDefault="00503A41" w:rsidP="001C0FFB">
            <w:pPr>
              <w:widowControl w:val="0"/>
              <w:jc w:val="center"/>
              <w:rPr>
                <w:rFonts w:ascii="Arial" w:hAnsi="Arial" w:cs="Arial"/>
                <w:snapToGrid w:val="0"/>
                <w:lang w:val="es-ES"/>
              </w:rPr>
            </w:pPr>
            <w:r w:rsidRPr="00993936">
              <w:rPr>
                <w:rFonts w:ascii="Arial" w:hAnsi="Arial" w:cs="Arial"/>
                <w:b/>
                <w:snapToGrid w:val="0"/>
                <w:lang w:val="es-ES"/>
              </w:rPr>
              <w:t>Valores</w:t>
            </w:r>
          </w:p>
        </w:tc>
      </w:tr>
      <w:tr w:rsidR="00503A41" w:rsidRPr="00993936" w:rsidTr="001C0FFB">
        <w:trPr>
          <w:trHeight w:val="400"/>
          <w:jc w:val="center"/>
        </w:trPr>
        <w:tc>
          <w:tcPr>
            <w:tcW w:w="4548" w:type="dxa"/>
            <w:vAlign w:val="center"/>
          </w:tcPr>
          <w:p w:rsidR="00503A41" w:rsidRPr="00993936" w:rsidRDefault="00503A41" w:rsidP="001C0FFB">
            <w:pPr>
              <w:pStyle w:val="Encabezado"/>
              <w:widowControl w:val="0"/>
              <w:tabs>
                <w:tab w:val="clear" w:pos="4252"/>
                <w:tab w:val="clear" w:pos="8504"/>
              </w:tabs>
              <w:rPr>
                <w:rFonts w:ascii="Arial" w:hAnsi="Arial" w:cs="Arial"/>
                <w:snapToGrid w:val="0"/>
                <w:lang w:val="es-ES"/>
              </w:rPr>
            </w:pPr>
            <w:r w:rsidRPr="00993936">
              <w:rPr>
                <w:rFonts w:ascii="Arial" w:hAnsi="Arial" w:cs="Arial"/>
                <w:snapToGrid w:val="0"/>
                <w:lang w:val="es-ES"/>
              </w:rPr>
              <w:t xml:space="preserve">   Cadmio</w:t>
            </w:r>
          </w:p>
        </w:tc>
        <w:tc>
          <w:tcPr>
            <w:tcW w:w="4464"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3 mg/kg de materia seca</w:t>
            </w:r>
          </w:p>
        </w:tc>
      </w:tr>
      <w:tr w:rsidR="00503A41" w:rsidRPr="00993936" w:rsidTr="001C0FFB">
        <w:trPr>
          <w:trHeight w:val="400"/>
          <w:jc w:val="center"/>
        </w:trPr>
        <w:tc>
          <w:tcPr>
            <w:tcW w:w="4548"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Cobre</w:t>
            </w:r>
          </w:p>
        </w:tc>
        <w:tc>
          <w:tcPr>
            <w:tcW w:w="4464"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400 mg/kg de materia seca</w:t>
            </w:r>
          </w:p>
        </w:tc>
      </w:tr>
      <w:tr w:rsidR="00503A41" w:rsidRPr="00993936" w:rsidTr="001C0FFB">
        <w:trPr>
          <w:trHeight w:val="400"/>
          <w:jc w:val="center"/>
        </w:trPr>
        <w:tc>
          <w:tcPr>
            <w:tcW w:w="4548"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Níquel </w:t>
            </w:r>
          </w:p>
        </w:tc>
        <w:tc>
          <w:tcPr>
            <w:tcW w:w="4464"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100 mg/kg de materia seca</w:t>
            </w:r>
          </w:p>
        </w:tc>
      </w:tr>
      <w:tr w:rsidR="00503A41" w:rsidRPr="00993936" w:rsidTr="001C0FFB">
        <w:trPr>
          <w:trHeight w:val="400"/>
          <w:jc w:val="center"/>
        </w:trPr>
        <w:tc>
          <w:tcPr>
            <w:tcW w:w="4548"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Plomo</w:t>
            </w:r>
          </w:p>
        </w:tc>
        <w:tc>
          <w:tcPr>
            <w:tcW w:w="4464"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200 mg/kg de materia seca</w:t>
            </w:r>
          </w:p>
        </w:tc>
      </w:tr>
      <w:tr w:rsidR="00503A41" w:rsidRPr="00993936" w:rsidTr="001C0FFB">
        <w:trPr>
          <w:trHeight w:val="400"/>
          <w:jc w:val="center"/>
        </w:trPr>
        <w:tc>
          <w:tcPr>
            <w:tcW w:w="4548"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Cinc  </w:t>
            </w:r>
          </w:p>
        </w:tc>
        <w:tc>
          <w:tcPr>
            <w:tcW w:w="4464"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1.000 mg/kg de materia seca</w:t>
            </w:r>
          </w:p>
        </w:tc>
      </w:tr>
      <w:tr w:rsidR="00503A41" w:rsidRPr="00993936" w:rsidTr="001C0FFB">
        <w:trPr>
          <w:trHeight w:val="400"/>
          <w:jc w:val="center"/>
        </w:trPr>
        <w:tc>
          <w:tcPr>
            <w:tcW w:w="4548"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Mercurio</w:t>
            </w:r>
          </w:p>
        </w:tc>
        <w:tc>
          <w:tcPr>
            <w:tcW w:w="4464"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2,5 mg/kg de materia seca</w:t>
            </w:r>
          </w:p>
        </w:tc>
      </w:tr>
      <w:tr w:rsidR="00503A41" w:rsidRPr="00993936" w:rsidTr="001C0FFB">
        <w:trPr>
          <w:trHeight w:val="400"/>
          <w:jc w:val="center"/>
        </w:trPr>
        <w:tc>
          <w:tcPr>
            <w:tcW w:w="4548"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Cromo    </w:t>
            </w:r>
          </w:p>
        </w:tc>
        <w:tc>
          <w:tcPr>
            <w:tcW w:w="4464" w:type="dxa"/>
            <w:vAlign w:val="center"/>
          </w:tcPr>
          <w:p w:rsidR="00503A41" w:rsidRPr="00993936" w:rsidRDefault="00503A41" w:rsidP="001C0FFB">
            <w:pPr>
              <w:widowControl w:val="0"/>
              <w:rPr>
                <w:rFonts w:ascii="Arial" w:hAnsi="Arial" w:cs="Arial"/>
                <w:snapToGrid w:val="0"/>
                <w:lang w:val="es-ES"/>
              </w:rPr>
            </w:pPr>
            <w:r w:rsidRPr="00993936">
              <w:rPr>
                <w:rFonts w:ascii="Arial" w:hAnsi="Arial" w:cs="Arial"/>
                <w:snapToGrid w:val="0"/>
                <w:lang w:val="es-ES"/>
              </w:rPr>
              <w:t xml:space="preserve">  300 mg/kg de materia seca</w:t>
            </w:r>
          </w:p>
        </w:tc>
      </w:tr>
    </w:tbl>
    <w:p w:rsidR="00503A41" w:rsidRPr="00993936" w:rsidRDefault="00503A41" w:rsidP="001C0FFB">
      <w:pPr>
        <w:pStyle w:val="Encabezado"/>
        <w:tabs>
          <w:tab w:val="clear" w:pos="4252"/>
          <w:tab w:val="clear" w:pos="8504"/>
        </w:tabs>
        <w:rPr>
          <w:rFonts w:ascii="Arial" w:hAnsi="Arial" w:cs="Arial"/>
          <w:lang w:val="es-ES"/>
        </w:rPr>
      </w:pPr>
      <w:r w:rsidRPr="00993936">
        <w:rPr>
          <w:rFonts w:ascii="Arial" w:hAnsi="Arial" w:cs="Arial"/>
          <w:lang w:val="es-ES"/>
        </w:rPr>
        <w:t>mg/kg: miligramo por kilo</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pPr>
        <w:rPr>
          <w:rFonts w:ascii="Arial" w:hAnsi="Arial" w:cs="Arial"/>
          <w:snapToGrid w:val="0"/>
          <w:lang w:val="es-ES"/>
        </w:rPr>
      </w:pPr>
      <w:r w:rsidRPr="00993936">
        <w:rPr>
          <w:rFonts w:ascii="Arial" w:hAnsi="Arial" w:cs="Arial"/>
          <w:snapToGrid w:val="0"/>
          <w:lang w:val="es-ES"/>
        </w:rPr>
        <w:br w:type="page"/>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1C0FFB">
      <w:pPr>
        <w:pStyle w:val="Ttulo3"/>
        <w:rPr>
          <w:rFonts w:ascii="Arial" w:hAnsi="Arial" w:cs="Arial"/>
          <w:b/>
          <w:color w:val="auto"/>
          <w:lang w:val="es-ES"/>
        </w:rPr>
      </w:pPr>
      <w:r w:rsidRPr="00993936">
        <w:rPr>
          <w:rFonts w:ascii="Arial" w:hAnsi="Arial" w:cs="Arial"/>
          <w:b/>
          <w:color w:val="auto"/>
          <w:lang w:val="es-ES"/>
        </w:rPr>
        <w:t>ANEXO 6</w:t>
      </w:r>
    </w:p>
    <w:p w:rsidR="00503A41" w:rsidRPr="00993936" w:rsidRDefault="00503A41" w:rsidP="001C0FFB">
      <w:pPr>
        <w:rPr>
          <w:rFonts w:ascii="Arial" w:hAnsi="Arial" w:cs="Arial"/>
          <w:lang w:val="es-ES" w:eastAsia="es-ES"/>
        </w:rPr>
      </w:pPr>
    </w:p>
    <w:p w:rsidR="00503A41" w:rsidRPr="00993936" w:rsidRDefault="00503A41" w:rsidP="001C0FFB">
      <w:pPr>
        <w:pStyle w:val="Ttulo7"/>
        <w:rPr>
          <w:rFonts w:ascii="Arial" w:hAnsi="Arial" w:cs="Arial"/>
          <w:color w:val="auto"/>
          <w:lang w:val="es-ES"/>
        </w:rPr>
      </w:pPr>
      <w:r w:rsidRPr="00993936">
        <w:rPr>
          <w:rFonts w:ascii="Arial" w:hAnsi="Arial" w:cs="Arial"/>
          <w:color w:val="auto"/>
          <w:lang w:val="es-ES"/>
        </w:rPr>
        <w:t>Criterios a seguir para la toma de muestras de frutos</w:t>
      </w:r>
    </w:p>
    <w:p w:rsidR="00503A41" w:rsidRPr="00993936" w:rsidRDefault="00503A41" w:rsidP="001D205D">
      <w:pPr>
        <w:jc w:val="both"/>
        <w:rPr>
          <w:rFonts w:ascii="Arial" w:hAnsi="Arial" w:cs="Arial"/>
          <w:lang w:val="es-ES"/>
        </w:rPr>
      </w:pPr>
    </w:p>
    <w:p w:rsidR="00503A41" w:rsidRPr="00993936" w:rsidRDefault="00503A41" w:rsidP="001D205D">
      <w:pPr>
        <w:pStyle w:val="Ttulo9"/>
        <w:jc w:val="both"/>
        <w:rPr>
          <w:rFonts w:ascii="Arial" w:hAnsi="Arial" w:cs="Arial"/>
          <w:color w:val="auto"/>
          <w:lang w:val="es-ES"/>
        </w:rPr>
      </w:pPr>
      <w:r w:rsidRPr="00993936">
        <w:rPr>
          <w:rFonts w:ascii="Arial" w:hAnsi="Arial" w:cs="Arial"/>
          <w:color w:val="auto"/>
          <w:lang w:val="es-ES"/>
        </w:rPr>
        <w:t>Test</w:t>
      </w:r>
      <w:r w:rsidRPr="00993936">
        <w:rPr>
          <w:rFonts w:ascii="Arial" w:hAnsi="Arial" w:cs="Arial"/>
          <w:vanish/>
          <w:color w:val="auto"/>
          <w:lang w:val="es-ES"/>
        </w:rPr>
        <w:t>&lt;A[Test|Tiesto]&gt;</w:t>
      </w:r>
      <w:r w:rsidRPr="00993936">
        <w:rPr>
          <w:rFonts w:ascii="Arial" w:hAnsi="Arial" w:cs="Arial"/>
          <w:color w:val="auto"/>
          <w:lang w:val="es-ES"/>
        </w:rPr>
        <w:t xml:space="preserve"> de recolección</w:t>
      </w:r>
    </w:p>
    <w:p w:rsidR="00503A41" w:rsidRPr="00993936" w:rsidRDefault="00503A41" w:rsidP="001D2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1D205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u w:val="single"/>
          <w:lang w:val="es-ES"/>
        </w:rPr>
        <w:t>Normativa:</w:t>
      </w:r>
      <w:r w:rsidRPr="00993936">
        <w:rPr>
          <w:rFonts w:ascii="Arial" w:hAnsi="Arial" w:cs="Arial"/>
          <w:b/>
          <w:snapToGrid w:val="0"/>
          <w:lang w:val="es-ES"/>
        </w:rPr>
        <w:t xml:space="preserve"> </w:t>
      </w:r>
      <w:r w:rsidRPr="00993936">
        <w:rPr>
          <w:rFonts w:ascii="Arial" w:hAnsi="Arial" w:cs="Arial"/>
          <w:snapToGrid w:val="0"/>
          <w:lang w:val="es-ES"/>
        </w:rPr>
        <w:t>El test</w:t>
      </w:r>
      <w:r w:rsidRPr="00993936">
        <w:rPr>
          <w:rFonts w:ascii="Arial" w:hAnsi="Arial" w:cs="Arial"/>
          <w:snapToGrid w:val="0"/>
          <w:vanish/>
          <w:lang w:val="es-ES"/>
        </w:rPr>
        <w:t>&lt;A[test|tiesto]&gt;</w:t>
      </w:r>
      <w:r w:rsidRPr="00993936">
        <w:rPr>
          <w:rFonts w:ascii="Arial" w:hAnsi="Arial" w:cs="Arial"/>
          <w:snapToGrid w:val="0"/>
          <w:lang w:val="es-ES"/>
        </w:rPr>
        <w:t xml:space="preserve"> se realizará sobre una muestra mínima de 25 frutos recogidos de un mínimo de 10 árboles representativos de la parcela. Los frutos a recolectar en cada muestra tendrán que ser representativos (calibre, color, etc.) de los que se pretende Cosechar.</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napToGrid w:val="0"/>
          <w:lang w:val="es-ES"/>
        </w:rPr>
      </w:pPr>
    </w:p>
    <w:p w:rsidR="00503A41" w:rsidRPr="00993936" w:rsidRDefault="00503A41" w:rsidP="001C0FFB">
      <w:pPr>
        <w:pStyle w:val="Ttulo9"/>
        <w:rPr>
          <w:rFonts w:ascii="Arial" w:hAnsi="Arial" w:cs="Arial"/>
          <w:color w:val="auto"/>
          <w:lang w:val="es-ES"/>
        </w:rPr>
      </w:pPr>
      <w:r w:rsidRPr="00993936">
        <w:rPr>
          <w:rFonts w:ascii="Arial" w:hAnsi="Arial" w:cs="Arial"/>
          <w:color w:val="auto"/>
          <w:lang w:val="es-ES"/>
        </w:rPr>
        <w:t>Observaciones de cosecha</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val="0"/>
          <w:lang w:val="es-ES"/>
        </w:rPr>
      </w:pPr>
      <w:r w:rsidRPr="00993936">
        <w:rPr>
          <w:rFonts w:ascii="Arial" w:hAnsi="Arial" w:cs="Arial"/>
          <w:b/>
          <w:snapToGrid w:val="0"/>
          <w:u w:val="single"/>
          <w:lang w:val="es-ES"/>
        </w:rPr>
        <w:t>Normativa:</w:t>
      </w:r>
      <w:r w:rsidRPr="00993936">
        <w:rPr>
          <w:rFonts w:ascii="Arial" w:hAnsi="Arial" w:cs="Arial"/>
          <w:b/>
          <w:snapToGrid w:val="0"/>
          <w:lang w:val="es-ES"/>
        </w:rPr>
        <w:t xml:space="preserve"> </w:t>
      </w:r>
      <w:r w:rsidRPr="00993936">
        <w:rPr>
          <w:rFonts w:ascii="Arial" w:hAnsi="Arial" w:cs="Arial"/>
          <w:snapToGrid w:val="0"/>
          <w:lang w:val="es-ES"/>
        </w:rPr>
        <w:t>El control se realizará sobre una muestra de 500 frutos recogidos de 50 árboles representativos de la parcela. De cada árbol, se cogerán 10 frutos, que tendrán que ser representativos de su volumen de producción.</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lang w:val="es-ES"/>
        </w:rPr>
      </w:pPr>
      <w:r w:rsidRPr="00993936">
        <w:rPr>
          <w:rFonts w:ascii="Arial" w:hAnsi="Arial" w:cs="Arial"/>
          <w:snapToGrid w:val="0"/>
          <w:lang w:val="es-ES"/>
        </w:rPr>
        <w:br w:type="page"/>
      </w:r>
      <w:r w:rsidRPr="00993936">
        <w:rPr>
          <w:rFonts w:ascii="Arial" w:hAnsi="Arial" w:cs="Arial"/>
          <w:b/>
          <w:lang w:val="es-ES"/>
        </w:rPr>
        <w:lastRenderedPageBreak/>
        <w:t>ANEXO 7</w:t>
      </w:r>
    </w:p>
    <w:p w:rsidR="00503A41" w:rsidRPr="00993936" w:rsidRDefault="00503A41" w:rsidP="001C0FF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lang w:val="es-ES"/>
        </w:rPr>
      </w:pPr>
    </w:p>
    <w:p w:rsidR="00503A41" w:rsidRPr="00993936" w:rsidRDefault="00503A41" w:rsidP="001C0FFB">
      <w:pPr>
        <w:pStyle w:val="Ttulo2"/>
        <w:rPr>
          <w:rFonts w:ascii="Arial" w:hAnsi="Arial" w:cs="Arial"/>
          <w:b/>
          <w:color w:val="auto"/>
          <w:sz w:val="22"/>
          <w:szCs w:val="22"/>
          <w:lang w:val="es-ES"/>
        </w:rPr>
      </w:pPr>
      <w:r w:rsidRPr="00993936">
        <w:rPr>
          <w:rFonts w:ascii="Arial" w:hAnsi="Arial" w:cs="Arial"/>
          <w:color w:val="auto"/>
          <w:sz w:val="22"/>
          <w:szCs w:val="22"/>
          <w:lang w:val="es-ES"/>
        </w:rPr>
        <w:t>7.1 Niveles orientativos del contenido de elementos en análisis foliares de olivo (*)</w:t>
      </w:r>
    </w:p>
    <w:p w:rsidR="00503A41" w:rsidRPr="00993936" w:rsidRDefault="00503A41" w:rsidP="001C0FFB">
      <w:pPr>
        <w:jc w:val="both"/>
        <w:rPr>
          <w:rFonts w:ascii="Arial" w:hAnsi="Arial" w:cs="Arial"/>
          <w:b/>
          <w:i/>
          <w:lang w:val="es-ES"/>
        </w:rPr>
      </w:pPr>
    </w:p>
    <w:p w:rsidR="00503A41" w:rsidRPr="00993936" w:rsidRDefault="00503A41" w:rsidP="001C0FFB">
      <w:pPr>
        <w:jc w:val="both"/>
        <w:rPr>
          <w:rFonts w:ascii="Arial" w:hAnsi="Arial" w:cs="Arial"/>
          <w:u w:val="single"/>
          <w:lang w:val="es-ES"/>
        </w:rPr>
      </w:pPr>
      <w:r w:rsidRPr="00993936">
        <w:rPr>
          <w:rFonts w:ascii="Arial" w:hAnsi="Arial" w:cs="Arial"/>
          <w:i/>
          <w:u w:val="single"/>
          <w:lang w:val="es-ES"/>
        </w:rPr>
        <w:t>Criterio para la toma</w:t>
      </w:r>
      <w:r w:rsidRPr="00993936">
        <w:rPr>
          <w:rFonts w:ascii="Arial" w:hAnsi="Arial" w:cs="Arial"/>
          <w:i/>
          <w:vanish/>
          <w:u w:val="single"/>
          <w:lang w:val="es-ES"/>
        </w:rPr>
        <w:t>&lt;A[toma|presa]&gt;</w:t>
      </w:r>
      <w:r w:rsidRPr="00993936">
        <w:rPr>
          <w:rFonts w:ascii="Arial" w:hAnsi="Arial" w:cs="Arial"/>
          <w:i/>
          <w:u w:val="single"/>
          <w:lang w:val="es-ES"/>
        </w:rPr>
        <w:t xml:space="preserve"> de la muestra de hojas:</w:t>
      </w:r>
      <w:r w:rsidRPr="00993936">
        <w:rPr>
          <w:rFonts w:ascii="Arial" w:hAnsi="Arial" w:cs="Arial"/>
          <w:u w:val="single"/>
          <w:lang w:val="es-ES"/>
        </w:rPr>
        <w:t xml:space="preserve"> </w:t>
      </w:r>
    </w:p>
    <w:p w:rsidR="00503A41" w:rsidRPr="00993936" w:rsidRDefault="00503A41" w:rsidP="001C0FFB">
      <w:pPr>
        <w:jc w:val="both"/>
        <w:rPr>
          <w:rFonts w:ascii="Arial" w:hAnsi="Arial" w:cs="Arial"/>
          <w:lang w:val="es-ES"/>
        </w:rPr>
      </w:pPr>
      <w:r w:rsidRPr="00993936">
        <w:rPr>
          <w:rFonts w:ascii="Arial" w:hAnsi="Arial" w:cs="Arial"/>
          <w:lang w:val="es-ES"/>
        </w:rPr>
        <w:t>Para evaluar el estado nutritivo del cultivo es necesario obtener hojas en buen estado. El criterio general de selección de la muestra se basa en la obtención de hojas del año plenamente desarrolladas.</w:t>
      </w:r>
    </w:p>
    <w:p w:rsidR="00503A41" w:rsidRPr="00993936" w:rsidRDefault="00503A41" w:rsidP="001C0FFB">
      <w:pPr>
        <w:jc w:val="both"/>
        <w:rPr>
          <w:rFonts w:ascii="Arial" w:hAnsi="Arial" w:cs="Arial"/>
          <w:lang w:val="es-ES"/>
        </w:rPr>
      </w:pPr>
    </w:p>
    <w:p w:rsidR="00503A41" w:rsidRPr="00993936" w:rsidRDefault="00503A41" w:rsidP="001C0FFB">
      <w:pPr>
        <w:jc w:val="both"/>
        <w:rPr>
          <w:rFonts w:ascii="Arial" w:hAnsi="Arial" w:cs="Arial"/>
          <w:i/>
          <w:u w:val="single"/>
          <w:lang w:val="es-ES"/>
        </w:rPr>
      </w:pPr>
      <w:r w:rsidRPr="00993936">
        <w:rPr>
          <w:rFonts w:ascii="Arial" w:hAnsi="Arial" w:cs="Arial"/>
          <w:i/>
          <w:u w:val="single"/>
          <w:lang w:val="es-ES"/>
        </w:rPr>
        <w:t>Número de hojas:</w:t>
      </w:r>
    </w:p>
    <w:p w:rsidR="00503A41" w:rsidRPr="00993936" w:rsidRDefault="00503A41" w:rsidP="001C0FFB">
      <w:pPr>
        <w:jc w:val="both"/>
        <w:rPr>
          <w:rFonts w:ascii="Arial" w:hAnsi="Arial" w:cs="Arial"/>
          <w:lang w:val="es-ES"/>
        </w:rPr>
      </w:pPr>
      <w:r w:rsidRPr="00993936">
        <w:rPr>
          <w:rFonts w:ascii="Arial" w:hAnsi="Arial" w:cs="Arial"/>
          <w:lang w:val="es-ES"/>
        </w:rPr>
        <w:t>Se recomienda coger 100 hojas totalmente desarrolladas de la parte central de los brotes del año.</w:t>
      </w:r>
    </w:p>
    <w:p w:rsidR="00503A41" w:rsidRPr="00993936" w:rsidRDefault="00503A41" w:rsidP="001C0FFB">
      <w:pPr>
        <w:jc w:val="both"/>
        <w:rPr>
          <w:rFonts w:ascii="Arial" w:hAnsi="Arial" w:cs="Arial"/>
          <w:b/>
          <w:i/>
          <w:lang w:val="es-ES"/>
        </w:rPr>
      </w:pPr>
    </w:p>
    <w:p w:rsidR="00503A41" w:rsidRPr="00993936" w:rsidRDefault="00503A41" w:rsidP="001C0FFB">
      <w:pPr>
        <w:jc w:val="both"/>
        <w:rPr>
          <w:rFonts w:ascii="Arial" w:hAnsi="Arial" w:cs="Arial"/>
          <w:i/>
          <w:u w:val="single"/>
          <w:lang w:val="es-ES"/>
        </w:rPr>
      </w:pPr>
      <w:r w:rsidRPr="00993936">
        <w:rPr>
          <w:rFonts w:ascii="Arial" w:hAnsi="Arial" w:cs="Arial"/>
          <w:i/>
          <w:u w:val="single"/>
          <w:lang w:val="es-ES"/>
        </w:rPr>
        <w:t xml:space="preserve">Periodo: </w:t>
      </w:r>
    </w:p>
    <w:p w:rsidR="00503A41" w:rsidRPr="00993936" w:rsidRDefault="00503A41" w:rsidP="001C0FFB">
      <w:pPr>
        <w:jc w:val="both"/>
        <w:rPr>
          <w:rFonts w:ascii="Arial" w:hAnsi="Arial" w:cs="Arial"/>
          <w:lang w:val="es-ES"/>
        </w:rPr>
      </w:pPr>
      <w:r w:rsidRPr="00993936">
        <w:rPr>
          <w:rFonts w:ascii="Arial" w:hAnsi="Arial" w:cs="Arial"/>
          <w:lang w:val="es-ES"/>
        </w:rPr>
        <w:t>Parada</w:t>
      </w:r>
      <w:r w:rsidRPr="00993936">
        <w:rPr>
          <w:rFonts w:ascii="Arial" w:hAnsi="Arial" w:cs="Arial"/>
          <w:vanish/>
          <w:lang w:val="es-ES"/>
        </w:rPr>
        <w:t>&lt;A[Parada|Puesto]&gt;</w:t>
      </w:r>
      <w:r w:rsidRPr="00993936">
        <w:rPr>
          <w:rFonts w:ascii="Arial" w:hAnsi="Arial" w:cs="Arial"/>
          <w:lang w:val="es-ES"/>
        </w:rPr>
        <w:t xml:space="preserve"> estival (junio-julio).</w:t>
      </w:r>
    </w:p>
    <w:p w:rsidR="00503A41" w:rsidRPr="00993936" w:rsidRDefault="00503A41" w:rsidP="001C0FFB">
      <w:pPr>
        <w:jc w:val="both"/>
        <w:rPr>
          <w:rFonts w:ascii="Arial" w:hAnsi="Arial" w:cs="Arial"/>
          <w:lang w:val="es-E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693"/>
        <w:gridCol w:w="1465"/>
        <w:gridCol w:w="1465"/>
        <w:gridCol w:w="1466"/>
      </w:tblGrid>
      <w:tr w:rsidR="00503A41" w:rsidRPr="00993936" w:rsidTr="001C0FFB">
        <w:trPr>
          <w:cantSplit/>
        </w:trPr>
        <w:tc>
          <w:tcPr>
            <w:tcW w:w="4535" w:type="dxa"/>
            <w:gridSpan w:val="2"/>
            <w:shd w:val="pct12" w:color="auto" w:fill="FFFFFF"/>
          </w:tcPr>
          <w:p w:rsidR="00503A41" w:rsidRPr="00993936" w:rsidRDefault="00503A41" w:rsidP="001C0FFB">
            <w:pPr>
              <w:jc w:val="center"/>
              <w:rPr>
                <w:rFonts w:ascii="Arial" w:hAnsi="Arial" w:cs="Arial"/>
                <w:b/>
                <w:lang w:val="es-ES"/>
              </w:rPr>
            </w:pPr>
          </w:p>
          <w:p w:rsidR="00503A41" w:rsidRPr="00993936" w:rsidRDefault="00503A41" w:rsidP="001C0FFB">
            <w:pPr>
              <w:jc w:val="center"/>
              <w:rPr>
                <w:rFonts w:ascii="Arial" w:hAnsi="Arial" w:cs="Arial"/>
                <w:b/>
                <w:lang w:val="es-ES"/>
              </w:rPr>
            </w:pPr>
            <w:r w:rsidRPr="00993936">
              <w:rPr>
                <w:rFonts w:ascii="Arial" w:hAnsi="Arial" w:cs="Arial"/>
                <w:b/>
                <w:lang w:val="es-ES"/>
              </w:rPr>
              <w:t>Elemento</w:t>
            </w:r>
          </w:p>
        </w:tc>
        <w:tc>
          <w:tcPr>
            <w:tcW w:w="1465" w:type="dxa"/>
            <w:shd w:val="pct12" w:color="auto" w:fill="FFFFFF"/>
          </w:tcPr>
          <w:p w:rsidR="00503A41" w:rsidRPr="00993936" w:rsidRDefault="00503A41" w:rsidP="001C0FFB">
            <w:pPr>
              <w:jc w:val="center"/>
              <w:rPr>
                <w:rFonts w:ascii="Arial" w:hAnsi="Arial" w:cs="Arial"/>
                <w:b/>
                <w:lang w:val="es-ES"/>
              </w:rPr>
            </w:pPr>
          </w:p>
          <w:p w:rsidR="00503A41" w:rsidRPr="00993936" w:rsidRDefault="00503A41" w:rsidP="001C0FFB">
            <w:pPr>
              <w:jc w:val="center"/>
              <w:rPr>
                <w:rFonts w:ascii="Arial" w:hAnsi="Arial" w:cs="Arial"/>
                <w:b/>
                <w:lang w:val="es-ES"/>
              </w:rPr>
            </w:pPr>
            <w:r w:rsidRPr="00993936">
              <w:rPr>
                <w:rFonts w:ascii="Arial" w:hAnsi="Arial" w:cs="Arial"/>
                <w:b/>
                <w:lang w:val="es-ES"/>
              </w:rPr>
              <w:t>Bajo</w:t>
            </w:r>
          </w:p>
        </w:tc>
        <w:tc>
          <w:tcPr>
            <w:tcW w:w="1465" w:type="dxa"/>
            <w:shd w:val="pct12" w:color="auto" w:fill="FFFFFF"/>
          </w:tcPr>
          <w:p w:rsidR="00503A41" w:rsidRPr="00993936" w:rsidRDefault="00503A41" w:rsidP="001C0FFB">
            <w:pPr>
              <w:jc w:val="center"/>
              <w:rPr>
                <w:rFonts w:ascii="Arial" w:hAnsi="Arial" w:cs="Arial"/>
                <w:b/>
                <w:lang w:val="es-ES"/>
              </w:rPr>
            </w:pPr>
          </w:p>
          <w:p w:rsidR="00503A41" w:rsidRPr="00993936" w:rsidRDefault="00503A41" w:rsidP="001C0FFB">
            <w:pPr>
              <w:jc w:val="center"/>
              <w:rPr>
                <w:rFonts w:ascii="Arial" w:hAnsi="Arial" w:cs="Arial"/>
                <w:b/>
                <w:lang w:val="es-ES"/>
              </w:rPr>
            </w:pPr>
            <w:r w:rsidRPr="00993936">
              <w:rPr>
                <w:rFonts w:ascii="Arial" w:hAnsi="Arial" w:cs="Arial"/>
                <w:b/>
                <w:lang w:val="es-ES"/>
              </w:rPr>
              <w:t>Normal</w:t>
            </w:r>
          </w:p>
        </w:tc>
        <w:tc>
          <w:tcPr>
            <w:tcW w:w="1466" w:type="dxa"/>
            <w:shd w:val="pct12" w:color="auto" w:fill="FFFFFF"/>
          </w:tcPr>
          <w:p w:rsidR="00503A41" w:rsidRPr="00993936" w:rsidRDefault="00503A41" w:rsidP="001C0FFB">
            <w:pPr>
              <w:jc w:val="center"/>
              <w:rPr>
                <w:rFonts w:ascii="Arial" w:hAnsi="Arial" w:cs="Arial"/>
                <w:b/>
                <w:lang w:val="es-ES"/>
              </w:rPr>
            </w:pPr>
          </w:p>
          <w:p w:rsidR="00503A41" w:rsidRPr="00993936" w:rsidRDefault="00503A41" w:rsidP="001C0FFB">
            <w:pPr>
              <w:jc w:val="center"/>
              <w:rPr>
                <w:rFonts w:ascii="Arial" w:hAnsi="Arial" w:cs="Arial"/>
                <w:b/>
                <w:lang w:val="es-ES"/>
              </w:rPr>
            </w:pPr>
            <w:r w:rsidRPr="00993936">
              <w:rPr>
                <w:rFonts w:ascii="Arial" w:hAnsi="Arial" w:cs="Arial"/>
                <w:b/>
                <w:lang w:val="es-ES"/>
              </w:rPr>
              <w:t>Alto</w:t>
            </w:r>
          </w:p>
        </w:tc>
      </w:tr>
      <w:tr w:rsidR="00503A41" w:rsidRPr="00993936" w:rsidTr="001C0FFB">
        <w:trPr>
          <w:cantSplit/>
        </w:trPr>
        <w:tc>
          <w:tcPr>
            <w:tcW w:w="1843" w:type="dxa"/>
          </w:tcPr>
          <w:p w:rsidR="00503A41" w:rsidRPr="00993936" w:rsidRDefault="00503A41" w:rsidP="001D205D">
            <w:pPr>
              <w:pStyle w:val="Sinespaciado"/>
              <w:rPr>
                <w:rFonts w:ascii="Arial" w:hAnsi="Arial" w:cs="Arial"/>
                <w:lang w:val="es-ES"/>
              </w:rPr>
            </w:pPr>
            <w:r w:rsidRPr="00993936">
              <w:rPr>
                <w:rFonts w:ascii="Arial" w:hAnsi="Arial" w:cs="Arial"/>
                <w:lang w:val="es-ES"/>
              </w:rPr>
              <w:t>Nitrógeno</w:t>
            </w:r>
          </w:p>
          <w:p w:rsidR="00503A41" w:rsidRPr="00993936" w:rsidRDefault="00503A41" w:rsidP="001D205D">
            <w:pPr>
              <w:pStyle w:val="Sinespaciado"/>
              <w:rPr>
                <w:rFonts w:ascii="Arial" w:hAnsi="Arial" w:cs="Arial"/>
                <w:lang w:val="es-ES"/>
              </w:rPr>
            </w:pPr>
            <w:r w:rsidRPr="00993936">
              <w:rPr>
                <w:rFonts w:ascii="Arial" w:hAnsi="Arial" w:cs="Arial"/>
                <w:lang w:val="es-ES"/>
              </w:rPr>
              <w:t>Fósforo</w:t>
            </w:r>
          </w:p>
          <w:p w:rsidR="00503A41" w:rsidRPr="00993936" w:rsidRDefault="00503A41" w:rsidP="001D205D">
            <w:pPr>
              <w:pStyle w:val="Sinespaciado"/>
              <w:rPr>
                <w:rFonts w:ascii="Arial" w:hAnsi="Arial" w:cs="Arial"/>
                <w:lang w:val="es-ES"/>
              </w:rPr>
            </w:pPr>
            <w:r w:rsidRPr="00993936">
              <w:rPr>
                <w:rFonts w:ascii="Arial" w:hAnsi="Arial" w:cs="Arial"/>
                <w:lang w:val="es-ES"/>
              </w:rPr>
              <w:t>Potasio</w:t>
            </w:r>
          </w:p>
          <w:p w:rsidR="00503A41" w:rsidRPr="00993936" w:rsidRDefault="00503A41" w:rsidP="001D205D">
            <w:pPr>
              <w:pStyle w:val="Sinespaciado"/>
              <w:rPr>
                <w:rFonts w:ascii="Arial" w:hAnsi="Arial" w:cs="Arial"/>
                <w:lang w:val="es-ES"/>
              </w:rPr>
            </w:pPr>
            <w:r w:rsidRPr="00993936">
              <w:rPr>
                <w:rFonts w:ascii="Arial" w:hAnsi="Arial" w:cs="Arial"/>
                <w:lang w:val="es-ES"/>
              </w:rPr>
              <w:t>Calcio</w:t>
            </w:r>
          </w:p>
          <w:p w:rsidR="00503A41" w:rsidRPr="00993936" w:rsidRDefault="00503A41" w:rsidP="001D205D">
            <w:pPr>
              <w:pStyle w:val="Sinespaciado"/>
              <w:rPr>
                <w:rFonts w:ascii="Arial" w:hAnsi="Arial" w:cs="Arial"/>
                <w:lang w:val="es-ES"/>
              </w:rPr>
            </w:pPr>
            <w:r w:rsidRPr="00993936">
              <w:rPr>
                <w:rFonts w:ascii="Arial" w:hAnsi="Arial" w:cs="Arial"/>
                <w:lang w:val="es-ES"/>
              </w:rPr>
              <w:t>Magnesio</w:t>
            </w:r>
          </w:p>
          <w:p w:rsidR="00503A41" w:rsidRPr="00993936" w:rsidRDefault="00503A41" w:rsidP="001D205D">
            <w:pPr>
              <w:pStyle w:val="Sinespaciado"/>
              <w:rPr>
                <w:rFonts w:ascii="Arial" w:hAnsi="Arial" w:cs="Arial"/>
                <w:lang w:val="es-ES"/>
              </w:rPr>
            </w:pPr>
            <w:r w:rsidRPr="00993936">
              <w:rPr>
                <w:rFonts w:ascii="Arial" w:hAnsi="Arial" w:cs="Arial"/>
                <w:lang w:val="es-ES"/>
              </w:rPr>
              <w:t>Azufre</w:t>
            </w:r>
          </w:p>
          <w:p w:rsidR="00503A41" w:rsidRPr="00993936" w:rsidRDefault="00503A41" w:rsidP="001D205D">
            <w:pPr>
              <w:pStyle w:val="Sinespaciado"/>
              <w:rPr>
                <w:rFonts w:ascii="Arial" w:hAnsi="Arial" w:cs="Arial"/>
                <w:lang w:val="es-ES"/>
              </w:rPr>
            </w:pPr>
            <w:r w:rsidRPr="00993936">
              <w:rPr>
                <w:rFonts w:ascii="Arial" w:hAnsi="Arial" w:cs="Arial"/>
                <w:lang w:val="es-ES"/>
              </w:rPr>
              <w:t>Hierro</w:t>
            </w:r>
          </w:p>
          <w:p w:rsidR="00503A41" w:rsidRPr="00993936" w:rsidRDefault="00503A41" w:rsidP="001D205D">
            <w:pPr>
              <w:pStyle w:val="Sinespaciado"/>
              <w:rPr>
                <w:rFonts w:ascii="Arial" w:hAnsi="Arial" w:cs="Arial"/>
                <w:lang w:val="es-ES"/>
              </w:rPr>
            </w:pPr>
            <w:r w:rsidRPr="00993936">
              <w:rPr>
                <w:rFonts w:ascii="Arial" w:hAnsi="Arial" w:cs="Arial"/>
                <w:lang w:val="es-ES"/>
              </w:rPr>
              <w:t>Manganeso</w:t>
            </w:r>
          </w:p>
          <w:p w:rsidR="00503A41" w:rsidRPr="00993936" w:rsidRDefault="00503A41" w:rsidP="001D205D">
            <w:pPr>
              <w:pStyle w:val="Sinespaciado"/>
              <w:rPr>
                <w:rFonts w:ascii="Arial" w:hAnsi="Arial" w:cs="Arial"/>
                <w:lang w:val="es-ES"/>
              </w:rPr>
            </w:pPr>
            <w:r w:rsidRPr="00993936">
              <w:rPr>
                <w:rFonts w:ascii="Arial" w:hAnsi="Arial" w:cs="Arial"/>
                <w:lang w:val="es-ES"/>
              </w:rPr>
              <w:t>Cinc</w:t>
            </w:r>
          </w:p>
          <w:p w:rsidR="00503A41" w:rsidRPr="00993936" w:rsidRDefault="00503A41" w:rsidP="001D205D">
            <w:pPr>
              <w:pStyle w:val="Sinespaciado"/>
              <w:rPr>
                <w:rFonts w:ascii="Arial" w:hAnsi="Arial" w:cs="Arial"/>
                <w:lang w:val="es-ES"/>
              </w:rPr>
            </w:pPr>
            <w:r w:rsidRPr="00993936">
              <w:rPr>
                <w:rFonts w:ascii="Arial" w:hAnsi="Arial" w:cs="Arial"/>
                <w:lang w:val="es-ES"/>
              </w:rPr>
              <w:t>Cobre</w:t>
            </w:r>
          </w:p>
          <w:p w:rsidR="00503A41" w:rsidRPr="00993936" w:rsidRDefault="00503A41" w:rsidP="001D205D">
            <w:pPr>
              <w:pStyle w:val="Sinespaciado"/>
              <w:rPr>
                <w:rFonts w:ascii="Arial" w:hAnsi="Arial" w:cs="Arial"/>
                <w:lang w:val="es-ES"/>
              </w:rPr>
            </w:pPr>
            <w:r w:rsidRPr="00993936">
              <w:rPr>
                <w:rFonts w:ascii="Arial" w:hAnsi="Arial" w:cs="Arial"/>
                <w:lang w:val="es-ES"/>
              </w:rPr>
              <w:t>Boro</w:t>
            </w:r>
          </w:p>
          <w:p w:rsidR="00503A41" w:rsidRPr="00993936" w:rsidRDefault="00503A41" w:rsidP="001D205D">
            <w:pPr>
              <w:pStyle w:val="Sinespaciado"/>
              <w:rPr>
                <w:rFonts w:ascii="Arial" w:hAnsi="Arial" w:cs="Arial"/>
                <w:lang w:val="es-ES"/>
              </w:rPr>
            </w:pPr>
            <w:r w:rsidRPr="00993936">
              <w:rPr>
                <w:rFonts w:ascii="Arial" w:hAnsi="Arial" w:cs="Arial"/>
                <w:lang w:val="es-ES"/>
              </w:rPr>
              <w:t>Sodio</w:t>
            </w:r>
          </w:p>
          <w:p w:rsidR="00503A41" w:rsidRPr="00993936" w:rsidRDefault="00503A41" w:rsidP="001D205D">
            <w:pPr>
              <w:pStyle w:val="Sinespaciado"/>
              <w:rPr>
                <w:rFonts w:ascii="Arial" w:hAnsi="Arial" w:cs="Arial"/>
                <w:lang w:val="es-ES"/>
              </w:rPr>
            </w:pPr>
          </w:p>
        </w:tc>
        <w:tc>
          <w:tcPr>
            <w:tcW w:w="2693" w:type="dxa"/>
          </w:tcPr>
          <w:p w:rsidR="00503A41" w:rsidRPr="00993936" w:rsidRDefault="00503A41" w:rsidP="001D205D">
            <w:pPr>
              <w:pStyle w:val="Sinespaciado"/>
              <w:rPr>
                <w:rFonts w:ascii="Arial" w:hAnsi="Arial" w:cs="Arial"/>
                <w:lang w:val="es-ES"/>
              </w:rPr>
            </w:pPr>
            <w:r w:rsidRPr="00993936">
              <w:rPr>
                <w:rFonts w:ascii="Arial" w:hAnsi="Arial" w:cs="Arial"/>
                <w:lang w:val="es-ES"/>
              </w:rPr>
              <w:t>N (%)</w:t>
            </w:r>
          </w:p>
          <w:p w:rsidR="00503A41" w:rsidRPr="00993936" w:rsidRDefault="00503A41" w:rsidP="001D205D">
            <w:pPr>
              <w:pStyle w:val="Sinespaciado"/>
              <w:rPr>
                <w:rFonts w:ascii="Arial" w:hAnsi="Arial" w:cs="Arial"/>
                <w:lang w:val="es-ES"/>
              </w:rPr>
            </w:pPr>
            <w:r w:rsidRPr="00993936">
              <w:rPr>
                <w:rFonts w:ascii="Arial" w:hAnsi="Arial" w:cs="Arial"/>
                <w:lang w:val="es-ES"/>
              </w:rPr>
              <w:t>P (%)</w:t>
            </w:r>
          </w:p>
          <w:p w:rsidR="00503A41" w:rsidRPr="00993936" w:rsidRDefault="00503A41" w:rsidP="001D205D">
            <w:pPr>
              <w:pStyle w:val="Sinespaciado"/>
              <w:rPr>
                <w:rFonts w:ascii="Arial" w:hAnsi="Arial" w:cs="Arial"/>
                <w:lang w:val="es-ES"/>
              </w:rPr>
            </w:pPr>
            <w:r w:rsidRPr="00993936">
              <w:rPr>
                <w:rFonts w:ascii="Arial" w:hAnsi="Arial" w:cs="Arial"/>
                <w:lang w:val="es-ES"/>
              </w:rPr>
              <w:t>K (%)</w:t>
            </w:r>
          </w:p>
          <w:p w:rsidR="00503A41" w:rsidRPr="00993936" w:rsidRDefault="00503A41" w:rsidP="001D205D">
            <w:pPr>
              <w:pStyle w:val="Sinespaciado"/>
              <w:rPr>
                <w:rFonts w:ascii="Arial" w:hAnsi="Arial" w:cs="Arial"/>
                <w:lang w:val="es-ES"/>
              </w:rPr>
            </w:pPr>
            <w:r w:rsidRPr="00993936">
              <w:rPr>
                <w:rFonts w:ascii="Arial" w:hAnsi="Arial" w:cs="Arial"/>
                <w:lang w:val="es-ES"/>
              </w:rPr>
              <w:t>Casa (%)</w:t>
            </w:r>
          </w:p>
          <w:p w:rsidR="00503A41" w:rsidRPr="00993936" w:rsidRDefault="00503A41" w:rsidP="001D205D">
            <w:pPr>
              <w:pStyle w:val="Sinespaciado"/>
              <w:rPr>
                <w:rFonts w:ascii="Arial" w:hAnsi="Arial" w:cs="Arial"/>
                <w:lang w:val="es-ES"/>
              </w:rPr>
            </w:pPr>
            <w:r w:rsidRPr="00993936">
              <w:rPr>
                <w:rFonts w:ascii="Arial" w:hAnsi="Arial" w:cs="Arial"/>
                <w:lang w:val="es-ES"/>
              </w:rPr>
              <w:t>Mg (%)</w:t>
            </w:r>
          </w:p>
          <w:p w:rsidR="00503A41" w:rsidRPr="00993936" w:rsidRDefault="00503A41" w:rsidP="001D205D">
            <w:pPr>
              <w:pStyle w:val="Sinespaciado"/>
              <w:rPr>
                <w:rFonts w:ascii="Arial" w:hAnsi="Arial" w:cs="Arial"/>
                <w:lang w:val="es-ES"/>
              </w:rPr>
            </w:pPr>
            <w:r w:rsidRPr="00993936">
              <w:rPr>
                <w:rFonts w:ascii="Arial" w:hAnsi="Arial" w:cs="Arial"/>
                <w:lang w:val="es-ES"/>
              </w:rPr>
              <w:t>S (%)</w:t>
            </w:r>
          </w:p>
          <w:p w:rsidR="00503A41" w:rsidRPr="00993936" w:rsidRDefault="00503A41" w:rsidP="001D205D">
            <w:pPr>
              <w:pStyle w:val="Sinespaciado"/>
              <w:rPr>
                <w:rFonts w:ascii="Arial" w:hAnsi="Arial" w:cs="Arial"/>
                <w:lang w:val="es-ES"/>
              </w:rPr>
            </w:pPr>
            <w:r w:rsidRPr="00993936">
              <w:rPr>
                <w:rFonts w:ascii="Arial" w:hAnsi="Arial" w:cs="Arial"/>
                <w:lang w:val="es-ES"/>
              </w:rPr>
              <w:t>Fe (ppm)</w:t>
            </w:r>
          </w:p>
          <w:p w:rsidR="00503A41" w:rsidRPr="00993936" w:rsidRDefault="00503A41" w:rsidP="001D205D">
            <w:pPr>
              <w:pStyle w:val="Sinespaciado"/>
              <w:rPr>
                <w:rFonts w:ascii="Arial" w:hAnsi="Arial" w:cs="Arial"/>
                <w:lang w:val="es-ES"/>
              </w:rPr>
            </w:pPr>
            <w:r w:rsidRPr="00993936">
              <w:rPr>
                <w:rFonts w:ascii="Arial" w:hAnsi="Arial" w:cs="Arial"/>
                <w:lang w:val="es-ES"/>
              </w:rPr>
              <w:t>Mn (ppm)</w:t>
            </w:r>
          </w:p>
          <w:p w:rsidR="00503A41" w:rsidRPr="00993936" w:rsidRDefault="00503A41" w:rsidP="001D205D">
            <w:pPr>
              <w:pStyle w:val="Sinespaciado"/>
              <w:rPr>
                <w:rFonts w:ascii="Arial" w:hAnsi="Arial" w:cs="Arial"/>
                <w:lang w:val="es-ES"/>
              </w:rPr>
            </w:pPr>
            <w:r w:rsidRPr="00993936">
              <w:rPr>
                <w:rFonts w:ascii="Arial" w:hAnsi="Arial" w:cs="Arial"/>
                <w:lang w:val="es-ES"/>
              </w:rPr>
              <w:t>Zn (ppm)</w:t>
            </w:r>
          </w:p>
          <w:p w:rsidR="00503A41" w:rsidRPr="00993936" w:rsidRDefault="00503A41" w:rsidP="001D205D">
            <w:pPr>
              <w:pStyle w:val="Sinespaciado"/>
              <w:rPr>
                <w:rFonts w:ascii="Arial" w:hAnsi="Arial" w:cs="Arial"/>
                <w:lang w:val="es-ES"/>
              </w:rPr>
            </w:pPr>
            <w:r w:rsidRPr="00993936">
              <w:rPr>
                <w:rFonts w:ascii="Arial" w:hAnsi="Arial" w:cs="Arial"/>
                <w:lang w:val="es-ES"/>
              </w:rPr>
              <w:t>Cu (ppm)</w:t>
            </w:r>
          </w:p>
          <w:p w:rsidR="00503A41" w:rsidRPr="00993936" w:rsidRDefault="00503A41" w:rsidP="001D205D">
            <w:pPr>
              <w:pStyle w:val="Sinespaciado"/>
              <w:rPr>
                <w:rFonts w:ascii="Arial" w:hAnsi="Arial" w:cs="Arial"/>
                <w:lang w:val="es-ES"/>
              </w:rPr>
            </w:pPr>
            <w:r w:rsidRPr="00993936">
              <w:rPr>
                <w:rFonts w:ascii="Arial" w:hAnsi="Arial" w:cs="Arial"/>
                <w:lang w:val="es-ES"/>
              </w:rPr>
              <w:t>B (ppm)</w:t>
            </w:r>
          </w:p>
          <w:p w:rsidR="00503A41" w:rsidRPr="00993936" w:rsidRDefault="00503A41" w:rsidP="001D205D">
            <w:pPr>
              <w:pStyle w:val="Sinespaciado"/>
              <w:rPr>
                <w:rFonts w:ascii="Arial" w:hAnsi="Arial" w:cs="Arial"/>
                <w:lang w:val="es-ES"/>
              </w:rPr>
            </w:pPr>
            <w:r w:rsidRPr="00993936">
              <w:rPr>
                <w:rFonts w:ascii="Arial" w:hAnsi="Arial" w:cs="Arial"/>
                <w:lang w:val="es-ES"/>
              </w:rPr>
              <w:t>Na (ppm))</w:t>
            </w:r>
          </w:p>
          <w:p w:rsidR="00503A41" w:rsidRPr="00993936" w:rsidRDefault="00503A41" w:rsidP="001D205D">
            <w:pPr>
              <w:pStyle w:val="Sinespaciado"/>
              <w:rPr>
                <w:rFonts w:ascii="Arial" w:hAnsi="Arial" w:cs="Arial"/>
                <w:lang w:val="es-ES"/>
              </w:rPr>
            </w:pPr>
          </w:p>
        </w:tc>
        <w:tc>
          <w:tcPr>
            <w:tcW w:w="1465" w:type="dxa"/>
          </w:tcPr>
          <w:p w:rsidR="00503A41" w:rsidRPr="00993936" w:rsidRDefault="00503A41" w:rsidP="001D205D">
            <w:pPr>
              <w:pStyle w:val="Sinespaciado"/>
              <w:rPr>
                <w:rFonts w:ascii="Arial" w:hAnsi="Arial" w:cs="Arial"/>
                <w:lang w:val="es-ES"/>
              </w:rPr>
            </w:pPr>
            <w:r w:rsidRPr="00993936">
              <w:rPr>
                <w:rFonts w:ascii="Arial" w:hAnsi="Arial" w:cs="Arial"/>
                <w:lang w:val="es-ES"/>
              </w:rPr>
              <w:t>&lt; 1,40</w:t>
            </w:r>
          </w:p>
          <w:p w:rsidR="00503A41" w:rsidRPr="00993936" w:rsidRDefault="00503A41" w:rsidP="001D205D">
            <w:pPr>
              <w:pStyle w:val="Sinespaciado"/>
              <w:rPr>
                <w:rFonts w:ascii="Arial" w:hAnsi="Arial" w:cs="Arial"/>
                <w:lang w:val="es-ES"/>
              </w:rPr>
            </w:pPr>
            <w:r w:rsidRPr="00993936">
              <w:rPr>
                <w:rFonts w:ascii="Arial" w:hAnsi="Arial" w:cs="Arial"/>
                <w:lang w:val="es-ES"/>
              </w:rPr>
              <w:t>&lt; 0,08</w:t>
            </w:r>
          </w:p>
          <w:p w:rsidR="00503A41" w:rsidRPr="00993936" w:rsidRDefault="00503A41" w:rsidP="001D205D">
            <w:pPr>
              <w:pStyle w:val="Sinespaciado"/>
              <w:rPr>
                <w:rFonts w:ascii="Arial" w:hAnsi="Arial" w:cs="Arial"/>
                <w:lang w:val="es-ES"/>
              </w:rPr>
            </w:pPr>
            <w:r w:rsidRPr="00993936">
              <w:rPr>
                <w:rFonts w:ascii="Arial" w:hAnsi="Arial" w:cs="Arial"/>
                <w:lang w:val="es-ES"/>
              </w:rPr>
              <w:t>&lt; 0,70</w:t>
            </w:r>
          </w:p>
          <w:p w:rsidR="00503A41" w:rsidRPr="00993936" w:rsidRDefault="00503A41" w:rsidP="001D205D">
            <w:pPr>
              <w:pStyle w:val="Sinespaciado"/>
              <w:rPr>
                <w:rFonts w:ascii="Arial" w:hAnsi="Arial" w:cs="Arial"/>
                <w:lang w:val="es-ES"/>
              </w:rPr>
            </w:pPr>
            <w:r w:rsidRPr="00993936">
              <w:rPr>
                <w:rFonts w:ascii="Arial" w:hAnsi="Arial" w:cs="Arial"/>
                <w:lang w:val="es-ES"/>
              </w:rPr>
              <w:t>&lt; 1,00</w:t>
            </w:r>
          </w:p>
          <w:p w:rsidR="00503A41" w:rsidRPr="00993936" w:rsidRDefault="00503A41" w:rsidP="001D205D">
            <w:pPr>
              <w:pStyle w:val="Sinespaciado"/>
              <w:rPr>
                <w:rFonts w:ascii="Arial" w:hAnsi="Arial" w:cs="Arial"/>
                <w:lang w:val="es-ES"/>
              </w:rPr>
            </w:pPr>
            <w:r w:rsidRPr="00993936">
              <w:rPr>
                <w:rFonts w:ascii="Arial" w:hAnsi="Arial" w:cs="Arial"/>
                <w:lang w:val="es-ES"/>
              </w:rPr>
              <w:t>&lt; 0,10</w:t>
            </w:r>
          </w:p>
          <w:p w:rsidR="00503A41" w:rsidRPr="00993936" w:rsidRDefault="00503A41" w:rsidP="001D205D">
            <w:pPr>
              <w:pStyle w:val="Sinespaciado"/>
              <w:rPr>
                <w:rFonts w:ascii="Arial" w:hAnsi="Arial" w:cs="Arial"/>
                <w:lang w:val="es-ES"/>
              </w:rPr>
            </w:pPr>
            <w:r w:rsidRPr="00993936">
              <w:rPr>
                <w:rFonts w:ascii="Arial" w:hAnsi="Arial" w:cs="Arial"/>
                <w:lang w:val="es-ES"/>
              </w:rPr>
              <w:t>&lt; 0,10</w:t>
            </w:r>
          </w:p>
          <w:p w:rsidR="00503A41" w:rsidRPr="00993936" w:rsidRDefault="00503A41" w:rsidP="001D205D">
            <w:pPr>
              <w:pStyle w:val="Sinespaciado"/>
              <w:rPr>
                <w:rFonts w:ascii="Arial" w:hAnsi="Arial" w:cs="Arial"/>
                <w:lang w:val="es-ES"/>
              </w:rPr>
            </w:pPr>
            <w:r w:rsidRPr="00993936">
              <w:rPr>
                <w:rFonts w:ascii="Arial" w:hAnsi="Arial" w:cs="Arial"/>
                <w:lang w:val="es-ES"/>
              </w:rPr>
              <w:t>&lt; 45</w:t>
            </w:r>
          </w:p>
          <w:p w:rsidR="00503A41" w:rsidRPr="00993936" w:rsidRDefault="00503A41" w:rsidP="001D205D">
            <w:pPr>
              <w:pStyle w:val="Sinespaciado"/>
              <w:rPr>
                <w:rFonts w:ascii="Arial" w:hAnsi="Arial" w:cs="Arial"/>
                <w:lang w:val="es-ES"/>
              </w:rPr>
            </w:pPr>
            <w:r w:rsidRPr="00993936">
              <w:rPr>
                <w:rFonts w:ascii="Arial" w:hAnsi="Arial" w:cs="Arial"/>
                <w:lang w:val="es-ES"/>
              </w:rPr>
              <w:t>&lt; 20</w:t>
            </w:r>
          </w:p>
          <w:p w:rsidR="00503A41" w:rsidRPr="00993936" w:rsidRDefault="00503A41" w:rsidP="001D205D">
            <w:pPr>
              <w:pStyle w:val="Sinespaciado"/>
              <w:rPr>
                <w:rFonts w:ascii="Arial" w:hAnsi="Arial" w:cs="Arial"/>
                <w:lang w:val="es-ES"/>
              </w:rPr>
            </w:pPr>
            <w:r w:rsidRPr="00993936">
              <w:rPr>
                <w:rFonts w:ascii="Arial" w:hAnsi="Arial" w:cs="Arial"/>
                <w:lang w:val="es-ES"/>
              </w:rPr>
              <w:t>&lt; 12</w:t>
            </w:r>
          </w:p>
          <w:p w:rsidR="00503A41" w:rsidRPr="00993936" w:rsidRDefault="00503A41" w:rsidP="001D205D">
            <w:pPr>
              <w:pStyle w:val="Sinespaciado"/>
              <w:rPr>
                <w:rFonts w:ascii="Arial" w:hAnsi="Arial" w:cs="Arial"/>
                <w:lang w:val="es-ES"/>
              </w:rPr>
            </w:pPr>
            <w:r w:rsidRPr="00993936">
              <w:rPr>
                <w:rFonts w:ascii="Arial" w:hAnsi="Arial" w:cs="Arial"/>
                <w:lang w:val="es-ES"/>
              </w:rPr>
              <w:t>&lt;  4</w:t>
            </w:r>
          </w:p>
          <w:p w:rsidR="00503A41" w:rsidRPr="00993936" w:rsidRDefault="00503A41" w:rsidP="001D205D">
            <w:pPr>
              <w:pStyle w:val="Sinespaciado"/>
              <w:rPr>
                <w:rFonts w:ascii="Arial" w:hAnsi="Arial" w:cs="Arial"/>
                <w:lang w:val="es-ES"/>
              </w:rPr>
            </w:pPr>
            <w:r w:rsidRPr="00993936">
              <w:rPr>
                <w:rFonts w:ascii="Arial" w:hAnsi="Arial" w:cs="Arial"/>
                <w:lang w:val="es-ES"/>
              </w:rPr>
              <w:t>&lt; 14</w:t>
            </w:r>
          </w:p>
          <w:p w:rsidR="00503A41" w:rsidRPr="00993936" w:rsidRDefault="00503A41" w:rsidP="001D205D">
            <w:pPr>
              <w:pStyle w:val="Sinespaciado"/>
              <w:rPr>
                <w:rFonts w:ascii="Arial" w:hAnsi="Arial" w:cs="Arial"/>
                <w:lang w:val="es-ES"/>
              </w:rPr>
            </w:pPr>
            <w:r w:rsidRPr="00993936">
              <w:rPr>
                <w:rFonts w:ascii="Arial" w:hAnsi="Arial" w:cs="Arial"/>
                <w:lang w:val="es-ES"/>
              </w:rPr>
              <w:t>-</w:t>
            </w:r>
          </w:p>
        </w:tc>
        <w:tc>
          <w:tcPr>
            <w:tcW w:w="1465" w:type="dxa"/>
          </w:tcPr>
          <w:p w:rsidR="00503A41" w:rsidRPr="00993936" w:rsidRDefault="00503A41" w:rsidP="001D205D">
            <w:pPr>
              <w:pStyle w:val="Sinespaciado"/>
              <w:rPr>
                <w:rFonts w:ascii="Arial" w:hAnsi="Arial" w:cs="Arial"/>
                <w:lang w:val="es-ES"/>
              </w:rPr>
            </w:pPr>
            <w:r w:rsidRPr="00993936">
              <w:rPr>
                <w:rFonts w:ascii="Arial" w:hAnsi="Arial" w:cs="Arial"/>
                <w:lang w:val="es-ES"/>
              </w:rPr>
              <w:t>1,40 - 2,00</w:t>
            </w:r>
          </w:p>
          <w:p w:rsidR="00503A41" w:rsidRPr="00993936" w:rsidRDefault="00503A41" w:rsidP="001D205D">
            <w:pPr>
              <w:pStyle w:val="Sinespaciado"/>
              <w:rPr>
                <w:rFonts w:ascii="Arial" w:hAnsi="Arial" w:cs="Arial"/>
                <w:lang w:val="es-ES"/>
              </w:rPr>
            </w:pPr>
            <w:r w:rsidRPr="00993936">
              <w:rPr>
                <w:rFonts w:ascii="Arial" w:hAnsi="Arial" w:cs="Arial"/>
                <w:lang w:val="es-ES"/>
              </w:rPr>
              <w:t>0,08 - 0,30</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0,70 - 1,20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1,00 – 2,50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0,10 – 0,50</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0,10 – 0,25</w:t>
            </w:r>
          </w:p>
          <w:p w:rsidR="00503A41" w:rsidRPr="00993936" w:rsidRDefault="00503A41" w:rsidP="001D205D">
            <w:pPr>
              <w:pStyle w:val="Sinespaciado"/>
              <w:rPr>
                <w:rFonts w:ascii="Arial" w:hAnsi="Arial" w:cs="Arial"/>
                <w:lang w:val="es-ES"/>
              </w:rPr>
            </w:pPr>
            <w:r w:rsidRPr="00993936">
              <w:rPr>
                <w:rFonts w:ascii="Arial" w:hAnsi="Arial" w:cs="Arial"/>
                <w:lang w:val="es-ES"/>
              </w:rPr>
              <w:t>45 - 300</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 20 -150 </w:t>
            </w:r>
          </w:p>
          <w:p w:rsidR="00503A41" w:rsidRPr="00993936" w:rsidRDefault="00503A41" w:rsidP="001D205D">
            <w:pPr>
              <w:pStyle w:val="Sinespaciado"/>
              <w:rPr>
                <w:rFonts w:ascii="Arial" w:hAnsi="Arial" w:cs="Arial"/>
                <w:lang w:val="es-ES"/>
              </w:rPr>
            </w:pPr>
            <w:r w:rsidRPr="00993936">
              <w:rPr>
                <w:rFonts w:ascii="Arial" w:hAnsi="Arial" w:cs="Arial"/>
                <w:lang w:val="es-ES"/>
              </w:rPr>
              <w:t xml:space="preserve">12 - 60 </w:t>
            </w:r>
          </w:p>
          <w:p w:rsidR="00503A41" w:rsidRPr="00993936" w:rsidRDefault="00503A41" w:rsidP="001D205D">
            <w:pPr>
              <w:pStyle w:val="Sinespaciado"/>
              <w:rPr>
                <w:rFonts w:ascii="Arial" w:hAnsi="Arial" w:cs="Arial"/>
                <w:lang w:val="es-ES"/>
              </w:rPr>
            </w:pPr>
            <w:r w:rsidRPr="00993936">
              <w:rPr>
                <w:rFonts w:ascii="Arial" w:hAnsi="Arial" w:cs="Arial"/>
                <w:lang w:val="es-ES"/>
              </w:rPr>
              <w:t>4 – 40</w:t>
            </w:r>
          </w:p>
          <w:p w:rsidR="00503A41" w:rsidRPr="00993936" w:rsidRDefault="00503A41" w:rsidP="001D205D">
            <w:pPr>
              <w:pStyle w:val="Sinespaciado"/>
              <w:rPr>
                <w:rFonts w:ascii="Arial" w:hAnsi="Arial" w:cs="Arial"/>
                <w:lang w:val="es-ES"/>
              </w:rPr>
            </w:pPr>
            <w:r w:rsidRPr="00993936">
              <w:rPr>
                <w:rFonts w:ascii="Arial" w:hAnsi="Arial" w:cs="Arial"/>
                <w:lang w:val="es-ES"/>
              </w:rPr>
              <w:t>14 -100</w:t>
            </w:r>
          </w:p>
          <w:p w:rsidR="00503A41" w:rsidRPr="00993936" w:rsidRDefault="00503A41" w:rsidP="001D205D">
            <w:pPr>
              <w:pStyle w:val="Sinespaciado"/>
              <w:rPr>
                <w:rFonts w:ascii="Arial" w:hAnsi="Arial" w:cs="Arial"/>
                <w:lang w:val="es-ES"/>
              </w:rPr>
            </w:pPr>
            <w:r w:rsidRPr="00993936">
              <w:rPr>
                <w:rFonts w:ascii="Arial" w:hAnsi="Arial" w:cs="Arial"/>
                <w:lang w:val="es-ES"/>
              </w:rPr>
              <w:t>&lt; 500</w:t>
            </w:r>
          </w:p>
        </w:tc>
        <w:tc>
          <w:tcPr>
            <w:tcW w:w="1465" w:type="dxa"/>
          </w:tcPr>
          <w:p w:rsidR="00503A41" w:rsidRPr="00993936" w:rsidRDefault="00503A41" w:rsidP="001D205D">
            <w:pPr>
              <w:pStyle w:val="Sinespaciado"/>
              <w:rPr>
                <w:rFonts w:ascii="Arial" w:hAnsi="Arial" w:cs="Arial"/>
                <w:lang w:val="es-ES"/>
              </w:rPr>
            </w:pPr>
            <w:r w:rsidRPr="00993936">
              <w:rPr>
                <w:rFonts w:ascii="Arial" w:hAnsi="Arial" w:cs="Arial"/>
                <w:lang w:val="es-ES"/>
              </w:rPr>
              <w:t>&gt; 2,00</w:t>
            </w:r>
          </w:p>
          <w:p w:rsidR="00503A41" w:rsidRPr="00993936" w:rsidRDefault="00503A41" w:rsidP="001D205D">
            <w:pPr>
              <w:pStyle w:val="Sinespaciado"/>
              <w:rPr>
                <w:rFonts w:ascii="Arial" w:hAnsi="Arial" w:cs="Arial"/>
                <w:lang w:val="es-ES"/>
              </w:rPr>
            </w:pPr>
            <w:r w:rsidRPr="00993936">
              <w:rPr>
                <w:rFonts w:ascii="Arial" w:hAnsi="Arial" w:cs="Arial"/>
                <w:lang w:val="es-ES"/>
              </w:rPr>
              <w:t>&gt; 0,30</w:t>
            </w:r>
          </w:p>
          <w:p w:rsidR="00503A41" w:rsidRPr="00993936" w:rsidRDefault="00503A41" w:rsidP="001D205D">
            <w:pPr>
              <w:pStyle w:val="Sinespaciado"/>
              <w:rPr>
                <w:rFonts w:ascii="Arial" w:hAnsi="Arial" w:cs="Arial"/>
                <w:lang w:val="es-ES"/>
              </w:rPr>
            </w:pPr>
            <w:r w:rsidRPr="00993936">
              <w:rPr>
                <w:rFonts w:ascii="Arial" w:hAnsi="Arial" w:cs="Arial"/>
                <w:lang w:val="es-ES"/>
              </w:rPr>
              <w:t>&gt; 1,20</w:t>
            </w:r>
          </w:p>
          <w:p w:rsidR="00503A41" w:rsidRPr="00993936" w:rsidRDefault="00503A41" w:rsidP="001D205D">
            <w:pPr>
              <w:pStyle w:val="Sinespaciado"/>
              <w:rPr>
                <w:rFonts w:ascii="Arial" w:hAnsi="Arial" w:cs="Arial"/>
                <w:lang w:val="es-ES"/>
              </w:rPr>
            </w:pPr>
            <w:r w:rsidRPr="00993936">
              <w:rPr>
                <w:rFonts w:ascii="Arial" w:hAnsi="Arial" w:cs="Arial"/>
                <w:lang w:val="es-ES"/>
              </w:rPr>
              <w:t>&gt; 2,50</w:t>
            </w:r>
          </w:p>
          <w:p w:rsidR="00503A41" w:rsidRPr="00993936" w:rsidRDefault="00503A41" w:rsidP="001D205D">
            <w:pPr>
              <w:pStyle w:val="Sinespaciado"/>
              <w:rPr>
                <w:rFonts w:ascii="Arial" w:hAnsi="Arial" w:cs="Arial"/>
                <w:lang w:val="es-ES"/>
              </w:rPr>
            </w:pPr>
            <w:r w:rsidRPr="00993936">
              <w:rPr>
                <w:rFonts w:ascii="Arial" w:hAnsi="Arial" w:cs="Arial"/>
                <w:lang w:val="es-ES"/>
              </w:rPr>
              <w:t>&gt; 0,50</w:t>
            </w:r>
          </w:p>
          <w:p w:rsidR="00503A41" w:rsidRPr="00993936" w:rsidRDefault="00503A41" w:rsidP="001D205D">
            <w:pPr>
              <w:pStyle w:val="Sinespaciado"/>
              <w:rPr>
                <w:rFonts w:ascii="Arial" w:hAnsi="Arial" w:cs="Arial"/>
                <w:lang w:val="es-ES"/>
              </w:rPr>
            </w:pPr>
            <w:r w:rsidRPr="00993936">
              <w:rPr>
                <w:rFonts w:ascii="Arial" w:hAnsi="Arial" w:cs="Arial"/>
                <w:lang w:val="es-ES"/>
              </w:rPr>
              <w:t>&gt; 0,25</w:t>
            </w:r>
          </w:p>
          <w:p w:rsidR="00503A41" w:rsidRPr="00993936" w:rsidRDefault="00503A41" w:rsidP="001D205D">
            <w:pPr>
              <w:pStyle w:val="Sinespaciado"/>
              <w:rPr>
                <w:rFonts w:ascii="Arial" w:hAnsi="Arial" w:cs="Arial"/>
                <w:lang w:val="es-ES"/>
              </w:rPr>
            </w:pPr>
            <w:r w:rsidRPr="00993936">
              <w:rPr>
                <w:rFonts w:ascii="Arial" w:hAnsi="Arial" w:cs="Arial"/>
                <w:lang w:val="es-ES"/>
              </w:rPr>
              <w:t>&gt; 300</w:t>
            </w:r>
          </w:p>
          <w:p w:rsidR="00503A41" w:rsidRPr="00993936" w:rsidRDefault="00503A41" w:rsidP="001D205D">
            <w:pPr>
              <w:pStyle w:val="Sinespaciado"/>
              <w:rPr>
                <w:rFonts w:ascii="Arial" w:hAnsi="Arial" w:cs="Arial"/>
                <w:lang w:val="es-ES"/>
              </w:rPr>
            </w:pPr>
            <w:r w:rsidRPr="00993936">
              <w:rPr>
                <w:rFonts w:ascii="Arial" w:hAnsi="Arial" w:cs="Arial"/>
                <w:lang w:val="es-ES"/>
              </w:rPr>
              <w:t>&gt; 150</w:t>
            </w:r>
          </w:p>
          <w:p w:rsidR="00503A41" w:rsidRPr="00993936" w:rsidRDefault="00503A41" w:rsidP="001D205D">
            <w:pPr>
              <w:pStyle w:val="Sinespaciado"/>
              <w:rPr>
                <w:rFonts w:ascii="Arial" w:hAnsi="Arial" w:cs="Arial"/>
                <w:lang w:val="es-ES"/>
              </w:rPr>
            </w:pPr>
            <w:r w:rsidRPr="00993936">
              <w:rPr>
                <w:rFonts w:ascii="Arial" w:hAnsi="Arial" w:cs="Arial"/>
                <w:lang w:val="es-ES"/>
              </w:rPr>
              <w:t>&gt;  60</w:t>
            </w:r>
          </w:p>
          <w:p w:rsidR="00503A41" w:rsidRPr="00993936" w:rsidRDefault="00503A41" w:rsidP="001D205D">
            <w:pPr>
              <w:pStyle w:val="Sinespaciado"/>
              <w:rPr>
                <w:rFonts w:ascii="Arial" w:hAnsi="Arial" w:cs="Arial"/>
                <w:lang w:val="es-ES"/>
              </w:rPr>
            </w:pPr>
            <w:r w:rsidRPr="00993936">
              <w:rPr>
                <w:rFonts w:ascii="Arial" w:hAnsi="Arial" w:cs="Arial"/>
                <w:lang w:val="es-ES"/>
              </w:rPr>
              <w:t>&gt;  40</w:t>
            </w:r>
          </w:p>
          <w:p w:rsidR="00503A41" w:rsidRPr="00993936" w:rsidRDefault="00503A41" w:rsidP="001D205D">
            <w:pPr>
              <w:pStyle w:val="Sinespaciado"/>
              <w:rPr>
                <w:rFonts w:ascii="Arial" w:hAnsi="Arial" w:cs="Arial"/>
                <w:lang w:val="es-ES"/>
              </w:rPr>
            </w:pPr>
            <w:r w:rsidRPr="00993936">
              <w:rPr>
                <w:rFonts w:ascii="Arial" w:hAnsi="Arial" w:cs="Arial"/>
                <w:lang w:val="es-ES"/>
              </w:rPr>
              <w:t>&gt; 100</w:t>
            </w:r>
          </w:p>
          <w:p w:rsidR="00503A41" w:rsidRPr="00993936" w:rsidRDefault="00503A41" w:rsidP="001D205D">
            <w:pPr>
              <w:pStyle w:val="Sinespaciado"/>
              <w:rPr>
                <w:rFonts w:ascii="Arial" w:hAnsi="Arial" w:cs="Arial"/>
                <w:lang w:val="es-ES"/>
              </w:rPr>
            </w:pPr>
            <w:r w:rsidRPr="00993936">
              <w:rPr>
                <w:rFonts w:ascii="Arial" w:hAnsi="Arial" w:cs="Arial"/>
                <w:lang w:val="es-ES"/>
              </w:rPr>
              <w:t>&gt; 500</w:t>
            </w:r>
          </w:p>
        </w:tc>
      </w:tr>
    </w:tbl>
    <w:p w:rsidR="00503A41" w:rsidRPr="00993936" w:rsidRDefault="00503A41" w:rsidP="001C0FFB">
      <w:pPr>
        <w:jc w:val="both"/>
        <w:rPr>
          <w:rFonts w:ascii="Arial" w:hAnsi="Arial" w:cs="Arial"/>
          <w:lang w:val="es-ES"/>
        </w:rPr>
      </w:pPr>
      <w:r w:rsidRPr="00993936">
        <w:rPr>
          <w:rFonts w:ascii="Arial" w:hAnsi="Arial" w:cs="Arial"/>
          <w:lang w:val="es-ES"/>
        </w:rPr>
        <w:t xml:space="preserve">(*) Fuente:  Laboratorio de Análisis y Fertilidad del Suelos (Applus Agroambiental S.A.) </w:t>
      </w:r>
    </w:p>
    <w:p w:rsidR="00503A41" w:rsidRPr="00993936" w:rsidRDefault="00503A41" w:rsidP="001C0FFB">
      <w:pPr>
        <w:rPr>
          <w:rFonts w:ascii="Arial" w:hAnsi="Arial" w:cs="Arial"/>
          <w:lang w:val="es-ES"/>
        </w:rPr>
      </w:pPr>
    </w:p>
    <w:p w:rsidR="00503A41" w:rsidRPr="00993936" w:rsidRDefault="00503A41">
      <w:pPr>
        <w:rPr>
          <w:rFonts w:ascii="Arial" w:eastAsia="Times New Roman" w:hAnsi="Arial" w:cs="Arial"/>
          <w:b/>
          <w:szCs w:val="20"/>
          <w:lang w:val="es-ES" w:eastAsia="es-ES"/>
        </w:rPr>
      </w:pPr>
      <w:r w:rsidRPr="00993936">
        <w:rPr>
          <w:rFonts w:ascii="Arial" w:hAnsi="Arial" w:cs="Arial"/>
          <w:lang w:val="es-ES"/>
        </w:rPr>
        <w:br w:type="page"/>
      </w:r>
    </w:p>
    <w:p w:rsidR="00503A41" w:rsidRPr="00993936" w:rsidRDefault="00503A41" w:rsidP="001C0FFB">
      <w:pPr>
        <w:pStyle w:val="Ttulo3"/>
        <w:rPr>
          <w:rFonts w:ascii="Arial" w:hAnsi="Arial" w:cs="Arial"/>
          <w:b/>
          <w:color w:val="auto"/>
          <w:lang w:val="es-ES"/>
        </w:rPr>
      </w:pPr>
      <w:r w:rsidRPr="00993936">
        <w:rPr>
          <w:rFonts w:ascii="Arial" w:hAnsi="Arial" w:cs="Arial"/>
          <w:b/>
          <w:color w:val="auto"/>
          <w:lang w:val="es-ES"/>
        </w:rPr>
        <w:lastRenderedPageBreak/>
        <w:t>ANEXO 8</w:t>
      </w:r>
    </w:p>
    <w:p w:rsidR="00503A41" w:rsidRPr="00993936" w:rsidRDefault="00503A41" w:rsidP="001C0FFB">
      <w:pPr>
        <w:pStyle w:val="Ttulo3"/>
        <w:rPr>
          <w:rFonts w:ascii="Arial" w:hAnsi="Arial" w:cs="Arial"/>
          <w:color w:val="auto"/>
          <w:sz w:val="16"/>
          <w:szCs w:val="16"/>
          <w:lang w:val="es-ES"/>
        </w:rPr>
      </w:pPr>
    </w:p>
    <w:p w:rsidR="00503A41" w:rsidRPr="00993936" w:rsidRDefault="00503A41" w:rsidP="001C0FFB">
      <w:pPr>
        <w:pStyle w:val="Ttulo3"/>
        <w:rPr>
          <w:rFonts w:ascii="Arial" w:hAnsi="Arial" w:cs="Arial"/>
          <w:color w:val="auto"/>
          <w:lang w:val="es-ES"/>
        </w:rPr>
      </w:pPr>
      <w:r w:rsidRPr="00993936">
        <w:rPr>
          <w:rFonts w:ascii="Arial" w:hAnsi="Arial" w:cs="Arial"/>
          <w:color w:val="auto"/>
          <w:lang w:val="es-ES"/>
        </w:rPr>
        <w:t>8.1 Tabla</w:t>
      </w:r>
      <w:r w:rsidRPr="00993936">
        <w:rPr>
          <w:rFonts w:ascii="Arial" w:hAnsi="Arial" w:cs="Arial"/>
          <w:vanish/>
          <w:color w:val="auto"/>
          <w:lang w:val="es-ES"/>
        </w:rPr>
        <w:t>&lt;A[Mesa|Tabla]&gt;</w:t>
      </w:r>
      <w:r w:rsidRPr="00993936">
        <w:rPr>
          <w:rFonts w:ascii="Arial" w:hAnsi="Arial" w:cs="Arial"/>
          <w:color w:val="auto"/>
          <w:lang w:val="es-ES"/>
        </w:rPr>
        <w:t xml:space="preserve"> orientativa del contenido de nutrientes de algunos abonos</w:t>
      </w:r>
      <w:r w:rsidRPr="00993936">
        <w:rPr>
          <w:rFonts w:ascii="Arial" w:hAnsi="Arial" w:cs="Arial"/>
          <w:vanish/>
          <w:color w:val="auto"/>
          <w:lang w:val="es-ES"/>
        </w:rPr>
        <w:t>&lt;A[abonos|adobos]&gt;</w:t>
      </w:r>
      <w:r w:rsidRPr="00993936">
        <w:rPr>
          <w:rFonts w:ascii="Arial" w:hAnsi="Arial" w:cs="Arial"/>
          <w:color w:val="auto"/>
          <w:lang w:val="es-ES"/>
        </w:rPr>
        <w:t xml:space="preserve"> orgánicos </w:t>
      </w:r>
    </w:p>
    <w:p w:rsidR="00503A41" w:rsidRPr="00993936" w:rsidRDefault="00503A41" w:rsidP="001C0FFB">
      <w:pPr>
        <w:pStyle w:val="Ttulo3"/>
        <w:rPr>
          <w:rFonts w:ascii="Arial" w:hAnsi="Arial" w:cs="Arial"/>
          <w:color w:val="auto"/>
          <w:sz w:val="16"/>
          <w:szCs w:val="16"/>
          <w:lang w:val="es-ES"/>
        </w:rPr>
      </w:pPr>
    </w:p>
    <w:tbl>
      <w:tblPr>
        <w:tblW w:w="5000" w:type="pct"/>
        <w:tblCellMar>
          <w:left w:w="70" w:type="dxa"/>
          <w:right w:w="70" w:type="dxa"/>
        </w:tblCellMar>
        <w:tblLook w:val="0000" w:firstRow="0" w:lastRow="0" w:firstColumn="0" w:lastColumn="0" w:noHBand="0" w:noVBand="0"/>
      </w:tblPr>
      <w:tblGrid>
        <w:gridCol w:w="1046"/>
        <w:gridCol w:w="1377"/>
        <w:gridCol w:w="3332"/>
        <w:gridCol w:w="963"/>
        <w:gridCol w:w="963"/>
        <w:gridCol w:w="963"/>
      </w:tblGrid>
      <w:tr w:rsidR="00503A41" w:rsidRPr="00993936" w:rsidTr="001C0FFB">
        <w:trPr>
          <w:trHeight w:val="555"/>
        </w:trPr>
        <w:tc>
          <w:tcPr>
            <w:tcW w:w="647"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1C0FFB">
            <w:pPr>
              <w:jc w:val="center"/>
              <w:rPr>
                <w:rFonts w:ascii="Arial" w:hAnsi="Arial" w:cs="Arial"/>
                <w:b/>
                <w:sz w:val="20"/>
                <w:lang w:val="es-ES"/>
              </w:rPr>
            </w:pPr>
            <w:r w:rsidRPr="00993936">
              <w:rPr>
                <w:rFonts w:ascii="Arial" w:hAnsi="Arial" w:cs="Arial"/>
                <w:b/>
                <w:sz w:val="20"/>
                <w:lang w:val="es-ES"/>
              </w:rPr>
              <w:t>Ganado</w:t>
            </w:r>
          </w:p>
        </w:tc>
        <w:tc>
          <w:tcPr>
            <w:tcW w:w="839"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C0FFB">
            <w:pPr>
              <w:jc w:val="center"/>
              <w:rPr>
                <w:rFonts w:ascii="Arial" w:hAnsi="Arial" w:cs="Arial"/>
                <w:b/>
                <w:sz w:val="20"/>
                <w:lang w:val="es-ES"/>
              </w:rPr>
            </w:pPr>
            <w:r w:rsidRPr="00993936">
              <w:rPr>
                <w:rFonts w:ascii="Arial" w:hAnsi="Arial" w:cs="Arial"/>
                <w:b/>
                <w:sz w:val="20"/>
                <w:lang w:val="es-ES"/>
              </w:rPr>
              <w:t>Tipo</w:t>
            </w:r>
          </w:p>
        </w:tc>
        <w:tc>
          <w:tcPr>
            <w:tcW w:w="1930" w:type="pct"/>
            <w:tcBorders>
              <w:top w:val="single" w:sz="8" w:space="0" w:color="auto"/>
              <w:left w:val="nil"/>
              <w:bottom w:val="single" w:sz="8" w:space="0" w:color="auto"/>
              <w:right w:val="nil"/>
            </w:tcBorders>
            <w:shd w:val="clear" w:color="auto" w:fill="D9D9D9"/>
            <w:vAlign w:val="center"/>
          </w:tcPr>
          <w:p w:rsidR="00503A41" w:rsidRPr="00993936" w:rsidRDefault="00503A41" w:rsidP="001C0FFB">
            <w:pPr>
              <w:jc w:val="center"/>
              <w:rPr>
                <w:rFonts w:ascii="Arial" w:hAnsi="Arial" w:cs="Arial"/>
                <w:b/>
                <w:sz w:val="20"/>
                <w:lang w:val="es-ES"/>
              </w:rPr>
            </w:pPr>
            <w:r w:rsidRPr="00993936">
              <w:rPr>
                <w:rFonts w:ascii="Arial" w:hAnsi="Arial" w:cs="Arial"/>
                <w:b/>
                <w:sz w:val="20"/>
                <w:lang w:val="es-ES"/>
              </w:rPr>
              <w:t>Fase / Sistema Productivo</w:t>
            </w:r>
          </w:p>
        </w:tc>
        <w:tc>
          <w:tcPr>
            <w:tcW w:w="468" w:type="pct"/>
            <w:tcBorders>
              <w:top w:val="single" w:sz="8" w:space="0" w:color="auto"/>
              <w:left w:val="single" w:sz="8" w:space="0" w:color="auto"/>
              <w:bottom w:val="single" w:sz="8" w:space="0" w:color="auto"/>
              <w:right w:val="single" w:sz="8" w:space="0" w:color="auto"/>
            </w:tcBorders>
            <w:shd w:val="clear" w:color="auto" w:fill="D9D9D9"/>
            <w:vAlign w:val="center"/>
          </w:tcPr>
          <w:p w:rsidR="00503A41" w:rsidRPr="00993936" w:rsidRDefault="00503A41" w:rsidP="001C0FFB">
            <w:pPr>
              <w:jc w:val="center"/>
              <w:rPr>
                <w:rFonts w:ascii="Arial" w:hAnsi="Arial" w:cs="Arial"/>
                <w:b/>
                <w:sz w:val="20"/>
                <w:lang w:val="es-ES"/>
              </w:rPr>
            </w:pPr>
            <w:r w:rsidRPr="00993936">
              <w:rPr>
                <w:rFonts w:ascii="Arial" w:hAnsi="Arial" w:cs="Arial"/>
                <w:b/>
                <w:sz w:val="20"/>
                <w:lang w:val="es-ES"/>
              </w:rPr>
              <w:t>Kg N/m</w:t>
            </w:r>
            <w:r w:rsidRPr="00993936">
              <w:rPr>
                <w:rFonts w:ascii="Arial" w:hAnsi="Arial" w:cs="Arial"/>
                <w:b/>
                <w:sz w:val="20"/>
                <w:vertAlign w:val="superscript"/>
                <w:lang w:val="es-ES"/>
              </w:rPr>
              <w:t>3</w:t>
            </w:r>
            <w:r w:rsidRPr="00993936">
              <w:rPr>
                <w:rFonts w:ascii="Arial" w:hAnsi="Arial" w:cs="Arial"/>
                <w:b/>
                <w:sz w:val="20"/>
                <w:lang w:val="es-ES"/>
              </w:rPr>
              <w:t xml:space="preserve"> o tonelada</w:t>
            </w:r>
          </w:p>
        </w:tc>
        <w:tc>
          <w:tcPr>
            <w:tcW w:w="576"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C0FFB">
            <w:pPr>
              <w:jc w:val="center"/>
              <w:rPr>
                <w:rFonts w:ascii="Arial" w:hAnsi="Arial" w:cs="Arial"/>
                <w:b/>
                <w:sz w:val="20"/>
                <w:lang w:val="es-ES"/>
              </w:rPr>
            </w:pPr>
            <w:r w:rsidRPr="00993936">
              <w:rPr>
                <w:rFonts w:ascii="Arial" w:hAnsi="Arial" w:cs="Arial"/>
                <w:b/>
                <w:sz w:val="20"/>
                <w:lang w:val="es-ES"/>
              </w:rPr>
              <w:t>Kg P</w:t>
            </w:r>
            <w:r w:rsidRPr="00993936">
              <w:rPr>
                <w:rFonts w:ascii="Arial" w:hAnsi="Arial" w:cs="Arial"/>
                <w:b/>
                <w:sz w:val="20"/>
                <w:vertAlign w:val="subscript"/>
                <w:lang w:val="es-ES"/>
              </w:rPr>
              <w:t>2</w:t>
            </w:r>
            <w:r w:rsidRPr="00993936">
              <w:rPr>
                <w:rFonts w:ascii="Arial" w:hAnsi="Arial" w:cs="Arial"/>
                <w:b/>
                <w:sz w:val="20"/>
                <w:lang w:val="es-ES"/>
              </w:rPr>
              <w:t>O</w:t>
            </w:r>
            <w:r w:rsidRPr="00993936">
              <w:rPr>
                <w:rFonts w:ascii="Arial" w:hAnsi="Arial" w:cs="Arial"/>
                <w:b/>
                <w:sz w:val="20"/>
                <w:vertAlign w:val="subscript"/>
                <w:lang w:val="es-ES"/>
              </w:rPr>
              <w:t>5</w:t>
            </w:r>
            <w:r w:rsidRPr="00993936">
              <w:rPr>
                <w:rFonts w:ascii="Arial" w:hAnsi="Arial" w:cs="Arial"/>
                <w:b/>
                <w:sz w:val="20"/>
                <w:lang w:val="es-ES"/>
              </w:rPr>
              <w:t>/m</w:t>
            </w:r>
            <w:r w:rsidRPr="00993936">
              <w:rPr>
                <w:rFonts w:ascii="Arial" w:hAnsi="Arial" w:cs="Arial"/>
                <w:b/>
                <w:sz w:val="20"/>
                <w:vertAlign w:val="superscript"/>
                <w:lang w:val="es-ES"/>
              </w:rPr>
              <w:t xml:space="preserve">3 </w:t>
            </w:r>
            <w:r w:rsidRPr="00993936">
              <w:rPr>
                <w:rFonts w:ascii="Arial" w:hAnsi="Arial" w:cs="Arial"/>
                <w:b/>
                <w:sz w:val="20"/>
                <w:lang w:val="es-ES"/>
              </w:rPr>
              <w:t>o tonelada</w:t>
            </w:r>
          </w:p>
        </w:tc>
        <w:tc>
          <w:tcPr>
            <w:tcW w:w="540" w:type="pct"/>
            <w:tcBorders>
              <w:top w:val="single" w:sz="8" w:space="0" w:color="auto"/>
              <w:left w:val="nil"/>
              <w:bottom w:val="single" w:sz="8" w:space="0" w:color="auto"/>
              <w:right w:val="single" w:sz="8" w:space="0" w:color="auto"/>
            </w:tcBorders>
            <w:shd w:val="clear" w:color="auto" w:fill="D9D9D9"/>
            <w:vAlign w:val="center"/>
          </w:tcPr>
          <w:p w:rsidR="00503A41" w:rsidRPr="00993936" w:rsidRDefault="00503A41" w:rsidP="001C0FFB">
            <w:pPr>
              <w:jc w:val="center"/>
              <w:rPr>
                <w:rFonts w:ascii="Arial" w:hAnsi="Arial" w:cs="Arial"/>
                <w:b/>
                <w:sz w:val="20"/>
                <w:lang w:val="es-ES"/>
              </w:rPr>
            </w:pPr>
            <w:r w:rsidRPr="00993936">
              <w:rPr>
                <w:rFonts w:ascii="Arial" w:hAnsi="Arial" w:cs="Arial"/>
                <w:b/>
                <w:sz w:val="20"/>
                <w:lang w:val="es-ES"/>
              </w:rPr>
              <w:t>Kg K</w:t>
            </w:r>
            <w:r w:rsidRPr="00993936">
              <w:rPr>
                <w:rFonts w:ascii="Arial" w:hAnsi="Arial" w:cs="Arial"/>
                <w:b/>
                <w:sz w:val="20"/>
                <w:vertAlign w:val="subscript"/>
                <w:lang w:val="es-ES"/>
              </w:rPr>
              <w:t>2</w:t>
            </w:r>
            <w:r w:rsidRPr="00993936">
              <w:rPr>
                <w:rFonts w:ascii="Arial" w:hAnsi="Arial" w:cs="Arial"/>
                <w:b/>
                <w:sz w:val="20"/>
                <w:lang w:val="es-ES"/>
              </w:rPr>
              <w:t>O/m</w:t>
            </w:r>
            <w:r w:rsidRPr="00993936">
              <w:rPr>
                <w:rFonts w:ascii="Arial" w:hAnsi="Arial" w:cs="Arial"/>
                <w:b/>
                <w:sz w:val="20"/>
                <w:vertAlign w:val="superscript"/>
                <w:lang w:val="es-ES"/>
              </w:rPr>
              <w:t xml:space="preserve">3 </w:t>
            </w:r>
            <w:r w:rsidRPr="00993936">
              <w:rPr>
                <w:rFonts w:ascii="Arial" w:hAnsi="Arial" w:cs="Arial"/>
                <w:b/>
                <w:sz w:val="20"/>
                <w:lang w:val="es-ES"/>
              </w:rPr>
              <w:t>o tonelada</w:t>
            </w:r>
          </w:p>
        </w:tc>
      </w:tr>
      <w:tr w:rsidR="00503A41" w:rsidRPr="00993936" w:rsidTr="001C0FFB">
        <w:trPr>
          <w:trHeight w:val="300"/>
        </w:trPr>
        <w:tc>
          <w:tcPr>
            <w:tcW w:w="647" w:type="pct"/>
            <w:vMerge w:val="restart"/>
            <w:tcBorders>
              <w:top w:val="nil"/>
              <w:left w:val="single" w:sz="8" w:space="0" w:color="auto"/>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Porcino</w:t>
            </w:r>
          </w:p>
        </w:tc>
        <w:tc>
          <w:tcPr>
            <w:tcW w:w="839" w:type="pct"/>
            <w:vMerge w:val="restart"/>
            <w:tcBorders>
              <w:top w:val="nil"/>
              <w:left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Purín</w:t>
            </w: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Engorde</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5,7</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3,6</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4,2</w:t>
            </w:r>
          </w:p>
        </w:tc>
      </w:tr>
      <w:tr w:rsidR="00503A41" w:rsidRPr="00993936" w:rsidTr="001C0FFB">
        <w:trPr>
          <w:trHeight w:val="300"/>
        </w:trPr>
        <w:tc>
          <w:tcPr>
            <w:tcW w:w="647" w:type="pct"/>
            <w:vMerge/>
            <w:tcBorders>
              <w:left w:val="single" w:sz="8" w:space="0" w:color="auto"/>
              <w:right w:val="nil"/>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Reproductora</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2,9</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2,1</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1,8</w:t>
            </w:r>
          </w:p>
        </w:tc>
      </w:tr>
      <w:tr w:rsidR="00503A41" w:rsidRPr="00993936" w:rsidTr="001C0FFB">
        <w:trPr>
          <w:trHeight w:val="300"/>
        </w:trPr>
        <w:tc>
          <w:tcPr>
            <w:tcW w:w="647" w:type="pct"/>
            <w:vMerge/>
            <w:tcBorders>
              <w:left w:val="single" w:sz="8" w:space="0" w:color="auto"/>
              <w:right w:val="nil"/>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Cochinillos (6-20kg)</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3,4</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2,6</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1,7</w:t>
            </w:r>
          </w:p>
        </w:tc>
      </w:tr>
      <w:tr w:rsidR="00503A41" w:rsidRPr="00993936" w:rsidTr="001C0FFB">
        <w:trPr>
          <w:trHeight w:val="300"/>
        </w:trPr>
        <w:tc>
          <w:tcPr>
            <w:tcW w:w="647" w:type="pct"/>
            <w:vMerge/>
            <w:tcBorders>
              <w:left w:val="single" w:sz="8" w:space="0" w:color="auto"/>
              <w:bottom w:val="nil"/>
              <w:right w:val="nil"/>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single" w:sz="8" w:space="0" w:color="auto"/>
              <w:bottom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Ciclo cerrado</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3,4</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2,4</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2,5</w:t>
            </w:r>
          </w:p>
        </w:tc>
      </w:tr>
      <w:tr w:rsidR="00503A41" w:rsidRPr="00993936" w:rsidTr="001C0FFB">
        <w:trPr>
          <w:trHeight w:val="300"/>
        </w:trPr>
        <w:tc>
          <w:tcPr>
            <w:tcW w:w="647"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Ganado vacuno</w:t>
            </w:r>
          </w:p>
        </w:tc>
        <w:tc>
          <w:tcPr>
            <w:tcW w:w="839" w:type="pct"/>
            <w:vMerge w:val="restart"/>
            <w:tcBorders>
              <w:top w:val="single" w:sz="8" w:space="0" w:color="auto"/>
              <w:left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Purín</w:t>
            </w:r>
          </w:p>
        </w:tc>
        <w:tc>
          <w:tcPr>
            <w:tcW w:w="1930" w:type="pct"/>
            <w:tcBorders>
              <w:top w:val="single" w:sz="8" w:space="0" w:color="auto"/>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Vaca de leche</w:t>
            </w:r>
          </w:p>
        </w:tc>
        <w:tc>
          <w:tcPr>
            <w:tcW w:w="468" w:type="pct"/>
            <w:tcBorders>
              <w:top w:val="single" w:sz="8" w:space="0" w:color="auto"/>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3,3</w:t>
            </w:r>
          </w:p>
        </w:tc>
        <w:tc>
          <w:tcPr>
            <w:tcW w:w="576" w:type="pct"/>
            <w:tcBorders>
              <w:top w:val="single" w:sz="8" w:space="0" w:color="auto"/>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1,5</w:t>
            </w:r>
          </w:p>
        </w:tc>
        <w:tc>
          <w:tcPr>
            <w:tcW w:w="540" w:type="pct"/>
            <w:tcBorders>
              <w:top w:val="single" w:sz="8" w:space="0" w:color="auto"/>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3,4</w:t>
            </w:r>
          </w:p>
        </w:tc>
      </w:tr>
      <w:tr w:rsidR="00503A41" w:rsidRPr="00993936" w:rsidTr="001C0FFB">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nil"/>
              <w:bottom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Engorde terneros</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5,2</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1,7</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3,6</w:t>
            </w:r>
          </w:p>
        </w:tc>
      </w:tr>
      <w:tr w:rsidR="00503A41" w:rsidRPr="00993936" w:rsidTr="001C0FFB">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val="restart"/>
            <w:tcBorders>
              <w:top w:val="single" w:sz="8" w:space="0" w:color="auto"/>
              <w:left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Estiércol</w:t>
            </w:r>
          </w:p>
          <w:p w:rsidR="00503A41" w:rsidRPr="00993936" w:rsidRDefault="00503A41" w:rsidP="001C0FFB">
            <w:pPr>
              <w:jc w:val="center"/>
              <w:rPr>
                <w:rFonts w:ascii="Arial" w:hAnsi="Arial" w:cs="Arial"/>
                <w:sz w:val="20"/>
                <w:lang w:val="es-ES"/>
              </w:rPr>
            </w:pPr>
          </w:p>
        </w:tc>
        <w:tc>
          <w:tcPr>
            <w:tcW w:w="1930" w:type="pct"/>
            <w:tcBorders>
              <w:top w:val="single" w:sz="8" w:space="0" w:color="auto"/>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Vaca de leche</w:t>
            </w:r>
          </w:p>
        </w:tc>
        <w:tc>
          <w:tcPr>
            <w:tcW w:w="468" w:type="pct"/>
            <w:tcBorders>
              <w:top w:val="single" w:sz="8" w:space="0" w:color="auto"/>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5,5</w:t>
            </w:r>
          </w:p>
        </w:tc>
        <w:tc>
          <w:tcPr>
            <w:tcW w:w="576" w:type="pct"/>
            <w:tcBorders>
              <w:top w:val="single" w:sz="8" w:space="0" w:color="auto"/>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2,0</w:t>
            </w:r>
          </w:p>
        </w:tc>
        <w:tc>
          <w:tcPr>
            <w:tcW w:w="540" w:type="pct"/>
            <w:tcBorders>
              <w:top w:val="single" w:sz="8" w:space="0" w:color="auto"/>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7,9</w:t>
            </w:r>
          </w:p>
        </w:tc>
      </w:tr>
      <w:tr w:rsidR="00503A41" w:rsidRPr="00993936" w:rsidTr="001C0FFB">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Vaca de carne</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3,0</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2,0</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5,0</w:t>
            </w:r>
          </w:p>
        </w:tc>
      </w:tr>
      <w:tr w:rsidR="00503A41" w:rsidRPr="00993936" w:rsidTr="001C0FFB">
        <w:trPr>
          <w:trHeight w:val="300"/>
        </w:trPr>
        <w:tc>
          <w:tcPr>
            <w:tcW w:w="647" w:type="pct"/>
            <w:vMerge/>
            <w:tcBorders>
              <w:left w:val="single" w:sz="8" w:space="0" w:color="auto"/>
              <w:bottom w:val="nil"/>
              <w:right w:val="single" w:sz="8" w:space="0" w:color="auto"/>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nil"/>
              <w:bottom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single" w:sz="8" w:space="0" w:color="auto"/>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Ternero de engorde</w:t>
            </w:r>
          </w:p>
        </w:tc>
        <w:tc>
          <w:tcPr>
            <w:tcW w:w="468" w:type="pct"/>
            <w:tcBorders>
              <w:top w:val="nil"/>
              <w:left w:val="nil"/>
              <w:bottom w:val="single" w:sz="8" w:space="0" w:color="auto"/>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6,0</w:t>
            </w:r>
          </w:p>
        </w:tc>
        <w:tc>
          <w:tcPr>
            <w:tcW w:w="576" w:type="pct"/>
            <w:tcBorders>
              <w:top w:val="nil"/>
              <w:left w:val="nil"/>
              <w:bottom w:val="single" w:sz="8" w:space="0" w:color="auto"/>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5,0</w:t>
            </w:r>
          </w:p>
        </w:tc>
        <w:tc>
          <w:tcPr>
            <w:tcW w:w="540" w:type="pct"/>
            <w:tcBorders>
              <w:top w:val="nil"/>
              <w:left w:val="nil"/>
              <w:bottom w:val="single" w:sz="8" w:space="0" w:color="auto"/>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6,0</w:t>
            </w:r>
          </w:p>
        </w:tc>
      </w:tr>
      <w:tr w:rsidR="00503A41" w:rsidRPr="00993936" w:rsidTr="001C0FFB">
        <w:trPr>
          <w:trHeight w:val="300"/>
        </w:trPr>
        <w:tc>
          <w:tcPr>
            <w:tcW w:w="647"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Aves de corral</w:t>
            </w:r>
          </w:p>
        </w:tc>
        <w:tc>
          <w:tcPr>
            <w:tcW w:w="839" w:type="pct"/>
            <w:vMerge w:val="restart"/>
            <w:tcBorders>
              <w:top w:val="nil"/>
              <w:left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Gallinaza</w:t>
            </w: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Pavo</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24,9</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25,8</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20,0</w:t>
            </w:r>
          </w:p>
        </w:tc>
      </w:tr>
      <w:tr w:rsidR="00503A41" w:rsidRPr="00993936" w:rsidTr="001C0FFB">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Pollo de engorde</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22,8</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21,1</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17,7</w:t>
            </w:r>
          </w:p>
        </w:tc>
      </w:tr>
      <w:tr w:rsidR="00503A41" w:rsidRPr="00993936" w:rsidTr="001C0FFB">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Gallina ponedora</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12,5</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10,4</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8,0</w:t>
            </w:r>
          </w:p>
        </w:tc>
      </w:tr>
      <w:tr w:rsidR="00503A41" w:rsidRPr="00993936" w:rsidTr="001C0FFB">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Gallina reproductora</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17,4</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33,9</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23,6</w:t>
            </w:r>
          </w:p>
        </w:tc>
      </w:tr>
      <w:tr w:rsidR="00503A41" w:rsidRPr="00993936" w:rsidTr="001C0FFB">
        <w:trPr>
          <w:trHeight w:val="300"/>
        </w:trPr>
        <w:tc>
          <w:tcPr>
            <w:tcW w:w="647" w:type="pct"/>
            <w:vMerge/>
            <w:tcBorders>
              <w:left w:val="single" w:sz="8" w:space="0" w:color="auto"/>
              <w:bottom w:val="nil"/>
              <w:right w:val="single" w:sz="8" w:space="0" w:color="auto"/>
            </w:tcBorders>
            <w:shd w:val="clear" w:color="auto" w:fill="FFFFFF"/>
            <w:vAlign w:val="center"/>
          </w:tcPr>
          <w:p w:rsidR="00503A41" w:rsidRPr="00993936" w:rsidRDefault="00503A41" w:rsidP="001C0FFB">
            <w:pPr>
              <w:rPr>
                <w:rFonts w:ascii="Arial" w:hAnsi="Arial" w:cs="Arial"/>
                <w:sz w:val="20"/>
                <w:lang w:val="es-ES"/>
              </w:rPr>
            </w:pPr>
          </w:p>
        </w:tc>
        <w:tc>
          <w:tcPr>
            <w:tcW w:w="839" w:type="pct"/>
            <w:vMerge/>
            <w:tcBorders>
              <w:left w:val="nil"/>
              <w:bottom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single" w:sz="8" w:space="0" w:color="auto"/>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Gallina reposición</w:t>
            </w:r>
          </w:p>
        </w:tc>
        <w:tc>
          <w:tcPr>
            <w:tcW w:w="468" w:type="pct"/>
            <w:tcBorders>
              <w:top w:val="nil"/>
              <w:left w:val="nil"/>
              <w:bottom w:val="single" w:sz="8" w:space="0" w:color="auto"/>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19,5</w:t>
            </w:r>
          </w:p>
        </w:tc>
        <w:tc>
          <w:tcPr>
            <w:tcW w:w="576" w:type="pct"/>
            <w:tcBorders>
              <w:top w:val="nil"/>
              <w:left w:val="nil"/>
              <w:bottom w:val="single" w:sz="8" w:space="0" w:color="auto"/>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45,8</w:t>
            </w:r>
          </w:p>
        </w:tc>
        <w:tc>
          <w:tcPr>
            <w:tcW w:w="540" w:type="pct"/>
            <w:tcBorders>
              <w:top w:val="nil"/>
              <w:left w:val="nil"/>
              <w:bottom w:val="single" w:sz="8" w:space="0" w:color="auto"/>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25,5</w:t>
            </w:r>
          </w:p>
        </w:tc>
      </w:tr>
      <w:tr w:rsidR="00503A41" w:rsidRPr="00993936" w:rsidTr="001C0FFB">
        <w:trPr>
          <w:trHeight w:val="300"/>
        </w:trPr>
        <w:tc>
          <w:tcPr>
            <w:tcW w:w="647" w:type="pct"/>
            <w:vMerge w:val="restart"/>
            <w:tcBorders>
              <w:top w:val="single" w:sz="8" w:space="0" w:color="auto"/>
              <w:left w:val="single" w:sz="8" w:space="0" w:color="auto"/>
              <w:right w:val="single" w:sz="8" w:space="0" w:color="auto"/>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Ovino-ganado cabrío</w:t>
            </w:r>
          </w:p>
        </w:tc>
        <w:tc>
          <w:tcPr>
            <w:tcW w:w="839" w:type="pct"/>
            <w:vMerge w:val="restart"/>
            <w:tcBorders>
              <w:top w:val="nil"/>
              <w:left w:val="nil"/>
              <w:right w:val="single" w:sz="8" w:space="0" w:color="auto"/>
            </w:tcBorders>
            <w:shd w:val="clear" w:color="auto" w:fill="FFFFFF"/>
            <w:vAlign w:val="center"/>
          </w:tcPr>
          <w:p w:rsidR="00503A41" w:rsidRPr="00993936" w:rsidRDefault="00503A41" w:rsidP="001D205D">
            <w:pPr>
              <w:jc w:val="center"/>
              <w:rPr>
                <w:rFonts w:ascii="Arial" w:hAnsi="Arial" w:cs="Arial"/>
                <w:sz w:val="20"/>
                <w:lang w:val="es-ES"/>
              </w:rPr>
            </w:pPr>
            <w:r w:rsidRPr="00993936">
              <w:rPr>
                <w:rFonts w:ascii="Arial" w:hAnsi="Arial" w:cs="Arial"/>
                <w:sz w:val="20"/>
                <w:lang w:val="es-ES"/>
              </w:rPr>
              <w:t>Estiércol</w:t>
            </w: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Oveja de carne</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9,4</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5,0</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10,0</w:t>
            </w:r>
          </w:p>
        </w:tc>
      </w:tr>
      <w:tr w:rsidR="00503A41" w:rsidRPr="00993936" w:rsidTr="001C0FFB">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839" w:type="pct"/>
            <w:vMerge/>
            <w:tcBorders>
              <w:left w:val="nil"/>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Oveja de leche</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8,1</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3,2</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8,6</w:t>
            </w:r>
          </w:p>
        </w:tc>
      </w:tr>
      <w:tr w:rsidR="00503A41" w:rsidRPr="00993936" w:rsidTr="001C0FFB">
        <w:trPr>
          <w:trHeight w:val="300"/>
        </w:trPr>
        <w:tc>
          <w:tcPr>
            <w:tcW w:w="647" w:type="pct"/>
            <w:vMerge/>
            <w:tcBorders>
              <w:left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839" w:type="pct"/>
            <w:vMerge/>
            <w:tcBorders>
              <w:left w:val="nil"/>
              <w:bottom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1930" w:type="pct"/>
            <w:tcBorders>
              <w:top w:val="nil"/>
              <w:left w:val="nil"/>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Cabra</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9,4</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5,0</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9,0</w:t>
            </w:r>
          </w:p>
        </w:tc>
      </w:tr>
      <w:tr w:rsidR="00503A41" w:rsidRPr="00993936" w:rsidTr="001C0FFB">
        <w:trPr>
          <w:trHeight w:val="300"/>
        </w:trPr>
        <w:tc>
          <w:tcPr>
            <w:tcW w:w="647" w:type="pct"/>
            <w:vMerge/>
            <w:tcBorders>
              <w:left w:val="single" w:sz="8" w:space="0" w:color="auto"/>
              <w:bottom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p>
        </w:tc>
        <w:tc>
          <w:tcPr>
            <w:tcW w:w="839" w:type="pct"/>
            <w:tcBorders>
              <w:top w:val="nil"/>
              <w:left w:val="nil"/>
              <w:bottom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purín</w:t>
            </w:r>
          </w:p>
        </w:tc>
        <w:tc>
          <w:tcPr>
            <w:tcW w:w="1930" w:type="pct"/>
            <w:tcBorders>
              <w:top w:val="single" w:sz="8" w:space="0" w:color="auto"/>
              <w:left w:val="nil"/>
              <w:bottom w:val="single" w:sz="8" w:space="0" w:color="auto"/>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Oveja de leche</w:t>
            </w:r>
          </w:p>
        </w:tc>
        <w:tc>
          <w:tcPr>
            <w:tcW w:w="468" w:type="pct"/>
            <w:tcBorders>
              <w:top w:val="single" w:sz="8" w:space="0" w:color="auto"/>
              <w:left w:val="nil"/>
              <w:bottom w:val="single" w:sz="8" w:space="0" w:color="auto"/>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7,3</w:t>
            </w:r>
          </w:p>
        </w:tc>
        <w:tc>
          <w:tcPr>
            <w:tcW w:w="576" w:type="pct"/>
            <w:tcBorders>
              <w:top w:val="single" w:sz="8" w:space="0" w:color="auto"/>
              <w:left w:val="nil"/>
              <w:bottom w:val="single" w:sz="8" w:space="0" w:color="auto"/>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3,4</w:t>
            </w:r>
          </w:p>
        </w:tc>
        <w:tc>
          <w:tcPr>
            <w:tcW w:w="540" w:type="pct"/>
            <w:tcBorders>
              <w:top w:val="single" w:sz="8" w:space="0" w:color="auto"/>
              <w:left w:val="nil"/>
              <w:bottom w:val="single" w:sz="8" w:space="0" w:color="auto"/>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7,1</w:t>
            </w:r>
          </w:p>
        </w:tc>
      </w:tr>
      <w:tr w:rsidR="00503A41" w:rsidRPr="00993936" w:rsidTr="001C0FFB">
        <w:trPr>
          <w:trHeight w:val="300"/>
        </w:trPr>
        <w:tc>
          <w:tcPr>
            <w:tcW w:w="647" w:type="pct"/>
            <w:tcBorders>
              <w:top w:val="nil"/>
              <w:left w:val="single" w:sz="8" w:space="0" w:color="auto"/>
              <w:bottom w:val="nil"/>
              <w:right w:val="single" w:sz="8" w:space="0" w:color="auto"/>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Equino</w:t>
            </w:r>
          </w:p>
        </w:tc>
        <w:tc>
          <w:tcPr>
            <w:tcW w:w="839" w:type="pct"/>
            <w:tcBorders>
              <w:top w:val="nil"/>
              <w:left w:val="nil"/>
              <w:bottom w:val="nil"/>
              <w:right w:val="nil"/>
            </w:tcBorders>
            <w:shd w:val="clear" w:color="auto" w:fill="FFFFFF"/>
          </w:tcPr>
          <w:p w:rsidR="00503A41" w:rsidRPr="00993936" w:rsidRDefault="00503A41" w:rsidP="001D205D">
            <w:pPr>
              <w:jc w:val="center"/>
              <w:rPr>
                <w:rFonts w:ascii="Arial" w:hAnsi="Arial" w:cs="Arial"/>
                <w:sz w:val="20"/>
                <w:lang w:val="es-ES"/>
              </w:rPr>
            </w:pPr>
            <w:r w:rsidRPr="00993936">
              <w:rPr>
                <w:rFonts w:ascii="Arial" w:hAnsi="Arial" w:cs="Arial"/>
                <w:sz w:val="20"/>
                <w:lang w:val="es-ES"/>
              </w:rPr>
              <w:t>Estiércol</w:t>
            </w:r>
          </w:p>
        </w:tc>
        <w:tc>
          <w:tcPr>
            <w:tcW w:w="1930" w:type="pct"/>
            <w:tcBorders>
              <w:top w:val="nil"/>
              <w:left w:val="single" w:sz="8" w:space="0" w:color="auto"/>
              <w:bottom w:val="single" w:sz="8" w:space="0" w:color="auto"/>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Caballo</w:t>
            </w:r>
          </w:p>
        </w:tc>
        <w:tc>
          <w:tcPr>
            <w:tcW w:w="468" w:type="pct"/>
            <w:tcBorders>
              <w:top w:val="nil"/>
              <w:left w:val="nil"/>
              <w:bottom w:val="single" w:sz="8" w:space="0" w:color="auto"/>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5,7</w:t>
            </w:r>
          </w:p>
        </w:tc>
        <w:tc>
          <w:tcPr>
            <w:tcW w:w="576" w:type="pct"/>
            <w:tcBorders>
              <w:top w:val="nil"/>
              <w:left w:val="nil"/>
              <w:bottom w:val="single" w:sz="8" w:space="0" w:color="auto"/>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2,1</w:t>
            </w:r>
          </w:p>
        </w:tc>
        <w:tc>
          <w:tcPr>
            <w:tcW w:w="540" w:type="pct"/>
            <w:tcBorders>
              <w:top w:val="nil"/>
              <w:left w:val="nil"/>
              <w:bottom w:val="single" w:sz="8" w:space="0" w:color="auto"/>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8,2</w:t>
            </w:r>
          </w:p>
        </w:tc>
      </w:tr>
      <w:tr w:rsidR="00503A41" w:rsidRPr="00993936" w:rsidTr="001C0FFB">
        <w:trPr>
          <w:trHeight w:val="300"/>
        </w:trPr>
        <w:tc>
          <w:tcPr>
            <w:tcW w:w="647" w:type="pct"/>
            <w:tcBorders>
              <w:top w:val="single" w:sz="8" w:space="0" w:color="auto"/>
              <w:left w:val="single" w:sz="8" w:space="0" w:color="auto"/>
              <w:bottom w:val="nil"/>
              <w:right w:val="single" w:sz="8" w:space="0" w:color="auto"/>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Cunícola</w:t>
            </w:r>
          </w:p>
        </w:tc>
        <w:tc>
          <w:tcPr>
            <w:tcW w:w="839" w:type="pct"/>
            <w:tcBorders>
              <w:top w:val="single" w:sz="8" w:space="0" w:color="auto"/>
              <w:left w:val="nil"/>
              <w:bottom w:val="nil"/>
              <w:right w:val="nil"/>
            </w:tcBorders>
            <w:shd w:val="clear" w:color="auto" w:fill="FFFFFF"/>
          </w:tcPr>
          <w:p w:rsidR="00503A41" w:rsidRPr="00993936" w:rsidRDefault="00503A41" w:rsidP="001D205D">
            <w:pPr>
              <w:jc w:val="center"/>
              <w:rPr>
                <w:rFonts w:ascii="Arial" w:hAnsi="Arial" w:cs="Arial"/>
                <w:sz w:val="20"/>
                <w:lang w:val="es-ES"/>
              </w:rPr>
            </w:pPr>
            <w:r w:rsidRPr="00993936">
              <w:rPr>
                <w:rFonts w:ascii="Arial" w:hAnsi="Arial" w:cs="Arial"/>
                <w:sz w:val="20"/>
                <w:lang w:val="es-ES"/>
              </w:rPr>
              <w:t>Estiércol</w:t>
            </w:r>
          </w:p>
        </w:tc>
        <w:tc>
          <w:tcPr>
            <w:tcW w:w="1930" w:type="pct"/>
            <w:tcBorders>
              <w:top w:val="nil"/>
              <w:left w:val="single" w:sz="8" w:space="0" w:color="auto"/>
              <w:bottom w:val="nil"/>
              <w:right w:val="nil"/>
            </w:tcBorders>
            <w:shd w:val="clear" w:color="auto" w:fill="FFFFFF"/>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Conejo</w:t>
            </w:r>
          </w:p>
        </w:tc>
        <w:tc>
          <w:tcPr>
            <w:tcW w:w="468"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8,4</w:t>
            </w:r>
          </w:p>
        </w:tc>
        <w:tc>
          <w:tcPr>
            <w:tcW w:w="576" w:type="pct"/>
            <w:tcBorders>
              <w:top w:val="nil"/>
              <w:left w:val="nil"/>
              <w:bottom w:val="nil"/>
              <w:right w:val="nil"/>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10,3</w:t>
            </w:r>
          </w:p>
        </w:tc>
        <w:tc>
          <w:tcPr>
            <w:tcW w:w="540" w:type="pct"/>
            <w:tcBorders>
              <w:top w:val="nil"/>
              <w:left w:val="nil"/>
              <w:bottom w:val="nil"/>
              <w:right w:val="single" w:sz="8" w:space="0" w:color="auto"/>
            </w:tcBorders>
            <w:shd w:val="clear" w:color="auto" w:fill="FFFFFF"/>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9,5</w:t>
            </w:r>
          </w:p>
        </w:tc>
      </w:tr>
      <w:tr w:rsidR="00503A41" w:rsidRPr="00993936" w:rsidTr="001C0FFB">
        <w:trPr>
          <w:trHeight w:val="300"/>
        </w:trPr>
        <w:tc>
          <w:tcPr>
            <w:tcW w:w="1486" w:type="pct"/>
            <w:gridSpan w:val="2"/>
            <w:vMerge w:val="restart"/>
            <w:tcBorders>
              <w:top w:val="single" w:sz="8" w:space="0" w:color="auto"/>
              <w:left w:val="single" w:sz="8" w:space="0" w:color="auto"/>
              <w:right w:val="nil"/>
            </w:tcBorders>
            <w:shd w:val="clear" w:color="auto" w:fill="FFFFFF"/>
            <w:noWrap/>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Otros*</w:t>
            </w:r>
          </w:p>
          <w:p w:rsidR="00503A41" w:rsidRPr="00993936" w:rsidRDefault="00503A41" w:rsidP="001C0FFB">
            <w:pPr>
              <w:rPr>
                <w:rFonts w:ascii="Arial" w:hAnsi="Arial" w:cs="Arial"/>
                <w:sz w:val="20"/>
                <w:lang w:val="es-ES"/>
              </w:rPr>
            </w:pPr>
            <w:r w:rsidRPr="00993936">
              <w:rPr>
                <w:rFonts w:ascii="Arial" w:hAnsi="Arial" w:cs="Arial"/>
                <w:sz w:val="20"/>
                <w:lang w:val="es-ES"/>
              </w:rPr>
              <w:t xml:space="preserve"> </w:t>
            </w:r>
          </w:p>
        </w:tc>
        <w:tc>
          <w:tcPr>
            <w:tcW w:w="1930" w:type="pct"/>
            <w:tcBorders>
              <w:top w:val="single" w:sz="8" w:space="0" w:color="auto"/>
              <w:left w:val="single" w:sz="8" w:space="0" w:color="auto"/>
              <w:bottom w:val="nil"/>
              <w:right w:val="nil"/>
            </w:tcBorders>
            <w:shd w:val="clear" w:color="auto" w:fill="FFFFFF"/>
            <w:noWrap/>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Compuesto de estiércol</w:t>
            </w:r>
          </w:p>
        </w:tc>
        <w:tc>
          <w:tcPr>
            <w:tcW w:w="468" w:type="pct"/>
            <w:tcBorders>
              <w:top w:val="single" w:sz="8" w:space="0" w:color="auto"/>
              <w:left w:val="nil"/>
              <w:bottom w:val="nil"/>
              <w:right w:val="nil"/>
            </w:tcBorders>
            <w:shd w:val="clear" w:color="auto" w:fill="FFFFFF"/>
            <w:noWrap/>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12,0</w:t>
            </w:r>
          </w:p>
        </w:tc>
        <w:tc>
          <w:tcPr>
            <w:tcW w:w="576" w:type="pct"/>
            <w:tcBorders>
              <w:top w:val="single" w:sz="8" w:space="0" w:color="auto"/>
              <w:left w:val="nil"/>
              <w:bottom w:val="nil"/>
              <w:right w:val="nil"/>
            </w:tcBorders>
            <w:shd w:val="clear" w:color="auto" w:fill="FFFFFF"/>
            <w:noWrap/>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15,6</w:t>
            </w:r>
          </w:p>
        </w:tc>
        <w:tc>
          <w:tcPr>
            <w:tcW w:w="540" w:type="pct"/>
            <w:tcBorders>
              <w:top w:val="single" w:sz="8" w:space="0" w:color="auto"/>
              <w:left w:val="nil"/>
              <w:bottom w:val="nil"/>
              <w:right w:val="single" w:sz="8" w:space="0" w:color="auto"/>
            </w:tcBorders>
            <w:shd w:val="clear" w:color="auto" w:fill="FFFFFF"/>
            <w:noWrap/>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12,5</w:t>
            </w:r>
          </w:p>
        </w:tc>
      </w:tr>
      <w:tr w:rsidR="00503A41" w:rsidRPr="00993936" w:rsidTr="001C0FFB">
        <w:trPr>
          <w:trHeight w:val="300"/>
        </w:trPr>
        <w:tc>
          <w:tcPr>
            <w:tcW w:w="1486" w:type="pct"/>
            <w:gridSpan w:val="2"/>
            <w:vMerge/>
            <w:tcBorders>
              <w:left w:val="single" w:sz="8" w:space="0" w:color="auto"/>
              <w:right w:val="nil"/>
            </w:tcBorders>
            <w:shd w:val="clear" w:color="auto" w:fill="FFFFFF"/>
            <w:noWrap/>
            <w:vAlign w:val="bottom"/>
          </w:tcPr>
          <w:p w:rsidR="00503A41" w:rsidRPr="00993936" w:rsidRDefault="00503A41" w:rsidP="001C0FFB">
            <w:pPr>
              <w:jc w:val="center"/>
              <w:rPr>
                <w:rFonts w:ascii="Arial" w:hAnsi="Arial" w:cs="Arial"/>
                <w:sz w:val="20"/>
                <w:lang w:val="es-ES"/>
              </w:rPr>
            </w:pPr>
          </w:p>
        </w:tc>
        <w:tc>
          <w:tcPr>
            <w:tcW w:w="1930" w:type="pct"/>
            <w:tcBorders>
              <w:top w:val="nil"/>
              <w:left w:val="single" w:sz="8" w:space="0" w:color="auto"/>
              <w:bottom w:val="nil"/>
              <w:right w:val="nil"/>
            </w:tcBorders>
            <w:shd w:val="clear" w:color="auto" w:fill="FFFFFF"/>
            <w:noWrap/>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Compuesto de lodos de depuradora</w:t>
            </w:r>
          </w:p>
        </w:tc>
        <w:tc>
          <w:tcPr>
            <w:tcW w:w="468" w:type="pct"/>
            <w:tcBorders>
              <w:top w:val="nil"/>
              <w:left w:val="nil"/>
              <w:bottom w:val="nil"/>
              <w:right w:val="nil"/>
            </w:tcBorders>
            <w:shd w:val="clear" w:color="auto" w:fill="FFFFFF"/>
            <w:noWrap/>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18,8</w:t>
            </w:r>
          </w:p>
        </w:tc>
        <w:tc>
          <w:tcPr>
            <w:tcW w:w="576" w:type="pct"/>
            <w:tcBorders>
              <w:top w:val="nil"/>
              <w:left w:val="nil"/>
              <w:bottom w:val="nil"/>
              <w:right w:val="nil"/>
            </w:tcBorders>
            <w:shd w:val="clear" w:color="auto" w:fill="FFFFFF"/>
            <w:noWrap/>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23,3</w:t>
            </w:r>
          </w:p>
        </w:tc>
        <w:tc>
          <w:tcPr>
            <w:tcW w:w="540" w:type="pct"/>
            <w:tcBorders>
              <w:top w:val="nil"/>
              <w:left w:val="nil"/>
              <w:bottom w:val="nil"/>
              <w:right w:val="single" w:sz="8" w:space="0" w:color="auto"/>
            </w:tcBorders>
            <w:shd w:val="clear" w:color="auto" w:fill="FFFFFF"/>
            <w:noWrap/>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6,2</w:t>
            </w:r>
          </w:p>
        </w:tc>
      </w:tr>
      <w:tr w:rsidR="00503A41" w:rsidRPr="00993936" w:rsidTr="001C0FFB">
        <w:trPr>
          <w:trHeight w:val="300"/>
        </w:trPr>
        <w:tc>
          <w:tcPr>
            <w:tcW w:w="1486" w:type="pct"/>
            <w:gridSpan w:val="2"/>
            <w:vMerge/>
            <w:tcBorders>
              <w:left w:val="single" w:sz="8" w:space="0" w:color="auto"/>
              <w:bottom w:val="single" w:sz="8" w:space="0" w:color="auto"/>
              <w:right w:val="nil"/>
            </w:tcBorders>
            <w:shd w:val="clear" w:color="auto" w:fill="FFFFFF"/>
            <w:noWrap/>
            <w:vAlign w:val="bottom"/>
          </w:tcPr>
          <w:p w:rsidR="00503A41" w:rsidRPr="00993936" w:rsidRDefault="00503A41" w:rsidP="001C0FFB">
            <w:pPr>
              <w:jc w:val="center"/>
              <w:rPr>
                <w:rFonts w:ascii="Arial" w:hAnsi="Arial" w:cs="Arial"/>
                <w:sz w:val="20"/>
                <w:lang w:val="es-ES"/>
              </w:rPr>
            </w:pPr>
          </w:p>
        </w:tc>
        <w:tc>
          <w:tcPr>
            <w:tcW w:w="1930" w:type="pct"/>
            <w:tcBorders>
              <w:top w:val="nil"/>
              <w:left w:val="single" w:sz="8" w:space="0" w:color="auto"/>
              <w:bottom w:val="single" w:sz="8" w:space="0" w:color="auto"/>
              <w:right w:val="nil"/>
            </w:tcBorders>
            <w:shd w:val="clear" w:color="auto" w:fill="FFFFFF"/>
            <w:noWrap/>
            <w:vAlign w:val="center"/>
          </w:tcPr>
          <w:p w:rsidR="00503A41" w:rsidRPr="00993936" w:rsidRDefault="00503A41" w:rsidP="001C0FFB">
            <w:pPr>
              <w:rPr>
                <w:rFonts w:ascii="Arial" w:hAnsi="Arial" w:cs="Arial"/>
                <w:sz w:val="20"/>
                <w:lang w:val="es-ES"/>
              </w:rPr>
            </w:pPr>
            <w:r w:rsidRPr="00993936">
              <w:rPr>
                <w:rFonts w:ascii="Arial" w:hAnsi="Arial" w:cs="Arial"/>
                <w:sz w:val="20"/>
                <w:lang w:val="es-ES"/>
              </w:rPr>
              <w:t>Lodos de depuradora**</w:t>
            </w:r>
          </w:p>
        </w:tc>
        <w:tc>
          <w:tcPr>
            <w:tcW w:w="468" w:type="pct"/>
            <w:tcBorders>
              <w:top w:val="nil"/>
              <w:left w:val="nil"/>
              <w:bottom w:val="single" w:sz="8" w:space="0" w:color="auto"/>
              <w:right w:val="nil"/>
            </w:tcBorders>
            <w:shd w:val="clear" w:color="auto" w:fill="FFFFFF"/>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10,5</w:t>
            </w:r>
          </w:p>
        </w:tc>
        <w:tc>
          <w:tcPr>
            <w:tcW w:w="576" w:type="pct"/>
            <w:tcBorders>
              <w:top w:val="nil"/>
              <w:left w:val="nil"/>
              <w:bottom w:val="single" w:sz="8" w:space="0" w:color="auto"/>
              <w:right w:val="nil"/>
            </w:tcBorders>
            <w:shd w:val="clear" w:color="auto" w:fill="FFFFFF"/>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13,0</w:t>
            </w:r>
          </w:p>
        </w:tc>
        <w:tc>
          <w:tcPr>
            <w:tcW w:w="540" w:type="pct"/>
            <w:tcBorders>
              <w:top w:val="nil"/>
              <w:left w:val="nil"/>
              <w:bottom w:val="single" w:sz="8" w:space="0" w:color="auto"/>
              <w:right w:val="single" w:sz="8" w:space="0" w:color="auto"/>
            </w:tcBorders>
            <w:shd w:val="clear" w:color="auto" w:fill="FFFFFF"/>
            <w:vAlign w:val="center"/>
          </w:tcPr>
          <w:p w:rsidR="00503A41" w:rsidRPr="00993936" w:rsidRDefault="00503A41" w:rsidP="001C0FFB">
            <w:pPr>
              <w:jc w:val="center"/>
              <w:rPr>
                <w:rFonts w:ascii="Arial" w:hAnsi="Arial" w:cs="Arial"/>
                <w:sz w:val="20"/>
                <w:lang w:val="es-ES"/>
              </w:rPr>
            </w:pPr>
            <w:r w:rsidRPr="00993936">
              <w:rPr>
                <w:rFonts w:ascii="Arial" w:hAnsi="Arial" w:cs="Arial"/>
                <w:sz w:val="20"/>
                <w:lang w:val="es-ES"/>
              </w:rPr>
              <w:t>1,2</w:t>
            </w:r>
          </w:p>
        </w:tc>
      </w:tr>
    </w:tbl>
    <w:p w:rsidR="00503A41" w:rsidRPr="00993936" w:rsidRDefault="00503A41" w:rsidP="001C0FFB">
      <w:pPr>
        <w:rPr>
          <w:rFonts w:ascii="Arial" w:hAnsi="Arial" w:cs="Arial"/>
          <w:sz w:val="16"/>
          <w:szCs w:val="16"/>
          <w:lang w:val="es-ES"/>
        </w:rPr>
      </w:pPr>
      <w:r w:rsidRPr="00993936">
        <w:rPr>
          <w:rFonts w:ascii="Arial" w:hAnsi="Arial" w:cs="Arial"/>
          <w:sz w:val="16"/>
          <w:szCs w:val="16"/>
          <w:lang w:val="es-ES"/>
        </w:rPr>
        <w:t>* Estos materiales están sujetos a una variabilidad asociada a las materias primas utilizadas en cada planta</w:t>
      </w:r>
    </w:p>
    <w:p w:rsidR="00503A41" w:rsidRPr="00993936" w:rsidRDefault="00503A41" w:rsidP="001C0FFB">
      <w:pPr>
        <w:rPr>
          <w:rFonts w:ascii="Arial" w:hAnsi="Arial" w:cs="Arial"/>
          <w:sz w:val="16"/>
          <w:szCs w:val="16"/>
          <w:lang w:val="es-ES"/>
        </w:rPr>
      </w:pPr>
      <w:r w:rsidRPr="00993936">
        <w:rPr>
          <w:rFonts w:ascii="Arial" w:hAnsi="Arial" w:cs="Arial"/>
          <w:sz w:val="16"/>
          <w:szCs w:val="16"/>
          <w:lang w:val="es-ES"/>
        </w:rPr>
        <w:t>** Sólo se pueden utilizar lodos de depuradora que hayan sido previamente tratados</w:t>
      </w:r>
    </w:p>
    <w:p w:rsidR="00503A41" w:rsidRPr="00993936" w:rsidRDefault="00503A41" w:rsidP="001C0FFB">
      <w:pPr>
        <w:pStyle w:val="Ttulo1"/>
        <w:rPr>
          <w:rFonts w:ascii="Arial" w:hAnsi="Arial" w:cs="Arial"/>
          <w:color w:val="auto"/>
          <w:sz w:val="16"/>
          <w:szCs w:val="16"/>
        </w:rPr>
      </w:pPr>
    </w:p>
    <w:p w:rsidR="00503A41" w:rsidRPr="00993936" w:rsidRDefault="00503A41">
      <w:pPr>
        <w:rPr>
          <w:rFonts w:ascii="Arial" w:eastAsia="Times New Roman" w:hAnsi="Arial" w:cs="Arial"/>
          <w:snapToGrid w:val="0"/>
          <w:sz w:val="23"/>
          <w:szCs w:val="20"/>
          <w:lang w:val="es-ES" w:eastAsia="es-ES"/>
        </w:rPr>
      </w:pPr>
      <w:r w:rsidRPr="00993936">
        <w:rPr>
          <w:rFonts w:ascii="Arial" w:hAnsi="Arial" w:cs="Arial"/>
          <w:lang w:val="es-ES"/>
        </w:rPr>
        <w:br w:type="page"/>
      </w:r>
    </w:p>
    <w:p w:rsidR="00503A41" w:rsidRPr="00993936" w:rsidRDefault="00503A41" w:rsidP="001C0FFB">
      <w:pPr>
        <w:pStyle w:val="Ttulo1"/>
        <w:rPr>
          <w:rFonts w:ascii="Arial" w:hAnsi="Arial" w:cs="Arial"/>
          <w:color w:val="auto"/>
        </w:rPr>
      </w:pPr>
      <w:r w:rsidRPr="00993936">
        <w:rPr>
          <w:rFonts w:ascii="Arial" w:hAnsi="Arial" w:cs="Arial"/>
          <w:color w:val="auto"/>
        </w:rPr>
        <w:lastRenderedPageBreak/>
        <w:t>ANEXO 9</w:t>
      </w:r>
    </w:p>
    <w:p w:rsidR="00503A41" w:rsidRPr="00993936" w:rsidRDefault="00503A41" w:rsidP="001C0FFB">
      <w:pPr>
        <w:jc w:val="both"/>
        <w:outlineLvl w:val="0"/>
        <w:rPr>
          <w:rFonts w:ascii="Arial" w:hAnsi="Arial" w:cs="Arial"/>
          <w:b/>
          <w:sz w:val="16"/>
          <w:szCs w:val="16"/>
          <w:lang w:val="es-ES"/>
        </w:rPr>
      </w:pPr>
    </w:p>
    <w:p w:rsidR="00503A41" w:rsidRPr="00993936" w:rsidRDefault="00503A41" w:rsidP="001C0FFB">
      <w:pPr>
        <w:jc w:val="both"/>
        <w:outlineLvl w:val="0"/>
        <w:rPr>
          <w:rFonts w:ascii="Arial" w:hAnsi="Arial" w:cs="Arial"/>
          <w:b/>
          <w:lang w:val="es-ES"/>
        </w:rPr>
      </w:pPr>
      <w:r w:rsidRPr="00993936">
        <w:rPr>
          <w:rFonts w:ascii="Arial" w:hAnsi="Arial" w:cs="Arial"/>
          <w:b/>
          <w:lang w:val="es-ES"/>
        </w:rPr>
        <w:t>9.1 Métode Merrien-Keller para el cálculo del coeficiente de uniformidad de un sistema de riego</w:t>
      </w:r>
    </w:p>
    <w:tbl>
      <w:tblPr>
        <w:tblW w:w="0" w:type="auto"/>
        <w:tblLayout w:type="fixed"/>
        <w:tblCellMar>
          <w:left w:w="70" w:type="dxa"/>
          <w:right w:w="70" w:type="dxa"/>
        </w:tblCellMar>
        <w:tblLook w:val="0000" w:firstRow="0" w:lastRow="0" w:firstColumn="0" w:lastColumn="0" w:noHBand="0" w:noVBand="0"/>
      </w:tblPr>
      <w:tblGrid>
        <w:gridCol w:w="496"/>
        <w:gridCol w:w="283"/>
        <w:gridCol w:w="709"/>
        <w:gridCol w:w="283"/>
        <w:gridCol w:w="4804"/>
        <w:gridCol w:w="1315"/>
        <w:gridCol w:w="1315"/>
      </w:tblGrid>
      <w:tr w:rsidR="00503A41" w:rsidRPr="00993936" w:rsidTr="001C0FFB">
        <w:tc>
          <w:tcPr>
            <w:tcW w:w="496" w:type="dxa"/>
          </w:tcPr>
          <w:p w:rsidR="00503A41" w:rsidRPr="00993936" w:rsidRDefault="00503A41" w:rsidP="001C0FFB">
            <w:pPr>
              <w:jc w:val="both"/>
              <w:rPr>
                <w:rFonts w:ascii="Arial" w:hAnsi="Arial" w:cs="Arial"/>
                <w:lang w:val="es-ES"/>
              </w:rPr>
            </w:pPr>
          </w:p>
        </w:tc>
        <w:tc>
          <w:tcPr>
            <w:tcW w:w="283" w:type="dxa"/>
          </w:tcPr>
          <w:p w:rsidR="00503A41" w:rsidRPr="00993936" w:rsidRDefault="00503A41" w:rsidP="001C0FFB">
            <w:pPr>
              <w:jc w:val="both"/>
              <w:rPr>
                <w:rFonts w:ascii="Arial" w:hAnsi="Arial" w:cs="Arial"/>
                <w:lang w:val="es-ES"/>
              </w:rPr>
            </w:pPr>
          </w:p>
        </w:tc>
        <w:tc>
          <w:tcPr>
            <w:tcW w:w="709" w:type="dxa"/>
          </w:tcPr>
          <w:p w:rsidR="00503A41" w:rsidRPr="00993936" w:rsidRDefault="00503A41" w:rsidP="001C0FFB">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w:t>
            </w:r>
          </w:p>
        </w:tc>
        <w:tc>
          <w:tcPr>
            <w:tcW w:w="283" w:type="dxa"/>
          </w:tcPr>
          <w:p w:rsidR="00503A41" w:rsidRPr="00993936" w:rsidRDefault="00503A41" w:rsidP="001C0FFB">
            <w:pPr>
              <w:jc w:val="both"/>
              <w:rPr>
                <w:rFonts w:ascii="Arial" w:hAnsi="Arial" w:cs="Arial"/>
                <w:lang w:val="es-ES"/>
              </w:rPr>
            </w:pPr>
          </w:p>
        </w:tc>
        <w:tc>
          <w:tcPr>
            <w:tcW w:w="4804" w:type="dxa"/>
          </w:tcPr>
          <w:p w:rsidR="00503A41" w:rsidRPr="00993936" w:rsidRDefault="00503A41" w:rsidP="001C0FFB">
            <w:pPr>
              <w:jc w:val="both"/>
              <w:rPr>
                <w:rFonts w:ascii="Arial" w:hAnsi="Arial" w:cs="Arial"/>
                <w:lang w:val="es-ES"/>
              </w:rPr>
            </w:pPr>
          </w:p>
        </w:tc>
        <w:tc>
          <w:tcPr>
            <w:tcW w:w="1315" w:type="dxa"/>
          </w:tcPr>
          <w:p w:rsidR="00503A41" w:rsidRPr="00993936" w:rsidRDefault="00503A41" w:rsidP="001C0FFB">
            <w:pPr>
              <w:jc w:val="both"/>
              <w:rPr>
                <w:rFonts w:ascii="Arial" w:hAnsi="Arial" w:cs="Arial"/>
                <w:lang w:val="es-ES"/>
              </w:rPr>
            </w:pPr>
          </w:p>
        </w:tc>
        <w:tc>
          <w:tcPr>
            <w:tcW w:w="1315" w:type="dxa"/>
          </w:tcPr>
          <w:p w:rsidR="00503A41" w:rsidRPr="00993936" w:rsidRDefault="00503A41" w:rsidP="001C0FFB">
            <w:pPr>
              <w:jc w:val="both"/>
              <w:rPr>
                <w:rFonts w:ascii="Arial" w:hAnsi="Arial" w:cs="Arial"/>
                <w:lang w:val="es-ES"/>
              </w:rPr>
            </w:pPr>
          </w:p>
        </w:tc>
      </w:tr>
      <w:tr w:rsidR="00503A41" w:rsidRPr="00993936" w:rsidTr="001C0FFB">
        <w:tc>
          <w:tcPr>
            <w:tcW w:w="496" w:type="dxa"/>
          </w:tcPr>
          <w:p w:rsidR="00503A41" w:rsidRPr="00993936" w:rsidRDefault="00C8459C" w:rsidP="001C0FFB">
            <w:pPr>
              <w:jc w:val="both"/>
              <w:rPr>
                <w:rFonts w:ascii="Arial" w:hAnsi="Arial" w:cs="Arial"/>
                <w:lang w:val="es-ES"/>
              </w:rPr>
            </w:pPr>
            <w:r>
              <w:rPr>
                <w:rFonts w:ascii="Arial" w:hAnsi="Arial" w:cs="Arial"/>
                <w:lang w:val="es-ES"/>
              </w:rPr>
              <w:pict>
                <v:line id="_x0000_s1058" style="position:absolute;left:0;text-align:left;z-index:251879424;mso-position-horizontal-relative:text;mso-position-vertical-relative:text" from="37.1pt,7.95pt" to="65.9pt,7.95pt" o:allowincell="f"/>
              </w:pict>
            </w:r>
            <w:r w:rsidR="00503A41" w:rsidRPr="00993936">
              <w:rPr>
                <w:rFonts w:ascii="Arial" w:hAnsi="Arial" w:cs="Arial"/>
                <w:lang w:val="es-ES"/>
              </w:rPr>
              <w:t>CU</w:t>
            </w:r>
          </w:p>
        </w:tc>
        <w:tc>
          <w:tcPr>
            <w:tcW w:w="283" w:type="dxa"/>
          </w:tcPr>
          <w:p w:rsidR="00503A41" w:rsidRPr="00993936" w:rsidRDefault="00503A41" w:rsidP="001C0FFB">
            <w:pPr>
              <w:jc w:val="both"/>
              <w:rPr>
                <w:rFonts w:ascii="Arial" w:hAnsi="Arial" w:cs="Arial"/>
                <w:lang w:val="es-ES"/>
              </w:rPr>
            </w:pPr>
            <w:r w:rsidRPr="00993936">
              <w:rPr>
                <w:rFonts w:ascii="Arial" w:hAnsi="Arial" w:cs="Arial"/>
                <w:lang w:val="es-ES"/>
              </w:rPr>
              <w:t>=</w:t>
            </w:r>
          </w:p>
        </w:tc>
        <w:tc>
          <w:tcPr>
            <w:tcW w:w="709" w:type="dxa"/>
          </w:tcPr>
          <w:p w:rsidR="00503A41" w:rsidRPr="00993936" w:rsidRDefault="00503A41" w:rsidP="001C0FFB">
            <w:pPr>
              <w:jc w:val="center"/>
              <w:rPr>
                <w:rFonts w:ascii="Arial" w:hAnsi="Arial" w:cs="Arial"/>
                <w:lang w:val="es-ES"/>
              </w:rPr>
            </w:pPr>
          </w:p>
        </w:tc>
        <w:tc>
          <w:tcPr>
            <w:tcW w:w="283" w:type="dxa"/>
          </w:tcPr>
          <w:p w:rsidR="00503A41" w:rsidRPr="00993936" w:rsidRDefault="00503A41" w:rsidP="001C0FFB">
            <w:pPr>
              <w:jc w:val="both"/>
              <w:rPr>
                <w:rFonts w:ascii="Arial" w:hAnsi="Arial" w:cs="Arial"/>
                <w:lang w:val="es-ES"/>
              </w:rPr>
            </w:pPr>
            <w:r w:rsidRPr="00993936">
              <w:rPr>
                <w:rFonts w:ascii="Arial" w:hAnsi="Arial" w:cs="Arial"/>
                <w:lang w:val="es-ES"/>
              </w:rPr>
              <w:t>x</w:t>
            </w:r>
          </w:p>
        </w:tc>
        <w:tc>
          <w:tcPr>
            <w:tcW w:w="4804" w:type="dxa"/>
          </w:tcPr>
          <w:p w:rsidR="00503A41" w:rsidRPr="00993936" w:rsidRDefault="00503A41" w:rsidP="001C0FFB">
            <w:pPr>
              <w:jc w:val="both"/>
              <w:rPr>
                <w:rFonts w:ascii="Arial" w:hAnsi="Arial" w:cs="Arial"/>
                <w:lang w:val="es-ES"/>
              </w:rPr>
            </w:pPr>
            <w:r w:rsidRPr="00993936">
              <w:rPr>
                <w:rFonts w:ascii="Arial" w:hAnsi="Arial" w:cs="Arial"/>
                <w:lang w:val="es-ES"/>
              </w:rPr>
              <w:t>100</w:t>
            </w:r>
          </w:p>
        </w:tc>
        <w:tc>
          <w:tcPr>
            <w:tcW w:w="1315" w:type="dxa"/>
          </w:tcPr>
          <w:p w:rsidR="00503A41" w:rsidRPr="00993936" w:rsidRDefault="00503A41" w:rsidP="001C0FFB">
            <w:pPr>
              <w:jc w:val="both"/>
              <w:rPr>
                <w:rFonts w:ascii="Arial" w:hAnsi="Arial" w:cs="Arial"/>
                <w:lang w:val="es-ES"/>
              </w:rPr>
            </w:pPr>
          </w:p>
        </w:tc>
        <w:tc>
          <w:tcPr>
            <w:tcW w:w="1315" w:type="dxa"/>
          </w:tcPr>
          <w:p w:rsidR="00503A41" w:rsidRPr="00993936" w:rsidRDefault="00503A41" w:rsidP="001C0FFB">
            <w:pPr>
              <w:jc w:val="both"/>
              <w:rPr>
                <w:rFonts w:ascii="Arial" w:hAnsi="Arial" w:cs="Arial"/>
                <w:lang w:val="es-ES"/>
              </w:rPr>
            </w:pPr>
          </w:p>
        </w:tc>
      </w:tr>
      <w:tr w:rsidR="00503A41" w:rsidRPr="00993936" w:rsidTr="001C0FFB">
        <w:tc>
          <w:tcPr>
            <w:tcW w:w="496" w:type="dxa"/>
          </w:tcPr>
          <w:p w:rsidR="00503A41" w:rsidRPr="00993936" w:rsidRDefault="00503A41" w:rsidP="001C0FFB">
            <w:pPr>
              <w:jc w:val="both"/>
              <w:rPr>
                <w:rFonts w:ascii="Arial" w:hAnsi="Arial" w:cs="Arial"/>
                <w:lang w:val="es-ES"/>
              </w:rPr>
            </w:pPr>
          </w:p>
        </w:tc>
        <w:tc>
          <w:tcPr>
            <w:tcW w:w="283" w:type="dxa"/>
          </w:tcPr>
          <w:p w:rsidR="00503A41" w:rsidRPr="00993936" w:rsidRDefault="00503A41" w:rsidP="001C0FFB">
            <w:pPr>
              <w:jc w:val="both"/>
              <w:rPr>
                <w:rFonts w:ascii="Arial" w:hAnsi="Arial" w:cs="Arial"/>
                <w:lang w:val="es-ES"/>
              </w:rPr>
            </w:pPr>
          </w:p>
        </w:tc>
        <w:tc>
          <w:tcPr>
            <w:tcW w:w="709" w:type="dxa"/>
          </w:tcPr>
          <w:p w:rsidR="00503A41" w:rsidRPr="00993936" w:rsidRDefault="00503A41" w:rsidP="001C0FFB">
            <w:pPr>
              <w:jc w:val="center"/>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3" w:type="dxa"/>
          </w:tcPr>
          <w:p w:rsidR="00503A41" w:rsidRPr="00993936" w:rsidRDefault="00503A41" w:rsidP="001C0FFB">
            <w:pPr>
              <w:jc w:val="both"/>
              <w:rPr>
                <w:rFonts w:ascii="Arial" w:hAnsi="Arial" w:cs="Arial"/>
                <w:lang w:val="es-ES"/>
              </w:rPr>
            </w:pPr>
          </w:p>
        </w:tc>
        <w:tc>
          <w:tcPr>
            <w:tcW w:w="4804" w:type="dxa"/>
          </w:tcPr>
          <w:p w:rsidR="00503A41" w:rsidRPr="00993936" w:rsidRDefault="00503A41" w:rsidP="001C0FFB">
            <w:pPr>
              <w:jc w:val="both"/>
              <w:rPr>
                <w:rFonts w:ascii="Arial" w:hAnsi="Arial" w:cs="Arial"/>
                <w:lang w:val="es-ES"/>
              </w:rPr>
            </w:pPr>
          </w:p>
        </w:tc>
        <w:tc>
          <w:tcPr>
            <w:tcW w:w="1315" w:type="dxa"/>
          </w:tcPr>
          <w:p w:rsidR="00503A41" w:rsidRPr="00993936" w:rsidRDefault="00503A41" w:rsidP="001C0FFB">
            <w:pPr>
              <w:jc w:val="both"/>
              <w:rPr>
                <w:rFonts w:ascii="Arial" w:hAnsi="Arial" w:cs="Arial"/>
                <w:lang w:val="es-ES"/>
              </w:rPr>
            </w:pPr>
          </w:p>
        </w:tc>
        <w:tc>
          <w:tcPr>
            <w:tcW w:w="1315" w:type="dxa"/>
          </w:tcPr>
          <w:p w:rsidR="00503A41" w:rsidRPr="00993936" w:rsidRDefault="00503A41" w:rsidP="001C0FFB">
            <w:pPr>
              <w:jc w:val="both"/>
              <w:rPr>
                <w:rFonts w:ascii="Arial" w:hAnsi="Arial" w:cs="Arial"/>
                <w:lang w:val="es-ES"/>
              </w:rPr>
            </w:pPr>
          </w:p>
        </w:tc>
      </w:tr>
    </w:tbl>
    <w:p w:rsidR="00503A41" w:rsidRPr="00993936" w:rsidRDefault="00503A41" w:rsidP="001C0FFB">
      <w:pPr>
        <w:jc w:val="both"/>
        <w:rPr>
          <w:rFonts w:ascii="Arial" w:hAnsi="Arial" w:cs="Arial"/>
          <w:b/>
          <w:snapToGrid w:val="0"/>
          <w:lang w:val="es-E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000" w:firstRow="0" w:lastRow="0" w:firstColumn="0" w:lastColumn="0" w:noHBand="0" w:noVBand="0"/>
      </w:tblPr>
      <w:tblGrid>
        <w:gridCol w:w="779"/>
        <w:gridCol w:w="284"/>
        <w:gridCol w:w="8147"/>
      </w:tblGrid>
      <w:tr w:rsidR="00503A41" w:rsidRPr="00993936" w:rsidTr="001C0FFB">
        <w:tc>
          <w:tcPr>
            <w:tcW w:w="779" w:type="dxa"/>
          </w:tcPr>
          <w:p w:rsidR="00503A41" w:rsidRPr="00993936" w:rsidRDefault="00503A41" w:rsidP="001C0FFB">
            <w:pPr>
              <w:jc w:val="both"/>
              <w:rPr>
                <w:rFonts w:ascii="Arial" w:hAnsi="Arial" w:cs="Arial"/>
                <w:lang w:val="es-ES"/>
              </w:rPr>
            </w:pPr>
            <w:r w:rsidRPr="00993936">
              <w:rPr>
                <w:rFonts w:ascii="Arial" w:hAnsi="Arial" w:cs="Arial"/>
                <w:lang w:val="es-ES"/>
              </w:rPr>
              <w:t>CU</w:t>
            </w:r>
          </w:p>
        </w:tc>
        <w:tc>
          <w:tcPr>
            <w:tcW w:w="284" w:type="dxa"/>
          </w:tcPr>
          <w:p w:rsidR="00503A41" w:rsidRPr="00993936" w:rsidRDefault="00503A41" w:rsidP="001C0FFB">
            <w:pPr>
              <w:jc w:val="both"/>
              <w:rPr>
                <w:rFonts w:ascii="Arial" w:hAnsi="Arial" w:cs="Arial"/>
                <w:lang w:val="es-ES"/>
              </w:rPr>
            </w:pPr>
            <w:r w:rsidRPr="00993936">
              <w:rPr>
                <w:rFonts w:ascii="Arial" w:hAnsi="Arial" w:cs="Arial"/>
                <w:lang w:val="es-ES"/>
              </w:rPr>
              <w:t>=</w:t>
            </w:r>
          </w:p>
        </w:tc>
        <w:tc>
          <w:tcPr>
            <w:tcW w:w="8147" w:type="dxa"/>
          </w:tcPr>
          <w:p w:rsidR="00503A41" w:rsidRPr="00993936" w:rsidRDefault="00503A41" w:rsidP="001C0FFB">
            <w:pPr>
              <w:jc w:val="both"/>
              <w:rPr>
                <w:rFonts w:ascii="Arial" w:hAnsi="Arial" w:cs="Arial"/>
                <w:lang w:val="es-ES"/>
              </w:rPr>
            </w:pPr>
            <w:r w:rsidRPr="00993936">
              <w:rPr>
                <w:rFonts w:ascii="Arial" w:hAnsi="Arial" w:cs="Arial"/>
                <w:sz w:val="20"/>
                <w:lang w:val="es-ES"/>
              </w:rPr>
              <w:t>Coeficiente de uniformidad.</w:t>
            </w:r>
          </w:p>
        </w:tc>
      </w:tr>
      <w:tr w:rsidR="00503A41" w:rsidRPr="00993936" w:rsidTr="001C0FFB">
        <w:tc>
          <w:tcPr>
            <w:tcW w:w="779" w:type="dxa"/>
          </w:tcPr>
          <w:p w:rsidR="00503A41" w:rsidRPr="00993936" w:rsidRDefault="00503A41" w:rsidP="001C0FFB">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25%</w:t>
            </w:r>
          </w:p>
        </w:tc>
        <w:tc>
          <w:tcPr>
            <w:tcW w:w="284" w:type="dxa"/>
          </w:tcPr>
          <w:p w:rsidR="00503A41" w:rsidRPr="00993936" w:rsidRDefault="00503A41" w:rsidP="001C0FFB">
            <w:pPr>
              <w:jc w:val="both"/>
              <w:rPr>
                <w:rFonts w:ascii="Arial" w:hAnsi="Arial" w:cs="Arial"/>
                <w:lang w:val="es-ES"/>
              </w:rPr>
            </w:pPr>
            <w:r w:rsidRPr="00993936">
              <w:rPr>
                <w:rFonts w:ascii="Arial" w:hAnsi="Arial" w:cs="Arial"/>
                <w:lang w:val="es-ES"/>
              </w:rPr>
              <w:t>=</w:t>
            </w:r>
          </w:p>
        </w:tc>
        <w:tc>
          <w:tcPr>
            <w:tcW w:w="8147" w:type="dxa"/>
          </w:tcPr>
          <w:p w:rsidR="00503A41" w:rsidRPr="00993936" w:rsidRDefault="00503A41" w:rsidP="001C0FFB">
            <w:pPr>
              <w:jc w:val="both"/>
              <w:outlineLvl w:val="0"/>
              <w:rPr>
                <w:rFonts w:ascii="Arial" w:hAnsi="Arial" w:cs="Arial"/>
                <w:lang w:val="es-ES"/>
              </w:rPr>
            </w:pPr>
            <w:r w:rsidRPr="00993936">
              <w:rPr>
                <w:rFonts w:ascii="Arial" w:hAnsi="Arial" w:cs="Arial"/>
                <w:sz w:val="20"/>
                <w:lang w:val="es-ES"/>
              </w:rPr>
              <w:t>Media aritmética del caudal de descarga del 25% de los emisores con caudal más reducido.</w:t>
            </w:r>
          </w:p>
        </w:tc>
      </w:tr>
      <w:tr w:rsidR="00503A41" w:rsidRPr="00993936" w:rsidTr="001C0FFB">
        <w:tc>
          <w:tcPr>
            <w:tcW w:w="779" w:type="dxa"/>
          </w:tcPr>
          <w:p w:rsidR="00503A41" w:rsidRPr="00993936" w:rsidRDefault="00503A41" w:rsidP="001C0FFB">
            <w:pPr>
              <w:jc w:val="both"/>
              <w:rPr>
                <w:rFonts w:ascii="Arial" w:hAnsi="Arial" w:cs="Arial"/>
                <w:lang w:val="es-ES"/>
              </w:rPr>
            </w:pPr>
            <w:r w:rsidRPr="00993936">
              <w:rPr>
                <w:rFonts w:ascii="Arial" w:hAnsi="Arial" w:cs="Arial"/>
                <w:lang w:val="es-ES"/>
              </w:rPr>
              <w:t>Q</w:t>
            </w:r>
            <w:r w:rsidRPr="00993936">
              <w:rPr>
                <w:rFonts w:ascii="Arial" w:hAnsi="Arial" w:cs="Arial"/>
                <w:vertAlign w:val="subscript"/>
                <w:lang w:val="es-ES"/>
              </w:rPr>
              <w:t>n</w:t>
            </w:r>
          </w:p>
        </w:tc>
        <w:tc>
          <w:tcPr>
            <w:tcW w:w="284" w:type="dxa"/>
          </w:tcPr>
          <w:p w:rsidR="00503A41" w:rsidRPr="00993936" w:rsidRDefault="00503A41" w:rsidP="001C0FFB">
            <w:pPr>
              <w:jc w:val="both"/>
              <w:rPr>
                <w:rFonts w:ascii="Arial" w:hAnsi="Arial" w:cs="Arial"/>
                <w:lang w:val="es-ES"/>
              </w:rPr>
            </w:pPr>
            <w:r w:rsidRPr="00993936">
              <w:rPr>
                <w:rFonts w:ascii="Arial" w:hAnsi="Arial" w:cs="Arial"/>
                <w:lang w:val="es-ES"/>
              </w:rPr>
              <w:t>=</w:t>
            </w:r>
          </w:p>
        </w:tc>
        <w:tc>
          <w:tcPr>
            <w:tcW w:w="8147" w:type="dxa"/>
          </w:tcPr>
          <w:p w:rsidR="00503A41" w:rsidRPr="00993936" w:rsidRDefault="00503A41" w:rsidP="001C0FFB">
            <w:pPr>
              <w:jc w:val="both"/>
              <w:rPr>
                <w:rFonts w:ascii="Arial" w:hAnsi="Arial" w:cs="Arial"/>
                <w:lang w:val="es-ES"/>
              </w:rPr>
            </w:pPr>
            <w:r w:rsidRPr="00993936">
              <w:rPr>
                <w:rFonts w:ascii="Arial" w:hAnsi="Arial" w:cs="Arial"/>
                <w:sz w:val="20"/>
                <w:lang w:val="es-ES"/>
              </w:rPr>
              <w:t>Caudal medio de todos los emisores</w:t>
            </w:r>
            <w:r w:rsidRPr="00993936">
              <w:rPr>
                <w:rFonts w:ascii="Arial" w:hAnsi="Arial" w:cs="Arial"/>
                <w:lang w:val="es-ES"/>
              </w:rPr>
              <w:t>.</w:t>
            </w:r>
          </w:p>
        </w:tc>
      </w:tr>
      <w:tr w:rsidR="00503A41" w:rsidRPr="00993936" w:rsidTr="001C0FFB">
        <w:tc>
          <w:tcPr>
            <w:tcW w:w="779" w:type="dxa"/>
          </w:tcPr>
          <w:p w:rsidR="00503A41" w:rsidRPr="00993936" w:rsidRDefault="00503A41" w:rsidP="001C0FFB">
            <w:pPr>
              <w:jc w:val="both"/>
              <w:rPr>
                <w:rFonts w:ascii="Arial" w:hAnsi="Arial" w:cs="Arial"/>
                <w:lang w:val="es-ES"/>
              </w:rPr>
            </w:pPr>
            <w:r w:rsidRPr="00993936">
              <w:rPr>
                <w:rFonts w:ascii="Arial" w:hAnsi="Arial" w:cs="Arial"/>
                <w:lang w:val="es-ES"/>
              </w:rPr>
              <w:t>n</w:t>
            </w:r>
          </w:p>
        </w:tc>
        <w:tc>
          <w:tcPr>
            <w:tcW w:w="284" w:type="dxa"/>
          </w:tcPr>
          <w:p w:rsidR="00503A41" w:rsidRPr="00993936" w:rsidRDefault="00503A41" w:rsidP="001C0FFB">
            <w:pPr>
              <w:jc w:val="both"/>
              <w:rPr>
                <w:rFonts w:ascii="Arial" w:hAnsi="Arial" w:cs="Arial"/>
                <w:lang w:val="es-ES"/>
              </w:rPr>
            </w:pPr>
            <w:r w:rsidRPr="00993936">
              <w:rPr>
                <w:rFonts w:ascii="Arial" w:hAnsi="Arial" w:cs="Arial"/>
                <w:lang w:val="es-ES"/>
              </w:rPr>
              <w:t>=</w:t>
            </w:r>
          </w:p>
        </w:tc>
        <w:tc>
          <w:tcPr>
            <w:tcW w:w="8147" w:type="dxa"/>
          </w:tcPr>
          <w:p w:rsidR="00503A41" w:rsidRPr="00993936" w:rsidRDefault="00503A41" w:rsidP="001C0FFB">
            <w:pPr>
              <w:jc w:val="both"/>
              <w:rPr>
                <w:rFonts w:ascii="Arial" w:hAnsi="Arial" w:cs="Arial"/>
                <w:lang w:val="es-ES"/>
              </w:rPr>
            </w:pPr>
            <w:r w:rsidRPr="00993936">
              <w:rPr>
                <w:rFonts w:ascii="Arial" w:hAnsi="Arial" w:cs="Arial"/>
                <w:sz w:val="20"/>
                <w:lang w:val="es-ES"/>
              </w:rPr>
              <w:t xml:space="preserve">Número de unidades o puestos de control (Se recomienda que n </w:t>
            </w:r>
            <w:r w:rsidR="00241200" w:rsidRPr="00993936">
              <w:rPr>
                <w:rFonts w:ascii="Arial" w:hAnsi="Arial" w:cs="Arial"/>
                <w:sz w:val="20"/>
                <w:lang w:val="es-ES"/>
              </w:rPr>
              <w:t>≥</w:t>
            </w:r>
            <w:r w:rsidRPr="00993936">
              <w:rPr>
                <w:rFonts w:ascii="Arial" w:hAnsi="Arial" w:cs="Arial"/>
                <w:sz w:val="20"/>
                <w:lang w:val="es-ES"/>
              </w:rPr>
              <w:t xml:space="preserve"> 16). En caso de que la unidad de control tenga más de un emisor, el caudal total a considerar será la suma del caudal de todos los emisores que constituyen la unidad.</w:t>
            </w:r>
          </w:p>
        </w:tc>
      </w:tr>
    </w:tbl>
    <w:p w:rsidR="00503A41" w:rsidRPr="00993936" w:rsidRDefault="00503A41" w:rsidP="001C0FFB">
      <w:pPr>
        <w:keepNext/>
        <w:outlineLvl w:val="0"/>
        <w:rPr>
          <w:rFonts w:ascii="Arial" w:hAnsi="Arial" w:cs="Arial"/>
          <w:b/>
          <w:i/>
          <w:snapToGrid w:val="0"/>
          <w:u w:val="single"/>
          <w:lang w:val="es-ES"/>
        </w:rPr>
      </w:pPr>
    </w:p>
    <w:p w:rsidR="00503A41" w:rsidRPr="00993936" w:rsidRDefault="00503A41" w:rsidP="001C0FFB">
      <w:pPr>
        <w:jc w:val="center"/>
        <w:rPr>
          <w:rFonts w:ascii="Arial" w:hAnsi="Arial" w:cs="Arial"/>
          <w:sz w:val="16"/>
          <w:szCs w:val="16"/>
          <w:lang w:val="es-ES"/>
        </w:rPr>
      </w:pPr>
      <w:r w:rsidRPr="00993936">
        <w:rPr>
          <w:rFonts w:ascii="Arial" w:hAnsi="Arial" w:cs="Arial"/>
          <w:sz w:val="16"/>
          <w:szCs w:val="16"/>
          <w:lang w:val="es-ES"/>
        </w:rPr>
        <w:t>.-.-.-.-.-.-.-.-.-.-.-.-.-.-.-.-.-.-.-.-.-.-.-.-.-.-.-.</w:t>
      </w:r>
    </w:p>
    <w:p w:rsidR="00503A41" w:rsidRPr="00993936" w:rsidRDefault="00503A41" w:rsidP="001C0FFB">
      <w:pPr>
        <w:keepNext/>
        <w:outlineLvl w:val="0"/>
        <w:rPr>
          <w:rFonts w:ascii="Arial" w:hAnsi="Arial" w:cs="Arial"/>
          <w:b/>
          <w:i/>
          <w:snapToGrid w:val="0"/>
          <w:u w:val="single"/>
          <w:lang w:val="es-ES"/>
        </w:rPr>
      </w:pPr>
    </w:p>
    <w:p w:rsidR="00503A41" w:rsidRPr="00993936" w:rsidRDefault="00503A41" w:rsidP="00424C28">
      <w:pPr>
        <w:rPr>
          <w:rFonts w:ascii="Arial" w:hAnsi="Arial" w:cs="Arial"/>
          <w:b/>
          <w:sz w:val="24"/>
          <w:szCs w:val="24"/>
          <w:lang w:val="es-ES"/>
        </w:rPr>
      </w:pPr>
    </w:p>
    <w:p w:rsidR="00503A41" w:rsidRPr="00993936" w:rsidRDefault="00503A41" w:rsidP="008260E4">
      <w:pPr>
        <w:jc w:val="both"/>
        <w:rPr>
          <w:rFonts w:ascii="Arial" w:hAnsi="Arial" w:cs="Arial"/>
          <w:lang w:val="es-ES"/>
        </w:rPr>
      </w:pPr>
    </w:p>
    <w:p w:rsidR="00503A41" w:rsidRPr="00993936" w:rsidRDefault="00503A41" w:rsidP="0009331F">
      <w:pPr>
        <w:jc w:val="both"/>
        <w:rPr>
          <w:rFonts w:ascii="Arial" w:hAnsi="Arial" w:cs="Arial"/>
          <w:b/>
          <w:sz w:val="28"/>
          <w:lang w:val="es-ES"/>
        </w:rPr>
      </w:pPr>
      <w:r w:rsidRPr="00993936">
        <w:rPr>
          <w:rFonts w:ascii="Arial" w:hAnsi="Arial" w:cs="Arial"/>
          <w:lang w:val="es-ES"/>
        </w:rPr>
        <w:br w:type="page"/>
      </w:r>
      <w:r w:rsidRPr="00993936">
        <w:rPr>
          <w:rFonts w:ascii="Arial" w:hAnsi="Arial" w:cs="Arial"/>
          <w:b/>
          <w:sz w:val="28"/>
          <w:lang w:val="es-ES"/>
        </w:rPr>
        <w:lastRenderedPageBreak/>
        <w:t>Anexo XI. Norma técnica de producción integrada de frutos secos elaborados.</w:t>
      </w:r>
    </w:p>
    <w:p w:rsidR="00503A41" w:rsidRPr="00993936" w:rsidRDefault="00503A41">
      <w:pPr>
        <w:jc w:val="both"/>
        <w:rPr>
          <w:rFonts w:ascii="Arial" w:hAnsi="Arial" w:cs="Arial"/>
          <w:snapToGrid w:val="0"/>
          <w:lang w:val="es-ES"/>
        </w:rPr>
      </w:pPr>
    </w:p>
    <w:p w:rsidR="00503A41" w:rsidRPr="00993936" w:rsidRDefault="00503A41" w:rsidP="0009331F">
      <w:pPr>
        <w:rPr>
          <w:rFonts w:ascii="Arial" w:eastAsia="Times New Roman" w:hAnsi="Arial" w:cs="Arial"/>
          <w:b/>
          <w:snapToGrid w:val="0"/>
          <w:lang w:val="es-ES" w:eastAsia="es-ES"/>
        </w:rPr>
      </w:pPr>
      <w:r w:rsidRPr="00993936">
        <w:rPr>
          <w:rFonts w:ascii="Arial" w:hAnsi="Arial" w:cs="Arial"/>
          <w:snapToGrid w:val="0"/>
          <w:lang w:val="es-ES"/>
        </w:rPr>
        <w:t>Artículo 1</w:t>
      </w:r>
      <w:r w:rsidRPr="00993936">
        <w:rPr>
          <w:rFonts w:ascii="Arial" w:hAnsi="Arial" w:cs="Arial"/>
          <w:snapToGrid w:val="0"/>
          <w:lang w:val="es-ES"/>
        </w:rPr>
        <w:br/>
      </w:r>
      <w:r w:rsidRPr="00993936">
        <w:rPr>
          <w:rFonts w:ascii="Arial" w:eastAsia="Times New Roman" w:hAnsi="Arial" w:cs="Arial"/>
          <w:b/>
          <w:snapToGrid w:val="0"/>
          <w:lang w:val="es-ES" w:eastAsia="es-ES"/>
        </w:rPr>
        <w:t>Transporte del fruto con cascara</w:t>
      </w:r>
      <w:r w:rsidRPr="00993936">
        <w:rPr>
          <w:rFonts w:ascii="Arial" w:eastAsia="Times New Roman" w:hAnsi="Arial" w:cs="Arial"/>
          <w:b/>
          <w:snapToGrid w:val="0"/>
          <w:vanish/>
          <w:lang w:val="es-ES" w:eastAsia="es-ES"/>
        </w:rPr>
        <w:t>&lt;A[caparazón|concha]&gt;</w:t>
      </w:r>
    </w:p>
    <w:p w:rsidR="00503A41" w:rsidRPr="00993936" w:rsidRDefault="00503A41">
      <w:pPr>
        <w:jc w:val="both"/>
        <w:rPr>
          <w:rFonts w:ascii="Arial" w:hAnsi="Arial" w:cs="Arial"/>
          <w:i/>
          <w:snapToGrid w:val="0"/>
          <w:lang w:val="es-ES"/>
        </w:rPr>
      </w:pPr>
      <w:r w:rsidRPr="00993936">
        <w:rPr>
          <w:rFonts w:ascii="Arial" w:hAnsi="Arial" w:cs="Arial"/>
          <w:i/>
          <w:snapToGrid w:val="0"/>
          <w:lang w:val="es-ES"/>
        </w:rPr>
        <w:t xml:space="preserve">1.1  Obligaciones </w:t>
      </w:r>
    </w:p>
    <w:p w:rsidR="00503A41" w:rsidRPr="00993936" w:rsidRDefault="00503A41" w:rsidP="0009331F">
      <w:pPr>
        <w:jc w:val="both"/>
        <w:rPr>
          <w:rFonts w:ascii="Arial" w:hAnsi="Arial" w:cs="Arial"/>
          <w:lang w:val="es-ES"/>
        </w:rPr>
      </w:pPr>
      <w:r w:rsidRPr="00993936">
        <w:rPr>
          <w:rFonts w:ascii="Arial" w:hAnsi="Arial" w:cs="Arial"/>
          <w:snapToGrid w:val="0"/>
          <w:lang w:val="es-ES"/>
        </w:rPr>
        <w:t>1.1.1 Realizar el transporte separado de frutos por</w:t>
      </w:r>
      <w:r w:rsidRPr="00993936">
        <w:rPr>
          <w:rFonts w:ascii="Arial" w:hAnsi="Arial" w:cs="Arial"/>
          <w:snapToGrid w:val="0"/>
          <w:vanish/>
          <w:lang w:val="es-ES"/>
        </w:rPr>
        <w:t>&lt;A[por|para]&gt;</w:t>
      </w:r>
      <w:r w:rsidRPr="00993936">
        <w:rPr>
          <w:rFonts w:ascii="Arial" w:hAnsi="Arial" w:cs="Arial"/>
          <w:snapToGrid w:val="0"/>
          <w:lang w:val="es-ES"/>
        </w:rPr>
        <w:t xml:space="preserve"> variedades y tipo de cáscara</w:t>
      </w:r>
      <w:r w:rsidRPr="00993936">
        <w:rPr>
          <w:rFonts w:ascii="Arial" w:hAnsi="Arial" w:cs="Arial"/>
          <w:snapToGrid w:val="0"/>
          <w:vanish/>
          <w:lang w:val="es-ES"/>
        </w:rPr>
        <w:t>&lt;A[caparazón|concha]&gt;</w:t>
      </w:r>
      <w:r w:rsidRPr="00993936">
        <w:rPr>
          <w:rFonts w:ascii="Arial" w:hAnsi="Arial" w:cs="Arial"/>
          <w:snapToGrid w:val="0"/>
          <w:lang w:val="es-ES"/>
        </w:rPr>
        <w:t>.</w:t>
      </w:r>
    </w:p>
    <w:p w:rsidR="00503A41" w:rsidRPr="00993936" w:rsidRDefault="00503A41" w:rsidP="0009331F">
      <w:pPr>
        <w:jc w:val="both"/>
        <w:rPr>
          <w:rFonts w:ascii="Arial" w:hAnsi="Arial" w:cs="Arial"/>
          <w:snapToGrid w:val="0"/>
          <w:lang w:val="es-ES"/>
        </w:rPr>
      </w:pPr>
      <w:r w:rsidRPr="00993936">
        <w:rPr>
          <w:rFonts w:ascii="Arial" w:hAnsi="Arial" w:cs="Arial"/>
          <w:lang w:val="es-ES"/>
        </w:rPr>
        <w:t>1.1.2 Utilizar métodos que permitan mantener intac</w:t>
      </w:r>
      <w:r w:rsidRPr="00993936">
        <w:rPr>
          <w:rFonts w:ascii="Arial" w:hAnsi="Arial" w:cs="Arial"/>
          <w:snapToGrid w:val="0"/>
          <w:lang w:val="es-ES"/>
        </w:rPr>
        <w:t>ta la integridad del fruto.</w:t>
      </w:r>
    </w:p>
    <w:p w:rsidR="00503A41" w:rsidRPr="00993936" w:rsidRDefault="00503A41" w:rsidP="0009331F">
      <w:pPr>
        <w:jc w:val="both"/>
        <w:rPr>
          <w:rFonts w:ascii="Arial" w:hAnsi="Arial" w:cs="Arial"/>
          <w:lang w:val="es-ES"/>
        </w:rPr>
      </w:pPr>
      <w:r w:rsidRPr="00993936">
        <w:rPr>
          <w:rFonts w:ascii="Arial" w:hAnsi="Arial" w:cs="Arial"/>
          <w:lang w:val="es-ES"/>
        </w:rPr>
        <w:t>1.1.3 Los vehículos que lleguen a las instalaciones deben estar en condiciones de higiene adecuadas y cargados exclusivamente con frutos secos.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1.1.4 Habrá una separación física, definida y señalizada, de los productos vegetales que proceden de producción integrada.</w:t>
      </w:r>
    </w:p>
    <w:p w:rsidR="00503A41" w:rsidRPr="00993936" w:rsidRDefault="00503A41" w:rsidP="0009331F">
      <w:pPr>
        <w:jc w:val="both"/>
        <w:rPr>
          <w:rFonts w:ascii="Arial" w:hAnsi="Arial" w:cs="Arial"/>
          <w:lang w:val="es-ES"/>
        </w:rPr>
      </w:pPr>
      <w:r w:rsidRPr="00993936">
        <w:rPr>
          <w:rFonts w:ascii="Arial" w:hAnsi="Arial" w:cs="Arial"/>
          <w:lang w:val="es-ES"/>
        </w:rPr>
        <w:t>1.1.5 Realizar una inspección visual de las partidas de productos vegetales cuando lleguen a la recepción, establecer un sistema de verificación de la calidad de los productos que entran. Habrá un registro de incidencias En caso de incumplimiento. Las partidas que no cumplan los requisitos anteriores se dejarán de considerar como de producción integrada.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1.1.6   Antes de cargar todos los elementos de transporte deben estar limpios</w:t>
      </w:r>
      <w:r w:rsidRPr="00993936">
        <w:rPr>
          <w:rFonts w:ascii="Arial" w:hAnsi="Arial" w:cs="Arial"/>
          <w:vanish/>
          <w:sz w:val="22"/>
          <w:szCs w:val="22"/>
          <w:lang w:val="es-ES"/>
        </w:rPr>
        <w:t>&lt;A[limpios|netos]&gt;</w:t>
      </w:r>
      <w:r w:rsidRPr="00993936">
        <w:rPr>
          <w:rFonts w:ascii="Arial" w:hAnsi="Arial" w:cs="Arial"/>
          <w:sz w:val="22"/>
          <w:szCs w:val="22"/>
          <w:lang w:val="es-ES"/>
        </w:rPr>
        <w:t>, en buen estado y exentos de plagas</w:t>
      </w:r>
      <w:r w:rsidRPr="00993936">
        <w:rPr>
          <w:rFonts w:ascii="Arial" w:hAnsi="Arial" w:cs="Arial"/>
          <w:vanish/>
          <w:sz w:val="22"/>
          <w:szCs w:val="22"/>
          <w:lang w:val="es-ES"/>
        </w:rPr>
        <w:t>&lt;A[pestes|pudores]&gt;</w:t>
      </w:r>
      <w:r w:rsidRPr="00993936">
        <w:rPr>
          <w:rFonts w:ascii="Arial" w:hAnsi="Arial" w:cs="Arial"/>
          <w:sz w:val="22"/>
          <w:szCs w:val="22"/>
          <w:lang w:val="es-ES"/>
        </w:rPr>
        <w:t xml:space="preserve"> y objetos extraños.</w:t>
      </w:r>
    </w:p>
    <w:p w:rsidR="00503A41" w:rsidRPr="00993936" w:rsidRDefault="00503A41">
      <w:pPr>
        <w:jc w:val="both"/>
        <w:rPr>
          <w:rFonts w:ascii="Arial" w:hAnsi="Arial" w:cs="Arial"/>
          <w:i/>
          <w:snapToGrid w:val="0"/>
          <w:lang w:val="es-ES"/>
        </w:rPr>
      </w:pPr>
      <w:r w:rsidRPr="00993936">
        <w:rPr>
          <w:rFonts w:ascii="Arial" w:hAnsi="Arial" w:cs="Arial"/>
          <w:i/>
          <w:snapToGrid w:val="0"/>
          <w:lang w:val="es-ES"/>
        </w:rPr>
        <w:t>1.2 Prohibiciones</w:t>
      </w:r>
    </w:p>
    <w:p w:rsidR="00503A41" w:rsidRPr="00993936" w:rsidRDefault="00503A41">
      <w:pPr>
        <w:ind w:right="-70"/>
        <w:jc w:val="both"/>
        <w:rPr>
          <w:rFonts w:ascii="Arial" w:hAnsi="Arial" w:cs="Arial"/>
          <w:snapToGrid w:val="0"/>
          <w:lang w:val="es-ES"/>
        </w:rPr>
      </w:pPr>
      <w:r w:rsidRPr="00993936">
        <w:rPr>
          <w:rFonts w:ascii="Arial" w:hAnsi="Arial" w:cs="Arial"/>
          <w:snapToGrid w:val="0"/>
          <w:lang w:val="es-ES"/>
        </w:rPr>
        <w:t>1.2.1 Transportar de forma conjunta cualquier material diferente a los frutos secos (personas, utensilios, maquinaria, etc.).</w:t>
      </w:r>
    </w:p>
    <w:p w:rsidR="00503A41" w:rsidRPr="00993936" w:rsidRDefault="00503A41">
      <w:pPr>
        <w:pStyle w:val="Textodebloque"/>
        <w:ind w:left="0"/>
        <w:rPr>
          <w:rFonts w:cs="Arial"/>
          <w:snapToGrid w:val="0"/>
          <w:sz w:val="22"/>
          <w:szCs w:val="22"/>
          <w:lang w:val="es-ES"/>
        </w:rPr>
      </w:pPr>
      <w:r w:rsidRPr="00993936">
        <w:rPr>
          <w:rFonts w:cs="Arial"/>
          <w:snapToGrid w:val="0"/>
          <w:sz w:val="22"/>
          <w:szCs w:val="22"/>
          <w:lang w:val="es-ES"/>
        </w:rPr>
        <w:t>1.2.2 Utilizar sacos no transpirables u otros tipos de envases que se hayan utilizado para usos no alimenticios.</w:t>
      </w:r>
    </w:p>
    <w:p w:rsidR="00503A41" w:rsidRPr="00993936" w:rsidRDefault="00503A41" w:rsidP="0009331F">
      <w:pPr>
        <w:jc w:val="both"/>
        <w:rPr>
          <w:rFonts w:ascii="Arial" w:hAnsi="Arial" w:cs="Arial"/>
          <w:lang w:val="es-ES"/>
        </w:rPr>
      </w:pPr>
      <w:r w:rsidRPr="00993936">
        <w:rPr>
          <w:rFonts w:ascii="Arial" w:hAnsi="Arial" w:cs="Arial"/>
          <w:lang w:val="es-ES"/>
        </w:rPr>
        <w:t>1.2.3 Almacenar productos químicos y desperdicios en la zona de recepción de productos vegetales.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 xml:space="preserve">1.3 </w:t>
      </w:r>
      <w:r w:rsidRPr="00993936">
        <w:rPr>
          <w:rFonts w:ascii="Arial" w:hAnsi="Arial" w:cs="Arial"/>
          <w:i/>
          <w:snapToGrid w:val="0"/>
          <w:lang w:val="es-ES"/>
        </w:rPr>
        <w:t>Recomendaciones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1.3.1 En caso de eventuales lluvias, realizar el transporte de los frutos en recipientes cubiertos.</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2</w:t>
      </w:r>
    </w:p>
    <w:p w:rsidR="00503A41" w:rsidRPr="00993936" w:rsidRDefault="00503A41">
      <w:pPr>
        <w:pStyle w:val="Textodebloque"/>
        <w:ind w:left="0" w:right="0"/>
        <w:rPr>
          <w:rFonts w:cs="Arial"/>
          <w:b/>
          <w:snapToGrid w:val="0"/>
          <w:sz w:val="22"/>
          <w:szCs w:val="22"/>
          <w:lang w:val="es-ES"/>
        </w:rPr>
      </w:pPr>
      <w:r w:rsidRPr="00993936">
        <w:rPr>
          <w:rFonts w:cs="Arial"/>
          <w:b/>
          <w:snapToGrid w:val="0"/>
          <w:sz w:val="22"/>
          <w:szCs w:val="22"/>
          <w:lang w:val="es-ES"/>
        </w:rPr>
        <w:t>Contenedores y receptáculos de vehículos</w:t>
      </w:r>
    </w:p>
    <w:p w:rsidR="00503A41" w:rsidRPr="00993936" w:rsidRDefault="00503A41">
      <w:pPr>
        <w:pStyle w:val="Ttulo1"/>
        <w:rPr>
          <w:rFonts w:ascii="Arial" w:hAnsi="Arial" w:cs="Arial"/>
          <w:b/>
          <w:i/>
          <w:color w:val="auto"/>
          <w:sz w:val="22"/>
          <w:szCs w:val="22"/>
        </w:rPr>
      </w:pPr>
      <w:r w:rsidRPr="00993936">
        <w:rPr>
          <w:rFonts w:ascii="Arial" w:hAnsi="Arial" w:cs="Arial"/>
          <w:b/>
          <w:i/>
          <w:color w:val="auto"/>
          <w:sz w:val="22"/>
          <w:szCs w:val="22"/>
        </w:rPr>
        <w:t>2.1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2.1.1  Los receptáculos y contenedores de los vehículos utilizados para transportar los productos vegetales deben estar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y en condiciones adecuadas de mantenimiento, para protegerlos de la contaminación. Su forma y composición deben permitir una limpieza y desinfección adecuadas.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 xml:space="preserve">2.1.2  Cuando se utilizan los receptáculos de vehículos o contenedores para transportar una carga diferente de productos vegetales o de productos alimentarios, se </w:t>
      </w:r>
      <w:r w:rsidRPr="00993936">
        <w:rPr>
          <w:rFonts w:ascii="Arial" w:hAnsi="Arial" w:cs="Arial"/>
          <w:sz w:val="22"/>
          <w:szCs w:val="22"/>
          <w:lang w:val="es-ES"/>
        </w:rPr>
        <w:lastRenderedPageBreak/>
        <w:t>tiene que proceder a una limpieza eficaz entre las cargas para evitar el riesgo de contaminación.</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2.1.3 Conservar limpios</w:t>
      </w:r>
      <w:r w:rsidRPr="00993936">
        <w:rPr>
          <w:rFonts w:ascii="Arial" w:hAnsi="Arial" w:cs="Arial"/>
          <w:vanish/>
          <w:sz w:val="22"/>
          <w:szCs w:val="22"/>
          <w:lang w:val="es-ES"/>
        </w:rPr>
        <w:t>&lt;A[limpios|netos]&gt;</w:t>
      </w:r>
      <w:r w:rsidRPr="00993936">
        <w:rPr>
          <w:rFonts w:ascii="Arial" w:hAnsi="Arial" w:cs="Arial"/>
          <w:sz w:val="22"/>
          <w:szCs w:val="22"/>
          <w:lang w:val="es-ES"/>
        </w:rPr>
        <w:t xml:space="preserve"> los cajones y recipientes utilizados para transportar y recolectar los productos vegetales y desinfectarlos cuando haga falta.</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3</w:t>
      </w:r>
    </w:p>
    <w:p w:rsidR="00503A41" w:rsidRPr="00993936" w:rsidRDefault="00503A41">
      <w:pPr>
        <w:pStyle w:val="Textodebloque"/>
        <w:ind w:left="0" w:right="0"/>
        <w:rPr>
          <w:rFonts w:cs="Arial"/>
          <w:b/>
          <w:sz w:val="22"/>
          <w:szCs w:val="22"/>
          <w:lang w:val="es-ES"/>
        </w:rPr>
      </w:pPr>
      <w:r w:rsidRPr="00993936">
        <w:rPr>
          <w:rFonts w:cs="Arial"/>
          <w:b/>
          <w:sz w:val="22"/>
          <w:szCs w:val="22"/>
          <w:lang w:val="es-ES"/>
        </w:rPr>
        <w:t xml:space="preserve">Recepción de los frutos </w:t>
      </w:r>
    </w:p>
    <w:p w:rsidR="00503A41" w:rsidRPr="00993936" w:rsidRDefault="00503A41">
      <w:pPr>
        <w:pStyle w:val="Textodebloque"/>
        <w:ind w:left="0" w:right="0"/>
        <w:rPr>
          <w:rFonts w:cs="Arial"/>
          <w:i/>
          <w:sz w:val="22"/>
          <w:szCs w:val="22"/>
          <w:lang w:val="es-ES"/>
        </w:rPr>
      </w:pPr>
      <w:r w:rsidRPr="00993936">
        <w:rPr>
          <w:rFonts w:cs="Arial"/>
          <w:i/>
          <w:sz w:val="22"/>
          <w:szCs w:val="22"/>
          <w:lang w:val="es-ES"/>
        </w:rPr>
        <w:t>3.1 Obligaciones</w:t>
      </w:r>
    </w:p>
    <w:p w:rsidR="00503A41" w:rsidRPr="00993936" w:rsidRDefault="00503A41">
      <w:pPr>
        <w:pStyle w:val="Textoindependiente"/>
        <w:widowControl w:val="0"/>
        <w:rPr>
          <w:rFonts w:cs="Arial"/>
          <w:spacing w:val="-2"/>
          <w:szCs w:val="22"/>
          <w:lang w:val="es-ES"/>
        </w:rPr>
      </w:pPr>
      <w:r w:rsidRPr="00993936">
        <w:rPr>
          <w:rFonts w:cs="Arial"/>
          <w:szCs w:val="22"/>
          <w:lang w:val="es-ES"/>
        </w:rPr>
        <w:t>3.1.1 Realizar una declaración de responsabilidad del agricultor de la identificación de los frutos procedentes de parcelas acogidas a  producción integrada.</w:t>
      </w:r>
    </w:p>
    <w:p w:rsidR="00503A41" w:rsidRPr="00993936" w:rsidRDefault="00503A41">
      <w:pPr>
        <w:widowControl w:val="0"/>
        <w:tabs>
          <w:tab w:val="left" w:pos="731"/>
        </w:tabs>
        <w:jc w:val="both"/>
        <w:rPr>
          <w:rFonts w:ascii="Arial" w:hAnsi="Arial" w:cs="Arial"/>
          <w:spacing w:val="-2"/>
          <w:lang w:val="es-ES"/>
        </w:rPr>
      </w:pPr>
      <w:r w:rsidRPr="00993936">
        <w:rPr>
          <w:rFonts w:ascii="Arial" w:hAnsi="Arial" w:cs="Arial"/>
          <w:spacing w:val="-2"/>
          <w:lang w:val="es-ES"/>
        </w:rPr>
        <w:t>3.1.2 Establecer un registro de las partidas que entran, donde conste como mínimo: el producto, la cantidad y la unidad de cultivo con tratamientos homogéneos de origen.</w:t>
      </w:r>
    </w:p>
    <w:p w:rsidR="00503A41" w:rsidRPr="00993936" w:rsidRDefault="00503A41">
      <w:pPr>
        <w:widowControl w:val="0"/>
        <w:tabs>
          <w:tab w:val="left" w:pos="731"/>
        </w:tabs>
        <w:jc w:val="both"/>
        <w:rPr>
          <w:rFonts w:ascii="Arial" w:hAnsi="Arial" w:cs="Arial"/>
          <w:lang w:val="es-ES"/>
        </w:rPr>
      </w:pPr>
      <w:r w:rsidRPr="00993936">
        <w:rPr>
          <w:rFonts w:ascii="Arial" w:hAnsi="Arial" w:cs="Arial"/>
          <w:snapToGrid w:val="0"/>
          <w:lang w:val="es-ES"/>
        </w:rPr>
        <w:t xml:space="preserve">3.1.3 </w:t>
      </w:r>
      <w:r w:rsidRPr="00993936">
        <w:rPr>
          <w:rFonts w:ascii="Arial" w:hAnsi="Arial" w:cs="Arial"/>
          <w:lang w:val="es-ES"/>
        </w:rPr>
        <w:t>Realizar una inspección visual de las partidas de productos vegetales en la recepción, estableciendo un sistema de verificación de la calidad de los productos entrantes. Habrá un registro de incidencias En caso de incumplimiento. Las partidas que no cumplan los requisitos anteriores deben dejar de considerarse de producción integrada.</w:t>
      </w:r>
    </w:p>
    <w:p w:rsidR="00503A41" w:rsidRPr="00993936" w:rsidRDefault="00503A41">
      <w:pPr>
        <w:pStyle w:val="Textoindependiente"/>
        <w:widowControl w:val="0"/>
        <w:rPr>
          <w:rFonts w:cs="Arial"/>
          <w:szCs w:val="22"/>
          <w:lang w:val="es-ES"/>
        </w:rPr>
      </w:pPr>
      <w:r w:rsidRPr="00993936">
        <w:rPr>
          <w:rFonts w:cs="Arial"/>
          <w:szCs w:val="22"/>
          <w:lang w:val="es-ES"/>
        </w:rPr>
        <w:t>3.1.4 Establecer un sistema de toma de muestras del producto sistematizada para la realización de determinaciones analíticas de calidad.</w:t>
      </w:r>
    </w:p>
    <w:p w:rsidR="00503A41" w:rsidRPr="00993936" w:rsidRDefault="00503A41" w:rsidP="009D1A2D">
      <w:pPr>
        <w:numPr>
          <w:ilvl w:val="2"/>
          <w:numId w:val="120"/>
        </w:numPr>
        <w:spacing w:after="0" w:line="240" w:lineRule="auto"/>
        <w:ind w:left="0" w:firstLine="0"/>
        <w:jc w:val="both"/>
        <w:rPr>
          <w:rFonts w:ascii="Arial" w:hAnsi="Arial" w:cs="Arial"/>
          <w:lang w:val="es-ES"/>
        </w:rPr>
      </w:pPr>
      <w:r w:rsidRPr="00993936">
        <w:rPr>
          <w:rFonts w:ascii="Arial" w:hAnsi="Arial" w:cs="Arial"/>
          <w:lang w:val="es-ES"/>
        </w:rPr>
        <w:t xml:space="preserve">Los vehículos que lleguen a las instalaciones deben estar en unas condiciones adecuadas de higiene y cargados exclusivamente con productos vegetales. </w:t>
      </w:r>
    </w:p>
    <w:p w:rsidR="00503A41" w:rsidRPr="00993936" w:rsidRDefault="00503A41">
      <w:pPr>
        <w:widowControl w:val="0"/>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4</w:t>
      </w:r>
    </w:p>
    <w:p w:rsidR="00503A41" w:rsidRPr="00993936" w:rsidRDefault="00503A41">
      <w:pPr>
        <w:pStyle w:val="titulo2"/>
        <w:tabs>
          <w:tab w:val="clear" w:pos="1134"/>
        </w:tabs>
        <w:spacing w:before="0" w:after="0" w:line="240" w:lineRule="auto"/>
        <w:rPr>
          <w:rFonts w:ascii="Arial" w:hAnsi="Arial" w:cs="Arial"/>
          <w:sz w:val="22"/>
          <w:szCs w:val="22"/>
          <w:lang w:val="es-ES"/>
        </w:rPr>
      </w:pPr>
      <w:r w:rsidRPr="00993936">
        <w:rPr>
          <w:rFonts w:ascii="Arial" w:hAnsi="Arial" w:cs="Arial"/>
          <w:sz w:val="22"/>
          <w:szCs w:val="22"/>
          <w:lang w:val="es-ES"/>
        </w:rPr>
        <w:t>Instalaciones de recepción</w:t>
      </w:r>
    </w:p>
    <w:p w:rsidR="00503A41" w:rsidRPr="00993936" w:rsidRDefault="00503A41">
      <w:pPr>
        <w:widowControl w:val="0"/>
        <w:jc w:val="both"/>
        <w:rPr>
          <w:rFonts w:ascii="Arial" w:hAnsi="Arial" w:cs="Arial"/>
          <w:i/>
          <w:lang w:val="es-ES"/>
        </w:rPr>
      </w:pPr>
      <w:r w:rsidRPr="00993936">
        <w:rPr>
          <w:rFonts w:ascii="Arial" w:hAnsi="Arial" w:cs="Arial"/>
          <w:i/>
          <w:lang w:val="es-ES"/>
        </w:rPr>
        <w:t>4.1 Obligaciones</w:t>
      </w:r>
    </w:p>
    <w:p w:rsidR="00503A41" w:rsidRPr="00993936" w:rsidRDefault="00503A41">
      <w:pPr>
        <w:tabs>
          <w:tab w:val="left" w:pos="731"/>
        </w:tabs>
        <w:jc w:val="both"/>
        <w:rPr>
          <w:rFonts w:ascii="Arial" w:hAnsi="Arial" w:cs="Arial"/>
          <w:spacing w:val="-2"/>
          <w:lang w:val="es-ES"/>
        </w:rPr>
      </w:pPr>
      <w:r w:rsidRPr="00993936">
        <w:rPr>
          <w:rFonts w:ascii="Arial" w:hAnsi="Arial" w:cs="Arial"/>
          <w:snapToGrid w:val="0"/>
          <w:lang w:val="es-ES"/>
        </w:rPr>
        <w:t>4.1.1 Utilizar tolvas de recepción que permitan una adecuada circulación del</w:t>
      </w:r>
      <w:r w:rsidRPr="00993936">
        <w:rPr>
          <w:rFonts w:ascii="Arial" w:hAnsi="Arial" w:cs="Arial"/>
          <w:lang w:val="es-ES"/>
        </w:rPr>
        <w:t xml:space="preserve"> fruto. </w:t>
      </w:r>
    </w:p>
    <w:p w:rsidR="00503A41" w:rsidRPr="00993936" w:rsidRDefault="00503A41">
      <w:pPr>
        <w:jc w:val="both"/>
        <w:rPr>
          <w:rFonts w:ascii="Arial" w:hAnsi="Arial" w:cs="Arial"/>
          <w:snapToGrid w:val="0"/>
          <w:lang w:val="es-ES"/>
        </w:rPr>
      </w:pPr>
      <w:r w:rsidRPr="00993936">
        <w:rPr>
          <w:rFonts w:ascii="Arial" w:hAnsi="Arial" w:cs="Arial"/>
          <w:snapToGrid w:val="0"/>
          <w:lang w:val="es-ES"/>
        </w:rPr>
        <w:t>4.1.2 Establecer una separación real, definida y debidamente señalizada, en el tiempo y/o en el espacio, de líneas de recepción, limpieza y almacenamiento para frutos procedentes de producción integrada.</w:t>
      </w:r>
    </w:p>
    <w:p w:rsidR="00503A41" w:rsidRPr="00993936" w:rsidRDefault="00503A41" w:rsidP="0009331F">
      <w:pPr>
        <w:jc w:val="both"/>
        <w:rPr>
          <w:rFonts w:ascii="Arial" w:hAnsi="Arial" w:cs="Arial"/>
          <w:snapToGrid w:val="0"/>
          <w:lang w:val="es-ES"/>
        </w:rPr>
      </w:pPr>
      <w:r w:rsidRPr="00993936">
        <w:rPr>
          <w:rFonts w:ascii="Arial" w:hAnsi="Arial" w:cs="Arial"/>
          <w:snapToGrid w:val="0"/>
          <w:lang w:val="es-ES"/>
        </w:rPr>
        <w:t>4.1.3 Mantener una limpieza permanente de las zonas de recepción.</w:t>
      </w:r>
    </w:p>
    <w:p w:rsidR="00503A41" w:rsidRPr="00993936" w:rsidRDefault="00503A41">
      <w:pPr>
        <w:pStyle w:val="Textoindependiente2"/>
        <w:rPr>
          <w:rFonts w:cs="Arial"/>
          <w:sz w:val="22"/>
          <w:szCs w:val="22"/>
          <w:lang w:val="es-ES"/>
        </w:rPr>
      </w:pPr>
      <w:r w:rsidRPr="00993936">
        <w:rPr>
          <w:rFonts w:cs="Arial"/>
          <w:sz w:val="22"/>
          <w:szCs w:val="22"/>
          <w:lang w:val="es-ES"/>
        </w:rPr>
        <w:t>4.1.4</w:t>
      </w:r>
      <w:r w:rsidRPr="00993936">
        <w:rPr>
          <w:rFonts w:cs="Arial"/>
          <w:b/>
          <w:sz w:val="22"/>
          <w:szCs w:val="22"/>
          <w:lang w:val="es-ES"/>
        </w:rPr>
        <w:t xml:space="preserve"> </w:t>
      </w:r>
      <w:r w:rsidRPr="00993936">
        <w:rPr>
          <w:rFonts w:cs="Arial"/>
          <w:sz w:val="22"/>
          <w:szCs w:val="22"/>
          <w:lang w:val="es-ES"/>
        </w:rPr>
        <w:t>Las instalaciones de recepción tendrán que tener en cuenta las posibles adversidades meteorológicas disponiendo de las oportunas protecciones y cubiertas necesarias para evitar el deterioro de los frutos.</w:t>
      </w:r>
    </w:p>
    <w:p w:rsidR="00503A41" w:rsidRPr="00993936" w:rsidRDefault="00503A41">
      <w:pPr>
        <w:pStyle w:val="Textoindependiente2"/>
        <w:rPr>
          <w:rFonts w:cs="Arial"/>
          <w:sz w:val="22"/>
          <w:szCs w:val="22"/>
          <w:lang w:val="es-ES"/>
        </w:rPr>
      </w:pPr>
      <w:r w:rsidRPr="00993936">
        <w:rPr>
          <w:rFonts w:cs="Arial"/>
          <w:sz w:val="22"/>
          <w:szCs w:val="22"/>
          <w:lang w:val="es-ES"/>
        </w:rPr>
        <w:t xml:space="preserve">4.1.5 Las zonas de maniobra de los vehículos estarán pavimentadas, tendrán suficiente amplitud para las carga y descarga y con evacuación de aguas pluviales. </w:t>
      </w:r>
    </w:p>
    <w:p w:rsidR="00503A41" w:rsidRPr="00993936" w:rsidRDefault="00503A41">
      <w:pPr>
        <w:pStyle w:val="Textoindependiente2"/>
        <w:rPr>
          <w:rFonts w:cs="Arial"/>
          <w:sz w:val="22"/>
          <w:szCs w:val="22"/>
          <w:lang w:val="es-ES"/>
        </w:rPr>
      </w:pPr>
      <w:r w:rsidRPr="00993936">
        <w:rPr>
          <w:rFonts w:cs="Arial"/>
          <w:sz w:val="22"/>
          <w:szCs w:val="22"/>
          <w:lang w:val="es-ES"/>
        </w:rPr>
        <w:t xml:space="preserve">4.1.6 Los muelles de descarga se utilizarán de manera independiente, en el tiempo y/o en el espacio y estarán debidamente señalizados para los productos de producción integrada. </w:t>
      </w:r>
    </w:p>
    <w:p w:rsidR="00503A41" w:rsidRPr="00993936" w:rsidRDefault="00503A41">
      <w:pPr>
        <w:pStyle w:val="Textoindependiente2"/>
        <w:rPr>
          <w:rFonts w:cs="Arial"/>
          <w:i/>
          <w:sz w:val="22"/>
          <w:szCs w:val="22"/>
          <w:lang w:val="es-ES"/>
        </w:rPr>
      </w:pPr>
      <w:r w:rsidRPr="00993936">
        <w:rPr>
          <w:rFonts w:cs="Arial"/>
          <w:i/>
          <w:sz w:val="22"/>
          <w:szCs w:val="22"/>
          <w:lang w:val="es-ES"/>
        </w:rPr>
        <w:t>4.2 Prohibiciones</w:t>
      </w:r>
    </w:p>
    <w:p w:rsidR="00503A41" w:rsidRPr="00993936" w:rsidRDefault="00503A41">
      <w:pPr>
        <w:widowControl w:val="0"/>
        <w:jc w:val="both"/>
        <w:rPr>
          <w:rFonts w:ascii="Arial" w:hAnsi="Arial" w:cs="Arial"/>
          <w:snapToGrid w:val="0"/>
          <w:lang w:val="es-ES"/>
        </w:rPr>
      </w:pPr>
      <w:r w:rsidRPr="00993936">
        <w:rPr>
          <w:rFonts w:ascii="Arial" w:hAnsi="Arial" w:cs="Arial"/>
          <w:snapToGrid w:val="0"/>
          <w:lang w:val="es-ES"/>
        </w:rPr>
        <w:t>4.2.1 Recubrir el interior de las tolvas de recepción con pinturas, a menos que estas sean de calidad alimenticia.</w:t>
      </w:r>
    </w:p>
    <w:p w:rsidR="00503A41" w:rsidRPr="00993936" w:rsidRDefault="00503A41">
      <w:pPr>
        <w:widowControl w:val="0"/>
        <w:jc w:val="both"/>
        <w:rPr>
          <w:rFonts w:ascii="Arial" w:hAnsi="Arial" w:cs="Arial"/>
          <w:snapToGrid w:val="0"/>
          <w:lang w:val="es-ES"/>
        </w:rPr>
      </w:pPr>
      <w:r w:rsidRPr="00993936">
        <w:rPr>
          <w:rFonts w:ascii="Arial" w:hAnsi="Arial" w:cs="Arial"/>
          <w:snapToGrid w:val="0"/>
          <w:lang w:val="es-ES"/>
        </w:rPr>
        <w:t>4.2.2 Utilizar aceites y lubricantes no alimenticios en los sistemas hidráulicos que trabajen en grano.</w:t>
      </w:r>
    </w:p>
    <w:p w:rsidR="00503A41" w:rsidRPr="00993936" w:rsidRDefault="00503A41">
      <w:pPr>
        <w:tabs>
          <w:tab w:val="left" w:pos="731"/>
        </w:tabs>
        <w:jc w:val="both"/>
        <w:rPr>
          <w:rFonts w:ascii="Arial" w:hAnsi="Arial" w:cs="Arial"/>
          <w:snapToGrid w:val="0"/>
          <w:lang w:val="es-ES"/>
        </w:rPr>
      </w:pPr>
      <w:r w:rsidRPr="00993936">
        <w:rPr>
          <w:rFonts w:ascii="Arial" w:hAnsi="Arial" w:cs="Arial"/>
          <w:spacing w:val="-2"/>
          <w:lang w:val="es-ES"/>
        </w:rPr>
        <w:t>4.2.3 Almacenar productos químicos y desperdicios en la zona de recepción de los productos.</w:t>
      </w:r>
    </w:p>
    <w:p w:rsidR="00503A41" w:rsidRPr="00993936" w:rsidRDefault="00503A41">
      <w:pPr>
        <w:jc w:val="both"/>
        <w:rPr>
          <w:rFonts w:ascii="Arial" w:hAnsi="Arial" w:cs="Arial"/>
          <w:i/>
          <w:snapToGrid w:val="0"/>
          <w:lang w:val="es-ES"/>
        </w:rPr>
      </w:pPr>
      <w:r w:rsidRPr="00993936">
        <w:rPr>
          <w:rFonts w:ascii="Arial" w:hAnsi="Arial" w:cs="Arial"/>
          <w:i/>
          <w:snapToGrid w:val="0"/>
          <w:lang w:val="es-ES"/>
        </w:rPr>
        <w:lastRenderedPageBreak/>
        <w:t>4.3 Recomendaciones</w:t>
      </w:r>
    </w:p>
    <w:p w:rsidR="00503A41" w:rsidRPr="00993936" w:rsidRDefault="00503A41">
      <w:pPr>
        <w:widowControl w:val="0"/>
        <w:jc w:val="both"/>
        <w:rPr>
          <w:rFonts w:ascii="Arial" w:hAnsi="Arial" w:cs="Arial"/>
          <w:snapToGrid w:val="0"/>
          <w:lang w:val="es-ES"/>
        </w:rPr>
      </w:pPr>
      <w:r w:rsidRPr="00993936">
        <w:rPr>
          <w:rFonts w:ascii="Arial" w:hAnsi="Arial" w:cs="Arial"/>
          <w:snapToGrid w:val="0"/>
          <w:lang w:val="es-ES"/>
        </w:rPr>
        <w:t>4.3.1 Utilizar tolvas de recepción construidas con material inerte.</w:t>
      </w:r>
    </w:p>
    <w:p w:rsidR="00503A41" w:rsidRPr="00993936" w:rsidRDefault="00503A41">
      <w:pPr>
        <w:pStyle w:val="Textodebloque"/>
        <w:ind w:left="0" w:right="0"/>
        <w:rPr>
          <w:rFonts w:cs="Arial"/>
          <w:snapToGrid w:val="0"/>
          <w:sz w:val="22"/>
          <w:szCs w:val="22"/>
          <w:lang w:val="es-ES"/>
        </w:rPr>
      </w:pPr>
      <w:r w:rsidRPr="00993936">
        <w:rPr>
          <w:rFonts w:cs="Arial"/>
          <w:sz w:val="22"/>
          <w:szCs w:val="22"/>
          <w:lang w:val="es-ES"/>
        </w:rPr>
        <w:t xml:space="preserve">4.3.2 </w:t>
      </w:r>
      <w:r w:rsidRPr="00993936">
        <w:rPr>
          <w:rFonts w:cs="Arial"/>
          <w:snapToGrid w:val="0"/>
          <w:sz w:val="22"/>
          <w:szCs w:val="22"/>
          <w:lang w:val="es-ES"/>
        </w:rPr>
        <w:t>Utilizar tolvas que evitan el deterioro del fruto.</w:t>
      </w:r>
    </w:p>
    <w:p w:rsidR="00503A41" w:rsidRPr="00993936" w:rsidRDefault="00503A41">
      <w:pPr>
        <w:jc w:val="both"/>
        <w:rPr>
          <w:rFonts w:ascii="Arial" w:hAnsi="Arial" w:cs="Arial"/>
          <w:snapToGrid w:val="0"/>
          <w:lang w:val="es-ES"/>
        </w:rPr>
      </w:pPr>
      <w:r w:rsidRPr="00993936">
        <w:rPr>
          <w:rFonts w:ascii="Arial" w:hAnsi="Arial" w:cs="Arial"/>
          <w:lang w:val="es-ES"/>
        </w:rPr>
        <w:t xml:space="preserve"> </w:t>
      </w: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5</w:t>
      </w:r>
    </w:p>
    <w:p w:rsidR="00503A41" w:rsidRPr="00993936" w:rsidRDefault="00503A41">
      <w:pPr>
        <w:pStyle w:val="Textodebloque"/>
        <w:ind w:left="0" w:right="0"/>
        <w:rPr>
          <w:rFonts w:cs="Arial"/>
          <w:b/>
          <w:sz w:val="22"/>
          <w:szCs w:val="22"/>
          <w:lang w:val="es-ES"/>
        </w:rPr>
      </w:pPr>
      <w:r w:rsidRPr="00993936">
        <w:rPr>
          <w:rFonts w:cs="Arial"/>
          <w:b/>
          <w:sz w:val="22"/>
          <w:szCs w:val="22"/>
          <w:lang w:val="es-ES"/>
        </w:rPr>
        <w:t>Acondicionamiento</w:t>
      </w:r>
      <w:r w:rsidRPr="00993936">
        <w:rPr>
          <w:rFonts w:cs="Arial"/>
          <w:b/>
          <w:vanish/>
          <w:sz w:val="22"/>
          <w:szCs w:val="22"/>
          <w:lang w:val="es-ES"/>
        </w:rPr>
        <w:t>&lt;A[Acondicionamiento|Condicionamiento]&gt;</w:t>
      </w:r>
      <w:r w:rsidRPr="00993936">
        <w:rPr>
          <w:rFonts w:cs="Arial"/>
          <w:b/>
          <w:sz w:val="22"/>
          <w:szCs w:val="22"/>
          <w:lang w:val="es-ES"/>
        </w:rPr>
        <w:t xml:space="preserve"> del fruto</w:t>
      </w:r>
    </w:p>
    <w:p w:rsidR="00503A41" w:rsidRPr="00993936" w:rsidRDefault="00503A41">
      <w:pPr>
        <w:pStyle w:val="Ttulo1"/>
        <w:rPr>
          <w:rFonts w:ascii="Arial" w:hAnsi="Arial" w:cs="Arial"/>
          <w:b/>
          <w:i/>
          <w:color w:val="auto"/>
          <w:sz w:val="22"/>
          <w:szCs w:val="22"/>
        </w:rPr>
      </w:pPr>
      <w:r w:rsidRPr="00993936">
        <w:rPr>
          <w:rFonts w:ascii="Arial" w:hAnsi="Arial" w:cs="Arial"/>
          <w:b/>
          <w:i/>
          <w:color w:val="auto"/>
          <w:sz w:val="22"/>
          <w:szCs w:val="22"/>
        </w:rPr>
        <w:t>5.1 Obligaciones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5.1.1 Realizar la limpieza del fruto con equipos apropiados que preserven su integridad.</w:t>
      </w:r>
    </w:p>
    <w:p w:rsidR="00503A41" w:rsidRPr="00993936" w:rsidRDefault="00503A41">
      <w:pPr>
        <w:jc w:val="both"/>
        <w:rPr>
          <w:rFonts w:ascii="Arial" w:hAnsi="Arial" w:cs="Arial"/>
          <w:lang w:val="es-ES"/>
        </w:rPr>
      </w:pPr>
      <w:r w:rsidRPr="00993936">
        <w:rPr>
          <w:rFonts w:ascii="Arial" w:hAnsi="Arial" w:cs="Arial"/>
          <w:snapToGrid w:val="0"/>
          <w:lang w:val="es-ES"/>
        </w:rPr>
        <w:t>5.1.2 Mantener una limpieza permanente de los sistemas de acondicionamiento</w:t>
      </w:r>
      <w:r w:rsidRPr="00993936">
        <w:rPr>
          <w:rFonts w:ascii="Arial" w:hAnsi="Arial" w:cs="Arial"/>
          <w:snapToGrid w:val="0"/>
          <w:vanish/>
          <w:lang w:val="es-ES"/>
        </w:rPr>
        <w:t>&lt;A[acondicionamiento|condicionamiento]&gt;</w:t>
      </w:r>
      <w:r w:rsidRPr="00993936">
        <w:rPr>
          <w:rFonts w:ascii="Arial" w:hAnsi="Arial" w:cs="Arial"/>
          <w:snapToGrid w:val="0"/>
          <w:lang w:val="es-ES"/>
        </w:rPr>
        <w:t xml:space="preserve"> del fruto.</w:t>
      </w:r>
    </w:p>
    <w:p w:rsidR="00503A41" w:rsidRPr="00993936" w:rsidRDefault="00503A41">
      <w:pPr>
        <w:jc w:val="both"/>
        <w:rPr>
          <w:rFonts w:ascii="Arial" w:hAnsi="Arial" w:cs="Arial"/>
          <w:lang w:val="es-ES"/>
        </w:rPr>
      </w:pPr>
      <w:r w:rsidRPr="00993936">
        <w:rPr>
          <w:rFonts w:ascii="Arial" w:hAnsi="Arial" w:cs="Arial"/>
          <w:lang w:val="es-ES"/>
        </w:rPr>
        <w:t>5.1.3 Las técnicas e instalaciones del almacenamiento tenderán al mantenimiento de la calidad y las características organolépticas del producto vegetal.</w:t>
      </w:r>
    </w:p>
    <w:p w:rsidR="00503A41" w:rsidRPr="00993936" w:rsidRDefault="00503A41">
      <w:pPr>
        <w:jc w:val="both"/>
        <w:rPr>
          <w:rFonts w:ascii="Arial" w:hAnsi="Arial" w:cs="Arial"/>
          <w:lang w:val="es-ES"/>
        </w:rPr>
      </w:pPr>
      <w:r w:rsidRPr="00993936">
        <w:rPr>
          <w:rFonts w:ascii="Arial" w:hAnsi="Arial" w:cs="Arial"/>
          <w:lang w:val="es-ES"/>
        </w:rPr>
        <w:t>5.1.4 Los recipientes de evacuación de residuos serán exclusivamente para</w:t>
      </w:r>
      <w:r w:rsidRPr="00993936">
        <w:rPr>
          <w:rFonts w:ascii="Arial" w:hAnsi="Arial" w:cs="Arial"/>
          <w:vanish/>
          <w:lang w:val="es-ES"/>
        </w:rPr>
        <w:t>&lt;A[por|para]&gt;</w:t>
      </w:r>
      <w:r w:rsidRPr="00993936">
        <w:rPr>
          <w:rFonts w:ascii="Arial" w:hAnsi="Arial" w:cs="Arial"/>
          <w:lang w:val="es-ES"/>
        </w:rPr>
        <w:t xml:space="preserve"> esta finalidad y se limpiarán periódicamente, para lo cual se establecerá un plan</w:t>
      </w:r>
      <w:r w:rsidRPr="00993936">
        <w:rPr>
          <w:rFonts w:ascii="Arial" w:hAnsi="Arial" w:cs="Arial"/>
          <w:vanish/>
          <w:lang w:val="es-ES"/>
        </w:rPr>
        <w:t>&lt;A[plan|plano]&gt;</w:t>
      </w:r>
      <w:r w:rsidRPr="00993936">
        <w:rPr>
          <w:rFonts w:ascii="Arial" w:hAnsi="Arial" w:cs="Arial"/>
          <w:lang w:val="es-ES"/>
        </w:rPr>
        <w:t xml:space="preserve"> de limpieza al respecto.</w:t>
      </w:r>
    </w:p>
    <w:p w:rsidR="00503A41" w:rsidRPr="00993936" w:rsidRDefault="00503A41">
      <w:pPr>
        <w:jc w:val="both"/>
        <w:rPr>
          <w:rFonts w:ascii="Arial" w:hAnsi="Arial" w:cs="Arial"/>
          <w:lang w:val="es-ES"/>
        </w:rPr>
      </w:pPr>
      <w:r w:rsidRPr="00993936">
        <w:rPr>
          <w:rFonts w:ascii="Arial" w:hAnsi="Arial" w:cs="Arial"/>
          <w:lang w:val="es-ES"/>
        </w:rPr>
        <w:t>5.1.5 Cuando</w:t>
      </w:r>
      <w:r w:rsidRPr="00993936">
        <w:rPr>
          <w:rFonts w:ascii="Arial" w:hAnsi="Arial" w:cs="Arial"/>
          <w:vanish/>
          <w:lang w:val="es-ES"/>
        </w:rPr>
        <w:t>&lt;A[Cuando|Cuándo]&gt;</w:t>
      </w:r>
      <w:r w:rsidRPr="00993936">
        <w:rPr>
          <w:rFonts w:ascii="Arial" w:hAnsi="Arial" w:cs="Arial"/>
          <w:lang w:val="es-ES"/>
        </w:rPr>
        <w:t xml:space="preserve"> se recircule el agua de lavado de los productos, se tiene que filtrar y tratar de manera que no comprometa la salubridad de los productos hortícolas.</w:t>
      </w:r>
    </w:p>
    <w:p w:rsidR="00503A41" w:rsidRPr="00993936" w:rsidRDefault="00503A41">
      <w:pPr>
        <w:jc w:val="both"/>
        <w:rPr>
          <w:rFonts w:ascii="Arial" w:hAnsi="Arial" w:cs="Arial"/>
          <w:i/>
          <w:snapToGrid w:val="0"/>
          <w:lang w:val="es-ES"/>
        </w:rPr>
      </w:pPr>
      <w:r w:rsidRPr="00993936">
        <w:rPr>
          <w:rFonts w:ascii="Arial" w:hAnsi="Arial" w:cs="Arial"/>
          <w:i/>
          <w:snapToGrid w:val="0"/>
          <w:lang w:val="es-ES"/>
        </w:rPr>
        <w:t>5.2 Prohibiciones</w:t>
      </w:r>
    </w:p>
    <w:p w:rsidR="00503A41" w:rsidRPr="00993936" w:rsidRDefault="00503A41" w:rsidP="0009331F">
      <w:pPr>
        <w:jc w:val="both"/>
        <w:rPr>
          <w:rFonts w:ascii="Arial" w:hAnsi="Arial" w:cs="Arial"/>
          <w:lang w:val="es-ES"/>
        </w:rPr>
      </w:pPr>
      <w:r w:rsidRPr="00993936">
        <w:rPr>
          <w:rFonts w:ascii="Arial" w:hAnsi="Arial" w:cs="Arial"/>
          <w:lang w:val="es-ES"/>
        </w:rPr>
        <w:t>5.2.1  Utilizar para el lavado de los frutos agua no potable, de acuerdo con la normativa vigente, y para el resto de usos las que superen los parámetros establecidos a la normativa de aplicación.</w:t>
      </w:r>
    </w:p>
    <w:p w:rsidR="00503A41" w:rsidRPr="00993936" w:rsidRDefault="00503A41" w:rsidP="0009331F">
      <w:pPr>
        <w:jc w:val="both"/>
        <w:rPr>
          <w:rFonts w:ascii="Arial" w:hAnsi="Arial" w:cs="Arial"/>
          <w:lang w:val="es-ES"/>
        </w:rPr>
      </w:pPr>
      <w:r w:rsidRPr="00993936">
        <w:rPr>
          <w:rFonts w:ascii="Arial" w:hAnsi="Arial" w:cs="Arial"/>
          <w:lang w:val="es-ES"/>
        </w:rPr>
        <w:t>5.2.2 El uso de aditivos o coadyuvantes tecnológicos diferentes a los que autoriza esta norma técnica.</w:t>
      </w:r>
    </w:p>
    <w:p w:rsidR="00503A41" w:rsidRPr="00993936" w:rsidRDefault="00503A41">
      <w:pPr>
        <w:pStyle w:val="Textoindependiente2"/>
        <w:rPr>
          <w:rFonts w:cs="Arial"/>
          <w:spacing w:val="-2"/>
          <w:sz w:val="22"/>
          <w:szCs w:val="22"/>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6</w:t>
      </w:r>
    </w:p>
    <w:p w:rsidR="00503A41" w:rsidRPr="00993936" w:rsidRDefault="00503A41">
      <w:pPr>
        <w:pStyle w:val="Textoindependiente2"/>
        <w:rPr>
          <w:rFonts w:cs="Arial"/>
          <w:b/>
          <w:spacing w:val="-2"/>
          <w:sz w:val="22"/>
          <w:szCs w:val="22"/>
          <w:lang w:val="es-ES"/>
        </w:rPr>
      </w:pPr>
      <w:r w:rsidRPr="00993936">
        <w:rPr>
          <w:rFonts w:cs="Arial"/>
          <w:b/>
          <w:spacing w:val="-2"/>
          <w:sz w:val="22"/>
          <w:szCs w:val="22"/>
          <w:lang w:val="es-ES"/>
        </w:rPr>
        <w:t>Sistemas de pesado, toma de muestras y control de calidad</w:t>
      </w:r>
    </w:p>
    <w:p w:rsidR="00503A41" w:rsidRPr="00993936" w:rsidRDefault="00503A41">
      <w:pPr>
        <w:pStyle w:val="Ttulo1"/>
        <w:rPr>
          <w:rFonts w:ascii="Arial" w:hAnsi="Arial" w:cs="Arial"/>
          <w:i/>
          <w:color w:val="auto"/>
          <w:sz w:val="22"/>
          <w:szCs w:val="22"/>
        </w:rPr>
      </w:pPr>
      <w:r w:rsidRPr="00993936">
        <w:rPr>
          <w:rFonts w:ascii="Arial" w:hAnsi="Arial" w:cs="Arial"/>
          <w:b/>
          <w:i/>
          <w:color w:val="auto"/>
          <w:sz w:val="22"/>
          <w:szCs w:val="22"/>
        </w:rPr>
        <w:t>6.1</w:t>
      </w:r>
      <w:r w:rsidRPr="00993936">
        <w:rPr>
          <w:rFonts w:ascii="Arial" w:hAnsi="Arial" w:cs="Arial"/>
          <w:i/>
          <w:color w:val="auto"/>
          <w:sz w:val="22"/>
          <w:szCs w:val="22"/>
        </w:rPr>
        <w:t xml:space="preserve"> </w:t>
      </w:r>
      <w:r w:rsidRPr="00993936">
        <w:rPr>
          <w:rFonts w:ascii="Arial" w:hAnsi="Arial" w:cs="Arial"/>
          <w:b/>
          <w:i/>
          <w:color w:val="auto"/>
          <w:sz w:val="22"/>
          <w:szCs w:val="22"/>
        </w:rPr>
        <w:t>Obligaciones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6.1.1 En la recepción del fruto se procederá a la toma de muestras y a su pesada. Tendrá que haber registros para garantizar la identificación de las muestras y las partidas recibidas.</w:t>
      </w:r>
    </w:p>
    <w:p w:rsidR="00503A41" w:rsidRPr="00993936" w:rsidRDefault="00503A41">
      <w:pPr>
        <w:jc w:val="both"/>
        <w:rPr>
          <w:rFonts w:ascii="Arial" w:hAnsi="Arial" w:cs="Arial"/>
          <w:snapToGrid w:val="0"/>
          <w:lang w:val="es-ES"/>
        </w:rPr>
      </w:pPr>
      <w:r w:rsidRPr="00993936">
        <w:rPr>
          <w:rFonts w:ascii="Arial" w:hAnsi="Arial" w:cs="Arial"/>
          <w:lang w:val="es-ES"/>
        </w:rPr>
        <w:t xml:space="preserve">6.1.2 Todas las partidas que se reciban tendrán un control de calidad, manteniendo la trazabilidad mediante registros y procedimientos de toma de muestras representativas y que incluyan las actuaciones a tomar en las diferentes condiciones del producto específico, así como circunstancias y situaciones excepcionales que pudieran producirse (variedad, sanidad, limpieza, etc.). </w:t>
      </w:r>
    </w:p>
    <w:p w:rsidR="00503A41" w:rsidRPr="00993936" w:rsidRDefault="00503A41">
      <w:pPr>
        <w:jc w:val="both"/>
        <w:rPr>
          <w:rFonts w:ascii="Arial" w:hAnsi="Arial" w:cs="Arial"/>
          <w:snapToGrid w:val="0"/>
          <w:lang w:val="es-ES"/>
        </w:rPr>
      </w:pPr>
      <w:r w:rsidRPr="00993936">
        <w:rPr>
          <w:rFonts w:ascii="Arial" w:hAnsi="Arial" w:cs="Arial"/>
          <w:snapToGrid w:val="0"/>
          <w:lang w:val="es-ES"/>
        </w:rPr>
        <w:t>6.1.3 Las determinaciones analíticas mínimas serán: humedad y porcentaje de podredumbre, si procede. Habrá que conservar el registro de los datos de las determinaciones efectuadas o el boletín de análisis de cada muestra durante un periodo mínimo de 3 años.</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7</w:t>
      </w:r>
    </w:p>
    <w:p w:rsidR="00503A41" w:rsidRPr="00993936" w:rsidRDefault="00503A41">
      <w:pPr>
        <w:jc w:val="both"/>
        <w:rPr>
          <w:rFonts w:ascii="Arial" w:hAnsi="Arial" w:cs="Arial"/>
          <w:b/>
          <w:snapToGrid w:val="0"/>
          <w:lang w:val="es-ES"/>
        </w:rPr>
      </w:pPr>
      <w:r w:rsidRPr="00993936">
        <w:rPr>
          <w:rFonts w:ascii="Arial" w:hAnsi="Arial" w:cs="Arial"/>
          <w:b/>
          <w:spacing w:val="-2"/>
          <w:lang w:val="es-ES"/>
        </w:rPr>
        <w:t>Instalaciones de secado de los frutos</w:t>
      </w:r>
      <w:r w:rsidRPr="00993936">
        <w:rPr>
          <w:rFonts w:ascii="Arial" w:hAnsi="Arial" w:cs="Arial"/>
          <w:b/>
          <w:snapToGrid w:val="0"/>
          <w:lang w:val="es-ES"/>
        </w:rPr>
        <w:t xml:space="preserve"> </w:t>
      </w:r>
    </w:p>
    <w:p w:rsidR="00503A41" w:rsidRPr="00993936" w:rsidRDefault="00503A41">
      <w:pPr>
        <w:pStyle w:val="Ttulo1"/>
        <w:rPr>
          <w:rFonts w:ascii="Arial" w:hAnsi="Arial" w:cs="Arial"/>
          <w:i/>
          <w:color w:val="auto"/>
          <w:sz w:val="22"/>
          <w:szCs w:val="22"/>
        </w:rPr>
      </w:pPr>
      <w:r w:rsidRPr="00993936">
        <w:rPr>
          <w:rFonts w:ascii="Arial" w:hAnsi="Arial" w:cs="Arial"/>
          <w:b/>
          <w:i/>
          <w:color w:val="auto"/>
          <w:sz w:val="22"/>
          <w:szCs w:val="22"/>
        </w:rPr>
        <w:t>7.1</w:t>
      </w:r>
      <w:r w:rsidRPr="00993936">
        <w:rPr>
          <w:rFonts w:ascii="Arial" w:hAnsi="Arial" w:cs="Arial"/>
          <w:i/>
          <w:color w:val="auto"/>
          <w:sz w:val="22"/>
          <w:szCs w:val="22"/>
        </w:rPr>
        <w:t xml:space="preserve"> </w:t>
      </w:r>
      <w:r w:rsidRPr="00993936">
        <w:rPr>
          <w:rFonts w:ascii="Arial" w:hAnsi="Arial" w:cs="Arial"/>
          <w:b/>
          <w:i/>
          <w:color w:val="auto"/>
          <w:sz w:val="22"/>
          <w:szCs w:val="22"/>
        </w:rPr>
        <w:t>Obligaciones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7.1.1 Cuando</w:t>
      </w:r>
      <w:r w:rsidRPr="00993936">
        <w:rPr>
          <w:rFonts w:ascii="Arial" w:hAnsi="Arial" w:cs="Arial"/>
          <w:snapToGrid w:val="0"/>
          <w:vanish/>
          <w:lang w:val="es-ES"/>
        </w:rPr>
        <w:t>&lt;A[Cuando|Cuándo]&gt;</w:t>
      </w:r>
      <w:r w:rsidRPr="00993936">
        <w:rPr>
          <w:rFonts w:ascii="Arial" w:hAnsi="Arial" w:cs="Arial"/>
          <w:snapToGrid w:val="0"/>
          <w:lang w:val="es-ES"/>
        </w:rPr>
        <w:t xml:space="preserve"> se haga un secado artificial de los frutos, mediante secaderos que utilicen combustibles fósiles, se deberán utilizar equipos que dispongan de intercambiadores de aire o de agua.</w:t>
      </w:r>
    </w:p>
    <w:p w:rsidR="00503A41" w:rsidRPr="00993936" w:rsidRDefault="00503A41">
      <w:pPr>
        <w:jc w:val="both"/>
        <w:rPr>
          <w:rFonts w:ascii="Arial" w:hAnsi="Arial" w:cs="Arial"/>
          <w:snapToGrid w:val="0"/>
          <w:lang w:val="es-ES"/>
        </w:rPr>
      </w:pPr>
      <w:r w:rsidRPr="00993936">
        <w:rPr>
          <w:rFonts w:ascii="Arial" w:hAnsi="Arial" w:cs="Arial"/>
          <w:snapToGrid w:val="0"/>
          <w:lang w:val="es-ES"/>
        </w:rPr>
        <w:t>7.1.2 En todos los procesos de secado artificial de los frutos con cáscara</w:t>
      </w:r>
      <w:r w:rsidRPr="00993936">
        <w:rPr>
          <w:rFonts w:ascii="Arial" w:hAnsi="Arial" w:cs="Arial"/>
          <w:snapToGrid w:val="0"/>
          <w:vanish/>
          <w:lang w:val="es-ES"/>
        </w:rPr>
        <w:t>&lt;A[caparazón|concha]&gt;</w:t>
      </w:r>
      <w:r w:rsidRPr="00993936">
        <w:rPr>
          <w:rFonts w:ascii="Arial" w:hAnsi="Arial" w:cs="Arial"/>
          <w:snapToGrid w:val="0"/>
          <w:lang w:val="es-ES"/>
        </w:rPr>
        <w:t xml:space="preserve">, habrá que utilizar unas adecuadas técnicas y condiciones de trabajo, que preserven la vida útil del producto y no provoquen enranciamientos prematuros de los frutos. </w:t>
      </w:r>
    </w:p>
    <w:p w:rsidR="00503A41" w:rsidRPr="00993936" w:rsidRDefault="00503A41">
      <w:pPr>
        <w:jc w:val="both"/>
        <w:rPr>
          <w:rFonts w:ascii="Arial" w:hAnsi="Arial" w:cs="Arial"/>
          <w:b/>
          <w:snapToGrid w:val="0"/>
          <w:lang w:val="es-ES"/>
        </w:rPr>
      </w:pPr>
      <w:r w:rsidRPr="00993936">
        <w:rPr>
          <w:rFonts w:ascii="Arial" w:hAnsi="Arial" w:cs="Arial"/>
          <w:snapToGrid w:val="0"/>
          <w:lang w:val="es-ES"/>
        </w:rPr>
        <w:t>7.2</w:t>
      </w:r>
      <w:r w:rsidRPr="00993936">
        <w:rPr>
          <w:rFonts w:ascii="Arial" w:hAnsi="Arial" w:cs="Arial"/>
          <w:b/>
          <w:snapToGrid w:val="0"/>
          <w:lang w:val="es-ES"/>
        </w:rPr>
        <w:t xml:space="preserve"> </w:t>
      </w:r>
      <w:r w:rsidRPr="00993936">
        <w:rPr>
          <w:rFonts w:ascii="Arial" w:hAnsi="Arial" w:cs="Arial"/>
          <w:i/>
          <w:snapToGrid w:val="0"/>
          <w:lang w:val="es-ES"/>
        </w:rPr>
        <w:t>Prohibiciones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7.2.1 La exposición de los frutos en contacto directo con los gases resultantes de un proceso de combustión.</w:t>
      </w:r>
    </w:p>
    <w:p w:rsidR="00503A41" w:rsidRPr="00993936" w:rsidRDefault="00503A41">
      <w:pPr>
        <w:jc w:val="both"/>
        <w:rPr>
          <w:rFonts w:ascii="Arial" w:hAnsi="Arial" w:cs="Arial"/>
          <w:snapToGrid w:val="0"/>
          <w:lang w:val="es-ES"/>
        </w:rPr>
      </w:pPr>
      <w:r w:rsidRPr="00993936">
        <w:rPr>
          <w:rFonts w:ascii="Arial" w:hAnsi="Arial" w:cs="Arial"/>
          <w:snapToGrid w:val="0"/>
          <w:lang w:val="es-ES"/>
        </w:rPr>
        <w:t>7.2.2. Realizar el secado artificial de los frutos con cáscara</w:t>
      </w:r>
      <w:r w:rsidRPr="00993936">
        <w:rPr>
          <w:rFonts w:ascii="Arial" w:hAnsi="Arial" w:cs="Arial"/>
          <w:snapToGrid w:val="0"/>
          <w:vanish/>
          <w:lang w:val="es-ES"/>
        </w:rPr>
        <w:t>&lt;A[caparazón|concha]&gt;</w:t>
      </w:r>
      <w:r w:rsidRPr="00993936">
        <w:rPr>
          <w:rFonts w:ascii="Arial" w:hAnsi="Arial" w:cs="Arial"/>
          <w:snapToGrid w:val="0"/>
          <w:lang w:val="es-ES"/>
        </w:rPr>
        <w:t xml:space="preserve"> con temperaturas de aire, en la entrada, superiores a los </w:t>
      </w:r>
      <w:smartTag w:uri="urn:schemas-microsoft-com:office:smarttags" w:element="metricconverter">
        <w:smartTagPr>
          <w:attr w:name="ProductID" w:val="40ﾺC"/>
        </w:smartTagPr>
        <w:r w:rsidRPr="00993936">
          <w:rPr>
            <w:rFonts w:ascii="Arial" w:hAnsi="Arial" w:cs="Arial"/>
            <w:snapToGrid w:val="0"/>
            <w:lang w:val="es-ES"/>
          </w:rPr>
          <w:t>40ºC</w:t>
        </w:r>
      </w:smartTag>
      <w:r w:rsidRPr="00993936">
        <w:rPr>
          <w:rFonts w:ascii="Arial" w:hAnsi="Arial" w:cs="Arial"/>
          <w:snapToGrid w:val="0"/>
          <w:lang w:val="es-ES"/>
        </w:rPr>
        <w:t>.</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8</w:t>
      </w: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Almacenamiento de los frutos</w:t>
      </w:r>
    </w:p>
    <w:p w:rsidR="00503A41" w:rsidRPr="00993936" w:rsidRDefault="00503A41">
      <w:pPr>
        <w:jc w:val="both"/>
        <w:rPr>
          <w:rFonts w:ascii="Arial" w:hAnsi="Arial" w:cs="Arial"/>
          <w:i/>
          <w:lang w:val="es-ES"/>
        </w:rPr>
      </w:pPr>
      <w:r w:rsidRPr="00993936">
        <w:rPr>
          <w:rFonts w:ascii="Arial" w:hAnsi="Arial" w:cs="Arial"/>
          <w:i/>
          <w:lang w:val="es-ES"/>
        </w:rPr>
        <w:t>8.1 Obligaciones</w:t>
      </w:r>
    </w:p>
    <w:p w:rsidR="00503A41" w:rsidRPr="00993936" w:rsidRDefault="00503A41">
      <w:pPr>
        <w:jc w:val="both"/>
        <w:rPr>
          <w:rFonts w:ascii="Arial" w:hAnsi="Arial" w:cs="Arial"/>
          <w:spacing w:val="-2"/>
          <w:lang w:val="es-ES"/>
        </w:rPr>
      </w:pPr>
      <w:r w:rsidRPr="00993936">
        <w:rPr>
          <w:rFonts w:ascii="Arial" w:hAnsi="Arial" w:cs="Arial"/>
          <w:lang w:val="es-ES"/>
        </w:rPr>
        <w:t>8.1.1 En caso de que los frutos presenten un contenido muy alto de humedad, habrá que hacer un secado previo antes de su almacenamiento.</w:t>
      </w:r>
    </w:p>
    <w:p w:rsidR="00503A41" w:rsidRPr="00993936" w:rsidRDefault="00503A41">
      <w:pPr>
        <w:jc w:val="both"/>
        <w:rPr>
          <w:rFonts w:ascii="Arial" w:hAnsi="Arial" w:cs="Arial"/>
          <w:lang w:val="es-ES"/>
        </w:rPr>
      </w:pPr>
      <w:r w:rsidRPr="00993936">
        <w:rPr>
          <w:rFonts w:ascii="Arial" w:hAnsi="Arial" w:cs="Arial"/>
          <w:lang w:val="es-ES"/>
        </w:rPr>
        <w:t>8.1.2 Establecer en los almacenes una separación clara y definida de los productos procedentes de cultivos de producción integrada de otros productos convencionales, indicando en un croquis su situación dentro de cada almacén. Las cajas y los palets deberán estar identificados debidamente y colocados de forma que se pueda ver claramente la identificación de manera que permita un conteo fácil.</w:t>
      </w:r>
    </w:p>
    <w:p w:rsidR="00503A41" w:rsidRPr="00993936" w:rsidRDefault="00503A41">
      <w:pPr>
        <w:jc w:val="both"/>
        <w:rPr>
          <w:rFonts w:ascii="Arial" w:hAnsi="Arial" w:cs="Arial"/>
          <w:lang w:val="es-ES"/>
        </w:rPr>
      </w:pPr>
      <w:r w:rsidRPr="00993936">
        <w:rPr>
          <w:rFonts w:ascii="Arial" w:hAnsi="Arial" w:cs="Arial"/>
          <w:lang w:val="es-ES"/>
        </w:rPr>
        <w:t>8.1.3 Las técnicas de almacenamiento, envasado y transporte de producto vegetal tenderán al mantenimiento de la calidad y las características organolépticas del producto específico.</w:t>
      </w:r>
    </w:p>
    <w:p w:rsidR="00503A41" w:rsidRPr="00993936" w:rsidRDefault="00503A41">
      <w:pPr>
        <w:jc w:val="both"/>
        <w:rPr>
          <w:rFonts w:ascii="Arial" w:hAnsi="Arial" w:cs="Arial"/>
          <w:lang w:val="es-ES"/>
        </w:rPr>
      </w:pPr>
      <w:r w:rsidRPr="00993936">
        <w:rPr>
          <w:rFonts w:ascii="Arial" w:hAnsi="Arial" w:cs="Arial"/>
          <w:lang w:val="es-ES"/>
        </w:rPr>
        <w:t>8.1.4 Realizar la limpieza, la desinfección y la lucha contra los parásitos de los lugares</w:t>
      </w:r>
      <w:r w:rsidRPr="00993936">
        <w:rPr>
          <w:rFonts w:ascii="Arial" w:hAnsi="Arial" w:cs="Arial"/>
          <w:vanish/>
          <w:lang w:val="es-ES"/>
        </w:rPr>
        <w:t>&lt;A[lugares|sitios]&gt;</w:t>
      </w:r>
      <w:r w:rsidRPr="00993936">
        <w:rPr>
          <w:rFonts w:ascii="Arial" w:hAnsi="Arial" w:cs="Arial"/>
          <w:lang w:val="es-ES"/>
        </w:rPr>
        <w:t xml:space="preserve"> de almacenamiento de manera que no se produzca ningún tipo de contaminación de los productos.</w:t>
      </w:r>
    </w:p>
    <w:p w:rsidR="00503A41" w:rsidRPr="00993936" w:rsidRDefault="00503A41">
      <w:pPr>
        <w:jc w:val="both"/>
        <w:rPr>
          <w:rFonts w:ascii="Arial" w:hAnsi="Arial" w:cs="Arial"/>
          <w:lang w:val="es-ES"/>
        </w:rPr>
      </w:pPr>
      <w:r w:rsidRPr="00993936">
        <w:rPr>
          <w:rFonts w:ascii="Arial" w:hAnsi="Arial" w:cs="Arial"/>
          <w:lang w:val="es-ES"/>
        </w:rPr>
        <w:t>8.1.5. La evacuación de los residuos se realizará con recipientes exclusivos para esta finalidad, que se limpiarán periódicamente, por</w:t>
      </w:r>
      <w:r w:rsidRPr="00993936">
        <w:rPr>
          <w:rFonts w:ascii="Arial" w:hAnsi="Arial" w:cs="Arial"/>
          <w:vanish/>
          <w:lang w:val="es-ES"/>
        </w:rPr>
        <w:t>&lt;A[por|para]&gt;</w:t>
      </w:r>
      <w:r w:rsidRPr="00993936">
        <w:rPr>
          <w:rFonts w:ascii="Arial" w:hAnsi="Arial" w:cs="Arial"/>
          <w:lang w:val="es-ES"/>
        </w:rPr>
        <w:t xml:space="preserve"> lo cual habrá que establecer un plan</w:t>
      </w:r>
      <w:r w:rsidRPr="00993936">
        <w:rPr>
          <w:rFonts w:ascii="Arial" w:hAnsi="Arial" w:cs="Arial"/>
          <w:vanish/>
          <w:lang w:val="es-ES"/>
        </w:rPr>
        <w:t>&lt;A[plan|plano]&gt;</w:t>
      </w:r>
      <w:r w:rsidRPr="00993936">
        <w:rPr>
          <w:rFonts w:ascii="Arial" w:hAnsi="Arial" w:cs="Arial"/>
          <w:lang w:val="es-ES"/>
        </w:rPr>
        <w:t xml:space="preserve"> de limpieza al respecto.</w:t>
      </w:r>
    </w:p>
    <w:p w:rsidR="00503A41" w:rsidRPr="00993936" w:rsidRDefault="00503A41">
      <w:pPr>
        <w:jc w:val="both"/>
        <w:rPr>
          <w:rFonts w:ascii="Arial" w:hAnsi="Arial" w:cs="Arial"/>
          <w:i/>
          <w:snapToGrid w:val="0"/>
          <w:lang w:val="es-ES"/>
        </w:rPr>
      </w:pPr>
      <w:r w:rsidRPr="00993936">
        <w:rPr>
          <w:rFonts w:ascii="Arial" w:hAnsi="Arial" w:cs="Arial"/>
          <w:i/>
          <w:snapToGrid w:val="0"/>
          <w:lang w:val="es-ES"/>
        </w:rPr>
        <w:t>8.2 Prohibiciones</w:t>
      </w:r>
    </w:p>
    <w:p w:rsidR="00503A41" w:rsidRPr="00993936" w:rsidRDefault="00503A41" w:rsidP="0009331F">
      <w:pPr>
        <w:jc w:val="both"/>
        <w:rPr>
          <w:rFonts w:ascii="Arial" w:hAnsi="Arial" w:cs="Arial"/>
          <w:lang w:val="es-ES"/>
        </w:rPr>
      </w:pPr>
      <w:r w:rsidRPr="00993936">
        <w:rPr>
          <w:rFonts w:ascii="Arial" w:hAnsi="Arial" w:cs="Arial"/>
          <w:lang w:val="es-ES"/>
        </w:rPr>
        <w:t>8.2.1 La utilización de productos químicos de síntesis para la lucha de plagas y parásitos del almacén, salvo los casos que estén justificados técnicamente donde se utilizarán sustancias activas autorizadas en producción integrada</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8.2.2 Almacenar productos químicos o desperdicios en la zona de almacenamiento de los productos envasados.</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9</w:t>
      </w:r>
    </w:p>
    <w:p w:rsidR="00503A41" w:rsidRPr="00993936" w:rsidRDefault="00503A41">
      <w:pPr>
        <w:pStyle w:val="Ttulo1"/>
        <w:rPr>
          <w:rFonts w:ascii="Arial" w:hAnsi="Arial" w:cs="Arial"/>
          <w:color w:val="auto"/>
          <w:sz w:val="22"/>
          <w:szCs w:val="22"/>
          <w:u w:val="single"/>
        </w:rPr>
      </w:pPr>
      <w:r w:rsidRPr="00993936">
        <w:rPr>
          <w:rFonts w:ascii="Arial" w:hAnsi="Arial" w:cs="Arial"/>
          <w:color w:val="auto"/>
          <w:spacing w:val="-2"/>
          <w:sz w:val="22"/>
          <w:szCs w:val="22"/>
        </w:rPr>
        <w:t>Instalaciones de almacenamiento de frutos secos</w:t>
      </w:r>
      <w:r w:rsidRPr="00993936">
        <w:rPr>
          <w:rFonts w:ascii="Arial" w:hAnsi="Arial" w:cs="Arial"/>
          <w:color w:val="auto"/>
          <w:sz w:val="22"/>
          <w:szCs w:val="22"/>
        </w:rPr>
        <w:t xml:space="preserve"> </w:t>
      </w:r>
    </w:p>
    <w:p w:rsidR="00503A41" w:rsidRPr="00993936" w:rsidRDefault="00503A41">
      <w:pPr>
        <w:pStyle w:val="Ttulo1"/>
        <w:rPr>
          <w:rFonts w:ascii="Arial" w:hAnsi="Arial" w:cs="Arial"/>
          <w:b/>
          <w:i/>
          <w:color w:val="auto"/>
          <w:sz w:val="22"/>
          <w:szCs w:val="22"/>
        </w:rPr>
      </w:pPr>
      <w:r w:rsidRPr="00993936">
        <w:rPr>
          <w:rFonts w:ascii="Arial" w:hAnsi="Arial" w:cs="Arial"/>
          <w:b/>
          <w:i/>
          <w:color w:val="auto"/>
          <w:sz w:val="22"/>
          <w:szCs w:val="22"/>
        </w:rPr>
        <w:t>9.1 Obligaciones</w:t>
      </w:r>
    </w:p>
    <w:p w:rsidR="00503A41" w:rsidRPr="00993936" w:rsidRDefault="00503A41" w:rsidP="0009331F">
      <w:pPr>
        <w:jc w:val="both"/>
        <w:rPr>
          <w:rFonts w:ascii="Arial" w:hAnsi="Arial" w:cs="Arial"/>
          <w:lang w:val="es-ES"/>
        </w:rPr>
      </w:pPr>
      <w:r w:rsidRPr="00993936">
        <w:rPr>
          <w:rFonts w:ascii="Arial" w:hAnsi="Arial" w:cs="Arial"/>
          <w:lang w:val="es-ES"/>
        </w:rPr>
        <w:t>9.1.1 El almacenamiento se tiene que realizar con procedimientos que permitan garantizar la mejor calidad posible y mantener las caractarísticas organolépticas de los productos.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9.1.2. Utilizar tolvas de almacenamiento, cuyo diseño permita una adecuada circulación de los frutos.</w:t>
      </w:r>
    </w:p>
    <w:p w:rsidR="00503A41" w:rsidRPr="00993936" w:rsidRDefault="00503A41" w:rsidP="0009331F">
      <w:pPr>
        <w:jc w:val="both"/>
        <w:rPr>
          <w:rFonts w:ascii="Arial" w:hAnsi="Arial" w:cs="Arial"/>
          <w:lang w:val="es-ES"/>
        </w:rPr>
      </w:pPr>
      <w:r w:rsidRPr="00993936">
        <w:rPr>
          <w:rFonts w:ascii="Arial" w:hAnsi="Arial" w:cs="Arial"/>
          <w:lang w:val="es-ES"/>
        </w:rPr>
        <w:t>9.1.3 Mantener limpios</w:t>
      </w:r>
      <w:r w:rsidRPr="00993936">
        <w:rPr>
          <w:rFonts w:ascii="Arial" w:hAnsi="Arial" w:cs="Arial"/>
          <w:vanish/>
          <w:lang w:val="es-ES"/>
        </w:rPr>
        <w:t>&lt;A[limpios|netos]&gt;</w:t>
      </w:r>
      <w:r w:rsidRPr="00993936">
        <w:rPr>
          <w:rFonts w:ascii="Arial" w:hAnsi="Arial" w:cs="Arial"/>
          <w:lang w:val="es-ES"/>
        </w:rPr>
        <w:t xml:space="preserve"> los recipientes, tolvas y las cajas utilizadas en el almacenamiento de los frutos secos. Como norma general, todos los elementos que puedan afectar a la condición del producto se limpiarán cuando se inicie la utilización y se desinfectarán cuando sea conveniente, en cualquier caso al menos una vez</w:t>
      </w:r>
      <w:r w:rsidRPr="00993936">
        <w:rPr>
          <w:rFonts w:ascii="Arial" w:hAnsi="Arial" w:cs="Arial"/>
          <w:vanish/>
          <w:lang w:val="es-ES"/>
        </w:rPr>
        <w:t>&lt;A[vez|golpe]&gt;</w:t>
      </w:r>
      <w:r w:rsidRPr="00993936">
        <w:rPr>
          <w:rFonts w:ascii="Arial" w:hAnsi="Arial" w:cs="Arial"/>
          <w:lang w:val="es-ES"/>
        </w:rPr>
        <w:t xml:space="preserve"> el año.</w:t>
      </w:r>
    </w:p>
    <w:p w:rsidR="00503A41" w:rsidRPr="00993936" w:rsidRDefault="00503A41">
      <w:pPr>
        <w:jc w:val="both"/>
        <w:rPr>
          <w:rFonts w:ascii="Arial" w:hAnsi="Arial" w:cs="Arial"/>
          <w:spacing w:val="-2"/>
          <w:lang w:val="es-ES"/>
        </w:rPr>
      </w:pPr>
      <w:r w:rsidRPr="00993936">
        <w:rPr>
          <w:rFonts w:ascii="Arial" w:hAnsi="Arial" w:cs="Arial"/>
          <w:spacing w:val="-2"/>
          <w:lang w:val="es-ES"/>
        </w:rPr>
        <w:t xml:space="preserve">9.1.4 La zona de </w:t>
      </w:r>
      <w:r w:rsidRPr="00993936">
        <w:rPr>
          <w:rFonts w:ascii="Arial" w:hAnsi="Arial" w:cs="Arial"/>
          <w:snapToGrid w:val="0"/>
          <w:lang w:val="es-ES"/>
        </w:rPr>
        <w:t>almacenamiento</w:t>
      </w:r>
      <w:r w:rsidRPr="00993936">
        <w:rPr>
          <w:rFonts w:ascii="Arial" w:hAnsi="Arial" w:cs="Arial"/>
          <w:spacing w:val="-2"/>
          <w:lang w:val="es-ES"/>
        </w:rPr>
        <w:t xml:space="preserve"> de desperdicios tendrá que limpiarse de acuerdo con lo que establezca el plan</w:t>
      </w:r>
      <w:r w:rsidRPr="00993936">
        <w:rPr>
          <w:rFonts w:ascii="Arial" w:hAnsi="Arial" w:cs="Arial"/>
          <w:vanish/>
          <w:spacing w:val="-2"/>
          <w:lang w:val="es-ES"/>
        </w:rPr>
        <w:t>&lt;A[plan|plano]&gt;</w:t>
      </w:r>
      <w:r w:rsidRPr="00993936">
        <w:rPr>
          <w:rFonts w:ascii="Arial" w:hAnsi="Arial" w:cs="Arial"/>
          <w:spacing w:val="-2"/>
          <w:lang w:val="es-ES"/>
        </w:rPr>
        <w:t xml:space="preserve"> de limpieza.</w:t>
      </w:r>
    </w:p>
    <w:p w:rsidR="00503A41" w:rsidRPr="00993936" w:rsidRDefault="00503A41">
      <w:pPr>
        <w:jc w:val="both"/>
        <w:rPr>
          <w:rFonts w:ascii="Arial" w:hAnsi="Arial" w:cs="Arial"/>
          <w:i/>
          <w:snapToGrid w:val="0"/>
          <w:lang w:val="es-ES"/>
        </w:rPr>
      </w:pPr>
      <w:r w:rsidRPr="00993936">
        <w:rPr>
          <w:rFonts w:ascii="Arial" w:hAnsi="Arial" w:cs="Arial"/>
          <w:i/>
          <w:snapToGrid w:val="0"/>
          <w:lang w:val="es-ES"/>
        </w:rPr>
        <w:t>9.2 Prohibiciones</w:t>
      </w:r>
    </w:p>
    <w:p w:rsidR="00503A41" w:rsidRPr="00993936" w:rsidRDefault="00503A41">
      <w:pPr>
        <w:pStyle w:val="Textoindependiente2"/>
        <w:rPr>
          <w:rFonts w:cs="Arial"/>
          <w:sz w:val="22"/>
          <w:szCs w:val="22"/>
          <w:lang w:val="es-ES"/>
        </w:rPr>
      </w:pPr>
      <w:r w:rsidRPr="00993936">
        <w:rPr>
          <w:rFonts w:cs="Arial"/>
          <w:sz w:val="22"/>
          <w:szCs w:val="22"/>
          <w:lang w:val="es-ES"/>
        </w:rPr>
        <w:t>9.2.1 Utilizar mecanismos de alimentación, transporte, caída, de almacenamiento o de otros elementos que no preserven la integridad del fruto.</w:t>
      </w:r>
    </w:p>
    <w:p w:rsidR="00503A41" w:rsidRPr="00993936" w:rsidRDefault="00503A41">
      <w:pPr>
        <w:jc w:val="both"/>
        <w:rPr>
          <w:rFonts w:ascii="Arial" w:hAnsi="Arial" w:cs="Arial"/>
          <w:b/>
          <w:i/>
          <w:snapToGrid w:val="0"/>
          <w:lang w:val="es-ES"/>
        </w:rPr>
      </w:pPr>
      <w:r w:rsidRPr="00993936">
        <w:rPr>
          <w:rFonts w:ascii="Arial" w:hAnsi="Arial" w:cs="Arial"/>
          <w:i/>
          <w:snapToGrid w:val="0"/>
          <w:lang w:val="es-ES"/>
        </w:rPr>
        <w:t>9.3 Recomendaciones</w:t>
      </w:r>
    </w:p>
    <w:p w:rsidR="00503A41" w:rsidRPr="00993936" w:rsidRDefault="00503A41">
      <w:pPr>
        <w:jc w:val="both"/>
        <w:rPr>
          <w:rFonts w:ascii="Arial" w:hAnsi="Arial" w:cs="Arial"/>
          <w:snapToGrid w:val="0"/>
          <w:lang w:val="es-ES"/>
        </w:rPr>
      </w:pPr>
      <w:r w:rsidRPr="00993936">
        <w:rPr>
          <w:rFonts w:ascii="Arial" w:hAnsi="Arial" w:cs="Arial"/>
          <w:spacing w:val="-2"/>
          <w:lang w:val="es-ES"/>
        </w:rPr>
        <w:t xml:space="preserve">9.3.1 Utilizar </w:t>
      </w:r>
      <w:r w:rsidRPr="00993936">
        <w:rPr>
          <w:rFonts w:ascii="Arial" w:hAnsi="Arial" w:cs="Arial"/>
          <w:snapToGrid w:val="0"/>
          <w:lang w:val="es-ES"/>
        </w:rPr>
        <w:t>depósitos o silos de almacenamiento construidos con material inerte, con formas que permiten y aseguren un vaciado eficaz, dotados de mecanismos de limpieza y equipados, si procede con sistemas para la toma de muestras.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9.3.2 Instalar mecanismos de protección que eliminen los elementos metálicos mezclados con los frutos.</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10</w:t>
      </w:r>
    </w:p>
    <w:p w:rsidR="00503A41" w:rsidRPr="00993936" w:rsidRDefault="00503A41" w:rsidP="0009331F">
      <w:pPr>
        <w:pStyle w:val="Ttulo8"/>
        <w:rPr>
          <w:rFonts w:ascii="Arial" w:hAnsi="Arial" w:cs="Arial"/>
          <w:color w:val="auto"/>
          <w:szCs w:val="22"/>
          <w:lang w:val="es-ES"/>
        </w:rPr>
      </w:pPr>
      <w:r w:rsidRPr="00993936">
        <w:rPr>
          <w:rFonts w:ascii="Arial" w:hAnsi="Arial" w:cs="Arial"/>
          <w:color w:val="auto"/>
          <w:szCs w:val="22"/>
          <w:lang w:val="es-ES"/>
        </w:rPr>
        <w:t>Proceso de transformación y elaboración de los productos</w:t>
      </w:r>
    </w:p>
    <w:p w:rsidR="00503A41" w:rsidRPr="00993936" w:rsidRDefault="00503A41">
      <w:pPr>
        <w:jc w:val="both"/>
        <w:rPr>
          <w:rFonts w:ascii="Arial" w:hAnsi="Arial" w:cs="Arial"/>
          <w:b/>
          <w:i/>
          <w:snapToGrid w:val="0"/>
          <w:lang w:val="es-ES"/>
        </w:rPr>
      </w:pPr>
      <w:r w:rsidRPr="00993936">
        <w:rPr>
          <w:rFonts w:ascii="Arial" w:hAnsi="Arial" w:cs="Arial"/>
          <w:i/>
          <w:lang w:val="es-ES"/>
        </w:rPr>
        <w:t>10.1 Obligaciones</w:t>
      </w:r>
    </w:p>
    <w:p w:rsidR="00503A41" w:rsidRPr="00993936" w:rsidRDefault="00503A41">
      <w:pPr>
        <w:jc w:val="both"/>
        <w:rPr>
          <w:rFonts w:ascii="Arial" w:hAnsi="Arial" w:cs="Arial"/>
          <w:lang w:val="es-ES"/>
        </w:rPr>
      </w:pPr>
      <w:r w:rsidRPr="00993936">
        <w:rPr>
          <w:rFonts w:ascii="Arial" w:hAnsi="Arial" w:cs="Arial"/>
          <w:lang w:val="es-ES"/>
        </w:rPr>
        <w:t>10.1.1 Las técnicas e instalaciones de transformación y elaboración de productos tenderán al mantenimiento de la calidad y las características organolépticas del producto vegetal.</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10.1.2 Cuando</w:t>
      </w:r>
      <w:r w:rsidRPr="00993936">
        <w:rPr>
          <w:rFonts w:ascii="Arial" w:hAnsi="Arial" w:cs="Arial"/>
          <w:snapToGrid w:val="0"/>
          <w:vanish/>
          <w:lang w:val="es-ES"/>
        </w:rPr>
        <w:t>&lt;A[Cuando|Cuándo]&gt;</w:t>
      </w:r>
      <w:r w:rsidRPr="00993936">
        <w:rPr>
          <w:rFonts w:ascii="Arial" w:hAnsi="Arial" w:cs="Arial"/>
          <w:snapToGrid w:val="0"/>
          <w:lang w:val="es-ES"/>
        </w:rPr>
        <w:t xml:space="preserve"> se haga el proceso de tostado de los frutos, mediante secaderos que utilicen combustibles fósiles, se deberán utilizar equipos que dispongan de intercambiadores de aire o de agua.</w:t>
      </w:r>
    </w:p>
    <w:p w:rsidR="00503A41" w:rsidRPr="00993936" w:rsidRDefault="00503A41">
      <w:pPr>
        <w:jc w:val="both"/>
        <w:rPr>
          <w:rFonts w:ascii="Arial" w:hAnsi="Arial" w:cs="Arial"/>
          <w:lang w:val="es-ES"/>
        </w:rPr>
      </w:pPr>
      <w:r w:rsidRPr="00993936">
        <w:rPr>
          <w:rFonts w:ascii="Arial" w:hAnsi="Arial" w:cs="Arial"/>
          <w:lang w:val="es-ES"/>
        </w:rPr>
        <w:t>10.1.3 Todos el productos vegetales que se utilicen en la elaboración del producto transformado deben cumplir las condiciones fijadas en el Decreto 241/2002, por el cual se regula la producción integrada en Cataluña, las que fijen las normas generales de producción integrada, así como las que establezca el resto de normativa vigente.</w:t>
      </w:r>
    </w:p>
    <w:p w:rsidR="00503A41" w:rsidRPr="00993936" w:rsidRDefault="00503A41">
      <w:pPr>
        <w:jc w:val="both"/>
        <w:rPr>
          <w:rFonts w:ascii="Arial" w:hAnsi="Arial" w:cs="Arial"/>
          <w:i/>
          <w:snapToGrid w:val="0"/>
          <w:lang w:val="es-ES"/>
        </w:rPr>
      </w:pPr>
      <w:r w:rsidRPr="00993936">
        <w:rPr>
          <w:rFonts w:ascii="Arial" w:hAnsi="Arial" w:cs="Arial"/>
          <w:i/>
          <w:snapToGrid w:val="0"/>
          <w:lang w:val="es-ES"/>
        </w:rPr>
        <w:lastRenderedPageBreak/>
        <w:t>10.2 Prohibiciones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10.2.1 La utilización de productos químicos de síntesis para el blanqueo del fruto y/o de  la cáscara</w:t>
      </w:r>
      <w:r w:rsidRPr="00993936">
        <w:rPr>
          <w:rFonts w:ascii="Arial" w:hAnsi="Arial" w:cs="Arial"/>
          <w:snapToGrid w:val="0"/>
          <w:vanish/>
          <w:lang w:val="es-ES"/>
        </w:rPr>
        <w:t>&lt;A[caparazón|concha]&gt;</w:t>
      </w:r>
      <w:r w:rsidRPr="00993936">
        <w:rPr>
          <w:rFonts w:ascii="Arial" w:hAnsi="Arial" w:cs="Arial"/>
          <w:snapToGrid w:val="0"/>
          <w:lang w:val="es-ES"/>
        </w:rPr>
        <w:t>.</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10.2.2 La exposición de los frutos en contacto directo con los gases resultantes de un proceso de combustión.</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11</w:t>
      </w:r>
    </w:p>
    <w:p w:rsidR="00503A41" w:rsidRPr="00993936" w:rsidRDefault="00503A41" w:rsidP="0009331F">
      <w:pPr>
        <w:pStyle w:val="Ttulo7"/>
        <w:rPr>
          <w:rFonts w:ascii="Arial" w:hAnsi="Arial" w:cs="Arial"/>
          <w:b/>
          <w:color w:val="auto"/>
          <w:lang w:val="es-ES"/>
        </w:rPr>
      </w:pPr>
      <w:r w:rsidRPr="00993936">
        <w:rPr>
          <w:rFonts w:ascii="Arial" w:hAnsi="Arial" w:cs="Arial"/>
          <w:b/>
          <w:color w:val="auto"/>
          <w:lang w:val="es-ES"/>
        </w:rPr>
        <w:t>Manipulación, transporte, envasado y almacenamiento de productos elaborados</w:t>
      </w:r>
    </w:p>
    <w:p w:rsidR="00503A41" w:rsidRPr="00993936" w:rsidRDefault="00503A41">
      <w:pPr>
        <w:jc w:val="both"/>
        <w:rPr>
          <w:rFonts w:ascii="Arial" w:hAnsi="Arial" w:cs="Arial"/>
          <w:b/>
          <w:i/>
          <w:lang w:val="es-ES"/>
        </w:rPr>
      </w:pPr>
      <w:r w:rsidRPr="00993936">
        <w:rPr>
          <w:rFonts w:ascii="Arial" w:hAnsi="Arial" w:cs="Arial"/>
          <w:i/>
          <w:lang w:val="es-ES"/>
        </w:rPr>
        <w:t>11.1 Obligaciones</w:t>
      </w:r>
    </w:p>
    <w:p w:rsidR="00503A41" w:rsidRPr="00993936" w:rsidRDefault="00503A41">
      <w:pPr>
        <w:jc w:val="both"/>
        <w:rPr>
          <w:rFonts w:ascii="Arial" w:hAnsi="Arial" w:cs="Arial"/>
          <w:lang w:val="es-ES"/>
        </w:rPr>
      </w:pPr>
      <w:r w:rsidRPr="00993936">
        <w:rPr>
          <w:rFonts w:ascii="Arial" w:hAnsi="Arial" w:cs="Arial"/>
          <w:lang w:val="es-ES"/>
        </w:rPr>
        <w:t>11.1.1 Las técnicas de manipulación, transporte, envasado y almacenamiento de productos elaborados tenderán al mantenimiento de la calidad y las características organolépticas del producto.</w:t>
      </w:r>
    </w:p>
    <w:p w:rsidR="00503A41" w:rsidRPr="00993936" w:rsidRDefault="00503A41">
      <w:pPr>
        <w:tabs>
          <w:tab w:val="left" w:pos="0"/>
          <w:tab w:val="left" w:pos="6684"/>
        </w:tabs>
        <w:jc w:val="both"/>
        <w:rPr>
          <w:rFonts w:ascii="Arial" w:hAnsi="Arial" w:cs="Arial"/>
          <w:spacing w:val="-2"/>
          <w:lang w:val="es-ES"/>
        </w:rPr>
      </w:pPr>
      <w:r w:rsidRPr="00993936">
        <w:rPr>
          <w:rFonts w:ascii="Arial" w:hAnsi="Arial" w:cs="Arial"/>
          <w:spacing w:val="-2"/>
          <w:lang w:val="es-ES"/>
        </w:rPr>
        <w:t>11.1.2 Los envases y materiales de envasado deberán reunir los requisitos establecidos en la legislación vigente.</w:t>
      </w:r>
    </w:p>
    <w:p w:rsidR="00503A41" w:rsidRPr="00993936" w:rsidRDefault="00503A41">
      <w:pPr>
        <w:jc w:val="both"/>
        <w:rPr>
          <w:rFonts w:ascii="Arial" w:hAnsi="Arial" w:cs="Arial"/>
          <w:lang w:val="es-ES"/>
        </w:rPr>
      </w:pPr>
      <w:r w:rsidRPr="00993936">
        <w:rPr>
          <w:rFonts w:ascii="Arial" w:hAnsi="Arial" w:cs="Arial"/>
          <w:lang w:val="es-ES"/>
        </w:rPr>
        <w:t>11.1.3 El uso de tratamientos de conservación tiene que adecuarse a la situación y destinación</w:t>
      </w:r>
      <w:r w:rsidRPr="00993936">
        <w:rPr>
          <w:rFonts w:ascii="Arial" w:hAnsi="Arial" w:cs="Arial"/>
          <w:vanish/>
          <w:lang w:val="es-ES"/>
        </w:rPr>
        <w:t>&lt;A[destinación|destino]&gt;</w:t>
      </w:r>
      <w:r w:rsidRPr="00993936">
        <w:rPr>
          <w:rFonts w:ascii="Arial" w:hAnsi="Arial" w:cs="Arial"/>
          <w:lang w:val="es-ES"/>
        </w:rPr>
        <w:t xml:space="preserve"> del producto, principalmente para los productos en que se haga una conservación prolongada.</w:t>
      </w:r>
    </w:p>
    <w:p w:rsidR="00503A41" w:rsidRPr="00993936" w:rsidRDefault="00503A41">
      <w:pPr>
        <w:jc w:val="both"/>
        <w:rPr>
          <w:rFonts w:ascii="Arial" w:hAnsi="Arial" w:cs="Arial"/>
          <w:spacing w:val="-2"/>
          <w:lang w:val="es-ES"/>
        </w:rPr>
      </w:pPr>
      <w:r w:rsidRPr="00993936">
        <w:rPr>
          <w:rFonts w:ascii="Arial" w:hAnsi="Arial" w:cs="Arial"/>
          <w:lang w:val="es-ES"/>
        </w:rPr>
        <w:t>11.1.4 Los tratamientos de conservación deben estar autorizados por la legislación vigente. Se utilizarán métodos que tengan la menor toxicidad posible y preferentemente métodos físicos o con productos naturales, antes que de síntesis.</w:t>
      </w:r>
    </w:p>
    <w:p w:rsidR="00503A41" w:rsidRPr="00993936" w:rsidRDefault="00503A41">
      <w:pPr>
        <w:jc w:val="both"/>
        <w:rPr>
          <w:rFonts w:ascii="Arial" w:hAnsi="Arial" w:cs="Arial"/>
          <w:spacing w:val="-2"/>
          <w:lang w:val="es-ES"/>
        </w:rPr>
      </w:pPr>
      <w:r w:rsidRPr="00993936">
        <w:rPr>
          <w:rFonts w:ascii="Arial" w:hAnsi="Arial" w:cs="Arial"/>
          <w:spacing w:val="-2"/>
          <w:lang w:val="es-ES"/>
        </w:rPr>
        <w:t>11.1.5 Almacenar los productos en envases, depósitos o recipientes separados según las diferentes calidades.</w:t>
      </w:r>
    </w:p>
    <w:p w:rsidR="00503A41" w:rsidRPr="00993936" w:rsidRDefault="00503A41">
      <w:pPr>
        <w:jc w:val="both"/>
        <w:rPr>
          <w:rFonts w:ascii="Arial" w:hAnsi="Arial" w:cs="Arial"/>
          <w:snapToGrid w:val="0"/>
          <w:lang w:val="es-ES"/>
        </w:rPr>
      </w:pPr>
      <w:r w:rsidRPr="00993936">
        <w:rPr>
          <w:rFonts w:ascii="Arial" w:hAnsi="Arial" w:cs="Arial"/>
          <w:spacing w:val="-2"/>
          <w:lang w:val="es-ES"/>
        </w:rPr>
        <w:t>11.1.6 Utilizar los envases, depósitos o recipientes para los productos finales, exclusivamente para esta finalidad.</w:t>
      </w:r>
    </w:p>
    <w:p w:rsidR="00503A41" w:rsidRPr="00993936" w:rsidRDefault="00503A41">
      <w:pPr>
        <w:jc w:val="both"/>
        <w:rPr>
          <w:rFonts w:ascii="Arial" w:hAnsi="Arial" w:cs="Arial"/>
          <w:spacing w:val="-2"/>
          <w:lang w:val="es-ES"/>
        </w:rPr>
      </w:pPr>
      <w:r w:rsidRPr="00993936">
        <w:rPr>
          <w:rFonts w:ascii="Arial" w:hAnsi="Arial" w:cs="Arial"/>
          <w:spacing w:val="-2"/>
          <w:lang w:val="es-ES"/>
        </w:rPr>
        <w:t>11.1.7 Almacenar los envases y materiales de envasado en lugar</w:t>
      </w:r>
      <w:r w:rsidRPr="00993936">
        <w:rPr>
          <w:rFonts w:ascii="Arial" w:hAnsi="Arial" w:cs="Arial"/>
          <w:vanish/>
          <w:spacing w:val="-2"/>
          <w:lang w:val="es-ES"/>
        </w:rPr>
        <w:t>&lt;A[lugar|sitio]&gt;</w:t>
      </w:r>
      <w:r w:rsidRPr="00993936">
        <w:rPr>
          <w:rFonts w:ascii="Arial" w:hAnsi="Arial" w:cs="Arial"/>
          <w:spacing w:val="-2"/>
          <w:lang w:val="es-ES"/>
        </w:rPr>
        <w:t xml:space="preserve"> limpio</w:t>
      </w:r>
      <w:r w:rsidRPr="00993936">
        <w:rPr>
          <w:rFonts w:ascii="Arial" w:hAnsi="Arial" w:cs="Arial"/>
          <w:vanish/>
          <w:spacing w:val="-2"/>
          <w:lang w:val="es-ES"/>
        </w:rPr>
        <w:t>&lt;A[limpio|neto]&gt;</w:t>
      </w:r>
      <w:r w:rsidRPr="00993936">
        <w:rPr>
          <w:rFonts w:ascii="Arial" w:hAnsi="Arial" w:cs="Arial"/>
          <w:spacing w:val="-2"/>
          <w:lang w:val="es-ES"/>
        </w:rPr>
        <w:t xml:space="preserve"> y protegido.</w:t>
      </w:r>
    </w:p>
    <w:p w:rsidR="00503A41" w:rsidRPr="00993936" w:rsidRDefault="00503A41">
      <w:pPr>
        <w:tabs>
          <w:tab w:val="left" w:pos="731"/>
        </w:tabs>
        <w:jc w:val="both"/>
        <w:rPr>
          <w:rFonts w:ascii="Arial" w:hAnsi="Arial" w:cs="Arial"/>
          <w:spacing w:val="-2"/>
          <w:lang w:val="es-ES"/>
        </w:rPr>
      </w:pPr>
      <w:r w:rsidRPr="00993936">
        <w:rPr>
          <w:rFonts w:ascii="Arial" w:hAnsi="Arial" w:cs="Arial"/>
          <w:spacing w:val="-2"/>
          <w:lang w:val="es-ES"/>
        </w:rPr>
        <w:t>11.1.8 Evitar el contacto directo con el suelo de los envases llenos de productos, así como las cajas llenas de productos envasados.</w:t>
      </w:r>
    </w:p>
    <w:p w:rsidR="00503A41" w:rsidRPr="00993936" w:rsidRDefault="00503A41">
      <w:pPr>
        <w:pStyle w:val="Textoindependiente3"/>
        <w:tabs>
          <w:tab w:val="left" w:pos="731"/>
        </w:tabs>
        <w:rPr>
          <w:rFonts w:cs="Arial"/>
          <w:b w:val="0"/>
          <w:szCs w:val="22"/>
          <w:lang w:val="es-ES"/>
        </w:rPr>
      </w:pPr>
      <w:r w:rsidRPr="00993936">
        <w:rPr>
          <w:rFonts w:cs="Arial"/>
          <w:b w:val="0"/>
          <w:szCs w:val="22"/>
          <w:lang w:val="es-ES"/>
        </w:rPr>
        <w:t>11.1.9 Almacenar el producto en condiciones de temperatura, humedad e iluminación, de manera que se evite su deterioro.</w:t>
      </w:r>
    </w:p>
    <w:p w:rsidR="00503A41" w:rsidRPr="00993936" w:rsidRDefault="00503A41">
      <w:pPr>
        <w:tabs>
          <w:tab w:val="left" w:pos="731"/>
        </w:tabs>
        <w:jc w:val="both"/>
        <w:rPr>
          <w:rFonts w:ascii="Arial" w:hAnsi="Arial" w:cs="Arial"/>
          <w:spacing w:val="-2"/>
          <w:lang w:val="es-ES"/>
        </w:rPr>
      </w:pPr>
      <w:r w:rsidRPr="00993936">
        <w:rPr>
          <w:rFonts w:ascii="Arial" w:hAnsi="Arial" w:cs="Arial"/>
          <w:spacing w:val="-2"/>
          <w:lang w:val="es-ES"/>
        </w:rPr>
        <w:t>11.1.10 Guardar una distancia mínima entre las paredes y los palets, para permitir una correcta circulación de aire.</w:t>
      </w:r>
    </w:p>
    <w:p w:rsidR="00503A41" w:rsidRPr="00993936" w:rsidRDefault="00503A41">
      <w:pPr>
        <w:jc w:val="both"/>
        <w:rPr>
          <w:rFonts w:ascii="Arial" w:hAnsi="Arial" w:cs="Arial"/>
          <w:i/>
          <w:lang w:val="es-ES"/>
        </w:rPr>
      </w:pPr>
      <w:r w:rsidRPr="00993936">
        <w:rPr>
          <w:rFonts w:ascii="Arial" w:hAnsi="Arial" w:cs="Arial"/>
          <w:i/>
          <w:lang w:val="es-ES"/>
        </w:rPr>
        <w:t>11.2 Prohibiciones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11.2.1 Almacenar en el almacén cualquier producto diferente de los frutos secos.</w:t>
      </w:r>
    </w:p>
    <w:p w:rsidR="00503A41" w:rsidRPr="00993936" w:rsidRDefault="00503A41">
      <w:pPr>
        <w:jc w:val="both"/>
        <w:rPr>
          <w:rFonts w:ascii="Arial" w:hAnsi="Arial" w:cs="Arial"/>
          <w:spacing w:val="-2"/>
          <w:lang w:val="es-ES"/>
        </w:rPr>
      </w:pPr>
      <w:r w:rsidRPr="00993936">
        <w:rPr>
          <w:rFonts w:ascii="Arial" w:hAnsi="Arial" w:cs="Arial"/>
          <w:spacing w:val="-2"/>
          <w:lang w:val="es-ES"/>
        </w:rPr>
        <w:t>11.2.2 Reutilizar los envases.</w:t>
      </w:r>
    </w:p>
    <w:p w:rsidR="00503A41" w:rsidRPr="00993936" w:rsidRDefault="00503A41">
      <w:pPr>
        <w:jc w:val="both"/>
        <w:rPr>
          <w:rFonts w:ascii="Arial" w:hAnsi="Arial" w:cs="Arial"/>
          <w:b/>
          <w:i/>
          <w:spacing w:val="-2"/>
          <w:lang w:val="es-ES"/>
        </w:rPr>
      </w:pPr>
      <w:r w:rsidRPr="00993936">
        <w:rPr>
          <w:rFonts w:ascii="Arial" w:hAnsi="Arial" w:cs="Arial"/>
          <w:i/>
          <w:spacing w:val="-2"/>
          <w:lang w:val="es-ES"/>
        </w:rPr>
        <w:t>11.3</w:t>
      </w:r>
      <w:r w:rsidRPr="00993936">
        <w:rPr>
          <w:rFonts w:ascii="Arial" w:hAnsi="Arial" w:cs="Arial"/>
          <w:b/>
          <w:i/>
          <w:spacing w:val="-2"/>
          <w:lang w:val="es-ES"/>
        </w:rPr>
        <w:t xml:space="preserve"> </w:t>
      </w:r>
      <w:r w:rsidRPr="00993936">
        <w:rPr>
          <w:rFonts w:ascii="Arial" w:hAnsi="Arial" w:cs="Arial"/>
          <w:i/>
          <w:spacing w:val="-2"/>
          <w:lang w:val="es-ES"/>
        </w:rPr>
        <w:t>Recomendaciones</w:t>
      </w:r>
    </w:p>
    <w:p w:rsidR="00503A41" w:rsidRPr="00993936" w:rsidRDefault="00503A41">
      <w:pPr>
        <w:jc w:val="both"/>
        <w:rPr>
          <w:rFonts w:ascii="Arial" w:hAnsi="Arial" w:cs="Arial"/>
          <w:snapToGrid w:val="0"/>
          <w:lang w:val="es-ES"/>
        </w:rPr>
      </w:pPr>
      <w:r w:rsidRPr="00993936">
        <w:rPr>
          <w:rFonts w:ascii="Arial" w:hAnsi="Arial" w:cs="Arial"/>
          <w:spacing w:val="-2"/>
          <w:lang w:val="es-ES"/>
        </w:rPr>
        <w:t>11.3.1 Utilizar para el envasado de los frutos, preferentemente, los envases papel y cartón enfrente de otros materiales no reciclables como los plásticos.</w:t>
      </w:r>
    </w:p>
    <w:p w:rsidR="00503A41" w:rsidRPr="00993936" w:rsidRDefault="00503A41">
      <w:pPr>
        <w:jc w:val="both"/>
        <w:rPr>
          <w:rFonts w:ascii="Arial" w:hAnsi="Arial" w:cs="Arial"/>
          <w:spacing w:val="-2"/>
          <w:lang w:val="es-ES"/>
        </w:rPr>
      </w:pPr>
    </w:p>
    <w:p w:rsidR="00503A41" w:rsidRPr="00993936" w:rsidRDefault="00503A41">
      <w:pPr>
        <w:jc w:val="both"/>
        <w:rPr>
          <w:rFonts w:ascii="Arial" w:hAnsi="Arial" w:cs="Arial"/>
          <w:spacing w:val="-2"/>
          <w:lang w:val="es-ES"/>
        </w:rPr>
      </w:pPr>
      <w:r w:rsidRPr="00993936">
        <w:rPr>
          <w:rFonts w:ascii="Arial" w:hAnsi="Arial" w:cs="Arial"/>
          <w:spacing w:val="-2"/>
          <w:lang w:val="es-ES"/>
        </w:rPr>
        <w:lastRenderedPageBreak/>
        <w:t>Artículo 12</w:t>
      </w:r>
    </w:p>
    <w:p w:rsidR="00503A41" w:rsidRPr="00993936" w:rsidRDefault="00503A41">
      <w:pPr>
        <w:jc w:val="both"/>
        <w:rPr>
          <w:rFonts w:ascii="Arial" w:hAnsi="Arial" w:cs="Arial"/>
          <w:b/>
          <w:spacing w:val="-2"/>
          <w:lang w:val="es-ES"/>
        </w:rPr>
      </w:pPr>
      <w:r w:rsidRPr="00993936">
        <w:rPr>
          <w:rFonts w:ascii="Arial" w:hAnsi="Arial" w:cs="Arial"/>
          <w:b/>
          <w:spacing w:val="-2"/>
          <w:lang w:val="es-ES"/>
        </w:rPr>
        <w:t>Instalaciones para la manipulación, transporte, envasado y almacenamiento de productos elaborados</w:t>
      </w:r>
    </w:p>
    <w:p w:rsidR="00503A41" w:rsidRPr="00993936" w:rsidRDefault="00503A41">
      <w:pPr>
        <w:jc w:val="both"/>
        <w:rPr>
          <w:rFonts w:ascii="Arial" w:hAnsi="Arial" w:cs="Arial"/>
          <w:i/>
          <w:spacing w:val="-2"/>
          <w:lang w:val="es-ES"/>
        </w:rPr>
      </w:pPr>
      <w:r w:rsidRPr="00993936">
        <w:rPr>
          <w:rFonts w:ascii="Arial" w:hAnsi="Arial" w:cs="Arial"/>
          <w:i/>
          <w:lang w:val="es-ES"/>
        </w:rPr>
        <w:t>12.1 Obligaciones</w:t>
      </w:r>
    </w:p>
    <w:p w:rsidR="00503A41" w:rsidRPr="00993936" w:rsidRDefault="00503A41">
      <w:pPr>
        <w:jc w:val="both"/>
        <w:rPr>
          <w:rFonts w:ascii="Arial" w:hAnsi="Arial" w:cs="Arial"/>
          <w:lang w:val="es-ES"/>
        </w:rPr>
      </w:pPr>
      <w:r w:rsidRPr="00993936">
        <w:rPr>
          <w:rFonts w:ascii="Arial" w:hAnsi="Arial" w:cs="Arial"/>
          <w:spacing w:val="-2"/>
          <w:lang w:val="es-ES"/>
        </w:rPr>
        <w:t xml:space="preserve">12.1.1 </w:t>
      </w:r>
      <w:r w:rsidRPr="00993936">
        <w:rPr>
          <w:rFonts w:ascii="Arial" w:hAnsi="Arial" w:cs="Arial"/>
          <w:lang w:val="es-ES"/>
        </w:rPr>
        <w:t>La maquinaria utilizada para la manipulación, el transporte, el envasado y el almacenamiento de los productos finales elaborados tiene que ser fabricada con materiales que dispongan de recubrimientos inertes, aptos para la industria agroalimentaria, preferentemente de acero inoxidable y de fácil limpieza.</w:t>
      </w:r>
    </w:p>
    <w:p w:rsidR="00503A41" w:rsidRPr="00993936" w:rsidRDefault="00503A41">
      <w:pPr>
        <w:jc w:val="both"/>
        <w:rPr>
          <w:rFonts w:ascii="Arial" w:hAnsi="Arial" w:cs="Arial"/>
          <w:spacing w:val="-2"/>
          <w:lang w:val="es-ES"/>
        </w:rPr>
      </w:pPr>
      <w:r w:rsidRPr="00993936">
        <w:rPr>
          <w:rFonts w:ascii="Arial" w:hAnsi="Arial" w:cs="Arial"/>
          <w:spacing w:val="-2"/>
          <w:lang w:val="es-ES"/>
        </w:rPr>
        <w:t>12.1.2 Las zonas de almacenamiento de envases y materiales de envasado estarán claramente diferenciadas de la zona de envasado y manipulación.</w:t>
      </w:r>
    </w:p>
    <w:p w:rsidR="00503A41" w:rsidRPr="00993936" w:rsidRDefault="00503A41">
      <w:pPr>
        <w:jc w:val="both"/>
        <w:rPr>
          <w:rFonts w:ascii="Arial" w:hAnsi="Arial" w:cs="Arial"/>
          <w:snapToGrid w:val="0"/>
          <w:lang w:val="es-ES"/>
        </w:rPr>
      </w:pPr>
      <w:r w:rsidRPr="00993936">
        <w:rPr>
          <w:rFonts w:ascii="Arial" w:hAnsi="Arial" w:cs="Arial"/>
          <w:spacing w:val="-2"/>
          <w:lang w:val="es-ES"/>
        </w:rPr>
        <w:t xml:space="preserve">12.1.3 Realizar una </w:t>
      </w:r>
      <w:r w:rsidRPr="00993936">
        <w:rPr>
          <w:rFonts w:ascii="Arial" w:hAnsi="Arial" w:cs="Arial"/>
          <w:snapToGrid w:val="0"/>
          <w:lang w:val="es-ES"/>
        </w:rPr>
        <w:t>limpieza sistemática de los depósitos, tolvas y conducciones de productos elaborados.</w:t>
      </w:r>
    </w:p>
    <w:p w:rsidR="00503A41" w:rsidRPr="00993936" w:rsidRDefault="00503A41">
      <w:pPr>
        <w:jc w:val="both"/>
        <w:rPr>
          <w:rFonts w:ascii="Arial" w:hAnsi="Arial" w:cs="Arial"/>
          <w:snapToGrid w:val="0"/>
          <w:lang w:val="es-ES"/>
        </w:rPr>
      </w:pPr>
      <w:r w:rsidRPr="00993936">
        <w:rPr>
          <w:rFonts w:ascii="Arial" w:hAnsi="Arial" w:cs="Arial"/>
          <w:spacing w:val="-2"/>
          <w:lang w:val="es-ES"/>
        </w:rPr>
        <w:t xml:space="preserve">12.1.4 Realizar una </w:t>
      </w:r>
      <w:r w:rsidRPr="00993936">
        <w:rPr>
          <w:rFonts w:ascii="Arial" w:hAnsi="Arial" w:cs="Arial"/>
          <w:snapToGrid w:val="0"/>
          <w:lang w:val="es-ES"/>
        </w:rPr>
        <w:t>limpieza permanente de las zonas de almacenamiento.</w:t>
      </w:r>
    </w:p>
    <w:p w:rsidR="00503A41" w:rsidRPr="00993936" w:rsidRDefault="00503A41" w:rsidP="0009331F">
      <w:pPr>
        <w:jc w:val="both"/>
        <w:rPr>
          <w:rFonts w:ascii="Arial" w:hAnsi="Arial" w:cs="Arial"/>
          <w:lang w:val="es-ES"/>
        </w:rPr>
      </w:pPr>
      <w:r w:rsidRPr="00993936">
        <w:rPr>
          <w:rFonts w:ascii="Arial" w:hAnsi="Arial" w:cs="Arial"/>
          <w:lang w:val="es-ES"/>
        </w:rPr>
        <w:t>12.1.5 Todas las máquinas, los recipientes, los elementos de transporte, los envases provisionales y los lugares</w:t>
      </w:r>
      <w:r w:rsidRPr="00993936">
        <w:rPr>
          <w:rFonts w:ascii="Arial" w:hAnsi="Arial" w:cs="Arial"/>
          <w:vanish/>
          <w:lang w:val="es-ES"/>
        </w:rPr>
        <w:t>&lt;A[lugares|sitios]&gt;</w:t>
      </w:r>
      <w:r w:rsidRPr="00993936">
        <w:rPr>
          <w:rFonts w:ascii="Arial" w:hAnsi="Arial" w:cs="Arial"/>
          <w:lang w:val="es-ES"/>
        </w:rPr>
        <w:t xml:space="preserve"> de envasado deben reunir las condiciones siguientes:</w:t>
      </w:r>
    </w:p>
    <w:p w:rsidR="00503A41" w:rsidRPr="00993936" w:rsidRDefault="00503A41" w:rsidP="009D1A2D">
      <w:pPr>
        <w:numPr>
          <w:ilvl w:val="0"/>
          <w:numId w:val="94"/>
        </w:numPr>
        <w:spacing w:after="0" w:line="240" w:lineRule="auto"/>
        <w:jc w:val="both"/>
        <w:rPr>
          <w:rFonts w:ascii="Arial" w:hAnsi="Arial" w:cs="Arial"/>
          <w:lang w:val="es-ES"/>
        </w:rPr>
      </w:pPr>
      <w:r w:rsidRPr="00993936">
        <w:rPr>
          <w:rFonts w:ascii="Arial" w:hAnsi="Arial" w:cs="Arial"/>
          <w:lang w:val="es-ES"/>
        </w:rPr>
        <w:t>No transmitir a los productos con que entren en contacto sustancias tóxicas o que puedan contaminar ni originar reacciones químicas perjudiciales.</w:t>
      </w:r>
    </w:p>
    <w:p w:rsidR="00503A41" w:rsidRPr="00993936" w:rsidRDefault="00503A41" w:rsidP="009D1A2D">
      <w:pPr>
        <w:numPr>
          <w:ilvl w:val="0"/>
          <w:numId w:val="94"/>
        </w:numPr>
        <w:spacing w:after="0" w:line="240" w:lineRule="auto"/>
        <w:jc w:val="both"/>
        <w:rPr>
          <w:rFonts w:ascii="Arial" w:hAnsi="Arial" w:cs="Arial"/>
          <w:lang w:val="es-ES"/>
        </w:rPr>
      </w:pPr>
      <w:r w:rsidRPr="00993936">
        <w:rPr>
          <w:rFonts w:ascii="Arial" w:hAnsi="Arial" w:cs="Arial"/>
          <w:lang w:val="es-ES"/>
        </w:rPr>
        <w:t>No alterar las características de composición y las organolépticas de los productos.</w:t>
      </w:r>
    </w:p>
    <w:p w:rsidR="00503A41" w:rsidRPr="00993936" w:rsidRDefault="00503A41" w:rsidP="009D1A2D">
      <w:pPr>
        <w:numPr>
          <w:ilvl w:val="0"/>
          <w:numId w:val="94"/>
        </w:numPr>
        <w:spacing w:after="0" w:line="240" w:lineRule="auto"/>
        <w:jc w:val="both"/>
        <w:rPr>
          <w:rFonts w:ascii="Arial" w:hAnsi="Arial" w:cs="Arial"/>
          <w:lang w:val="es-ES"/>
        </w:rPr>
      </w:pPr>
      <w:r w:rsidRPr="00993936">
        <w:rPr>
          <w:rFonts w:ascii="Arial" w:hAnsi="Arial" w:cs="Arial"/>
          <w:lang w:val="es-ES"/>
        </w:rPr>
        <w:t>La limpieza se realizará con métodos y productos autorizados.</w:t>
      </w:r>
    </w:p>
    <w:p w:rsidR="00503A41" w:rsidRPr="00993936" w:rsidRDefault="00503A41" w:rsidP="0009331F">
      <w:pPr>
        <w:jc w:val="both"/>
        <w:rPr>
          <w:rFonts w:ascii="Arial" w:hAnsi="Arial" w:cs="Arial"/>
          <w:lang w:val="es-ES"/>
        </w:rPr>
      </w:pPr>
      <w:r w:rsidRPr="00993936">
        <w:rPr>
          <w:rFonts w:ascii="Arial" w:hAnsi="Arial" w:cs="Arial"/>
          <w:lang w:val="es-ES"/>
        </w:rPr>
        <w:t>12.1.6 Las operaciones de envasado deben efectuarse por</w:t>
      </w:r>
      <w:r w:rsidRPr="00993936">
        <w:rPr>
          <w:rFonts w:ascii="Arial" w:hAnsi="Arial" w:cs="Arial"/>
          <w:vanish/>
          <w:lang w:val="es-ES"/>
        </w:rPr>
        <w:t>&lt;A[por|para]&gt;</w:t>
      </w:r>
      <w:r w:rsidRPr="00993936">
        <w:rPr>
          <w:rFonts w:ascii="Arial" w:hAnsi="Arial" w:cs="Arial"/>
          <w:lang w:val="es-ES"/>
        </w:rPr>
        <w:t xml:space="preserve"> series completas, separadas físicamente o en tiempo de operaciones de productos convencionales. </w:t>
      </w:r>
    </w:p>
    <w:p w:rsidR="00503A41" w:rsidRPr="00993936" w:rsidRDefault="00503A41" w:rsidP="0009331F">
      <w:pPr>
        <w:jc w:val="both"/>
        <w:rPr>
          <w:rFonts w:ascii="Arial" w:hAnsi="Arial" w:cs="Arial"/>
          <w:lang w:val="es-ES"/>
        </w:rPr>
      </w:pPr>
      <w:r w:rsidRPr="00993936">
        <w:rPr>
          <w:rFonts w:ascii="Arial" w:hAnsi="Arial" w:cs="Arial"/>
          <w:lang w:val="es-ES"/>
        </w:rPr>
        <w:t>12.1.7 Los operadores que realizan envasado de productos certificados de producción integrada y convencionales deben avisar el órgano o la entidad de control. La comunicación se tiene que hacer a principios de campaña, con antelación suficiente y antes del inicio de las operaciones de los productos de producción integrada</w:t>
      </w:r>
    </w:p>
    <w:p w:rsidR="00503A41" w:rsidRPr="00993936" w:rsidRDefault="00503A41">
      <w:pPr>
        <w:jc w:val="both"/>
        <w:rPr>
          <w:rFonts w:ascii="Arial" w:hAnsi="Arial" w:cs="Arial"/>
          <w:lang w:val="es-ES"/>
        </w:rPr>
      </w:pPr>
      <w:r w:rsidRPr="00993936">
        <w:rPr>
          <w:rFonts w:ascii="Arial" w:hAnsi="Arial" w:cs="Arial"/>
          <w:lang w:val="es-ES"/>
        </w:rPr>
        <w:t>12.1.8 Los manipuladores de alimentos deberán tener una formación específica al respecto o justificar que están en proceso en obtenerla de acuerdo con lo que establece la normativa legal vigente, por la cual se establecen las normas relativas a los manipuladores de alimentos.</w:t>
      </w:r>
    </w:p>
    <w:p w:rsidR="00503A41" w:rsidRPr="00993936" w:rsidRDefault="00503A41">
      <w:pPr>
        <w:jc w:val="both"/>
        <w:rPr>
          <w:rFonts w:ascii="Arial" w:hAnsi="Arial" w:cs="Arial"/>
          <w:i/>
          <w:lang w:val="es-ES"/>
        </w:rPr>
      </w:pPr>
      <w:r w:rsidRPr="00993936">
        <w:rPr>
          <w:rFonts w:ascii="Arial" w:hAnsi="Arial" w:cs="Arial"/>
          <w:i/>
          <w:lang w:val="es-ES"/>
        </w:rPr>
        <w:t>12.2 Prohibiciones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12.2.1 Utilizar depósitos de hierro sin revestimiento.</w:t>
      </w:r>
    </w:p>
    <w:p w:rsidR="00503A41" w:rsidRPr="00993936" w:rsidRDefault="00503A41">
      <w:pPr>
        <w:pStyle w:val="Textoindependiente3"/>
        <w:rPr>
          <w:rFonts w:cs="Arial"/>
          <w:b w:val="0"/>
          <w:szCs w:val="22"/>
          <w:lang w:val="es-ES"/>
        </w:rPr>
      </w:pPr>
      <w:r w:rsidRPr="00993936">
        <w:rPr>
          <w:rFonts w:cs="Arial"/>
          <w:b w:val="0"/>
          <w:szCs w:val="22"/>
          <w:lang w:val="es-ES"/>
        </w:rPr>
        <w:t>12.2.2 Utilizar depósitos aéreos a la intemperie.</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12.2.3 Utilizar depósitos sin revestimientos inertes.</w:t>
      </w:r>
    </w:p>
    <w:p w:rsidR="00503A41" w:rsidRPr="00993936" w:rsidRDefault="00503A41">
      <w:pPr>
        <w:jc w:val="both"/>
        <w:rPr>
          <w:rFonts w:ascii="Arial" w:hAnsi="Arial" w:cs="Arial"/>
          <w:snapToGrid w:val="0"/>
          <w:lang w:val="es-ES"/>
        </w:rPr>
      </w:pPr>
      <w:r w:rsidRPr="00993936">
        <w:rPr>
          <w:rFonts w:ascii="Arial" w:hAnsi="Arial" w:cs="Arial"/>
          <w:lang w:val="es-ES"/>
        </w:rPr>
        <w:t>12.2.4</w:t>
      </w:r>
      <w:r w:rsidRPr="00993936">
        <w:rPr>
          <w:rFonts w:ascii="Arial" w:hAnsi="Arial" w:cs="Arial"/>
          <w:snapToGrid w:val="0"/>
          <w:lang w:val="es-ES"/>
        </w:rPr>
        <w:t xml:space="preserve"> Realizar la limpieza de las instalaciones (depósitos, tolvas, conducciones, etc.) con productos no homologados para industrias alimentarias.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12.2.5  Utilizar aceites minerales en los circuitos hidráulicos de las pesadoras que estén en contacto directo con los frutos en grano.</w:t>
      </w:r>
    </w:p>
    <w:p w:rsidR="00503A41" w:rsidRPr="00993936" w:rsidRDefault="00503A41">
      <w:pPr>
        <w:jc w:val="both"/>
        <w:rPr>
          <w:rFonts w:ascii="Arial" w:hAnsi="Arial" w:cs="Arial"/>
          <w:i/>
          <w:lang w:val="es-ES"/>
        </w:rPr>
      </w:pPr>
      <w:r w:rsidRPr="00993936">
        <w:rPr>
          <w:rFonts w:ascii="Arial" w:hAnsi="Arial" w:cs="Arial"/>
          <w:i/>
          <w:lang w:val="es-ES"/>
        </w:rPr>
        <w:t>12.3. Recomendaciones</w:t>
      </w:r>
    </w:p>
    <w:p w:rsidR="00503A41" w:rsidRPr="00993936" w:rsidRDefault="00503A41">
      <w:pPr>
        <w:jc w:val="both"/>
        <w:rPr>
          <w:rFonts w:ascii="Arial" w:hAnsi="Arial" w:cs="Arial"/>
          <w:snapToGrid w:val="0"/>
          <w:lang w:val="es-ES"/>
        </w:rPr>
      </w:pPr>
      <w:r w:rsidRPr="00993936">
        <w:rPr>
          <w:rFonts w:ascii="Arial" w:hAnsi="Arial" w:cs="Arial"/>
          <w:spacing w:val="-2"/>
          <w:lang w:val="es-ES"/>
        </w:rPr>
        <w:lastRenderedPageBreak/>
        <w:t xml:space="preserve">12.3.1 Utilizar </w:t>
      </w:r>
      <w:r w:rsidRPr="00993936">
        <w:rPr>
          <w:rFonts w:ascii="Arial" w:hAnsi="Arial" w:cs="Arial"/>
          <w:snapToGrid w:val="0"/>
          <w:lang w:val="es-ES"/>
        </w:rPr>
        <w:t>depósitos de dimensiones adecuadas a la producción de la industria.</w:t>
      </w:r>
    </w:p>
    <w:p w:rsidR="00503A41" w:rsidRPr="00993936" w:rsidRDefault="00503A41">
      <w:pPr>
        <w:jc w:val="both"/>
        <w:rPr>
          <w:rFonts w:ascii="Arial" w:hAnsi="Arial" w:cs="Arial"/>
          <w:snapToGrid w:val="0"/>
          <w:lang w:val="es-ES"/>
        </w:rPr>
      </w:pPr>
      <w:r w:rsidRPr="00993936">
        <w:rPr>
          <w:rFonts w:ascii="Arial" w:hAnsi="Arial" w:cs="Arial"/>
          <w:spacing w:val="-2"/>
          <w:lang w:val="es-ES"/>
        </w:rPr>
        <w:t xml:space="preserve">12.3.2 Los </w:t>
      </w:r>
      <w:r w:rsidRPr="00993936">
        <w:rPr>
          <w:rFonts w:ascii="Arial" w:hAnsi="Arial" w:cs="Arial"/>
          <w:snapToGrid w:val="0"/>
          <w:lang w:val="es-ES"/>
        </w:rPr>
        <w:t>depósitos dispondrán de elementos que permiten y aseguren un sangrado eficaz, dotados de mecanismos de limpieza y equipados, si procede con sistemas para la toma de muestras.</w:t>
      </w:r>
    </w:p>
    <w:p w:rsidR="00503A41" w:rsidRPr="00993936" w:rsidRDefault="00503A41">
      <w:pPr>
        <w:tabs>
          <w:tab w:val="left" w:pos="731"/>
        </w:tabs>
        <w:jc w:val="both"/>
        <w:rPr>
          <w:rFonts w:ascii="Arial" w:hAnsi="Arial" w:cs="Arial"/>
          <w:snapToGrid w:val="0"/>
          <w:lang w:val="es-ES"/>
        </w:rPr>
      </w:pPr>
      <w:r w:rsidRPr="00993936">
        <w:rPr>
          <w:rFonts w:ascii="Arial" w:hAnsi="Arial" w:cs="Arial"/>
          <w:spacing w:val="-2"/>
          <w:lang w:val="es-ES"/>
        </w:rPr>
        <w:t xml:space="preserve">12.3.3 Establecer </w:t>
      </w:r>
      <w:r w:rsidRPr="00993936">
        <w:rPr>
          <w:rFonts w:ascii="Arial" w:hAnsi="Arial" w:cs="Arial"/>
          <w:snapToGrid w:val="0"/>
          <w:lang w:val="es-ES"/>
        </w:rPr>
        <w:t>el aislamiento térmico del almacén de productos elaborados.</w:t>
      </w:r>
    </w:p>
    <w:p w:rsidR="00503A41" w:rsidRPr="00993936" w:rsidRDefault="00503A41">
      <w:pPr>
        <w:jc w:val="both"/>
        <w:rPr>
          <w:rFonts w:ascii="Arial" w:hAnsi="Arial" w:cs="Arial"/>
          <w:spacing w:val="-2"/>
          <w:lang w:val="es-ES"/>
        </w:rPr>
      </w:pPr>
      <w:r w:rsidRPr="00993936">
        <w:rPr>
          <w:rFonts w:ascii="Arial" w:hAnsi="Arial" w:cs="Arial"/>
          <w:snapToGrid w:val="0"/>
          <w:lang w:val="es-ES"/>
        </w:rPr>
        <w:t>12.3.4 Utilizar acero inoxidable en los elementos metálicos en contacto directo con los frutos sin cáscara</w:t>
      </w:r>
      <w:r w:rsidRPr="00993936">
        <w:rPr>
          <w:rFonts w:ascii="Arial" w:hAnsi="Arial" w:cs="Arial"/>
          <w:snapToGrid w:val="0"/>
          <w:vanish/>
          <w:lang w:val="es-ES"/>
        </w:rPr>
        <w:t>&lt;A[caparazón|concha]&gt;</w:t>
      </w:r>
      <w:r w:rsidRPr="00993936">
        <w:rPr>
          <w:rFonts w:ascii="Arial" w:hAnsi="Arial" w:cs="Arial"/>
          <w:snapToGrid w:val="0"/>
          <w:lang w:val="es-ES"/>
        </w:rPr>
        <w:t xml:space="preserve"> o de otros productos elaborados.</w:t>
      </w:r>
    </w:p>
    <w:p w:rsidR="00503A41" w:rsidRPr="00993936" w:rsidRDefault="00503A41">
      <w:pPr>
        <w:jc w:val="both"/>
        <w:rPr>
          <w:rFonts w:ascii="Arial" w:hAnsi="Arial" w:cs="Arial"/>
          <w:spacing w:val="-2"/>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13</w:t>
      </w: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Identificación y trazabilidad de la procedencia de los frutos secos y de los productos elaborados</w:t>
      </w:r>
    </w:p>
    <w:p w:rsidR="00503A41" w:rsidRPr="00993936" w:rsidRDefault="00503A41">
      <w:pPr>
        <w:jc w:val="both"/>
        <w:rPr>
          <w:rFonts w:ascii="Arial" w:hAnsi="Arial" w:cs="Arial"/>
          <w:b/>
          <w:i/>
          <w:spacing w:val="-2"/>
          <w:lang w:val="es-ES"/>
        </w:rPr>
      </w:pPr>
      <w:r w:rsidRPr="00993936">
        <w:rPr>
          <w:rFonts w:ascii="Arial" w:hAnsi="Arial" w:cs="Arial"/>
          <w:i/>
          <w:lang w:val="es-ES"/>
        </w:rPr>
        <w:t>13.1 Obligaciones</w:t>
      </w:r>
    </w:p>
    <w:p w:rsidR="00503A41" w:rsidRPr="00993936" w:rsidRDefault="00503A41">
      <w:pPr>
        <w:tabs>
          <w:tab w:val="left" w:pos="731"/>
        </w:tabs>
        <w:jc w:val="both"/>
        <w:rPr>
          <w:rFonts w:ascii="Arial" w:hAnsi="Arial" w:cs="Arial"/>
          <w:spacing w:val="-2"/>
          <w:lang w:val="es-ES"/>
        </w:rPr>
      </w:pPr>
      <w:r w:rsidRPr="00993936">
        <w:rPr>
          <w:rFonts w:ascii="Arial" w:hAnsi="Arial" w:cs="Arial"/>
          <w:spacing w:val="-2"/>
          <w:lang w:val="es-ES"/>
        </w:rPr>
        <w:t>13.1.1 Cada centro de recepción y/o manipulación tiene que disponer de un albarán de control de entrada, en el cual figure como mínimo el producto, la cantidad, la parcela de origen, la unidad de cultivo con tratamiento homogéneo y la fecha de entrada, firmada por la persona que hace la entrega.</w:t>
      </w:r>
    </w:p>
    <w:p w:rsidR="00503A41" w:rsidRPr="00993936" w:rsidRDefault="00503A41" w:rsidP="0009331F">
      <w:pPr>
        <w:jc w:val="both"/>
        <w:rPr>
          <w:rFonts w:ascii="Arial" w:hAnsi="Arial" w:cs="Arial"/>
          <w:lang w:val="es-ES"/>
        </w:rPr>
      </w:pPr>
      <w:r w:rsidRPr="00993936">
        <w:rPr>
          <w:rFonts w:ascii="Arial" w:hAnsi="Arial" w:cs="Arial"/>
          <w:lang w:val="es-ES"/>
        </w:rPr>
        <w:t>13.1.2 Los operadores que no tengan la totalidad de la producción de cultivo bajo normas de producción integrada, deberán cumplir los requisitos siguientes:</w:t>
      </w:r>
    </w:p>
    <w:p w:rsidR="00503A41" w:rsidRPr="00993936" w:rsidRDefault="00503A41" w:rsidP="009D1A2D">
      <w:pPr>
        <w:numPr>
          <w:ilvl w:val="0"/>
          <w:numId w:val="177"/>
        </w:numPr>
        <w:spacing w:after="0" w:line="240" w:lineRule="auto"/>
        <w:jc w:val="both"/>
        <w:rPr>
          <w:rFonts w:ascii="Arial" w:hAnsi="Arial" w:cs="Arial"/>
          <w:lang w:val="es-ES"/>
        </w:rPr>
      </w:pPr>
      <w:r w:rsidRPr="00993936">
        <w:rPr>
          <w:rFonts w:ascii="Arial" w:hAnsi="Arial" w:cs="Arial"/>
          <w:lang w:val="es-ES"/>
        </w:rPr>
        <w:t xml:space="preserve">Debe haber un sistema documentado e implantado de identificación y trazabilidad de los productos de producción integrada para garantizar la separación desde la parcela o UHC hasta la entrega al cliente del producto elaborado de los otros origens. </w:t>
      </w:r>
    </w:p>
    <w:p w:rsidR="00503A41" w:rsidRPr="00993936" w:rsidRDefault="00503A41" w:rsidP="009D1A2D">
      <w:pPr>
        <w:numPr>
          <w:ilvl w:val="0"/>
          <w:numId w:val="177"/>
        </w:numPr>
        <w:spacing w:after="0" w:line="240" w:lineRule="auto"/>
        <w:jc w:val="both"/>
        <w:rPr>
          <w:rFonts w:ascii="Arial" w:hAnsi="Arial" w:cs="Arial"/>
          <w:lang w:val="es-ES"/>
        </w:rPr>
      </w:pPr>
      <w:r w:rsidRPr="00993936">
        <w:rPr>
          <w:rFonts w:ascii="Arial" w:hAnsi="Arial" w:cs="Arial"/>
          <w:lang w:val="es-ES"/>
        </w:rPr>
        <w:t>En caso de utilizar la misma línea de manipulación o confección para los dos tipos de producto, tendrá que quedar claramente definido el intervalo de tiempo durante el cual se manipula cada tipo de producto, y tiene que ser conocido por todo el personal implicado en el proceso.</w:t>
      </w:r>
    </w:p>
    <w:p w:rsidR="00503A41" w:rsidRPr="00993936" w:rsidRDefault="00503A41" w:rsidP="009D1A2D">
      <w:pPr>
        <w:numPr>
          <w:ilvl w:val="0"/>
          <w:numId w:val="177"/>
        </w:numPr>
        <w:spacing w:after="0" w:line="240" w:lineRule="auto"/>
        <w:jc w:val="both"/>
        <w:rPr>
          <w:rFonts w:ascii="Arial" w:hAnsi="Arial" w:cs="Arial"/>
          <w:lang w:val="es-ES"/>
        </w:rPr>
      </w:pPr>
      <w:r w:rsidRPr="00993936">
        <w:rPr>
          <w:rFonts w:ascii="Arial" w:hAnsi="Arial" w:cs="Arial"/>
          <w:lang w:val="es-ES"/>
        </w:rPr>
        <w:t>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 no amparado por esta norma, antes de proceder a su manipulación. </w:t>
      </w:r>
    </w:p>
    <w:p w:rsidR="00503A41" w:rsidRPr="00993936" w:rsidRDefault="00503A41" w:rsidP="009D1A2D">
      <w:pPr>
        <w:numPr>
          <w:ilvl w:val="0"/>
          <w:numId w:val="177"/>
        </w:numPr>
        <w:spacing w:after="0" w:line="240" w:lineRule="auto"/>
        <w:jc w:val="both"/>
        <w:rPr>
          <w:rFonts w:ascii="Arial" w:hAnsi="Arial" w:cs="Arial"/>
          <w:lang w:val="es-ES"/>
        </w:rPr>
      </w:pPr>
      <w:r w:rsidRPr="00993936">
        <w:rPr>
          <w:rFonts w:ascii="Arial" w:hAnsi="Arial" w:cs="Arial"/>
          <w:lang w:val="es-ES"/>
        </w:rPr>
        <w:t>Antes de proceder a la manipulación del producto de producción integrada, 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productos de otros orígenes.</w:t>
      </w:r>
    </w:p>
    <w:p w:rsidR="00503A41" w:rsidRPr="00993936" w:rsidRDefault="00503A41" w:rsidP="0009331F">
      <w:pPr>
        <w:jc w:val="both"/>
        <w:rPr>
          <w:rFonts w:ascii="Arial" w:hAnsi="Arial" w:cs="Arial"/>
          <w:lang w:val="es-ES"/>
        </w:rPr>
      </w:pPr>
      <w:r w:rsidRPr="00993936">
        <w:rPr>
          <w:rFonts w:ascii="Arial" w:hAnsi="Arial" w:cs="Arial"/>
          <w:lang w:val="es-ES"/>
        </w:rPr>
        <w:t>13.1.3 Los productos de producción integrada serán identificados y considerados, en cualquier momento del proceso técnico, administrativo y de comercialización como un producto diferente del resto de los productos manipulados por la persona operadora.</w:t>
      </w:r>
    </w:p>
    <w:p w:rsidR="00503A41" w:rsidRPr="00993936" w:rsidRDefault="00503A41" w:rsidP="0009331F">
      <w:pPr>
        <w:jc w:val="both"/>
        <w:rPr>
          <w:rFonts w:ascii="Arial" w:hAnsi="Arial" w:cs="Arial"/>
          <w:lang w:val="es-ES"/>
        </w:rPr>
      </w:pPr>
      <w:r w:rsidRPr="00993936">
        <w:rPr>
          <w:rFonts w:ascii="Arial" w:hAnsi="Arial" w:cs="Arial"/>
          <w:lang w:val="es-ES"/>
        </w:rPr>
        <w:t>13.1.4 Las cajas de campo y otros envases utilizados para la recolección o el transporte de productos de producción integrada deben estar claramente diferenciados de los utilizados para otros productos.</w:t>
      </w:r>
    </w:p>
    <w:p w:rsidR="00503A41" w:rsidRPr="00993936" w:rsidRDefault="00503A41">
      <w:pPr>
        <w:tabs>
          <w:tab w:val="left" w:pos="731"/>
        </w:tabs>
        <w:jc w:val="both"/>
        <w:rPr>
          <w:rFonts w:ascii="Arial" w:hAnsi="Arial" w:cs="Arial"/>
          <w:i/>
          <w:spacing w:val="-2"/>
          <w:lang w:val="es-ES"/>
        </w:rPr>
      </w:pPr>
      <w:r w:rsidRPr="00993936">
        <w:rPr>
          <w:rFonts w:ascii="Arial" w:hAnsi="Arial" w:cs="Arial"/>
          <w:i/>
          <w:lang w:val="es-ES"/>
        </w:rPr>
        <w:t>13.2. Prohibiciones</w:t>
      </w:r>
    </w:p>
    <w:p w:rsidR="00503A41" w:rsidRPr="00993936" w:rsidRDefault="00503A41" w:rsidP="0009331F">
      <w:pPr>
        <w:jc w:val="both"/>
        <w:rPr>
          <w:rFonts w:ascii="Arial" w:hAnsi="Arial" w:cs="Arial"/>
          <w:lang w:val="es-ES"/>
        </w:rPr>
      </w:pPr>
      <w:r w:rsidRPr="00993936">
        <w:rPr>
          <w:rFonts w:ascii="Arial" w:hAnsi="Arial" w:cs="Arial"/>
          <w:lang w:val="es-ES"/>
        </w:rPr>
        <w:t>13.2.1</w:t>
      </w:r>
      <w:r w:rsidRPr="00993936">
        <w:rPr>
          <w:rFonts w:ascii="Arial" w:hAnsi="Arial" w:cs="Arial"/>
          <w:b/>
          <w:lang w:val="es-ES"/>
        </w:rPr>
        <w:t xml:space="preserve"> </w:t>
      </w:r>
      <w:r w:rsidRPr="00993936">
        <w:rPr>
          <w:rFonts w:ascii="Arial" w:hAnsi="Arial" w:cs="Arial"/>
          <w:lang w:val="es-ES"/>
        </w:rPr>
        <w:t>Comercializar, como productos amparados por esta norma, los procedentes de unidades de cultivo que no cumplan las indicaciones de cultivo que establece la normativa de producción integrada en toda su producción.</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14</w:t>
      </w:r>
    </w:p>
    <w:p w:rsidR="00503A41" w:rsidRPr="00993936" w:rsidRDefault="00503A41">
      <w:pPr>
        <w:pStyle w:val="Ttulo1"/>
        <w:rPr>
          <w:rFonts w:ascii="Arial" w:hAnsi="Arial" w:cs="Arial"/>
          <w:color w:val="auto"/>
          <w:sz w:val="22"/>
          <w:szCs w:val="22"/>
        </w:rPr>
      </w:pPr>
      <w:r w:rsidRPr="00993936">
        <w:rPr>
          <w:rFonts w:ascii="Arial" w:hAnsi="Arial" w:cs="Arial"/>
          <w:color w:val="auto"/>
          <w:sz w:val="22"/>
          <w:szCs w:val="22"/>
        </w:rPr>
        <w:lastRenderedPageBreak/>
        <w:t>Instalaciones generales</w:t>
      </w:r>
    </w:p>
    <w:p w:rsidR="00503A41" w:rsidRPr="00993936" w:rsidRDefault="00503A41" w:rsidP="0009331F">
      <w:pPr>
        <w:rPr>
          <w:rFonts w:ascii="Arial" w:hAnsi="Arial" w:cs="Arial"/>
          <w:lang w:val="es-ES"/>
        </w:rPr>
      </w:pP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 xml:space="preserve">14.1 Materiales </w:t>
      </w:r>
    </w:p>
    <w:p w:rsidR="00503A41" w:rsidRPr="00993936" w:rsidRDefault="00503A41">
      <w:pPr>
        <w:jc w:val="both"/>
        <w:rPr>
          <w:rFonts w:ascii="Arial" w:hAnsi="Arial" w:cs="Arial"/>
          <w:i/>
          <w:spacing w:val="-2"/>
          <w:lang w:val="es-ES"/>
        </w:rPr>
      </w:pPr>
      <w:r w:rsidRPr="00993936">
        <w:rPr>
          <w:rFonts w:ascii="Arial" w:hAnsi="Arial" w:cs="Arial"/>
          <w:i/>
          <w:lang w:val="es-ES"/>
        </w:rPr>
        <w:t>14.1.1  Obligaciones</w:t>
      </w:r>
    </w:p>
    <w:p w:rsidR="00503A41" w:rsidRPr="00993936" w:rsidRDefault="00503A41">
      <w:pPr>
        <w:jc w:val="both"/>
        <w:rPr>
          <w:rFonts w:ascii="Arial" w:hAnsi="Arial" w:cs="Arial"/>
          <w:spacing w:val="-2"/>
          <w:u w:val="single"/>
          <w:lang w:val="es-ES"/>
        </w:rPr>
      </w:pPr>
      <w:r w:rsidRPr="00993936">
        <w:rPr>
          <w:rFonts w:ascii="Arial" w:hAnsi="Arial" w:cs="Arial"/>
          <w:spacing w:val="-2"/>
          <w:lang w:val="es-ES"/>
        </w:rPr>
        <w:t>14.1.1.1 Todos los materiales que se utilicen en las instalaciones deberán ser aptos para uso alimentario, adaptándose a las diferentes especificaciones y necesidades, según el Código Alimenticio Español y la normativa vigente.</w:t>
      </w:r>
    </w:p>
    <w:p w:rsidR="00503A41" w:rsidRPr="00993936" w:rsidRDefault="00503A41">
      <w:pPr>
        <w:jc w:val="both"/>
        <w:rPr>
          <w:rFonts w:ascii="Arial" w:hAnsi="Arial" w:cs="Arial"/>
          <w:spacing w:val="-2"/>
          <w:lang w:val="es-ES"/>
        </w:rPr>
      </w:pPr>
      <w:r w:rsidRPr="00993936">
        <w:rPr>
          <w:rFonts w:ascii="Arial" w:hAnsi="Arial" w:cs="Arial"/>
          <w:spacing w:val="-2"/>
          <w:lang w:val="es-ES"/>
        </w:rPr>
        <w:t>14.1.1.2 Los materiales polímeros autorizados deberán ser inocuos</w:t>
      </w:r>
      <w:r w:rsidRPr="00993936">
        <w:rPr>
          <w:rFonts w:ascii="Arial" w:hAnsi="Arial" w:cs="Arial"/>
          <w:vanish/>
          <w:spacing w:val="-2"/>
          <w:lang w:val="es-ES"/>
        </w:rPr>
        <w:t>&lt;A[inocuos|inofensivos]&gt;</w:t>
      </w:r>
      <w:r w:rsidRPr="00993936">
        <w:rPr>
          <w:rFonts w:ascii="Arial" w:hAnsi="Arial" w:cs="Arial"/>
          <w:spacing w:val="-2"/>
          <w:lang w:val="es-ES"/>
        </w:rPr>
        <w:t xml:space="preserve"> y no deberán transmitir a los frutos y/o productos propiedades nocivas ni cambiar sus características organolépticas.</w:t>
      </w:r>
    </w:p>
    <w:p w:rsidR="00503A41" w:rsidRPr="00993936" w:rsidRDefault="00503A41">
      <w:pPr>
        <w:tabs>
          <w:tab w:val="left" w:pos="731"/>
        </w:tabs>
        <w:jc w:val="both"/>
        <w:rPr>
          <w:rFonts w:ascii="Arial" w:hAnsi="Arial" w:cs="Arial"/>
          <w:b/>
          <w:i/>
          <w:lang w:val="es-ES"/>
        </w:rPr>
      </w:pPr>
      <w:r w:rsidRPr="00993936">
        <w:rPr>
          <w:rFonts w:ascii="Arial" w:hAnsi="Arial" w:cs="Arial"/>
          <w:i/>
          <w:lang w:val="es-ES"/>
        </w:rPr>
        <w:t>14.1.2  Prohibiciones</w:t>
      </w:r>
    </w:p>
    <w:p w:rsidR="00503A41" w:rsidRPr="00993936" w:rsidRDefault="00503A41">
      <w:pPr>
        <w:jc w:val="both"/>
        <w:rPr>
          <w:rFonts w:ascii="Arial" w:hAnsi="Arial" w:cs="Arial"/>
          <w:snapToGrid w:val="0"/>
          <w:lang w:val="es-ES"/>
        </w:rPr>
      </w:pPr>
      <w:r w:rsidRPr="00993936">
        <w:rPr>
          <w:rFonts w:ascii="Arial" w:hAnsi="Arial" w:cs="Arial"/>
          <w:snapToGrid w:val="0"/>
          <w:lang w:val="es-ES"/>
        </w:rPr>
        <w:t>14.1.2.1 Utilizar todos los materiales especificados en el Código Alimenticio Español (art. 2.04.03) y resto de normativa vigente, como el hierro cromado en las instalaciones por agua potable, el plomo y las soldaduras con aleaciones de estaño y plomo.</w:t>
      </w:r>
    </w:p>
    <w:p w:rsidR="00503A41" w:rsidRPr="00993936" w:rsidRDefault="00503A41">
      <w:pPr>
        <w:tabs>
          <w:tab w:val="left" w:pos="731"/>
        </w:tabs>
        <w:jc w:val="both"/>
        <w:rPr>
          <w:rFonts w:ascii="Arial" w:hAnsi="Arial" w:cs="Arial"/>
          <w:i/>
          <w:lang w:val="es-ES"/>
        </w:rPr>
      </w:pPr>
      <w:r w:rsidRPr="00993936">
        <w:rPr>
          <w:rFonts w:ascii="Arial" w:hAnsi="Arial" w:cs="Arial"/>
          <w:i/>
          <w:lang w:val="es-ES"/>
        </w:rPr>
        <w:t>14.1.3 Recomendaciones</w:t>
      </w:r>
    </w:p>
    <w:p w:rsidR="00503A41" w:rsidRPr="00993936" w:rsidRDefault="00503A41">
      <w:pPr>
        <w:tabs>
          <w:tab w:val="left" w:pos="731"/>
        </w:tabs>
        <w:jc w:val="both"/>
        <w:rPr>
          <w:rFonts w:ascii="Arial" w:hAnsi="Arial" w:cs="Arial"/>
          <w:lang w:val="es-ES"/>
        </w:rPr>
      </w:pPr>
      <w:r w:rsidRPr="00993936">
        <w:rPr>
          <w:rFonts w:ascii="Arial" w:hAnsi="Arial" w:cs="Arial"/>
          <w:lang w:val="es-ES"/>
        </w:rPr>
        <w:t>14.1.3.1 Utilizar de forma generalizada aceros inoxidables que sean resistentes al ataque de detergentes y soluciones esterilizadoras.</w:t>
      </w:r>
    </w:p>
    <w:p w:rsidR="00503A41" w:rsidRPr="00993936" w:rsidRDefault="00503A41">
      <w:pPr>
        <w:tabs>
          <w:tab w:val="left" w:pos="731"/>
        </w:tabs>
        <w:jc w:val="both"/>
        <w:rPr>
          <w:rFonts w:ascii="Arial" w:hAnsi="Arial" w:cs="Arial"/>
          <w:lang w:val="es-ES"/>
        </w:rPr>
      </w:pPr>
    </w:p>
    <w:p w:rsidR="00503A41" w:rsidRPr="00993936" w:rsidRDefault="00503A41">
      <w:pPr>
        <w:pStyle w:val="titulo2"/>
        <w:widowControl/>
        <w:tabs>
          <w:tab w:val="clear" w:pos="1134"/>
          <w:tab w:val="left" w:pos="731"/>
        </w:tabs>
        <w:spacing w:before="0" w:after="0" w:line="240" w:lineRule="auto"/>
        <w:rPr>
          <w:rFonts w:ascii="Arial" w:hAnsi="Arial" w:cs="Arial"/>
          <w:sz w:val="22"/>
          <w:szCs w:val="22"/>
          <w:lang w:val="es-ES"/>
        </w:rPr>
      </w:pPr>
      <w:r w:rsidRPr="00993936">
        <w:rPr>
          <w:rFonts w:ascii="Arial" w:hAnsi="Arial" w:cs="Arial"/>
          <w:sz w:val="22"/>
          <w:szCs w:val="22"/>
          <w:lang w:val="es-ES"/>
        </w:rPr>
        <w:t>14.2 Características constructivas, de diseño y mantenimiento</w:t>
      </w:r>
    </w:p>
    <w:p w:rsidR="00503A41" w:rsidRPr="00993936" w:rsidRDefault="00503A41">
      <w:pPr>
        <w:tabs>
          <w:tab w:val="left" w:pos="731"/>
        </w:tabs>
        <w:jc w:val="both"/>
        <w:rPr>
          <w:rFonts w:ascii="Arial" w:hAnsi="Arial" w:cs="Arial"/>
          <w:i/>
          <w:lang w:val="es-ES"/>
        </w:rPr>
      </w:pPr>
      <w:r w:rsidRPr="00993936">
        <w:rPr>
          <w:rFonts w:ascii="Arial" w:hAnsi="Arial" w:cs="Arial"/>
          <w:i/>
          <w:lang w:val="es-ES"/>
        </w:rPr>
        <w:t>14.2.1</w:t>
      </w:r>
      <w:r w:rsidRPr="00993936">
        <w:rPr>
          <w:rFonts w:ascii="Arial" w:hAnsi="Arial" w:cs="Arial"/>
          <w:b/>
          <w:i/>
          <w:lang w:val="es-ES"/>
        </w:rPr>
        <w:t xml:space="preserve">  </w:t>
      </w:r>
      <w:r w:rsidRPr="00993936">
        <w:rPr>
          <w:rFonts w:ascii="Arial" w:hAnsi="Arial" w:cs="Arial"/>
          <w:i/>
          <w:lang w:val="es-ES"/>
        </w:rPr>
        <w:t>Obligaciones</w:t>
      </w:r>
    </w:p>
    <w:p w:rsidR="00503A41" w:rsidRPr="00993936" w:rsidRDefault="00503A41">
      <w:pPr>
        <w:jc w:val="both"/>
        <w:rPr>
          <w:rFonts w:ascii="Arial" w:hAnsi="Arial" w:cs="Arial"/>
          <w:spacing w:val="-2"/>
          <w:lang w:val="es-ES"/>
        </w:rPr>
      </w:pPr>
      <w:r w:rsidRPr="00993936">
        <w:rPr>
          <w:rFonts w:ascii="Arial" w:hAnsi="Arial" w:cs="Arial"/>
          <w:spacing w:val="-2"/>
          <w:lang w:val="es-ES"/>
        </w:rPr>
        <w:t>14.2.1.1 T</w:t>
      </w:r>
      <w:r w:rsidRPr="00993936">
        <w:rPr>
          <w:rFonts w:ascii="Arial" w:hAnsi="Arial" w:cs="Arial"/>
          <w:lang w:val="es-ES"/>
        </w:rPr>
        <w:t>odas las superficies en contacto directo con los productos deben ser de fácil acceso o desmontables para comprobar su limpieza.</w:t>
      </w:r>
      <w:r w:rsidRPr="00993936">
        <w:rPr>
          <w:rFonts w:ascii="Arial" w:hAnsi="Arial" w:cs="Arial"/>
          <w:spacing w:val="-2"/>
          <w:lang w:val="es-ES"/>
        </w:rPr>
        <w:t xml:space="preserve"> </w:t>
      </w:r>
    </w:p>
    <w:p w:rsidR="00503A41" w:rsidRPr="00993936" w:rsidRDefault="00503A41">
      <w:pPr>
        <w:jc w:val="both"/>
        <w:rPr>
          <w:rFonts w:ascii="Arial" w:hAnsi="Arial" w:cs="Arial"/>
          <w:lang w:val="es-ES"/>
        </w:rPr>
      </w:pPr>
      <w:r w:rsidRPr="00993936">
        <w:rPr>
          <w:rFonts w:ascii="Arial" w:hAnsi="Arial" w:cs="Arial"/>
          <w:spacing w:val="-2"/>
          <w:lang w:val="es-ES"/>
        </w:rPr>
        <w:t xml:space="preserve">14.2.1.2 </w:t>
      </w:r>
      <w:r w:rsidRPr="00993936">
        <w:rPr>
          <w:rFonts w:ascii="Arial" w:hAnsi="Arial" w:cs="Arial"/>
          <w:lang w:val="es-ES"/>
        </w:rPr>
        <w:t>En toda instalación, tubos, válvulas, depósitos, etc. se tendrá que asegurar que el escurrido por gravedad sea total.</w:t>
      </w:r>
    </w:p>
    <w:p w:rsidR="00503A41" w:rsidRPr="00993936" w:rsidRDefault="00503A41">
      <w:pPr>
        <w:jc w:val="both"/>
        <w:rPr>
          <w:rFonts w:ascii="Arial" w:hAnsi="Arial" w:cs="Arial"/>
          <w:spacing w:val="-2"/>
          <w:lang w:val="es-ES"/>
        </w:rPr>
      </w:pPr>
      <w:r w:rsidRPr="00993936">
        <w:rPr>
          <w:rFonts w:ascii="Arial" w:hAnsi="Arial" w:cs="Arial"/>
          <w:spacing w:val="-2"/>
          <w:lang w:val="es-ES"/>
        </w:rPr>
        <w:t>14.2.1.3 Mantener las instalaciones en un buen estado de conservación mediante un mantenimiento adecuado.</w:t>
      </w:r>
    </w:p>
    <w:p w:rsidR="00503A41" w:rsidRPr="00993936" w:rsidRDefault="00503A41">
      <w:pPr>
        <w:jc w:val="both"/>
        <w:rPr>
          <w:rFonts w:ascii="Arial" w:hAnsi="Arial" w:cs="Arial"/>
          <w:spacing w:val="-2"/>
          <w:lang w:val="es-ES"/>
        </w:rPr>
      </w:pPr>
      <w:r w:rsidRPr="00993936">
        <w:rPr>
          <w:rFonts w:ascii="Arial" w:hAnsi="Arial" w:cs="Arial"/>
          <w:spacing w:val="-2"/>
          <w:lang w:val="es-ES"/>
        </w:rPr>
        <w:t>14.2.1.4 Los pasillos</w:t>
      </w:r>
      <w:r w:rsidRPr="00993936">
        <w:rPr>
          <w:rFonts w:ascii="Arial" w:hAnsi="Arial" w:cs="Arial"/>
          <w:vanish/>
          <w:spacing w:val="-2"/>
          <w:lang w:val="es-ES"/>
        </w:rPr>
        <w:t>&lt;A[pasillos|pasadizos]&gt;</w:t>
      </w:r>
      <w:r w:rsidRPr="00993936">
        <w:rPr>
          <w:rFonts w:ascii="Arial" w:hAnsi="Arial" w:cs="Arial"/>
          <w:spacing w:val="-2"/>
          <w:lang w:val="es-ES"/>
        </w:rPr>
        <w:t xml:space="preserve"> dentro del almacén de manipulación se encontrarán libres de obstáculos, con pasillos</w:t>
      </w:r>
      <w:r w:rsidRPr="00993936">
        <w:rPr>
          <w:rFonts w:ascii="Arial" w:hAnsi="Arial" w:cs="Arial"/>
          <w:vanish/>
          <w:spacing w:val="-2"/>
          <w:lang w:val="es-ES"/>
        </w:rPr>
        <w:t>&lt;A[pasillos|pasadizos]&gt;</w:t>
      </w:r>
      <w:r w:rsidRPr="00993936">
        <w:rPr>
          <w:rFonts w:ascii="Arial" w:hAnsi="Arial" w:cs="Arial"/>
          <w:spacing w:val="-2"/>
          <w:lang w:val="es-ES"/>
        </w:rPr>
        <w:t xml:space="preserve"> para el personal y pasillos</w:t>
      </w:r>
      <w:r w:rsidRPr="00993936">
        <w:rPr>
          <w:rFonts w:ascii="Arial" w:hAnsi="Arial" w:cs="Arial"/>
          <w:vanish/>
          <w:spacing w:val="-2"/>
          <w:lang w:val="es-ES"/>
        </w:rPr>
        <w:t>&lt;A[pasillos|pasadizos]&gt;</w:t>
      </w:r>
      <w:r w:rsidRPr="00993936">
        <w:rPr>
          <w:rFonts w:ascii="Arial" w:hAnsi="Arial" w:cs="Arial"/>
          <w:spacing w:val="-2"/>
          <w:lang w:val="es-ES"/>
        </w:rPr>
        <w:t xml:space="preserve"> para los vehículos. </w:t>
      </w:r>
    </w:p>
    <w:p w:rsidR="00503A41" w:rsidRPr="00993936" w:rsidRDefault="00503A41">
      <w:pPr>
        <w:jc w:val="both"/>
        <w:rPr>
          <w:rFonts w:ascii="Arial" w:hAnsi="Arial" w:cs="Arial"/>
          <w:spacing w:val="-2"/>
          <w:lang w:val="es-ES"/>
        </w:rPr>
      </w:pPr>
      <w:r w:rsidRPr="00993936">
        <w:rPr>
          <w:rFonts w:ascii="Arial" w:hAnsi="Arial" w:cs="Arial"/>
          <w:spacing w:val="-2"/>
          <w:lang w:val="es-ES"/>
        </w:rPr>
        <w:t>14.2.1.5 Las esquinas y obstáculos fijos deberán estar señalizados adecuadamente.</w:t>
      </w:r>
    </w:p>
    <w:p w:rsidR="00503A41" w:rsidRPr="00993936" w:rsidRDefault="00503A41">
      <w:pPr>
        <w:jc w:val="both"/>
        <w:rPr>
          <w:rFonts w:ascii="Arial" w:hAnsi="Arial" w:cs="Arial"/>
          <w:spacing w:val="-2"/>
          <w:lang w:val="es-ES"/>
        </w:rPr>
      </w:pPr>
      <w:r w:rsidRPr="00993936">
        <w:rPr>
          <w:rFonts w:ascii="Arial" w:hAnsi="Arial" w:cs="Arial"/>
          <w:spacing w:val="-2"/>
          <w:lang w:val="es-ES"/>
        </w:rPr>
        <w:t xml:space="preserve">14.2.1.6 </w:t>
      </w:r>
      <w:r w:rsidRPr="00993936">
        <w:rPr>
          <w:rFonts w:ascii="Arial" w:hAnsi="Arial" w:cs="Arial"/>
          <w:lang w:val="es-ES"/>
        </w:rPr>
        <w:t>Las zonas de envasado y manipulación deben estar limpias</w:t>
      </w:r>
      <w:r w:rsidRPr="00993936">
        <w:rPr>
          <w:rFonts w:ascii="Arial" w:hAnsi="Arial" w:cs="Arial"/>
          <w:vanish/>
          <w:lang w:val="es-ES"/>
        </w:rPr>
        <w:t>&lt;A[limpias|netas]&gt;</w:t>
      </w:r>
      <w:r w:rsidRPr="00993936">
        <w:rPr>
          <w:rFonts w:ascii="Arial" w:hAnsi="Arial" w:cs="Arial"/>
          <w:lang w:val="es-ES"/>
        </w:rPr>
        <w:t xml:space="preserve"> y construidas de manera que permitan una adecuada higiene.</w:t>
      </w:r>
    </w:p>
    <w:p w:rsidR="00503A41" w:rsidRPr="00993936" w:rsidRDefault="00503A41">
      <w:pPr>
        <w:jc w:val="both"/>
        <w:rPr>
          <w:rFonts w:ascii="Arial" w:hAnsi="Arial" w:cs="Arial"/>
          <w:lang w:val="es-ES"/>
        </w:rPr>
      </w:pPr>
      <w:r w:rsidRPr="00993936">
        <w:rPr>
          <w:rFonts w:ascii="Arial" w:hAnsi="Arial" w:cs="Arial"/>
          <w:lang w:val="es-ES"/>
        </w:rPr>
        <w:t>14.2.1.7 Se evitarán agujeros y ventanas y se instalarán elementos que impidan la entrada de insectos.</w:t>
      </w:r>
    </w:p>
    <w:p w:rsidR="00503A41" w:rsidRPr="00993936" w:rsidRDefault="00503A41">
      <w:pPr>
        <w:jc w:val="both"/>
        <w:rPr>
          <w:rFonts w:ascii="Arial" w:hAnsi="Arial" w:cs="Arial"/>
          <w:lang w:val="es-ES"/>
        </w:rPr>
      </w:pPr>
      <w:r w:rsidRPr="00993936">
        <w:rPr>
          <w:rFonts w:ascii="Arial" w:hAnsi="Arial" w:cs="Arial"/>
          <w:lang w:val="es-ES"/>
        </w:rPr>
        <w:t>14.2.1.8 Los locales por donde circulen los productos deben estar suficientemente iluminados por medios naturales o artificiales.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14.2.1.9  Las instalaciones, incluidos los baños, los equipos y el entorno productivo deben estar en un estado de orden y de limpieza adecuado.</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14.2.1.10 Todas las instalaciones deben estar ventiladas, iluminadas y con sistemas de desagüe adecuados para las actividades que desarrollen.</w:t>
      </w:r>
    </w:p>
    <w:p w:rsidR="00503A41" w:rsidRPr="00993936" w:rsidRDefault="00503A41">
      <w:pPr>
        <w:tabs>
          <w:tab w:val="left" w:pos="731"/>
        </w:tabs>
        <w:jc w:val="both"/>
        <w:rPr>
          <w:rFonts w:ascii="Arial" w:hAnsi="Arial" w:cs="Arial"/>
          <w:i/>
          <w:lang w:val="es-ES"/>
        </w:rPr>
      </w:pPr>
    </w:p>
    <w:p w:rsidR="00503A41" w:rsidRPr="00993936" w:rsidRDefault="00503A41">
      <w:pPr>
        <w:tabs>
          <w:tab w:val="left" w:pos="731"/>
        </w:tabs>
        <w:jc w:val="both"/>
        <w:rPr>
          <w:rFonts w:ascii="Arial" w:hAnsi="Arial" w:cs="Arial"/>
          <w:i/>
          <w:lang w:val="es-ES"/>
        </w:rPr>
      </w:pPr>
      <w:r w:rsidRPr="00993936">
        <w:rPr>
          <w:rFonts w:ascii="Arial" w:hAnsi="Arial" w:cs="Arial"/>
          <w:i/>
          <w:lang w:val="es-ES"/>
        </w:rPr>
        <w:lastRenderedPageBreak/>
        <w:t>14.2.2  Prohibiciones</w:t>
      </w:r>
    </w:p>
    <w:p w:rsidR="00503A41" w:rsidRPr="00993936" w:rsidRDefault="00503A41">
      <w:pPr>
        <w:pStyle w:val="Textoindependiente3"/>
        <w:tabs>
          <w:tab w:val="left" w:pos="731"/>
        </w:tabs>
        <w:rPr>
          <w:rFonts w:cs="Arial"/>
          <w:b w:val="0"/>
          <w:szCs w:val="22"/>
          <w:lang w:val="es-ES"/>
        </w:rPr>
      </w:pPr>
      <w:r w:rsidRPr="00993936">
        <w:rPr>
          <w:rFonts w:cs="Arial"/>
          <w:b w:val="0"/>
          <w:szCs w:val="22"/>
          <w:lang w:val="es-ES"/>
        </w:rPr>
        <w:t>14.2.2.1 Utilizar equipamientos con grietas, picados</w:t>
      </w:r>
      <w:r w:rsidRPr="00993936">
        <w:rPr>
          <w:rFonts w:cs="Arial"/>
          <w:b w:val="0"/>
          <w:vanish/>
          <w:szCs w:val="22"/>
          <w:lang w:val="es-ES"/>
        </w:rPr>
        <w:t>&lt;A[picaduras|picotazos]&gt;</w:t>
      </w:r>
      <w:r w:rsidRPr="00993936">
        <w:rPr>
          <w:rFonts w:cs="Arial"/>
          <w:b w:val="0"/>
          <w:szCs w:val="22"/>
          <w:lang w:val="es-ES"/>
        </w:rPr>
        <w:t xml:space="preserve"> o zonas muertas donde se acumulen sustancias o productos elaborados donde no llegue la limpieza. Asimismo, no se utilizarán tornillos</w:t>
      </w:r>
      <w:r w:rsidRPr="00993936">
        <w:rPr>
          <w:rFonts w:cs="Arial"/>
          <w:b w:val="0"/>
          <w:vanish/>
          <w:szCs w:val="22"/>
          <w:lang w:val="es-ES"/>
        </w:rPr>
        <w:t>&lt;A[caracoles|tornillos]&gt;</w:t>
      </w:r>
      <w:r w:rsidRPr="00993936">
        <w:rPr>
          <w:rFonts w:cs="Arial"/>
          <w:b w:val="0"/>
          <w:szCs w:val="22"/>
          <w:lang w:val="es-ES"/>
        </w:rPr>
        <w:t xml:space="preserve"> o perfilados en las zonas en contacto con el producto elaborado.</w:t>
      </w:r>
    </w:p>
    <w:p w:rsidR="00503A41" w:rsidRPr="00993936" w:rsidRDefault="00503A41">
      <w:pPr>
        <w:tabs>
          <w:tab w:val="left" w:pos="731"/>
        </w:tabs>
        <w:jc w:val="both"/>
        <w:rPr>
          <w:rFonts w:ascii="Arial" w:hAnsi="Arial" w:cs="Arial"/>
          <w:b/>
          <w:i/>
          <w:lang w:val="es-ES"/>
        </w:rPr>
      </w:pPr>
      <w:r w:rsidRPr="00993936">
        <w:rPr>
          <w:rFonts w:ascii="Arial" w:hAnsi="Arial" w:cs="Arial"/>
          <w:i/>
          <w:lang w:val="es-ES"/>
        </w:rPr>
        <w:t>14.2.3 Recomendaciones</w:t>
      </w:r>
    </w:p>
    <w:p w:rsidR="00503A41" w:rsidRPr="00993936" w:rsidRDefault="00503A41">
      <w:pPr>
        <w:jc w:val="both"/>
        <w:rPr>
          <w:rFonts w:ascii="Arial" w:hAnsi="Arial" w:cs="Arial"/>
          <w:lang w:val="es-ES"/>
        </w:rPr>
      </w:pPr>
      <w:r w:rsidRPr="00993936">
        <w:rPr>
          <w:rFonts w:ascii="Arial" w:hAnsi="Arial" w:cs="Arial"/>
          <w:lang w:val="es-ES"/>
        </w:rPr>
        <w:t xml:space="preserve">14.2.3.1 Las separaciones entre máquinas, o de estas con las paredes, será como mínimo de </w:t>
      </w:r>
      <w:smartTag w:uri="urn:schemas-microsoft-com:office:smarttags" w:element="metricconverter">
        <w:smartTagPr>
          <w:attr w:name="ProductID" w:val="45 cm"/>
        </w:smartTagPr>
        <w:r w:rsidRPr="00993936">
          <w:rPr>
            <w:rFonts w:ascii="Arial" w:hAnsi="Arial" w:cs="Arial"/>
            <w:lang w:val="es-ES"/>
          </w:rPr>
          <w:t>45 cm</w:t>
        </w:r>
      </w:smartTag>
      <w:r w:rsidRPr="00993936">
        <w:rPr>
          <w:rFonts w:ascii="Arial" w:hAnsi="Arial" w:cs="Arial"/>
          <w:lang w:val="es-ES"/>
        </w:rPr>
        <w:t>.</w:t>
      </w:r>
    </w:p>
    <w:p w:rsidR="00503A41" w:rsidRPr="00993936" w:rsidRDefault="00503A41">
      <w:pPr>
        <w:tabs>
          <w:tab w:val="left" w:pos="731"/>
        </w:tabs>
        <w:jc w:val="both"/>
        <w:rPr>
          <w:rFonts w:ascii="Arial" w:hAnsi="Arial" w:cs="Arial"/>
          <w:lang w:val="es-ES"/>
        </w:rPr>
      </w:pP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r w:rsidRPr="00993936">
        <w:rPr>
          <w:rFonts w:ascii="Arial" w:hAnsi="Arial" w:cs="Arial"/>
          <w:b w:val="0"/>
          <w:spacing w:val="-2"/>
          <w:sz w:val="22"/>
          <w:szCs w:val="22"/>
          <w:lang w:val="es-ES"/>
        </w:rPr>
        <w:t>14.3 Lavabos y vestuarios</w:t>
      </w:r>
    </w:p>
    <w:p w:rsidR="00503A41" w:rsidRPr="00993936" w:rsidRDefault="00503A41">
      <w:pPr>
        <w:tabs>
          <w:tab w:val="left" w:pos="731"/>
        </w:tabs>
        <w:jc w:val="both"/>
        <w:rPr>
          <w:rFonts w:ascii="Arial" w:hAnsi="Arial" w:cs="Arial"/>
          <w:b/>
          <w:i/>
          <w:lang w:val="es-ES"/>
        </w:rPr>
      </w:pPr>
      <w:r w:rsidRPr="00993936">
        <w:rPr>
          <w:rFonts w:ascii="Arial" w:hAnsi="Arial" w:cs="Arial"/>
          <w:i/>
          <w:lang w:val="es-ES"/>
        </w:rPr>
        <w:t>14.3.1  Obligaciones</w:t>
      </w:r>
    </w:p>
    <w:p w:rsidR="00503A41" w:rsidRPr="00993936" w:rsidRDefault="00503A41">
      <w:pPr>
        <w:jc w:val="both"/>
        <w:rPr>
          <w:rFonts w:ascii="Arial" w:hAnsi="Arial" w:cs="Arial"/>
          <w:spacing w:val="-2"/>
          <w:lang w:val="es-ES"/>
        </w:rPr>
      </w:pPr>
      <w:r w:rsidRPr="00993936">
        <w:rPr>
          <w:rFonts w:ascii="Arial" w:hAnsi="Arial" w:cs="Arial"/>
          <w:lang w:val="es-ES"/>
        </w:rPr>
        <w:t xml:space="preserve">14.3.1.1 </w:t>
      </w:r>
      <w:r w:rsidRPr="00993936">
        <w:rPr>
          <w:rFonts w:ascii="Arial" w:hAnsi="Arial" w:cs="Arial"/>
          <w:spacing w:val="-2"/>
          <w:lang w:val="es-ES"/>
        </w:rPr>
        <w:t>Deberá haber un número suficiente de lavabos, debidamente localizables y señalizados, que dispongan de un cartel recordatorio de la obligatoriedad del lavado de manos después de su utilización.</w:t>
      </w:r>
    </w:p>
    <w:p w:rsidR="00503A41" w:rsidRPr="00993936" w:rsidRDefault="00503A41">
      <w:pPr>
        <w:jc w:val="both"/>
        <w:rPr>
          <w:rFonts w:ascii="Arial" w:hAnsi="Arial" w:cs="Arial"/>
          <w:spacing w:val="-2"/>
          <w:lang w:val="es-ES"/>
        </w:rPr>
      </w:pPr>
      <w:r w:rsidRPr="00993936">
        <w:rPr>
          <w:rFonts w:ascii="Arial" w:hAnsi="Arial" w:cs="Arial"/>
          <w:lang w:val="es-ES"/>
        </w:rPr>
        <w:t xml:space="preserve">14.3.1.2  </w:t>
      </w:r>
      <w:r w:rsidRPr="00993936">
        <w:rPr>
          <w:rFonts w:ascii="Arial" w:hAnsi="Arial" w:cs="Arial"/>
          <w:spacing w:val="-2"/>
          <w:lang w:val="es-ES"/>
        </w:rPr>
        <w:t>Los lavabos para limpiarse las manos estarán provistos de agua corriente ,así como de material de limpieza y secado higiénico de las manos (distribuidoras de jabón y dispositivos de secado de manos por aire o toallitas de un solo uso).</w:t>
      </w:r>
    </w:p>
    <w:p w:rsidR="00503A41" w:rsidRPr="00993936" w:rsidRDefault="00503A41">
      <w:pPr>
        <w:jc w:val="both"/>
        <w:rPr>
          <w:rFonts w:ascii="Arial" w:hAnsi="Arial" w:cs="Arial"/>
          <w:spacing w:val="-2"/>
          <w:lang w:val="es-ES"/>
        </w:rPr>
      </w:pPr>
      <w:r w:rsidRPr="00993936">
        <w:rPr>
          <w:rFonts w:ascii="Arial" w:hAnsi="Arial" w:cs="Arial"/>
          <w:lang w:val="es-ES"/>
        </w:rPr>
        <w:t xml:space="preserve">14.3.1.3 Evitar la </w:t>
      </w:r>
      <w:r w:rsidRPr="00993936">
        <w:rPr>
          <w:rFonts w:ascii="Arial" w:hAnsi="Arial" w:cs="Arial"/>
          <w:spacing w:val="-2"/>
          <w:lang w:val="es-ES"/>
        </w:rPr>
        <w:t>comunicación directa de los lavabos con los locales donde se manipulen productos elaborados.</w:t>
      </w:r>
    </w:p>
    <w:p w:rsidR="00503A41" w:rsidRPr="00993936" w:rsidRDefault="00503A41">
      <w:pPr>
        <w:jc w:val="both"/>
        <w:rPr>
          <w:rFonts w:ascii="Arial" w:hAnsi="Arial" w:cs="Arial"/>
          <w:spacing w:val="-2"/>
          <w:lang w:val="es-ES"/>
        </w:rPr>
      </w:pPr>
      <w:r w:rsidRPr="00993936">
        <w:rPr>
          <w:rFonts w:ascii="Arial" w:hAnsi="Arial" w:cs="Arial"/>
          <w:lang w:val="es-ES"/>
        </w:rPr>
        <w:t xml:space="preserve">14.3.1.4  Ajustar </w:t>
      </w:r>
      <w:r w:rsidRPr="00993936">
        <w:rPr>
          <w:rFonts w:ascii="Arial" w:hAnsi="Arial" w:cs="Arial"/>
          <w:spacing w:val="-2"/>
          <w:lang w:val="es-ES"/>
        </w:rPr>
        <w:t>el número de vestuarios a las necesidades del personal de la empresa, y disponer de armarios para la ropa y calzado, de fácil limpieza y desinfección.</w:t>
      </w:r>
    </w:p>
    <w:p w:rsidR="00503A41" w:rsidRPr="00993936" w:rsidRDefault="00503A41">
      <w:pPr>
        <w:jc w:val="both"/>
        <w:rPr>
          <w:rFonts w:ascii="Arial" w:hAnsi="Arial" w:cs="Arial"/>
          <w:spacing w:val="-2"/>
          <w:lang w:val="es-ES"/>
        </w:rPr>
      </w:pPr>
      <w:r w:rsidRPr="00993936">
        <w:rPr>
          <w:rFonts w:ascii="Arial" w:hAnsi="Arial" w:cs="Arial"/>
          <w:lang w:val="es-ES"/>
        </w:rPr>
        <w:t>14.3.1.5  Evitar</w:t>
      </w:r>
      <w:r w:rsidRPr="00993936">
        <w:rPr>
          <w:rFonts w:ascii="Arial" w:hAnsi="Arial" w:cs="Arial"/>
          <w:spacing w:val="-2"/>
          <w:lang w:val="es-ES"/>
        </w:rPr>
        <w:t xml:space="preserve"> agujeros en las ventanas o poner elementos que impidan la entrada de insectos.</w:t>
      </w:r>
    </w:p>
    <w:p w:rsidR="00503A41" w:rsidRPr="00993936" w:rsidRDefault="00503A41">
      <w:pPr>
        <w:jc w:val="both"/>
        <w:rPr>
          <w:rFonts w:ascii="Arial" w:hAnsi="Arial" w:cs="Arial"/>
          <w:spacing w:val="-2"/>
          <w:lang w:val="es-ES"/>
        </w:rPr>
      </w:pPr>
    </w:p>
    <w:p w:rsidR="00503A41" w:rsidRPr="00993936" w:rsidRDefault="00503A41">
      <w:pPr>
        <w:pStyle w:val="titulo2"/>
        <w:widowControl/>
        <w:tabs>
          <w:tab w:val="clear" w:pos="1134"/>
          <w:tab w:val="left" w:pos="731"/>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14.4 Ventilación</w:t>
      </w:r>
    </w:p>
    <w:p w:rsidR="00503A41" w:rsidRPr="00993936" w:rsidRDefault="00503A41">
      <w:pPr>
        <w:tabs>
          <w:tab w:val="left" w:pos="731"/>
        </w:tabs>
        <w:jc w:val="both"/>
        <w:rPr>
          <w:rFonts w:ascii="Arial" w:hAnsi="Arial" w:cs="Arial"/>
          <w:i/>
          <w:spacing w:val="-2"/>
          <w:lang w:val="es-ES"/>
        </w:rPr>
      </w:pPr>
      <w:r w:rsidRPr="00993936">
        <w:rPr>
          <w:rFonts w:ascii="Arial" w:hAnsi="Arial" w:cs="Arial"/>
          <w:i/>
          <w:lang w:val="es-ES"/>
        </w:rPr>
        <w:t>14.4.1  Obligaciones</w:t>
      </w:r>
    </w:p>
    <w:p w:rsidR="00503A41" w:rsidRPr="00993936" w:rsidRDefault="00503A41">
      <w:pPr>
        <w:tabs>
          <w:tab w:val="left" w:pos="731"/>
        </w:tabs>
        <w:jc w:val="both"/>
        <w:rPr>
          <w:rFonts w:ascii="Arial" w:hAnsi="Arial" w:cs="Arial"/>
          <w:spacing w:val="-2"/>
          <w:lang w:val="es-ES"/>
        </w:rPr>
      </w:pPr>
      <w:r w:rsidRPr="00993936">
        <w:rPr>
          <w:rFonts w:ascii="Arial" w:hAnsi="Arial" w:cs="Arial"/>
          <w:spacing w:val="-2"/>
          <w:lang w:val="es-ES"/>
        </w:rPr>
        <w:t>14.4.1.1 Todas las instalaciones deberán tener una ventilación adecuada, natural o mecánica y especialmente los servicios sanitarios.</w:t>
      </w:r>
    </w:p>
    <w:p w:rsidR="00503A41" w:rsidRPr="00993936" w:rsidRDefault="00503A41">
      <w:pPr>
        <w:tabs>
          <w:tab w:val="left" w:pos="731"/>
        </w:tabs>
        <w:jc w:val="both"/>
        <w:rPr>
          <w:rFonts w:ascii="Arial" w:hAnsi="Arial" w:cs="Arial"/>
          <w:i/>
          <w:spacing w:val="-2"/>
          <w:lang w:val="es-ES"/>
        </w:rPr>
      </w:pPr>
      <w:r w:rsidRPr="00993936">
        <w:rPr>
          <w:rFonts w:ascii="Arial" w:hAnsi="Arial" w:cs="Arial"/>
          <w:lang w:val="es-ES"/>
        </w:rPr>
        <w:t xml:space="preserve">14.4.2 </w:t>
      </w:r>
      <w:r w:rsidRPr="00993936">
        <w:rPr>
          <w:rFonts w:ascii="Arial" w:hAnsi="Arial" w:cs="Arial"/>
          <w:i/>
          <w:lang w:val="es-ES"/>
        </w:rPr>
        <w:t>Recomendaciones</w:t>
      </w:r>
    </w:p>
    <w:p w:rsidR="00503A41" w:rsidRPr="00993936" w:rsidRDefault="00503A41">
      <w:pPr>
        <w:tabs>
          <w:tab w:val="left" w:pos="731"/>
        </w:tabs>
        <w:jc w:val="both"/>
        <w:rPr>
          <w:rFonts w:ascii="Arial" w:hAnsi="Arial" w:cs="Arial"/>
          <w:spacing w:val="-2"/>
          <w:lang w:val="es-ES"/>
        </w:rPr>
      </w:pPr>
      <w:r w:rsidRPr="00993936">
        <w:rPr>
          <w:rFonts w:ascii="Arial" w:hAnsi="Arial" w:cs="Arial"/>
          <w:spacing w:val="-2"/>
          <w:lang w:val="es-ES"/>
        </w:rPr>
        <w:t>14.4.2.1 En los sistemas de ventilación mecánica se recomienda poder acceder fácilmente a los filtros y a otras partes que deban limpiarse o sustituirse.</w:t>
      </w:r>
    </w:p>
    <w:p w:rsidR="00503A41" w:rsidRPr="00993936" w:rsidRDefault="00503A41">
      <w:pPr>
        <w:tabs>
          <w:tab w:val="left" w:pos="731"/>
        </w:tabs>
        <w:jc w:val="both"/>
        <w:rPr>
          <w:rFonts w:ascii="Arial" w:hAnsi="Arial" w:cs="Arial"/>
          <w:spacing w:val="-2"/>
          <w:lang w:val="es-ES"/>
        </w:rPr>
      </w:pPr>
    </w:p>
    <w:p w:rsidR="00503A41" w:rsidRPr="00993936" w:rsidRDefault="00503A41">
      <w:pPr>
        <w:pStyle w:val="titulo2"/>
        <w:widowControl/>
        <w:tabs>
          <w:tab w:val="clear" w:pos="1134"/>
          <w:tab w:val="left" w:pos="731"/>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14.5 Iluminación</w:t>
      </w:r>
    </w:p>
    <w:p w:rsidR="00503A41" w:rsidRPr="00993936" w:rsidRDefault="00503A41">
      <w:pPr>
        <w:tabs>
          <w:tab w:val="left" w:pos="731"/>
        </w:tabs>
        <w:jc w:val="both"/>
        <w:rPr>
          <w:rFonts w:ascii="Arial" w:hAnsi="Arial" w:cs="Arial"/>
          <w:i/>
          <w:spacing w:val="-2"/>
          <w:lang w:val="es-ES"/>
        </w:rPr>
      </w:pPr>
      <w:r w:rsidRPr="00993936">
        <w:rPr>
          <w:rFonts w:ascii="Arial" w:hAnsi="Arial" w:cs="Arial"/>
          <w:i/>
          <w:lang w:val="es-ES"/>
        </w:rPr>
        <w:t>14.5.1  Obligaciones</w:t>
      </w:r>
    </w:p>
    <w:p w:rsidR="00503A41" w:rsidRPr="00993936" w:rsidRDefault="00503A41">
      <w:pPr>
        <w:jc w:val="both"/>
        <w:rPr>
          <w:rFonts w:ascii="Arial" w:hAnsi="Arial" w:cs="Arial"/>
          <w:spacing w:val="-2"/>
          <w:lang w:val="es-ES"/>
        </w:rPr>
      </w:pPr>
      <w:r w:rsidRPr="00993936">
        <w:rPr>
          <w:rFonts w:ascii="Arial" w:hAnsi="Arial" w:cs="Arial"/>
          <w:spacing w:val="-2"/>
          <w:lang w:val="es-ES"/>
        </w:rPr>
        <w:t xml:space="preserve">14.5.1.1 Los locales por donde circulan los productos deberán estar suficientemente iluminados por medios naturales o artificiales. </w:t>
      </w:r>
    </w:p>
    <w:p w:rsidR="00503A41" w:rsidRPr="00993936" w:rsidRDefault="00503A41">
      <w:pPr>
        <w:jc w:val="both"/>
        <w:rPr>
          <w:rFonts w:ascii="Arial" w:hAnsi="Arial" w:cs="Arial"/>
          <w:spacing w:val="-2"/>
          <w:lang w:val="es-ES"/>
        </w:rPr>
      </w:pPr>
      <w:r w:rsidRPr="00993936">
        <w:rPr>
          <w:rFonts w:ascii="Arial" w:hAnsi="Arial" w:cs="Arial"/>
          <w:spacing w:val="-2"/>
          <w:lang w:val="es-ES"/>
        </w:rPr>
        <w:t>14.5.1.2 Los tubos fluorescentes o bombillas se protegerán con mecanismos adecuados para evitar la posible caída de cristales en caso de rotura</w:t>
      </w:r>
      <w:r w:rsidRPr="00993936">
        <w:rPr>
          <w:rFonts w:ascii="Arial" w:hAnsi="Arial" w:cs="Arial"/>
          <w:vanish/>
          <w:spacing w:val="-2"/>
          <w:lang w:val="es-ES"/>
        </w:rPr>
        <w:t>&lt;A[rotura|ruptura]&gt;</w:t>
      </w:r>
      <w:r w:rsidRPr="00993936">
        <w:rPr>
          <w:rFonts w:ascii="Arial" w:hAnsi="Arial" w:cs="Arial"/>
          <w:spacing w:val="-2"/>
          <w:lang w:val="es-ES"/>
        </w:rPr>
        <w:t xml:space="preserve"> y su fijación al techo o a las paredes tendrá que ser de forma que facilite la limpieza y se evite la acumulación de polvo. </w:t>
      </w:r>
    </w:p>
    <w:p w:rsidR="00503A41" w:rsidRPr="00993936" w:rsidRDefault="00503A41">
      <w:pPr>
        <w:tabs>
          <w:tab w:val="left" w:pos="731"/>
        </w:tabs>
        <w:jc w:val="both"/>
        <w:rPr>
          <w:rFonts w:ascii="Arial" w:hAnsi="Arial" w:cs="Arial"/>
          <w:spacing w:val="-2"/>
          <w:lang w:val="es-ES"/>
        </w:rPr>
      </w:pPr>
    </w:p>
    <w:p w:rsidR="00503A41" w:rsidRPr="00993936" w:rsidRDefault="00503A41">
      <w:pPr>
        <w:pStyle w:val="titulo2"/>
        <w:widowControl/>
        <w:tabs>
          <w:tab w:val="clear" w:pos="1134"/>
          <w:tab w:val="left" w:pos="731"/>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14.6 Desagües</w:t>
      </w:r>
    </w:p>
    <w:p w:rsidR="00503A41" w:rsidRPr="00993936" w:rsidRDefault="00503A41">
      <w:pPr>
        <w:tabs>
          <w:tab w:val="left" w:pos="731"/>
        </w:tabs>
        <w:jc w:val="both"/>
        <w:rPr>
          <w:rFonts w:ascii="Arial" w:hAnsi="Arial" w:cs="Arial"/>
          <w:i/>
          <w:spacing w:val="-2"/>
          <w:lang w:val="es-ES"/>
        </w:rPr>
      </w:pPr>
      <w:r w:rsidRPr="00993936">
        <w:rPr>
          <w:rFonts w:ascii="Arial" w:hAnsi="Arial" w:cs="Arial"/>
          <w:i/>
          <w:lang w:val="es-ES"/>
        </w:rPr>
        <w:t>14.6.1  Obligaciones</w:t>
      </w:r>
    </w:p>
    <w:p w:rsidR="00503A41" w:rsidRPr="00993936" w:rsidRDefault="00503A41">
      <w:pPr>
        <w:jc w:val="both"/>
        <w:rPr>
          <w:rFonts w:ascii="Arial" w:hAnsi="Arial" w:cs="Arial"/>
          <w:lang w:val="es-ES"/>
        </w:rPr>
      </w:pPr>
      <w:r w:rsidRPr="00993936">
        <w:rPr>
          <w:rFonts w:ascii="Arial" w:hAnsi="Arial" w:cs="Arial"/>
          <w:lang w:val="es-ES"/>
        </w:rPr>
        <w:t>14.6.1.1 Los sistemas de desagüe serán los adecuados.</w:t>
      </w:r>
    </w:p>
    <w:p w:rsidR="00503A41" w:rsidRPr="00993936" w:rsidRDefault="00503A41">
      <w:pPr>
        <w:jc w:val="both"/>
        <w:rPr>
          <w:rFonts w:ascii="Arial" w:hAnsi="Arial" w:cs="Arial"/>
          <w:lang w:val="es-ES"/>
        </w:rPr>
      </w:pPr>
      <w:r w:rsidRPr="00993936">
        <w:rPr>
          <w:rFonts w:ascii="Arial" w:hAnsi="Arial" w:cs="Arial"/>
          <w:lang w:val="es-ES"/>
        </w:rPr>
        <w:t>14.6.1.2 En caso haber alcantarillas</w:t>
      </w:r>
      <w:r w:rsidRPr="00993936">
        <w:rPr>
          <w:rFonts w:ascii="Arial" w:hAnsi="Arial" w:cs="Arial"/>
          <w:vanish/>
          <w:lang w:val="es-ES"/>
        </w:rPr>
        <w:t>&lt;A[alcantarillas|cloacas]&gt;</w:t>
      </w:r>
      <w:r w:rsidRPr="00993936">
        <w:rPr>
          <w:rFonts w:ascii="Arial" w:hAnsi="Arial" w:cs="Arial"/>
          <w:lang w:val="es-ES"/>
        </w:rPr>
        <w:t>, se dispondrá de los medios que permitan la evacuación de las aguas de limpieza. Estas alcantarillas</w:t>
      </w:r>
      <w:r w:rsidRPr="00993936">
        <w:rPr>
          <w:rFonts w:ascii="Arial" w:hAnsi="Arial" w:cs="Arial"/>
          <w:vanish/>
          <w:lang w:val="es-ES"/>
        </w:rPr>
        <w:t>&lt;A[alcantarillas|cloacas]&gt;</w:t>
      </w:r>
      <w:r w:rsidRPr="00993936">
        <w:rPr>
          <w:rFonts w:ascii="Arial" w:hAnsi="Arial" w:cs="Arial"/>
          <w:lang w:val="es-ES"/>
        </w:rPr>
        <w:t xml:space="preserve"> estarán provistas de los dispositivos adecuados que eviten el retroceso.</w:t>
      </w:r>
    </w:p>
    <w:p w:rsidR="00503A41" w:rsidRPr="00993936" w:rsidRDefault="00503A41">
      <w:pPr>
        <w:tabs>
          <w:tab w:val="left" w:pos="731"/>
        </w:tabs>
        <w:jc w:val="both"/>
        <w:rPr>
          <w:rFonts w:ascii="Arial" w:hAnsi="Arial" w:cs="Arial"/>
          <w:lang w:val="es-ES"/>
        </w:rPr>
      </w:pPr>
    </w:p>
    <w:p w:rsidR="00503A41" w:rsidRPr="00993936" w:rsidRDefault="00503A41">
      <w:pPr>
        <w:pStyle w:val="titulo2"/>
        <w:widowControl/>
        <w:tabs>
          <w:tab w:val="clear" w:pos="1134"/>
          <w:tab w:val="left" w:pos="731"/>
        </w:tabs>
        <w:spacing w:before="0" w:after="0" w:line="240" w:lineRule="auto"/>
        <w:rPr>
          <w:rFonts w:ascii="Arial" w:hAnsi="Arial" w:cs="Arial"/>
          <w:b w:val="0"/>
          <w:sz w:val="22"/>
          <w:szCs w:val="22"/>
          <w:lang w:val="es-ES"/>
        </w:rPr>
      </w:pPr>
      <w:r w:rsidRPr="00993936">
        <w:rPr>
          <w:rFonts w:ascii="Arial" w:hAnsi="Arial" w:cs="Arial"/>
          <w:b w:val="0"/>
          <w:sz w:val="22"/>
          <w:szCs w:val="22"/>
          <w:lang w:val="es-ES"/>
        </w:rPr>
        <w:t>14.7 Superficies</w:t>
      </w:r>
    </w:p>
    <w:p w:rsidR="00503A41" w:rsidRPr="00993936" w:rsidRDefault="00503A41">
      <w:pPr>
        <w:tabs>
          <w:tab w:val="left" w:pos="731"/>
        </w:tabs>
        <w:jc w:val="both"/>
        <w:rPr>
          <w:rFonts w:ascii="Arial" w:hAnsi="Arial" w:cs="Arial"/>
          <w:i/>
          <w:lang w:val="es-ES"/>
        </w:rPr>
      </w:pPr>
      <w:r w:rsidRPr="00993936">
        <w:rPr>
          <w:rFonts w:ascii="Arial" w:hAnsi="Arial" w:cs="Arial"/>
          <w:i/>
          <w:lang w:val="es-ES"/>
        </w:rPr>
        <w:t>14.7.1  Obligaciones</w:t>
      </w:r>
    </w:p>
    <w:p w:rsidR="00503A41" w:rsidRPr="00993936" w:rsidRDefault="00503A41">
      <w:pPr>
        <w:jc w:val="both"/>
        <w:rPr>
          <w:rFonts w:ascii="Arial" w:hAnsi="Arial" w:cs="Arial"/>
          <w:spacing w:val="-2"/>
          <w:lang w:val="es-ES"/>
        </w:rPr>
      </w:pPr>
      <w:r w:rsidRPr="00993936">
        <w:rPr>
          <w:rFonts w:ascii="Arial" w:hAnsi="Arial" w:cs="Arial"/>
          <w:spacing w:val="-2"/>
          <w:lang w:val="es-ES"/>
        </w:rPr>
        <w:t xml:space="preserve">14.7.1.1  Las superficies de suelos, paredes y techos deberán ser sólidas, de durabilidad constatada y fáciles de limpiar. </w:t>
      </w:r>
    </w:p>
    <w:p w:rsidR="00503A41" w:rsidRPr="00993936" w:rsidRDefault="00503A41">
      <w:pPr>
        <w:jc w:val="both"/>
        <w:rPr>
          <w:rFonts w:ascii="Arial" w:hAnsi="Arial" w:cs="Arial"/>
          <w:b/>
          <w:lang w:val="es-ES"/>
        </w:rPr>
      </w:pPr>
    </w:p>
    <w:p w:rsidR="00503A41" w:rsidRPr="00993936" w:rsidRDefault="00503A41">
      <w:pPr>
        <w:jc w:val="both"/>
        <w:rPr>
          <w:rFonts w:ascii="Arial" w:hAnsi="Arial" w:cs="Arial"/>
          <w:spacing w:val="-2"/>
          <w:lang w:val="es-ES"/>
        </w:rPr>
      </w:pPr>
      <w:r w:rsidRPr="00993936">
        <w:rPr>
          <w:rFonts w:ascii="Arial" w:hAnsi="Arial" w:cs="Arial"/>
          <w:lang w:val="es-ES"/>
        </w:rPr>
        <w:t>14.8 Zonas de almacenamiento</w:t>
      </w:r>
      <w:r w:rsidRPr="00993936">
        <w:rPr>
          <w:rFonts w:ascii="Arial" w:hAnsi="Arial" w:cs="Arial"/>
          <w:spacing w:val="-2"/>
          <w:lang w:val="es-ES"/>
        </w:rPr>
        <w:t xml:space="preserve"> </w:t>
      </w:r>
    </w:p>
    <w:p w:rsidR="00503A41" w:rsidRPr="00993936" w:rsidRDefault="00503A41">
      <w:pPr>
        <w:jc w:val="both"/>
        <w:rPr>
          <w:rFonts w:ascii="Arial" w:hAnsi="Arial" w:cs="Arial"/>
          <w:i/>
          <w:spacing w:val="-2"/>
          <w:lang w:val="es-ES"/>
        </w:rPr>
      </w:pPr>
      <w:r w:rsidRPr="00993936">
        <w:rPr>
          <w:rFonts w:ascii="Arial" w:hAnsi="Arial" w:cs="Arial"/>
          <w:i/>
          <w:lang w:val="es-ES"/>
        </w:rPr>
        <w:t>14.8.1  Obligaciones</w:t>
      </w:r>
    </w:p>
    <w:p w:rsidR="00503A41" w:rsidRPr="00993936" w:rsidRDefault="00503A41">
      <w:pPr>
        <w:jc w:val="both"/>
        <w:rPr>
          <w:rFonts w:ascii="Arial" w:hAnsi="Arial" w:cs="Arial"/>
          <w:lang w:val="es-ES"/>
        </w:rPr>
      </w:pPr>
      <w:r w:rsidRPr="00993936">
        <w:rPr>
          <w:rFonts w:ascii="Arial" w:hAnsi="Arial" w:cs="Arial"/>
          <w:lang w:val="es-ES"/>
        </w:rPr>
        <w:t>14.8.1.1 Las zonas para el almacenamiento de productos estarán claramente diferenciadas de las que se utilicen para almacenar envases vacíos.</w:t>
      </w:r>
    </w:p>
    <w:p w:rsidR="00503A41" w:rsidRPr="00993936" w:rsidRDefault="00503A41">
      <w:pPr>
        <w:jc w:val="both"/>
        <w:rPr>
          <w:rFonts w:ascii="Arial" w:hAnsi="Arial" w:cs="Arial"/>
          <w:lang w:val="es-ES"/>
        </w:rPr>
      </w:pPr>
      <w:r w:rsidRPr="00993936">
        <w:rPr>
          <w:rFonts w:ascii="Arial" w:hAnsi="Arial" w:cs="Arial"/>
          <w:lang w:val="es-ES"/>
        </w:rPr>
        <w:t>14.8.1.2. Los lugares</w:t>
      </w:r>
      <w:r w:rsidRPr="00993936">
        <w:rPr>
          <w:rFonts w:ascii="Arial" w:hAnsi="Arial" w:cs="Arial"/>
          <w:vanish/>
          <w:lang w:val="es-ES"/>
        </w:rPr>
        <w:t>&lt;A[lugares|sitios]&gt;</w:t>
      </w:r>
      <w:r w:rsidRPr="00993936">
        <w:rPr>
          <w:rFonts w:ascii="Arial" w:hAnsi="Arial" w:cs="Arial"/>
          <w:lang w:val="es-ES"/>
        </w:rPr>
        <w:t xml:space="preserve"> de almacenamiento estarán ordenados y limpios</w:t>
      </w:r>
      <w:r w:rsidRPr="00993936">
        <w:rPr>
          <w:rFonts w:ascii="Arial" w:hAnsi="Arial" w:cs="Arial"/>
          <w:vanish/>
          <w:lang w:val="es-ES"/>
        </w:rPr>
        <w:t>&lt;A[limpios|netos]&gt;</w:t>
      </w:r>
      <w:r w:rsidRPr="00993936">
        <w:rPr>
          <w:rFonts w:ascii="Arial" w:hAnsi="Arial" w:cs="Arial"/>
          <w:lang w:val="es-ES"/>
        </w:rPr>
        <w:t>.</w:t>
      </w:r>
    </w:p>
    <w:p w:rsidR="00503A41" w:rsidRPr="00993936" w:rsidRDefault="00503A41">
      <w:pPr>
        <w:jc w:val="both"/>
        <w:rPr>
          <w:rFonts w:ascii="Arial" w:hAnsi="Arial" w:cs="Arial"/>
          <w:lang w:val="es-ES"/>
        </w:rPr>
      </w:pPr>
      <w:r w:rsidRPr="00993936">
        <w:rPr>
          <w:rFonts w:ascii="Arial" w:hAnsi="Arial" w:cs="Arial"/>
          <w:lang w:val="es-ES"/>
        </w:rPr>
        <w:t>14.8.1.3 Se evitará el almacenamiento de materiales de rechazos en la zona de manipulación.</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14.8.1.4  Los productos químicos deben estar almacenados en un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que se pueda cerrar y debidamente señalizado. El acceso al lugar</w:t>
      </w:r>
      <w:r w:rsidRPr="00993936">
        <w:rPr>
          <w:rFonts w:ascii="Arial" w:hAnsi="Arial" w:cs="Arial"/>
          <w:vanish/>
          <w:sz w:val="22"/>
          <w:szCs w:val="22"/>
          <w:lang w:val="es-ES"/>
        </w:rPr>
        <w:t>&lt;A[lugar|sitio]&gt;</w:t>
      </w:r>
      <w:r w:rsidRPr="00993936">
        <w:rPr>
          <w:rFonts w:ascii="Arial" w:hAnsi="Arial" w:cs="Arial"/>
          <w:sz w:val="22"/>
          <w:szCs w:val="22"/>
          <w:lang w:val="es-ES"/>
        </w:rPr>
        <w:t xml:space="preserve"> de almacenamiento de productos químicos, así como su manipulación, sólo los podrá realizar el personal designado por la persona operadora.</w:t>
      </w:r>
    </w:p>
    <w:p w:rsidR="00503A41" w:rsidRPr="00993936" w:rsidRDefault="00503A41">
      <w:pPr>
        <w:jc w:val="both"/>
        <w:rPr>
          <w:rFonts w:ascii="Arial" w:hAnsi="Arial" w:cs="Arial"/>
          <w:lang w:val="es-ES"/>
        </w:rPr>
      </w:pPr>
      <w:r w:rsidRPr="00993936">
        <w:rPr>
          <w:rFonts w:ascii="Arial" w:hAnsi="Arial" w:cs="Arial"/>
          <w:lang w:val="es-ES"/>
        </w:rPr>
        <w:t xml:space="preserve">14.8.1.5 Los productos químicos almacenados estarán correctamente etiquetados y autorizados para su usa en industria alimentaria.  </w:t>
      </w:r>
    </w:p>
    <w:p w:rsidR="00503A41" w:rsidRPr="00993936" w:rsidRDefault="00503A41">
      <w:pPr>
        <w:tabs>
          <w:tab w:val="left" w:pos="731"/>
        </w:tabs>
        <w:jc w:val="both"/>
        <w:rPr>
          <w:rFonts w:ascii="Arial" w:hAnsi="Arial" w:cs="Arial"/>
          <w:i/>
          <w:lang w:val="es-ES"/>
        </w:rPr>
      </w:pPr>
      <w:r w:rsidRPr="00993936">
        <w:rPr>
          <w:rFonts w:ascii="Arial" w:hAnsi="Arial" w:cs="Arial"/>
          <w:i/>
          <w:lang w:val="es-ES"/>
        </w:rPr>
        <w:t>14.8.2 Prohibiciones</w:t>
      </w:r>
    </w:p>
    <w:p w:rsidR="00503A41" w:rsidRPr="00993936" w:rsidRDefault="00503A41">
      <w:pPr>
        <w:tabs>
          <w:tab w:val="left" w:pos="731"/>
        </w:tabs>
        <w:jc w:val="both"/>
        <w:rPr>
          <w:rFonts w:ascii="Arial" w:hAnsi="Arial" w:cs="Arial"/>
          <w:spacing w:val="-2"/>
          <w:lang w:val="es-ES"/>
        </w:rPr>
      </w:pPr>
      <w:r w:rsidRPr="00993936">
        <w:rPr>
          <w:rFonts w:ascii="Arial" w:hAnsi="Arial" w:cs="Arial"/>
          <w:lang w:val="es-ES"/>
        </w:rPr>
        <w:t>14.8.2.1 A</w:t>
      </w:r>
      <w:r w:rsidRPr="00993936">
        <w:rPr>
          <w:rFonts w:ascii="Arial" w:hAnsi="Arial" w:cs="Arial"/>
          <w:spacing w:val="-2"/>
          <w:lang w:val="es-ES"/>
        </w:rPr>
        <w:t>lmacenar desperdicios en la zona de manipulación.</w:t>
      </w:r>
    </w:p>
    <w:p w:rsidR="00503A41" w:rsidRPr="00993936" w:rsidRDefault="00503A41">
      <w:pPr>
        <w:tabs>
          <w:tab w:val="left" w:pos="731"/>
        </w:tabs>
        <w:jc w:val="both"/>
        <w:rPr>
          <w:rFonts w:ascii="Arial" w:hAnsi="Arial" w:cs="Arial"/>
          <w:lang w:val="es-ES"/>
        </w:rPr>
      </w:pPr>
    </w:p>
    <w:p w:rsidR="00503A41" w:rsidRPr="00993936" w:rsidRDefault="00503A41">
      <w:pPr>
        <w:pStyle w:val="titulo2"/>
        <w:widowControl/>
        <w:tabs>
          <w:tab w:val="clear" w:pos="1134"/>
          <w:tab w:val="left" w:pos="731"/>
        </w:tabs>
        <w:spacing w:before="0" w:after="0" w:line="240" w:lineRule="auto"/>
        <w:rPr>
          <w:rFonts w:ascii="Arial" w:hAnsi="Arial" w:cs="Arial"/>
          <w:b w:val="0"/>
          <w:sz w:val="22"/>
          <w:szCs w:val="22"/>
          <w:lang w:val="es-ES"/>
        </w:rPr>
      </w:pPr>
      <w:r w:rsidRPr="00993936">
        <w:rPr>
          <w:rFonts w:ascii="Arial" w:hAnsi="Arial" w:cs="Arial"/>
          <w:b w:val="0"/>
          <w:sz w:val="22"/>
          <w:szCs w:val="22"/>
          <w:lang w:val="es-ES"/>
        </w:rPr>
        <w:t>14.9 Suministro de agua</w:t>
      </w:r>
    </w:p>
    <w:p w:rsidR="00503A41" w:rsidRPr="00993936" w:rsidRDefault="00503A41">
      <w:pPr>
        <w:jc w:val="both"/>
        <w:rPr>
          <w:rFonts w:ascii="Arial" w:hAnsi="Arial" w:cs="Arial"/>
          <w:b/>
          <w:i/>
          <w:lang w:val="es-ES"/>
        </w:rPr>
      </w:pPr>
      <w:r w:rsidRPr="00993936">
        <w:rPr>
          <w:rFonts w:ascii="Arial" w:hAnsi="Arial" w:cs="Arial"/>
          <w:i/>
          <w:lang w:val="es-ES"/>
        </w:rPr>
        <w:t>14.9.1</w:t>
      </w:r>
      <w:r w:rsidRPr="00993936">
        <w:rPr>
          <w:rFonts w:ascii="Arial" w:hAnsi="Arial" w:cs="Arial"/>
          <w:b/>
          <w:i/>
          <w:lang w:val="es-ES"/>
        </w:rPr>
        <w:t xml:space="preserve"> </w:t>
      </w:r>
      <w:r w:rsidRPr="00993936">
        <w:rPr>
          <w:rFonts w:ascii="Arial" w:hAnsi="Arial" w:cs="Arial"/>
          <w:i/>
          <w:lang w:val="es-ES"/>
        </w:rPr>
        <w:t>Obligaciones</w:t>
      </w:r>
    </w:p>
    <w:p w:rsidR="00503A41" w:rsidRPr="00993936" w:rsidRDefault="00503A41">
      <w:pPr>
        <w:jc w:val="both"/>
        <w:rPr>
          <w:rFonts w:ascii="Arial" w:hAnsi="Arial" w:cs="Arial"/>
          <w:lang w:val="es-ES"/>
        </w:rPr>
      </w:pPr>
      <w:r w:rsidRPr="00993936">
        <w:rPr>
          <w:rFonts w:ascii="Arial" w:hAnsi="Arial" w:cs="Arial"/>
          <w:lang w:val="es-ES"/>
        </w:rPr>
        <w:t>14.9.1.1 La empresa dispondrá de un suministro de agua potable clorada (o cualquier otro sistema de potabilización y desinfección autorizado por la Administración sanitaria competente) utilizada para el contacto directo con los productos (lavado, tratamientos, refrigeración, o la humidificación del producto) o con cualquier superficie en contacto con estos.</w:t>
      </w:r>
    </w:p>
    <w:p w:rsidR="00503A41" w:rsidRPr="00993936" w:rsidRDefault="00503A41">
      <w:pPr>
        <w:tabs>
          <w:tab w:val="left" w:pos="731"/>
        </w:tabs>
        <w:jc w:val="both"/>
        <w:rPr>
          <w:rFonts w:ascii="Arial" w:hAnsi="Arial" w:cs="Arial"/>
          <w:spacing w:val="-2"/>
          <w:lang w:val="es-ES"/>
        </w:rPr>
      </w:pPr>
      <w:r w:rsidRPr="00993936">
        <w:rPr>
          <w:rFonts w:ascii="Arial" w:hAnsi="Arial" w:cs="Arial"/>
          <w:lang w:val="es-ES"/>
        </w:rPr>
        <w:t>14.9.1.2 Todos los depósitos de agua se deben limpiar y desinfectar periódicamente.</w:t>
      </w:r>
    </w:p>
    <w:p w:rsidR="00503A41" w:rsidRPr="00993936" w:rsidRDefault="00503A41">
      <w:pPr>
        <w:jc w:val="both"/>
        <w:rPr>
          <w:rFonts w:ascii="Arial" w:hAnsi="Arial" w:cs="Arial"/>
          <w:spacing w:val="-2"/>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lastRenderedPageBreak/>
        <w:t>Artículo 15</w:t>
      </w:r>
    </w:p>
    <w:p w:rsidR="00503A41" w:rsidRPr="00993936" w:rsidRDefault="00503A41">
      <w:pPr>
        <w:pStyle w:val="titulo2"/>
        <w:widowControl/>
        <w:tabs>
          <w:tab w:val="clear" w:pos="1134"/>
        </w:tabs>
        <w:spacing w:before="0" w:after="0" w:line="240" w:lineRule="auto"/>
        <w:rPr>
          <w:rFonts w:ascii="Arial" w:hAnsi="Arial" w:cs="Arial"/>
          <w:sz w:val="22"/>
          <w:szCs w:val="22"/>
          <w:lang w:val="es-ES"/>
        </w:rPr>
      </w:pPr>
      <w:r w:rsidRPr="00993936">
        <w:rPr>
          <w:rFonts w:ascii="Arial" w:hAnsi="Arial" w:cs="Arial"/>
          <w:sz w:val="22"/>
          <w:szCs w:val="22"/>
          <w:lang w:val="es-ES"/>
        </w:rPr>
        <w:t>Higiene y mantenimiento sanitario de las instalaciones</w:t>
      </w:r>
    </w:p>
    <w:p w:rsidR="00503A41" w:rsidRPr="00993936" w:rsidRDefault="00503A41">
      <w:pPr>
        <w:pStyle w:val="titulo2"/>
        <w:widowControl/>
        <w:tabs>
          <w:tab w:val="clear" w:pos="1134"/>
        </w:tabs>
        <w:spacing w:before="0" w:after="0" w:line="240" w:lineRule="auto"/>
        <w:rPr>
          <w:rFonts w:ascii="Arial" w:hAnsi="Arial" w:cs="Arial"/>
          <w:sz w:val="22"/>
          <w:szCs w:val="22"/>
          <w:lang w:val="es-ES"/>
        </w:rPr>
      </w:pP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r w:rsidRPr="00993936">
        <w:rPr>
          <w:rFonts w:ascii="Arial" w:hAnsi="Arial" w:cs="Arial"/>
          <w:b w:val="0"/>
          <w:spacing w:val="-2"/>
          <w:sz w:val="22"/>
          <w:szCs w:val="22"/>
          <w:lang w:val="es-ES"/>
        </w:rPr>
        <w:t>15.1 Condiciones generales</w:t>
      </w:r>
    </w:p>
    <w:p w:rsidR="00503A41" w:rsidRPr="00993936" w:rsidRDefault="00503A41">
      <w:pPr>
        <w:jc w:val="both"/>
        <w:rPr>
          <w:rFonts w:ascii="Arial" w:hAnsi="Arial" w:cs="Arial"/>
          <w:i/>
          <w:spacing w:val="-2"/>
          <w:lang w:val="es-ES"/>
        </w:rPr>
      </w:pPr>
      <w:r w:rsidRPr="00993936">
        <w:rPr>
          <w:rFonts w:ascii="Arial" w:hAnsi="Arial" w:cs="Arial"/>
          <w:i/>
          <w:lang w:val="es-ES"/>
        </w:rPr>
        <w:t>15.1.1  Obligaciones</w:t>
      </w:r>
    </w:p>
    <w:p w:rsidR="00503A41" w:rsidRPr="00993936" w:rsidRDefault="00503A41" w:rsidP="0009331F">
      <w:pPr>
        <w:pStyle w:val="Sangradetextonormal"/>
        <w:ind w:left="0"/>
        <w:rPr>
          <w:rFonts w:cs="Arial"/>
          <w:szCs w:val="22"/>
          <w:lang w:val="es-ES"/>
        </w:rPr>
      </w:pPr>
      <w:r w:rsidRPr="00993936">
        <w:rPr>
          <w:rFonts w:cs="Arial"/>
          <w:szCs w:val="22"/>
          <w:lang w:val="es-ES"/>
        </w:rPr>
        <w:t>15.1.1.1 Cada persona operadora tiene que disponer de un plan</w:t>
      </w:r>
      <w:r w:rsidRPr="00993936">
        <w:rPr>
          <w:rFonts w:cs="Arial"/>
          <w:vanish/>
          <w:szCs w:val="22"/>
          <w:lang w:val="es-ES"/>
        </w:rPr>
        <w:t>&lt;A[plan|plano]&gt;</w:t>
      </w:r>
      <w:r w:rsidRPr="00993936">
        <w:rPr>
          <w:rFonts w:cs="Arial"/>
          <w:szCs w:val="22"/>
          <w:lang w:val="es-ES"/>
        </w:rPr>
        <w:t xml:space="preserve"> general de limpieza y  desinfección detallado de las instalaciones, los equipos, las líneas de manipulación, industrialización, almacenamiento y envasado, con la finalidad que en todo momento estén en buen estado de conservación. El plan</w:t>
      </w:r>
      <w:r w:rsidRPr="00993936">
        <w:rPr>
          <w:rFonts w:cs="Arial"/>
          <w:vanish/>
          <w:szCs w:val="22"/>
          <w:lang w:val="es-ES"/>
        </w:rPr>
        <w:t>&lt;A[plan|plano]&gt;</w:t>
      </w:r>
      <w:r w:rsidRPr="00993936">
        <w:rPr>
          <w:rFonts w:cs="Arial"/>
          <w:szCs w:val="22"/>
          <w:lang w:val="es-ES"/>
        </w:rPr>
        <w:t xml:space="preserve"> tendrá que prever:</w:t>
      </w:r>
    </w:p>
    <w:p w:rsidR="00503A41" w:rsidRPr="00993936" w:rsidRDefault="00503A41" w:rsidP="009D1A2D">
      <w:pPr>
        <w:pStyle w:val="Sangradetextonormal"/>
        <w:numPr>
          <w:ilvl w:val="0"/>
          <w:numId w:val="157"/>
        </w:numPr>
        <w:jc w:val="both"/>
        <w:rPr>
          <w:rFonts w:cs="Arial"/>
          <w:szCs w:val="22"/>
          <w:lang w:val="es-ES"/>
        </w:rPr>
      </w:pPr>
      <w:r w:rsidRPr="00993936">
        <w:rPr>
          <w:rFonts w:cs="Arial"/>
          <w:szCs w:val="22"/>
          <w:lang w:val="es-ES"/>
        </w:rPr>
        <w:t>Las instalaciones y la maquinaria de la línea de confección, líneas de rotura, transporte, calibrado, secado, clasificado y envasado, así como de las bombas de trasiego y depósitos que correspondan a sus necesidades se limpiarán y se desinfectarán al inicio de la campaña y al menos una vez al mes en el periodo de funcionamiento.</w:t>
      </w:r>
    </w:p>
    <w:p w:rsidR="00503A41" w:rsidRPr="00993936" w:rsidRDefault="00503A41" w:rsidP="009D1A2D">
      <w:pPr>
        <w:numPr>
          <w:ilvl w:val="0"/>
          <w:numId w:val="157"/>
        </w:numPr>
        <w:spacing w:after="0" w:line="240" w:lineRule="auto"/>
        <w:jc w:val="both"/>
        <w:rPr>
          <w:rFonts w:ascii="Arial" w:hAnsi="Arial" w:cs="Arial"/>
          <w:lang w:val="es-ES"/>
        </w:rPr>
      </w:pPr>
      <w:r w:rsidRPr="00993936">
        <w:rPr>
          <w:rFonts w:ascii="Arial" w:hAnsi="Arial" w:cs="Arial"/>
          <w:lang w:val="es-ES"/>
        </w:rPr>
        <w:t>Los envases se limpiarán y desinfectarán como mínimo una vez al año.</w:t>
      </w:r>
    </w:p>
    <w:p w:rsidR="00503A41" w:rsidRPr="00993936" w:rsidRDefault="00503A41" w:rsidP="001D205D">
      <w:pPr>
        <w:spacing w:after="0" w:line="240" w:lineRule="auto"/>
        <w:ind w:left="644"/>
        <w:jc w:val="both"/>
        <w:rPr>
          <w:rFonts w:ascii="Arial" w:hAnsi="Arial" w:cs="Arial"/>
          <w:lang w:val="es-ES"/>
        </w:rPr>
      </w:pPr>
    </w:p>
    <w:p w:rsidR="00503A41" w:rsidRPr="00993936" w:rsidRDefault="00503A41">
      <w:pPr>
        <w:jc w:val="both"/>
        <w:rPr>
          <w:rFonts w:ascii="Arial" w:hAnsi="Arial" w:cs="Arial"/>
          <w:spacing w:val="-2"/>
          <w:lang w:val="es-ES"/>
        </w:rPr>
      </w:pPr>
      <w:r w:rsidRPr="00993936">
        <w:rPr>
          <w:rFonts w:ascii="Arial" w:hAnsi="Arial" w:cs="Arial"/>
          <w:spacing w:val="-2"/>
          <w:lang w:val="es-ES"/>
        </w:rPr>
        <w:t>15.1.1.2 El plan</w:t>
      </w:r>
      <w:r w:rsidRPr="00993936">
        <w:rPr>
          <w:rFonts w:ascii="Arial" w:hAnsi="Arial" w:cs="Arial"/>
          <w:vanish/>
          <w:spacing w:val="-2"/>
          <w:lang w:val="es-ES"/>
        </w:rPr>
        <w:t>&lt;A[plan|plano]&gt;</w:t>
      </w:r>
      <w:r w:rsidRPr="00993936">
        <w:rPr>
          <w:rFonts w:ascii="Arial" w:hAnsi="Arial" w:cs="Arial"/>
          <w:spacing w:val="-2"/>
          <w:lang w:val="es-ES"/>
        </w:rPr>
        <w:t>, desglosado por zonas, líneas de trabajo o secciones, con instrucciones claras, concretas y sencillas, tendrá que estar por escrito y accesible para todos los que lo llevarán a cabo.</w:t>
      </w:r>
    </w:p>
    <w:p w:rsidR="00503A41" w:rsidRPr="00993936" w:rsidRDefault="00503A41">
      <w:pPr>
        <w:jc w:val="both"/>
        <w:rPr>
          <w:rFonts w:ascii="Arial" w:hAnsi="Arial" w:cs="Arial"/>
          <w:spacing w:val="-2"/>
          <w:lang w:val="es-ES"/>
        </w:rPr>
      </w:pPr>
      <w:r w:rsidRPr="00993936">
        <w:rPr>
          <w:rFonts w:ascii="Arial" w:hAnsi="Arial" w:cs="Arial"/>
          <w:spacing w:val="-2"/>
          <w:lang w:val="es-ES"/>
        </w:rPr>
        <w:t>15.1.1.3 El plan</w:t>
      </w:r>
      <w:r w:rsidRPr="00993936">
        <w:rPr>
          <w:rFonts w:ascii="Arial" w:hAnsi="Arial" w:cs="Arial"/>
          <w:vanish/>
          <w:spacing w:val="-2"/>
          <w:lang w:val="es-ES"/>
        </w:rPr>
        <w:t>&lt;A[plan|plano]&gt;</w:t>
      </w:r>
      <w:r w:rsidRPr="00993936">
        <w:rPr>
          <w:rFonts w:ascii="Arial" w:hAnsi="Arial" w:cs="Arial"/>
          <w:spacing w:val="-2"/>
          <w:lang w:val="es-ES"/>
        </w:rPr>
        <w:t xml:space="preserve"> tendrá que especificar los tipos de productos utilizados, la frecuencia con la que se realizarán estas operaciones y el personal designado para estos trabajos.</w:t>
      </w:r>
    </w:p>
    <w:p w:rsidR="00503A41" w:rsidRPr="00993936" w:rsidRDefault="00503A41">
      <w:pPr>
        <w:jc w:val="both"/>
        <w:rPr>
          <w:rFonts w:ascii="Arial" w:hAnsi="Arial" w:cs="Arial"/>
          <w:spacing w:val="-2"/>
          <w:lang w:val="es-ES"/>
        </w:rPr>
      </w:pPr>
      <w:r w:rsidRPr="00993936">
        <w:rPr>
          <w:rFonts w:ascii="Arial" w:hAnsi="Arial" w:cs="Arial"/>
          <w:spacing w:val="-2"/>
          <w:lang w:val="es-ES"/>
        </w:rPr>
        <w:t>15.1.1.4 El personal que tendrá que llevarlo a cabo tendrá la formación adecuada en este campo.</w:t>
      </w:r>
    </w:p>
    <w:p w:rsidR="00503A41" w:rsidRPr="00993936" w:rsidRDefault="00503A41">
      <w:pPr>
        <w:jc w:val="both"/>
        <w:rPr>
          <w:rFonts w:ascii="Arial" w:hAnsi="Arial" w:cs="Arial"/>
          <w:snapToGrid w:val="0"/>
          <w:lang w:val="es-ES"/>
        </w:rPr>
      </w:pPr>
      <w:r w:rsidRPr="00993936">
        <w:rPr>
          <w:rFonts w:ascii="Arial" w:hAnsi="Arial" w:cs="Arial"/>
          <w:spacing w:val="-2"/>
          <w:lang w:val="es-ES"/>
        </w:rPr>
        <w:t>15.1.1.5 Los productos de limpieza deberán ser adecuados para la finalidad perseguida y deberán estar autorizados para su uso en la industria alimentaria y guardados en un local específico con el resto de utensilios de limpieza.</w:t>
      </w:r>
    </w:p>
    <w:p w:rsidR="00503A41" w:rsidRPr="00993936" w:rsidRDefault="00503A41">
      <w:pPr>
        <w:jc w:val="both"/>
        <w:rPr>
          <w:rFonts w:ascii="Arial" w:hAnsi="Arial" w:cs="Arial"/>
          <w:snapToGrid w:val="0"/>
          <w:lang w:val="es-ES"/>
        </w:rPr>
      </w:pPr>
      <w:r w:rsidRPr="00993936">
        <w:rPr>
          <w:rFonts w:ascii="Arial" w:hAnsi="Arial" w:cs="Arial"/>
          <w:spacing w:val="-2"/>
          <w:lang w:val="es-ES"/>
        </w:rPr>
        <w:t>15.1.1.6 P</w:t>
      </w:r>
      <w:r w:rsidRPr="00993936">
        <w:rPr>
          <w:rFonts w:ascii="Arial" w:hAnsi="Arial" w:cs="Arial"/>
          <w:snapToGrid w:val="0"/>
          <w:lang w:val="es-ES"/>
        </w:rPr>
        <w:t>rever un local donde se pueda comer, fumar o mantenerse independiente de las zonas de recepción, elaboración, envasado y almacenamiento.</w:t>
      </w:r>
    </w:p>
    <w:p w:rsidR="00503A41" w:rsidRPr="00993936" w:rsidRDefault="00503A41" w:rsidP="0009331F">
      <w:pPr>
        <w:pStyle w:val="Sangradetextonormal"/>
        <w:ind w:left="0"/>
        <w:rPr>
          <w:rFonts w:cs="Arial"/>
          <w:i/>
          <w:szCs w:val="22"/>
          <w:lang w:val="es-ES"/>
        </w:rPr>
      </w:pPr>
      <w:r w:rsidRPr="00993936">
        <w:rPr>
          <w:rFonts w:cs="Arial"/>
          <w:i/>
          <w:szCs w:val="22"/>
          <w:lang w:val="es-ES"/>
        </w:rPr>
        <w:t>15.1.2 Prohibiciones</w:t>
      </w:r>
    </w:p>
    <w:p w:rsidR="00503A41" w:rsidRPr="00993936" w:rsidRDefault="00503A41" w:rsidP="0009331F">
      <w:pPr>
        <w:pStyle w:val="Sangradetextonormal"/>
        <w:ind w:left="0"/>
        <w:rPr>
          <w:rFonts w:cs="Arial"/>
          <w:szCs w:val="22"/>
          <w:lang w:val="es-ES"/>
        </w:rPr>
      </w:pPr>
      <w:r w:rsidRPr="00993936">
        <w:rPr>
          <w:rFonts w:cs="Arial"/>
          <w:szCs w:val="22"/>
          <w:lang w:val="es-ES"/>
        </w:rPr>
        <w:t>15.1.2.1 Utilizar carretillas</w:t>
      </w:r>
      <w:r w:rsidRPr="00993936">
        <w:rPr>
          <w:rFonts w:cs="Arial"/>
          <w:vanish/>
          <w:szCs w:val="22"/>
          <w:lang w:val="es-ES"/>
        </w:rPr>
        <w:t>&lt;A[carretillas|carretones]&gt;</w:t>
      </w:r>
      <w:r w:rsidRPr="00993936">
        <w:rPr>
          <w:rFonts w:cs="Arial"/>
          <w:szCs w:val="22"/>
          <w:lang w:val="es-ES"/>
        </w:rPr>
        <w:t xml:space="preserve"> elevadoras de gasóleo dentro de la central.</w:t>
      </w:r>
    </w:p>
    <w:p w:rsidR="00503A41" w:rsidRPr="00993936" w:rsidRDefault="00503A41">
      <w:pPr>
        <w:jc w:val="both"/>
        <w:rPr>
          <w:rFonts w:ascii="Arial" w:hAnsi="Arial" w:cs="Arial"/>
          <w:snapToGrid w:val="0"/>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16</w:t>
      </w: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 xml:space="preserve">Lucha contra plagas </w:t>
      </w:r>
    </w:p>
    <w:p w:rsidR="00503A41" w:rsidRPr="00993936" w:rsidRDefault="00503A41" w:rsidP="001D205D">
      <w:pPr>
        <w:pStyle w:val="titulo2"/>
        <w:widowControl/>
        <w:tabs>
          <w:tab w:val="clear" w:pos="1134"/>
        </w:tabs>
        <w:spacing w:before="0" w:after="0" w:line="240" w:lineRule="auto"/>
        <w:rPr>
          <w:rFonts w:ascii="Arial" w:hAnsi="Arial" w:cs="Arial"/>
          <w:spacing w:val="-2"/>
          <w:sz w:val="22"/>
          <w:szCs w:val="22"/>
          <w:lang w:val="es-ES"/>
        </w:rPr>
      </w:pPr>
    </w:p>
    <w:p w:rsidR="00503A41" w:rsidRPr="00993936" w:rsidRDefault="00503A41" w:rsidP="001D205D">
      <w:pPr>
        <w:pStyle w:val="titulo2"/>
        <w:widowControl/>
        <w:tabs>
          <w:tab w:val="clear" w:pos="1134"/>
        </w:tabs>
        <w:spacing w:before="0" w:after="0" w:line="240" w:lineRule="auto"/>
        <w:rPr>
          <w:rFonts w:ascii="Arial" w:hAnsi="Arial" w:cs="Arial"/>
          <w:b w:val="0"/>
          <w:spacing w:val="-2"/>
          <w:sz w:val="22"/>
          <w:szCs w:val="22"/>
          <w:lang w:val="es-ES"/>
        </w:rPr>
      </w:pPr>
      <w:r w:rsidRPr="00993936">
        <w:rPr>
          <w:rFonts w:ascii="Arial" w:hAnsi="Arial" w:cs="Arial"/>
          <w:b w:val="0"/>
          <w:spacing w:val="-2"/>
          <w:sz w:val="22"/>
          <w:szCs w:val="22"/>
          <w:lang w:val="es-ES"/>
        </w:rPr>
        <w:t>16.1 Insectos y roedores: plan</w:t>
      </w:r>
      <w:r w:rsidRPr="00993936">
        <w:rPr>
          <w:rFonts w:ascii="Arial" w:hAnsi="Arial" w:cs="Arial"/>
          <w:b w:val="0"/>
          <w:vanish/>
          <w:spacing w:val="-2"/>
          <w:sz w:val="22"/>
          <w:szCs w:val="22"/>
          <w:lang w:val="es-ES"/>
        </w:rPr>
        <w:t>&lt;A[plan|plano]&gt;</w:t>
      </w:r>
      <w:r w:rsidRPr="00993936">
        <w:rPr>
          <w:rFonts w:ascii="Arial" w:hAnsi="Arial" w:cs="Arial"/>
          <w:b w:val="0"/>
          <w:spacing w:val="-2"/>
          <w:sz w:val="22"/>
          <w:szCs w:val="22"/>
          <w:lang w:val="es-ES"/>
        </w:rPr>
        <w:t xml:space="preserve"> de desinsectación y desratización</w:t>
      </w:r>
    </w:p>
    <w:p w:rsidR="00503A41" w:rsidRPr="00993936" w:rsidRDefault="00503A41" w:rsidP="001D205D">
      <w:pPr>
        <w:jc w:val="both"/>
        <w:rPr>
          <w:rFonts w:ascii="Arial" w:hAnsi="Arial" w:cs="Arial"/>
          <w:i/>
          <w:spacing w:val="-2"/>
          <w:lang w:val="es-ES"/>
        </w:rPr>
      </w:pPr>
      <w:r w:rsidRPr="00993936">
        <w:rPr>
          <w:rFonts w:ascii="Arial" w:hAnsi="Arial" w:cs="Arial"/>
          <w:i/>
          <w:lang w:val="es-ES"/>
        </w:rPr>
        <w:t>16.1.1  Obligaciones</w:t>
      </w:r>
    </w:p>
    <w:p w:rsidR="00503A41" w:rsidRPr="00993936" w:rsidRDefault="00503A41" w:rsidP="001D205D">
      <w:pPr>
        <w:jc w:val="both"/>
        <w:rPr>
          <w:rFonts w:ascii="Arial" w:hAnsi="Arial" w:cs="Arial"/>
          <w:spacing w:val="-2"/>
          <w:lang w:val="es-ES"/>
        </w:rPr>
      </w:pPr>
      <w:r w:rsidRPr="00993936">
        <w:rPr>
          <w:rFonts w:ascii="Arial" w:hAnsi="Arial" w:cs="Arial"/>
          <w:spacing w:val="-2"/>
          <w:lang w:val="es-ES"/>
        </w:rPr>
        <w:t>16.1.1.1 Disponer de un plan</w:t>
      </w:r>
      <w:r w:rsidRPr="00993936">
        <w:rPr>
          <w:rFonts w:ascii="Arial" w:hAnsi="Arial" w:cs="Arial"/>
          <w:vanish/>
          <w:spacing w:val="-2"/>
          <w:lang w:val="es-ES"/>
        </w:rPr>
        <w:t>&lt;A[plan|plano]&gt;</w:t>
      </w:r>
      <w:r w:rsidRPr="00993936">
        <w:rPr>
          <w:rFonts w:ascii="Arial" w:hAnsi="Arial" w:cs="Arial"/>
          <w:spacing w:val="-2"/>
          <w:lang w:val="es-ES"/>
        </w:rPr>
        <w:t xml:space="preserve"> de desinsectación y desratización detallado que corresponda a sus necesidades, puesto en práctica por un equipo con autorización legal para esta finalidad.</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16.1.1.2 Cada persona operadora dispondrá de un plan</w:t>
      </w:r>
      <w:r w:rsidRPr="00993936">
        <w:rPr>
          <w:rFonts w:cs="Arial"/>
          <w:vanish/>
          <w:szCs w:val="22"/>
          <w:lang w:val="es-ES"/>
        </w:rPr>
        <w:t>&lt;A[plan|plano]&gt;</w:t>
      </w:r>
      <w:r w:rsidRPr="00993936">
        <w:rPr>
          <w:rFonts w:cs="Arial"/>
          <w:szCs w:val="22"/>
          <w:lang w:val="es-ES"/>
        </w:rPr>
        <w:t xml:space="preserve"> de limpieza, desinfección y desratización, practicado por un equipo con autorización legal para esta finalidad. El plan</w:t>
      </w:r>
      <w:r w:rsidRPr="00993936">
        <w:rPr>
          <w:rFonts w:cs="Arial"/>
          <w:vanish/>
          <w:szCs w:val="22"/>
          <w:lang w:val="es-ES"/>
        </w:rPr>
        <w:t>&lt;A[plan|plano]&gt;</w:t>
      </w:r>
      <w:r w:rsidRPr="00993936">
        <w:rPr>
          <w:rFonts w:cs="Arial"/>
          <w:szCs w:val="22"/>
          <w:lang w:val="es-ES"/>
        </w:rPr>
        <w:t xml:space="preserve"> contendrá, al menos, la información siguiente: identificación del equipo de trabajo, trabajos y su frecuencia, material y productos que </w:t>
      </w:r>
      <w:r w:rsidRPr="00993936">
        <w:rPr>
          <w:rFonts w:cs="Arial"/>
          <w:szCs w:val="22"/>
          <w:lang w:val="es-ES"/>
        </w:rPr>
        <w:lastRenderedPageBreak/>
        <w:t xml:space="preserve">se utilizarán y método de aplicación. Las trampas deben estar señalizados y numeradas debidamente, y tiene que existir un plano de señalización. </w:t>
      </w:r>
      <w:r w:rsidRPr="00993936">
        <w:rPr>
          <w:rFonts w:cs="Arial"/>
          <w:szCs w:val="22"/>
          <w:lang w:val="es-ES"/>
        </w:rPr>
        <w:tab/>
      </w:r>
    </w:p>
    <w:p w:rsidR="00503A41" w:rsidRPr="00993936" w:rsidRDefault="00503A41" w:rsidP="001D205D">
      <w:pPr>
        <w:pStyle w:val="Sangradetextonormal"/>
        <w:ind w:left="0"/>
        <w:jc w:val="both"/>
        <w:rPr>
          <w:rFonts w:cs="Arial"/>
          <w:szCs w:val="22"/>
          <w:lang w:val="es-ES"/>
        </w:rPr>
      </w:pPr>
      <w:r w:rsidRPr="00993936">
        <w:rPr>
          <w:rFonts w:cs="Arial"/>
          <w:szCs w:val="22"/>
          <w:lang w:val="es-ES"/>
        </w:rPr>
        <w:t>16.1.1.3  Evitar agujeros y ventanas e instalar elementos que impidan la entrada de insectos, pájaros y otros animales en las instalaciones.</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16.1.1.4 Las instalaciones, los equipos y las herramientas estarán en buen estado de conservación mediante un adecuado plan</w:t>
      </w:r>
      <w:r w:rsidRPr="00993936">
        <w:rPr>
          <w:rFonts w:cs="Arial"/>
          <w:vanish/>
          <w:szCs w:val="22"/>
          <w:lang w:val="es-ES"/>
        </w:rPr>
        <w:t>&lt;A[plan|plano]&gt;</w:t>
      </w:r>
      <w:r w:rsidRPr="00993936">
        <w:rPr>
          <w:rFonts w:cs="Arial"/>
          <w:szCs w:val="22"/>
          <w:lang w:val="es-ES"/>
        </w:rPr>
        <w:t xml:space="preserve"> de mantenimiento. </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16.1.1.5 La persona operadora tiene que tomar las medidas necesarias para evitar el contacto de los frutos y de las superficies con sustancias químicas, aguas no potables u objetos extraños.</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16.1.1.6 Los recipientes de evacuación de residuos serán exclusivamente para esta finalidad y se limpiarán periódicamente, de acuerdo con el plan</w:t>
      </w:r>
      <w:r w:rsidRPr="00993936">
        <w:rPr>
          <w:rFonts w:cs="Arial"/>
          <w:vanish/>
          <w:szCs w:val="22"/>
          <w:lang w:val="es-ES"/>
        </w:rPr>
        <w:t>&lt;A[plan|plano]&gt;</w:t>
      </w:r>
      <w:r w:rsidRPr="00993936">
        <w:rPr>
          <w:rFonts w:cs="Arial"/>
          <w:szCs w:val="22"/>
          <w:lang w:val="es-ES"/>
        </w:rPr>
        <w:t xml:space="preserve"> de limpieza establecido.</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pacing w:val="-2"/>
          <w:sz w:val="22"/>
          <w:szCs w:val="22"/>
          <w:lang w:val="es-ES"/>
        </w:rPr>
        <w:t>16.1.1.7</w:t>
      </w:r>
      <w:r w:rsidRPr="00993936">
        <w:rPr>
          <w:rFonts w:ascii="Arial" w:hAnsi="Arial" w:cs="Arial"/>
          <w:sz w:val="22"/>
          <w:szCs w:val="22"/>
          <w:lang w:val="es-ES"/>
        </w:rPr>
        <w:t xml:space="preserve"> La persona operadora tiene que disponer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mantenimiento de las instalaciones, de los equipos y de las herramientas, a fin de que en todo momento estén en buen estado de conservación.</w:t>
      </w:r>
    </w:p>
    <w:p w:rsidR="00503A41" w:rsidRPr="00993936" w:rsidRDefault="00503A41">
      <w:pPr>
        <w:jc w:val="both"/>
        <w:rPr>
          <w:rFonts w:ascii="Arial" w:hAnsi="Arial" w:cs="Arial"/>
          <w:spacing w:val="-2"/>
          <w:lang w:val="es-ES"/>
        </w:rPr>
      </w:pPr>
      <w:r w:rsidRPr="00993936">
        <w:rPr>
          <w:rFonts w:ascii="Arial" w:hAnsi="Arial" w:cs="Arial"/>
          <w:spacing w:val="-2"/>
          <w:lang w:val="es-ES"/>
        </w:rPr>
        <w:t>16.1.1.8 El uso de insecticidas y/o raticidas se realizará de manera tal que no llegue a los productos. Estos productos deberán cumplir la legislación y estarán autorizados para utilizarlos en la industria alimentaria.</w:t>
      </w:r>
    </w:p>
    <w:p w:rsidR="00503A41" w:rsidRPr="00993936" w:rsidRDefault="00503A41">
      <w:pPr>
        <w:pStyle w:val="Textoindependiente3"/>
        <w:tabs>
          <w:tab w:val="left" w:pos="731"/>
        </w:tabs>
        <w:rPr>
          <w:rFonts w:cs="Arial"/>
          <w:b w:val="0"/>
          <w:szCs w:val="22"/>
          <w:lang w:val="es-ES"/>
        </w:rPr>
      </w:pPr>
      <w:r w:rsidRPr="00993936">
        <w:rPr>
          <w:rFonts w:cs="Arial"/>
          <w:b w:val="0"/>
          <w:szCs w:val="22"/>
          <w:lang w:val="es-ES"/>
        </w:rPr>
        <w:t>16.1.1.9 Los puntos donde se coloquen trampas deberán estar debidamente señalizados y numerados. Además, tendrá que haber un plan</w:t>
      </w:r>
      <w:r w:rsidRPr="00993936">
        <w:rPr>
          <w:rFonts w:cs="Arial"/>
          <w:b w:val="0"/>
          <w:vanish/>
          <w:szCs w:val="22"/>
          <w:lang w:val="es-ES"/>
        </w:rPr>
        <w:t>&lt;A[plan|plano]&gt;</w:t>
      </w:r>
      <w:r w:rsidRPr="00993936">
        <w:rPr>
          <w:rFonts w:cs="Arial"/>
          <w:b w:val="0"/>
          <w:szCs w:val="22"/>
          <w:lang w:val="es-ES"/>
        </w:rPr>
        <w:t xml:space="preserve"> de señalización adecuada de estos.</w:t>
      </w:r>
    </w:p>
    <w:p w:rsidR="00503A41" w:rsidRPr="00993936" w:rsidRDefault="00503A41" w:rsidP="0009331F">
      <w:pPr>
        <w:jc w:val="both"/>
        <w:rPr>
          <w:rFonts w:ascii="Arial" w:hAnsi="Arial" w:cs="Arial"/>
          <w:u w:val="single"/>
          <w:lang w:val="es-ES"/>
        </w:rPr>
      </w:pPr>
      <w:r w:rsidRPr="00993936">
        <w:rPr>
          <w:rFonts w:ascii="Arial" w:hAnsi="Arial" w:cs="Arial"/>
          <w:spacing w:val="-2"/>
          <w:lang w:val="es-ES"/>
        </w:rPr>
        <w:t>16.1.1.10 Cuando se utilicen trampas luminosas para insectos, estas no deberán colocarse encima de los equipos y líneas de recepción, manipulación, elaboración y envasado de los productos.</w:t>
      </w:r>
    </w:p>
    <w:p w:rsidR="00503A41" w:rsidRPr="00993936" w:rsidRDefault="00503A41" w:rsidP="0009331F">
      <w:pPr>
        <w:jc w:val="both"/>
        <w:rPr>
          <w:rFonts w:ascii="Arial" w:hAnsi="Arial" w:cs="Arial"/>
          <w:lang w:val="es-ES"/>
        </w:rPr>
      </w:pPr>
      <w:r w:rsidRPr="00993936">
        <w:rPr>
          <w:rFonts w:ascii="Arial" w:hAnsi="Arial" w:cs="Arial"/>
          <w:spacing w:val="-2"/>
          <w:lang w:val="es-ES"/>
        </w:rPr>
        <w:t>16.1.1.11</w:t>
      </w:r>
      <w:r w:rsidRPr="00993936">
        <w:rPr>
          <w:rFonts w:ascii="Arial" w:hAnsi="Arial" w:cs="Arial"/>
          <w:lang w:val="es-ES"/>
        </w:rPr>
        <w:t xml:space="preserve"> Los productos </w:t>
      </w:r>
      <w:r w:rsidRPr="00993936">
        <w:rPr>
          <w:rFonts w:ascii="Arial" w:hAnsi="Arial" w:cs="Arial"/>
          <w:spacing w:val="-2"/>
          <w:lang w:val="es-ES"/>
        </w:rPr>
        <w:t>insecticidas y/o raticidas</w:t>
      </w:r>
      <w:r w:rsidRPr="00993936">
        <w:rPr>
          <w:rFonts w:ascii="Arial" w:hAnsi="Arial" w:cs="Arial"/>
          <w:lang w:val="es-ES"/>
        </w:rPr>
        <w:t xml:space="preserve"> deberán almacenarse en un lugar</w:t>
      </w:r>
      <w:r w:rsidRPr="00993936">
        <w:rPr>
          <w:rFonts w:ascii="Arial" w:hAnsi="Arial" w:cs="Arial"/>
          <w:vanish/>
          <w:lang w:val="es-ES"/>
        </w:rPr>
        <w:t>&lt;A[lugar|sitio]&gt;</w:t>
      </w:r>
      <w:r w:rsidRPr="00993936">
        <w:rPr>
          <w:rFonts w:ascii="Arial" w:hAnsi="Arial" w:cs="Arial"/>
          <w:lang w:val="es-ES"/>
        </w:rPr>
        <w:t xml:space="preserve"> cerrado, separados del frutos, para evitar cualquier riesgo de contaminación. </w:t>
      </w:r>
    </w:p>
    <w:p w:rsidR="00503A41" w:rsidRPr="00993936" w:rsidRDefault="00503A41" w:rsidP="0009331F">
      <w:pPr>
        <w:jc w:val="both"/>
        <w:rPr>
          <w:rFonts w:ascii="Arial" w:hAnsi="Arial" w:cs="Arial"/>
          <w:lang w:val="es-ES"/>
        </w:rPr>
      </w:pPr>
      <w:r w:rsidRPr="00993936">
        <w:rPr>
          <w:rFonts w:ascii="Arial" w:hAnsi="Arial" w:cs="Arial"/>
          <w:spacing w:val="-2"/>
          <w:lang w:val="es-ES"/>
        </w:rPr>
        <w:t>16.1.1.12</w:t>
      </w:r>
      <w:r w:rsidRPr="00993936">
        <w:rPr>
          <w:rFonts w:ascii="Arial" w:hAnsi="Arial" w:cs="Arial"/>
          <w:lang w:val="es-ES"/>
        </w:rPr>
        <w:t xml:space="preserve"> El almacén dispondrá de llave</w:t>
      </w:r>
      <w:r w:rsidRPr="00993936">
        <w:rPr>
          <w:rFonts w:ascii="Arial" w:hAnsi="Arial" w:cs="Arial"/>
          <w:vanish/>
          <w:lang w:val="es-ES"/>
        </w:rPr>
        <w:t>&lt;A[clave|clavo|llave]&gt;</w:t>
      </w:r>
      <w:r w:rsidRPr="00993936">
        <w:rPr>
          <w:rFonts w:ascii="Arial" w:hAnsi="Arial" w:cs="Arial"/>
          <w:lang w:val="es-ES"/>
        </w:rPr>
        <w:t xml:space="preserve"> y ventilación permanente y suficiente.</w:t>
      </w:r>
    </w:p>
    <w:p w:rsidR="00503A41" w:rsidRPr="00993936" w:rsidRDefault="00503A41" w:rsidP="0009331F">
      <w:pPr>
        <w:jc w:val="both"/>
        <w:rPr>
          <w:rFonts w:ascii="Arial" w:hAnsi="Arial" w:cs="Arial"/>
          <w:lang w:val="es-ES"/>
        </w:rPr>
      </w:pPr>
      <w:r w:rsidRPr="00993936">
        <w:rPr>
          <w:rFonts w:ascii="Arial" w:hAnsi="Arial" w:cs="Arial"/>
          <w:spacing w:val="-2"/>
          <w:lang w:val="es-ES"/>
        </w:rPr>
        <w:t>16.1.1.13 El almacenamiento tiene que disponer de medios para retener posibles derrames</w:t>
      </w:r>
      <w:r w:rsidRPr="00993936">
        <w:rPr>
          <w:rFonts w:ascii="Arial" w:hAnsi="Arial" w:cs="Arial"/>
          <w:vanish/>
          <w:spacing w:val="-2"/>
          <w:lang w:val="es-ES"/>
        </w:rPr>
        <w:t>&lt;A[derrames|vertidos]&gt;</w:t>
      </w:r>
      <w:r w:rsidRPr="00993936">
        <w:rPr>
          <w:rFonts w:ascii="Arial" w:hAnsi="Arial" w:cs="Arial"/>
          <w:spacing w:val="-2"/>
          <w:lang w:val="es-ES"/>
        </w:rPr>
        <w:t xml:space="preserve"> accidentales.</w:t>
      </w:r>
    </w:p>
    <w:p w:rsidR="00503A41" w:rsidRPr="00993936" w:rsidRDefault="00503A41" w:rsidP="0009331F">
      <w:pPr>
        <w:jc w:val="both"/>
        <w:rPr>
          <w:rFonts w:ascii="Arial" w:hAnsi="Arial" w:cs="Arial"/>
          <w:b/>
          <w:lang w:val="es-ES"/>
        </w:rPr>
      </w:pPr>
      <w:r w:rsidRPr="00993936">
        <w:rPr>
          <w:rFonts w:ascii="Arial" w:hAnsi="Arial" w:cs="Arial"/>
          <w:spacing w:val="-2"/>
          <w:lang w:val="es-ES"/>
        </w:rPr>
        <w:t xml:space="preserve">16.1.1.14 </w:t>
      </w:r>
      <w:r w:rsidRPr="00993936">
        <w:rPr>
          <w:rFonts w:ascii="Arial" w:hAnsi="Arial" w:cs="Arial"/>
          <w:lang w:val="es-ES"/>
        </w:rPr>
        <w:t>La zona de almacenamiento tiene que estar debidamente señalizado haciendo una especial insistencia en la prohibición de acceso a personas no autorizadas.</w:t>
      </w:r>
    </w:p>
    <w:p w:rsidR="00503A41" w:rsidRPr="00993936" w:rsidRDefault="00503A41" w:rsidP="0009331F">
      <w:pPr>
        <w:jc w:val="both"/>
        <w:rPr>
          <w:rFonts w:ascii="Arial" w:hAnsi="Arial" w:cs="Arial"/>
          <w:lang w:val="es-ES"/>
        </w:rPr>
      </w:pPr>
      <w:r w:rsidRPr="00993936">
        <w:rPr>
          <w:rFonts w:ascii="Arial" w:hAnsi="Arial" w:cs="Arial"/>
          <w:spacing w:val="-2"/>
          <w:lang w:val="es-ES"/>
        </w:rPr>
        <w:t>16.1.1.15</w:t>
      </w:r>
      <w:r w:rsidRPr="00993936">
        <w:rPr>
          <w:rFonts w:ascii="Arial" w:hAnsi="Arial" w:cs="Arial"/>
          <w:lang w:val="es-ES"/>
        </w:rPr>
        <w:t xml:space="preserve"> Los </w:t>
      </w:r>
      <w:r w:rsidRPr="00993936">
        <w:rPr>
          <w:rFonts w:ascii="Arial" w:hAnsi="Arial" w:cs="Arial"/>
          <w:spacing w:val="-2"/>
          <w:lang w:val="es-ES"/>
        </w:rPr>
        <w:t>insecticidas y/o raticidas</w:t>
      </w:r>
      <w:r w:rsidRPr="00993936">
        <w:rPr>
          <w:rFonts w:ascii="Arial" w:hAnsi="Arial" w:cs="Arial"/>
          <w:lang w:val="es-ES"/>
        </w:rPr>
        <w:t xml:space="preserve"> deben mantenerse dentro de su envase original y sus etiquetas deben ser perfectamente legibles.</w:t>
      </w:r>
    </w:p>
    <w:p w:rsidR="00503A41" w:rsidRPr="00993936" w:rsidRDefault="00503A41" w:rsidP="0009331F">
      <w:pPr>
        <w:jc w:val="both"/>
        <w:rPr>
          <w:rFonts w:ascii="Arial" w:hAnsi="Arial" w:cs="Arial"/>
          <w:lang w:val="es-ES"/>
        </w:rPr>
      </w:pPr>
      <w:r w:rsidRPr="00993936">
        <w:rPr>
          <w:rFonts w:ascii="Arial" w:hAnsi="Arial" w:cs="Arial"/>
          <w:spacing w:val="-2"/>
          <w:lang w:val="es-ES"/>
        </w:rPr>
        <w:t>16.1.1.16</w:t>
      </w:r>
      <w:r w:rsidRPr="00993936">
        <w:rPr>
          <w:rFonts w:ascii="Arial" w:hAnsi="Arial" w:cs="Arial"/>
          <w:lang w:val="es-ES"/>
        </w:rPr>
        <w:t xml:space="preserve"> Los productos </w:t>
      </w:r>
      <w:r w:rsidRPr="00993936">
        <w:rPr>
          <w:rFonts w:ascii="Arial" w:hAnsi="Arial" w:cs="Arial"/>
          <w:spacing w:val="-2"/>
          <w:lang w:val="es-ES"/>
        </w:rPr>
        <w:t>insecticidas y/o raticidas</w:t>
      </w:r>
      <w:r w:rsidRPr="00993936">
        <w:rPr>
          <w:rFonts w:ascii="Arial" w:hAnsi="Arial" w:cs="Arial"/>
          <w:lang w:val="es-ES"/>
        </w:rPr>
        <w:t xml:space="preserve"> deben estar debidamente etiquetados, ordenados y separados físicamente.</w:t>
      </w:r>
    </w:p>
    <w:p w:rsidR="00503A41" w:rsidRPr="00993936" w:rsidRDefault="00503A41" w:rsidP="0009331F">
      <w:pPr>
        <w:jc w:val="both"/>
        <w:rPr>
          <w:rFonts w:ascii="Arial" w:hAnsi="Arial" w:cs="Arial"/>
          <w:lang w:val="es-ES"/>
        </w:rPr>
      </w:pPr>
      <w:r w:rsidRPr="00993936">
        <w:rPr>
          <w:rFonts w:ascii="Arial" w:hAnsi="Arial" w:cs="Arial"/>
          <w:spacing w:val="-2"/>
          <w:lang w:val="es-ES"/>
        </w:rPr>
        <w:t>16.1.1.17</w:t>
      </w:r>
      <w:r w:rsidRPr="00993936">
        <w:rPr>
          <w:rFonts w:ascii="Arial" w:hAnsi="Arial" w:cs="Arial"/>
          <w:lang w:val="es-ES"/>
        </w:rPr>
        <w:t xml:space="preserve"> Los </w:t>
      </w:r>
      <w:r w:rsidRPr="00993936">
        <w:rPr>
          <w:rFonts w:ascii="Arial" w:hAnsi="Arial" w:cs="Arial"/>
          <w:spacing w:val="-2"/>
          <w:lang w:val="es-ES"/>
        </w:rPr>
        <w:t>insecticidas y/o raticidas</w:t>
      </w:r>
      <w:r w:rsidRPr="00993936">
        <w:rPr>
          <w:rFonts w:ascii="Arial" w:hAnsi="Arial" w:cs="Arial"/>
          <w:lang w:val="es-ES"/>
        </w:rPr>
        <w:t xml:space="preserve"> en polvo deben almacenarse en estantes situados por encima de los líquidos.</w:t>
      </w:r>
    </w:p>
    <w:p w:rsidR="00503A41" w:rsidRPr="00993936" w:rsidRDefault="00503A41" w:rsidP="0009331F">
      <w:pPr>
        <w:jc w:val="both"/>
        <w:rPr>
          <w:rFonts w:ascii="Arial" w:hAnsi="Arial" w:cs="Arial"/>
          <w:lang w:val="es-ES"/>
        </w:rPr>
      </w:pPr>
      <w:r w:rsidRPr="00993936">
        <w:rPr>
          <w:rFonts w:ascii="Arial" w:hAnsi="Arial" w:cs="Arial"/>
          <w:spacing w:val="-2"/>
          <w:lang w:val="es-ES"/>
        </w:rPr>
        <w:t>16.1.1.18</w:t>
      </w:r>
      <w:r w:rsidRPr="00993936">
        <w:rPr>
          <w:rFonts w:ascii="Arial" w:hAnsi="Arial" w:cs="Arial"/>
          <w:lang w:val="es-ES"/>
        </w:rPr>
        <w:t xml:space="preserve"> La conservación de los justificantes de las compras y gastos de los productos </w:t>
      </w:r>
      <w:r w:rsidRPr="00993936">
        <w:rPr>
          <w:rFonts w:ascii="Arial" w:hAnsi="Arial" w:cs="Arial"/>
          <w:spacing w:val="-2"/>
          <w:lang w:val="es-ES"/>
        </w:rPr>
        <w:t>insecticidas y/o raticidas</w:t>
      </w:r>
      <w:r w:rsidRPr="00993936">
        <w:rPr>
          <w:rFonts w:ascii="Arial" w:hAnsi="Arial" w:cs="Arial"/>
          <w:lang w:val="es-ES"/>
        </w:rPr>
        <w:t xml:space="preserve"> reflejados en el cuaderno de explotación es obligatoria durante dos años.</w:t>
      </w:r>
    </w:p>
    <w:p w:rsidR="00503A41" w:rsidRPr="00993936" w:rsidRDefault="00503A41" w:rsidP="0009331F">
      <w:pPr>
        <w:jc w:val="both"/>
        <w:rPr>
          <w:rFonts w:ascii="Arial" w:hAnsi="Arial" w:cs="Arial"/>
          <w:lang w:val="es-ES"/>
        </w:rPr>
      </w:pPr>
      <w:r w:rsidRPr="00993936">
        <w:rPr>
          <w:rFonts w:ascii="Arial" w:hAnsi="Arial" w:cs="Arial"/>
          <w:spacing w:val="-2"/>
          <w:lang w:val="es-ES"/>
        </w:rPr>
        <w:t>16.1.1.19</w:t>
      </w:r>
      <w:r w:rsidRPr="00993936">
        <w:rPr>
          <w:rFonts w:ascii="Arial" w:hAnsi="Arial" w:cs="Arial"/>
          <w:lang w:val="es-ES"/>
        </w:rPr>
        <w:t xml:space="preserve">  En caso de existir almacén de productos </w:t>
      </w:r>
      <w:r w:rsidRPr="00993936">
        <w:rPr>
          <w:rFonts w:ascii="Arial" w:hAnsi="Arial" w:cs="Arial"/>
          <w:spacing w:val="-2"/>
          <w:lang w:val="es-ES"/>
        </w:rPr>
        <w:t>insecticidas y/o raticidas</w:t>
      </w:r>
      <w:r w:rsidRPr="00993936">
        <w:rPr>
          <w:rFonts w:ascii="Arial" w:hAnsi="Arial" w:cs="Arial"/>
          <w:lang w:val="es-ES"/>
        </w:rPr>
        <w:t xml:space="preserve"> en la industria, se aplicarán las obligaciones de la RTS (Reglamentación técnica sanitaria).</w:t>
      </w:r>
    </w:p>
    <w:p w:rsidR="00503A41" w:rsidRPr="00993936" w:rsidRDefault="00503A41" w:rsidP="0009331F">
      <w:pPr>
        <w:pStyle w:val="Ttulo1"/>
        <w:rPr>
          <w:rFonts w:ascii="Arial" w:hAnsi="Arial" w:cs="Arial"/>
          <w:i/>
          <w:color w:val="auto"/>
          <w:sz w:val="22"/>
          <w:szCs w:val="22"/>
        </w:rPr>
      </w:pPr>
      <w:r w:rsidRPr="00993936">
        <w:rPr>
          <w:rFonts w:ascii="Arial" w:hAnsi="Arial" w:cs="Arial"/>
          <w:i/>
          <w:color w:val="auto"/>
          <w:sz w:val="22"/>
          <w:szCs w:val="22"/>
        </w:rPr>
        <w:lastRenderedPageBreak/>
        <w:t>16.1.2 Recomendaciones</w:t>
      </w:r>
    </w:p>
    <w:p w:rsidR="00503A41" w:rsidRPr="00993936" w:rsidRDefault="00503A41" w:rsidP="0009331F">
      <w:pPr>
        <w:jc w:val="both"/>
        <w:rPr>
          <w:rFonts w:ascii="Arial" w:hAnsi="Arial" w:cs="Arial"/>
          <w:lang w:val="es-ES"/>
        </w:rPr>
      </w:pPr>
      <w:r w:rsidRPr="00993936">
        <w:rPr>
          <w:rFonts w:ascii="Arial" w:hAnsi="Arial" w:cs="Arial"/>
          <w:lang w:val="es-ES"/>
        </w:rPr>
        <w:t>16.1.2.1 Utilizar estantes de almacenamiento de materiales no absorbentes.</w:t>
      </w:r>
    </w:p>
    <w:p w:rsidR="00503A41" w:rsidRPr="00993936" w:rsidRDefault="00503A41" w:rsidP="0009331F">
      <w:pPr>
        <w:jc w:val="both"/>
        <w:rPr>
          <w:rFonts w:ascii="Arial" w:hAnsi="Arial" w:cs="Arial"/>
          <w:lang w:val="es-ES"/>
        </w:rPr>
      </w:pPr>
      <w:r w:rsidRPr="00993936">
        <w:rPr>
          <w:rFonts w:ascii="Arial" w:hAnsi="Arial" w:cs="Arial"/>
          <w:lang w:val="es-ES"/>
        </w:rPr>
        <w:t>16.1.2.2 No almacenar productos innecesariamente.</w:t>
      </w:r>
    </w:p>
    <w:p w:rsidR="00503A41" w:rsidRPr="00993936" w:rsidRDefault="00503A41">
      <w:pPr>
        <w:jc w:val="both"/>
        <w:rPr>
          <w:rFonts w:ascii="Arial" w:hAnsi="Arial" w:cs="Arial"/>
          <w:lang w:val="es-ES"/>
        </w:rPr>
      </w:pPr>
      <w:r w:rsidRPr="00993936">
        <w:rPr>
          <w:rFonts w:ascii="Arial" w:hAnsi="Arial" w:cs="Arial"/>
          <w:spacing w:val="-2"/>
          <w:lang w:val="es-ES"/>
        </w:rPr>
        <w:t>16.1.2.3 Uso de trampas luminosas para insectos.</w:t>
      </w:r>
    </w:p>
    <w:p w:rsidR="00503A41" w:rsidRPr="00993936" w:rsidRDefault="00503A41">
      <w:pPr>
        <w:tabs>
          <w:tab w:val="left" w:pos="0"/>
          <w:tab w:val="left" w:pos="6684"/>
        </w:tabs>
        <w:jc w:val="both"/>
        <w:rPr>
          <w:rFonts w:ascii="Arial" w:hAnsi="Arial" w:cs="Arial"/>
          <w:spacing w:val="-2"/>
          <w:lang w:val="es-ES"/>
        </w:rPr>
      </w:pP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r w:rsidRPr="00993936">
        <w:rPr>
          <w:rFonts w:ascii="Arial" w:hAnsi="Arial" w:cs="Arial"/>
          <w:b w:val="0"/>
          <w:spacing w:val="-2"/>
          <w:sz w:val="22"/>
          <w:szCs w:val="22"/>
          <w:lang w:val="es-ES"/>
        </w:rPr>
        <w:t>16.2 Pájaros y otros animales</w:t>
      </w:r>
    </w:p>
    <w:p w:rsidR="00503A41" w:rsidRPr="00993936" w:rsidRDefault="00503A41">
      <w:pPr>
        <w:jc w:val="both"/>
        <w:rPr>
          <w:rFonts w:ascii="Arial" w:hAnsi="Arial" w:cs="Arial"/>
          <w:b/>
          <w:i/>
          <w:spacing w:val="-2"/>
          <w:lang w:val="es-ES"/>
        </w:rPr>
      </w:pPr>
      <w:r w:rsidRPr="00993936">
        <w:rPr>
          <w:rFonts w:ascii="Arial" w:hAnsi="Arial" w:cs="Arial"/>
          <w:i/>
          <w:lang w:val="es-ES"/>
        </w:rPr>
        <w:t>16.2.1  Obligaciones</w:t>
      </w:r>
    </w:p>
    <w:p w:rsidR="00503A41" w:rsidRPr="00993936" w:rsidRDefault="00503A41">
      <w:pPr>
        <w:jc w:val="both"/>
        <w:rPr>
          <w:rFonts w:ascii="Arial" w:hAnsi="Arial" w:cs="Arial"/>
          <w:spacing w:val="-2"/>
          <w:lang w:val="es-ES"/>
        </w:rPr>
      </w:pPr>
      <w:r w:rsidRPr="00993936">
        <w:rPr>
          <w:rFonts w:ascii="Arial" w:hAnsi="Arial" w:cs="Arial"/>
          <w:spacing w:val="-2"/>
          <w:lang w:val="es-ES"/>
        </w:rPr>
        <w:t xml:space="preserve">16.2.1.1 Adoptar las medidas necesarias para evitar la entrada de pájaros en las instalaciones e impedir que hagan nidos y pernocten. </w:t>
      </w:r>
    </w:p>
    <w:p w:rsidR="00503A41" w:rsidRPr="00993936" w:rsidRDefault="00503A41">
      <w:pPr>
        <w:jc w:val="both"/>
        <w:rPr>
          <w:rFonts w:ascii="Arial" w:hAnsi="Arial" w:cs="Arial"/>
          <w:spacing w:val="-2"/>
          <w:lang w:val="es-ES"/>
        </w:rPr>
      </w:pPr>
      <w:r w:rsidRPr="00993936">
        <w:rPr>
          <w:rFonts w:ascii="Arial" w:hAnsi="Arial" w:cs="Arial"/>
          <w:spacing w:val="-2"/>
          <w:lang w:val="es-ES"/>
        </w:rPr>
        <w:t>16.2.1.2 No permitir la entrada de ningún animal a las instalaciones.</w:t>
      </w:r>
    </w:p>
    <w:p w:rsidR="00503A41" w:rsidRPr="00993936" w:rsidRDefault="00503A41">
      <w:pPr>
        <w:jc w:val="both"/>
        <w:rPr>
          <w:rFonts w:ascii="Arial" w:hAnsi="Arial" w:cs="Arial"/>
          <w:b/>
          <w:i/>
          <w:spacing w:val="-2"/>
          <w:lang w:val="es-ES"/>
        </w:rPr>
      </w:pPr>
      <w:r w:rsidRPr="00993936">
        <w:rPr>
          <w:rFonts w:ascii="Arial" w:hAnsi="Arial" w:cs="Arial"/>
          <w:i/>
          <w:lang w:val="es-ES"/>
        </w:rPr>
        <w:t>16.2.2 Recomendaciones</w:t>
      </w:r>
    </w:p>
    <w:p w:rsidR="00503A41" w:rsidRPr="00993936" w:rsidRDefault="00503A41">
      <w:pPr>
        <w:pStyle w:val="Textoindependiente3"/>
        <w:rPr>
          <w:rFonts w:cs="Arial"/>
          <w:b w:val="0"/>
          <w:szCs w:val="22"/>
          <w:lang w:val="es-ES"/>
        </w:rPr>
      </w:pPr>
      <w:r w:rsidRPr="00993936">
        <w:rPr>
          <w:rFonts w:cs="Arial"/>
          <w:b w:val="0"/>
          <w:szCs w:val="22"/>
          <w:lang w:val="es-ES"/>
        </w:rPr>
        <w:t>16.2.2.1 Diseñar las puertas de acceso y ventanas de manera que impidan la entrada de animales.</w:t>
      </w:r>
    </w:p>
    <w:p w:rsidR="00503A41" w:rsidRPr="00993936" w:rsidRDefault="00503A41">
      <w:pPr>
        <w:pStyle w:val="titulo2"/>
        <w:widowControl/>
        <w:tabs>
          <w:tab w:val="clear" w:pos="1134"/>
        </w:tabs>
        <w:spacing w:before="0" w:after="0" w:line="240" w:lineRule="auto"/>
        <w:rPr>
          <w:rFonts w:ascii="Arial" w:hAnsi="Arial" w:cs="Arial"/>
          <w:b w:val="0"/>
          <w:sz w:val="22"/>
          <w:szCs w:val="22"/>
          <w:lang w:val="es-ES"/>
        </w:rPr>
      </w:pPr>
    </w:p>
    <w:p w:rsidR="00503A41" w:rsidRPr="00993936" w:rsidRDefault="00503A41">
      <w:pPr>
        <w:pStyle w:val="titulo2"/>
        <w:widowControl/>
        <w:tabs>
          <w:tab w:val="clear" w:pos="1134"/>
        </w:tabs>
        <w:spacing w:before="0" w:after="0" w:line="240" w:lineRule="auto"/>
        <w:rPr>
          <w:rFonts w:ascii="Arial" w:hAnsi="Arial" w:cs="Arial"/>
          <w:sz w:val="22"/>
          <w:szCs w:val="22"/>
          <w:lang w:val="es-ES"/>
        </w:rPr>
      </w:pPr>
      <w:r w:rsidRPr="00993936">
        <w:rPr>
          <w:rFonts w:ascii="Arial" w:hAnsi="Arial" w:cs="Arial"/>
          <w:sz w:val="22"/>
          <w:szCs w:val="22"/>
          <w:lang w:val="es-ES"/>
        </w:rPr>
        <w:t>16.3 Evacuación de residuos industriales</w:t>
      </w:r>
    </w:p>
    <w:p w:rsidR="00503A41" w:rsidRPr="00993936" w:rsidRDefault="00503A41">
      <w:pPr>
        <w:jc w:val="both"/>
        <w:rPr>
          <w:rFonts w:ascii="Arial" w:hAnsi="Arial" w:cs="Arial"/>
          <w:b/>
          <w:i/>
          <w:spacing w:val="-2"/>
          <w:lang w:val="es-ES"/>
        </w:rPr>
      </w:pPr>
      <w:r w:rsidRPr="00993936">
        <w:rPr>
          <w:rFonts w:ascii="Arial" w:hAnsi="Arial" w:cs="Arial"/>
          <w:i/>
          <w:lang w:val="es-ES"/>
        </w:rPr>
        <w:t>16.3.1 Obligaciones</w:t>
      </w:r>
    </w:p>
    <w:p w:rsidR="00503A41" w:rsidRPr="00993936" w:rsidRDefault="00503A41">
      <w:pPr>
        <w:jc w:val="both"/>
        <w:rPr>
          <w:rFonts w:ascii="Arial" w:hAnsi="Arial" w:cs="Arial"/>
          <w:snapToGrid w:val="0"/>
          <w:lang w:val="es-ES"/>
        </w:rPr>
      </w:pPr>
      <w:r w:rsidRPr="00993936">
        <w:rPr>
          <w:rFonts w:ascii="Arial" w:hAnsi="Arial" w:cs="Arial"/>
          <w:spacing w:val="-2"/>
          <w:lang w:val="es-ES"/>
        </w:rPr>
        <w:t>16.3.1.1 E</w:t>
      </w:r>
      <w:r w:rsidRPr="00993936">
        <w:rPr>
          <w:rFonts w:ascii="Arial" w:hAnsi="Arial" w:cs="Arial"/>
          <w:snapToGrid w:val="0"/>
          <w:lang w:val="es-ES"/>
        </w:rPr>
        <w:t>vacuar los desperdicios de la planta según una planificación ordenada para minimizar los olores anormales y sobre todo para prevenir la contaminación de los alimentos.</w:t>
      </w:r>
    </w:p>
    <w:p w:rsidR="00503A41" w:rsidRPr="00993936" w:rsidRDefault="00503A41">
      <w:pPr>
        <w:jc w:val="both"/>
        <w:rPr>
          <w:rFonts w:ascii="Arial" w:hAnsi="Arial" w:cs="Arial"/>
          <w:snapToGrid w:val="0"/>
          <w:lang w:val="es-ES"/>
        </w:rPr>
      </w:pPr>
      <w:r w:rsidRPr="00993936">
        <w:rPr>
          <w:rFonts w:ascii="Arial" w:hAnsi="Arial" w:cs="Arial"/>
          <w:spacing w:val="-2"/>
          <w:lang w:val="es-ES"/>
        </w:rPr>
        <w:t>16.3.1.2 T</w:t>
      </w:r>
      <w:r w:rsidRPr="00993936">
        <w:rPr>
          <w:rFonts w:ascii="Arial" w:hAnsi="Arial" w:cs="Arial"/>
          <w:snapToGrid w:val="0"/>
          <w:lang w:val="es-ES"/>
        </w:rPr>
        <w:t>ratar las aguas residuales a fín de cumplir las exigencias de la normativa vigente.</w:t>
      </w:r>
    </w:p>
    <w:p w:rsidR="00503A41" w:rsidRPr="00993936" w:rsidRDefault="00503A41" w:rsidP="0009331F">
      <w:pPr>
        <w:jc w:val="both"/>
        <w:rPr>
          <w:rFonts w:ascii="Arial" w:hAnsi="Arial" w:cs="Arial"/>
          <w:lang w:val="es-ES"/>
        </w:rPr>
      </w:pPr>
      <w:r w:rsidRPr="00993936">
        <w:rPr>
          <w:rFonts w:ascii="Arial" w:hAnsi="Arial" w:cs="Arial"/>
          <w:lang w:val="es-ES"/>
        </w:rPr>
        <w:t>16.3.1.3 Establecer sistemas de recogida de aceites usados o de todo tipo de sustancias tóxicas y peligrosas que haya en la explotación dándolos los destino previsto en la legislación vigente.</w:t>
      </w:r>
    </w:p>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b/>
          <w:lang w:val="es-ES"/>
        </w:rPr>
      </w:pPr>
      <w:r w:rsidRPr="00993936">
        <w:rPr>
          <w:rFonts w:ascii="Arial" w:hAnsi="Arial" w:cs="Arial"/>
          <w:b/>
          <w:lang w:val="es-ES"/>
        </w:rPr>
        <w:t>16.4 Protección medio ambiental</w:t>
      </w:r>
    </w:p>
    <w:p w:rsidR="00503A41" w:rsidRPr="00993936" w:rsidRDefault="00503A41" w:rsidP="0009331F">
      <w:pPr>
        <w:jc w:val="both"/>
        <w:rPr>
          <w:rFonts w:ascii="Arial" w:hAnsi="Arial" w:cs="Arial"/>
          <w:i/>
          <w:lang w:val="es-ES"/>
        </w:rPr>
      </w:pPr>
      <w:r w:rsidRPr="00993936">
        <w:rPr>
          <w:rFonts w:ascii="Arial" w:hAnsi="Arial" w:cs="Arial"/>
          <w:i/>
          <w:lang w:val="es-ES"/>
        </w:rPr>
        <w:t>16.4.1 Obligaciones</w:t>
      </w:r>
    </w:p>
    <w:p w:rsidR="00503A41" w:rsidRPr="00993936" w:rsidRDefault="00503A41" w:rsidP="0009331F">
      <w:pPr>
        <w:pStyle w:val="Textoindependiente"/>
        <w:rPr>
          <w:rFonts w:cs="Arial"/>
          <w:szCs w:val="22"/>
          <w:lang w:val="es-ES"/>
        </w:rPr>
      </w:pPr>
      <w:r w:rsidRPr="00993936">
        <w:rPr>
          <w:rFonts w:cs="Arial"/>
          <w:szCs w:val="22"/>
          <w:lang w:val="es-ES"/>
        </w:rPr>
        <w:t>16.4.1.1  La empresa debe cumplir con la política de conservación del entorno natural según la legislación medio ambiental vigente.</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16.4.1.2 Disponer de medidas de prevención de vertidos accidentales de aceites, hidrocarburos u otros productos químicos peligrosos para el medio ambiente.</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16.4.1.3 Implantar, si no están, medidas de ahorro en el consumo de agua y de energía en las instalaciones y en los procesos.</w:t>
      </w:r>
    </w:p>
    <w:p w:rsidR="00503A41" w:rsidRPr="00993936" w:rsidRDefault="00503A41">
      <w:pPr>
        <w:jc w:val="both"/>
        <w:rPr>
          <w:rFonts w:ascii="Arial" w:hAnsi="Arial" w:cs="Arial"/>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17</w:t>
      </w:r>
    </w:p>
    <w:p w:rsidR="00503A41" w:rsidRPr="00993936" w:rsidRDefault="00503A41" w:rsidP="001D205D">
      <w:pPr>
        <w:pStyle w:val="Ttulo7"/>
        <w:rPr>
          <w:rFonts w:ascii="Arial" w:hAnsi="Arial" w:cs="Arial"/>
          <w:b/>
          <w:i w:val="0"/>
          <w:color w:val="auto"/>
          <w:lang w:val="es-ES"/>
        </w:rPr>
      </w:pPr>
      <w:r w:rsidRPr="00993936">
        <w:rPr>
          <w:rFonts w:ascii="Arial" w:hAnsi="Arial" w:cs="Arial"/>
          <w:b/>
          <w:i w:val="0"/>
          <w:color w:val="auto"/>
          <w:lang w:val="es-ES"/>
        </w:rPr>
        <w:t>Equipos</w:t>
      </w:r>
    </w:p>
    <w:p w:rsidR="00503A41" w:rsidRPr="00993936" w:rsidRDefault="00503A41" w:rsidP="0009331F">
      <w:pPr>
        <w:rPr>
          <w:rFonts w:ascii="Arial" w:hAnsi="Arial" w:cs="Arial"/>
          <w:lang w:val="es-ES"/>
        </w:rPr>
      </w:pP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17.1 Condiciones Generales</w:t>
      </w:r>
    </w:p>
    <w:p w:rsidR="00503A41" w:rsidRPr="00993936" w:rsidRDefault="00503A41">
      <w:pPr>
        <w:jc w:val="both"/>
        <w:rPr>
          <w:rFonts w:ascii="Arial" w:hAnsi="Arial" w:cs="Arial"/>
          <w:i/>
          <w:spacing w:val="-2"/>
          <w:lang w:val="es-ES"/>
        </w:rPr>
      </w:pPr>
      <w:r w:rsidRPr="00993936">
        <w:rPr>
          <w:rFonts w:ascii="Arial" w:hAnsi="Arial" w:cs="Arial"/>
          <w:i/>
          <w:lang w:val="es-ES"/>
        </w:rPr>
        <w:t>17.1.1 Obligaciones</w:t>
      </w:r>
    </w:p>
    <w:p w:rsidR="00503A41" w:rsidRPr="00993936" w:rsidRDefault="00503A41">
      <w:pPr>
        <w:pStyle w:val="Textoindependiente3"/>
        <w:rPr>
          <w:rFonts w:cs="Arial"/>
          <w:b w:val="0"/>
          <w:szCs w:val="22"/>
          <w:lang w:val="es-ES"/>
        </w:rPr>
      </w:pPr>
      <w:r w:rsidRPr="00993936">
        <w:rPr>
          <w:rFonts w:cs="Arial"/>
          <w:b w:val="0"/>
          <w:szCs w:val="22"/>
          <w:lang w:val="es-ES"/>
        </w:rPr>
        <w:t xml:space="preserve">17.1.1.1 Las empresas deberán establecer y llevar a cabo un plan de mantenimiento de los equipos para asegurar su correcto funcionamiento y tomar las medidas </w:t>
      </w:r>
      <w:r w:rsidRPr="00993936">
        <w:rPr>
          <w:rFonts w:cs="Arial"/>
          <w:b w:val="0"/>
          <w:szCs w:val="22"/>
          <w:lang w:val="es-ES"/>
        </w:rPr>
        <w:lastRenderedPageBreak/>
        <w:t xml:space="preserve">necesarias para evitar el contacto de los productos con sustancias químicas o bien objetos extraños (protectores, bandejas, etc.). </w:t>
      </w:r>
    </w:p>
    <w:p w:rsidR="00503A41" w:rsidRPr="00993936" w:rsidRDefault="00503A41">
      <w:pPr>
        <w:jc w:val="both"/>
        <w:rPr>
          <w:rFonts w:ascii="Arial" w:hAnsi="Arial" w:cs="Arial"/>
          <w:spacing w:val="-2"/>
          <w:lang w:val="es-ES"/>
        </w:rPr>
      </w:pP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17.2  Diseño</w:t>
      </w:r>
    </w:p>
    <w:p w:rsidR="00503A41" w:rsidRPr="00993936" w:rsidRDefault="00503A41">
      <w:pPr>
        <w:pStyle w:val="Textoindependiente3"/>
        <w:rPr>
          <w:rFonts w:cs="Arial"/>
          <w:b w:val="0"/>
          <w:i/>
          <w:szCs w:val="22"/>
          <w:lang w:val="es-ES"/>
        </w:rPr>
      </w:pPr>
      <w:r w:rsidRPr="00993936">
        <w:rPr>
          <w:rFonts w:cs="Arial"/>
          <w:b w:val="0"/>
          <w:i/>
          <w:szCs w:val="22"/>
          <w:lang w:val="es-ES"/>
        </w:rPr>
        <w:t>17.2.1 Obligaciones</w:t>
      </w:r>
    </w:p>
    <w:p w:rsidR="00503A41" w:rsidRPr="00993936" w:rsidRDefault="00503A41">
      <w:pPr>
        <w:pStyle w:val="Textoindependiente3"/>
        <w:rPr>
          <w:rFonts w:cs="Arial"/>
          <w:b w:val="0"/>
          <w:szCs w:val="22"/>
          <w:lang w:val="es-ES"/>
        </w:rPr>
      </w:pPr>
      <w:r w:rsidRPr="00993936">
        <w:rPr>
          <w:rFonts w:cs="Arial"/>
          <w:b w:val="0"/>
          <w:szCs w:val="22"/>
          <w:lang w:val="es-ES"/>
        </w:rPr>
        <w:t>17.2.1.1 La disposición de los equipos tendrá que permitir el mantenimiento y la limpieza adecuados, en línea con unas buenas prácticas de higiene.</w:t>
      </w:r>
    </w:p>
    <w:p w:rsidR="00503A41" w:rsidRPr="00993936" w:rsidRDefault="00503A41">
      <w:pPr>
        <w:jc w:val="both"/>
        <w:rPr>
          <w:rFonts w:ascii="Arial" w:hAnsi="Arial" w:cs="Arial"/>
          <w:spacing w:val="-2"/>
          <w:lang w:val="es-ES"/>
        </w:rPr>
      </w:pP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17.3 Superficies de trabajo</w:t>
      </w:r>
    </w:p>
    <w:p w:rsidR="00503A41" w:rsidRPr="00993936" w:rsidRDefault="00503A41">
      <w:pPr>
        <w:jc w:val="both"/>
        <w:rPr>
          <w:rFonts w:ascii="Arial" w:hAnsi="Arial" w:cs="Arial"/>
          <w:i/>
          <w:spacing w:val="-2"/>
          <w:lang w:val="es-ES"/>
        </w:rPr>
      </w:pPr>
      <w:r w:rsidRPr="00993936">
        <w:rPr>
          <w:rFonts w:ascii="Arial" w:hAnsi="Arial" w:cs="Arial"/>
          <w:i/>
          <w:lang w:val="es-ES"/>
        </w:rPr>
        <w:t>17.3.1 Obligaciones</w:t>
      </w:r>
    </w:p>
    <w:p w:rsidR="00503A41" w:rsidRPr="00993936" w:rsidRDefault="00503A41">
      <w:pPr>
        <w:jc w:val="both"/>
        <w:rPr>
          <w:rFonts w:ascii="Arial" w:hAnsi="Arial" w:cs="Arial"/>
          <w:spacing w:val="-2"/>
          <w:lang w:val="es-ES"/>
        </w:rPr>
      </w:pPr>
      <w:r w:rsidRPr="00993936">
        <w:rPr>
          <w:rFonts w:ascii="Arial" w:hAnsi="Arial" w:cs="Arial"/>
          <w:lang w:val="es-ES"/>
        </w:rPr>
        <w:t>17.3.1.1 M</w:t>
      </w:r>
      <w:r w:rsidRPr="00993936">
        <w:rPr>
          <w:rFonts w:ascii="Arial" w:hAnsi="Arial" w:cs="Arial"/>
          <w:spacing w:val="-2"/>
          <w:lang w:val="es-ES"/>
        </w:rPr>
        <w:t>antener en buen estado las superficies de trabajo y renovarlas cuando sea necesario.</w:t>
      </w:r>
    </w:p>
    <w:p w:rsidR="00503A41" w:rsidRPr="00993936" w:rsidRDefault="00503A41">
      <w:pPr>
        <w:jc w:val="both"/>
        <w:rPr>
          <w:rFonts w:ascii="Arial" w:hAnsi="Arial" w:cs="Arial"/>
          <w:spacing w:val="-2"/>
          <w:lang w:val="es-ES"/>
        </w:rPr>
      </w:pP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17.4 Carretillas de transporte de productos</w:t>
      </w:r>
    </w:p>
    <w:p w:rsidR="00503A41" w:rsidRPr="00993936" w:rsidRDefault="00503A41">
      <w:pPr>
        <w:jc w:val="both"/>
        <w:rPr>
          <w:rFonts w:ascii="Arial" w:hAnsi="Arial" w:cs="Arial"/>
          <w:i/>
          <w:spacing w:val="-2"/>
          <w:lang w:val="es-ES"/>
        </w:rPr>
      </w:pPr>
      <w:r w:rsidRPr="00993936">
        <w:rPr>
          <w:rFonts w:ascii="Arial" w:hAnsi="Arial" w:cs="Arial"/>
          <w:i/>
          <w:lang w:val="es-ES"/>
        </w:rPr>
        <w:t>17.4.1 Obligaciones</w:t>
      </w:r>
    </w:p>
    <w:p w:rsidR="00503A41" w:rsidRPr="00993936" w:rsidRDefault="00503A41">
      <w:pPr>
        <w:jc w:val="both"/>
        <w:rPr>
          <w:rFonts w:ascii="Arial" w:hAnsi="Arial" w:cs="Arial"/>
          <w:spacing w:val="-2"/>
          <w:lang w:val="es-ES"/>
        </w:rPr>
      </w:pPr>
      <w:r w:rsidRPr="00993936">
        <w:rPr>
          <w:rFonts w:ascii="Arial" w:hAnsi="Arial" w:cs="Arial"/>
          <w:lang w:val="es-ES"/>
        </w:rPr>
        <w:t>17.4.1.1 U</w:t>
      </w:r>
      <w:r w:rsidRPr="00993936">
        <w:rPr>
          <w:rFonts w:ascii="Arial" w:hAnsi="Arial" w:cs="Arial"/>
          <w:spacing w:val="-2"/>
          <w:lang w:val="es-ES"/>
        </w:rPr>
        <w:t>tilizar las carretillas</w:t>
      </w:r>
      <w:r w:rsidRPr="00993936">
        <w:rPr>
          <w:rFonts w:ascii="Arial" w:hAnsi="Arial" w:cs="Arial"/>
          <w:vanish/>
          <w:spacing w:val="-2"/>
          <w:lang w:val="es-ES"/>
        </w:rPr>
        <w:t>&lt;A[carretillas|carretones]&gt;</w:t>
      </w:r>
      <w:r w:rsidRPr="00993936">
        <w:rPr>
          <w:rFonts w:ascii="Arial" w:hAnsi="Arial" w:cs="Arial"/>
          <w:spacing w:val="-2"/>
          <w:lang w:val="es-ES"/>
        </w:rPr>
        <w:t xml:space="preserve"> elevadoras de gasoil exclusivamente fuera del almacén.</w:t>
      </w:r>
    </w:p>
    <w:p w:rsidR="00503A41" w:rsidRPr="00993936" w:rsidRDefault="00503A41">
      <w:pPr>
        <w:jc w:val="both"/>
        <w:rPr>
          <w:rFonts w:ascii="Arial" w:hAnsi="Arial" w:cs="Arial"/>
          <w:spacing w:val="-2"/>
          <w:lang w:val="es-ES"/>
        </w:rPr>
      </w:pP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17.5 Máquinas y utensilios</w:t>
      </w:r>
    </w:p>
    <w:p w:rsidR="00503A41" w:rsidRPr="00993936" w:rsidRDefault="00503A41">
      <w:pPr>
        <w:jc w:val="both"/>
        <w:rPr>
          <w:rFonts w:ascii="Arial" w:hAnsi="Arial" w:cs="Arial"/>
          <w:i/>
          <w:spacing w:val="-2"/>
          <w:lang w:val="es-ES"/>
        </w:rPr>
      </w:pPr>
      <w:r w:rsidRPr="00993936">
        <w:rPr>
          <w:rFonts w:ascii="Arial" w:hAnsi="Arial" w:cs="Arial"/>
          <w:i/>
          <w:lang w:val="es-ES"/>
        </w:rPr>
        <w:t>17.5.1 Obligaciones</w:t>
      </w:r>
    </w:p>
    <w:p w:rsidR="00503A41" w:rsidRPr="00993936" w:rsidRDefault="00503A41">
      <w:pPr>
        <w:jc w:val="both"/>
        <w:rPr>
          <w:rFonts w:ascii="Arial" w:hAnsi="Arial" w:cs="Arial"/>
          <w:spacing w:val="-2"/>
          <w:lang w:val="es-ES"/>
        </w:rPr>
      </w:pPr>
      <w:r w:rsidRPr="00993936">
        <w:rPr>
          <w:rFonts w:ascii="Arial" w:hAnsi="Arial" w:cs="Arial"/>
          <w:lang w:val="es-ES"/>
        </w:rPr>
        <w:t>17.5.1.1  U</w:t>
      </w:r>
      <w:r w:rsidRPr="00993936">
        <w:rPr>
          <w:rFonts w:ascii="Arial" w:hAnsi="Arial" w:cs="Arial"/>
          <w:spacing w:val="-2"/>
          <w:lang w:val="es-ES"/>
        </w:rPr>
        <w:t>tilizar máquinas y utensilios en buen estado, que sean seguros y con los medios de protección adecuados (protectores, dispositivos de seguridad, etc.). Estas deberán estar almacenadas en un lugar</w:t>
      </w:r>
      <w:r w:rsidRPr="00993936">
        <w:rPr>
          <w:rFonts w:ascii="Arial" w:hAnsi="Arial" w:cs="Arial"/>
          <w:vanish/>
          <w:spacing w:val="-2"/>
          <w:lang w:val="es-ES"/>
        </w:rPr>
        <w:t>&lt;A[lugar|sitio]&gt;</w:t>
      </w:r>
      <w:r w:rsidRPr="00993936">
        <w:rPr>
          <w:rFonts w:ascii="Arial" w:hAnsi="Arial" w:cs="Arial"/>
          <w:spacing w:val="-2"/>
          <w:lang w:val="es-ES"/>
        </w:rPr>
        <w:t xml:space="preserve"> adecuado.</w:t>
      </w:r>
    </w:p>
    <w:p w:rsidR="00503A41" w:rsidRPr="00993936" w:rsidRDefault="00503A41">
      <w:pPr>
        <w:pStyle w:val="Ttulo1"/>
        <w:rPr>
          <w:rFonts w:ascii="Arial" w:hAnsi="Arial" w:cs="Arial"/>
          <w:b/>
          <w:color w:val="auto"/>
          <w:spacing w:val="-2"/>
          <w:sz w:val="22"/>
          <w:szCs w:val="22"/>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18</w:t>
      </w:r>
    </w:p>
    <w:p w:rsidR="00503A41" w:rsidRPr="00993936" w:rsidRDefault="00503A41">
      <w:pPr>
        <w:pStyle w:val="Ttulo1"/>
        <w:rPr>
          <w:rFonts w:ascii="Arial" w:hAnsi="Arial" w:cs="Arial"/>
          <w:b/>
          <w:color w:val="auto"/>
          <w:sz w:val="22"/>
          <w:szCs w:val="22"/>
        </w:rPr>
      </w:pPr>
      <w:r w:rsidRPr="00993936">
        <w:rPr>
          <w:rFonts w:ascii="Arial" w:hAnsi="Arial" w:cs="Arial"/>
          <w:b/>
          <w:color w:val="auto"/>
          <w:sz w:val="22"/>
          <w:szCs w:val="22"/>
        </w:rPr>
        <w:t>Personal</w:t>
      </w:r>
    </w:p>
    <w:p w:rsidR="00503A41" w:rsidRPr="00993936" w:rsidRDefault="00503A41" w:rsidP="0009331F">
      <w:pPr>
        <w:rPr>
          <w:rFonts w:ascii="Arial" w:hAnsi="Arial" w:cs="Arial"/>
          <w:sz w:val="20"/>
          <w:szCs w:val="20"/>
          <w:lang w:val="es-ES"/>
        </w:rPr>
      </w:pP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r w:rsidRPr="00993936">
        <w:rPr>
          <w:rFonts w:ascii="Arial" w:hAnsi="Arial" w:cs="Arial"/>
          <w:b w:val="0"/>
          <w:spacing w:val="-2"/>
          <w:sz w:val="22"/>
          <w:szCs w:val="22"/>
          <w:lang w:val="es-ES"/>
        </w:rPr>
        <w:t>18.1 Formación</w:t>
      </w: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p>
    <w:p w:rsidR="00503A41" w:rsidRPr="00993936" w:rsidRDefault="00503A41" w:rsidP="001D205D">
      <w:pPr>
        <w:jc w:val="both"/>
        <w:rPr>
          <w:rFonts w:ascii="Arial" w:hAnsi="Arial" w:cs="Arial"/>
          <w:i/>
          <w:spacing w:val="-2"/>
          <w:lang w:val="es-ES"/>
        </w:rPr>
      </w:pPr>
      <w:r w:rsidRPr="00993936">
        <w:rPr>
          <w:rFonts w:ascii="Arial" w:hAnsi="Arial" w:cs="Arial"/>
          <w:i/>
          <w:lang w:val="es-ES"/>
        </w:rPr>
        <w:t>18.1.1  Obligaciones</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18.1.1.1 Dar instrucciones a los trabajadores y a las trabajadoras para que, en caso de sufrir enfermedades de transmisión alimentaria, o estar afectados, entre otras patologías, por heridas infectadas, infecciones cutáneas o diarreas, tengan que informar a la dirección.</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18.1.1.2 Documentar los procedimientos de actuación en caso de accidentes o de emergencia de forma que sean comprensibles para las personas afectadas.</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18.1.1.3  Disponer de botiquines de primeros auxilios accesibles para los trabajadores.</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18.1.1.4  Fomentar la formación del personal del almacén en materia de buenas prácticas de higiene y seguridad alimentaria, y conservar un registro de las actividades formativas que ha impartido la persona operadora o una entidad externa autorizada.</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18.1.1.5  Elaborar instrucciones para los trabajadores en las cuales se consideren los aspectos higiénicos que se deben respetar en cada puesto de trabajo, de acuerdo con las características de la explotación.</w:t>
      </w:r>
    </w:p>
    <w:p w:rsidR="00503A41" w:rsidRPr="00993936" w:rsidRDefault="00503A41" w:rsidP="001D205D">
      <w:pPr>
        <w:pStyle w:val="Sangradetextonormal"/>
        <w:ind w:left="0"/>
        <w:jc w:val="both"/>
        <w:rPr>
          <w:rFonts w:cs="Arial"/>
          <w:szCs w:val="22"/>
          <w:lang w:val="es-ES"/>
        </w:rPr>
      </w:pPr>
      <w:r w:rsidRPr="00993936">
        <w:rPr>
          <w:rFonts w:cs="Arial"/>
          <w:szCs w:val="22"/>
          <w:lang w:val="es-ES"/>
        </w:rPr>
        <w:lastRenderedPageBreak/>
        <w:t>18.1.1.6 Disponer de un Plan</w:t>
      </w:r>
      <w:r w:rsidRPr="00993936">
        <w:rPr>
          <w:rFonts w:cs="Arial"/>
          <w:vanish/>
          <w:szCs w:val="22"/>
          <w:lang w:val="es-ES"/>
        </w:rPr>
        <w:t>&lt;A[Plan|Plano]&gt;</w:t>
      </w:r>
      <w:r w:rsidRPr="00993936">
        <w:rPr>
          <w:rFonts w:cs="Arial"/>
          <w:szCs w:val="22"/>
          <w:lang w:val="es-ES"/>
        </w:rPr>
        <w:t xml:space="preserve"> de prevención de riesgos laborales y un Plan</w:t>
      </w:r>
      <w:r w:rsidRPr="00993936">
        <w:rPr>
          <w:rFonts w:cs="Arial"/>
          <w:vanish/>
          <w:szCs w:val="22"/>
          <w:lang w:val="es-ES"/>
        </w:rPr>
        <w:t>&lt;A[Plan|Plano]&gt;</w:t>
      </w:r>
      <w:r w:rsidRPr="00993936">
        <w:rPr>
          <w:rFonts w:cs="Arial"/>
          <w:szCs w:val="22"/>
          <w:lang w:val="es-ES"/>
        </w:rPr>
        <w:t xml:space="preserve"> de APPCC (Análisis de Peligros y Puntos Críticos de Control) implantado y aprobado, si procede</w:t>
      </w:r>
      <w:r w:rsidRPr="00993936">
        <w:rPr>
          <w:rFonts w:cs="Arial"/>
          <w:vanish/>
          <w:szCs w:val="22"/>
          <w:lang w:val="es-ES"/>
        </w:rPr>
        <w:t>&lt;A[pega|ocurre]&gt;</w:t>
      </w:r>
      <w:r w:rsidRPr="00993936">
        <w:rPr>
          <w:rFonts w:cs="Arial"/>
          <w:szCs w:val="22"/>
          <w:lang w:val="es-ES"/>
        </w:rPr>
        <w:t xml:space="preserve">, por la autoridad competente. </w:t>
      </w:r>
    </w:p>
    <w:p w:rsidR="00503A41" w:rsidRPr="00993936" w:rsidRDefault="00503A41" w:rsidP="001D205D">
      <w:pPr>
        <w:jc w:val="both"/>
        <w:rPr>
          <w:rFonts w:ascii="Arial" w:hAnsi="Arial" w:cs="Arial"/>
          <w:spacing w:val="-2"/>
          <w:lang w:val="es-ES"/>
        </w:rPr>
      </w:pPr>
      <w:r w:rsidRPr="00993936">
        <w:rPr>
          <w:rFonts w:ascii="Arial" w:hAnsi="Arial" w:cs="Arial"/>
          <w:spacing w:val="-2"/>
          <w:lang w:val="es-ES"/>
        </w:rPr>
        <w:t>18.1.1.7 El responsable del proceso de elaboración y o transformación de los productos tendrá que estar formado en el proceso de Producción Integrada de elaboración de frutos secos.</w:t>
      </w:r>
    </w:p>
    <w:p w:rsidR="00503A41" w:rsidRPr="00993936" w:rsidRDefault="00503A41" w:rsidP="001D205D">
      <w:pPr>
        <w:jc w:val="both"/>
        <w:rPr>
          <w:rFonts w:ascii="Arial" w:hAnsi="Arial" w:cs="Arial"/>
          <w:lang w:val="es-ES"/>
        </w:rPr>
      </w:pPr>
      <w:r w:rsidRPr="00993936">
        <w:rPr>
          <w:rFonts w:ascii="Arial" w:hAnsi="Arial" w:cs="Arial"/>
          <w:spacing w:val="-2"/>
          <w:lang w:val="es-ES"/>
        </w:rPr>
        <w:t xml:space="preserve">18.1.1.8 </w:t>
      </w:r>
      <w:r w:rsidRPr="00993936">
        <w:rPr>
          <w:rFonts w:ascii="Arial" w:hAnsi="Arial" w:cs="Arial"/>
          <w:lang w:val="es-ES"/>
        </w:rPr>
        <w:t>La empresa tendrá que fomentar la formación y proporcionar la que sea necesaria al personal implicado en la aplicación de esta norma y el resto de partes afectadas por su actividad. Además, todos los agentes que participen en producción integrada deben tener una formación específica al respecto.</w:t>
      </w:r>
    </w:p>
    <w:p w:rsidR="00503A41" w:rsidRPr="00993936" w:rsidRDefault="00503A41" w:rsidP="001D205D">
      <w:pPr>
        <w:pStyle w:val="Sangradetextonormal"/>
        <w:ind w:left="0"/>
        <w:jc w:val="both"/>
        <w:rPr>
          <w:rFonts w:cs="Arial"/>
          <w:szCs w:val="22"/>
          <w:lang w:val="es-ES"/>
        </w:rPr>
      </w:pPr>
      <w:r w:rsidRPr="00993936">
        <w:rPr>
          <w:rFonts w:cs="Arial"/>
          <w:szCs w:val="22"/>
          <w:lang w:val="es-ES"/>
        </w:rPr>
        <w:t>18.1.1.9 La empresa tiene que asegurar la formación del personal de la central hortofrutícola en materia de buenas prácticas de higiene y manipulación, conservando un registro de los cursos impartidos.</w:t>
      </w:r>
    </w:p>
    <w:p w:rsidR="00503A41" w:rsidRPr="00993936" w:rsidRDefault="00503A41" w:rsidP="001D205D">
      <w:pPr>
        <w:jc w:val="both"/>
        <w:rPr>
          <w:rFonts w:ascii="Arial" w:hAnsi="Arial" w:cs="Arial"/>
          <w:lang w:val="es-ES"/>
        </w:rPr>
      </w:pPr>
      <w:r w:rsidRPr="00993936">
        <w:rPr>
          <w:rFonts w:ascii="Arial" w:hAnsi="Arial" w:cs="Arial"/>
          <w:spacing w:val="-2"/>
          <w:lang w:val="es-ES"/>
        </w:rPr>
        <w:t xml:space="preserve">18.1.1.10 </w:t>
      </w:r>
      <w:r w:rsidRPr="00993936">
        <w:rPr>
          <w:rFonts w:ascii="Arial" w:hAnsi="Arial" w:cs="Arial"/>
          <w:lang w:val="es-ES"/>
        </w:rPr>
        <w:t>El personal técnico competente que participe en producción integrada tiene que tener una formación universitaria de acuerdo con lo que establece el artículo 11.1 del Decreto 241/2002 y acreditar una formación específica en producción integrada de acuerdo con lo que establece el artículo 24.1 del mencionado Decreto. Esta formación, en Cataluña, se regula por</w:t>
      </w:r>
      <w:r w:rsidRPr="00993936">
        <w:rPr>
          <w:rFonts w:ascii="Arial" w:hAnsi="Arial" w:cs="Arial"/>
          <w:vanish/>
          <w:lang w:val="es-ES"/>
        </w:rPr>
        <w:t>&lt;A[por|para]&gt;</w:t>
      </w:r>
      <w:r w:rsidRPr="00993936">
        <w:rPr>
          <w:rFonts w:ascii="Arial" w:hAnsi="Arial" w:cs="Arial"/>
          <w:lang w:val="es-ES"/>
        </w:rPr>
        <w:t xml:space="preserve">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la cual se establecen y se regulan los cursos de formación en producción integrada.</w:t>
      </w:r>
    </w:p>
    <w:p w:rsidR="00503A41" w:rsidRPr="00993936" w:rsidRDefault="00503A41" w:rsidP="001D205D">
      <w:pPr>
        <w:jc w:val="both"/>
        <w:rPr>
          <w:rFonts w:ascii="Arial" w:hAnsi="Arial" w:cs="Arial"/>
          <w:lang w:val="es-ES"/>
        </w:rPr>
      </w:pPr>
      <w:r w:rsidRPr="00993936">
        <w:rPr>
          <w:rFonts w:ascii="Arial" w:hAnsi="Arial" w:cs="Arial"/>
          <w:spacing w:val="-2"/>
          <w:lang w:val="es-ES"/>
        </w:rPr>
        <w:t xml:space="preserve">18.1.1.11 </w:t>
      </w:r>
      <w:r w:rsidRPr="00993936">
        <w:rPr>
          <w:rFonts w:ascii="Arial" w:hAnsi="Arial" w:cs="Arial"/>
          <w:lang w:val="es-ES"/>
        </w:rPr>
        <w:t>Todos los operadores de producción integrada (productores y/o elaboradores) deben tener una formación específica en producción integrada, para</w:t>
      </w:r>
      <w:r w:rsidRPr="00993936">
        <w:rPr>
          <w:rFonts w:ascii="Arial" w:hAnsi="Arial" w:cs="Arial"/>
          <w:vanish/>
          <w:lang w:val="es-ES"/>
        </w:rPr>
        <w:t>&lt;A[por|para]&gt;</w:t>
      </w:r>
      <w:r w:rsidRPr="00993936">
        <w:rPr>
          <w:rFonts w:ascii="Arial" w:hAnsi="Arial" w:cs="Arial"/>
          <w:lang w:val="es-ES"/>
        </w:rPr>
        <w:t xml:space="preserve"> lo cual deben acreditar la realización de un curso de producción integrada impartido por la Administración Pública o por alguna entidad reconocida, de acuerdo con lo que establecen el Decreto 241/2002 y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los cuales se establecen y se regulan los cursos de formación en producción integrada.</w:t>
      </w:r>
    </w:p>
    <w:p w:rsidR="00503A41" w:rsidRPr="00993936" w:rsidRDefault="00503A41">
      <w:pPr>
        <w:jc w:val="both"/>
        <w:rPr>
          <w:rFonts w:ascii="Arial" w:hAnsi="Arial" w:cs="Arial"/>
          <w:i/>
          <w:spacing w:val="-2"/>
          <w:lang w:val="es-ES"/>
        </w:rPr>
      </w:pPr>
      <w:r w:rsidRPr="00993936">
        <w:rPr>
          <w:rFonts w:ascii="Arial" w:hAnsi="Arial" w:cs="Arial"/>
          <w:i/>
          <w:lang w:val="es-ES"/>
        </w:rPr>
        <w:t>18.1.2  Recomendaciones</w:t>
      </w:r>
    </w:p>
    <w:p w:rsidR="00503A41" w:rsidRPr="00993936" w:rsidRDefault="00503A41">
      <w:pPr>
        <w:jc w:val="both"/>
        <w:rPr>
          <w:rFonts w:ascii="Arial" w:hAnsi="Arial" w:cs="Arial"/>
          <w:lang w:val="es-ES"/>
        </w:rPr>
      </w:pPr>
      <w:r w:rsidRPr="00993936">
        <w:rPr>
          <w:rFonts w:ascii="Arial" w:hAnsi="Arial" w:cs="Arial"/>
          <w:spacing w:val="-2"/>
          <w:lang w:val="es-ES"/>
        </w:rPr>
        <w:t xml:space="preserve">18.1.2.1 </w:t>
      </w:r>
      <w:r w:rsidRPr="00993936">
        <w:rPr>
          <w:rFonts w:ascii="Arial" w:hAnsi="Arial" w:cs="Arial"/>
          <w:lang w:val="es-ES"/>
        </w:rPr>
        <w:t>Asegurar la formación del responsable técnico y de calidad de elaboración de productos.</w:t>
      </w:r>
    </w:p>
    <w:p w:rsidR="00503A41" w:rsidRPr="00993936" w:rsidRDefault="00503A41">
      <w:pPr>
        <w:jc w:val="both"/>
        <w:rPr>
          <w:rFonts w:ascii="Arial" w:hAnsi="Arial" w:cs="Arial"/>
          <w:spacing w:val="-2"/>
          <w:lang w:val="es-ES"/>
        </w:rPr>
      </w:pP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r w:rsidRPr="00993936">
        <w:rPr>
          <w:rFonts w:ascii="Arial" w:hAnsi="Arial" w:cs="Arial"/>
          <w:b w:val="0"/>
          <w:spacing w:val="-2"/>
          <w:sz w:val="22"/>
          <w:szCs w:val="22"/>
          <w:lang w:val="es-ES"/>
        </w:rPr>
        <w:t xml:space="preserve">18.2 Buenas prácticas de higiene y manipulación </w:t>
      </w:r>
    </w:p>
    <w:p w:rsidR="00503A41" w:rsidRPr="00993936" w:rsidRDefault="00503A41">
      <w:pPr>
        <w:pStyle w:val="titulo2"/>
        <w:widowControl/>
        <w:tabs>
          <w:tab w:val="clear" w:pos="1134"/>
        </w:tabs>
        <w:spacing w:before="0" w:after="0" w:line="240" w:lineRule="auto"/>
        <w:rPr>
          <w:rFonts w:ascii="Arial" w:hAnsi="Arial" w:cs="Arial"/>
          <w:b w:val="0"/>
          <w:i/>
          <w:spacing w:val="-2"/>
          <w:sz w:val="22"/>
          <w:szCs w:val="22"/>
          <w:lang w:val="es-ES"/>
        </w:rPr>
      </w:pPr>
      <w:r w:rsidRPr="00993936">
        <w:rPr>
          <w:rFonts w:ascii="Arial" w:hAnsi="Arial" w:cs="Arial"/>
          <w:b w:val="0"/>
          <w:i/>
          <w:sz w:val="22"/>
          <w:szCs w:val="22"/>
          <w:lang w:val="es-ES"/>
        </w:rPr>
        <w:t>18.2.1  Obligaciones</w:t>
      </w:r>
    </w:p>
    <w:p w:rsidR="00503A41" w:rsidRPr="00993936" w:rsidRDefault="00503A41">
      <w:pPr>
        <w:pStyle w:val="Textoindependiente3"/>
        <w:rPr>
          <w:rFonts w:cs="Arial"/>
          <w:b w:val="0"/>
          <w:szCs w:val="22"/>
          <w:lang w:val="es-ES"/>
        </w:rPr>
      </w:pPr>
      <w:r w:rsidRPr="00993936">
        <w:rPr>
          <w:rFonts w:cs="Arial"/>
          <w:b w:val="0"/>
          <w:szCs w:val="22"/>
          <w:lang w:val="es-ES"/>
        </w:rPr>
        <w:t>18.2.1.1 La empresa deberá disponer de una guía de prácticas correctas de higiene y manipulación que recogerá como mínimo los requisitos siguientes:</w:t>
      </w:r>
    </w:p>
    <w:p w:rsidR="00503A41" w:rsidRPr="00993936" w:rsidRDefault="00503A41" w:rsidP="009D1A2D">
      <w:pPr>
        <w:pStyle w:val="Textoindependiente3"/>
        <w:numPr>
          <w:ilvl w:val="0"/>
          <w:numId w:val="117"/>
        </w:numPr>
        <w:tabs>
          <w:tab w:val="clear" w:pos="360"/>
          <w:tab w:val="left" w:pos="0"/>
          <w:tab w:val="num" w:pos="720"/>
          <w:tab w:val="left" w:pos="6684"/>
        </w:tabs>
        <w:ind w:left="720"/>
        <w:rPr>
          <w:rFonts w:cs="Arial"/>
          <w:b w:val="0"/>
          <w:szCs w:val="22"/>
          <w:lang w:val="es-ES"/>
        </w:rPr>
      </w:pPr>
      <w:r w:rsidRPr="00993936">
        <w:rPr>
          <w:rFonts w:cs="Arial"/>
          <w:b w:val="0"/>
          <w:szCs w:val="22"/>
          <w:lang w:val="es-ES"/>
        </w:rPr>
        <w:t>Los manipuladores deberán mantener un grado elevado de limpieza personal.</w:t>
      </w:r>
    </w:p>
    <w:p w:rsidR="00503A41" w:rsidRPr="00993936" w:rsidRDefault="00503A41" w:rsidP="009D1A2D">
      <w:pPr>
        <w:pStyle w:val="Sangradetextonormal"/>
        <w:numPr>
          <w:ilvl w:val="0"/>
          <w:numId w:val="117"/>
        </w:numPr>
        <w:tabs>
          <w:tab w:val="clear" w:pos="360"/>
          <w:tab w:val="num" w:pos="720"/>
        </w:tabs>
        <w:ind w:left="720"/>
        <w:jc w:val="both"/>
        <w:rPr>
          <w:rFonts w:cs="Arial"/>
          <w:szCs w:val="22"/>
          <w:lang w:val="es-ES"/>
        </w:rPr>
      </w:pPr>
      <w:r w:rsidRPr="00993936">
        <w:rPr>
          <w:rFonts w:cs="Arial"/>
          <w:szCs w:val="22"/>
          <w:lang w:val="es-ES"/>
        </w:rPr>
        <w:t>Las personas afectadas por enfermedades infecciosas no deberán trabajar en las dependencias donde se manipulen los productos.</w:t>
      </w:r>
    </w:p>
    <w:p w:rsidR="00503A41" w:rsidRPr="00993936" w:rsidRDefault="00503A41" w:rsidP="009D1A2D">
      <w:pPr>
        <w:numPr>
          <w:ilvl w:val="0"/>
          <w:numId w:val="117"/>
        </w:numPr>
        <w:tabs>
          <w:tab w:val="clear" w:pos="360"/>
          <w:tab w:val="num" w:pos="720"/>
        </w:tabs>
        <w:spacing w:after="0" w:line="240" w:lineRule="auto"/>
        <w:ind w:left="720"/>
        <w:jc w:val="both"/>
        <w:rPr>
          <w:rFonts w:ascii="Arial" w:hAnsi="Arial" w:cs="Arial"/>
          <w:spacing w:val="-2"/>
          <w:lang w:val="es-ES"/>
        </w:rPr>
      </w:pPr>
      <w:r w:rsidRPr="00993936">
        <w:rPr>
          <w:rFonts w:ascii="Arial" w:hAnsi="Arial" w:cs="Arial"/>
          <w:spacing w:val="-2"/>
          <w:lang w:val="es-ES"/>
        </w:rPr>
        <w:t>Los cortes</w:t>
      </w:r>
      <w:r w:rsidRPr="00993936">
        <w:rPr>
          <w:rFonts w:ascii="Arial" w:hAnsi="Arial" w:cs="Arial"/>
          <w:vanish/>
          <w:spacing w:val="-2"/>
          <w:lang w:val="es-ES"/>
        </w:rPr>
        <w:t>&lt;A[cortes|trozos]&gt;</w:t>
      </w:r>
      <w:r w:rsidRPr="00993936">
        <w:rPr>
          <w:rFonts w:ascii="Arial" w:hAnsi="Arial" w:cs="Arial"/>
          <w:spacing w:val="-2"/>
          <w:lang w:val="es-ES"/>
        </w:rPr>
        <w:t xml:space="preserve"> y las heridas de los manipuladores que no impiden continuar el trabajo tendrán que cubrirse con vendajes impermeables.</w:t>
      </w:r>
    </w:p>
    <w:p w:rsidR="00503A41" w:rsidRPr="00993936" w:rsidRDefault="00503A41" w:rsidP="009D1A2D">
      <w:pPr>
        <w:numPr>
          <w:ilvl w:val="0"/>
          <w:numId w:val="117"/>
        </w:numPr>
        <w:tabs>
          <w:tab w:val="clear" w:pos="360"/>
          <w:tab w:val="num" w:pos="720"/>
        </w:tabs>
        <w:spacing w:after="0" w:line="240" w:lineRule="auto"/>
        <w:ind w:left="720"/>
        <w:jc w:val="both"/>
        <w:rPr>
          <w:rFonts w:ascii="Arial" w:hAnsi="Arial" w:cs="Arial"/>
          <w:spacing w:val="-2"/>
          <w:lang w:val="es-ES"/>
        </w:rPr>
      </w:pPr>
      <w:r w:rsidRPr="00993936">
        <w:rPr>
          <w:rFonts w:ascii="Arial" w:hAnsi="Arial" w:cs="Arial"/>
          <w:spacing w:val="-2"/>
          <w:lang w:val="es-ES"/>
        </w:rPr>
        <w:t>Todo el personal tendrá que lavarse las manos antes de volver al trabajo después de cualquier ausencia del puesto de trabajo.</w:t>
      </w:r>
    </w:p>
    <w:p w:rsidR="00503A41" w:rsidRPr="00993936" w:rsidRDefault="00503A41" w:rsidP="009D1A2D">
      <w:pPr>
        <w:numPr>
          <w:ilvl w:val="0"/>
          <w:numId w:val="117"/>
        </w:numPr>
        <w:tabs>
          <w:tab w:val="clear" w:pos="360"/>
          <w:tab w:val="num" w:pos="720"/>
        </w:tabs>
        <w:spacing w:after="0" w:line="240" w:lineRule="auto"/>
        <w:ind w:left="720"/>
        <w:jc w:val="both"/>
        <w:rPr>
          <w:rFonts w:ascii="Arial" w:hAnsi="Arial" w:cs="Arial"/>
          <w:spacing w:val="-2"/>
          <w:lang w:val="es-ES"/>
        </w:rPr>
      </w:pPr>
      <w:r w:rsidRPr="00993936">
        <w:rPr>
          <w:rFonts w:ascii="Arial" w:hAnsi="Arial" w:cs="Arial"/>
          <w:spacing w:val="-2"/>
          <w:lang w:val="es-ES"/>
        </w:rPr>
        <w:t>Si los manipuladores utilizan guantes, estos se mantendrán en perfectas condiciones de higiene en el punto de trabajo y se renovarán cada vez que sea necesario.</w:t>
      </w:r>
    </w:p>
    <w:p w:rsidR="00503A41" w:rsidRPr="00993936" w:rsidRDefault="00503A41" w:rsidP="009D1A2D">
      <w:pPr>
        <w:numPr>
          <w:ilvl w:val="0"/>
          <w:numId w:val="117"/>
        </w:numPr>
        <w:tabs>
          <w:tab w:val="clear" w:pos="360"/>
          <w:tab w:val="num" w:pos="720"/>
        </w:tabs>
        <w:spacing w:after="0" w:line="240" w:lineRule="auto"/>
        <w:ind w:left="720"/>
        <w:jc w:val="both"/>
        <w:rPr>
          <w:rFonts w:ascii="Arial" w:hAnsi="Arial" w:cs="Arial"/>
          <w:spacing w:val="-2"/>
          <w:lang w:val="es-ES"/>
        </w:rPr>
      </w:pPr>
      <w:r w:rsidRPr="00993936">
        <w:rPr>
          <w:rFonts w:ascii="Arial" w:hAnsi="Arial" w:cs="Arial"/>
          <w:spacing w:val="-2"/>
          <w:lang w:val="es-ES"/>
        </w:rPr>
        <w:t>El cabello</w:t>
      </w:r>
      <w:r w:rsidRPr="00993936">
        <w:rPr>
          <w:rFonts w:ascii="Arial" w:hAnsi="Arial" w:cs="Arial"/>
          <w:vanish/>
          <w:spacing w:val="-2"/>
          <w:lang w:val="es-ES"/>
        </w:rPr>
        <w:t>&lt;A[cabello|pelo]&gt;</w:t>
      </w:r>
      <w:r w:rsidRPr="00993936">
        <w:rPr>
          <w:rFonts w:ascii="Arial" w:hAnsi="Arial" w:cs="Arial"/>
          <w:spacing w:val="-2"/>
          <w:lang w:val="es-ES"/>
        </w:rPr>
        <w:t xml:space="preserve"> y la barba de los manipuladores tendrá que recogerse y cubrirse adecuadamente para conseguir una protección efectiva.</w:t>
      </w:r>
    </w:p>
    <w:p w:rsidR="00503A41" w:rsidRPr="00993936" w:rsidRDefault="00503A41" w:rsidP="009D1A2D">
      <w:pPr>
        <w:numPr>
          <w:ilvl w:val="0"/>
          <w:numId w:val="117"/>
        </w:numPr>
        <w:tabs>
          <w:tab w:val="clear" w:pos="360"/>
          <w:tab w:val="num" w:pos="720"/>
        </w:tabs>
        <w:spacing w:after="0" w:line="240" w:lineRule="auto"/>
        <w:ind w:left="720"/>
        <w:jc w:val="both"/>
        <w:rPr>
          <w:rFonts w:ascii="Arial" w:hAnsi="Arial" w:cs="Arial"/>
          <w:spacing w:val="-2"/>
          <w:lang w:val="es-ES"/>
        </w:rPr>
      </w:pPr>
      <w:r w:rsidRPr="00993936">
        <w:rPr>
          <w:rFonts w:ascii="Arial" w:hAnsi="Arial" w:cs="Arial"/>
          <w:spacing w:val="-2"/>
          <w:lang w:val="es-ES"/>
        </w:rPr>
        <w:lastRenderedPageBreak/>
        <w:t>El personal tendrá que vestir ropa de trabajo adecuada y limpia</w:t>
      </w:r>
      <w:r w:rsidRPr="00993936">
        <w:rPr>
          <w:rFonts w:ascii="Arial" w:hAnsi="Arial" w:cs="Arial"/>
          <w:vanish/>
          <w:spacing w:val="-2"/>
          <w:lang w:val="es-ES"/>
        </w:rPr>
        <w:t>&lt;A[limpia|neta]&gt;</w:t>
      </w:r>
      <w:r w:rsidRPr="00993936">
        <w:rPr>
          <w:rFonts w:ascii="Arial" w:hAnsi="Arial" w:cs="Arial"/>
          <w:spacing w:val="-2"/>
          <w:lang w:val="es-ES"/>
        </w:rPr>
        <w:t>. Los visitantes de las zonas de manipulación y envasado deberán llevar ropa protectora y cumplir las mismas disposiciones de higiene personal.</w:t>
      </w:r>
    </w:p>
    <w:p w:rsidR="00503A41" w:rsidRPr="00993936" w:rsidRDefault="00503A41">
      <w:pPr>
        <w:jc w:val="both"/>
        <w:rPr>
          <w:rFonts w:ascii="Arial" w:hAnsi="Arial" w:cs="Arial"/>
          <w:i/>
          <w:spacing w:val="-2"/>
          <w:lang w:val="es-ES"/>
        </w:rPr>
      </w:pPr>
      <w:r w:rsidRPr="00993936">
        <w:rPr>
          <w:rFonts w:ascii="Arial" w:hAnsi="Arial" w:cs="Arial"/>
          <w:i/>
          <w:spacing w:val="-2"/>
          <w:lang w:val="es-ES"/>
        </w:rPr>
        <w:t>18.2.1.2 Prohibiciones</w:t>
      </w:r>
    </w:p>
    <w:p w:rsidR="00503A41" w:rsidRPr="00993936" w:rsidRDefault="00503A41" w:rsidP="009D1A2D">
      <w:pPr>
        <w:numPr>
          <w:ilvl w:val="0"/>
          <w:numId w:val="118"/>
        </w:numPr>
        <w:spacing w:after="0" w:line="240" w:lineRule="auto"/>
        <w:jc w:val="both"/>
        <w:rPr>
          <w:rFonts w:ascii="Arial" w:hAnsi="Arial" w:cs="Arial"/>
          <w:spacing w:val="-2"/>
          <w:lang w:val="es-ES"/>
        </w:rPr>
      </w:pPr>
      <w:r w:rsidRPr="00993936">
        <w:rPr>
          <w:rFonts w:ascii="Arial" w:hAnsi="Arial" w:cs="Arial"/>
          <w:spacing w:val="-2"/>
          <w:lang w:val="es-ES"/>
        </w:rPr>
        <w:t>Para los manipuladores salir del recinto de trabajo con las prendas del trabajo o con el traje del trabajo.</w:t>
      </w:r>
    </w:p>
    <w:p w:rsidR="00503A41" w:rsidRPr="00993936" w:rsidRDefault="00503A41" w:rsidP="009D1A2D">
      <w:pPr>
        <w:pStyle w:val="Sangradetextonormal"/>
        <w:numPr>
          <w:ilvl w:val="0"/>
          <w:numId w:val="118"/>
        </w:numPr>
        <w:jc w:val="both"/>
        <w:rPr>
          <w:rFonts w:cs="Arial"/>
          <w:szCs w:val="22"/>
          <w:lang w:val="es-ES"/>
        </w:rPr>
      </w:pPr>
      <w:r w:rsidRPr="00993936">
        <w:rPr>
          <w:rFonts w:cs="Arial"/>
          <w:szCs w:val="22"/>
          <w:lang w:val="es-ES"/>
        </w:rPr>
        <w:t>Llevar efectos personales que puedan desprenderse.</w:t>
      </w:r>
    </w:p>
    <w:p w:rsidR="00503A41" w:rsidRPr="00993936" w:rsidRDefault="00503A41" w:rsidP="009D1A2D">
      <w:pPr>
        <w:numPr>
          <w:ilvl w:val="0"/>
          <w:numId w:val="118"/>
        </w:numPr>
        <w:spacing w:after="0" w:line="240" w:lineRule="auto"/>
        <w:jc w:val="both"/>
        <w:rPr>
          <w:rFonts w:ascii="Arial" w:hAnsi="Arial" w:cs="Arial"/>
          <w:spacing w:val="-2"/>
          <w:lang w:val="es-ES"/>
        </w:rPr>
      </w:pPr>
      <w:r w:rsidRPr="00993936">
        <w:rPr>
          <w:rFonts w:ascii="Arial" w:hAnsi="Arial" w:cs="Arial"/>
          <w:spacing w:val="-2"/>
          <w:lang w:val="es-ES"/>
        </w:rPr>
        <w:t>En las zonas de trabajo para los manipuladores:</w:t>
      </w:r>
    </w:p>
    <w:p w:rsidR="00503A41" w:rsidRPr="00993936" w:rsidRDefault="00503A41" w:rsidP="009D1A2D">
      <w:pPr>
        <w:numPr>
          <w:ilvl w:val="0"/>
          <w:numId w:val="119"/>
        </w:numPr>
        <w:spacing w:after="0" w:line="240" w:lineRule="auto"/>
        <w:jc w:val="both"/>
        <w:rPr>
          <w:rFonts w:ascii="Arial" w:hAnsi="Arial" w:cs="Arial"/>
          <w:spacing w:val="-2"/>
          <w:lang w:val="es-ES"/>
        </w:rPr>
      </w:pPr>
      <w:r w:rsidRPr="00993936">
        <w:rPr>
          <w:rFonts w:ascii="Arial" w:hAnsi="Arial" w:cs="Arial"/>
          <w:spacing w:val="-2"/>
          <w:lang w:val="es-ES"/>
        </w:rPr>
        <w:t>comer, beber, masticar chiclés.</w:t>
      </w:r>
    </w:p>
    <w:p w:rsidR="00503A41" w:rsidRPr="00993936" w:rsidRDefault="00503A41" w:rsidP="009D1A2D">
      <w:pPr>
        <w:numPr>
          <w:ilvl w:val="0"/>
          <w:numId w:val="119"/>
        </w:numPr>
        <w:spacing w:after="0" w:line="240" w:lineRule="auto"/>
        <w:jc w:val="both"/>
        <w:rPr>
          <w:rFonts w:ascii="Arial" w:hAnsi="Arial" w:cs="Arial"/>
          <w:spacing w:val="-2"/>
          <w:lang w:val="es-ES"/>
        </w:rPr>
      </w:pPr>
      <w:r w:rsidRPr="00993936">
        <w:rPr>
          <w:rFonts w:ascii="Arial" w:hAnsi="Arial" w:cs="Arial"/>
          <w:spacing w:val="-2"/>
          <w:lang w:val="es-ES"/>
        </w:rPr>
        <w:t>llevar</w:t>
      </w:r>
      <w:r w:rsidRPr="00993936">
        <w:rPr>
          <w:rFonts w:ascii="Arial" w:hAnsi="Arial" w:cs="Arial"/>
          <w:vanish/>
          <w:spacing w:val="-2"/>
          <w:lang w:val="es-ES"/>
        </w:rPr>
        <w:t>&lt;A[llevar|traer]&gt;</w:t>
      </w:r>
      <w:r w:rsidRPr="00993936">
        <w:rPr>
          <w:rFonts w:ascii="Arial" w:hAnsi="Arial" w:cs="Arial"/>
          <w:spacing w:val="-2"/>
          <w:lang w:val="es-ES"/>
        </w:rPr>
        <w:t xml:space="preserve"> las uñas de las manos largas, esmaltadas o falsas.</w:t>
      </w:r>
    </w:p>
    <w:p w:rsidR="00503A41" w:rsidRPr="00993936" w:rsidRDefault="00503A41" w:rsidP="009D1A2D">
      <w:pPr>
        <w:pStyle w:val="Encabezado"/>
        <w:numPr>
          <w:ilvl w:val="0"/>
          <w:numId w:val="118"/>
        </w:numPr>
        <w:tabs>
          <w:tab w:val="clear" w:pos="4252"/>
          <w:tab w:val="clear" w:pos="8504"/>
        </w:tabs>
        <w:jc w:val="both"/>
        <w:rPr>
          <w:rFonts w:ascii="Arial" w:hAnsi="Arial" w:cs="Arial"/>
          <w:spacing w:val="-2"/>
          <w:lang w:val="es-ES"/>
        </w:rPr>
      </w:pPr>
      <w:r w:rsidRPr="00993936">
        <w:rPr>
          <w:rFonts w:ascii="Arial" w:hAnsi="Arial" w:cs="Arial"/>
          <w:spacing w:val="-2"/>
          <w:lang w:val="es-ES"/>
        </w:rPr>
        <w:t>Toser o estornudar sobre los alimentos.</w:t>
      </w:r>
    </w:p>
    <w:p w:rsidR="00503A41" w:rsidRPr="00993936" w:rsidRDefault="00503A41" w:rsidP="009D1A2D">
      <w:pPr>
        <w:numPr>
          <w:ilvl w:val="0"/>
          <w:numId w:val="118"/>
        </w:numPr>
        <w:spacing w:after="0" w:line="240" w:lineRule="auto"/>
        <w:jc w:val="both"/>
        <w:rPr>
          <w:rFonts w:ascii="Arial" w:hAnsi="Arial" w:cs="Arial"/>
          <w:spacing w:val="-2"/>
          <w:lang w:val="es-ES"/>
        </w:rPr>
      </w:pPr>
      <w:r w:rsidRPr="00993936">
        <w:rPr>
          <w:rFonts w:ascii="Arial" w:hAnsi="Arial" w:cs="Arial"/>
          <w:spacing w:val="-2"/>
          <w:lang w:val="es-ES"/>
        </w:rPr>
        <w:t>Fumar en las zonas de trabajo y de almacenamiento.</w:t>
      </w:r>
    </w:p>
    <w:p w:rsidR="00503A41" w:rsidRPr="00993936" w:rsidRDefault="00503A41">
      <w:pPr>
        <w:pStyle w:val="Sangradetextonormal"/>
        <w:ind w:left="0"/>
        <w:rPr>
          <w:rFonts w:cs="Arial"/>
          <w:szCs w:val="22"/>
          <w:lang w:val="es-ES"/>
        </w:rPr>
      </w:pPr>
      <w:r w:rsidRPr="00993936">
        <w:rPr>
          <w:rFonts w:cs="Arial"/>
          <w:szCs w:val="22"/>
          <w:lang w:val="es-ES"/>
        </w:rPr>
        <w:t>Se colocarán carteles en un lugar</w:t>
      </w:r>
      <w:r w:rsidRPr="00993936">
        <w:rPr>
          <w:rFonts w:cs="Arial"/>
          <w:vanish/>
          <w:szCs w:val="22"/>
          <w:lang w:val="es-ES"/>
        </w:rPr>
        <w:t>&lt;A[lugar|sitio]&gt;</w:t>
      </w:r>
      <w:r w:rsidRPr="00993936">
        <w:rPr>
          <w:rFonts w:cs="Arial"/>
          <w:szCs w:val="22"/>
          <w:lang w:val="es-ES"/>
        </w:rPr>
        <w:t xml:space="preserve"> visible, que recuerden estas normas de buenas prácticas de higiene y manipulación.</w:t>
      </w:r>
    </w:p>
    <w:p w:rsidR="00503A41" w:rsidRPr="00993936" w:rsidRDefault="00503A41">
      <w:pPr>
        <w:pStyle w:val="titulo2"/>
        <w:widowControl/>
        <w:tabs>
          <w:tab w:val="clear" w:pos="1134"/>
        </w:tabs>
        <w:spacing w:before="0" w:after="0" w:line="240" w:lineRule="auto"/>
        <w:rPr>
          <w:rFonts w:ascii="Arial" w:hAnsi="Arial" w:cs="Arial"/>
          <w:b w:val="0"/>
          <w:sz w:val="22"/>
          <w:szCs w:val="22"/>
          <w:lang w:val="es-ES"/>
        </w:rPr>
      </w:pP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r w:rsidRPr="00993936">
        <w:rPr>
          <w:rFonts w:ascii="Arial" w:hAnsi="Arial" w:cs="Arial"/>
          <w:b w:val="0"/>
          <w:spacing w:val="-2"/>
          <w:sz w:val="22"/>
          <w:szCs w:val="22"/>
          <w:lang w:val="es-ES"/>
        </w:rPr>
        <w:t>18.3  Salud y seguridad</w:t>
      </w:r>
    </w:p>
    <w:p w:rsidR="00503A41" w:rsidRPr="00993936" w:rsidRDefault="00503A41">
      <w:pPr>
        <w:pStyle w:val="titulo2"/>
        <w:widowControl/>
        <w:tabs>
          <w:tab w:val="clear" w:pos="1134"/>
        </w:tabs>
        <w:spacing w:before="0" w:after="0" w:line="240" w:lineRule="auto"/>
        <w:rPr>
          <w:rFonts w:ascii="Arial" w:hAnsi="Arial" w:cs="Arial"/>
          <w:b w:val="0"/>
          <w:i/>
          <w:spacing w:val="-2"/>
          <w:sz w:val="22"/>
          <w:szCs w:val="22"/>
          <w:lang w:val="es-ES"/>
        </w:rPr>
      </w:pPr>
      <w:r w:rsidRPr="00993936">
        <w:rPr>
          <w:rFonts w:ascii="Arial" w:hAnsi="Arial" w:cs="Arial"/>
          <w:b w:val="0"/>
          <w:i/>
          <w:sz w:val="22"/>
          <w:szCs w:val="22"/>
          <w:lang w:val="es-ES"/>
        </w:rPr>
        <w:t>18.3.1  Obligaciones</w:t>
      </w: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r w:rsidRPr="00993936">
        <w:rPr>
          <w:rFonts w:ascii="Arial" w:hAnsi="Arial" w:cs="Arial"/>
          <w:b w:val="0"/>
          <w:snapToGrid w:val="0"/>
          <w:spacing w:val="-2"/>
          <w:sz w:val="22"/>
          <w:szCs w:val="22"/>
          <w:lang w:val="es-ES"/>
        </w:rPr>
        <w:t>18.3.1.1 La empresa tendrá que tener documentado un plan</w:t>
      </w:r>
      <w:r w:rsidRPr="00993936">
        <w:rPr>
          <w:rFonts w:ascii="Arial" w:hAnsi="Arial" w:cs="Arial"/>
          <w:b w:val="0"/>
          <w:snapToGrid w:val="0"/>
          <w:vanish/>
          <w:spacing w:val="-2"/>
          <w:sz w:val="22"/>
          <w:szCs w:val="22"/>
          <w:lang w:val="es-ES"/>
        </w:rPr>
        <w:t>&lt;A[plan|plano]&gt;</w:t>
      </w:r>
      <w:r w:rsidRPr="00993936">
        <w:rPr>
          <w:rFonts w:ascii="Arial" w:hAnsi="Arial" w:cs="Arial"/>
          <w:b w:val="0"/>
          <w:snapToGrid w:val="0"/>
          <w:spacing w:val="-2"/>
          <w:sz w:val="22"/>
          <w:szCs w:val="22"/>
          <w:lang w:val="es-ES"/>
        </w:rPr>
        <w:t xml:space="preserve"> de prevención de riesgos laborales. Los contratos laborales deberán ajustarse a los convenios laborales vigentes.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18.3.1.2  Utilizar las señalizaciones que prevé la legislación vigente.</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18.3.1.3  En el almacén de insecticidas y/o raticidas deben estar presentes, de manera accesible y legible, las normas generales de actuación en caso de intoxicación y derrame</w:t>
      </w:r>
      <w:r w:rsidRPr="00993936">
        <w:rPr>
          <w:rFonts w:ascii="Arial" w:hAnsi="Arial" w:cs="Arial"/>
          <w:vanish/>
          <w:sz w:val="22"/>
          <w:szCs w:val="22"/>
          <w:lang w:val="es-ES"/>
        </w:rPr>
        <w:t>&lt;A[derrame|vertido]&gt;</w:t>
      </w:r>
      <w:r w:rsidRPr="00993936">
        <w:rPr>
          <w:rFonts w:ascii="Arial" w:hAnsi="Arial" w:cs="Arial"/>
          <w:sz w:val="22"/>
          <w:szCs w:val="22"/>
          <w:lang w:val="es-ES"/>
        </w:rPr>
        <w:t xml:space="preserve"> accidental, y es obligatorio disponer de los números de teléfono del Instituto de Toxicología y de otros organismos que puedan ser competentes en esta materia.</w:t>
      </w:r>
    </w:p>
    <w:p w:rsidR="00503A41" w:rsidRPr="00993936" w:rsidRDefault="00503A41">
      <w:pPr>
        <w:pStyle w:val="titulo2"/>
        <w:widowControl/>
        <w:tabs>
          <w:tab w:val="clear" w:pos="1134"/>
        </w:tabs>
        <w:spacing w:before="0" w:after="0" w:line="240" w:lineRule="auto"/>
        <w:rPr>
          <w:rFonts w:ascii="Arial" w:hAnsi="Arial" w:cs="Arial"/>
          <w:b w:val="0"/>
          <w:spacing w:val="-2"/>
          <w:sz w:val="22"/>
          <w:szCs w:val="22"/>
          <w:lang w:val="es-ES"/>
        </w:rPr>
      </w:pPr>
    </w:p>
    <w:p w:rsidR="00503A41" w:rsidRPr="00993936" w:rsidRDefault="00503A41">
      <w:pPr>
        <w:jc w:val="both"/>
        <w:rPr>
          <w:rFonts w:ascii="Arial" w:hAnsi="Arial" w:cs="Arial"/>
          <w:snapToGrid w:val="0"/>
          <w:lang w:val="es-ES"/>
        </w:rPr>
      </w:pPr>
      <w:r w:rsidRPr="00993936">
        <w:rPr>
          <w:rFonts w:ascii="Arial" w:hAnsi="Arial" w:cs="Arial"/>
          <w:snapToGrid w:val="0"/>
          <w:lang w:val="es-ES"/>
        </w:rPr>
        <w:t>Artículo 19</w:t>
      </w:r>
    </w:p>
    <w:p w:rsidR="00503A41" w:rsidRPr="00993936" w:rsidRDefault="00503A41">
      <w:pPr>
        <w:pStyle w:val="titulo2"/>
        <w:widowControl/>
        <w:tabs>
          <w:tab w:val="clear" w:pos="1134"/>
        </w:tabs>
        <w:spacing w:before="0" w:after="0" w:line="240" w:lineRule="auto"/>
        <w:rPr>
          <w:rFonts w:ascii="Arial" w:hAnsi="Arial" w:cs="Arial"/>
          <w:sz w:val="22"/>
          <w:szCs w:val="22"/>
          <w:lang w:val="es-ES"/>
        </w:rPr>
      </w:pPr>
      <w:r w:rsidRPr="00993936">
        <w:rPr>
          <w:rFonts w:ascii="Arial" w:hAnsi="Arial" w:cs="Arial"/>
          <w:sz w:val="22"/>
          <w:szCs w:val="22"/>
          <w:lang w:val="es-ES"/>
        </w:rPr>
        <w:t>Control de calidad</w:t>
      </w:r>
    </w:p>
    <w:p w:rsidR="00503A41" w:rsidRPr="00993936" w:rsidRDefault="00503A41">
      <w:pPr>
        <w:pStyle w:val="titulo2"/>
        <w:widowControl/>
        <w:tabs>
          <w:tab w:val="clear" w:pos="1134"/>
        </w:tabs>
        <w:spacing w:before="0" w:after="0" w:line="240" w:lineRule="auto"/>
        <w:rPr>
          <w:rFonts w:ascii="Arial" w:hAnsi="Arial" w:cs="Arial"/>
          <w:sz w:val="22"/>
          <w:szCs w:val="22"/>
          <w:lang w:val="es-ES"/>
        </w:rPr>
      </w:pP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z w:val="22"/>
          <w:szCs w:val="22"/>
          <w:lang w:val="es-ES"/>
        </w:rPr>
        <w:t>19.1 Calidad del producto</w:t>
      </w:r>
    </w:p>
    <w:p w:rsidR="00503A41" w:rsidRPr="00993936" w:rsidRDefault="00503A41">
      <w:pPr>
        <w:pStyle w:val="titulo2"/>
        <w:widowControl/>
        <w:tabs>
          <w:tab w:val="clear" w:pos="1134"/>
        </w:tabs>
        <w:spacing w:before="0" w:after="0" w:line="240" w:lineRule="auto"/>
        <w:rPr>
          <w:rFonts w:ascii="Arial" w:hAnsi="Arial" w:cs="Arial"/>
          <w:b w:val="0"/>
          <w:i/>
          <w:spacing w:val="-2"/>
          <w:sz w:val="22"/>
          <w:szCs w:val="22"/>
          <w:lang w:val="es-ES"/>
        </w:rPr>
      </w:pPr>
      <w:r w:rsidRPr="00993936">
        <w:rPr>
          <w:rFonts w:ascii="Arial" w:hAnsi="Arial" w:cs="Arial"/>
          <w:b w:val="0"/>
          <w:i/>
          <w:sz w:val="22"/>
          <w:szCs w:val="22"/>
          <w:lang w:val="es-ES"/>
        </w:rPr>
        <w:t>19.1.1 Obligaciones</w:t>
      </w:r>
    </w:p>
    <w:p w:rsidR="00503A41" w:rsidRPr="00993936" w:rsidRDefault="00503A41">
      <w:pPr>
        <w:jc w:val="both"/>
        <w:rPr>
          <w:rFonts w:ascii="Arial" w:hAnsi="Arial" w:cs="Arial"/>
          <w:lang w:val="es-ES"/>
        </w:rPr>
      </w:pPr>
      <w:r w:rsidRPr="00993936">
        <w:rPr>
          <w:rFonts w:ascii="Arial" w:hAnsi="Arial" w:cs="Arial"/>
          <w:lang w:val="es-ES"/>
        </w:rPr>
        <w:t>19.1.1.1 La empresa deberá tener definido e implantado un muestreo sistemático de la producción a través del cual se pueda comprobar que se cumple la legislación vigente en lo referente a la analítica y la normalización comercial.</w:t>
      </w:r>
    </w:p>
    <w:p w:rsidR="00503A41" w:rsidRPr="00993936" w:rsidRDefault="00503A41">
      <w:pPr>
        <w:jc w:val="both"/>
        <w:rPr>
          <w:rFonts w:ascii="Arial" w:hAnsi="Arial" w:cs="Arial"/>
          <w:lang w:val="es-ES"/>
        </w:rPr>
      </w:pPr>
      <w:r w:rsidRPr="00993936">
        <w:rPr>
          <w:rFonts w:ascii="Arial" w:hAnsi="Arial" w:cs="Arial"/>
          <w:lang w:val="es-ES"/>
        </w:rPr>
        <w:t>19.1.1.2 Esta práctica de autocontrol de calidad actuará como mínimo:</w:t>
      </w:r>
    </w:p>
    <w:p w:rsidR="00503A41" w:rsidRPr="00993936" w:rsidRDefault="00503A41" w:rsidP="009D1A2D">
      <w:pPr>
        <w:pStyle w:val="Textoindependiente"/>
        <w:numPr>
          <w:ilvl w:val="0"/>
          <w:numId w:val="116"/>
        </w:numPr>
        <w:tabs>
          <w:tab w:val="left" w:pos="731"/>
        </w:tabs>
        <w:rPr>
          <w:rFonts w:cs="Arial"/>
          <w:szCs w:val="22"/>
          <w:lang w:val="es-ES"/>
        </w:rPr>
      </w:pPr>
      <w:r w:rsidRPr="00993936">
        <w:rPr>
          <w:rFonts w:cs="Arial"/>
          <w:szCs w:val="22"/>
          <w:lang w:val="es-ES"/>
        </w:rPr>
        <w:t xml:space="preserve">En la procedencia y recepción de los frutos incluidos en el muestreo. </w:t>
      </w:r>
    </w:p>
    <w:p w:rsidR="00503A41" w:rsidRPr="00993936" w:rsidRDefault="00503A41" w:rsidP="009D1A2D">
      <w:pPr>
        <w:pStyle w:val="Textoindependiente"/>
        <w:numPr>
          <w:ilvl w:val="0"/>
          <w:numId w:val="116"/>
        </w:numPr>
        <w:tabs>
          <w:tab w:val="left" w:pos="731"/>
        </w:tabs>
        <w:rPr>
          <w:rFonts w:cs="Arial"/>
          <w:szCs w:val="22"/>
          <w:lang w:val="es-ES"/>
        </w:rPr>
      </w:pPr>
      <w:r w:rsidRPr="00993936">
        <w:rPr>
          <w:rFonts w:cs="Arial"/>
          <w:szCs w:val="22"/>
          <w:lang w:val="es-ES"/>
        </w:rPr>
        <w:t>Rotura y calibrado de los frutos.</w:t>
      </w:r>
    </w:p>
    <w:p w:rsidR="00503A41" w:rsidRPr="00993936" w:rsidRDefault="00503A41" w:rsidP="009D1A2D">
      <w:pPr>
        <w:pStyle w:val="Textoindependiente"/>
        <w:numPr>
          <w:ilvl w:val="0"/>
          <w:numId w:val="116"/>
        </w:numPr>
        <w:tabs>
          <w:tab w:val="left" w:pos="731"/>
        </w:tabs>
        <w:rPr>
          <w:rFonts w:cs="Arial"/>
          <w:szCs w:val="22"/>
          <w:lang w:val="es-ES"/>
        </w:rPr>
      </w:pPr>
      <w:r w:rsidRPr="00993936">
        <w:rPr>
          <w:rFonts w:cs="Arial"/>
          <w:szCs w:val="22"/>
          <w:lang w:val="es-ES"/>
        </w:rPr>
        <w:t xml:space="preserve">Sobre el producto antes del envasado. </w:t>
      </w:r>
    </w:p>
    <w:p w:rsidR="00503A41" w:rsidRPr="00993936" w:rsidRDefault="00503A41" w:rsidP="009D1A2D">
      <w:pPr>
        <w:pStyle w:val="Textoindependiente"/>
        <w:numPr>
          <w:ilvl w:val="0"/>
          <w:numId w:val="116"/>
        </w:numPr>
        <w:tabs>
          <w:tab w:val="left" w:pos="731"/>
        </w:tabs>
        <w:rPr>
          <w:rFonts w:cs="Arial"/>
          <w:szCs w:val="22"/>
          <w:lang w:val="es-ES"/>
        </w:rPr>
      </w:pPr>
      <w:r w:rsidRPr="00993936">
        <w:rPr>
          <w:rFonts w:cs="Arial"/>
          <w:szCs w:val="22"/>
          <w:lang w:val="es-ES"/>
        </w:rPr>
        <w:t>En el producto acabado y listo para su expedición.</w:t>
      </w:r>
    </w:p>
    <w:p w:rsidR="00503A41" w:rsidRPr="00993936" w:rsidRDefault="00503A41">
      <w:pPr>
        <w:pStyle w:val="Textoindependiente"/>
        <w:rPr>
          <w:rFonts w:cs="Arial"/>
          <w:szCs w:val="22"/>
          <w:u w:val="single"/>
          <w:lang w:val="es-ES"/>
        </w:rPr>
      </w:pPr>
      <w:r w:rsidRPr="00993936">
        <w:rPr>
          <w:rFonts w:cs="Arial"/>
          <w:szCs w:val="22"/>
          <w:lang w:val="es-ES"/>
        </w:rPr>
        <w:t xml:space="preserve">19.1.1.3 Comprobar que los parámetros son los especificados para cada producto en la legislación vigente sobre la calidad de los productos. </w:t>
      </w:r>
    </w:p>
    <w:p w:rsidR="00503A41" w:rsidRPr="00993936" w:rsidRDefault="00503A41">
      <w:pPr>
        <w:pStyle w:val="Textoindependiente"/>
        <w:rPr>
          <w:rFonts w:cs="Arial"/>
          <w:szCs w:val="22"/>
          <w:lang w:val="es-ES"/>
        </w:rPr>
      </w:pPr>
      <w:r w:rsidRPr="00993936">
        <w:rPr>
          <w:rFonts w:cs="Arial"/>
          <w:szCs w:val="22"/>
          <w:lang w:val="es-ES"/>
        </w:rPr>
        <w:t>19.1.1.4 Realizar análisis de residuos de productos fitosanitarios sobre los productos especificados en los apartados c) o d) del artículo 19.1.1.2, según se prevea en el procedimiento de control de la calidad (comprendido en este análisis la comprobación de las materias activas permitidas en los tratamientos y las prácticas fitosanitarias de cultivo, tanto para</w:t>
      </w:r>
      <w:r w:rsidRPr="00993936">
        <w:rPr>
          <w:rFonts w:cs="Arial"/>
          <w:vanish/>
          <w:szCs w:val="22"/>
          <w:lang w:val="es-ES"/>
        </w:rPr>
        <w:t>&lt;A[por|para]&gt;</w:t>
      </w:r>
      <w:r w:rsidRPr="00993936">
        <w:rPr>
          <w:rFonts w:cs="Arial"/>
          <w:szCs w:val="22"/>
          <w:lang w:val="es-ES"/>
        </w:rPr>
        <w:t xml:space="preserve"> los autorizados como para</w:t>
      </w:r>
      <w:r w:rsidRPr="00993936">
        <w:rPr>
          <w:rFonts w:cs="Arial"/>
          <w:vanish/>
          <w:szCs w:val="22"/>
          <w:lang w:val="es-ES"/>
        </w:rPr>
        <w:t>&lt;A[por|para]&gt;</w:t>
      </w:r>
      <w:r w:rsidRPr="00993936">
        <w:rPr>
          <w:rFonts w:cs="Arial"/>
          <w:szCs w:val="22"/>
          <w:lang w:val="es-ES"/>
        </w:rPr>
        <w:t xml:space="preserve"> aquellos excepcionales que se hubieran efectuado).</w:t>
      </w:r>
    </w:p>
    <w:p w:rsidR="00503A41" w:rsidRPr="00993936" w:rsidRDefault="00503A41">
      <w:pPr>
        <w:pStyle w:val="Textoindependiente"/>
        <w:rPr>
          <w:rFonts w:cs="Arial"/>
          <w:szCs w:val="22"/>
          <w:lang w:val="es-ES"/>
        </w:rPr>
      </w:pPr>
      <w:r w:rsidRPr="00993936">
        <w:rPr>
          <w:rFonts w:cs="Arial"/>
          <w:szCs w:val="22"/>
          <w:lang w:val="es-ES"/>
        </w:rPr>
        <w:t>19.1.1.5 Conservar los registros de los controles y los análisis efectuados.</w:t>
      </w:r>
    </w:p>
    <w:p w:rsidR="00503A41" w:rsidRPr="00993936" w:rsidRDefault="00503A41">
      <w:pPr>
        <w:pStyle w:val="Textoindependiente"/>
        <w:rPr>
          <w:rFonts w:cs="Arial"/>
          <w:szCs w:val="22"/>
          <w:lang w:val="es-ES"/>
        </w:rPr>
      </w:pPr>
      <w:r w:rsidRPr="00993936">
        <w:rPr>
          <w:rFonts w:cs="Arial"/>
          <w:szCs w:val="22"/>
          <w:lang w:val="es-ES"/>
        </w:rPr>
        <w:t>19.1.1.6 Llevar</w:t>
      </w:r>
      <w:r w:rsidRPr="00993936">
        <w:rPr>
          <w:rFonts w:cs="Arial"/>
          <w:vanish/>
          <w:szCs w:val="22"/>
          <w:lang w:val="es-ES"/>
        </w:rPr>
        <w:t>&lt;A[Llevar|Traer]&gt;</w:t>
      </w:r>
      <w:r w:rsidRPr="00993936">
        <w:rPr>
          <w:rFonts w:cs="Arial"/>
          <w:szCs w:val="22"/>
          <w:lang w:val="es-ES"/>
        </w:rPr>
        <w:t xml:space="preserve"> un sistema preventivo de control de los productos que garanticen la seguridad, implantando un sistema de vigilancia APPCC “de Análisis de Peligros y Puntos de control críticos”.</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19.1.1.7 Controlar periódicamente la calidad y, específicamente, antes de la comercialización, teniendo en cuenta aspectos de muestreo, tipo de determinación analítica que garantice la seguridad del consumidor.</w:t>
      </w:r>
    </w:p>
    <w:p w:rsidR="00503A41" w:rsidRPr="00993936" w:rsidRDefault="00503A41">
      <w:pPr>
        <w:pStyle w:val="Textoindependiente"/>
        <w:rPr>
          <w:rFonts w:cs="Arial"/>
          <w:szCs w:val="22"/>
          <w:lang w:val="es-ES"/>
        </w:rPr>
      </w:pPr>
    </w:p>
    <w:p w:rsidR="00503A41" w:rsidRPr="00993936" w:rsidRDefault="00503A41">
      <w:pPr>
        <w:pStyle w:val="titulo2"/>
        <w:widowControl/>
        <w:tabs>
          <w:tab w:val="clear" w:pos="1134"/>
        </w:tabs>
        <w:spacing w:before="0" w:after="0" w:line="240" w:lineRule="auto"/>
        <w:rPr>
          <w:rFonts w:ascii="Arial" w:hAnsi="Arial" w:cs="Arial"/>
          <w:b w:val="0"/>
          <w:sz w:val="22"/>
          <w:szCs w:val="22"/>
          <w:lang w:val="es-ES"/>
        </w:rPr>
      </w:pPr>
    </w:p>
    <w:p w:rsidR="00503A41" w:rsidRPr="00993936" w:rsidRDefault="00503A41">
      <w:pPr>
        <w:tabs>
          <w:tab w:val="left" w:pos="0"/>
          <w:tab w:val="left" w:pos="6684"/>
        </w:tabs>
        <w:jc w:val="both"/>
        <w:rPr>
          <w:rFonts w:ascii="Arial" w:hAnsi="Arial" w:cs="Arial"/>
          <w:b/>
          <w:spacing w:val="-2"/>
          <w:lang w:val="es-ES"/>
        </w:rPr>
      </w:pPr>
      <w:r w:rsidRPr="00993936">
        <w:rPr>
          <w:rFonts w:ascii="Arial" w:hAnsi="Arial" w:cs="Arial"/>
          <w:b/>
          <w:spacing w:val="-2"/>
          <w:lang w:val="es-ES"/>
        </w:rPr>
        <w:t>19.2 Comprobación del instrumental de medida</w:t>
      </w:r>
    </w:p>
    <w:p w:rsidR="00503A41" w:rsidRPr="00993936" w:rsidRDefault="00503A41">
      <w:pPr>
        <w:tabs>
          <w:tab w:val="left" w:pos="0"/>
          <w:tab w:val="left" w:pos="6684"/>
        </w:tabs>
        <w:jc w:val="both"/>
        <w:rPr>
          <w:rFonts w:ascii="Arial" w:hAnsi="Arial" w:cs="Arial"/>
          <w:i/>
          <w:spacing w:val="-2"/>
          <w:lang w:val="es-ES"/>
        </w:rPr>
      </w:pPr>
      <w:r w:rsidRPr="00993936">
        <w:rPr>
          <w:rFonts w:ascii="Arial" w:hAnsi="Arial" w:cs="Arial"/>
          <w:i/>
          <w:lang w:val="es-ES"/>
        </w:rPr>
        <w:t>19.2.1 Obligaciones</w:t>
      </w:r>
    </w:p>
    <w:p w:rsidR="00503A41" w:rsidRPr="00993936" w:rsidRDefault="00503A41">
      <w:pPr>
        <w:jc w:val="both"/>
        <w:rPr>
          <w:rFonts w:ascii="Arial" w:hAnsi="Arial" w:cs="Arial"/>
          <w:lang w:val="es-ES"/>
        </w:rPr>
      </w:pPr>
      <w:r w:rsidRPr="00993936">
        <w:rPr>
          <w:rFonts w:ascii="Arial" w:hAnsi="Arial" w:cs="Arial"/>
          <w:lang w:val="es-ES"/>
        </w:rPr>
        <w:t>19.2.1.1 Disponer de procedimientos escritos que especifiquen la periodicidad y la exactitud con que se deben verificar, y el instrumental de medida utilizado para comprobar la calidad comercial. Estos procedimientos establecerán los registros requeridos para estas verificaciones.</w:t>
      </w:r>
    </w:p>
    <w:p w:rsidR="00503A41" w:rsidRPr="00993936" w:rsidRDefault="00503A41" w:rsidP="0009331F">
      <w:pPr>
        <w:pStyle w:val="Textoindependiente"/>
        <w:rPr>
          <w:rFonts w:cs="Arial"/>
          <w:szCs w:val="22"/>
          <w:lang w:val="es-ES"/>
        </w:rPr>
      </w:pPr>
      <w:r w:rsidRPr="00993936">
        <w:rPr>
          <w:rFonts w:cs="Arial"/>
          <w:szCs w:val="22"/>
          <w:lang w:val="es-ES"/>
        </w:rPr>
        <w:t>19.2.1.2 La persona operadora verificará el funcionamiento correcto del instrumental de medida.</w:t>
      </w:r>
    </w:p>
    <w:p w:rsidR="00503A41" w:rsidRPr="00993936" w:rsidRDefault="00503A41">
      <w:pPr>
        <w:jc w:val="both"/>
        <w:rPr>
          <w:rFonts w:ascii="Arial" w:hAnsi="Arial" w:cs="Arial"/>
          <w:lang w:val="es-ES"/>
        </w:rPr>
      </w:pPr>
    </w:p>
    <w:p w:rsidR="00503A41" w:rsidRPr="00993936" w:rsidRDefault="00503A41">
      <w:pPr>
        <w:pStyle w:val="titulo2"/>
        <w:widowControl/>
        <w:tabs>
          <w:tab w:val="clear" w:pos="1134"/>
        </w:tabs>
        <w:spacing w:before="0" w:after="0" w:line="240" w:lineRule="auto"/>
        <w:rPr>
          <w:rFonts w:ascii="Arial" w:hAnsi="Arial" w:cs="Arial"/>
          <w:spacing w:val="-2"/>
          <w:sz w:val="22"/>
          <w:szCs w:val="22"/>
          <w:lang w:val="es-ES"/>
        </w:rPr>
      </w:pPr>
      <w:r w:rsidRPr="00993936">
        <w:rPr>
          <w:rFonts w:ascii="Arial" w:hAnsi="Arial" w:cs="Arial"/>
          <w:spacing w:val="-2"/>
          <w:sz w:val="22"/>
          <w:szCs w:val="22"/>
          <w:lang w:val="es-ES"/>
        </w:rPr>
        <w:t>19.3 Reclamaciones de los clientes</w:t>
      </w:r>
    </w:p>
    <w:p w:rsidR="00503A41" w:rsidRPr="00993936" w:rsidRDefault="00503A41">
      <w:pPr>
        <w:pStyle w:val="titulo2"/>
        <w:widowControl/>
        <w:tabs>
          <w:tab w:val="clear" w:pos="1134"/>
        </w:tabs>
        <w:spacing w:before="0" w:after="0" w:line="240" w:lineRule="auto"/>
        <w:rPr>
          <w:rFonts w:ascii="Arial" w:hAnsi="Arial" w:cs="Arial"/>
          <w:b w:val="0"/>
          <w:i/>
          <w:spacing w:val="-2"/>
          <w:sz w:val="22"/>
          <w:szCs w:val="22"/>
          <w:lang w:val="es-ES"/>
        </w:rPr>
      </w:pPr>
      <w:r w:rsidRPr="00993936">
        <w:rPr>
          <w:rFonts w:ascii="Arial" w:hAnsi="Arial" w:cs="Arial"/>
          <w:b w:val="0"/>
          <w:i/>
          <w:sz w:val="22"/>
          <w:szCs w:val="22"/>
          <w:lang w:val="es-ES"/>
        </w:rPr>
        <w:t>19.3.1 Obligaciones</w:t>
      </w:r>
    </w:p>
    <w:p w:rsidR="00503A41" w:rsidRPr="00993936" w:rsidRDefault="00503A41">
      <w:pPr>
        <w:pStyle w:val="Textoindependiente"/>
        <w:rPr>
          <w:rFonts w:cs="Arial"/>
          <w:szCs w:val="22"/>
          <w:lang w:val="es-ES"/>
        </w:rPr>
      </w:pPr>
      <w:r w:rsidRPr="00993936">
        <w:rPr>
          <w:rFonts w:cs="Arial"/>
          <w:szCs w:val="22"/>
          <w:lang w:val="es-ES"/>
        </w:rPr>
        <w:t>19.3.1.1 Disponer de un sistema para el tratamiento de las reclamaciones de los clientes relacionados con las Obligaciones y los requisitos recogidos en esta norma específica. El sistema preverá la recepción, el registro y la evaluación, así como la conservación de los registros de las reclamaciones recibidas, su evaluación y las acciones correctoras emprendidas.</w:t>
      </w:r>
    </w:p>
    <w:p w:rsidR="00503A41" w:rsidRPr="00993936" w:rsidRDefault="00503A41">
      <w:pPr>
        <w:pStyle w:val="titulo2"/>
        <w:widowControl/>
        <w:tabs>
          <w:tab w:val="clear" w:pos="1134"/>
        </w:tabs>
        <w:spacing w:before="0" w:after="0" w:line="240" w:lineRule="auto"/>
        <w:rPr>
          <w:rFonts w:ascii="Arial" w:hAnsi="Arial" w:cs="Arial"/>
          <w:b w:val="0"/>
          <w:sz w:val="22"/>
          <w:szCs w:val="22"/>
          <w:lang w:val="es-ES"/>
        </w:rPr>
      </w:pPr>
    </w:p>
    <w:p w:rsidR="00503A41" w:rsidRPr="00993936" w:rsidRDefault="00503A41">
      <w:pPr>
        <w:pStyle w:val="titulo2"/>
        <w:widowControl/>
        <w:tabs>
          <w:tab w:val="clear" w:pos="1134"/>
        </w:tabs>
        <w:spacing w:before="0" w:after="0" w:line="240" w:lineRule="auto"/>
        <w:rPr>
          <w:rFonts w:ascii="Arial" w:hAnsi="Arial" w:cs="Arial"/>
          <w:sz w:val="22"/>
          <w:szCs w:val="22"/>
          <w:lang w:val="es-ES"/>
        </w:rPr>
      </w:pPr>
      <w:r w:rsidRPr="00993936">
        <w:rPr>
          <w:rFonts w:ascii="Arial" w:hAnsi="Arial" w:cs="Arial"/>
          <w:b w:val="0"/>
          <w:sz w:val="22"/>
          <w:szCs w:val="22"/>
          <w:lang w:val="es-ES"/>
        </w:rPr>
        <w:t>Artículo 20</w:t>
      </w:r>
    </w:p>
    <w:p w:rsidR="00503A41" w:rsidRPr="00993936" w:rsidRDefault="00503A41">
      <w:pPr>
        <w:pStyle w:val="Textoindependiente"/>
        <w:rPr>
          <w:rFonts w:cs="Arial"/>
          <w:b/>
          <w:szCs w:val="22"/>
          <w:lang w:val="es-ES"/>
        </w:rPr>
      </w:pPr>
      <w:r w:rsidRPr="00993936">
        <w:rPr>
          <w:rFonts w:cs="Arial"/>
          <w:b/>
          <w:szCs w:val="22"/>
          <w:lang w:val="es-ES"/>
        </w:rPr>
        <w:t>Cuaderno de elaboración de frutos secos</w:t>
      </w:r>
    </w:p>
    <w:p w:rsidR="00503A41" w:rsidRPr="00993936" w:rsidRDefault="00503A41">
      <w:pPr>
        <w:jc w:val="both"/>
        <w:rPr>
          <w:rFonts w:ascii="Arial" w:hAnsi="Arial" w:cs="Arial"/>
          <w:lang w:val="es-ES"/>
        </w:rPr>
      </w:pPr>
      <w:r w:rsidRPr="00993936">
        <w:rPr>
          <w:rFonts w:ascii="Arial" w:hAnsi="Arial" w:cs="Arial"/>
          <w:lang w:val="es-ES"/>
        </w:rPr>
        <w:t xml:space="preserve">20.1 El Cuaderno de elaboración es un registro de las operaciones y las intervenciones que se realizan en los procesos de manipulación, elaboración, conservación, envasado y almacenamiento, y sirve para garantizarlos. El formato de Cuaderno es único con respecto a los datos a registrar, y será aprobado por el </w:t>
      </w:r>
      <w:r w:rsidRPr="00993936">
        <w:rPr>
          <w:rFonts w:ascii="Arial" w:hAnsi="Arial" w:cs="Arial"/>
          <w:snapToGrid w:val="0"/>
          <w:lang w:val="es-ES"/>
        </w:rPr>
        <w:t>Departamento de Agricultura, Ganadería, Pesca y Alimentación.</w:t>
      </w:r>
      <w:r w:rsidRPr="00993936">
        <w:rPr>
          <w:rFonts w:ascii="Arial" w:hAnsi="Arial" w:cs="Arial"/>
          <w:lang w:val="es-ES"/>
        </w:rPr>
        <w:t xml:space="preserve"> </w:t>
      </w:r>
    </w:p>
    <w:p w:rsidR="00503A41" w:rsidRPr="00993936" w:rsidRDefault="00503A41">
      <w:pPr>
        <w:jc w:val="both"/>
        <w:rPr>
          <w:rFonts w:ascii="Arial" w:hAnsi="Arial" w:cs="Arial"/>
          <w:lang w:val="es-ES"/>
        </w:rPr>
      </w:pPr>
      <w:r w:rsidRPr="00993936">
        <w:rPr>
          <w:rFonts w:ascii="Arial" w:hAnsi="Arial" w:cs="Arial"/>
          <w:lang w:val="es-ES"/>
        </w:rPr>
        <w:t>20.2 El técnico responsable de conservación y/o de elaboración de productos de producción integrada se responsabilizará, mediante su firma, de la veracidad de las anotaciones realizadas en el Cuaderno de conservación.</w:t>
      </w:r>
    </w:p>
    <w:p w:rsidR="00503A41" w:rsidRPr="00993936" w:rsidRDefault="00503A41">
      <w:pPr>
        <w:jc w:val="both"/>
        <w:rPr>
          <w:rFonts w:ascii="Arial" w:hAnsi="Arial" w:cs="Arial"/>
          <w:lang w:val="es-ES"/>
        </w:rPr>
      </w:pPr>
      <w:r w:rsidRPr="00993936">
        <w:rPr>
          <w:rFonts w:ascii="Arial" w:hAnsi="Arial" w:cs="Arial"/>
          <w:lang w:val="es-ES"/>
        </w:rPr>
        <w:t>20.3 El Cuaderno de elaboración es obligatorio y estará siempre disponible para su inspección. Para la buena funcionalidad del sistema, las anotaciones de las operaciones se deberán realizar en el plazo máximo de los 7 días siguientes a su ejecución.</w:t>
      </w:r>
    </w:p>
    <w:p w:rsidR="00503A41" w:rsidRPr="00993936" w:rsidRDefault="00503A41">
      <w:pPr>
        <w:pStyle w:val="titulo2"/>
        <w:widowControl/>
        <w:tabs>
          <w:tab w:val="clear" w:pos="1134"/>
        </w:tabs>
        <w:spacing w:before="0" w:after="0" w:line="240" w:lineRule="auto"/>
        <w:rPr>
          <w:rFonts w:ascii="Arial" w:hAnsi="Arial" w:cs="Arial"/>
          <w:b w:val="0"/>
          <w:sz w:val="22"/>
          <w:szCs w:val="22"/>
          <w:lang w:val="es-ES"/>
        </w:rPr>
      </w:pP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Artículo 21</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Central e industria de transformación y/o elaboración y conservación</w:t>
      </w:r>
    </w:p>
    <w:p w:rsidR="00503A41" w:rsidRPr="00993936" w:rsidRDefault="00503A41" w:rsidP="0009331F">
      <w:pPr>
        <w:pStyle w:val="NormalWeb"/>
        <w:spacing w:after="0"/>
        <w:jc w:val="both"/>
        <w:rPr>
          <w:rFonts w:ascii="Arial" w:hAnsi="Arial" w:cs="Arial"/>
          <w:i/>
          <w:sz w:val="22"/>
          <w:szCs w:val="22"/>
          <w:lang w:val="es-ES"/>
        </w:rPr>
      </w:pPr>
      <w:r w:rsidRPr="00993936">
        <w:rPr>
          <w:rFonts w:ascii="Arial" w:hAnsi="Arial" w:cs="Arial"/>
          <w:i/>
          <w:sz w:val="22"/>
          <w:szCs w:val="22"/>
          <w:lang w:val="es-ES"/>
        </w:rPr>
        <w:t>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21.1 Estar inscrita en el Registro sanitario de industrias y productos alimentarios de Cataluña.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21.2  Disponer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prevención de riesgos laborales y de un Plan</w:t>
      </w:r>
      <w:r w:rsidRPr="00993936">
        <w:rPr>
          <w:rFonts w:ascii="Arial" w:hAnsi="Arial" w:cs="Arial"/>
          <w:vanish/>
          <w:sz w:val="22"/>
          <w:szCs w:val="22"/>
          <w:lang w:val="es-ES"/>
        </w:rPr>
        <w:t>&lt;A[Plan|Plano]&gt;</w:t>
      </w:r>
      <w:r w:rsidRPr="00993936">
        <w:rPr>
          <w:rFonts w:ascii="Arial" w:hAnsi="Arial" w:cs="Arial"/>
          <w:sz w:val="22"/>
          <w:szCs w:val="22"/>
          <w:lang w:val="es-ES"/>
        </w:rPr>
        <w:t xml:space="preserve"> de análisis de peligros y puntos de control críticos (APPCC) implantados y aprobados por los organismos competentes en razón de la materia.</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21.3 Todas las máquinas, los recipientes, los elementos de transporte, los envases y los lugares</w:t>
      </w:r>
      <w:r w:rsidRPr="00993936">
        <w:rPr>
          <w:rFonts w:ascii="Arial" w:hAnsi="Arial" w:cs="Arial"/>
          <w:vanish/>
          <w:sz w:val="22"/>
          <w:szCs w:val="22"/>
          <w:lang w:val="es-ES"/>
        </w:rPr>
        <w:t>&lt;A[lugares|sitios]&gt;</w:t>
      </w:r>
      <w:r w:rsidRPr="00993936">
        <w:rPr>
          <w:rFonts w:ascii="Arial" w:hAnsi="Arial" w:cs="Arial"/>
          <w:sz w:val="22"/>
          <w:szCs w:val="22"/>
          <w:lang w:val="es-ES"/>
        </w:rPr>
        <w:t xml:space="preserve"> de almacenamiento deben reunir las condiciones siguientes: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lastRenderedPageBreak/>
        <w:t>21.3.1 No transmitir a los productos con los cuales entren en contacto sustancias tóxicas o que puedan contaminar, ni originar reacciones químicas perjudiciales.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21.3.2 No alterar las características de composición y los características organolépticas de los productos.</w:t>
      </w:r>
    </w:p>
    <w:p w:rsidR="00503A41" w:rsidRPr="00993936" w:rsidRDefault="00503A41">
      <w:pPr>
        <w:pStyle w:val="titulo2"/>
        <w:widowControl/>
        <w:tabs>
          <w:tab w:val="clear" w:pos="1134"/>
        </w:tabs>
        <w:spacing w:before="0" w:after="0" w:line="240" w:lineRule="auto"/>
        <w:rPr>
          <w:rFonts w:ascii="Arial" w:hAnsi="Arial" w:cs="Arial"/>
          <w:b w:val="0"/>
          <w:sz w:val="22"/>
          <w:szCs w:val="22"/>
          <w:lang w:val="es-ES"/>
        </w:rPr>
      </w:pPr>
    </w:p>
    <w:p w:rsidR="00503A41" w:rsidRPr="00993936" w:rsidRDefault="00503A41" w:rsidP="0009331F">
      <w:pPr>
        <w:jc w:val="both"/>
        <w:rPr>
          <w:rFonts w:ascii="Arial" w:hAnsi="Arial" w:cs="Arial"/>
          <w:lang w:val="es-ES"/>
        </w:rPr>
      </w:pPr>
      <w:r w:rsidRPr="00993936">
        <w:rPr>
          <w:rFonts w:ascii="Arial" w:hAnsi="Arial" w:cs="Arial"/>
          <w:lang w:val="es-ES"/>
        </w:rPr>
        <w:t>Artículo 22</w:t>
      </w:r>
    </w:p>
    <w:p w:rsidR="00503A41" w:rsidRPr="00993936" w:rsidRDefault="00503A41" w:rsidP="0009331F">
      <w:pPr>
        <w:jc w:val="both"/>
        <w:rPr>
          <w:rFonts w:ascii="Arial" w:hAnsi="Arial" w:cs="Arial"/>
          <w:b/>
          <w:lang w:val="es-ES"/>
        </w:rPr>
      </w:pPr>
      <w:r w:rsidRPr="00993936">
        <w:rPr>
          <w:rFonts w:ascii="Arial" w:hAnsi="Arial" w:cs="Arial"/>
          <w:b/>
          <w:lang w:val="es-ES"/>
        </w:rPr>
        <w:t>Tratamiento de No conformidades</w:t>
      </w:r>
    </w:p>
    <w:p w:rsidR="00503A41" w:rsidRPr="00993936" w:rsidRDefault="00503A41" w:rsidP="0009331F">
      <w:pPr>
        <w:jc w:val="both"/>
        <w:rPr>
          <w:rFonts w:ascii="Arial" w:hAnsi="Arial" w:cs="Arial"/>
          <w:b/>
          <w:i/>
          <w:lang w:val="es-ES"/>
        </w:rPr>
      </w:pPr>
      <w:r w:rsidRPr="00993936">
        <w:rPr>
          <w:rFonts w:ascii="Arial" w:hAnsi="Arial" w:cs="Arial"/>
          <w:i/>
          <w:lang w:val="es-ES"/>
        </w:rPr>
        <w:t>22.1 Obligaciones</w:t>
      </w:r>
    </w:p>
    <w:p w:rsidR="00503A41" w:rsidRPr="00993936" w:rsidRDefault="00503A41" w:rsidP="0009331F">
      <w:pPr>
        <w:jc w:val="both"/>
        <w:rPr>
          <w:rFonts w:ascii="Arial" w:hAnsi="Arial" w:cs="Arial"/>
          <w:lang w:val="es-ES"/>
        </w:rPr>
      </w:pPr>
      <w:r w:rsidRPr="00993936">
        <w:rPr>
          <w:rFonts w:ascii="Arial" w:hAnsi="Arial" w:cs="Arial"/>
          <w:lang w:val="es-ES"/>
        </w:rPr>
        <w:t>22.1.1 Cuándo durante la realización de los controles internos o externos se detecte el incumplimiento total o parcial de alguna de las prácticas establecidas en esta norma como “obligatorias” o “prohibidas”, se tendrá que dejar registro como “no conformidad” de las desviaciones detectadas.</w:t>
      </w:r>
    </w:p>
    <w:p w:rsidR="00503A41" w:rsidRPr="00993936" w:rsidRDefault="00503A41" w:rsidP="0009331F">
      <w:pPr>
        <w:jc w:val="both"/>
        <w:rPr>
          <w:rFonts w:ascii="Arial" w:hAnsi="Arial" w:cs="Arial"/>
          <w:lang w:val="es-ES"/>
        </w:rPr>
      </w:pPr>
      <w:r w:rsidRPr="00993936">
        <w:rPr>
          <w:rFonts w:ascii="Arial" w:hAnsi="Arial" w:cs="Arial"/>
          <w:lang w:val="es-ES"/>
        </w:rPr>
        <w:t>22.1.2 Establecer y documentar las acciones correctivas que procedan para dar el tratamiento adecuado a estas no conformidades, de manera que se eliminen los efectos y las causas que las motivan y se impida una repetición futura.</w:t>
      </w:r>
    </w:p>
    <w:p w:rsidR="00503A41" w:rsidRPr="00993936" w:rsidRDefault="00503A41" w:rsidP="0009331F">
      <w:pPr>
        <w:jc w:val="both"/>
        <w:rPr>
          <w:rFonts w:ascii="Arial" w:hAnsi="Arial" w:cs="Arial"/>
          <w:lang w:val="es-ES"/>
        </w:rPr>
      </w:pPr>
      <w:r w:rsidRPr="00993936">
        <w:rPr>
          <w:rFonts w:ascii="Arial" w:hAnsi="Arial" w:cs="Arial"/>
          <w:lang w:val="es-ES"/>
        </w:rPr>
        <w:t>22.1.3 El operador tiene que realizar el seguimiento de la implantación de las acciones correctivas y comprobar que sean efectivas antes de proceder al cierre de las no conformidad detectadas.</w:t>
      </w:r>
    </w:p>
    <w:p w:rsidR="00503A41" w:rsidRPr="00993936" w:rsidRDefault="00503A41" w:rsidP="0009331F">
      <w:pPr>
        <w:pStyle w:val="Textoindependiente"/>
        <w:rPr>
          <w:rFonts w:cs="Arial"/>
          <w:szCs w:val="22"/>
          <w:lang w:val="es-ES"/>
        </w:rPr>
      </w:pPr>
      <w:r w:rsidRPr="00993936">
        <w:rPr>
          <w:rFonts w:cs="Arial"/>
          <w:szCs w:val="22"/>
          <w:lang w:val="es-ES"/>
        </w:rPr>
        <w:t>22.1.4 Siempre que se detecten no conformidades sobre las materias primas, productos en proceso y los productos finales obtenidos de los productos vegetales de producción integrada, se deberán adoptar las medidas adecuadas de identificación, trazabilidad y segregación, de estos, de manera que se manifieste claramente su estado “no conforme” y se prevenga la utilización o comercialización de manera no intencionada como productos de producción integrada.</w:t>
      </w:r>
    </w:p>
    <w:p w:rsidR="00503A41" w:rsidRPr="00993936" w:rsidRDefault="00503A41" w:rsidP="0009331F">
      <w:pPr>
        <w:pStyle w:val="NormalWeb"/>
        <w:spacing w:before="120" w:after="0"/>
        <w:jc w:val="both"/>
        <w:rPr>
          <w:rFonts w:ascii="Arial" w:hAnsi="Arial" w:cs="Arial"/>
          <w:sz w:val="22"/>
          <w:szCs w:val="22"/>
          <w:lang w:val="es-ES"/>
        </w:rPr>
      </w:pPr>
      <w:r w:rsidRPr="00993936">
        <w:rPr>
          <w:rFonts w:ascii="Arial" w:hAnsi="Arial" w:cs="Arial"/>
          <w:sz w:val="22"/>
          <w:szCs w:val="22"/>
          <w:lang w:val="es-ES"/>
        </w:rPr>
        <w:t>Artículo 23</w:t>
      </w:r>
    </w:p>
    <w:p w:rsidR="00503A41" w:rsidRPr="00993936" w:rsidRDefault="00503A41" w:rsidP="0009331F">
      <w:pPr>
        <w:pStyle w:val="NormalWeb"/>
        <w:spacing w:after="0"/>
        <w:jc w:val="both"/>
        <w:rPr>
          <w:rFonts w:ascii="Arial" w:hAnsi="Arial" w:cs="Arial"/>
          <w:b/>
          <w:sz w:val="22"/>
          <w:szCs w:val="22"/>
          <w:lang w:val="es-ES"/>
        </w:rPr>
      </w:pPr>
      <w:r w:rsidRPr="00993936">
        <w:rPr>
          <w:rFonts w:ascii="Arial" w:hAnsi="Arial" w:cs="Arial"/>
          <w:b/>
          <w:sz w:val="22"/>
          <w:szCs w:val="22"/>
          <w:lang w:val="es-ES"/>
        </w:rPr>
        <w:t>Control y certificación</w:t>
      </w:r>
    </w:p>
    <w:p w:rsidR="00503A41" w:rsidRPr="00993936" w:rsidRDefault="00503A41" w:rsidP="0009331F">
      <w:pPr>
        <w:pStyle w:val="NormalWeb"/>
        <w:spacing w:after="0"/>
        <w:jc w:val="both"/>
        <w:rPr>
          <w:rFonts w:ascii="Arial" w:hAnsi="Arial" w:cs="Arial"/>
          <w:b/>
          <w:sz w:val="22"/>
          <w:szCs w:val="22"/>
          <w:lang w:val="es-ES"/>
        </w:rPr>
      </w:pPr>
    </w:p>
    <w:p w:rsidR="00503A41" w:rsidRPr="00993936" w:rsidRDefault="00503A41" w:rsidP="0009331F">
      <w:pPr>
        <w:pStyle w:val="NormalWeb"/>
        <w:spacing w:after="0"/>
        <w:jc w:val="both"/>
        <w:rPr>
          <w:rFonts w:ascii="Arial" w:hAnsi="Arial" w:cs="Arial"/>
          <w:i/>
          <w:sz w:val="22"/>
          <w:szCs w:val="22"/>
          <w:lang w:val="es-ES"/>
        </w:rPr>
      </w:pPr>
      <w:r w:rsidRPr="00993936">
        <w:rPr>
          <w:rFonts w:ascii="Arial" w:hAnsi="Arial" w:cs="Arial"/>
          <w:i/>
          <w:sz w:val="22"/>
          <w:szCs w:val="22"/>
          <w:lang w:val="es-ES"/>
        </w:rPr>
        <w:t>23.1 Obligaciones</w:t>
      </w:r>
    </w:p>
    <w:p w:rsidR="00503A41" w:rsidRPr="00993936" w:rsidRDefault="00503A41" w:rsidP="0009331F">
      <w:pPr>
        <w:pStyle w:val="NormalWeb"/>
        <w:spacing w:after="0"/>
        <w:jc w:val="both"/>
        <w:rPr>
          <w:rFonts w:ascii="Arial" w:hAnsi="Arial" w:cs="Arial"/>
          <w:sz w:val="22"/>
          <w:szCs w:val="22"/>
          <w:lang w:val="es-ES"/>
        </w:rPr>
      </w:pPr>
      <w:r w:rsidRPr="00993936">
        <w:rPr>
          <w:rFonts w:ascii="Arial" w:hAnsi="Arial" w:cs="Arial"/>
          <w:sz w:val="22"/>
          <w:szCs w:val="22"/>
          <w:lang w:val="es-ES"/>
        </w:rPr>
        <w:t>23.1.1 El control y la certificación del sistema de producción integrada se regirá por</w:t>
      </w:r>
      <w:r w:rsidRPr="00993936">
        <w:rPr>
          <w:rFonts w:ascii="Arial" w:hAnsi="Arial" w:cs="Arial"/>
          <w:vanish/>
          <w:sz w:val="22"/>
          <w:szCs w:val="22"/>
          <w:lang w:val="es-ES"/>
        </w:rPr>
        <w:t>&lt;A[por|para]&gt;</w:t>
      </w:r>
      <w:r w:rsidRPr="00993936">
        <w:rPr>
          <w:rFonts w:ascii="Arial" w:hAnsi="Arial" w:cs="Arial"/>
          <w:sz w:val="22"/>
          <w:szCs w:val="22"/>
          <w:lang w:val="es-ES"/>
        </w:rPr>
        <w:t xml:space="preserve"> lo que determina la Ley 14/2003, de 13 de junio, de calidad agroalimentaria, el Decreto 285/2006, de 4 de julio, por el cual se desarrolla la Ley 14/2003, el Decreto 24/2002, de 8 de octubre, por</w:t>
      </w:r>
      <w:r w:rsidRPr="00993936">
        <w:rPr>
          <w:rFonts w:ascii="Arial" w:hAnsi="Arial" w:cs="Arial"/>
          <w:vanish/>
          <w:sz w:val="22"/>
          <w:szCs w:val="22"/>
          <w:lang w:val="es-ES"/>
        </w:rPr>
        <w:t>&lt;A[por|para]&gt;</w:t>
      </w:r>
      <w:r w:rsidRPr="00993936">
        <w:rPr>
          <w:rFonts w:ascii="Arial" w:hAnsi="Arial" w:cs="Arial"/>
          <w:sz w:val="22"/>
          <w:szCs w:val="22"/>
          <w:lang w:val="es-ES"/>
        </w:rPr>
        <w:t xml:space="preserve"> el cual se regula la producción integrada en Cataluña y la Orden ARP/208/2003, de 7 de mayo, por</w:t>
      </w:r>
      <w:r w:rsidRPr="00993936">
        <w:rPr>
          <w:rFonts w:ascii="Arial" w:hAnsi="Arial" w:cs="Arial"/>
          <w:vanish/>
          <w:sz w:val="22"/>
          <w:szCs w:val="22"/>
          <w:lang w:val="es-ES"/>
        </w:rPr>
        <w:t>&lt;A[por|para]&gt;</w:t>
      </w:r>
      <w:r w:rsidRPr="00993936">
        <w:rPr>
          <w:rFonts w:ascii="Arial" w:hAnsi="Arial" w:cs="Arial"/>
          <w:sz w:val="22"/>
          <w:szCs w:val="22"/>
          <w:lang w:val="es-ES"/>
        </w:rPr>
        <w:t xml:space="preserve"> la cual se aprueba el Reglamento de régimen interior del Consejo Catalán de la Producción Integrada.</w:t>
      </w:r>
    </w:p>
    <w:p w:rsidR="00503A41" w:rsidRPr="00993936" w:rsidRDefault="00503A41" w:rsidP="0009331F">
      <w:pPr>
        <w:jc w:val="both"/>
        <w:rPr>
          <w:rFonts w:ascii="Arial" w:hAnsi="Arial" w:cs="Arial"/>
          <w:b/>
          <w:lang w:val="es-ES"/>
        </w:rPr>
      </w:pPr>
    </w:p>
    <w:p w:rsidR="00503A41" w:rsidRPr="00993936" w:rsidRDefault="00503A41" w:rsidP="0009331F">
      <w:pPr>
        <w:jc w:val="both"/>
        <w:rPr>
          <w:rFonts w:ascii="Arial" w:hAnsi="Arial" w:cs="Arial"/>
          <w:lang w:val="es-ES"/>
        </w:rPr>
      </w:pPr>
      <w:r w:rsidRPr="00993936">
        <w:rPr>
          <w:rFonts w:ascii="Arial" w:hAnsi="Arial" w:cs="Arial"/>
          <w:lang w:val="es-ES"/>
        </w:rPr>
        <w:t>Artículo 24</w:t>
      </w:r>
    </w:p>
    <w:p w:rsidR="00503A41" w:rsidRPr="00993936" w:rsidRDefault="00503A41" w:rsidP="0009331F">
      <w:pPr>
        <w:jc w:val="both"/>
        <w:rPr>
          <w:rFonts w:ascii="Arial" w:hAnsi="Arial" w:cs="Arial"/>
          <w:b/>
          <w:lang w:val="es-ES"/>
        </w:rPr>
      </w:pPr>
      <w:r w:rsidRPr="00993936">
        <w:rPr>
          <w:rFonts w:ascii="Arial" w:hAnsi="Arial" w:cs="Arial"/>
          <w:b/>
          <w:lang w:val="es-ES"/>
        </w:rPr>
        <w:t>Distintivo de garantía de producción integrada</w:t>
      </w:r>
    </w:p>
    <w:p w:rsidR="00503A41" w:rsidRPr="00993936" w:rsidRDefault="00503A41" w:rsidP="0009331F">
      <w:pPr>
        <w:jc w:val="both"/>
        <w:rPr>
          <w:rFonts w:ascii="Arial" w:hAnsi="Arial" w:cs="Arial"/>
          <w:i/>
          <w:lang w:val="es-ES"/>
        </w:rPr>
      </w:pPr>
      <w:r w:rsidRPr="00993936">
        <w:rPr>
          <w:rFonts w:ascii="Arial" w:hAnsi="Arial" w:cs="Arial"/>
          <w:i/>
          <w:lang w:val="es-ES"/>
        </w:rPr>
        <w:t>24.1 Obligaciones</w:t>
      </w:r>
    </w:p>
    <w:p w:rsidR="00503A41" w:rsidRPr="00993936" w:rsidRDefault="00503A41" w:rsidP="0009331F">
      <w:pPr>
        <w:jc w:val="both"/>
        <w:rPr>
          <w:rFonts w:ascii="Arial" w:hAnsi="Arial" w:cs="Arial"/>
          <w:lang w:val="es-ES"/>
        </w:rPr>
      </w:pPr>
      <w:r w:rsidRPr="00993936">
        <w:rPr>
          <w:rFonts w:ascii="Arial" w:hAnsi="Arial" w:cs="Arial"/>
          <w:lang w:val="es-ES"/>
        </w:rPr>
        <w:t>24.1.1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503A41" w:rsidRPr="00993936" w:rsidRDefault="00503A41" w:rsidP="0009331F">
      <w:pPr>
        <w:jc w:val="both"/>
        <w:rPr>
          <w:rFonts w:ascii="Arial" w:hAnsi="Arial" w:cs="Arial"/>
          <w:lang w:val="es-ES"/>
        </w:rPr>
      </w:pPr>
      <w:r w:rsidRPr="00993936">
        <w:rPr>
          <w:rFonts w:ascii="Arial" w:hAnsi="Arial" w:cs="Arial"/>
          <w:lang w:val="es-ES"/>
        </w:rPr>
        <w:t>24.1.2 La utilización del distintivo de garantía de producción integrada, en las etiquetas de los envases, frutos y otros sitios</w:t>
      </w:r>
      <w:r w:rsidRPr="00993936">
        <w:rPr>
          <w:rFonts w:ascii="Arial" w:hAnsi="Arial" w:cs="Arial"/>
          <w:vanish/>
          <w:lang w:val="es-ES"/>
        </w:rPr>
        <w:t>&lt;A[lugares|sitios]&gt;</w:t>
      </w:r>
      <w:r w:rsidRPr="00993936">
        <w:rPr>
          <w:rFonts w:ascii="Arial" w:hAnsi="Arial" w:cs="Arial"/>
          <w:lang w:val="es-ES"/>
        </w:rPr>
        <w:t>, se ajustará al sistema establecido por el libro de estilo del Consejo Catalán de la Producción Integrada.</w:t>
      </w:r>
    </w:p>
    <w:p w:rsidR="00503A41" w:rsidRPr="00993936" w:rsidRDefault="00503A41" w:rsidP="0009331F">
      <w:pPr>
        <w:jc w:val="both"/>
        <w:rPr>
          <w:rFonts w:ascii="Arial" w:hAnsi="Arial" w:cs="Arial"/>
          <w:lang w:val="es-ES"/>
        </w:rPr>
      </w:pPr>
      <w:r w:rsidRPr="00993936">
        <w:rPr>
          <w:rFonts w:ascii="Arial" w:hAnsi="Arial" w:cs="Arial"/>
          <w:lang w:val="es-ES"/>
        </w:rPr>
        <w:lastRenderedPageBreak/>
        <w:t>24.1.3 La concesión del distintivo de garantía de producción integrada será concedido por el Consejo.</w:t>
      </w:r>
    </w:p>
    <w:p w:rsidR="00503A41" w:rsidRPr="00993936" w:rsidRDefault="00503A41" w:rsidP="0009331F">
      <w:pPr>
        <w:jc w:val="both"/>
        <w:rPr>
          <w:rFonts w:ascii="Arial" w:hAnsi="Arial" w:cs="Arial"/>
          <w:i/>
          <w:lang w:val="es-ES"/>
        </w:rPr>
      </w:pPr>
      <w:r w:rsidRPr="00993936">
        <w:rPr>
          <w:rFonts w:ascii="Arial" w:hAnsi="Arial" w:cs="Arial"/>
          <w:i/>
          <w:lang w:val="es-ES"/>
        </w:rPr>
        <w:t>24.2 Prohibiciones</w:t>
      </w:r>
    </w:p>
    <w:p w:rsidR="00503A41" w:rsidRPr="00993936" w:rsidRDefault="00503A41" w:rsidP="0009331F">
      <w:pPr>
        <w:jc w:val="both"/>
        <w:rPr>
          <w:rFonts w:ascii="Arial" w:hAnsi="Arial" w:cs="Arial"/>
          <w:lang w:val="es-ES"/>
        </w:rPr>
      </w:pPr>
      <w:r w:rsidRPr="00993936">
        <w:rPr>
          <w:rFonts w:ascii="Arial" w:hAnsi="Arial" w:cs="Arial"/>
          <w:lang w:val="es-ES"/>
        </w:rPr>
        <w:t xml:space="preserve">24.2.1 Utilización del distintivo de garantía, sin disponer de la preceptiva certificación. </w:t>
      </w:r>
    </w:p>
    <w:p w:rsidR="00503A41" w:rsidRPr="00993936" w:rsidRDefault="00503A41" w:rsidP="0009331F">
      <w:pPr>
        <w:jc w:val="both"/>
        <w:rPr>
          <w:rFonts w:ascii="Arial" w:hAnsi="Arial" w:cs="Arial"/>
          <w:lang w:val="es-ES"/>
        </w:rPr>
      </w:pPr>
      <w:r w:rsidRPr="00993936">
        <w:rPr>
          <w:rFonts w:ascii="Arial" w:hAnsi="Arial" w:cs="Arial"/>
          <w:lang w:val="es-ES"/>
        </w:rPr>
        <w:br w:type="page"/>
      </w:r>
    </w:p>
    <w:p w:rsidR="00503A41" w:rsidRPr="00993936" w:rsidRDefault="00503A41" w:rsidP="001D205D">
      <w:pPr>
        <w:pStyle w:val="Sinespaciado"/>
        <w:rPr>
          <w:rFonts w:ascii="Arial" w:hAnsi="Arial" w:cs="Arial"/>
          <w:b/>
          <w:sz w:val="24"/>
          <w:lang w:val="es-ES"/>
        </w:rPr>
      </w:pPr>
      <w:r w:rsidRPr="00993936">
        <w:rPr>
          <w:rFonts w:ascii="Arial" w:hAnsi="Arial" w:cs="Arial"/>
          <w:b/>
          <w:sz w:val="24"/>
          <w:lang w:val="es-ES"/>
        </w:rPr>
        <w:lastRenderedPageBreak/>
        <w:t>Anexo XII. Norma técnica de producción integrada de aceite de oliva.</w:t>
      </w:r>
    </w:p>
    <w:p w:rsidR="00503A41" w:rsidRPr="00993936" w:rsidRDefault="00503A41" w:rsidP="001D205D">
      <w:pPr>
        <w:pStyle w:val="Sinespaciado"/>
        <w:rPr>
          <w:rFonts w:ascii="Arial" w:hAnsi="Arial" w:cs="Arial"/>
          <w:snapToGrid w:val="0"/>
          <w:lang w:val="es-ES"/>
        </w:rPr>
      </w:pPr>
    </w:p>
    <w:p w:rsidR="00503A41" w:rsidRPr="00993936" w:rsidRDefault="00503A41" w:rsidP="001D205D">
      <w:pPr>
        <w:pStyle w:val="Sinespaciado"/>
        <w:rPr>
          <w:rFonts w:ascii="Arial" w:hAnsi="Arial" w:cs="Arial"/>
          <w:snapToGrid w:val="0"/>
          <w:lang w:val="es-ES"/>
        </w:rPr>
      </w:pPr>
      <w:r w:rsidRPr="00993936">
        <w:rPr>
          <w:rFonts w:ascii="Arial" w:hAnsi="Arial" w:cs="Arial"/>
          <w:snapToGrid w:val="0"/>
          <w:lang w:val="es-ES"/>
        </w:rPr>
        <w:t>Artículo 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Transporte del fruto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1.1  </w:t>
      </w:r>
      <w:r w:rsidRPr="00993936">
        <w:rPr>
          <w:rFonts w:ascii="Arial" w:hAnsi="Arial" w:cs="Arial"/>
          <w:i/>
          <w:snapToGrid w:val="0"/>
          <w:lang w:val="es-ES"/>
        </w:rPr>
        <w:t>Obligaciones</w:t>
      </w:r>
      <w:r w:rsidRPr="00993936">
        <w:rPr>
          <w:rFonts w:ascii="Arial" w:hAnsi="Arial" w:cs="Arial"/>
          <w:snapToGrid w:val="0"/>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1.1.1 Realizar el transporte separado de frutos en fun</w:t>
      </w:r>
      <w:r w:rsidRPr="00993936">
        <w:rPr>
          <w:rFonts w:ascii="Arial" w:hAnsi="Arial" w:cs="Arial"/>
          <w:lang w:val="es-ES"/>
        </w:rPr>
        <w:t>ción de su calidad (tierra, árbol y estado sanitario).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1.1.2 Utilizar métodos que permitan mantener intac</w:t>
      </w:r>
      <w:r w:rsidRPr="00993936">
        <w:rPr>
          <w:rFonts w:ascii="Arial" w:hAnsi="Arial" w:cs="Arial"/>
          <w:snapToGrid w:val="0"/>
          <w:lang w:val="es-ES"/>
        </w:rPr>
        <w:t>ta la integridad del fruto y que aseguren la respiración de la aceituna.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1.1.3 Los vehículos que lleguen a las instalaciones deben estar en condiciones de higiene adecuadas y cargados exclusivamente con aceitunas.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1.1.4 Habrá una separación física, definida y señalizada, de los productos vegetales que proceden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1.1.5 Realizar una inspección visual de las partidas de productos vegetales cuando lleguen a la recepción, establecer un sistema de verificación de la calidad de los productos que entran. Habrá un registro de incidencias En caso de incumplimiento. Las partidas que no cumplan los requisitos anteriores se dejarán de considerar como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1.1.6   Antes de cargar todos los elementos de transporte deben estar limpios</w:t>
      </w:r>
      <w:r w:rsidRPr="00993936">
        <w:rPr>
          <w:rFonts w:ascii="Arial" w:hAnsi="Arial" w:cs="Arial"/>
          <w:vanish/>
          <w:lang w:val="es-ES"/>
        </w:rPr>
        <w:t>&lt;A[limpios|netos]&gt;</w:t>
      </w:r>
      <w:r w:rsidRPr="00993936">
        <w:rPr>
          <w:rFonts w:ascii="Arial" w:hAnsi="Arial" w:cs="Arial"/>
          <w:lang w:val="es-ES"/>
        </w:rPr>
        <w:t>, en buen estado y exentos de plagas</w:t>
      </w:r>
      <w:r w:rsidRPr="00993936">
        <w:rPr>
          <w:rFonts w:ascii="Arial" w:hAnsi="Arial" w:cs="Arial"/>
          <w:vanish/>
          <w:lang w:val="es-ES"/>
        </w:rPr>
        <w:t>&lt;A[pestes|pudores]&gt;</w:t>
      </w:r>
      <w:r w:rsidRPr="00993936">
        <w:rPr>
          <w:rFonts w:ascii="Arial" w:hAnsi="Arial" w:cs="Arial"/>
          <w:lang w:val="es-ES"/>
        </w:rPr>
        <w:t xml:space="preserve"> y objetos extraños.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1.2.1 Transportar de forma conjunta cualquier material diferente a la oliva. (Personas, utensilios, maquinaria, etc.).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1.2.2 Utilizar sacos no transpirables u otros tipos de envases que se hayan utilizado para usos no alimenticios.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1.2.3 Almacenar productos químicos y desperdicios en la zona de recepción de productos vegetales.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1.3.1 Utilizar en el transporte a granel remolques que eviten la sobrepresión sobre los frutos, a ser posible basculantes, procurando que el fruto no coja gran altura.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1.3.2 Utilizar cajas o recipientes apilables, de capacidad reducida, que permitan la respiración del fruto.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Contenedores y receptáculos de vehículos</w:t>
      </w:r>
    </w:p>
    <w:p w:rsidR="00503A41" w:rsidRPr="00993936" w:rsidRDefault="00503A41" w:rsidP="001D205D">
      <w:pPr>
        <w:pStyle w:val="Sinespaciado"/>
        <w:jc w:val="both"/>
        <w:rPr>
          <w:rFonts w:ascii="Arial" w:hAnsi="Arial" w:cs="Arial"/>
        </w:rPr>
      </w:pPr>
      <w:r w:rsidRPr="00993936">
        <w:rPr>
          <w:rFonts w:ascii="Arial" w:hAnsi="Arial" w:cs="Arial"/>
        </w:rPr>
        <w:t xml:space="preserve">2.1 </w:t>
      </w:r>
      <w:r w:rsidRPr="00993936">
        <w:rPr>
          <w:rFonts w:ascii="Arial" w:hAnsi="Arial" w:cs="Arial"/>
          <w:i/>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2.1.1  Los receptáculos y contenedores de los vehículos utilizados para transportar las aceitunas deben estar limpios</w:t>
      </w:r>
      <w:r w:rsidRPr="00993936">
        <w:rPr>
          <w:rFonts w:ascii="Arial" w:hAnsi="Arial" w:cs="Arial"/>
          <w:vanish/>
          <w:lang w:val="es-ES"/>
        </w:rPr>
        <w:t>&lt;A[limpios|netos]&gt;</w:t>
      </w:r>
      <w:r w:rsidRPr="00993936">
        <w:rPr>
          <w:rFonts w:ascii="Arial" w:hAnsi="Arial" w:cs="Arial"/>
          <w:lang w:val="es-ES"/>
        </w:rPr>
        <w:t xml:space="preserve"> y en condiciones adecuadas de mantenimiento, para protegerlos de la contaminación. Su forma y composición deben permitir una limpieza y desinfección adecuadas.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2.1.2  Cuando se utilicen los receptáculos de vehículos o contenedores para transportar una carga diferente a las aceitunas o productos alimentarios, se tiene que proceder a realizar una limpieza eficaz entre cargas para evitar el riesgo de contaminación.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2.1.3 Conservar limpios</w:t>
      </w:r>
      <w:r w:rsidRPr="00993936">
        <w:rPr>
          <w:rFonts w:ascii="Arial" w:hAnsi="Arial" w:cs="Arial"/>
          <w:vanish/>
          <w:lang w:val="es-ES"/>
        </w:rPr>
        <w:t>&lt;A[limpios|netos]&gt;</w:t>
      </w:r>
      <w:r w:rsidRPr="00993936">
        <w:rPr>
          <w:rFonts w:ascii="Arial" w:hAnsi="Arial" w:cs="Arial"/>
          <w:lang w:val="es-ES"/>
        </w:rPr>
        <w:t xml:space="preserve"> los cajones y recipientes utilizados para transportar y recolectar las aceitunas y desinfectarlos cuando sea necesario.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Recepción de aceitunas</w:t>
      </w:r>
    </w:p>
    <w:p w:rsidR="00503A41" w:rsidRPr="00993936" w:rsidRDefault="00503A41" w:rsidP="001D205D">
      <w:pPr>
        <w:pStyle w:val="Sinespaciado"/>
        <w:jc w:val="both"/>
        <w:rPr>
          <w:rFonts w:ascii="Arial" w:hAnsi="Arial" w:cs="Arial"/>
        </w:rPr>
      </w:pPr>
      <w:r w:rsidRPr="00993936">
        <w:rPr>
          <w:rFonts w:ascii="Arial" w:hAnsi="Arial" w:cs="Arial"/>
        </w:rPr>
        <w:t xml:space="preserve">3.1 </w:t>
      </w:r>
      <w:r w:rsidRPr="00993936">
        <w:rPr>
          <w:rFonts w:ascii="Arial" w:hAnsi="Arial" w:cs="Arial"/>
          <w:i/>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3.1.1 Realizar una declaración de responsabilidad del agricultor de la identificación de los frutos procedentes de parcelas acogidas a  producción integrada.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3.1.2 Establecer un registro de las partidas que entran, donde conste como mínimo: el producto, la cantidad y la unidad de cultivo con tratamientos homogéneos de origen.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lastRenderedPageBreak/>
        <w:t xml:space="preserve">3.1.3 </w:t>
      </w:r>
      <w:r w:rsidRPr="00993936">
        <w:rPr>
          <w:rFonts w:ascii="Arial" w:hAnsi="Arial" w:cs="Arial"/>
          <w:lang w:val="es-ES"/>
        </w:rPr>
        <w:t xml:space="preserve">Realizar una inspección visual de las partidas de aceitunas en la recepción, estableciendo un sistema de verificación de la calidad de los productos entrantes. Habrá un registro de incidencias En caso de incumplimiento. Las partidas que no cumplan los requisitos anteriores deben dejar de considerarse de producción integrada. Recogiéndose en un procedimiento interno las posibilidades de otras vías de comercialización. </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3.1.4 Establecer</w:t>
      </w:r>
      <w:r w:rsidRPr="00993936">
        <w:rPr>
          <w:rFonts w:ascii="Arial" w:hAnsi="Arial" w:cs="Arial"/>
          <w:spacing w:val="-2"/>
          <w:lang w:val="es-ES"/>
        </w:rPr>
        <w:t xml:space="preserve"> un sistema para verificar el índice de madurez y la calidad de los productos que entren.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3.1.5 En la entrada de aceitunas deben estar perfectamente diferenciadas las del suelo y las del árbol.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3.1.6 Los vehículos que lleguen a las instalaciones deberán tener unas adecuadas condiciones de higiene y estar cargados exclusivamente con aceitunas.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3.1.7 Establecer un registro de incidencias. Las partidas que no cumplan los requisitos anteriores dejarán de ser consideradas como de “Producción Integrada”.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3.2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 Aceptar para la Producción Integrada frutos procedentes del suelo o que presentan algún tipo de deterioro que comprometa la calidad del aceite.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3.3.1 Efectuar una recolección temprana y e</w:t>
      </w:r>
      <w:r w:rsidRPr="00993936">
        <w:rPr>
          <w:rFonts w:ascii="Arial" w:hAnsi="Arial" w:cs="Arial"/>
          <w:lang w:val="es-ES"/>
        </w:rPr>
        <w:t>stablecer un límite en el índice de maduración de frutos para su aceptación.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3.3.2 Realizar una toma de muestra de frutos sistematizada para la realización de determinaciones analíticas de calidad.</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Instalaciones de recepción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napToGrid w:val="0"/>
          <w:lang w:val="es-ES"/>
        </w:rPr>
        <w:t>4.1.1 Utilizar tolvas de recepción que permitan una adecuada circulación del</w:t>
      </w:r>
      <w:r w:rsidRPr="00993936">
        <w:rPr>
          <w:rFonts w:ascii="Arial" w:hAnsi="Arial" w:cs="Arial"/>
          <w:lang w:val="es-ES"/>
        </w:rPr>
        <w:t xml:space="preserve"> fruto.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4.1.2 Establecer una separación real, definida y debidamente señalizada, en el tiempo y/o en el espacio, de líneas de recepción, limpieza y almacenamiento de las aceitunas procedentes de producción integrada.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4.1.3 Mantener una limpieza permanente de las zonas de recepción.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4.1.4 Utilizar cintas transportadoras con bandas</w:t>
      </w:r>
      <w:r w:rsidRPr="00993936">
        <w:rPr>
          <w:rFonts w:ascii="Arial" w:hAnsi="Arial" w:cs="Arial"/>
          <w:snapToGrid w:val="0"/>
          <w:vanish/>
          <w:lang w:val="es-ES"/>
        </w:rPr>
        <w:t>&lt;A[bandas|lados]&gt;</w:t>
      </w:r>
      <w:r w:rsidRPr="00993936">
        <w:rPr>
          <w:rFonts w:ascii="Arial" w:hAnsi="Arial" w:cs="Arial"/>
          <w:snapToGrid w:val="0"/>
          <w:lang w:val="es-ES"/>
        </w:rPr>
        <w:t xml:space="preserve"> de calidad alimentaria.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4.1.5 Disponer de una zona de lavado y desinfección de los envases o cajas de campo, en local separado de las otras instalaciones de recepción.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4.1.6 Las instalaciones de recepción deberán tener en cuenta las posibles adversidades meteorológicas disponiendo de las oportunas protecciones y cubiertas necesarias para evitar el deterioro de las aceitunas.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4.1.7 Las zonas donde maniobran los vehículos estarán pavimentadas, serán amplias para la carga y la descarga y dispondrán de sistemas de evacuación de aguas pluviales.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4.1.8 Los muelles de descarga y las tolvas se utilizarán de manera independiente, en el tiempo y/o en el espacio y estarán debidamente señalizados para los productos de producción integrada.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4.2.1 Recubrir el interior de las tolvas de recepción con pinturas, a menos que estas sean de calidad alimentaria.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4.2.2 Utilizar aceites y lubricantes de uso no alimentario en los sistemas hidráulicos.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4.2.3 Almacenar productos químicos y desperdicios en la zona de recepción de las aceitunas.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4.3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4.3.1 Utilizar tolvas de recepción construidas con materiales inertes.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4.3.2 </w:t>
      </w:r>
      <w:r w:rsidRPr="00993936">
        <w:rPr>
          <w:rFonts w:ascii="Arial" w:hAnsi="Arial" w:cs="Arial"/>
          <w:snapToGrid w:val="0"/>
          <w:lang w:val="es-ES"/>
        </w:rPr>
        <w:t>Utilizar tolvas que evitan el deterioro de las aceitunas.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lastRenderedPageBreak/>
        <w:t>Acondicionamiento</w:t>
      </w:r>
      <w:r w:rsidRPr="00993936">
        <w:rPr>
          <w:rFonts w:ascii="Arial" w:hAnsi="Arial" w:cs="Arial"/>
          <w:b/>
          <w:vanish/>
          <w:lang w:val="es-ES"/>
        </w:rPr>
        <w:t>&lt;A[Acondicionamiento|Condicionamiento]&gt;</w:t>
      </w:r>
      <w:r w:rsidRPr="00993936">
        <w:rPr>
          <w:rFonts w:ascii="Arial" w:hAnsi="Arial" w:cs="Arial"/>
          <w:b/>
          <w:lang w:val="es-ES"/>
        </w:rPr>
        <w:t xml:space="preserve"> del fruto</w:t>
      </w:r>
    </w:p>
    <w:p w:rsidR="00503A41" w:rsidRPr="00993936" w:rsidRDefault="00503A41" w:rsidP="001D205D">
      <w:pPr>
        <w:pStyle w:val="Sinespaciado"/>
        <w:jc w:val="both"/>
        <w:rPr>
          <w:rFonts w:ascii="Arial" w:hAnsi="Arial" w:cs="Arial"/>
        </w:rPr>
      </w:pPr>
      <w:r w:rsidRPr="00993936">
        <w:rPr>
          <w:rFonts w:ascii="Arial" w:hAnsi="Arial" w:cs="Arial"/>
        </w:rPr>
        <w:t xml:space="preserve">5.1 </w:t>
      </w:r>
      <w:r w:rsidRPr="00993936">
        <w:rPr>
          <w:rFonts w:ascii="Arial" w:hAnsi="Arial" w:cs="Arial"/>
          <w:i/>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5.1.1 Acondicionar los frutos pasándoles por la limpiadora.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5.1.2 Realizar la limpieza de las aceitunas con equipos apropiados que preserven su integridad.</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5.1.3 Mantener una limpieza permanente de los sistemas de acondicionamiento</w:t>
      </w:r>
      <w:r w:rsidRPr="00993936">
        <w:rPr>
          <w:rFonts w:ascii="Arial" w:hAnsi="Arial" w:cs="Arial"/>
          <w:snapToGrid w:val="0"/>
          <w:vanish/>
          <w:lang w:val="es-ES"/>
        </w:rPr>
        <w:t>&lt;A[acondicionamiento|condicionamiento]&gt;</w:t>
      </w:r>
      <w:r w:rsidRPr="00993936">
        <w:rPr>
          <w:rFonts w:ascii="Arial" w:hAnsi="Arial" w:cs="Arial"/>
          <w:snapToGrid w:val="0"/>
          <w:lang w:val="es-ES"/>
        </w:rPr>
        <w:t xml:space="preserve"> de las aceitunas.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5.1.4 Las técnicas e instalaciones del almacenamiento tenderán al mantenimiento de la calidad y las características organolépticas de las aceitunas.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5.1.5 Los recipientes de evacuación de residuos serán exclusivamente para</w:t>
      </w:r>
      <w:r w:rsidRPr="00993936">
        <w:rPr>
          <w:rFonts w:ascii="Arial" w:hAnsi="Arial" w:cs="Arial"/>
          <w:vanish/>
          <w:lang w:val="es-ES"/>
        </w:rPr>
        <w:t>&lt;A[por|para]&gt;</w:t>
      </w:r>
      <w:r w:rsidRPr="00993936">
        <w:rPr>
          <w:rFonts w:ascii="Arial" w:hAnsi="Arial" w:cs="Arial"/>
          <w:lang w:val="es-ES"/>
        </w:rPr>
        <w:t xml:space="preserve"> esta finalidad y se limpiarán periódicamente, para lo cual se establecerá un plan</w:t>
      </w:r>
      <w:r w:rsidRPr="00993936">
        <w:rPr>
          <w:rFonts w:ascii="Arial" w:hAnsi="Arial" w:cs="Arial"/>
          <w:vanish/>
          <w:lang w:val="es-ES"/>
        </w:rPr>
        <w:t>&lt;A[plan|plano]&gt;</w:t>
      </w:r>
      <w:r w:rsidRPr="00993936">
        <w:rPr>
          <w:rFonts w:ascii="Arial" w:hAnsi="Arial" w:cs="Arial"/>
          <w:lang w:val="es-ES"/>
        </w:rPr>
        <w:t xml:space="preserve"> de limpieza al respecto.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5.1.6 Cuando</w:t>
      </w:r>
      <w:r w:rsidRPr="00993936">
        <w:rPr>
          <w:rFonts w:ascii="Arial" w:hAnsi="Arial" w:cs="Arial"/>
          <w:vanish/>
          <w:lang w:val="es-ES"/>
        </w:rPr>
        <w:t>&lt;A[Cuando|Cuándo]&gt;</w:t>
      </w:r>
      <w:r w:rsidRPr="00993936">
        <w:rPr>
          <w:rFonts w:ascii="Arial" w:hAnsi="Arial" w:cs="Arial"/>
          <w:lang w:val="es-ES"/>
        </w:rPr>
        <w:t xml:space="preserve"> se recircule el agua de lavado de los productos, se debe filtrar y tratar de manera que no comprometa la salubridad de las aceitunas.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5.2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5.2.1  Utilizar para el lavado de los frutos agua no potable, de acuerdo con la normativa vigente, y para el resto de usos las que superen los parámetros establecidos a la normativa de aplicación.</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 xml:space="preserve">5.3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5.3.1 No lavar los frutos del árbol salvo incidencias especiales y siempre con agua limpia</w:t>
      </w:r>
      <w:r w:rsidRPr="00993936">
        <w:rPr>
          <w:rFonts w:ascii="Arial" w:hAnsi="Arial" w:cs="Arial"/>
          <w:vanish/>
          <w:lang w:val="es-ES"/>
        </w:rPr>
        <w:t>&lt;A[limpia|neta]&gt;</w:t>
      </w:r>
      <w:r w:rsidRPr="00993936">
        <w:rPr>
          <w:rFonts w:ascii="Arial" w:hAnsi="Arial" w:cs="Arial"/>
          <w:lang w:val="es-ES"/>
        </w:rPr>
        <w:t xml:space="preserve"> y en circuito abierto, dejando registros de los motivos y partidas afectadas, así como las condiciones del lavado efectuado</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6</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Sistemas de pesado, toma de muestras y control de calidad</w:t>
      </w:r>
    </w:p>
    <w:p w:rsidR="00503A41" w:rsidRPr="00993936" w:rsidRDefault="00503A41" w:rsidP="001D205D">
      <w:pPr>
        <w:pStyle w:val="Sinespaciado"/>
        <w:jc w:val="both"/>
        <w:rPr>
          <w:rFonts w:ascii="Arial" w:hAnsi="Arial" w:cs="Arial"/>
        </w:rPr>
      </w:pPr>
      <w:r w:rsidRPr="00993936">
        <w:rPr>
          <w:rFonts w:ascii="Arial" w:hAnsi="Arial" w:cs="Arial"/>
        </w:rPr>
        <w:t xml:space="preserve">6.1 </w:t>
      </w:r>
      <w:r w:rsidRPr="00993936">
        <w:rPr>
          <w:rFonts w:ascii="Arial" w:hAnsi="Arial" w:cs="Arial"/>
          <w:i/>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6.1.1 Una vez limpia</w:t>
      </w:r>
      <w:r w:rsidRPr="00993936">
        <w:rPr>
          <w:rFonts w:ascii="Arial" w:hAnsi="Arial" w:cs="Arial"/>
          <w:snapToGrid w:val="0"/>
          <w:vanish/>
          <w:lang w:val="es-ES"/>
        </w:rPr>
        <w:t>&lt;A[limpia|neta]&gt;</w:t>
      </w:r>
      <w:r w:rsidRPr="00993936">
        <w:rPr>
          <w:rFonts w:ascii="Arial" w:hAnsi="Arial" w:cs="Arial"/>
          <w:snapToGrid w:val="0"/>
          <w:lang w:val="es-ES"/>
        </w:rPr>
        <w:t xml:space="preserve"> la aceituna, se procederá a la toma de muestras y a pesarla. Deberán existir registros para garantizar la identificación de las muestras y las partidas recibidas.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6.1.2 Todas las partidas recibidas deberán pasar un control de calidad, anotando los datos en un registro que acompañará a la muestra y que se tendrá que conservar. Se establecerá un procedimiento de toma de muestras que garantice su representatividad y que incluya circunstancias y situaciones excepcionales que pudieran producirse (variedad, sanidad, limpieza, etc.).</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6.2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6.2.1 Las determinaciones analíticas mínimas serán: humedad, contenido de aceite y acidez. Convendrá conservar el registro de los datos de las determinaciones efectuadas los boletines de análisis de cada muestra durante un periodo mínimo de 3 años.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7</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pacing w:val="-2"/>
          <w:lang w:val="es-ES"/>
        </w:rPr>
        <w:t>Instalaciones de acondicionamiento</w:t>
      </w:r>
      <w:r w:rsidRPr="00993936">
        <w:rPr>
          <w:rFonts w:ascii="Arial" w:hAnsi="Arial" w:cs="Arial"/>
          <w:b/>
          <w:vanish/>
          <w:spacing w:val="-2"/>
          <w:lang w:val="es-ES"/>
        </w:rPr>
        <w:t>&lt;A[acondicionamiento|condicionamiento]&gt;</w:t>
      </w:r>
      <w:r w:rsidRPr="00993936">
        <w:rPr>
          <w:rFonts w:ascii="Arial" w:hAnsi="Arial" w:cs="Arial"/>
          <w:b/>
          <w:spacing w:val="-2"/>
          <w:lang w:val="es-ES"/>
        </w:rPr>
        <w:t xml:space="preserve"> del fruto</w:t>
      </w:r>
      <w:r w:rsidRPr="00993936">
        <w:rPr>
          <w:rFonts w:ascii="Arial" w:hAnsi="Arial" w:cs="Arial"/>
          <w:b/>
          <w:snapToGrid w:val="0"/>
          <w:lang w:val="es-ES"/>
        </w:rPr>
        <w:t xml:space="preserve"> </w:t>
      </w:r>
    </w:p>
    <w:p w:rsidR="00503A41" w:rsidRPr="00993936" w:rsidRDefault="00503A41" w:rsidP="001D205D">
      <w:pPr>
        <w:pStyle w:val="Sinespaciado"/>
        <w:jc w:val="both"/>
        <w:rPr>
          <w:rFonts w:ascii="Arial" w:hAnsi="Arial" w:cs="Arial"/>
        </w:rPr>
      </w:pPr>
      <w:r w:rsidRPr="00993936">
        <w:rPr>
          <w:rFonts w:ascii="Arial" w:hAnsi="Arial" w:cs="Arial"/>
        </w:rPr>
        <w:t xml:space="preserve">7.1 </w:t>
      </w:r>
      <w:r w:rsidRPr="00993936">
        <w:rPr>
          <w:rFonts w:ascii="Arial" w:hAnsi="Arial" w:cs="Arial"/>
          <w:i/>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7.1.1 Realizar la limpieza del fruto con equipos apropiados que preserven la integridad de la aceituna.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7.1.2 Mantener una limpieza permanente de los sistemas de acondicionamiento</w:t>
      </w:r>
      <w:r w:rsidRPr="00993936">
        <w:rPr>
          <w:rFonts w:ascii="Arial" w:hAnsi="Arial" w:cs="Arial"/>
          <w:snapToGrid w:val="0"/>
          <w:vanish/>
          <w:lang w:val="es-ES"/>
        </w:rPr>
        <w:t>&lt;A[acondicionamiento|condicionamiento]&gt;</w:t>
      </w:r>
      <w:r w:rsidRPr="00993936">
        <w:rPr>
          <w:rFonts w:ascii="Arial" w:hAnsi="Arial" w:cs="Arial"/>
          <w:snapToGrid w:val="0"/>
          <w:lang w:val="es-ES"/>
        </w:rPr>
        <w:t xml:space="preserve"> del fruto.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7.2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7.2.1 Utilizar aceites minerales en los circuitos hidráulicos de las pesadoras continuas.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7.3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7.3.1 Utilizar limpiadoras y lavadoras de acero inoxidable.</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8</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Almacenamiento de la aceituna</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lastRenderedPageBreak/>
        <w:t xml:space="preserve">8.1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8.1.1 Realizar la molturación del fruto antes de 36 horas desde su entrada.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8.1.2 Cuando la entrada de aceitunas sea en cajas de campo, estas deberán estar limpias</w:t>
      </w:r>
      <w:r w:rsidRPr="00993936">
        <w:rPr>
          <w:rFonts w:ascii="Arial" w:hAnsi="Arial" w:cs="Arial"/>
          <w:vanish/>
          <w:spacing w:val="-2"/>
          <w:lang w:val="es-ES"/>
        </w:rPr>
        <w:t>&lt;A[limpias|netas]&gt;</w:t>
      </w:r>
      <w:r w:rsidRPr="00993936">
        <w:rPr>
          <w:rFonts w:ascii="Arial" w:hAnsi="Arial" w:cs="Arial"/>
          <w:spacing w:val="-2"/>
          <w:lang w:val="es-ES"/>
        </w:rPr>
        <w:t xml:space="preserve">. La limpieza se realizará periódicamente con productos autorizados para la industria alimentaria.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8.1.3 Realizar la limpieza, la desinfección y la lucha contra los parásitos de los lugares</w:t>
      </w:r>
      <w:r w:rsidRPr="00993936">
        <w:rPr>
          <w:rFonts w:ascii="Arial" w:hAnsi="Arial" w:cs="Arial"/>
          <w:vanish/>
          <w:lang w:val="es-ES"/>
        </w:rPr>
        <w:t>&lt;A[lugares|sitios]&gt;</w:t>
      </w:r>
      <w:r w:rsidRPr="00993936">
        <w:rPr>
          <w:rFonts w:ascii="Arial" w:hAnsi="Arial" w:cs="Arial"/>
          <w:lang w:val="es-ES"/>
        </w:rPr>
        <w:t xml:space="preserve"> del almacenamiento de manera que no se produzca ningún tipo de contaminación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8.1.4 La evacuación de los residuos se realizará con recipientes exclusivos para esta finalidad, que se limpiarán periódicamente, por</w:t>
      </w:r>
      <w:r w:rsidRPr="00993936">
        <w:rPr>
          <w:rFonts w:ascii="Arial" w:hAnsi="Arial" w:cs="Arial"/>
          <w:vanish/>
          <w:lang w:val="es-ES"/>
        </w:rPr>
        <w:t>&lt;A[por|para]&gt;</w:t>
      </w:r>
      <w:r w:rsidRPr="00993936">
        <w:rPr>
          <w:rFonts w:ascii="Arial" w:hAnsi="Arial" w:cs="Arial"/>
          <w:lang w:val="es-ES"/>
        </w:rPr>
        <w:t xml:space="preserve"> lo cual habrá que establecer un plan</w:t>
      </w:r>
      <w:r w:rsidRPr="00993936">
        <w:rPr>
          <w:rFonts w:ascii="Arial" w:hAnsi="Arial" w:cs="Arial"/>
          <w:vanish/>
          <w:lang w:val="es-ES"/>
        </w:rPr>
        <w:t>&lt;A[plan|plano]&gt;</w:t>
      </w:r>
      <w:r w:rsidRPr="00993936">
        <w:rPr>
          <w:rFonts w:ascii="Arial" w:hAnsi="Arial" w:cs="Arial"/>
          <w:lang w:val="es-ES"/>
        </w:rPr>
        <w:t xml:space="preserve"> de limpieza al respecto.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8.2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8.2.1 Realizar el almacenamiento del fruto en trujales.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8.2.2 La utilización de productos químicos de síntesis para la lucha de plagas y parásitos del almacén, salvo los casos que estén justificados técnicamente donde se utilizarán sustancias activas autorizadas en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8.2.3 Almacenar productos químicos o desperdicios en la zona de almacenamiento de los productos envasados.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9</w:t>
      </w:r>
    </w:p>
    <w:p w:rsidR="00503A41" w:rsidRPr="00993936" w:rsidRDefault="00503A41" w:rsidP="001D205D">
      <w:pPr>
        <w:pStyle w:val="Sinespaciado"/>
        <w:jc w:val="both"/>
        <w:rPr>
          <w:rFonts w:ascii="Arial" w:hAnsi="Arial" w:cs="Arial"/>
          <w:b/>
          <w:u w:val="single"/>
        </w:rPr>
      </w:pPr>
      <w:r w:rsidRPr="00993936">
        <w:rPr>
          <w:rFonts w:ascii="Arial" w:hAnsi="Arial" w:cs="Arial"/>
          <w:b/>
          <w:spacing w:val="-2"/>
        </w:rPr>
        <w:t>Instalaciones de almacenamiento de aceituna</w:t>
      </w:r>
      <w:r w:rsidRPr="00993936">
        <w:rPr>
          <w:rFonts w:ascii="Arial" w:hAnsi="Arial" w:cs="Arial"/>
          <w:b/>
        </w:rPr>
        <w:t xml:space="preserve"> </w:t>
      </w:r>
    </w:p>
    <w:p w:rsidR="00503A41" w:rsidRPr="00993936" w:rsidRDefault="00503A41" w:rsidP="001D205D">
      <w:pPr>
        <w:pStyle w:val="Sinespaciado"/>
        <w:jc w:val="both"/>
        <w:rPr>
          <w:rFonts w:ascii="Arial" w:hAnsi="Arial" w:cs="Arial"/>
        </w:rPr>
      </w:pPr>
      <w:r w:rsidRPr="00993936">
        <w:rPr>
          <w:rFonts w:ascii="Arial" w:hAnsi="Arial" w:cs="Arial"/>
        </w:rPr>
        <w:t xml:space="preserve">9.1 </w:t>
      </w:r>
      <w:r w:rsidRPr="00993936">
        <w:rPr>
          <w:rFonts w:ascii="Arial" w:hAnsi="Arial" w:cs="Arial"/>
          <w:i/>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9.1.1. Utilizar tolvas de almacenamiento, cuyo diseño permita una adecuada circulación de la aceituna.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9.1.2 Mantener una limpieza sistemática de las tolvas de almacenamiento.</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9.1.3 La zona de </w:t>
      </w:r>
      <w:r w:rsidRPr="00993936">
        <w:rPr>
          <w:rFonts w:ascii="Arial" w:hAnsi="Arial" w:cs="Arial"/>
          <w:snapToGrid w:val="0"/>
          <w:lang w:val="es-ES"/>
        </w:rPr>
        <w:t>almacenamiento</w:t>
      </w:r>
      <w:r w:rsidRPr="00993936">
        <w:rPr>
          <w:rFonts w:ascii="Arial" w:hAnsi="Arial" w:cs="Arial"/>
          <w:spacing w:val="-2"/>
          <w:lang w:val="es-ES"/>
        </w:rPr>
        <w:t xml:space="preserve"> de residuos tendrá que limpiarse de acuerdo con lo que establezca el plan</w:t>
      </w:r>
      <w:r w:rsidRPr="00993936">
        <w:rPr>
          <w:rFonts w:ascii="Arial" w:hAnsi="Arial" w:cs="Arial"/>
          <w:vanish/>
          <w:spacing w:val="-2"/>
          <w:lang w:val="es-ES"/>
        </w:rPr>
        <w:t>&lt;A[plan|plano]&gt;</w:t>
      </w:r>
      <w:r w:rsidRPr="00993936">
        <w:rPr>
          <w:rFonts w:ascii="Arial" w:hAnsi="Arial" w:cs="Arial"/>
          <w:spacing w:val="-2"/>
          <w:lang w:val="es-ES"/>
        </w:rPr>
        <w:t xml:space="preserve"> de limpieza.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9.1.4 Mantener limpios</w:t>
      </w:r>
      <w:r w:rsidRPr="00993936">
        <w:rPr>
          <w:rFonts w:ascii="Arial" w:hAnsi="Arial" w:cs="Arial"/>
          <w:vanish/>
          <w:lang w:val="es-ES"/>
        </w:rPr>
        <w:t>&lt;A[limpios|netos]&gt;</w:t>
      </w:r>
      <w:r w:rsidRPr="00993936">
        <w:rPr>
          <w:rFonts w:ascii="Arial" w:hAnsi="Arial" w:cs="Arial"/>
          <w:lang w:val="es-ES"/>
        </w:rPr>
        <w:t xml:space="preserve"> los recipientes, tolvas y las cajas utilizadas en el almacenamiento de las aceitunas. Como norma general, todos los elementos que puedan afectar a la condición del producto se limpiarán cuando se inicie su uso y se desinfectarán cuando sea conveniente, en cualquier caso al menos una vez</w:t>
      </w:r>
      <w:r w:rsidRPr="00993936">
        <w:rPr>
          <w:rFonts w:ascii="Arial" w:hAnsi="Arial" w:cs="Arial"/>
          <w:vanish/>
          <w:lang w:val="es-ES"/>
        </w:rPr>
        <w:t>&lt;A[vez|golpe]&gt;</w:t>
      </w:r>
      <w:r w:rsidRPr="00993936">
        <w:rPr>
          <w:rFonts w:ascii="Arial" w:hAnsi="Arial" w:cs="Arial"/>
          <w:lang w:val="es-ES"/>
        </w:rPr>
        <w:t xml:space="preserve"> el año.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9.2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9.2.1 Utilizar tolvas de gran capacidad para</w:t>
      </w:r>
      <w:r w:rsidRPr="00993936">
        <w:rPr>
          <w:rFonts w:ascii="Arial" w:hAnsi="Arial" w:cs="Arial"/>
          <w:snapToGrid w:val="0"/>
          <w:vanish/>
          <w:lang w:val="es-ES"/>
        </w:rPr>
        <w:t>&lt;A[por|para]&gt;</w:t>
      </w:r>
      <w:r w:rsidRPr="00993936">
        <w:rPr>
          <w:rFonts w:ascii="Arial" w:hAnsi="Arial" w:cs="Arial"/>
          <w:snapToGrid w:val="0"/>
          <w:lang w:val="es-ES"/>
        </w:rPr>
        <w:t xml:space="preserve"> el almacenamiento del fruto, que tengan una capacidad superior a 50 toneladas.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9.2.2 Utilizar mecanismos de alimentación, almacenamiento o otros elementos que no preserven la integridad del fruto.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9.3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9.3.1 Utilizar acero inoxidable en los elementos metálicos en contacto con la aceituna.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9.3.2 Instalar mecanismos de protección que eliminen los elementos metálicos mezclados con los frutos.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10</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pacing w:val="-2"/>
          <w:lang w:val="es-ES"/>
        </w:rPr>
        <w:t>Preparación de la pasta, molturación y batido.</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10.1 Condiciones generales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10.1.1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10.1.1.1 Las técnicas e instalaciones de transformación y elaboración de aceite tenderán al mantenimiento de la calidad y las características de las aceitunas.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10.1.1.2 Mantener una limpieza sistemática de los sinfines de alimentación de aceitunas al molino y de masa a las batidoras.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10.1.1.3 Efectuar una limpieza permanente de los molinos utilizando, exclusivamente, agua caliente a presión.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10.1.1.4 Realizar un control de la temperatura de batido.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10.1.1.5 Controlar el tiempo del batido.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 xml:space="preserve">10.1.1.6 Las almazaras que no produzcan la totalidad del aceite de oliva de producción integrada deberán realizar una limpieza exhaustiva en la línea de molturación y batido, previamente al proceso de elaboración con aceitunas de Producción integrada, debiéndose dejar registradas las condiciones y características de la limpieza efectuada.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10.1.2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10.1.2.1 Incorporar a la masa de aceituna, finos y sólidos procedentes de tamices u otras partes del proceso, así como cualquier materia extraña a la masa de aceituna no autorizada.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10.1.2.2 Sobrepasar los </w:t>
      </w:r>
      <w:smartTag w:uri="urn:schemas-microsoft-com:office:smarttags" w:element="metricconverter">
        <w:smartTagPr>
          <w:attr w:name="ProductID" w:val="35 ﾺC"/>
        </w:smartTagPr>
        <w:r w:rsidRPr="00993936">
          <w:rPr>
            <w:rFonts w:ascii="Arial" w:hAnsi="Arial" w:cs="Arial"/>
            <w:snapToGrid w:val="0"/>
            <w:lang w:val="es-ES"/>
          </w:rPr>
          <w:t>35 ºC</w:t>
        </w:r>
      </w:smartTag>
      <w:r w:rsidRPr="00993936">
        <w:rPr>
          <w:rFonts w:ascii="Arial" w:hAnsi="Arial" w:cs="Arial"/>
          <w:snapToGrid w:val="0"/>
          <w:lang w:val="es-ES"/>
        </w:rPr>
        <w:t xml:space="preserve"> de temperatura en la pasta al final del batido.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10.1.2.3 Superar las dos horas de batido.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10.1.2.4 Adicionar coadyuvantes por encima de las dosis recomendadas.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10.1.2.5 La exposición de los frutos en contacto directo con los gases resultantes de un proceso de combustión.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10.1.2.6 Utilizar termómetros de mercurio para controlar la temperatura en cualquier punto del sistema.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10.1.3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10.1.3.1 No adicionar agua al batido salvo casos extremos.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10.1.3.2 Mantener la temperatura final de la masa batida igual o inferior a los </w:t>
      </w:r>
      <w:smartTag w:uri="urn:schemas-microsoft-com:office:smarttags" w:element="metricconverter">
        <w:smartTagPr>
          <w:attr w:name="ProductID" w:val="30 ﾺC"/>
        </w:smartTagPr>
        <w:r w:rsidRPr="00993936">
          <w:rPr>
            <w:rFonts w:ascii="Arial" w:hAnsi="Arial" w:cs="Arial"/>
            <w:snapToGrid w:val="0"/>
            <w:lang w:val="es-ES"/>
          </w:rPr>
          <w:t>30 ºC</w:t>
        </w:r>
      </w:smartTag>
      <w:r w:rsidRPr="00993936">
        <w:rPr>
          <w:rFonts w:ascii="Arial" w:hAnsi="Arial" w:cs="Arial"/>
          <w:snapToGrid w:val="0"/>
          <w:lang w:val="es-ES"/>
        </w:rPr>
        <w:t>.</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10.1.3.3 Adecuar el tiempo de batido de la pasta a las condiciones de la aceituna, no sobrepasando los 90 minutos.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10.1.3.4 Dosificar microtalco natural (M.T.N.) en concentraciones no superiores al 2% y siempre adecuadas al estado del fruto.</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10.2 Preparación de la pasta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10.2.1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10.2.1.1 Mantener una limpieza permanente de la batidora.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10.2.1.2 Realizar una limpieza integral de la batidora en caso de interrupción o parada</w:t>
      </w:r>
      <w:r w:rsidRPr="00993936">
        <w:rPr>
          <w:rFonts w:ascii="Arial" w:hAnsi="Arial" w:cs="Arial"/>
          <w:snapToGrid w:val="0"/>
          <w:vanish/>
          <w:lang w:val="es-ES"/>
        </w:rPr>
        <w:t>&lt;A[parada|puesto]&gt;</w:t>
      </w:r>
      <w:r w:rsidRPr="00993936">
        <w:rPr>
          <w:rFonts w:ascii="Arial" w:hAnsi="Arial" w:cs="Arial"/>
          <w:snapToGrid w:val="0"/>
          <w:lang w:val="es-ES"/>
        </w:rPr>
        <w:t xml:space="preserve"> del proceso de elaboración.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10.2.1.3 Utilizar exclusivamente coadyuvantes autorizados.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10.2.1.4 Utilizar agua potable y libre de cloro.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10.2.1.5 En caso de adicionar coadyuvantes, incorporarlos con dosificadores en las primeras fases del batido. </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10.3 Molturación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10.3.1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10.3.1.1 Realizar la molturación como máximo antes de las 36 horas desde la recepción de la aceituna.</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10.3.2 </w:t>
      </w:r>
      <w:r w:rsidRPr="00993936">
        <w:rPr>
          <w:rFonts w:ascii="Arial" w:hAnsi="Arial" w:cs="Arial"/>
          <w:i/>
          <w:lang w:val="es-ES"/>
        </w:rPr>
        <w:t>Recomendaciones</w:t>
      </w:r>
      <w:r w:rsidRPr="00993936">
        <w:rPr>
          <w:rFonts w:ascii="Arial" w:hAnsi="Arial" w:cs="Arial"/>
          <w:spacing w:val="-2"/>
          <w:lang w:val="es-ES"/>
        </w:rPr>
        <w:t xml:space="preserve">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10.3.2.1 Realizar la molturación antes de las 24 horas desde la recepción de la aceituna.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10.3.2.2 Realizar la extracción del aceite mediante un procedimiento continuo.</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10.4 Extracción parcial</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10.4.1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10.4.1.1 Realizar una limpieza sistemática del extractor, con agua templada a presión.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10.4.1.2 Establecer una circulación independiente del caldo obtenido por este sistema.</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10.4.2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10.4.2.1 Realizar una separación inmediata del aceite obtenido</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10.5 Instalaciones de preparación de la pasta, molido y extracción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10.5.1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10.5.1.1 Utilizar materiales inertes en los elementos del molino que entren en contacto con la masa de aceituna.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10.5.1.2  Utilizar acero inoxidable en todos los componentes de la batidora en contacto con la masa de aceituna.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10.5.1.3 Utilizar batidoras</w:t>
      </w:r>
      <w:r w:rsidRPr="00993936">
        <w:rPr>
          <w:rFonts w:ascii="Arial" w:hAnsi="Arial" w:cs="Arial"/>
          <w:snapToGrid w:val="0"/>
          <w:vanish/>
          <w:lang w:val="es-ES"/>
        </w:rPr>
        <w:t>&lt;A[bateadoras|batidoras]&gt;</w:t>
      </w:r>
      <w:r w:rsidRPr="00993936">
        <w:rPr>
          <w:rFonts w:ascii="Arial" w:hAnsi="Arial" w:cs="Arial"/>
          <w:snapToGrid w:val="0"/>
          <w:lang w:val="es-ES"/>
        </w:rPr>
        <w:t xml:space="preserve"> con mecanismos que impidan la formación de corrientes de masa.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10.5.1.4 Instalar protecciones en las batidoras</w:t>
      </w:r>
      <w:r w:rsidRPr="00993936">
        <w:rPr>
          <w:rFonts w:ascii="Arial" w:hAnsi="Arial" w:cs="Arial"/>
          <w:snapToGrid w:val="0"/>
          <w:vanish/>
          <w:lang w:val="es-ES"/>
        </w:rPr>
        <w:t>&lt;A[bateadoras|batidoras]&gt;</w:t>
      </w:r>
      <w:r w:rsidRPr="00993936">
        <w:rPr>
          <w:rFonts w:ascii="Arial" w:hAnsi="Arial" w:cs="Arial"/>
          <w:snapToGrid w:val="0"/>
          <w:lang w:val="es-ES"/>
        </w:rPr>
        <w:t xml:space="preserve"> que impidan la incorporación, incluso accidental, de materias extrañas a la masa en el batido.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lastRenderedPageBreak/>
        <w:t>10.5.1.5 Utilizar material alimentario en las raederas.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10.5.2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10.5.2.1 Utilizar grasa y aceites no alimentarios en cualquier mecanismo de la batidora.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10.5.2.2 Adicionar coadyuvantes sin dosificar.</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10.5.3.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10.5.3.1 Establecer un sistema de descarga total de la batidora en caso de interrupción del proceso.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11</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Separación de fases sólidas</w:t>
      </w:r>
    </w:p>
    <w:p w:rsidR="00503A41" w:rsidRPr="00993936" w:rsidRDefault="00503A41" w:rsidP="001D205D">
      <w:pPr>
        <w:pStyle w:val="Sinespaciado"/>
        <w:jc w:val="both"/>
        <w:rPr>
          <w:rFonts w:ascii="Arial" w:hAnsi="Arial" w:cs="Arial"/>
          <w:b/>
          <w:snapToGrid w:val="0"/>
          <w:spacing w:val="-2"/>
          <w:lang w:val="es-ES"/>
        </w:rPr>
      </w:pPr>
      <w:r w:rsidRPr="00993936">
        <w:rPr>
          <w:rFonts w:ascii="Arial" w:hAnsi="Arial" w:cs="Arial"/>
          <w:b/>
          <w:spacing w:val="-2"/>
          <w:lang w:val="es-ES"/>
        </w:rPr>
        <w:t>11.1 Presión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11.1.1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11.1.1.1 Realizar una limpieza diaria de los cofines.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11.1.1.2 Mantener una limpieza permanente de los elementos en contacto con el mosto oleoso, vagonetas, agujas</w:t>
      </w:r>
      <w:r w:rsidRPr="00993936">
        <w:rPr>
          <w:rFonts w:ascii="Arial" w:hAnsi="Arial" w:cs="Arial"/>
          <w:snapToGrid w:val="0"/>
          <w:vanish/>
          <w:lang w:val="es-ES"/>
        </w:rPr>
        <w:t>&lt;A[agujas|alfileres]&gt;</w:t>
      </w:r>
      <w:r w:rsidRPr="00993936">
        <w:rPr>
          <w:rFonts w:ascii="Arial" w:hAnsi="Arial" w:cs="Arial"/>
          <w:snapToGrid w:val="0"/>
          <w:lang w:val="es-ES"/>
        </w:rPr>
        <w:t>, discos metálicos, etc.</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11.1.1.3 Realizar una limpieza diaria de las conducciones.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11.1.1.4 Establecer una limpieza integral y diaria del recinto de fabricación.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11.1.1.5 Realizar una separación de fases a presiones reducidas, sin sobrepasar los 60 kg/cm</w:t>
      </w:r>
      <w:r w:rsidRPr="00993936">
        <w:rPr>
          <w:rFonts w:ascii="Arial" w:hAnsi="Arial" w:cs="Arial"/>
          <w:snapToGrid w:val="0"/>
          <w:vertAlign w:val="superscript"/>
          <w:lang w:val="es-ES"/>
        </w:rPr>
        <w:t xml:space="preserve">2 </w:t>
      </w:r>
      <w:r w:rsidRPr="00993936">
        <w:rPr>
          <w:rFonts w:ascii="Arial" w:hAnsi="Arial" w:cs="Arial"/>
          <w:snapToGrid w:val="0"/>
          <w:lang w:val="es-ES"/>
        </w:rPr>
        <w:t>en el cofín.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11.1.2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11.1.2.1 Utilizar aguas de vegetación o de lavado en el riego de cargas.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11.1.2.2 Utilizar productos químicos no autorizados por la legislación vigente en materia alimenraria y de calidad alimentaria en la limpieza de los cofines.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11.1.2.3 Realizar el riego de las cargas con agua caliente a más de </w:t>
      </w:r>
      <w:smartTag w:uri="urn:schemas-microsoft-com:office:smarttags" w:element="metricconverter">
        <w:smartTagPr>
          <w:attr w:name="ProductID" w:val="40 ﾺC"/>
        </w:smartTagPr>
        <w:r w:rsidRPr="00993936">
          <w:rPr>
            <w:rFonts w:ascii="Arial" w:hAnsi="Arial" w:cs="Arial"/>
            <w:lang w:val="es-ES"/>
          </w:rPr>
          <w:t>40 ºC</w:t>
        </w:r>
      </w:smartTag>
      <w:r w:rsidRPr="00993936">
        <w:rPr>
          <w:rFonts w:ascii="Arial" w:hAnsi="Arial" w:cs="Arial"/>
          <w:lang w:val="es-ES"/>
        </w:rPr>
        <w:t>.</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11.1.3. </w:t>
      </w:r>
      <w:r w:rsidRPr="00993936">
        <w:rPr>
          <w:rFonts w:ascii="Arial" w:hAnsi="Arial" w:cs="Arial"/>
          <w:i/>
          <w:lang w:val="es-ES"/>
        </w:rPr>
        <w:t>Recomendaciones</w:t>
      </w:r>
      <w:r w:rsidRPr="00993936">
        <w:rPr>
          <w:rFonts w:ascii="Arial" w:hAnsi="Arial" w:cs="Arial"/>
          <w:snapToGrid w:val="0"/>
          <w:lang w:val="es-ES"/>
        </w:rPr>
        <w:t xml:space="preserve">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11.1.3.1. Renovar totalmente y anualmente los cofines.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11.1.3.2.- Utilizar cofines de fibra mixta.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11.1.3.3. - Procurar que el tiempo de prensado de la carga esté comprendido entre los 60 y 90 minutos.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11.1.3.4. - No repicar</w:t>
      </w:r>
      <w:r w:rsidRPr="00993936">
        <w:rPr>
          <w:rFonts w:ascii="Arial" w:hAnsi="Arial" w:cs="Arial"/>
          <w:snapToGrid w:val="0"/>
          <w:vanish/>
          <w:lang w:val="es-ES"/>
        </w:rPr>
        <w:t>&lt;A[repicar|repiquetear]&gt;</w:t>
      </w:r>
      <w:r w:rsidRPr="00993936">
        <w:rPr>
          <w:rFonts w:ascii="Arial" w:hAnsi="Arial" w:cs="Arial"/>
          <w:snapToGrid w:val="0"/>
          <w:lang w:val="es-ES"/>
        </w:rPr>
        <w:t xml:space="preserve"> la carga.</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11.2 Centrifugación de masas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11.2.1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11.2.1.1 Controlar que la temperatura del agua de inyección no sobrepase los </w:t>
      </w:r>
      <w:smartTag w:uri="urn:schemas-microsoft-com:office:smarttags" w:element="metricconverter">
        <w:smartTagPr>
          <w:attr w:name="ProductID" w:val="35ﾺC"/>
        </w:smartTagPr>
        <w:r w:rsidRPr="00993936">
          <w:rPr>
            <w:rFonts w:ascii="Arial" w:hAnsi="Arial" w:cs="Arial"/>
            <w:snapToGrid w:val="0"/>
            <w:lang w:val="es-ES"/>
          </w:rPr>
          <w:t>35ºC</w:t>
        </w:r>
      </w:smartTag>
      <w:r w:rsidRPr="00993936">
        <w:rPr>
          <w:rFonts w:ascii="Arial" w:hAnsi="Arial" w:cs="Arial"/>
          <w:snapToGrid w:val="0"/>
          <w:lang w:val="es-ES"/>
        </w:rPr>
        <w:t>.</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11.2.1.2 Establecer una limpieza diaria y continua del decánter, utilizando agua de adicción.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11.2.1.3 Mantener siempre limpios</w:t>
      </w:r>
      <w:r w:rsidRPr="00993936">
        <w:rPr>
          <w:rFonts w:ascii="Arial" w:hAnsi="Arial" w:cs="Arial"/>
          <w:snapToGrid w:val="0"/>
          <w:vanish/>
          <w:lang w:val="es-ES"/>
        </w:rPr>
        <w:t>&lt;A[limpios|netos]&gt;</w:t>
      </w:r>
      <w:r w:rsidRPr="00993936">
        <w:rPr>
          <w:rFonts w:ascii="Arial" w:hAnsi="Arial" w:cs="Arial"/>
          <w:snapToGrid w:val="0"/>
          <w:lang w:val="es-ES"/>
        </w:rPr>
        <w:t xml:space="preserve"> los tamices y depósitos de aceite y de alpechín.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11.2.1.4 Mantener siempre limpio</w:t>
      </w:r>
      <w:r w:rsidRPr="00993936">
        <w:rPr>
          <w:rFonts w:ascii="Arial" w:hAnsi="Arial" w:cs="Arial"/>
          <w:vanish/>
          <w:lang w:val="es-ES"/>
        </w:rPr>
        <w:t>&lt;A[limpio|neto]&gt;</w:t>
      </w:r>
      <w:r w:rsidRPr="00993936">
        <w:rPr>
          <w:rFonts w:ascii="Arial" w:hAnsi="Arial" w:cs="Arial"/>
          <w:lang w:val="es-ES"/>
        </w:rPr>
        <w:t xml:space="preserve"> el recinto de elaboración.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11.2.2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11.2.2.1 Utilizar aguas de vegetación o de reciclado como coadyuvante en la inyección de masa en el decánter.</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11.2.2.2 Utilizar cualquier producto que no esté expresamente autorizado en la elaboración del aceite de oliva.</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11.2.2.3 Realizar una segunda centrifugación de la masa.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11.2.3.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11.2.3.1 En la elaboración en tres fases, no superar la relación 1:2 en la relación agua/masa.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11.2.3.2 En la elaboración en dos fases, utilizar la mínima cantidad de agua compatible con unos buenos agotamientos, sin sobrepasar el 10% del volumen de masa inyectada.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11.2.3.3 Adecuar los ritmos de inyección al estado de la masa, reduciéndolos si es necesario como medida prioritaria frente a otras más agresivas con el aceite (temperaturas de proceso, cantidad y temperatura del agua de adicción, etc.).</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11.3 Instalaciones de la separación de fases sólidas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lastRenderedPageBreak/>
        <w:t xml:space="preserve">11.3.1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11.3.1.1 Utilizar estatores de calidad alimentaria en las bombas de inyección de masa.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11.3.1.2 Utilizar mangueras para la inyección de masa con certificado de calidad alimentaria.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11.3.2.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11.3.2.1 Utilizar máquinas lavadoras de cofines.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11.3.2.2 Utilizar conducciones cerradas por</w:t>
      </w:r>
      <w:r w:rsidRPr="00993936">
        <w:rPr>
          <w:rFonts w:ascii="Arial" w:hAnsi="Arial" w:cs="Arial"/>
          <w:snapToGrid w:val="0"/>
          <w:vanish/>
          <w:lang w:val="es-ES"/>
        </w:rPr>
        <w:t>&lt;A[por|para]&gt;</w:t>
      </w:r>
      <w:r w:rsidRPr="00993936">
        <w:rPr>
          <w:rFonts w:ascii="Arial" w:hAnsi="Arial" w:cs="Arial"/>
          <w:snapToGrid w:val="0"/>
          <w:lang w:val="es-ES"/>
        </w:rPr>
        <w:t xml:space="preserve"> el a los los caldos.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11.3.2.3 Utilizar dosificadores automáticos de masa.</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12</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Separación de fases líquidas</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pacing w:val="-2"/>
          <w:lang w:val="es-ES"/>
        </w:rPr>
        <w:t>12.1 Condiciones generales</w:t>
      </w:r>
      <w:r w:rsidRPr="00993936">
        <w:rPr>
          <w:rFonts w:ascii="Arial" w:hAnsi="Arial" w:cs="Arial"/>
          <w:b/>
          <w:snapToGrid w:val="0"/>
          <w:lang w:val="es-ES"/>
        </w:rPr>
        <w:t xml:space="preserve">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12.1.1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12.1.1.1 Realizar una limpieza periódica de los componentes de la centrífuga vertical.</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12.1.1.2 Mantener una temperatura del agua de adición sin sobrepasar los </w:t>
      </w:r>
      <w:smartTag w:uri="urn:schemas-microsoft-com:office:smarttags" w:element="metricconverter">
        <w:smartTagPr>
          <w:attr w:name="ProductID" w:val="35ﾺC"/>
        </w:smartTagPr>
        <w:r w:rsidRPr="00993936">
          <w:rPr>
            <w:rFonts w:ascii="Arial" w:hAnsi="Arial" w:cs="Arial"/>
            <w:snapToGrid w:val="0"/>
            <w:lang w:val="es-ES"/>
          </w:rPr>
          <w:t>35ºC</w:t>
        </w:r>
      </w:smartTag>
      <w:r w:rsidRPr="00993936">
        <w:rPr>
          <w:rFonts w:ascii="Arial" w:hAnsi="Arial" w:cs="Arial"/>
          <w:snapToGrid w:val="0"/>
          <w:lang w:val="es-ES"/>
        </w:rPr>
        <w:t>, manteniendo el gradiente positivo de temperaturas desde la batidora en la centrífuga vertical.</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12.1.1.3 Efectuar un sangrado diario de los pozuelos de decantación.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12.1.2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12.1.2.1 Reutilizar el agua de lavado en la centrifugación de líquidos.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12.1.2.2 Utilizar detergentes y desengrasados no autorizados y homologados en la industria agroalimentaria para la limpieza de los pozuelos y centrífugas verticales.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12.1.2.3 La centrifugación cruzada en dos fases.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12.1.2.4 Realizar múltiples centrifugaciones para el acondicionamiento</w:t>
      </w:r>
      <w:r w:rsidRPr="00993936">
        <w:rPr>
          <w:rFonts w:ascii="Arial" w:hAnsi="Arial" w:cs="Arial"/>
          <w:snapToGrid w:val="0"/>
          <w:vanish/>
          <w:lang w:val="es-ES"/>
        </w:rPr>
        <w:t>&lt;A[acondicionamiento|condicionamiento]&gt;</w:t>
      </w:r>
      <w:r w:rsidRPr="00993936">
        <w:rPr>
          <w:rFonts w:ascii="Arial" w:hAnsi="Arial" w:cs="Arial"/>
          <w:snapToGrid w:val="0"/>
          <w:lang w:val="es-ES"/>
        </w:rPr>
        <w:t xml:space="preserve"> sensorial de los aceites.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12.1.3.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12.1.3.1 No lavar los aceites en decantación mediante duchas de agua templada.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12.1.3.2 Programar las descargas de las centrífugas de aceite de forma manual.</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12.1.3.3 Mantener la temperatura de la sala de  decantación en torno a los 20/22ºC.</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12.1.3.4 Separar el aceite procedente de la centrífuga vertical de las morcas de alpechines.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12.1.3.5 Establecer un control de la relación de caudales agua/aceite, sin sobrepasar la relación 1:1.</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 xml:space="preserve">12.1.3.6 Mantener una capacidad adecuada de decantado, no menor de 6 horas en centrifugación y de 36 horas en decantado por gravedad. </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pacing w:val="-2"/>
          <w:lang w:val="es-ES"/>
        </w:rPr>
        <w:t>12.2  Instalaciones para la separación de fases líquidas</w:t>
      </w:r>
      <w:r w:rsidRPr="00993936">
        <w:rPr>
          <w:rFonts w:ascii="Arial" w:hAnsi="Arial" w:cs="Arial"/>
          <w:b/>
          <w:snapToGrid w:val="0"/>
          <w:lang w:val="es-ES"/>
        </w:rPr>
        <w:t xml:space="preserve">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12.2.1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12.2.1.1 Utilizar pozuelos con fondo inclinado que permitan un sangrado adecuado.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12.2.1.2 Utilizar pozuelos construidos con material inerte.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12.2.1.3 Establecer un sistema de cierre de los pozuelos que evite la caída accidental de materias extrañas al aceite.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12.2.2.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12.2.2.1 Realizar el trasiego de aceites de la centrífuga vertical a los pozuelos por gravedad.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12.2.2.2 Utilizar pozuelos de acero inoxidable.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Manipulación, transporte, envasado y almacenamiento del aceite</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13.1 Condiciones generales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13.1.1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13.1.1.1 Almacenar el aceite en depósitos separados según las diferentes calidades.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13.1.1.2 Utilizar los depósitos y envases para el aceite exclusivamente para este fin.</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13.1.1.3 Almacenar los envases y materiales de envasado en lugar</w:t>
      </w:r>
      <w:r w:rsidRPr="00993936">
        <w:rPr>
          <w:rFonts w:ascii="Arial" w:hAnsi="Arial" w:cs="Arial"/>
          <w:vanish/>
          <w:spacing w:val="-2"/>
          <w:lang w:val="es-ES"/>
        </w:rPr>
        <w:t>&lt;A[lugar|sitio]&gt;</w:t>
      </w:r>
      <w:r w:rsidRPr="00993936">
        <w:rPr>
          <w:rFonts w:ascii="Arial" w:hAnsi="Arial" w:cs="Arial"/>
          <w:spacing w:val="-2"/>
          <w:lang w:val="es-ES"/>
        </w:rPr>
        <w:t xml:space="preserve"> limpio</w:t>
      </w:r>
      <w:r w:rsidRPr="00993936">
        <w:rPr>
          <w:rFonts w:ascii="Arial" w:hAnsi="Arial" w:cs="Arial"/>
          <w:vanish/>
          <w:spacing w:val="-2"/>
          <w:lang w:val="es-ES"/>
        </w:rPr>
        <w:t>&lt;A[limpio|neto]&gt;</w:t>
      </w:r>
      <w:r w:rsidRPr="00993936">
        <w:rPr>
          <w:rFonts w:ascii="Arial" w:hAnsi="Arial" w:cs="Arial"/>
          <w:spacing w:val="-2"/>
          <w:lang w:val="es-ES"/>
        </w:rPr>
        <w:t xml:space="preserve"> y protegido.</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lastRenderedPageBreak/>
        <w:t>13.1.1.4 No reutilizar los envases.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13.1.1.5 Los envases llenos de aceite, así como las cajas llenas de productos envasados no podrán estar nunca en contacto con el suelo.</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13.1.1.6 </w:t>
      </w:r>
      <w:r w:rsidRPr="00993936">
        <w:rPr>
          <w:rFonts w:ascii="Arial" w:hAnsi="Arial" w:cs="Arial"/>
          <w:lang w:val="es-ES"/>
        </w:rPr>
        <w:t xml:space="preserve">La maquinaria utilizada por el envasado del aceite tiene que ser de acero inoxidable y de fácil limpieza. </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13.1.1.7 Almacenar productos que no sean aceites envasados en la zona de almacenamiento de los envasados.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13.1.1.8 Almacenar el producto en condiciones de temperatura e iluminación, de manera que se deteriore.</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13.1.1.9 Guardar una distancia mínima entre los palets y las paredes, para permitir una correcta circulación de aire.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 xml:space="preserve">13.1.1.10 Realizar una </w:t>
      </w:r>
      <w:r w:rsidRPr="00993936">
        <w:rPr>
          <w:rFonts w:ascii="Arial" w:hAnsi="Arial" w:cs="Arial"/>
          <w:snapToGrid w:val="0"/>
          <w:lang w:val="es-ES"/>
        </w:rPr>
        <w:t>limpieza sistemática de los depósitos y conducciones de aceite.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 xml:space="preserve">13.1.1.11 Realizar una </w:t>
      </w:r>
      <w:r w:rsidRPr="00993936">
        <w:rPr>
          <w:rFonts w:ascii="Arial" w:hAnsi="Arial" w:cs="Arial"/>
          <w:snapToGrid w:val="0"/>
          <w:lang w:val="es-ES"/>
        </w:rPr>
        <w:t>limpieza permanente de la bodega.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13.1.1.12 Las técnicas de manipulación, transporte, envasado y almacenamiento de productos elaborados tenderán al mantenimiento de la calidad y las características organolépticas del producto.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13.1.1.13</w:t>
      </w:r>
      <w:r w:rsidRPr="00993936">
        <w:rPr>
          <w:rFonts w:ascii="Arial" w:hAnsi="Arial" w:cs="Arial"/>
          <w:spacing w:val="-2"/>
          <w:lang w:val="es-ES"/>
        </w:rPr>
        <w:t xml:space="preserve"> </w:t>
      </w:r>
      <w:r w:rsidRPr="00993936">
        <w:rPr>
          <w:rFonts w:ascii="Arial" w:hAnsi="Arial" w:cs="Arial"/>
          <w:lang w:val="es-ES"/>
        </w:rPr>
        <w:t>La maquinaria utilizada para la manipulación, el transporte, el envasado y el almacenamiento de los productos finales elaborados tiene que ser fabricada con materiales que dispongan de recubrimientos inertes, aptos para la industria agroalimentaria, preferentemente de acero inoxidable y de fácil limpieza.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13.1.1.14</w:t>
      </w:r>
      <w:r w:rsidRPr="00993936">
        <w:rPr>
          <w:rFonts w:ascii="Arial" w:hAnsi="Arial" w:cs="Arial"/>
          <w:spacing w:val="-2"/>
          <w:lang w:val="es-ES"/>
        </w:rPr>
        <w:t xml:space="preserve"> Realizar una </w:t>
      </w:r>
      <w:r w:rsidRPr="00993936">
        <w:rPr>
          <w:rFonts w:ascii="Arial" w:hAnsi="Arial" w:cs="Arial"/>
          <w:snapToGrid w:val="0"/>
          <w:lang w:val="es-ES"/>
        </w:rPr>
        <w:t>limpieza sistemática de los depósitos, tolvas y conducciones de productos elaborados.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13.1.1.15 Todas las máquinas, los recipientes, los elementos de transporte, los envases provisionales y los lugares</w:t>
      </w:r>
      <w:r w:rsidRPr="00993936">
        <w:rPr>
          <w:rFonts w:ascii="Arial" w:hAnsi="Arial" w:cs="Arial"/>
          <w:vanish/>
          <w:lang w:val="es-ES"/>
        </w:rPr>
        <w:t>&lt;A[lugares|sitios]&gt;</w:t>
      </w:r>
      <w:r w:rsidRPr="00993936">
        <w:rPr>
          <w:rFonts w:ascii="Arial" w:hAnsi="Arial" w:cs="Arial"/>
          <w:lang w:val="es-ES"/>
        </w:rPr>
        <w:t xml:space="preserve"> de envasado deben reunir las condiciones siguientes:</w:t>
      </w:r>
    </w:p>
    <w:p w:rsidR="00503A41" w:rsidRPr="00993936" w:rsidRDefault="00503A41" w:rsidP="009D1A2D">
      <w:pPr>
        <w:pStyle w:val="Sinespaciado"/>
        <w:numPr>
          <w:ilvl w:val="0"/>
          <w:numId w:val="178"/>
        </w:numPr>
        <w:jc w:val="both"/>
        <w:rPr>
          <w:rFonts w:ascii="Arial" w:hAnsi="Arial" w:cs="Arial"/>
          <w:lang w:val="es-ES"/>
        </w:rPr>
      </w:pPr>
      <w:r w:rsidRPr="00993936">
        <w:rPr>
          <w:rFonts w:ascii="Arial" w:hAnsi="Arial" w:cs="Arial"/>
          <w:lang w:val="es-ES"/>
        </w:rPr>
        <w:t>No transmitir a los productos con que entren en contacto sustancias tóxicas o que puedan contaminar ni originar reacciones químicas perjudiciales.</w:t>
      </w:r>
    </w:p>
    <w:p w:rsidR="00503A41" w:rsidRPr="00993936" w:rsidRDefault="00503A41" w:rsidP="009D1A2D">
      <w:pPr>
        <w:pStyle w:val="Sinespaciado"/>
        <w:numPr>
          <w:ilvl w:val="0"/>
          <w:numId w:val="178"/>
        </w:numPr>
        <w:jc w:val="both"/>
        <w:rPr>
          <w:rFonts w:ascii="Arial" w:hAnsi="Arial" w:cs="Arial"/>
          <w:lang w:val="es-ES"/>
        </w:rPr>
      </w:pPr>
      <w:r w:rsidRPr="00993936">
        <w:rPr>
          <w:rFonts w:ascii="Arial" w:hAnsi="Arial" w:cs="Arial"/>
          <w:lang w:val="es-ES"/>
        </w:rPr>
        <w:t>No alterar las características de composición y organolépticas de los 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La limpieza se realizará con métodos y productos autorizados.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13.1.1.16 Las operaciones de envasado deben efectuarse por</w:t>
      </w:r>
      <w:r w:rsidRPr="00993936">
        <w:rPr>
          <w:rFonts w:ascii="Arial" w:hAnsi="Arial" w:cs="Arial"/>
          <w:vanish/>
          <w:lang w:val="es-ES"/>
        </w:rPr>
        <w:t>&lt;A[por|para]&gt;</w:t>
      </w:r>
      <w:r w:rsidRPr="00993936">
        <w:rPr>
          <w:rFonts w:ascii="Arial" w:hAnsi="Arial" w:cs="Arial"/>
          <w:lang w:val="es-ES"/>
        </w:rPr>
        <w:t xml:space="preserve"> series completas, separadas físicamente o en tiempo de operaciones de productos convencionales.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13.1.1.17 Los operadores que realizen envasado de productos certificados de producción integrada y convencionales deben avisar al órgano o la entidad de control. La comunicación se tiene que hacer a principios de campaña, con antelación suficiente y antes del inicio de las operaciones de los productos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13.1.1.18 Los manipuladores de alimentos deberán tener una formación específica al respecto o justificar que están en proceso en obtenerla de acuerdo con lo que establece la normativa legal vigente, por lo cual se establecen las normas relativas a los manipuladores de alimentos.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13.1.2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13.1.2.1 Almacenar en la bodega cualquier producto diferente del aceite.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13.1.2.2</w:t>
      </w:r>
      <w:r w:rsidRPr="00993936">
        <w:rPr>
          <w:rFonts w:ascii="Arial" w:hAnsi="Arial" w:cs="Arial"/>
          <w:snapToGrid w:val="0"/>
          <w:lang w:val="es-ES"/>
        </w:rPr>
        <w:t xml:space="preserve"> Realizar la limpieza de depósitos y conducciones con productos no homologados para industrias alimentarias.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13.1.2.3</w:t>
      </w:r>
      <w:r w:rsidRPr="00993936">
        <w:rPr>
          <w:rFonts w:ascii="Arial" w:hAnsi="Arial" w:cs="Arial"/>
          <w:snapToGrid w:val="0"/>
          <w:lang w:val="es-ES"/>
        </w:rPr>
        <w:t xml:space="preserve"> Realizar la limpieza de las instalaciones (depósitos, tolvas, conducciones, etc.) con productos no homologados para industrias alimentarias.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13.1.3.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13.1.3.1 No realizar trasiegos sucesivos.</w:t>
      </w:r>
    </w:p>
    <w:p w:rsidR="00503A41" w:rsidRPr="00993936" w:rsidRDefault="00503A41" w:rsidP="001D205D">
      <w:pPr>
        <w:pStyle w:val="Sinespaciado"/>
        <w:jc w:val="both"/>
        <w:rPr>
          <w:rFonts w:ascii="Arial" w:hAnsi="Arial" w:cs="Arial"/>
          <w:b/>
          <w:lang w:val="es-ES"/>
        </w:rPr>
      </w:pPr>
      <w:r w:rsidRPr="00993936">
        <w:rPr>
          <w:rFonts w:ascii="Arial" w:hAnsi="Arial" w:cs="Arial"/>
          <w:snapToGrid w:val="0"/>
          <w:lang w:val="es-ES"/>
        </w:rPr>
        <w:t xml:space="preserve">13.1.3.2 </w:t>
      </w:r>
      <w:r w:rsidRPr="00993936">
        <w:rPr>
          <w:rFonts w:ascii="Arial" w:hAnsi="Arial" w:cs="Arial"/>
          <w:lang w:val="es-ES"/>
        </w:rPr>
        <w:t>Mantener la temperatura de la bodega en torno a los 18/20º C.</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13.1.3.3 Utilizar gases inertes en los depósitos para el almacenamiento del aceite.</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13.1.3.4 Utilizar borboteo de gas inerte para homogeneizar el aceite.</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13.2 Instalaciones para el almacenamiento, envasado y transporte del aceite.</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13.2.1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13.2.1.1 Los envases y materiales de envasado deberán reunir los requisitos establecidos en la legislación vigente.</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lastRenderedPageBreak/>
        <w:t>13.2.1.2 Las zonas de almacenamiento de envases y materiales de envasado estarán claramente diferenciadas de la zona de envasado y manipulación.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13.2.1.3 Establecer la bodega</w:t>
      </w:r>
      <w:r w:rsidRPr="00993936">
        <w:rPr>
          <w:rFonts w:ascii="Arial" w:hAnsi="Arial" w:cs="Arial"/>
          <w:snapToGrid w:val="0"/>
          <w:lang w:val="es-ES"/>
        </w:rPr>
        <w:t xml:space="preserve"> en una sala independiente y alejada de olores no deseables.</w:t>
      </w:r>
      <w:r w:rsidRPr="00993936">
        <w:rPr>
          <w:rFonts w:ascii="Arial" w:hAnsi="Arial" w:cs="Arial"/>
          <w:spacing w:val="-2"/>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13.2.2.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13.2.2.1 Utilizar depósitos de hierro sin revestimiento.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13.2.2.2 Utilizar depósitos abiertos.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13.2.2.3 Utilizar depósitos aéreos a la intemperie.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13.2.2.4 Utilizar trujales sin revestimientos inertes.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13.2.2.5 Utilizar iluminaciones que pueden afectar al aceite.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13.2.3.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13.2.3.1 Utilizar para el envasado del aceite envases de cristal o hojalata.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13.2.3.2 Disponer de un sistema manejable para mantener una buena rotación y control de las existencias.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 xml:space="preserve">13.2.3.3 Realizar </w:t>
      </w:r>
      <w:r w:rsidRPr="00993936">
        <w:rPr>
          <w:rFonts w:ascii="Arial" w:hAnsi="Arial" w:cs="Arial"/>
          <w:snapToGrid w:val="0"/>
          <w:lang w:val="es-ES"/>
        </w:rPr>
        <w:t>el filtrado y envasado del aceite en un local independiente de la bodega.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13.2.2.4 Los depósitos de aceite deberán ser de acero inoxidable.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 xml:space="preserve">13.2.2.5 Utilizar </w:t>
      </w:r>
      <w:r w:rsidRPr="00993936">
        <w:rPr>
          <w:rFonts w:ascii="Arial" w:hAnsi="Arial" w:cs="Arial"/>
          <w:snapToGrid w:val="0"/>
          <w:lang w:val="es-ES"/>
        </w:rPr>
        <w:t>depósitos de dimensiones adecuadas en la producción de la almazara.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 xml:space="preserve">13.2.3.6 Los </w:t>
      </w:r>
      <w:r w:rsidRPr="00993936">
        <w:rPr>
          <w:rFonts w:ascii="Arial" w:hAnsi="Arial" w:cs="Arial"/>
          <w:snapToGrid w:val="0"/>
          <w:lang w:val="es-ES"/>
        </w:rPr>
        <w:t>depósitos serán construidos con material inerte, con formas que permiten y aseguren un sangrado eficaz, dotados de mecanismos de limpieza, llenados por el fondo y equipados con sistemas para la toma de muestras.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 xml:space="preserve">13.2.3.7 Establecer </w:t>
      </w:r>
      <w:r w:rsidRPr="00993936">
        <w:rPr>
          <w:rFonts w:ascii="Arial" w:hAnsi="Arial" w:cs="Arial"/>
          <w:snapToGrid w:val="0"/>
          <w:lang w:val="es-ES"/>
        </w:rPr>
        <w:t>el aislamiento térmico de la bodega.</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14</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Identificación y trazabilidad de la procedencia de la aceituna y de los productos elaborados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14.1.1 Cada centro de recepción y manipulación tendrá que disponer de un albarán de control de entrada, en el cual figure el producto, cantidad, parcela de origen, identificación con el número de orden del Cuaderno de explotación, la fecha de entrada y firmado por la persona que realiza la entrada.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14.1.2 Los operadores que no tengan la totalidad de la producción de cultivo bajo normas de producción integrada, deberán cumplir los requisitos siguientes:</w:t>
      </w:r>
    </w:p>
    <w:p w:rsidR="00503A41" w:rsidRPr="00993936" w:rsidRDefault="00503A41" w:rsidP="009D1A2D">
      <w:pPr>
        <w:pStyle w:val="Sinespaciado"/>
        <w:numPr>
          <w:ilvl w:val="0"/>
          <w:numId w:val="179"/>
        </w:numPr>
        <w:jc w:val="both"/>
        <w:rPr>
          <w:rFonts w:ascii="Arial" w:hAnsi="Arial" w:cs="Arial"/>
          <w:lang w:val="es-ES"/>
        </w:rPr>
      </w:pPr>
      <w:r w:rsidRPr="00993936">
        <w:rPr>
          <w:rFonts w:ascii="Arial" w:hAnsi="Arial" w:cs="Arial"/>
          <w:lang w:val="es-ES"/>
        </w:rPr>
        <w:t xml:space="preserve">Debe haber un sistema documentado e implantado de identificación y trazabilidad de los productos de producción integrada para garantizar la separación desde la parcela o UHC hasta la entrega al cliente del producto elaborado de los de otros orígenes. </w:t>
      </w:r>
    </w:p>
    <w:p w:rsidR="00503A41" w:rsidRPr="00993936" w:rsidRDefault="00503A41" w:rsidP="009D1A2D">
      <w:pPr>
        <w:pStyle w:val="Sinespaciado"/>
        <w:numPr>
          <w:ilvl w:val="0"/>
          <w:numId w:val="179"/>
        </w:numPr>
        <w:jc w:val="both"/>
        <w:rPr>
          <w:rFonts w:ascii="Arial" w:hAnsi="Arial" w:cs="Arial"/>
          <w:lang w:val="es-ES"/>
        </w:rPr>
      </w:pPr>
      <w:r w:rsidRPr="00993936">
        <w:rPr>
          <w:rFonts w:ascii="Arial" w:hAnsi="Arial" w:cs="Arial"/>
          <w:lang w:val="es-ES"/>
        </w:rPr>
        <w:t>En caso de utilizar la misma línea de manipulación o confección para los dos tipos de producto, tendrá que quedar claramente definido el intervalo de tiempo durante el cual se manipula cada tipo de producto, y tiene que ser conocido por todo el personal implicado en el proceso.</w:t>
      </w:r>
    </w:p>
    <w:p w:rsidR="00503A41" w:rsidRPr="00993936" w:rsidRDefault="00503A41" w:rsidP="009D1A2D">
      <w:pPr>
        <w:pStyle w:val="Sinespaciado"/>
        <w:numPr>
          <w:ilvl w:val="0"/>
          <w:numId w:val="179"/>
        </w:numPr>
        <w:jc w:val="both"/>
        <w:rPr>
          <w:rFonts w:ascii="Arial" w:hAnsi="Arial" w:cs="Arial"/>
          <w:lang w:val="es-ES"/>
        </w:rPr>
      </w:pPr>
      <w:r w:rsidRPr="00993936">
        <w:rPr>
          <w:rFonts w:ascii="Arial" w:hAnsi="Arial" w:cs="Arial"/>
          <w:lang w:val="es-ES"/>
        </w:rPr>
        <w:t>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 no amparado por esta norma, antes de proceder a su manipulación. </w:t>
      </w:r>
    </w:p>
    <w:p w:rsidR="00503A41" w:rsidRPr="00993936" w:rsidRDefault="00503A41" w:rsidP="009D1A2D">
      <w:pPr>
        <w:pStyle w:val="Sinespaciado"/>
        <w:numPr>
          <w:ilvl w:val="0"/>
          <w:numId w:val="179"/>
        </w:numPr>
        <w:jc w:val="both"/>
        <w:rPr>
          <w:rFonts w:ascii="Arial" w:hAnsi="Arial" w:cs="Arial"/>
          <w:lang w:val="es-ES"/>
        </w:rPr>
      </w:pPr>
      <w:r w:rsidRPr="00993936">
        <w:rPr>
          <w:rFonts w:ascii="Arial" w:hAnsi="Arial" w:cs="Arial"/>
          <w:lang w:val="es-ES"/>
        </w:rPr>
        <w:t>Antes de proceder a la manipulación del producto de producción integrada, las líneas de manipulación deben estar completamente limpias</w:t>
      </w:r>
      <w:r w:rsidRPr="00993936">
        <w:rPr>
          <w:rFonts w:ascii="Arial" w:hAnsi="Arial" w:cs="Arial"/>
          <w:vanish/>
          <w:lang w:val="es-ES"/>
        </w:rPr>
        <w:t>&lt;A[limpias|netas]&gt;</w:t>
      </w:r>
      <w:r w:rsidRPr="00993936">
        <w:rPr>
          <w:rFonts w:ascii="Arial" w:hAnsi="Arial" w:cs="Arial"/>
          <w:lang w:val="es-ES"/>
        </w:rPr>
        <w:t xml:space="preserve"> de producto de otros orígenes.</w:t>
      </w:r>
    </w:p>
    <w:p w:rsidR="00503A41" w:rsidRPr="00993936" w:rsidRDefault="00503A41" w:rsidP="009D1A2D">
      <w:pPr>
        <w:pStyle w:val="Sinespaciado"/>
        <w:numPr>
          <w:ilvl w:val="0"/>
          <w:numId w:val="179"/>
        </w:numPr>
        <w:jc w:val="both"/>
        <w:rPr>
          <w:rFonts w:ascii="Arial" w:hAnsi="Arial" w:cs="Arial"/>
          <w:lang w:val="es-ES"/>
        </w:rPr>
      </w:pPr>
      <w:r w:rsidRPr="00993936">
        <w:rPr>
          <w:rFonts w:ascii="Arial" w:hAnsi="Arial" w:cs="Arial"/>
          <w:lang w:val="es-ES"/>
        </w:rPr>
        <w:t>Tendrá que quedar claramente definido el intervalo de tiempo durante el cual se manipula cada tipo de producto, y tendrá que ser conocido por todo el personal implicado en el proceso.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14.1.3 Los productos de producción integrada serán identificados y considerados, en cualquier momento del proceso técnico, administrativo y de comercialización como un producto diferente del resto de productos manipulados por la persona operadora.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14.1.4 Las cajas de campo y otros envases utilizados para la recolección o el transporte de productos de producción integrada deben estar claramente diferenciados de los utilizados para otros productos.</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 xml:space="preserve">14.2.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14.2.1</w:t>
      </w:r>
      <w:r w:rsidRPr="00993936">
        <w:rPr>
          <w:rFonts w:ascii="Arial" w:hAnsi="Arial" w:cs="Arial"/>
          <w:b/>
          <w:lang w:val="es-ES"/>
        </w:rPr>
        <w:t xml:space="preserve"> </w:t>
      </w:r>
      <w:r w:rsidRPr="00993936">
        <w:rPr>
          <w:rFonts w:ascii="Arial" w:hAnsi="Arial" w:cs="Arial"/>
          <w:lang w:val="es-ES"/>
        </w:rPr>
        <w:t>Comercializar, como productos amparados por esta norma, los procedentes de unidades de cultivo que no cumplan las indicaciones de cultivo que establece la normativa de producción integrada en toda su producción.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14.3.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14.3.1 Implantar un sistema que permita identificar la unidad de cultivo de origen de las producciones comercializadas.</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15</w:t>
      </w:r>
    </w:p>
    <w:p w:rsidR="00503A41" w:rsidRPr="00993936" w:rsidRDefault="00503A41" w:rsidP="001D205D">
      <w:pPr>
        <w:pStyle w:val="Sinespaciado"/>
        <w:jc w:val="both"/>
        <w:rPr>
          <w:rFonts w:ascii="Arial" w:hAnsi="Arial" w:cs="Arial"/>
          <w:b/>
        </w:rPr>
      </w:pPr>
      <w:r w:rsidRPr="00993936">
        <w:rPr>
          <w:rFonts w:ascii="Arial" w:hAnsi="Arial" w:cs="Arial"/>
          <w:b/>
        </w:rPr>
        <w:t>Instalaciones generales</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 xml:space="preserve">15.1 Materiales </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u w:val="single"/>
          <w:lang w:val="es-ES"/>
        </w:rPr>
      </w:pPr>
      <w:r w:rsidRPr="00993936">
        <w:rPr>
          <w:rFonts w:ascii="Arial" w:hAnsi="Arial" w:cs="Arial"/>
          <w:spacing w:val="-2"/>
          <w:lang w:val="es-ES"/>
        </w:rPr>
        <w:t>15.1.1.1 Todos los materiales que se utilicen en las instalaciones deberán ser aptos para uso alimentario, adaptándose a las diferentes especificaciones y necesidades, según el Código Alimenticio Español y la normativa vigente.</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15.1.1.2 Los materiales polímeros autorizados deberán ser inocuos</w:t>
      </w:r>
      <w:r w:rsidRPr="00993936">
        <w:rPr>
          <w:rFonts w:ascii="Arial" w:hAnsi="Arial" w:cs="Arial"/>
          <w:vanish/>
          <w:spacing w:val="-2"/>
          <w:lang w:val="es-ES"/>
        </w:rPr>
        <w:t>&lt;A[inocuos|inofensivos]&gt;</w:t>
      </w:r>
      <w:r w:rsidRPr="00993936">
        <w:rPr>
          <w:rFonts w:ascii="Arial" w:hAnsi="Arial" w:cs="Arial"/>
          <w:spacing w:val="-2"/>
          <w:lang w:val="es-ES"/>
        </w:rPr>
        <w:t xml:space="preserve"> y no deberán transmitir a los aceites propiedades nocivas ni cambiar sus características organolépticas.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15.1.2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15.1.2.1 Utilizar todos los materiales especificados en el Código Alimenticio Español (art. 2.04.03) y normativa vigente. Se indicarán los más importantes: el hierro cromado en las instalaciones para el agua potable, el plomo y las soldaduras con aleacions de estaño - plomo.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15.1.3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15.1.3.1 Utilizar de forma general los aceros inoxidables que sean resistentes al ataque de detergentes y soluciones esterilizadoras.</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15.2 Características constructivas, de diseño y mantenimiento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15.2.1.1 Todas las superficies en contacto directo con la aceituna o el aceite extraído deben ser fácilmente accesibles o desmontables para la comprobación del estado de limpieza.</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15.2.1.2 </w:t>
      </w:r>
      <w:r w:rsidRPr="00993936">
        <w:rPr>
          <w:rFonts w:ascii="Arial" w:hAnsi="Arial" w:cs="Arial"/>
          <w:lang w:val="es-ES"/>
        </w:rPr>
        <w:t>En toda instalación, tubos, válvulas, depósitos, etc. se deberá asegurar que el escurrido por gravedad sea total.</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15.2.1.3 Mantener las instalaciones en buen estado de conservación mediante un mantenimiento adecuado.</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15.2.1.4 Los pasillos</w:t>
      </w:r>
      <w:r w:rsidRPr="00993936">
        <w:rPr>
          <w:rFonts w:ascii="Arial" w:hAnsi="Arial" w:cs="Arial"/>
          <w:vanish/>
          <w:spacing w:val="-2"/>
          <w:lang w:val="es-ES"/>
        </w:rPr>
        <w:t>&lt;A[pasillos|pasadizos]&gt;</w:t>
      </w:r>
      <w:r w:rsidRPr="00993936">
        <w:rPr>
          <w:rFonts w:ascii="Arial" w:hAnsi="Arial" w:cs="Arial"/>
          <w:spacing w:val="-2"/>
          <w:lang w:val="es-ES"/>
        </w:rPr>
        <w:t xml:space="preserve"> dentro del almacén de manipulación se encontrarán libres de obstáculos, existiendo pasillos</w:t>
      </w:r>
      <w:r w:rsidRPr="00993936">
        <w:rPr>
          <w:rFonts w:ascii="Arial" w:hAnsi="Arial" w:cs="Arial"/>
          <w:vanish/>
          <w:spacing w:val="-2"/>
          <w:lang w:val="es-ES"/>
        </w:rPr>
        <w:t>&lt;A[pasillos|pasadizos]&gt;</w:t>
      </w:r>
      <w:r w:rsidRPr="00993936">
        <w:rPr>
          <w:rFonts w:ascii="Arial" w:hAnsi="Arial" w:cs="Arial"/>
          <w:spacing w:val="-2"/>
          <w:lang w:val="es-ES"/>
        </w:rPr>
        <w:t xml:space="preserve"> para el personal y pasillos</w:t>
      </w:r>
      <w:r w:rsidRPr="00993936">
        <w:rPr>
          <w:rFonts w:ascii="Arial" w:hAnsi="Arial" w:cs="Arial"/>
          <w:vanish/>
          <w:spacing w:val="-2"/>
          <w:lang w:val="es-ES"/>
        </w:rPr>
        <w:t>&lt;A[pasillos|pasadizos]&gt;</w:t>
      </w:r>
      <w:r w:rsidRPr="00993936">
        <w:rPr>
          <w:rFonts w:ascii="Arial" w:hAnsi="Arial" w:cs="Arial"/>
          <w:spacing w:val="-2"/>
          <w:lang w:val="es-ES"/>
        </w:rPr>
        <w:t xml:space="preserve"> para los vehículos.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15.2.1.5 Las cantoneras y obstáculos fijas deberán estar señalizados adecuadamente.</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15.2.1.6 </w:t>
      </w:r>
      <w:r w:rsidRPr="00993936">
        <w:rPr>
          <w:rFonts w:ascii="Arial" w:hAnsi="Arial" w:cs="Arial"/>
          <w:lang w:val="es-ES"/>
        </w:rPr>
        <w:t>La zona de extracción, envasado y manipulación del aceite tiene que estar perfectamente limpia</w:t>
      </w:r>
      <w:r w:rsidRPr="00993936">
        <w:rPr>
          <w:rFonts w:ascii="Arial" w:hAnsi="Arial" w:cs="Arial"/>
          <w:vanish/>
          <w:lang w:val="es-ES"/>
        </w:rPr>
        <w:t>&lt;A[limpia|neta]&gt;</w:t>
      </w:r>
      <w:r w:rsidRPr="00993936">
        <w:rPr>
          <w:rFonts w:ascii="Arial" w:hAnsi="Arial" w:cs="Arial"/>
          <w:lang w:val="es-ES"/>
        </w:rPr>
        <w:t xml:space="preserve"> y construida de tal manera que permita una adecuada higiene (paredes enbaldosadas, desagües, etc.).</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15.2.1.7 Se evitarán agujeros y ventanas y se instalarán elementos que impidan la entrada de insectos.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15.2.1.8  Las instalaciones, incluidos los baños, los equipos y el entorno productivo deben estar en un estado de orden y de limpieza adecuado.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15.2.1.9 Todas las instalaciones deben estar ventiladas, iluminadas y con sistemas de desagüe adecuados para las actividades que desarrollan.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15.2.2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 xml:space="preserve">15.2.2.1 Utilizar equipamientos con grietas, picadas o zonas muertas en las cuales se acumulen sustancias o productos elaborados a los que no lleguen las soluciones de </w:t>
      </w:r>
      <w:r w:rsidRPr="00993936">
        <w:rPr>
          <w:rFonts w:ascii="Arial" w:hAnsi="Arial" w:cs="Arial"/>
          <w:lang w:val="es-ES"/>
        </w:rPr>
        <w:lastRenderedPageBreak/>
        <w:t>limpieza. Tampoco se utilizará tornillos</w:t>
      </w:r>
      <w:r w:rsidRPr="00993936">
        <w:rPr>
          <w:rFonts w:ascii="Arial" w:hAnsi="Arial" w:cs="Arial"/>
          <w:vanish/>
          <w:lang w:val="es-ES"/>
        </w:rPr>
        <w:t>&lt;A[caracoles|tornillos]&gt;</w:t>
      </w:r>
      <w:r w:rsidRPr="00993936">
        <w:rPr>
          <w:rFonts w:ascii="Arial" w:hAnsi="Arial" w:cs="Arial"/>
          <w:lang w:val="es-ES"/>
        </w:rPr>
        <w:t xml:space="preserve"> o alambres en las zonas de contacto con la aceituna o el aceite elaborado.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15.2.3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15.2.3.1 La rugosidad de las superficies de contacto con las aceitunas y el aceite procesado tiene que ser Ra 0 8 </w:t>
      </w:r>
      <w:r w:rsidRPr="00993936">
        <w:rPr>
          <w:rFonts w:ascii="Arial" w:hAnsi="Arial" w:cs="Arial"/>
          <w:lang w:val="es-ES"/>
        </w:rPr>
        <w:sym w:font="Symbol" w:char="F06D"/>
      </w:r>
      <w:r w:rsidRPr="00993936">
        <w:rPr>
          <w:rFonts w:ascii="Arial" w:hAnsi="Arial" w:cs="Arial"/>
          <w:lang w:val="es-ES"/>
        </w:rPr>
        <w:t>m. Se pueden aceptar rugosidades mayores siempre que esté especificado claramente el grado e incremento de tiempo de limpieza.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15.2.3.2 Las separaciones entre máquinas o de estas con las paredes serán como mínimo de </w:t>
      </w:r>
      <w:smartTag w:uri="urn:schemas-microsoft-com:office:smarttags" w:element="metricconverter">
        <w:smartTagPr>
          <w:attr w:name="ProductID" w:val="45 cm"/>
        </w:smartTagPr>
        <w:r w:rsidRPr="00993936">
          <w:rPr>
            <w:rFonts w:ascii="Arial" w:hAnsi="Arial" w:cs="Arial"/>
            <w:lang w:val="es-ES"/>
          </w:rPr>
          <w:t>45 cm</w:t>
        </w:r>
      </w:smartTag>
      <w:r w:rsidRPr="00993936">
        <w:rPr>
          <w:rFonts w:ascii="Arial" w:hAnsi="Arial" w:cs="Arial"/>
          <w:lang w:val="es-ES"/>
        </w:rPr>
        <w:t>.</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15.3 Lavabos y vestuarios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15.3.1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15.3.1.1 </w:t>
      </w:r>
      <w:r w:rsidRPr="00993936">
        <w:rPr>
          <w:rFonts w:ascii="Arial" w:hAnsi="Arial" w:cs="Arial"/>
          <w:spacing w:val="-2"/>
          <w:lang w:val="es-ES"/>
        </w:rPr>
        <w:t>Deberá existir un número suficiente de lavabos, debidamente localizados y señalizados, que dispongan de un cartel recordatorio de la obligatoriedad del lavado de las manos después de su utilización.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15.3.1.2  </w:t>
      </w:r>
      <w:r w:rsidRPr="00993936">
        <w:rPr>
          <w:rFonts w:ascii="Arial" w:hAnsi="Arial" w:cs="Arial"/>
          <w:spacing w:val="-2"/>
          <w:lang w:val="es-ES"/>
        </w:rPr>
        <w:t>Los lavabos para limpiar las manos estarán provistos de agua corriente, así como de material de limpieza y secado higiénico de las manos (distribuidoras de jabón y dispositivos de secado de manos por aire o toallas de un solo uso).</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15.3.1.3  </w:t>
      </w:r>
      <w:r w:rsidRPr="00993936">
        <w:rPr>
          <w:rFonts w:ascii="Arial" w:hAnsi="Arial" w:cs="Arial"/>
          <w:spacing w:val="-2"/>
          <w:lang w:val="es-ES"/>
        </w:rPr>
        <w:t>No comunicar los lavabos directamente con los locales donde se manipulen productos (aceitunas y aceites).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15.3.1.4  Ajustar </w:t>
      </w:r>
      <w:r w:rsidRPr="00993936">
        <w:rPr>
          <w:rFonts w:ascii="Arial" w:hAnsi="Arial" w:cs="Arial"/>
          <w:spacing w:val="-2"/>
          <w:lang w:val="es-ES"/>
        </w:rPr>
        <w:t>el número de vestuarios a las necesidades del personal de la empresa, y disponer de armarios para la ropa y calzado, de fácil limpieza y desinfección.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15.3.1.5  Evitar</w:t>
      </w:r>
      <w:r w:rsidRPr="00993936">
        <w:rPr>
          <w:rFonts w:ascii="Arial" w:hAnsi="Arial" w:cs="Arial"/>
          <w:spacing w:val="-2"/>
          <w:lang w:val="es-ES"/>
        </w:rPr>
        <w:t xml:space="preserve"> los agujeros en las ventanas o poner elementos que impidan la entrada de insectos.</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15.4 Ventilación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15.4.1.1 Todas las instalaciones deberán tener una ventilación adecuada, natural o mecánica y especialmente los servicios sanitarios.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15.4.2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15.4.2.1 En los sistemas de ventilación mecánica, se recomienda poder acceder fácilmente a los filtros y a otras partes que tengan que limpiarse o sustituirse.</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15.5 Iluminación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15.5.1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15.5.1.1 Los locales por donde circulen los productos deberán estar suficientemente iluminados por medios naturales o artificiales.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15.5.1.2 Los tubos fluorescentes o bombillas se protegerán con dispositivos adecuados para evitar la posible caída de cristales en caso de rotura</w:t>
      </w:r>
      <w:r w:rsidRPr="00993936">
        <w:rPr>
          <w:rFonts w:ascii="Arial" w:hAnsi="Arial" w:cs="Arial"/>
          <w:vanish/>
          <w:spacing w:val="-2"/>
          <w:lang w:val="es-ES"/>
        </w:rPr>
        <w:t>&lt;A[rotura|ruptura]&gt;</w:t>
      </w:r>
      <w:r w:rsidRPr="00993936">
        <w:rPr>
          <w:rFonts w:ascii="Arial" w:hAnsi="Arial" w:cs="Arial"/>
          <w:spacing w:val="-2"/>
          <w:lang w:val="es-ES"/>
        </w:rPr>
        <w:t xml:space="preserve"> y su fijación al techo o a las paredes tendrá que ser de forma que facilite la limpieza y se evite la acumulación de polvo. </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15.6 Desagües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15.6.1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15.6.1.1 Los sistemas de desagüe deberán ser los adecuados.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15.6.1.2 En caso de existir desagües, se dispondrá de los medios que permitan la evacuación de las aguas de limpieza. Estos desagües estarán equipados con los dispositivos adecuados que eviten el retroceso.</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15.7 Superficies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15.7.1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15.7.1.1  Las superficies de suelos, paredes y techos deberán ser sólidas, de durabilidad comprobada y fáciles de limpiar. Todas las superficies del suelo de la sala de elaboración y bodega deberán tener un tratamiento antideslizante.</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lang w:val="es-ES"/>
        </w:rPr>
        <w:t>15.8 Zonas de almacenamiento</w:t>
      </w:r>
      <w:r w:rsidRPr="00993936">
        <w:rPr>
          <w:rFonts w:ascii="Arial" w:hAnsi="Arial" w:cs="Arial"/>
          <w:b/>
          <w:spacing w:val="-2"/>
          <w:lang w:val="es-ES"/>
        </w:rPr>
        <w:t xml:space="preserve"> </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15.8.1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15.8.1.1 Deberán existir zonas diferentes para el almacenamiento de productos y de envases vacíos.</w:t>
      </w:r>
    </w:p>
    <w:p w:rsidR="00503A41" w:rsidRPr="00993936" w:rsidRDefault="00503A41" w:rsidP="001D205D">
      <w:pPr>
        <w:pStyle w:val="Sinespaciado"/>
        <w:jc w:val="both"/>
        <w:rPr>
          <w:rFonts w:ascii="Arial" w:hAnsi="Arial" w:cs="Arial"/>
          <w:spacing w:val="-2"/>
          <w:u w:val="single"/>
          <w:lang w:val="es-ES"/>
        </w:rPr>
      </w:pPr>
      <w:r w:rsidRPr="00993936">
        <w:rPr>
          <w:rFonts w:ascii="Arial" w:hAnsi="Arial" w:cs="Arial"/>
          <w:spacing w:val="-2"/>
          <w:lang w:val="es-ES"/>
        </w:rPr>
        <w:t>15.8.1.2 Las zonas de almacenamiento se mantendrán ordenadas y limpias</w:t>
      </w:r>
      <w:r w:rsidRPr="00993936">
        <w:rPr>
          <w:rFonts w:ascii="Arial" w:hAnsi="Arial" w:cs="Arial"/>
          <w:vanish/>
          <w:spacing w:val="-2"/>
          <w:lang w:val="es-ES"/>
        </w:rPr>
        <w:t>&lt;A[limpias|netas]&gt;</w:t>
      </w:r>
      <w:r w:rsidRPr="00993936">
        <w:rPr>
          <w:rFonts w:ascii="Arial" w:hAnsi="Arial" w:cs="Arial"/>
          <w:spacing w:val="-2"/>
          <w:lang w:val="es-ES"/>
        </w:rPr>
        <w:t>.</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lastRenderedPageBreak/>
        <w:t>15.8.1.3 Los productos químicos deberán estar almacenados en un lugar</w:t>
      </w:r>
      <w:r w:rsidRPr="00993936">
        <w:rPr>
          <w:rFonts w:ascii="Arial" w:hAnsi="Arial" w:cs="Arial"/>
          <w:vanish/>
          <w:spacing w:val="-2"/>
          <w:lang w:val="es-ES"/>
        </w:rPr>
        <w:t>&lt;A[lugar|sitio]&gt;</w:t>
      </w:r>
      <w:r w:rsidRPr="00993936">
        <w:rPr>
          <w:rFonts w:ascii="Arial" w:hAnsi="Arial" w:cs="Arial"/>
          <w:spacing w:val="-2"/>
          <w:lang w:val="es-ES"/>
        </w:rPr>
        <w:t xml:space="preserve"> que se pueda cerrar y debidamente señalizado. El acceso al lugar</w:t>
      </w:r>
      <w:r w:rsidRPr="00993936">
        <w:rPr>
          <w:rFonts w:ascii="Arial" w:hAnsi="Arial" w:cs="Arial"/>
          <w:vanish/>
          <w:spacing w:val="-2"/>
          <w:lang w:val="es-ES"/>
        </w:rPr>
        <w:t>&lt;A[lugar|sitio]&gt;</w:t>
      </w:r>
      <w:r w:rsidRPr="00993936">
        <w:rPr>
          <w:rFonts w:ascii="Arial" w:hAnsi="Arial" w:cs="Arial"/>
          <w:spacing w:val="-2"/>
          <w:lang w:val="es-ES"/>
        </w:rPr>
        <w:t xml:space="preserve"> de almacenamiento de los productos químicos así como su manipulación, estará restringido al personal designado por la empresa.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15.8.1.4 Los productos químicos almacenados irán debidamente etiquetados y deberán tener autorización para su uso en la industria alimentaria.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15.8.1.5. Se evitará el almacenamiento de materiales de destrío en la zona de manipulación.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15.8.2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15.8.2.1 A</w:t>
      </w:r>
      <w:r w:rsidRPr="00993936">
        <w:rPr>
          <w:rFonts w:ascii="Arial" w:hAnsi="Arial" w:cs="Arial"/>
          <w:spacing w:val="-2"/>
          <w:lang w:val="es-ES"/>
        </w:rPr>
        <w:t>lmacenar materiales de desecho en la zona de manipulación.</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15.9 Suministro de agua</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15.9.1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15.9.1.1 La empresa dispondrá de un suministro de agua potable clorada (o cualquier otro sistema de potabilización y desinfección autorizado por la Administración Sanitaria competente) utilizada para el contacto directo con los productos (lavado, tratamientos, refrigeración, o la humidificación del producto) o con cualquier superficie de contacto con estos.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15.9.1.2 Los depósitos intermedios de agua deberán limpiarse y desinfectarse periódicamente.</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15.9.1.3 Utilizar filtros de carbón activo para el agua clorada del proceso de extracción.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Higiene y mantenimiento sanitario de las instalaciones</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16.1 Condiciones generales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16.1.1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16.1.1.1 Cada persona operadora tiene que disponer de un plan</w:t>
      </w:r>
      <w:r w:rsidRPr="00993936">
        <w:rPr>
          <w:rFonts w:ascii="Arial" w:hAnsi="Arial" w:cs="Arial"/>
          <w:vanish/>
          <w:lang w:val="es-ES"/>
        </w:rPr>
        <w:t>&lt;A[plan|plano]&gt;</w:t>
      </w:r>
      <w:r w:rsidRPr="00993936">
        <w:rPr>
          <w:rFonts w:ascii="Arial" w:hAnsi="Arial" w:cs="Arial"/>
          <w:lang w:val="es-ES"/>
        </w:rPr>
        <w:t xml:space="preserve"> general de limpieza y desinfección detallado de las instalaciones, los equipos, las líneas de manipulación, industrialización, almacenamiento y envasado, con la finalidad de que en todo momento estén en buen estado de conservación. . El plan</w:t>
      </w:r>
      <w:r w:rsidRPr="00993936">
        <w:rPr>
          <w:rFonts w:ascii="Arial" w:hAnsi="Arial" w:cs="Arial"/>
          <w:vanish/>
          <w:lang w:val="es-ES"/>
        </w:rPr>
        <w:t>&lt;A[plan|plano]&gt;</w:t>
      </w:r>
      <w:r w:rsidRPr="00993936">
        <w:rPr>
          <w:rFonts w:ascii="Arial" w:hAnsi="Arial" w:cs="Arial"/>
          <w:lang w:val="es-ES"/>
        </w:rPr>
        <w:t xml:space="preserve"> tendrá que prever:</w:t>
      </w:r>
    </w:p>
    <w:p w:rsidR="00503A41" w:rsidRPr="00993936" w:rsidRDefault="00503A41" w:rsidP="009D1A2D">
      <w:pPr>
        <w:pStyle w:val="Sinespaciado"/>
        <w:numPr>
          <w:ilvl w:val="0"/>
          <w:numId w:val="180"/>
        </w:numPr>
        <w:jc w:val="both"/>
        <w:rPr>
          <w:rFonts w:ascii="Arial" w:hAnsi="Arial" w:cs="Arial"/>
          <w:spacing w:val="-2"/>
          <w:lang w:val="es-ES"/>
        </w:rPr>
      </w:pPr>
      <w:r w:rsidRPr="00993936">
        <w:rPr>
          <w:rFonts w:ascii="Arial" w:hAnsi="Arial" w:cs="Arial"/>
          <w:lang w:val="es-ES"/>
        </w:rPr>
        <w:t xml:space="preserve">Las instalaciones </w:t>
      </w:r>
      <w:r w:rsidRPr="00993936">
        <w:rPr>
          <w:rFonts w:ascii="Arial" w:hAnsi="Arial" w:cs="Arial"/>
          <w:spacing w:val="-2"/>
          <w:lang w:val="es-ES"/>
        </w:rPr>
        <w:t>de molturación de aceitunas y envasado, así como las bombas de trasiego de aceite y depósitos que correspondan a sus necesidades, s</w:t>
      </w:r>
      <w:r w:rsidRPr="00993936">
        <w:rPr>
          <w:rFonts w:ascii="Arial" w:hAnsi="Arial" w:cs="Arial"/>
          <w:lang w:val="es-ES"/>
        </w:rPr>
        <w:t>e limpiarán y se desinfectarán al inicio de campaña y al menos una vez al mes durante el periodo de funcionamiento.</w:t>
      </w:r>
    </w:p>
    <w:p w:rsidR="00503A41" w:rsidRPr="00993936" w:rsidRDefault="00503A41" w:rsidP="009D1A2D">
      <w:pPr>
        <w:pStyle w:val="Sinespaciado"/>
        <w:numPr>
          <w:ilvl w:val="0"/>
          <w:numId w:val="180"/>
        </w:numPr>
        <w:jc w:val="both"/>
        <w:rPr>
          <w:rFonts w:ascii="Arial" w:hAnsi="Arial" w:cs="Arial"/>
          <w:lang w:val="es-ES"/>
        </w:rPr>
      </w:pPr>
      <w:r w:rsidRPr="00993936">
        <w:rPr>
          <w:rFonts w:ascii="Arial" w:hAnsi="Arial" w:cs="Arial"/>
          <w:lang w:val="es-ES"/>
        </w:rPr>
        <w:t>Los envases se limpiarán y desinfectarán como mínimo una vez al año.</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16.1.1.2 El plan</w:t>
      </w:r>
      <w:r w:rsidRPr="00993936">
        <w:rPr>
          <w:rFonts w:ascii="Arial" w:hAnsi="Arial" w:cs="Arial"/>
          <w:vanish/>
          <w:spacing w:val="-2"/>
          <w:lang w:val="es-ES"/>
        </w:rPr>
        <w:t>&lt;A[plan|plano]&gt;</w:t>
      </w:r>
      <w:r w:rsidRPr="00993936">
        <w:rPr>
          <w:rFonts w:ascii="Arial" w:hAnsi="Arial" w:cs="Arial"/>
          <w:spacing w:val="-2"/>
          <w:lang w:val="es-ES"/>
        </w:rPr>
        <w:t>, desglosado por zonas, líneas de trabajo o secciones, con instrucciones claras, concretas y sencillas, tendrá que estar por escrito y accesible para todos los que lo llevan a cabo.</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16.1.1.3 El plan</w:t>
      </w:r>
      <w:r w:rsidRPr="00993936">
        <w:rPr>
          <w:rFonts w:ascii="Arial" w:hAnsi="Arial" w:cs="Arial"/>
          <w:vanish/>
          <w:spacing w:val="-2"/>
          <w:lang w:val="es-ES"/>
        </w:rPr>
        <w:t>&lt;A[plan|plano]&gt;</w:t>
      </w:r>
      <w:r w:rsidRPr="00993936">
        <w:rPr>
          <w:rFonts w:ascii="Arial" w:hAnsi="Arial" w:cs="Arial"/>
          <w:spacing w:val="-2"/>
          <w:lang w:val="es-ES"/>
        </w:rPr>
        <w:t xml:space="preserve"> tendrá que especificar los tipos de productos utilizados, la frecuencia con la que se realizarán estas operaciones y el personal designado para estos trabajos.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16.1.1.4 El personal que tendrá que llevarlo a cabo tendrá la formación adecuada en este campo.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16.1.1.5 Los productos de limpieza deberán ser adecuados para la finalidad perseguida y deberán estar autorizados para su uso en la industria alimentaria y guardados en un local específico con el resto de utensilios de limpieza.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16.1.1.6 P</w:t>
      </w:r>
      <w:r w:rsidRPr="00993936">
        <w:rPr>
          <w:rFonts w:ascii="Arial" w:hAnsi="Arial" w:cs="Arial"/>
          <w:snapToGrid w:val="0"/>
          <w:lang w:val="es-ES"/>
        </w:rPr>
        <w:t>rever un local donde se pueda comer, fumar o mantenerse independiente de las zonas de recepción, elaboración, envasado y almacenamiento.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16.1.2 </w:t>
      </w:r>
      <w:r w:rsidRPr="00993936">
        <w:rPr>
          <w:rFonts w:ascii="Arial" w:hAnsi="Arial" w:cs="Arial"/>
          <w:i/>
          <w:lang w:val="es-ES"/>
        </w:rPr>
        <w:t>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16.1.2.1 Utilizar carretillas</w:t>
      </w:r>
      <w:r w:rsidRPr="00993936">
        <w:rPr>
          <w:rFonts w:ascii="Arial" w:hAnsi="Arial" w:cs="Arial"/>
          <w:vanish/>
          <w:lang w:val="es-ES"/>
        </w:rPr>
        <w:t>&lt;A[carretillas|carretones]&gt;</w:t>
      </w:r>
      <w:r w:rsidRPr="00993936">
        <w:rPr>
          <w:rFonts w:ascii="Arial" w:hAnsi="Arial" w:cs="Arial"/>
          <w:lang w:val="es-ES"/>
        </w:rPr>
        <w:t xml:space="preserve"> elevadoras de gasóleo dentro de la central.</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17</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 xml:space="preserve">Control de plagas </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17.1 Insectos y roedores: Plan</w:t>
      </w:r>
      <w:r w:rsidRPr="00993936">
        <w:rPr>
          <w:rFonts w:ascii="Arial" w:hAnsi="Arial" w:cs="Arial"/>
          <w:b/>
          <w:vanish/>
          <w:spacing w:val="-2"/>
          <w:lang w:val="es-ES"/>
        </w:rPr>
        <w:t>&lt;A[Plan|Plano]&gt;</w:t>
      </w:r>
      <w:r w:rsidRPr="00993936">
        <w:rPr>
          <w:rFonts w:ascii="Arial" w:hAnsi="Arial" w:cs="Arial"/>
          <w:b/>
          <w:spacing w:val="-2"/>
          <w:lang w:val="es-ES"/>
        </w:rPr>
        <w:t xml:space="preserve"> de desinsectación y desratización</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lang w:val="es-ES"/>
        </w:rPr>
        <w:lastRenderedPageBreak/>
        <w:t xml:space="preserve">17.1.1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17.1.1.1 Disponer de un plan</w:t>
      </w:r>
      <w:r w:rsidRPr="00993936">
        <w:rPr>
          <w:rFonts w:ascii="Arial" w:hAnsi="Arial" w:cs="Arial"/>
          <w:vanish/>
          <w:spacing w:val="-2"/>
          <w:lang w:val="es-ES"/>
        </w:rPr>
        <w:t>&lt;A[plan|plano]&gt;</w:t>
      </w:r>
      <w:r w:rsidRPr="00993936">
        <w:rPr>
          <w:rFonts w:ascii="Arial" w:hAnsi="Arial" w:cs="Arial"/>
          <w:spacing w:val="-2"/>
          <w:lang w:val="es-ES"/>
        </w:rPr>
        <w:t xml:space="preserve"> de desinsectación y desratización detallado que corresponda a sus necesidades, puesto en práctica por un equipo con autorización legal para esta fín.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17.1.1.2 Cada persona operadora dispondrá de un plan</w:t>
      </w:r>
      <w:r w:rsidRPr="00993936">
        <w:rPr>
          <w:rFonts w:ascii="Arial" w:hAnsi="Arial" w:cs="Arial"/>
          <w:vanish/>
          <w:lang w:val="es-ES"/>
        </w:rPr>
        <w:t>&lt;A[plan|plano]&gt;</w:t>
      </w:r>
      <w:r w:rsidRPr="00993936">
        <w:rPr>
          <w:rFonts w:ascii="Arial" w:hAnsi="Arial" w:cs="Arial"/>
          <w:lang w:val="es-ES"/>
        </w:rPr>
        <w:t xml:space="preserve"> de limpieza, desinfección y desratización, practicado por un equipo con autorización legal para este fín. El plan</w:t>
      </w:r>
      <w:r w:rsidRPr="00993936">
        <w:rPr>
          <w:rFonts w:ascii="Arial" w:hAnsi="Arial" w:cs="Arial"/>
          <w:vanish/>
          <w:lang w:val="es-ES"/>
        </w:rPr>
        <w:t>&lt;A[plan|plano]&gt;</w:t>
      </w:r>
      <w:r w:rsidRPr="00993936">
        <w:rPr>
          <w:rFonts w:ascii="Arial" w:hAnsi="Arial" w:cs="Arial"/>
          <w:lang w:val="es-ES"/>
        </w:rPr>
        <w:t xml:space="preserve"> contendrá, al menos, la información siguiente: identificación del equipo de trabajo, trabajos y su frecuencia, material y productos que se utilizarán y método de aplicación. Las trampas deben estar señalizadas y numeradas debidamente, y tiene que existir un plano de señalización. </w:t>
      </w:r>
      <w:r w:rsidRPr="00993936">
        <w:rPr>
          <w:rFonts w:ascii="Arial" w:hAnsi="Arial" w:cs="Arial"/>
          <w:lang w:val="es-ES"/>
        </w:rPr>
        <w:tab/>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17.1.1.3  Evitar agujeros y ventanas e instalar elementos que impidan la entrada de insectos, pájaros y otros animales en las instalaciones.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17.1.1.4 Las instalaciones, los equipos y las herramientas estarán en buen estado de conservación mediante un adecuado plan</w:t>
      </w:r>
      <w:r w:rsidRPr="00993936">
        <w:rPr>
          <w:rFonts w:ascii="Arial" w:hAnsi="Arial" w:cs="Arial"/>
          <w:vanish/>
          <w:lang w:val="es-ES"/>
        </w:rPr>
        <w:t>&lt;A[plan|plano]&gt;</w:t>
      </w:r>
      <w:r w:rsidRPr="00993936">
        <w:rPr>
          <w:rFonts w:ascii="Arial" w:hAnsi="Arial" w:cs="Arial"/>
          <w:lang w:val="es-ES"/>
        </w:rPr>
        <w:t xml:space="preserve"> de mantenimiento.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17.1.1.5 La persona operadora tiene que tomar las medidas necesarias para evitar el contacto de los frutos y de las superficies con sustancias químicas, aguas no potables u objetos extraños.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17.1.1.6 Los recipientes de evacuación de residuos serán exclusivamente para esta finalidad y se limpiarán periódicamente, de acuerdo con el plan</w:t>
      </w:r>
      <w:r w:rsidRPr="00993936">
        <w:rPr>
          <w:rFonts w:ascii="Arial" w:hAnsi="Arial" w:cs="Arial"/>
          <w:vanish/>
          <w:lang w:val="es-ES"/>
        </w:rPr>
        <w:t>&lt;A[plan|plano]&gt;</w:t>
      </w:r>
      <w:r w:rsidRPr="00993936">
        <w:rPr>
          <w:rFonts w:ascii="Arial" w:hAnsi="Arial" w:cs="Arial"/>
          <w:lang w:val="es-ES"/>
        </w:rPr>
        <w:t xml:space="preserve"> de limpieza establecido.</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17.1.1.7</w:t>
      </w:r>
      <w:r w:rsidRPr="00993936">
        <w:rPr>
          <w:rFonts w:ascii="Arial" w:hAnsi="Arial" w:cs="Arial"/>
          <w:lang w:val="es-ES"/>
        </w:rPr>
        <w:t xml:space="preserve"> La persona operadora tiene que disponer de un plan</w:t>
      </w:r>
      <w:r w:rsidRPr="00993936">
        <w:rPr>
          <w:rFonts w:ascii="Arial" w:hAnsi="Arial" w:cs="Arial"/>
          <w:vanish/>
          <w:lang w:val="es-ES"/>
        </w:rPr>
        <w:t>&lt;A[plan|plano]&gt;</w:t>
      </w:r>
      <w:r w:rsidRPr="00993936">
        <w:rPr>
          <w:rFonts w:ascii="Arial" w:hAnsi="Arial" w:cs="Arial"/>
          <w:lang w:val="es-ES"/>
        </w:rPr>
        <w:t xml:space="preserve"> de mantenimiento de las instalaciones, de los equipos y de las herramientas, a fin de que en todo momento estén en buen estado de conservación.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17.1.1.8 El uso de insecticidas y/o raticidas se realizará de tal manera que no llegue a los productos. Estos productos deberán cumplir la legislación y estar autorizados para su uso en industria alimentaria.</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17.1.1.9 Los puntos donde se coloquen trampas deberán estar debidamente señalizados y numerados. Además, tendrá que haber un plan</w:t>
      </w:r>
      <w:r w:rsidRPr="00993936">
        <w:rPr>
          <w:rFonts w:ascii="Arial" w:hAnsi="Arial" w:cs="Arial"/>
          <w:vanish/>
          <w:lang w:val="es-ES"/>
        </w:rPr>
        <w:t>&lt;A[plan|plano]&gt;</w:t>
      </w:r>
      <w:r w:rsidRPr="00993936">
        <w:rPr>
          <w:rFonts w:ascii="Arial" w:hAnsi="Arial" w:cs="Arial"/>
          <w:lang w:val="es-ES"/>
        </w:rPr>
        <w:t xml:space="preserve"> de señalización adecuada de estos.</w:t>
      </w:r>
    </w:p>
    <w:p w:rsidR="00503A41" w:rsidRPr="00993936" w:rsidRDefault="00503A41" w:rsidP="001D205D">
      <w:pPr>
        <w:pStyle w:val="Sinespaciado"/>
        <w:jc w:val="both"/>
        <w:rPr>
          <w:rFonts w:ascii="Arial" w:hAnsi="Arial" w:cs="Arial"/>
          <w:u w:val="single"/>
          <w:lang w:val="es-ES"/>
        </w:rPr>
      </w:pPr>
      <w:r w:rsidRPr="00993936">
        <w:rPr>
          <w:rFonts w:ascii="Arial" w:hAnsi="Arial" w:cs="Arial"/>
          <w:spacing w:val="-2"/>
          <w:lang w:val="es-ES"/>
        </w:rPr>
        <w:t>17.1.1.10 Cuando se utilicen trampas luminosas para insectos, estas no deberán colocarse encima de los equipos y líneas de recepción, manipulación, elaboración y envasado de los productos.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17.1.1.11</w:t>
      </w:r>
      <w:r w:rsidRPr="00993936">
        <w:rPr>
          <w:rFonts w:ascii="Arial" w:hAnsi="Arial" w:cs="Arial"/>
          <w:lang w:val="es-ES"/>
        </w:rPr>
        <w:t xml:space="preserve"> Los productos </w:t>
      </w:r>
      <w:r w:rsidRPr="00993936">
        <w:rPr>
          <w:rFonts w:ascii="Arial" w:hAnsi="Arial" w:cs="Arial"/>
          <w:spacing w:val="-2"/>
          <w:lang w:val="es-ES"/>
        </w:rPr>
        <w:t>insecticidas y/o raticidas</w:t>
      </w:r>
      <w:r w:rsidRPr="00993936">
        <w:rPr>
          <w:rFonts w:ascii="Arial" w:hAnsi="Arial" w:cs="Arial"/>
          <w:lang w:val="es-ES"/>
        </w:rPr>
        <w:t xml:space="preserve"> deberán almacenarse en un lugar</w:t>
      </w:r>
      <w:r w:rsidRPr="00993936">
        <w:rPr>
          <w:rFonts w:ascii="Arial" w:hAnsi="Arial" w:cs="Arial"/>
          <w:vanish/>
          <w:lang w:val="es-ES"/>
        </w:rPr>
        <w:t>&lt;A[lugar|sitio]&gt;</w:t>
      </w:r>
      <w:r w:rsidRPr="00993936">
        <w:rPr>
          <w:rFonts w:ascii="Arial" w:hAnsi="Arial" w:cs="Arial"/>
          <w:lang w:val="es-ES"/>
        </w:rPr>
        <w:t xml:space="preserve"> cerrado, separado de los frutos, para evitar cualquier riesgo de contaminación. </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17.1.1.12</w:t>
      </w:r>
      <w:r w:rsidRPr="00993936">
        <w:rPr>
          <w:rFonts w:ascii="Arial" w:hAnsi="Arial" w:cs="Arial"/>
          <w:lang w:val="es-ES"/>
        </w:rPr>
        <w:t xml:space="preserve"> El almacén dispondrá de llave</w:t>
      </w:r>
      <w:r w:rsidRPr="00993936">
        <w:rPr>
          <w:rFonts w:ascii="Arial" w:hAnsi="Arial" w:cs="Arial"/>
          <w:vanish/>
          <w:lang w:val="es-ES"/>
        </w:rPr>
        <w:t>&lt;A[clave|clavo|llave]&gt;</w:t>
      </w:r>
      <w:r w:rsidRPr="00993936">
        <w:rPr>
          <w:rFonts w:ascii="Arial" w:hAnsi="Arial" w:cs="Arial"/>
          <w:lang w:val="es-ES"/>
        </w:rPr>
        <w:t xml:space="preserve"> y ventilación permanente y suficiente.</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17.1.1.13 El almacenamiento tiene que disponer de medios para retener posibles derrames</w:t>
      </w:r>
      <w:r w:rsidRPr="00993936">
        <w:rPr>
          <w:rFonts w:ascii="Arial" w:hAnsi="Arial" w:cs="Arial"/>
          <w:vanish/>
          <w:spacing w:val="-2"/>
          <w:lang w:val="es-ES"/>
        </w:rPr>
        <w:t>&lt;A[derrames|vertidos]&gt;</w:t>
      </w:r>
      <w:r w:rsidRPr="00993936">
        <w:rPr>
          <w:rFonts w:ascii="Arial" w:hAnsi="Arial" w:cs="Arial"/>
          <w:spacing w:val="-2"/>
          <w:lang w:val="es-ES"/>
        </w:rPr>
        <w:t xml:space="preserve"> accidentales.</w:t>
      </w:r>
    </w:p>
    <w:p w:rsidR="00503A41" w:rsidRPr="00993936" w:rsidRDefault="00503A41" w:rsidP="001D205D">
      <w:pPr>
        <w:pStyle w:val="Sinespaciado"/>
        <w:jc w:val="both"/>
        <w:rPr>
          <w:rFonts w:ascii="Arial" w:hAnsi="Arial" w:cs="Arial"/>
          <w:b/>
          <w:lang w:val="es-ES"/>
        </w:rPr>
      </w:pPr>
      <w:r w:rsidRPr="00993936">
        <w:rPr>
          <w:rFonts w:ascii="Arial" w:hAnsi="Arial" w:cs="Arial"/>
          <w:spacing w:val="-2"/>
          <w:lang w:val="es-ES"/>
        </w:rPr>
        <w:t xml:space="preserve">17.1.1.14 </w:t>
      </w:r>
      <w:r w:rsidRPr="00993936">
        <w:rPr>
          <w:rFonts w:ascii="Arial" w:hAnsi="Arial" w:cs="Arial"/>
          <w:lang w:val="es-ES"/>
        </w:rPr>
        <w:t>El lugar</w:t>
      </w:r>
      <w:r w:rsidRPr="00993936">
        <w:rPr>
          <w:rFonts w:ascii="Arial" w:hAnsi="Arial" w:cs="Arial"/>
          <w:vanish/>
          <w:lang w:val="es-ES"/>
        </w:rPr>
        <w:t>&lt;A[lugar|sitio]&gt;</w:t>
      </w:r>
      <w:r w:rsidRPr="00993936">
        <w:rPr>
          <w:rFonts w:ascii="Arial" w:hAnsi="Arial" w:cs="Arial"/>
          <w:lang w:val="es-ES"/>
        </w:rPr>
        <w:t xml:space="preserve"> del almacén tiene que estar debidamente señalizado haciendo una especial insistencia a la prohibición de acceso a personas no autorizadas.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17.1.1.15</w:t>
      </w:r>
      <w:r w:rsidRPr="00993936">
        <w:rPr>
          <w:rFonts w:ascii="Arial" w:hAnsi="Arial" w:cs="Arial"/>
          <w:lang w:val="es-ES"/>
        </w:rPr>
        <w:t xml:space="preserve"> Los </w:t>
      </w:r>
      <w:r w:rsidRPr="00993936">
        <w:rPr>
          <w:rFonts w:ascii="Arial" w:hAnsi="Arial" w:cs="Arial"/>
          <w:spacing w:val="-2"/>
          <w:lang w:val="es-ES"/>
        </w:rPr>
        <w:t>insecticidas y/o raticidas</w:t>
      </w:r>
      <w:r w:rsidRPr="00993936">
        <w:rPr>
          <w:rFonts w:ascii="Arial" w:hAnsi="Arial" w:cs="Arial"/>
          <w:lang w:val="es-ES"/>
        </w:rPr>
        <w:t xml:space="preserve"> deben mantenerse dentro de su envase original y sus etiquetas deben ser perfectamente legibles.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17.1.1.16</w:t>
      </w:r>
      <w:r w:rsidRPr="00993936">
        <w:rPr>
          <w:rFonts w:ascii="Arial" w:hAnsi="Arial" w:cs="Arial"/>
          <w:lang w:val="es-ES"/>
        </w:rPr>
        <w:t xml:space="preserve"> Los productos </w:t>
      </w:r>
      <w:r w:rsidRPr="00993936">
        <w:rPr>
          <w:rFonts w:ascii="Arial" w:hAnsi="Arial" w:cs="Arial"/>
          <w:spacing w:val="-2"/>
          <w:lang w:val="es-ES"/>
        </w:rPr>
        <w:t>insecticidas y/o raticidas</w:t>
      </w:r>
      <w:r w:rsidRPr="00993936">
        <w:rPr>
          <w:rFonts w:ascii="Arial" w:hAnsi="Arial" w:cs="Arial"/>
          <w:lang w:val="es-ES"/>
        </w:rPr>
        <w:t xml:space="preserve"> deben estar debidamente etiquetados, ordenados y separados físicamente.</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17.1.1.17</w:t>
      </w:r>
      <w:r w:rsidRPr="00993936">
        <w:rPr>
          <w:rFonts w:ascii="Arial" w:hAnsi="Arial" w:cs="Arial"/>
          <w:lang w:val="es-ES"/>
        </w:rPr>
        <w:t xml:space="preserve"> Los </w:t>
      </w:r>
      <w:r w:rsidRPr="00993936">
        <w:rPr>
          <w:rFonts w:ascii="Arial" w:hAnsi="Arial" w:cs="Arial"/>
          <w:spacing w:val="-2"/>
          <w:lang w:val="es-ES"/>
        </w:rPr>
        <w:t>insecticidas y/o raticidas</w:t>
      </w:r>
      <w:r w:rsidRPr="00993936">
        <w:rPr>
          <w:rFonts w:ascii="Arial" w:hAnsi="Arial" w:cs="Arial"/>
          <w:lang w:val="es-ES"/>
        </w:rPr>
        <w:t xml:space="preserve"> en polvo deben almacenarse en estantes situados por encima de los líquidos.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17.1.1.18</w:t>
      </w:r>
      <w:r w:rsidRPr="00993936">
        <w:rPr>
          <w:rFonts w:ascii="Arial" w:hAnsi="Arial" w:cs="Arial"/>
          <w:lang w:val="es-ES"/>
        </w:rPr>
        <w:t xml:space="preserve"> La conservación de los justificantes de compras y gastos de los productos </w:t>
      </w:r>
      <w:r w:rsidRPr="00993936">
        <w:rPr>
          <w:rFonts w:ascii="Arial" w:hAnsi="Arial" w:cs="Arial"/>
          <w:spacing w:val="-2"/>
          <w:lang w:val="es-ES"/>
        </w:rPr>
        <w:t>insecticidas y/o raticidas</w:t>
      </w:r>
      <w:r w:rsidRPr="00993936">
        <w:rPr>
          <w:rFonts w:ascii="Arial" w:hAnsi="Arial" w:cs="Arial"/>
          <w:lang w:val="es-ES"/>
        </w:rPr>
        <w:t xml:space="preserve"> reflejados en el cuaderno de explotación es obligatoria durante dos años.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17.1.1.19</w:t>
      </w:r>
      <w:r w:rsidRPr="00993936">
        <w:rPr>
          <w:rFonts w:ascii="Arial" w:hAnsi="Arial" w:cs="Arial"/>
          <w:lang w:val="es-ES"/>
        </w:rPr>
        <w:t xml:space="preserve">  En caso de existir almacenamiento de productos </w:t>
      </w:r>
      <w:r w:rsidRPr="00993936">
        <w:rPr>
          <w:rFonts w:ascii="Arial" w:hAnsi="Arial" w:cs="Arial"/>
          <w:spacing w:val="-2"/>
          <w:lang w:val="es-ES"/>
        </w:rPr>
        <w:t>insecticidas y/o raticidas</w:t>
      </w:r>
      <w:r w:rsidRPr="00993936">
        <w:rPr>
          <w:rFonts w:ascii="Arial" w:hAnsi="Arial" w:cs="Arial"/>
          <w:lang w:val="es-ES"/>
        </w:rPr>
        <w:t xml:space="preserve"> en la industria, se aplicarán las obligaciones de la RTS (Reglamentación técnica sanitaria).</w:t>
      </w:r>
    </w:p>
    <w:p w:rsidR="00503A41" w:rsidRPr="00993936" w:rsidRDefault="00503A41" w:rsidP="001D205D">
      <w:pPr>
        <w:pStyle w:val="Sinespaciado"/>
        <w:jc w:val="both"/>
        <w:rPr>
          <w:rFonts w:ascii="Arial" w:hAnsi="Arial" w:cs="Arial"/>
          <w:i/>
        </w:rPr>
      </w:pPr>
      <w:r w:rsidRPr="00993936">
        <w:rPr>
          <w:rFonts w:ascii="Arial" w:hAnsi="Arial" w:cs="Arial"/>
          <w:i/>
        </w:rPr>
        <w:t>17.1.2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17.1.2.1 Utilizar estantes de almacenamiento de materiales no absorbentes.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17.1.2.2 No almacenar productos innecesariamente.</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17.1.2.3 Uso de trampas luminosas para insectos.</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17.2 Pájaros y otros animales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17.2.1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17.2.1.1 Adoptar las medidas necesarias para evitar la entrada de pájaros en las instalaciones e impedir que hagan nidos y pernocten.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17.2.1.2 No permitir la entrada de ningún animal a las instalaciones.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17.2.2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17.2.2.1 Diseñar las puertas de acceso y ventanas de manera que impidan la entrada de animales.</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17.3 Evacuación de desperdicios industriales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17.3.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17.3.1 E</w:t>
      </w:r>
      <w:r w:rsidRPr="00993936">
        <w:rPr>
          <w:rFonts w:ascii="Arial" w:hAnsi="Arial" w:cs="Arial"/>
          <w:snapToGrid w:val="0"/>
          <w:lang w:val="es-ES"/>
        </w:rPr>
        <w:t>vacuar los desperdicios de la planta según una planificación ordenada para minimizar los olores anormales y sobre todo para prevenir la contaminación de los alimentos.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17.3.2 T</w:t>
      </w:r>
      <w:r w:rsidRPr="00993936">
        <w:rPr>
          <w:rFonts w:ascii="Arial" w:hAnsi="Arial" w:cs="Arial"/>
          <w:snapToGrid w:val="0"/>
          <w:lang w:val="es-ES"/>
        </w:rPr>
        <w:t>ratar las aguas residuales con el fin de cumplir las exigencias de la normativa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17.3.3 Establecer sistemas de recogida de aceites usados o de todo tipo de sustancias tóxicas y peligrosas que haya en la explotación dándolos los destino previsto en la legislación vigente.</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17.4 Protección del medio ambiente</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17.4.1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17.4.1.1  La empresa tiene que cumplir la política de conservación del entorno natural según la legislación medioambiental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17.4.1.2 Disponer de medidas de prevención de vertidos accidentales de aceites, hidrocarburos u otros productos químicos peligrosos para el medio ambiente.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17.4.1.3 Implantar, si no están, medidas de ahorro en el consumo de agua y de energía en las instalaciones y en los procesos.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Equipos</w:t>
      </w:r>
    </w:p>
    <w:p w:rsidR="00503A41" w:rsidRPr="00993936" w:rsidRDefault="00503A41" w:rsidP="001D205D">
      <w:pPr>
        <w:pStyle w:val="Sinespaciado"/>
        <w:jc w:val="both"/>
        <w:rPr>
          <w:rFonts w:ascii="Arial" w:hAnsi="Arial" w:cs="Arial"/>
          <w:b/>
          <w:spacing w:val="-2"/>
          <w:u w:val="single"/>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18.1 Condiciones Generales.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18.1.1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 xml:space="preserve">19.1.1.1 Las empresas deberán establecer y llevar a cabo un plan de mantenimiento de los equipos para asegurar el correcto funcionamiento y tomar las medidas necesarias para evitar el contacto de los productos con sustancias químicas o bien objetos extraños (protectores, bandejas, etc.). </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18.2  Diseño</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 xml:space="preserve">18.2.1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18.2.1.1 La disposición de los equipos tendrá que permitir el mantenimiento y la limpieza adecuada, en línea con unas buenas prácticas de higiene.</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18.3 Superficies de trabajo</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18.3.1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18.3.1.1 M</w:t>
      </w:r>
      <w:r w:rsidRPr="00993936">
        <w:rPr>
          <w:rFonts w:ascii="Arial" w:hAnsi="Arial" w:cs="Arial"/>
          <w:spacing w:val="-2"/>
          <w:lang w:val="es-ES"/>
        </w:rPr>
        <w:t>antener en buen estado las superficies de trabajo y renovarlas cuando sea necesario.</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18.4 Carretillas de transporte de productos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18.4.1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18.4 .1.1 U</w:t>
      </w:r>
      <w:r w:rsidRPr="00993936">
        <w:rPr>
          <w:rFonts w:ascii="Arial" w:hAnsi="Arial" w:cs="Arial"/>
          <w:spacing w:val="-2"/>
          <w:lang w:val="es-ES"/>
        </w:rPr>
        <w:t>tilizar las carretillas</w:t>
      </w:r>
      <w:r w:rsidRPr="00993936">
        <w:rPr>
          <w:rFonts w:ascii="Arial" w:hAnsi="Arial" w:cs="Arial"/>
          <w:vanish/>
          <w:spacing w:val="-2"/>
          <w:lang w:val="es-ES"/>
        </w:rPr>
        <w:t>&lt;A[carretillas|carretones]&gt;</w:t>
      </w:r>
      <w:r w:rsidRPr="00993936">
        <w:rPr>
          <w:rFonts w:ascii="Arial" w:hAnsi="Arial" w:cs="Arial"/>
          <w:spacing w:val="-2"/>
          <w:lang w:val="es-ES"/>
        </w:rPr>
        <w:t xml:space="preserve"> elevadoras de gasoil exclusivamente fuera del almacén.</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18.5 Máquinas y utensilios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18.5.1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lastRenderedPageBreak/>
        <w:t>18.5.1.1  U</w:t>
      </w:r>
      <w:r w:rsidRPr="00993936">
        <w:rPr>
          <w:rFonts w:ascii="Arial" w:hAnsi="Arial" w:cs="Arial"/>
          <w:spacing w:val="-2"/>
          <w:lang w:val="es-ES"/>
        </w:rPr>
        <w:t>tilizar máquinas y utensilios en buen estado, que sean seguros y con los medios de protección adecuados. (protecciones, dispositivos de seguridad, etc.). Estas deberán estar almacenadas en un lugar</w:t>
      </w:r>
      <w:r w:rsidRPr="00993936">
        <w:rPr>
          <w:rFonts w:ascii="Arial" w:hAnsi="Arial" w:cs="Arial"/>
          <w:vanish/>
          <w:spacing w:val="-2"/>
          <w:lang w:val="es-ES"/>
        </w:rPr>
        <w:t>&lt;A[lugar|sitio]&gt;</w:t>
      </w:r>
      <w:r w:rsidRPr="00993936">
        <w:rPr>
          <w:rFonts w:ascii="Arial" w:hAnsi="Arial" w:cs="Arial"/>
          <w:spacing w:val="-2"/>
          <w:lang w:val="es-ES"/>
        </w:rPr>
        <w:t xml:space="preserve"> adecuado.</w:t>
      </w:r>
    </w:p>
    <w:p w:rsidR="00503A41" w:rsidRPr="00993936" w:rsidRDefault="00503A41" w:rsidP="001D205D">
      <w:pPr>
        <w:pStyle w:val="Sinespaciado"/>
        <w:jc w:val="both"/>
        <w:rPr>
          <w:rFonts w:ascii="Arial" w:hAnsi="Arial" w:cs="Arial"/>
          <w:spacing w:val="-2"/>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19</w:t>
      </w:r>
    </w:p>
    <w:p w:rsidR="00503A41" w:rsidRPr="00993936" w:rsidRDefault="00503A41" w:rsidP="001D205D">
      <w:pPr>
        <w:pStyle w:val="Sinespaciado"/>
        <w:jc w:val="both"/>
        <w:rPr>
          <w:rFonts w:ascii="Arial" w:hAnsi="Arial" w:cs="Arial"/>
          <w:b/>
        </w:rPr>
      </w:pPr>
      <w:r w:rsidRPr="00993936">
        <w:rPr>
          <w:rFonts w:ascii="Arial" w:hAnsi="Arial" w:cs="Arial"/>
          <w:b/>
        </w:rPr>
        <w:t>Personal</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19.1 Formación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19.1.1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19.1.1.1 Dar instrucciones a los trabajadores y trabajadoras para que, en caso de sufrir enfermedades de transmisión alimentaria, o estar afectados, entre otras patologías, por heridas infectadas, infecciones cutáneas o diarreas, tengan que informar a la dirección.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19.1.1.2 Documentar los procedimientos de actuación en caso de accidentes o de emergencias de forma que sean comprensibles por las personas afectadas.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19.1.1.3  Disponer de botiquines de primeros auxilios accesibles para los trabajadores.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19.1.1.4  Fomentar la formación del personal del almacén en materia de buenas prácticas de higiene y seguridad alimentaria, y conservar un registro de las actividades formativas que ha impartido la persona operadora o una entidad externa autorizada.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19.1.1.5  Elaborar instrucciones para sus trabajadores en las cuales se consideren los aspectos higiénicos que se deben respetar en cada puesto de trabajo, y de acuerdo con las características de la explotación.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19.1.1.6 Disponer de un Plan</w:t>
      </w:r>
      <w:r w:rsidRPr="00993936">
        <w:rPr>
          <w:rFonts w:ascii="Arial" w:hAnsi="Arial" w:cs="Arial"/>
          <w:vanish/>
          <w:lang w:val="es-ES"/>
        </w:rPr>
        <w:t>&lt;A[Plan|Plano]&gt;</w:t>
      </w:r>
      <w:r w:rsidRPr="00993936">
        <w:rPr>
          <w:rFonts w:ascii="Arial" w:hAnsi="Arial" w:cs="Arial"/>
          <w:lang w:val="es-ES"/>
        </w:rPr>
        <w:t xml:space="preserve"> de prevención de riesgos laborales y un Plan</w:t>
      </w:r>
      <w:r w:rsidRPr="00993936">
        <w:rPr>
          <w:rFonts w:ascii="Arial" w:hAnsi="Arial" w:cs="Arial"/>
          <w:vanish/>
          <w:lang w:val="es-ES"/>
        </w:rPr>
        <w:t>&lt;A[Plan|Plano]&gt;</w:t>
      </w:r>
      <w:r w:rsidRPr="00993936">
        <w:rPr>
          <w:rFonts w:ascii="Arial" w:hAnsi="Arial" w:cs="Arial"/>
          <w:lang w:val="es-ES"/>
        </w:rPr>
        <w:t xml:space="preserve"> de APPCC (Análisis de Peligros y Puntos Críticos) implantado y aprobado, si procede</w:t>
      </w:r>
      <w:r w:rsidRPr="00993936">
        <w:rPr>
          <w:rFonts w:ascii="Arial" w:hAnsi="Arial" w:cs="Arial"/>
          <w:vanish/>
          <w:lang w:val="es-ES"/>
        </w:rPr>
        <w:t>&lt;A[pega|ocurre]&gt;</w:t>
      </w:r>
      <w:r w:rsidRPr="00993936">
        <w:rPr>
          <w:rFonts w:ascii="Arial" w:hAnsi="Arial" w:cs="Arial"/>
          <w:lang w:val="es-ES"/>
        </w:rPr>
        <w:t xml:space="preserve">, por la autoridad competente.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19.1.1.7 El responsable del proceso de elaboración y o transformación de los productos tendrá que estar formado en el proceso de Producción Integrada de elaboración de aceite.</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19.1.1.8 </w:t>
      </w:r>
      <w:r w:rsidRPr="00993936">
        <w:rPr>
          <w:rFonts w:ascii="Arial" w:hAnsi="Arial" w:cs="Arial"/>
          <w:lang w:val="es-ES"/>
        </w:rPr>
        <w:t>La empresa tendrá que fomentar la formación y proporcionar la que sea necesaria al personal implicado en la aplicación de esta norma y el resto de partes afectadas por su actividad. Por otro lado, todos los agentes que participen en producción integrada deben tener una formación específica al respecto.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19.1.1.9 La empresa tiene que asegurar la formación del personal de la central hortofrutícola en materia de buenas prácticas de higiene y manipulación, conservando un registro de los cursos impartidos.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19.1.1.10 </w:t>
      </w:r>
      <w:r w:rsidRPr="00993936">
        <w:rPr>
          <w:rFonts w:ascii="Arial" w:hAnsi="Arial" w:cs="Arial"/>
          <w:lang w:val="es-ES"/>
        </w:rPr>
        <w:t>El personal técnico competente que participe en producción integrada tiene que tener una formación universitaria de acuerdo con lo que establece el artículo 11.1 del Decreto 241/2002 y acreditar una formación específica en producción integrada de acuerdo con lo que establece el artículo 24.1 del mencionado Decreto. Esta formación, en Cataluña, se regula por</w:t>
      </w:r>
      <w:r w:rsidRPr="00993936">
        <w:rPr>
          <w:rFonts w:ascii="Arial" w:hAnsi="Arial" w:cs="Arial"/>
          <w:vanish/>
          <w:lang w:val="es-ES"/>
        </w:rPr>
        <w:t>&lt;A[por|para]&gt;</w:t>
      </w:r>
      <w:r w:rsidRPr="00993936">
        <w:rPr>
          <w:rFonts w:ascii="Arial" w:hAnsi="Arial" w:cs="Arial"/>
          <w:lang w:val="es-ES"/>
        </w:rPr>
        <w:t xml:space="preserve">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la cual se establecen y se regulan los cursos de formación en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19.1.1.11 </w:t>
      </w:r>
      <w:r w:rsidRPr="00993936">
        <w:rPr>
          <w:rFonts w:ascii="Arial" w:hAnsi="Arial" w:cs="Arial"/>
          <w:lang w:val="es-ES"/>
        </w:rPr>
        <w:t>Todos los operadores de producción integrada (productores y/o elaboradores) deben tener una formación específica en producción integrada, para</w:t>
      </w:r>
      <w:r w:rsidRPr="00993936">
        <w:rPr>
          <w:rFonts w:ascii="Arial" w:hAnsi="Arial" w:cs="Arial"/>
          <w:vanish/>
          <w:lang w:val="es-ES"/>
        </w:rPr>
        <w:t>&lt;A[por|para]&gt;</w:t>
      </w:r>
      <w:r w:rsidRPr="00993936">
        <w:rPr>
          <w:rFonts w:ascii="Arial" w:hAnsi="Arial" w:cs="Arial"/>
          <w:lang w:val="es-ES"/>
        </w:rPr>
        <w:t xml:space="preserve"> lo cual deben acreditar la realización de un curso de producción integrada impartido por la Administración Pública o por alguna entidad reconocida, de acuerdo con lo que establecen el Decreto 241/2002 y la Orden ARP/69/2003, de 14 de febrero (DOGC nº. 3832, de 27.02.2003), por</w:t>
      </w:r>
      <w:r w:rsidRPr="00993936">
        <w:rPr>
          <w:rFonts w:ascii="Arial" w:hAnsi="Arial" w:cs="Arial"/>
          <w:vanish/>
          <w:lang w:val="es-ES"/>
        </w:rPr>
        <w:t>&lt;A[por|para]&gt;</w:t>
      </w:r>
      <w:r w:rsidRPr="00993936">
        <w:rPr>
          <w:rFonts w:ascii="Arial" w:hAnsi="Arial" w:cs="Arial"/>
          <w:lang w:val="es-ES"/>
        </w:rPr>
        <w:t xml:space="preserve"> los cuales se establecen y se regulan los cursos de formación en producción integrada.</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19.1.2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19.1.2.1 </w:t>
      </w:r>
      <w:r w:rsidRPr="00993936">
        <w:rPr>
          <w:rFonts w:ascii="Arial" w:hAnsi="Arial" w:cs="Arial"/>
          <w:lang w:val="es-ES"/>
        </w:rPr>
        <w:t>Asegurar la formación del responsable técnico y de calidad de elaboración en la almazara.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19.2 Buenas prácticas de higiene y manipulación </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lang w:val="es-ES"/>
        </w:rPr>
        <w:t xml:space="preserve">19.2.1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19.2.1.1 La empresa tendrá que disponer de una guía de prácticas correctas de higiene y manipulación que recojá como mínimo los requisitos siguientes:</w:t>
      </w:r>
    </w:p>
    <w:p w:rsidR="00503A41" w:rsidRPr="00993936" w:rsidRDefault="00503A41" w:rsidP="009D1A2D">
      <w:pPr>
        <w:pStyle w:val="Sinespaciado"/>
        <w:numPr>
          <w:ilvl w:val="0"/>
          <w:numId w:val="181"/>
        </w:numPr>
        <w:jc w:val="both"/>
        <w:rPr>
          <w:rFonts w:ascii="Arial" w:hAnsi="Arial" w:cs="Arial"/>
          <w:b/>
          <w:lang w:val="es-ES"/>
        </w:rPr>
      </w:pPr>
      <w:r w:rsidRPr="00993936">
        <w:rPr>
          <w:rFonts w:ascii="Arial" w:hAnsi="Arial" w:cs="Arial"/>
          <w:lang w:val="es-ES"/>
        </w:rPr>
        <w:lastRenderedPageBreak/>
        <w:t>Los manipuladores deberán mantener un grado elevado de limpieza personal.</w:t>
      </w:r>
    </w:p>
    <w:p w:rsidR="00503A41" w:rsidRPr="00993936" w:rsidRDefault="00503A41" w:rsidP="009D1A2D">
      <w:pPr>
        <w:pStyle w:val="Sinespaciado"/>
        <w:numPr>
          <w:ilvl w:val="0"/>
          <w:numId w:val="181"/>
        </w:numPr>
        <w:jc w:val="both"/>
        <w:rPr>
          <w:rFonts w:ascii="Arial" w:hAnsi="Arial" w:cs="Arial"/>
          <w:lang w:val="es-ES"/>
        </w:rPr>
      </w:pPr>
      <w:r w:rsidRPr="00993936">
        <w:rPr>
          <w:rFonts w:ascii="Arial" w:hAnsi="Arial" w:cs="Arial"/>
          <w:lang w:val="es-ES"/>
        </w:rPr>
        <w:t>Las personas afectadas por enfermedades infecciosas no deberán trabajar en dependencias donde se manipulen los productos.</w:t>
      </w:r>
    </w:p>
    <w:p w:rsidR="00503A41" w:rsidRPr="00993936" w:rsidRDefault="00503A41" w:rsidP="009D1A2D">
      <w:pPr>
        <w:pStyle w:val="Sinespaciado"/>
        <w:numPr>
          <w:ilvl w:val="0"/>
          <w:numId w:val="181"/>
        </w:numPr>
        <w:jc w:val="both"/>
        <w:rPr>
          <w:rFonts w:ascii="Arial" w:hAnsi="Arial" w:cs="Arial"/>
          <w:spacing w:val="-2"/>
          <w:lang w:val="es-ES"/>
        </w:rPr>
      </w:pPr>
      <w:r w:rsidRPr="00993936">
        <w:rPr>
          <w:rFonts w:ascii="Arial" w:hAnsi="Arial" w:cs="Arial"/>
          <w:spacing w:val="-2"/>
          <w:lang w:val="es-ES"/>
        </w:rPr>
        <w:t>Los cortes</w:t>
      </w:r>
      <w:r w:rsidRPr="00993936">
        <w:rPr>
          <w:rFonts w:ascii="Arial" w:hAnsi="Arial" w:cs="Arial"/>
          <w:vanish/>
          <w:spacing w:val="-2"/>
          <w:lang w:val="es-ES"/>
        </w:rPr>
        <w:t>&lt;A[cortes|trozos]&gt;</w:t>
      </w:r>
      <w:r w:rsidRPr="00993936">
        <w:rPr>
          <w:rFonts w:ascii="Arial" w:hAnsi="Arial" w:cs="Arial"/>
          <w:spacing w:val="-2"/>
          <w:lang w:val="es-ES"/>
        </w:rPr>
        <w:t xml:space="preserve"> y heridas de los manipuladores que no impidan continuar el trabajo deberán cubrirse con vendajes impermeables.</w:t>
      </w:r>
    </w:p>
    <w:p w:rsidR="00503A41" w:rsidRPr="00993936" w:rsidRDefault="00503A41" w:rsidP="009D1A2D">
      <w:pPr>
        <w:pStyle w:val="Sinespaciado"/>
        <w:numPr>
          <w:ilvl w:val="0"/>
          <w:numId w:val="181"/>
        </w:numPr>
        <w:jc w:val="both"/>
        <w:rPr>
          <w:rFonts w:ascii="Arial" w:hAnsi="Arial" w:cs="Arial"/>
          <w:spacing w:val="-2"/>
          <w:lang w:val="es-ES"/>
        </w:rPr>
      </w:pPr>
      <w:r w:rsidRPr="00993936">
        <w:rPr>
          <w:rFonts w:ascii="Arial" w:hAnsi="Arial" w:cs="Arial"/>
          <w:spacing w:val="-2"/>
          <w:lang w:val="es-ES"/>
        </w:rPr>
        <w:t>Todo el personal deberá lavarse las manos antes de volver al trabajo después de cualquier ausencia del puesto de trabajo.</w:t>
      </w:r>
    </w:p>
    <w:p w:rsidR="00503A41" w:rsidRPr="00993936" w:rsidRDefault="00503A41" w:rsidP="009D1A2D">
      <w:pPr>
        <w:pStyle w:val="Sinespaciado"/>
        <w:numPr>
          <w:ilvl w:val="0"/>
          <w:numId w:val="181"/>
        </w:numPr>
        <w:jc w:val="both"/>
        <w:rPr>
          <w:rFonts w:ascii="Arial" w:hAnsi="Arial" w:cs="Arial"/>
          <w:spacing w:val="-2"/>
          <w:lang w:val="es-ES"/>
        </w:rPr>
      </w:pPr>
      <w:r w:rsidRPr="00993936">
        <w:rPr>
          <w:rFonts w:ascii="Arial" w:hAnsi="Arial" w:cs="Arial"/>
          <w:spacing w:val="-2"/>
          <w:lang w:val="es-ES"/>
        </w:rPr>
        <w:t>Si los manipuladores utilizan guantes, estos se mantendrán en perfectas condiciones de higiene en el punto de trabajo y se renovarán cada vez que sea necesario.</w:t>
      </w:r>
    </w:p>
    <w:p w:rsidR="00503A41" w:rsidRPr="00993936" w:rsidRDefault="00503A41" w:rsidP="009D1A2D">
      <w:pPr>
        <w:pStyle w:val="Sinespaciado"/>
        <w:numPr>
          <w:ilvl w:val="0"/>
          <w:numId w:val="181"/>
        </w:numPr>
        <w:jc w:val="both"/>
        <w:rPr>
          <w:rFonts w:ascii="Arial" w:hAnsi="Arial" w:cs="Arial"/>
          <w:spacing w:val="-2"/>
          <w:lang w:val="es-ES"/>
        </w:rPr>
      </w:pPr>
      <w:r w:rsidRPr="00993936">
        <w:rPr>
          <w:rFonts w:ascii="Arial" w:hAnsi="Arial" w:cs="Arial"/>
          <w:spacing w:val="-2"/>
          <w:lang w:val="es-ES"/>
        </w:rPr>
        <w:t>El cabello</w:t>
      </w:r>
      <w:r w:rsidRPr="00993936">
        <w:rPr>
          <w:rFonts w:ascii="Arial" w:hAnsi="Arial" w:cs="Arial"/>
          <w:vanish/>
          <w:spacing w:val="-2"/>
          <w:lang w:val="es-ES"/>
        </w:rPr>
        <w:t>&lt;A[cabello|pelo]&gt;</w:t>
      </w:r>
      <w:r w:rsidRPr="00993936">
        <w:rPr>
          <w:rFonts w:ascii="Arial" w:hAnsi="Arial" w:cs="Arial"/>
          <w:spacing w:val="-2"/>
          <w:lang w:val="es-ES"/>
        </w:rPr>
        <w:t xml:space="preserve"> y la barba de los manipuladores tendrá que recogerse y cubrirse adecuadamente para conseguir una protección efectiva.</w:t>
      </w:r>
    </w:p>
    <w:p w:rsidR="00503A41" w:rsidRPr="00993936" w:rsidRDefault="00503A41" w:rsidP="009D1A2D">
      <w:pPr>
        <w:pStyle w:val="Sinespaciado"/>
        <w:numPr>
          <w:ilvl w:val="0"/>
          <w:numId w:val="181"/>
        </w:numPr>
        <w:jc w:val="both"/>
        <w:rPr>
          <w:rFonts w:ascii="Arial" w:hAnsi="Arial" w:cs="Arial"/>
          <w:spacing w:val="-2"/>
          <w:lang w:val="es-ES"/>
        </w:rPr>
      </w:pPr>
      <w:r w:rsidRPr="00993936">
        <w:rPr>
          <w:rFonts w:ascii="Arial" w:hAnsi="Arial" w:cs="Arial"/>
          <w:spacing w:val="-2"/>
          <w:lang w:val="es-ES"/>
        </w:rPr>
        <w:t>El personal tendrá que vestir ropa de trabajo adecuada y limpia</w:t>
      </w:r>
      <w:r w:rsidRPr="00993936">
        <w:rPr>
          <w:rFonts w:ascii="Arial" w:hAnsi="Arial" w:cs="Arial"/>
          <w:vanish/>
          <w:spacing w:val="-2"/>
          <w:lang w:val="es-ES"/>
        </w:rPr>
        <w:t>&lt;A[limpia|neta]&gt;</w:t>
      </w:r>
      <w:r w:rsidRPr="00993936">
        <w:rPr>
          <w:rFonts w:ascii="Arial" w:hAnsi="Arial" w:cs="Arial"/>
          <w:spacing w:val="-2"/>
          <w:lang w:val="es-ES"/>
        </w:rPr>
        <w:t>. Los visitantes de las zonas de manipulación y envasado deberán llevar ropa protectora y cumplir las mismas disposiciones de higiene personal.</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19.2.2 </w:t>
      </w:r>
      <w:r w:rsidRPr="00993936">
        <w:rPr>
          <w:rFonts w:ascii="Arial" w:hAnsi="Arial" w:cs="Arial"/>
          <w:i/>
          <w:spacing w:val="-2"/>
          <w:lang w:val="es-ES"/>
        </w:rPr>
        <w:t>Prohibiciones</w:t>
      </w:r>
    </w:p>
    <w:p w:rsidR="00503A41" w:rsidRPr="00993936" w:rsidRDefault="00503A41" w:rsidP="009D1A2D">
      <w:pPr>
        <w:pStyle w:val="Sinespaciado"/>
        <w:numPr>
          <w:ilvl w:val="0"/>
          <w:numId w:val="182"/>
        </w:numPr>
        <w:jc w:val="both"/>
        <w:rPr>
          <w:rFonts w:ascii="Arial" w:hAnsi="Arial" w:cs="Arial"/>
          <w:spacing w:val="-2"/>
          <w:lang w:val="es-ES"/>
        </w:rPr>
      </w:pPr>
      <w:r w:rsidRPr="00993936">
        <w:rPr>
          <w:rFonts w:ascii="Arial" w:hAnsi="Arial" w:cs="Arial"/>
          <w:spacing w:val="-2"/>
          <w:lang w:val="es-ES"/>
        </w:rPr>
        <w:t>Para los manipuladores salir del recinto de trabajo con las prendas de trabajo o con el traje del trabajo.</w:t>
      </w:r>
    </w:p>
    <w:p w:rsidR="00503A41" w:rsidRPr="00993936" w:rsidRDefault="00503A41" w:rsidP="009D1A2D">
      <w:pPr>
        <w:pStyle w:val="Sinespaciado"/>
        <w:numPr>
          <w:ilvl w:val="0"/>
          <w:numId w:val="182"/>
        </w:numPr>
        <w:jc w:val="both"/>
        <w:rPr>
          <w:rFonts w:ascii="Arial" w:hAnsi="Arial" w:cs="Arial"/>
          <w:lang w:val="es-ES"/>
        </w:rPr>
      </w:pPr>
      <w:r w:rsidRPr="00993936">
        <w:rPr>
          <w:rFonts w:ascii="Arial" w:hAnsi="Arial" w:cs="Arial"/>
          <w:lang w:val="es-ES"/>
        </w:rPr>
        <w:t>Llevar efectos personales que puedan desprenderse.</w:t>
      </w:r>
    </w:p>
    <w:p w:rsidR="00503A41" w:rsidRPr="00993936" w:rsidRDefault="00503A41" w:rsidP="009D1A2D">
      <w:pPr>
        <w:pStyle w:val="Sinespaciado"/>
        <w:numPr>
          <w:ilvl w:val="0"/>
          <w:numId w:val="182"/>
        </w:numPr>
        <w:jc w:val="both"/>
        <w:rPr>
          <w:rFonts w:ascii="Arial" w:hAnsi="Arial" w:cs="Arial"/>
          <w:spacing w:val="-2"/>
          <w:lang w:val="es-ES"/>
        </w:rPr>
      </w:pPr>
      <w:r w:rsidRPr="00993936">
        <w:rPr>
          <w:rFonts w:ascii="Arial" w:hAnsi="Arial" w:cs="Arial"/>
          <w:spacing w:val="-2"/>
          <w:lang w:val="es-ES"/>
        </w:rPr>
        <w:t>En las zonas de trabajo para los manipuladores:</w:t>
      </w:r>
    </w:p>
    <w:p w:rsidR="00503A41" w:rsidRPr="00993936" w:rsidRDefault="00503A41" w:rsidP="009D1A2D">
      <w:pPr>
        <w:pStyle w:val="Sinespaciado"/>
        <w:numPr>
          <w:ilvl w:val="0"/>
          <w:numId w:val="182"/>
        </w:numPr>
        <w:jc w:val="both"/>
        <w:rPr>
          <w:rFonts w:ascii="Arial" w:hAnsi="Arial" w:cs="Arial"/>
          <w:spacing w:val="-2"/>
          <w:lang w:val="es-ES"/>
        </w:rPr>
      </w:pPr>
      <w:r w:rsidRPr="00993936">
        <w:rPr>
          <w:rFonts w:ascii="Arial" w:hAnsi="Arial" w:cs="Arial"/>
          <w:spacing w:val="-2"/>
          <w:lang w:val="es-ES"/>
        </w:rPr>
        <w:t>comer, beber, masticar chiclés.</w:t>
      </w:r>
    </w:p>
    <w:p w:rsidR="00503A41" w:rsidRPr="00993936" w:rsidRDefault="00503A41" w:rsidP="009D1A2D">
      <w:pPr>
        <w:pStyle w:val="Sinespaciado"/>
        <w:numPr>
          <w:ilvl w:val="0"/>
          <w:numId w:val="182"/>
        </w:numPr>
        <w:jc w:val="both"/>
        <w:rPr>
          <w:rFonts w:ascii="Arial" w:hAnsi="Arial" w:cs="Arial"/>
          <w:spacing w:val="-2"/>
          <w:lang w:val="es-ES"/>
        </w:rPr>
      </w:pPr>
      <w:r w:rsidRPr="00993936">
        <w:rPr>
          <w:rFonts w:ascii="Arial" w:hAnsi="Arial" w:cs="Arial"/>
          <w:spacing w:val="-2"/>
          <w:lang w:val="es-ES"/>
        </w:rPr>
        <w:t>llevar</w:t>
      </w:r>
      <w:r w:rsidRPr="00993936">
        <w:rPr>
          <w:rFonts w:ascii="Arial" w:hAnsi="Arial" w:cs="Arial"/>
          <w:vanish/>
          <w:spacing w:val="-2"/>
          <w:lang w:val="es-ES"/>
        </w:rPr>
        <w:t>&lt;A[llevar|traer]&gt;</w:t>
      </w:r>
      <w:r w:rsidRPr="00993936">
        <w:rPr>
          <w:rFonts w:ascii="Arial" w:hAnsi="Arial" w:cs="Arial"/>
          <w:spacing w:val="-2"/>
          <w:lang w:val="es-ES"/>
        </w:rPr>
        <w:t xml:space="preserve"> las uñas de las manos largas, esmaltadas o falsas.</w:t>
      </w:r>
    </w:p>
    <w:p w:rsidR="00503A41" w:rsidRPr="00993936" w:rsidRDefault="00503A41" w:rsidP="009D1A2D">
      <w:pPr>
        <w:pStyle w:val="Sinespaciado"/>
        <w:numPr>
          <w:ilvl w:val="0"/>
          <w:numId w:val="182"/>
        </w:numPr>
        <w:jc w:val="both"/>
        <w:rPr>
          <w:rFonts w:ascii="Arial" w:hAnsi="Arial" w:cs="Arial"/>
          <w:spacing w:val="-2"/>
          <w:lang w:val="es-ES"/>
        </w:rPr>
      </w:pPr>
      <w:r w:rsidRPr="00993936">
        <w:rPr>
          <w:rFonts w:ascii="Arial" w:hAnsi="Arial" w:cs="Arial"/>
          <w:spacing w:val="-2"/>
          <w:lang w:val="es-ES"/>
        </w:rPr>
        <w:t>Toser o estornudar sobre los alimentos.</w:t>
      </w:r>
    </w:p>
    <w:p w:rsidR="00503A41" w:rsidRPr="00993936" w:rsidRDefault="00503A41" w:rsidP="009D1A2D">
      <w:pPr>
        <w:pStyle w:val="Sinespaciado"/>
        <w:numPr>
          <w:ilvl w:val="0"/>
          <w:numId w:val="182"/>
        </w:numPr>
        <w:jc w:val="both"/>
        <w:rPr>
          <w:rFonts w:ascii="Arial" w:hAnsi="Arial" w:cs="Arial"/>
          <w:spacing w:val="-2"/>
          <w:lang w:val="es-ES"/>
        </w:rPr>
      </w:pPr>
      <w:r w:rsidRPr="00993936">
        <w:rPr>
          <w:rFonts w:ascii="Arial" w:hAnsi="Arial" w:cs="Arial"/>
          <w:spacing w:val="-2"/>
          <w:lang w:val="es-ES"/>
        </w:rPr>
        <w:t>Fumar en las zonas de trabajo y de almacenamiento.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Se colocarán carteles en un lugar</w:t>
      </w:r>
      <w:r w:rsidRPr="00993936">
        <w:rPr>
          <w:rFonts w:ascii="Arial" w:hAnsi="Arial" w:cs="Arial"/>
          <w:vanish/>
          <w:lang w:val="es-ES"/>
        </w:rPr>
        <w:t>&lt;A[lugar|sitio]&gt;</w:t>
      </w:r>
      <w:r w:rsidRPr="00993936">
        <w:rPr>
          <w:rFonts w:ascii="Arial" w:hAnsi="Arial" w:cs="Arial"/>
          <w:lang w:val="es-ES"/>
        </w:rPr>
        <w:t xml:space="preserve"> visible, que recuerden estas normas de buenas prácticas de higiene y manipulación.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19.3  Salud y seguridad</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i/>
          <w:lang w:val="es-ES"/>
        </w:rPr>
        <w:t>19.3.1 Obligaciones</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snapToGrid w:val="0"/>
          <w:spacing w:val="-2"/>
          <w:lang w:val="es-ES"/>
        </w:rPr>
        <w:t>19.3.1.1 La empresa deberá tener documentado un plan</w:t>
      </w:r>
      <w:r w:rsidRPr="00993936">
        <w:rPr>
          <w:rFonts w:ascii="Arial" w:hAnsi="Arial" w:cs="Arial"/>
          <w:snapToGrid w:val="0"/>
          <w:vanish/>
          <w:spacing w:val="-2"/>
          <w:lang w:val="es-ES"/>
        </w:rPr>
        <w:t>&lt;A[plan|plano]&gt;</w:t>
      </w:r>
      <w:r w:rsidRPr="00993936">
        <w:rPr>
          <w:rFonts w:ascii="Arial" w:hAnsi="Arial" w:cs="Arial"/>
          <w:snapToGrid w:val="0"/>
          <w:spacing w:val="-2"/>
          <w:lang w:val="es-ES"/>
        </w:rPr>
        <w:t xml:space="preserve"> de prevención de riesgos laborales. Los contratos laborales deberán ajustarse a los convenios laborales vigentes.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19.3.1.2  Utilizar las señalizaciones que prevé la legislación vigente.</w:t>
      </w:r>
    </w:p>
    <w:p w:rsidR="00503A41" w:rsidRPr="00993936" w:rsidRDefault="00503A41" w:rsidP="001D205D">
      <w:pPr>
        <w:pStyle w:val="Sinespaciado"/>
        <w:jc w:val="both"/>
        <w:rPr>
          <w:rFonts w:ascii="Arial" w:hAnsi="Arial" w:cs="Arial"/>
          <w:i/>
          <w:lang w:val="es-ES"/>
        </w:rPr>
      </w:pPr>
      <w:r w:rsidRPr="00993936">
        <w:rPr>
          <w:rFonts w:ascii="Arial" w:hAnsi="Arial" w:cs="Arial"/>
          <w:lang w:val="es-ES"/>
        </w:rPr>
        <w:t>19.3.1.3  En el almacén de insecticidas y/o raticidas deben estar presentes, de manera accesible y legible, las normas generales de actuación en caso de intoxicación y derrame</w:t>
      </w:r>
      <w:r w:rsidRPr="00993936">
        <w:rPr>
          <w:rFonts w:ascii="Arial" w:hAnsi="Arial" w:cs="Arial"/>
          <w:vanish/>
          <w:lang w:val="es-ES"/>
        </w:rPr>
        <w:t>&lt;A[derrame|vertido]&gt;</w:t>
      </w:r>
      <w:r w:rsidRPr="00993936">
        <w:rPr>
          <w:rFonts w:ascii="Arial" w:hAnsi="Arial" w:cs="Arial"/>
          <w:lang w:val="es-ES"/>
        </w:rPr>
        <w:t xml:space="preserve"> accidental, y es obligatorio disponer de los números de teléfono del Instituto de Toxicología y de otros organismos que puedan ser competentes en esta materia.</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20</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de calidad</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Calidad del producto</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i/>
          <w:lang w:val="es-ES"/>
        </w:rPr>
        <w:t>20.1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20.1.1.1 La empresa tendrá que tener definido e implantado un muestreo sistemático de la producción mediante el cual se pueda comprobar que se cumple la legislación vigente en lo referente al análisis y la normalización comercial.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20.1.1.2 Esta práctica de autocontrol de calidad actuará como mínimo:</w:t>
      </w:r>
    </w:p>
    <w:p w:rsidR="00503A41" w:rsidRPr="00993936" w:rsidRDefault="00503A41" w:rsidP="009D1A2D">
      <w:pPr>
        <w:pStyle w:val="Sinespaciado"/>
        <w:numPr>
          <w:ilvl w:val="0"/>
          <w:numId w:val="183"/>
        </w:numPr>
        <w:jc w:val="both"/>
        <w:rPr>
          <w:rFonts w:ascii="Arial" w:hAnsi="Arial" w:cs="Arial"/>
          <w:lang w:val="es-ES"/>
        </w:rPr>
      </w:pPr>
      <w:r w:rsidRPr="00993936">
        <w:rPr>
          <w:rFonts w:ascii="Arial" w:hAnsi="Arial" w:cs="Arial"/>
          <w:lang w:val="es-ES"/>
        </w:rPr>
        <w:t xml:space="preserve">En la procedencia y la recepción de las aceitunas, incluido el muestreo. </w:t>
      </w:r>
    </w:p>
    <w:p w:rsidR="00503A41" w:rsidRPr="00993936" w:rsidRDefault="00503A41" w:rsidP="009D1A2D">
      <w:pPr>
        <w:pStyle w:val="Sinespaciado"/>
        <w:numPr>
          <w:ilvl w:val="0"/>
          <w:numId w:val="183"/>
        </w:numPr>
        <w:jc w:val="both"/>
        <w:rPr>
          <w:rFonts w:ascii="Arial" w:hAnsi="Arial" w:cs="Arial"/>
          <w:lang w:val="es-ES"/>
        </w:rPr>
      </w:pPr>
      <w:r w:rsidRPr="00993936">
        <w:rPr>
          <w:rFonts w:ascii="Arial" w:hAnsi="Arial" w:cs="Arial"/>
          <w:lang w:val="es-ES"/>
        </w:rPr>
        <w:t>Molturación de las aceitunas y extracción del aceite.</w:t>
      </w:r>
    </w:p>
    <w:p w:rsidR="00503A41" w:rsidRPr="00993936" w:rsidRDefault="00503A41" w:rsidP="009D1A2D">
      <w:pPr>
        <w:pStyle w:val="Sinespaciado"/>
        <w:numPr>
          <w:ilvl w:val="0"/>
          <w:numId w:val="183"/>
        </w:numPr>
        <w:jc w:val="both"/>
        <w:rPr>
          <w:rFonts w:ascii="Arial" w:hAnsi="Arial" w:cs="Arial"/>
          <w:lang w:val="es-ES"/>
        </w:rPr>
      </w:pPr>
      <w:r w:rsidRPr="00993936">
        <w:rPr>
          <w:rFonts w:ascii="Arial" w:hAnsi="Arial" w:cs="Arial"/>
          <w:lang w:val="es-ES"/>
        </w:rPr>
        <w:t xml:space="preserve">Sobre el producto antes del envasado. </w:t>
      </w:r>
    </w:p>
    <w:p w:rsidR="00503A41" w:rsidRPr="00993936" w:rsidRDefault="00503A41" w:rsidP="009D1A2D">
      <w:pPr>
        <w:pStyle w:val="Sinespaciado"/>
        <w:numPr>
          <w:ilvl w:val="0"/>
          <w:numId w:val="183"/>
        </w:numPr>
        <w:jc w:val="both"/>
        <w:rPr>
          <w:rFonts w:ascii="Arial" w:hAnsi="Arial" w:cs="Arial"/>
          <w:lang w:val="es-ES"/>
        </w:rPr>
      </w:pPr>
      <w:r w:rsidRPr="00993936">
        <w:rPr>
          <w:rFonts w:ascii="Arial" w:hAnsi="Arial" w:cs="Arial"/>
          <w:lang w:val="es-ES"/>
        </w:rPr>
        <w:t>En el producto acabado y listo para su expedición.</w:t>
      </w:r>
    </w:p>
    <w:p w:rsidR="00503A41" w:rsidRPr="00993936" w:rsidRDefault="00503A41" w:rsidP="001D205D">
      <w:pPr>
        <w:pStyle w:val="Sinespaciado"/>
        <w:jc w:val="both"/>
        <w:rPr>
          <w:rFonts w:ascii="Arial" w:hAnsi="Arial" w:cs="Arial"/>
          <w:u w:val="single"/>
          <w:lang w:val="es-ES"/>
        </w:rPr>
      </w:pPr>
      <w:r w:rsidRPr="00993936">
        <w:rPr>
          <w:rFonts w:ascii="Arial" w:hAnsi="Arial" w:cs="Arial"/>
          <w:lang w:val="es-ES"/>
        </w:rPr>
        <w:t xml:space="preserve">20.1.1.3 Comprobar que los parámetros son los especificados para cada producto en la legislación vigente de calidad del aceite.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20.1.1.4  Los coadyuvantes y tratamientos de los procesos de manipulación, elaboración, envasado y conservación.</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lastRenderedPageBreak/>
        <w:t>20.1.1.5 Realizar el análisis de residuos de productos fitosanitarios sobre los productos especificados en los apartados c ó d del artículo 20.1.1.2, según se prevea en su procedimiento de control de la calidad (comprende en este análisis la comprobación de las materias activas permitidas en los tratamientos y prácticas fitosanitarias de cultivo, tanto para</w:t>
      </w:r>
      <w:r w:rsidRPr="00993936">
        <w:rPr>
          <w:rFonts w:ascii="Arial" w:hAnsi="Arial" w:cs="Arial"/>
          <w:vanish/>
          <w:lang w:val="es-ES"/>
        </w:rPr>
        <w:t>&lt;A[por|para]&gt;</w:t>
      </w:r>
      <w:r w:rsidRPr="00993936">
        <w:rPr>
          <w:rFonts w:ascii="Arial" w:hAnsi="Arial" w:cs="Arial"/>
          <w:lang w:val="es-ES"/>
        </w:rPr>
        <w:t xml:space="preserve"> las autorizadas como para</w:t>
      </w:r>
      <w:r w:rsidRPr="00993936">
        <w:rPr>
          <w:rFonts w:ascii="Arial" w:hAnsi="Arial" w:cs="Arial"/>
          <w:vanish/>
          <w:lang w:val="es-ES"/>
        </w:rPr>
        <w:t>&lt;A[por|para]&gt;</w:t>
      </w:r>
      <w:r w:rsidRPr="00993936">
        <w:rPr>
          <w:rFonts w:ascii="Arial" w:hAnsi="Arial" w:cs="Arial"/>
          <w:lang w:val="es-ES"/>
        </w:rPr>
        <w:t xml:space="preserve"> aquellas excepcionales que se hubieran efectuado).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20.1.1.6 Conservar los registros de los controles y los análisis efectuados.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20.1.1.7 Llevar</w:t>
      </w:r>
      <w:r w:rsidRPr="00993936">
        <w:rPr>
          <w:rFonts w:ascii="Arial" w:hAnsi="Arial" w:cs="Arial"/>
          <w:vanish/>
          <w:lang w:val="es-ES"/>
        </w:rPr>
        <w:t>&lt;A[Llevar|Traer]&gt;</w:t>
      </w:r>
      <w:r w:rsidRPr="00993936">
        <w:rPr>
          <w:rFonts w:ascii="Arial" w:hAnsi="Arial" w:cs="Arial"/>
          <w:lang w:val="es-ES"/>
        </w:rPr>
        <w:t xml:space="preserve"> un sistema preventivo de control de los alimentos que garantice la seguridad, implantando un sistema de vigilancia APPCC “de Análisis de Peligros y Puntos de control críticos”.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20.1.1.8 Controlar periódicamente la calidad y, específicamente, antes de la comercialización, teniendo en cuenta aspectos de muestreo, tipo de determinación analítica que garantice la seguridad del consumidor.</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Comprobación del instrumental de medida</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20.2.1  </w:t>
      </w:r>
      <w:r w:rsidRPr="00993936">
        <w:rPr>
          <w:rFonts w:ascii="Arial" w:hAnsi="Arial" w:cs="Arial"/>
          <w:i/>
          <w:lang w:val="es-ES"/>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20.2.1.1 Disponer de procedimientos escritos que especifiquen la periodicidad y exactitud con la que se deben verificar los instrumentos de medida utilizados para comprobar la calidad comercial. Estos procedimientos establecerán los registros que quedarán de estas verificaciones.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20.3 Reclamaciones de los clientes</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i/>
          <w:lang w:val="es-ES"/>
        </w:rPr>
        <w:t>20.3.1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20.3.1.1 Disponer de un sistema para el tratamiento de las reclamaciones de los clientes relacionado con las Obligaciones y los requisitos recogidos en esta norma específica. El sistema establecerá la recepción, el registro y la evaluación, así como la conservación de los registros de las reclamaciones recibidas, su evaluación y las acciones correctoras emprendidas.</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Cuaderno de elaboración de aceite de oliva</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i/>
          <w:lang w:val="es-ES"/>
        </w:rPr>
        <w:t>21.1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21.1.1 El Cuaderno de elaboración es un registro de las operaciones y las intervenciones que se realizan en los procesos de manipulación, elaboración, conservación, envasado y almacenamiento, y sirve para garantizarlos. El modelo de Cuaderno es único con respecto a los datos a registrar, y será aprobado por el </w:t>
      </w:r>
      <w:r w:rsidRPr="00993936">
        <w:rPr>
          <w:rFonts w:ascii="Arial" w:hAnsi="Arial" w:cs="Arial"/>
          <w:snapToGrid w:val="0"/>
          <w:lang w:val="es-ES"/>
        </w:rPr>
        <w:t>Departamento de Agricultura, Ganadería, Pesca, Alimentación y Medio Natural.</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21.1.2 El responsable técnico de elaboración y conservación del aceite de producción integrada se responsabilizará, mediante su firma, de la veracidad de las anotaciones realizadas en el Cuaderno de elaboración.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21.1.3 El Cuaderno de elaboración es obligatorio y estará siempre disponible para su inspección. Para la buena funcionalidad del sistema, las anotaciones de las operaciones se deberán realizar en el plazo máximo de los 7 días siguientes a su ejecución.</w:t>
      </w:r>
    </w:p>
    <w:p w:rsidR="00503A41" w:rsidRPr="00993936" w:rsidRDefault="00503A41" w:rsidP="001D205D">
      <w:pPr>
        <w:pStyle w:val="Sinespaciado"/>
        <w:jc w:val="both"/>
        <w:rPr>
          <w:rFonts w:ascii="Arial" w:hAnsi="Arial" w:cs="Arial"/>
          <w:b/>
          <w:u w:val="single"/>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22</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Central e industria de transformación y/o elaboración y conservación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22.1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22.1.1 Estar inscrita en el Registro sanitario de industrias y productos alimentarios de Cataluña.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22.1.2  Disponer de un Plan</w:t>
      </w:r>
      <w:r w:rsidRPr="00993936">
        <w:rPr>
          <w:rFonts w:ascii="Arial" w:hAnsi="Arial" w:cs="Arial"/>
          <w:vanish/>
          <w:lang w:val="es-ES"/>
        </w:rPr>
        <w:t>&lt;A[Plan|Plano]&gt;</w:t>
      </w:r>
      <w:r w:rsidRPr="00993936">
        <w:rPr>
          <w:rFonts w:ascii="Arial" w:hAnsi="Arial" w:cs="Arial"/>
          <w:lang w:val="es-ES"/>
        </w:rPr>
        <w:t xml:space="preserve"> de prevención de riesgos laborales y de un Plan</w:t>
      </w:r>
      <w:r w:rsidRPr="00993936">
        <w:rPr>
          <w:rFonts w:ascii="Arial" w:hAnsi="Arial" w:cs="Arial"/>
          <w:vanish/>
          <w:lang w:val="es-ES"/>
        </w:rPr>
        <w:t>&lt;A[Plan|Plano]&gt;</w:t>
      </w:r>
      <w:r w:rsidRPr="00993936">
        <w:rPr>
          <w:rFonts w:ascii="Arial" w:hAnsi="Arial" w:cs="Arial"/>
          <w:lang w:val="es-ES"/>
        </w:rPr>
        <w:t xml:space="preserve"> de análisis de peligros y puntos de control críticos (APPCC) implantados y aprobados por los organismos competentes en esta materia.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22.1.3 Todas las máquinas, recipientes, elementos de transporte, envases y los lugares de almacenamiento deben reunir las condiciones siguientes: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22.1.4 No transmitir a los productos con los que entren en contacto sustancias tóxicas o que puedan contaminar, ni originar reacciones químicas perjudiciales.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22.1.5 No alterar las características de composición y organolépticas de los productos.</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Tratamiento de No conformidades</w:t>
      </w:r>
    </w:p>
    <w:p w:rsidR="00503A41" w:rsidRPr="00993936" w:rsidRDefault="00503A41" w:rsidP="001D205D">
      <w:pPr>
        <w:pStyle w:val="Sinespaciado"/>
        <w:jc w:val="both"/>
        <w:rPr>
          <w:rFonts w:ascii="Arial" w:hAnsi="Arial" w:cs="Arial"/>
          <w:b/>
          <w:i/>
          <w:lang w:val="es-ES"/>
        </w:rPr>
      </w:pPr>
      <w:r w:rsidRPr="00993936">
        <w:rPr>
          <w:rFonts w:ascii="Arial" w:hAnsi="Arial" w:cs="Arial"/>
          <w:i/>
          <w:lang w:val="es-ES"/>
        </w:rPr>
        <w:t>23.1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23.1.1 Cuándo durante la realización de los controles internos o externos se detecte el incumplimiento total o parcial de alguna de las prácticas establecidas en esta norma como “obligatorias” o “prohibidas”, se tendrá que dejar registro como “no conformidad” de las desviaciones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23.1.2 Establecer y documentar las acciones correctivas que procedan para dar el tratamiento adecuado a estas no conformidades, de manera que se eliminen los efectos y las causas que las motivan y se impida una repetición futura.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23.1.3 El operador tiene que realizar el seguimiento de la implantación de las acciones correctivas y comprobar que sean efectivas antes de proceder al cierre de las no conformidad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23.1.4 Siempre que se detecten no conformidades sobre las materias primas, productos en proceso y los productos finales obtenidos de los productos vegetales de producción integrada, se deberán adoptar las medidas adecuadas de identificación, trazabilidad y segregación, de estos, de manera que se manifieste claramente su estado “no conforme” y se prevenga la utilización o comercialización de manera no intencionada como productos de producción integrada.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y certificación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24.1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24.1.1 El control y la certificación del sistema de la producción integrada se regirá por</w:t>
      </w:r>
      <w:r w:rsidRPr="00993936">
        <w:rPr>
          <w:rFonts w:ascii="Arial" w:hAnsi="Arial" w:cs="Arial"/>
          <w:vanish/>
          <w:lang w:val="es-ES"/>
        </w:rPr>
        <w:t>&lt;A[por|para]&gt;</w:t>
      </w:r>
      <w:r w:rsidRPr="00993936">
        <w:rPr>
          <w:rFonts w:ascii="Arial" w:hAnsi="Arial" w:cs="Arial"/>
          <w:lang w:val="es-ES"/>
        </w:rPr>
        <w:t xml:space="preserve"> lo que determina la Ley 14/2003, de 13 de junio, de calidad agroalimentaria, el Decreto 285/2006, de 4 de julio, por el cual se desarrolla la Ley 14/2003, el Decreto 24/2002, de 8 de octubre, por</w:t>
      </w:r>
      <w:r w:rsidRPr="00993936">
        <w:rPr>
          <w:rFonts w:ascii="Arial" w:hAnsi="Arial" w:cs="Arial"/>
          <w:vanish/>
          <w:lang w:val="es-ES"/>
        </w:rPr>
        <w:t>&lt;A[por|para]&gt;</w:t>
      </w:r>
      <w:r w:rsidRPr="00993936">
        <w:rPr>
          <w:rFonts w:ascii="Arial" w:hAnsi="Arial" w:cs="Arial"/>
          <w:lang w:val="es-ES"/>
        </w:rPr>
        <w:t xml:space="preserve"> el cual se regula la producción integrada en Cataluña y la Orden ARP/208/2003, de 7 de mayo, por</w:t>
      </w:r>
      <w:r w:rsidRPr="00993936">
        <w:rPr>
          <w:rFonts w:ascii="Arial" w:hAnsi="Arial" w:cs="Arial"/>
          <w:vanish/>
          <w:lang w:val="es-ES"/>
        </w:rPr>
        <w:t>&lt;A[por|para]&gt;</w:t>
      </w:r>
      <w:r w:rsidRPr="00993936">
        <w:rPr>
          <w:rFonts w:ascii="Arial" w:hAnsi="Arial" w:cs="Arial"/>
          <w:lang w:val="es-ES"/>
        </w:rPr>
        <w:t xml:space="preserve"> la cual se aprueba el Reglamento de régimen interior del Consejo Catalán de la Producción Integrada.</w:t>
      </w:r>
    </w:p>
    <w:p w:rsidR="00503A41" w:rsidRPr="00993936" w:rsidRDefault="00503A41" w:rsidP="001D205D">
      <w:pPr>
        <w:pStyle w:val="Sinespaciado"/>
        <w:jc w:val="both"/>
        <w:rPr>
          <w:rFonts w:ascii="Arial" w:hAnsi="Arial" w:cs="Arial"/>
          <w:b/>
          <w:i/>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25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Distintivo de garantía de producción integrada</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25.1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25.1.1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25.1.2 La utilización del distintivo de garantía de producción integrada, en las etiquetas de los envases y otros lugares</w:t>
      </w:r>
      <w:r w:rsidRPr="00993936">
        <w:rPr>
          <w:rFonts w:ascii="Arial" w:hAnsi="Arial" w:cs="Arial"/>
          <w:vanish/>
          <w:lang w:val="es-ES"/>
        </w:rPr>
        <w:t>&lt;A[lugares|sitios]&gt;</w:t>
      </w:r>
      <w:r w:rsidRPr="00993936">
        <w:rPr>
          <w:rFonts w:ascii="Arial" w:hAnsi="Arial" w:cs="Arial"/>
          <w:lang w:val="es-ES"/>
        </w:rPr>
        <w:t>, se ajustará al sistema establecido por el libro de estilo del Consejo Catalán de la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25.1.3 La concesión del distintivo de garantía de producción integrada será concedido por el Consejo.</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25.2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25.2.1 Utilización del distintivo de garantía, sin disponer de la preceptiva certificación. </w:t>
      </w:r>
    </w:p>
    <w:p w:rsidR="00503A41" w:rsidRPr="00993936" w:rsidRDefault="00503A41" w:rsidP="0009331F">
      <w:pPr>
        <w:jc w:val="both"/>
        <w:rPr>
          <w:rFonts w:ascii="Arial" w:hAnsi="Arial" w:cs="Arial"/>
          <w:b/>
          <w:lang w:val="es-ES"/>
        </w:rPr>
      </w:pPr>
    </w:p>
    <w:p w:rsidR="00503A41" w:rsidRPr="00993936" w:rsidRDefault="00503A41" w:rsidP="0009331F">
      <w:pPr>
        <w:pStyle w:val="NormalWeb"/>
        <w:spacing w:before="120" w:after="0"/>
        <w:jc w:val="both"/>
        <w:rPr>
          <w:rFonts w:ascii="Arial" w:hAnsi="Arial" w:cs="Arial"/>
          <w:sz w:val="22"/>
          <w:szCs w:val="22"/>
          <w:lang w:val="es-ES"/>
        </w:rPr>
      </w:pPr>
    </w:p>
    <w:p w:rsidR="00503A41" w:rsidRPr="00993936" w:rsidRDefault="00503A41">
      <w:pPr>
        <w:pStyle w:val="titulo2"/>
        <w:widowControl/>
        <w:tabs>
          <w:tab w:val="clear" w:pos="1134"/>
        </w:tabs>
        <w:spacing w:before="0" w:after="0" w:line="240" w:lineRule="auto"/>
        <w:rPr>
          <w:rFonts w:ascii="Arial" w:hAnsi="Arial" w:cs="Arial"/>
          <w:b w:val="0"/>
          <w:sz w:val="22"/>
          <w:lang w:val="es-ES"/>
        </w:rPr>
      </w:pPr>
    </w:p>
    <w:p w:rsidR="00503A41" w:rsidRPr="00993936" w:rsidRDefault="00503A41">
      <w:pPr>
        <w:pStyle w:val="titulo2"/>
        <w:widowControl/>
        <w:tabs>
          <w:tab w:val="clear" w:pos="1134"/>
        </w:tabs>
        <w:spacing w:before="0" w:after="0" w:line="240" w:lineRule="auto"/>
        <w:jc w:val="center"/>
        <w:rPr>
          <w:rFonts w:ascii="Arial" w:hAnsi="Arial" w:cs="Arial"/>
          <w:b w:val="0"/>
          <w:sz w:val="22"/>
          <w:lang w:val="es-ES"/>
        </w:rPr>
      </w:pPr>
    </w:p>
    <w:p w:rsidR="00503A41" w:rsidRPr="00993936" w:rsidRDefault="00503A41" w:rsidP="008260E4">
      <w:pPr>
        <w:rPr>
          <w:rFonts w:ascii="Arial" w:hAnsi="Arial" w:cs="Arial"/>
          <w:lang w:val="es-ES"/>
        </w:rPr>
      </w:pPr>
      <w:r w:rsidRPr="00993936">
        <w:rPr>
          <w:rFonts w:ascii="Arial" w:hAnsi="Arial" w:cs="Arial"/>
          <w:lang w:val="es-ES"/>
        </w:rPr>
        <w:br w:type="page"/>
      </w:r>
    </w:p>
    <w:p w:rsidR="00503A41" w:rsidRPr="00993936" w:rsidRDefault="00503A41" w:rsidP="001C0FFB">
      <w:pPr>
        <w:rPr>
          <w:rFonts w:ascii="Arial" w:hAnsi="Arial" w:cs="Arial"/>
          <w:b/>
          <w:sz w:val="24"/>
          <w:szCs w:val="24"/>
          <w:lang w:val="es-ES"/>
        </w:rPr>
      </w:pPr>
      <w:r w:rsidRPr="00993936">
        <w:rPr>
          <w:rFonts w:ascii="Arial" w:hAnsi="Arial" w:cs="Arial"/>
          <w:b/>
          <w:sz w:val="24"/>
          <w:szCs w:val="24"/>
          <w:lang w:val="es-ES"/>
        </w:rPr>
        <w:lastRenderedPageBreak/>
        <w:t>Anexo XIII. Norma técnica de producción integrada de elaboración de vinos</w:t>
      </w:r>
    </w:p>
    <w:p w:rsidR="00503A41" w:rsidRPr="00993936" w:rsidRDefault="00503A41" w:rsidP="0009331F">
      <w:pPr>
        <w:jc w:val="both"/>
        <w:rPr>
          <w:rFonts w:ascii="Arial" w:hAnsi="Arial" w:cs="Arial"/>
          <w:b/>
          <w:bCs/>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La norma técnica de elaboración de vinos es de aplicación a todos aquellos procesos de elaboración de vinos tranquilos y de vinos espumosos elaborados por el método tradicional.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b/>
      </w:r>
      <w:r w:rsidRPr="00993936">
        <w:rPr>
          <w:rFonts w:ascii="Arial" w:hAnsi="Arial" w:cs="Arial"/>
          <w:lang w:val="es-ES"/>
        </w:rPr>
        <w:tab/>
      </w:r>
      <w:r w:rsidRPr="00993936">
        <w:rPr>
          <w:rFonts w:ascii="Arial" w:hAnsi="Arial" w:cs="Arial"/>
          <w:lang w:val="es-ES"/>
        </w:rPr>
        <w:tab/>
      </w:r>
    </w:p>
    <w:p w:rsidR="00503A41" w:rsidRPr="00993936" w:rsidRDefault="00503A41" w:rsidP="001D205D">
      <w:pPr>
        <w:pStyle w:val="Sinespaciado"/>
        <w:jc w:val="both"/>
        <w:rPr>
          <w:rFonts w:ascii="Arial" w:hAnsi="Arial" w:cs="Arial"/>
          <w:lang w:val="es-ES"/>
        </w:rPr>
      </w:pPr>
      <w:r w:rsidRPr="00993936">
        <w:rPr>
          <w:rFonts w:ascii="Arial" w:hAnsi="Arial" w:cs="Arial"/>
          <w:b/>
          <w:bCs/>
          <w:lang w:val="es-ES"/>
        </w:rPr>
        <w:t>0. DEFINICIONES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 los efectos de esta norma se entenderá por</w:t>
      </w:r>
      <w:r w:rsidRPr="00993936">
        <w:rPr>
          <w:rFonts w:ascii="Arial" w:hAnsi="Arial" w:cs="Arial"/>
          <w:vanish/>
          <w:lang w:val="es-ES"/>
        </w:rPr>
        <w:t>&lt;A[por|para]&gt;</w:t>
      </w:r>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 xml:space="preserve">Estrujado: </w:t>
      </w:r>
      <w:r w:rsidRPr="00993936">
        <w:rPr>
          <w:rFonts w:ascii="Arial" w:hAnsi="Arial" w:cs="Arial"/>
          <w:lang w:val="es-ES"/>
        </w:rPr>
        <w:t>rotura de los pellejos de las uvas con el fin de facilitar la liberación posterior del mosto.</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Agrupación de Producción Integrada: </w:t>
      </w:r>
      <w:r w:rsidRPr="00993936">
        <w:rPr>
          <w:rFonts w:ascii="Arial" w:hAnsi="Arial" w:cs="Arial"/>
          <w:lang w:val="es-ES"/>
        </w:rPr>
        <w:t>agrupación de operadores constituida bajo cualquier fórmula jurídica o integrada en otra agrupación previamente constituida y reconocida por la autoridad competente con el objetivo de obtener productos vegetales bajo los requisitos de producción integrada para ser comercializados.</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Análisis de Peligros y Puntos de control críticos (APPCC): </w:t>
      </w:r>
      <w:r w:rsidRPr="00993936">
        <w:rPr>
          <w:rFonts w:ascii="Arial" w:hAnsi="Arial" w:cs="Arial"/>
          <w:lang w:val="es-ES"/>
        </w:rPr>
        <w:t>enfoque sistemático de  base científica que permite identificar peligros específicos y medidas para el control, con la finalidad de asegurar la inocuidad de los alimentos. Es un instrumento para evaluar los peligros y establecer sistemas de control que se orientan hacia la prevención en lugar de fundamentarse en el análisis del producto final.</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Brisa</w:t>
      </w:r>
      <w:r w:rsidRPr="00993936">
        <w:rPr>
          <w:rFonts w:ascii="Arial" w:hAnsi="Arial" w:cs="Arial"/>
          <w:lang w:val="es-ES"/>
        </w:rPr>
        <w:t>: subproducto sólido constituido por la raspajo, el pellejo, las pepitas y la pulpa de la uva después de prensa.</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Bodega</w:t>
      </w:r>
      <w:r w:rsidRPr="00993936">
        <w:rPr>
          <w:rFonts w:ascii="Arial" w:hAnsi="Arial" w:cs="Arial"/>
          <w:lang w:val="es-ES"/>
        </w:rPr>
        <w:t>: 1. Local donde se elabora y conserva el vino. 2. Empresa o negocio vinícola.</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Clarificante</w:t>
      </w:r>
      <w:r w:rsidRPr="00993936">
        <w:rPr>
          <w:rFonts w:ascii="Arial" w:hAnsi="Arial" w:cs="Arial"/>
          <w:lang w:val="es-ES"/>
        </w:rPr>
        <w:t>: materia para eliminar las partículas suspendidas en el mosto o vino con el fin de mejorar la limpidez, la estabilidad y las propiedades gustativas.</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Comercialización: </w:t>
      </w:r>
      <w:r w:rsidRPr="00993936">
        <w:rPr>
          <w:rFonts w:ascii="Arial" w:hAnsi="Arial" w:cs="Arial"/>
          <w:lang w:val="es-ES"/>
        </w:rPr>
        <w:t>la venta o el suministro de una persona operadora a otra persona operadora o consumidora, incluida la disposición, el almacenamiento, la exposición para la venta o el ofrecimiento para vender vino.</w:t>
      </w:r>
    </w:p>
    <w:p w:rsidR="00503A41" w:rsidRPr="00993936" w:rsidRDefault="00503A41" w:rsidP="001D205D">
      <w:pPr>
        <w:pStyle w:val="Sinespaciado"/>
        <w:jc w:val="both"/>
        <w:rPr>
          <w:rFonts w:ascii="Arial" w:hAnsi="Arial" w:cs="Arial"/>
          <w:i/>
          <w:iCs/>
          <w:lang w:val="es-ES"/>
        </w:rPr>
      </w:pPr>
      <w:r w:rsidRPr="00993936">
        <w:rPr>
          <w:rFonts w:ascii="Arial" w:hAnsi="Arial" w:cs="Arial"/>
          <w:i/>
          <w:snapToGrid w:val="0"/>
          <w:lang w:val="es-ES"/>
        </w:rPr>
        <w:t>Degüelle:</w:t>
      </w:r>
      <w:r w:rsidRPr="00993936">
        <w:rPr>
          <w:rFonts w:ascii="Arial" w:hAnsi="Arial" w:cs="Arial"/>
          <w:snapToGrid w:val="0"/>
          <w:lang w:val="es-ES"/>
        </w:rPr>
        <w:t xml:space="preserve"> eliminación de los posos depositados en el cuello</w:t>
      </w:r>
      <w:r w:rsidRPr="00993936">
        <w:rPr>
          <w:rFonts w:ascii="Arial" w:hAnsi="Arial" w:cs="Arial"/>
          <w:snapToGrid w:val="0"/>
          <w:vanish/>
          <w:lang w:val="es-ES"/>
        </w:rPr>
        <w:t>&lt;A[cuello|garganta]&gt;</w:t>
      </w:r>
      <w:r w:rsidRPr="00993936">
        <w:rPr>
          <w:rFonts w:ascii="Arial" w:hAnsi="Arial" w:cs="Arial"/>
          <w:snapToGrid w:val="0"/>
          <w:lang w:val="es-ES"/>
        </w:rPr>
        <w:t xml:space="preserve"> de la botella con el fin de asegurar la limpidez del vino espumoso (perfectamente brillante sin restos de sedimentos). Se puede hacer de manera natural o bien con la ayuda de la congelación de los cuellos de la botella. El líquido refrigerante propilenglicol no es tóxico en comparación con el etilenglicol o el dietilenglicol, pero además se hará un buen aclarado de las botellas.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Desfangado</w:t>
      </w:r>
      <w:r w:rsidRPr="00993936">
        <w:rPr>
          <w:rFonts w:ascii="Arial" w:hAnsi="Arial" w:cs="Arial"/>
          <w:lang w:val="es-ES"/>
        </w:rPr>
        <w:t xml:space="preserve">: eliminación de las madres del vino. </w:t>
      </w:r>
    </w:p>
    <w:p w:rsidR="00503A41" w:rsidRPr="00993936" w:rsidRDefault="00503A41" w:rsidP="001D205D">
      <w:pPr>
        <w:pStyle w:val="Sinespaciado"/>
        <w:jc w:val="both"/>
        <w:rPr>
          <w:rFonts w:ascii="Arial" w:hAnsi="Arial" w:cs="Arial"/>
          <w:i/>
          <w:iCs/>
          <w:lang w:val="es-ES"/>
        </w:rPr>
      </w:pPr>
      <w:r w:rsidRPr="00993936">
        <w:rPr>
          <w:rFonts w:ascii="Arial" w:hAnsi="Arial" w:cs="Arial"/>
          <w:i/>
          <w:lang w:val="es-ES"/>
        </w:rPr>
        <w:t>Despalillado</w:t>
      </w:r>
      <w:r w:rsidRPr="00993936">
        <w:rPr>
          <w:rFonts w:ascii="Arial" w:hAnsi="Arial" w:cs="Arial"/>
          <w:lang w:val="es-ES"/>
        </w:rPr>
        <w:t>: separación de los granos de uva de su raspajo.</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Entidades de Certificación: </w:t>
      </w:r>
      <w:r w:rsidRPr="00993936">
        <w:rPr>
          <w:rFonts w:ascii="Arial" w:hAnsi="Arial" w:cs="Arial"/>
          <w:lang w:val="es-ES"/>
        </w:rPr>
        <w:t>son aquellas entidades acreditadas por la Entidad Nacional de Acreditación (ENAC) para realizar las funciones de control y certificación, donde tendrá que estar sometida la producción para que los productos obtenidos puedan ser diferenciados con un distintivo de garantía de producción integrada, de acuerdo con el Decreto 241/2002 o, si procede, las acreditadas por cualquier otro organismo acreditativo firmante del Acuerdo Multilateral de Reconocimiento del European Cooperation for Acreditation (EA).</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Etiquetado: </w:t>
      </w:r>
      <w:r w:rsidRPr="00993936">
        <w:rPr>
          <w:rFonts w:ascii="Arial" w:hAnsi="Arial" w:cs="Arial"/>
          <w:lang w:val="es-ES"/>
        </w:rPr>
        <w:t>todas las menciones, las indicaciones, las identificaciones de fábrica o comerciales, las imágenes o los signos que figuran en los envases, documentos, letreros, etiquetas, argollas</w:t>
      </w:r>
      <w:r w:rsidRPr="00993936">
        <w:rPr>
          <w:rFonts w:ascii="Arial" w:hAnsi="Arial" w:cs="Arial"/>
          <w:vanish/>
          <w:lang w:val="es-ES"/>
        </w:rPr>
        <w:t>&lt;A[argollas|servilleteros]&gt;</w:t>
      </w:r>
      <w:r w:rsidRPr="00993936">
        <w:rPr>
          <w:rFonts w:ascii="Arial" w:hAnsi="Arial" w:cs="Arial"/>
          <w:lang w:val="es-ES"/>
        </w:rPr>
        <w:t xml:space="preserve"> o collares que acompañan o que se refieran en productos que prevé el Decreto 241/2002.</w:t>
      </w:r>
    </w:p>
    <w:p w:rsidR="00503A41" w:rsidRPr="00993936" w:rsidRDefault="00503A41" w:rsidP="001D205D">
      <w:pPr>
        <w:pStyle w:val="Sinespaciado"/>
        <w:jc w:val="both"/>
        <w:rPr>
          <w:rFonts w:ascii="Arial" w:hAnsi="Arial" w:cs="Arial"/>
          <w:i/>
          <w:iCs/>
          <w:lang w:val="es-ES"/>
        </w:rPr>
      </w:pPr>
      <w:r w:rsidRPr="00993936">
        <w:rPr>
          <w:rFonts w:ascii="Arial" w:hAnsi="Arial" w:cs="Arial"/>
          <w:i/>
          <w:iCs/>
          <w:lang w:val="es-ES"/>
        </w:rPr>
        <w:t xml:space="preserve">Explotación: </w:t>
      </w:r>
      <w:r w:rsidRPr="00993936">
        <w:rPr>
          <w:rFonts w:ascii="Arial" w:hAnsi="Arial" w:cs="Arial"/>
          <w:lang w:val="es-ES"/>
        </w:rPr>
        <w:t>conjunto de bienes productivos que dan origen a una actividad económica.</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Fermentación alcohólica</w:t>
      </w:r>
      <w:r w:rsidRPr="00993936">
        <w:rPr>
          <w:rFonts w:ascii="Arial" w:hAnsi="Arial" w:cs="Arial"/>
          <w:lang w:val="es-ES"/>
        </w:rPr>
        <w:t xml:space="preserve">: transformación de los azúcares de la uva en etanol, dióxido de carbono y otros productos secundarios. Se puede llevar a cabo espontáneamente con levaduras naturales de la uva, del mosto o de la bodega o bien con levaduras </w:t>
      </w:r>
      <w:r w:rsidRPr="00993936">
        <w:rPr>
          <w:rFonts w:ascii="Arial" w:hAnsi="Arial" w:cs="Arial"/>
          <w:lang w:val="es-ES"/>
        </w:rPr>
        <w:lastRenderedPageBreak/>
        <w:t>seleccionadas; se realiza en depósitos inertes, aunque en algunas vinificaciones especiales se puede fermentar en contacto con madera.</w:t>
      </w:r>
    </w:p>
    <w:p w:rsidR="00503A41" w:rsidRPr="00993936" w:rsidRDefault="00503A41" w:rsidP="001D205D">
      <w:pPr>
        <w:pStyle w:val="Sinespaciado"/>
        <w:jc w:val="both"/>
        <w:rPr>
          <w:rFonts w:ascii="Arial" w:hAnsi="Arial" w:cs="Arial"/>
          <w:i/>
          <w:iCs/>
          <w:lang w:val="es-ES"/>
        </w:rPr>
      </w:pPr>
      <w:r w:rsidRPr="00993936">
        <w:rPr>
          <w:rFonts w:ascii="Arial" w:hAnsi="Arial" w:cs="Arial"/>
          <w:i/>
          <w:lang w:val="es-ES"/>
        </w:rPr>
        <w:t>Fermentación maloláctica</w:t>
      </w:r>
      <w:r w:rsidRPr="00993936">
        <w:rPr>
          <w:rFonts w:ascii="Arial" w:hAnsi="Arial" w:cs="Arial"/>
          <w:lang w:val="es-ES"/>
        </w:rPr>
        <w:t>: transformación del ácido málico en ácido láctico y los azúcares residuales en otros productos secundarios por medio de bacterias lácticas. Se puede producir de manera espontánea o mediante la siembra de cepas seleccionadas.</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Madera de uso enológico</w:t>
      </w:r>
      <w:r w:rsidRPr="00993936">
        <w:rPr>
          <w:rFonts w:ascii="Arial" w:hAnsi="Arial" w:cs="Arial"/>
          <w:lang w:val="es-ES"/>
        </w:rPr>
        <w:t>: material para confeccionar los depósitos para fermentar, envejecer los vinos que permite una ligera microoxigenación y aporta compuestos aromáticos y gustativos.</w:t>
      </w:r>
    </w:p>
    <w:p w:rsidR="00503A41" w:rsidRPr="00993936" w:rsidRDefault="00503A41" w:rsidP="001D205D">
      <w:pPr>
        <w:pStyle w:val="Sinespaciado"/>
        <w:jc w:val="both"/>
        <w:rPr>
          <w:rFonts w:ascii="Arial" w:hAnsi="Arial" w:cs="Arial"/>
          <w:lang w:val="es-ES"/>
        </w:rPr>
      </w:pPr>
      <w:r w:rsidRPr="00993936">
        <w:rPr>
          <w:rFonts w:ascii="Arial" w:hAnsi="Arial" w:cs="Arial"/>
          <w:i/>
          <w:snapToGrid w:val="0"/>
          <w:lang w:val="es-ES"/>
        </w:rPr>
        <w:t>Licor de expedición</w:t>
      </w:r>
      <w:r w:rsidRPr="00993936">
        <w:rPr>
          <w:rFonts w:ascii="Arial" w:hAnsi="Arial" w:cs="Arial"/>
          <w:snapToGrid w:val="0"/>
          <w:lang w:val="es-ES"/>
        </w:rPr>
        <w:t>: compuesto de vino base, mosto de uva, mosto de uva parcialmente fermentado, mosto de uva concentrada, mosto de uva concentrada rectificado o una mezcla de estos productos, con sacarosa y, eventualmente, algún destilado de vino o adyuvantes.</w:t>
      </w:r>
    </w:p>
    <w:p w:rsidR="00503A41" w:rsidRPr="00993936" w:rsidRDefault="00503A41" w:rsidP="001D205D">
      <w:pPr>
        <w:pStyle w:val="Sinespaciado"/>
        <w:jc w:val="both"/>
        <w:rPr>
          <w:rFonts w:ascii="Arial" w:hAnsi="Arial" w:cs="Arial"/>
          <w:i/>
          <w:iCs/>
          <w:lang w:val="es-ES"/>
        </w:rPr>
      </w:pPr>
      <w:r w:rsidRPr="00993936">
        <w:rPr>
          <w:rFonts w:ascii="Arial" w:hAnsi="Arial" w:cs="Arial"/>
          <w:i/>
          <w:snapToGrid w:val="0"/>
          <w:lang w:val="es-ES"/>
        </w:rPr>
        <w:t>Licor de tiraje</w:t>
      </w:r>
      <w:r w:rsidRPr="00993936">
        <w:rPr>
          <w:rFonts w:ascii="Arial" w:hAnsi="Arial" w:cs="Arial"/>
          <w:snapToGrid w:val="0"/>
          <w:lang w:val="es-ES"/>
        </w:rPr>
        <w:t>: mezcla del azúcar, el clarificando y las levaduras que junto con el vino base se utilizarán para realizar la tirada.</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i/>
          <w:lang w:val="es-ES"/>
        </w:rPr>
      </w:pPr>
      <w:r w:rsidRPr="00993936">
        <w:rPr>
          <w:rFonts w:ascii="Arial" w:hAnsi="Arial" w:cs="Arial"/>
          <w:i/>
          <w:snapToGrid w:val="0"/>
          <w:lang w:val="es-ES"/>
        </w:rPr>
        <w:t>Lías</w:t>
      </w:r>
      <w:r w:rsidRPr="00993936">
        <w:rPr>
          <w:rFonts w:ascii="Arial" w:hAnsi="Arial" w:cs="Arial"/>
          <w:snapToGrid w:val="0"/>
          <w:lang w:val="es-ES"/>
        </w:rPr>
        <w:t xml:space="preserve">: depósito de levaduras muertas que se acumulan en el fondo de la botella en rima que han realizado la segunda fermentación alcohólica dentro de la botella y modulan las características sensoriales del vino espumoso durante la crianza.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Maceración prefermentativa</w:t>
      </w:r>
      <w:r w:rsidRPr="00993936">
        <w:rPr>
          <w:rFonts w:ascii="Arial" w:hAnsi="Arial" w:cs="Arial"/>
          <w:lang w:val="es-ES"/>
        </w:rPr>
        <w:t>: reblandecimiento en frío de las uvas despalilladas o chafadas –y accesoriamente enteras–, conservándolas en maceración, antes del prensado y la fermentación, a una temperatura y un tiempo adaptados al objetivo perseguido –extracción de los constituyentes de los pellejos, en particular de los precursores de los aromas en la vinificación en blanco, aumentar la complejidad gustativa y conseguir las características de color deseadas en la vinificación en rosado y en tinto).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Madres</w:t>
      </w:r>
      <w:r w:rsidRPr="00993936">
        <w:rPr>
          <w:rFonts w:ascii="Arial" w:hAnsi="Arial" w:cs="Arial"/>
          <w:lang w:val="es-ES"/>
        </w:rPr>
        <w:t>: sustancias sólidas con predominio de levaduras muertas.</w:t>
      </w:r>
    </w:p>
    <w:p w:rsidR="00503A41" w:rsidRPr="00993936" w:rsidRDefault="00503A41" w:rsidP="001D205D">
      <w:pPr>
        <w:pStyle w:val="Sinespaciado"/>
        <w:jc w:val="both"/>
        <w:rPr>
          <w:rFonts w:ascii="Arial" w:hAnsi="Arial" w:cs="Arial"/>
          <w:i/>
          <w:iCs/>
          <w:lang w:val="es-ES"/>
        </w:rPr>
      </w:pPr>
      <w:r w:rsidRPr="00993936">
        <w:rPr>
          <w:rFonts w:ascii="Arial" w:hAnsi="Arial" w:cs="Arial"/>
          <w:i/>
          <w:lang w:val="es-ES"/>
        </w:rPr>
        <w:t>Mosto</w:t>
      </w:r>
      <w:r w:rsidRPr="00993936">
        <w:rPr>
          <w:rFonts w:ascii="Arial" w:hAnsi="Arial" w:cs="Arial"/>
          <w:lang w:val="es-ES"/>
        </w:rPr>
        <w:t>: Zumo</w:t>
      </w:r>
      <w:r w:rsidRPr="00993936">
        <w:rPr>
          <w:rFonts w:ascii="Arial" w:hAnsi="Arial" w:cs="Arial"/>
          <w:vanish/>
          <w:lang w:val="es-ES"/>
        </w:rPr>
        <w:t>&lt;A[Zumo|Jugo]&gt;</w:t>
      </w:r>
      <w:r w:rsidRPr="00993936">
        <w:rPr>
          <w:rFonts w:ascii="Arial" w:hAnsi="Arial" w:cs="Arial"/>
          <w:lang w:val="es-ES"/>
        </w:rPr>
        <w:t xml:space="preserve"> de la uva exprimida antes que fermente y se convierta en vino.</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Operador o persona operadora: </w:t>
      </w:r>
      <w:r w:rsidRPr="00993936">
        <w:rPr>
          <w:rFonts w:ascii="Arial" w:hAnsi="Arial" w:cs="Arial"/>
          <w:lang w:val="es-ES"/>
        </w:rPr>
        <w:t>toda persona física o jurídica que obtiene, manipula, elabora, envasa, etiqueta, almacena o comercializa productos vegetales en las condiciones que establece esta disposición y que como tal figura inscrito en el Registro del Consejo Catalán de la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Operador individual: </w:t>
      </w:r>
      <w:r w:rsidRPr="00993936">
        <w:rPr>
          <w:rFonts w:ascii="Arial" w:hAnsi="Arial" w:cs="Arial"/>
          <w:lang w:val="es-ES"/>
        </w:rPr>
        <w:t>aquel operador que no está agrupado bajo ninguna forma de Agrupación de Producción Integrada.</w:t>
      </w:r>
    </w:p>
    <w:p w:rsidR="00503A41" w:rsidRPr="00993936" w:rsidRDefault="00503A41" w:rsidP="001D205D">
      <w:pPr>
        <w:pStyle w:val="Sinespaciado"/>
        <w:jc w:val="both"/>
        <w:rPr>
          <w:rFonts w:ascii="Arial" w:hAnsi="Arial" w:cs="Arial"/>
          <w:i/>
          <w:lang w:val="es-ES"/>
        </w:rPr>
      </w:pPr>
      <w:r w:rsidRPr="00993936">
        <w:rPr>
          <w:rFonts w:ascii="Arial" w:hAnsi="Arial" w:cs="Arial"/>
          <w:i/>
          <w:iCs/>
          <w:lang w:val="es-ES"/>
        </w:rPr>
        <w:t xml:space="preserve">Parcela: </w:t>
      </w:r>
      <w:r w:rsidRPr="00993936">
        <w:rPr>
          <w:rFonts w:ascii="Arial" w:hAnsi="Arial" w:cs="Arial"/>
          <w:lang w:val="es-ES"/>
        </w:rPr>
        <w:t>superficie continua de terreno geográficamente definida e inscrita en el Registro catastral a nombre de unos o más titulares, donde el operador realiza las prácticas de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Pasta</w:t>
      </w:r>
      <w:r w:rsidRPr="00993936">
        <w:rPr>
          <w:rFonts w:ascii="Arial" w:hAnsi="Arial" w:cs="Arial"/>
          <w:lang w:val="es-ES"/>
        </w:rPr>
        <w:t>: uva pisada con o sin raspajo.</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Personal técnico competente: </w:t>
      </w:r>
      <w:r w:rsidRPr="00993936">
        <w:rPr>
          <w:rFonts w:ascii="Arial" w:hAnsi="Arial" w:cs="Arial"/>
          <w:lang w:val="es-ES"/>
        </w:rPr>
        <w:t>persona/s física/s que presta/n servicios técnicos de asistencia en producción integrada y que cuenta con titulación universitaria de grado medio o superior, de acuerdo con el artículo 11.1 del Decreto 241/2002.</w:t>
      </w:r>
    </w:p>
    <w:p w:rsidR="00503A41" w:rsidRPr="00993936" w:rsidRDefault="00503A41" w:rsidP="001D205D">
      <w:pPr>
        <w:pStyle w:val="Sinespaciado"/>
        <w:jc w:val="both"/>
        <w:rPr>
          <w:rFonts w:ascii="Arial" w:hAnsi="Arial" w:cs="Arial"/>
          <w:i/>
          <w:iCs/>
          <w:lang w:val="es-ES"/>
        </w:rPr>
      </w:pPr>
      <w:r w:rsidRPr="00993936">
        <w:rPr>
          <w:rFonts w:ascii="Arial" w:hAnsi="Arial" w:cs="Arial"/>
          <w:i/>
          <w:lang w:val="es-ES"/>
        </w:rPr>
        <w:t>Huella</w:t>
      </w:r>
      <w:r w:rsidRPr="00993936">
        <w:rPr>
          <w:rFonts w:ascii="Arial" w:hAnsi="Arial" w:cs="Arial"/>
          <w:i/>
          <w:vanish/>
          <w:lang w:val="es-ES"/>
        </w:rPr>
        <w:t>&lt;A[Huella|Pisada]&gt;</w:t>
      </w:r>
      <w:r w:rsidRPr="00993936">
        <w:rPr>
          <w:rFonts w:ascii="Arial" w:hAnsi="Arial" w:cs="Arial"/>
          <w:i/>
          <w:lang w:val="es-ES"/>
        </w:rPr>
        <w:t xml:space="preserve"> ecológica</w:t>
      </w:r>
      <w:r w:rsidRPr="00993936">
        <w:rPr>
          <w:rFonts w:ascii="Arial" w:hAnsi="Arial" w:cs="Arial"/>
          <w:lang w:val="es-ES"/>
        </w:rPr>
        <w:t>: indicador ambiental del conjunto de impactos que ejerce una comunidad (digiriera, región o ciudad), una organización (empresa, administración...) o actividad (consumo energético, consumo de materiales, movilidad) sobre el entorno, y equivale a la superficie de terreno necesario para producir los recursos consumidos y asimilar los residuos generados.</w:t>
      </w:r>
    </w:p>
    <w:p w:rsidR="00503A41" w:rsidRPr="00993936" w:rsidRDefault="00503A41" w:rsidP="001D205D">
      <w:pPr>
        <w:pStyle w:val="Sinespaciado"/>
        <w:jc w:val="both"/>
        <w:rPr>
          <w:rFonts w:ascii="Arial" w:hAnsi="Arial" w:cs="Arial"/>
          <w:lang w:val="es-ES"/>
        </w:rPr>
      </w:pPr>
      <w:r w:rsidRPr="00993936">
        <w:rPr>
          <w:rFonts w:ascii="Arial" w:hAnsi="Arial" w:cs="Arial"/>
          <w:i/>
          <w:iCs/>
          <w:lang w:val="es-ES"/>
        </w:rPr>
        <w:t xml:space="preserve">Producción integrada: </w:t>
      </w:r>
      <w:r w:rsidRPr="00993936">
        <w:rPr>
          <w:rFonts w:ascii="Arial" w:hAnsi="Arial" w:cs="Arial"/>
          <w:lang w:val="es-ES" w:eastAsia="es-ES"/>
        </w:rPr>
        <w:t>el sistema agrario de producción y obtención de alimentos de calidad, frescos o transformados, y otros productos, que prioriza la utilización de los recursos y mecanismos de regulación naturales, con el objetivo de optimizar los métodos de producción, evitar las aportaciones perjudiciales al medio ambiente y asegurar a largo plazo una agricultura y una ganadería sostenibles.</w:t>
      </w:r>
      <w:r w:rsidRPr="00993936" w:rsidDel="007F4AB2">
        <w:rPr>
          <w:rFonts w:ascii="Arial" w:hAnsi="Arial" w:cs="Arial"/>
          <w:lang w:val="es-ES" w:eastAsia="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Producto enológico</w:t>
      </w:r>
      <w:r w:rsidRPr="00993936">
        <w:rPr>
          <w:rFonts w:ascii="Arial" w:hAnsi="Arial" w:cs="Arial"/>
          <w:lang w:val="es-ES"/>
        </w:rPr>
        <w:t>: sustancia utilizada en las prácticas y tratamientos enológicos.</w:t>
      </w:r>
    </w:p>
    <w:p w:rsidR="00503A41" w:rsidRPr="00993936" w:rsidRDefault="00503A41" w:rsidP="001D205D">
      <w:pPr>
        <w:pStyle w:val="Sinespaciado"/>
        <w:jc w:val="both"/>
        <w:rPr>
          <w:rFonts w:ascii="Arial" w:hAnsi="Arial" w:cs="Arial"/>
          <w:lang w:val="es-ES"/>
        </w:rPr>
      </w:pPr>
      <w:r w:rsidRPr="00993936">
        <w:rPr>
          <w:rFonts w:ascii="Arial" w:hAnsi="Arial" w:cs="Arial"/>
          <w:i/>
          <w:snapToGrid w:val="0"/>
          <w:lang w:val="es-ES"/>
        </w:rPr>
        <w:t>Pupitres tradicionales</w:t>
      </w:r>
      <w:r w:rsidRPr="00993936">
        <w:rPr>
          <w:rFonts w:ascii="Arial" w:hAnsi="Arial" w:cs="Arial"/>
          <w:snapToGrid w:val="0"/>
          <w:lang w:val="es-ES"/>
        </w:rPr>
        <w:t>: instalación que consiste en dos tableros</w:t>
      </w:r>
      <w:r w:rsidRPr="00993936">
        <w:rPr>
          <w:rFonts w:ascii="Arial" w:hAnsi="Arial" w:cs="Arial"/>
          <w:snapToGrid w:val="0"/>
          <w:vanish/>
          <w:lang w:val="es-ES"/>
        </w:rPr>
        <w:t>&lt;A[tableros|tablones]&gt;</w:t>
      </w:r>
      <w:r w:rsidRPr="00993936">
        <w:rPr>
          <w:rFonts w:ascii="Arial" w:hAnsi="Arial" w:cs="Arial"/>
          <w:snapToGrid w:val="0"/>
          <w:lang w:val="es-ES"/>
        </w:rPr>
        <w:t xml:space="preserve"> de madera u hormigón articulados donde se colocan las botellas que serán removidas.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i/>
          <w:snapToGrid w:val="0"/>
          <w:lang w:val="es-ES"/>
        </w:rPr>
        <w:lastRenderedPageBreak/>
        <w:t>Removida</w:t>
      </w:r>
      <w:r w:rsidRPr="00993936">
        <w:rPr>
          <w:rFonts w:ascii="Arial" w:hAnsi="Arial" w:cs="Arial"/>
          <w:snapToGrid w:val="0"/>
          <w:lang w:val="es-ES"/>
        </w:rPr>
        <w:t>: proceso por el cual se conducen y acumulan las madres resultantes de la segunda fermentación en el cuello</w:t>
      </w:r>
      <w:r w:rsidRPr="00993936">
        <w:rPr>
          <w:rFonts w:ascii="Arial" w:hAnsi="Arial" w:cs="Arial"/>
          <w:snapToGrid w:val="0"/>
          <w:vanish/>
          <w:lang w:val="es-ES"/>
        </w:rPr>
        <w:t>&lt;A[cuello|garganta]&gt;</w:t>
      </w:r>
      <w:r w:rsidRPr="00993936">
        <w:rPr>
          <w:rFonts w:ascii="Arial" w:hAnsi="Arial" w:cs="Arial"/>
          <w:snapToGrid w:val="0"/>
          <w:lang w:val="es-ES"/>
        </w:rPr>
        <w:t xml:space="preserve"> de la botella, con esta en posición vertical e invertida o "en punta", que serán eliminadas en el siguiente proceso de degollado.</w:t>
      </w:r>
    </w:p>
    <w:p w:rsidR="00503A41" w:rsidRPr="00993936" w:rsidRDefault="00503A41" w:rsidP="001D205D">
      <w:pPr>
        <w:pStyle w:val="Sinespaciado"/>
        <w:jc w:val="both"/>
        <w:rPr>
          <w:rFonts w:ascii="Arial" w:hAnsi="Arial" w:cs="Arial"/>
          <w:lang w:val="es-ES"/>
        </w:rPr>
      </w:pPr>
      <w:r w:rsidRPr="00993936">
        <w:rPr>
          <w:rFonts w:ascii="Arial" w:hAnsi="Arial" w:cs="Arial"/>
          <w:i/>
          <w:snapToGrid w:val="0"/>
          <w:lang w:val="es-ES"/>
        </w:rPr>
        <w:t>Rima</w:t>
      </w:r>
      <w:r w:rsidRPr="00993936">
        <w:rPr>
          <w:rFonts w:ascii="Arial" w:hAnsi="Arial" w:cs="Arial"/>
          <w:snapToGrid w:val="0"/>
          <w:lang w:val="es-ES"/>
        </w:rPr>
        <w:t xml:space="preserve">: sistema de apilamiento en el cual se construye una estructura tipo pared a partir de botellas dispuestas en posición horizontal. </w:t>
      </w:r>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Subproductos enológicos</w:t>
      </w:r>
      <w:r w:rsidRPr="00993936">
        <w:rPr>
          <w:rFonts w:ascii="Arial" w:hAnsi="Arial" w:cs="Arial"/>
          <w:lang w:val="es-ES"/>
        </w:rPr>
        <w:t>: bagazos, madres, tartratos cristalizados adheridos a las paredes de los depósitos o retenidos en los filtros, etc.</w:t>
      </w:r>
    </w:p>
    <w:p w:rsidR="00503A41" w:rsidRPr="00993936" w:rsidRDefault="00503A41" w:rsidP="001D205D">
      <w:pPr>
        <w:pStyle w:val="Sinespaciado"/>
        <w:jc w:val="both"/>
        <w:rPr>
          <w:rFonts w:ascii="Arial" w:hAnsi="Arial" w:cs="Arial"/>
          <w:lang w:val="es-ES"/>
        </w:rPr>
      </w:pPr>
      <w:r w:rsidRPr="00993936">
        <w:rPr>
          <w:rFonts w:ascii="Arial" w:hAnsi="Arial" w:cs="Arial"/>
          <w:i/>
          <w:snapToGrid w:val="0"/>
          <w:lang w:val="es-ES"/>
        </w:rPr>
        <w:t>Tiraje</w:t>
      </w:r>
      <w:r w:rsidRPr="00993936">
        <w:rPr>
          <w:rFonts w:ascii="Arial" w:hAnsi="Arial" w:cs="Arial"/>
          <w:snapToGrid w:val="0"/>
          <w:lang w:val="es-ES"/>
        </w:rPr>
        <w:t>: etapa que comprende la preparación del “licor de tiraje”, levaduras seleccionadas, y, eventualmente, otros productos como clarificantes – bentonitas, colas orgánicas, taninos, alginato de potasio, etc.- y auxiliares tecnológicos activadores de la fermentación para facilitar la multiplicación de las levaduras – sales nutritivas (fosfato diamónico o sulfato de amonio) o factores de crecimiento (clorhidrato de tiamina). También comprende las operaciones de llenado de las botellas con licor de tiraje y de taponamiento.</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Tolva</w:t>
      </w:r>
      <w:r w:rsidRPr="00993936">
        <w:rPr>
          <w:rFonts w:ascii="Arial" w:hAnsi="Arial" w:cs="Arial"/>
          <w:lang w:val="es-ES"/>
        </w:rPr>
        <w:t>: depósito de forma piramidal o cónica con la zona más estrechada al fin y al cabo, en donde se produce la recepción de la uva antes de empezar la vinificación.</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Vendimia (Cosecha)</w:t>
      </w:r>
      <w:r w:rsidRPr="00993936">
        <w:rPr>
          <w:rFonts w:ascii="Arial" w:hAnsi="Arial" w:cs="Arial"/>
          <w:lang w:val="es-ES"/>
        </w:rPr>
        <w:t xml:space="preserve">: recolección de la uva en la viña en su estado óptimo de madurez.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Vino:</w:t>
      </w:r>
      <w:r w:rsidRPr="00993936">
        <w:rPr>
          <w:rFonts w:ascii="Arial" w:hAnsi="Arial" w:cs="Arial"/>
          <w:lang w:val="es-ES"/>
        </w:rPr>
        <w:t xml:space="preserve"> producto obtenido exclusivamente por fermentación alcohólica, total o parcial, de uva fresca, chafada o no, o de mosto de uva. El vino se denomina </w:t>
      </w:r>
      <w:r w:rsidRPr="00993936">
        <w:rPr>
          <w:rFonts w:ascii="Arial" w:hAnsi="Arial" w:cs="Arial"/>
          <w:i/>
          <w:lang w:val="es-ES"/>
        </w:rPr>
        <w:t>tranquilo</w:t>
      </w:r>
      <w:r w:rsidRPr="00993936">
        <w:rPr>
          <w:rFonts w:ascii="Arial" w:hAnsi="Arial" w:cs="Arial"/>
          <w:lang w:val="es-ES"/>
        </w:rPr>
        <w:t xml:space="preserve"> cuando la concentración en dióxido de carbono que contiene es inferior a 4 g/l a </w:t>
      </w:r>
      <w:smartTag w:uri="urn:schemas-microsoft-com:office:smarttags" w:element="metricconverter">
        <w:smartTagPr>
          <w:attr w:name="ProductID" w:val="20ﾰC"/>
        </w:smartTagPr>
        <w:r w:rsidRPr="00993936">
          <w:rPr>
            <w:rFonts w:ascii="Arial" w:hAnsi="Arial" w:cs="Arial"/>
            <w:lang w:val="es-ES"/>
          </w:rPr>
          <w:t>20°C</w:t>
        </w:r>
      </w:smartTag>
      <w:r w:rsidRPr="00993936">
        <w:rPr>
          <w:rFonts w:ascii="Arial" w:hAnsi="Arial" w:cs="Arial"/>
          <w:lang w:val="es-ES"/>
        </w:rPr>
        <w:t xml:space="preserve">. </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Vino espumoso:</w:t>
      </w:r>
      <w:r w:rsidRPr="00993936">
        <w:rPr>
          <w:rFonts w:ascii="Arial" w:hAnsi="Arial" w:cs="Arial"/>
          <w:lang w:val="es-ES"/>
        </w:rPr>
        <w:t xml:space="preserve"> es el producto obtenido mediante una segunda fermentación del vino base en botella y que tiene una sobrepresión de carbónico superior a 3,5 bares a 20ºC, proveniente exclusivamente de la fermentación.</w:t>
      </w:r>
    </w:p>
    <w:p w:rsidR="00503A41" w:rsidRPr="00993936" w:rsidRDefault="00503A41" w:rsidP="001D205D">
      <w:pPr>
        <w:pStyle w:val="Sinespaciado"/>
        <w:jc w:val="both"/>
        <w:rPr>
          <w:rFonts w:ascii="Arial" w:hAnsi="Arial" w:cs="Arial"/>
          <w:lang w:val="es-ES"/>
        </w:rPr>
      </w:pPr>
      <w:r w:rsidRPr="00993936">
        <w:rPr>
          <w:rFonts w:ascii="Arial" w:hAnsi="Arial" w:cs="Arial"/>
          <w:i/>
          <w:lang w:val="es-ES"/>
        </w:rPr>
        <w:t>Vinazas</w:t>
      </w:r>
      <w:r w:rsidRPr="00993936">
        <w:rPr>
          <w:rFonts w:ascii="Arial" w:hAnsi="Arial" w:cs="Arial"/>
          <w:lang w:val="es-ES"/>
        </w:rPr>
        <w:t>: efluentes vinícolas que provienen de la limpieza de las instalaciones y de los posibles derrames</w:t>
      </w:r>
      <w:r w:rsidRPr="00993936">
        <w:rPr>
          <w:rFonts w:ascii="Arial" w:hAnsi="Arial" w:cs="Arial"/>
          <w:vanish/>
          <w:lang w:val="es-ES"/>
        </w:rPr>
        <w:t>&lt;A[derrames|vertidos]&gt;</w:t>
      </w:r>
      <w:r w:rsidRPr="00993936">
        <w:rPr>
          <w:rFonts w:ascii="Arial" w:hAnsi="Arial" w:cs="Arial"/>
          <w:lang w:val="es-ES"/>
        </w:rPr>
        <w:t xml:space="preserve"> de depósitos o equipos.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  TRANSPORTE, RECEPCIÓN Y ALMACENAMIENTO DE LA UVA</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Transporte de la uva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1.1  </w:t>
      </w:r>
      <w:r w:rsidRPr="00993936">
        <w:rPr>
          <w:rFonts w:ascii="Arial" w:hAnsi="Arial" w:cs="Arial"/>
          <w:i/>
          <w:snapToGrid w:val="0"/>
          <w:lang w:val="es-ES"/>
        </w:rPr>
        <w:t xml:space="preserve">Obligaciones </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 xml:space="preserve">1.1.1 Realizar el transporte de la uva </w:t>
      </w:r>
      <w:r w:rsidRPr="00993936">
        <w:rPr>
          <w:rFonts w:ascii="Arial" w:hAnsi="Arial" w:cs="Arial"/>
          <w:lang w:val="es-ES"/>
        </w:rPr>
        <w:t>inmediatamente después de su recogida.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1.1.2 Utilizar métodos que permitan mantener </w:t>
      </w:r>
      <w:r w:rsidRPr="00993936">
        <w:rPr>
          <w:rFonts w:ascii="Arial" w:hAnsi="Arial" w:cs="Arial"/>
          <w:snapToGrid w:val="0"/>
          <w:lang w:val="es-ES"/>
        </w:rPr>
        <w:t>la integridad de la uva que se transporta y que eviten el estrujado</w:t>
      </w:r>
      <w:r w:rsidRPr="00993936">
        <w:rPr>
          <w:rFonts w:ascii="Arial" w:hAnsi="Arial" w:cs="Arial"/>
          <w:snapToGrid w:val="0"/>
          <w:vanish/>
          <w:lang w:val="es-ES"/>
        </w:rPr>
        <w:t>&lt;A[aplastamiento|agobio]&gt;</w:t>
      </w:r>
      <w:r w:rsidRPr="00993936">
        <w:rPr>
          <w:rFonts w:ascii="Arial" w:hAnsi="Arial" w:cs="Arial"/>
          <w:snapToGrid w:val="0"/>
          <w:lang w:val="es-ES"/>
        </w:rPr>
        <w:t xml:space="preserve"> de la uva.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1.1.3 Los vehículos que se utilicen para el transporte deben estar en condiciones de higiene adecuadas y cargados exclusivamente con uva.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1.1.4 Establecer una separación física, definida y señalizada de la uva que proceda de producción integrada.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 Transportar de forma conjunta cualquier material diferente a la uva (personas, utensilios, maquinaria, etc.).</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1.3.1 Utilizar remolques basculantes.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1.3.2 Evitar la sobrepresión, cuando el transporte sea a granel, procurando que la uva no alcance gran altura.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1.3.3 Utilizar cajas o recipientes apilables, de capacidad reducida, que eviten el estrujado</w:t>
      </w:r>
      <w:r w:rsidRPr="00993936">
        <w:rPr>
          <w:rFonts w:ascii="Arial" w:hAnsi="Arial" w:cs="Arial"/>
          <w:snapToGrid w:val="0"/>
          <w:vanish/>
          <w:lang w:val="es-ES"/>
        </w:rPr>
        <w:t>&lt;A[aplastamiento|agobio]&gt;</w:t>
      </w:r>
      <w:r w:rsidRPr="00993936">
        <w:rPr>
          <w:rFonts w:ascii="Arial" w:hAnsi="Arial" w:cs="Arial"/>
          <w:snapToGrid w:val="0"/>
          <w:lang w:val="es-ES"/>
        </w:rPr>
        <w:t xml:space="preserve"> de la uva.</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Contenedores y remolques</w:t>
      </w:r>
    </w:p>
    <w:p w:rsidR="00503A41" w:rsidRPr="00993936" w:rsidRDefault="00503A41" w:rsidP="001D205D">
      <w:pPr>
        <w:pStyle w:val="Sinespaciado"/>
        <w:jc w:val="both"/>
        <w:rPr>
          <w:rFonts w:ascii="Arial" w:hAnsi="Arial" w:cs="Arial"/>
        </w:rPr>
      </w:pPr>
      <w:r w:rsidRPr="00993936">
        <w:rPr>
          <w:rFonts w:ascii="Arial" w:hAnsi="Arial" w:cs="Arial"/>
        </w:rPr>
        <w:t xml:space="preserve">2.1 </w:t>
      </w:r>
      <w:r w:rsidRPr="00993936">
        <w:rPr>
          <w:rFonts w:ascii="Arial" w:hAnsi="Arial" w:cs="Arial"/>
          <w:i/>
        </w:rPr>
        <w:t>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2.1.1  Mantener limpios</w:t>
      </w:r>
      <w:r w:rsidRPr="00993936">
        <w:rPr>
          <w:rFonts w:ascii="Arial" w:hAnsi="Arial" w:cs="Arial"/>
          <w:vanish/>
          <w:lang w:val="es-ES"/>
        </w:rPr>
        <w:t>&lt;A[limpios|netos]&gt;</w:t>
      </w:r>
      <w:r w:rsidRPr="00993936">
        <w:rPr>
          <w:rFonts w:ascii="Arial" w:hAnsi="Arial" w:cs="Arial"/>
          <w:lang w:val="es-ES"/>
        </w:rPr>
        <w:t xml:space="preserve"> y en condiciones adecuadas de mantenimiento los remolques y contenedores de los vehículos utilizados para transportar las uvas, para protegerlos de la contaminación. Su forma y composición deben permitir una limpieza y desinfección adecuadas.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2.1.2  Proceder a una limpieza eficaz entre las cargas para evitar el riesgo de contaminación cuando se utilicen remolques o contenedores para transportar una carga diferente de uvas o de productos alimentarios diferentes.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2.1.3 Conservar limpios</w:t>
      </w:r>
      <w:r w:rsidRPr="00993936">
        <w:rPr>
          <w:rFonts w:ascii="Arial" w:hAnsi="Arial" w:cs="Arial"/>
          <w:vanish/>
          <w:lang w:val="es-ES"/>
        </w:rPr>
        <w:t>&lt;A[limpios|netos]&gt;</w:t>
      </w:r>
      <w:r w:rsidRPr="00993936">
        <w:rPr>
          <w:rFonts w:ascii="Arial" w:hAnsi="Arial" w:cs="Arial"/>
          <w:lang w:val="es-ES"/>
        </w:rPr>
        <w:t xml:space="preserve"> los recipientes utilizados para transportar y recolectar las uvas y desinfectarlos cuando haga falta.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2.1.4 Establecer un Plan</w:t>
      </w:r>
      <w:r w:rsidRPr="00993936">
        <w:rPr>
          <w:rFonts w:ascii="Arial" w:hAnsi="Arial" w:cs="Arial"/>
          <w:vanish/>
          <w:lang w:val="es-ES"/>
        </w:rPr>
        <w:t>&lt;A[Plan|Plano]&gt;</w:t>
      </w:r>
      <w:r w:rsidRPr="00993936">
        <w:rPr>
          <w:rFonts w:ascii="Arial" w:hAnsi="Arial" w:cs="Arial"/>
          <w:lang w:val="es-ES"/>
        </w:rPr>
        <w:t xml:space="preserve"> de limpieza, que defina las operaciones y su periodicidad en remolques y contenedores, así como los datos del productor y el transportista.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2.2 </w:t>
      </w:r>
      <w:r w:rsidRPr="00993936">
        <w:rPr>
          <w:rFonts w:ascii="Arial" w:hAnsi="Arial" w:cs="Arial"/>
          <w:i/>
          <w:lang w:val="es-ES"/>
        </w:rPr>
        <w:t>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2.2.1 Evitar que la altura máxima de carga de los contenedores o remolques no supere </w:t>
      </w:r>
      <w:smartTag w:uri="urn:schemas-microsoft-com:office:smarttags" w:element="metricconverter">
        <w:smartTagPr>
          <w:attr w:name="ProductID" w:val="1,20 m"/>
        </w:smartTagPr>
        <w:r w:rsidRPr="00993936">
          <w:rPr>
            <w:rFonts w:ascii="Arial" w:hAnsi="Arial" w:cs="Arial"/>
            <w:lang w:val="es-ES"/>
          </w:rPr>
          <w:t>1,20 m</w:t>
        </w:r>
      </w:smartTag>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2.2.2 Utilizar contenedores abiertos con una capacidad máxima de 5 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2.2.3 Cuando se utilicen envases para la cosecha y el transporte de la vendimia estos tendrán una capacidad máxima de </w:t>
      </w:r>
      <w:smartTag w:uri="urn:schemas-microsoft-com:office:smarttags" w:element="metricconverter">
        <w:smartTagPr>
          <w:attr w:name="ProductID" w:val="20 kg"/>
        </w:smartTagPr>
        <w:r w:rsidRPr="00993936">
          <w:rPr>
            <w:rFonts w:ascii="Arial" w:hAnsi="Arial" w:cs="Arial"/>
            <w:lang w:val="es-ES"/>
          </w:rPr>
          <w:t>20 kg</w:t>
        </w:r>
      </w:smartTag>
      <w:r w:rsidRPr="00993936">
        <w:rPr>
          <w:rFonts w:ascii="Arial" w:hAnsi="Arial" w:cs="Arial"/>
          <w:lang w:val="es-ES"/>
        </w:rPr>
        <w:t>.</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3</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Recepción de la uva</w:t>
      </w:r>
    </w:p>
    <w:p w:rsidR="00503A41" w:rsidRPr="00993936" w:rsidRDefault="00503A41" w:rsidP="001D205D">
      <w:pPr>
        <w:pStyle w:val="Sinespaciado"/>
        <w:jc w:val="both"/>
        <w:rPr>
          <w:rFonts w:ascii="Arial" w:hAnsi="Arial" w:cs="Arial"/>
        </w:rPr>
      </w:pPr>
      <w:r w:rsidRPr="00993936">
        <w:rPr>
          <w:rFonts w:ascii="Arial" w:hAnsi="Arial" w:cs="Arial"/>
        </w:rPr>
        <w:t>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3.1.1 Formalizar una declaración de responsabilidad del agricultor que permita la identificación de los productos que proceden de parcelas acogidas a  la producción integrada.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3.1.2 Establecer un registro de las partidas que entren, donde conste, como mínimo: el producto, la cantidad y la unidad de cultivo con tratamientos homogéneos de origen.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3.1.3 Realizar una inspección visual de las partidas de uva en la recepción de la bodega, estableciendo un sistema de verificación de la calidad de los productos entrantes.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3.1.4 Establecer un sistema para verificar el índice de madurez y la calidad de los productos que entren, que incluya como mínimo la toma de muestras sistematizada y la determinación de la riqueza en azúcares y acidez.</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3.1.5 Diferenciar por</w:t>
      </w:r>
      <w:r w:rsidRPr="00993936">
        <w:rPr>
          <w:rFonts w:ascii="Arial" w:hAnsi="Arial" w:cs="Arial"/>
          <w:vanish/>
          <w:lang w:val="es-ES"/>
        </w:rPr>
        <w:t>&lt;A[por|para]&gt;</w:t>
      </w:r>
      <w:r w:rsidRPr="00993936">
        <w:rPr>
          <w:rFonts w:ascii="Arial" w:hAnsi="Arial" w:cs="Arial"/>
          <w:lang w:val="es-ES"/>
        </w:rPr>
        <w:t xml:space="preserve"> variedades y calidades, para optimizar la elaboración de vino, las entradas de uva.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3.1.6 Establecer un registro de incidencias. Las partidas que no cumplan los requisitos anteriores dejarán de ser consideradas como “producción integrada”.</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3.2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 Aceptar para la producción integrada uvas que presentan algún tipo de deterioro que comprometan la elaboración y la calidad del vino.</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3.3 Recomendaciones</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3.3.1 Efectuar la recolección con un grado de madurez idóneo para</w:t>
      </w:r>
      <w:r w:rsidRPr="00993936">
        <w:rPr>
          <w:rFonts w:ascii="Arial" w:hAnsi="Arial" w:cs="Arial"/>
          <w:snapToGrid w:val="0"/>
          <w:vanish/>
          <w:lang w:val="es-ES"/>
        </w:rPr>
        <w:t>&lt;A[por|para]&gt;</w:t>
      </w:r>
      <w:r w:rsidRPr="00993936">
        <w:rPr>
          <w:rFonts w:ascii="Arial" w:hAnsi="Arial" w:cs="Arial"/>
          <w:snapToGrid w:val="0"/>
          <w:lang w:val="es-ES"/>
        </w:rPr>
        <w:t xml:space="preserve"> el tipo de vino que se tiene que elaborar.</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3.3.2 Establecer un límite en el índice de madurez de la uva para su aceptación.</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4</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Instalaciones de recepción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4.1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napToGrid w:val="0"/>
          <w:lang w:val="es-ES"/>
        </w:rPr>
        <w:t>4.1.1 Utilizar tolvas de recepción que permitan una adecuada circulación de la</w:t>
      </w:r>
      <w:r w:rsidRPr="00993936">
        <w:rPr>
          <w:rFonts w:ascii="Arial" w:hAnsi="Arial" w:cs="Arial"/>
          <w:lang w:val="es-ES"/>
        </w:rPr>
        <w:t xml:space="preserve"> uva. Estas deben estar equipadas con barandillas</w:t>
      </w:r>
      <w:r w:rsidRPr="00993936">
        <w:rPr>
          <w:rFonts w:ascii="Arial" w:hAnsi="Arial" w:cs="Arial"/>
          <w:vanish/>
          <w:lang w:val="es-ES"/>
        </w:rPr>
        <w:t>&lt;A[barandillas|barandas]&gt;</w:t>
      </w:r>
      <w:r w:rsidRPr="00993936">
        <w:rPr>
          <w:rFonts w:ascii="Arial" w:hAnsi="Arial" w:cs="Arial"/>
          <w:lang w:val="es-ES"/>
        </w:rPr>
        <w:t xml:space="preserve"> y/o barras de seguridad.</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4.1.2 Establecer una separación real, definida y debidamente señalizada, en el tiempo y/o en el espacio, de líneas de recepción y almacenamiento para uvas procedentes de producción integrada.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4.1.3 Mantener una limpieza permanente de las zonas de recepción.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lastRenderedPageBreak/>
        <w:t>4.1.4 Utilizar sistemas de transporte con materiales de calidad alimentaria.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4.1.5 Disponer de una zona de lavado de los envases o cajas de vendimia, en una zona separada del resto de instalaciones de recepción.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4.1.6 Las instalaciones de recepción deben tener en cuenta las posibles adversidades meteorológicas disponiendo de las oportunas protecciones y cubiertas necesarias para evitar el deterioro de las uvas.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4.1.7 Las zonas para maniobrar los vehículos deben estar pavimentadas, deben ser suficientemente amplias para la carga y descarga, y deben disponer de sistemas de evacuación de las aguas pluviales.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4.1.8 Con respecto a los productos de producción integrada, los muelles de descarga y tolvas se deben utilizar de manera independiente, en el tiempo y/o en el espacio con respecto a otros productos que no sean de producción integrada y deben estar debidamente señalizados.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4.1.9 Disponer de una zona de limpieza para los remolques con agua a presión.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4.2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4.2.1 Recubrir el interior de las tolvas de recepción con pinturas, a menos que sean de calidad alimentaria.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4.2.2 Utilizar aceites y lubricantes no alimentarios en los sistemas hidráulicos que puedan contaminar o entrar en contacto con los productos vinícolas.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4.3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4.3.1 Utilizar tolvas de recepción construidas con material inerte, preferiblemente de acero inoxidable, equipadas con tornillos</w:t>
      </w:r>
      <w:r w:rsidRPr="00993936">
        <w:rPr>
          <w:rFonts w:ascii="Arial" w:hAnsi="Arial" w:cs="Arial"/>
          <w:snapToGrid w:val="0"/>
          <w:vanish/>
          <w:lang w:val="es-ES"/>
        </w:rPr>
        <w:t>&lt;A[caracoles|tornillos]&gt;</w:t>
      </w:r>
      <w:r w:rsidRPr="00993936">
        <w:rPr>
          <w:rFonts w:ascii="Arial" w:hAnsi="Arial" w:cs="Arial"/>
          <w:snapToGrid w:val="0"/>
          <w:lang w:val="es-ES"/>
        </w:rPr>
        <w:t xml:space="preserve"> </w:t>
      </w:r>
      <w:r w:rsidRPr="00993936">
        <w:rPr>
          <w:rFonts w:ascii="Arial" w:hAnsi="Arial" w:cs="Arial"/>
          <w:lang w:val="es-ES"/>
        </w:rPr>
        <w:t>bis sin fin</w:t>
      </w:r>
      <w:r w:rsidRPr="00993936">
        <w:rPr>
          <w:rFonts w:ascii="Arial" w:hAnsi="Arial" w:cs="Arial"/>
          <w:snapToGrid w:val="0"/>
          <w:lang w:val="es-ES"/>
        </w:rPr>
        <w:t xml:space="preserve"> en su fondo para transportar la vendimia hasta las despalilladoras, o cualquier otra máquina que esté en el proceso de vinificación.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4.3.2  </w:t>
      </w:r>
      <w:r w:rsidRPr="00993936">
        <w:rPr>
          <w:rFonts w:ascii="Arial" w:hAnsi="Arial" w:cs="Arial"/>
          <w:snapToGrid w:val="0"/>
          <w:lang w:val="es-ES"/>
        </w:rPr>
        <w:t>Utilizar tolvas que eviten el deterioro de las uvas.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4.3.3 Utilizar plataformas u otros sistemas de pesado, preferentemente con balanzas equipadas de mecanismos de impresión digital.</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Acondicionamiento</w:t>
      </w:r>
      <w:r w:rsidRPr="00993936">
        <w:rPr>
          <w:rFonts w:ascii="Arial" w:hAnsi="Arial" w:cs="Arial"/>
          <w:b/>
          <w:vanish/>
          <w:lang w:val="es-ES"/>
        </w:rPr>
        <w:t>&lt;A[Acondicionamiento|Condicionamiento]&gt;</w:t>
      </w:r>
      <w:r w:rsidRPr="00993936">
        <w:rPr>
          <w:rFonts w:ascii="Arial" w:hAnsi="Arial" w:cs="Arial"/>
          <w:b/>
          <w:lang w:val="es-ES"/>
        </w:rPr>
        <w:t xml:space="preserve"> de la uva</w:t>
      </w:r>
    </w:p>
    <w:p w:rsidR="00503A41" w:rsidRPr="00993936" w:rsidRDefault="00503A41" w:rsidP="001D205D">
      <w:pPr>
        <w:pStyle w:val="Sinespaciado"/>
        <w:jc w:val="both"/>
        <w:rPr>
          <w:rFonts w:ascii="Arial" w:hAnsi="Arial" w:cs="Arial"/>
        </w:rPr>
      </w:pPr>
      <w:r w:rsidRPr="00993936">
        <w:rPr>
          <w:rFonts w:ascii="Arial" w:hAnsi="Arial" w:cs="Arial"/>
        </w:rPr>
        <w:t>5.1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5.1.1 Procesar la vendimia el mismo día de su recolección.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5.1.2 Establecer un programa de vendimia previendo las diferentes cantidades y cualidades de cada productor, que evite la acumulación de los remolques en las tenazas de recepción.</w:t>
      </w:r>
    </w:p>
    <w:p w:rsidR="00503A41" w:rsidRPr="00993936" w:rsidRDefault="00503A41" w:rsidP="001D205D">
      <w:pPr>
        <w:pStyle w:val="Sinespaciado"/>
        <w:jc w:val="both"/>
        <w:rPr>
          <w:rFonts w:ascii="Arial" w:hAnsi="Arial" w:cs="Arial"/>
          <w:lang w:val="es-ES"/>
        </w:rPr>
      </w:pPr>
      <w:r w:rsidRPr="00993936">
        <w:rPr>
          <w:rFonts w:ascii="Arial" w:hAnsi="Arial" w:cs="Arial"/>
          <w:snapToGrid w:val="0"/>
          <w:lang w:val="es-ES"/>
        </w:rPr>
        <w:t>5.1.3 Mantener una limpieza permanente de los sistemas de acondicionamiento</w:t>
      </w:r>
      <w:r w:rsidRPr="00993936">
        <w:rPr>
          <w:rFonts w:ascii="Arial" w:hAnsi="Arial" w:cs="Arial"/>
          <w:snapToGrid w:val="0"/>
          <w:vanish/>
          <w:lang w:val="es-ES"/>
        </w:rPr>
        <w:t>&lt;A[acondicionamiento|condicionamiento]&gt;</w:t>
      </w:r>
      <w:r w:rsidRPr="00993936">
        <w:rPr>
          <w:rFonts w:ascii="Arial" w:hAnsi="Arial" w:cs="Arial"/>
          <w:snapToGrid w:val="0"/>
          <w:lang w:val="es-ES"/>
        </w:rPr>
        <w:t xml:space="preserve"> de las uvas.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5.1.4 Los recipientes de evacuación de residuos serán exclusivamente para</w:t>
      </w:r>
      <w:r w:rsidRPr="00993936">
        <w:rPr>
          <w:rFonts w:ascii="Arial" w:hAnsi="Arial" w:cs="Arial"/>
          <w:vanish/>
          <w:lang w:val="es-ES"/>
        </w:rPr>
        <w:t>&lt;A[por|para]&gt;</w:t>
      </w:r>
      <w:r w:rsidRPr="00993936">
        <w:rPr>
          <w:rFonts w:ascii="Arial" w:hAnsi="Arial" w:cs="Arial"/>
          <w:lang w:val="es-ES"/>
        </w:rPr>
        <w:t xml:space="preserve"> esta finalidad y se limpiarán periódicamente, por lo cual se establecerá un plan</w:t>
      </w:r>
      <w:r w:rsidRPr="00993936">
        <w:rPr>
          <w:rFonts w:ascii="Arial" w:hAnsi="Arial" w:cs="Arial"/>
          <w:vanish/>
          <w:lang w:val="es-ES"/>
        </w:rPr>
        <w:t>&lt;A[plan|plano]&gt;</w:t>
      </w:r>
      <w:r w:rsidRPr="00993936">
        <w:rPr>
          <w:rFonts w:ascii="Arial" w:hAnsi="Arial" w:cs="Arial"/>
          <w:lang w:val="es-ES"/>
        </w:rPr>
        <w:t xml:space="preserve"> de limpieza al respecto.</w:t>
      </w:r>
    </w:p>
    <w:p w:rsidR="00503A41" w:rsidRPr="00993936" w:rsidRDefault="00503A41" w:rsidP="001D205D">
      <w:pPr>
        <w:pStyle w:val="Sinespaciado"/>
        <w:jc w:val="both"/>
        <w:rPr>
          <w:rFonts w:ascii="Arial" w:hAnsi="Arial" w:cs="Arial"/>
          <w:i/>
          <w:lang w:val="es-ES"/>
        </w:rPr>
      </w:pPr>
      <w:r w:rsidRPr="00993936">
        <w:rPr>
          <w:rFonts w:ascii="Arial" w:hAnsi="Arial" w:cs="Arial"/>
          <w:i/>
          <w:snapToGrid w:val="0"/>
          <w:lang w:val="es-ES"/>
        </w:rPr>
        <w:t>5.2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5.2.1 Procesar la vendimia antes de 3 horas desde su recolección, evitando prolongar su descarga o almacenamiento.</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6</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Toma de muestras, pesado y control de calidad</w:t>
      </w:r>
    </w:p>
    <w:p w:rsidR="00503A41" w:rsidRPr="00993936" w:rsidRDefault="00503A41" w:rsidP="001D205D">
      <w:pPr>
        <w:pStyle w:val="Sinespaciado"/>
        <w:jc w:val="both"/>
        <w:rPr>
          <w:rFonts w:ascii="Arial" w:hAnsi="Arial" w:cs="Arial"/>
        </w:rPr>
      </w:pPr>
      <w:r w:rsidRPr="00993936">
        <w:rPr>
          <w:rFonts w:ascii="Arial" w:hAnsi="Arial" w:cs="Arial"/>
        </w:rPr>
        <w:t>6.1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6.1.1 En la entrada de la uva en la bodega se procederá a la toma de muestras y a su pesada. Se establecerá un registro para garantizar la identificación de las muestras y las partidas recibidas.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6.1.2 Todas las partidas recibidas deben ser sometidas a un control de calidad, anotando los datos en un registro que acompaña la muestra y que se tiene que conservar.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﻿6.1.3 El procedimiento de muestreo tiene que garantizar la representatividad de las muestras obtenidas al azar, en número suficiente de varias zonas y diferentes niveles </w:t>
      </w:r>
      <w:r w:rsidRPr="00993936">
        <w:rPr>
          <w:rFonts w:ascii="Arial" w:hAnsi="Arial" w:cs="Arial"/>
          <w:snapToGrid w:val="0"/>
          <w:lang w:val="es-ES"/>
        </w:rPr>
        <w:lastRenderedPageBreak/>
        <w:t>(superficie, fondo y cualquier punto intermedio), tanto si la uva se recibe a granel o en envases, así como las circunstancias y situaciones excepcionales que pudieran producirse (variedad, sanidad, etc.).</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6.1.4 Las determinaciones analíticas mínimas deben determinar el contenido en azúcares y acidez total, teniendo que conservarse registro de los datos de las determinaciones efectuadas o boletín de análisis de cada muestra.</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6.2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6.2.1 Conservar el registro de los datos de las determinaciones efectuadas o el boletín de análisis de cada muestra durante un periodo mínimo de 3 años.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6.2.2 Realización de otras determinaciones como la determinación del estado sanitario e índices de maduración en la determinación de la calidad.</w:t>
      </w: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II.  VINIFICACIÓN DE VINO TRANQUILO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b/>
          <w:spacing w:val="-2"/>
          <w:lang w:val="es-ES"/>
        </w:rPr>
        <w:t>II.1 Tratamiento de la uva para la vinificación</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7</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Condiciones generales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7.1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7.1.1 La vendimia tiene que ser de uvas sanas minimizando la presencia de tierra, hojas o ramas.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7.1.2 Mantener una limpieza permanente del material y locales de vinificación.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7.1.3 Realizar una limpieza de todo el material y un lavado diario, después del uso de las estrujadoras, despalilladoras, prensas, filtros, bombas, depósitos de recepción, depósitos de decantación y centrífugas, etc.</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7.2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7.2.1.Utilitzar detergentes y desinfectantes que no se encuentren autorizados y homologados en la industria alimentaria. Los recomendados son los del anexo 1 de esta norma. </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7.2.2 Utilizar lubricantes no autorizados para industria agroalimentaria.</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8</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Corrección del Mosto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8.1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8.1.1 Establecer un registro y un sistema de control de las operaciones que se llevan a cabo para la corrección del mosto.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8.2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8.2.1 Adicionar anhídrido sulfuroso por encima de 10 g/Hl.</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9</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Despalillado y estrujado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9.1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9.1.1 Limpiar de manera sistemática los </w:t>
      </w:r>
      <w:r w:rsidRPr="00993936">
        <w:rPr>
          <w:rFonts w:ascii="Arial" w:hAnsi="Arial" w:cs="Arial"/>
          <w:lang w:val="es-ES"/>
        </w:rPr>
        <w:t>tornillos</w:t>
      </w:r>
      <w:r w:rsidRPr="00993936">
        <w:rPr>
          <w:rFonts w:ascii="Arial" w:hAnsi="Arial" w:cs="Arial"/>
          <w:vanish/>
          <w:lang w:val="es-ES"/>
        </w:rPr>
        <w:t>&lt;A[tornillo|vis]&gt;</w:t>
      </w:r>
      <w:r w:rsidRPr="00993936">
        <w:rPr>
          <w:rFonts w:ascii="Arial" w:hAnsi="Arial" w:cs="Arial"/>
          <w:lang w:val="es-ES"/>
        </w:rPr>
        <w:t xml:space="preserve"> sin fin</w:t>
      </w:r>
      <w:r w:rsidRPr="00993936">
        <w:rPr>
          <w:rFonts w:ascii="Arial" w:hAnsi="Arial" w:cs="Arial"/>
          <w:snapToGrid w:val="0"/>
          <w:lang w:val="es-ES"/>
        </w:rPr>
        <w:t xml:space="preserve"> de alimentación de vendimia en las estrujadoras y las despalilladoras (tanto si es una o diferentes máquinas las que efectúan estas operaciones).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9.1.2 Mantener una limpieza permanente de estrujadoras y despalilladoras.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9.1.3 Establecer un control de la alimentación y la velocidad de despalillado para asegurar la integridad de la uva.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9.1.4 Retirar los destrios y raspajos que se produzcan, preferentemente de forma automática, en depósitos o contenedores destinados para esta finalidad. Estos elementos deben estar alejados de la zona de prensado y despalillado u otras zonas que pudieran afectar a los procesos de vinificación o conservación de los vinos.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9.2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9.2.1 Incorporar a la pasta de la vendimia exprimida cualquier materia extraña no autorizada por la normativa de producción integrada o por</w:t>
      </w:r>
      <w:r w:rsidRPr="00993936">
        <w:rPr>
          <w:rFonts w:ascii="Arial" w:hAnsi="Arial" w:cs="Arial"/>
          <w:snapToGrid w:val="0"/>
          <w:vanish/>
          <w:lang w:val="es-ES"/>
        </w:rPr>
        <w:t>&lt;A[por|para]&gt;</w:t>
      </w:r>
      <w:r w:rsidRPr="00993936">
        <w:rPr>
          <w:rFonts w:ascii="Arial" w:hAnsi="Arial" w:cs="Arial"/>
          <w:snapToGrid w:val="0"/>
          <w:lang w:val="es-ES"/>
        </w:rPr>
        <w:t xml:space="preserve"> la legislación vigente.</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lastRenderedPageBreak/>
        <w:t>9.3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9.3.1 Reducir, al máximo, el tiempo de transporte de la pasta de vendimia aplastada en la prensa o depósitos de fermentación.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9.3.2 Utilizar bombas de impulsión para la pasta de vendimia que respeten la integridad y no produzcan daños de laceración.</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10</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Instalaciones de despalillado y estrujado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10.1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10.1.1 Utilizar materiales de uso alimentario en los elementos de despalilladoras, estrujadoras, bombas de impulsión y mangueras en contacto con la pasta de vendimia.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10.1.2 Instalar protecciones en las despalilladoras y estrujadoras que impidan la incorporación, de materias extrañas a la vendimia.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10.1.3 Utilizar un sistema de despalillado-estrujado que no lacere los tejidos de la piel ni rompa las semillas. </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10.2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10.2.1 Utilizar grasas y aceites de calidad no alimentaria en cualquier mecanismo de la despalilladora, estrujadora y bombas de impulsión.</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10.3 Recomendaciones</w:t>
      </w:r>
    </w:p>
    <w:p w:rsidR="00503A41" w:rsidRPr="00993936" w:rsidRDefault="00503A41" w:rsidP="001D205D">
      <w:pPr>
        <w:pStyle w:val="Sinespaciado"/>
        <w:jc w:val="both"/>
        <w:rPr>
          <w:rFonts w:ascii="Arial" w:hAnsi="Arial" w:cs="Arial"/>
          <w:dstrike/>
          <w:snapToGrid w:val="0"/>
          <w:lang w:val="es-ES"/>
        </w:rPr>
      </w:pPr>
      <w:r w:rsidRPr="00993936">
        <w:rPr>
          <w:rFonts w:ascii="Arial" w:hAnsi="Arial" w:cs="Arial"/>
          <w:snapToGrid w:val="0"/>
          <w:lang w:val="es-ES"/>
        </w:rPr>
        <w:t>10.3.1 Efectuar el despalillado con sistemas que reproduzcan en la medida del posible las condiciones del desgranado manual.</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10.3.2 El estrujado se efectuará con sistema de rodillos cilíndricos, graduándolo para el paso de las semillas intactas.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10.3.3 Utilizar sistemas de gravedad para el movimiento y traslado de la pasta de vendimia.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10.3.4 Utilizar bombas respetuosas con la pasta de vendimia.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10.3.5 Disponer de una sistema eficaz para la retirada de la raspajo.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II.2 Fermentación y otras operaciones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11</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 xml:space="preserve">Maceraciones prefermentativas </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11.1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11.1.1 Utilizar enzimas que durante su proceso de síntesis biotecnológica hayan sufrido modificaciones genéticas.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11.2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11.2.1 Utilizar depósitos con sistemas de vaciado automático.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11.2.2 Utilizar depósitos con sistemas que permitan un control correcto de la temperatura y un fácil vaciado.</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12</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Desfangado (sólo vinos blancos y rosados)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12.1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12.1.1 Iniciar el proceso de desfangado inmediatamente después de la obtención del mosto, con un sulfitado y/o enfriamiento suficientes para evitar el inicio de la fermentación, en depósitos adecuados.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12.1.2 Establecer un registro de todos los productos enológicos utilizados de acuerdo con el establecido en los anexos 2 y 3 de esta norma.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12.1.3 Refrigerar el mosto si la temperatura supera los </w:t>
      </w:r>
      <w:smartTag w:uri="urn:schemas-microsoft-com:office:smarttags" w:element="metricconverter">
        <w:smartTagPr>
          <w:attr w:name="ProductID" w:val="25ﾺC"/>
        </w:smartTagPr>
        <w:r w:rsidRPr="00993936">
          <w:rPr>
            <w:rFonts w:ascii="Arial" w:hAnsi="Arial" w:cs="Arial"/>
            <w:snapToGrid w:val="0"/>
            <w:lang w:val="es-ES"/>
          </w:rPr>
          <w:t>25ºC</w:t>
        </w:r>
      </w:smartTag>
      <w:r w:rsidRPr="00993936">
        <w:rPr>
          <w:rFonts w:ascii="Arial" w:hAnsi="Arial" w:cs="Arial"/>
          <w:snapToGrid w:val="0"/>
          <w:lang w:val="es-ES"/>
        </w:rPr>
        <w:t>.</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12.2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12.2.1 Utilizar clarificantes, enzimas o coadyuvantes no autorizados o en dosis no permitidas.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12.3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12.3.1 Realizar una decantación estática dejando el mosto en reposo previo sulfitado y/o enfriamiento para evitar el inicio de la fermentación.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lastRenderedPageBreak/>
        <w:t>12.3.2 Utilizar clarificantes o enzimas para acelerar y mejorar el proceso del desfangado.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13</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Instalaciones de desfangado (sólo vinos blancos y rosados)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13.1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13.1.1 Utilizar depósitos de desfangado que tengan unas dimensiones donde la relación superficie/volumen sea máxima.</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14</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 xml:space="preserve">Fermentación alcohólica </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14.1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14.1.1 Efectuar un control diario de determinación de densidad y temperatura (mínimo 2 veces diarias, mañana y tarde).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14.1.2 Enfriar o regular la temperatura del mosto o vino obtenido si es superior a 22ºC (en blancos y rosados) o 30ºC (negro).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14.2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14.2.1 Adicionar azúcares y productos enológicos no autorizados por la legislación vigente.</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14.3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14.3.1 Mantener la temperatura de fermentación por debajo de los </w:t>
      </w:r>
      <w:smartTag w:uri="urn:schemas-microsoft-com:office:smarttags" w:element="metricconverter">
        <w:smartTagPr>
          <w:attr w:name="ProductID" w:val="20ﾺC"/>
        </w:smartTagPr>
        <w:r w:rsidRPr="00993936">
          <w:rPr>
            <w:rFonts w:ascii="Arial" w:hAnsi="Arial" w:cs="Arial"/>
            <w:snapToGrid w:val="0"/>
            <w:lang w:val="es-ES"/>
          </w:rPr>
          <w:t>20ºC</w:t>
        </w:r>
      </w:smartTag>
      <w:r w:rsidRPr="00993936">
        <w:rPr>
          <w:rFonts w:ascii="Arial" w:hAnsi="Arial" w:cs="Arial"/>
          <w:snapToGrid w:val="0"/>
          <w:lang w:val="es-ES"/>
        </w:rPr>
        <w:t xml:space="preserve"> (en blancos y rosados) o de los 28ºC (negros).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14.3.2 Ventilar y aislar térmicamente la sala de fermentación.</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15</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Instalaciones de fermentación y depósitos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15.1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15.1.1 Establecer un plan</w:t>
      </w:r>
      <w:r w:rsidRPr="00993936">
        <w:rPr>
          <w:rFonts w:ascii="Arial" w:hAnsi="Arial" w:cs="Arial"/>
          <w:snapToGrid w:val="0"/>
          <w:vanish/>
          <w:lang w:val="es-ES"/>
        </w:rPr>
        <w:t>&lt;A[Plan|Plano]&gt;</w:t>
      </w:r>
      <w:r w:rsidRPr="00993936">
        <w:rPr>
          <w:rFonts w:ascii="Arial" w:hAnsi="Arial" w:cs="Arial"/>
          <w:snapToGrid w:val="0"/>
          <w:lang w:val="es-ES"/>
        </w:rPr>
        <w:t xml:space="preserve"> de limpieza y mantenimiento de los depósitos y envases de fermentación, evitando cualquier contaminación causada por la degradación o por el material en contacto con el mosto o vino obtenido durante la fermentación.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15.1.2 El material de los recipientes o depósitos de fermentación, así como las cañerías y los grifos serán de materiales aptos para uso alimentario.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15.2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15.2.1 Mantener en contacto el mosto o vino obtenido en depósitos o instalaciones con materiales interiores no inertes (queda exceptuada de esta prohibición la madera de uso enológico). </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15.3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15.3.1 Disponer de un sistema de refrigeración (camisa de refrigeración en los depósitos) y un sistema complementario para las subidas rápidas de temperatura (refrigeración por enfriamiento directo del mosto).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15.3.2 Realizar un control automático y continuo de la temperatura del proceso de fermentación.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15.3.3 Disponer de equipos y aparatos de medida adaptados a las condiciones de trabajo para efectuar el control de la densidad y regulación de la temperatura.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15.3.4 Habilitar un sistema automático de registro directo de temperaturas.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16</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Prensado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16.1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16.1.1 Realizar controles sistemáticos de la duración y la presión aplicada en la extracción del líquido.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16.2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16.2.1 Utilizar sistemas de prensado que afecten negativamente a la calidad del vino.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16.3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lastRenderedPageBreak/>
        <w:t>16.3.1 Realizar uno escurrido por gravedad en cada caso, antes del prensado.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17</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Instalaciones de prensado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17.1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17.1.1 Utilizar prensas con recubrimiento o construidas de materiales inertes que permitan y faciliten la limpieza y desinfección.</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17.2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17.2.1 En caso del prensado de tintos, utilizar cintas transportadoras para el transporte de la pasta desde la tina de fermentación hasta la prensa.</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18</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Fermentación maloláctica</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18.1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18.1.1 Efectuar un control periódico del ácido málico durante la fermentación maloláctica.</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18.2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18.2.1 Adicionar productos no autorizados por la legislación vigente.</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18.3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18.3.1 Efectuar un control automático y continuo de la temperatura del proceso de fermentación. Procurar que la temperatura esté en torno a los </w:t>
      </w:r>
      <w:smartTag w:uri="urn:schemas-microsoft-com:office:smarttags" w:element="metricconverter">
        <w:smartTagPr>
          <w:attr w:name="ProductID" w:val="22ﾺC"/>
        </w:smartTagPr>
        <w:r w:rsidRPr="00993936">
          <w:rPr>
            <w:rFonts w:ascii="Arial" w:hAnsi="Arial" w:cs="Arial"/>
            <w:snapToGrid w:val="0"/>
            <w:lang w:val="es-ES"/>
          </w:rPr>
          <w:t>22ºC</w:t>
        </w:r>
      </w:smartTag>
      <w:r w:rsidRPr="00993936">
        <w:rPr>
          <w:rFonts w:ascii="Arial" w:hAnsi="Arial" w:cs="Arial"/>
          <w:snapToGrid w:val="0"/>
          <w:lang w:val="es-ES"/>
        </w:rPr>
        <w:t xml:space="preserve"> durante la fermentación.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18.3.2 Procurar tener los depósitos siempre llenos, con la mínima cámara de aire posible y/o con gas inerte.</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19</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Clarificación del vino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19.1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19.1.1 Disponer de un sistema de registro de clarificantes o productos enológicos añadidos durante este proceso.</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19.2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19.2.1 El uso clarificantes, coadyuvantes u otros no autorizados o en dosis no permitidas.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19.3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19.3.1 Utilizar clarificantes no alergénicos.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20</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Instalaciones de clarificación</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20.1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20.1.1 Utilizar sistemas de centrifugación para la eliminación de la materia en suspensión procedente de la clarificación.</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II.3 ENVEJECIMIENTO Y TRANSVASES DEL VINO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21</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Condiciones generales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21.1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21.1.1 Efectuar las conmociones necesarias según el tipo de vino a obtener, eliminando los barros y realizando las tareas de conservación, con sulfitados débiles, si hiciera falta.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21.1.2 Efectuar controles de anhídrido sulfuroso libre en el vino.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21.1.3 Limpiar de manera inmediata los recipientes o depósitos vacíos, antes de su utilización posterior.</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21.2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lastRenderedPageBreak/>
        <w:t>21.2.1 Controlar las condiciones ambientales de la bodega procurando mantener una temperaturas entre 16 y 22ºC y una humedad ambiental entre el 65 y 75%.</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21.2.2 Realizar un seguimiento de la evolución de cada vino, haciendo controles analíticos y organolépticos del vino que permitan determinar el momento óptimo para su conmoción.</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22</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Instalaciones de envejecimiento y conmociones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22.1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22.1.1 Utilizar barricas y/o otros recipientes de calidad alimentaria.</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22.2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22.2.1 Utilizar bombas que minimicen el aireación y calentamiento del vino.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22.2.2 Envejecer los vinos en barricas de madera conservándolo posteriormente en depósitos o botellas.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22.2.3 Disponer de instalaciones de control y mantenimiento de temperatura en los depósitos de vino.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II.4. ALMACENAMIENTO, ENVASADO Y TRANSPORTE DE VINO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23</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Condiciones generales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23.1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23.1.1 En vinos almacenados en depósitos, se llevarán a cabo controles de anhídrido sulfuroso libre en el vino, acidez volátil, así como el control periódico de temperatura.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23.1.2 Los envases y los materiales de envasado (tapones, cajas, cápsulas, etc.) se deberán almacenar en lugar</w:t>
      </w:r>
      <w:r w:rsidRPr="00993936">
        <w:rPr>
          <w:rFonts w:ascii="Arial" w:hAnsi="Arial" w:cs="Arial"/>
          <w:snapToGrid w:val="0"/>
          <w:vanish/>
          <w:lang w:val="es-ES"/>
        </w:rPr>
        <w:t>&lt;A[lugar|sitio]&gt;</w:t>
      </w:r>
      <w:r w:rsidRPr="00993936">
        <w:rPr>
          <w:rFonts w:ascii="Arial" w:hAnsi="Arial" w:cs="Arial"/>
          <w:snapToGrid w:val="0"/>
          <w:lang w:val="es-ES"/>
        </w:rPr>
        <w:t xml:space="preserve"> limpio</w:t>
      </w:r>
      <w:r w:rsidRPr="00993936">
        <w:rPr>
          <w:rFonts w:ascii="Arial" w:hAnsi="Arial" w:cs="Arial"/>
          <w:snapToGrid w:val="0"/>
          <w:vanish/>
          <w:lang w:val="es-ES"/>
        </w:rPr>
        <w:t>&lt;A[limpio|neto]&gt;</w:t>
      </w:r>
      <w:r w:rsidRPr="00993936">
        <w:rPr>
          <w:rFonts w:ascii="Arial" w:hAnsi="Arial" w:cs="Arial"/>
          <w:snapToGrid w:val="0"/>
          <w:lang w:val="es-ES"/>
        </w:rPr>
        <w:t xml:space="preserve"> y protegido.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23.1.3 Evitar el contacto con el suelo de los envases llenos de vino, así como las cajas llenas de productos envasados.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23.1.4 Los envases y los materiales de envasado deben reunir los requisitos establecidos en la legislación vigente.</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23.2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23.2.1 Almacenar productos químicos y de desecho en la zona de almacenamiento de vinos.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23.3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23.3.1 Realizar controles microbiológicos en el vino envasado.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23.3.2 Mantener la temperatura durante el almacenamiento del vino acabado entre 18-20ºC.</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23.3.3 Realizar el envasado de vino en botellas de cristal ligero con tratamiento de superficie y con la coloración adecuada para el tipo de vino o envejecimiento que se pretenda obtener.</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23.3.4 Utilizar tapones de corcho para el cierre de las botellas u otro tipo de material que no altere las propiedades del vino y que su obtención tenga la mínima repercusión medioambiental.</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24</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Instalaciones para almacenar, envasar y transportar los vinos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24.1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24.1.1 Disponer de depósitos y sistemas de tuberías construidos con material inerte y de fácil limpieza.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24.1.2 La maquinaria utilizada para el envasado del vino tiene que ser de materiales de uso alimentario y de fácil limpieza.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24.1.3 Las zonas de almacenamiento de envases y materiales de envasado estarán claramente diferenciadas de la zona de envasado y vinificación.</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24.2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24.2.1 Utilizar depósitos de hormigón o hierro sin revestir y depósitos abiertos. </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lastRenderedPageBreak/>
        <w:t>24.3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24.3.1 Los depósitos del vino deben ser de acero inoxidable y/o madera.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24.3.2 Disponer de un sistema que permita una buena rotación y control de las existencias.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24.3.3 Bodega para vinos de producción integrada separados físicamente del resto de los vinos existentes en la bodega.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24.3.4 Se dispondrá de sistemas de mantenimiento de atmósfera inerte en los depósitos.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24.3.5 Utilización de máquinas de lavado automático, con verificación electrónica.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24.3.6 Utilización de envasadoras automáticas con eliminación de aire y estabilización y ajuste del nivel de llenado.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24.3.7 La planta de embotellado estará aislada térmicamente.</w:t>
      </w: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 xml:space="preserve">III. VINIFICACIÓN DE VINOS ESPUMOSOS </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III.1 Mezcla y tirada</w:t>
      </w: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Artículo 25</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Mezcla y tirada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25.1 </w:t>
      </w:r>
      <w:r w:rsidRPr="00993936">
        <w:rPr>
          <w:rFonts w:ascii="Arial" w:hAnsi="Arial" w:cs="Arial"/>
          <w:i/>
          <w:spacing w:val="-2"/>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25.1.1 Los vinos base monovarietales o que formen la mezcla para la elaboración del vino espumoso se deberán haber elaborado de acuerdo a la norma técnica de producción integrada de vino tranquilo.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25.1.2 Los vinos base sólo pueden ser</w:t>
      </w:r>
      <w:r w:rsidRPr="00993936">
        <w:rPr>
          <w:rFonts w:ascii="Arial" w:hAnsi="Arial" w:cs="Arial"/>
          <w:vanish/>
          <w:spacing w:val="-2"/>
          <w:lang w:val="es-ES"/>
        </w:rPr>
        <w:t>&lt;A[ser|estar]&gt;</w:t>
      </w:r>
      <w:r w:rsidRPr="00993936">
        <w:rPr>
          <w:rFonts w:ascii="Arial" w:hAnsi="Arial" w:cs="Arial"/>
          <w:spacing w:val="-2"/>
          <w:lang w:val="es-ES"/>
        </w:rPr>
        <w:t xml:space="preserve"> blancos o rosados.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25.1.3 El azúcar utilizado en el licor de tiraje tendrá que ser de origen natural: sacarosa procedente de caña de azúcar o remolacha o mosto de uva concentrada o mosto de uva concentrada rectificada.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25.1.4 Llenar las botellas con el licor de tiraje y taparlas herméticamente.</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25.2 </w:t>
      </w:r>
      <w:r w:rsidRPr="00993936">
        <w:rPr>
          <w:rFonts w:ascii="Arial" w:hAnsi="Arial" w:cs="Arial"/>
          <w:i/>
          <w:spacing w:val="-2"/>
          <w:lang w:val="es-ES"/>
        </w:rPr>
        <w:t>Prohibiciones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25.2.1 Utilizar levaduras que durante su proceso de síntesis biotecnológica hayan sufrido modificaciones genéticas.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25.2.2 El uso de clarificantes no autorizados o en dosis no permitidas en el licor de tiraje.</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25.3 </w:t>
      </w:r>
      <w:r w:rsidRPr="00993936">
        <w:rPr>
          <w:rFonts w:ascii="Arial" w:hAnsi="Arial" w:cs="Arial"/>
          <w:i/>
          <w:spacing w:val="-2"/>
          <w:lang w:val="es-ES"/>
        </w:rPr>
        <w:t>Recomendaciones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25.3.1 Utilizar botellas ligeras con el objetivo de reducir la huella</w:t>
      </w:r>
      <w:r w:rsidRPr="00993936">
        <w:rPr>
          <w:rFonts w:ascii="Arial" w:hAnsi="Arial" w:cs="Arial"/>
          <w:vanish/>
          <w:spacing w:val="-2"/>
          <w:lang w:val="es-ES"/>
        </w:rPr>
        <w:t>&lt;A[huella|pisada]&gt;</w:t>
      </w:r>
      <w:r w:rsidRPr="00993936">
        <w:rPr>
          <w:rFonts w:ascii="Arial" w:hAnsi="Arial" w:cs="Arial"/>
          <w:spacing w:val="-2"/>
          <w:lang w:val="es-ES"/>
        </w:rPr>
        <w:t xml:space="preserve"> ecológica.</w:t>
      </w: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III.2 Segunda fermentación / Crianza</w:t>
      </w: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Artículo 26 </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Segunda fermentación / Crianza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26.1 </w:t>
      </w:r>
      <w:r w:rsidRPr="00993936">
        <w:rPr>
          <w:rFonts w:ascii="Arial" w:hAnsi="Arial" w:cs="Arial"/>
          <w:i/>
          <w:snapToGrid w:val="0"/>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26.1.1 Colocar las botellas en los locales de crianza, en posición horizontal, denominada “en rima”, efectuándose en esta fase la fermentación y toma</w:t>
      </w:r>
      <w:r w:rsidRPr="00993936">
        <w:rPr>
          <w:rFonts w:ascii="Arial" w:hAnsi="Arial" w:cs="Arial"/>
          <w:snapToGrid w:val="0"/>
          <w:vanish/>
          <w:lang w:val="es-ES"/>
        </w:rPr>
        <w:t>&lt;A[toma|presa]&gt;</w:t>
      </w:r>
      <w:r w:rsidRPr="00993936">
        <w:rPr>
          <w:rFonts w:ascii="Arial" w:hAnsi="Arial" w:cs="Arial"/>
          <w:snapToGrid w:val="0"/>
          <w:lang w:val="es-ES"/>
        </w:rPr>
        <w:t xml:space="preserve"> de espuma y posterior crianza.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26.1.2  Todo el proceso de elaboración, desde la tirada hasta el degüelle, los dos inclusive, tendrá que transcurrir en la misma botella.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26.1.3 Utilizar dispositivos que permitan conocer la presión interna dentro de la botella con el objetivo de determinar la finalización de la segunda fermentación.</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26.1.4 Mantener la temperatura durante la segunda fermentación por debajo de </w:t>
      </w:r>
      <w:smartTag w:uri="urn:schemas-microsoft-com:office:smarttags" w:element="metricconverter">
        <w:smartTagPr>
          <w:attr w:name="ProductID" w:val="20ﾺC"/>
        </w:smartTagPr>
        <w:r w:rsidRPr="00993936">
          <w:rPr>
            <w:rFonts w:ascii="Arial" w:hAnsi="Arial" w:cs="Arial"/>
            <w:snapToGrid w:val="0"/>
            <w:lang w:val="es-ES"/>
          </w:rPr>
          <w:t>20ºC</w:t>
        </w:r>
      </w:smartTag>
      <w:r w:rsidRPr="00993936">
        <w:rPr>
          <w:rFonts w:ascii="Arial" w:hAnsi="Arial" w:cs="Arial"/>
          <w:snapToGrid w:val="0"/>
          <w:lang w:val="es-ES"/>
        </w:rPr>
        <w:t>.</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26.1.5 La duración del proceso de elaboración del espumoso desde el momento de la tirada hasta el degüelle no será inferior a los 15 meses.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III.3 Clarificación</w:t>
      </w: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27</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Clarificación de las botellas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27/01 </w:t>
      </w:r>
      <w:r w:rsidRPr="00993936">
        <w:rPr>
          <w:rFonts w:ascii="Arial" w:hAnsi="Arial" w:cs="Arial"/>
          <w:i/>
          <w:snapToGrid w:val="0"/>
          <w:lang w:val="es-ES"/>
        </w:rPr>
        <w:t>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27.1.1 - Disponer de un sistema de registro de clarificantes o productos enológicos añadidos para este propósito.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27.1.2 - Disponer de un sistema de registro de las técnicas de clarificación utilizadas y de los diferentes productos sometidos a este proceso.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27.1.3 - Una vez tengamos las botellas clarificadas y en punta conservarlas en esta posición hasta el momento de su degüelle.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27.1.4 - El aspecto final del vino espumoso tiene que presentar una apariencia limpia</w:t>
      </w:r>
      <w:r w:rsidRPr="00993936">
        <w:rPr>
          <w:rFonts w:ascii="Arial" w:hAnsi="Arial" w:cs="Arial"/>
          <w:snapToGrid w:val="0"/>
          <w:vanish/>
          <w:lang w:val="es-ES"/>
        </w:rPr>
        <w:t>&lt;A[limpio|neto]&gt;</w:t>
      </w:r>
      <w:r w:rsidRPr="00993936">
        <w:rPr>
          <w:rFonts w:ascii="Arial" w:hAnsi="Arial" w:cs="Arial"/>
          <w:snapToGrid w:val="0"/>
          <w:lang w:val="es-ES"/>
        </w:rPr>
        <w:t xml:space="preserve"> y brillante.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27.2 </w:t>
      </w:r>
      <w:r w:rsidRPr="00993936">
        <w:rPr>
          <w:rFonts w:ascii="Arial" w:hAnsi="Arial" w:cs="Arial"/>
          <w:i/>
          <w:snapToGrid w:val="0"/>
          <w:lang w:val="es-ES"/>
        </w:rPr>
        <w:t>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27.2.1 - El uso de clarificantes, coadyuvantes u otros productos no autorizados por la normativa vigente o en dosis no permitidas.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27.3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27.3.1 - Manipular las botellas que tengan que ser clarificadas con el máximo cuidado</w:t>
      </w:r>
      <w:r w:rsidRPr="00993936">
        <w:rPr>
          <w:rFonts w:ascii="Arial" w:hAnsi="Arial" w:cs="Arial"/>
          <w:snapToGrid w:val="0"/>
          <w:vanish/>
          <w:lang w:val="es-ES"/>
        </w:rPr>
        <w:t>&lt;A[cuidado|cura]&gt;</w:t>
      </w:r>
      <w:r w:rsidRPr="00993936">
        <w:rPr>
          <w:rFonts w:ascii="Arial" w:hAnsi="Arial" w:cs="Arial"/>
          <w:snapToGrid w:val="0"/>
          <w:lang w:val="es-ES"/>
        </w:rPr>
        <w:t xml:space="preserve"> posible con el fin de evitar la resuspensión del depósito de levaduras. Si se deben mover botellas (de una rima en una jaula o pupitre) de forma manual o automática mantenerlas en posición horizontal durante el traslado.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27.3.2 - Dejar reponer las botellas al menos durante tres o cuatro días en posición horizontal antes de empezar el proceso de removido (automático o manual).</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27.3.3 - Hacer pruebas con los diferentes lotes de vino espumoso antes del removido definitivo con el fin de detectar y evitar posibles problemas en el proceso.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27.3.4 - Si se efectúa el proceso de removido de forma manual en pupitres tradicionales seguir un protocolo estilo: hacer girar las botellas sobre su propio eje a un 1/8 de vuelta</w:t>
      </w:r>
      <w:r w:rsidRPr="00993936">
        <w:rPr>
          <w:rFonts w:ascii="Arial" w:hAnsi="Arial" w:cs="Arial"/>
          <w:snapToGrid w:val="0"/>
          <w:vanish/>
          <w:lang w:val="es-ES"/>
        </w:rPr>
        <w:t>&lt;A[vuelta|bóveda]&gt;</w:t>
      </w:r>
      <w:r w:rsidRPr="00993936">
        <w:rPr>
          <w:rFonts w:ascii="Arial" w:hAnsi="Arial" w:cs="Arial"/>
          <w:snapToGrid w:val="0"/>
          <w:lang w:val="es-ES"/>
        </w:rPr>
        <w:t xml:space="preserve"> diariamente, a la vez colocar poco a poco en posición vertical e invertida. Cuando las botellas completan unos tres giros en 24 días, la totalidad de las madres se encuentran acumuladas en el cuello</w:t>
      </w:r>
      <w:r w:rsidRPr="00993936">
        <w:rPr>
          <w:rFonts w:ascii="Arial" w:hAnsi="Arial" w:cs="Arial"/>
          <w:snapToGrid w:val="0"/>
          <w:vanish/>
          <w:lang w:val="es-ES"/>
        </w:rPr>
        <w:t>&lt;A[cuello|garganta]&gt;</w:t>
      </w:r>
      <w:r w:rsidRPr="00993936">
        <w:rPr>
          <w:rFonts w:ascii="Arial" w:hAnsi="Arial" w:cs="Arial"/>
          <w:snapToGrid w:val="0"/>
          <w:lang w:val="es-ES"/>
        </w:rPr>
        <w:t>.</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Artículo 28 </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Instalaciones de Removida</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28.1 </w:t>
      </w:r>
      <w:r w:rsidRPr="00993936">
        <w:rPr>
          <w:rFonts w:ascii="Arial" w:hAnsi="Arial" w:cs="Arial"/>
          <w:i/>
          <w:snapToGrid w:val="0"/>
          <w:lang w:val="es-ES"/>
        </w:rPr>
        <w:t>Recomendaciones</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snapToGrid w:val="0"/>
          <w:lang w:val="es-ES"/>
        </w:rPr>
        <w:t>28.1.1 - Utilizar pupitres para el proceso de removido, ya sean de tipo tradicional, semiautomáticos (pupitres de patío, de peonza, de pirámide octogonal...) o totalmente automatizados.</w:t>
      </w: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III.4 Rellenado y Tapada</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29</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Rellenado y Tapada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29.1 </w:t>
      </w:r>
      <w:r w:rsidRPr="00993936">
        <w:rPr>
          <w:rFonts w:ascii="Arial" w:hAnsi="Arial" w:cs="Arial"/>
          <w:i/>
          <w:spacing w:val="-2"/>
          <w:lang w:val="es-ES"/>
        </w:rPr>
        <w:t>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29.1.1 Efectuado el degüelle, inmediatamente se realizará la operación de rellenar cada botella para restablecer el volumen inicial. Se hace mediante la adición del mismo vino espumoso y, si procede, de licor de expedición.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29.1.3 Cerrar la botella con el tapón de corcho definitivo o también denominado “tapón de expedición” y colocar el casquete o la grapa</w:t>
      </w:r>
      <w:r w:rsidRPr="00993936">
        <w:rPr>
          <w:rFonts w:ascii="Arial" w:hAnsi="Arial" w:cs="Arial"/>
          <w:vanish/>
          <w:spacing w:val="-2"/>
          <w:lang w:val="es-ES"/>
        </w:rPr>
        <w:t>&lt;A[garra|grapa]&gt;</w:t>
      </w:r>
      <w:r w:rsidRPr="00993936">
        <w:rPr>
          <w:rFonts w:ascii="Arial" w:hAnsi="Arial" w:cs="Arial"/>
          <w:spacing w:val="-2"/>
          <w:lang w:val="es-ES"/>
        </w:rPr>
        <w:t>.</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29.1.4 Efectuar un control de anhídrido sulfuroso total en el vino espumoso y registrar el resultado.</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29.2 </w:t>
      </w:r>
      <w:r w:rsidRPr="00993936">
        <w:rPr>
          <w:rFonts w:ascii="Arial" w:hAnsi="Arial" w:cs="Arial"/>
          <w:i/>
          <w:spacing w:val="-2"/>
          <w:lang w:val="es-ES"/>
        </w:rPr>
        <w:t>Prohibiciones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Se prohíbe la filtración en la operación de trasvase.</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29.3 Recomendaciones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29.3.1 En el “licor de expedición” puede haber: vino base, mosto de uva, mosto de uva parcialmente fermentado, mosto de uva concentrada, mosto de uva concentrada </w:t>
      </w:r>
      <w:r w:rsidRPr="00993936">
        <w:rPr>
          <w:rFonts w:ascii="Arial" w:hAnsi="Arial" w:cs="Arial"/>
          <w:spacing w:val="-2"/>
          <w:lang w:val="es-ES"/>
        </w:rPr>
        <w:lastRenderedPageBreak/>
        <w:t>rectificada o una mezcla de estos productos, con sacarosa y, eventualmente, algún destilado de vino o adyuvantes.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29.3.2 Los adyuvantes pueden ser: dióxido de azufre, ácido ascórbico, ácido metatártrico y ácido cítrico.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29.3.4 El uso de anhídrido carbónico como gas de contrapresión en las instalaciones de trasvase, máquinas de llenar, niveladoras y dosificadores de licor de expedición, tendrá que ponerse en conocimiento de la autoridad competente, previamente a su utilización.</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 xml:space="preserve">IV. IDENTIFICACIÓN Y TRAZABILIDAD DEL ORIGEN DE LA UVA Y DE LOS VINOS </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30</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Condiciones generales</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30.1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30.1.1 En el momento de la recepción se tiene que disponer de un albarán de control de entrada, en el cual figure el producto, la cantidad, la parcela de origen, la identificación con el número de orden del Cuaderno de explotación y la fecha de entrada.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30.1.2 Los operadores que no tengan la totalidad de la producción de cultivo bajo normas de producción integrada, deberán cumplir los requisitos siguientes:</w:t>
      </w:r>
    </w:p>
    <w:p w:rsidR="00503A41" w:rsidRPr="00993936" w:rsidRDefault="00503A41" w:rsidP="009D1A2D">
      <w:pPr>
        <w:pStyle w:val="Sinespaciado"/>
        <w:numPr>
          <w:ilvl w:val="0"/>
          <w:numId w:val="184"/>
        </w:numPr>
        <w:jc w:val="both"/>
        <w:rPr>
          <w:rFonts w:ascii="Arial" w:hAnsi="Arial" w:cs="Arial"/>
          <w:lang w:val="es-ES"/>
        </w:rPr>
      </w:pPr>
      <w:r w:rsidRPr="00993936">
        <w:rPr>
          <w:rFonts w:ascii="Arial" w:hAnsi="Arial" w:cs="Arial"/>
          <w:lang w:val="es-ES"/>
        </w:rPr>
        <w:t xml:space="preserve">Debe haber un sistema documentado e implantado de identificación y trazabilidad de los productos de producción integrada para garantizar la separación desde la parcela o UHC hasta la entrega al cliente del producto elaborado del de otros orígenes. </w:t>
      </w:r>
    </w:p>
    <w:p w:rsidR="00503A41" w:rsidRPr="00993936" w:rsidRDefault="00503A41" w:rsidP="009D1A2D">
      <w:pPr>
        <w:pStyle w:val="Sinespaciado"/>
        <w:numPr>
          <w:ilvl w:val="0"/>
          <w:numId w:val="184"/>
        </w:numPr>
        <w:jc w:val="both"/>
        <w:rPr>
          <w:rFonts w:ascii="Arial" w:hAnsi="Arial" w:cs="Arial"/>
          <w:lang w:val="es-ES"/>
        </w:rPr>
      </w:pPr>
      <w:r w:rsidRPr="00993936">
        <w:rPr>
          <w:rFonts w:ascii="Arial" w:hAnsi="Arial" w:cs="Arial"/>
          <w:lang w:val="es-ES"/>
        </w:rPr>
        <w:t>En caso de utilizar las mismas instalaciones para los dos tipos de producto, tendrá que quedar claramente definido el intervalo de tiempo durante el cual se elabora cada tipo de producto, y tiene que ser conocido por todo el personal implicado en el proceso.</w:t>
      </w:r>
    </w:p>
    <w:p w:rsidR="00503A41" w:rsidRPr="00993936" w:rsidRDefault="00503A41" w:rsidP="009D1A2D">
      <w:pPr>
        <w:pStyle w:val="Sinespaciado"/>
        <w:numPr>
          <w:ilvl w:val="0"/>
          <w:numId w:val="184"/>
        </w:numPr>
        <w:jc w:val="both"/>
        <w:rPr>
          <w:rFonts w:ascii="Arial" w:hAnsi="Arial" w:cs="Arial"/>
          <w:lang w:val="es-ES"/>
        </w:rPr>
      </w:pPr>
      <w:r w:rsidRPr="00993936">
        <w:rPr>
          <w:rFonts w:ascii="Arial" w:hAnsi="Arial" w:cs="Arial"/>
          <w:lang w:val="es-ES"/>
        </w:rPr>
        <w:t>Las instalaciones deben estar completamente limpias</w:t>
      </w:r>
      <w:r w:rsidRPr="00993936">
        <w:rPr>
          <w:rFonts w:ascii="Arial" w:hAnsi="Arial" w:cs="Arial"/>
          <w:vanish/>
          <w:lang w:val="es-ES"/>
        </w:rPr>
        <w:t>&lt;A[limpias|netas]&gt;</w:t>
      </w:r>
      <w:r w:rsidRPr="00993936">
        <w:rPr>
          <w:rFonts w:ascii="Arial" w:hAnsi="Arial" w:cs="Arial"/>
          <w:lang w:val="es-ES"/>
        </w:rPr>
        <w:t xml:space="preserve"> de producto no amparado por esta norma antes de proceder a su manipulación. Los diferentes elementos y equipos utilizados en las fases de vinificación -incluida la fermentación, el envejecimiento, la conservación y el envasado- deberán ser limpiados completamente de producto de origen no controlado antes de proceder a la manipulación de producto amparado por esta norma.</w:t>
      </w:r>
    </w:p>
    <w:p w:rsidR="00503A41" w:rsidRPr="00993936" w:rsidRDefault="00503A41" w:rsidP="009D1A2D">
      <w:pPr>
        <w:pStyle w:val="Sinespaciado"/>
        <w:numPr>
          <w:ilvl w:val="0"/>
          <w:numId w:val="184"/>
        </w:numPr>
        <w:jc w:val="both"/>
        <w:rPr>
          <w:rFonts w:ascii="Arial" w:hAnsi="Arial" w:cs="Arial"/>
          <w:lang w:val="es-ES"/>
        </w:rPr>
      </w:pPr>
      <w:r w:rsidRPr="00993936">
        <w:rPr>
          <w:rFonts w:ascii="Arial" w:hAnsi="Arial" w:cs="Arial"/>
          <w:lang w:val="es-ES"/>
        </w:rPr>
        <w:t>Antes de proceder a la elaboración de producto de producción integrada, las instalaciones deben estar completamente limpias</w:t>
      </w:r>
      <w:r w:rsidRPr="00993936">
        <w:rPr>
          <w:rFonts w:ascii="Arial" w:hAnsi="Arial" w:cs="Arial"/>
          <w:vanish/>
          <w:lang w:val="es-ES"/>
        </w:rPr>
        <w:t>&lt;A[limpias|netas]&gt;</w:t>
      </w:r>
      <w:r w:rsidRPr="00993936">
        <w:rPr>
          <w:rFonts w:ascii="Arial" w:hAnsi="Arial" w:cs="Arial"/>
          <w:lang w:val="es-ES"/>
        </w:rPr>
        <w:t xml:space="preserve"> de productos de otros orígenes.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30.1.3 Los productos de producción integrada serán identificados y considerados, en todo momento del proceso técnico, administrativo y de comercialización como un producto diferente del resto de productos elaborados.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30.1.4 Las cajas y otros envases utilizados para la recolección o el transporte de productos de producción integrada deben estar claramente diferenciados de los utilizados para otros productos.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30.2.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30.2.1</w:t>
      </w:r>
      <w:r w:rsidRPr="00993936">
        <w:rPr>
          <w:rFonts w:ascii="Arial" w:hAnsi="Arial" w:cs="Arial"/>
          <w:b/>
          <w:lang w:val="es-ES"/>
        </w:rPr>
        <w:t xml:space="preserve"> </w:t>
      </w:r>
      <w:r w:rsidRPr="00993936">
        <w:rPr>
          <w:rFonts w:ascii="Arial" w:hAnsi="Arial" w:cs="Arial"/>
          <w:lang w:val="es-ES"/>
        </w:rPr>
        <w:t>Comercializar, como productos amparados por esta norma, los procedentes de unidades de cultivo que no cumplan las indicaciones que establece la normativa de producción integrada en toda su producción.</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V. INSTALACIONES GENERALES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31</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Materiales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31.1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31.1.1 Todos los materiales que se usen en las instalaciones que mantengan contacto con el producto alimentario deben ser aptos para uso alimentario, adaptándose a las </w:t>
      </w:r>
      <w:r w:rsidRPr="00993936">
        <w:rPr>
          <w:rFonts w:ascii="Arial" w:hAnsi="Arial" w:cs="Arial"/>
          <w:snapToGrid w:val="0"/>
          <w:lang w:val="es-ES"/>
        </w:rPr>
        <w:lastRenderedPageBreak/>
        <w:t>diferentes especificaciones y necesidades según el Código Alimenticio español y la normativa vigente.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31.1.2 Los materiales autorizados serán inocuos</w:t>
      </w:r>
      <w:r w:rsidRPr="00993936">
        <w:rPr>
          <w:rFonts w:ascii="Arial" w:hAnsi="Arial" w:cs="Arial"/>
          <w:snapToGrid w:val="0"/>
          <w:vanish/>
          <w:lang w:val="es-ES"/>
        </w:rPr>
        <w:t>&lt;A[inocuos|inofensivos]&gt;</w:t>
      </w:r>
      <w:r w:rsidRPr="00993936">
        <w:rPr>
          <w:rFonts w:ascii="Arial" w:hAnsi="Arial" w:cs="Arial"/>
          <w:snapToGrid w:val="0"/>
          <w:lang w:val="es-ES"/>
        </w:rPr>
        <w:t xml:space="preserve"> y no deberán transmitir en los mostos o vinos propiedades nocivas ni cambiar sus características organolépticas.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31.2 Recomendaciones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31.2.1 Se utilizarán de forma general aceros inoxidables que resistan el ataque de detergentes y soluciones esterilizadoras.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V.1 Características constructivas, de diseño y mantenimiento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Artículo 32</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Condiciones generales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32.1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32.1.1 Todas las superficies en contacto directo con el producto deben ser fácilmente accesible o desmontables para la comprobación del estado de limpieza.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32.1.2 Mantener las instalaciones en un buen estado de conservación mediante un mantenimiento adecuado.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32.1.3 Los pasillos</w:t>
      </w:r>
      <w:r w:rsidRPr="00993936">
        <w:rPr>
          <w:rFonts w:ascii="Arial" w:hAnsi="Arial" w:cs="Arial"/>
          <w:vanish/>
          <w:lang w:val="es-ES"/>
        </w:rPr>
        <w:t>&lt;A[pasillos|pasadizos]&gt;</w:t>
      </w:r>
      <w:r w:rsidRPr="00993936">
        <w:rPr>
          <w:rFonts w:ascii="Arial" w:hAnsi="Arial" w:cs="Arial"/>
          <w:lang w:val="es-ES"/>
        </w:rPr>
        <w:t xml:space="preserve"> se encontrarán libres de obstáculos permanentes.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32.1.4 Las cantoneras y los obstáculos fijos deberán estar señalizados adecuadamente.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32.1.5 La zona de elaboración, envasado y manipulación del producto tiene que estar perfectamente limpia</w:t>
      </w:r>
      <w:r w:rsidRPr="00993936">
        <w:rPr>
          <w:rFonts w:ascii="Arial" w:hAnsi="Arial" w:cs="Arial"/>
          <w:vanish/>
          <w:lang w:val="es-ES"/>
        </w:rPr>
        <w:t>&lt;A[limpia|neta]&gt;</w:t>
      </w:r>
      <w:r w:rsidRPr="00993936">
        <w:rPr>
          <w:rFonts w:ascii="Arial" w:hAnsi="Arial" w:cs="Arial"/>
          <w:lang w:val="es-ES"/>
        </w:rPr>
        <w:t xml:space="preserve"> y construida de manera que permita una adecuada higiene.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32.1.6 En la zona de embotellado, se instalarán elementos que impidan la entrada de insectos.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32.1.7 Las instalaciones, los equipos y el entorno productivo deben estar en un estado de orden y de limpieza adecuado.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32.1.8 Todas las instalaciones deben estar ventiladas, iluminadas y con sistemas de desagües adecuados para las actividades que desarrollen.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32.2  Prohibiciones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32.2.1 Utilizar equipamientos con grietas, óxidos</w:t>
      </w:r>
      <w:r w:rsidRPr="00993936">
        <w:rPr>
          <w:rFonts w:ascii="Arial" w:hAnsi="Arial" w:cs="Arial"/>
          <w:vanish/>
          <w:lang w:val="es-ES"/>
        </w:rPr>
        <w:t>&lt;A[óxidos|yemas]&gt;</w:t>
      </w:r>
      <w:r w:rsidRPr="00993936">
        <w:rPr>
          <w:rFonts w:ascii="Arial" w:hAnsi="Arial" w:cs="Arial"/>
          <w:lang w:val="es-ES"/>
        </w:rPr>
        <w:t xml:space="preserve"> o zonas muertas en las cuales se acumulen sustancias o productos elaborados a que no lleguen las soluciones de limpieza. </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32.3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32.3.1 Las separaciones entre máquinas o de estas con las paredes serán como mínimo de </w:t>
      </w:r>
      <w:smartTag w:uri="urn:schemas-microsoft-com:office:smarttags" w:element="metricconverter">
        <w:smartTagPr>
          <w:attr w:name="ProductID" w:val="45 cm"/>
        </w:smartTagPr>
        <w:r w:rsidRPr="00993936">
          <w:rPr>
            <w:rFonts w:ascii="Arial" w:hAnsi="Arial" w:cs="Arial"/>
            <w:lang w:val="es-ES"/>
          </w:rPr>
          <w:t>45 cm</w:t>
        </w:r>
      </w:smartTag>
      <w:r w:rsidRPr="00993936">
        <w:rPr>
          <w:rFonts w:ascii="Arial" w:hAnsi="Arial" w:cs="Arial"/>
          <w:lang w:val="es-ES"/>
        </w:rPr>
        <w:t>.</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32.3.2 En toda instalación, tubos, válvulas, depósitos, etc. se tendrá que asegurar que el escurrido por gravedad sea total.</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33</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Lavabos y vestuarios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33.1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33.1.1 Tendrá que haber </w:t>
      </w:r>
      <w:r w:rsidRPr="00993936">
        <w:rPr>
          <w:rFonts w:ascii="Arial" w:hAnsi="Arial" w:cs="Arial"/>
          <w:spacing w:val="-2"/>
          <w:lang w:val="es-ES"/>
        </w:rPr>
        <w:t>un número suficiente de lavabos, debidamente localizables y señalizados, que dispongan de un cartel recordatorio de la obligatoriedad del lavado de manos después de su utilización.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33.1.2  </w:t>
      </w:r>
      <w:r w:rsidRPr="00993936">
        <w:rPr>
          <w:rFonts w:ascii="Arial" w:hAnsi="Arial" w:cs="Arial"/>
          <w:spacing w:val="-2"/>
          <w:lang w:val="es-ES"/>
        </w:rPr>
        <w:t>Los lavabos para limpiar las manos estarán provistos de agua corriente, así como de material de limpieza y secado higiénico de las manos (distribuidoras de jabón y dispositivos de secada de manos por aire o toallas de un solo uso).</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33.1.3  </w:t>
      </w:r>
      <w:r w:rsidRPr="00993936">
        <w:rPr>
          <w:rFonts w:ascii="Arial" w:hAnsi="Arial" w:cs="Arial"/>
          <w:spacing w:val="-2"/>
          <w:lang w:val="es-ES"/>
        </w:rPr>
        <w:t>No comunicar los lavabos directamente con los locales donde se manipulen productos.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 xml:space="preserve">33.1.4  Ajustar </w:t>
      </w:r>
      <w:r w:rsidRPr="00993936">
        <w:rPr>
          <w:rFonts w:ascii="Arial" w:hAnsi="Arial" w:cs="Arial"/>
          <w:spacing w:val="-2"/>
          <w:lang w:val="es-ES"/>
        </w:rPr>
        <w:t>el número de vestuarios a las necesidades del personal de la empresa, y disponer de armarios para la ropa y calzado, de fácil limpieza y desinfección.</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lastRenderedPageBreak/>
        <w:t>33.1.5  Evitar</w:t>
      </w:r>
      <w:r w:rsidRPr="00993936">
        <w:rPr>
          <w:rFonts w:ascii="Arial" w:hAnsi="Arial" w:cs="Arial"/>
          <w:spacing w:val="-2"/>
          <w:lang w:val="es-ES"/>
        </w:rPr>
        <w:t xml:space="preserve"> agujeros en las ventanas o poner elementos que impidan la entrada de insectos.</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34</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Ventilación</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34.1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34.1.1 Todas las instalaciones deberán tener una ventilación adecuada, natural o mecánica y especialmente los servicios sanitarios.</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34.2 Recomendaciones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34.2.1 En caso de sistemas de ventilación mecánica, se recomienda poder acceder fácilmente a los filtros y a otras partes que tengan que limpiarse o sustituirse.</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35</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Iluminación</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35.1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35.1.1 Los locales por donde circulen los productos deberán estar suficientemente iluminados por medios naturales o artificiales.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35.1.2 Los tubos fluorescentes o bombillas se protegerán con medios adecuados para evitar la posible caída de cristales en caso de rotura</w:t>
      </w:r>
      <w:r w:rsidRPr="00993936">
        <w:rPr>
          <w:rFonts w:ascii="Arial" w:hAnsi="Arial" w:cs="Arial"/>
          <w:vanish/>
          <w:spacing w:val="-2"/>
          <w:lang w:val="es-ES"/>
        </w:rPr>
        <w:t>&lt;A[rotura|ruptura]&gt;</w:t>
      </w:r>
      <w:r w:rsidRPr="00993936">
        <w:rPr>
          <w:rFonts w:ascii="Arial" w:hAnsi="Arial" w:cs="Arial"/>
          <w:spacing w:val="-2"/>
          <w:lang w:val="es-ES"/>
        </w:rPr>
        <w:t xml:space="preserve"> y su fijación al techo o a las paredes tendrá que ser de forma que facilite la limpieza y se evite la acumulación de polvo. </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36</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Desagües</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36.1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36.1.1 Los sistemas de desagüe deberán ser los adecuados.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36.1.2 En caso de haber desagües, se dispondrá de los medios que permitan la evacuación de las aguas de limpieza. Estos desagües estarán equipados con los dispositivos adecuados que eviten el retroceso.</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37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Superficies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37.1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37.1.1  Las superficies de suelos, paredes y techos deberán ser sólidas, de durabilidad comprobada y fáciles de limpiar. Todas las superficies del suelo de la sala de elaboración y bodega deberán tener un tratamiento antideslizante.</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38</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lang w:val="es-ES"/>
        </w:rPr>
        <w:t>Zonas de almacenamiento</w:t>
      </w:r>
      <w:r w:rsidRPr="00993936">
        <w:rPr>
          <w:rFonts w:ascii="Arial" w:hAnsi="Arial" w:cs="Arial"/>
          <w:b/>
          <w:spacing w:val="-2"/>
          <w:lang w:val="es-ES"/>
        </w:rPr>
        <w:t xml:space="preserve"> </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38.1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38.1.1 Tendrá que haber zonas diferentes para el almacenamiento de productos y de envases vacíos.</w:t>
      </w:r>
    </w:p>
    <w:p w:rsidR="00503A41" w:rsidRPr="00993936" w:rsidRDefault="00503A41" w:rsidP="001D205D">
      <w:pPr>
        <w:pStyle w:val="Sinespaciado"/>
        <w:jc w:val="both"/>
        <w:rPr>
          <w:rFonts w:ascii="Arial" w:hAnsi="Arial" w:cs="Arial"/>
          <w:spacing w:val="-2"/>
          <w:u w:val="single"/>
          <w:lang w:val="es-ES"/>
        </w:rPr>
      </w:pPr>
      <w:r w:rsidRPr="00993936">
        <w:rPr>
          <w:rFonts w:ascii="Arial" w:hAnsi="Arial" w:cs="Arial"/>
          <w:spacing w:val="-2"/>
          <w:lang w:val="es-ES"/>
        </w:rPr>
        <w:t>38.1.2 Las zonas de almacenamiento se mantendrán ordenadas y limpias</w:t>
      </w:r>
      <w:r w:rsidRPr="00993936">
        <w:rPr>
          <w:rFonts w:ascii="Arial" w:hAnsi="Arial" w:cs="Arial"/>
          <w:vanish/>
          <w:spacing w:val="-2"/>
          <w:lang w:val="es-ES"/>
        </w:rPr>
        <w:t>&lt;A[limpias|netas]&gt;</w:t>
      </w:r>
      <w:r w:rsidRPr="00993936">
        <w:rPr>
          <w:rFonts w:ascii="Arial" w:hAnsi="Arial" w:cs="Arial"/>
          <w:spacing w:val="-2"/>
          <w:lang w:val="es-ES"/>
        </w:rPr>
        <w:t>.</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38.1.3 Los productos químicos deberán estar almacenados en un lugar</w:t>
      </w:r>
      <w:r w:rsidRPr="00993936">
        <w:rPr>
          <w:rFonts w:ascii="Arial" w:hAnsi="Arial" w:cs="Arial"/>
          <w:vanish/>
          <w:spacing w:val="-2"/>
          <w:lang w:val="es-ES"/>
        </w:rPr>
        <w:t>&lt;A[lugar|sitio]&gt;</w:t>
      </w:r>
      <w:r w:rsidRPr="00993936">
        <w:rPr>
          <w:rFonts w:ascii="Arial" w:hAnsi="Arial" w:cs="Arial"/>
          <w:spacing w:val="-2"/>
          <w:lang w:val="es-ES"/>
        </w:rPr>
        <w:t xml:space="preserve"> que se pueda cerrar y esté debidamente señalizado. El acceso al lugar</w:t>
      </w:r>
      <w:r w:rsidRPr="00993936">
        <w:rPr>
          <w:rFonts w:ascii="Arial" w:hAnsi="Arial" w:cs="Arial"/>
          <w:vanish/>
          <w:spacing w:val="-2"/>
          <w:lang w:val="es-ES"/>
        </w:rPr>
        <w:t>&lt;A[lugar|sitio]&gt;</w:t>
      </w:r>
      <w:r w:rsidRPr="00993936">
        <w:rPr>
          <w:rFonts w:ascii="Arial" w:hAnsi="Arial" w:cs="Arial"/>
          <w:spacing w:val="-2"/>
          <w:lang w:val="es-ES"/>
        </w:rPr>
        <w:t xml:space="preserve"> de almacenamiento de los productos químicos así como su manipulación estará restringido al personal designado por la empresa.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38.1.4 Los productos químicos almacenados irán debidamente etiquetados y deberán tener autorización para su uso en industria alimentaria.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38.1.5. Se evitará el almacenamiento de materiales de desecho en la zona de manipulación</w:t>
      </w:r>
      <w:r w:rsidRPr="00993936">
        <w:rPr>
          <w:rStyle w:val="Refdecomentario"/>
          <w:rFonts w:ascii="Arial" w:hAnsi="Arial" w:cs="Arial"/>
          <w:lang w:val="es-ES"/>
        </w:rPr>
        <w:t>.</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38.2 Prohibiciones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lang w:val="es-ES"/>
        </w:rPr>
        <w:t>38.2.1 A</w:t>
      </w:r>
      <w:r w:rsidRPr="00993936">
        <w:rPr>
          <w:rFonts w:ascii="Arial" w:hAnsi="Arial" w:cs="Arial"/>
          <w:spacing w:val="-2"/>
          <w:lang w:val="es-ES"/>
        </w:rPr>
        <w:t>lmacenar materiales de desecho en la zona de manipulado.</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lastRenderedPageBreak/>
        <w:t>Artículo 39</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Suministro de agua</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39.1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39.1.1 La empresa dispondrá de un suministro de agua potable clorada (o cualquier otro sistema de potabilización y desinfección autorizado por la administración sanitaria competente) utilizada para el contacto directo con cualquier superficie en contacto con estos.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39.1.2 Los depósitos intermedios de agua deben limpiarse y desinfectarse periódicamente.</w:t>
      </w:r>
    </w:p>
    <w:p w:rsidR="00503A41" w:rsidRPr="00993936" w:rsidRDefault="00503A41" w:rsidP="001D205D">
      <w:pPr>
        <w:pStyle w:val="Sinespaciado"/>
        <w:jc w:val="both"/>
        <w:rPr>
          <w:rFonts w:ascii="Arial" w:hAnsi="Arial" w:cs="Arial"/>
          <w:lang w:val="es-ES" w:eastAsia="es-ES"/>
        </w:rPr>
      </w:pPr>
      <w:r w:rsidRPr="00993936">
        <w:rPr>
          <w:rFonts w:ascii="Arial" w:hAnsi="Arial" w:cs="Arial"/>
          <w:spacing w:val="-2"/>
          <w:lang w:val="es-ES"/>
        </w:rPr>
        <w:t xml:space="preserve">39.1.3 Efectuar análisis de calidad del agua potable suministrada por la red pública que marca el </w:t>
      </w:r>
      <w:r w:rsidRPr="00993936">
        <w:rPr>
          <w:rFonts w:ascii="Arial" w:hAnsi="Arial" w:cs="Arial"/>
          <w:lang w:val="es-ES" w:eastAsia="es-ES"/>
        </w:rPr>
        <w:t>plan</w:t>
      </w:r>
      <w:r w:rsidRPr="00993936">
        <w:rPr>
          <w:rFonts w:ascii="Arial" w:hAnsi="Arial" w:cs="Arial"/>
          <w:vanish/>
          <w:lang w:val="es-ES" w:eastAsia="es-ES"/>
        </w:rPr>
        <w:t>&lt;A[Plan|Plano]&gt;</w:t>
      </w:r>
      <w:r w:rsidRPr="00993936">
        <w:rPr>
          <w:rFonts w:ascii="Arial" w:hAnsi="Arial" w:cs="Arial"/>
          <w:lang w:val="es-ES" w:eastAsia="es-ES"/>
        </w:rPr>
        <w:t xml:space="preserve"> de vigilancia y control sanitarios de las aguas de consumo humano de Cataluña. </w:t>
      </w:r>
    </w:p>
    <w:p w:rsidR="00503A41" w:rsidRPr="00993936" w:rsidRDefault="00503A41" w:rsidP="001D205D">
      <w:pPr>
        <w:pStyle w:val="Sinespaciado"/>
        <w:jc w:val="both"/>
        <w:rPr>
          <w:rFonts w:ascii="Arial" w:hAnsi="Arial" w:cs="Arial"/>
          <w:lang w:val="es-ES" w:eastAsia="es-ES"/>
        </w:rPr>
      </w:pPr>
      <w:r w:rsidRPr="00993936">
        <w:rPr>
          <w:rFonts w:ascii="Arial" w:hAnsi="Arial" w:cs="Arial"/>
          <w:lang w:val="es-ES" w:eastAsia="es-ES"/>
        </w:rPr>
        <w:t>39.1.4 Utilizar filtros de filtración microbiana para el agua del circuito de la máquina de embotellado.</w:t>
      </w:r>
    </w:p>
    <w:p w:rsidR="00503A41" w:rsidRPr="00993936" w:rsidRDefault="00503A41" w:rsidP="001D205D">
      <w:pPr>
        <w:pStyle w:val="Sinespaciado"/>
        <w:jc w:val="both"/>
        <w:rPr>
          <w:rFonts w:ascii="Arial" w:hAnsi="Arial" w:cs="Arial"/>
          <w:lang w:val="es-ES" w:eastAsia="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VI. HIGIENE</w:t>
      </w:r>
    </w:p>
    <w:p w:rsidR="00503A41" w:rsidRPr="00993936" w:rsidRDefault="00503A41" w:rsidP="001D205D">
      <w:pPr>
        <w:pStyle w:val="Sinespaciado"/>
        <w:jc w:val="both"/>
        <w:rPr>
          <w:rFonts w:ascii="Arial" w:hAnsi="Arial" w:cs="Arial"/>
          <w:lang w:val="es-ES" w:eastAsia="es-ES"/>
        </w:rPr>
      </w:pPr>
      <w:r w:rsidRPr="00993936">
        <w:rPr>
          <w:rFonts w:ascii="Arial" w:hAnsi="Arial" w:cs="Arial"/>
          <w:lang w:val="es-ES" w:eastAsia="es-ES"/>
        </w:rPr>
        <w:t xml:space="preserve">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VI.1 Higiene y mantenimiento sanitario de las instalaciones</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Artículo 40</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Condiciones generales</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spacing w:val="-2"/>
          <w:lang w:val="es-ES"/>
        </w:rPr>
        <w:t>40.1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40.1.1 Las bodegas deben comprobar que en todas las etapas de producción, transformación y distribución de la uva y el vino, que estén bajo su control, cumplen los requisitos de higiene que establece el Reglamento 852/2044 y modificaciones posteriores.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40.1.2 Las bodegas deben disponer, aplicar y mantener autocontroles basados en los principios del APPCC.</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40.1.3 Las bodegas deben estar inscritas en el Registro sanitario de industrias y productos alimentarios de Cataluña.</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Artículo 41</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Plan</w:t>
      </w:r>
      <w:r w:rsidRPr="00993936">
        <w:rPr>
          <w:rFonts w:ascii="Arial" w:hAnsi="Arial" w:cs="Arial"/>
          <w:b/>
          <w:vanish/>
          <w:spacing w:val="-2"/>
          <w:lang w:val="es-ES"/>
        </w:rPr>
        <w:t>&lt;A[Plan|Plano]&gt;</w:t>
      </w:r>
      <w:r w:rsidRPr="00993936">
        <w:rPr>
          <w:rFonts w:ascii="Arial" w:hAnsi="Arial" w:cs="Arial"/>
          <w:b/>
          <w:spacing w:val="-2"/>
          <w:lang w:val="es-ES"/>
        </w:rPr>
        <w:t xml:space="preserve"> de limpieza y desinfección</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41.1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41.1.1 Cada persona operadora tiene que disponer de un plan</w:t>
      </w:r>
      <w:r w:rsidRPr="00993936">
        <w:rPr>
          <w:rFonts w:ascii="Arial" w:hAnsi="Arial" w:cs="Arial"/>
          <w:vanish/>
          <w:lang w:val="es-ES"/>
        </w:rPr>
        <w:t>&lt;A[plan|plano]&gt;</w:t>
      </w:r>
      <w:r w:rsidRPr="00993936">
        <w:rPr>
          <w:rFonts w:ascii="Arial" w:hAnsi="Arial" w:cs="Arial"/>
          <w:lang w:val="es-ES"/>
        </w:rPr>
        <w:t xml:space="preserve"> general de limpieza y de desinfección detallado de las instalaciones, los equipos y las líneas de elaboración con la finalidad que en todo momento estén en buen estado de conservación. El plan</w:t>
      </w:r>
      <w:r w:rsidRPr="00993936">
        <w:rPr>
          <w:rFonts w:ascii="Arial" w:hAnsi="Arial" w:cs="Arial"/>
          <w:vanish/>
          <w:lang w:val="es-ES"/>
        </w:rPr>
        <w:t>&lt;A[plan|plano]&gt;</w:t>
      </w:r>
      <w:r w:rsidRPr="00993936">
        <w:rPr>
          <w:rFonts w:ascii="Arial" w:hAnsi="Arial" w:cs="Arial"/>
          <w:lang w:val="es-ES"/>
        </w:rPr>
        <w:t xml:space="preserve"> tiene que prever que las instalaciones y las bombas de trasiego de vino y depósitos que correspondan a sus necesidades se limpien y se desinfecten de acuerdo con el plan</w:t>
      </w:r>
      <w:r w:rsidRPr="00993936">
        <w:rPr>
          <w:rFonts w:ascii="Arial" w:hAnsi="Arial" w:cs="Arial"/>
          <w:vanish/>
          <w:lang w:val="es-ES"/>
        </w:rPr>
        <w:t>&lt;A[Plan|Plano]&gt;</w:t>
      </w:r>
      <w:r w:rsidRPr="00993936">
        <w:rPr>
          <w:rFonts w:ascii="Arial" w:hAnsi="Arial" w:cs="Arial"/>
          <w:lang w:val="es-ES"/>
        </w:rPr>
        <w:t xml:space="preserve"> de limpieza.</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41.1.2 El plan</w:t>
      </w:r>
      <w:r w:rsidRPr="00993936">
        <w:rPr>
          <w:rFonts w:ascii="Arial" w:hAnsi="Arial" w:cs="Arial"/>
          <w:vanish/>
          <w:spacing w:val="-2"/>
          <w:lang w:val="es-ES"/>
        </w:rPr>
        <w:t>&lt;A[plan|plano]&gt;</w:t>
      </w:r>
      <w:r w:rsidRPr="00993936">
        <w:rPr>
          <w:rFonts w:ascii="Arial" w:hAnsi="Arial" w:cs="Arial"/>
          <w:spacing w:val="-2"/>
          <w:lang w:val="es-ES"/>
        </w:rPr>
        <w:t>, desglosado por zonas, líneas de trabajo o secciones, con instrucciones claras, concretas y sencillas, tendrá que estar por escrito y accesible para todos los que lo llevarán a cabo.</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41.1.3 El plan</w:t>
      </w:r>
      <w:r w:rsidRPr="00993936">
        <w:rPr>
          <w:rFonts w:ascii="Arial" w:hAnsi="Arial" w:cs="Arial"/>
          <w:vanish/>
          <w:spacing w:val="-2"/>
          <w:lang w:val="es-ES"/>
        </w:rPr>
        <w:t>&lt;A[plan|plano]&gt;</w:t>
      </w:r>
      <w:r w:rsidRPr="00993936">
        <w:rPr>
          <w:rFonts w:ascii="Arial" w:hAnsi="Arial" w:cs="Arial"/>
          <w:spacing w:val="-2"/>
          <w:lang w:val="es-ES"/>
        </w:rPr>
        <w:t xml:space="preserve"> tiene que especificar los tipos de productos utilizados, la frecuencia con la cual se realizarán estas operaciones y el personal designado para estos trabajos.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41.1.4 El personal que tiene que llevarlo a cabo tendrá la formación adecuada en este campo.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41.1.5 Los productos de limpieza deben ser adecuados para la finalidad perseguida y deberán estar autorizados para su uso en la industria alimentaria y guardados en un local específico con el resto de utensilios de limpieza. Ved el Anexo 1.</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 xml:space="preserve">41.1.6 Hace falta </w:t>
      </w:r>
      <w:r w:rsidRPr="00993936">
        <w:rPr>
          <w:rFonts w:ascii="Arial" w:hAnsi="Arial" w:cs="Arial"/>
          <w:snapToGrid w:val="0"/>
          <w:lang w:val="es-ES"/>
        </w:rPr>
        <w:t>prever un local donde se pueda comer y mantenerse independiente de las zonas de recepción, elaboración, envasado y almacenamiento.</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 xml:space="preserve">  </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VI.2 Equipos</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42</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Plan</w:t>
      </w:r>
      <w:r w:rsidRPr="00993936">
        <w:rPr>
          <w:rFonts w:ascii="Arial" w:hAnsi="Arial" w:cs="Arial"/>
          <w:b/>
          <w:snapToGrid w:val="0"/>
          <w:vanish/>
          <w:lang w:val="es-ES"/>
        </w:rPr>
        <w:t>&lt;A[Plan|Plano]&gt;</w:t>
      </w:r>
      <w:r w:rsidRPr="00993936">
        <w:rPr>
          <w:rFonts w:ascii="Arial" w:hAnsi="Arial" w:cs="Arial"/>
          <w:b/>
          <w:snapToGrid w:val="0"/>
          <w:lang w:val="es-ES"/>
        </w:rPr>
        <w:t xml:space="preserve"> de mantenimiento de equipos</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42.1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42.1.1 La empresa deben establecer y llevar a cabo un Plan de mantenimiento de los equipos para asegurarse de su correcto funcionamiento y tomar las medidas necesarias para evitar el contacto de los productos con sustancias químicas u objetos extraños.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42.1.2 La disposición de los equipos tiene que permitir el mantenimiento y la limpieza adecuados, en línea con unas buenas prácticas de higiene. Asimismo, las instalaciones, los equipos y las herramientas estarán en buen estado de conservación mediante un adecuado plan</w:t>
      </w:r>
      <w:r w:rsidRPr="00993936">
        <w:rPr>
          <w:rFonts w:ascii="Arial" w:hAnsi="Arial" w:cs="Arial"/>
          <w:snapToGrid w:val="0"/>
          <w:vanish/>
          <w:lang w:val="es-ES"/>
        </w:rPr>
        <w:t>&lt;A[plan|plano]&gt;</w:t>
      </w:r>
      <w:r w:rsidRPr="00993936">
        <w:rPr>
          <w:rFonts w:ascii="Arial" w:hAnsi="Arial" w:cs="Arial"/>
          <w:snapToGrid w:val="0"/>
          <w:lang w:val="es-ES"/>
        </w:rPr>
        <w:t xml:space="preserve"> de mantenimiento. </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43</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Carretillas</w:t>
      </w:r>
      <w:r w:rsidRPr="00993936">
        <w:rPr>
          <w:rFonts w:ascii="Arial" w:hAnsi="Arial" w:cs="Arial"/>
          <w:b/>
          <w:snapToGrid w:val="0"/>
          <w:vanish/>
          <w:lang w:val="es-ES"/>
        </w:rPr>
        <w:t>&lt;A[Carretillas|Carretones]&gt;</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43.1 Prohibiciones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43.1.1 Utilizar carretillas</w:t>
      </w:r>
      <w:r w:rsidRPr="00993936">
        <w:rPr>
          <w:rFonts w:ascii="Arial" w:hAnsi="Arial" w:cs="Arial"/>
          <w:snapToGrid w:val="0"/>
          <w:vanish/>
          <w:lang w:val="es-ES"/>
        </w:rPr>
        <w:t>&lt;A[carretillas|carretones]&gt;</w:t>
      </w:r>
      <w:r w:rsidRPr="00993936">
        <w:rPr>
          <w:rFonts w:ascii="Arial" w:hAnsi="Arial" w:cs="Arial"/>
          <w:snapToGrid w:val="0"/>
          <w:lang w:val="es-ES"/>
        </w:rPr>
        <w:t xml:space="preserve"> de gasóleo dentro de la bodega.</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44</w:t>
      </w: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 xml:space="preserve">Máquinas y Herramientas  </w:t>
      </w:r>
    </w:p>
    <w:p w:rsidR="00503A41" w:rsidRPr="00993936" w:rsidRDefault="00503A41" w:rsidP="001D205D">
      <w:pPr>
        <w:pStyle w:val="Sinespaciado"/>
        <w:jc w:val="both"/>
        <w:rPr>
          <w:rFonts w:ascii="Arial" w:hAnsi="Arial" w:cs="Arial"/>
          <w:i/>
          <w:snapToGrid w:val="0"/>
          <w:lang w:val="es-ES"/>
        </w:rPr>
      </w:pPr>
      <w:r w:rsidRPr="00993936">
        <w:rPr>
          <w:rFonts w:ascii="Arial" w:hAnsi="Arial" w:cs="Arial"/>
          <w:i/>
          <w:snapToGrid w:val="0"/>
          <w:lang w:val="es-ES"/>
        </w:rPr>
        <w:t>44.1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44.1.1 Utilizar máquinas y herramientas en buen estado, que sean seguras y con los medios de protección adecuados (desechos, dispositivos de seguridad, etc.). Además, deben estar almacenadas en un lugar</w:t>
      </w:r>
      <w:r w:rsidRPr="00993936">
        <w:rPr>
          <w:rFonts w:ascii="Arial" w:hAnsi="Arial" w:cs="Arial"/>
          <w:snapToGrid w:val="0"/>
          <w:vanish/>
          <w:lang w:val="es-ES"/>
        </w:rPr>
        <w:t>&lt;A[lugar|sitio]&gt;</w:t>
      </w:r>
      <w:r w:rsidRPr="00993936">
        <w:rPr>
          <w:rFonts w:ascii="Arial" w:hAnsi="Arial" w:cs="Arial"/>
          <w:snapToGrid w:val="0"/>
          <w:lang w:val="es-ES"/>
        </w:rPr>
        <w:t xml:space="preserve"> adecuado.</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VI.3 Lucha contra plagas</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45</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Insectos y roedores: Plan</w:t>
      </w:r>
      <w:r w:rsidRPr="00993936">
        <w:rPr>
          <w:rFonts w:ascii="Arial" w:hAnsi="Arial" w:cs="Arial"/>
          <w:b/>
          <w:vanish/>
          <w:spacing w:val="-2"/>
          <w:lang w:val="es-ES"/>
        </w:rPr>
        <w:t>&lt;A[Plan|Plano]&gt;</w:t>
      </w:r>
      <w:r w:rsidRPr="00993936">
        <w:rPr>
          <w:rFonts w:ascii="Arial" w:hAnsi="Arial" w:cs="Arial"/>
          <w:b/>
          <w:spacing w:val="-2"/>
          <w:lang w:val="es-ES"/>
        </w:rPr>
        <w:t xml:space="preserve"> de desinsectación y desratización (DD)</w:t>
      </w:r>
    </w:p>
    <w:p w:rsidR="00503A41" w:rsidRPr="00993936" w:rsidRDefault="00503A41" w:rsidP="001D205D">
      <w:pPr>
        <w:pStyle w:val="Sinespaciado"/>
        <w:jc w:val="both"/>
        <w:rPr>
          <w:rFonts w:ascii="Arial" w:hAnsi="Arial" w:cs="Arial"/>
          <w:b/>
          <w:i/>
          <w:spacing w:val="-2"/>
          <w:lang w:val="es-ES"/>
        </w:rPr>
      </w:pPr>
      <w:r w:rsidRPr="00993936">
        <w:rPr>
          <w:rFonts w:ascii="Arial" w:hAnsi="Arial" w:cs="Arial"/>
          <w:i/>
          <w:lang w:val="es-ES"/>
        </w:rPr>
        <w:t>45.1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45.1.1 Disponer de un plan DD detallado que corresponda a las necesidades de cada persona operadora, puesto en práctica por</w:t>
      </w:r>
      <w:r w:rsidRPr="00993936">
        <w:rPr>
          <w:rFonts w:ascii="Arial" w:hAnsi="Arial" w:cs="Arial"/>
          <w:vanish/>
          <w:spacing w:val="-2"/>
          <w:lang w:val="es-ES"/>
        </w:rPr>
        <w:t>&lt;A[para|por]&gt;</w:t>
      </w:r>
      <w:r w:rsidRPr="00993936">
        <w:rPr>
          <w:rFonts w:ascii="Arial" w:hAnsi="Arial" w:cs="Arial"/>
          <w:spacing w:val="-2"/>
          <w:lang w:val="es-ES"/>
        </w:rPr>
        <w:t xml:space="preserve"> un equipo con autorización legal para esta finalidad.</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45.1.2 El plan</w:t>
      </w:r>
      <w:r w:rsidRPr="00993936">
        <w:rPr>
          <w:rFonts w:ascii="Arial" w:hAnsi="Arial" w:cs="Arial"/>
          <w:vanish/>
          <w:lang w:val="es-ES"/>
        </w:rPr>
        <w:t>&lt;A[plan|plano]&gt;</w:t>
      </w:r>
      <w:r w:rsidRPr="00993936">
        <w:rPr>
          <w:rFonts w:ascii="Arial" w:hAnsi="Arial" w:cs="Arial"/>
          <w:lang w:val="es-ES"/>
        </w:rPr>
        <w:t xml:space="preserve"> DD contendrá, al menos, la información siguiente: identificación del equipo de trabajo, trabajos y su frecuencia, material y productos que se utilizarán, y método de aplicación. Los cebos deben estar señalizados y numerados debidamente, y tiene que existir un plano de señalización. </w:t>
      </w:r>
      <w:r w:rsidRPr="00993936">
        <w:rPr>
          <w:rFonts w:ascii="Arial" w:hAnsi="Arial" w:cs="Arial"/>
          <w:lang w:val="es-ES"/>
        </w:rPr>
        <w:tab/>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45.1.3 La persona operadora tiene que tomar las medidas necesarias para evitar el contacto de las uvas con sustancias químicas, aguas no potables u objetos extraños.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45.1.4 El uso de insecticidas y/o raticidas se tiene que realizar de manera tal que no afecte a los productos vitivinícolas. Se tiene que cumplir la legislación y estar autorizados para utilizarlos en la industria alimentaria.</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45.1.5 Los puntos donde se coloquen trampas deben estar debidamente señalizados y numerados. Además, tendrá que haber un plano</w:t>
      </w:r>
      <w:r w:rsidRPr="00993936">
        <w:rPr>
          <w:rFonts w:ascii="Arial" w:hAnsi="Arial" w:cs="Arial"/>
          <w:vanish/>
          <w:lang w:val="es-ES"/>
        </w:rPr>
        <w:t>&lt;A[plan|plano]&gt;</w:t>
      </w:r>
      <w:r w:rsidRPr="00993936">
        <w:rPr>
          <w:rFonts w:ascii="Arial" w:hAnsi="Arial" w:cs="Arial"/>
          <w:lang w:val="es-ES"/>
        </w:rPr>
        <w:t xml:space="preserve"> de señalización adecuado.</w:t>
      </w:r>
    </w:p>
    <w:p w:rsidR="00503A41" w:rsidRPr="00993936" w:rsidRDefault="00503A41" w:rsidP="001D205D">
      <w:pPr>
        <w:pStyle w:val="Sinespaciado"/>
        <w:jc w:val="both"/>
        <w:rPr>
          <w:rFonts w:ascii="Arial" w:hAnsi="Arial" w:cs="Arial"/>
          <w:u w:val="single"/>
          <w:lang w:val="es-ES"/>
        </w:rPr>
      </w:pPr>
      <w:r w:rsidRPr="00993936">
        <w:rPr>
          <w:rFonts w:ascii="Arial" w:hAnsi="Arial" w:cs="Arial"/>
          <w:spacing w:val="-2"/>
          <w:lang w:val="es-ES"/>
        </w:rPr>
        <w:t>45.1.6 Cuando se utilicen trampas luminosas para insectos, estas no deberán colocarse encima de los equipos ni líneas de recepción, manipulación, elaboración y envasado de los productos.</w:t>
      </w:r>
    </w:p>
    <w:p w:rsidR="00503A41" w:rsidRPr="00993936" w:rsidRDefault="00503A41" w:rsidP="001D205D">
      <w:pPr>
        <w:pStyle w:val="Sinespaciado"/>
        <w:jc w:val="both"/>
        <w:rPr>
          <w:rFonts w:ascii="Arial" w:hAnsi="Arial" w:cs="Arial"/>
          <w:b/>
          <w:lang w:val="es-ES"/>
        </w:rPr>
      </w:pPr>
      <w:r w:rsidRPr="00993936">
        <w:rPr>
          <w:rFonts w:ascii="Arial" w:hAnsi="Arial" w:cs="Arial"/>
          <w:spacing w:val="-2"/>
          <w:lang w:val="es-ES"/>
        </w:rPr>
        <w:t>45.1.7</w:t>
      </w:r>
      <w:r w:rsidRPr="00993936">
        <w:rPr>
          <w:rFonts w:ascii="Arial" w:hAnsi="Arial" w:cs="Arial"/>
          <w:lang w:val="es-ES"/>
        </w:rPr>
        <w:t xml:space="preserve"> Los productos </w:t>
      </w:r>
      <w:r w:rsidRPr="00993936">
        <w:rPr>
          <w:rFonts w:ascii="Arial" w:hAnsi="Arial" w:cs="Arial"/>
          <w:spacing w:val="-2"/>
          <w:lang w:val="es-ES"/>
        </w:rPr>
        <w:t>insecticidas y/o raticidas</w:t>
      </w:r>
      <w:r w:rsidRPr="00993936">
        <w:rPr>
          <w:rFonts w:ascii="Arial" w:hAnsi="Arial" w:cs="Arial"/>
          <w:lang w:val="es-ES"/>
        </w:rPr>
        <w:t xml:space="preserve"> se deben almacenar en un lugar</w:t>
      </w:r>
      <w:r w:rsidRPr="00993936">
        <w:rPr>
          <w:rFonts w:ascii="Arial" w:hAnsi="Arial" w:cs="Arial"/>
          <w:vanish/>
          <w:lang w:val="es-ES"/>
        </w:rPr>
        <w:t>&lt;A[lugar|sitio]&gt;</w:t>
      </w:r>
      <w:r w:rsidRPr="00993936">
        <w:rPr>
          <w:rFonts w:ascii="Arial" w:hAnsi="Arial" w:cs="Arial"/>
          <w:lang w:val="es-ES"/>
        </w:rPr>
        <w:t xml:space="preserve"> cerrado y separado de la zona de elaboración y almacenamiento del vino, para evitar cualquier riesgo de contaminación. El lugar</w:t>
      </w:r>
      <w:r w:rsidRPr="00993936">
        <w:rPr>
          <w:rFonts w:ascii="Arial" w:hAnsi="Arial" w:cs="Arial"/>
          <w:vanish/>
          <w:lang w:val="es-ES"/>
        </w:rPr>
        <w:t>&lt;A[lugar|sitio]&gt;</w:t>
      </w:r>
      <w:r w:rsidRPr="00993936">
        <w:rPr>
          <w:rFonts w:ascii="Arial" w:hAnsi="Arial" w:cs="Arial"/>
          <w:lang w:val="es-ES"/>
        </w:rPr>
        <w:t xml:space="preserve"> del almacenamiento estará debidamente señalizado, haciendo una especial insistencia en la prohibición de acceso a personas no autorizadas.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45.1.8</w:t>
      </w:r>
      <w:r w:rsidRPr="00993936">
        <w:rPr>
          <w:rFonts w:ascii="Arial" w:hAnsi="Arial" w:cs="Arial"/>
          <w:lang w:val="es-ES"/>
        </w:rPr>
        <w:t xml:space="preserve"> El almacén dispondrá de llave</w:t>
      </w:r>
      <w:r w:rsidRPr="00993936">
        <w:rPr>
          <w:rFonts w:ascii="Arial" w:hAnsi="Arial" w:cs="Arial"/>
          <w:vanish/>
          <w:lang w:val="es-ES"/>
        </w:rPr>
        <w:t>&lt;A[clave|clavo|llave]&gt;</w:t>
      </w:r>
      <w:r w:rsidRPr="00993936">
        <w:rPr>
          <w:rFonts w:ascii="Arial" w:hAnsi="Arial" w:cs="Arial"/>
          <w:lang w:val="es-ES"/>
        </w:rPr>
        <w:t xml:space="preserve"> y ventilación permanente y suficiente.</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lastRenderedPageBreak/>
        <w:t>45.1.9</w:t>
      </w:r>
      <w:r w:rsidRPr="00993936">
        <w:rPr>
          <w:rFonts w:ascii="Arial" w:hAnsi="Arial" w:cs="Arial"/>
          <w:lang w:val="es-ES"/>
        </w:rPr>
        <w:t xml:space="preserve"> El almacenamiento tiene que disponer de medios para retener posibles derrames</w:t>
      </w:r>
      <w:r w:rsidRPr="00993936">
        <w:rPr>
          <w:rFonts w:ascii="Arial" w:hAnsi="Arial" w:cs="Arial"/>
          <w:vanish/>
          <w:lang w:val="es-ES"/>
        </w:rPr>
        <w:t>&lt;A[derrames|vertidos]&gt;</w:t>
      </w:r>
      <w:r w:rsidRPr="00993936">
        <w:rPr>
          <w:rFonts w:ascii="Arial" w:hAnsi="Arial" w:cs="Arial"/>
          <w:lang w:val="es-ES"/>
        </w:rPr>
        <w:t xml:space="preserve"> accidentales.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45.1.10 </w:t>
      </w:r>
      <w:r w:rsidRPr="00993936">
        <w:rPr>
          <w:rFonts w:ascii="Arial" w:hAnsi="Arial" w:cs="Arial"/>
          <w:lang w:val="es-ES"/>
        </w:rPr>
        <w:t xml:space="preserve">Los </w:t>
      </w:r>
      <w:r w:rsidRPr="00993936">
        <w:rPr>
          <w:rFonts w:ascii="Arial" w:hAnsi="Arial" w:cs="Arial"/>
          <w:spacing w:val="-2"/>
          <w:lang w:val="es-ES"/>
        </w:rPr>
        <w:t>insecticidas y/o raticidas</w:t>
      </w:r>
      <w:r w:rsidRPr="00993936">
        <w:rPr>
          <w:rFonts w:ascii="Arial" w:hAnsi="Arial" w:cs="Arial"/>
          <w:lang w:val="es-ES"/>
        </w:rPr>
        <w:t xml:space="preserve"> se deben mantener dentro de su envase originales y las etiquetas deben ser perfectamente legibles.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45.1.11 </w:t>
      </w:r>
      <w:r w:rsidRPr="00993936">
        <w:rPr>
          <w:rFonts w:ascii="Arial" w:hAnsi="Arial" w:cs="Arial"/>
          <w:lang w:val="es-ES"/>
        </w:rPr>
        <w:t xml:space="preserve">Los productos </w:t>
      </w:r>
      <w:r w:rsidRPr="00993936">
        <w:rPr>
          <w:rFonts w:ascii="Arial" w:hAnsi="Arial" w:cs="Arial"/>
          <w:spacing w:val="-2"/>
          <w:lang w:val="es-ES"/>
        </w:rPr>
        <w:t>insecticidas y/o raticidas</w:t>
      </w:r>
      <w:r w:rsidRPr="00993936">
        <w:rPr>
          <w:rFonts w:ascii="Arial" w:hAnsi="Arial" w:cs="Arial"/>
          <w:lang w:val="es-ES"/>
        </w:rPr>
        <w:t xml:space="preserve"> deben estar debidamente etiquetados, ordenados y separados físicamente.</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45.1.12</w:t>
      </w:r>
      <w:r w:rsidRPr="00993936">
        <w:rPr>
          <w:rFonts w:ascii="Arial" w:hAnsi="Arial" w:cs="Arial"/>
          <w:lang w:val="es-ES"/>
        </w:rPr>
        <w:t xml:space="preserve"> Los </w:t>
      </w:r>
      <w:r w:rsidRPr="00993936">
        <w:rPr>
          <w:rFonts w:ascii="Arial" w:hAnsi="Arial" w:cs="Arial"/>
          <w:spacing w:val="-2"/>
          <w:lang w:val="es-ES"/>
        </w:rPr>
        <w:t>insecticidas y/o raticidas</w:t>
      </w:r>
      <w:r w:rsidRPr="00993936">
        <w:rPr>
          <w:rFonts w:ascii="Arial" w:hAnsi="Arial" w:cs="Arial"/>
          <w:lang w:val="es-ES"/>
        </w:rPr>
        <w:t xml:space="preserve"> en polvo deben estar almacenados en estantes situados por encima de los líquidos.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45.1.13 </w:t>
      </w:r>
      <w:r w:rsidRPr="00993936">
        <w:rPr>
          <w:rFonts w:ascii="Arial" w:hAnsi="Arial" w:cs="Arial"/>
          <w:lang w:val="es-ES"/>
        </w:rPr>
        <w:t xml:space="preserve">La conservación de los justificantes de las compras y gastos de los productos </w:t>
      </w:r>
      <w:r w:rsidRPr="00993936">
        <w:rPr>
          <w:rFonts w:ascii="Arial" w:hAnsi="Arial" w:cs="Arial"/>
          <w:spacing w:val="-2"/>
          <w:lang w:val="es-ES"/>
        </w:rPr>
        <w:t>insecticidas y/o raticidas</w:t>
      </w:r>
      <w:r w:rsidRPr="00993936">
        <w:rPr>
          <w:rFonts w:ascii="Arial" w:hAnsi="Arial" w:cs="Arial"/>
          <w:lang w:val="es-ES"/>
        </w:rPr>
        <w:t xml:space="preserve"> reflejados en el cuaderno de explotación es obligatoria durante dos años.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45.1.14</w:t>
      </w:r>
      <w:r w:rsidRPr="00993936">
        <w:rPr>
          <w:rFonts w:ascii="Arial" w:hAnsi="Arial" w:cs="Arial"/>
          <w:lang w:val="es-ES"/>
        </w:rPr>
        <w:t xml:space="preserve"> En caso de disponer de almacén de productos </w:t>
      </w:r>
      <w:r w:rsidRPr="00993936">
        <w:rPr>
          <w:rFonts w:ascii="Arial" w:hAnsi="Arial" w:cs="Arial"/>
          <w:spacing w:val="-2"/>
          <w:lang w:val="es-ES"/>
        </w:rPr>
        <w:t>insecticidas y/o raticidas</w:t>
      </w:r>
      <w:r w:rsidRPr="00993936">
        <w:rPr>
          <w:rFonts w:ascii="Arial" w:hAnsi="Arial" w:cs="Arial"/>
          <w:lang w:val="es-ES"/>
        </w:rPr>
        <w:t xml:space="preserve"> en la industria, se aplicarán las obligaciones de la RTS (Reglamentación técnico sanitaria).</w:t>
      </w:r>
    </w:p>
    <w:p w:rsidR="00503A41" w:rsidRPr="00993936" w:rsidRDefault="00503A41" w:rsidP="001D205D">
      <w:pPr>
        <w:pStyle w:val="Sinespaciado"/>
        <w:jc w:val="both"/>
        <w:rPr>
          <w:rFonts w:ascii="Arial" w:hAnsi="Arial" w:cs="Arial"/>
          <w:i/>
        </w:rPr>
      </w:pPr>
      <w:r w:rsidRPr="00993936">
        <w:rPr>
          <w:rFonts w:ascii="Arial" w:hAnsi="Arial" w:cs="Arial"/>
          <w:i/>
        </w:rPr>
        <w:t>45.2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45.2.1 Utilizar estantes de almacén de materiales no absorbentes.</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45.2.2 Uso de trampas luminosas para insectos.</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46</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Pájaros y otros animales</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46.1 Obligaciones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 xml:space="preserve">46.1.1 Adoptar las medidas necesarias para evitar la entrada de pájaros en las instalaciones e impedir que hagan nidos y/o pernocten. </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46.1.2 Impedir la entrada de animales en las instalaciones.</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46.2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46.2.1 Diseñar las puertas de acceso y ventanas de manera que impidan la entrada de animales.</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VI.4 Gestión de los residuos y Protección ambiente</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47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Gestión de residuos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47.1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47.1.1 Disponer de un Plan</w:t>
      </w:r>
      <w:r w:rsidRPr="00993936">
        <w:rPr>
          <w:rFonts w:ascii="Arial" w:hAnsi="Arial" w:cs="Arial"/>
          <w:vanish/>
          <w:lang w:val="es-ES"/>
        </w:rPr>
        <w:t>&lt;A[Plan|Plano]&gt;</w:t>
      </w:r>
      <w:r w:rsidRPr="00993936">
        <w:rPr>
          <w:rFonts w:ascii="Arial" w:hAnsi="Arial" w:cs="Arial"/>
          <w:lang w:val="es-ES"/>
        </w:rPr>
        <w:t xml:space="preserve"> de gestión de residuos que incluya una evaluación, así como prácticas y equipamientos para reducirlos.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47.1.2 Evaluar de forma directa o indirecta el volumen de residuos líquidos (efluentes) con la finalidad de disponer de un sistema de tratamiento individual o colectivo de manera que se reduzca el impacto sobre el medio ambiente y sobre la red colectiva.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47.1.3 Mantener un registro periódico de control de la carga contaminante de los efluentes mediante la determinación de los parámetros siguientes: Demanda química de oxígeno (DQO) y el pH.</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47.1.4 Disponer de mecanismos para evitar que los materiales sólidos (rapas, cascarillas, entonces) pasen a las aguas de lavado, porque pueden aumentar la carga contaminante y dificultar los tratamientos de depuración.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47.1.5 Seleccionar y almacenar los residuos facilitando el tratamiento, el reciclaje o la gestión con un impacto medioambiental reducido, en contenedores debida</w:t>
      </w:r>
      <w:r w:rsidRPr="00993936">
        <w:rPr>
          <w:rFonts w:ascii="Arial" w:hAnsi="Arial" w:cs="Arial"/>
          <w:lang w:val="es-ES"/>
        </w:rPr>
        <w:softHyphen/>
        <w:t>mente identificados: de cristal</w:t>
      </w:r>
      <w:r w:rsidRPr="00993936">
        <w:rPr>
          <w:rFonts w:ascii="Arial" w:hAnsi="Arial" w:cs="Arial"/>
          <w:vanish/>
          <w:lang w:val="es-ES"/>
        </w:rPr>
        <w:t>&lt;A[vidrio|cristal]&gt;</w:t>
      </w:r>
      <w:r w:rsidRPr="00993936">
        <w:rPr>
          <w:rFonts w:ascii="Arial" w:hAnsi="Arial" w:cs="Arial"/>
          <w:lang w:val="es-ES"/>
        </w:rPr>
        <w:t>, madera, cartón, plástico, etc.</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47.1.6 Utilizar métodos de valorización y de reciclaje de residuos.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napToGrid w:val="0"/>
          <w:lang w:val="es-ES"/>
        </w:rPr>
        <w:t>47.1.7 Almacenar y tratar los residuos en zonas específicas para minimizar la contaminación. Escoger zonas acondicionadas teniendo en cuenta los riesgos de malos olores y degradación del paisaje.</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spacing w:val="-2"/>
          <w:lang w:val="es-ES"/>
        </w:rPr>
        <w:t>47.1.8. En caso de aplicar las vinazas en los campos, hay que considerar las características del suelo y de los cultivos a donde se destinen estas</w:t>
      </w:r>
      <w:r w:rsidRPr="00993936">
        <w:rPr>
          <w:rFonts w:ascii="Arial" w:hAnsi="Arial" w:cs="Arial"/>
          <w:snapToGrid w:val="0"/>
          <w:lang w:val="es-ES"/>
        </w:rPr>
        <w:t>.</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47.1.9 Establecer sistemas de recogida de aceites usados o de cualquier tipo de sustancias tóxicas y peligrosas.</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47.2.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lastRenderedPageBreak/>
        <w:t>47.2.1 Considerar los análisis de carga contaminante para determinar el tipo de tratamiento necesario y conseguir una reducción de DBO y DQO mediante las prácticas y los equipos utilizados.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47.2.2 Hacer un seguimiento mediante analíticas como, por ejemplo, conductividad y materias en suspensión (MES).</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48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Protección medioambiental</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48.1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48.1.1 Disponer de medidas para minimizar el volumen y la carga contaminante de los efluentes que al menos incluya la separación y valorización de subproductos y plan</w:t>
      </w:r>
      <w:r w:rsidRPr="00993936">
        <w:rPr>
          <w:rFonts w:ascii="Arial" w:hAnsi="Arial" w:cs="Arial"/>
          <w:vanish/>
          <w:lang w:val="es-ES"/>
        </w:rPr>
        <w:t>&lt;A[plan|plano]&gt;</w:t>
      </w:r>
      <w:r w:rsidRPr="00993936">
        <w:rPr>
          <w:rFonts w:ascii="Arial" w:hAnsi="Arial" w:cs="Arial"/>
          <w:lang w:val="es-ES"/>
        </w:rPr>
        <w:t xml:space="preserve"> de limpieza racional.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48.1.2 Asegurar una gestión de los residuos de depuración y sobre todo de las materias en suspensión de las aguas y los lodos.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48.1.3 Implantar medidas de ahorro en el consumo de agua y de energía en las instalaciones y en los procesos. </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48.1.4 La cantidad de agua consumida en la bodega en el ciclo completo (con el reparto equitativo durante todos los meses del año, a causa del máximo de vendimia) sea de 1,5-</w:t>
      </w:r>
      <w:smartTag w:uri="urn:schemas-microsoft-com:office:smarttags" w:element="metricconverter">
        <w:smartTagPr>
          <w:attr w:name="ProductID" w:val="3 l"/>
        </w:smartTagPr>
        <w:r w:rsidRPr="00993936">
          <w:rPr>
            <w:rFonts w:ascii="Arial" w:hAnsi="Arial" w:cs="Arial"/>
            <w:lang w:val="es-ES"/>
          </w:rPr>
          <w:t>3 l</w:t>
        </w:r>
      </w:smartTag>
      <w:r w:rsidRPr="00993936">
        <w:rPr>
          <w:rFonts w:ascii="Arial" w:hAnsi="Arial" w:cs="Arial"/>
          <w:lang w:val="es-ES"/>
        </w:rPr>
        <w:t xml:space="preserve"> agua / l vino.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48.2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48.2.1 Los sistemas de tratamiento de residuos deben favorecer procesos agronómicos, biológicos o ser utilizados como subproductos.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48.2.2 Implantar medidas de ahorro en el consumo de agua y emisión de CO</w:t>
      </w:r>
      <w:r w:rsidRPr="00993936">
        <w:rPr>
          <w:rFonts w:ascii="Arial" w:hAnsi="Arial" w:cs="Arial"/>
          <w:vertAlign w:val="subscript"/>
          <w:lang w:val="es-ES"/>
        </w:rPr>
        <w:t>2</w:t>
      </w:r>
      <w:r w:rsidRPr="00993936">
        <w:rPr>
          <w:rFonts w:ascii="Arial" w:hAnsi="Arial" w:cs="Arial"/>
          <w:lang w:val="es-ES"/>
        </w:rPr>
        <w:t>.</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VII. PERSONAL</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49</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Formación</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49.1.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49.1.1 Dar instrucciones a los trabajadores y las trabajadoras que, en caso de sufrir enfermedades de transmisión alimentaria, o estar afectados, entre otras patologías, de heridas infectadas, infecciones cutáneas o diarreas, deben informar a la dirección.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49.1.2 Documentar los procedimientos de actuación en caso de accidentes o de emergencias de forma que sean comprensibles para las personas afectadas.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49.1.3  Disponer de botiquines de primeros auxilios accesibles para los trabajadores.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49.1.4  Fomentar la formación del personal en materia de buenas prácticas de higiene y seguridad alimentaria, y conservar un registro de las actividades formativas que ha impartido la persona operadora o una entidad externa autorizada.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49.1.5  Elaborar instrucciones para sus trabajadores, en las cuales se consideren los aspectos higiénicos que se deben respetar en cada puesto de trabajo, y de acuerdo con las características de la explotación.</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49.1.6 </w:t>
      </w:r>
      <w:r w:rsidRPr="00993936">
        <w:rPr>
          <w:rFonts w:ascii="Arial" w:hAnsi="Arial" w:cs="Arial"/>
          <w:lang w:val="es-ES"/>
        </w:rPr>
        <w:t>La empresa tendrá que fomentar la formación y proporcionar la que sea necesaria al personal implicado en la aplicación de esta norma y el resto de partes afectadas por su actividad. Por otra parte, todos los agentes que participen en producción integrada deben tener una formación específica al respecto.</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49.1.7 </w:t>
      </w:r>
      <w:r w:rsidRPr="00993936">
        <w:rPr>
          <w:rFonts w:ascii="Arial" w:hAnsi="Arial" w:cs="Arial"/>
          <w:lang w:val="es-ES"/>
        </w:rPr>
        <w:t>El técnico responsable que participe en producción integrada tiene que tener una formación universitaria, de acuerdo con lo que establece el artículo 11.1 del Decreto 241/2002, y acreditar una formación específica en producción integrada, de acuerdo con lo que establece el artículo 23.1 del mencionado Decreto. Esta formación, en Cataluña, se regula por</w:t>
      </w:r>
      <w:r w:rsidRPr="00993936">
        <w:rPr>
          <w:rFonts w:ascii="Arial" w:hAnsi="Arial" w:cs="Arial"/>
          <w:vanish/>
          <w:lang w:val="es-ES"/>
        </w:rPr>
        <w:t>&lt;A[por|para]&gt;</w:t>
      </w:r>
      <w:r w:rsidRPr="00993936">
        <w:rPr>
          <w:rFonts w:ascii="Arial" w:hAnsi="Arial" w:cs="Arial"/>
          <w:lang w:val="es-ES"/>
        </w:rPr>
        <w:t xml:space="preserve"> la Orden ARP/69/2003, de 14 de febrero, por</w:t>
      </w:r>
      <w:r w:rsidRPr="00993936">
        <w:rPr>
          <w:rFonts w:ascii="Arial" w:hAnsi="Arial" w:cs="Arial"/>
          <w:vanish/>
          <w:lang w:val="es-ES"/>
        </w:rPr>
        <w:t>&lt;A[por|para]&gt;</w:t>
      </w:r>
      <w:r w:rsidRPr="00993936">
        <w:rPr>
          <w:rFonts w:ascii="Arial" w:hAnsi="Arial" w:cs="Arial"/>
          <w:lang w:val="es-ES"/>
        </w:rPr>
        <w:t xml:space="preserve"> la cual se establecen y se regulan los cursos de formación en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spacing w:val="-2"/>
          <w:lang w:val="es-ES"/>
        </w:rPr>
        <w:t xml:space="preserve">49.1.8 </w:t>
      </w:r>
      <w:r w:rsidRPr="00993936">
        <w:rPr>
          <w:rFonts w:ascii="Arial" w:hAnsi="Arial" w:cs="Arial"/>
          <w:lang w:val="es-ES"/>
        </w:rPr>
        <w:t>Todos los operadores de producción integrada (productores y/o elaboradores) deben tener una formación específica en producción integrada, por</w:t>
      </w:r>
      <w:r w:rsidRPr="00993936">
        <w:rPr>
          <w:rFonts w:ascii="Arial" w:hAnsi="Arial" w:cs="Arial"/>
          <w:vanish/>
          <w:lang w:val="es-ES"/>
        </w:rPr>
        <w:t>&lt;A[por|para]&gt;</w:t>
      </w:r>
      <w:r w:rsidRPr="00993936">
        <w:rPr>
          <w:rFonts w:ascii="Arial" w:hAnsi="Arial" w:cs="Arial"/>
          <w:lang w:val="es-ES"/>
        </w:rPr>
        <w:t xml:space="preserve"> la cual deben acreditar la realización de un curso de producción integrada impartido por </w:t>
      </w:r>
      <w:r w:rsidRPr="00993936">
        <w:rPr>
          <w:rFonts w:ascii="Arial" w:hAnsi="Arial" w:cs="Arial"/>
          <w:lang w:val="es-ES"/>
        </w:rPr>
        <w:lastRenderedPageBreak/>
        <w:t>la Administración Pública o por alguna entidad reconocida, de acuerdo con lo que establecen el Decreto 241/2002 y la Orden ARP/69/2003, de 14 de febrero, por</w:t>
      </w:r>
      <w:r w:rsidRPr="00993936">
        <w:rPr>
          <w:rFonts w:ascii="Arial" w:hAnsi="Arial" w:cs="Arial"/>
          <w:vanish/>
          <w:lang w:val="es-ES"/>
        </w:rPr>
        <w:t>&lt;A[por|para]&gt;</w:t>
      </w:r>
      <w:r w:rsidRPr="00993936">
        <w:rPr>
          <w:rFonts w:ascii="Arial" w:hAnsi="Arial" w:cs="Arial"/>
          <w:lang w:val="es-ES"/>
        </w:rPr>
        <w:t xml:space="preserve"> los cuales se establecen y se regulan los cursos de formación en producción integrada.</w:t>
      </w:r>
    </w:p>
    <w:p w:rsidR="00503A41" w:rsidRPr="00993936" w:rsidRDefault="00503A41" w:rsidP="001D205D">
      <w:pPr>
        <w:pStyle w:val="Sinespaciado"/>
        <w:jc w:val="both"/>
        <w:rPr>
          <w:rFonts w:ascii="Arial" w:hAnsi="Arial" w:cs="Arial"/>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50</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Buenas prácticas de higiene del personal</w:t>
      </w:r>
    </w:p>
    <w:p w:rsidR="00503A41" w:rsidRPr="00993936" w:rsidRDefault="00503A41" w:rsidP="001D205D">
      <w:pPr>
        <w:pStyle w:val="Sinespaciado"/>
        <w:jc w:val="both"/>
        <w:rPr>
          <w:rFonts w:ascii="Arial" w:hAnsi="Arial" w:cs="Arial"/>
          <w:b/>
          <w:i/>
          <w:spacing w:val="-2"/>
          <w:lang w:val="es-ES"/>
        </w:rPr>
      </w:pPr>
      <w:r w:rsidRPr="00993936">
        <w:rPr>
          <w:rFonts w:ascii="Arial" w:hAnsi="Arial" w:cs="Arial"/>
          <w:i/>
          <w:lang w:val="es-ES"/>
        </w:rPr>
        <w:t>50.1 Obligaciones</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50.1.1 La empresa tiene que disponer de una sistema de buenas prácticas de higiene que recogerá como mínimo los requisitos siguientes:</w:t>
      </w:r>
    </w:p>
    <w:p w:rsidR="00503A41" w:rsidRPr="00993936" w:rsidRDefault="00503A41" w:rsidP="009D1A2D">
      <w:pPr>
        <w:pStyle w:val="Sinespaciado"/>
        <w:numPr>
          <w:ilvl w:val="0"/>
          <w:numId w:val="185"/>
        </w:numPr>
        <w:jc w:val="both"/>
        <w:rPr>
          <w:rFonts w:ascii="Arial" w:hAnsi="Arial" w:cs="Arial"/>
          <w:b/>
          <w:lang w:val="es-ES"/>
        </w:rPr>
      </w:pPr>
      <w:r w:rsidRPr="00993936">
        <w:rPr>
          <w:rFonts w:ascii="Arial" w:hAnsi="Arial" w:cs="Arial"/>
          <w:lang w:val="es-ES"/>
        </w:rPr>
        <w:t>El personal tendrá que mantener un grado de limpieza personal adecuado.</w:t>
      </w:r>
    </w:p>
    <w:p w:rsidR="00503A41" w:rsidRPr="00993936" w:rsidRDefault="00503A41" w:rsidP="009D1A2D">
      <w:pPr>
        <w:pStyle w:val="Sinespaciado"/>
        <w:numPr>
          <w:ilvl w:val="0"/>
          <w:numId w:val="185"/>
        </w:numPr>
        <w:jc w:val="both"/>
        <w:rPr>
          <w:rFonts w:ascii="Arial" w:hAnsi="Arial" w:cs="Arial"/>
          <w:lang w:val="es-ES"/>
        </w:rPr>
      </w:pPr>
      <w:r w:rsidRPr="00993936">
        <w:rPr>
          <w:rFonts w:ascii="Arial" w:hAnsi="Arial" w:cs="Arial"/>
          <w:lang w:val="es-ES"/>
        </w:rPr>
        <w:t>Las personas afectadas por enfermedades infecciosas no deberán trabajar en las dependencias donde se manipulen los productos.</w:t>
      </w:r>
    </w:p>
    <w:p w:rsidR="00503A41" w:rsidRPr="00993936" w:rsidRDefault="00503A41" w:rsidP="009D1A2D">
      <w:pPr>
        <w:pStyle w:val="Sinespaciado"/>
        <w:numPr>
          <w:ilvl w:val="0"/>
          <w:numId w:val="185"/>
        </w:numPr>
        <w:jc w:val="both"/>
        <w:rPr>
          <w:rFonts w:ascii="Arial" w:hAnsi="Arial" w:cs="Arial"/>
          <w:spacing w:val="-2"/>
          <w:lang w:val="es-ES"/>
        </w:rPr>
      </w:pPr>
      <w:r w:rsidRPr="00993936">
        <w:rPr>
          <w:rFonts w:ascii="Arial" w:hAnsi="Arial" w:cs="Arial"/>
          <w:spacing w:val="-2"/>
          <w:lang w:val="es-ES"/>
        </w:rPr>
        <w:t>Los cortes</w:t>
      </w:r>
      <w:r w:rsidRPr="00993936">
        <w:rPr>
          <w:rFonts w:ascii="Arial" w:hAnsi="Arial" w:cs="Arial"/>
          <w:vanish/>
          <w:spacing w:val="-2"/>
          <w:lang w:val="es-ES"/>
        </w:rPr>
        <w:t>&lt;A[cortes|trozos]&gt;</w:t>
      </w:r>
      <w:r w:rsidRPr="00993936">
        <w:rPr>
          <w:rFonts w:ascii="Arial" w:hAnsi="Arial" w:cs="Arial"/>
          <w:spacing w:val="-2"/>
          <w:lang w:val="es-ES"/>
        </w:rPr>
        <w:t xml:space="preserve"> y las heridas de los manipuladores que no impiden continuar el trabajo deberán cubrirse con vendajes impermeables.</w:t>
      </w:r>
    </w:p>
    <w:p w:rsidR="00503A41" w:rsidRPr="00993936" w:rsidRDefault="00503A41" w:rsidP="009D1A2D">
      <w:pPr>
        <w:pStyle w:val="Sinespaciado"/>
        <w:numPr>
          <w:ilvl w:val="0"/>
          <w:numId w:val="185"/>
        </w:numPr>
        <w:jc w:val="both"/>
        <w:rPr>
          <w:rFonts w:ascii="Arial" w:hAnsi="Arial" w:cs="Arial"/>
          <w:spacing w:val="-2"/>
          <w:lang w:val="es-ES"/>
        </w:rPr>
      </w:pPr>
      <w:r w:rsidRPr="00993936">
        <w:rPr>
          <w:rFonts w:ascii="Arial" w:hAnsi="Arial" w:cs="Arial"/>
          <w:spacing w:val="-2"/>
          <w:lang w:val="es-ES"/>
        </w:rPr>
        <w:t>Todo el personal tendrá que lavarse las manos antes de volver al trabajo después de cualquier ausencia del puesto de trabajo.</w:t>
      </w:r>
    </w:p>
    <w:p w:rsidR="00503A41" w:rsidRPr="00993936" w:rsidRDefault="00503A41" w:rsidP="009D1A2D">
      <w:pPr>
        <w:pStyle w:val="Sinespaciado"/>
        <w:numPr>
          <w:ilvl w:val="0"/>
          <w:numId w:val="185"/>
        </w:numPr>
        <w:jc w:val="both"/>
        <w:rPr>
          <w:rFonts w:ascii="Arial" w:hAnsi="Arial" w:cs="Arial"/>
          <w:spacing w:val="-2"/>
          <w:lang w:val="es-ES"/>
        </w:rPr>
      </w:pPr>
      <w:r w:rsidRPr="00993936">
        <w:rPr>
          <w:rFonts w:ascii="Arial" w:hAnsi="Arial" w:cs="Arial"/>
          <w:spacing w:val="-2"/>
          <w:lang w:val="es-ES"/>
        </w:rPr>
        <w:t>Si los manipuladores utilizan guantes, estos se mantendrán en perfectas condiciones de higiene en el punto de trabajo y se renovarán cada vez que sea necesario.</w:t>
      </w:r>
    </w:p>
    <w:p w:rsidR="00503A41" w:rsidRPr="00993936" w:rsidRDefault="00503A41" w:rsidP="009D1A2D">
      <w:pPr>
        <w:pStyle w:val="Sinespaciado"/>
        <w:numPr>
          <w:ilvl w:val="0"/>
          <w:numId w:val="185"/>
        </w:numPr>
        <w:jc w:val="both"/>
        <w:rPr>
          <w:rFonts w:ascii="Arial" w:hAnsi="Arial" w:cs="Arial"/>
          <w:spacing w:val="-2"/>
          <w:lang w:val="es-ES"/>
        </w:rPr>
      </w:pPr>
      <w:r w:rsidRPr="00993936">
        <w:rPr>
          <w:rFonts w:ascii="Arial" w:hAnsi="Arial" w:cs="Arial"/>
          <w:spacing w:val="-2"/>
          <w:lang w:val="es-ES"/>
        </w:rPr>
        <w:t>El cabello</w:t>
      </w:r>
      <w:r w:rsidRPr="00993936">
        <w:rPr>
          <w:rFonts w:ascii="Arial" w:hAnsi="Arial" w:cs="Arial"/>
          <w:vanish/>
          <w:spacing w:val="-2"/>
          <w:lang w:val="es-ES"/>
        </w:rPr>
        <w:t>&lt;A[cabello|pelo]&gt;</w:t>
      </w:r>
      <w:r w:rsidRPr="00993936">
        <w:rPr>
          <w:rFonts w:ascii="Arial" w:hAnsi="Arial" w:cs="Arial"/>
          <w:spacing w:val="-2"/>
          <w:lang w:val="es-ES"/>
        </w:rPr>
        <w:t xml:space="preserve"> y la barba de los manipuladores tendrá que recogerse y cubrirse adecuadamente para conseguir una protección efectiva.</w:t>
      </w:r>
    </w:p>
    <w:p w:rsidR="00503A41" w:rsidRPr="00993936" w:rsidRDefault="00503A41" w:rsidP="009D1A2D">
      <w:pPr>
        <w:pStyle w:val="Sinespaciado"/>
        <w:numPr>
          <w:ilvl w:val="0"/>
          <w:numId w:val="185"/>
        </w:numPr>
        <w:jc w:val="both"/>
        <w:rPr>
          <w:rFonts w:ascii="Arial" w:hAnsi="Arial" w:cs="Arial"/>
          <w:spacing w:val="-2"/>
          <w:lang w:val="es-ES"/>
        </w:rPr>
      </w:pPr>
      <w:r w:rsidRPr="00993936">
        <w:rPr>
          <w:rFonts w:ascii="Arial" w:hAnsi="Arial" w:cs="Arial"/>
          <w:spacing w:val="-2"/>
          <w:lang w:val="es-ES"/>
        </w:rPr>
        <w:t>El personal tendrá que vestir ropa de trabajo adecuada y limpia</w:t>
      </w:r>
      <w:r w:rsidRPr="00993936">
        <w:rPr>
          <w:rFonts w:ascii="Arial" w:hAnsi="Arial" w:cs="Arial"/>
          <w:vanish/>
          <w:spacing w:val="-2"/>
          <w:lang w:val="es-ES"/>
        </w:rPr>
        <w:t>&lt;A[limpia|neta]&gt;</w:t>
      </w:r>
      <w:r w:rsidRPr="00993936">
        <w:rPr>
          <w:rFonts w:ascii="Arial" w:hAnsi="Arial" w:cs="Arial"/>
          <w:spacing w:val="-2"/>
          <w:lang w:val="es-ES"/>
        </w:rPr>
        <w:t>. Los visitantes de las zonas de envasado deberán llevar ropa protectora y cumplir las mismas disposiciones de higiene personal.</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spacing w:val="-2"/>
          <w:lang w:val="es-ES"/>
        </w:rPr>
        <w:t>50.2 Prohibiciones</w:t>
      </w:r>
    </w:p>
    <w:p w:rsidR="00503A41" w:rsidRPr="00993936" w:rsidRDefault="00503A41" w:rsidP="001D205D">
      <w:pPr>
        <w:pStyle w:val="Sinespaciado"/>
        <w:jc w:val="both"/>
        <w:rPr>
          <w:rFonts w:ascii="Arial" w:hAnsi="Arial" w:cs="Arial"/>
          <w:spacing w:val="-2"/>
          <w:lang w:val="es-ES"/>
        </w:rPr>
      </w:pPr>
      <w:r w:rsidRPr="00993936">
        <w:rPr>
          <w:rFonts w:ascii="Arial" w:hAnsi="Arial" w:cs="Arial"/>
          <w:spacing w:val="-2"/>
          <w:lang w:val="es-ES"/>
        </w:rPr>
        <w:t>50.2.1 Se prohíben las prácticas siguientes:</w:t>
      </w:r>
    </w:p>
    <w:p w:rsidR="00503A41" w:rsidRPr="00993936" w:rsidRDefault="00503A41" w:rsidP="009D1A2D">
      <w:pPr>
        <w:pStyle w:val="Sinespaciado"/>
        <w:numPr>
          <w:ilvl w:val="0"/>
          <w:numId w:val="186"/>
        </w:numPr>
        <w:jc w:val="both"/>
        <w:rPr>
          <w:rFonts w:ascii="Arial" w:hAnsi="Arial" w:cs="Arial"/>
          <w:spacing w:val="-2"/>
          <w:lang w:val="es-ES"/>
        </w:rPr>
      </w:pPr>
      <w:r w:rsidRPr="00993936">
        <w:rPr>
          <w:rFonts w:ascii="Arial" w:hAnsi="Arial" w:cs="Arial"/>
          <w:spacing w:val="-2"/>
          <w:lang w:val="es-ES"/>
        </w:rPr>
        <w:t>Para los manipuladores, salir del recinto de trabajo con las prendas de trabajo o con el traje del trabajo.</w:t>
      </w:r>
    </w:p>
    <w:p w:rsidR="00503A41" w:rsidRPr="00993936" w:rsidRDefault="00503A41" w:rsidP="009D1A2D">
      <w:pPr>
        <w:pStyle w:val="Sinespaciado"/>
        <w:numPr>
          <w:ilvl w:val="0"/>
          <w:numId w:val="186"/>
        </w:numPr>
        <w:jc w:val="both"/>
        <w:rPr>
          <w:rFonts w:ascii="Arial" w:hAnsi="Arial" w:cs="Arial"/>
          <w:lang w:val="es-ES"/>
        </w:rPr>
      </w:pPr>
      <w:r w:rsidRPr="00993936">
        <w:rPr>
          <w:rFonts w:ascii="Arial" w:hAnsi="Arial" w:cs="Arial"/>
          <w:lang w:val="es-ES"/>
        </w:rPr>
        <w:t>Llevar efectos personales que puedan desprenderse.</w:t>
      </w:r>
    </w:p>
    <w:p w:rsidR="00503A41" w:rsidRPr="00993936" w:rsidRDefault="00503A41" w:rsidP="009D1A2D">
      <w:pPr>
        <w:pStyle w:val="Sinespaciado"/>
        <w:numPr>
          <w:ilvl w:val="0"/>
          <w:numId w:val="186"/>
        </w:numPr>
        <w:jc w:val="both"/>
        <w:rPr>
          <w:rFonts w:ascii="Arial" w:hAnsi="Arial" w:cs="Arial"/>
          <w:spacing w:val="-2"/>
          <w:lang w:val="es-ES"/>
        </w:rPr>
      </w:pPr>
      <w:r w:rsidRPr="00993936">
        <w:rPr>
          <w:rFonts w:ascii="Arial" w:hAnsi="Arial" w:cs="Arial"/>
          <w:spacing w:val="-2"/>
          <w:lang w:val="es-ES"/>
        </w:rPr>
        <w:t xml:space="preserve">En las zonas de trabajo para los manipuladores: </w:t>
      </w:r>
    </w:p>
    <w:p w:rsidR="00503A41" w:rsidRPr="00993936" w:rsidRDefault="00503A41" w:rsidP="009D1A2D">
      <w:pPr>
        <w:pStyle w:val="Sinespaciado"/>
        <w:numPr>
          <w:ilvl w:val="0"/>
          <w:numId w:val="187"/>
        </w:numPr>
        <w:jc w:val="both"/>
        <w:rPr>
          <w:rFonts w:ascii="Arial" w:hAnsi="Arial" w:cs="Arial"/>
          <w:spacing w:val="-2"/>
          <w:lang w:val="es-ES"/>
        </w:rPr>
      </w:pPr>
      <w:r w:rsidRPr="00993936">
        <w:rPr>
          <w:rFonts w:ascii="Arial" w:hAnsi="Arial" w:cs="Arial"/>
          <w:spacing w:val="-2"/>
          <w:lang w:val="es-ES"/>
        </w:rPr>
        <w:t>Comida, beber, masticar chiclés.</w:t>
      </w:r>
    </w:p>
    <w:p w:rsidR="00503A41" w:rsidRPr="00993936" w:rsidRDefault="00503A41" w:rsidP="009D1A2D">
      <w:pPr>
        <w:pStyle w:val="Sinespaciado"/>
        <w:numPr>
          <w:ilvl w:val="0"/>
          <w:numId w:val="187"/>
        </w:numPr>
        <w:jc w:val="both"/>
        <w:rPr>
          <w:rFonts w:ascii="Arial" w:hAnsi="Arial" w:cs="Arial"/>
          <w:spacing w:val="-2"/>
          <w:lang w:val="es-ES"/>
        </w:rPr>
      </w:pPr>
      <w:r w:rsidRPr="00993936">
        <w:rPr>
          <w:rFonts w:ascii="Arial" w:hAnsi="Arial" w:cs="Arial"/>
          <w:spacing w:val="-2"/>
          <w:lang w:val="es-ES"/>
        </w:rPr>
        <w:t>Llevar</w:t>
      </w:r>
      <w:r w:rsidRPr="00993936">
        <w:rPr>
          <w:rFonts w:ascii="Arial" w:hAnsi="Arial" w:cs="Arial"/>
          <w:vanish/>
          <w:spacing w:val="-2"/>
          <w:lang w:val="es-ES"/>
        </w:rPr>
        <w:t>&lt;A[Llevar|Traer]&gt;</w:t>
      </w:r>
      <w:r w:rsidRPr="00993936">
        <w:rPr>
          <w:rFonts w:ascii="Arial" w:hAnsi="Arial" w:cs="Arial"/>
          <w:spacing w:val="-2"/>
          <w:lang w:val="es-ES"/>
        </w:rPr>
        <w:t xml:space="preserve"> las uñas de las manos largas, esmaltadas o falsas.</w:t>
      </w:r>
    </w:p>
    <w:p w:rsidR="00503A41" w:rsidRPr="00993936" w:rsidRDefault="00503A41" w:rsidP="009D1A2D">
      <w:pPr>
        <w:pStyle w:val="Sinespaciado"/>
        <w:numPr>
          <w:ilvl w:val="0"/>
          <w:numId w:val="186"/>
        </w:numPr>
        <w:jc w:val="both"/>
        <w:rPr>
          <w:rFonts w:ascii="Arial" w:hAnsi="Arial" w:cs="Arial"/>
          <w:spacing w:val="-2"/>
          <w:lang w:val="es-ES"/>
        </w:rPr>
      </w:pPr>
      <w:r w:rsidRPr="00993936">
        <w:rPr>
          <w:rFonts w:ascii="Arial" w:hAnsi="Arial" w:cs="Arial"/>
          <w:spacing w:val="-2"/>
          <w:lang w:val="es-ES"/>
        </w:rPr>
        <w:t>Toser o estornudar sobre los alimentos.</w:t>
      </w:r>
    </w:p>
    <w:p w:rsidR="00503A41" w:rsidRPr="00993936" w:rsidRDefault="00503A41" w:rsidP="009D1A2D">
      <w:pPr>
        <w:pStyle w:val="Sinespaciado"/>
        <w:numPr>
          <w:ilvl w:val="0"/>
          <w:numId w:val="186"/>
        </w:numPr>
        <w:jc w:val="both"/>
        <w:rPr>
          <w:rFonts w:ascii="Arial" w:hAnsi="Arial" w:cs="Arial"/>
          <w:spacing w:val="-2"/>
          <w:lang w:val="es-ES"/>
        </w:rPr>
      </w:pPr>
      <w:r w:rsidRPr="00993936">
        <w:rPr>
          <w:rFonts w:ascii="Arial" w:hAnsi="Arial" w:cs="Arial"/>
          <w:spacing w:val="-2"/>
          <w:lang w:val="es-ES"/>
        </w:rPr>
        <w:t>Fumar en las zonas de trabajo y de almacenamiento.</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50.3 Recomendaciones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50.3.1 Se señalizarán, en un lugar</w:t>
      </w:r>
      <w:r w:rsidRPr="00993936">
        <w:rPr>
          <w:rFonts w:ascii="Arial" w:hAnsi="Arial" w:cs="Arial"/>
          <w:vanish/>
          <w:lang w:val="es-ES"/>
        </w:rPr>
        <w:t>&lt;A[lugar|sitio]&gt;</w:t>
      </w:r>
      <w:r w:rsidRPr="00993936">
        <w:rPr>
          <w:rFonts w:ascii="Arial" w:hAnsi="Arial" w:cs="Arial"/>
          <w:lang w:val="es-ES"/>
        </w:rPr>
        <w:t xml:space="preserve"> visible, las buenas prácticas de higiene y manipulación. </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51</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Salud y seguridad de los trabajadores</w:t>
      </w:r>
    </w:p>
    <w:p w:rsidR="00503A41" w:rsidRPr="00993936" w:rsidRDefault="00503A41" w:rsidP="001D205D">
      <w:pPr>
        <w:pStyle w:val="Sinespaciado"/>
        <w:jc w:val="both"/>
        <w:rPr>
          <w:rFonts w:ascii="Arial" w:hAnsi="Arial" w:cs="Arial"/>
          <w:b/>
          <w:i/>
          <w:spacing w:val="-2"/>
          <w:lang w:val="es-ES"/>
        </w:rPr>
      </w:pPr>
      <w:r w:rsidRPr="00993936">
        <w:rPr>
          <w:rFonts w:ascii="Arial" w:hAnsi="Arial" w:cs="Arial"/>
          <w:i/>
          <w:lang w:val="es-ES"/>
        </w:rPr>
        <w:t>51.1 Obligaciones</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snapToGrid w:val="0"/>
          <w:spacing w:val="-2"/>
          <w:lang w:val="es-ES"/>
        </w:rPr>
        <w:t>51.1.1 La empresa tiene que documentar un plan</w:t>
      </w:r>
      <w:r w:rsidRPr="00993936">
        <w:rPr>
          <w:rFonts w:ascii="Arial" w:hAnsi="Arial" w:cs="Arial"/>
          <w:snapToGrid w:val="0"/>
          <w:vanish/>
          <w:spacing w:val="-2"/>
          <w:lang w:val="es-ES"/>
        </w:rPr>
        <w:t>&lt;A[plan|plano]&gt;</w:t>
      </w:r>
      <w:r w:rsidRPr="00993936">
        <w:rPr>
          <w:rFonts w:ascii="Arial" w:hAnsi="Arial" w:cs="Arial"/>
          <w:snapToGrid w:val="0"/>
          <w:spacing w:val="-2"/>
          <w:lang w:val="es-ES"/>
        </w:rPr>
        <w:t xml:space="preserve"> de prevención de riesgos laborales. Los contratos laborales deben ajustarse a los convenios laborales vigentes.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51.1.2  Utilizar las señalizaciones que prevé la legislación vigente.</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51.1.3 En el almacén de productos químicos deben estar presentes, de manera accesible y legible, las normas generales de actuación en caso de intoxicación y derrame</w:t>
      </w:r>
      <w:r w:rsidRPr="00993936">
        <w:rPr>
          <w:rFonts w:ascii="Arial" w:hAnsi="Arial" w:cs="Arial"/>
          <w:vanish/>
          <w:lang w:val="es-ES"/>
        </w:rPr>
        <w:t>&lt;A[derrame|vertido]&gt;</w:t>
      </w:r>
      <w:r w:rsidRPr="00993936">
        <w:rPr>
          <w:rFonts w:ascii="Arial" w:hAnsi="Arial" w:cs="Arial"/>
          <w:lang w:val="es-ES"/>
        </w:rPr>
        <w:t xml:space="preserve"> accidental, y es obligatorio disponer de los números de teléfono del Instituto de Toxicología y de otros organismos que puedan ser competentes en esta materia.</w:t>
      </w:r>
    </w:p>
    <w:p w:rsidR="00503A41" w:rsidRPr="00993936" w:rsidRDefault="00503A41" w:rsidP="001D205D">
      <w:pPr>
        <w:pStyle w:val="Sinespaciado"/>
        <w:jc w:val="both"/>
        <w:rPr>
          <w:rFonts w:ascii="Arial" w:hAnsi="Arial" w:cs="Arial"/>
          <w:b/>
          <w:snapToGrid w:val="0"/>
          <w:lang w:val="es-ES"/>
        </w:rPr>
      </w:pPr>
    </w:p>
    <w:p w:rsidR="00503A41" w:rsidRPr="00993936" w:rsidRDefault="00503A41" w:rsidP="001D205D">
      <w:pPr>
        <w:pStyle w:val="Sinespaciado"/>
        <w:jc w:val="both"/>
        <w:rPr>
          <w:rFonts w:ascii="Arial" w:hAnsi="Arial" w:cs="Arial"/>
          <w:b/>
          <w:snapToGrid w:val="0"/>
          <w:lang w:val="es-ES"/>
        </w:rPr>
      </w:pPr>
      <w:r w:rsidRPr="00993936">
        <w:rPr>
          <w:rFonts w:ascii="Arial" w:hAnsi="Arial" w:cs="Arial"/>
          <w:b/>
          <w:snapToGrid w:val="0"/>
          <w:lang w:val="es-ES"/>
        </w:rPr>
        <w:t>VIII. CONTROL DE CALIDAD</w:t>
      </w:r>
    </w:p>
    <w:p w:rsidR="00503A41" w:rsidRPr="00993936" w:rsidRDefault="00503A41" w:rsidP="001D205D">
      <w:pPr>
        <w:pStyle w:val="Sinespaciado"/>
        <w:jc w:val="both"/>
        <w:rPr>
          <w:rFonts w:ascii="Arial" w:hAnsi="Arial" w:cs="Arial"/>
          <w:snapToGrid w:val="0"/>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52</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lastRenderedPageBreak/>
        <w:t>Calidad del producto</w:t>
      </w:r>
    </w:p>
    <w:p w:rsidR="00503A41" w:rsidRPr="00993936" w:rsidRDefault="00503A41" w:rsidP="001D205D">
      <w:pPr>
        <w:pStyle w:val="Sinespaciado"/>
        <w:jc w:val="both"/>
        <w:rPr>
          <w:rFonts w:ascii="Arial" w:hAnsi="Arial" w:cs="Arial"/>
          <w:b/>
          <w:i/>
          <w:spacing w:val="-2"/>
          <w:lang w:val="es-ES"/>
        </w:rPr>
      </w:pPr>
      <w:r w:rsidRPr="00993936">
        <w:rPr>
          <w:rFonts w:ascii="Arial" w:hAnsi="Arial" w:cs="Arial"/>
          <w:i/>
          <w:lang w:val="es-ES"/>
        </w:rPr>
        <w:t>52.1.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52.1.1 La empresa tiene que tener definido e implantado un muestreo sistemático de la producción mediante el cual se pueda comprobar que se cumple la legislación vigente en lo referente a la analítica y la normalización comercial que actuará, como mínimo:</w:t>
      </w:r>
    </w:p>
    <w:p w:rsidR="00503A41" w:rsidRPr="00993936" w:rsidRDefault="00503A41" w:rsidP="009D1A2D">
      <w:pPr>
        <w:pStyle w:val="Sinespaciado"/>
        <w:numPr>
          <w:ilvl w:val="0"/>
          <w:numId w:val="188"/>
        </w:numPr>
        <w:jc w:val="both"/>
        <w:rPr>
          <w:rFonts w:ascii="Arial" w:hAnsi="Arial" w:cs="Arial"/>
          <w:lang w:val="es-ES"/>
        </w:rPr>
      </w:pPr>
      <w:r w:rsidRPr="00993936">
        <w:rPr>
          <w:rFonts w:ascii="Arial" w:hAnsi="Arial" w:cs="Arial"/>
          <w:lang w:val="es-ES"/>
        </w:rPr>
        <w:t xml:space="preserve">En la procedencia y la recepción de las uvas, incluido el muestreo. </w:t>
      </w:r>
    </w:p>
    <w:p w:rsidR="00503A41" w:rsidRPr="00993936" w:rsidRDefault="00503A41" w:rsidP="009D1A2D">
      <w:pPr>
        <w:pStyle w:val="Sinespaciado"/>
        <w:numPr>
          <w:ilvl w:val="0"/>
          <w:numId w:val="188"/>
        </w:numPr>
        <w:jc w:val="both"/>
        <w:rPr>
          <w:rFonts w:ascii="Arial" w:hAnsi="Arial" w:cs="Arial"/>
          <w:lang w:val="es-ES"/>
        </w:rPr>
      </w:pPr>
      <w:r w:rsidRPr="00993936">
        <w:rPr>
          <w:rFonts w:ascii="Arial" w:hAnsi="Arial" w:cs="Arial"/>
          <w:lang w:val="es-ES"/>
        </w:rPr>
        <w:t xml:space="preserve">Sobre el producto antes del envasado. </w:t>
      </w:r>
    </w:p>
    <w:p w:rsidR="00503A41" w:rsidRPr="00993936" w:rsidRDefault="00503A41" w:rsidP="009D1A2D">
      <w:pPr>
        <w:pStyle w:val="Sinespaciado"/>
        <w:numPr>
          <w:ilvl w:val="0"/>
          <w:numId w:val="188"/>
        </w:numPr>
        <w:jc w:val="both"/>
        <w:rPr>
          <w:rFonts w:ascii="Arial" w:hAnsi="Arial" w:cs="Arial"/>
          <w:lang w:val="es-ES"/>
        </w:rPr>
      </w:pPr>
      <w:r w:rsidRPr="00993936">
        <w:rPr>
          <w:rFonts w:ascii="Arial" w:hAnsi="Arial" w:cs="Arial"/>
          <w:lang w:val="es-ES"/>
        </w:rPr>
        <w:t>En el producto acabado y listo para su expedición.</w:t>
      </w:r>
    </w:p>
    <w:p w:rsidR="00503A41" w:rsidRPr="00993936" w:rsidRDefault="00503A41" w:rsidP="001D205D">
      <w:pPr>
        <w:pStyle w:val="Sinespaciado"/>
        <w:jc w:val="both"/>
        <w:rPr>
          <w:rFonts w:ascii="Arial" w:hAnsi="Arial" w:cs="Arial"/>
          <w:b/>
          <w:lang w:val="es-ES"/>
        </w:rPr>
      </w:pPr>
      <w:r w:rsidRPr="00993936">
        <w:rPr>
          <w:rFonts w:ascii="Arial" w:hAnsi="Arial" w:cs="Arial"/>
          <w:lang w:val="es-ES"/>
        </w:rPr>
        <w:t xml:space="preserve">52.1.2 Realizar análisis de residuos de productos fitosanitarios sobre los productos finalizados, según se prevea en su procedimiento de control de la calidad con un mínimo de un análisis cada </w:t>
      </w:r>
      <w:smartTag w:uri="urn:schemas-microsoft-com:office:smarttags" w:element="metricconverter">
        <w:smartTagPr>
          <w:attr w:name="ProductID" w:val="200.000 litres"/>
        </w:smartTagPr>
        <w:r w:rsidRPr="00993936">
          <w:rPr>
            <w:rFonts w:ascii="Arial" w:hAnsi="Arial" w:cs="Arial"/>
            <w:lang w:val="es-ES"/>
          </w:rPr>
          <w:t>200.000 litros</w:t>
        </w:r>
      </w:smartTag>
      <w:r w:rsidRPr="00993936">
        <w:rPr>
          <w:rFonts w:ascii="Arial" w:hAnsi="Arial" w:cs="Arial"/>
          <w:lang w:val="es-ES"/>
        </w:rPr>
        <w:t xml:space="preserve"> producidos (comprende en este análisis la comprobación de las materias activas permitidas en los tratamientos y las prácticas fitosanitarias de cultivo, tanto para los autorizados como para</w:t>
      </w:r>
      <w:r w:rsidRPr="00993936">
        <w:rPr>
          <w:rFonts w:ascii="Arial" w:hAnsi="Arial" w:cs="Arial"/>
          <w:vanish/>
          <w:lang w:val="es-ES"/>
        </w:rPr>
        <w:t>&lt;A[por|para]&gt;</w:t>
      </w:r>
      <w:r w:rsidRPr="00993936">
        <w:rPr>
          <w:rFonts w:ascii="Arial" w:hAnsi="Arial" w:cs="Arial"/>
          <w:lang w:val="es-ES"/>
        </w:rPr>
        <w:t xml:space="preserve"> aquellos excepcionales que se hubieran efectuado).</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52.1.3 Conservar los registros de los controles y los análisis efectuados.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52.1.4 Controlar periódicamente la calidad y, específicamente, antes de la comercia</w:t>
      </w:r>
      <w:r w:rsidRPr="00993936">
        <w:rPr>
          <w:rFonts w:ascii="Arial" w:hAnsi="Arial" w:cs="Arial"/>
          <w:lang w:val="es-ES"/>
        </w:rPr>
        <w:softHyphen/>
        <w:t>lización, teniendo en cuenta aspectos de muestreo, tipo de determinación analítica que garantice la seguridad del consumidor.</w:t>
      </w:r>
    </w:p>
    <w:p w:rsidR="00503A41" w:rsidRPr="00993936" w:rsidRDefault="00503A41" w:rsidP="001D205D">
      <w:pPr>
        <w:pStyle w:val="Sinespaciado"/>
        <w:jc w:val="both"/>
        <w:rPr>
          <w:rFonts w:ascii="Arial" w:hAnsi="Arial" w:cs="Arial"/>
          <w:b/>
          <w:spacing w:val="-2"/>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53</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Instrumental de medida</w:t>
      </w:r>
    </w:p>
    <w:p w:rsidR="00503A41" w:rsidRPr="00993936" w:rsidRDefault="00503A41" w:rsidP="001D205D">
      <w:pPr>
        <w:pStyle w:val="Sinespaciado"/>
        <w:jc w:val="both"/>
        <w:rPr>
          <w:rFonts w:ascii="Arial" w:hAnsi="Arial" w:cs="Arial"/>
          <w:i/>
          <w:spacing w:val="-2"/>
          <w:lang w:val="es-ES"/>
        </w:rPr>
      </w:pPr>
      <w:r w:rsidRPr="00993936">
        <w:rPr>
          <w:rFonts w:ascii="Arial" w:hAnsi="Arial" w:cs="Arial"/>
          <w:i/>
          <w:lang w:val="es-ES"/>
        </w:rPr>
        <w:t>53.1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53.1.1 Disponer de procedimientos escritos que especifiquen la periodicidad y la exactitud con los cuales se deben verificar los instrumentos de medida utilizados para comprobar la calidad comercial. Estos procedimientos establecerán los registros que habrán generado estas verificaciones.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b/>
          <w:spacing w:val="-2"/>
          <w:lang w:val="es-ES"/>
        </w:rPr>
      </w:pPr>
      <w:r w:rsidRPr="00993936">
        <w:rPr>
          <w:rFonts w:ascii="Arial" w:hAnsi="Arial" w:cs="Arial"/>
          <w:spacing w:val="-2"/>
          <w:lang w:val="es-ES"/>
        </w:rPr>
        <w:t>Artículo 54</w:t>
      </w:r>
    </w:p>
    <w:p w:rsidR="00503A41" w:rsidRPr="00993936" w:rsidRDefault="00503A41" w:rsidP="001D205D">
      <w:pPr>
        <w:pStyle w:val="Sinespaciado"/>
        <w:jc w:val="both"/>
        <w:rPr>
          <w:rFonts w:ascii="Arial" w:hAnsi="Arial" w:cs="Arial"/>
          <w:b/>
          <w:spacing w:val="-2"/>
          <w:lang w:val="es-ES"/>
        </w:rPr>
      </w:pPr>
      <w:r w:rsidRPr="00993936">
        <w:rPr>
          <w:rFonts w:ascii="Arial" w:hAnsi="Arial" w:cs="Arial"/>
          <w:b/>
          <w:spacing w:val="-2"/>
          <w:lang w:val="es-ES"/>
        </w:rPr>
        <w:t xml:space="preserve">Reclamaciones de los clientes </w:t>
      </w:r>
    </w:p>
    <w:p w:rsidR="00503A41" w:rsidRPr="00993936" w:rsidRDefault="00503A41" w:rsidP="001D205D">
      <w:pPr>
        <w:pStyle w:val="Sinespaciado"/>
        <w:jc w:val="both"/>
        <w:rPr>
          <w:rFonts w:ascii="Arial" w:hAnsi="Arial" w:cs="Arial"/>
          <w:b/>
          <w:i/>
          <w:spacing w:val="-2"/>
          <w:lang w:val="es-ES"/>
        </w:rPr>
      </w:pPr>
      <w:r w:rsidRPr="00993936">
        <w:rPr>
          <w:rFonts w:ascii="Arial" w:hAnsi="Arial" w:cs="Arial"/>
          <w:i/>
          <w:lang w:val="es-ES"/>
        </w:rPr>
        <w:t>54.1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54.1.1 Disponer de un sistema para el tratamiento de reclamaciones de los clientes relacionados con las obligaciones y los requisitos recogidos en esta norma específica. 54.1.2 El sistema establecerá la recepción, el registro y la evaluación, así como la conservación de los registros de las reclamaciones recibidas, su evaluación y las acciones correctoras emprendidas.</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55</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Tratamiento de No conformidades</w:t>
      </w:r>
    </w:p>
    <w:p w:rsidR="00503A41" w:rsidRPr="00993936" w:rsidRDefault="00503A41" w:rsidP="001D205D">
      <w:pPr>
        <w:pStyle w:val="Sinespaciado"/>
        <w:jc w:val="both"/>
        <w:rPr>
          <w:rFonts w:ascii="Arial" w:hAnsi="Arial" w:cs="Arial"/>
          <w:b/>
          <w:i/>
          <w:lang w:val="es-ES"/>
        </w:rPr>
      </w:pPr>
      <w:r w:rsidRPr="00993936">
        <w:rPr>
          <w:rFonts w:ascii="Arial" w:hAnsi="Arial" w:cs="Arial"/>
          <w:i/>
          <w:lang w:val="es-ES"/>
        </w:rPr>
        <w:t>55.1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55.1.1 Cuando durante la realización de los controles internos o externos se detecte el incumplimiento total o parcial de alguna de las prácticas establecidas en esta norma como “obligatorias” o “prohibidas”, se tendrá que dejar registro como “no conformidad” de las desviaciones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55.1.2 Establecer y documentar las acciones correctivas que procedan para dar el tratamiento adecuado a estas no conformidades, de manera que se eliminen los efectos y las causas que las motivaron y se impida una repetición futura.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55.1.3 El operador tiene que realizar el seguimiento de la implantación de las acciones correctivas y comprobar que sean efectivas antes de proceder al cierre de las no- conformidades detectadas.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55.1.4 Siempre que se detecten no conformidades sobre las materias primas, productos en proceso y los productos finales obtenidos de los productos vegetales de producción integrada, se deberán adoptar las medidas adecuadas de identificación, trazabilidad y segregación de estos, de manera que se manifieste claramente su estado “no conforme” y se prevenga la utilización o comercialización de manera no intencionada como productos de producción integrada.</w:t>
      </w:r>
    </w:p>
    <w:p w:rsidR="00503A41" w:rsidRPr="00993936" w:rsidRDefault="00503A41" w:rsidP="001D205D">
      <w:pPr>
        <w:pStyle w:val="Sinespaciado"/>
        <w:jc w:val="both"/>
        <w:rPr>
          <w:rFonts w:ascii="Arial" w:hAnsi="Arial" w:cs="Arial"/>
          <w:spacing w:val="-2"/>
        </w:rPr>
      </w:pPr>
    </w:p>
    <w:p w:rsidR="00503A41" w:rsidRPr="00993936" w:rsidRDefault="00503A41" w:rsidP="001D205D">
      <w:pPr>
        <w:pStyle w:val="Sinespaciado"/>
        <w:jc w:val="both"/>
        <w:rPr>
          <w:rFonts w:ascii="Arial" w:hAnsi="Arial" w:cs="Arial"/>
          <w:spacing w:val="-2"/>
        </w:rPr>
      </w:pPr>
    </w:p>
    <w:p w:rsidR="00503A41" w:rsidRPr="00993936" w:rsidRDefault="00503A41" w:rsidP="001D205D">
      <w:pPr>
        <w:pStyle w:val="Sinespaciado"/>
        <w:jc w:val="both"/>
        <w:rPr>
          <w:rFonts w:ascii="Arial" w:hAnsi="Arial" w:cs="Arial"/>
          <w:b/>
          <w:spacing w:val="-2"/>
        </w:rPr>
      </w:pPr>
      <w:r w:rsidRPr="00993936">
        <w:rPr>
          <w:rFonts w:ascii="Arial" w:hAnsi="Arial" w:cs="Arial"/>
          <w:b/>
          <w:spacing w:val="-2"/>
        </w:rPr>
        <w:t xml:space="preserve">IX. Otros </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56</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Cuaderno de elaboración del vino</w:t>
      </w:r>
    </w:p>
    <w:p w:rsidR="00503A41" w:rsidRPr="00993936" w:rsidRDefault="00503A41" w:rsidP="001D205D">
      <w:pPr>
        <w:pStyle w:val="Sinespaciado"/>
        <w:jc w:val="both"/>
        <w:rPr>
          <w:rFonts w:ascii="Arial" w:hAnsi="Arial" w:cs="Arial"/>
          <w:b/>
          <w:i/>
          <w:lang w:val="es-ES"/>
        </w:rPr>
      </w:pPr>
      <w:r w:rsidRPr="00993936">
        <w:rPr>
          <w:rFonts w:ascii="Arial" w:hAnsi="Arial" w:cs="Arial"/>
          <w:i/>
          <w:lang w:val="es-ES"/>
        </w:rPr>
        <w:t>56.1 Obligaciones</w:t>
      </w:r>
    </w:p>
    <w:p w:rsidR="00503A41" w:rsidRPr="00993936" w:rsidRDefault="00503A41" w:rsidP="001D205D">
      <w:pPr>
        <w:pStyle w:val="Sinespaciado"/>
        <w:jc w:val="both"/>
        <w:rPr>
          <w:rFonts w:ascii="Arial" w:hAnsi="Arial" w:cs="Arial"/>
          <w:snapToGrid w:val="0"/>
          <w:lang w:val="es-ES"/>
        </w:rPr>
      </w:pPr>
      <w:r w:rsidRPr="00993936">
        <w:rPr>
          <w:rFonts w:ascii="Arial" w:hAnsi="Arial" w:cs="Arial"/>
          <w:lang w:val="es-ES"/>
        </w:rPr>
        <w:t xml:space="preserve">56.1.1 El Cuaderno de elaboración es un registro de las operaciones y las intervenciones que se realizan en los procesos de manipulación, elaboración, conservación, envasado y almacenamiento, y sirve para garantizarlos. El modelo de Cuaderno es único con respecto a los datos a registrar, y será aprobado por el </w:t>
      </w:r>
      <w:r w:rsidRPr="00993936">
        <w:rPr>
          <w:rFonts w:ascii="Arial" w:hAnsi="Arial" w:cs="Arial"/>
          <w:snapToGrid w:val="0"/>
          <w:lang w:val="es-ES"/>
        </w:rPr>
        <w:t>Departamento de Agricultura, Ganadería, Pesca, Alimentación y Medio Natural</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56.1.2 El técnico responsable de producción integrada se responsabilizará, mediante su firma, de la veracidad de las anotaciones realizadas en el Cuaderno de elaboración.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56.1.3 El Cuaderno de elaboración es obligatorio y estará siempre disponible para su inspección. Para la buena funcionalidad del sistema, las anotaciones de las operaciones se deberán realizar en el plazo máximo de los 7 días siguientes a su ejecución.</w:t>
      </w:r>
    </w:p>
    <w:p w:rsidR="00503A41" w:rsidRPr="00993936" w:rsidRDefault="00503A41" w:rsidP="001D205D">
      <w:pPr>
        <w:pStyle w:val="Sinespaciado"/>
        <w:jc w:val="both"/>
        <w:rPr>
          <w:rFonts w:ascii="Arial" w:hAnsi="Arial" w:cs="Arial"/>
          <w:b/>
          <w:u w:val="single"/>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57</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 xml:space="preserve">Bodegas </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57.1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57.1.2 Disponer de un plan</w:t>
      </w:r>
      <w:r w:rsidRPr="00993936">
        <w:rPr>
          <w:rFonts w:ascii="Arial" w:hAnsi="Arial" w:cs="Arial"/>
          <w:vanish/>
          <w:lang w:val="es-ES"/>
        </w:rPr>
        <w:t>&lt;A[Plan|Plano]&gt;</w:t>
      </w:r>
      <w:r w:rsidRPr="00993936">
        <w:rPr>
          <w:rFonts w:ascii="Arial" w:hAnsi="Arial" w:cs="Arial"/>
          <w:lang w:val="es-ES"/>
        </w:rPr>
        <w:t xml:space="preserve"> de prevención de riesgos laborales y de un plan</w:t>
      </w:r>
      <w:r w:rsidRPr="00993936">
        <w:rPr>
          <w:rFonts w:ascii="Arial" w:hAnsi="Arial" w:cs="Arial"/>
          <w:vanish/>
          <w:lang w:val="es-ES"/>
        </w:rPr>
        <w:t>&lt;A[Plan|Plano]&gt;</w:t>
      </w:r>
      <w:r w:rsidRPr="00993936">
        <w:rPr>
          <w:rFonts w:ascii="Arial" w:hAnsi="Arial" w:cs="Arial"/>
          <w:lang w:val="es-ES"/>
        </w:rPr>
        <w:t xml:space="preserve"> de análisis de peligros y puntos de control críticos (APPCC) implantados y aprobados por</w:t>
      </w:r>
      <w:r w:rsidRPr="00993936">
        <w:rPr>
          <w:rFonts w:ascii="Arial" w:hAnsi="Arial" w:cs="Arial"/>
          <w:vanish/>
          <w:lang w:val="es-ES"/>
        </w:rPr>
        <w:t>&lt;A[para|por]&gt;</w:t>
      </w:r>
      <w:r w:rsidRPr="00993936">
        <w:rPr>
          <w:rFonts w:ascii="Arial" w:hAnsi="Arial" w:cs="Arial"/>
          <w:lang w:val="es-ES"/>
        </w:rPr>
        <w:t xml:space="preserve"> los organismos competentes en razón de la materia.</w:t>
      </w:r>
    </w:p>
    <w:p w:rsidR="00503A41" w:rsidRPr="00993936" w:rsidRDefault="00503A41" w:rsidP="001D205D">
      <w:pPr>
        <w:pStyle w:val="Sinespaciado"/>
        <w:jc w:val="both"/>
        <w:rPr>
          <w:rFonts w:ascii="Arial" w:hAnsi="Arial" w:cs="Arial"/>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58</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Control y certificación</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58.1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58.1.1 El control y la certificación del sistema de la producción integrada se regirá por</w:t>
      </w:r>
      <w:r w:rsidRPr="00993936">
        <w:rPr>
          <w:rFonts w:ascii="Arial" w:hAnsi="Arial" w:cs="Arial"/>
          <w:vanish/>
          <w:lang w:val="es-ES"/>
        </w:rPr>
        <w:t>&lt;A[por|para]&gt;</w:t>
      </w:r>
      <w:r w:rsidRPr="00993936">
        <w:rPr>
          <w:rFonts w:ascii="Arial" w:hAnsi="Arial" w:cs="Arial"/>
          <w:lang w:val="es-ES"/>
        </w:rPr>
        <w:t xml:space="preserve"> lo que determina la Ley 14/2003, de 13 de junio, de calidad agroalimentaria, el Decreto 285/2006, de 4 de julio, por el cual se desarrolla la Ley 14/2003, el Decreto 241/2002, de 8 de octubre, por</w:t>
      </w:r>
      <w:r w:rsidRPr="00993936">
        <w:rPr>
          <w:rFonts w:ascii="Arial" w:hAnsi="Arial" w:cs="Arial"/>
          <w:vanish/>
          <w:lang w:val="es-ES"/>
        </w:rPr>
        <w:t>&lt;A[por|para]&gt;</w:t>
      </w:r>
      <w:r w:rsidRPr="00993936">
        <w:rPr>
          <w:rFonts w:ascii="Arial" w:hAnsi="Arial" w:cs="Arial"/>
          <w:lang w:val="es-ES"/>
        </w:rPr>
        <w:t xml:space="preserve"> el cual se regula la producción integrada en Cataluña y la Orden ARP/208/2003, de 7 de mayo, por</w:t>
      </w:r>
      <w:r w:rsidRPr="00993936">
        <w:rPr>
          <w:rFonts w:ascii="Arial" w:hAnsi="Arial" w:cs="Arial"/>
          <w:vanish/>
          <w:lang w:val="es-ES"/>
        </w:rPr>
        <w:t>&lt;A[por|para]&gt;</w:t>
      </w:r>
      <w:r w:rsidRPr="00993936">
        <w:rPr>
          <w:rFonts w:ascii="Arial" w:hAnsi="Arial" w:cs="Arial"/>
          <w:lang w:val="es-ES"/>
        </w:rPr>
        <w:t xml:space="preserve"> la cual se aprueba el Reglamento de régimen interior del Consejo Catalán de la Producción Integrada.</w:t>
      </w:r>
    </w:p>
    <w:p w:rsidR="00503A41" w:rsidRPr="00993936" w:rsidRDefault="00503A41" w:rsidP="001D205D">
      <w:pPr>
        <w:pStyle w:val="Sinespaciado"/>
        <w:jc w:val="both"/>
        <w:rPr>
          <w:rFonts w:ascii="Arial" w:hAnsi="Arial" w:cs="Arial"/>
          <w:b/>
          <w:lang w:val="es-ES"/>
        </w:rPr>
      </w:pPr>
    </w:p>
    <w:p w:rsidR="00503A41" w:rsidRPr="00993936" w:rsidRDefault="00503A41" w:rsidP="001D205D">
      <w:pPr>
        <w:pStyle w:val="Sinespaciado"/>
        <w:jc w:val="both"/>
        <w:rPr>
          <w:rFonts w:ascii="Arial" w:hAnsi="Arial" w:cs="Arial"/>
          <w:lang w:val="es-ES"/>
        </w:rPr>
      </w:pPr>
      <w:r w:rsidRPr="00993936">
        <w:rPr>
          <w:rFonts w:ascii="Arial" w:hAnsi="Arial" w:cs="Arial"/>
          <w:lang w:val="es-ES"/>
        </w:rPr>
        <w:t>Artículo 59</w:t>
      </w:r>
    </w:p>
    <w:p w:rsidR="00503A41" w:rsidRPr="00993936" w:rsidRDefault="00503A41" w:rsidP="001D205D">
      <w:pPr>
        <w:pStyle w:val="Sinespaciado"/>
        <w:jc w:val="both"/>
        <w:rPr>
          <w:rFonts w:ascii="Arial" w:hAnsi="Arial" w:cs="Arial"/>
          <w:b/>
          <w:lang w:val="es-ES"/>
        </w:rPr>
      </w:pPr>
      <w:r w:rsidRPr="00993936">
        <w:rPr>
          <w:rFonts w:ascii="Arial" w:hAnsi="Arial" w:cs="Arial"/>
          <w:b/>
          <w:lang w:val="es-ES"/>
        </w:rPr>
        <w:t>Distintivo de garantía de producción integrada</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59.1 Obligaciones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59.1.1 Sólo podrán utilizar el distintivo de garantía de producción integrada de Cataluña los productos que previamente hayan cumplido los requisitos que establece la normativa vigente de producción integrada, y hayan obtenido la certificación a través de una entidad de control y certificación.</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59.1.2 La utilización del distintivo de garantía de producción integrada en las etiquetas de los envases y otros lugares</w:t>
      </w:r>
      <w:r w:rsidRPr="00993936">
        <w:rPr>
          <w:rFonts w:ascii="Arial" w:hAnsi="Arial" w:cs="Arial"/>
          <w:vanish/>
          <w:lang w:val="es-ES"/>
        </w:rPr>
        <w:t>&lt;A[lugares|sitios]&gt;</w:t>
      </w:r>
      <w:r w:rsidRPr="00993936">
        <w:rPr>
          <w:rFonts w:ascii="Arial" w:hAnsi="Arial" w:cs="Arial"/>
          <w:lang w:val="es-ES"/>
        </w:rPr>
        <w:t xml:space="preserve"> se ajustará al sistema establecido por el libro de estilo del Consejo Catalán de la Producción Integrada.</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59.1.3 La concesión del distintivo de garantía de producción integrada será concedido por</w:t>
      </w:r>
      <w:r w:rsidRPr="00993936">
        <w:rPr>
          <w:rFonts w:ascii="Arial" w:hAnsi="Arial" w:cs="Arial"/>
          <w:vanish/>
          <w:lang w:val="es-ES"/>
        </w:rPr>
        <w:t>&lt;A[para|por]&gt;</w:t>
      </w:r>
      <w:r w:rsidRPr="00993936">
        <w:rPr>
          <w:rFonts w:ascii="Arial" w:hAnsi="Arial" w:cs="Arial"/>
          <w:lang w:val="es-ES"/>
        </w:rPr>
        <w:t xml:space="preserve"> el Consejo.</w:t>
      </w:r>
    </w:p>
    <w:p w:rsidR="00503A41" w:rsidRPr="00993936" w:rsidRDefault="00503A41" w:rsidP="001D205D">
      <w:pPr>
        <w:pStyle w:val="Sinespaciado"/>
        <w:jc w:val="both"/>
        <w:rPr>
          <w:rFonts w:ascii="Arial" w:hAnsi="Arial" w:cs="Arial"/>
          <w:i/>
          <w:lang w:val="es-ES"/>
        </w:rPr>
      </w:pPr>
      <w:r w:rsidRPr="00993936">
        <w:rPr>
          <w:rFonts w:ascii="Arial" w:hAnsi="Arial" w:cs="Arial"/>
          <w:i/>
          <w:lang w:val="es-ES"/>
        </w:rPr>
        <w:t>59.2 Prohibiciones</w:t>
      </w:r>
    </w:p>
    <w:p w:rsidR="00503A41" w:rsidRPr="00993936" w:rsidRDefault="00503A41" w:rsidP="001D205D">
      <w:pPr>
        <w:pStyle w:val="Sinespaciado"/>
        <w:jc w:val="both"/>
        <w:rPr>
          <w:rFonts w:ascii="Arial" w:hAnsi="Arial" w:cs="Arial"/>
          <w:lang w:val="es-ES"/>
        </w:rPr>
      </w:pPr>
      <w:r w:rsidRPr="00993936">
        <w:rPr>
          <w:rFonts w:ascii="Arial" w:hAnsi="Arial" w:cs="Arial"/>
          <w:lang w:val="es-ES"/>
        </w:rPr>
        <w:t xml:space="preserve">59.2.1 Utilizar el distintivo de garantía sin disponer de la preceptiva certificación. </w:t>
      </w:r>
    </w:p>
    <w:p w:rsidR="00503A41" w:rsidRPr="00993936" w:rsidRDefault="00503A41" w:rsidP="0009331F">
      <w:pPr>
        <w:jc w:val="both"/>
        <w:rPr>
          <w:rFonts w:ascii="Arial" w:hAnsi="Arial" w:cs="Arial"/>
          <w:b/>
          <w:lang w:val="es-ES"/>
        </w:rPr>
      </w:pPr>
    </w:p>
    <w:p w:rsidR="00503A41" w:rsidRPr="00993936" w:rsidRDefault="00503A41" w:rsidP="0009331F">
      <w:pPr>
        <w:jc w:val="both"/>
        <w:rPr>
          <w:rFonts w:ascii="Arial" w:hAnsi="Arial" w:cs="Arial"/>
          <w:b/>
          <w:lang w:val="es-ES"/>
        </w:rPr>
      </w:pPr>
    </w:p>
    <w:p w:rsidR="00503A41" w:rsidRPr="00993936" w:rsidRDefault="00503A41" w:rsidP="0009331F">
      <w:pPr>
        <w:pStyle w:val="titulo2"/>
        <w:widowControl/>
        <w:tabs>
          <w:tab w:val="clear" w:pos="1134"/>
        </w:tabs>
        <w:spacing w:before="0" w:after="0" w:line="240" w:lineRule="auto"/>
        <w:rPr>
          <w:rFonts w:ascii="Arial" w:hAnsi="Arial" w:cs="Arial"/>
          <w:b w:val="0"/>
          <w:sz w:val="22"/>
          <w:lang w:val="es-ES"/>
        </w:rPr>
      </w:pPr>
    </w:p>
    <w:p w:rsidR="00503A41" w:rsidRPr="00993936" w:rsidRDefault="00503A41">
      <w:pPr>
        <w:rPr>
          <w:rFonts w:ascii="Arial" w:eastAsia="Times New Roman" w:hAnsi="Arial" w:cs="Arial"/>
          <w:szCs w:val="20"/>
          <w:lang w:val="es-ES" w:eastAsia="es-ES"/>
        </w:rPr>
      </w:pPr>
      <w:r w:rsidRPr="00993936">
        <w:rPr>
          <w:rFonts w:ascii="Arial" w:hAnsi="Arial" w:cs="Arial"/>
          <w:b/>
          <w:lang w:val="es-ES"/>
        </w:rPr>
        <w:br w:type="page"/>
      </w:r>
    </w:p>
    <w:p w:rsidR="00503A41" w:rsidRPr="00993936" w:rsidRDefault="00503A41" w:rsidP="0009331F">
      <w:pPr>
        <w:pStyle w:val="titulo2"/>
        <w:widowControl/>
        <w:tabs>
          <w:tab w:val="clear" w:pos="1134"/>
        </w:tabs>
        <w:spacing w:before="0" w:after="0" w:line="240" w:lineRule="auto"/>
        <w:rPr>
          <w:rFonts w:ascii="Arial" w:hAnsi="Arial" w:cs="Arial"/>
          <w:b w:val="0"/>
          <w:sz w:val="22"/>
          <w:lang w:val="es-ES"/>
        </w:rPr>
      </w:pPr>
    </w:p>
    <w:p w:rsidR="00503A41" w:rsidRPr="00993936" w:rsidRDefault="00503A41" w:rsidP="0009331F">
      <w:pPr>
        <w:pStyle w:val="titulo2"/>
        <w:widowControl/>
        <w:tabs>
          <w:tab w:val="clear" w:pos="1134"/>
        </w:tabs>
        <w:spacing w:before="0" w:after="0" w:line="240" w:lineRule="auto"/>
        <w:jc w:val="center"/>
        <w:rPr>
          <w:rFonts w:ascii="Arial" w:hAnsi="Arial" w:cs="Arial"/>
          <w:sz w:val="24"/>
          <w:szCs w:val="24"/>
          <w:u w:val="single"/>
          <w:lang w:val="es-ES"/>
        </w:rPr>
      </w:pPr>
      <w:r w:rsidRPr="00993936">
        <w:rPr>
          <w:rFonts w:ascii="Arial" w:hAnsi="Arial" w:cs="Arial"/>
          <w:sz w:val="24"/>
          <w:szCs w:val="24"/>
          <w:u w:val="single"/>
          <w:lang w:val="es-ES"/>
        </w:rPr>
        <w:t>ANEXOS</w:t>
      </w:r>
    </w:p>
    <w:p w:rsidR="00503A41" w:rsidRPr="00993936" w:rsidRDefault="00503A41" w:rsidP="0009331F">
      <w:pPr>
        <w:pStyle w:val="titulo2"/>
        <w:widowControl/>
        <w:tabs>
          <w:tab w:val="clear" w:pos="1134"/>
        </w:tabs>
        <w:spacing w:before="0" w:after="0" w:line="240" w:lineRule="auto"/>
        <w:rPr>
          <w:rFonts w:ascii="Arial" w:hAnsi="Arial" w:cs="Arial"/>
          <w:sz w:val="22"/>
          <w:lang w:val="es-ES"/>
        </w:rPr>
      </w:pPr>
    </w:p>
    <w:p w:rsidR="00503A41" w:rsidRPr="00993936" w:rsidRDefault="00503A41" w:rsidP="0009331F">
      <w:pPr>
        <w:pStyle w:val="titulo2"/>
        <w:widowControl/>
        <w:tabs>
          <w:tab w:val="clear" w:pos="1134"/>
        </w:tabs>
        <w:spacing w:before="0" w:after="0" w:line="240" w:lineRule="auto"/>
        <w:rPr>
          <w:rFonts w:ascii="Arial" w:hAnsi="Arial" w:cs="Arial"/>
          <w:sz w:val="22"/>
          <w:szCs w:val="22"/>
          <w:lang w:val="es-ES"/>
        </w:rPr>
      </w:pPr>
      <w:r w:rsidRPr="00993936">
        <w:rPr>
          <w:rFonts w:ascii="Arial" w:hAnsi="Arial" w:cs="Arial"/>
          <w:sz w:val="22"/>
          <w:szCs w:val="22"/>
          <w:lang w:val="es-ES"/>
        </w:rPr>
        <w:t xml:space="preserve"> ANEXO 1</w:t>
      </w:r>
    </w:p>
    <w:p w:rsidR="00503A41" w:rsidRPr="00993936" w:rsidRDefault="00503A41" w:rsidP="0009331F">
      <w:pPr>
        <w:pStyle w:val="titulo2"/>
        <w:widowControl/>
        <w:tabs>
          <w:tab w:val="clear" w:pos="1134"/>
        </w:tabs>
        <w:spacing w:before="0" w:after="0" w:line="240" w:lineRule="auto"/>
        <w:rPr>
          <w:rFonts w:ascii="Arial" w:hAnsi="Arial" w:cs="Arial"/>
          <w:sz w:val="22"/>
          <w:lang w:val="es-ES"/>
        </w:rPr>
      </w:pPr>
    </w:p>
    <w:p w:rsidR="00503A41" w:rsidRPr="00993936" w:rsidRDefault="00503A41" w:rsidP="0009331F">
      <w:pPr>
        <w:autoSpaceDE w:val="0"/>
        <w:autoSpaceDN w:val="0"/>
        <w:adjustRightInd w:val="0"/>
        <w:jc w:val="both"/>
        <w:rPr>
          <w:rFonts w:ascii="Arial" w:hAnsi="Arial" w:cs="Arial"/>
          <w:b/>
          <w:bCs/>
          <w:lang w:val="es-ES"/>
        </w:rPr>
      </w:pPr>
      <w:r w:rsidRPr="00993936">
        <w:rPr>
          <w:rFonts w:ascii="Arial" w:hAnsi="Arial" w:cs="Arial"/>
          <w:b/>
          <w:bCs/>
          <w:lang w:val="es-ES"/>
        </w:rPr>
        <w:t>Lista de principios activos que se pueden utilizar en la limpieza y la desinfección de las bodegas en producción integrada de elaboración de vino</w:t>
      </w:r>
    </w:p>
    <w:p w:rsidR="00503A41" w:rsidRPr="00993936" w:rsidRDefault="00503A41" w:rsidP="0009331F">
      <w:pPr>
        <w:autoSpaceDE w:val="0"/>
        <w:autoSpaceDN w:val="0"/>
        <w:adjustRightInd w:val="0"/>
        <w:jc w:val="both"/>
        <w:rPr>
          <w:rFonts w:ascii="Arial" w:hAnsi="Arial" w:cs="Arial"/>
          <w:b/>
          <w:bCs/>
          <w:lang w:val="es-ES"/>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260"/>
      </w:tblGrid>
      <w:tr w:rsidR="00503A41" w:rsidRPr="00993936" w:rsidTr="0009331F">
        <w:tc>
          <w:tcPr>
            <w:tcW w:w="5387" w:type="dxa"/>
            <w:shd w:val="clear" w:color="auto" w:fill="D9D9D9"/>
            <w:vAlign w:val="center"/>
          </w:tcPr>
          <w:p w:rsidR="00503A41" w:rsidRPr="00993936" w:rsidRDefault="00503A41" w:rsidP="0009331F">
            <w:pPr>
              <w:pStyle w:val="titulo2"/>
              <w:widowControl/>
              <w:tabs>
                <w:tab w:val="clear" w:pos="1134"/>
              </w:tabs>
              <w:spacing w:before="0" w:after="0" w:line="240" w:lineRule="auto"/>
              <w:rPr>
                <w:rFonts w:ascii="Arial" w:hAnsi="Arial" w:cs="Arial"/>
                <w:lang w:val="es-ES"/>
              </w:rPr>
            </w:pPr>
            <w:r w:rsidRPr="00993936">
              <w:rPr>
                <w:rFonts w:ascii="Arial" w:hAnsi="Arial" w:cs="Arial"/>
                <w:lang w:val="es-ES"/>
              </w:rPr>
              <w:t>PRINCIPIOS ACTIVOS</w:t>
            </w:r>
          </w:p>
        </w:tc>
        <w:tc>
          <w:tcPr>
            <w:tcW w:w="3260" w:type="dxa"/>
            <w:shd w:val="clear" w:color="auto" w:fill="D9D9D9"/>
            <w:vAlign w:val="center"/>
          </w:tcPr>
          <w:p w:rsidR="00503A41" w:rsidRPr="00993936" w:rsidRDefault="00503A41" w:rsidP="0009331F">
            <w:pPr>
              <w:pStyle w:val="titulo2"/>
              <w:widowControl/>
              <w:tabs>
                <w:tab w:val="clear" w:pos="1134"/>
              </w:tabs>
              <w:spacing w:before="0" w:after="0" w:line="240" w:lineRule="auto"/>
              <w:rPr>
                <w:rFonts w:ascii="Arial" w:hAnsi="Arial" w:cs="Arial"/>
                <w:lang w:val="es-ES"/>
              </w:rPr>
            </w:pPr>
            <w:r w:rsidRPr="00993936">
              <w:rPr>
                <w:rFonts w:ascii="Arial" w:hAnsi="Arial" w:cs="Arial"/>
                <w:lang w:val="es-ES"/>
              </w:rPr>
              <w:t>RESTRICCIONES</w:t>
            </w:r>
          </w:p>
        </w:tc>
      </w:tr>
      <w:tr w:rsidR="00503A41" w:rsidRPr="00993936" w:rsidTr="0009331F">
        <w:tc>
          <w:tcPr>
            <w:tcW w:w="5387" w:type="dxa"/>
            <w:shd w:val="clear" w:color="auto" w:fill="auto"/>
          </w:tcPr>
          <w:p w:rsidR="00503A41" w:rsidRPr="00993936" w:rsidRDefault="00503A41" w:rsidP="0009331F">
            <w:pPr>
              <w:autoSpaceDE w:val="0"/>
              <w:autoSpaceDN w:val="0"/>
              <w:adjustRightInd w:val="0"/>
              <w:spacing w:line="360" w:lineRule="auto"/>
              <w:jc w:val="both"/>
              <w:rPr>
                <w:rFonts w:ascii="Arial" w:hAnsi="Arial" w:cs="Arial"/>
                <w:lang w:val="es-ES"/>
              </w:rPr>
            </w:pPr>
            <w:r w:rsidRPr="00993936">
              <w:rPr>
                <w:rFonts w:ascii="Arial" w:hAnsi="Arial" w:cs="Arial"/>
                <w:lang w:val="es-ES"/>
              </w:rPr>
              <w:t>-Hidróxido sódico</w:t>
            </w:r>
          </w:p>
          <w:p w:rsidR="00503A41" w:rsidRPr="00993936" w:rsidRDefault="00503A41" w:rsidP="0009331F">
            <w:pPr>
              <w:autoSpaceDE w:val="0"/>
              <w:autoSpaceDN w:val="0"/>
              <w:adjustRightInd w:val="0"/>
              <w:spacing w:line="360" w:lineRule="auto"/>
              <w:jc w:val="both"/>
              <w:rPr>
                <w:rFonts w:ascii="Arial" w:hAnsi="Arial" w:cs="Arial"/>
                <w:lang w:val="es-ES"/>
              </w:rPr>
            </w:pPr>
            <w:r w:rsidRPr="00993936">
              <w:rPr>
                <w:rFonts w:ascii="Arial" w:hAnsi="Arial" w:cs="Arial"/>
                <w:lang w:val="es-ES"/>
              </w:rPr>
              <w:t>-Ácido cítrico</w:t>
            </w:r>
          </w:p>
          <w:p w:rsidR="00503A41" w:rsidRPr="00993936" w:rsidRDefault="00503A41" w:rsidP="0009331F">
            <w:pPr>
              <w:autoSpaceDE w:val="0"/>
              <w:autoSpaceDN w:val="0"/>
              <w:adjustRightInd w:val="0"/>
              <w:spacing w:line="360" w:lineRule="auto"/>
              <w:jc w:val="both"/>
              <w:rPr>
                <w:rFonts w:ascii="Arial" w:hAnsi="Arial" w:cs="Arial"/>
                <w:lang w:val="es-ES"/>
              </w:rPr>
            </w:pPr>
            <w:r w:rsidRPr="00993936">
              <w:rPr>
                <w:rFonts w:ascii="Arial" w:hAnsi="Arial" w:cs="Arial"/>
                <w:lang w:val="es-ES"/>
              </w:rPr>
              <w:t>-Amonio cuaternario</w:t>
            </w:r>
          </w:p>
          <w:p w:rsidR="00503A41" w:rsidRPr="00993936" w:rsidRDefault="00503A41" w:rsidP="0009331F">
            <w:pPr>
              <w:autoSpaceDE w:val="0"/>
              <w:autoSpaceDN w:val="0"/>
              <w:adjustRightInd w:val="0"/>
              <w:spacing w:line="360" w:lineRule="auto"/>
              <w:jc w:val="both"/>
              <w:rPr>
                <w:rFonts w:ascii="Arial" w:hAnsi="Arial" w:cs="Arial"/>
                <w:lang w:val="es-ES"/>
              </w:rPr>
            </w:pPr>
            <w:r w:rsidRPr="00993936">
              <w:rPr>
                <w:rFonts w:ascii="Arial" w:hAnsi="Arial" w:cs="Arial"/>
                <w:lang w:val="es-ES"/>
              </w:rPr>
              <w:t>-Metabisulfito potásico</w:t>
            </w:r>
          </w:p>
          <w:p w:rsidR="00503A41" w:rsidRPr="00993936" w:rsidRDefault="00503A41" w:rsidP="0009331F">
            <w:pPr>
              <w:autoSpaceDE w:val="0"/>
              <w:autoSpaceDN w:val="0"/>
              <w:adjustRightInd w:val="0"/>
              <w:spacing w:line="360" w:lineRule="auto"/>
              <w:jc w:val="both"/>
              <w:rPr>
                <w:rFonts w:ascii="Arial" w:hAnsi="Arial" w:cs="Arial"/>
                <w:lang w:val="es-ES"/>
              </w:rPr>
            </w:pPr>
            <w:r w:rsidRPr="00993936">
              <w:rPr>
                <w:rFonts w:ascii="Arial" w:hAnsi="Arial" w:cs="Arial"/>
                <w:lang w:val="es-ES"/>
              </w:rPr>
              <w:t>-Ácido peracético y peróxido de hidrógeno</w:t>
            </w:r>
          </w:p>
          <w:p w:rsidR="00503A41" w:rsidRPr="00993936" w:rsidRDefault="00503A41" w:rsidP="0009331F">
            <w:pPr>
              <w:autoSpaceDE w:val="0"/>
              <w:autoSpaceDN w:val="0"/>
              <w:adjustRightInd w:val="0"/>
              <w:spacing w:line="360" w:lineRule="auto"/>
              <w:jc w:val="both"/>
              <w:rPr>
                <w:rFonts w:ascii="Arial" w:hAnsi="Arial" w:cs="Arial"/>
                <w:lang w:val="es-ES"/>
              </w:rPr>
            </w:pPr>
            <w:r w:rsidRPr="00993936">
              <w:rPr>
                <w:rFonts w:ascii="Arial" w:hAnsi="Arial" w:cs="Arial"/>
                <w:lang w:val="es-ES"/>
              </w:rPr>
              <w:t>-Disoluciones etanólicas</w:t>
            </w:r>
          </w:p>
          <w:p w:rsidR="00503A41" w:rsidRPr="00993936" w:rsidRDefault="00503A41" w:rsidP="0009331F">
            <w:pPr>
              <w:autoSpaceDE w:val="0"/>
              <w:autoSpaceDN w:val="0"/>
              <w:adjustRightInd w:val="0"/>
              <w:spacing w:line="360" w:lineRule="auto"/>
              <w:jc w:val="both"/>
              <w:rPr>
                <w:rFonts w:ascii="Arial" w:hAnsi="Arial" w:cs="Arial"/>
                <w:lang w:val="es-ES"/>
              </w:rPr>
            </w:pPr>
            <w:r w:rsidRPr="00993936">
              <w:rPr>
                <w:rFonts w:ascii="Arial" w:hAnsi="Arial" w:cs="Arial"/>
                <w:lang w:val="es-ES"/>
              </w:rPr>
              <w:t>-Jabón de base potásica (jabón blando).</w:t>
            </w:r>
          </w:p>
          <w:p w:rsidR="00503A41" w:rsidRPr="00993936" w:rsidRDefault="00503A41" w:rsidP="0009331F">
            <w:pPr>
              <w:pStyle w:val="titulo2"/>
              <w:widowControl/>
              <w:tabs>
                <w:tab w:val="clear" w:pos="1134"/>
              </w:tabs>
              <w:spacing w:before="0" w:after="0" w:line="240" w:lineRule="auto"/>
              <w:rPr>
                <w:rFonts w:ascii="Arial" w:hAnsi="Arial" w:cs="Arial"/>
                <w:b w:val="0"/>
                <w:sz w:val="22"/>
                <w:szCs w:val="22"/>
                <w:lang w:val="es-ES"/>
              </w:rPr>
            </w:pPr>
          </w:p>
        </w:tc>
        <w:tc>
          <w:tcPr>
            <w:tcW w:w="3260" w:type="dxa"/>
            <w:shd w:val="clear" w:color="auto" w:fill="auto"/>
            <w:vAlign w:val="center"/>
          </w:tcPr>
          <w:p w:rsidR="00503A41" w:rsidRPr="00993936" w:rsidRDefault="00503A41" w:rsidP="0009331F">
            <w:pPr>
              <w:pStyle w:val="titulo2"/>
              <w:widowControl/>
              <w:tabs>
                <w:tab w:val="clear" w:pos="1134"/>
              </w:tabs>
              <w:spacing w:before="0" w:after="0" w:line="240" w:lineRule="auto"/>
              <w:rPr>
                <w:rFonts w:ascii="Arial" w:hAnsi="Arial" w:cs="Arial"/>
                <w:b w:val="0"/>
                <w:lang w:val="es-ES"/>
              </w:rPr>
            </w:pPr>
            <w:r w:rsidRPr="00993936">
              <w:rPr>
                <w:rFonts w:ascii="Arial" w:hAnsi="Arial" w:cs="Arial"/>
                <w:b w:val="0"/>
                <w:lang w:val="es-ES"/>
              </w:rPr>
              <w:t>La utilización de este productos se hará de acuerdo con las indicaciones que figuran en las respectivas fichas y etiquetas técnicas.</w:t>
            </w:r>
          </w:p>
        </w:tc>
      </w:tr>
    </w:tbl>
    <w:p w:rsidR="00503A41" w:rsidRPr="00993936" w:rsidRDefault="00503A41" w:rsidP="0009331F">
      <w:pPr>
        <w:pStyle w:val="titulo2"/>
        <w:widowControl/>
        <w:tabs>
          <w:tab w:val="clear" w:pos="1134"/>
        </w:tabs>
        <w:spacing w:before="0" w:after="0" w:line="240" w:lineRule="auto"/>
        <w:rPr>
          <w:rFonts w:ascii="Arial" w:hAnsi="Arial" w:cs="Arial"/>
          <w:lang w:val="es-ES"/>
        </w:rPr>
      </w:pPr>
    </w:p>
    <w:p w:rsidR="00503A41" w:rsidRPr="00993936" w:rsidRDefault="00503A41" w:rsidP="0009331F">
      <w:pPr>
        <w:pStyle w:val="titulo2"/>
        <w:widowControl/>
        <w:tabs>
          <w:tab w:val="clear" w:pos="1134"/>
        </w:tabs>
        <w:spacing w:before="0" w:after="0" w:line="240" w:lineRule="auto"/>
        <w:rPr>
          <w:rFonts w:ascii="Arial" w:hAnsi="Arial" w:cs="Arial"/>
          <w:lang w:val="es-ES"/>
        </w:rPr>
      </w:pPr>
    </w:p>
    <w:p w:rsidR="00503A41" w:rsidRPr="00993936" w:rsidRDefault="00503A41" w:rsidP="0009331F">
      <w:pPr>
        <w:pStyle w:val="titulo2"/>
        <w:widowControl/>
        <w:tabs>
          <w:tab w:val="clear" w:pos="1134"/>
        </w:tabs>
        <w:spacing w:before="0" w:after="0" w:line="240" w:lineRule="auto"/>
        <w:rPr>
          <w:rFonts w:ascii="Arial" w:hAnsi="Arial" w:cs="Arial"/>
          <w:sz w:val="22"/>
          <w:szCs w:val="22"/>
          <w:lang w:val="es-ES"/>
        </w:rPr>
      </w:pPr>
      <w:r w:rsidRPr="00993936">
        <w:rPr>
          <w:rFonts w:ascii="Arial" w:hAnsi="Arial" w:cs="Arial"/>
          <w:sz w:val="22"/>
          <w:szCs w:val="22"/>
          <w:lang w:val="es-ES"/>
        </w:rPr>
        <w:t>ANEXO 2</w:t>
      </w:r>
    </w:p>
    <w:p w:rsidR="00503A41" w:rsidRPr="00993936" w:rsidRDefault="00503A41" w:rsidP="0009331F">
      <w:pPr>
        <w:autoSpaceDE w:val="0"/>
        <w:autoSpaceDN w:val="0"/>
        <w:adjustRightInd w:val="0"/>
        <w:jc w:val="both"/>
        <w:rPr>
          <w:rFonts w:ascii="Arial" w:hAnsi="Arial" w:cs="Arial"/>
          <w:b/>
          <w:bCs/>
          <w:lang w:val="es-ES"/>
        </w:rPr>
      </w:pPr>
    </w:p>
    <w:p w:rsidR="00503A41" w:rsidRPr="00993936" w:rsidRDefault="00503A41" w:rsidP="0009331F">
      <w:pPr>
        <w:autoSpaceDE w:val="0"/>
        <w:autoSpaceDN w:val="0"/>
        <w:adjustRightInd w:val="0"/>
        <w:jc w:val="both"/>
        <w:rPr>
          <w:rFonts w:ascii="Arial" w:hAnsi="Arial" w:cs="Arial"/>
          <w:b/>
          <w:bCs/>
          <w:lang w:val="es-ES"/>
        </w:rPr>
      </w:pPr>
      <w:r w:rsidRPr="00993936">
        <w:rPr>
          <w:rFonts w:ascii="Arial" w:hAnsi="Arial" w:cs="Arial"/>
          <w:b/>
          <w:bCs/>
          <w:lang w:val="es-ES"/>
        </w:rPr>
        <w:t>Lista de productos enológicos autorizados en producción integrada con restricciones</w:t>
      </w:r>
    </w:p>
    <w:p w:rsidR="00503A41" w:rsidRPr="00993936" w:rsidRDefault="00503A41" w:rsidP="0009331F">
      <w:pPr>
        <w:jc w:val="both"/>
        <w:rPr>
          <w:rFonts w:ascii="Arial" w:hAnsi="Arial" w:cs="Arial"/>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3934"/>
      </w:tblGrid>
      <w:tr w:rsidR="00503A41" w:rsidRPr="00993936" w:rsidTr="001D205D">
        <w:tc>
          <w:tcPr>
            <w:tcW w:w="4678" w:type="dxa"/>
            <w:shd w:val="clear" w:color="auto" w:fill="E0E0E0"/>
            <w:vAlign w:val="center"/>
          </w:tcPr>
          <w:p w:rsidR="00503A41" w:rsidRPr="00993936" w:rsidRDefault="00503A41" w:rsidP="0009331F">
            <w:pPr>
              <w:jc w:val="both"/>
              <w:rPr>
                <w:rFonts w:ascii="Arial" w:hAnsi="Arial" w:cs="Arial"/>
                <w:b/>
                <w:lang w:val="es-ES"/>
              </w:rPr>
            </w:pPr>
            <w:r w:rsidRPr="00993936">
              <w:rPr>
                <w:rFonts w:ascii="Arial" w:hAnsi="Arial" w:cs="Arial"/>
                <w:b/>
                <w:lang w:val="es-ES"/>
              </w:rPr>
              <w:t>PRODUCTO</w:t>
            </w:r>
          </w:p>
        </w:tc>
        <w:tc>
          <w:tcPr>
            <w:tcW w:w="3934" w:type="dxa"/>
            <w:shd w:val="clear" w:color="auto" w:fill="E0E0E0"/>
            <w:vAlign w:val="center"/>
          </w:tcPr>
          <w:p w:rsidR="00503A41" w:rsidRPr="00993936" w:rsidRDefault="00503A41" w:rsidP="0009331F">
            <w:pPr>
              <w:jc w:val="both"/>
              <w:rPr>
                <w:rFonts w:ascii="Arial" w:hAnsi="Arial" w:cs="Arial"/>
                <w:b/>
                <w:lang w:val="es-ES"/>
              </w:rPr>
            </w:pPr>
            <w:r w:rsidRPr="00993936">
              <w:rPr>
                <w:rFonts w:ascii="Arial" w:hAnsi="Arial" w:cs="Arial"/>
                <w:b/>
                <w:lang w:val="es-ES"/>
              </w:rPr>
              <w:t>RESTRICCIONES</w:t>
            </w:r>
          </w:p>
        </w:tc>
      </w:tr>
      <w:tr w:rsidR="00503A41" w:rsidRPr="00993936" w:rsidTr="001D205D">
        <w:trPr>
          <w:trHeight w:val="443"/>
        </w:trPr>
        <w:tc>
          <w:tcPr>
            <w:tcW w:w="4678" w:type="dxa"/>
            <w:shd w:val="clear" w:color="auto" w:fill="auto"/>
          </w:tcPr>
          <w:p w:rsidR="00503A41" w:rsidRPr="00993936" w:rsidRDefault="00503A41" w:rsidP="001D205D">
            <w:pPr>
              <w:jc w:val="both"/>
              <w:rPr>
                <w:rFonts w:ascii="Arial" w:hAnsi="Arial" w:cs="Arial"/>
                <w:lang w:val="es-ES"/>
              </w:rPr>
            </w:pPr>
            <w:r w:rsidRPr="00993936">
              <w:rPr>
                <w:rFonts w:ascii="Arial" w:hAnsi="Arial" w:cs="Arial"/>
                <w:lang w:val="es-ES"/>
              </w:rPr>
              <w:t>Tierras de diatomeas (1)</w:t>
            </w:r>
          </w:p>
        </w:tc>
        <w:tc>
          <w:tcPr>
            <w:tcW w:w="3934" w:type="dxa"/>
            <w:vMerge w:val="restart"/>
            <w:shd w:val="clear" w:color="auto" w:fill="auto"/>
            <w:vAlign w:val="center"/>
          </w:tcPr>
          <w:p w:rsidR="00503A41" w:rsidRPr="00993936" w:rsidRDefault="00503A41" w:rsidP="0009331F">
            <w:pPr>
              <w:jc w:val="both"/>
              <w:rPr>
                <w:rFonts w:ascii="Arial" w:hAnsi="Arial" w:cs="Arial"/>
                <w:lang w:val="es-ES"/>
              </w:rPr>
            </w:pPr>
            <w:r w:rsidRPr="00993936">
              <w:rPr>
                <w:rFonts w:ascii="Arial" w:hAnsi="Arial" w:cs="Arial"/>
                <w:lang w:val="es-ES"/>
              </w:rPr>
              <w:t>(1) Minimizar el uso.</w:t>
            </w:r>
          </w:p>
          <w:p w:rsidR="00503A41" w:rsidRPr="00993936" w:rsidRDefault="00503A41" w:rsidP="0009331F">
            <w:pPr>
              <w:jc w:val="both"/>
              <w:rPr>
                <w:rFonts w:ascii="Arial" w:hAnsi="Arial" w:cs="Arial"/>
                <w:sz w:val="16"/>
                <w:szCs w:val="16"/>
                <w:lang w:val="es-ES"/>
              </w:rPr>
            </w:pPr>
            <w:r w:rsidRPr="00993936">
              <w:rPr>
                <w:rFonts w:ascii="Arial" w:hAnsi="Arial" w:cs="Arial"/>
                <w:i/>
                <w:sz w:val="16"/>
                <w:szCs w:val="16"/>
                <w:lang w:val="es-ES"/>
              </w:rPr>
              <w:t>Trazar la correcta gestión del subproducto</w:t>
            </w:r>
            <w:r w:rsidRPr="00993936">
              <w:rPr>
                <w:rFonts w:ascii="Arial" w:hAnsi="Arial" w:cs="Arial"/>
                <w:sz w:val="16"/>
                <w:szCs w:val="16"/>
                <w:lang w:val="es-ES"/>
              </w:rPr>
              <w:t xml:space="preserve"> </w:t>
            </w:r>
          </w:p>
          <w:p w:rsidR="00503A41" w:rsidRPr="00993936" w:rsidRDefault="00503A41" w:rsidP="0009331F">
            <w:pPr>
              <w:jc w:val="both"/>
              <w:rPr>
                <w:rFonts w:ascii="Arial" w:hAnsi="Arial" w:cs="Arial"/>
                <w:lang w:val="es-ES"/>
              </w:rPr>
            </w:pPr>
            <w:r w:rsidRPr="00993936">
              <w:rPr>
                <w:rFonts w:ascii="Arial" w:hAnsi="Arial" w:cs="Arial"/>
                <w:sz w:val="16"/>
                <w:szCs w:val="16"/>
                <w:lang w:val="es-ES"/>
              </w:rPr>
              <w:t>(empresa subcontratada)</w:t>
            </w:r>
          </w:p>
        </w:tc>
      </w:tr>
      <w:tr w:rsidR="00503A41" w:rsidRPr="00993936" w:rsidTr="001D205D">
        <w:trPr>
          <w:trHeight w:val="447"/>
        </w:trPr>
        <w:tc>
          <w:tcPr>
            <w:tcW w:w="4678" w:type="dxa"/>
            <w:shd w:val="clear" w:color="auto" w:fill="auto"/>
          </w:tcPr>
          <w:p w:rsidR="00503A41" w:rsidRPr="00993936" w:rsidRDefault="00503A41" w:rsidP="0009331F">
            <w:pPr>
              <w:jc w:val="both"/>
              <w:rPr>
                <w:rFonts w:ascii="Arial" w:hAnsi="Arial" w:cs="Arial"/>
                <w:lang w:val="es-ES"/>
              </w:rPr>
            </w:pPr>
            <w:r w:rsidRPr="00993936">
              <w:rPr>
                <w:rFonts w:ascii="Arial" w:hAnsi="Arial" w:cs="Arial"/>
                <w:lang w:val="es-ES"/>
              </w:rPr>
              <w:t>Perlita (1)</w:t>
            </w:r>
          </w:p>
        </w:tc>
        <w:tc>
          <w:tcPr>
            <w:tcW w:w="3934" w:type="dxa"/>
            <w:vMerge/>
            <w:shd w:val="clear" w:color="auto" w:fill="auto"/>
          </w:tcPr>
          <w:p w:rsidR="00503A41" w:rsidRPr="00993936" w:rsidRDefault="00503A41" w:rsidP="0009331F">
            <w:pPr>
              <w:jc w:val="both"/>
              <w:rPr>
                <w:rFonts w:ascii="Arial" w:hAnsi="Arial" w:cs="Arial"/>
                <w:lang w:val="es-ES"/>
              </w:rPr>
            </w:pPr>
          </w:p>
        </w:tc>
      </w:tr>
      <w:tr w:rsidR="00503A41" w:rsidRPr="00993936" w:rsidTr="001D205D">
        <w:tc>
          <w:tcPr>
            <w:tcW w:w="4678" w:type="dxa"/>
            <w:shd w:val="clear" w:color="auto" w:fill="auto"/>
          </w:tcPr>
          <w:p w:rsidR="00503A41" w:rsidRPr="00993936" w:rsidRDefault="00503A41" w:rsidP="0009331F">
            <w:pPr>
              <w:jc w:val="both"/>
              <w:rPr>
                <w:rFonts w:ascii="Arial" w:hAnsi="Arial" w:cs="Arial"/>
                <w:lang w:val="es-ES"/>
              </w:rPr>
            </w:pPr>
            <w:r w:rsidRPr="00993936">
              <w:rPr>
                <w:rFonts w:ascii="Arial" w:hAnsi="Arial" w:cs="Arial"/>
                <w:lang w:val="es-ES"/>
              </w:rPr>
              <w:t>Bentonita (1)</w:t>
            </w:r>
          </w:p>
        </w:tc>
        <w:tc>
          <w:tcPr>
            <w:tcW w:w="3934" w:type="dxa"/>
            <w:vMerge/>
            <w:shd w:val="clear" w:color="auto" w:fill="auto"/>
          </w:tcPr>
          <w:p w:rsidR="00503A41" w:rsidRPr="00993936" w:rsidRDefault="00503A41" w:rsidP="0009331F">
            <w:pPr>
              <w:jc w:val="both"/>
              <w:rPr>
                <w:rFonts w:ascii="Arial" w:hAnsi="Arial" w:cs="Arial"/>
                <w:lang w:val="es-ES"/>
              </w:rPr>
            </w:pPr>
          </w:p>
        </w:tc>
      </w:tr>
      <w:tr w:rsidR="00503A41" w:rsidRPr="00993936" w:rsidTr="001D205D">
        <w:tc>
          <w:tcPr>
            <w:tcW w:w="4678" w:type="dxa"/>
            <w:shd w:val="clear" w:color="auto" w:fill="auto"/>
          </w:tcPr>
          <w:p w:rsidR="00503A41" w:rsidRPr="00993936" w:rsidRDefault="00503A41" w:rsidP="0009331F">
            <w:pPr>
              <w:jc w:val="both"/>
              <w:rPr>
                <w:rFonts w:ascii="Arial" w:hAnsi="Arial" w:cs="Arial"/>
                <w:lang w:val="es-ES"/>
              </w:rPr>
            </w:pPr>
            <w:r w:rsidRPr="00993936">
              <w:rPr>
                <w:rFonts w:ascii="Arial" w:hAnsi="Arial" w:cs="Arial"/>
                <w:lang w:val="es-ES"/>
              </w:rPr>
              <w:t>Anhídrido sulfuroso</w:t>
            </w:r>
          </w:p>
          <w:p w:rsidR="00503A41" w:rsidRPr="00993936" w:rsidRDefault="00503A41" w:rsidP="0009331F">
            <w:pPr>
              <w:jc w:val="both"/>
              <w:rPr>
                <w:rFonts w:ascii="Arial" w:hAnsi="Arial" w:cs="Arial"/>
                <w:i/>
                <w:lang w:val="es-ES"/>
              </w:rPr>
            </w:pPr>
            <w:r w:rsidRPr="00993936">
              <w:rPr>
                <w:rFonts w:ascii="Arial" w:hAnsi="Arial" w:cs="Arial"/>
                <w:i/>
                <w:lang w:val="es-ES"/>
              </w:rPr>
              <w:t xml:space="preserve">Vino tranquilo (&lt;5 g/l azúcar)            </w:t>
            </w:r>
          </w:p>
          <w:p w:rsidR="00503A41" w:rsidRPr="00993936" w:rsidRDefault="00503A41" w:rsidP="0009331F">
            <w:pPr>
              <w:jc w:val="both"/>
              <w:rPr>
                <w:rFonts w:ascii="Arial" w:hAnsi="Arial" w:cs="Arial"/>
                <w:lang w:val="es-ES"/>
              </w:rPr>
            </w:pPr>
            <w:r w:rsidRPr="00993936">
              <w:rPr>
                <w:rFonts w:ascii="Arial" w:hAnsi="Arial" w:cs="Arial"/>
                <w:i/>
                <w:lang w:val="es-ES"/>
              </w:rPr>
              <w:t xml:space="preserve">Vino espumoso (método Tradicional) </w:t>
            </w:r>
            <w:r w:rsidRPr="00993936">
              <w:rPr>
                <w:rFonts w:ascii="Arial" w:hAnsi="Arial" w:cs="Arial"/>
                <w:lang w:val="es-ES"/>
              </w:rPr>
              <w:t xml:space="preserve">  </w:t>
            </w:r>
          </w:p>
          <w:p w:rsidR="00503A41" w:rsidRPr="00993936" w:rsidRDefault="00503A41" w:rsidP="0009331F">
            <w:pPr>
              <w:jc w:val="both"/>
              <w:rPr>
                <w:rFonts w:ascii="Arial" w:hAnsi="Arial" w:cs="Arial"/>
                <w:lang w:val="es-ES"/>
              </w:rPr>
            </w:pPr>
          </w:p>
        </w:tc>
        <w:tc>
          <w:tcPr>
            <w:tcW w:w="3934" w:type="dxa"/>
            <w:shd w:val="clear" w:color="auto" w:fill="auto"/>
          </w:tcPr>
          <w:p w:rsidR="00503A41" w:rsidRPr="00993936" w:rsidRDefault="00503A41" w:rsidP="0009331F">
            <w:pPr>
              <w:jc w:val="both"/>
              <w:rPr>
                <w:rFonts w:ascii="Arial" w:hAnsi="Arial" w:cs="Arial"/>
                <w:lang w:val="es-ES"/>
              </w:rPr>
            </w:pPr>
            <w:r w:rsidRPr="00993936">
              <w:rPr>
                <w:rFonts w:ascii="Arial" w:hAnsi="Arial" w:cs="Arial"/>
                <w:lang w:val="es-ES"/>
              </w:rPr>
              <w:t>Contenido total máximo</w:t>
            </w:r>
          </w:p>
          <w:p w:rsidR="00503A41" w:rsidRPr="00993936" w:rsidRDefault="00503A41" w:rsidP="0009331F">
            <w:pPr>
              <w:jc w:val="both"/>
              <w:rPr>
                <w:rFonts w:ascii="Arial" w:hAnsi="Arial" w:cs="Arial"/>
                <w:i/>
                <w:lang w:val="es-ES"/>
              </w:rPr>
            </w:pPr>
            <w:r w:rsidRPr="00993936">
              <w:rPr>
                <w:rFonts w:ascii="Arial" w:hAnsi="Arial" w:cs="Arial"/>
                <w:i/>
                <w:lang w:val="es-ES"/>
              </w:rPr>
              <w:t>&lt;120 (mg /l)</w:t>
            </w:r>
          </w:p>
          <w:p w:rsidR="00503A41" w:rsidRPr="00993936" w:rsidRDefault="00503A41" w:rsidP="0009331F">
            <w:pPr>
              <w:jc w:val="both"/>
              <w:rPr>
                <w:rFonts w:ascii="Arial" w:hAnsi="Arial" w:cs="Arial"/>
                <w:i/>
                <w:lang w:val="es-ES"/>
              </w:rPr>
            </w:pPr>
            <w:r w:rsidRPr="00993936">
              <w:rPr>
                <w:rFonts w:ascii="Arial" w:hAnsi="Arial" w:cs="Arial"/>
                <w:i/>
                <w:lang w:val="es-ES"/>
              </w:rPr>
              <w:t>&lt;110 (mg /l)</w:t>
            </w:r>
          </w:p>
          <w:p w:rsidR="00503A41" w:rsidRPr="00993936" w:rsidRDefault="00503A41" w:rsidP="0009331F">
            <w:pPr>
              <w:jc w:val="both"/>
              <w:rPr>
                <w:rFonts w:ascii="Arial" w:hAnsi="Arial" w:cs="Arial"/>
                <w:lang w:val="es-ES"/>
              </w:rPr>
            </w:pPr>
          </w:p>
        </w:tc>
      </w:tr>
    </w:tbl>
    <w:p w:rsidR="00503A41" w:rsidRPr="00993936" w:rsidRDefault="00503A41" w:rsidP="0009331F">
      <w:pPr>
        <w:jc w:val="both"/>
        <w:rPr>
          <w:rFonts w:ascii="Arial" w:hAnsi="Arial" w:cs="Arial"/>
          <w:lang w:val="es-ES"/>
        </w:rPr>
      </w:pPr>
    </w:p>
    <w:p w:rsidR="00503A41" w:rsidRPr="00993936" w:rsidRDefault="00503A41" w:rsidP="0009331F">
      <w:pPr>
        <w:jc w:val="both"/>
        <w:rPr>
          <w:rFonts w:ascii="Arial" w:hAnsi="Arial" w:cs="Arial"/>
          <w:lang w:val="es-ES"/>
        </w:rPr>
      </w:pPr>
    </w:p>
    <w:p w:rsidR="00503A41" w:rsidRPr="00993936" w:rsidRDefault="00503A41" w:rsidP="0009331F">
      <w:pPr>
        <w:pStyle w:val="titulo2"/>
        <w:widowControl/>
        <w:tabs>
          <w:tab w:val="clear" w:pos="1134"/>
        </w:tabs>
        <w:spacing w:before="0" w:after="0" w:line="240" w:lineRule="auto"/>
        <w:rPr>
          <w:rFonts w:ascii="Arial" w:hAnsi="Arial" w:cs="Arial"/>
          <w:sz w:val="22"/>
          <w:lang w:val="es-ES"/>
        </w:rPr>
      </w:pPr>
    </w:p>
    <w:p w:rsidR="00503A41" w:rsidRPr="00993936" w:rsidRDefault="00503A41" w:rsidP="0009331F">
      <w:pPr>
        <w:pStyle w:val="titulo2"/>
        <w:widowControl/>
        <w:tabs>
          <w:tab w:val="clear" w:pos="1134"/>
        </w:tabs>
        <w:spacing w:before="0" w:after="0" w:line="240" w:lineRule="auto"/>
        <w:rPr>
          <w:rFonts w:ascii="Arial" w:hAnsi="Arial" w:cs="Arial"/>
          <w:sz w:val="22"/>
          <w:lang w:val="es-ES"/>
        </w:rPr>
      </w:pPr>
    </w:p>
    <w:p w:rsidR="00503A41" w:rsidRPr="00993936" w:rsidRDefault="00503A41" w:rsidP="0009331F">
      <w:pPr>
        <w:pStyle w:val="titulo2"/>
        <w:widowControl/>
        <w:tabs>
          <w:tab w:val="clear" w:pos="1134"/>
        </w:tabs>
        <w:spacing w:before="0" w:after="0" w:line="240" w:lineRule="auto"/>
        <w:rPr>
          <w:rFonts w:ascii="Arial" w:hAnsi="Arial" w:cs="Arial"/>
          <w:sz w:val="22"/>
          <w:lang w:val="es-ES"/>
        </w:rPr>
      </w:pPr>
    </w:p>
    <w:p w:rsidR="00503A41" w:rsidRPr="00993936" w:rsidRDefault="00503A41" w:rsidP="0009331F">
      <w:pPr>
        <w:pStyle w:val="titulo2"/>
        <w:widowControl/>
        <w:tabs>
          <w:tab w:val="clear" w:pos="1134"/>
        </w:tabs>
        <w:spacing w:before="0" w:after="0" w:line="240" w:lineRule="auto"/>
        <w:rPr>
          <w:rFonts w:ascii="Arial" w:hAnsi="Arial" w:cs="Arial"/>
          <w:sz w:val="22"/>
          <w:lang w:val="es-ES"/>
        </w:rPr>
      </w:pPr>
      <w:r w:rsidRPr="00993936">
        <w:rPr>
          <w:rFonts w:ascii="Arial" w:hAnsi="Arial" w:cs="Arial"/>
          <w:sz w:val="22"/>
          <w:lang w:val="es-ES"/>
        </w:rPr>
        <w:t>ANEXO 3</w:t>
      </w:r>
    </w:p>
    <w:p w:rsidR="00503A41" w:rsidRPr="00993936" w:rsidRDefault="00503A41" w:rsidP="0009331F">
      <w:pPr>
        <w:pStyle w:val="titulo2"/>
        <w:widowControl/>
        <w:tabs>
          <w:tab w:val="clear" w:pos="1134"/>
        </w:tabs>
        <w:spacing w:before="0" w:after="0" w:line="240" w:lineRule="auto"/>
        <w:rPr>
          <w:rFonts w:ascii="Arial" w:hAnsi="Arial" w:cs="Arial"/>
          <w:sz w:val="22"/>
          <w:lang w:val="es-ES"/>
        </w:rPr>
      </w:pPr>
    </w:p>
    <w:p w:rsidR="00503A41" w:rsidRPr="00993936" w:rsidRDefault="00503A41" w:rsidP="0009331F">
      <w:pPr>
        <w:autoSpaceDE w:val="0"/>
        <w:autoSpaceDN w:val="0"/>
        <w:adjustRightInd w:val="0"/>
        <w:jc w:val="both"/>
        <w:rPr>
          <w:rFonts w:ascii="Arial" w:hAnsi="Arial" w:cs="Arial"/>
          <w:b/>
          <w:bCs/>
          <w:lang w:val="es-ES"/>
        </w:rPr>
      </w:pPr>
      <w:r w:rsidRPr="00993936">
        <w:rPr>
          <w:rFonts w:ascii="Arial" w:hAnsi="Arial" w:cs="Arial"/>
          <w:b/>
          <w:bCs/>
          <w:lang w:val="es-ES"/>
        </w:rPr>
        <w:t>Lista de prácticas enológicas no autorizadas en la elaboración de vino de producción integrada</w:t>
      </w:r>
    </w:p>
    <w:p w:rsidR="00503A41" w:rsidRPr="00993936" w:rsidRDefault="00503A41" w:rsidP="0009331F">
      <w:pPr>
        <w:jc w:val="both"/>
        <w:rPr>
          <w:rFonts w:ascii="Arial" w:hAnsi="Arial" w:cs="Arial"/>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503A41" w:rsidRPr="00993936" w:rsidTr="0009331F">
        <w:tc>
          <w:tcPr>
            <w:tcW w:w="8505" w:type="dxa"/>
            <w:shd w:val="clear" w:color="auto" w:fill="E0E0E0"/>
          </w:tcPr>
          <w:p w:rsidR="00503A41" w:rsidRPr="00993936" w:rsidRDefault="00503A41" w:rsidP="0009331F">
            <w:pPr>
              <w:jc w:val="both"/>
              <w:rPr>
                <w:rFonts w:ascii="Arial" w:hAnsi="Arial" w:cs="Arial"/>
                <w:b/>
                <w:lang w:val="es-ES"/>
              </w:rPr>
            </w:pPr>
            <w:r w:rsidRPr="00993936">
              <w:rPr>
                <w:rFonts w:ascii="Arial" w:hAnsi="Arial" w:cs="Arial"/>
                <w:b/>
                <w:lang w:val="es-ES"/>
              </w:rPr>
              <w:t>PRODUCTO</w:t>
            </w:r>
          </w:p>
        </w:tc>
      </w:tr>
      <w:tr w:rsidR="00503A41" w:rsidRPr="00E1758E" w:rsidTr="0009331F">
        <w:trPr>
          <w:trHeight w:val="1050"/>
        </w:trPr>
        <w:tc>
          <w:tcPr>
            <w:tcW w:w="8505" w:type="dxa"/>
            <w:shd w:val="clear" w:color="auto" w:fill="auto"/>
          </w:tcPr>
          <w:p w:rsidR="00503A41" w:rsidRPr="00993936" w:rsidRDefault="00503A41" w:rsidP="0009331F">
            <w:pPr>
              <w:jc w:val="both"/>
              <w:rPr>
                <w:rFonts w:ascii="Arial" w:hAnsi="Arial" w:cs="Arial"/>
                <w:lang w:val="es-ES"/>
              </w:rPr>
            </w:pPr>
            <w:r w:rsidRPr="00993936">
              <w:rPr>
                <w:rFonts w:ascii="Arial" w:hAnsi="Arial" w:cs="Arial"/>
                <w:lang w:val="es-ES"/>
              </w:rPr>
              <w:t>Tratamiento de estabilización mediante resinas de intercambio iónico</w:t>
            </w:r>
          </w:p>
          <w:p w:rsidR="00503A41" w:rsidRPr="00993936" w:rsidRDefault="00503A41" w:rsidP="0009331F">
            <w:pPr>
              <w:jc w:val="both"/>
              <w:rPr>
                <w:rFonts w:ascii="Arial" w:hAnsi="Arial" w:cs="Arial"/>
                <w:lang w:val="es-ES"/>
              </w:rPr>
            </w:pPr>
            <w:r w:rsidRPr="00993936">
              <w:rPr>
                <w:rFonts w:ascii="Arial" w:hAnsi="Arial" w:cs="Arial"/>
                <w:lang w:val="es-ES"/>
              </w:rPr>
              <w:t>Tratamiento con ferrocianuro de potasio</w:t>
            </w:r>
          </w:p>
          <w:p w:rsidR="00503A41" w:rsidRPr="00993936" w:rsidRDefault="00503A41" w:rsidP="0009331F">
            <w:pPr>
              <w:jc w:val="both"/>
              <w:rPr>
                <w:rFonts w:ascii="Arial" w:hAnsi="Arial" w:cs="Arial"/>
                <w:lang w:val="es-ES"/>
              </w:rPr>
            </w:pPr>
            <w:r w:rsidRPr="00993936">
              <w:rPr>
                <w:rFonts w:ascii="Arial" w:hAnsi="Arial" w:cs="Arial"/>
                <w:lang w:val="es-ES"/>
              </w:rPr>
              <w:t>Uso de ácido sórbico en forma de sorbato de potasio</w:t>
            </w:r>
          </w:p>
          <w:p w:rsidR="00503A41" w:rsidRPr="00E1758E" w:rsidRDefault="00503A41" w:rsidP="001D205D">
            <w:pPr>
              <w:jc w:val="both"/>
              <w:rPr>
                <w:rFonts w:ascii="Arial" w:hAnsi="Arial" w:cs="Arial"/>
                <w:lang w:val="es-ES"/>
              </w:rPr>
            </w:pPr>
            <w:r w:rsidRPr="00993936">
              <w:rPr>
                <w:rFonts w:ascii="Arial" w:hAnsi="Arial" w:cs="Arial"/>
                <w:lang w:val="es-ES"/>
              </w:rPr>
              <w:t>Adición de dicarbonato de dimetil (DMDC) a los vinos</w:t>
            </w:r>
          </w:p>
        </w:tc>
      </w:tr>
    </w:tbl>
    <w:p w:rsidR="00503A41" w:rsidRPr="00E1758E" w:rsidRDefault="00503A41" w:rsidP="0009331F">
      <w:pPr>
        <w:jc w:val="both"/>
        <w:rPr>
          <w:rFonts w:ascii="Arial" w:hAnsi="Arial" w:cs="Arial"/>
          <w:lang w:val="es-ES"/>
        </w:rPr>
      </w:pPr>
    </w:p>
    <w:p w:rsidR="00503A41" w:rsidRPr="00E1758E" w:rsidRDefault="00503A41" w:rsidP="0009331F">
      <w:pPr>
        <w:pStyle w:val="titulo2"/>
        <w:widowControl/>
        <w:tabs>
          <w:tab w:val="clear" w:pos="1134"/>
        </w:tabs>
        <w:spacing w:before="0" w:after="0" w:line="240" w:lineRule="auto"/>
        <w:jc w:val="center"/>
        <w:rPr>
          <w:rFonts w:ascii="Arial" w:hAnsi="Arial" w:cs="Arial"/>
          <w:b w:val="0"/>
          <w:sz w:val="22"/>
          <w:lang w:val="es-ES"/>
        </w:rPr>
      </w:pPr>
    </w:p>
    <w:p w:rsidR="00503A41" w:rsidRPr="00E1758E" w:rsidRDefault="00503A41" w:rsidP="0009331F">
      <w:pPr>
        <w:jc w:val="both"/>
        <w:rPr>
          <w:rFonts w:ascii="Arial" w:hAnsi="Arial" w:cs="Arial"/>
          <w:lang w:val="es-ES"/>
        </w:rPr>
      </w:pPr>
    </w:p>
    <w:p w:rsidR="00503A41" w:rsidRPr="00E1758E" w:rsidRDefault="00503A41" w:rsidP="005F5243">
      <w:pPr>
        <w:ind w:left="360"/>
        <w:jc w:val="both"/>
        <w:rPr>
          <w:rFonts w:ascii="Arial" w:hAnsi="Arial" w:cs="Arial"/>
          <w:sz w:val="28"/>
          <w:lang w:val="es-ES"/>
        </w:rPr>
      </w:pPr>
    </w:p>
    <w:p w:rsidR="00412AFB" w:rsidRPr="00E1758E" w:rsidRDefault="00412AFB" w:rsidP="00412AFB">
      <w:pPr>
        <w:jc w:val="center"/>
        <w:rPr>
          <w:rFonts w:ascii="Arial" w:hAnsi="Arial" w:cs="Arial"/>
          <w:lang w:val="es-ES"/>
        </w:rPr>
      </w:pPr>
    </w:p>
    <w:p w:rsidR="00412AFB" w:rsidRPr="00E1758E" w:rsidRDefault="00412AFB" w:rsidP="00412AFB">
      <w:pPr>
        <w:rPr>
          <w:rFonts w:ascii="Arial" w:hAnsi="Arial" w:cs="Arial"/>
          <w:lang w:val="es-ES"/>
        </w:rPr>
      </w:pPr>
    </w:p>
    <w:p w:rsidR="00412AFB" w:rsidRPr="00E1758E" w:rsidRDefault="00412AFB" w:rsidP="00412AFB">
      <w:pPr>
        <w:rPr>
          <w:rFonts w:ascii="Arial" w:hAnsi="Arial" w:cs="Arial"/>
          <w:b/>
          <w:sz w:val="24"/>
          <w:szCs w:val="24"/>
          <w:lang w:val="es-ES"/>
        </w:rPr>
      </w:pPr>
      <w:bookmarkStart w:id="15" w:name="_GoBack"/>
      <w:bookmarkEnd w:id="15"/>
    </w:p>
    <w:sectPr w:rsidR="00412AFB" w:rsidRPr="00E1758E">
      <w:headerReference w:type="default" r:id="rId34"/>
      <w:footerReference w:type="default" r:id="rId3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C10" w:rsidRPr="00857A1E" w:rsidRDefault="00567C10" w:rsidP="006F079F">
      <w:pPr>
        <w:spacing w:after="0" w:line="240" w:lineRule="auto"/>
        <w:rPr>
          <w:lang w:val="es-ES_tradnl"/>
        </w:rPr>
      </w:pPr>
      <w:r w:rsidRPr="00857A1E">
        <w:rPr>
          <w:lang w:val="es-ES_tradnl"/>
        </w:rPr>
        <w:separator/>
      </w:r>
    </w:p>
  </w:endnote>
  <w:endnote w:type="continuationSeparator" w:id="0">
    <w:p w:rsidR="00567C10" w:rsidRPr="00857A1E" w:rsidRDefault="00567C10" w:rsidP="006F079F">
      <w:pPr>
        <w:spacing w:after="0" w:line="240" w:lineRule="auto"/>
        <w:rPr>
          <w:lang w:val="es-ES_tradnl"/>
        </w:rPr>
      </w:pPr>
      <w:r w:rsidRPr="00857A1E">
        <w:rPr>
          <w:lang w:val="es-ES_trad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ans-serif">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dvTimes-i">
    <w:altName w:val="Arial Unicode MS"/>
    <w:panose1 w:val="00000000000000000000"/>
    <w:charset w:val="80"/>
    <w:family w:val="auto"/>
    <w:notTrueType/>
    <w:pitch w:val="default"/>
    <w:sig w:usb0="00000001" w:usb1="08070000" w:usb2="00000010" w:usb3="00000000" w:csb0="00020000" w:csb1="00000000"/>
  </w:font>
  <w:font w:name="AdvTimes">
    <w:altName w:val="Arial Unicode MS"/>
    <w:panose1 w:val="00000000000000000000"/>
    <w:charset w:val="80"/>
    <w:family w:val="auto"/>
    <w:notTrueType/>
    <w:pitch w:val="default"/>
    <w:sig w:usb0="00000001" w:usb1="08070000" w:usb2="00000010" w:usb3="00000000" w:csb0="00020000" w:csb1="00000000"/>
  </w:font>
  <w:font w:name="DengXian">
    <w:altName w:val="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Pr="00857A1E" w:rsidRDefault="00567C10">
    <w:pPr>
      <w:pStyle w:val="Piedepgina"/>
      <w:rPr>
        <w:lang w:val="es-ES_trad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rsidP="00424C2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67C10" w:rsidRDefault="00567C10" w:rsidP="00424C28">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Pr>
      <w:pStyle w:val="Piedepgina"/>
      <w:rPr>
        <w:sz w:val="18"/>
      </w:rPr>
    </w:pPr>
  </w:p>
  <w:p w:rsidR="00567C10" w:rsidRDefault="00567C10">
    <w:pPr>
      <w:pStyle w:val="Piedepgina"/>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 w:rsidR="00567C10" w:rsidRDefault="00567C10">
    <w:pPr>
      <w:pStyle w:val="Piedepgina"/>
    </w:pPr>
  </w:p>
  <w:p w:rsidR="00567C10" w:rsidRDefault="00567C10">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Pr>
      <w:pStyle w:val="Piedepgina"/>
      <w:rPr>
        <w:sz w:val="18"/>
      </w:rPr>
    </w:pPr>
  </w:p>
  <w:p w:rsidR="00567C10" w:rsidRDefault="00567C10">
    <w:pPr>
      <w:pStyle w:val="Piedepgina"/>
      <w:rPr>
        <w:sz w:val="18"/>
      </w:rPr>
    </w:pPr>
  </w:p>
  <w:p w:rsidR="00567C10" w:rsidRDefault="00567C10">
    <w:pPr>
      <w:pStyle w:val="Piedepgina"/>
      <w:rPr>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Pr="00857A1E" w:rsidRDefault="00567C10">
    <w:pPr>
      <w:pStyle w:val="Piedepgina"/>
      <w:rPr>
        <w:sz w:val="18"/>
        <w:lang w:val="es-ES_tradnl"/>
      </w:rPr>
    </w:pPr>
  </w:p>
  <w:p w:rsidR="00567C10" w:rsidRPr="00857A1E" w:rsidRDefault="00567C10">
    <w:pPr>
      <w:pStyle w:val="Piedepgina"/>
      <w:rPr>
        <w:sz w:val="18"/>
        <w:lang w:val="es-ES_tradnl"/>
      </w:rPr>
    </w:pPr>
  </w:p>
  <w:p w:rsidR="00567C10" w:rsidRPr="00857A1E" w:rsidRDefault="00567C10">
    <w:pPr>
      <w:pStyle w:val="Piedepgina"/>
      <w:rPr>
        <w:sz w:val="18"/>
        <w:lang w:val="es-ES_trad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C10" w:rsidRPr="00857A1E" w:rsidRDefault="00567C10" w:rsidP="006F079F">
      <w:pPr>
        <w:spacing w:after="0" w:line="240" w:lineRule="auto"/>
        <w:rPr>
          <w:lang w:val="es-ES_tradnl"/>
        </w:rPr>
      </w:pPr>
      <w:r w:rsidRPr="00857A1E">
        <w:rPr>
          <w:lang w:val="es-ES_tradnl"/>
        </w:rPr>
        <w:separator/>
      </w:r>
    </w:p>
  </w:footnote>
  <w:footnote w:type="continuationSeparator" w:id="0">
    <w:p w:rsidR="00567C10" w:rsidRPr="00857A1E" w:rsidRDefault="00567C10" w:rsidP="006F079F">
      <w:pPr>
        <w:spacing w:after="0" w:line="240" w:lineRule="auto"/>
        <w:rPr>
          <w:lang w:val="es-ES_tradnl"/>
        </w:rPr>
      </w:pPr>
      <w:r w:rsidRPr="00857A1E">
        <w:rPr>
          <w:lang w:val="es-ES_tradnl"/>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Pr="00857A1E" w:rsidRDefault="00567C10" w:rsidP="009C734A">
    <w:pPr>
      <w:pStyle w:val="Encabezado"/>
      <w:ind w:left="-142" w:firstLine="142"/>
      <w:rPr>
        <w:rFonts w:ascii="Arial" w:hAnsi="Arial" w:cs="Arial"/>
        <w:lang w:val="es-ES_tradnl"/>
      </w:rPr>
    </w:pPr>
    <w:r w:rsidRPr="00857A1E">
      <w:rPr>
        <w:rFonts w:ascii="Arial" w:hAnsi="Arial" w:cs="Arial"/>
        <w:noProof/>
        <w:lang w:val="es-ES" w:eastAsia="es-ES"/>
      </w:rPr>
      <w:drawing>
        <wp:anchor distT="0" distB="0" distL="114300" distR="114300" simplePos="0" relativeHeight="251659264" behindDoc="0" locked="0" layoutInCell="0" allowOverlap="1" wp14:anchorId="42797216" wp14:editId="481A83FE">
          <wp:simplePos x="0" y="0"/>
          <wp:positionH relativeFrom="page">
            <wp:posOffset>671992</wp:posOffset>
          </wp:positionH>
          <wp:positionV relativeFrom="page">
            <wp:posOffset>467995</wp:posOffset>
          </wp:positionV>
          <wp:extent cx="280670" cy="326390"/>
          <wp:effectExtent l="0" t="0" r="5080" b="0"/>
          <wp:wrapTopAndBottom/>
          <wp:docPr id="1" name="Imatge 1" descr="G:\Escut_b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scut_bn.bmp"/>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80670" cy="32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A1E">
      <w:rPr>
        <w:rFonts w:ascii="Arial" w:hAnsi="Arial" w:cs="Arial"/>
        <w:lang w:val="es-ES_tradnl"/>
      </w:rPr>
      <w:t>Generali</w:t>
    </w:r>
    <w:r>
      <w:rPr>
        <w:rFonts w:ascii="Arial" w:hAnsi="Arial" w:cs="Arial"/>
        <w:lang w:val="es-ES_tradnl"/>
      </w:rPr>
      <w:t>t</w:t>
    </w:r>
    <w:r w:rsidRPr="00857A1E">
      <w:rPr>
        <w:rFonts w:ascii="Arial" w:hAnsi="Arial" w:cs="Arial"/>
        <w:lang w:val="es-ES_tradnl"/>
      </w:rPr>
      <w:t>a</w:t>
    </w:r>
    <w:r>
      <w:rPr>
        <w:rFonts w:ascii="Arial" w:hAnsi="Arial" w:cs="Arial"/>
        <w:lang w:val="es-ES_tradnl"/>
      </w:rPr>
      <w:t>t</w:t>
    </w:r>
    <w:r w:rsidRPr="00857A1E">
      <w:rPr>
        <w:rFonts w:ascii="Arial" w:hAnsi="Arial" w:cs="Arial"/>
        <w:lang w:val="es-ES_tradnl"/>
      </w:rPr>
      <w:t xml:space="preserve"> de Catalu</w:t>
    </w:r>
    <w:r>
      <w:rPr>
        <w:rFonts w:ascii="Arial" w:hAnsi="Arial" w:cs="Arial"/>
        <w:lang w:val="es-ES_tradnl"/>
      </w:rPr>
      <w:t>ny</w:t>
    </w:r>
    <w:r w:rsidRPr="00857A1E">
      <w:rPr>
        <w:rFonts w:ascii="Arial" w:hAnsi="Arial" w:cs="Arial"/>
        <w:lang w:val="es-ES_tradnl"/>
      </w:rPr>
      <w:t>a</w:t>
    </w:r>
  </w:p>
  <w:p w:rsidR="00567C10" w:rsidRPr="00857A1E" w:rsidRDefault="00567C10" w:rsidP="000D6ED0">
    <w:pPr>
      <w:pStyle w:val="Encabezado"/>
      <w:rPr>
        <w:rFonts w:ascii="Arial" w:hAnsi="Arial" w:cs="Arial"/>
        <w:lang w:val="es-ES_tradnl"/>
      </w:rPr>
    </w:pPr>
    <w:r w:rsidRPr="00857A1E">
      <w:rPr>
        <w:rFonts w:ascii="Arial" w:hAnsi="Arial" w:cs="Arial"/>
        <w:lang w:val="es-ES_tradnl"/>
      </w:rPr>
      <w:t xml:space="preserve">Departamento de Agricultura, </w:t>
    </w:r>
  </w:p>
  <w:p w:rsidR="00567C10" w:rsidRPr="00857A1E" w:rsidRDefault="00567C10" w:rsidP="000D6ED0">
    <w:pPr>
      <w:pStyle w:val="Encabezado"/>
      <w:rPr>
        <w:rFonts w:ascii="Arial" w:hAnsi="Arial" w:cs="Arial"/>
        <w:lang w:val="es-ES_tradnl"/>
      </w:rPr>
    </w:pPr>
    <w:r w:rsidRPr="00857A1E">
      <w:rPr>
        <w:rFonts w:ascii="Arial" w:hAnsi="Arial" w:cs="Arial"/>
        <w:lang w:val="es-ES_tradnl"/>
      </w:rPr>
      <w:t xml:space="preserve">Ganadería, Pesca y Alimentación </w:t>
    </w:r>
  </w:p>
  <w:p w:rsidR="00567C10" w:rsidRPr="00857A1E" w:rsidRDefault="00567C10" w:rsidP="000D6ED0">
    <w:pPr>
      <w:pStyle w:val="Encabezado"/>
      <w:rPr>
        <w:rFonts w:ascii="Arial" w:hAnsi="Arial" w:cs="Arial"/>
        <w:b/>
        <w:lang w:val="es-ES_tradnl"/>
      </w:rPr>
    </w:pPr>
    <w:r w:rsidRPr="00857A1E">
      <w:rPr>
        <w:rFonts w:ascii="Arial" w:hAnsi="Arial" w:cs="Arial"/>
        <w:b/>
        <w:lang w:val="es-ES_tradnl"/>
      </w:rPr>
      <w:t xml:space="preserve">Dirección General de Agricultura </w:t>
    </w:r>
  </w:p>
  <w:p w:rsidR="00567C10" w:rsidRDefault="00567C10" w:rsidP="000D6ED0">
    <w:pPr>
      <w:pStyle w:val="Encabezado"/>
      <w:rPr>
        <w:rFonts w:ascii="Arial" w:hAnsi="Arial" w:cs="Arial"/>
        <w:b/>
        <w:lang w:val="es-ES_tradnl"/>
      </w:rPr>
    </w:pPr>
    <w:proofErr w:type="gramStart"/>
    <w:r w:rsidRPr="00857A1E">
      <w:rPr>
        <w:rFonts w:ascii="Arial" w:hAnsi="Arial" w:cs="Arial"/>
        <w:b/>
        <w:lang w:val="es-ES_tradnl"/>
      </w:rPr>
      <w:t>y</w:t>
    </w:r>
    <w:proofErr w:type="gramEnd"/>
    <w:r w:rsidRPr="00857A1E">
      <w:rPr>
        <w:rFonts w:ascii="Arial" w:hAnsi="Arial" w:cs="Arial"/>
        <w:b/>
        <w:lang w:val="es-ES_tradnl"/>
      </w:rPr>
      <w:t xml:space="preserve"> Ganadería</w:t>
    </w:r>
  </w:p>
  <w:p w:rsidR="00567C10" w:rsidRPr="00857A1E" w:rsidRDefault="00567C10" w:rsidP="000D6ED0">
    <w:pPr>
      <w:pStyle w:val="Encabezado"/>
      <w:rPr>
        <w:lang w:val="es-ES_trad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Pr="00857A1E" w:rsidRDefault="00567C10">
    <w:pPr>
      <w:pStyle w:val="Encabezado"/>
      <w:rPr>
        <w:lang w:val="es-ES_tradnl"/>
      </w:rPr>
    </w:pPr>
  </w:p>
  <w:p w:rsidR="00567C10" w:rsidRPr="00857A1E" w:rsidRDefault="00567C10" w:rsidP="00FE34C4">
    <w:pPr>
      <w:pStyle w:val="Encabezado"/>
      <w:jc w:val="right"/>
      <w:rPr>
        <w:lang w:val="es-ES_tradn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Pr>
      <w:pStyle w:val="Encabezado"/>
    </w:pPr>
  </w:p>
  <w:p w:rsidR="00567C10" w:rsidRDefault="00567C10" w:rsidP="00FE34C4">
    <w:pPr>
      <w:pStyle w:val="Encabezad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Pr="007003E1" w:rsidRDefault="00C8459C" w:rsidP="007003E1">
    <w:pPr>
      <w:pStyle w:val="Sinespaciado"/>
      <w:rPr>
        <w:rFonts w:asciiTheme="majorHAnsi" w:hAnsiTheme="majorHAnsi"/>
        <w:b/>
        <w:sz w:val="32"/>
      </w:rPr>
    </w:pPr>
    <w:r>
      <w:rPr>
        <w:rFonts w:asciiTheme="majorHAnsi" w:hAnsiTheme="majorHAnsi"/>
        <w:b/>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81" type="#_x0000_t75" style="position:absolute;margin-left:38.95pt;margin-top:38.95pt;width:22.1pt;height:25.75pt;z-index:251661312;mso-position-horizontal-relative:page;mso-position-vertical-relative:page" o:allowincell="f">
          <v:imagedata r:id="rId1" o:title="Escut_bn"/>
          <w10:wrap type="topAndBottom" anchorx="page" anchory="page"/>
        </v:shape>
      </w:pict>
    </w:r>
    <w:r w:rsidR="00567C10" w:rsidRPr="007003E1">
      <w:rPr>
        <w:rFonts w:asciiTheme="majorHAnsi" w:hAnsiTheme="majorHAnsi"/>
        <w:b/>
        <w:sz w:val="32"/>
      </w:rPr>
      <w:t xml:space="preserve">Generalitat de Catalunya                                          </w:t>
    </w:r>
  </w:p>
  <w:p w:rsidR="00567C10" w:rsidRPr="007003E1" w:rsidRDefault="00567C10" w:rsidP="007003E1">
    <w:pPr>
      <w:pStyle w:val="Sinespaciado"/>
      <w:rPr>
        <w:rStyle w:val="Textoennegrita"/>
        <w:rFonts w:asciiTheme="majorHAnsi" w:hAnsiTheme="majorHAnsi"/>
        <w:sz w:val="32"/>
      </w:rPr>
    </w:pPr>
    <w:r w:rsidRPr="007003E1">
      <w:rPr>
        <w:rStyle w:val="Textoennegrita"/>
        <w:rFonts w:asciiTheme="majorHAnsi" w:hAnsiTheme="majorHAnsi"/>
        <w:sz w:val="32"/>
      </w:rPr>
      <w:t>Departamento de Agricultura, Ganadería,</w:t>
    </w:r>
  </w:p>
  <w:p w:rsidR="00567C10" w:rsidRPr="007003E1" w:rsidRDefault="00567C10" w:rsidP="007003E1">
    <w:pPr>
      <w:pStyle w:val="Sinespaciado"/>
      <w:rPr>
        <w:rStyle w:val="Textoennegrita"/>
        <w:rFonts w:asciiTheme="majorHAnsi" w:hAnsiTheme="majorHAnsi"/>
        <w:sz w:val="32"/>
      </w:rPr>
    </w:pPr>
    <w:r w:rsidRPr="007003E1">
      <w:rPr>
        <w:rStyle w:val="Textoennegrita"/>
        <w:rFonts w:asciiTheme="majorHAnsi" w:hAnsiTheme="majorHAnsi"/>
        <w:sz w:val="32"/>
      </w:rPr>
      <w:t xml:space="preserve">Pesca y Alimentación </w:t>
    </w:r>
  </w:p>
  <w:p w:rsidR="00567C10" w:rsidRPr="00541C4E" w:rsidRDefault="00567C10" w:rsidP="001D205D">
    <w:pPr>
      <w:rPr>
        <w:lang w:val="es-ES" w:eastAsia="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Default="00567C10">
    <w:pPr>
      <w:pStyle w:val="Encabezado"/>
      <w:tabs>
        <w:tab w:val="clear" w:pos="4252"/>
        <w:tab w:val="clear" w:pos="8504"/>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C10" w:rsidRPr="00857A1E" w:rsidRDefault="00567C10">
    <w:pPr>
      <w:pStyle w:val="Encabez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3AA67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89300F"/>
    <w:multiLevelType w:val="multilevel"/>
    <w:tmpl w:val="C130E22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3130B8"/>
    <w:multiLevelType w:val="hybridMultilevel"/>
    <w:tmpl w:val="B64E4492"/>
    <w:lvl w:ilvl="0" w:tplc="B47A4A4C">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nsid w:val="03D53BF4"/>
    <w:multiLevelType w:val="hybridMultilevel"/>
    <w:tmpl w:val="A008FEDC"/>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nsid w:val="03EA4487"/>
    <w:multiLevelType w:val="hybridMultilevel"/>
    <w:tmpl w:val="52E6D5D8"/>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nsid w:val="04944789"/>
    <w:multiLevelType w:val="hybridMultilevel"/>
    <w:tmpl w:val="49FE21A0"/>
    <w:lvl w:ilvl="0" w:tplc="D1648266">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nsid w:val="04B95318"/>
    <w:multiLevelType w:val="singleLevel"/>
    <w:tmpl w:val="0C0A000F"/>
    <w:lvl w:ilvl="0">
      <w:start w:val="1"/>
      <w:numFmt w:val="decimal"/>
      <w:lvlText w:val="%1."/>
      <w:lvlJc w:val="left"/>
      <w:pPr>
        <w:tabs>
          <w:tab w:val="num" w:pos="360"/>
        </w:tabs>
        <w:ind w:left="360" w:hanging="360"/>
      </w:pPr>
    </w:lvl>
  </w:abstractNum>
  <w:abstractNum w:abstractNumId="7">
    <w:nsid w:val="05D61FF4"/>
    <w:multiLevelType w:val="singleLevel"/>
    <w:tmpl w:val="D108BD4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07B010CE"/>
    <w:multiLevelType w:val="hybridMultilevel"/>
    <w:tmpl w:val="B792CDB4"/>
    <w:lvl w:ilvl="0" w:tplc="DB1C5EC6">
      <w:start w:val="1"/>
      <w:numFmt w:val="decimal"/>
      <w:lvlText w:val="(%1)"/>
      <w:lvlJc w:val="left"/>
      <w:pPr>
        <w:tabs>
          <w:tab w:val="num" w:pos="390"/>
        </w:tabs>
        <w:ind w:left="390" w:hanging="39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9">
    <w:nsid w:val="098D203B"/>
    <w:multiLevelType w:val="singleLevel"/>
    <w:tmpl w:val="938E409A"/>
    <w:lvl w:ilvl="0">
      <w:start w:val="1"/>
      <w:numFmt w:val="decimal"/>
      <w:lvlText w:val="(%1)"/>
      <w:lvlJc w:val="left"/>
      <w:pPr>
        <w:tabs>
          <w:tab w:val="num" w:pos="360"/>
        </w:tabs>
        <w:ind w:left="360" w:hanging="360"/>
      </w:pPr>
      <w:rPr>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9D024E3"/>
    <w:multiLevelType w:val="singleLevel"/>
    <w:tmpl w:val="5810E5D4"/>
    <w:lvl w:ilvl="0">
      <w:start w:val="1"/>
      <w:numFmt w:val="decimal"/>
      <w:lvlText w:val="(%1)"/>
      <w:lvlJc w:val="left"/>
      <w:pPr>
        <w:tabs>
          <w:tab w:val="num" w:pos="360"/>
        </w:tabs>
        <w:ind w:left="360" w:hanging="360"/>
      </w:pPr>
      <w:rPr>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09DF5FAE"/>
    <w:multiLevelType w:val="hybridMultilevel"/>
    <w:tmpl w:val="C1B01026"/>
    <w:lvl w:ilvl="0" w:tplc="330A6F44">
      <w:numFmt w:val="bullet"/>
      <w:lvlText w:val="-"/>
      <w:lvlJc w:val="left"/>
      <w:pPr>
        <w:ind w:left="720" w:hanging="360"/>
      </w:pPr>
      <w:rPr>
        <w:rFonts w:ascii="Arial" w:eastAsia="Times New Roman" w:hAnsi="Arial" w:cs="Arial"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nsid w:val="0ADB2FD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0ADC4FB3"/>
    <w:multiLevelType w:val="singleLevel"/>
    <w:tmpl w:val="8B966EF6"/>
    <w:lvl w:ilvl="0">
      <w:start w:val="1"/>
      <w:numFmt w:val="decimal"/>
      <w:lvlText w:val="(%1)"/>
      <w:lvlJc w:val="left"/>
      <w:pPr>
        <w:tabs>
          <w:tab w:val="num" w:pos="360"/>
        </w:tabs>
        <w:ind w:left="360" w:hanging="360"/>
      </w:pPr>
      <w:rPr>
        <w:rFonts w:hint="default"/>
        <w:b/>
      </w:rPr>
    </w:lvl>
  </w:abstractNum>
  <w:abstractNum w:abstractNumId="14">
    <w:nsid w:val="0BDF1478"/>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0D797CE3"/>
    <w:multiLevelType w:val="singleLevel"/>
    <w:tmpl w:val="95E63ACC"/>
    <w:lvl w:ilvl="0">
      <w:numFmt w:val="bullet"/>
      <w:lvlText w:val="-"/>
      <w:lvlJc w:val="left"/>
      <w:pPr>
        <w:tabs>
          <w:tab w:val="num" w:pos="360"/>
        </w:tabs>
        <w:ind w:left="360" w:hanging="360"/>
      </w:pPr>
      <w:rPr>
        <w:rFonts w:hint="default"/>
      </w:rPr>
    </w:lvl>
  </w:abstractNum>
  <w:abstractNum w:abstractNumId="16">
    <w:nsid w:val="0D8A1F46"/>
    <w:multiLevelType w:val="hybridMultilevel"/>
    <w:tmpl w:val="CB4C9F26"/>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7">
    <w:nsid w:val="0DD844D7"/>
    <w:multiLevelType w:val="hybridMultilevel"/>
    <w:tmpl w:val="40685DCE"/>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
    <w:nsid w:val="0EC42A28"/>
    <w:multiLevelType w:val="hybridMultilevel"/>
    <w:tmpl w:val="DCA0A7DA"/>
    <w:lvl w:ilvl="0" w:tplc="98765772">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nsid w:val="1049001A"/>
    <w:multiLevelType w:val="hybridMultilevel"/>
    <w:tmpl w:val="1BA03930"/>
    <w:lvl w:ilvl="0" w:tplc="0A5E204A">
      <w:start w:val="1"/>
      <w:numFmt w:val="lowerLetter"/>
      <w:lvlText w:val="%1)"/>
      <w:lvlJc w:val="left"/>
      <w:pPr>
        <w:tabs>
          <w:tab w:val="num" w:pos="700"/>
        </w:tabs>
        <w:ind w:left="700" w:hanging="340"/>
      </w:pPr>
      <w:rPr>
        <w:rFonts w:hint="default"/>
      </w:rPr>
    </w:lvl>
    <w:lvl w:ilvl="1" w:tplc="04030019" w:tentative="1">
      <w:start w:val="1"/>
      <w:numFmt w:val="lowerLetter"/>
      <w:lvlText w:val="%2."/>
      <w:lvlJc w:val="left"/>
      <w:pPr>
        <w:ind w:left="1516" w:hanging="360"/>
      </w:pPr>
    </w:lvl>
    <w:lvl w:ilvl="2" w:tplc="0403001B" w:tentative="1">
      <w:start w:val="1"/>
      <w:numFmt w:val="lowerRoman"/>
      <w:lvlText w:val="%3."/>
      <w:lvlJc w:val="right"/>
      <w:pPr>
        <w:ind w:left="2236" w:hanging="180"/>
      </w:pPr>
    </w:lvl>
    <w:lvl w:ilvl="3" w:tplc="0403000F" w:tentative="1">
      <w:start w:val="1"/>
      <w:numFmt w:val="decimal"/>
      <w:lvlText w:val="%4."/>
      <w:lvlJc w:val="left"/>
      <w:pPr>
        <w:ind w:left="2956" w:hanging="360"/>
      </w:pPr>
    </w:lvl>
    <w:lvl w:ilvl="4" w:tplc="04030019" w:tentative="1">
      <w:start w:val="1"/>
      <w:numFmt w:val="lowerLetter"/>
      <w:lvlText w:val="%5."/>
      <w:lvlJc w:val="left"/>
      <w:pPr>
        <w:ind w:left="3676" w:hanging="360"/>
      </w:pPr>
    </w:lvl>
    <w:lvl w:ilvl="5" w:tplc="0403001B" w:tentative="1">
      <w:start w:val="1"/>
      <w:numFmt w:val="lowerRoman"/>
      <w:lvlText w:val="%6."/>
      <w:lvlJc w:val="right"/>
      <w:pPr>
        <w:ind w:left="4396" w:hanging="180"/>
      </w:pPr>
    </w:lvl>
    <w:lvl w:ilvl="6" w:tplc="0403000F" w:tentative="1">
      <w:start w:val="1"/>
      <w:numFmt w:val="decimal"/>
      <w:lvlText w:val="%7."/>
      <w:lvlJc w:val="left"/>
      <w:pPr>
        <w:ind w:left="5116" w:hanging="360"/>
      </w:pPr>
    </w:lvl>
    <w:lvl w:ilvl="7" w:tplc="04030019" w:tentative="1">
      <w:start w:val="1"/>
      <w:numFmt w:val="lowerLetter"/>
      <w:lvlText w:val="%8."/>
      <w:lvlJc w:val="left"/>
      <w:pPr>
        <w:ind w:left="5836" w:hanging="360"/>
      </w:pPr>
    </w:lvl>
    <w:lvl w:ilvl="8" w:tplc="0403001B" w:tentative="1">
      <w:start w:val="1"/>
      <w:numFmt w:val="lowerRoman"/>
      <w:lvlText w:val="%9."/>
      <w:lvlJc w:val="right"/>
      <w:pPr>
        <w:ind w:left="6556" w:hanging="180"/>
      </w:pPr>
    </w:lvl>
  </w:abstractNum>
  <w:abstractNum w:abstractNumId="20">
    <w:nsid w:val="10AE0C3B"/>
    <w:multiLevelType w:val="singleLevel"/>
    <w:tmpl w:val="70BEBA42"/>
    <w:lvl w:ilvl="0">
      <w:start w:val="1"/>
      <w:numFmt w:val="decimal"/>
      <w:lvlText w:val="(%1)"/>
      <w:lvlJc w:val="left"/>
      <w:pPr>
        <w:tabs>
          <w:tab w:val="num" w:pos="360"/>
        </w:tabs>
        <w:ind w:left="360" w:hanging="360"/>
      </w:pPr>
      <w:rPr>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11551469"/>
    <w:multiLevelType w:val="hybridMultilevel"/>
    <w:tmpl w:val="664CDAC6"/>
    <w:lvl w:ilvl="0" w:tplc="C926406E">
      <w:numFmt w:val="bullet"/>
      <w:lvlText w:val="-"/>
      <w:lvlJc w:val="left"/>
      <w:pPr>
        <w:tabs>
          <w:tab w:val="num" w:pos="624"/>
        </w:tabs>
        <w:ind w:left="624" w:hanging="340"/>
      </w:pPr>
      <w:rPr>
        <w:rFonts w:ascii="sans-serif" w:eastAsia="Times New Roman" w:hAnsi="sans-serif" w:cs="Times New Roman"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2">
    <w:nsid w:val="11731188"/>
    <w:multiLevelType w:val="singleLevel"/>
    <w:tmpl w:val="3D6CED36"/>
    <w:lvl w:ilvl="0">
      <w:start w:val="1"/>
      <w:numFmt w:val="bullet"/>
      <w:pStyle w:val="Topo"/>
      <w:lvlText w:val=""/>
      <w:lvlJc w:val="left"/>
      <w:pPr>
        <w:tabs>
          <w:tab w:val="num" w:pos="360"/>
        </w:tabs>
        <w:ind w:left="360" w:hanging="360"/>
      </w:pPr>
      <w:rPr>
        <w:rFonts w:ascii="Symbol" w:hAnsi="Symbol" w:hint="default"/>
      </w:rPr>
    </w:lvl>
  </w:abstractNum>
  <w:abstractNum w:abstractNumId="23">
    <w:nsid w:val="11761A70"/>
    <w:multiLevelType w:val="singleLevel"/>
    <w:tmpl w:val="E3889F42"/>
    <w:lvl w:ilvl="0">
      <w:start w:val="1"/>
      <w:numFmt w:val="lowerLetter"/>
      <w:lvlText w:val="%1."/>
      <w:lvlJc w:val="left"/>
      <w:pPr>
        <w:tabs>
          <w:tab w:val="num" w:pos="737"/>
        </w:tabs>
        <w:ind w:left="737" w:hanging="453"/>
      </w:pPr>
    </w:lvl>
  </w:abstractNum>
  <w:abstractNum w:abstractNumId="24">
    <w:nsid w:val="124F0E2E"/>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13BF44B4"/>
    <w:multiLevelType w:val="singleLevel"/>
    <w:tmpl w:val="8034CF88"/>
    <w:lvl w:ilvl="0">
      <w:start w:val="1"/>
      <w:numFmt w:val="decimal"/>
      <w:lvlText w:val="(%1)"/>
      <w:lvlJc w:val="left"/>
      <w:pPr>
        <w:tabs>
          <w:tab w:val="num" w:pos="390"/>
        </w:tabs>
        <w:ind w:left="390" w:hanging="390"/>
      </w:pPr>
      <w:rPr>
        <w:rFonts w:hint="default"/>
        <w:sz w:val="18"/>
        <w:szCs w:val="18"/>
      </w:rPr>
    </w:lvl>
  </w:abstractNum>
  <w:abstractNum w:abstractNumId="26">
    <w:nsid w:val="14CC0FAE"/>
    <w:multiLevelType w:val="singleLevel"/>
    <w:tmpl w:val="37EA6C72"/>
    <w:lvl w:ilvl="0">
      <w:start w:val="1"/>
      <w:numFmt w:val="bullet"/>
      <w:pStyle w:val="TopoS"/>
      <w:lvlText w:val=""/>
      <w:lvlJc w:val="left"/>
      <w:pPr>
        <w:tabs>
          <w:tab w:val="num" w:pos="360"/>
        </w:tabs>
        <w:ind w:left="360" w:hanging="360"/>
      </w:pPr>
      <w:rPr>
        <w:rFonts w:ascii="Wingdings" w:hAnsi="Wingdings" w:hint="default"/>
        <w:sz w:val="16"/>
      </w:rPr>
    </w:lvl>
  </w:abstractNum>
  <w:abstractNum w:abstractNumId="27">
    <w:nsid w:val="153003A7"/>
    <w:multiLevelType w:val="hybridMultilevel"/>
    <w:tmpl w:val="A8BA5CB4"/>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28">
    <w:nsid w:val="15E367C5"/>
    <w:multiLevelType w:val="singleLevel"/>
    <w:tmpl w:val="324847F0"/>
    <w:lvl w:ilvl="0">
      <w:start w:val="1"/>
      <w:numFmt w:val="decimal"/>
      <w:lvlText w:val="(%1)"/>
      <w:lvlJc w:val="left"/>
      <w:pPr>
        <w:tabs>
          <w:tab w:val="num" w:pos="360"/>
        </w:tabs>
        <w:ind w:left="360" w:hanging="360"/>
      </w:pPr>
      <w:rPr>
        <w:sz w:val="18"/>
      </w:rPr>
    </w:lvl>
  </w:abstractNum>
  <w:abstractNum w:abstractNumId="29">
    <w:nsid w:val="174B40DE"/>
    <w:multiLevelType w:val="multilevel"/>
    <w:tmpl w:val="0CA8F446"/>
    <w:lvl w:ilvl="0">
      <w:start w:val="1"/>
      <w:numFmt w:val="decimal"/>
      <w:lvlText w:val="%1."/>
      <w:lvlJc w:val="left"/>
      <w:pPr>
        <w:tabs>
          <w:tab w:val="num" w:pos="360"/>
        </w:tabs>
        <w:ind w:left="360" w:hanging="360"/>
      </w:pPr>
    </w:lvl>
    <w:lvl w:ilvl="1">
      <w:start w:val="1"/>
      <w:numFmt w:val="decimal"/>
      <w:isLgl/>
      <w:lvlText w:val="%1.%2"/>
      <w:lvlJc w:val="left"/>
      <w:pPr>
        <w:ind w:left="480" w:hanging="48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17B93B47"/>
    <w:multiLevelType w:val="hybridMultilevel"/>
    <w:tmpl w:val="BD9A37E8"/>
    <w:lvl w:ilvl="0" w:tplc="6CB60652">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31">
    <w:nsid w:val="18966832"/>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18DA0D3B"/>
    <w:multiLevelType w:val="hybridMultilevel"/>
    <w:tmpl w:val="7D720750"/>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nsid w:val="19365529"/>
    <w:multiLevelType w:val="singleLevel"/>
    <w:tmpl w:val="1FBCF652"/>
    <w:lvl w:ilvl="0">
      <w:start w:val="1"/>
      <w:numFmt w:val="decimal"/>
      <w:lvlText w:val="%1)"/>
      <w:lvlJc w:val="left"/>
      <w:pPr>
        <w:tabs>
          <w:tab w:val="num" w:pos="737"/>
        </w:tabs>
        <w:ind w:left="737" w:hanging="453"/>
      </w:pPr>
    </w:lvl>
  </w:abstractNum>
  <w:abstractNum w:abstractNumId="34">
    <w:nsid w:val="19601DC6"/>
    <w:multiLevelType w:val="hybridMultilevel"/>
    <w:tmpl w:val="E65845D0"/>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35">
    <w:nsid w:val="1A6953AE"/>
    <w:multiLevelType w:val="multilevel"/>
    <w:tmpl w:val="F31AC878"/>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1AA27D6F"/>
    <w:multiLevelType w:val="hybridMultilevel"/>
    <w:tmpl w:val="B94AFFB6"/>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7">
    <w:nsid w:val="1C9526F7"/>
    <w:multiLevelType w:val="hybridMultilevel"/>
    <w:tmpl w:val="2B04B7A2"/>
    <w:lvl w:ilvl="0" w:tplc="48B26AB8">
      <w:start w:val="1"/>
      <w:numFmt w:val="bullet"/>
      <w:lvlText w:val=""/>
      <w:lvlJc w:val="left"/>
      <w:pPr>
        <w:tabs>
          <w:tab w:val="num" w:pos="720"/>
        </w:tabs>
        <w:ind w:left="720" w:hanging="360"/>
      </w:pPr>
      <w:rPr>
        <w:rFonts w:ascii="Wingdings" w:hAnsi="Wingdings" w:hint="default"/>
      </w:rPr>
    </w:lvl>
    <w:lvl w:ilvl="1" w:tplc="04030019" w:tentative="1">
      <w:start w:val="1"/>
      <w:numFmt w:val="bullet"/>
      <w:lvlText w:val="o"/>
      <w:lvlJc w:val="left"/>
      <w:pPr>
        <w:tabs>
          <w:tab w:val="num" w:pos="1440"/>
        </w:tabs>
        <w:ind w:left="1440" w:hanging="360"/>
      </w:pPr>
      <w:rPr>
        <w:rFonts w:ascii="Courier New" w:hAnsi="Courier New" w:hint="default"/>
      </w:rPr>
    </w:lvl>
    <w:lvl w:ilvl="2" w:tplc="0403001B" w:tentative="1">
      <w:start w:val="1"/>
      <w:numFmt w:val="bullet"/>
      <w:lvlText w:val=""/>
      <w:lvlJc w:val="left"/>
      <w:pPr>
        <w:tabs>
          <w:tab w:val="num" w:pos="2160"/>
        </w:tabs>
        <w:ind w:left="2160" w:hanging="360"/>
      </w:pPr>
      <w:rPr>
        <w:rFonts w:ascii="Wingdings" w:hAnsi="Wingdings" w:hint="default"/>
      </w:rPr>
    </w:lvl>
    <w:lvl w:ilvl="3" w:tplc="0403000F" w:tentative="1">
      <w:start w:val="1"/>
      <w:numFmt w:val="bullet"/>
      <w:lvlText w:val=""/>
      <w:lvlJc w:val="left"/>
      <w:pPr>
        <w:tabs>
          <w:tab w:val="num" w:pos="2880"/>
        </w:tabs>
        <w:ind w:left="2880" w:hanging="360"/>
      </w:pPr>
      <w:rPr>
        <w:rFonts w:ascii="Symbol" w:hAnsi="Symbol" w:hint="default"/>
      </w:rPr>
    </w:lvl>
    <w:lvl w:ilvl="4" w:tplc="04030019" w:tentative="1">
      <w:start w:val="1"/>
      <w:numFmt w:val="bullet"/>
      <w:lvlText w:val="o"/>
      <w:lvlJc w:val="left"/>
      <w:pPr>
        <w:tabs>
          <w:tab w:val="num" w:pos="3600"/>
        </w:tabs>
        <w:ind w:left="3600" w:hanging="360"/>
      </w:pPr>
      <w:rPr>
        <w:rFonts w:ascii="Courier New" w:hAnsi="Courier New" w:hint="default"/>
      </w:rPr>
    </w:lvl>
    <w:lvl w:ilvl="5" w:tplc="0403001B" w:tentative="1">
      <w:start w:val="1"/>
      <w:numFmt w:val="bullet"/>
      <w:lvlText w:val=""/>
      <w:lvlJc w:val="left"/>
      <w:pPr>
        <w:tabs>
          <w:tab w:val="num" w:pos="4320"/>
        </w:tabs>
        <w:ind w:left="4320" w:hanging="360"/>
      </w:pPr>
      <w:rPr>
        <w:rFonts w:ascii="Wingdings" w:hAnsi="Wingdings" w:hint="default"/>
      </w:rPr>
    </w:lvl>
    <w:lvl w:ilvl="6" w:tplc="0403000F" w:tentative="1">
      <w:start w:val="1"/>
      <w:numFmt w:val="bullet"/>
      <w:lvlText w:val=""/>
      <w:lvlJc w:val="left"/>
      <w:pPr>
        <w:tabs>
          <w:tab w:val="num" w:pos="5040"/>
        </w:tabs>
        <w:ind w:left="5040" w:hanging="360"/>
      </w:pPr>
      <w:rPr>
        <w:rFonts w:ascii="Symbol" w:hAnsi="Symbol" w:hint="default"/>
      </w:rPr>
    </w:lvl>
    <w:lvl w:ilvl="7" w:tplc="04030019" w:tentative="1">
      <w:start w:val="1"/>
      <w:numFmt w:val="bullet"/>
      <w:lvlText w:val="o"/>
      <w:lvlJc w:val="left"/>
      <w:pPr>
        <w:tabs>
          <w:tab w:val="num" w:pos="5760"/>
        </w:tabs>
        <w:ind w:left="5760" w:hanging="360"/>
      </w:pPr>
      <w:rPr>
        <w:rFonts w:ascii="Courier New" w:hAnsi="Courier New" w:hint="default"/>
      </w:rPr>
    </w:lvl>
    <w:lvl w:ilvl="8" w:tplc="0403001B" w:tentative="1">
      <w:start w:val="1"/>
      <w:numFmt w:val="bullet"/>
      <w:lvlText w:val=""/>
      <w:lvlJc w:val="left"/>
      <w:pPr>
        <w:tabs>
          <w:tab w:val="num" w:pos="6480"/>
        </w:tabs>
        <w:ind w:left="6480" w:hanging="360"/>
      </w:pPr>
      <w:rPr>
        <w:rFonts w:ascii="Wingdings" w:hAnsi="Wingdings" w:hint="default"/>
      </w:rPr>
    </w:lvl>
  </w:abstractNum>
  <w:abstractNum w:abstractNumId="38">
    <w:nsid w:val="1CC60F8A"/>
    <w:multiLevelType w:val="hybridMultilevel"/>
    <w:tmpl w:val="A412DCC0"/>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9">
    <w:nsid w:val="1DFE4FD9"/>
    <w:multiLevelType w:val="hybridMultilevel"/>
    <w:tmpl w:val="E5707816"/>
    <w:lvl w:ilvl="0" w:tplc="2A960FB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nsid w:val="1E0606F9"/>
    <w:multiLevelType w:val="hybridMultilevel"/>
    <w:tmpl w:val="532084FA"/>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1">
    <w:nsid w:val="1EB70221"/>
    <w:multiLevelType w:val="multilevel"/>
    <w:tmpl w:val="9D40343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1FF36C14"/>
    <w:multiLevelType w:val="hybridMultilevel"/>
    <w:tmpl w:val="FF004866"/>
    <w:lvl w:ilvl="0" w:tplc="0403000F">
      <w:start w:val="1"/>
      <w:numFmt w:val="decimal"/>
      <w:lvlText w:val="%1."/>
      <w:lvlJc w:val="left"/>
      <w:pPr>
        <w:tabs>
          <w:tab w:val="num" w:pos="360"/>
        </w:tabs>
        <w:ind w:left="360" w:hanging="360"/>
      </w:pPr>
    </w:lvl>
    <w:lvl w:ilvl="1" w:tplc="04030019" w:tentative="1">
      <w:start w:val="1"/>
      <w:numFmt w:val="lowerLetter"/>
      <w:lvlText w:val="%2."/>
      <w:lvlJc w:val="left"/>
      <w:pPr>
        <w:tabs>
          <w:tab w:val="num" w:pos="1080"/>
        </w:tabs>
        <w:ind w:left="1080" w:hanging="360"/>
      </w:pPr>
    </w:lvl>
    <w:lvl w:ilvl="2" w:tplc="0403001B" w:tentative="1">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3">
    <w:nsid w:val="212A740E"/>
    <w:multiLevelType w:val="hybridMultilevel"/>
    <w:tmpl w:val="40208786"/>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4">
    <w:nsid w:val="212E24B2"/>
    <w:multiLevelType w:val="hybridMultilevel"/>
    <w:tmpl w:val="168AFEDC"/>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5">
    <w:nsid w:val="2238667E"/>
    <w:multiLevelType w:val="hybridMultilevel"/>
    <w:tmpl w:val="9EB053B4"/>
    <w:lvl w:ilvl="0" w:tplc="D5C817DA">
      <w:start w:val="1"/>
      <w:numFmt w:val="decimal"/>
      <w:lvlText w:val="%1."/>
      <w:lvlJc w:val="left"/>
      <w:pPr>
        <w:ind w:left="1068" w:hanging="360"/>
      </w:pPr>
      <w:rPr>
        <w:rFonts w:hint="default"/>
      </w:rPr>
    </w:lvl>
    <w:lvl w:ilvl="1" w:tplc="04030019" w:tentative="1">
      <w:start w:val="1"/>
      <w:numFmt w:val="lowerLetter"/>
      <w:lvlText w:val="%2."/>
      <w:lvlJc w:val="left"/>
      <w:pPr>
        <w:ind w:left="1155" w:hanging="360"/>
      </w:pPr>
    </w:lvl>
    <w:lvl w:ilvl="2" w:tplc="0403001B" w:tentative="1">
      <w:start w:val="1"/>
      <w:numFmt w:val="lowerRoman"/>
      <w:lvlText w:val="%3."/>
      <w:lvlJc w:val="right"/>
      <w:pPr>
        <w:ind w:left="1875" w:hanging="180"/>
      </w:pPr>
    </w:lvl>
    <w:lvl w:ilvl="3" w:tplc="0403000F" w:tentative="1">
      <w:start w:val="1"/>
      <w:numFmt w:val="decimal"/>
      <w:lvlText w:val="%4."/>
      <w:lvlJc w:val="left"/>
      <w:pPr>
        <w:ind w:left="2595" w:hanging="360"/>
      </w:pPr>
    </w:lvl>
    <w:lvl w:ilvl="4" w:tplc="04030019" w:tentative="1">
      <w:start w:val="1"/>
      <w:numFmt w:val="lowerLetter"/>
      <w:lvlText w:val="%5."/>
      <w:lvlJc w:val="left"/>
      <w:pPr>
        <w:ind w:left="3315" w:hanging="360"/>
      </w:pPr>
    </w:lvl>
    <w:lvl w:ilvl="5" w:tplc="0403001B" w:tentative="1">
      <w:start w:val="1"/>
      <w:numFmt w:val="lowerRoman"/>
      <w:lvlText w:val="%6."/>
      <w:lvlJc w:val="right"/>
      <w:pPr>
        <w:ind w:left="4035" w:hanging="180"/>
      </w:pPr>
    </w:lvl>
    <w:lvl w:ilvl="6" w:tplc="0403000F" w:tentative="1">
      <w:start w:val="1"/>
      <w:numFmt w:val="decimal"/>
      <w:lvlText w:val="%7."/>
      <w:lvlJc w:val="left"/>
      <w:pPr>
        <w:ind w:left="4755" w:hanging="360"/>
      </w:pPr>
    </w:lvl>
    <w:lvl w:ilvl="7" w:tplc="04030019" w:tentative="1">
      <w:start w:val="1"/>
      <w:numFmt w:val="lowerLetter"/>
      <w:lvlText w:val="%8."/>
      <w:lvlJc w:val="left"/>
      <w:pPr>
        <w:ind w:left="5475" w:hanging="360"/>
      </w:pPr>
    </w:lvl>
    <w:lvl w:ilvl="8" w:tplc="0403001B" w:tentative="1">
      <w:start w:val="1"/>
      <w:numFmt w:val="lowerRoman"/>
      <w:lvlText w:val="%9."/>
      <w:lvlJc w:val="right"/>
      <w:pPr>
        <w:ind w:left="6195" w:hanging="180"/>
      </w:pPr>
    </w:lvl>
  </w:abstractNum>
  <w:abstractNum w:abstractNumId="46">
    <w:nsid w:val="22554CAB"/>
    <w:multiLevelType w:val="hybridMultilevel"/>
    <w:tmpl w:val="E5348D56"/>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nsid w:val="22EA10E6"/>
    <w:multiLevelType w:val="hybridMultilevel"/>
    <w:tmpl w:val="06AAF14C"/>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48">
    <w:nsid w:val="24172D82"/>
    <w:multiLevelType w:val="hybridMultilevel"/>
    <w:tmpl w:val="3AA40E24"/>
    <w:lvl w:ilvl="0" w:tplc="AA7491EC">
      <w:start w:val="1"/>
      <w:numFmt w:val="decimal"/>
      <w:lvlText w:val="%1)"/>
      <w:lvlJc w:val="left"/>
      <w:pPr>
        <w:tabs>
          <w:tab w:val="num" w:pos="624"/>
        </w:tabs>
        <w:ind w:left="624" w:hanging="34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49">
    <w:nsid w:val="25DA4AA2"/>
    <w:multiLevelType w:val="singleLevel"/>
    <w:tmpl w:val="AE941948"/>
    <w:lvl w:ilvl="0">
      <w:start w:val="1"/>
      <w:numFmt w:val="lowerLetter"/>
      <w:lvlText w:val="%1)"/>
      <w:lvlJc w:val="left"/>
      <w:pPr>
        <w:tabs>
          <w:tab w:val="num" w:pos="624"/>
        </w:tabs>
        <w:ind w:left="624" w:hanging="340"/>
      </w:pPr>
      <w:rPr>
        <w:rFonts w:hint="default"/>
      </w:rPr>
    </w:lvl>
  </w:abstractNum>
  <w:abstractNum w:abstractNumId="50">
    <w:nsid w:val="26681F89"/>
    <w:multiLevelType w:val="hybridMultilevel"/>
    <w:tmpl w:val="F392D04A"/>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51">
    <w:nsid w:val="26960464"/>
    <w:multiLevelType w:val="hybridMultilevel"/>
    <w:tmpl w:val="3F342B98"/>
    <w:lvl w:ilvl="0" w:tplc="DEFC0016">
      <w:start w:val="1"/>
      <w:numFmt w:val="bullet"/>
      <w:lvlText w:val=""/>
      <w:lvlJc w:val="left"/>
      <w:pPr>
        <w:tabs>
          <w:tab w:val="num" w:pos="927"/>
        </w:tabs>
        <w:ind w:left="907" w:hanging="34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52">
    <w:nsid w:val="26B36837"/>
    <w:multiLevelType w:val="hybridMultilevel"/>
    <w:tmpl w:val="851E62B2"/>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3">
    <w:nsid w:val="278D13A5"/>
    <w:multiLevelType w:val="hybridMultilevel"/>
    <w:tmpl w:val="B96618B0"/>
    <w:lvl w:ilvl="0" w:tplc="89F024FC">
      <w:start w:val="1"/>
      <w:numFmt w:val="decimal"/>
      <w:lvlText w:val="(%1)"/>
      <w:lvlJc w:val="left"/>
      <w:pPr>
        <w:tabs>
          <w:tab w:val="num" w:pos="360"/>
        </w:tabs>
        <w:ind w:left="360" w:hanging="360"/>
      </w:pPr>
      <w:rPr>
        <w:rFonts w:hint="default"/>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4">
    <w:nsid w:val="281E497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nsid w:val="2B4946B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6">
    <w:nsid w:val="2C11391B"/>
    <w:multiLevelType w:val="hybridMultilevel"/>
    <w:tmpl w:val="0936D44A"/>
    <w:lvl w:ilvl="0" w:tplc="6CB60652">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57">
    <w:nsid w:val="2C8A60F8"/>
    <w:multiLevelType w:val="singleLevel"/>
    <w:tmpl w:val="7480E2B8"/>
    <w:lvl w:ilvl="0">
      <w:start w:val="1"/>
      <w:numFmt w:val="decimal"/>
      <w:lvlText w:val="%1)"/>
      <w:lvlJc w:val="left"/>
      <w:pPr>
        <w:tabs>
          <w:tab w:val="num" w:pos="1494"/>
        </w:tabs>
        <w:ind w:left="1474" w:hanging="340"/>
      </w:pPr>
    </w:lvl>
  </w:abstractNum>
  <w:abstractNum w:abstractNumId="58">
    <w:nsid w:val="2D69450A"/>
    <w:multiLevelType w:val="hybridMultilevel"/>
    <w:tmpl w:val="B4DA9996"/>
    <w:lvl w:ilvl="0" w:tplc="3BAC8C22">
      <w:numFmt w:val="bullet"/>
      <w:lvlText w:val="-"/>
      <w:lvlJc w:val="left"/>
      <w:pPr>
        <w:tabs>
          <w:tab w:val="num" w:pos="340"/>
        </w:tabs>
        <w:ind w:left="340" w:hanging="340"/>
      </w:pPr>
      <w:rPr>
        <w:rFonts w:ascii="sans-serif" w:eastAsia="Times New Roman" w:hAnsi="sans-serif" w:cs="Times New Roman"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59">
    <w:nsid w:val="2D8630CD"/>
    <w:multiLevelType w:val="singleLevel"/>
    <w:tmpl w:val="932EB4EC"/>
    <w:lvl w:ilvl="0">
      <w:start w:val="1"/>
      <w:numFmt w:val="bullet"/>
      <w:lvlText w:val=""/>
      <w:lvlJc w:val="left"/>
      <w:pPr>
        <w:tabs>
          <w:tab w:val="num" w:pos="927"/>
        </w:tabs>
        <w:ind w:left="907" w:hanging="340"/>
      </w:pPr>
      <w:rPr>
        <w:rFonts w:ascii="Symbol" w:hAnsi="Symbol" w:hint="default"/>
      </w:rPr>
    </w:lvl>
  </w:abstractNum>
  <w:abstractNum w:abstractNumId="60">
    <w:nsid w:val="2FE8191B"/>
    <w:multiLevelType w:val="singleLevel"/>
    <w:tmpl w:val="79901B44"/>
    <w:lvl w:ilvl="0">
      <w:start w:val="1"/>
      <w:numFmt w:val="decimal"/>
      <w:lvlText w:val="(%1)"/>
      <w:lvlJc w:val="left"/>
      <w:pPr>
        <w:tabs>
          <w:tab w:val="num" w:pos="360"/>
        </w:tabs>
        <w:ind w:left="360" w:hanging="360"/>
      </w:pPr>
      <w:rPr>
        <w:rFonts w:hint="default"/>
      </w:rPr>
    </w:lvl>
  </w:abstractNum>
  <w:abstractNum w:abstractNumId="61">
    <w:nsid w:val="303C1B74"/>
    <w:multiLevelType w:val="hybridMultilevel"/>
    <w:tmpl w:val="C4E4D3E6"/>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62">
    <w:nsid w:val="319718B1"/>
    <w:multiLevelType w:val="singleLevel"/>
    <w:tmpl w:val="BB3C7372"/>
    <w:lvl w:ilvl="0">
      <w:start w:val="1"/>
      <w:numFmt w:val="bullet"/>
      <w:lvlText w:val="-"/>
      <w:lvlJc w:val="left"/>
      <w:pPr>
        <w:tabs>
          <w:tab w:val="num" w:pos="1494"/>
        </w:tabs>
        <w:ind w:left="1474" w:hanging="340"/>
      </w:pPr>
      <w:rPr>
        <w:rFonts w:ascii="Times New Roman" w:hAnsi="Times New Roman" w:hint="default"/>
      </w:rPr>
    </w:lvl>
  </w:abstractNum>
  <w:abstractNum w:abstractNumId="63">
    <w:nsid w:val="32A06A85"/>
    <w:multiLevelType w:val="singleLevel"/>
    <w:tmpl w:val="79901B44"/>
    <w:lvl w:ilvl="0">
      <w:start w:val="1"/>
      <w:numFmt w:val="decimal"/>
      <w:lvlText w:val="(%1)"/>
      <w:lvlJc w:val="left"/>
      <w:pPr>
        <w:tabs>
          <w:tab w:val="num" w:pos="360"/>
        </w:tabs>
        <w:ind w:left="360" w:hanging="360"/>
      </w:pPr>
      <w:rPr>
        <w:rFonts w:hint="default"/>
      </w:rPr>
    </w:lvl>
  </w:abstractNum>
  <w:abstractNum w:abstractNumId="64">
    <w:nsid w:val="339221C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5">
    <w:nsid w:val="34171CAF"/>
    <w:multiLevelType w:val="singleLevel"/>
    <w:tmpl w:val="4036CDAC"/>
    <w:lvl w:ilvl="0">
      <w:start w:val="1"/>
      <w:numFmt w:val="lowerLetter"/>
      <w:lvlText w:val="%1)"/>
      <w:lvlJc w:val="left"/>
      <w:pPr>
        <w:tabs>
          <w:tab w:val="num" w:pos="737"/>
        </w:tabs>
        <w:ind w:left="737" w:hanging="453"/>
      </w:pPr>
      <w:rPr>
        <w:strike w:val="0"/>
        <w:dstrike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nsid w:val="368C5E1A"/>
    <w:multiLevelType w:val="hybridMultilevel"/>
    <w:tmpl w:val="938C0EE4"/>
    <w:lvl w:ilvl="0" w:tplc="473AD7DA">
      <w:start w:val="1"/>
      <w:numFmt w:val="lowerLetter"/>
      <w:lvlText w:val="%1."/>
      <w:lvlJc w:val="left"/>
      <w:pPr>
        <w:tabs>
          <w:tab w:val="num" w:pos="737"/>
        </w:tabs>
        <w:ind w:left="737" w:hanging="453"/>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7">
    <w:nsid w:val="38111624"/>
    <w:multiLevelType w:val="hybridMultilevel"/>
    <w:tmpl w:val="3A58C6E6"/>
    <w:lvl w:ilvl="0" w:tplc="8B76A502">
      <w:numFmt w:val="bullet"/>
      <w:lvlText w:val="-"/>
      <w:lvlJc w:val="left"/>
      <w:pPr>
        <w:ind w:left="720" w:hanging="360"/>
      </w:pPr>
      <w:rPr>
        <w:rFonts w:ascii="sans-serif" w:eastAsia="Times New Roman" w:hAnsi="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8">
    <w:nsid w:val="3884512F"/>
    <w:multiLevelType w:val="hybridMultilevel"/>
    <w:tmpl w:val="A0A6AC02"/>
    <w:lvl w:ilvl="0" w:tplc="330A6F44">
      <w:numFmt w:val="bullet"/>
      <w:lvlText w:val="-"/>
      <w:lvlJc w:val="left"/>
      <w:pPr>
        <w:tabs>
          <w:tab w:val="num" w:pos="780"/>
        </w:tabs>
        <w:ind w:left="780" w:hanging="360"/>
      </w:pPr>
      <w:rPr>
        <w:rFonts w:ascii="Arial" w:eastAsia="Times New Roman" w:hAnsi="Arial" w:cs="Arial" w:hint="default"/>
      </w:rPr>
    </w:lvl>
    <w:lvl w:ilvl="1" w:tplc="04030003" w:tentative="1">
      <w:start w:val="1"/>
      <w:numFmt w:val="bullet"/>
      <w:lvlText w:val="o"/>
      <w:lvlJc w:val="left"/>
      <w:pPr>
        <w:tabs>
          <w:tab w:val="num" w:pos="1500"/>
        </w:tabs>
        <w:ind w:left="1500" w:hanging="360"/>
      </w:pPr>
      <w:rPr>
        <w:rFonts w:ascii="Courier New" w:hAnsi="Courier New" w:cs="Courier New" w:hint="default"/>
      </w:rPr>
    </w:lvl>
    <w:lvl w:ilvl="2" w:tplc="04030005" w:tentative="1">
      <w:start w:val="1"/>
      <w:numFmt w:val="bullet"/>
      <w:lvlText w:val=""/>
      <w:lvlJc w:val="left"/>
      <w:pPr>
        <w:tabs>
          <w:tab w:val="num" w:pos="2220"/>
        </w:tabs>
        <w:ind w:left="2220" w:hanging="360"/>
      </w:pPr>
      <w:rPr>
        <w:rFonts w:ascii="Wingdings" w:hAnsi="Wingdings" w:hint="default"/>
      </w:rPr>
    </w:lvl>
    <w:lvl w:ilvl="3" w:tplc="04030001" w:tentative="1">
      <w:start w:val="1"/>
      <w:numFmt w:val="bullet"/>
      <w:lvlText w:val=""/>
      <w:lvlJc w:val="left"/>
      <w:pPr>
        <w:tabs>
          <w:tab w:val="num" w:pos="2940"/>
        </w:tabs>
        <w:ind w:left="2940" w:hanging="360"/>
      </w:pPr>
      <w:rPr>
        <w:rFonts w:ascii="Symbol" w:hAnsi="Symbol" w:hint="default"/>
      </w:rPr>
    </w:lvl>
    <w:lvl w:ilvl="4" w:tplc="04030003" w:tentative="1">
      <w:start w:val="1"/>
      <w:numFmt w:val="bullet"/>
      <w:lvlText w:val="o"/>
      <w:lvlJc w:val="left"/>
      <w:pPr>
        <w:tabs>
          <w:tab w:val="num" w:pos="3660"/>
        </w:tabs>
        <w:ind w:left="3660" w:hanging="360"/>
      </w:pPr>
      <w:rPr>
        <w:rFonts w:ascii="Courier New" w:hAnsi="Courier New" w:cs="Courier New" w:hint="default"/>
      </w:rPr>
    </w:lvl>
    <w:lvl w:ilvl="5" w:tplc="04030005" w:tentative="1">
      <w:start w:val="1"/>
      <w:numFmt w:val="bullet"/>
      <w:lvlText w:val=""/>
      <w:lvlJc w:val="left"/>
      <w:pPr>
        <w:tabs>
          <w:tab w:val="num" w:pos="4380"/>
        </w:tabs>
        <w:ind w:left="4380" w:hanging="360"/>
      </w:pPr>
      <w:rPr>
        <w:rFonts w:ascii="Wingdings" w:hAnsi="Wingdings" w:hint="default"/>
      </w:rPr>
    </w:lvl>
    <w:lvl w:ilvl="6" w:tplc="04030001" w:tentative="1">
      <w:start w:val="1"/>
      <w:numFmt w:val="bullet"/>
      <w:lvlText w:val=""/>
      <w:lvlJc w:val="left"/>
      <w:pPr>
        <w:tabs>
          <w:tab w:val="num" w:pos="5100"/>
        </w:tabs>
        <w:ind w:left="5100" w:hanging="360"/>
      </w:pPr>
      <w:rPr>
        <w:rFonts w:ascii="Symbol" w:hAnsi="Symbol" w:hint="default"/>
      </w:rPr>
    </w:lvl>
    <w:lvl w:ilvl="7" w:tplc="04030003" w:tentative="1">
      <w:start w:val="1"/>
      <w:numFmt w:val="bullet"/>
      <w:lvlText w:val="o"/>
      <w:lvlJc w:val="left"/>
      <w:pPr>
        <w:tabs>
          <w:tab w:val="num" w:pos="5820"/>
        </w:tabs>
        <w:ind w:left="5820" w:hanging="360"/>
      </w:pPr>
      <w:rPr>
        <w:rFonts w:ascii="Courier New" w:hAnsi="Courier New" w:cs="Courier New" w:hint="default"/>
      </w:rPr>
    </w:lvl>
    <w:lvl w:ilvl="8" w:tplc="04030005" w:tentative="1">
      <w:start w:val="1"/>
      <w:numFmt w:val="bullet"/>
      <w:lvlText w:val=""/>
      <w:lvlJc w:val="left"/>
      <w:pPr>
        <w:tabs>
          <w:tab w:val="num" w:pos="6540"/>
        </w:tabs>
        <w:ind w:left="6540" w:hanging="360"/>
      </w:pPr>
      <w:rPr>
        <w:rFonts w:ascii="Wingdings" w:hAnsi="Wingdings" w:hint="default"/>
      </w:rPr>
    </w:lvl>
  </w:abstractNum>
  <w:abstractNum w:abstractNumId="69">
    <w:nsid w:val="3934420B"/>
    <w:multiLevelType w:val="hybridMultilevel"/>
    <w:tmpl w:val="B9E8A264"/>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0">
    <w:nsid w:val="39727B0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1">
    <w:nsid w:val="39C0457A"/>
    <w:multiLevelType w:val="multilevel"/>
    <w:tmpl w:val="1CBCC1D2"/>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39C15D34"/>
    <w:multiLevelType w:val="singleLevel"/>
    <w:tmpl w:val="A5A639A8"/>
    <w:lvl w:ilvl="0">
      <w:start w:val="1"/>
      <w:numFmt w:val="decimal"/>
      <w:lvlText w:val="(%1)"/>
      <w:lvlJc w:val="left"/>
      <w:pPr>
        <w:tabs>
          <w:tab w:val="num" w:pos="405"/>
        </w:tabs>
        <w:ind w:left="405" w:hanging="360"/>
      </w:pPr>
      <w:rPr>
        <w:rFonts w:hint="default"/>
      </w:rPr>
    </w:lvl>
  </w:abstractNum>
  <w:abstractNum w:abstractNumId="73">
    <w:nsid w:val="39E42410"/>
    <w:multiLevelType w:val="multilevel"/>
    <w:tmpl w:val="24EE2F3C"/>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3A0D3BF2"/>
    <w:multiLevelType w:val="hybridMultilevel"/>
    <w:tmpl w:val="F9EC7B8A"/>
    <w:lvl w:ilvl="0" w:tplc="66E82E16">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5">
    <w:nsid w:val="3A103E09"/>
    <w:multiLevelType w:val="hybridMultilevel"/>
    <w:tmpl w:val="06B0D996"/>
    <w:lvl w:ilvl="0" w:tplc="04030001">
      <w:start w:val="1"/>
      <w:numFmt w:val="bullet"/>
      <w:lvlText w:val=""/>
      <w:lvlJc w:val="left"/>
      <w:pPr>
        <w:tabs>
          <w:tab w:val="num" w:pos="720"/>
        </w:tabs>
        <w:ind w:left="720" w:hanging="36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76">
    <w:nsid w:val="3A3B2E8B"/>
    <w:multiLevelType w:val="multilevel"/>
    <w:tmpl w:val="CB46BBCE"/>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7">
    <w:nsid w:val="3B4D3C5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8">
    <w:nsid w:val="3B6F53F9"/>
    <w:multiLevelType w:val="hybridMultilevel"/>
    <w:tmpl w:val="6CD836CA"/>
    <w:lvl w:ilvl="0" w:tplc="8BC806DC">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79">
    <w:nsid w:val="3C026619"/>
    <w:multiLevelType w:val="hybridMultilevel"/>
    <w:tmpl w:val="5010E2DC"/>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80">
    <w:nsid w:val="3C2B77C5"/>
    <w:multiLevelType w:val="multilevel"/>
    <w:tmpl w:val="D51AED50"/>
    <w:lvl w:ilvl="0">
      <w:start w:val="1"/>
      <w:numFmt w:val="lowerLetter"/>
      <w:lvlText w:val="%1)"/>
      <w:lvlJc w:val="left"/>
      <w:pPr>
        <w:tabs>
          <w:tab w:val="num" w:pos="1021"/>
        </w:tabs>
        <w:ind w:left="1021" w:hanging="454"/>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nsid w:val="3C77507E"/>
    <w:multiLevelType w:val="hybridMultilevel"/>
    <w:tmpl w:val="6162452C"/>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2">
    <w:nsid w:val="3D301A5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3">
    <w:nsid w:val="3DB86F1B"/>
    <w:multiLevelType w:val="singleLevel"/>
    <w:tmpl w:val="0A244412"/>
    <w:lvl w:ilvl="0">
      <w:start w:val="1"/>
      <w:numFmt w:val="lowerLetter"/>
      <w:lvlText w:val="%1)"/>
      <w:lvlJc w:val="left"/>
      <w:pPr>
        <w:tabs>
          <w:tab w:val="num" w:pos="624"/>
        </w:tabs>
        <w:ind w:left="624" w:hanging="340"/>
      </w:pPr>
      <w:rPr>
        <w:rFonts w:hint="default"/>
      </w:rPr>
    </w:lvl>
  </w:abstractNum>
  <w:abstractNum w:abstractNumId="84">
    <w:nsid w:val="3DDB2E10"/>
    <w:multiLevelType w:val="hybridMultilevel"/>
    <w:tmpl w:val="D26C2B60"/>
    <w:lvl w:ilvl="0" w:tplc="C88C3932">
      <w:start w:val="1"/>
      <w:numFmt w:val="decimal"/>
      <w:lvlText w:val="%1."/>
      <w:lvlJc w:val="left"/>
      <w:pPr>
        <w:ind w:left="1048" w:hanging="360"/>
      </w:pPr>
      <w:rPr>
        <w:rFonts w:hint="default"/>
      </w:rPr>
    </w:lvl>
    <w:lvl w:ilvl="1" w:tplc="04030019" w:tentative="1">
      <w:start w:val="1"/>
      <w:numFmt w:val="lowerLetter"/>
      <w:lvlText w:val="%2."/>
      <w:lvlJc w:val="left"/>
      <w:pPr>
        <w:ind w:left="2128" w:hanging="360"/>
      </w:pPr>
    </w:lvl>
    <w:lvl w:ilvl="2" w:tplc="0403001B" w:tentative="1">
      <w:start w:val="1"/>
      <w:numFmt w:val="lowerRoman"/>
      <w:lvlText w:val="%3."/>
      <w:lvlJc w:val="right"/>
      <w:pPr>
        <w:ind w:left="2848" w:hanging="180"/>
      </w:pPr>
    </w:lvl>
    <w:lvl w:ilvl="3" w:tplc="0403000F" w:tentative="1">
      <w:start w:val="1"/>
      <w:numFmt w:val="decimal"/>
      <w:lvlText w:val="%4."/>
      <w:lvlJc w:val="left"/>
      <w:pPr>
        <w:ind w:left="3568" w:hanging="360"/>
      </w:pPr>
    </w:lvl>
    <w:lvl w:ilvl="4" w:tplc="04030019" w:tentative="1">
      <w:start w:val="1"/>
      <w:numFmt w:val="lowerLetter"/>
      <w:lvlText w:val="%5."/>
      <w:lvlJc w:val="left"/>
      <w:pPr>
        <w:ind w:left="4288" w:hanging="360"/>
      </w:pPr>
    </w:lvl>
    <w:lvl w:ilvl="5" w:tplc="0403001B" w:tentative="1">
      <w:start w:val="1"/>
      <w:numFmt w:val="lowerRoman"/>
      <w:lvlText w:val="%6."/>
      <w:lvlJc w:val="right"/>
      <w:pPr>
        <w:ind w:left="5008" w:hanging="180"/>
      </w:pPr>
    </w:lvl>
    <w:lvl w:ilvl="6" w:tplc="0403000F" w:tentative="1">
      <w:start w:val="1"/>
      <w:numFmt w:val="decimal"/>
      <w:lvlText w:val="%7."/>
      <w:lvlJc w:val="left"/>
      <w:pPr>
        <w:ind w:left="5728" w:hanging="360"/>
      </w:pPr>
    </w:lvl>
    <w:lvl w:ilvl="7" w:tplc="04030019" w:tentative="1">
      <w:start w:val="1"/>
      <w:numFmt w:val="lowerLetter"/>
      <w:lvlText w:val="%8."/>
      <w:lvlJc w:val="left"/>
      <w:pPr>
        <w:ind w:left="6448" w:hanging="360"/>
      </w:pPr>
    </w:lvl>
    <w:lvl w:ilvl="8" w:tplc="0403001B" w:tentative="1">
      <w:start w:val="1"/>
      <w:numFmt w:val="lowerRoman"/>
      <w:lvlText w:val="%9."/>
      <w:lvlJc w:val="right"/>
      <w:pPr>
        <w:ind w:left="7168" w:hanging="180"/>
      </w:pPr>
    </w:lvl>
  </w:abstractNum>
  <w:abstractNum w:abstractNumId="85">
    <w:nsid w:val="3E3D7637"/>
    <w:multiLevelType w:val="hybridMultilevel"/>
    <w:tmpl w:val="F49A38D8"/>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86">
    <w:nsid w:val="3E7F45DB"/>
    <w:multiLevelType w:val="singleLevel"/>
    <w:tmpl w:val="79901B44"/>
    <w:lvl w:ilvl="0">
      <w:start w:val="1"/>
      <w:numFmt w:val="decimal"/>
      <w:lvlText w:val="(%1)"/>
      <w:lvlJc w:val="left"/>
      <w:pPr>
        <w:tabs>
          <w:tab w:val="num" w:pos="360"/>
        </w:tabs>
        <w:ind w:left="360" w:hanging="360"/>
      </w:pPr>
      <w:rPr>
        <w:rFonts w:hint="default"/>
      </w:rPr>
    </w:lvl>
  </w:abstractNum>
  <w:abstractNum w:abstractNumId="87">
    <w:nsid w:val="3E89430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8">
    <w:nsid w:val="3EE64FBA"/>
    <w:multiLevelType w:val="singleLevel"/>
    <w:tmpl w:val="90B025E6"/>
    <w:lvl w:ilvl="0">
      <w:start w:val="1"/>
      <w:numFmt w:val="bullet"/>
      <w:lvlText w:val=""/>
      <w:lvlJc w:val="left"/>
      <w:pPr>
        <w:tabs>
          <w:tab w:val="num" w:pos="680"/>
        </w:tabs>
        <w:ind w:left="680" w:hanging="396"/>
      </w:pPr>
      <w:rPr>
        <w:rFonts w:ascii="Symbol" w:hAnsi="Symbol" w:hint="default"/>
      </w:rPr>
    </w:lvl>
  </w:abstractNum>
  <w:abstractNum w:abstractNumId="89">
    <w:nsid w:val="3F8768B1"/>
    <w:multiLevelType w:val="hybridMultilevel"/>
    <w:tmpl w:val="16C61F9A"/>
    <w:lvl w:ilvl="0" w:tplc="12743D90">
      <w:numFmt w:val="bullet"/>
      <w:lvlText w:val="-"/>
      <w:lvlJc w:val="left"/>
      <w:pPr>
        <w:tabs>
          <w:tab w:val="num" w:pos="624"/>
        </w:tabs>
        <w:ind w:left="624" w:hanging="340"/>
      </w:pPr>
      <w:rPr>
        <w:rFonts w:ascii="sans-serif" w:eastAsia="Times New Roman" w:hAnsi="sans-serif" w:cs="Times New Roman" w:hint="default"/>
      </w:rPr>
    </w:lvl>
    <w:lvl w:ilvl="1" w:tplc="6E80BF00">
      <w:numFmt w:val="bullet"/>
      <w:lvlText w:val="-"/>
      <w:lvlJc w:val="left"/>
      <w:pPr>
        <w:tabs>
          <w:tab w:val="num" w:pos="624"/>
        </w:tabs>
        <w:ind w:left="624" w:hanging="340"/>
      </w:pPr>
      <w:rPr>
        <w:rFonts w:ascii="sans-serif" w:eastAsia="Times New Roman" w:hAnsi="sans-serif" w:cs="Times New Roman"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90">
    <w:nsid w:val="3FD57E4D"/>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nsid w:val="40427047"/>
    <w:multiLevelType w:val="singleLevel"/>
    <w:tmpl w:val="967241D6"/>
    <w:lvl w:ilvl="0">
      <w:start w:val="1"/>
      <w:numFmt w:val="decimal"/>
      <w:lvlText w:val="(%1)"/>
      <w:lvlJc w:val="left"/>
      <w:pPr>
        <w:tabs>
          <w:tab w:val="num" w:pos="360"/>
        </w:tabs>
        <w:ind w:left="360" w:hanging="360"/>
      </w:pPr>
      <w:rPr>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nsid w:val="40694741"/>
    <w:multiLevelType w:val="singleLevel"/>
    <w:tmpl w:val="B1F0C0CE"/>
    <w:lvl w:ilvl="0">
      <w:start w:val="1"/>
      <w:numFmt w:val="decimal"/>
      <w:lvlText w:val="(%1)"/>
      <w:lvlJc w:val="left"/>
      <w:pPr>
        <w:tabs>
          <w:tab w:val="num" w:pos="360"/>
        </w:tabs>
        <w:ind w:left="360" w:hanging="360"/>
      </w:pPr>
      <w:rPr>
        <w:rFonts w:hint="default"/>
        <w:b/>
      </w:rPr>
    </w:lvl>
  </w:abstractNum>
  <w:abstractNum w:abstractNumId="93">
    <w:nsid w:val="40BF1666"/>
    <w:multiLevelType w:val="singleLevel"/>
    <w:tmpl w:val="0EECB00E"/>
    <w:lvl w:ilvl="0">
      <w:start w:val="1"/>
      <w:numFmt w:val="bullet"/>
      <w:lvlText w:val="-"/>
      <w:lvlJc w:val="left"/>
      <w:pPr>
        <w:tabs>
          <w:tab w:val="num" w:pos="737"/>
        </w:tabs>
        <w:ind w:left="737" w:hanging="453"/>
      </w:pPr>
      <w:rPr>
        <w:rFonts w:ascii="Arial" w:hAnsi="Arial" w:hint="default"/>
      </w:rPr>
    </w:lvl>
  </w:abstractNum>
  <w:abstractNum w:abstractNumId="94">
    <w:nsid w:val="40C177F9"/>
    <w:multiLevelType w:val="hybridMultilevel"/>
    <w:tmpl w:val="E118F304"/>
    <w:lvl w:ilvl="0" w:tplc="262CABDC">
      <w:start w:val="1"/>
      <w:numFmt w:val="lowerLetter"/>
      <w:lvlText w:val="%1)"/>
      <w:lvlJc w:val="left"/>
      <w:pPr>
        <w:ind w:left="644"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95">
    <w:nsid w:val="40F37E3F"/>
    <w:multiLevelType w:val="singleLevel"/>
    <w:tmpl w:val="4A8C4D4A"/>
    <w:lvl w:ilvl="0">
      <w:start w:val="1"/>
      <w:numFmt w:val="decimal"/>
      <w:lvlText w:val="(%1)"/>
      <w:lvlJc w:val="left"/>
      <w:pPr>
        <w:tabs>
          <w:tab w:val="num" w:pos="794"/>
        </w:tabs>
        <w:ind w:left="794" w:hanging="510"/>
      </w:pPr>
      <w:rPr>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
    <w:nsid w:val="41AD3E4B"/>
    <w:multiLevelType w:val="singleLevel"/>
    <w:tmpl w:val="4A10BE36"/>
    <w:lvl w:ilvl="0">
      <w:start w:val="1"/>
      <w:numFmt w:val="bullet"/>
      <w:lvlText w:val=""/>
      <w:lvlJc w:val="left"/>
      <w:pPr>
        <w:tabs>
          <w:tab w:val="num" w:pos="680"/>
        </w:tabs>
        <w:ind w:left="680" w:hanging="396"/>
      </w:pPr>
      <w:rPr>
        <w:rFonts w:ascii="Symbol" w:hAnsi="Symbol" w:hint="default"/>
      </w:rPr>
    </w:lvl>
  </w:abstractNum>
  <w:abstractNum w:abstractNumId="97">
    <w:nsid w:val="442C7CBA"/>
    <w:multiLevelType w:val="hybridMultilevel"/>
    <w:tmpl w:val="6F023C5C"/>
    <w:lvl w:ilvl="0" w:tplc="6CB60652">
      <w:start w:val="1"/>
      <w:numFmt w:val="lowerLetter"/>
      <w:lvlText w:val="(%1)"/>
      <w:lvlJc w:val="left"/>
      <w:pPr>
        <w:tabs>
          <w:tab w:val="num" w:pos="720"/>
        </w:tabs>
        <w:ind w:left="720" w:hanging="36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98">
    <w:nsid w:val="44635DD2"/>
    <w:multiLevelType w:val="hybridMultilevel"/>
    <w:tmpl w:val="F420F0A6"/>
    <w:lvl w:ilvl="0" w:tplc="48B26AB8">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9">
    <w:nsid w:val="44B16D20"/>
    <w:multiLevelType w:val="hybridMultilevel"/>
    <w:tmpl w:val="646CDC7C"/>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00">
    <w:nsid w:val="44BA580F"/>
    <w:multiLevelType w:val="hybridMultilevel"/>
    <w:tmpl w:val="EC8A1E72"/>
    <w:lvl w:ilvl="0" w:tplc="AC02433A">
      <w:start w:val="1"/>
      <w:numFmt w:val="lowerLetter"/>
      <w:lvlText w:val="%1)"/>
      <w:lvlJc w:val="left"/>
      <w:pPr>
        <w:ind w:left="644" w:hanging="360"/>
      </w:pPr>
      <w:rPr>
        <w:rFonts w:hint="default"/>
      </w:rPr>
    </w:lvl>
    <w:lvl w:ilvl="1" w:tplc="04030019" w:tentative="1">
      <w:start w:val="1"/>
      <w:numFmt w:val="lowerLetter"/>
      <w:lvlText w:val="%2."/>
      <w:lvlJc w:val="left"/>
      <w:pPr>
        <w:ind w:left="1724" w:hanging="360"/>
      </w:pPr>
    </w:lvl>
    <w:lvl w:ilvl="2" w:tplc="0403001B" w:tentative="1">
      <w:start w:val="1"/>
      <w:numFmt w:val="lowerRoman"/>
      <w:lvlText w:val="%3."/>
      <w:lvlJc w:val="right"/>
      <w:pPr>
        <w:ind w:left="2444" w:hanging="180"/>
      </w:pPr>
    </w:lvl>
    <w:lvl w:ilvl="3" w:tplc="0403000F" w:tentative="1">
      <w:start w:val="1"/>
      <w:numFmt w:val="decimal"/>
      <w:lvlText w:val="%4."/>
      <w:lvlJc w:val="left"/>
      <w:pPr>
        <w:ind w:left="3164" w:hanging="360"/>
      </w:pPr>
    </w:lvl>
    <w:lvl w:ilvl="4" w:tplc="04030019" w:tentative="1">
      <w:start w:val="1"/>
      <w:numFmt w:val="lowerLetter"/>
      <w:lvlText w:val="%5."/>
      <w:lvlJc w:val="left"/>
      <w:pPr>
        <w:ind w:left="3884" w:hanging="360"/>
      </w:pPr>
    </w:lvl>
    <w:lvl w:ilvl="5" w:tplc="0403001B" w:tentative="1">
      <w:start w:val="1"/>
      <w:numFmt w:val="lowerRoman"/>
      <w:lvlText w:val="%6."/>
      <w:lvlJc w:val="right"/>
      <w:pPr>
        <w:ind w:left="4604" w:hanging="180"/>
      </w:pPr>
    </w:lvl>
    <w:lvl w:ilvl="6" w:tplc="0403000F" w:tentative="1">
      <w:start w:val="1"/>
      <w:numFmt w:val="decimal"/>
      <w:lvlText w:val="%7."/>
      <w:lvlJc w:val="left"/>
      <w:pPr>
        <w:ind w:left="5324" w:hanging="360"/>
      </w:pPr>
    </w:lvl>
    <w:lvl w:ilvl="7" w:tplc="04030019" w:tentative="1">
      <w:start w:val="1"/>
      <w:numFmt w:val="lowerLetter"/>
      <w:lvlText w:val="%8."/>
      <w:lvlJc w:val="left"/>
      <w:pPr>
        <w:ind w:left="6044" w:hanging="360"/>
      </w:pPr>
    </w:lvl>
    <w:lvl w:ilvl="8" w:tplc="0403001B" w:tentative="1">
      <w:start w:val="1"/>
      <w:numFmt w:val="lowerRoman"/>
      <w:lvlText w:val="%9."/>
      <w:lvlJc w:val="right"/>
      <w:pPr>
        <w:ind w:left="6764" w:hanging="180"/>
      </w:pPr>
    </w:lvl>
  </w:abstractNum>
  <w:abstractNum w:abstractNumId="101">
    <w:nsid w:val="47C2136F"/>
    <w:multiLevelType w:val="singleLevel"/>
    <w:tmpl w:val="DB70140C"/>
    <w:lvl w:ilvl="0">
      <w:start w:val="1"/>
      <w:numFmt w:val="bullet"/>
      <w:pStyle w:val="Topo1"/>
      <w:lvlText w:val=""/>
      <w:lvlJc w:val="left"/>
      <w:pPr>
        <w:tabs>
          <w:tab w:val="num" w:pos="417"/>
        </w:tabs>
        <w:ind w:left="340" w:hanging="283"/>
      </w:pPr>
      <w:rPr>
        <w:rFonts w:ascii="Wingdings" w:hAnsi="Wingdings" w:hint="default"/>
      </w:rPr>
    </w:lvl>
  </w:abstractNum>
  <w:abstractNum w:abstractNumId="102">
    <w:nsid w:val="480819B9"/>
    <w:multiLevelType w:val="singleLevel"/>
    <w:tmpl w:val="21949A1A"/>
    <w:lvl w:ilvl="0">
      <w:start w:val="1"/>
      <w:numFmt w:val="decimal"/>
      <w:lvlText w:val="(%1)"/>
      <w:lvlJc w:val="left"/>
      <w:pPr>
        <w:tabs>
          <w:tab w:val="num" w:pos="360"/>
        </w:tabs>
        <w:ind w:left="360" w:hanging="360"/>
      </w:pPr>
      <w:rPr>
        <w:rFonts w:hint="default"/>
        <w:b/>
      </w:rPr>
    </w:lvl>
  </w:abstractNum>
  <w:abstractNum w:abstractNumId="103">
    <w:nsid w:val="49366482"/>
    <w:multiLevelType w:val="singleLevel"/>
    <w:tmpl w:val="BC00BC38"/>
    <w:lvl w:ilvl="0">
      <w:start w:val="1"/>
      <w:numFmt w:val="lowerLetter"/>
      <w:lvlText w:val="%1)"/>
      <w:lvlJc w:val="left"/>
      <w:pPr>
        <w:tabs>
          <w:tab w:val="num" w:pos="737"/>
        </w:tabs>
        <w:ind w:left="737" w:hanging="453"/>
      </w:pPr>
      <w:rPr>
        <w:rFonts w:hint="default"/>
        <w:strike w:val="0"/>
        <w:dstrike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nsid w:val="4A2656BE"/>
    <w:multiLevelType w:val="hybridMultilevel"/>
    <w:tmpl w:val="DB04A540"/>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5">
    <w:nsid w:val="4A346025"/>
    <w:multiLevelType w:val="singleLevel"/>
    <w:tmpl w:val="699CF878"/>
    <w:lvl w:ilvl="0">
      <w:start w:val="1"/>
      <w:numFmt w:val="bullet"/>
      <w:lvlText w:val="-"/>
      <w:lvlJc w:val="left"/>
      <w:pPr>
        <w:tabs>
          <w:tab w:val="num" w:pos="360"/>
        </w:tabs>
        <w:ind w:left="340" w:hanging="340"/>
      </w:pPr>
      <w:rPr>
        <w:rFonts w:ascii="Arial" w:hAnsi="Arial" w:hint="default"/>
      </w:rPr>
    </w:lvl>
  </w:abstractNum>
  <w:abstractNum w:abstractNumId="106">
    <w:nsid w:val="4A927AE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7">
    <w:nsid w:val="4B0076AC"/>
    <w:multiLevelType w:val="hybridMultilevel"/>
    <w:tmpl w:val="D91CAE04"/>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8">
    <w:nsid w:val="4C28636A"/>
    <w:multiLevelType w:val="hybridMultilevel"/>
    <w:tmpl w:val="396AF9FA"/>
    <w:lvl w:ilvl="0" w:tplc="5D201C22">
      <w:start w:val="1"/>
      <w:numFmt w:val="lowerLetter"/>
      <w:lvlText w:val="%1)"/>
      <w:lvlJc w:val="left"/>
      <w:pPr>
        <w:tabs>
          <w:tab w:val="num" w:pos="717"/>
        </w:tabs>
        <w:ind w:left="717"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9">
    <w:nsid w:val="4E96232E"/>
    <w:multiLevelType w:val="hybridMultilevel"/>
    <w:tmpl w:val="99C46574"/>
    <w:lvl w:ilvl="0" w:tplc="AA7AA878">
      <w:start w:val="5"/>
      <w:numFmt w:val="bullet"/>
      <w:lvlText w:val="-"/>
      <w:lvlJc w:val="left"/>
      <w:pPr>
        <w:tabs>
          <w:tab w:val="num" w:pos="720"/>
        </w:tabs>
        <w:ind w:left="720" w:hanging="360"/>
      </w:pPr>
      <w:rPr>
        <w:rFonts w:ascii="Arial" w:eastAsia="Times New Roman" w:hAnsi="Arial" w:cs="Arial" w:hint="default"/>
      </w:rPr>
    </w:lvl>
    <w:lvl w:ilvl="1" w:tplc="04030003">
      <w:start w:val="1"/>
      <w:numFmt w:val="decimal"/>
      <w:lvlText w:val="%2."/>
      <w:lvlJc w:val="left"/>
      <w:pPr>
        <w:tabs>
          <w:tab w:val="num" w:pos="1440"/>
        </w:tabs>
        <w:ind w:left="1440" w:hanging="360"/>
      </w:pPr>
    </w:lvl>
    <w:lvl w:ilvl="2" w:tplc="04030005">
      <w:start w:val="1"/>
      <w:numFmt w:val="decimal"/>
      <w:lvlText w:val="%3."/>
      <w:lvlJc w:val="left"/>
      <w:pPr>
        <w:tabs>
          <w:tab w:val="num" w:pos="2160"/>
        </w:tabs>
        <w:ind w:left="2160" w:hanging="360"/>
      </w:pPr>
    </w:lvl>
    <w:lvl w:ilvl="3" w:tplc="04030001">
      <w:start w:val="1"/>
      <w:numFmt w:val="decimal"/>
      <w:lvlText w:val="%4."/>
      <w:lvlJc w:val="left"/>
      <w:pPr>
        <w:tabs>
          <w:tab w:val="num" w:pos="2880"/>
        </w:tabs>
        <w:ind w:left="2880" w:hanging="360"/>
      </w:pPr>
    </w:lvl>
    <w:lvl w:ilvl="4" w:tplc="04030003">
      <w:start w:val="1"/>
      <w:numFmt w:val="decimal"/>
      <w:lvlText w:val="%5."/>
      <w:lvlJc w:val="left"/>
      <w:pPr>
        <w:tabs>
          <w:tab w:val="num" w:pos="3600"/>
        </w:tabs>
        <w:ind w:left="3600" w:hanging="360"/>
      </w:pPr>
    </w:lvl>
    <w:lvl w:ilvl="5" w:tplc="04030005">
      <w:start w:val="1"/>
      <w:numFmt w:val="decimal"/>
      <w:lvlText w:val="%6."/>
      <w:lvlJc w:val="left"/>
      <w:pPr>
        <w:tabs>
          <w:tab w:val="num" w:pos="4320"/>
        </w:tabs>
        <w:ind w:left="4320" w:hanging="360"/>
      </w:pPr>
    </w:lvl>
    <w:lvl w:ilvl="6" w:tplc="04030001">
      <w:start w:val="1"/>
      <w:numFmt w:val="decimal"/>
      <w:lvlText w:val="%7."/>
      <w:lvlJc w:val="left"/>
      <w:pPr>
        <w:tabs>
          <w:tab w:val="num" w:pos="5040"/>
        </w:tabs>
        <w:ind w:left="5040" w:hanging="360"/>
      </w:pPr>
    </w:lvl>
    <w:lvl w:ilvl="7" w:tplc="04030003">
      <w:start w:val="1"/>
      <w:numFmt w:val="decimal"/>
      <w:lvlText w:val="%8."/>
      <w:lvlJc w:val="left"/>
      <w:pPr>
        <w:tabs>
          <w:tab w:val="num" w:pos="5760"/>
        </w:tabs>
        <w:ind w:left="5760" w:hanging="360"/>
      </w:pPr>
    </w:lvl>
    <w:lvl w:ilvl="8" w:tplc="04030005">
      <w:start w:val="1"/>
      <w:numFmt w:val="decimal"/>
      <w:lvlText w:val="%9."/>
      <w:lvlJc w:val="left"/>
      <w:pPr>
        <w:tabs>
          <w:tab w:val="num" w:pos="6480"/>
        </w:tabs>
        <w:ind w:left="6480" w:hanging="360"/>
      </w:pPr>
    </w:lvl>
  </w:abstractNum>
  <w:abstractNum w:abstractNumId="110">
    <w:nsid w:val="4F0667E2"/>
    <w:multiLevelType w:val="singleLevel"/>
    <w:tmpl w:val="0C0A000F"/>
    <w:lvl w:ilvl="0">
      <w:start w:val="1"/>
      <w:numFmt w:val="decimal"/>
      <w:lvlText w:val="%1."/>
      <w:lvlJc w:val="left"/>
      <w:pPr>
        <w:tabs>
          <w:tab w:val="num" w:pos="360"/>
        </w:tabs>
        <w:ind w:left="360" w:hanging="360"/>
      </w:pPr>
    </w:lvl>
  </w:abstractNum>
  <w:abstractNum w:abstractNumId="111">
    <w:nsid w:val="4FF5201B"/>
    <w:multiLevelType w:val="hybridMultilevel"/>
    <w:tmpl w:val="DA78E976"/>
    <w:lvl w:ilvl="0" w:tplc="B8C4A7CA">
      <w:start w:val="1"/>
      <w:numFmt w:val="lowerLetter"/>
      <w:lvlText w:val="%1)"/>
      <w:lvlJc w:val="left"/>
      <w:pPr>
        <w:tabs>
          <w:tab w:val="num" w:pos="680"/>
        </w:tabs>
        <w:ind w:left="680" w:hanging="340"/>
      </w:pPr>
      <w:rPr>
        <w:rFonts w:hint="default"/>
      </w:rPr>
    </w:lvl>
    <w:lvl w:ilvl="1" w:tplc="04030019" w:tentative="1">
      <w:start w:val="1"/>
      <w:numFmt w:val="lowerLetter"/>
      <w:lvlText w:val="%2."/>
      <w:lvlJc w:val="left"/>
      <w:pPr>
        <w:ind w:left="1496" w:hanging="360"/>
      </w:pPr>
    </w:lvl>
    <w:lvl w:ilvl="2" w:tplc="0403001B" w:tentative="1">
      <w:start w:val="1"/>
      <w:numFmt w:val="lowerRoman"/>
      <w:lvlText w:val="%3."/>
      <w:lvlJc w:val="right"/>
      <w:pPr>
        <w:ind w:left="2216" w:hanging="180"/>
      </w:pPr>
    </w:lvl>
    <w:lvl w:ilvl="3" w:tplc="0403000F" w:tentative="1">
      <w:start w:val="1"/>
      <w:numFmt w:val="decimal"/>
      <w:lvlText w:val="%4."/>
      <w:lvlJc w:val="left"/>
      <w:pPr>
        <w:ind w:left="2936" w:hanging="360"/>
      </w:pPr>
    </w:lvl>
    <w:lvl w:ilvl="4" w:tplc="04030019" w:tentative="1">
      <w:start w:val="1"/>
      <w:numFmt w:val="lowerLetter"/>
      <w:lvlText w:val="%5."/>
      <w:lvlJc w:val="left"/>
      <w:pPr>
        <w:ind w:left="3656" w:hanging="360"/>
      </w:pPr>
    </w:lvl>
    <w:lvl w:ilvl="5" w:tplc="0403001B" w:tentative="1">
      <w:start w:val="1"/>
      <w:numFmt w:val="lowerRoman"/>
      <w:lvlText w:val="%6."/>
      <w:lvlJc w:val="right"/>
      <w:pPr>
        <w:ind w:left="4376" w:hanging="180"/>
      </w:pPr>
    </w:lvl>
    <w:lvl w:ilvl="6" w:tplc="0403000F" w:tentative="1">
      <w:start w:val="1"/>
      <w:numFmt w:val="decimal"/>
      <w:lvlText w:val="%7."/>
      <w:lvlJc w:val="left"/>
      <w:pPr>
        <w:ind w:left="5096" w:hanging="360"/>
      </w:pPr>
    </w:lvl>
    <w:lvl w:ilvl="7" w:tplc="04030019" w:tentative="1">
      <w:start w:val="1"/>
      <w:numFmt w:val="lowerLetter"/>
      <w:lvlText w:val="%8."/>
      <w:lvlJc w:val="left"/>
      <w:pPr>
        <w:ind w:left="5816" w:hanging="360"/>
      </w:pPr>
    </w:lvl>
    <w:lvl w:ilvl="8" w:tplc="0403001B" w:tentative="1">
      <w:start w:val="1"/>
      <w:numFmt w:val="lowerRoman"/>
      <w:lvlText w:val="%9."/>
      <w:lvlJc w:val="right"/>
      <w:pPr>
        <w:ind w:left="6536" w:hanging="180"/>
      </w:pPr>
    </w:lvl>
  </w:abstractNum>
  <w:abstractNum w:abstractNumId="112">
    <w:nsid w:val="4FF6609A"/>
    <w:multiLevelType w:val="singleLevel"/>
    <w:tmpl w:val="E4B2436E"/>
    <w:lvl w:ilvl="0">
      <w:start w:val="1"/>
      <w:numFmt w:val="bullet"/>
      <w:lvlText w:val=""/>
      <w:lvlJc w:val="left"/>
      <w:pPr>
        <w:tabs>
          <w:tab w:val="num" w:pos="360"/>
        </w:tabs>
        <w:ind w:left="360" w:hanging="360"/>
      </w:pPr>
      <w:rPr>
        <w:rFonts w:ascii="Symbol" w:hAnsi="Symbol" w:hint="default"/>
      </w:rPr>
    </w:lvl>
  </w:abstractNum>
  <w:abstractNum w:abstractNumId="113">
    <w:nsid w:val="50050956"/>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nsid w:val="51271C73"/>
    <w:multiLevelType w:val="hybridMultilevel"/>
    <w:tmpl w:val="33EEBA08"/>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5">
    <w:nsid w:val="517C4525"/>
    <w:multiLevelType w:val="hybridMultilevel"/>
    <w:tmpl w:val="D214C0EE"/>
    <w:lvl w:ilvl="0" w:tplc="CF082422">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16">
    <w:nsid w:val="520975A5"/>
    <w:multiLevelType w:val="hybridMultilevel"/>
    <w:tmpl w:val="06B004A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nsid w:val="526F361C"/>
    <w:multiLevelType w:val="singleLevel"/>
    <w:tmpl w:val="0C0A000F"/>
    <w:lvl w:ilvl="0">
      <w:start w:val="1"/>
      <w:numFmt w:val="decimal"/>
      <w:lvlText w:val="%1."/>
      <w:lvlJc w:val="left"/>
      <w:pPr>
        <w:tabs>
          <w:tab w:val="num" w:pos="360"/>
        </w:tabs>
        <w:ind w:left="360" w:hanging="360"/>
      </w:pPr>
    </w:lvl>
  </w:abstractNum>
  <w:abstractNum w:abstractNumId="118">
    <w:nsid w:val="52C80259"/>
    <w:multiLevelType w:val="singleLevel"/>
    <w:tmpl w:val="4A10BE36"/>
    <w:lvl w:ilvl="0">
      <w:start w:val="1"/>
      <w:numFmt w:val="bullet"/>
      <w:lvlText w:val=""/>
      <w:lvlJc w:val="left"/>
      <w:pPr>
        <w:tabs>
          <w:tab w:val="num" w:pos="680"/>
        </w:tabs>
        <w:ind w:left="680" w:hanging="396"/>
      </w:pPr>
      <w:rPr>
        <w:rFonts w:ascii="Symbol" w:hAnsi="Symbol" w:hint="default"/>
      </w:rPr>
    </w:lvl>
  </w:abstractNum>
  <w:abstractNum w:abstractNumId="119">
    <w:nsid w:val="53036D1E"/>
    <w:multiLevelType w:val="singleLevel"/>
    <w:tmpl w:val="EE4C815A"/>
    <w:lvl w:ilvl="0">
      <w:start w:val="3"/>
      <w:numFmt w:val="bullet"/>
      <w:lvlText w:val="-"/>
      <w:lvlJc w:val="left"/>
      <w:pPr>
        <w:tabs>
          <w:tab w:val="num" w:pos="360"/>
        </w:tabs>
        <w:ind w:left="360" w:hanging="360"/>
      </w:pPr>
      <w:rPr>
        <w:rFonts w:ascii="Times New Roman" w:hAnsi="Times New Roman" w:hint="default"/>
      </w:rPr>
    </w:lvl>
  </w:abstractNum>
  <w:abstractNum w:abstractNumId="120">
    <w:nsid w:val="532915C0"/>
    <w:multiLevelType w:val="hybridMultilevel"/>
    <w:tmpl w:val="42C03E12"/>
    <w:lvl w:ilvl="0" w:tplc="F378D3A2">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21">
    <w:nsid w:val="53425B14"/>
    <w:multiLevelType w:val="singleLevel"/>
    <w:tmpl w:val="41BE706C"/>
    <w:lvl w:ilvl="0">
      <w:numFmt w:val="bullet"/>
      <w:pStyle w:val="Gui"/>
      <w:lvlText w:val="-"/>
      <w:lvlJc w:val="left"/>
      <w:pPr>
        <w:tabs>
          <w:tab w:val="num" w:pos="717"/>
        </w:tabs>
        <w:ind w:left="717" w:hanging="360"/>
      </w:pPr>
      <w:rPr>
        <w:rFonts w:ascii="Helvetica" w:hAnsi="Helvetica" w:hint="default"/>
        <w:sz w:val="22"/>
      </w:rPr>
    </w:lvl>
  </w:abstractNum>
  <w:abstractNum w:abstractNumId="122">
    <w:nsid w:val="53647495"/>
    <w:multiLevelType w:val="multilevel"/>
    <w:tmpl w:val="B2F60394"/>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3">
    <w:nsid w:val="538E2F59"/>
    <w:multiLevelType w:val="hybridMultilevel"/>
    <w:tmpl w:val="28ACA238"/>
    <w:lvl w:ilvl="0" w:tplc="51A49A94">
      <w:start w:val="1"/>
      <w:numFmt w:val="lowerLetter"/>
      <w:lvlText w:val="%1)"/>
      <w:lvlJc w:val="left"/>
      <w:pPr>
        <w:tabs>
          <w:tab w:val="num" w:pos="624"/>
        </w:tabs>
        <w:ind w:left="624" w:hanging="340"/>
      </w:pPr>
      <w:rPr>
        <w:rFonts w:hint="default"/>
      </w:rPr>
    </w:lvl>
    <w:lvl w:ilvl="1" w:tplc="04030019">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24">
    <w:nsid w:val="53FF31F7"/>
    <w:multiLevelType w:val="hybridMultilevel"/>
    <w:tmpl w:val="01929C4C"/>
    <w:lvl w:ilvl="0" w:tplc="EFE61316">
      <w:start w:val="1"/>
      <w:numFmt w:val="lowerLetter"/>
      <w:lvlText w:val="%1)"/>
      <w:lvlJc w:val="left"/>
      <w:pPr>
        <w:ind w:left="786"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5">
    <w:nsid w:val="54080714"/>
    <w:multiLevelType w:val="hybridMultilevel"/>
    <w:tmpl w:val="502AC560"/>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6">
    <w:nsid w:val="544D5835"/>
    <w:multiLevelType w:val="singleLevel"/>
    <w:tmpl w:val="281C01C0"/>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nsid w:val="5677631E"/>
    <w:multiLevelType w:val="hybridMultilevel"/>
    <w:tmpl w:val="7B7A9998"/>
    <w:lvl w:ilvl="0" w:tplc="04030001">
      <w:start w:val="1"/>
      <w:numFmt w:val="bullet"/>
      <w:lvlText w:val=""/>
      <w:lvlJc w:val="left"/>
      <w:pPr>
        <w:tabs>
          <w:tab w:val="num" w:pos="720"/>
        </w:tabs>
        <w:ind w:left="720" w:hanging="36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28">
    <w:nsid w:val="56D44D2D"/>
    <w:multiLevelType w:val="singleLevel"/>
    <w:tmpl w:val="0C0A000F"/>
    <w:lvl w:ilvl="0">
      <w:start w:val="1"/>
      <w:numFmt w:val="decimal"/>
      <w:lvlText w:val="%1."/>
      <w:lvlJc w:val="left"/>
      <w:pPr>
        <w:tabs>
          <w:tab w:val="num" w:pos="360"/>
        </w:tabs>
        <w:ind w:left="360" w:hanging="360"/>
      </w:pPr>
      <w:rPr>
        <w:rFonts w:hint="default"/>
      </w:rPr>
    </w:lvl>
  </w:abstractNum>
  <w:abstractNum w:abstractNumId="129">
    <w:nsid w:val="571B720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0">
    <w:nsid w:val="58435351"/>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nsid w:val="5859157B"/>
    <w:multiLevelType w:val="hybridMultilevel"/>
    <w:tmpl w:val="68B8B10E"/>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2">
    <w:nsid w:val="59696763"/>
    <w:multiLevelType w:val="singleLevel"/>
    <w:tmpl w:val="938E409A"/>
    <w:lvl w:ilvl="0">
      <w:start w:val="1"/>
      <w:numFmt w:val="decimal"/>
      <w:lvlText w:val="(%1)"/>
      <w:lvlJc w:val="left"/>
      <w:pPr>
        <w:tabs>
          <w:tab w:val="num" w:pos="360"/>
        </w:tabs>
        <w:ind w:left="360" w:hanging="360"/>
      </w:pPr>
      <w:rPr>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3">
    <w:nsid w:val="5AB52316"/>
    <w:multiLevelType w:val="hybridMultilevel"/>
    <w:tmpl w:val="5E322A04"/>
    <w:lvl w:ilvl="0" w:tplc="8B76A502">
      <w:numFmt w:val="bullet"/>
      <w:lvlText w:val="-"/>
      <w:lvlJc w:val="left"/>
      <w:pPr>
        <w:ind w:left="720" w:hanging="360"/>
      </w:pPr>
      <w:rPr>
        <w:rFonts w:ascii="sans-serif" w:eastAsia="Times New Roman" w:hAnsi="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4">
    <w:nsid w:val="5B064171"/>
    <w:multiLevelType w:val="singleLevel"/>
    <w:tmpl w:val="FFFFFFFF"/>
    <w:lvl w:ilvl="0">
      <w:start w:val="1"/>
      <w:numFmt w:val="lowerLetter"/>
      <w:lvlText w:val="%1)"/>
      <w:lvlJc w:val="left"/>
      <w:pPr>
        <w:ind w:left="644" w:hanging="360"/>
      </w:pPr>
      <w:rPr>
        <w:rFonts w:hint="default"/>
      </w:rPr>
    </w:lvl>
  </w:abstractNum>
  <w:abstractNum w:abstractNumId="135">
    <w:nsid w:val="5B2F5AF1"/>
    <w:multiLevelType w:val="hybridMultilevel"/>
    <w:tmpl w:val="2F6CB95C"/>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36">
    <w:nsid w:val="5BF22490"/>
    <w:multiLevelType w:val="singleLevel"/>
    <w:tmpl w:val="4A8C4D4A"/>
    <w:lvl w:ilvl="0">
      <w:start w:val="1"/>
      <w:numFmt w:val="decimal"/>
      <w:lvlText w:val="(%1)"/>
      <w:lvlJc w:val="left"/>
      <w:pPr>
        <w:tabs>
          <w:tab w:val="num" w:pos="794"/>
        </w:tabs>
        <w:ind w:left="794" w:hanging="510"/>
      </w:pPr>
      <w:rPr>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nsid w:val="5C434F48"/>
    <w:multiLevelType w:val="hybridMultilevel"/>
    <w:tmpl w:val="A5D43CCC"/>
    <w:lvl w:ilvl="0" w:tplc="238E6E74">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8">
    <w:nsid w:val="5D4024F8"/>
    <w:multiLevelType w:val="hybridMultilevel"/>
    <w:tmpl w:val="F4DC2C08"/>
    <w:lvl w:ilvl="0" w:tplc="49CA1DBA">
      <w:start w:val="1"/>
      <w:numFmt w:val="lowerLetter"/>
      <w:lvlText w:val="%1)"/>
      <w:lvlJc w:val="left"/>
      <w:pPr>
        <w:ind w:left="786"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9">
    <w:nsid w:val="5E965E69"/>
    <w:multiLevelType w:val="multilevel"/>
    <w:tmpl w:val="4CAA9AB4"/>
    <w:lvl w:ilvl="0">
      <w:start w:val="1"/>
      <w:numFmt w:val="bullet"/>
      <w:pStyle w:val="Listaconvietas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ED97DE9"/>
    <w:multiLevelType w:val="hybridMultilevel"/>
    <w:tmpl w:val="319EF4F2"/>
    <w:lvl w:ilvl="0" w:tplc="4C6AD40E">
      <w:start w:val="1"/>
      <w:numFmt w:val="lowerLetter"/>
      <w:lvlText w:val="%1)"/>
      <w:lvlJc w:val="left"/>
      <w:pPr>
        <w:tabs>
          <w:tab w:val="num" w:pos="360"/>
        </w:tabs>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1">
    <w:nsid w:val="5EE956F2"/>
    <w:multiLevelType w:val="hybridMultilevel"/>
    <w:tmpl w:val="AEBCE644"/>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2">
    <w:nsid w:val="5F51701A"/>
    <w:multiLevelType w:val="hybridMultilevel"/>
    <w:tmpl w:val="A4665F36"/>
    <w:lvl w:ilvl="0" w:tplc="C926406E">
      <w:numFmt w:val="bullet"/>
      <w:lvlText w:val="-"/>
      <w:lvlJc w:val="left"/>
      <w:pPr>
        <w:tabs>
          <w:tab w:val="num" w:pos="624"/>
        </w:tabs>
        <w:ind w:left="624" w:hanging="340"/>
      </w:pPr>
      <w:rPr>
        <w:rFonts w:ascii="sans-serif" w:eastAsia="Times New Roman" w:hAnsi="sans-serif" w:cs="Times New Roman"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43">
    <w:nsid w:val="5FDE12EB"/>
    <w:multiLevelType w:val="singleLevel"/>
    <w:tmpl w:val="53B247F4"/>
    <w:lvl w:ilvl="0">
      <w:start w:val="1"/>
      <w:numFmt w:val="bullet"/>
      <w:lvlText w:val=""/>
      <w:lvlJc w:val="left"/>
      <w:pPr>
        <w:tabs>
          <w:tab w:val="num" w:pos="360"/>
        </w:tabs>
        <w:ind w:left="360" w:hanging="360"/>
      </w:pPr>
      <w:rPr>
        <w:rFonts w:ascii="Symbol" w:hAnsi="Symbol" w:hint="default"/>
      </w:rPr>
    </w:lvl>
  </w:abstractNum>
  <w:abstractNum w:abstractNumId="144">
    <w:nsid w:val="5FF20ABE"/>
    <w:multiLevelType w:val="singleLevel"/>
    <w:tmpl w:val="EE4C815A"/>
    <w:lvl w:ilvl="0">
      <w:start w:val="3"/>
      <w:numFmt w:val="bullet"/>
      <w:lvlText w:val="-"/>
      <w:lvlJc w:val="left"/>
      <w:pPr>
        <w:tabs>
          <w:tab w:val="num" w:pos="360"/>
        </w:tabs>
        <w:ind w:left="360" w:hanging="360"/>
      </w:pPr>
      <w:rPr>
        <w:rFonts w:ascii="Times New Roman" w:hAnsi="Times New Roman" w:hint="default"/>
      </w:rPr>
    </w:lvl>
  </w:abstractNum>
  <w:abstractNum w:abstractNumId="145">
    <w:nsid w:val="60450DA1"/>
    <w:multiLevelType w:val="hybridMultilevel"/>
    <w:tmpl w:val="25CEBC42"/>
    <w:lvl w:ilvl="0" w:tplc="B94076D2">
      <w:start w:val="1"/>
      <w:numFmt w:val="lowerLetter"/>
      <w:lvlText w:val="%1)"/>
      <w:lvlJc w:val="left"/>
      <w:pPr>
        <w:tabs>
          <w:tab w:val="num" w:pos="624"/>
        </w:tabs>
        <w:ind w:left="624" w:hanging="34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46">
    <w:nsid w:val="60CC2FF8"/>
    <w:multiLevelType w:val="multilevel"/>
    <w:tmpl w:val="040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7">
    <w:nsid w:val="60D1701D"/>
    <w:multiLevelType w:val="hybridMultilevel"/>
    <w:tmpl w:val="A09AA55C"/>
    <w:lvl w:ilvl="0" w:tplc="380A35B6">
      <w:start w:val="1"/>
      <w:numFmt w:val="lowerLetter"/>
      <w:lvlText w:val="%1)"/>
      <w:lvlJc w:val="left"/>
      <w:pPr>
        <w:tabs>
          <w:tab w:val="num" w:pos="737"/>
        </w:tabs>
        <w:ind w:left="737" w:hanging="453"/>
      </w:pPr>
      <w:rPr>
        <w:rFonts w:hint="default"/>
        <w:strike w:val="0"/>
        <w:dstrike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48">
    <w:nsid w:val="614D0027"/>
    <w:multiLevelType w:val="hybridMultilevel"/>
    <w:tmpl w:val="450E890C"/>
    <w:lvl w:ilvl="0" w:tplc="0E82E8A0">
      <w:start w:val="1"/>
      <w:numFmt w:val="decimal"/>
      <w:lvlText w:val="%1)"/>
      <w:lvlJc w:val="left"/>
      <w:pPr>
        <w:tabs>
          <w:tab w:val="num" w:pos="624"/>
        </w:tabs>
        <w:ind w:left="624" w:hanging="340"/>
      </w:pPr>
      <w:rPr>
        <w:rFonts w:hint="default"/>
        <w:sz w:val="18"/>
        <w:szCs w:val="18"/>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49">
    <w:nsid w:val="618D1FFC"/>
    <w:multiLevelType w:val="singleLevel"/>
    <w:tmpl w:val="4D7A9236"/>
    <w:lvl w:ilvl="0">
      <w:start w:val="1"/>
      <w:numFmt w:val="bullet"/>
      <w:lvlText w:val=""/>
      <w:lvlJc w:val="left"/>
      <w:pPr>
        <w:tabs>
          <w:tab w:val="num" w:pos="927"/>
        </w:tabs>
        <w:ind w:left="907" w:hanging="340"/>
      </w:pPr>
      <w:rPr>
        <w:rFonts w:ascii="Symbol" w:hAnsi="Symbol" w:hint="default"/>
      </w:rPr>
    </w:lvl>
  </w:abstractNum>
  <w:abstractNum w:abstractNumId="150">
    <w:nsid w:val="61BD58D4"/>
    <w:multiLevelType w:val="hybridMultilevel"/>
    <w:tmpl w:val="08E0F3D0"/>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51">
    <w:nsid w:val="61FB2D4D"/>
    <w:multiLevelType w:val="hybridMultilevel"/>
    <w:tmpl w:val="3C1C6138"/>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52">
    <w:nsid w:val="6258174E"/>
    <w:multiLevelType w:val="singleLevel"/>
    <w:tmpl w:val="6F3E22EA"/>
    <w:lvl w:ilvl="0">
      <w:start w:val="1"/>
      <w:numFmt w:val="bullet"/>
      <w:lvlText w:val=""/>
      <w:lvlJc w:val="left"/>
      <w:pPr>
        <w:tabs>
          <w:tab w:val="num" w:pos="927"/>
        </w:tabs>
        <w:ind w:left="907" w:hanging="340"/>
      </w:pPr>
      <w:rPr>
        <w:rFonts w:ascii="Symbol" w:hAnsi="Symbol" w:hint="default"/>
      </w:rPr>
    </w:lvl>
  </w:abstractNum>
  <w:abstractNum w:abstractNumId="153">
    <w:nsid w:val="627871C6"/>
    <w:multiLevelType w:val="hybridMultilevel"/>
    <w:tmpl w:val="0A68BADA"/>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4">
    <w:nsid w:val="63A86029"/>
    <w:multiLevelType w:val="hybridMultilevel"/>
    <w:tmpl w:val="7EEA7DA0"/>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55">
    <w:nsid w:val="658F7539"/>
    <w:multiLevelType w:val="hybridMultilevel"/>
    <w:tmpl w:val="C2A85CAE"/>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6">
    <w:nsid w:val="659A0E7D"/>
    <w:multiLevelType w:val="hybridMultilevel"/>
    <w:tmpl w:val="00AC3E12"/>
    <w:lvl w:ilvl="0" w:tplc="F5F8C226">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57">
    <w:nsid w:val="65AF3635"/>
    <w:multiLevelType w:val="hybridMultilevel"/>
    <w:tmpl w:val="BD585FDA"/>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8">
    <w:nsid w:val="65D20259"/>
    <w:multiLevelType w:val="hybridMultilevel"/>
    <w:tmpl w:val="7216162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9">
    <w:nsid w:val="667158F1"/>
    <w:multiLevelType w:val="singleLevel"/>
    <w:tmpl w:val="B322D57C"/>
    <w:lvl w:ilvl="0">
      <w:start w:val="1"/>
      <w:numFmt w:val="lowerLetter"/>
      <w:lvlText w:val="%1)"/>
      <w:lvlJc w:val="left"/>
      <w:pPr>
        <w:tabs>
          <w:tab w:val="num" w:pos="624"/>
        </w:tabs>
        <w:ind w:left="624" w:hanging="340"/>
      </w:pPr>
      <w:rPr>
        <w:rFonts w:hint="default"/>
      </w:rPr>
    </w:lvl>
  </w:abstractNum>
  <w:abstractNum w:abstractNumId="160">
    <w:nsid w:val="66F74C1D"/>
    <w:multiLevelType w:val="hybridMultilevel"/>
    <w:tmpl w:val="987C408C"/>
    <w:lvl w:ilvl="0" w:tplc="8488CCDE">
      <w:start w:val="1"/>
      <w:numFmt w:val="bullet"/>
      <w:lvlText w:val=""/>
      <w:lvlJc w:val="left"/>
      <w:pPr>
        <w:tabs>
          <w:tab w:val="num" w:pos="624"/>
        </w:tabs>
        <w:ind w:left="624" w:hanging="284"/>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61">
    <w:nsid w:val="68293DE6"/>
    <w:multiLevelType w:val="singleLevel"/>
    <w:tmpl w:val="AF7E163C"/>
    <w:lvl w:ilvl="0">
      <w:start w:val="1"/>
      <w:numFmt w:val="decimal"/>
      <w:lvlText w:val="(%1)"/>
      <w:lvlJc w:val="left"/>
      <w:pPr>
        <w:tabs>
          <w:tab w:val="num" w:pos="360"/>
        </w:tabs>
        <w:ind w:left="360" w:hanging="360"/>
      </w:pPr>
      <w:rPr>
        <w:rFonts w:hint="default"/>
      </w:rPr>
    </w:lvl>
  </w:abstractNum>
  <w:abstractNum w:abstractNumId="162">
    <w:nsid w:val="697E5E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3">
    <w:nsid w:val="69F81695"/>
    <w:multiLevelType w:val="hybridMultilevel"/>
    <w:tmpl w:val="024A13CA"/>
    <w:lvl w:ilvl="0" w:tplc="E78A5956">
      <w:start w:val="1"/>
      <w:numFmt w:val="lowerLetter"/>
      <w:lvlText w:val="%1)"/>
      <w:lvlJc w:val="left"/>
      <w:pPr>
        <w:ind w:left="644"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4">
    <w:nsid w:val="6A1B62CF"/>
    <w:multiLevelType w:val="hybridMultilevel"/>
    <w:tmpl w:val="CE5AEE84"/>
    <w:lvl w:ilvl="0" w:tplc="B7CA3D08">
      <w:start w:val="1"/>
      <w:numFmt w:val="decimal"/>
      <w:lvlText w:val="%1)"/>
      <w:lvlJc w:val="left"/>
      <w:pPr>
        <w:tabs>
          <w:tab w:val="num" w:pos="624"/>
        </w:tabs>
        <w:ind w:left="624" w:hanging="340"/>
      </w:pPr>
      <w:rPr>
        <w:rFonts w:hint="default"/>
      </w:rPr>
    </w:lvl>
    <w:lvl w:ilvl="1" w:tplc="04030019" w:tentative="1">
      <w:start w:val="1"/>
      <w:numFmt w:val="lowerLetter"/>
      <w:lvlText w:val="%2."/>
      <w:lvlJc w:val="left"/>
      <w:pPr>
        <w:tabs>
          <w:tab w:val="num" w:pos="1440"/>
        </w:tabs>
        <w:ind w:left="1440" w:hanging="360"/>
      </w:pPr>
    </w:lvl>
    <w:lvl w:ilvl="2" w:tplc="0403001B" w:tentative="1">
      <w:start w:val="1"/>
      <w:numFmt w:val="lowerRoman"/>
      <w:lvlText w:val="%3."/>
      <w:lvlJc w:val="right"/>
      <w:pPr>
        <w:tabs>
          <w:tab w:val="num" w:pos="2160"/>
        </w:tabs>
        <w:ind w:left="2160" w:hanging="180"/>
      </w:pPr>
    </w:lvl>
    <w:lvl w:ilvl="3" w:tplc="0403000F" w:tentative="1">
      <w:start w:val="1"/>
      <w:numFmt w:val="decimal"/>
      <w:lvlText w:val="%4."/>
      <w:lvlJc w:val="left"/>
      <w:pPr>
        <w:tabs>
          <w:tab w:val="num" w:pos="2880"/>
        </w:tabs>
        <w:ind w:left="2880" w:hanging="360"/>
      </w:pPr>
    </w:lvl>
    <w:lvl w:ilvl="4" w:tplc="04030019" w:tentative="1">
      <w:start w:val="1"/>
      <w:numFmt w:val="lowerLetter"/>
      <w:lvlText w:val="%5."/>
      <w:lvlJc w:val="left"/>
      <w:pPr>
        <w:tabs>
          <w:tab w:val="num" w:pos="3600"/>
        </w:tabs>
        <w:ind w:left="3600" w:hanging="360"/>
      </w:pPr>
    </w:lvl>
    <w:lvl w:ilvl="5" w:tplc="0403001B" w:tentative="1">
      <w:start w:val="1"/>
      <w:numFmt w:val="lowerRoman"/>
      <w:lvlText w:val="%6."/>
      <w:lvlJc w:val="right"/>
      <w:pPr>
        <w:tabs>
          <w:tab w:val="num" w:pos="4320"/>
        </w:tabs>
        <w:ind w:left="4320" w:hanging="180"/>
      </w:pPr>
    </w:lvl>
    <w:lvl w:ilvl="6" w:tplc="0403000F" w:tentative="1">
      <w:start w:val="1"/>
      <w:numFmt w:val="decimal"/>
      <w:lvlText w:val="%7."/>
      <w:lvlJc w:val="left"/>
      <w:pPr>
        <w:tabs>
          <w:tab w:val="num" w:pos="5040"/>
        </w:tabs>
        <w:ind w:left="5040" w:hanging="360"/>
      </w:pPr>
    </w:lvl>
    <w:lvl w:ilvl="7" w:tplc="04030019" w:tentative="1">
      <w:start w:val="1"/>
      <w:numFmt w:val="lowerLetter"/>
      <w:lvlText w:val="%8."/>
      <w:lvlJc w:val="left"/>
      <w:pPr>
        <w:tabs>
          <w:tab w:val="num" w:pos="5760"/>
        </w:tabs>
        <w:ind w:left="5760" w:hanging="360"/>
      </w:pPr>
    </w:lvl>
    <w:lvl w:ilvl="8" w:tplc="0403001B" w:tentative="1">
      <w:start w:val="1"/>
      <w:numFmt w:val="lowerRoman"/>
      <w:lvlText w:val="%9."/>
      <w:lvlJc w:val="right"/>
      <w:pPr>
        <w:tabs>
          <w:tab w:val="num" w:pos="6480"/>
        </w:tabs>
        <w:ind w:left="6480" w:hanging="180"/>
      </w:pPr>
    </w:lvl>
  </w:abstractNum>
  <w:abstractNum w:abstractNumId="165">
    <w:nsid w:val="6A574EDF"/>
    <w:multiLevelType w:val="singleLevel"/>
    <w:tmpl w:val="8A2899D8"/>
    <w:lvl w:ilvl="0">
      <w:start w:val="1"/>
      <w:numFmt w:val="lowerLetter"/>
      <w:lvlText w:val="%1)"/>
      <w:lvlJc w:val="left"/>
      <w:pPr>
        <w:tabs>
          <w:tab w:val="num" w:pos="624"/>
        </w:tabs>
        <w:ind w:left="624" w:hanging="340"/>
      </w:pPr>
      <w:rPr>
        <w:rFonts w:hint="default"/>
      </w:rPr>
    </w:lvl>
  </w:abstractNum>
  <w:abstractNum w:abstractNumId="166">
    <w:nsid w:val="6B143B66"/>
    <w:multiLevelType w:val="hybridMultilevel"/>
    <w:tmpl w:val="F2401562"/>
    <w:lvl w:ilvl="0" w:tplc="C60AEAEE">
      <w:start w:val="1"/>
      <w:numFmt w:val="decimal"/>
      <w:lvlText w:val="(%1)"/>
      <w:lvlJc w:val="left"/>
      <w:pPr>
        <w:tabs>
          <w:tab w:val="num" w:pos="390"/>
        </w:tabs>
        <w:ind w:left="390" w:hanging="39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7">
    <w:nsid w:val="6B5F667A"/>
    <w:multiLevelType w:val="hybridMultilevel"/>
    <w:tmpl w:val="25BE66DC"/>
    <w:lvl w:ilvl="0" w:tplc="8318D57E">
      <w:start w:val="1"/>
      <w:numFmt w:val="decimal"/>
      <w:lvlText w:val="%1.- "/>
      <w:lvlJc w:val="left"/>
      <w:pPr>
        <w:tabs>
          <w:tab w:val="num" w:pos="1842"/>
        </w:tabs>
        <w:ind w:left="1842" w:hanging="567"/>
      </w:pPr>
      <w:rPr>
        <w:rFont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30019" w:tentative="1">
      <w:start w:val="1"/>
      <w:numFmt w:val="lowerLetter"/>
      <w:lvlText w:val="%2."/>
      <w:lvlJc w:val="left"/>
      <w:pPr>
        <w:tabs>
          <w:tab w:val="num" w:pos="2355"/>
        </w:tabs>
        <w:ind w:left="2355" w:hanging="360"/>
      </w:pPr>
    </w:lvl>
    <w:lvl w:ilvl="2" w:tplc="0403001B" w:tentative="1">
      <w:start w:val="1"/>
      <w:numFmt w:val="lowerRoman"/>
      <w:lvlText w:val="%3."/>
      <w:lvlJc w:val="right"/>
      <w:pPr>
        <w:tabs>
          <w:tab w:val="num" w:pos="3075"/>
        </w:tabs>
        <w:ind w:left="3075" w:hanging="180"/>
      </w:pPr>
    </w:lvl>
    <w:lvl w:ilvl="3" w:tplc="0403000F" w:tentative="1">
      <w:start w:val="1"/>
      <w:numFmt w:val="decimal"/>
      <w:lvlText w:val="%4."/>
      <w:lvlJc w:val="left"/>
      <w:pPr>
        <w:tabs>
          <w:tab w:val="num" w:pos="3795"/>
        </w:tabs>
        <w:ind w:left="3795" w:hanging="360"/>
      </w:pPr>
    </w:lvl>
    <w:lvl w:ilvl="4" w:tplc="04030019" w:tentative="1">
      <w:start w:val="1"/>
      <w:numFmt w:val="lowerLetter"/>
      <w:lvlText w:val="%5."/>
      <w:lvlJc w:val="left"/>
      <w:pPr>
        <w:tabs>
          <w:tab w:val="num" w:pos="4515"/>
        </w:tabs>
        <w:ind w:left="4515" w:hanging="360"/>
      </w:pPr>
    </w:lvl>
    <w:lvl w:ilvl="5" w:tplc="0403001B" w:tentative="1">
      <w:start w:val="1"/>
      <w:numFmt w:val="lowerRoman"/>
      <w:lvlText w:val="%6."/>
      <w:lvlJc w:val="right"/>
      <w:pPr>
        <w:tabs>
          <w:tab w:val="num" w:pos="5235"/>
        </w:tabs>
        <w:ind w:left="5235" w:hanging="180"/>
      </w:pPr>
    </w:lvl>
    <w:lvl w:ilvl="6" w:tplc="0403000F" w:tentative="1">
      <w:start w:val="1"/>
      <w:numFmt w:val="decimal"/>
      <w:lvlText w:val="%7."/>
      <w:lvlJc w:val="left"/>
      <w:pPr>
        <w:tabs>
          <w:tab w:val="num" w:pos="5955"/>
        </w:tabs>
        <w:ind w:left="5955" w:hanging="360"/>
      </w:pPr>
    </w:lvl>
    <w:lvl w:ilvl="7" w:tplc="04030019" w:tentative="1">
      <w:start w:val="1"/>
      <w:numFmt w:val="lowerLetter"/>
      <w:lvlText w:val="%8."/>
      <w:lvlJc w:val="left"/>
      <w:pPr>
        <w:tabs>
          <w:tab w:val="num" w:pos="6675"/>
        </w:tabs>
        <w:ind w:left="6675" w:hanging="360"/>
      </w:pPr>
    </w:lvl>
    <w:lvl w:ilvl="8" w:tplc="0403001B" w:tentative="1">
      <w:start w:val="1"/>
      <w:numFmt w:val="lowerRoman"/>
      <w:lvlText w:val="%9."/>
      <w:lvlJc w:val="right"/>
      <w:pPr>
        <w:tabs>
          <w:tab w:val="num" w:pos="7395"/>
        </w:tabs>
        <w:ind w:left="7395" w:hanging="180"/>
      </w:pPr>
    </w:lvl>
  </w:abstractNum>
  <w:abstractNum w:abstractNumId="168">
    <w:nsid w:val="6C943FA5"/>
    <w:multiLevelType w:val="hybridMultilevel"/>
    <w:tmpl w:val="B2F6F6E0"/>
    <w:lvl w:ilvl="0" w:tplc="ABA69B56">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9">
    <w:nsid w:val="6C9C7DB7"/>
    <w:multiLevelType w:val="singleLevel"/>
    <w:tmpl w:val="DB1C5EC6"/>
    <w:lvl w:ilvl="0">
      <w:start w:val="1"/>
      <w:numFmt w:val="decimal"/>
      <w:lvlText w:val="(%1)"/>
      <w:lvlJc w:val="left"/>
      <w:pPr>
        <w:tabs>
          <w:tab w:val="num" w:pos="390"/>
        </w:tabs>
        <w:ind w:left="390" w:hanging="390"/>
      </w:pPr>
      <w:rPr>
        <w:rFonts w:hint="default"/>
      </w:rPr>
    </w:lvl>
  </w:abstractNum>
  <w:abstractNum w:abstractNumId="170">
    <w:nsid w:val="6E9C30AB"/>
    <w:multiLevelType w:val="singleLevel"/>
    <w:tmpl w:val="4DF2D03C"/>
    <w:lvl w:ilvl="0">
      <w:start w:val="1"/>
      <w:numFmt w:val="bullet"/>
      <w:pStyle w:val="TopoNo"/>
      <w:lvlText w:val=""/>
      <w:lvlJc w:val="left"/>
      <w:pPr>
        <w:tabs>
          <w:tab w:val="num" w:pos="360"/>
        </w:tabs>
        <w:ind w:left="360" w:hanging="360"/>
      </w:pPr>
      <w:rPr>
        <w:rFonts w:ascii="Wingdings" w:hAnsi="Wingdings" w:hint="default"/>
        <w:sz w:val="16"/>
      </w:rPr>
    </w:lvl>
  </w:abstractNum>
  <w:abstractNum w:abstractNumId="171">
    <w:nsid w:val="6EA74B6B"/>
    <w:multiLevelType w:val="hybridMultilevel"/>
    <w:tmpl w:val="A77CB4C0"/>
    <w:lvl w:ilvl="0" w:tplc="919C7748">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2">
    <w:nsid w:val="704D11D8"/>
    <w:multiLevelType w:val="hybridMultilevel"/>
    <w:tmpl w:val="993C0E18"/>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3">
    <w:nsid w:val="70AC5631"/>
    <w:multiLevelType w:val="hybridMultilevel"/>
    <w:tmpl w:val="A59AA3E4"/>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4">
    <w:nsid w:val="70F962C4"/>
    <w:multiLevelType w:val="singleLevel"/>
    <w:tmpl w:val="78A85EB8"/>
    <w:lvl w:ilvl="0">
      <w:start w:val="1"/>
      <w:numFmt w:val="decimal"/>
      <w:lvlText w:val="(%1)"/>
      <w:lvlJc w:val="left"/>
      <w:pPr>
        <w:tabs>
          <w:tab w:val="num" w:pos="360"/>
        </w:tabs>
        <w:ind w:left="360" w:hanging="360"/>
      </w:pPr>
      <w:rPr>
        <w:rFonts w:hint="default"/>
      </w:rPr>
    </w:lvl>
  </w:abstractNum>
  <w:abstractNum w:abstractNumId="175">
    <w:nsid w:val="7143716D"/>
    <w:multiLevelType w:val="hybridMultilevel"/>
    <w:tmpl w:val="6618127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6">
    <w:nsid w:val="71A77540"/>
    <w:multiLevelType w:val="hybridMultilevel"/>
    <w:tmpl w:val="C55CCCB8"/>
    <w:lvl w:ilvl="0" w:tplc="93A80772">
      <w:start w:val="1"/>
      <w:numFmt w:val="lowerLetter"/>
      <w:lvlText w:val="%1)"/>
      <w:lvlJc w:val="left"/>
      <w:pPr>
        <w:tabs>
          <w:tab w:val="num" w:pos="360"/>
        </w:tabs>
        <w:ind w:left="36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77">
    <w:nsid w:val="723369A3"/>
    <w:multiLevelType w:val="singleLevel"/>
    <w:tmpl w:val="0C0A000F"/>
    <w:lvl w:ilvl="0">
      <w:start w:val="1"/>
      <w:numFmt w:val="decimal"/>
      <w:lvlText w:val="%1."/>
      <w:lvlJc w:val="left"/>
      <w:pPr>
        <w:tabs>
          <w:tab w:val="num" w:pos="360"/>
        </w:tabs>
        <w:ind w:left="360" w:hanging="360"/>
      </w:pPr>
    </w:lvl>
  </w:abstractNum>
  <w:abstractNum w:abstractNumId="178">
    <w:nsid w:val="730A23E6"/>
    <w:multiLevelType w:val="hybridMultilevel"/>
    <w:tmpl w:val="D7963370"/>
    <w:lvl w:ilvl="0" w:tplc="F8101916">
      <w:start w:val="1"/>
      <w:numFmt w:val="bullet"/>
      <w:lvlText w:val="-"/>
      <w:lvlJc w:val="left"/>
      <w:pPr>
        <w:ind w:left="720" w:hanging="360"/>
      </w:pPr>
      <w:rPr>
        <w:rFonts w:ascii="Arial" w:hAnsi="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9">
    <w:nsid w:val="732700D0"/>
    <w:multiLevelType w:val="singleLevel"/>
    <w:tmpl w:val="044658BA"/>
    <w:lvl w:ilvl="0">
      <w:start w:val="1"/>
      <w:numFmt w:val="lowerLetter"/>
      <w:lvlText w:val="%1)"/>
      <w:lvlJc w:val="left"/>
      <w:pPr>
        <w:tabs>
          <w:tab w:val="num" w:pos="624"/>
        </w:tabs>
        <w:ind w:left="624" w:hanging="340"/>
      </w:pPr>
      <w:rPr>
        <w:rFonts w:hint="default"/>
      </w:rPr>
    </w:lvl>
  </w:abstractNum>
  <w:abstractNum w:abstractNumId="180">
    <w:nsid w:val="73391437"/>
    <w:multiLevelType w:val="hybridMultilevel"/>
    <w:tmpl w:val="8D2EA76C"/>
    <w:lvl w:ilvl="0" w:tplc="9F9C8AFE">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81">
    <w:nsid w:val="73A30448"/>
    <w:multiLevelType w:val="singleLevel"/>
    <w:tmpl w:val="53B247F4"/>
    <w:lvl w:ilvl="0">
      <w:start w:val="1"/>
      <w:numFmt w:val="bullet"/>
      <w:lvlText w:val=""/>
      <w:lvlJc w:val="left"/>
      <w:pPr>
        <w:tabs>
          <w:tab w:val="num" w:pos="360"/>
        </w:tabs>
        <w:ind w:left="360" w:hanging="360"/>
      </w:pPr>
      <w:rPr>
        <w:rFonts w:ascii="Symbol" w:hAnsi="Symbol" w:hint="default"/>
      </w:rPr>
    </w:lvl>
  </w:abstractNum>
  <w:abstractNum w:abstractNumId="182">
    <w:nsid w:val="74007CC4"/>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3">
    <w:nsid w:val="74227D75"/>
    <w:multiLevelType w:val="hybridMultilevel"/>
    <w:tmpl w:val="8878D9DA"/>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84">
    <w:nsid w:val="744836F8"/>
    <w:multiLevelType w:val="hybridMultilevel"/>
    <w:tmpl w:val="2784470A"/>
    <w:lvl w:ilvl="0" w:tplc="FFFFFFFF">
      <w:start w:val="1"/>
      <w:numFmt w:val="none"/>
      <w:lvlText w:val="III."/>
      <w:lvlJc w:val="left"/>
      <w:pPr>
        <w:tabs>
          <w:tab w:val="num" w:pos="340"/>
        </w:tabs>
        <w:ind w:left="340" w:hanging="340"/>
      </w:pPr>
      <w:rPr>
        <w:rFonts w:hint="default"/>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nsid w:val="74B34FD4"/>
    <w:multiLevelType w:val="singleLevel"/>
    <w:tmpl w:val="6098FB2E"/>
    <w:lvl w:ilvl="0">
      <w:start w:val="1"/>
      <w:numFmt w:val="lowerLetter"/>
      <w:lvlText w:val="%1)"/>
      <w:lvlJc w:val="right"/>
      <w:pPr>
        <w:tabs>
          <w:tab w:val="num" w:pos="1134"/>
        </w:tabs>
        <w:ind w:left="1134" w:hanging="567"/>
      </w:pPr>
    </w:lvl>
  </w:abstractNum>
  <w:abstractNum w:abstractNumId="186">
    <w:nsid w:val="74B524D9"/>
    <w:multiLevelType w:val="singleLevel"/>
    <w:tmpl w:val="6DE09C16"/>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7">
    <w:nsid w:val="758D044D"/>
    <w:multiLevelType w:val="singleLevel"/>
    <w:tmpl w:val="2C1219E0"/>
    <w:lvl w:ilvl="0">
      <w:start w:val="1"/>
      <w:numFmt w:val="bullet"/>
      <w:lvlText w:val="-"/>
      <w:lvlJc w:val="left"/>
      <w:pPr>
        <w:tabs>
          <w:tab w:val="num" w:pos="737"/>
        </w:tabs>
        <w:ind w:left="737" w:hanging="453"/>
      </w:pPr>
      <w:rPr>
        <w:rFonts w:ascii="Arial" w:hAnsi="Arial" w:hint="default"/>
      </w:rPr>
    </w:lvl>
  </w:abstractNum>
  <w:abstractNum w:abstractNumId="188">
    <w:nsid w:val="76BD07DE"/>
    <w:multiLevelType w:val="multilevel"/>
    <w:tmpl w:val="DD468B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nsid w:val="77C9350E"/>
    <w:multiLevelType w:val="hybridMultilevel"/>
    <w:tmpl w:val="3C4ED612"/>
    <w:lvl w:ilvl="0" w:tplc="8B76A502">
      <w:numFmt w:val="bullet"/>
      <w:lvlText w:val="-"/>
      <w:lvlJc w:val="left"/>
      <w:pPr>
        <w:tabs>
          <w:tab w:val="num" w:pos="680"/>
        </w:tabs>
        <w:ind w:left="680" w:hanging="396"/>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90">
    <w:nsid w:val="78E115F4"/>
    <w:multiLevelType w:val="singleLevel"/>
    <w:tmpl w:val="A4E0A126"/>
    <w:lvl w:ilvl="0">
      <w:start w:val="1"/>
      <w:numFmt w:val="decimal"/>
      <w:lvlText w:val="(%1)"/>
      <w:lvlJc w:val="left"/>
      <w:pPr>
        <w:tabs>
          <w:tab w:val="num" w:pos="360"/>
        </w:tabs>
        <w:ind w:left="360" w:hanging="360"/>
      </w:pPr>
      <w:rPr>
        <w:rFonts w:hint="default"/>
        <w:sz w:val="20"/>
        <w:szCs w:val="20"/>
      </w:rPr>
    </w:lvl>
  </w:abstractNum>
  <w:abstractNum w:abstractNumId="191">
    <w:nsid w:val="7A4454C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2">
    <w:nsid w:val="7AC23F0B"/>
    <w:multiLevelType w:val="singleLevel"/>
    <w:tmpl w:val="A9DAA31A"/>
    <w:lvl w:ilvl="0">
      <w:start w:val="1"/>
      <w:numFmt w:val="decimal"/>
      <w:lvlText w:val="(%1)"/>
      <w:lvlJc w:val="left"/>
      <w:pPr>
        <w:tabs>
          <w:tab w:val="num" w:pos="360"/>
        </w:tabs>
        <w:ind w:left="360" w:hanging="360"/>
      </w:pPr>
      <w:rPr>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nsid w:val="7C285289"/>
    <w:multiLevelType w:val="hybridMultilevel"/>
    <w:tmpl w:val="4F1A2246"/>
    <w:lvl w:ilvl="0" w:tplc="1DC8EB58">
      <w:start w:val="1"/>
      <w:numFmt w:val="bullet"/>
      <w:lvlText w:val="-"/>
      <w:lvlJc w:val="left"/>
      <w:pPr>
        <w:tabs>
          <w:tab w:val="num" w:pos="567"/>
        </w:tabs>
        <w:ind w:left="567" w:hanging="283"/>
      </w:pPr>
      <w:rPr>
        <w:rFonts w:ascii="sans-serif" w:eastAsia="Times New Roman" w:hAnsi="sans-serif"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94">
    <w:nsid w:val="7C592D08"/>
    <w:multiLevelType w:val="hybridMultilevel"/>
    <w:tmpl w:val="9D7071E8"/>
    <w:lvl w:ilvl="0" w:tplc="4A786EB8">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5">
    <w:nsid w:val="7CD424B3"/>
    <w:multiLevelType w:val="hybridMultilevel"/>
    <w:tmpl w:val="46B034D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6">
    <w:nsid w:val="7CDC69E9"/>
    <w:multiLevelType w:val="hybridMultilevel"/>
    <w:tmpl w:val="CEFAE376"/>
    <w:lvl w:ilvl="0" w:tplc="DEA2B194">
      <w:start w:val="1"/>
      <w:numFmt w:val="lowerLetter"/>
      <w:lvlText w:val="%1)"/>
      <w:lvlJc w:val="left"/>
      <w:pPr>
        <w:tabs>
          <w:tab w:val="num" w:pos="717"/>
        </w:tabs>
        <w:ind w:left="717" w:hanging="360"/>
      </w:pPr>
      <w:rPr>
        <w:rFonts w:hint="default"/>
      </w:rPr>
    </w:lvl>
    <w:lvl w:ilvl="1" w:tplc="04030019" w:tentative="1">
      <w:start w:val="1"/>
      <w:numFmt w:val="lowerLetter"/>
      <w:lvlText w:val="%2."/>
      <w:lvlJc w:val="left"/>
      <w:pPr>
        <w:ind w:left="1797" w:hanging="360"/>
      </w:pPr>
    </w:lvl>
    <w:lvl w:ilvl="2" w:tplc="0403001B" w:tentative="1">
      <w:start w:val="1"/>
      <w:numFmt w:val="lowerRoman"/>
      <w:lvlText w:val="%3."/>
      <w:lvlJc w:val="right"/>
      <w:pPr>
        <w:ind w:left="2517" w:hanging="180"/>
      </w:pPr>
    </w:lvl>
    <w:lvl w:ilvl="3" w:tplc="0403000F" w:tentative="1">
      <w:start w:val="1"/>
      <w:numFmt w:val="decimal"/>
      <w:lvlText w:val="%4."/>
      <w:lvlJc w:val="left"/>
      <w:pPr>
        <w:ind w:left="3237" w:hanging="360"/>
      </w:pPr>
    </w:lvl>
    <w:lvl w:ilvl="4" w:tplc="04030019" w:tentative="1">
      <w:start w:val="1"/>
      <w:numFmt w:val="lowerLetter"/>
      <w:lvlText w:val="%5."/>
      <w:lvlJc w:val="left"/>
      <w:pPr>
        <w:ind w:left="3957" w:hanging="360"/>
      </w:pPr>
    </w:lvl>
    <w:lvl w:ilvl="5" w:tplc="0403001B" w:tentative="1">
      <w:start w:val="1"/>
      <w:numFmt w:val="lowerRoman"/>
      <w:lvlText w:val="%6."/>
      <w:lvlJc w:val="right"/>
      <w:pPr>
        <w:ind w:left="4677" w:hanging="180"/>
      </w:pPr>
    </w:lvl>
    <w:lvl w:ilvl="6" w:tplc="0403000F" w:tentative="1">
      <w:start w:val="1"/>
      <w:numFmt w:val="decimal"/>
      <w:lvlText w:val="%7."/>
      <w:lvlJc w:val="left"/>
      <w:pPr>
        <w:ind w:left="5397" w:hanging="360"/>
      </w:pPr>
    </w:lvl>
    <w:lvl w:ilvl="7" w:tplc="04030019" w:tentative="1">
      <w:start w:val="1"/>
      <w:numFmt w:val="lowerLetter"/>
      <w:lvlText w:val="%8."/>
      <w:lvlJc w:val="left"/>
      <w:pPr>
        <w:ind w:left="6117" w:hanging="360"/>
      </w:pPr>
    </w:lvl>
    <w:lvl w:ilvl="8" w:tplc="0403001B" w:tentative="1">
      <w:start w:val="1"/>
      <w:numFmt w:val="lowerRoman"/>
      <w:lvlText w:val="%9."/>
      <w:lvlJc w:val="right"/>
      <w:pPr>
        <w:ind w:left="6837" w:hanging="180"/>
      </w:pPr>
    </w:lvl>
  </w:abstractNum>
  <w:abstractNum w:abstractNumId="197">
    <w:nsid w:val="7CEE179A"/>
    <w:multiLevelType w:val="hybridMultilevel"/>
    <w:tmpl w:val="36502242"/>
    <w:lvl w:ilvl="0" w:tplc="04030001">
      <w:start w:val="1"/>
      <w:numFmt w:val="bullet"/>
      <w:lvlText w:val=""/>
      <w:lvlJc w:val="left"/>
      <w:pPr>
        <w:tabs>
          <w:tab w:val="num" w:pos="720"/>
        </w:tabs>
        <w:ind w:left="720" w:hanging="360"/>
      </w:pPr>
      <w:rPr>
        <w:rFonts w:ascii="Symbol" w:hAnsi="Symbol" w:hint="default"/>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98">
    <w:nsid w:val="7F9D79C9"/>
    <w:multiLevelType w:val="singleLevel"/>
    <w:tmpl w:val="6AFA5D6A"/>
    <w:lvl w:ilvl="0">
      <w:start w:val="1"/>
      <w:numFmt w:val="decimal"/>
      <w:lvlText w:val="(%1)"/>
      <w:lvlJc w:val="left"/>
      <w:pPr>
        <w:tabs>
          <w:tab w:val="num" w:pos="360"/>
        </w:tabs>
        <w:ind w:left="360" w:hanging="360"/>
      </w:pPr>
      <w:rPr>
        <w:b w:val="0"/>
        <w:i w:val="0"/>
        <w:caps w:val="0"/>
        <w:strike w:val="0"/>
        <w:dstrike w:val="0"/>
        <w:vanish w:val="0"/>
        <w:sz w:val="18"/>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39"/>
  </w:num>
  <w:num w:numId="2">
    <w:abstractNumId w:val="118"/>
  </w:num>
  <w:num w:numId="3">
    <w:abstractNumId w:val="35"/>
  </w:num>
  <w:num w:numId="4">
    <w:abstractNumId w:val="121"/>
  </w:num>
  <w:num w:numId="5">
    <w:abstractNumId w:val="22"/>
  </w:num>
  <w:num w:numId="6">
    <w:abstractNumId w:val="101"/>
  </w:num>
  <w:num w:numId="7">
    <w:abstractNumId w:val="170"/>
  </w:num>
  <w:num w:numId="8">
    <w:abstractNumId w:val="26"/>
  </w:num>
  <w:num w:numId="9">
    <w:abstractNumId w:val="96"/>
  </w:num>
  <w:num w:numId="10">
    <w:abstractNumId w:val="116"/>
  </w:num>
  <w:num w:numId="11">
    <w:abstractNumId w:val="123"/>
  </w:num>
  <w:num w:numId="12">
    <w:abstractNumId w:val="179"/>
  </w:num>
  <w:num w:numId="13">
    <w:abstractNumId w:val="37"/>
  </w:num>
  <w:num w:numId="14">
    <w:abstractNumId w:val="23"/>
  </w:num>
  <w:num w:numId="15">
    <w:abstractNumId w:val="83"/>
  </w:num>
  <w:num w:numId="16">
    <w:abstractNumId w:val="184"/>
  </w:num>
  <w:num w:numId="17">
    <w:abstractNumId w:val="134"/>
  </w:num>
  <w:num w:numId="18">
    <w:abstractNumId w:val="105"/>
  </w:num>
  <w:num w:numId="19">
    <w:abstractNumId w:val="145"/>
  </w:num>
  <w:num w:numId="20">
    <w:abstractNumId w:val="28"/>
  </w:num>
  <w:num w:numId="21">
    <w:abstractNumId w:val="112"/>
  </w:num>
  <w:num w:numId="22">
    <w:abstractNumId w:val="67"/>
  </w:num>
  <w:num w:numId="23">
    <w:abstractNumId w:val="133"/>
  </w:num>
  <w:num w:numId="24">
    <w:abstractNumId w:val="137"/>
  </w:num>
  <w:num w:numId="25">
    <w:abstractNumId w:val="57"/>
  </w:num>
  <w:num w:numId="26">
    <w:abstractNumId w:val="144"/>
  </w:num>
  <w:num w:numId="27">
    <w:abstractNumId w:val="102"/>
  </w:num>
  <w:num w:numId="28">
    <w:abstractNumId w:val="92"/>
  </w:num>
  <w:num w:numId="29">
    <w:abstractNumId w:val="13"/>
  </w:num>
  <w:num w:numId="30">
    <w:abstractNumId w:val="143"/>
  </w:num>
  <w:num w:numId="31">
    <w:abstractNumId w:val="181"/>
  </w:num>
  <w:num w:numId="32">
    <w:abstractNumId w:val="178"/>
  </w:num>
  <w:num w:numId="33">
    <w:abstractNumId w:val="128"/>
  </w:num>
  <w:num w:numId="34">
    <w:abstractNumId w:val="119"/>
  </w:num>
  <w:num w:numId="35">
    <w:abstractNumId w:val="165"/>
  </w:num>
  <w:num w:numId="36">
    <w:abstractNumId w:val="15"/>
  </w:num>
  <w:num w:numId="37">
    <w:abstractNumId w:val="161"/>
  </w:num>
  <w:num w:numId="38">
    <w:abstractNumId w:val="78"/>
  </w:num>
  <w:num w:numId="39">
    <w:abstractNumId w:val="89"/>
  </w:num>
  <w:num w:numId="40">
    <w:abstractNumId w:val="21"/>
  </w:num>
  <w:num w:numId="41">
    <w:abstractNumId w:val="142"/>
  </w:num>
  <w:num w:numId="42">
    <w:abstractNumId w:val="58"/>
  </w:num>
  <w:num w:numId="43">
    <w:abstractNumId w:val="10"/>
  </w:num>
  <w:num w:numId="44">
    <w:abstractNumId w:val="167"/>
  </w:num>
  <w:num w:numId="45">
    <w:abstractNumId w:val="68"/>
  </w:num>
  <w:num w:numId="46">
    <w:abstractNumId w:val="188"/>
  </w:num>
  <w:num w:numId="47">
    <w:abstractNumId w:val="190"/>
  </w:num>
  <w:num w:numId="48">
    <w:abstractNumId w:val="174"/>
  </w:num>
  <w:num w:numId="49">
    <w:abstractNumId w:val="186"/>
  </w:num>
  <w:num w:numId="50">
    <w:abstractNumId w:val="14"/>
  </w:num>
  <w:num w:numId="51">
    <w:abstractNumId w:val="198"/>
  </w:num>
  <w:num w:numId="52">
    <w:abstractNumId w:val="182"/>
  </w:num>
  <w:num w:numId="53">
    <w:abstractNumId w:val="113"/>
  </w:num>
  <w:num w:numId="54">
    <w:abstractNumId w:val="130"/>
  </w:num>
  <w:num w:numId="55">
    <w:abstractNumId w:val="24"/>
  </w:num>
  <w:num w:numId="56">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8"/>
  </w:num>
  <w:num w:numId="58">
    <w:abstractNumId w:val="64"/>
  </w:num>
  <w:num w:numId="59">
    <w:abstractNumId w:val="77"/>
  </w:num>
  <w:num w:numId="60">
    <w:abstractNumId w:val="129"/>
  </w:num>
  <w:num w:numId="61">
    <w:abstractNumId w:val="82"/>
  </w:num>
  <w:num w:numId="62">
    <w:abstractNumId w:val="162"/>
  </w:num>
  <w:num w:numId="63">
    <w:abstractNumId w:val="55"/>
  </w:num>
  <w:num w:numId="64">
    <w:abstractNumId w:val="88"/>
  </w:num>
  <w:num w:numId="65">
    <w:abstractNumId w:val="192"/>
  </w:num>
  <w:num w:numId="66">
    <w:abstractNumId w:val="91"/>
  </w:num>
  <w:num w:numId="67">
    <w:abstractNumId w:val="132"/>
  </w:num>
  <w:num w:numId="68">
    <w:abstractNumId w:val="9"/>
  </w:num>
  <w:num w:numId="69">
    <w:abstractNumId w:val="90"/>
  </w:num>
  <w:num w:numId="70">
    <w:abstractNumId w:val="31"/>
  </w:num>
  <w:num w:numId="71">
    <w:abstractNumId w:val="60"/>
  </w:num>
  <w:num w:numId="72">
    <w:abstractNumId w:val="86"/>
  </w:num>
  <w:num w:numId="73">
    <w:abstractNumId w:val="42"/>
  </w:num>
  <w:num w:numId="74">
    <w:abstractNumId w:val="0"/>
  </w:num>
  <w:num w:numId="75">
    <w:abstractNumId w:val="136"/>
  </w:num>
  <w:num w:numId="76">
    <w:abstractNumId w:val="95"/>
  </w:num>
  <w:num w:numId="77">
    <w:abstractNumId w:val="27"/>
  </w:num>
  <w:num w:numId="78">
    <w:abstractNumId w:val="85"/>
  </w:num>
  <w:num w:numId="79">
    <w:abstractNumId w:val="154"/>
  </w:num>
  <w:num w:numId="80">
    <w:abstractNumId w:val="1"/>
  </w:num>
  <w:num w:numId="81">
    <w:abstractNumId w:val="20"/>
  </w:num>
  <w:num w:numId="82">
    <w:abstractNumId w:val="50"/>
  </w:num>
  <w:num w:numId="83">
    <w:abstractNumId w:val="79"/>
  </w:num>
  <w:num w:numId="84">
    <w:abstractNumId w:val="150"/>
  </w:num>
  <w:num w:numId="85">
    <w:abstractNumId w:val="47"/>
  </w:num>
  <w:num w:numId="86">
    <w:abstractNumId w:val="16"/>
  </w:num>
  <w:num w:numId="87">
    <w:abstractNumId w:val="183"/>
  </w:num>
  <w:num w:numId="88">
    <w:abstractNumId w:val="193"/>
  </w:num>
  <w:num w:numId="89">
    <w:abstractNumId w:val="71"/>
  </w:num>
  <w:num w:numId="90">
    <w:abstractNumId w:val="97"/>
  </w:num>
  <w:num w:numId="91">
    <w:abstractNumId w:val="30"/>
  </w:num>
  <w:num w:numId="92">
    <w:abstractNumId w:val="56"/>
  </w:num>
  <w:num w:numId="93">
    <w:abstractNumId w:val="4"/>
  </w:num>
  <w:num w:numId="94">
    <w:abstractNumId w:val="159"/>
  </w:num>
  <w:num w:numId="95">
    <w:abstractNumId w:val="152"/>
  </w:num>
  <w:num w:numId="96">
    <w:abstractNumId w:val="59"/>
  </w:num>
  <w:num w:numId="97">
    <w:abstractNumId w:val="149"/>
  </w:num>
  <w:num w:numId="98">
    <w:abstractNumId w:val="25"/>
  </w:num>
  <w:num w:numId="99">
    <w:abstractNumId w:val="169"/>
  </w:num>
  <w:num w:numId="100">
    <w:abstractNumId w:val="63"/>
  </w:num>
  <w:num w:numId="101">
    <w:abstractNumId w:val="189"/>
  </w:num>
  <w:num w:numId="102">
    <w:abstractNumId w:val="8"/>
  </w:num>
  <w:num w:numId="103">
    <w:abstractNumId w:val="51"/>
  </w:num>
  <w:num w:numId="104">
    <w:abstractNumId w:val="166"/>
  </w:num>
  <w:num w:numId="105">
    <w:abstractNumId w:val="175"/>
  </w:num>
  <w:num w:numId="106">
    <w:abstractNumId w:val="33"/>
  </w:num>
  <w:num w:numId="107">
    <w:abstractNumId w:val="65"/>
  </w:num>
  <w:num w:numId="108">
    <w:abstractNumId w:val="103"/>
  </w:num>
  <w:num w:numId="109">
    <w:abstractNumId w:val="187"/>
  </w:num>
  <w:num w:numId="110">
    <w:abstractNumId w:val="93"/>
  </w:num>
  <w:num w:numId="111">
    <w:abstractNumId w:val="7"/>
  </w:num>
  <w:num w:numId="112">
    <w:abstractNumId w:val="126"/>
  </w:num>
  <w:num w:numId="113">
    <w:abstractNumId w:val="120"/>
  </w:num>
  <w:num w:numId="114">
    <w:abstractNumId w:val="147"/>
  </w:num>
  <w:num w:numId="115">
    <w:abstractNumId w:val="53"/>
  </w:num>
  <w:num w:numId="116">
    <w:abstractNumId w:val="185"/>
  </w:num>
  <w:num w:numId="117">
    <w:abstractNumId w:val="76"/>
  </w:num>
  <w:num w:numId="118">
    <w:abstractNumId w:val="80"/>
  </w:num>
  <w:num w:numId="119">
    <w:abstractNumId w:val="62"/>
  </w:num>
  <w:num w:numId="120">
    <w:abstractNumId w:val="122"/>
  </w:num>
  <w:num w:numId="121">
    <w:abstractNumId w:val="146"/>
  </w:num>
  <w:num w:numId="122">
    <w:abstractNumId w:val="54"/>
  </w:num>
  <w:num w:numId="123">
    <w:abstractNumId w:val="12"/>
  </w:num>
  <w:num w:numId="124">
    <w:abstractNumId w:val="106"/>
  </w:num>
  <w:num w:numId="125">
    <w:abstractNumId w:val="70"/>
  </w:num>
  <w:num w:numId="126">
    <w:abstractNumId w:val="87"/>
  </w:num>
  <w:num w:numId="127">
    <w:abstractNumId w:val="191"/>
  </w:num>
  <w:num w:numId="128">
    <w:abstractNumId w:val="72"/>
  </w:num>
  <w:num w:numId="129">
    <w:abstractNumId w:val="41"/>
  </w:num>
  <w:num w:numId="130">
    <w:abstractNumId w:val="177"/>
  </w:num>
  <w:num w:numId="131">
    <w:abstractNumId w:val="117"/>
  </w:num>
  <w:num w:numId="132">
    <w:abstractNumId w:val="6"/>
  </w:num>
  <w:num w:numId="133">
    <w:abstractNumId w:val="29"/>
  </w:num>
  <w:num w:numId="134">
    <w:abstractNumId w:val="110"/>
  </w:num>
  <w:num w:numId="135">
    <w:abstractNumId w:val="75"/>
  </w:num>
  <w:num w:numId="136">
    <w:abstractNumId w:val="197"/>
  </w:num>
  <w:num w:numId="137">
    <w:abstractNumId w:val="127"/>
  </w:num>
  <w:num w:numId="138">
    <w:abstractNumId w:val="160"/>
  </w:num>
  <w:num w:numId="139">
    <w:abstractNumId w:val="115"/>
  </w:num>
  <w:num w:numId="140">
    <w:abstractNumId w:val="135"/>
  </w:num>
  <w:num w:numId="141">
    <w:abstractNumId w:val="99"/>
  </w:num>
  <w:num w:numId="142">
    <w:abstractNumId w:val="156"/>
  </w:num>
  <w:num w:numId="143">
    <w:abstractNumId w:val="61"/>
  </w:num>
  <w:num w:numId="144">
    <w:abstractNumId w:val="151"/>
  </w:num>
  <w:num w:numId="145">
    <w:abstractNumId w:val="34"/>
  </w:num>
  <w:num w:numId="146">
    <w:abstractNumId w:val="164"/>
  </w:num>
  <w:num w:numId="147">
    <w:abstractNumId w:val="148"/>
  </w:num>
  <w:num w:numId="148">
    <w:abstractNumId w:val="48"/>
  </w:num>
  <w:num w:numId="149">
    <w:abstractNumId w:val="171"/>
  </w:num>
  <w:num w:numId="150">
    <w:abstractNumId w:val="124"/>
  </w:num>
  <w:num w:numId="151">
    <w:abstractNumId w:val="163"/>
  </w:num>
  <w:num w:numId="152">
    <w:abstractNumId w:val="176"/>
  </w:num>
  <w:num w:numId="153">
    <w:abstractNumId w:val="39"/>
  </w:num>
  <w:num w:numId="154">
    <w:abstractNumId w:val="2"/>
  </w:num>
  <w:num w:numId="155">
    <w:abstractNumId w:val="84"/>
  </w:num>
  <w:num w:numId="156">
    <w:abstractNumId w:val="74"/>
  </w:num>
  <w:num w:numId="157">
    <w:abstractNumId w:val="94"/>
  </w:num>
  <w:num w:numId="158">
    <w:abstractNumId w:val="196"/>
  </w:num>
  <w:num w:numId="159">
    <w:abstractNumId w:val="138"/>
  </w:num>
  <w:num w:numId="160">
    <w:abstractNumId w:val="66"/>
  </w:num>
  <w:num w:numId="161">
    <w:abstractNumId w:val="45"/>
  </w:num>
  <w:num w:numId="162">
    <w:abstractNumId w:val="194"/>
  </w:num>
  <w:num w:numId="163">
    <w:abstractNumId w:val="108"/>
  </w:num>
  <w:num w:numId="164">
    <w:abstractNumId w:val="49"/>
  </w:num>
  <w:num w:numId="165">
    <w:abstractNumId w:val="46"/>
  </w:num>
  <w:num w:numId="166">
    <w:abstractNumId w:val="153"/>
  </w:num>
  <w:num w:numId="167">
    <w:abstractNumId w:val="98"/>
  </w:num>
  <w:num w:numId="168">
    <w:abstractNumId w:val="40"/>
  </w:num>
  <w:num w:numId="169">
    <w:abstractNumId w:val="125"/>
  </w:num>
  <w:num w:numId="170">
    <w:abstractNumId w:val="43"/>
  </w:num>
  <w:num w:numId="171">
    <w:abstractNumId w:val="17"/>
  </w:num>
  <w:num w:numId="172">
    <w:abstractNumId w:val="114"/>
  </w:num>
  <w:num w:numId="173">
    <w:abstractNumId w:val="107"/>
  </w:num>
  <w:num w:numId="174">
    <w:abstractNumId w:val="173"/>
  </w:num>
  <w:num w:numId="175">
    <w:abstractNumId w:val="157"/>
  </w:num>
  <w:num w:numId="176">
    <w:abstractNumId w:val="172"/>
  </w:num>
  <w:num w:numId="177">
    <w:abstractNumId w:val="104"/>
  </w:num>
  <w:num w:numId="178">
    <w:abstractNumId w:val="32"/>
  </w:num>
  <w:num w:numId="179">
    <w:abstractNumId w:val="38"/>
  </w:num>
  <w:num w:numId="180">
    <w:abstractNumId w:val="155"/>
  </w:num>
  <w:num w:numId="181">
    <w:abstractNumId w:val="131"/>
  </w:num>
  <w:num w:numId="182">
    <w:abstractNumId w:val="44"/>
  </w:num>
  <w:num w:numId="183">
    <w:abstractNumId w:val="3"/>
  </w:num>
  <w:num w:numId="184">
    <w:abstractNumId w:val="69"/>
  </w:num>
  <w:num w:numId="185">
    <w:abstractNumId w:val="81"/>
  </w:num>
  <w:num w:numId="186">
    <w:abstractNumId w:val="36"/>
  </w:num>
  <w:num w:numId="187">
    <w:abstractNumId w:val="11"/>
  </w:num>
  <w:num w:numId="188">
    <w:abstractNumId w:val="180"/>
  </w:num>
  <w:num w:numId="189">
    <w:abstractNumId w:val="52"/>
  </w:num>
  <w:num w:numId="190">
    <w:abstractNumId w:val="141"/>
  </w:num>
  <w:num w:numId="191">
    <w:abstractNumId w:val="158"/>
  </w:num>
  <w:num w:numId="192">
    <w:abstractNumId w:val="100"/>
  </w:num>
  <w:num w:numId="193">
    <w:abstractNumId w:val="73"/>
  </w:num>
  <w:num w:numId="194">
    <w:abstractNumId w:val="18"/>
  </w:num>
  <w:num w:numId="195">
    <w:abstractNumId w:val="5"/>
  </w:num>
  <w:num w:numId="196">
    <w:abstractNumId w:val="111"/>
  </w:num>
  <w:num w:numId="197">
    <w:abstractNumId w:val="195"/>
  </w:num>
  <w:num w:numId="198">
    <w:abstractNumId w:val="140"/>
  </w:num>
  <w:num w:numId="199">
    <w:abstractNumId w:val="19"/>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8"/>
  <w:hyphenationZone w:val="425"/>
  <w:characterSpacingControl w:val="doNotCompress"/>
  <w:hdrShapeDefaults>
    <o:shapedefaults v:ext="edit" spidmax="20482"/>
    <o:shapelayout v:ext="edit">
      <o:idmap v:ext="edit" data="2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363"/>
    <w:rsid w:val="00001985"/>
    <w:rsid w:val="00020A60"/>
    <w:rsid w:val="000452B8"/>
    <w:rsid w:val="0009331F"/>
    <w:rsid w:val="000B3A89"/>
    <w:rsid w:val="000D6ED0"/>
    <w:rsid w:val="000E4321"/>
    <w:rsid w:val="000E5335"/>
    <w:rsid w:val="00100990"/>
    <w:rsid w:val="00156E03"/>
    <w:rsid w:val="0015752D"/>
    <w:rsid w:val="00173551"/>
    <w:rsid w:val="0018253F"/>
    <w:rsid w:val="001B1E1F"/>
    <w:rsid w:val="001B2927"/>
    <w:rsid w:val="001C0FFB"/>
    <w:rsid w:val="001C3311"/>
    <w:rsid w:val="001D205D"/>
    <w:rsid w:val="00202B3A"/>
    <w:rsid w:val="00206A4B"/>
    <w:rsid w:val="00223C09"/>
    <w:rsid w:val="002316D2"/>
    <w:rsid w:val="00236845"/>
    <w:rsid w:val="00241200"/>
    <w:rsid w:val="00247D0F"/>
    <w:rsid w:val="002D1893"/>
    <w:rsid w:val="003079A2"/>
    <w:rsid w:val="003237E7"/>
    <w:rsid w:val="00340B1F"/>
    <w:rsid w:val="003511E6"/>
    <w:rsid w:val="00373FAC"/>
    <w:rsid w:val="00387C9C"/>
    <w:rsid w:val="00394AEA"/>
    <w:rsid w:val="003A46B3"/>
    <w:rsid w:val="003B7A31"/>
    <w:rsid w:val="003C0F94"/>
    <w:rsid w:val="003F4375"/>
    <w:rsid w:val="00412AFB"/>
    <w:rsid w:val="00424C28"/>
    <w:rsid w:val="00441998"/>
    <w:rsid w:val="00483A9B"/>
    <w:rsid w:val="00484661"/>
    <w:rsid w:val="004C50CF"/>
    <w:rsid w:val="004D4235"/>
    <w:rsid w:val="004E35E2"/>
    <w:rsid w:val="004F1878"/>
    <w:rsid w:val="00503A41"/>
    <w:rsid w:val="00513621"/>
    <w:rsid w:val="005210AD"/>
    <w:rsid w:val="00527396"/>
    <w:rsid w:val="00567C10"/>
    <w:rsid w:val="005710D2"/>
    <w:rsid w:val="00571B14"/>
    <w:rsid w:val="005F5243"/>
    <w:rsid w:val="006043F1"/>
    <w:rsid w:val="0062696E"/>
    <w:rsid w:val="00671C98"/>
    <w:rsid w:val="00676CA3"/>
    <w:rsid w:val="006A16EA"/>
    <w:rsid w:val="006C548C"/>
    <w:rsid w:val="006E0CBA"/>
    <w:rsid w:val="006F079F"/>
    <w:rsid w:val="007003E1"/>
    <w:rsid w:val="007006E6"/>
    <w:rsid w:val="00702067"/>
    <w:rsid w:val="007350C5"/>
    <w:rsid w:val="007575C3"/>
    <w:rsid w:val="0078047E"/>
    <w:rsid w:val="007876F3"/>
    <w:rsid w:val="00791C03"/>
    <w:rsid w:val="007B1EFF"/>
    <w:rsid w:val="008061C6"/>
    <w:rsid w:val="00806870"/>
    <w:rsid w:val="008260E4"/>
    <w:rsid w:val="00842598"/>
    <w:rsid w:val="00857A1E"/>
    <w:rsid w:val="00880FEB"/>
    <w:rsid w:val="00882B1A"/>
    <w:rsid w:val="008847B6"/>
    <w:rsid w:val="008B63CC"/>
    <w:rsid w:val="008E665C"/>
    <w:rsid w:val="00904023"/>
    <w:rsid w:val="009053D4"/>
    <w:rsid w:val="00930EF0"/>
    <w:rsid w:val="00951ADA"/>
    <w:rsid w:val="00962CCD"/>
    <w:rsid w:val="00993936"/>
    <w:rsid w:val="009A011E"/>
    <w:rsid w:val="009C734A"/>
    <w:rsid w:val="009D1A2D"/>
    <w:rsid w:val="00A27535"/>
    <w:rsid w:val="00A2757C"/>
    <w:rsid w:val="00A31A7F"/>
    <w:rsid w:val="00A772FC"/>
    <w:rsid w:val="00A97D5A"/>
    <w:rsid w:val="00AB6BDE"/>
    <w:rsid w:val="00B27C4C"/>
    <w:rsid w:val="00B42028"/>
    <w:rsid w:val="00B73B21"/>
    <w:rsid w:val="00B76CAE"/>
    <w:rsid w:val="00B9324D"/>
    <w:rsid w:val="00BB513C"/>
    <w:rsid w:val="00C03DD4"/>
    <w:rsid w:val="00C04A96"/>
    <w:rsid w:val="00C407C5"/>
    <w:rsid w:val="00C46F94"/>
    <w:rsid w:val="00C73DE5"/>
    <w:rsid w:val="00C8354D"/>
    <w:rsid w:val="00C8459C"/>
    <w:rsid w:val="00C8678E"/>
    <w:rsid w:val="00C94161"/>
    <w:rsid w:val="00CA0C28"/>
    <w:rsid w:val="00CA14AB"/>
    <w:rsid w:val="00D00E72"/>
    <w:rsid w:val="00D1300D"/>
    <w:rsid w:val="00D35662"/>
    <w:rsid w:val="00D466EE"/>
    <w:rsid w:val="00D74508"/>
    <w:rsid w:val="00D76C09"/>
    <w:rsid w:val="00DB6E5B"/>
    <w:rsid w:val="00DC071E"/>
    <w:rsid w:val="00DD0FC4"/>
    <w:rsid w:val="00DD7207"/>
    <w:rsid w:val="00DE4B7E"/>
    <w:rsid w:val="00E03B3B"/>
    <w:rsid w:val="00E1758E"/>
    <w:rsid w:val="00E44363"/>
    <w:rsid w:val="00E47352"/>
    <w:rsid w:val="00E5711A"/>
    <w:rsid w:val="00E63C7C"/>
    <w:rsid w:val="00E82CD1"/>
    <w:rsid w:val="00E9186D"/>
    <w:rsid w:val="00EA1C2B"/>
    <w:rsid w:val="00EB0DB1"/>
    <w:rsid w:val="00EC4C02"/>
    <w:rsid w:val="00F353C1"/>
    <w:rsid w:val="00F4693A"/>
    <w:rsid w:val="00F50192"/>
    <w:rsid w:val="00F852C8"/>
    <w:rsid w:val="00FA771B"/>
    <w:rsid w:val="00FE34C4"/>
  </w:rsids>
  <m:mathPr>
    <m:mathFont m:val="Cambria Math"/>
    <m:brkBin m:val="before"/>
    <m:brkBinSub m:val="--"/>
    <m:smallFrac m:val="0"/>
    <m:dispDef/>
    <m:lMargin m:val="0"/>
    <m:rMargin m:val="0"/>
    <m:defJc m:val="centerGroup"/>
    <m:wrapIndent m:val="1440"/>
    <m:intLim m:val="subSup"/>
    <m:naryLim m:val="undOvr"/>
  </m:mathPr>
  <w:themeFontLang w:val="ca-E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878"/>
  </w:style>
  <w:style w:type="paragraph" w:styleId="Ttulo1">
    <w:name w:val="heading 1"/>
    <w:basedOn w:val="Normal"/>
    <w:next w:val="Normal"/>
    <w:link w:val="Ttulo1Car"/>
    <w:uiPriority w:val="9"/>
    <w:qFormat/>
    <w:rsid w:val="003F43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semiHidden/>
    <w:unhideWhenUsed/>
    <w:qFormat/>
    <w:rsid w:val="006F07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F43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F437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F4375"/>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F4375"/>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F437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F437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F437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37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6F079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3F437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F4375"/>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3F4375"/>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F4375"/>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3F4375"/>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3F437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F4375"/>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nhideWhenUsed/>
    <w:rsid w:val="006F079F"/>
    <w:pPr>
      <w:tabs>
        <w:tab w:val="center" w:pos="4252"/>
        <w:tab w:val="right" w:pos="8504"/>
      </w:tabs>
      <w:spacing w:after="0" w:line="240" w:lineRule="auto"/>
    </w:pPr>
  </w:style>
  <w:style w:type="character" w:customStyle="1" w:styleId="EncabezadoCar">
    <w:name w:val="Encabezado Car"/>
    <w:basedOn w:val="Fuentedeprrafopredeter"/>
    <w:link w:val="Encabezado"/>
    <w:rsid w:val="006F079F"/>
  </w:style>
  <w:style w:type="paragraph" w:styleId="Piedepgina">
    <w:name w:val="footer"/>
    <w:basedOn w:val="Normal"/>
    <w:link w:val="PiedepginaCar"/>
    <w:unhideWhenUsed/>
    <w:rsid w:val="006F079F"/>
    <w:pPr>
      <w:tabs>
        <w:tab w:val="center" w:pos="4252"/>
        <w:tab w:val="right" w:pos="8504"/>
      </w:tabs>
      <w:spacing w:after="0" w:line="240" w:lineRule="auto"/>
    </w:pPr>
  </w:style>
  <w:style w:type="character" w:customStyle="1" w:styleId="PiedepginaCar">
    <w:name w:val="Pie de página Car"/>
    <w:basedOn w:val="Fuentedeprrafopredeter"/>
    <w:link w:val="Piedepgina"/>
    <w:rsid w:val="006F079F"/>
  </w:style>
  <w:style w:type="paragraph" w:styleId="NormalWeb">
    <w:name w:val="Normal (Web)"/>
    <w:basedOn w:val="Normal"/>
    <w:uiPriority w:val="99"/>
    <w:unhideWhenUsed/>
    <w:rsid w:val="006F079F"/>
    <w:pPr>
      <w:spacing w:after="150" w:line="240" w:lineRule="auto"/>
    </w:pPr>
    <w:rPr>
      <w:rFonts w:ascii="Times New Roman" w:eastAsia="Times New Roman" w:hAnsi="Times New Roman" w:cs="Times New Roman"/>
      <w:sz w:val="24"/>
      <w:szCs w:val="24"/>
      <w:lang w:eastAsia="ca-ES"/>
    </w:rPr>
  </w:style>
  <w:style w:type="character" w:styleId="Hipervnculo">
    <w:name w:val="Hyperlink"/>
    <w:basedOn w:val="Fuentedeprrafopredeter"/>
    <w:unhideWhenUsed/>
    <w:rsid w:val="006F079F"/>
    <w:rPr>
      <w:color w:val="0563C1" w:themeColor="hyperlink"/>
      <w:u w:val="single"/>
    </w:rPr>
  </w:style>
  <w:style w:type="paragraph" w:styleId="Prrafodelista">
    <w:name w:val="List Paragraph"/>
    <w:basedOn w:val="Normal"/>
    <w:uiPriority w:val="34"/>
    <w:qFormat/>
    <w:rsid w:val="00DD7207"/>
    <w:pPr>
      <w:ind w:left="720"/>
      <w:contextualSpacing/>
    </w:pPr>
  </w:style>
  <w:style w:type="character" w:styleId="Nmerodepgina">
    <w:name w:val="page number"/>
    <w:basedOn w:val="Fuentedeprrafopredeter"/>
    <w:rsid w:val="003F4375"/>
  </w:style>
  <w:style w:type="paragraph" w:styleId="Textoindependiente">
    <w:name w:val="Body Text"/>
    <w:basedOn w:val="Normal"/>
    <w:link w:val="TextoindependienteCar"/>
    <w:rsid w:val="003F4375"/>
    <w:pPr>
      <w:spacing w:after="0" w:line="240" w:lineRule="auto"/>
      <w:jc w:val="both"/>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rsid w:val="003F4375"/>
    <w:rPr>
      <w:rFonts w:ascii="Arial" w:eastAsia="Times New Roman" w:hAnsi="Arial" w:cs="Times New Roman"/>
      <w:szCs w:val="20"/>
      <w:lang w:eastAsia="es-ES"/>
    </w:rPr>
  </w:style>
  <w:style w:type="paragraph" w:styleId="Textoindependiente2">
    <w:name w:val="Body Text 2"/>
    <w:basedOn w:val="Normal"/>
    <w:link w:val="Textoindependiente2Car"/>
    <w:rsid w:val="003F4375"/>
    <w:pPr>
      <w:spacing w:after="0" w:line="240" w:lineRule="auto"/>
    </w:pPr>
    <w:rPr>
      <w:rFonts w:ascii="Arial" w:eastAsia="Times New Roman" w:hAnsi="Arial" w:cs="Times New Roman"/>
      <w:sz w:val="24"/>
      <w:szCs w:val="20"/>
      <w:lang w:eastAsia="es-ES"/>
    </w:rPr>
  </w:style>
  <w:style w:type="character" w:customStyle="1" w:styleId="Textoindependiente2Car">
    <w:name w:val="Texto independiente 2 Car"/>
    <w:basedOn w:val="Fuentedeprrafopredeter"/>
    <w:link w:val="Textoindependiente2"/>
    <w:rsid w:val="003F4375"/>
    <w:rPr>
      <w:rFonts w:ascii="Arial" w:eastAsia="Times New Roman" w:hAnsi="Arial" w:cs="Times New Roman"/>
      <w:sz w:val="24"/>
      <w:szCs w:val="20"/>
      <w:lang w:eastAsia="es-ES"/>
    </w:rPr>
  </w:style>
  <w:style w:type="paragraph" w:styleId="Textoindependiente3">
    <w:name w:val="Body Text 3"/>
    <w:basedOn w:val="Normal"/>
    <w:link w:val="Textoindependiente3Car"/>
    <w:rsid w:val="003F4375"/>
    <w:pPr>
      <w:spacing w:after="0" w:line="240" w:lineRule="auto"/>
      <w:jc w:val="both"/>
    </w:pPr>
    <w:rPr>
      <w:rFonts w:ascii="Arial" w:eastAsia="Times New Roman" w:hAnsi="Arial" w:cs="Times New Roman"/>
      <w:b/>
      <w:snapToGrid w:val="0"/>
      <w:szCs w:val="20"/>
      <w:lang w:eastAsia="es-ES"/>
    </w:rPr>
  </w:style>
  <w:style w:type="character" w:customStyle="1" w:styleId="Textoindependiente3Car">
    <w:name w:val="Texto independiente 3 Car"/>
    <w:basedOn w:val="Fuentedeprrafopredeter"/>
    <w:link w:val="Textoindependiente3"/>
    <w:uiPriority w:val="99"/>
    <w:rsid w:val="003F4375"/>
    <w:rPr>
      <w:rFonts w:ascii="Arial" w:eastAsia="Times New Roman" w:hAnsi="Arial" w:cs="Times New Roman"/>
      <w:b/>
      <w:snapToGrid w:val="0"/>
      <w:szCs w:val="20"/>
      <w:lang w:eastAsia="es-ES"/>
    </w:rPr>
  </w:style>
  <w:style w:type="paragraph" w:customStyle="1" w:styleId="Textodenotaalfinal">
    <w:name w:val="Texto de nota al final"/>
    <w:basedOn w:val="Normal"/>
    <w:rsid w:val="003F4375"/>
    <w:pPr>
      <w:widowControl w:val="0"/>
      <w:spacing w:after="0" w:line="240" w:lineRule="auto"/>
    </w:pPr>
    <w:rPr>
      <w:rFonts w:ascii="Times New Roman" w:eastAsia="Times New Roman" w:hAnsi="Times New Roman" w:cs="Times New Roman"/>
      <w:snapToGrid w:val="0"/>
      <w:sz w:val="24"/>
      <w:szCs w:val="20"/>
      <w:lang w:eastAsia="es-ES"/>
    </w:rPr>
  </w:style>
  <w:style w:type="paragraph" w:styleId="Sangradetextonormal">
    <w:name w:val="Body Text Indent"/>
    <w:basedOn w:val="Normal"/>
    <w:link w:val="SangradetextonormalCar"/>
    <w:rsid w:val="003F4375"/>
    <w:pPr>
      <w:spacing w:after="0" w:line="240" w:lineRule="auto"/>
      <w:ind w:left="708"/>
    </w:pPr>
    <w:rPr>
      <w:rFonts w:ascii="Arial" w:eastAsia="Times New Roman" w:hAnsi="Arial" w:cs="Times New Roman"/>
      <w:szCs w:val="20"/>
      <w:lang w:eastAsia="es-ES"/>
    </w:rPr>
  </w:style>
  <w:style w:type="character" w:customStyle="1" w:styleId="SangradetextonormalCar">
    <w:name w:val="Sangría de texto normal Car"/>
    <w:basedOn w:val="Fuentedeprrafopredeter"/>
    <w:link w:val="Sangradetextonormal"/>
    <w:rsid w:val="003F4375"/>
    <w:rPr>
      <w:rFonts w:ascii="Arial" w:eastAsia="Times New Roman" w:hAnsi="Arial" w:cs="Times New Roman"/>
      <w:szCs w:val="20"/>
      <w:lang w:eastAsia="es-ES"/>
    </w:rPr>
  </w:style>
  <w:style w:type="paragraph" w:styleId="Textodebloque">
    <w:name w:val="Block Text"/>
    <w:basedOn w:val="Normal"/>
    <w:rsid w:val="003F4375"/>
    <w:pPr>
      <w:spacing w:after="0" w:line="240" w:lineRule="auto"/>
      <w:ind w:left="-142" w:right="-285"/>
    </w:pPr>
    <w:rPr>
      <w:rFonts w:ascii="Arial" w:eastAsia="Times New Roman" w:hAnsi="Arial" w:cs="Times New Roman"/>
      <w:sz w:val="20"/>
      <w:szCs w:val="20"/>
      <w:lang w:eastAsia="es-ES"/>
    </w:rPr>
  </w:style>
  <w:style w:type="paragraph" w:customStyle="1" w:styleId="Estndar">
    <w:name w:val="Estándar"/>
    <w:rsid w:val="003F4375"/>
    <w:pPr>
      <w:spacing w:after="0" w:line="240" w:lineRule="auto"/>
      <w:jc w:val="both"/>
    </w:pPr>
    <w:rPr>
      <w:rFonts w:ascii="Helv" w:eastAsia="Times New Roman" w:hAnsi="Helv" w:cs="Times New Roman"/>
      <w:snapToGrid w:val="0"/>
      <w:color w:val="000000"/>
      <w:szCs w:val="20"/>
      <w:lang w:val="es-ES" w:eastAsia="ca-ES"/>
    </w:rPr>
  </w:style>
  <w:style w:type="paragraph" w:customStyle="1" w:styleId="Sangrat">
    <w:name w:val="Sangrat"/>
    <w:rsid w:val="003F4375"/>
    <w:pPr>
      <w:spacing w:after="0" w:line="240" w:lineRule="auto"/>
      <w:ind w:left="963" w:hanging="963"/>
      <w:jc w:val="both"/>
    </w:pPr>
    <w:rPr>
      <w:rFonts w:ascii="Helv" w:eastAsia="Times New Roman" w:hAnsi="Helv" w:cs="Times New Roman"/>
      <w:snapToGrid w:val="0"/>
      <w:color w:val="000000"/>
      <w:szCs w:val="20"/>
      <w:lang w:val="es-ES" w:eastAsia="ca-ES"/>
    </w:rPr>
  </w:style>
  <w:style w:type="paragraph" w:customStyle="1" w:styleId="Gui">
    <w:name w:val="Guió"/>
    <w:basedOn w:val="Normal"/>
    <w:rsid w:val="003F4375"/>
    <w:pPr>
      <w:numPr>
        <w:numId w:val="4"/>
      </w:numPr>
      <w:spacing w:after="0" w:line="360" w:lineRule="auto"/>
      <w:ind w:left="1037" w:hanging="357"/>
      <w:jc w:val="both"/>
    </w:pPr>
    <w:rPr>
      <w:rFonts w:ascii="Helvetica" w:eastAsia="Times New Roman" w:hAnsi="Helvetica" w:cs="Times New Roman"/>
      <w:szCs w:val="20"/>
      <w:lang w:eastAsia="es-ES"/>
    </w:rPr>
  </w:style>
  <w:style w:type="paragraph" w:customStyle="1" w:styleId="Topo">
    <w:name w:val="Topo"/>
    <w:basedOn w:val="Normal"/>
    <w:rsid w:val="003F4375"/>
    <w:pPr>
      <w:numPr>
        <w:numId w:val="5"/>
      </w:numPr>
      <w:spacing w:after="0" w:line="360" w:lineRule="auto"/>
      <w:jc w:val="both"/>
    </w:pPr>
    <w:rPr>
      <w:rFonts w:ascii="Helvetica" w:eastAsia="Times New Roman" w:hAnsi="Helvetica" w:cs="Times New Roman"/>
      <w:szCs w:val="20"/>
      <w:lang w:eastAsia="es-ES"/>
    </w:rPr>
  </w:style>
  <w:style w:type="paragraph" w:customStyle="1" w:styleId="Topo1">
    <w:name w:val="Topo 1"/>
    <w:basedOn w:val="Normal"/>
    <w:rsid w:val="003F4375"/>
    <w:pPr>
      <w:numPr>
        <w:numId w:val="6"/>
      </w:numPr>
      <w:spacing w:after="0" w:line="360" w:lineRule="auto"/>
      <w:ind w:left="624" w:hanging="284"/>
      <w:jc w:val="both"/>
    </w:pPr>
    <w:rPr>
      <w:rFonts w:ascii="Helvetica" w:eastAsia="Times New Roman" w:hAnsi="Helvetica" w:cs="Times New Roman"/>
      <w:szCs w:val="20"/>
      <w:lang w:eastAsia="es-ES"/>
    </w:rPr>
  </w:style>
  <w:style w:type="paragraph" w:customStyle="1" w:styleId="TopoNo">
    <w:name w:val="Topo No"/>
    <w:basedOn w:val="Normal"/>
    <w:rsid w:val="003F4375"/>
    <w:pPr>
      <w:numPr>
        <w:numId w:val="7"/>
      </w:numPr>
      <w:spacing w:after="0" w:line="480" w:lineRule="auto"/>
      <w:jc w:val="both"/>
    </w:pPr>
    <w:rPr>
      <w:rFonts w:ascii="Helvetica" w:eastAsia="Times New Roman" w:hAnsi="Helvetica" w:cs="Times New Roman"/>
      <w:szCs w:val="20"/>
      <w:lang w:eastAsia="es-ES"/>
    </w:rPr>
  </w:style>
  <w:style w:type="paragraph" w:customStyle="1" w:styleId="TopoS">
    <w:name w:val="Topo Sí"/>
    <w:basedOn w:val="Normal"/>
    <w:rsid w:val="003F4375"/>
    <w:pPr>
      <w:numPr>
        <w:numId w:val="8"/>
      </w:numPr>
      <w:spacing w:after="0" w:line="480" w:lineRule="auto"/>
      <w:ind w:left="357" w:hanging="357"/>
      <w:jc w:val="both"/>
    </w:pPr>
    <w:rPr>
      <w:rFonts w:ascii="Helvetica" w:eastAsia="Times New Roman" w:hAnsi="Helvetica" w:cs="Times New Roman"/>
      <w:szCs w:val="20"/>
      <w:lang w:eastAsia="es-ES"/>
    </w:rPr>
  </w:style>
  <w:style w:type="paragraph" w:styleId="Mapadeldocumento">
    <w:name w:val="Document Map"/>
    <w:basedOn w:val="Normal"/>
    <w:link w:val="MapadeldocumentoCar"/>
    <w:semiHidden/>
    <w:rsid w:val="003F4375"/>
    <w:pPr>
      <w:shd w:val="clear" w:color="auto" w:fill="000080"/>
      <w:spacing w:after="0" w:line="240" w:lineRule="auto"/>
    </w:pPr>
    <w:rPr>
      <w:rFonts w:ascii="Tahoma" w:eastAsia="Times New Roman" w:hAnsi="Tahoma" w:cs="Times New Roman"/>
      <w:szCs w:val="20"/>
      <w:lang w:eastAsia="es-ES"/>
    </w:rPr>
  </w:style>
  <w:style w:type="character" w:customStyle="1" w:styleId="MapadeldocumentoCar">
    <w:name w:val="Mapa del documento Car"/>
    <w:basedOn w:val="Fuentedeprrafopredeter"/>
    <w:link w:val="Mapadeldocumento"/>
    <w:semiHidden/>
    <w:rsid w:val="003F4375"/>
    <w:rPr>
      <w:rFonts w:ascii="Tahoma" w:eastAsia="Times New Roman" w:hAnsi="Tahoma" w:cs="Times New Roman"/>
      <w:szCs w:val="20"/>
      <w:shd w:val="clear" w:color="auto" w:fill="000080"/>
      <w:lang w:eastAsia="es-ES"/>
    </w:rPr>
  </w:style>
  <w:style w:type="paragraph" w:styleId="Textodeglobo">
    <w:name w:val="Balloon Text"/>
    <w:basedOn w:val="Normal"/>
    <w:link w:val="TextodegloboCar"/>
    <w:semiHidden/>
    <w:rsid w:val="003F4375"/>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semiHidden/>
    <w:rsid w:val="003F4375"/>
    <w:rPr>
      <w:rFonts w:ascii="Tahoma" w:eastAsia="Times New Roman" w:hAnsi="Tahoma" w:cs="Tahoma"/>
      <w:sz w:val="16"/>
      <w:szCs w:val="16"/>
      <w:lang w:eastAsia="es-ES"/>
    </w:rPr>
  </w:style>
  <w:style w:type="table" w:styleId="Tablaconcuadrcula">
    <w:name w:val="Table Grid"/>
    <w:basedOn w:val="Tablanormal"/>
    <w:rsid w:val="003F4375"/>
    <w:pPr>
      <w:spacing w:after="0" w:line="240" w:lineRule="auto"/>
    </w:pPr>
    <w:rPr>
      <w:rFonts w:ascii="Times New Roman" w:eastAsia="Times New Roman" w:hAnsi="Times New Roman" w:cs="Times New Roman"/>
      <w:sz w:val="20"/>
      <w:szCs w:val="20"/>
      <w:lang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B3A89"/>
  </w:style>
  <w:style w:type="character" w:styleId="Refdecomentario">
    <w:name w:val="annotation reference"/>
    <w:rsid w:val="005F5243"/>
    <w:rPr>
      <w:sz w:val="16"/>
      <w:szCs w:val="16"/>
    </w:rPr>
  </w:style>
  <w:style w:type="paragraph" w:styleId="Textocomentario">
    <w:name w:val="annotation text"/>
    <w:basedOn w:val="Normal"/>
    <w:link w:val="TextocomentarioCar"/>
    <w:rsid w:val="005F5243"/>
    <w:pPr>
      <w:spacing w:after="0" w:line="240" w:lineRule="auto"/>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5F5243"/>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rsid w:val="005F5243"/>
    <w:rPr>
      <w:b/>
      <w:bCs/>
    </w:rPr>
  </w:style>
  <w:style w:type="character" w:customStyle="1" w:styleId="AsuntodelcomentarioCar">
    <w:name w:val="Asunto del comentario Car"/>
    <w:basedOn w:val="TextocomentarioCar"/>
    <w:link w:val="Asuntodelcomentario"/>
    <w:rsid w:val="005F5243"/>
    <w:rPr>
      <w:rFonts w:ascii="Arial" w:eastAsia="Times New Roman" w:hAnsi="Arial" w:cs="Times New Roman"/>
      <w:b/>
      <w:bCs/>
      <w:sz w:val="20"/>
      <w:szCs w:val="20"/>
      <w:lang w:eastAsia="es-ES"/>
    </w:rPr>
  </w:style>
  <w:style w:type="paragraph" w:styleId="Sangra2detindependiente">
    <w:name w:val="Body Text Indent 2"/>
    <w:basedOn w:val="Normal"/>
    <w:link w:val="Sangra2detindependienteCar"/>
    <w:rsid w:val="005F5243"/>
    <w:pPr>
      <w:spacing w:after="120" w:line="480" w:lineRule="auto"/>
      <w:ind w:left="283"/>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F5243"/>
    <w:rPr>
      <w:rFonts w:ascii="Arial" w:eastAsia="Times New Roman" w:hAnsi="Arial" w:cs="Times New Roman"/>
      <w:szCs w:val="20"/>
      <w:lang w:eastAsia="es-ES"/>
    </w:rPr>
  </w:style>
  <w:style w:type="character" w:styleId="Hipervnculovisitado">
    <w:name w:val="FollowedHyperlink"/>
    <w:rsid w:val="005F5243"/>
    <w:rPr>
      <w:color w:val="800080"/>
      <w:u w:val="single"/>
    </w:rPr>
  </w:style>
  <w:style w:type="paragraph" w:customStyle="1" w:styleId="Default">
    <w:name w:val="Default"/>
    <w:rsid w:val="00FE34C4"/>
    <w:pPr>
      <w:autoSpaceDE w:val="0"/>
      <w:autoSpaceDN w:val="0"/>
      <w:adjustRightInd w:val="0"/>
      <w:spacing w:after="0" w:line="240" w:lineRule="auto"/>
    </w:pPr>
    <w:rPr>
      <w:rFonts w:ascii="Arial" w:eastAsia="Times New Roman" w:hAnsi="Arial" w:cs="Arial"/>
      <w:color w:val="000000"/>
      <w:sz w:val="24"/>
      <w:szCs w:val="24"/>
      <w:lang w:eastAsia="ca-ES"/>
    </w:rPr>
  </w:style>
  <w:style w:type="character" w:styleId="Textoennegrita">
    <w:name w:val="Strong"/>
    <w:uiPriority w:val="22"/>
    <w:qFormat/>
    <w:rsid w:val="00FE34C4"/>
    <w:rPr>
      <w:b/>
      <w:bCs/>
    </w:rPr>
  </w:style>
  <w:style w:type="paragraph" w:customStyle="1" w:styleId="H1">
    <w:name w:val="H1"/>
    <w:basedOn w:val="Normal"/>
    <w:next w:val="Normal"/>
    <w:rsid w:val="00FE34C4"/>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lang w:val="es-ES" w:eastAsia="ca-ES"/>
    </w:rPr>
  </w:style>
  <w:style w:type="character" w:styleId="nfasis">
    <w:name w:val="Emphasis"/>
    <w:uiPriority w:val="20"/>
    <w:qFormat/>
    <w:rsid w:val="00FE34C4"/>
    <w:rPr>
      <w:i/>
      <w:iCs/>
    </w:rPr>
  </w:style>
  <w:style w:type="character" w:customStyle="1" w:styleId="body">
    <w:name w:val="body"/>
    <w:rsid w:val="00FE34C4"/>
  </w:style>
  <w:style w:type="character" w:styleId="Refdenotaalpie">
    <w:name w:val="footnote reference"/>
    <w:semiHidden/>
    <w:rsid w:val="00441998"/>
    <w:rPr>
      <w:vertAlign w:val="superscript"/>
    </w:rPr>
  </w:style>
  <w:style w:type="paragraph" w:styleId="Textonotapie">
    <w:name w:val="footnote text"/>
    <w:basedOn w:val="Normal"/>
    <w:link w:val="TextonotapieCar"/>
    <w:semiHidden/>
    <w:rsid w:val="00441998"/>
    <w:pPr>
      <w:spacing w:after="0" w:line="240" w:lineRule="auto"/>
    </w:pPr>
    <w:rPr>
      <w:rFonts w:ascii="Arial" w:eastAsia="Times New Roman" w:hAnsi="Arial" w:cs="Times New Roman"/>
      <w:color w:val="000000"/>
      <w:sz w:val="20"/>
      <w:szCs w:val="20"/>
      <w:lang w:eastAsia="ca-ES"/>
    </w:rPr>
  </w:style>
  <w:style w:type="character" w:customStyle="1" w:styleId="TextonotapieCar">
    <w:name w:val="Texto nota pie Car"/>
    <w:basedOn w:val="Fuentedeprrafopredeter"/>
    <w:link w:val="Textonotapie"/>
    <w:semiHidden/>
    <w:rsid w:val="00441998"/>
    <w:rPr>
      <w:rFonts w:ascii="Arial" w:eastAsia="Times New Roman" w:hAnsi="Arial" w:cs="Times New Roman"/>
      <w:color w:val="000000"/>
      <w:sz w:val="20"/>
      <w:szCs w:val="20"/>
      <w:lang w:eastAsia="ca-ES"/>
    </w:rPr>
  </w:style>
  <w:style w:type="paragraph" w:styleId="Listaconvietas2">
    <w:name w:val="List Bullet 2"/>
    <w:basedOn w:val="Normal"/>
    <w:autoRedefine/>
    <w:rsid w:val="00441998"/>
    <w:pPr>
      <w:numPr>
        <w:numId w:val="1"/>
      </w:numPr>
      <w:spacing w:after="0" w:line="240" w:lineRule="auto"/>
    </w:pPr>
    <w:rPr>
      <w:rFonts w:ascii="Arial" w:eastAsia="Times New Roman" w:hAnsi="Arial" w:cs="Times New Roman"/>
      <w:szCs w:val="20"/>
      <w:lang w:eastAsia="ca-ES"/>
    </w:rPr>
  </w:style>
  <w:style w:type="paragraph" w:styleId="Revisin">
    <w:name w:val="Revision"/>
    <w:hidden/>
    <w:uiPriority w:val="99"/>
    <w:semiHidden/>
    <w:rsid w:val="00441998"/>
    <w:pPr>
      <w:spacing w:after="0" w:line="240" w:lineRule="auto"/>
    </w:pPr>
    <w:rPr>
      <w:rFonts w:ascii="Arial" w:eastAsia="Times New Roman" w:hAnsi="Arial" w:cs="Times New Roman"/>
      <w:szCs w:val="20"/>
      <w:lang w:eastAsia="es-ES"/>
    </w:rPr>
  </w:style>
  <w:style w:type="paragraph" w:styleId="Lista">
    <w:name w:val="List"/>
    <w:basedOn w:val="Normal"/>
    <w:rsid w:val="00441998"/>
    <w:pPr>
      <w:spacing w:after="0" w:line="360" w:lineRule="auto"/>
      <w:ind w:left="283" w:hanging="283"/>
      <w:jc w:val="both"/>
    </w:pPr>
    <w:rPr>
      <w:rFonts w:ascii="Arial" w:eastAsia="Times New Roman" w:hAnsi="Arial" w:cs="Times New Roman"/>
      <w:sz w:val="18"/>
      <w:szCs w:val="20"/>
      <w:lang w:eastAsia="ca-ES"/>
    </w:rPr>
  </w:style>
  <w:style w:type="paragraph" w:customStyle="1" w:styleId="Angls">
    <w:name w:val="Anglès"/>
    <w:basedOn w:val="Normal"/>
    <w:rsid w:val="00441998"/>
    <w:pPr>
      <w:spacing w:after="0" w:line="360" w:lineRule="auto"/>
      <w:jc w:val="both"/>
    </w:pPr>
    <w:rPr>
      <w:rFonts w:ascii="Arial" w:eastAsia="Times New Roman" w:hAnsi="Arial" w:cs="Times New Roman"/>
      <w:sz w:val="18"/>
      <w:szCs w:val="20"/>
      <w:lang w:val="en-US" w:eastAsia="ca-ES"/>
    </w:rPr>
  </w:style>
  <w:style w:type="paragraph" w:styleId="Continuarlista2">
    <w:name w:val="List Continue 2"/>
    <w:basedOn w:val="Normal"/>
    <w:rsid w:val="00441998"/>
    <w:pPr>
      <w:spacing w:after="120" w:line="360" w:lineRule="auto"/>
      <w:ind w:left="566"/>
      <w:jc w:val="both"/>
    </w:pPr>
    <w:rPr>
      <w:rFonts w:ascii="Arial" w:eastAsia="Times New Roman" w:hAnsi="Arial" w:cs="Times New Roman"/>
      <w:sz w:val="18"/>
      <w:szCs w:val="20"/>
      <w:lang w:eastAsia="ca-ES"/>
    </w:rPr>
  </w:style>
  <w:style w:type="paragraph" w:styleId="Listaconvietas">
    <w:name w:val="List Bullet"/>
    <w:basedOn w:val="Normal"/>
    <w:autoRedefine/>
    <w:rsid w:val="00441998"/>
    <w:pPr>
      <w:numPr>
        <w:numId w:val="74"/>
      </w:numPr>
      <w:spacing w:after="0" w:line="360" w:lineRule="auto"/>
      <w:jc w:val="both"/>
    </w:pPr>
    <w:rPr>
      <w:rFonts w:ascii="Arial" w:eastAsia="Times New Roman" w:hAnsi="Arial" w:cs="Times New Roman"/>
      <w:sz w:val="18"/>
      <w:szCs w:val="20"/>
      <w:lang w:eastAsia="ca-ES"/>
    </w:rPr>
  </w:style>
  <w:style w:type="paragraph" w:customStyle="1" w:styleId="judit">
    <w:name w:val="judit"/>
    <w:basedOn w:val="Normal"/>
    <w:rsid w:val="00441998"/>
    <w:pPr>
      <w:spacing w:after="0" w:line="360" w:lineRule="auto"/>
      <w:jc w:val="both"/>
    </w:pPr>
    <w:rPr>
      <w:rFonts w:ascii="Arial" w:eastAsia="Times New Roman" w:hAnsi="Arial" w:cs="Times New Roman"/>
      <w:sz w:val="24"/>
      <w:szCs w:val="20"/>
      <w:lang w:eastAsia="ca-ES"/>
    </w:rPr>
  </w:style>
  <w:style w:type="paragraph" w:customStyle="1" w:styleId="texto">
    <w:name w:val="texto"/>
    <w:basedOn w:val="Normal"/>
    <w:rsid w:val="00441998"/>
    <w:pPr>
      <w:spacing w:before="100" w:after="100" w:line="240" w:lineRule="auto"/>
      <w:ind w:firstLine="300"/>
      <w:jc w:val="both"/>
    </w:pPr>
    <w:rPr>
      <w:rFonts w:ascii="Georgia" w:eastAsia="Arial Unicode MS" w:hAnsi="Georgia" w:cs="Times New Roman"/>
      <w:color w:val="000000"/>
      <w:szCs w:val="20"/>
      <w:lang w:val="es-ES" w:eastAsia="ca-ES"/>
    </w:rPr>
  </w:style>
  <w:style w:type="character" w:customStyle="1" w:styleId="sup">
    <w:name w:val="sup"/>
    <w:basedOn w:val="Fuentedeprrafopredeter"/>
    <w:rsid w:val="00441998"/>
  </w:style>
  <w:style w:type="paragraph" w:customStyle="1" w:styleId="titolstaula">
    <w:name w:val="titols taula"/>
    <w:basedOn w:val="Normal"/>
    <w:rsid w:val="00441998"/>
    <w:pPr>
      <w:spacing w:after="0" w:line="240" w:lineRule="auto"/>
      <w:jc w:val="center"/>
    </w:pPr>
    <w:rPr>
      <w:rFonts w:ascii="Arial" w:eastAsia="Times New Roman" w:hAnsi="Arial" w:cs="Times New Roman"/>
      <w:b/>
      <w:noProof/>
      <w:sz w:val="16"/>
      <w:szCs w:val="20"/>
      <w:lang w:eastAsia="es-ES"/>
    </w:rPr>
  </w:style>
  <w:style w:type="paragraph" w:customStyle="1" w:styleId="taula">
    <w:name w:val="taula"/>
    <w:basedOn w:val="Normal"/>
    <w:rsid w:val="00441998"/>
    <w:pPr>
      <w:spacing w:after="0" w:line="240" w:lineRule="auto"/>
    </w:pPr>
    <w:rPr>
      <w:rFonts w:ascii="Arial" w:eastAsia="Times New Roman" w:hAnsi="Arial" w:cs="Times New Roman"/>
      <w:noProof/>
      <w:sz w:val="16"/>
      <w:szCs w:val="20"/>
      <w:lang w:eastAsia="es-ES"/>
    </w:rPr>
  </w:style>
  <w:style w:type="paragraph" w:customStyle="1" w:styleId="titol">
    <w:name w:val="titol"/>
    <w:basedOn w:val="Normal"/>
    <w:rsid w:val="00441998"/>
    <w:pPr>
      <w:spacing w:after="0" w:line="360" w:lineRule="auto"/>
      <w:jc w:val="center"/>
    </w:pPr>
    <w:rPr>
      <w:rFonts w:ascii="Arial" w:eastAsia="Times New Roman" w:hAnsi="Arial" w:cs="Times New Roman"/>
      <w:b/>
      <w:caps/>
      <w:noProof/>
      <w:sz w:val="18"/>
      <w:szCs w:val="20"/>
      <w:lang w:eastAsia="ca-ES"/>
    </w:rPr>
  </w:style>
  <w:style w:type="paragraph" w:customStyle="1" w:styleId="titolcontinuaci">
    <w:name w:val="titol (continuació)"/>
    <w:basedOn w:val="Normal"/>
    <w:rsid w:val="00441998"/>
    <w:pPr>
      <w:spacing w:after="0" w:line="360" w:lineRule="auto"/>
      <w:jc w:val="center"/>
    </w:pPr>
    <w:rPr>
      <w:rFonts w:ascii="Arial" w:eastAsia="Times New Roman" w:hAnsi="Arial" w:cs="Times New Roman"/>
      <w:b/>
      <w:caps/>
      <w:noProof/>
      <w:sz w:val="18"/>
      <w:szCs w:val="20"/>
      <w:lang w:eastAsia="ca-ES"/>
    </w:rPr>
  </w:style>
  <w:style w:type="character" w:customStyle="1" w:styleId="CarCar4">
    <w:name w:val="Car Car4"/>
    <w:locked/>
    <w:rsid w:val="00441998"/>
    <w:rPr>
      <w:rFonts w:ascii="Arial" w:hAnsi="Arial" w:cs="Times New Roman"/>
      <w:sz w:val="20"/>
      <w:szCs w:val="20"/>
      <w:lang w:val="x-none" w:eastAsia="ca-ES"/>
    </w:rPr>
  </w:style>
  <w:style w:type="paragraph" w:styleId="Textosinformato">
    <w:name w:val="Plain Text"/>
    <w:basedOn w:val="Normal"/>
    <w:link w:val="TextosinformatoCar"/>
    <w:rsid w:val="0009331F"/>
    <w:pPr>
      <w:spacing w:after="0" w:line="240" w:lineRule="auto"/>
    </w:pPr>
    <w:rPr>
      <w:rFonts w:ascii="Courier New" w:eastAsia="Times New Roman" w:hAnsi="Courier New" w:cs="Courier New"/>
      <w:sz w:val="20"/>
      <w:szCs w:val="20"/>
      <w:lang w:eastAsia="ca-ES"/>
    </w:rPr>
  </w:style>
  <w:style w:type="character" w:customStyle="1" w:styleId="TextosinformatoCar">
    <w:name w:val="Texto sin formato Car"/>
    <w:basedOn w:val="Fuentedeprrafopredeter"/>
    <w:link w:val="Textosinformato"/>
    <w:rsid w:val="0009331F"/>
    <w:rPr>
      <w:rFonts w:ascii="Courier New" w:eastAsia="Times New Roman" w:hAnsi="Courier New" w:cs="Courier New"/>
      <w:sz w:val="20"/>
      <w:szCs w:val="20"/>
      <w:lang w:eastAsia="ca-ES"/>
    </w:rPr>
  </w:style>
  <w:style w:type="paragraph" w:customStyle="1" w:styleId="titulo2">
    <w:name w:val="titulo 2"/>
    <w:basedOn w:val="Normal"/>
    <w:rsid w:val="0009331F"/>
    <w:pPr>
      <w:widowControl w:val="0"/>
      <w:tabs>
        <w:tab w:val="left" w:pos="1134"/>
      </w:tabs>
      <w:spacing w:before="160" w:line="280" w:lineRule="atLeast"/>
      <w:jc w:val="both"/>
    </w:pPr>
    <w:rPr>
      <w:rFonts w:ascii="Times" w:eastAsia="Times New Roman" w:hAnsi="Times" w:cs="Times New Roman"/>
      <w:b/>
      <w:sz w:val="20"/>
      <w:szCs w:val="20"/>
      <w:lang w:val="es-ES_tradnl" w:eastAsia="es-ES"/>
    </w:rPr>
  </w:style>
  <w:style w:type="character" w:customStyle="1" w:styleId="unknown">
    <w:name w:val="unknown"/>
    <w:rsid w:val="0009331F"/>
    <w:rPr>
      <w:color w:val="FF0000"/>
    </w:rPr>
  </w:style>
  <w:style w:type="character" w:customStyle="1" w:styleId="alternative">
    <w:name w:val="alternative"/>
    <w:rsid w:val="0009331F"/>
    <w:rPr>
      <w:color w:val="008000"/>
    </w:rPr>
  </w:style>
  <w:style w:type="paragraph" w:styleId="z-Principiodelformulario">
    <w:name w:val="HTML Top of Form"/>
    <w:basedOn w:val="Normal"/>
    <w:next w:val="Normal"/>
    <w:link w:val="z-PrincipiodelformularioCar"/>
    <w:hidden/>
    <w:rsid w:val="0009331F"/>
    <w:pPr>
      <w:pBdr>
        <w:bottom w:val="single" w:sz="6" w:space="1" w:color="auto"/>
      </w:pBdr>
      <w:spacing w:after="0" w:line="240" w:lineRule="auto"/>
      <w:jc w:val="center"/>
    </w:pPr>
    <w:rPr>
      <w:rFonts w:ascii="Arial" w:eastAsia="Times New Roman" w:hAnsi="Arial" w:cs="Arial"/>
      <w:vanish/>
      <w:sz w:val="16"/>
      <w:szCs w:val="16"/>
      <w:lang w:eastAsia="ca-ES"/>
    </w:rPr>
  </w:style>
  <w:style w:type="character" w:customStyle="1" w:styleId="z-PrincipiodelformularioCar">
    <w:name w:val="z-Principio del formulario Car"/>
    <w:basedOn w:val="Fuentedeprrafopredeter"/>
    <w:link w:val="z-Principiodelformulario"/>
    <w:rsid w:val="0009331F"/>
    <w:rPr>
      <w:rFonts w:ascii="Arial" w:eastAsia="Times New Roman" w:hAnsi="Arial" w:cs="Arial"/>
      <w:vanish/>
      <w:sz w:val="16"/>
      <w:szCs w:val="16"/>
      <w:lang w:eastAsia="ca-ES"/>
    </w:rPr>
  </w:style>
  <w:style w:type="character" w:customStyle="1" w:styleId="tranfield1">
    <w:name w:val="tran_field1"/>
    <w:basedOn w:val="Fuentedeprrafopredeter"/>
    <w:rsid w:val="0009331F"/>
  </w:style>
  <w:style w:type="paragraph" w:styleId="z-Finaldelformulario">
    <w:name w:val="HTML Bottom of Form"/>
    <w:basedOn w:val="Normal"/>
    <w:next w:val="Normal"/>
    <w:link w:val="z-FinaldelformularioCar"/>
    <w:hidden/>
    <w:rsid w:val="0009331F"/>
    <w:pPr>
      <w:pBdr>
        <w:top w:val="single" w:sz="6" w:space="1" w:color="auto"/>
      </w:pBdr>
      <w:spacing w:after="0" w:line="240" w:lineRule="auto"/>
      <w:jc w:val="center"/>
    </w:pPr>
    <w:rPr>
      <w:rFonts w:ascii="Arial" w:eastAsia="Times New Roman" w:hAnsi="Arial" w:cs="Arial"/>
      <w:vanish/>
      <w:sz w:val="16"/>
      <w:szCs w:val="16"/>
      <w:lang w:eastAsia="ca-ES"/>
    </w:rPr>
  </w:style>
  <w:style w:type="character" w:customStyle="1" w:styleId="z-FinaldelformularioCar">
    <w:name w:val="z-Final del formulario Car"/>
    <w:basedOn w:val="Fuentedeprrafopredeter"/>
    <w:link w:val="z-Finaldelformulario"/>
    <w:rsid w:val="0009331F"/>
    <w:rPr>
      <w:rFonts w:ascii="Arial" w:eastAsia="Times New Roman" w:hAnsi="Arial" w:cs="Arial"/>
      <w:vanish/>
      <w:sz w:val="16"/>
      <w:szCs w:val="16"/>
      <w:lang w:eastAsia="ca-ES"/>
    </w:rPr>
  </w:style>
  <w:style w:type="numbering" w:styleId="111111">
    <w:name w:val="Outline List 2"/>
    <w:basedOn w:val="Sinlista"/>
    <w:rsid w:val="0009331F"/>
    <w:pPr>
      <w:numPr>
        <w:numId w:val="121"/>
      </w:numPr>
    </w:pPr>
  </w:style>
  <w:style w:type="character" w:customStyle="1" w:styleId="hps">
    <w:name w:val="hps"/>
    <w:rsid w:val="0009331F"/>
  </w:style>
  <w:style w:type="paragraph" w:customStyle="1" w:styleId="Textindependent1">
    <w:name w:val="Text independent1"/>
    <w:rsid w:val="00A31A7F"/>
    <w:pPr>
      <w:spacing w:after="0" w:line="240" w:lineRule="auto"/>
    </w:pPr>
    <w:rPr>
      <w:rFonts w:ascii="CG Times" w:eastAsia="Times New Roman" w:hAnsi="CG Times" w:cs="Times New Roman"/>
      <w:color w:val="000000"/>
      <w:sz w:val="24"/>
      <w:szCs w:val="20"/>
      <w:lang w:val="en-US" w:eastAsia="es-ES"/>
    </w:rPr>
  </w:style>
  <w:style w:type="paragraph" w:styleId="Sinespaciado">
    <w:name w:val="No Spacing"/>
    <w:uiPriority w:val="1"/>
    <w:qFormat/>
    <w:rsid w:val="00394AE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Top of Form" w:uiPriority="0"/>
    <w:lsdException w:name="HTML Bottom of Form"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878"/>
  </w:style>
  <w:style w:type="paragraph" w:styleId="Ttulo1">
    <w:name w:val="heading 1"/>
    <w:basedOn w:val="Normal"/>
    <w:next w:val="Normal"/>
    <w:link w:val="Ttulo1Car"/>
    <w:uiPriority w:val="9"/>
    <w:qFormat/>
    <w:rsid w:val="003F437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semiHidden/>
    <w:unhideWhenUsed/>
    <w:qFormat/>
    <w:rsid w:val="006F07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3F43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3F437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F4375"/>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3F4375"/>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3F437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3F437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F437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437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6F079F"/>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3F4375"/>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3F4375"/>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3F4375"/>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3F4375"/>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3F4375"/>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3F4375"/>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F4375"/>
    <w:rPr>
      <w:rFonts w:asciiTheme="majorHAnsi" w:eastAsiaTheme="majorEastAsia" w:hAnsiTheme="majorHAnsi" w:cstheme="majorBidi"/>
      <w:i/>
      <w:iCs/>
      <w:color w:val="272727" w:themeColor="text1" w:themeTint="D8"/>
      <w:sz w:val="21"/>
      <w:szCs w:val="21"/>
    </w:rPr>
  </w:style>
  <w:style w:type="paragraph" w:styleId="Encabezado">
    <w:name w:val="header"/>
    <w:basedOn w:val="Normal"/>
    <w:link w:val="EncabezadoCar"/>
    <w:unhideWhenUsed/>
    <w:rsid w:val="006F079F"/>
    <w:pPr>
      <w:tabs>
        <w:tab w:val="center" w:pos="4252"/>
        <w:tab w:val="right" w:pos="8504"/>
      </w:tabs>
      <w:spacing w:after="0" w:line="240" w:lineRule="auto"/>
    </w:pPr>
  </w:style>
  <w:style w:type="character" w:customStyle="1" w:styleId="EncabezadoCar">
    <w:name w:val="Encabezado Car"/>
    <w:basedOn w:val="Fuentedeprrafopredeter"/>
    <w:link w:val="Encabezado"/>
    <w:rsid w:val="006F079F"/>
  </w:style>
  <w:style w:type="paragraph" w:styleId="Piedepgina">
    <w:name w:val="footer"/>
    <w:basedOn w:val="Normal"/>
    <w:link w:val="PiedepginaCar"/>
    <w:unhideWhenUsed/>
    <w:rsid w:val="006F079F"/>
    <w:pPr>
      <w:tabs>
        <w:tab w:val="center" w:pos="4252"/>
        <w:tab w:val="right" w:pos="8504"/>
      </w:tabs>
      <w:spacing w:after="0" w:line="240" w:lineRule="auto"/>
    </w:pPr>
  </w:style>
  <w:style w:type="character" w:customStyle="1" w:styleId="PiedepginaCar">
    <w:name w:val="Pie de página Car"/>
    <w:basedOn w:val="Fuentedeprrafopredeter"/>
    <w:link w:val="Piedepgina"/>
    <w:rsid w:val="006F079F"/>
  </w:style>
  <w:style w:type="paragraph" w:styleId="NormalWeb">
    <w:name w:val="Normal (Web)"/>
    <w:basedOn w:val="Normal"/>
    <w:uiPriority w:val="99"/>
    <w:unhideWhenUsed/>
    <w:rsid w:val="006F079F"/>
    <w:pPr>
      <w:spacing w:after="150" w:line="240" w:lineRule="auto"/>
    </w:pPr>
    <w:rPr>
      <w:rFonts w:ascii="Times New Roman" w:eastAsia="Times New Roman" w:hAnsi="Times New Roman" w:cs="Times New Roman"/>
      <w:sz w:val="24"/>
      <w:szCs w:val="24"/>
      <w:lang w:eastAsia="ca-ES"/>
    </w:rPr>
  </w:style>
  <w:style w:type="character" w:styleId="Hipervnculo">
    <w:name w:val="Hyperlink"/>
    <w:basedOn w:val="Fuentedeprrafopredeter"/>
    <w:unhideWhenUsed/>
    <w:rsid w:val="006F079F"/>
    <w:rPr>
      <w:color w:val="0563C1" w:themeColor="hyperlink"/>
      <w:u w:val="single"/>
    </w:rPr>
  </w:style>
  <w:style w:type="paragraph" w:styleId="Prrafodelista">
    <w:name w:val="List Paragraph"/>
    <w:basedOn w:val="Normal"/>
    <w:uiPriority w:val="34"/>
    <w:qFormat/>
    <w:rsid w:val="00DD7207"/>
    <w:pPr>
      <w:ind w:left="720"/>
      <w:contextualSpacing/>
    </w:pPr>
  </w:style>
  <w:style w:type="character" w:styleId="Nmerodepgina">
    <w:name w:val="page number"/>
    <w:basedOn w:val="Fuentedeprrafopredeter"/>
    <w:rsid w:val="003F4375"/>
  </w:style>
  <w:style w:type="paragraph" w:styleId="Textoindependiente">
    <w:name w:val="Body Text"/>
    <w:basedOn w:val="Normal"/>
    <w:link w:val="TextoindependienteCar"/>
    <w:rsid w:val="003F4375"/>
    <w:pPr>
      <w:spacing w:after="0" w:line="240" w:lineRule="auto"/>
      <w:jc w:val="both"/>
    </w:pPr>
    <w:rPr>
      <w:rFonts w:ascii="Arial" w:eastAsia="Times New Roman" w:hAnsi="Arial" w:cs="Times New Roman"/>
      <w:szCs w:val="20"/>
      <w:lang w:eastAsia="es-ES"/>
    </w:rPr>
  </w:style>
  <w:style w:type="character" w:customStyle="1" w:styleId="TextoindependienteCar">
    <w:name w:val="Texto independiente Car"/>
    <w:basedOn w:val="Fuentedeprrafopredeter"/>
    <w:link w:val="Textoindependiente"/>
    <w:rsid w:val="003F4375"/>
    <w:rPr>
      <w:rFonts w:ascii="Arial" w:eastAsia="Times New Roman" w:hAnsi="Arial" w:cs="Times New Roman"/>
      <w:szCs w:val="20"/>
      <w:lang w:eastAsia="es-ES"/>
    </w:rPr>
  </w:style>
  <w:style w:type="paragraph" w:styleId="Textoindependiente2">
    <w:name w:val="Body Text 2"/>
    <w:basedOn w:val="Normal"/>
    <w:link w:val="Textoindependiente2Car"/>
    <w:rsid w:val="003F4375"/>
    <w:pPr>
      <w:spacing w:after="0" w:line="240" w:lineRule="auto"/>
    </w:pPr>
    <w:rPr>
      <w:rFonts w:ascii="Arial" w:eastAsia="Times New Roman" w:hAnsi="Arial" w:cs="Times New Roman"/>
      <w:sz w:val="24"/>
      <w:szCs w:val="20"/>
      <w:lang w:eastAsia="es-ES"/>
    </w:rPr>
  </w:style>
  <w:style w:type="character" w:customStyle="1" w:styleId="Textoindependiente2Car">
    <w:name w:val="Texto independiente 2 Car"/>
    <w:basedOn w:val="Fuentedeprrafopredeter"/>
    <w:link w:val="Textoindependiente2"/>
    <w:rsid w:val="003F4375"/>
    <w:rPr>
      <w:rFonts w:ascii="Arial" w:eastAsia="Times New Roman" w:hAnsi="Arial" w:cs="Times New Roman"/>
      <w:sz w:val="24"/>
      <w:szCs w:val="20"/>
      <w:lang w:eastAsia="es-ES"/>
    </w:rPr>
  </w:style>
  <w:style w:type="paragraph" w:styleId="Textoindependiente3">
    <w:name w:val="Body Text 3"/>
    <w:basedOn w:val="Normal"/>
    <w:link w:val="Textoindependiente3Car"/>
    <w:rsid w:val="003F4375"/>
    <w:pPr>
      <w:spacing w:after="0" w:line="240" w:lineRule="auto"/>
      <w:jc w:val="both"/>
    </w:pPr>
    <w:rPr>
      <w:rFonts w:ascii="Arial" w:eastAsia="Times New Roman" w:hAnsi="Arial" w:cs="Times New Roman"/>
      <w:b/>
      <w:snapToGrid w:val="0"/>
      <w:szCs w:val="20"/>
      <w:lang w:eastAsia="es-ES"/>
    </w:rPr>
  </w:style>
  <w:style w:type="character" w:customStyle="1" w:styleId="Textoindependiente3Car">
    <w:name w:val="Texto independiente 3 Car"/>
    <w:basedOn w:val="Fuentedeprrafopredeter"/>
    <w:link w:val="Textoindependiente3"/>
    <w:uiPriority w:val="99"/>
    <w:rsid w:val="003F4375"/>
    <w:rPr>
      <w:rFonts w:ascii="Arial" w:eastAsia="Times New Roman" w:hAnsi="Arial" w:cs="Times New Roman"/>
      <w:b/>
      <w:snapToGrid w:val="0"/>
      <w:szCs w:val="20"/>
      <w:lang w:eastAsia="es-ES"/>
    </w:rPr>
  </w:style>
  <w:style w:type="paragraph" w:customStyle="1" w:styleId="Textodenotaalfinal">
    <w:name w:val="Texto de nota al final"/>
    <w:basedOn w:val="Normal"/>
    <w:rsid w:val="003F4375"/>
    <w:pPr>
      <w:widowControl w:val="0"/>
      <w:spacing w:after="0" w:line="240" w:lineRule="auto"/>
    </w:pPr>
    <w:rPr>
      <w:rFonts w:ascii="Times New Roman" w:eastAsia="Times New Roman" w:hAnsi="Times New Roman" w:cs="Times New Roman"/>
      <w:snapToGrid w:val="0"/>
      <w:sz w:val="24"/>
      <w:szCs w:val="20"/>
      <w:lang w:eastAsia="es-ES"/>
    </w:rPr>
  </w:style>
  <w:style w:type="paragraph" w:styleId="Sangradetextonormal">
    <w:name w:val="Body Text Indent"/>
    <w:basedOn w:val="Normal"/>
    <w:link w:val="SangradetextonormalCar"/>
    <w:rsid w:val="003F4375"/>
    <w:pPr>
      <w:spacing w:after="0" w:line="240" w:lineRule="auto"/>
      <w:ind w:left="708"/>
    </w:pPr>
    <w:rPr>
      <w:rFonts w:ascii="Arial" w:eastAsia="Times New Roman" w:hAnsi="Arial" w:cs="Times New Roman"/>
      <w:szCs w:val="20"/>
      <w:lang w:eastAsia="es-ES"/>
    </w:rPr>
  </w:style>
  <w:style w:type="character" w:customStyle="1" w:styleId="SangradetextonormalCar">
    <w:name w:val="Sangría de texto normal Car"/>
    <w:basedOn w:val="Fuentedeprrafopredeter"/>
    <w:link w:val="Sangradetextonormal"/>
    <w:rsid w:val="003F4375"/>
    <w:rPr>
      <w:rFonts w:ascii="Arial" w:eastAsia="Times New Roman" w:hAnsi="Arial" w:cs="Times New Roman"/>
      <w:szCs w:val="20"/>
      <w:lang w:eastAsia="es-ES"/>
    </w:rPr>
  </w:style>
  <w:style w:type="paragraph" w:styleId="Textodebloque">
    <w:name w:val="Block Text"/>
    <w:basedOn w:val="Normal"/>
    <w:rsid w:val="003F4375"/>
    <w:pPr>
      <w:spacing w:after="0" w:line="240" w:lineRule="auto"/>
      <w:ind w:left="-142" w:right="-285"/>
    </w:pPr>
    <w:rPr>
      <w:rFonts w:ascii="Arial" w:eastAsia="Times New Roman" w:hAnsi="Arial" w:cs="Times New Roman"/>
      <w:sz w:val="20"/>
      <w:szCs w:val="20"/>
      <w:lang w:eastAsia="es-ES"/>
    </w:rPr>
  </w:style>
  <w:style w:type="paragraph" w:customStyle="1" w:styleId="Estndar">
    <w:name w:val="Estándar"/>
    <w:rsid w:val="003F4375"/>
    <w:pPr>
      <w:spacing w:after="0" w:line="240" w:lineRule="auto"/>
      <w:jc w:val="both"/>
    </w:pPr>
    <w:rPr>
      <w:rFonts w:ascii="Helv" w:eastAsia="Times New Roman" w:hAnsi="Helv" w:cs="Times New Roman"/>
      <w:snapToGrid w:val="0"/>
      <w:color w:val="000000"/>
      <w:szCs w:val="20"/>
      <w:lang w:val="es-ES" w:eastAsia="ca-ES"/>
    </w:rPr>
  </w:style>
  <w:style w:type="paragraph" w:customStyle="1" w:styleId="Sangrat">
    <w:name w:val="Sangrat"/>
    <w:rsid w:val="003F4375"/>
    <w:pPr>
      <w:spacing w:after="0" w:line="240" w:lineRule="auto"/>
      <w:ind w:left="963" w:hanging="963"/>
      <w:jc w:val="both"/>
    </w:pPr>
    <w:rPr>
      <w:rFonts w:ascii="Helv" w:eastAsia="Times New Roman" w:hAnsi="Helv" w:cs="Times New Roman"/>
      <w:snapToGrid w:val="0"/>
      <w:color w:val="000000"/>
      <w:szCs w:val="20"/>
      <w:lang w:val="es-ES" w:eastAsia="ca-ES"/>
    </w:rPr>
  </w:style>
  <w:style w:type="paragraph" w:customStyle="1" w:styleId="Gui">
    <w:name w:val="Guió"/>
    <w:basedOn w:val="Normal"/>
    <w:rsid w:val="003F4375"/>
    <w:pPr>
      <w:numPr>
        <w:numId w:val="4"/>
      </w:numPr>
      <w:spacing w:after="0" w:line="360" w:lineRule="auto"/>
      <w:ind w:left="1037" w:hanging="357"/>
      <w:jc w:val="both"/>
    </w:pPr>
    <w:rPr>
      <w:rFonts w:ascii="Helvetica" w:eastAsia="Times New Roman" w:hAnsi="Helvetica" w:cs="Times New Roman"/>
      <w:szCs w:val="20"/>
      <w:lang w:eastAsia="es-ES"/>
    </w:rPr>
  </w:style>
  <w:style w:type="paragraph" w:customStyle="1" w:styleId="Topo">
    <w:name w:val="Topo"/>
    <w:basedOn w:val="Normal"/>
    <w:rsid w:val="003F4375"/>
    <w:pPr>
      <w:numPr>
        <w:numId w:val="5"/>
      </w:numPr>
      <w:spacing w:after="0" w:line="360" w:lineRule="auto"/>
      <w:jc w:val="both"/>
    </w:pPr>
    <w:rPr>
      <w:rFonts w:ascii="Helvetica" w:eastAsia="Times New Roman" w:hAnsi="Helvetica" w:cs="Times New Roman"/>
      <w:szCs w:val="20"/>
      <w:lang w:eastAsia="es-ES"/>
    </w:rPr>
  </w:style>
  <w:style w:type="paragraph" w:customStyle="1" w:styleId="Topo1">
    <w:name w:val="Topo 1"/>
    <w:basedOn w:val="Normal"/>
    <w:rsid w:val="003F4375"/>
    <w:pPr>
      <w:numPr>
        <w:numId w:val="6"/>
      </w:numPr>
      <w:spacing w:after="0" w:line="360" w:lineRule="auto"/>
      <w:ind w:left="624" w:hanging="284"/>
      <w:jc w:val="both"/>
    </w:pPr>
    <w:rPr>
      <w:rFonts w:ascii="Helvetica" w:eastAsia="Times New Roman" w:hAnsi="Helvetica" w:cs="Times New Roman"/>
      <w:szCs w:val="20"/>
      <w:lang w:eastAsia="es-ES"/>
    </w:rPr>
  </w:style>
  <w:style w:type="paragraph" w:customStyle="1" w:styleId="TopoNo">
    <w:name w:val="Topo No"/>
    <w:basedOn w:val="Normal"/>
    <w:rsid w:val="003F4375"/>
    <w:pPr>
      <w:numPr>
        <w:numId w:val="7"/>
      </w:numPr>
      <w:spacing w:after="0" w:line="480" w:lineRule="auto"/>
      <w:jc w:val="both"/>
    </w:pPr>
    <w:rPr>
      <w:rFonts w:ascii="Helvetica" w:eastAsia="Times New Roman" w:hAnsi="Helvetica" w:cs="Times New Roman"/>
      <w:szCs w:val="20"/>
      <w:lang w:eastAsia="es-ES"/>
    </w:rPr>
  </w:style>
  <w:style w:type="paragraph" w:customStyle="1" w:styleId="TopoS">
    <w:name w:val="Topo Sí"/>
    <w:basedOn w:val="Normal"/>
    <w:rsid w:val="003F4375"/>
    <w:pPr>
      <w:numPr>
        <w:numId w:val="8"/>
      </w:numPr>
      <w:spacing w:after="0" w:line="480" w:lineRule="auto"/>
      <w:ind w:left="357" w:hanging="357"/>
      <w:jc w:val="both"/>
    </w:pPr>
    <w:rPr>
      <w:rFonts w:ascii="Helvetica" w:eastAsia="Times New Roman" w:hAnsi="Helvetica" w:cs="Times New Roman"/>
      <w:szCs w:val="20"/>
      <w:lang w:eastAsia="es-ES"/>
    </w:rPr>
  </w:style>
  <w:style w:type="paragraph" w:styleId="Mapadeldocumento">
    <w:name w:val="Document Map"/>
    <w:basedOn w:val="Normal"/>
    <w:link w:val="MapadeldocumentoCar"/>
    <w:semiHidden/>
    <w:rsid w:val="003F4375"/>
    <w:pPr>
      <w:shd w:val="clear" w:color="auto" w:fill="000080"/>
      <w:spacing w:after="0" w:line="240" w:lineRule="auto"/>
    </w:pPr>
    <w:rPr>
      <w:rFonts w:ascii="Tahoma" w:eastAsia="Times New Roman" w:hAnsi="Tahoma" w:cs="Times New Roman"/>
      <w:szCs w:val="20"/>
      <w:lang w:eastAsia="es-ES"/>
    </w:rPr>
  </w:style>
  <w:style w:type="character" w:customStyle="1" w:styleId="MapadeldocumentoCar">
    <w:name w:val="Mapa del documento Car"/>
    <w:basedOn w:val="Fuentedeprrafopredeter"/>
    <w:link w:val="Mapadeldocumento"/>
    <w:semiHidden/>
    <w:rsid w:val="003F4375"/>
    <w:rPr>
      <w:rFonts w:ascii="Tahoma" w:eastAsia="Times New Roman" w:hAnsi="Tahoma" w:cs="Times New Roman"/>
      <w:szCs w:val="20"/>
      <w:shd w:val="clear" w:color="auto" w:fill="000080"/>
      <w:lang w:eastAsia="es-ES"/>
    </w:rPr>
  </w:style>
  <w:style w:type="paragraph" w:styleId="Textodeglobo">
    <w:name w:val="Balloon Text"/>
    <w:basedOn w:val="Normal"/>
    <w:link w:val="TextodegloboCar"/>
    <w:semiHidden/>
    <w:rsid w:val="003F4375"/>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semiHidden/>
    <w:rsid w:val="003F4375"/>
    <w:rPr>
      <w:rFonts w:ascii="Tahoma" w:eastAsia="Times New Roman" w:hAnsi="Tahoma" w:cs="Tahoma"/>
      <w:sz w:val="16"/>
      <w:szCs w:val="16"/>
      <w:lang w:eastAsia="es-ES"/>
    </w:rPr>
  </w:style>
  <w:style w:type="table" w:styleId="Tablaconcuadrcula">
    <w:name w:val="Table Grid"/>
    <w:basedOn w:val="Tablanormal"/>
    <w:rsid w:val="003F4375"/>
    <w:pPr>
      <w:spacing w:after="0" w:line="240" w:lineRule="auto"/>
    </w:pPr>
    <w:rPr>
      <w:rFonts w:ascii="Times New Roman" w:eastAsia="Times New Roman" w:hAnsi="Times New Roman" w:cs="Times New Roman"/>
      <w:sz w:val="20"/>
      <w:szCs w:val="20"/>
      <w:lang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B3A89"/>
  </w:style>
  <w:style w:type="character" w:styleId="Refdecomentario">
    <w:name w:val="annotation reference"/>
    <w:rsid w:val="005F5243"/>
    <w:rPr>
      <w:sz w:val="16"/>
      <w:szCs w:val="16"/>
    </w:rPr>
  </w:style>
  <w:style w:type="paragraph" w:styleId="Textocomentario">
    <w:name w:val="annotation text"/>
    <w:basedOn w:val="Normal"/>
    <w:link w:val="TextocomentarioCar"/>
    <w:rsid w:val="005F5243"/>
    <w:pPr>
      <w:spacing w:after="0" w:line="240" w:lineRule="auto"/>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5F5243"/>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rsid w:val="005F5243"/>
    <w:rPr>
      <w:b/>
      <w:bCs/>
    </w:rPr>
  </w:style>
  <w:style w:type="character" w:customStyle="1" w:styleId="AsuntodelcomentarioCar">
    <w:name w:val="Asunto del comentario Car"/>
    <w:basedOn w:val="TextocomentarioCar"/>
    <w:link w:val="Asuntodelcomentario"/>
    <w:rsid w:val="005F5243"/>
    <w:rPr>
      <w:rFonts w:ascii="Arial" w:eastAsia="Times New Roman" w:hAnsi="Arial" w:cs="Times New Roman"/>
      <w:b/>
      <w:bCs/>
      <w:sz w:val="20"/>
      <w:szCs w:val="20"/>
      <w:lang w:eastAsia="es-ES"/>
    </w:rPr>
  </w:style>
  <w:style w:type="paragraph" w:styleId="Sangra2detindependiente">
    <w:name w:val="Body Text Indent 2"/>
    <w:basedOn w:val="Normal"/>
    <w:link w:val="Sangra2detindependienteCar"/>
    <w:rsid w:val="005F5243"/>
    <w:pPr>
      <w:spacing w:after="120" w:line="480" w:lineRule="auto"/>
      <w:ind w:left="283"/>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F5243"/>
    <w:rPr>
      <w:rFonts w:ascii="Arial" w:eastAsia="Times New Roman" w:hAnsi="Arial" w:cs="Times New Roman"/>
      <w:szCs w:val="20"/>
      <w:lang w:eastAsia="es-ES"/>
    </w:rPr>
  </w:style>
  <w:style w:type="character" w:styleId="Hipervnculovisitado">
    <w:name w:val="FollowedHyperlink"/>
    <w:rsid w:val="005F5243"/>
    <w:rPr>
      <w:color w:val="800080"/>
      <w:u w:val="single"/>
    </w:rPr>
  </w:style>
  <w:style w:type="paragraph" w:customStyle="1" w:styleId="Default">
    <w:name w:val="Default"/>
    <w:rsid w:val="00FE34C4"/>
    <w:pPr>
      <w:autoSpaceDE w:val="0"/>
      <w:autoSpaceDN w:val="0"/>
      <w:adjustRightInd w:val="0"/>
      <w:spacing w:after="0" w:line="240" w:lineRule="auto"/>
    </w:pPr>
    <w:rPr>
      <w:rFonts w:ascii="Arial" w:eastAsia="Times New Roman" w:hAnsi="Arial" w:cs="Arial"/>
      <w:color w:val="000000"/>
      <w:sz w:val="24"/>
      <w:szCs w:val="24"/>
      <w:lang w:eastAsia="ca-ES"/>
    </w:rPr>
  </w:style>
  <w:style w:type="character" w:styleId="Textoennegrita">
    <w:name w:val="Strong"/>
    <w:uiPriority w:val="22"/>
    <w:qFormat/>
    <w:rsid w:val="00FE34C4"/>
    <w:rPr>
      <w:b/>
      <w:bCs/>
    </w:rPr>
  </w:style>
  <w:style w:type="paragraph" w:customStyle="1" w:styleId="H1">
    <w:name w:val="H1"/>
    <w:basedOn w:val="Normal"/>
    <w:next w:val="Normal"/>
    <w:rsid w:val="00FE34C4"/>
    <w:pPr>
      <w:keepNext/>
      <w:autoSpaceDE w:val="0"/>
      <w:autoSpaceDN w:val="0"/>
      <w:adjustRightInd w:val="0"/>
      <w:spacing w:before="100" w:after="100" w:line="240" w:lineRule="auto"/>
      <w:outlineLvl w:val="1"/>
    </w:pPr>
    <w:rPr>
      <w:rFonts w:ascii="Times New Roman" w:eastAsia="Times New Roman" w:hAnsi="Times New Roman" w:cs="Times New Roman"/>
      <w:b/>
      <w:bCs/>
      <w:kern w:val="36"/>
      <w:sz w:val="48"/>
      <w:szCs w:val="48"/>
      <w:lang w:val="es-ES" w:eastAsia="ca-ES"/>
    </w:rPr>
  </w:style>
  <w:style w:type="character" w:styleId="nfasis">
    <w:name w:val="Emphasis"/>
    <w:uiPriority w:val="20"/>
    <w:qFormat/>
    <w:rsid w:val="00FE34C4"/>
    <w:rPr>
      <w:i/>
      <w:iCs/>
    </w:rPr>
  </w:style>
  <w:style w:type="character" w:customStyle="1" w:styleId="body">
    <w:name w:val="body"/>
    <w:rsid w:val="00FE34C4"/>
  </w:style>
  <w:style w:type="character" w:styleId="Refdenotaalpie">
    <w:name w:val="footnote reference"/>
    <w:semiHidden/>
    <w:rsid w:val="00441998"/>
    <w:rPr>
      <w:vertAlign w:val="superscript"/>
    </w:rPr>
  </w:style>
  <w:style w:type="paragraph" w:styleId="Textonotapie">
    <w:name w:val="footnote text"/>
    <w:basedOn w:val="Normal"/>
    <w:link w:val="TextonotapieCar"/>
    <w:semiHidden/>
    <w:rsid w:val="00441998"/>
    <w:pPr>
      <w:spacing w:after="0" w:line="240" w:lineRule="auto"/>
    </w:pPr>
    <w:rPr>
      <w:rFonts w:ascii="Arial" w:eastAsia="Times New Roman" w:hAnsi="Arial" w:cs="Times New Roman"/>
      <w:color w:val="000000"/>
      <w:sz w:val="20"/>
      <w:szCs w:val="20"/>
      <w:lang w:eastAsia="ca-ES"/>
    </w:rPr>
  </w:style>
  <w:style w:type="character" w:customStyle="1" w:styleId="TextonotapieCar">
    <w:name w:val="Texto nota pie Car"/>
    <w:basedOn w:val="Fuentedeprrafopredeter"/>
    <w:link w:val="Textonotapie"/>
    <w:semiHidden/>
    <w:rsid w:val="00441998"/>
    <w:rPr>
      <w:rFonts w:ascii="Arial" w:eastAsia="Times New Roman" w:hAnsi="Arial" w:cs="Times New Roman"/>
      <w:color w:val="000000"/>
      <w:sz w:val="20"/>
      <w:szCs w:val="20"/>
      <w:lang w:eastAsia="ca-ES"/>
    </w:rPr>
  </w:style>
  <w:style w:type="paragraph" w:styleId="Listaconvietas2">
    <w:name w:val="List Bullet 2"/>
    <w:basedOn w:val="Normal"/>
    <w:autoRedefine/>
    <w:rsid w:val="00441998"/>
    <w:pPr>
      <w:numPr>
        <w:numId w:val="1"/>
      </w:numPr>
      <w:spacing w:after="0" w:line="240" w:lineRule="auto"/>
    </w:pPr>
    <w:rPr>
      <w:rFonts w:ascii="Arial" w:eastAsia="Times New Roman" w:hAnsi="Arial" w:cs="Times New Roman"/>
      <w:szCs w:val="20"/>
      <w:lang w:eastAsia="ca-ES"/>
    </w:rPr>
  </w:style>
  <w:style w:type="paragraph" w:styleId="Revisin">
    <w:name w:val="Revision"/>
    <w:hidden/>
    <w:uiPriority w:val="99"/>
    <w:semiHidden/>
    <w:rsid w:val="00441998"/>
    <w:pPr>
      <w:spacing w:after="0" w:line="240" w:lineRule="auto"/>
    </w:pPr>
    <w:rPr>
      <w:rFonts w:ascii="Arial" w:eastAsia="Times New Roman" w:hAnsi="Arial" w:cs="Times New Roman"/>
      <w:szCs w:val="20"/>
      <w:lang w:eastAsia="es-ES"/>
    </w:rPr>
  </w:style>
  <w:style w:type="paragraph" w:styleId="Lista">
    <w:name w:val="List"/>
    <w:basedOn w:val="Normal"/>
    <w:rsid w:val="00441998"/>
    <w:pPr>
      <w:spacing w:after="0" w:line="360" w:lineRule="auto"/>
      <w:ind w:left="283" w:hanging="283"/>
      <w:jc w:val="both"/>
    </w:pPr>
    <w:rPr>
      <w:rFonts w:ascii="Arial" w:eastAsia="Times New Roman" w:hAnsi="Arial" w:cs="Times New Roman"/>
      <w:sz w:val="18"/>
      <w:szCs w:val="20"/>
      <w:lang w:eastAsia="ca-ES"/>
    </w:rPr>
  </w:style>
  <w:style w:type="paragraph" w:customStyle="1" w:styleId="Angls">
    <w:name w:val="Anglès"/>
    <w:basedOn w:val="Normal"/>
    <w:rsid w:val="00441998"/>
    <w:pPr>
      <w:spacing w:after="0" w:line="360" w:lineRule="auto"/>
      <w:jc w:val="both"/>
    </w:pPr>
    <w:rPr>
      <w:rFonts w:ascii="Arial" w:eastAsia="Times New Roman" w:hAnsi="Arial" w:cs="Times New Roman"/>
      <w:sz w:val="18"/>
      <w:szCs w:val="20"/>
      <w:lang w:val="en-US" w:eastAsia="ca-ES"/>
    </w:rPr>
  </w:style>
  <w:style w:type="paragraph" w:styleId="Continuarlista2">
    <w:name w:val="List Continue 2"/>
    <w:basedOn w:val="Normal"/>
    <w:rsid w:val="00441998"/>
    <w:pPr>
      <w:spacing w:after="120" w:line="360" w:lineRule="auto"/>
      <w:ind w:left="566"/>
      <w:jc w:val="both"/>
    </w:pPr>
    <w:rPr>
      <w:rFonts w:ascii="Arial" w:eastAsia="Times New Roman" w:hAnsi="Arial" w:cs="Times New Roman"/>
      <w:sz w:val="18"/>
      <w:szCs w:val="20"/>
      <w:lang w:eastAsia="ca-ES"/>
    </w:rPr>
  </w:style>
  <w:style w:type="paragraph" w:styleId="Listaconvietas">
    <w:name w:val="List Bullet"/>
    <w:basedOn w:val="Normal"/>
    <w:autoRedefine/>
    <w:rsid w:val="00441998"/>
    <w:pPr>
      <w:numPr>
        <w:numId w:val="74"/>
      </w:numPr>
      <w:spacing w:after="0" w:line="360" w:lineRule="auto"/>
      <w:jc w:val="both"/>
    </w:pPr>
    <w:rPr>
      <w:rFonts w:ascii="Arial" w:eastAsia="Times New Roman" w:hAnsi="Arial" w:cs="Times New Roman"/>
      <w:sz w:val="18"/>
      <w:szCs w:val="20"/>
      <w:lang w:eastAsia="ca-ES"/>
    </w:rPr>
  </w:style>
  <w:style w:type="paragraph" w:customStyle="1" w:styleId="judit">
    <w:name w:val="judit"/>
    <w:basedOn w:val="Normal"/>
    <w:rsid w:val="00441998"/>
    <w:pPr>
      <w:spacing w:after="0" w:line="360" w:lineRule="auto"/>
      <w:jc w:val="both"/>
    </w:pPr>
    <w:rPr>
      <w:rFonts w:ascii="Arial" w:eastAsia="Times New Roman" w:hAnsi="Arial" w:cs="Times New Roman"/>
      <w:sz w:val="24"/>
      <w:szCs w:val="20"/>
      <w:lang w:eastAsia="ca-ES"/>
    </w:rPr>
  </w:style>
  <w:style w:type="paragraph" w:customStyle="1" w:styleId="texto">
    <w:name w:val="texto"/>
    <w:basedOn w:val="Normal"/>
    <w:rsid w:val="00441998"/>
    <w:pPr>
      <w:spacing w:before="100" w:after="100" w:line="240" w:lineRule="auto"/>
      <w:ind w:firstLine="300"/>
      <w:jc w:val="both"/>
    </w:pPr>
    <w:rPr>
      <w:rFonts w:ascii="Georgia" w:eastAsia="Arial Unicode MS" w:hAnsi="Georgia" w:cs="Times New Roman"/>
      <w:color w:val="000000"/>
      <w:szCs w:val="20"/>
      <w:lang w:val="es-ES" w:eastAsia="ca-ES"/>
    </w:rPr>
  </w:style>
  <w:style w:type="character" w:customStyle="1" w:styleId="sup">
    <w:name w:val="sup"/>
    <w:basedOn w:val="Fuentedeprrafopredeter"/>
    <w:rsid w:val="00441998"/>
  </w:style>
  <w:style w:type="paragraph" w:customStyle="1" w:styleId="titolstaula">
    <w:name w:val="titols taula"/>
    <w:basedOn w:val="Normal"/>
    <w:rsid w:val="00441998"/>
    <w:pPr>
      <w:spacing w:after="0" w:line="240" w:lineRule="auto"/>
      <w:jc w:val="center"/>
    </w:pPr>
    <w:rPr>
      <w:rFonts w:ascii="Arial" w:eastAsia="Times New Roman" w:hAnsi="Arial" w:cs="Times New Roman"/>
      <w:b/>
      <w:noProof/>
      <w:sz w:val="16"/>
      <w:szCs w:val="20"/>
      <w:lang w:eastAsia="es-ES"/>
    </w:rPr>
  </w:style>
  <w:style w:type="paragraph" w:customStyle="1" w:styleId="taula">
    <w:name w:val="taula"/>
    <w:basedOn w:val="Normal"/>
    <w:rsid w:val="00441998"/>
    <w:pPr>
      <w:spacing w:after="0" w:line="240" w:lineRule="auto"/>
    </w:pPr>
    <w:rPr>
      <w:rFonts w:ascii="Arial" w:eastAsia="Times New Roman" w:hAnsi="Arial" w:cs="Times New Roman"/>
      <w:noProof/>
      <w:sz w:val="16"/>
      <w:szCs w:val="20"/>
      <w:lang w:eastAsia="es-ES"/>
    </w:rPr>
  </w:style>
  <w:style w:type="paragraph" w:customStyle="1" w:styleId="titol">
    <w:name w:val="titol"/>
    <w:basedOn w:val="Normal"/>
    <w:rsid w:val="00441998"/>
    <w:pPr>
      <w:spacing w:after="0" w:line="360" w:lineRule="auto"/>
      <w:jc w:val="center"/>
    </w:pPr>
    <w:rPr>
      <w:rFonts w:ascii="Arial" w:eastAsia="Times New Roman" w:hAnsi="Arial" w:cs="Times New Roman"/>
      <w:b/>
      <w:caps/>
      <w:noProof/>
      <w:sz w:val="18"/>
      <w:szCs w:val="20"/>
      <w:lang w:eastAsia="ca-ES"/>
    </w:rPr>
  </w:style>
  <w:style w:type="paragraph" w:customStyle="1" w:styleId="titolcontinuaci">
    <w:name w:val="titol (continuació)"/>
    <w:basedOn w:val="Normal"/>
    <w:rsid w:val="00441998"/>
    <w:pPr>
      <w:spacing w:after="0" w:line="360" w:lineRule="auto"/>
      <w:jc w:val="center"/>
    </w:pPr>
    <w:rPr>
      <w:rFonts w:ascii="Arial" w:eastAsia="Times New Roman" w:hAnsi="Arial" w:cs="Times New Roman"/>
      <w:b/>
      <w:caps/>
      <w:noProof/>
      <w:sz w:val="18"/>
      <w:szCs w:val="20"/>
      <w:lang w:eastAsia="ca-ES"/>
    </w:rPr>
  </w:style>
  <w:style w:type="character" w:customStyle="1" w:styleId="CarCar4">
    <w:name w:val="Car Car4"/>
    <w:locked/>
    <w:rsid w:val="00441998"/>
    <w:rPr>
      <w:rFonts w:ascii="Arial" w:hAnsi="Arial" w:cs="Times New Roman"/>
      <w:sz w:val="20"/>
      <w:szCs w:val="20"/>
      <w:lang w:val="x-none" w:eastAsia="ca-ES"/>
    </w:rPr>
  </w:style>
  <w:style w:type="paragraph" w:styleId="Textosinformato">
    <w:name w:val="Plain Text"/>
    <w:basedOn w:val="Normal"/>
    <w:link w:val="TextosinformatoCar"/>
    <w:rsid w:val="0009331F"/>
    <w:pPr>
      <w:spacing w:after="0" w:line="240" w:lineRule="auto"/>
    </w:pPr>
    <w:rPr>
      <w:rFonts w:ascii="Courier New" w:eastAsia="Times New Roman" w:hAnsi="Courier New" w:cs="Courier New"/>
      <w:sz w:val="20"/>
      <w:szCs w:val="20"/>
      <w:lang w:eastAsia="ca-ES"/>
    </w:rPr>
  </w:style>
  <w:style w:type="character" w:customStyle="1" w:styleId="TextosinformatoCar">
    <w:name w:val="Texto sin formato Car"/>
    <w:basedOn w:val="Fuentedeprrafopredeter"/>
    <w:link w:val="Textosinformato"/>
    <w:rsid w:val="0009331F"/>
    <w:rPr>
      <w:rFonts w:ascii="Courier New" w:eastAsia="Times New Roman" w:hAnsi="Courier New" w:cs="Courier New"/>
      <w:sz w:val="20"/>
      <w:szCs w:val="20"/>
      <w:lang w:eastAsia="ca-ES"/>
    </w:rPr>
  </w:style>
  <w:style w:type="paragraph" w:customStyle="1" w:styleId="titulo2">
    <w:name w:val="titulo 2"/>
    <w:basedOn w:val="Normal"/>
    <w:rsid w:val="0009331F"/>
    <w:pPr>
      <w:widowControl w:val="0"/>
      <w:tabs>
        <w:tab w:val="left" w:pos="1134"/>
      </w:tabs>
      <w:spacing w:before="160" w:line="280" w:lineRule="atLeast"/>
      <w:jc w:val="both"/>
    </w:pPr>
    <w:rPr>
      <w:rFonts w:ascii="Times" w:eastAsia="Times New Roman" w:hAnsi="Times" w:cs="Times New Roman"/>
      <w:b/>
      <w:sz w:val="20"/>
      <w:szCs w:val="20"/>
      <w:lang w:val="es-ES_tradnl" w:eastAsia="es-ES"/>
    </w:rPr>
  </w:style>
  <w:style w:type="character" w:customStyle="1" w:styleId="unknown">
    <w:name w:val="unknown"/>
    <w:rsid w:val="0009331F"/>
    <w:rPr>
      <w:color w:val="FF0000"/>
    </w:rPr>
  </w:style>
  <w:style w:type="character" w:customStyle="1" w:styleId="alternative">
    <w:name w:val="alternative"/>
    <w:rsid w:val="0009331F"/>
    <w:rPr>
      <w:color w:val="008000"/>
    </w:rPr>
  </w:style>
  <w:style w:type="paragraph" w:styleId="z-Principiodelformulario">
    <w:name w:val="HTML Top of Form"/>
    <w:basedOn w:val="Normal"/>
    <w:next w:val="Normal"/>
    <w:link w:val="z-PrincipiodelformularioCar"/>
    <w:hidden/>
    <w:rsid w:val="0009331F"/>
    <w:pPr>
      <w:pBdr>
        <w:bottom w:val="single" w:sz="6" w:space="1" w:color="auto"/>
      </w:pBdr>
      <w:spacing w:after="0" w:line="240" w:lineRule="auto"/>
      <w:jc w:val="center"/>
    </w:pPr>
    <w:rPr>
      <w:rFonts w:ascii="Arial" w:eastAsia="Times New Roman" w:hAnsi="Arial" w:cs="Arial"/>
      <w:vanish/>
      <w:sz w:val="16"/>
      <w:szCs w:val="16"/>
      <w:lang w:eastAsia="ca-ES"/>
    </w:rPr>
  </w:style>
  <w:style w:type="character" w:customStyle="1" w:styleId="z-PrincipiodelformularioCar">
    <w:name w:val="z-Principio del formulario Car"/>
    <w:basedOn w:val="Fuentedeprrafopredeter"/>
    <w:link w:val="z-Principiodelformulario"/>
    <w:rsid w:val="0009331F"/>
    <w:rPr>
      <w:rFonts w:ascii="Arial" w:eastAsia="Times New Roman" w:hAnsi="Arial" w:cs="Arial"/>
      <w:vanish/>
      <w:sz w:val="16"/>
      <w:szCs w:val="16"/>
      <w:lang w:eastAsia="ca-ES"/>
    </w:rPr>
  </w:style>
  <w:style w:type="character" w:customStyle="1" w:styleId="tranfield1">
    <w:name w:val="tran_field1"/>
    <w:basedOn w:val="Fuentedeprrafopredeter"/>
    <w:rsid w:val="0009331F"/>
  </w:style>
  <w:style w:type="paragraph" w:styleId="z-Finaldelformulario">
    <w:name w:val="HTML Bottom of Form"/>
    <w:basedOn w:val="Normal"/>
    <w:next w:val="Normal"/>
    <w:link w:val="z-FinaldelformularioCar"/>
    <w:hidden/>
    <w:rsid w:val="0009331F"/>
    <w:pPr>
      <w:pBdr>
        <w:top w:val="single" w:sz="6" w:space="1" w:color="auto"/>
      </w:pBdr>
      <w:spacing w:after="0" w:line="240" w:lineRule="auto"/>
      <w:jc w:val="center"/>
    </w:pPr>
    <w:rPr>
      <w:rFonts w:ascii="Arial" w:eastAsia="Times New Roman" w:hAnsi="Arial" w:cs="Arial"/>
      <w:vanish/>
      <w:sz w:val="16"/>
      <w:szCs w:val="16"/>
      <w:lang w:eastAsia="ca-ES"/>
    </w:rPr>
  </w:style>
  <w:style w:type="character" w:customStyle="1" w:styleId="z-FinaldelformularioCar">
    <w:name w:val="z-Final del formulario Car"/>
    <w:basedOn w:val="Fuentedeprrafopredeter"/>
    <w:link w:val="z-Finaldelformulario"/>
    <w:rsid w:val="0009331F"/>
    <w:rPr>
      <w:rFonts w:ascii="Arial" w:eastAsia="Times New Roman" w:hAnsi="Arial" w:cs="Arial"/>
      <w:vanish/>
      <w:sz w:val="16"/>
      <w:szCs w:val="16"/>
      <w:lang w:eastAsia="ca-ES"/>
    </w:rPr>
  </w:style>
  <w:style w:type="numbering" w:styleId="111111">
    <w:name w:val="Outline List 2"/>
    <w:basedOn w:val="Sinlista"/>
    <w:rsid w:val="0009331F"/>
    <w:pPr>
      <w:numPr>
        <w:numId w:val="121"/>
      </w:numPr>
    </w:pPr>
  </w:style>
  <w:style w:type="character" w:customStyle="1" w:styleId="hps">
    <w:name w:val="hps"/>
    <w:rsid w:val="0009331F"/>
  </w:style>
  <w:style w:type="paragraph" w:customStyle="1" w:styleId="Textindependent1">
    <w:name w:val="Text independent1"/>
    <w:rsid w:val="00A31A7F"/>
    <w:pPr>
      <w:spacing w:after="0" w:line="240" w:lineRule="auto"/>
    </w:pPr>
    <w:rPr>
      <w:rFonts w:ascii="CG Times" w:eastAsia="Times New Roman" w:hAnsi="CG Times" w:cs="Times New Roman"/>
      <w:color w:val="000000"/>
      <w:sz w:val="24"/>
      <w:szCs w:val="20"/>
      <w:lang w:val="en-US" w:eastAsia="es-ES"/>
    </w:rPr>
  </w:style>
  <w:style w:type="paragraph" w:styleId="Sinespaciado">
    <w:name w:val="No Spacing"/>
    <w:uiPriority w:val="1"/>
    <w:qFormat/>
    <w:rsid w:val="00394AE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6566">
      <w:bodyDiv w:val="1"/>
      <w:marLeft w:val="0"/>
      <w:marRight w:val="0"/>
      <w:marTop w:val="0"/>
      <w:marBottom w:val="0"/>
      <w:divBdr>
        <w:top w:val="none" w:sz="0" w:space="0" w:color="auto"/>
        <w:left w:val="none" w:sz="0" w:space="0" w:color="auto"/>
        <w:bottom w:val="none" w:sz="0" w:space="0" w:color="auto"/>
        <w:right w:val="none" w:sz="0" w:space="0" w:color="auto"/>
      </w:divBdr>
    </w:div>
    <w:div w:id="369762616">
      <w:bodyDiv w:val="1"/>
      <w:marLeft w:val="0"/>
      <w:marRight w:val="0"/>
      <w:marTop w:val="0"/>
      <w:marBottom w:val="0"/>
      <w:divBdr>
        <w:top w:val="none" w:sz="0" w:space="0" w:color="auto"/>
        <w:left w:val="none" w:sz="0" w:space="0" w:color="auto"/>
        <w:bottom w:val="none" w:sz="0" w:space="0" w:color="auto"/>
        <w:right w:val="none" w:sz="0" w:space="0" w:color="auto"/>
      </w:divBdr>
      <w:divsChild>
        <w:div w:id="1298879965">
          <w:marLeft w:val="-225"/>
          <w:marRight w:val="-225"/>
          <w:marTop w:val="0"/>
          <w:marBottom w:val="0"/>
          <w:divBdr>
            <w:top w:val="none" w:sz="0" w:space="0" w:color="auto"/>
            <w:left w:val="none" w:sz="0" w:space="0" w:color="auto"/>
            <w:bottom w:val="none" w:sz="0" w:space="0" w:color="auto"/>
            <w:right w:val="none" w:sz="0" w:space="0" w:color="auto"/>
          </w:divBdr>
          <w:divsChild>
            <w:div w:id="1462184751">
              <w:marLeft w:val="0"/>
              <w:marRight w:val="0"/>
              <w:marTop w:val="0"/>
              <w:marBottom w:val="0"/>
              <w:divBdr>
                <w:top w:val="none" w:sz="0" w:space="0" w:color="auto"/>
                <w:left w:val="none" w:sz="0" w:space="0" w:color="auto"/>
                <w:bottom w:val="none" w:sz="0" w:space="0" w:color="auto"/>
                <w:right w:val="none" w:sz="0" w:space="0" w:color="auto"/>
              </w:divBdr>
              <w:divsChild>
                <w:div w:id="1239829652">
                  <w:marLeft w:val="0"/>
                  <w:marRight w:val="0"/>
                  <w:marTop w:val="0"/>
                  <w:marBottom w:val="0"/>
                  <w:divBdr>
                    <w:top w:val="none" w:sz="0" w:space="0" w:color="auto"/>
                    <w:left w:val="none" w:sz="0" w:space="0" w:color="auto"/>
                    <w:bottom w:val="none" w:sz="0" w:space="0" w:color="auto"/>
                    <w:right w:val="none" w:sz="0" w:space="0" w:color="auto"/>
                  </w:divBdr>
                  <w:divsChild>
                    <w:div w:id="1685472439">
                      <w:marLeft w:val="-225"/>
                      <w:marRight w:val="-225"/>
                      <w:marTop w:val="0"/>
                      <w:marBottom w:val="0"/>
                      <w:divBdr>
                        <w:top w:val="none" w:sz="0" w:space="0" w:color="auto"/>
                        <w:left w:val="none" w:sz="0" w:space="0" w:color="auto"/>
                        <w:bottom w:val="none" w:sz="0" w:space="0" w:color="auto"/>
                        <w:right w:val="none" w:sz="0" w:space="0" w:color="auto"/>
                      </w:divBdr>
                      <w:divsChild>
                        <w:div w:id="1616477839">
                          <w:marLeft w:val="0"/>
                          <w:marRight w:val="0"/>
                          <w:marTop w:val="0"/>
                          <w:marBottom w:val="150"/>
                          <w:divBdr>
                            <w:top w:val="none" w:sz="0" w:space="0" w:color="auto"/>
                            <w:left w:val="none" w:sz="0" w:space="0" w:color="auto"/>
                            <w:bottom w:val="none" w:sz="0" w:space="0" w:color="auto"/>
                            <w:right w:val="none" w:sz="0" w:space="0" w:color="auto"/>
                          </w:divBdr>
                          <w:divsChild>
                            <w:div w:id="12510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397668">
      <w:bodyDiv w:val="1"/>
      <w:marLeft w:val="0"/>
      <w:marRight w:val="0"/>
      <w:marTop w:val="0"/>
      <w:marBottom w:val="0"/>
      <w:divBdr>
        <w:top w:val="none" w:sz="0" w:space="0" w:color="auto"/>
        <w:left w:val="none" w:sz="0" w:space="0" w:color="auto"/>
        <w:bottom w:val="none" w:sz="0" w:space="0" w:color="auto"/>
        <w:right w:val="none" w:sz="0" w:space="0" w:color="auto"/>
      </w:divBdr>
      <w:divsChild>
        <w:div w:id="1846431858">
          <w:marLeft w:val="-225"/>
          <w:marRight w:val="-225"/>
          <w:marTop w:val="0"/>
          <w:marBottom w:val="0"/>
          <w:divBdr>
            <w:top w:val="none" w:sz="0" w:space="0" w:color="auto"/>
            <w:left w:val="none" w:sz="0" w:space="0" w:color="auto"/>
            <w:bottom w:val="none" w:sz="0" w:space="0" w:color="auto"/>
            <w:right w:val="none" w:sz="0" w:space="0" w:color="auto"/>
          </w:divBdr>
          <w:divsChild>
            <w:div w:id="1557933919">
              <w:marLeft w:val="0"/>
              <w:marRight w:val="0"/>
              <w:marTop w:val="0"/>
              <w:marBottom w:val="0"/>
              <w:divBdr>
                <w:top w:val="none" w:sz="0" w:space="0" w:color="auto"/>
                <w:left w:val="none" w:sz="0" w:space="0" w:color="auto"/>
                <w:bottom w:val="none" w:sz="0" w:space="0" w:color="auto"/>
                <w:right w:val="none" w:sz="0" w:space="0" w:color="auto"/>
              </w:divBdr>
              <w:divsChild>
                <w:div w:id="294062493">
                  <w:marLeft w:val="0"/>
                  <w:marRight w:val="0"/>
                  <w:marTop w:val="0"/>
                  <w:marBottom w:val="0"/>
                  <w:divBdr>
                    <w:top w:val="none" w:sz="0" w:space="0" w:color="auto"/>
                    <w:left w:val="none" w:sz="0" w:space="0" w:color="auto"/>
                    <w:bottom w:val="none" w:sz="0" w:space="0" w:color="auto"/>
                    <w:right w:val="none" w:sz="0" w:space="0" w:color="auto"/>
                  </w:divBdr>
                  <w:divsChild>
                    <w:div w:id="609748142">
                      <w:marLeft w:val="0"/>
                      <w:marRight w:val="0"/>
                      <w:marTop w:val="0"/>
                      <w:marBottom w:val="0"/>
                      <w:divBdr>
                        <w:top w:val="none" w:sz="0" w:space="0" w:color="auto"/>
                        <w:left w:val="none" w:sz="0" w:space="0" w:color="auto"/>
                        <w:bottom w:val="none" w:sz="0" w:space="0" w:color="auto"/>
                        <w:right w:val="none" w:sz="0" w:space="0" w:color="auto"/>
                      </w:divBdr>
                      <w:divsChild>
                        <w:div w:id="601374350">
                          <w:marLeft w:val="0"/>
                          <w:marRight w:val="0"/>
                          <w:marTop w:val="0"/>
                          <w:marBottom w:val="0"/>
                          <w:divBdr>
                            <w:top w:val="none" w:sz="0" w:space="0" w:color="auto"/>
                            <w:left w:val="none" w:sz="0" w:space="0" w:color="auto"/>
                            <w:bottom w:val="none" w:sz="0" w:space="0" w:color="auto"/>
                            <w:right w:val="none" w:sz="0" w:space="0" w:color="auto"/>
                          </w:divBdr>
                          <w:divsChild>
                            <w:div w:id="2057388247">
                              <w:marLeft w:val="0"/>
                              <w:marRight w:val="0"/>
                              <w:marTop w:val="0"/>
                              <w:marBottom w:val="0"/>
                              <w:divBdr>
                                <w:top w:val="none" w:sz="0" w:space="0" w:color="auto"/>
                                <w:left w:val="none" w:sz="0" w:space="0" w:color="auto"/>
                                <w:bottom w:val="none" w:sz="0" w:space="0" w:color="auto"/>
                                <w:right w:val="none" w:sz="0" w:space="0" w:color="auto"/>
                              </w:divBdr>
                              <w:divsChild>
                                <w:div w:id="973176821">
                                  <w:marLeft w:val="-225"/>
                                  <w:marRight w:val="-225"/>
                                  <w:marTop w:val="0"/>
                                  <w:marBottom w:val="0"/>
                                  <w:divBdr>
                                    <w:top w:val="none" w:sz="0" w:space="0" w:color="auto"/>
                                    <w:left w:val="none" w:sz="0" w:space="0" w:color="auto"/>
                                    <w:bottom w:val="none" w:sz="0" w:space="0" w:color="auto"/>
                                    <w:right w:val="none" w:sz="0" w:space="0" w:color="auto"/>
                                  </w:divBdr>
                                  <w:divsChild>
                                    <w:div w:id="238102182">
                                      <w:marLeft w:val="0"/>
                                      <w:marRight w:val="0"/>
                                      <w:marTop w:val="0"/>
                                      <w:marBottom w:val="0"/>
                                      <w:divBdr>
                                        <w:top w:val="none" w:sz="0" w:space="0" w:color="auto"/>
                                        <w:left w:val="none" w:sz="0" w:space="0" w:color="auto"/>
                                        <w:bottom w:val="none" w:sz="0" w:space="0" w:color="auto"/>
                                        <w:right w:val="none" w:sz="0" w:space="0" w:color="auto"/>
                                      </w:divBdr>
                                      <w:divsChild>
                                        <w:div w:id="447166208">
                                          <w:marLeft w:val="0"/>
                                          <w:marRight w:val="0"/>
                                          <w:marTop w:val="0"/>
                                          <w:marBottom w:val="0"/>
                                          <w:divBdr>
                                            <w:top w:val="none" w:sz="0" w:space="0" w:color="auto"/>
                                            <w:left w:val="none" w:sz="0" w:space="0" w:color="auto"/>
                                            <w:bottom w:val="none" w:sz="0" w:space="0" w:color="auto"/>
                                            <w:right w:val="none" w:sz="0" w:space="0" w:color="auto"/>
                                          </w:divBdr>
                                          <w:divsChild>
                                            <w:div w:id="436019960">
                                              <w:marLeft w:val="0"/>
                                              <w:marRight w:val="0"/>
                                              <w:marTop w:val="0"/>
                                              <w:marBottom w:val="0"/>
                                              <w:divBdr>
                                                <w:top w:val="none" w:sz="0" w:space="0" w:color="auto"/>
                                                <w:left w:val="none" w:sz="0" w:space="0" w:color="auto"/>
                                                <w:bottom w:val="none" w:sz="0" w:space="0" w:color="auto"/>
                                                <w:right w:val="none" w:sz="0" w:space="0" w:color="auto"/>
                                              </w:divBdr>
                                              <w:divsChild>
                                                <w:div w:id="8262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752015">
                          <w:marLeft w:val="0"/>
                          <w:marRight w:val="0"/>
                          <w:marTop w:val="0"/>
                          <w:marBottom w:val="0"/>
                          <w:divBdr>
                            <w:top w:val="none" w:sz="0" w:space="0" w:color="auto"/>
                            <w:left w:val="none" w:sz="0" w:space="0" w:color="auto"/>
                            <w:bottom w:val="none" w:sz="0" w:space="0" w:color="auto"/>
                            <w:right w:val="none" w:sz="0" w:space="0" w:color="auto"/>
                          </w:divBdr>
                          <w:divsChild>
                            <w:div w:id="478962518">
                              <w:marLeft w:val="0"/>
                              <w:marRight w:val="0"/>
                              <w:marTop w:val="0"/>
                              <w:marBottom w:val="0"/>
                              <w:divBdr>
                                <w:top w:val="none" w:sz="0" w:space="0" w:color="auto"/>
                                <w:left w:val="none" w:sz="0" w:space="0" w:color="auto"/>
                                <w:bottom w:val="none" w:sz="0" w:space="0" w:color="auto"/>
                                <w:right w:val="none" w:sz="0" w:space="0" w:color="auto"/>
                              </w:divBdr>
                              <w:divsChild>
                                <w:div w:id="1610354800">
                                  <w:marLeft w:val="-225"/>
                                  <w:marRight w:val="-225"/>
                                  <w:marTop w:val="0"/>
                                  <w:marBottom w:val="0"/>
                                  <w:divBdr>
                                    <w:top w:val="none" w:sz="0" w:space="0" w:color="auto"/>
                                    <w:left w:val="none" w:sz="0" w:space="0" w:color="auto"/>
                                    <w:bottom w:val="none" w:sz="0" w:space="0" w:color="auto"/>
                                    <w:right w:val="none" w:sz="0" w:space="0" w:color="auto"/>
                                  </w:divBdr>
                                  <w:divsChild>
                                    <w:div w:id="550770031">
                                      <w:marLeft w:val="0"/>
                                      <w:marRight w:val="0"/>
                                      <w:marTop w:val="0"/>
                                      <w:marBottom w:val="0"/>
                                      <w:divBdr>
                                        <w:top w:val="none" w:sz="0" w:space="0" w:color="auto"/>
                                        <w:left w:val="none" w:sz="0" w:space="0" w:color="auto"/>
                                        <w:bottom w:val="none" w:sz="0" w:space="0" w:color="auto"/>
                                        <w:right w:val="none" w:sz="0" w:space="0" w:color="auto"/>
                                      </w:divBdr>
                                      <w:divsChild>
                                        <w:div w:id="2089691860">
                                          <w:marLeft w:val="0"/>
                                          <w:marRight w:val="0"/>
                                          <w:marTop w:val="0"/>
                                          <w:marBottom w:val="0"/>
                                          <w:divBdr>
                                            <w:top w:val="none" w:sz="0" w:space="0" w:color="auto"/>
                                            <w:left w:val="none" w:sz="0" w:space="0" w:color="auto"/>
                                            <w:bottom w:val="none" w:sz="0" w:space="0" w:color="auto"/>
                                            <w:right w:val="none" w:sz="0" w:space="0" w:color="auto"/>
                                          </w:divBdr>
                                          <w:divsChild>
                                            <w:div w:id="1068918724">
                                              <w:marLeft w:val="0"/>
                                              <w:marRight w:val="0"/>
                                              <w:marTop w:val="0"/>
                                              <w:marBottom w:val="0"/>
                                              <w:divBdr>
                                                <w:top w:val="none" w:sz="0" w:space="0" w:color="auto"/>
                                                <w:left w:val="none" w:sz="0" w:space="0" w:color="auto"/>
                                                <w:bottom w:val="none" w:sz="0" w:space="0" w:color="auto"/>
                                                <w:right w:val="none" w:sz="0" w:space="0" w:color="auto"/>
                                              </w:divBdr>
                                              <w:divsChild>
                                                <w:div w:id="195732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9227112">
                          <w:marLeft w:val="0"/>
                          <w:marRight w:val="0"/>
                          <w:marTop w:val="0"/>
                          <w:marBottom w:val="0"/>
                          <w:divBdr>
                            <w:top w:val="none" w:sz="0" w:space="0" w:color="auto"/>
                            <w:left w:val="none" w:sz="0" w:space="0" w:color="auto"/>
                            <w:bottom w:val="none" w:sz="0" w:space="0" w:color="auto"/>
                            <w:right w:val="none" w:sz="0" w:space="0" w:color="auto"/>
                          </w:divBdr>
                          <w:divsChild>
                            <w:div w:id="2099599214">
                              <w:marLeft w:val="0"/>
                              <w:marRight w:val="0"/>
                              <w:marTop w:val="0"/>
                              <w:marBottom w:val="0"/>
                              <w:divBdr>
                                <w:top w:val="none" w:sz="0" w:space="0" w:color="auto"/>
                                <w:left w:val="none" w:sz="0" w:space="0" w:color="auto"/>
                                <w:bottom w:val="none" w:sz="0" w:space="0" w:color="auto"/>
                                <w:right w:val="none" w:sz="0" w:space="0" w:color="auto"/>
                              </w:divBdr>
                              <w:divsChild>
                                <w:div w:id="1491796802">
                                  <w:marLeft w:val="-225"/>
                                  <w:marRight w:val="-225"/>
                                  <w:marTop w:val="0"/>
                                  <w:marBottom w:val="0"/>
                                  <w:divBdr>
                                    <w:top w:val="none" w:sz="0" w:space="0" w:color="auto"/>
                                    <w:left w:val="none" w:sz="0" w:space="0" w:color="auto"/>
                                    <w:bottom w:val="none" w:sz="0" w:space="0" w:color="auto"/>
                                    <w:right w:val="none" w:sz="0" w:space="0" w:color="auto"/>
                                  </w:divBdr>
                                  <w:divsChild>
                                    <w:div w:id="1152406566">
                                      <w:marLeft w:val="0"/>
                                      <w:marRight w:val="0"/>
                                      <w:marTop w:val="0"/>
                                      <w:marBottom w:val="0"/>
                                      <w:divBdr>
                                        <w:top w:val="none" w:sz="0" w:space="0" w:color="auto"/>
                                        <w:left w:val="none" w:sz="0" w:space="0" w:color="auto"/>
                                        <w:bottom w:val="none" w:sz="0" w:space="0" w:color="auto"/>
                                        <w:right w:val="none" w:sz="0" w:space="0" w:color="auto"/>
                                      </w:divBdr>
                                      <w:divsChild>
                                        <w:div w:id="382020593">
                                          <w:marLeft w:val="0"/>
                                          <w:marRight w:val="0"/>
                                          <w:marTop w:val="0"/>
                                          <w:marBottom w:val="0"/>
                                          <w:divBdr>
                                            <w:top w:val="none" w:sz="0" w:space="0" w:color="auto"/>
                                            <w:left w:val="none" w:sz="0" w:space="0" w:color="auto"/>
                                            <w:bottom w:val="none" w:sz="0" w:space="0" w:color="auto"/>
                                            <w:right w:val="none" w:sz="0" w:space="0" w:color="auto"/>
                                          </w:divBdr>
                                          <w:divsChild>
                                            <w:div w:id="1852841386">
                                              <w:marLeft w:val="0"/>
                                              <w:marRight w:val="0"/>
                                              <w:marTop w:val="0"/>
                                              <w:marBottom w:val="0"/>
                                              <w:divBdr>
                                                <w:top w:val="none" w:sz="0" w:space="0" w:color="auto"/>
                                                <w:left w:val="none" w:sz="0" w:space="0" w:color="auto"/>
                                                <w:bottom w:val="none" w:sz="0" w:space="0" w:color="auto"/>
                                                <w:right w:val="none" w:sz="0" w:space="0" w:color="auto"/>
                                              </w:divBdr>
                                              <w:divsChild>
                                                <w:div w:id="1382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1946890">
          <w:marLeft w:val="-225"/>
          <w:marRight w:val="-225"/>
          <w:marTop w:val="0"/>
          <w:marBottom w:val="0"/>
          <w:divBdr>
            <w:top w:val="none" w:sz="0" w:space="0" w:color="auto"/>
            <w:left w:val="none" w:sz="0" w:space="0" w:color="auto"/>
            <w:bottom w:val="none" w:sz="0" w:space="0" w:color="auto"/>
            <w:right w:val="none" w:sz="0" w:space="0" w:color="auto"/>
          </w:divBdr>
          <w:divsChild>
            <w:div w:id="827939621">
              <w:marLeft w:val="0"/>
              <w:marRight w:val="0"/>
              <w:marTop w:val="0"/>
              <w:marBottom w:val="0"/>
              <w:divBdr>
                <w:top w:val="none" w:sz="0" w:space="0" w:color="auto"/>
                <w:left w:val="none" w:sz="0" w:space="0" w:color="auto"/>
                <w:bottom w:val="none" w:sz="0" w:space="0" w:color="auto"/>
                <w:right w:val="none" w:sz="0" w:space="0" w:color="auto"/>
              </w:divBdr>
              <w:divsChild>
                <w:div w:id="564418577">
                  <w:marLeft w:val="0"/>
                  <w:marRight w:val="0"/>
                  <w:marTop w:val="0"/>
                  <w:marBottom w:val="0"/>
                  <w:divBdr>
                    <w:top w:val="none" w:sz="0" w:space="0" w:color="auto"/>
                    <w:left w:val="none" w:sz="0" w:space="0" w:color="auto"/>
                    <w:bottom w:val="none" w:sz="0" w:space="0" w:color="auto"/>
                    <w:right w:val="none" w:sz="0" w:space="0" w:color="auto"/>
                  </w:divBdr>
                  <w:divsChild>
                    <w:div w:id="146731249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728557">
      <w:bodyDiv w:val="1"/>
      <w:marLeft w:val="0"/>
      <w:marRight w:val="0"/>
      <w:marTop w:val="0"/>
      <w:marBottom w:val="0"/>
      <w:divBdr>
        <w:top w:val="none" w:sz="0" w:space="0" w:color="auto"/>
        <w:left w:val="none" w:sz="0" w:space="0" w:color="auto"/>
        <w:bottom w:val="none" w:sz="0" w:space="0" w:color="auto"/>
        <w:right w:val="none" w:sz="0" w:space="0" w:color="auto"/>
      </w:divBdr>
    </w:div>
    <w:div w:id="1327980946">
      <w:bodyDiv w:val="1"/>
      <w:marLeft w:val="0"/>
      <w:marRight w:val="0"/>
      <w:marTop w:val="0"/>
      <w:marBottom w:val="0"/>
      <w:divBdr>
        <w:top w:val="none" w:sz="0" w:space="0" w:color="auto"/>
        <w:left w:val="none" w:sz="0" w:space="0" w:color="auto"/>
        <w:bottom w:val="none" w:sz="0" w:space="0" w:color="auto"/>
        <w:right w:val="none" w:sz="0" w:space="0" w:color="auto"/>
      </w:divBdr>
      <w:divsChild>
        <w:div w:id="767190626">
          <w:marLeft w:val="0"/>
          <w:marRight w:val="0"/>
          <w:marTop w:val="0"/>
          <w:marBottom w:val="150"/>
          <w:divBdr>
            <w:top w:val="none" w:sz="0" w:space="0" w:color="auto"/>
            <w:left w:val="none" w:sz="0" w:space="0" w:color="auto"/>
            <w:bottom w:val="none" w:sz="0" w:space="0" w:color="auto"/>
            <w:right w:val="none" w:sz="0" w:space="0" w:color="auto"/>
          </w:divBdr>
        </w:div>
        <w:div w:id="1496602505">
          <w:marLeft w:val="0"/>
          <w:marRight w:val="0"/>
          <w:marTop w:val="0"/>
          <w:marBottom w:val="300"/>
          <w:divBdr>
            <w:top w:val="none" w:sz="0" w:space="0" w:color="auto"/>
            <w:left w:val="none" w:sz="0" w:space="0" w:color="auto"/>
            <w:bottom w:val="none" w:sz="0" w:space="0" w:color="auto"/>
            <w:right w:val="none" w:sz="0" w:space="0" w:color="auto"/>
          </w:divBdr>
          <w:divsChild>
            <w:div w:id="1249383324">
              <w:marLeft w:val="0"/>
              <w:marRight w:val="0"/>
              <w:marTop w:val="0"/>
              <w:marBottom w:val="0"/>
              <w:divBdr>
                <w:top w:val="none" w:sz="0" w:space="0" w:color="auto"/>
                <w:left w:val="none" w:sz="0" w:space="0" w:color="auto"/>
                <w:bottom w:val="none" w:sz="0" w:space="0" w:color="auto"/>
                <w:right w:val="none" w:sz="0" w:space="0" w:color="auto"/>
              </w:divBdr>
              <w:divsChild>
                <w:div w:id="929243107">
                  <w:marLeft w:val="0"/>
                  <w:marRight w:val="0"/>
                  <w:marTop w:val="0"/>
                  <w:marBottom w:val="0"/>
                  <w:divBdr>
                    <w:top w:val="none" w:sz="0" w:space="0" w:color="auto"/>
                    <w:left w:val="none" w:sz="0" w:space="0" w:color="auto"/>
                    <w:bottom w:val="none" w:sz="0" w:space="0" w:color="auto"/>
                    <w:right w:val="none" w:sz="0" w:space="0" w:color="auto"/>
                  </w:divBdr>
                  <w:divsChild>
                    <w:div w:id="1988170626">
                      <w:marLeft w:val="0"/>
                      <w:marRight w:val="0"/>
                      <w:marTop w:val="0"/>
                      <w:marBottom w:val="0"/>
                      <w:divBdr>
                        <w:top w:val="none" w:sz="0" w:space="0" w:color="auto"/>
                        <w:left w:val="none" w:sz="0" w:space="0" w:color="auto"/>
                        <w:bottom w:val="none" w:sz="0" w:space="0" w:color="auto"/>
                        <w:right w:val="none" w:sz="0" w:space="0" w:color="auto"/>
                      </w:divBdr>
                    </w:div>
                    <w:div w:id="1812554349">
                      <w:marLeft w:val="0"/>
                      <w:marRight w:val="0"/>
                      <w:marTop w:val="0"/>
                      <w:marBottom w:val="0"/>
                      <w:divBdr>
                        <w:top w:val="none" w:sz="0" w:space="0" w:color="auto"/>
                        <w:left w:val="none" w:sz="0" w:space="0" w:color="auto"/>
                        <w:bottom w:val="none" w:sz="0" w:space="0" w:color="auto"/>
                        <w:right w:val="none" w:sz="0" w:space="0" w:color="auto"/>
                      </w:divBdr>
                    </w:div>
                    <w:div w:id="598174900">
                      <w:marLeft w:val="0"/>
                      <w:marRight w:val="0"/>
                      <w:marTop w:val="0"/>
                      <w:marBottom w:val="0"/>
                      <w:divBdr>
                        <w:top w:val="none" w:sz="0" w:space="0" w:color="auto"/>
                        <w:left w:val="none" w:sz="0" w:space="0" w:color="auto"/>
                        <w:bottom w:val="none" w:sz="0" w:space="0" w:color="auto"/>
                        <w:right w:val="none" w:sz="0" w:space="0" w:color="auto"/>
                      </w:divBdr>
                    </w:div>
                    <w:div w:id="14253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1659">
      <w:bodyDiv w:val="1"/>
      <w:marLeft w:val="0"/>
      <w:marRight w:val="0"/>
      <w:marTop w:val="0"/>
      <w:marBottom w:val="0"/>
      <w:divBdr>
        <w:top w:val="none" w:sz="0" w:space="0" w:color="auto"/>
        <w:left w:val="none" w:sz="0" w:space="0" w:color="auto"/>
        <w:bottom w:val="none" w:sz="0" w:space="0" w:color="auto"/>
        <w:right w:val="none" w:sz="0" w:space="0" w:color="auto"/>
      </w:divBdr>
    </w:div>
    <w:div w:id="1799297854">
      <w:bodyDiv w:val="1"/>
      <w:marLeft w:val="0"/>
      <w:marRight w:val="0"/>
      <w:marTop w:val="0"/>
      <w:marBottom w:val="0"/>
      <w:divBdr>
        <w:top w:val="none" w:sz="0" w:space="0" w:color="auto"/>
        <w:left w:val="none" w:sz="0" w:space="0" w:color="auto"/>
        <w:bottom w:val="none" w:sz="0" w:space="0" w:color="auto"/>
        <w:right w:val="none" w:sz="0" w:space="0" w:color="auto"/>
      </w:divBdr>
    </w:div>
    <w:div w:id="1984656863">
      <w:bodyDiv w:val="1"/>
      <w:marLeft w:val="0"/>
      <w:marRight w:val="0"/>
      <w:marTop w:val="0"/>
      <w:marBottom w:val="0"/>
      <w:divBdr>
        <w:top w:val="none" w:sz="0" w:space="0" w:color="auto"/>
        <w:left w:val="none" w:sz="0" w:space="0" w:color="auto"/>
        <w:bottom w:val="none" w:sz="0" w:space="0" w:color="auto"/>
        <w:right w:val="none" w:sz="0" w:space="0" w:color="auto"/>
      </w:divBdr>
      <w:divsChild>
        <w:div w:id="867792436">
          <w:marLeft w:val="-225"/>
          <w:marRight w:val="-225"/>
          <w:marTop w:val="0"/>
          <w:marBottom w:val="0"/>
          <w:divBdr>
            <w:top w:val="none" w:sz="0" w:space="0" w:color="auto"/>
            <w:left w:val="none" w:sz="0" w:space="0" w:color="auto"/>
            <w:bottom w:val="none" w:sz="0" w:space="0" w:color="auto"/>
            <w:right w:val="none" w:sz="0" w:space="0" w:color="auto"/>
          </w:divBdr>
          <w:divsChild>
            <w:div w:id="1392829">
              <w:marLeft w:val="0"/>
              <w:marRight w:val="0"/>
              <w:marTop w:val="0"/>
              <w:marBottom w:val="0"/>
              <w:divBdr>
                <w:top w:val="none" w:sz="0" w:space="0" w:color="auto"/>
                <w:left w:val="none" w:sz="0" w:space="0" w:color="auto"/>
                <w:bottom w:val="none" w:sz="0" w:space="0" w:color="auto"/>
                <w:right w:val="none" w:sz="0" w:space="0" w:color="auto"/>
              </w:divBdr>
              <w:divsChild>
                <w:div w:id="531459567">
                  <w:marLeft w:val="0"/>
                  <w:marRight w:val="0"/>
                  <w:marTop w:val="0"/>
                  <w:marBottom w:val="0"/>
                  <w:divBdr>
                    <w:top w:val="none" w:sz="0" w:space="0" w:color="auto"/>
                    <w:left w:val="none" w:sz="0" w:space="0" w:color="auto"/>
                    <w:bottom w:val="none" w:sz="0" w:space="0" w:color="auto"/>
                    <w:right w:val="none" w:sz="0" w:space="0" w:color="auto"/>
                  </w:divBdr>
                  <w:divsChild>
                    <w:div w:id="1001665824">
                      <w:marLeft w:val="0"/>
                      <w:marRight w:val="0"/>
                      <w:marTop w:val="0"/>
                      <w:marBottom w:val="0"/>
                      <w:divBdr>
                        <w:top w:val="none" w:sz="0" w:space="0" w:color="auto"/>
                        <w:left w:val="none" w:sz="0" w:space="0" w:color="auto"/>
                        <w:bottom w:val="none" w:sz="0" w:space="0" w:color="auto"/>
                        <w:right w:val="none" w:sz="0" w:space="0" w:color="auto"/>
                      </w:divBdr>
                      <w:divsChild>
                        <w:div w:id="1868056817">
                          <w:marLeft w:val="0"/>
                          <w:marRight w:val="0"/>
                          <w:marTop w:val="0"/>
                          <w:marBottom w:val="0"/>
                          <w:divBdr>
                            <w:top w:val="none" w:sz="0" w:space="0" w:color="auto"/>
                            <w:left w:val="none" w:sz="0" w:space="0" w:color="auto"/>
                            <w:bottom w:val="none" w:sz="0" w:space="0" w:color="auto"/>
                            <w:right w:val="none" w:sz="0" w:space="0" w:color="auto"/>
                          </w:divBdr>
                          <w:divsChild>
                            <w:div w:id="1934820515">
                              <w:marLeft w:val="0"/>
                              <w:marRight w:val="0"/>
                              <w:marTop w:val="0"/>
                              <w:marBottom w:val="0"/>
                              <w:divBdr>
                                <w:top w:val="none" w:sz="0" w:space="0" w:color="auto"/>
                                <w:left w:val="none" w:sz="0" w:space="0" w:color="auto"/>
                                <w:bottom w:val="none" w:sz="0" w:space="0" w:color="auto"/>
                                <w:right w:val="none" w:sz="0" w:space="0" w:color="auto"/>
                              </w:divBdr>
                              <w:divsChild>
                                <w:div w:id="802894858">
                                  <w:marLeft w:val="-225"/>
                                  <w:marRight w:val="-225"/>
                                  <w:marTop w:val="0"/>
                                  <w:marBottom w:val="0"/>
                                  <w:divBdr>
                                    <w:top w:val="none" w:sz="0" w:space="0" w:color="auto"/>
                                    <w:left w:val="none" w:sz="0" w:space="0" w:color="auto"/>
                                    <w:bottom w:val="none" w:sz="0" w:space="0" w:color="auto"/>
                                    <w:right w:val="none" w:sz="0" w:space="0" w:color="auto"/>
                                  </w:divBdr>
                                  <w:divsChild>
                                    <w:div w:id="141583238">
                                      <w:marLeft w:val="0"/>
                                      <w:marRight w:val="0"/>
                                      <w:marTop w:val="0"/>
                                      <w:marBottom w:val="0"/>
                                      <w:divBdr>
                                        <w:top w:val="none" w:sz="0" w:space="0" w:color="auto"/>
                                        <w:left w:val="none" w:sz="0" w:space="0" w:color="auto"/>
                                        <w:bottom w:val="none" w:sz="0" w:space="0" w:color="auto"/>
                                        <w:right w:val="none" w:sz="0" w:space="0" w:color="auto"/>
                                      </w:divBdr>
                                      <w:divsChild>
                                        <w:div w:id="1608191327">
                                          <w:marLeft w:val="0"/>
                                          <w:marRight w:val="0"/>
                                          <w:marTop w:val="0"/>
                                          <w:marBottom w:val="0"/>
                                          <w:divBdr>
                                            <w:top w:val="none" w:sz="0" w:space="0" w:color="auto"/>
                                            <w:left w:val="none" w:sz="0" w:space="0" w:color="auto"/>
                                            <w:bottom w:val="none" w:sz="0" w:space="0" w:color="auto"/>
                                            <w:right w:val="none" w:sz="0" w:space="0" w:color="auto"/>
                                          </w:divBdr>
                                          <w:divsChild>
                                            <w:div w:id="1081560666">
                                              <w:marLeft w:val="0"/>
                                              <w:marRight w:val="0"/>
                                              <w:marTop w:val="0"/>
                                              <w:marBottom w:val="0"/>
                                              <w:divBdr>
                                                <w:top w:val="none" w:sz="0" w:space="0" w:color="auto"/>
                                                <w:left w:val="none" w:sz="0" w:space="0" w:color="auto"/>
                                                <w:bottom w:val="none" w:sz="0" w:space="0" w:color="auto"/>
                                                <w:right w:val="none" w:sz="0" w:space="0" w:color="auto"/>
                                              </w:divBdr>
                                              <w:divsChild>
                                                <w:div w:id="8330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965062">
                          <w:marLeft w:val="0"/>
                          <w:marRight w:val="0"/>
                          <w:marTop w:val="0"/>
                          <w:marBottom w:val="0"/>
                          <w:divBdr>
                            <w:top w:val="none" w:sz="0" w:space="0" w:color="auto"/>
                            <w:left w:val="none" w:sz="0" w:space="0" w:color="auto"/>
                            <w:bottom w:val="none" w:sz="0" w:space="0" w:color="auto"/>
                            <w:right w:val="none" w:sz="0" w:space="0" w:color="auto"/>
                          </w:divBdr>
                          <w:divsChild>
                            <w:div w:id="1666199757">
                              <w:marLeft w:val="0"/>
                              <w:marRight w:val="0"/>
                              <w:marTop w:val="0"/>
                              <w:marBottom w:val="0"/>
                              <w:divBdr>
                                <w:top w:val="none" w:sz="0" w:space="0" w:color="auto"/>
                                <w:left w:val="none" w:sz="0" w:space="0" w:color="auto"/>
                                <w:bottom w:val="none" w:sz="0" w:space="0" w:color="auto"/>
                                <w:right w:val="none" w:sz="0" w:space="0" w:color="auto"/>
                              </w:divBdr>
                              <w:divsChild>
                                <w:div w:id="776825622">
                                  <w:marLeft w:val="-225"/>
                                  <w:marRight w:val="-225"/>
                                  <w:marTop w:val="0"/>
                                  <w:marBottom w:val="0"/>
                                  <w:divBdr>
                                    <w:top w:val="none" w:sz="0" w:space="0" w:color="auto"/>
                                    <w:left w:val="none" w:sz="0" w:space="0" w:color="auto"/>
                                    <w:bottom w:val="none" w:sz="0" w:space="0" w:color="auto"/>
                                    <w:right w:val="none" w:sz="0" w:space="0" w:color="auto"/>
                                  </w:divBdr>
                                  <w:divsChild>
                                    <w:div w:id="1158425337">
                                      <w:marLeft w:val="0"/>
                                      <w:marRight w:val="0"/>
                                      <w:marTop w:val="0"/>
                                      <w:marBottom w:val="0"/>
                                      <w:divBdr>
                                        <w:top w:val="none" w:sz="0" w:space="0" w:color="auto"/>
                                        <w:left w:val="none" w:sz="0" w:space="0" w:color="auto"/>
                                        <w:bottom w:val="none" w:sz="0" w:space="0" w:color="auto"/>
                                        <w:right w:val="none" w:sz="0" w:space="0" w:color="auto"/>
                                      </w:divBdr>
                                      <w:divsChild>
                                        <w:div w:id="1897349613">
                                          <w:marLeft w:val="0"/>
                                          <w:marRight w:val="0"/>
                                          <w:marTop w:val="0"/>
                                          <w:marBottom w:val="0"/>
                                          <w:divBdr>
                                            <w:top w:val="none" w:sz="0" w:space="0" w:color="auto"/>
                                            <w:left w:val="none" w:sz="0" w:space="0" w:color="auto"/>
                                            <w:bottom w:val="none" w:sz="0" w:space="0" w:color="auto"/>
                                            <w:right w:val="none" w:sz="0" w:space="0" w:color="auto"/>
                                          </w:divBdr>
                                          <w:divsChild>
                                            <w:div w:id="1575315973">
                                              <w:marLeft w:val="0"/>
                                              <w:marRight w:val="0"/>
                                              <w:marTop w:val="0"/>
                                              <w:marBottom w:val="0"/>
                                              <w:divBdr>
                                                <w:top w:val="none" w:sz="0" w:space="0" w:color="auto"/>
                                                <w:left w:val="none" w:sz="0" w:space="0" w:color="auto"/>
                                                <w:bottom w:val="none" w:sz="0" w:space="0" w:color="auto"/>
                                                <w:right w:val="none" w:sz="0" w:space="0" w:color="auto"/>
                                              </w:divBdr>
                                              <w:divsChild>
                                                <w:div w:id="1564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589330">
                          <w:marLeft w:val="0"/>
                          <w:marRight w:val="0"/>
                          <w:marTop w:val="0"/>
                          <w:marBottom w:val="0"/>
                          <w:divBdr>
                            <w:top w:val="none" w:sz="0" w:space="0" w:color="auto"/>
                            <w:left w:val="none" w:sz="0" w:space="0" w:color="auto"/>
                            <w:bottom w:val="none" w:sz="0" w:space="0" w:color="auto"/>
                            <w:right w:val="none" w:sz="0" w:space="0" w:color="auto"/>
                          </w:divBdr>
                          <w:divsChild>
                            <w:div w:id="1753963405">
                              <w:marLeft w:val="0"/>
                              <w:marRight w:val="0"/>
                              <w:marTop w:val="0"/>
                              <w:marBottom w:val="0"/>
                              <w:divBdr>
                                <w:top w:val="none" w:sz="0" w:space="0" w:color="auto"/>
                                <w:left w:val="none" w:sz="0" w:space="0" w:color="auto"/>
                                <w:bottom w:val="none" w:sz="0" w:space="0" w:color="auto"/>
                                <w:right w:val="none" w:sz="0" w:space="0" w:color="auto"/>
                              </w:divBdr>
                              <w:divsChild>
                                <w:div w:id="1320158494">
                                  <w:marLeft w:val="-225"/>
                                  <w:marRight w:val="-225"/>
                                  <w:marTop w:val="0"/>
                                  <w:marBottom w:val="0"/>
                                  <w:divBdr>
                                    <w:top w:val="none" w:sz="0" w:space="0" w:color="auto"/>
                                    <w:left w:val="none" w:sz="0" w:space="0" w:color="auto"/>
                                    <w:bottom w:val="none" w:sz="0" w:space="0" w:color="auto"/>
                                    <w:right w:val="none" w:sz="0" w:space="0" w:color="auto"/>
                                  </w:divBdr>
                                  <w:divsChild>
                                    <w:div w:id="1839804722">
                                      <w:marLeft w:val="0"/>
                                      <w:marRight w:val="0"/>
                                      <w:marTop w:val="0"/>
                                      <w:marBottom w:val="0"/>
                                      <w:divBdr>
                                        <w:top w:val="none" w:sz="0" w:space="0" w:color="auto"/>
                                        <w:left w:val="none" w:sz="0" w:space="0" w:color="auto"/>
                                        <w:bottom w:val="none" w:sz="0" w:space="0" w:color="auto"/>
                                        <w:right w:val="none" w:sz="0" w:space="0" w:color="auto"/>
                                      </w:divBdr>
                                      <w:divsChild>
                                        <w:div w:id="408697136">
                                          <w:marLeft w:val="0"/>
                                          <w:marRight w:val="0"/>
                                          <w:marTop w:val="0"/>
                                          <w:marBottom w:val="0"/>
                                          <w:divBdr>
                                            <w:top w:val="none" w:sz="0" w:space="0" w:color="auto"/>
                                            <w:left w:val="none" w:sz="0" w:space="0" w:color="auto"/>
                                            <w:bottom w:val="none" w:sz="0" w:space="0" w:color="auto"/>
                                            <w:right w:val="none" w:sz="0" w:space="0" w:color="auto"/>
                                          </w:divBdr>
                                          <w:divsChild>
                                            <w:div w:id="1979071983">
                                              <w:marLeft w:val="0"/>
                                              <w:marRight w:val="0"/>
                                              <w:marTop w:val="0"/>
                                              <w:marBottom w:val="0"/>
                                              <w:divBdr>
                                                <w:top w:val="none" w:sz="0" w:space="0" w:color="auto"/>
                                                <w:left w:val="none" w:sz="0" w:space="0" w:color="auto"/>
                                                <w:bottom w:val="none" w:sz="0" w:space="0" w:color="auto"/>
                                                <w:right w:val="none" w:sz="0" w:space="0" w:color="auto"/>
                                              </w:divBdr>
                                              <w:divsChild>
                                                <w:div w:id="6310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5516259">
          <w:marLeft w:val="-225"/>
          <w:marRight w:val="-225"/>
          <w:marTop w:val="0"/>
          <w:marBottom w:val="0"/>
          <w:divBdr>
            <w:top w:val="none" w:sz="0" w:space="0" w:color="auto"/>
            <w:left w:val="none" w:sz="0" w:space="0" w:color="auto"/>
            <w:bottom w:val="none" w:sz="0" w:space="0" w:color="auto"/>
            <w:right w:val="none" w:sz="0" w:space="0" w:color="auto"/>
          </w:divBdr>
          <w:divsChild>
            <w:div w:id="632635699">
              <w:marLeft w:val="0"/>
              <w:marRight w:val="0"/>
              <w:marTop w:val="0"/>
              <w:marBottom w:val="0"/>
              <w:divBdr>
                <w:top w:val="none" w:sz="0" w:space="0" w:color="auto"/>
                <w:left w:val="none" w:sz="0" w:space="0" w:color="auto"/>
                <w:bottom w:val="none" w:sz="0" w:space="0" w:color="auto"/>
                <w:right w:val="none" w:sz="0" w:space="0" w:color="auto"/>
              </w:divBdr>
              <w:divsChild>
                <w:div w:id="854730148">
                  <w:marLeft w:val="0"/>
                  <w:marRight w:val="0"/>
                  <w:marTop w:val="0"/>
                  <w:marBottom w:val="0"/>
                  <w:divBdr>
                    <w:top w:val="none" w:sz="0" w:space="0" w:color="auto"/>
                    <w:left w:val="none" w:sz="0" w:space="0" w:color="auto"/>
                    <w:bottom w:val="none" w:sz="0" w:space="0" w:color="auto"/>
                    <w:right w:val="none" w:sz="0" w:space="0" w:color="auto"/>
                  </w:divBdr>
                  <w:divsChild>
                    <w:div w:id="1154027762">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32" Type="http://schemas.openxmlformats.org/officeDocument/2006/relationships/oleObject" Target="embeddings/oleObject1.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hyperlink" Target="http://agricultura.gencat.cat/ca/ambits/agricultura/produccio-integrada" TargetMode="Externa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8.xml"/></Relationships>
</file>

<file path=word/_rels/header1.xml.rels><?xml version="1.0" encoding="UTF-8" standalone="yes"?>
<Relationships xmlns="http://schemas.openxmlformats.org/package/2006/relationships"><Relationship Id="rId2" Type="http://schemas.openxmlformats.org/officeDocument/2006/relationships/image" Target="file:///G:\Escut_bn.bmp" TargetMode="External"/><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9F9A0-5669-4B2F-8455-AEFC4588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758</Pages>
  <Words>231861</Words>
  <Characters>1275240</Characters>
  <Application>Microsoft Office Word</Application>
  <DocSecurity>0</DocSecurity>
  <Lines>10627</Lines>
  <Paragraphs>3008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Generalitat de Catalunya</Company>
  <LinksUpToDate>false</LinksUpToDate>
  <CharactersWithSpaces>1504093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Pedrol Esteve, Rosa Maria</dc:creator>
  <cp:lastModifiedBy>Juan Carlos Calvo</cp:lastModifiedBy>
  <cp:revision>3</cp:revision>
  <cp:lastPrinted>2018-02-02T10:01:00Z</cp:lastPrinted>
  <dcterms:created xsi:type="dcterms:W3CDTF">2018-02-02T13:18:00Z</dcterms:created>
  <dcterms:modified xsi:type="dcterms:W3CDTF">2018-02-13T10:35:00Z</dcterms:modified>
</cp:coreProperties>
</file>